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A81" w:rsidRPr="00317DE7" w:rsidRDefault="00F83398" w:rsidP="00F2226C">
      <w:pPr>
        <w:tabs>
          <w:tab w:val="right" w:pos="9639"/>
        </w:tabs>
        <w:rPr>
          <w:lang w:val="en-GB"/>
        </w:rPr>
      </w:pPr>
      <w:r w:rsidRPr="00317DE7">
        <w:rPr>
          <w:noProof/>
          <w:lang w:val="da-DK" w:eastAsia="da-DK"/>
        </w:rPr>
        <mc:AlternateContent>
          <mc:Choice Requires="wps">
            <w:drawing>
              <wp:anchor distT="0" distB="0" distL="114300" distR="114300" simplePos="0" relativeHeight="251659776" behindDoc="0" locked="0" layoutInCell="1" allowOverlap="1" wp14:anchorId="73E36D8D" wp14:editId="76EEB819">
                <wp:simplePos x="0" y="0"/>
                <wp:positionH relativeFrom="column">
                  <wp:posOffset>4309110</wp:posOffset>
                </wp:positionH>
                <wp:positionV relativeFrom="paragraph">
                  <wp:posOffset>-708660</wp:posOffset>
                </wp:positionV>
                <wp:extent cx="1836420" cy="251460"/>
                <wp:effectExtent l="0" t="0" r="0" b="0"/>
                <wp:wrapNone/>
                <wp:docPr id="3" name="Textfeld 3"/>
                <wp:cNvGraphicFramePr/>
                <a:graphic xmlns:a="http://schemas.openxmlformats.org/drawingml/2006/main">
                  <a:graphicData uri="http://schemas.microsoft.com/office/word/2010/wordprocessingShape">
                    <wps:wsp>
                      <wps:cNvSpPr txBox="1"/>
                      <wps:spPr>
                        <a:xfrm>
                          <a:off x="0" y="0"/>
                          <a:ext cx="183642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3FE2" w:rsidRPr="00941201" w:rsidRDefault="00D03FE2">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339.3pt;margin-top:-55.8pt;width:144.6pt;height:19.8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" filled="f" stroked="f" strokeweight=".5pt">
                <v:textbox>
                  <w:txbxContent>
                    <w:p w:rsidR="00D03FE2" w:rsidRPr="00941201" w:rsidRDefault="00D03FE2">
                      <w:pPr>
                        <w:rPr>
                          <w:lang w:val="de-DE"/>
                        </w:rPr>
                      </w:pPr>
                    </w:p>
                  </w:txbxContent>
                </v:textbox>
              </v:shape>
            </w:pict>
          </mc:Fallback>
        </mc:AlternateContent>
      </w:r>
      <w:r w:rsidR="00F2226C" w:rsidRPr="00317DE7">
        <w:rPr>
          <w:lang w:val="en-GB"/>
        </w:rPr>
        <w:tab/>
      </w:r>
    </w:p>
    <w:p w:rsidR="00C41A81" w:rsidRPr="00317DE7" w:rsidRDefault="00C41A81" w:rsidP="000B6908">
      <w:pPr>
        <w:jc w:val="right"/>
        <w:rPr>
          <w:lang w:val="en-GB"/>
        </w:rPr>
      </w:pPr>
    </w:p>
    <w:p w:rsidR="00C41A81" w:rsidRPr="00317DE7" w:rsidRDefault="00C41A81" w:rsidP="00AB46DF">
      <w:pPr>
        <w:rPr>
          <w:lang w:val="en-GB"/>
        </w:rPr>
      </w:pPr>
    </w:p>
    <w:p w:rsidR="00C41A81" w:rsidRPr="00317DE7" w:rsidRDefault="00A569ED" w:rsidP="00AB46DF">
      <w:pPr>
        <w:jc w:val="center"/>
        <w:rPr>
          <w:b/>
          <w:sz w:val="24"/>
          <w:lang w:val="en-GB"/>
        </w:rPr>
      </w:pPr>
      <w:r w:rsidRPr="00317DE7">
        <w:rPr>
          <w:noProof/>
          <w:lang w:val="da-DK" w:eastAsia="da-DK"/>
        </w:rPr>
        <mc:AlternateContent>
          <mc:Choice Requires="wpg">
            <w:drawing>
              <wp:anchor distT="0" distB="0" distL="114300" distR="114300" simplePos="0" relativeHeight="251658752" behindDoc="0" locked="0" layoutInCell="1" allowOverlap="1" wp14:anchorId="3F199D47" wp14:editId="54B392EB">
                <wp:simplePos x="0" y="0"/>
                <wp:positionH relativeFrom="column">
                  <wp:posOffset>-720090</wp:posOffset>
                </wp:positionH>
                <wp:positionV relativeFrom="paragraph">
                  <wp:posOffset>69850</wp:posOffset>
                </wp:positionV>
                <wp:extent cx="7564120" cy="826897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E2" w:rsidRPr="00FE1795" w:rsidRDefault="00D03FE2" w:rsidP="00AB46DF">
                              <w:pPr>
                                <w:rPr>
                                  <w:color w:val="57433E"/>
                                  <w:sz w:val="68"/>
                                </w:rPr>
                              </w:pPr>
                              <w:r w:rsidRPr="00FE1795">
                                <w:rPr>
                                  <w:color w:val="FFFFFF"/>
                                  <w:sz w:val="68"/>
                                </w:rPr>
                                <w:t xml:space="preserve">CEPT Report </w:t>
                              </w:r>
                              <w:r>
                                <w:rPr>
                                  <w:color w:val="D2232A"/>
                                  <w:sz w:val="68"/>
                                </w:rPr>
                                <w:t>54</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7" style="position:absolute;left:0;text-align:left;margin-left:-56.7pt;margin-top:5.5pt;width:595.6pt;height:651.1pt;z-index:251658752"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">
                <v:rect id="Rectangle 24"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 id="Text Box 25"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D03FE2" w:rsidRPr="00FE1795" w:rsidRDefault="00D03FE2" w:rsidP="00AB46DF">
                        <w:pPr>
                          <w:rPr>
                            <w:color w:val="57433E"/>
                            <w:sz w:val="68"/>
                          </w:rPr>
                        </w:pPr>
                        <w:r w:rsidRPr="00FE1795">
                          <w:rPr>
                            <w:color w:val="FFFFFF"/>
                            <w:sz w:val="68"/>
                          </w:rPr>
                          <w:t xml:space="preserve">CEPT Report </w:t>
                        </w:r>
                        <w:r>
                          <w:rPr>
                            <w:color w:val="D2232A"/>
                            <w:sz w:val="68"/>
                          </w:rPr>
                          <w:t>54</w:t>
                        </w:r>
                      </w:p>
                    </w:txbxContent>
                  </v:textbox>
                </v:shape>
                <v:group id="Group 36" o:spid="_x0000_s1030"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1"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2"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3"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4"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5"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C41A81" w:rsidRPr="00317DE7" w:rsidRDefault="00C41A81" w:rsidP="00AB46DF">
      <w:pPr>
        <w:jc w:val="center"/>
        <w:rPr>
          <w:b/>
          <w:sz w:val="24"/>
          <w:lang w:val="en-GB"/>
        </w:rPr>
      </w:pPr>
    </w:p>
    <w:p w:rsidR="00C41A81" w:rsidRPr="00317DE7" w:rsidRDefault="00C41A81" w:rsidP="00AB46DF">
      <w:pPr>
        <w:jc w:val="center"/>
        <w:rPr>
          <w:b/>
          <w:sz w:val="24"/>
          <w:lang w:val="en-GB"/>
        </w:rPr>
      </w:pPr>
    </w:p>
    <w:p w:rsidR="00C41A81" w:rsidRPr="00317DE7" w:rsidRDefault="00C41A81" w:rsidP="00AB46DF">
      <w:pPr>
        <w:jc w:val="center"/>
        <w:rPr>
          <w:b/>
          <w:sz w:val="24"/>
          <w:lang w:val="en-GB"/>
        </w:rPr>
      </w:pPr>
    </w:p>
    <w:p w:rsidR="00C41A81" w:rsidRPr="00317DE7" w:rsidRDefault="00C41A81" w:rsidP="00AB46DF">
      <w:pPr>
        <w:jc w:val="center"/>
        <w:rPr>
          <w:b/>
          <w:sz w:val="24"/>
          <w:lang w:val="en-GB"/>
        </w:rPr>
      </w:pPr>
    </w:p>
    <w:p w:rsidR="00C41A81" w:rsidRPr="00317DE7" w:rsidRDefault="00C41A81" w:rsidP="00AB46DF">
      <w:pPr>
        <w:jc w:val="center"/>
        <w:rPr>
          <w:b/>
          <w:sz w:val="24"/>
          <w:lang w:val="en-GB"/>
        </w:rPr>
      </w:pPr>
    </w:p>
    <w:p w:rsidR="00C41A81" w:rsidRPr="00317DE7" w:rsidRDefault="00C41A81" w:rsidP="00AB46DF">
      <w:pPr>
        <w:jc w:val="center"/>
        <w:rPr>
          <w:b/>
          <w:sz w:val="24"/>
          <w:lang w:val="en-GB"/>
        </w:rPr>
      </w:pPr>
    </w:p>
    <w:p w:rsidR="00C41A81" w:rsidRPr="00317DE7" w:rsidRDefault="00C41A81" w:rsidP="00AB46DF">
      <w:pPr>
        <w:jc w:val="center"/>
        <w:rPr>
          <w:b/>
          <w:sz w:val="24"/>
          <w:lang w:val="en-GB"/>
        </w:rPr>
      </w:pPr>
    </w:p>
    <w:p w:rsidR="00C41A81" w:rsidRPr="00317DE7" w:rsidRDefault="00C41A81" w:rsidP="00AB46DF">
      <w:pPr>
        <w:jc w:val="center"/>
        <w:rPr>
          <w:b/>
          <w:sz w:val="24"/>
          <w:lang w:val="en-GB"/>
        </w:rPr>
      </w:pPr>
    </w:p>
    <w:p w:rsidR="00C41A81" w:rsidRPr="00317DE7" w:rsidRDefault="00C41A81" w:rsidP="00AB46DF">
      <w:pPr>
        <w:jc w:val="center"/>
        <w:rPr>
          <w:b/>
          <w:sz w:val="24"/>
          <w:lang w:val="en-GB"/>
        </w:rPr>
      </w:pPr>
    </w:p>
    <w:p w:rsidR="00C41A81" w:rsidRPr="00317DE7" w:rsidRDefault="00C41A81" w:rsidP="00AB46DF">
      <w:pPr>
        <w:jc w:val="center"/>
        <w:rPr>
          <w:b/>
          <w:sz w:val="24"/>
          <w:lang w:val="en-GB"/>
        </w:rPr>
      </w:pPr>
    </w:p>
    <w:p w:rsidR="00C41A81" w:rsidRPr="00317DE7" w:rsidRDefault="00C41A81" w:rsidP="00AB46DF">
      <w:pPr>
        <w:rPr>
          <w:b/>
          <w:sz w:val="24"/>
          <w:lang w:val="en-GB"/>
        </w:rPr>
      </w:pPr>
    </w:p>
    <w:p w:rsidR="00C41A81" w:rsidRPr="00317DE7" w:rsidRDefault="00C41A81" w:rsidP="00AB46DF">
      <w:pPr>
        <w:jc w:val="center"/>
        <w:rPr>
          <w:b/>
          <w:sz w:val="24"/>
          <w:lang w:val="en-GB"/>
        </w:rPr>
      </w:pPr>
    </w:p>
    <w:p w:rsidR="00C41A81" w:rsidRPr="00317DE7" w:rsidRDefault="00846016" w:rsidP="00AB46DF">
      <w:pPr>
        <w:pStyle w:val="Reporttitledescription"/>
        <w:rPr>
          <w:lang w:val="en-GB"/>
        </w:rPr>
      </w:pPr>
      <w:bookmarkStart w:id="0" w:name="Text7"/>
      <w:r w:rsidRPr="00317DE7">
        <w:rPr>
          <w:lang w:val="en-GB"/>
        </w:rPr>
        <w:t xml:space="preserve">Report from CEPT to the European Commission in response to the Mandate “To develop harmonised technical conditions in the 1452-1492 MHz </w:t>
      </w:r>
      <w:bookmarkEnd w:id="0"/>
      <w:r w:rsidRPr="00317DE7">
        <w:rPr>
          <w:lang w:val="en-GB"/>
        </w:rPr>
        <w:t>frequency band for wireless broadband electronic communications services in the EU”</w:t>
      </w:r>
    </w:p>
    <w:p w:rsidR="00C41A81" w:rsidRPr="00317DE7" w:rsidRDefault="00066F9B" w:rsidP="0027733A">
      <w:pPr>
        <w:pStyle w:val="Reporttitledescription"/>
        <w:rPr>
          <w:b/>
          <w:sz w:val="18"/>
          <w:lang w:val="en-GB"/>
        </w:rPr>
      </w:pPr>
      <w:r w:rsidRPr="00317DE7">
        <w:rPr>
          <w:b/>
          <w:sz w:val="18"/>
          <w:lang w:val="en-GB"/>
        </w:rPr>
        <w:t>Report approved on 28 November 2014 by the ECC</w:t>
      </w:r>
    </w:p>
    <w:p w:rsidR="00D82A88" w:rsidRPr="00317DE7" w:rsidRDefault="00D82A88" w:rsidP="00D82A88">
      <w:pPr>
        <w:pStyle w:val="Lastupdated"/>
        <w:rPr>
          <w:b/>
          <w:lang w:val="en-GB"/>
        </w:rPr>
      </w:pPr>
    </w:p>
    <w:p w:rsidR="00941201" w:rsidRPr="00317DE7" w:rsidRDefault="00941201" w:rsidP="00D82A88">
      <w:pPr>
        <w:rPr>
          <w:lang w:val="en-GB"/>
        </w:rPr>
        <w:sectPr w:rsidR="00941201" w:rsidRPr="00317DE7">
          <w:headerReference w:type="even" r:id="rId9"/>
          <w:headerReference w:type="default" r:id="rId10"/>
          <w:pgSz w:w="11907" w:h="16840" w:code="9"/>
          <w:pgMar w:top="1440" w:right="1134" w:bottom="1440" w:left="1134" w:header="709" w:footer="709" w:gutter="0"/>
          <w:cols w:space="708"/>
          <w:docGrid w:linePitch="360"/>
        </w:sectPr>
      </w:pPr>
    </w:p>
    <w:p w:rsidR="00C41A81" w:rsidRPr="00317DE7" w:rsidRDefault="00C41A81" w:rsidP="00AB46DF">
      <w:pPr>
        <w:pStyle w:val="Heading1"/>
      </w:pPr>
      <w:bookmarkStart w:id="1" w:name="_Toc405359537"/>
      <w:r w:rsidRPr="00317DE7">
        <w:lastRenderedPageBreak/>
        <w:t>Executive summary</w:t>
      </w:r>
      <w:bookmarkEnd w:id="1"/>
    </w:p>
    <w:p w:rsidR="00846016" w:rsidRPr="00317DE7" w:rsidRDefault="00846016" w:rsidP="00846016">
      <w:pPr>
        <w:pStyle w:val="ECCParagraph"/>
      </w:pPr>
      <w:r w:rsidRPr="00317DE7">
        <w:t>This CEPT Report is the response to the Mandate issued by the European Commission to develop harmonised technical conditions in the 1452-1492 MH</w:t>
      </w:r>
      <w:r w:rsidR="00353F0D" w:rsidRPr="00317DE7">
        <w:t>z</w:t>
      </w:r>
      <w:r w:rsidRPr="00317DE7">
        <w:t xml:space="preserve"> frequency band for its use for wireless broadband (WBB) electronic communications services in the EU.</w:t>
      </w:r>
    </w:p>
    <w:p w:rsidR="00846016" w:rsidRPr="00317DE7" w:rsidRDefault="00846016" w:rsidP="00846016">
      <w:pPr>
        <w:pStyle w:val="ECCParagraph"/>
      </w:pPr>
      <w:r w:rsidRPr="00317DE7">
        <w:t xml:space="preserve">The Report is based on the impact analysis carried out by CEPT aimed at determining the regulatory framework that will bring the highest benefits to the future harmonised use of the 1452-1492 MHz in Europe. </w:t>
      </w:r>
      <w:r w:rsidR="004C34E6" w:rsidRPr="00317DE7">
        <w:t>In that respect, t</w:t>
      </w:r>
      <w:r w:rsidRPr="00317DE7">
        <w:t xml:space="preserve">he conclusion of this analysis is that the most appropriate regulatory framework for the future use of the 1452-1492 MHz band is its harmonisation for wireless broadband supplemental downlink (WBB SDL), while allowing individual countries to adapt to specific national circumstances in part of the band for terrestrial broadcasting and other terrestrial applications. </w:t>
      </w:r>
      <w:r w:rsidR="00D4386A" w:rsidRPr="00317DE7">
        <w:t>This regulatory framework is found to bring the highest benefits to CEPT.</w:t>
      </w:r>
    </w:p>
    <w:p w:rsidR="00846016" w:rsidRPr="00317DE7" w:rsidRDefault="00846016" w:rsidP="00846016">
      <w:pPr>
        <w:pStyle w:val="ECCParagraph"/>
      </w:pPr>
      <w:r w:rsidRPr="00317DE7">
        <w:t>The harmonisation of the 1452-1492 MHz band for WBB SDL is important to enhance the downlink capability of mobile broadband systems and represents a strategic tool to tackle the growing mobile data traffic asymmetry driven by increased mobile multimedia usage. WBB technologies such as UMTS and LTE have already evolved to be capable of using unpaired spectrum, including 1452-1492 MHz, for SDL, and such capability has already been incorporated in the international standards developed by 3GPP.</w:t>
      </w:r>
    </w:p>
    <w:p w:rsidR="00846016" w:rsidRPr="00317DE7" w:rsidRDefault="00846016" w:rsidP="00846016">
      <w:pPr>
        <w:pStyle w:val="ECCParagraph"/>
      </w:pPr>
      <w:r w:rsidRPr="00317DE7">
        <w:t>This CEPT Report provides the harmonised technical arrangements and conditions for WBB SDL-based use of the 1452-1492 MHz, namely the channelling arrangement, the common and minimal (least restrictive) technical conditions, the common technical conditions to ensure coexistence with radio services/applications in adjacent bands, including at the EU outer borders.</w:t>
      </w:r>
    </w:p>
    <w:p w:rsidR="00846016" w:rsidRPr="00317DE7" w:rsidRDefault="00846016" w:rsidP="00846016">
      <w:pPr>
        <w:pStyle w:val="ECCParagraph"/>
      </w:pPr>
      <w:r w:rsidRPr="00317DE7">
        <w:t>It is noted that in addition to the harmonised technical arrangements and common conditions, some specific measures can be applied at national level by those administrations that need to enable the use of the 1452-1492 MHz band for SDL while ensuring coexistence with uncoordinated fixed links. The co-existence with all other radio services/applications considered in adjacent bands, is ensured when appropriate, with relevant coordination procedures for coordinated fixed links (which may include additional technical/operational conditions i.e. frequency-territorial planning depending on national circumstances) and telemetry, with the common harmonised out of band limits defined in this Report. In the case where an Administration uses Terrestrial Digital Audio Broadcasting (T-DAB) in part of the band 1452-1479.5 MHz, coordination thresholds to be used under the Maastricht Agreement have been developed together with, for that Administration, nationally applicable technical conditions to ensure in-band adjacent channel coexistence.</w:t>
      </w:r>
    </w:p>
    <w:p w:rsidR="00C41A81" w:rsidRPr="00317DE7" w:rsidRDefault="00C41A81" w:rsidP="00AB46DF">
      <w:pPr>
        <w:rPr>
          <w:lang w:val="en-GB"/>
        </w:rPr>
      </w:pPr>
    </w:p>
    <w:p w:rsidR="00C41A81" w:rsidRPr="00317DE7" w:rsidRDefault="00C41A81" w:rsidP="00AB46DF">
      <w:pPr>
        <w:rPr>
          <w:lang w:val="en-GB"/>
        </w:rPr>
      </w:pPr>
      <w:r w:rsidRPr="00317DE7">
        <w:rPr>
          <w:lang w:val="en-GB"/>
        </w:rPr>
        <w:br w:type="page"/>
      </w:r>
    </w:p>
    <w:p w:rsidR="00C41A81" w:rsidRPr="00317DE7" w:rsidRDefault="00A569ED" w:rsidP="00AB46DF">
      <w:pPr>
        <w:rPr>
          <w:b/>
          <w:color w:val="FFFFFF"/>
          <w:lang w:val="en-GB"/>
        </w:rPr>
      </w:pPr>
      <w:r w:rsidRPr="00317DE7">
        <w:rPr>
          <w:noProof/>
          <w:lang w:val="da-DK" w:eastAsia="da-DK"/>
        </w:rPr>
        <w:lastRenderedPageBreak/>
        <mc:AlternateContent>
          <mc:Choice Requires="wps">
            <w:drawing>
              <wp:anchor distT="0" distB="0" distL="114300" distR="114300" simplePos="0" relativeHeight="251656704" behindDoc="1" locked="0" layoutInCell="1" allowOverlap="1" wp14:anchorId="08183151" wp14:editId="2328B224">
                <wp:simplePos x="0" y="0"/>
                <wp:positionH relativeFrom="page">
                  <wp:posOffset>0</wp:posOffset>
                </wp:positionH>
                <wp:positionV relativeFrom="page">
                  <wp:posOffset>900430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C41A81" w:rsidRPr="00317DE7" w:rsidRDefault="00C41A81" w:rsidP="00AB46DF">
      <w:pPr>
        <w:rPr>
          <w:b/>
          <w:color w:val="FFFFFF"/>
          <w:szCs w:val="20"/>
          <w:lang w:val="en-GB"/>
        </w:rPr>
      </w:pPr>
    </w:p>
    <w:p w:rsidR="00C41A81" w:rsidRPr="00317DE7" w:rsidRDefault="00C41A81" w:rsidP="00AB46DF">
      <w:pPr>
        <w:rPr>
          <w:b/>
          <w:color w:val="FFFFFF"/>
          <w:szCs w:val="20"/>
          <w:lang w:val="en-GB"/>
        </w:rPr>
      </w:pPr>
      <w:r w:rsidRPr="00317DE7">
        <w:rPr>
          <w:b/>
          <w:color w:val="FFFFFF"/>
          <w:szCs w:val="20"/>
          <w:lang w:val="en-GB"/>
        </w:rPr>
        <w:t>TABLE OF CONTENTS</w:t>
      </w:r>
    </w:p>
    <w:p w:rsidR="00C41A81" w:rsidRPr="00317DE7" w:rsidRDefault="00C41A81" w:rsidP="00AB46DF">
      <w:pPr>
        <w:rPr>
          <w:b/>
          <w:color w:val="FFFFFF"/>
          <w:szCs w:val="20"/>
          <w:lang w:val="en-GB"/>
        </w:rPr>
      </w:pPr>
    </w:p>
    <w:p w:rsidR="00C41A81" w:rsidRPr="00317DE7" w:rsidRDefault="00C41A81" w:rsidP="00AB46DF">
      <w:pPr>
        <w:rPr>
          <w:b/>
          <w:color w:val="FFFFFF"/>
          <w:szCs w:val="20"/>
          <w:lang w:val="en-GB"/>
        </w:rPr>
      </w:pPr>
    </w:p>
    <w:p w:rsidR="00C41A81" w:rsidRPr="00317DE7" w:rsidRDefault="00C41A81">
      <w:pPr>
        <w:rPr>
          <w:lang w:val="en-GB"/>
        </w:rPr>
      </w:pPr>
    </w:p>
    <w:p w:rsidR="007E0A9D" w:rsidRDefault="00C41A81">
      <w:pPr>
        <w:pStyle w:val="TOC1"/>
        <w:rPr>
          <w:rFonts w:asciiTheme="minorHAnsi" w:eastAsiaTheme="minorEastAsia" w:hAnsiTheme="minorHAnsi" w:cstheme="minorBidi"/>
          <w:b w:val="0"/>
          <w:caps w:val="0"/>
          <w:noProof/>
          <w:sz w:val="22"/>
          <w:szCs w:val="22"/>
          <w:lang w:val="da-DK" w:eastAsia="da-DK"/>
        </w:rPr>
      </w:pPr>
      <w:r w:rsidRPr="00317DE7">
        <w:rPr>
          <w:caps w:val="0"/>
          <w:lang w:val="en-GB"/>
        </w:rPr>
        <w:fldChar w:fldCharType="begin"/>
      </w:r>
      <w:r w:rsidRPr="00317DE7">
        <w:rPr>
          <w:caps w:val="0"/>
          <w:lang w:val="en-GB"/>
        </w:rPr>
        <w:instrText xml:space="preserve"> TOC \o "1-4" \h \z \u </w:instrText>
      </w:r>
      <w:r w:rsidRPr="00317DE7">
        <w:rPr>
          <w:caps w:val="0"/>
          <w:lang w:val="en-GB"/>
        </w:rPr>
        <w:fldChar w:fldCharType="separate"/>
      </w:r>
      <w:hyperlink w:anchor="_Toc405359537" w:history="1">
        <w:r w:rsidR="007E0A9D" w:rsidRPr="00F74EA2">
          <w:rPr>
            <w:rStyle w:val="Hyperlink"/>
            <w:noProof/>
          </w:rPr>
          <w:t>0</w:t>
        </w:r>
        <w:r w:rsidR="007E0A9D">
          <w:rPr>
            <w:rFonts w:asciiTheme="minorHAnsi" w:eastAsiaTheme="minorEastAsia" w:hAnsiTheme="minorHAnsi" w:cstheme="minorBidi"/>
            <w:b w:val="0"/>
            <w:caps w:val="0"/>
            <w:noProof/>
            <w:sz w:val="22"/>
            <w:szCs w:val="22"/>
            <w:lang w:val="da-DK" w:eastAsia="da-DK"/>
          </w:rPr>
          <w:tab/>
        </w:r>
        <w:r w:rsidR="007E0A9D" w:rsidRPr="00F74EA2">
          <w:rPr>
            <w:rStyle w:val="Hyperlink"/>
            <w:noProof/>
          </w:rPr>
          <w:t>Executive summary</w:t>
        </w:r>
        <w:r w:rsidR="007E0A9D">
          <w:rPr>
            <w:noProof/>
            <w:webHidden/>
          </w:rPr>
          <w:tab/>
        </w:r>
        <w:r w:rsidR="007E0A9D">
          <w:rPr>
            <w:noProof/>
            <w:webHidden/>
          </w:rPr>
          <w:fldChar w:fldCharType="begin"/>
        </w:r>
        <w:r w:rsidR="007E0A9D">
          <w:rPr>
            <w:noProof/>
            <w:webHidden/>
          </w:rPr>
          <w:instrText xml:space="preserve"> PAGEREF _Toc405359537 \h </w:instrText>
        </w:r>
        <w:r w:rsidR="007E0A9D">
          <w:rPr>
            <w:noProof/>
            <w:webHidden/>
          </w:rPr>
        </w:r>
        <w:r w:rsidR="007E0A9D">
          <w:rPr>
            <w:noProof/>
            <w:webHidden/>
          </w:rPr>
          <w:fldChar w:fldCharType="separate"/>
        </w:r>
        <w:r w:rsidR="007E0A9D">
          <w:rPr>
            <w:noProof/>
            <w:webHidden/>
          </w:rPr>
          <w:t>2</w:t>
        </w:r>
        <w:r w:rsidR="007E0A9D">
          <w:rPr>
            <w:noProof/>
            <w:webHidden/>
          </w:rPr>
          <w:fldChar w:fldCharType="end"/>
        </w:r>
      </w:hyperlink>
    </w:p>
    <w:p w:rsidR="007E0A9D" w:rsidRDefault="00177DAC">
      <w:pPr>
        <w:pStyle w:val="TOC1"/>
        <w:rPr>
          <w:rFonts w:asciiTheme="minorHAnsi" w:eastAsiaTheme="minorEastAsia" w:hAnsiTheme="minorHAnsi" w:cstheme="minorBidi"/>
          <w:b w:val="0"/>
          <w:caps w:val="0"/>
          <w:noProof/>
          <w:sz w:val="22"/>
          <w:szCs w:val="22"/>
          <w:lang w:val="da-DK" w:eastAsia="da-DK"/>
        </w:rPr>
      </w:pPr>
      <w:hyperlink w:anchor="_Toc405359538" w:history="1">
        <w:r w:rsidR="007E0A9D" w:rsidRPr="00F74EA2">
          <w:rPr>
            <w:rStyle w:val="Hyperlink"/>
            <w:noProof/>
          </w:rPr>
          <w:t>1</w:t>
        </w:r>
        <w:r w:rsidR="007E0A9D">
          <w:rPr>
            <w:rFonts w:asciiTheme="minorHAnsi" w:eastAsiaTheme="minorEastAsia" w:hAnsiTheme="minorHAnsi" w:cstheme="minorBidi"/>
            <w:b w:val="0"/>
            <w:caps w:val="0"/>
            <w:noProof/>
            <w:sz w:val="22"/>
            <w:szCs w:val="22"/>
            <w:lang w:val="da-DK" w:eastAsia="da-DK"/>
          </w:rPr>
          <w:tab/>
        </w:r>
        <w:r w:rsidR="007E0A9D" w:rsidRPr="00F74EA2">
          <w:rPr>
            <w:rStyle w:val="Hyperlink"/>
            <w:noProof/>
          </w:rPr>
          <w:t>Introduction</w:t>
        </w:r>
        <w:r w:rsidR="007E0A9D">
          <w:rPr>
            <w:noProof/>
            <w:webHidden/>
          </w:rPr>
          <w:tab/>
        </w:r>
        <w:r w:rsidR="007E0A9D">
          <w:rPr>
            <w:noProof/>
            <w:webHidden/>
          </w:rPr>
          <w:fldChar w:fldCharType="begin"/>
        </w:r>
        <w:r w:rsidR="007E0A9D">
          <w:rPr>
            <w:noProof/>
            <w:webHidden/>
          </w:rPr>
          <w:instrText xml:space="preserve"> PAGEREF _Toc405359538 \h </w:instrText>
        </w:r>
        <w:r w:rsidR="007E0A9D">
          <w:rPr>
            <w:noProof/>
            <w:webHidden/>
          </w:rPr>
        </w:r>
        <w:r w:rsidR="007E0A9D">
          <w:rPr>
            <w:noProof/>
            <w:webHidden/>
          </w:rPr>
          <w:fldChar w:fldCharType="separate"/>
        </w:r>
        <w:r w:rsidR="007E0A9D">
          <w:rPr>
            <w:noProof/>
            <w:webHidden/>
          </w:rPr>
          <w:t>5</w:t>
        </w:r>
        <w:r w:rsidR="007E0A9D">
          <w:rPr>
            <w:noProof/>
            <w:webHidden/>
          </w:rPr>
          <w:fldChar w:fldCharType="end"/>
        </w:r>
      </w:hyperlink>
    </w:p>
    <w:p w:rsidR="007E0A9D" w:rsidRDefault="00177DAC">
      <w:pPr>
        <w:pStyle w:val="TOC1"/>
        <w:rPr>
          <w:rFonts w:asciiTheme="minorHAnsi" w:eastAsiaTheme="minorEastAsia" w:hAnsiTheme="minorHAnsi" w:cstheme="minorBidi"/>
          <w:b w:val="0"/>
          <w:caps w:val="0"/>
          <w:noProof/>
          <w:sz w:val="22"/>
          <w:szCs w:val="22"/>
          <w:lang w:val="da-DK" w:eastAsia="da-DK"/>
        </w:rPr>
      </w:pPr>
      <w:hyperlink w:anchor="_Toc405359539" w:history="1">
        <w:r w:rsidR="007E0A9D" w:rsidRPr="00F74EA2">
          <w:rPr>
            <w:rStyle w:val="Hyperlink"/>
            <w:noProof/>
          </w:rPr>
          <w:t>2</w:t>
        </w:r>
        <w:r w:rsidR="007E0A9D">
          <w:rPr>
            <w:rFonts w:asciiTheme="minorHAnsi" w:eastAsiaTheme="minorEastAsia" w:hAnsiTheme="minorHAnsi" w:cstheme="minorBidi"/>
            <w:b w:val="0"/>
            <w:caps w:val="0"/>
            <w:noProof/>
            <w:sz w:val="22"/>
            <w:szCs w:val="22"/>
            <w:lang w:val="da-DK" w:eastAsia="da-DK"/>
          </w:rPr>
          <w:tab/>
        </w:r>
        <w:r w:rsidR="007E0A9D" w:rsidRPr="00F74EA2">
          <w:rPr>
            <w:rStyle w:val="Hyperlink"/>
            <w:noProof/>
          </w:rPr>
          <w:t>Background information</w:t>
        </w:r>
        <w:r w:rsidR="007E0A9D">
          <w:rPr>
            <w:noProof/>
            <w:webHidden/>
          </w:rPr>
          <w:tab/>
        </w:r>
        <w:r w:rsidR="007E0A9D">
          <w:rPr>
            <w:noProof/>
            <w:webHidden/>
          </w:rPr>
          <w:fldChar w:fldCharType="begin"/>
        </w:r>
        <w:r w:rsidR="007E0A9D">
          <w:rPr>
            <w:noProof/>
            <w:webHidden/>
          </w:rPr>
          <w:instrText xml:space="preserve"> PAGEREF _Toc405359539 \h </w:instrText>
        </w:r>
        <w:r w:rsidR="007E0A9D">
          <w:rPr>
            <w:noProof/>
            <w:webHidden/>
          </w:rPr>
        </w:r>
        <w:r w:rsidR="007E0A9D">
          <w:rPr>
            <w:noProof/>
            <w:webHidden/>
          </w:rPr>
          <w:fldChar w:fldCharType="separate"/>
        </w:r>
        <w:r w:rsidR="007E0A9D">
          <w:rPr>
            <w:noProof/>
            <w:webHidden/>
          </w:rPr>
          <w:t>6</w:t>
        </w:r>
        <w:r w:rsidR="007E0A9D">
          <w:rPr>
            <w:noProof/>
            <w:webHidden/>
          </w:rPr>
          <w:fldChar w:fldCharType="end"/>
        </w:r>
      </w:hyperlink>
    </w:p>
    <w:p w:rsidR="007E0A9D" w:rsidRDefault="00177DAC">
      <w:pPr>
        <w:pStyle w:val="TOC2"/>
        <w:rPr>
          <w:rFonts w:asciiTheme="minorHAnsi" w:eastAsiaTheme="minorEastAsia" w:hAnsiTheme="minorHAnsi" w:cstheme="minorBidi"/>
          <w:noProof/>
          <w:sz w:val="22"/>
          <w:szCs w:val="22"/>
          <w:lang w:val="da-DK" w:eastAsia="da-DK"/>
        </w:rPr>
      </w:pPr>
      <w:hyperlink w:anchor="_Toc405359540" w:history="1">
        <w:r w:rsidR="007E0A9D" w:rsidRPr="00F74EA2">
          <w:rPr>
            <w:rStyle w:val="Hyperlink"/>
            <w:noProof/>
            <w:lang w:val="en-GB"/>
          </w:rPr>
          <w:t>2.1</w:t>
        </w:r>
        <w:r w:rsidR="007E0A9D">
          <w:rPr>
            <w:rFonts w:asciiTheme="minorHAnsi" w:eastAsiaTheme="minorEastAsia" w:hAnsiTheme="minorHAnsi" w:cstheme="minorBidi"/>
            <w:noProof/>
            <w:sz w:val="22"/>
            <w:szCs w:val="22"/>
            <w:lang w:val="da-DK" w:eastAsia="da-DK"/>
          </w:rPr>
          <w:tab/>
        </w:r>
        <w:r w:rsidR="007E0A9D" w:rsidRPr="00F74EA2">
          <w:rPr>
            <w:rStyle w:val="Hyperlink"/>
            <w:noProof/>
            <w:lang w:val="en-GB"/>
          </w:rPr>
          <w:t>Evolution steps of 1452-1492 MHz use in CEPT</w:t>
        </w:r>
        <w:r w:rsidR="007E0A9D">
          <w:rPr>
            <w:noProof/>
            <w:webHidden/>
          </w:rPr>
          <w:tab/>
        </w:r>
        <w:r w:rsidR="007E0A9D">
          <w:rPr>
            <w:noProof/>
            <w:webHidden/>
          </w:rPr>
          <w:fldChar w:fldCharType="begin"/>
        </w:r>
        <w:r w:rsidR="007E0A9D">
          <w:rPr>
            <w:noProof/>
            <w:webHidden/>
          </w:rPr>
          <w:instrText xml:space="preserve"> PAGEREF _Toc405359540 \h </w:instrText>
        </w:r>
        <w:r w:rsidR="007E0A9D">
          <w:rPr>
            <w:noProof/>
            <w:webHidden/>
          </w:rPr>
        </w:r>
        <w:r w:rsidR="007E0A9D">
          <w:rPr>
            <w:noProof/>
            <w:webHidden/>
          </w:rPr>
          <w:fldChar w:fldCharType="separate"/>
        </w:r>
        <w:r w:rsidR="007E0A9D">
          <w:rPr>
            <w:noProof/>
            <w:webHidden/>
          </w:rPr>
          <w:t>6</w:t>
        </w:r>
        <w:r w:rsidR="007E0A9D">
          <w:rPr>
            <w:noProof/>
            <w:webHidden/>
          </w:rPr>
          <w:fldChar w:fldCharType="end"/>
        </w:r>
      </w:hyperlink>
    </w:p>
    <w:p w:rsidR="007E0A9D" w:rsidRDefault="00177DAC">
      <w:pPr>
        <w:pStyle w:val="TOC2"/>
        <w:rPr>
          <w:rFonts w:asciiTheme="minorHAnsi" w:eastAsiaTheme="minorEastAsia" w:hAnsiTheme="minorHAnsi" w:cstheme="minorBidi"/>
          <w:noProof/>
          <w:sz w:val="22"/>
          <w:szCs w:val="22"/>
          <w:lang w:val="da-DK" w:eastAsia="da-DK"/>
        </w:rPr>
      </w:pPr>
      <w:hyperlink w:anchor="_Toc405359541" w:history="1">
        <w:r w:rsidR="007E0A9D" w:rsidRPr="00F74EA2">
          <w:rPr>
            <w:rStyle w:val="Hyperlink"/>
            <w:noProof/>
            <w:lang w:val="en-GB"/>
          </w:rPr>
          <w:t>2.2</w:t>
        </w:r>
        <w:r w:rsidR="007E0A9D">
          <w:rPr>
            <w:rFonts w:asciiTheme="minorHAnsi" w:eastAsiaTheme="minorEastAsia" w:hAnsiTheme="minorHAnsi" w:cstheme="minorBidi"/>
            <w:noProof/>
            <w:sz w:val="22"/>
            <w:szCs w:val="22"/>
            <w:lang w:val="da-DK" w:eastAsia="da-DK"/>
          </w:rPr>
          <w:tab/>
        </w:r>
        <w:r w:rsidR="007E0A9D" w:rsidRPr="00F74EA2">
          <w:rPr>
            <w:rStyle w:val="Hyperlink"/>
            <w:noProof/>
            <w:lang w:val="en-GB"/>
          </w:rPr>
          <w:t>Regulatory background</w:t>
        </w:r>
        <w:r w:rsidR="007E0A9D">
          <w:rPr>
            <w:noProof/>
            <w:webHidden/>
          </w:rPr>
          <w:tab/>
        </w:r>
        <w:r w:rsidR="007E0A9D">
          <w:rPr>
            <w:noProof/>
            <w:webHidden/>
          </w:rPr>
          <w:fldChar w:fldCharType="begin"/>
        </w:r>
        <w:r w:rsidR="007E0A9D">
          <w:rPr>
            <w:noProof/>
            <w:webHidden/>
          </w:rPr>
          <w:instrText xml:space="preserve"> PAGEREF _Toc405359541 \h </w:instrText>
        </w:r>
        <w:r w:rsidR="007E0A9D">
          <w:rPr>
            <w:noProof/>
            <w:webHidden/>
          </w:rPr>
        </w:r>
        <w:r w:rsidR="007E0A9D">
          <w:rPr>
            <w:noProof/>
            <w:webHidden/>
          </w:rPr>
          <w:fldChar w:fldCharType="separate"/>
        </w:r>
        <w:r w:rsidR="007E0A9D">
          <w:rPr>
            <w:noProof/>
            <w:webHidden/>
          </w:rPr>
          <w:t>6</w:t>
        </w:r>
        <w:r w:rsidR="007E0A9D">
          <w:rPr>
            <w:noProof/>
            <w:webHidden/>
          </w:rPr>
          <w:fldChar w:fldCharType="end"/>
        </w:r>
      </w:hyperlink>
    </w:p>
    <w:p w:rsidR="007E0A9D" w:rsidRDefault="00177DAC">
      <w:pPr>
        <w:pStyle w:val="TOC1"/>
        <w:rPr>
          <w:rFonts w:asciiTheme="minorHAnsi" w:eastAsiaTheme="minorEastAsia" w:hAnsiTheme="minorHAnsi" w:cstheme="minorBidi"/>
          <w:b w:val="0"/>
          <w:caps w:val="0"/>
          <w:noProof/>
          <w:sz w:val="22"/>
          <w:szCs w:val="22"/>
          <w:lang w:val="da-DK" w:eastAsia="da-DK"/>
        </w:rPr>
      </w:pPr>
      <w:hyperlink w:anchor="_Toc405359542" w:history="1">
        <w:r w:rsidR="007E0A9D" w:rsidRPr="00F74EA2">
          <w:rPr>
            <w:rStyle w:val="Hyperlink"/>
            <w:noProof/>
          </w:rPr>
          <w:t>3</w:t>
        </w:r>
        <w:r w:rsidR="007E0A9D">
          <w:rPr>
            <w:rFonts w:asciiTheme="minorHAnsi" w:eastAsiaTheme="minorEastAsia" w:hAnsiTheme="minorHAnsi" w:cstheme="minorBidi"/>
            <w:b w:val="0"/>
            <w:caps w:val="0"/>
            <w:noProof/>
            <w:sz w:val="22"/>
            <w:szCs w:val="22"/>
            <w:lang w:val="da-DK" w:eastAsia="da-DK"/>
          </w:rPr>
          <w:tab/>
        </w:r>
        <w:r w:rsidR="007E0A9D" w:rsidRPr="00F74EA2">
          <w:rPr>
            <w:rStyle w:val="Hyperlink"/>
            <w:noProof/>
          </w:rPr>
          <w:t>RESULT of STUDIES on 1452-1492 mHz</w:t>
        </w:r>
        <w:r w:rsidR="007E0A9D">
          <w:rPr>
            <w:noProof/>
            <w:webHidden/>
          </w:rPr>
          <w:tab/>
        </w:r>
        <w:r w:rsidR="007E0A9D">
          <w:rPr>
            <w:noProof/>
            <w:webHidden/>
          </w:rPr>
          <w:fldChar w:fldCharType="begin"/>
        </w:r>
        <w:r w:rsidR="007E0A9D">
          <w:rPr>
            <w:noProof/>
            <w:webHidden/>
          </w:rPr>
          <w:instrText xml:space="preserve"> PAGEREF _Toc405359542 \h </w:instrText>
        </w:r>
        <w:r w:rsidR="007E0A9D">
          <w:rPr>
            <w:noProof/>
            <w:webHidden/>
          </w:rPr>
        </w:r>
        <w:r w:rsidR="007E0A9D">
          <w:rPr>
            <w:noProof/>
            <w:webHidden/>
          </w:rPr>
          <w:fldChar w:fldCharType="separate"/>
        </w:r>
        <w:r w:rsidR="007E0A9D">
          <w:rPr>
            <w:noProof/>
            <w:webHidden/>
          </w:rPr>
          <w:t>7</w:t>
        </w:r>
        <w:r w:rsidR="007E0A9D">
          <w:rPr>
            <w:noProof/>
            <w:webHidden/>
          </w:rPr>
          <w:fldChar w:fldCharType="end"/>
        </w:r>
      </w:hyperlink>
    </w:p>
    <w:p w:rsidR="007E0A9D" w:rsidRDefault="00177DAC">
      <w:pPr>
        <w:pStyle w:val="TOC2"/>
        <w:rPr>
          <w:rFonts w:asciiTheme="minorHAnsi" w:eastAsiaTheme="minorEastAsia" w:hAnsiTheme="minorHAnsi" w:cstheme="minorBidi"/>
          <w:noProof/>
          <w:sz w:val="22"/>
          <w:szCs w:val="22"/>
          <w:lang w:val="da-DK" w:eastAsia="da-DK"/>
        </w:rPr>
      </w:pPr>
      <w:hyperlink w:anchor="_Toc405359543" w:history="1">
        <w:r w:rsidR="007E0A9D" w:rsidRPr="00F74EA2">
          <w:rPr>
            <w:rStyle w:val="Hyperlink"/>
            <w:noProof/>
            <w:lang w:val="en-GB"/>
          </w:rPr>
          <w:t>3.1</w:t>
        </w:r>
        <w:r w:rsidR="007E0A9D">
          <w:rPr>
            <w:rFonts w:asciiTheme="minorHAnsi" w:eastAsiaTheme="minorEastAsia" w:hAnsiTheme="minorHAnsi" w:cstheme="minorBidi"/>
            <w:noProof/>
            <w:sz w:val="22"/>
            <w:szCs w:val="22"/>
            <w:lang w:val="da-DK" w:eastAsia="da-DK"/>
          </w:rPr>
          <w:tab/>
        </w:r>
        <w:r w:rsidR="007E0A9D" w:rsidRPr="00F74EA2">
          <w:rPr>
            <w:rStyle w:val="Hyperlink"/>
            <w:noProof/>
            <w:lang w:val="en-GB"/>
          </w:rPr>
          <w:t>Results of the impact analysis on the future use</w:t>
        </w:r>
        <w:r w:rsidR="007E0A9D">
          <w:rPr>
            <w:noProof/>
            <w:webHidden/>
          </w:rPr>
          <w:tab/>
        </w:r>
        <w:r w:rsidR="007E0A9D">
          <w:rPr>
            <w:noProof/>
            <w:webHidden/>
          </w:rPr>
          <w:fldChar w:fldCharType="begin"/>
        </w:r>
        <w:r w:rsidR="007E0A9D">
          <w:rPr>
            <w:noProof/>
            <w:webHidden/>
          </w:rPr>
          <w:instrText xml:space="preserve"> PAGEREF _Toc405359543 \h </w:instrText>
        </w:r>
        <w:r w:rsidR="007E0A9D">
          <w:rPr>
            <w:noProof/>
            <w:webHidden/>
          </w:rPr>
        </w:r>
        <w:r w:rsidR="007E0A9D">
          <w:rPr>
            <w:noProof/>
            <w:webHidden/>
          </w:rPr>
          <w:fldChar w:fldCharType="separate"/>
        </w:r>
        <w:r w:rsidR="007E0A9D">
          <w:rPr>
            <w:noProof/>
            <w:webHidden/>
          </w:rPr>
          <w:t>7</w:t>
        </w:r>
        <w:r w:rsidR="007E0A9D">
          <w:rPr>
            <w:noProof/>
            <w:webHidden/>
          </w:rPr>
          <w:fldChar w:fldCharType="end"/>
        </w:r>
      </w:hyperlink>
    </w:p>
    <w:p w:rsidR="007E0A9D" w:rsidRDefault="00177DAC">
      <w:pPr>
        <w:pStyle w:val="TOC2"/>
        <w:rPr>
          <w:rFonts w:asciiTheme="minorHAnsi" w:eastAsiaTheme="minorEastAsia" w:hAnsiTheme="minorHAnsi" w:cstheme="minorBidi"/>
          <w:noProof/>
          <w:sz w:val="22"/>
          <w:szCs w:val="22"/>
          <w:lang w:val="da-DK" w:eastAsia="da-DK"/>
        </w:rPr>
      </w:pPr>
      <w:hyperlink w:anchor="_Toc405359544" w:history="1">
        <w:r w:rsidR="007E0A9D" w:rsidRPr="00F74EA2">
          <w:rPr>
            <w:rStyle w:val="Hyperlink"/>
            <w:noProof/>
            <w:lang w:val="en-GB"/>
          </w:rPr>
          <w:t>3.2</w:t>
        </w:r>
        <w:r w:rsidR="007E0A9D">
          <w:rPr>
            <w:rFonts w:asciiTheme="minorHAnsi" w:eastAsiaTheme="minorEastAsia" w:hAnsiTheme="minorHAnsi" w:cstheme="minorBidi"/>
            <w:noProof/>
            <w:sz w:val="22"/>
            <w:szCs w:val="22"/>
            <w:lang w:val="da-DK" w:eastAsia="da-DK"/>
          </w:rPr>
          <w:tab/>
        </w:r>
        <w:r w:rsidR="007E0A9D" w:rsidRPr="00F74EA2">
          <w:rPr>
            <w:rStyle w:val="Hyperlink"/>
            <w:noProof/>
            <w:lang w:val="en-GB"/>
          </w:rPr>
          <w:t>Harmonised channelling arrangement and technical conditions for wireless broadband usage of the 1452-1492 MHz frequency band</w:t>
        </w:r>
        <w:r w:rsidR="007E0A9D">
          <w:rPr>
            <w:noProof/>
            <w:webHidden/>
          </w:rPr>
          <w:tab/>
        </w:r>
        <w:r w:rsidR="007E0A9D">
          <w:rPr>
            <w:noProof/>
            <w:webHidden/>
          </w:rPr>
          <w:fldChar w:fldCharType="begin"/>
        </w:r>
        <w:r w:rsidR="007E0A9D">
          <w:rPr>
            <w:noProof/>
            <w:webHidden/>
          </w:rPr>
          <w:instrText xml:space="preserve"> PAGEREF _Toc405359544 \h </w:instrText>
        </w:r>
        <w:r w:rsidR="007E0A9D">
          <w:rPr>
            <w:noProof/>
            <w:webHidden/>
          </w:rPr>
        </w:r>
        <w:r w:rsidR="007E0A9D">
          <w:rPr>
            <w:noProof/>
            <w:webHidden/>
          </w:rPr>
          <w:fldChar w:fldCharType="separate"/>
        </w:r>
        <w:r w:rsidR="007E0A9D">
          <w:rPr>
            <w:noProof/>
            <w:webHidden/>
          </w:rPr>
          <w:t>8</w:t>
        </w:r>
        <w:r w:rsidR="007E0A9D">
          <w:rPr>
            <w:noProof/>
            <w:webHidden/>
          </w:rPr>
          <w:fldChar w:fldCharType="end"/>
        </w:r>
      </w:hyperlink>
    </w:p>
    <w:p w:rsidR="007E0A9D" w:rsidRDefault="00177DAC">
      <w:pPr>
        <w:pStyle w:val="TOC3"/>
        <w:rPr>
          <w:rFonts w:asciiTheme="minorHAnsi" w:eastAsiaTheme="minorEastAsia" w:hAnsiTheme="minorHAnsi" w:cstheme="minorBidi"/>
          <w:noProof/>
          <w:sz w:val="22"/>
          <w:szCs w:val="22"/>
          <w:lang w:val="da-DK" w:eastAsia="da-DK"/>
        </w:rPr>
      </w:pPr>
      <w:hyperlink w:anchor="_Toc405359545" w:history="1">
        <w:r w:rsidR="007E0A9D" w:rsidRPr="00F74EA2">
          <w:rPr>
            <w:rStyle w:val="Hyperlink"/>
            <w:noProof/>
            <w:lang w:val="en-GB"/>
          </w:rPr>
          <w:t>3.2.1</w:t>
        </w:r>
        <w:r w:rsidR="007E0A9D">
          <w:rPr>
            <w:rFonts w:asciiTheme="minorHAnsi" w:eastAsiaTheme="minorEastAsia" w:hAnsiTheme="minorHAnsi" w:cstheme="minorBidi"/>
            <w:noProof/>
            <w:sz w:val="22"/>
            <w:szCs w:val="22"/>
            <w:lang w:val="da-DK" w:eastAsia="da-DK"/>
          </w:rPr>
          <w:tab/>
        </w:r>
        <w:r w:rsidR="007E0A9D" w:rsidRPr="00F74EA2">
          <w:rPr>
            <w:rStyle w:val="Hyperlink"/>
            <w:noProof/>
            <w:lang w:val="en-GB"/>
          </w:rPr>
          <w:t>Harmonised channelling arrangement</w:t>
        </w:r>
        <w:r w:rsidR="007E0A9D">
          <w:rPr>
            <w:noProof/>
            <w:webHidden/>
          </w:rPr>
          <w:tab/>
        </w:r>
        <w:r w:rsidR="007E0A9D">
          <w:rPr>
            <w:noProof/>
            <w:webHidden/>
          </w:rPr>
          <w:fldChar w:fldCharType="begin"/>
        </w:r>
        <w:r w:rsidR="007E0A9D">
          <w:rPr>
            <w:noProof/>
            <w:webHidden/>
          </w:rPr>
          <w:instrText xml:space="preserve"> PAGEREF _Toc405359545 \h </w:instrText>
        </w:r>
        <w:r w:rsidR="007E0A9D">
          <w:rPr>
            <w:noProof/>
            <w:webHidden/>
          </w:rPr>
        </w:r>
        <w:r w:rsidR="007E0A9D">
          <w:rPr>
            <w:noProof/>
            <w:webHidden/>
          </w:rPr>
          <w:fldChar w:fldCharType="separate"/>
        </w:r>
        <w:r w:rsidR="007E0A9D">
          <w:rPr>
            <w:noProof/>
            <w:webHidden/>
          </w:rPr>
          <w:t>8</w:t>
        </w:r>
        <w:r w:rsidR="007E0A9D">
          <w:rPr>
            <w:noProof/>
            <w:webHidden/>
          </w:rPr>
          <w:fldChar w:fldCharType="end"/>
        </w:r>
      </w:hyperlink>
    </w:p>
    <w:p w:rsidR="007E0A9D" w:rsidRDefault="00177DAC">
      <w:pPr>
        <w:pStyle w:val="TOC3"/>
        <w:rPr>
          <w:rFonts w:asciiTheme="minorHAnsi" w:eastAsiaTheme="minorEastAsia" w:hAnsiTheme="minorHAnsi" w:cstheme="minorBidi"/>
          <w:noProof/>
          <w:sz w:val="22"/>
          <w:szCs w:val="22"/>
          <w:lang w:val="da-DK" w:eastAsia="da-DK"/>
        </w:rPr>
      </w:pPr>
      <w:hyperlink w:anchor="_Toc405359546" w:history="1">
        <w:r w:rsidR="007E0A9D" w:rsidRPr="00F74EA2">
          <w:rPr>
            <w:rStyle w:val="Hyperlink"/>
            <w:noProof/>
            <w:lang w:val="en-GB"/>
          </w:rPr>
          <w:t>3.2.2</w:t>
        </w:r>
        <w:r w:rsidR="007E0A9D">
          <w:rPr>
            <w:rFonts w:asciiTheme="minorHAnsi" w:eastAsiaTheme="minorEastAsia" w:hAnsiTheme="minorHAnsi" w:cstheme="minorBidi"/>
            <w:noProof/>
            <w:sz w:val="22"/>
            <w:szCs w:val="22"/>
            <w:lang w:val="da-DK" w:eastAsia="da-DK"/>
          </w:rPr>
          <w:tab/>
        </w:r>
        <w:r w:rsidR="007E0A9D" w:rsidRPr="00F74EA2">
          <w:rPr>
            <w:rStyle w:val="Hyperlink"/>
            <w:noProof/>
            <w:lang w:val="en-GB"/>
          </w:rPr>
          <w:t>Least Restrictive Technical Conditions</w:t>
        </w:r>
        <w:r w:rsidR="007E0A9D">
          <w:rPr>
            <w:noProof/>
            <w:webHidden/>
          </w:rPr>
          <w:tab/>
        </w:r>
        <w:r w:rsidR="007E0A9D">
          <w:rPr>
            <w:noProof/>
            <w:webHidden/>
          </w:rPr>
          <w:fldChar w:fldCharType="begin"/>
        </w:r>
        <w:r w:rsidR="007E0A9D">
          <w:rPr>
            <w:noProof/>
            <w:webHidden/>
          </w:rPr>
          <w:instrText xml:space="preserve"> PAGEREF _Toc405359546 \h </w:instrText>
        </w:r>
        <w:r w:rsidR="007E0A9D">
          <w:rPr>
            <w:noProof/>
            <w:webHidden/>
          </w:rPr>
        </w:r>
        <w:r w:rsidR="007E0A9D">
          <w:rPr>
            <w:noProof/>
            <w:webHidden/>
          </w:rPr>
          <w:fldChar w:fldCharType="separate"/>
        </w:r>
        <w:r w:rsidR="007E0A9D">
          <w:rPr>
            <w:noProof/>
            <w:webHidden/>
          </w:rPr>
          <w:t>9</w:t>
        </w:r>
        <w:r w:rsidR="007E0A9D">
          <w:rPr>
            <w:noProof/>
            <w:webHidden/>
          </w:rPr>
          <w:fldChar w:fldCharType="end"/>
        </w:r>
      </w:hyperlink>
    </w:p>
    <w:p w:rsidR="007E0A9D" w:rsidRDefault="00177DAC">
      <w:pPr>
        <w:pStyle w:val="TOC4"/>
        <w:rPr>
          <w:rFonts w:asciiTheme="minorHAnsi" w:eastAsiaTheme="minorEastAsia" w:hAnsiTheme="minorHAnsi" w:cstheme="minorBidi"/>
          <w:i w:val="0"/>
          <w:noProof/>
          <w:sz w:val="22"/>
          <w:szCs w:val="22"/>
          <w:lang w:val="da-DK" w:eastAsia="da-DK"/>
        </w:rPr>
      </w:pPr>
      <w:hyperlink w:anchor="_Toc405359547" w:history="1">
        <w:r w:rsidR="007E0A9D" w:rsidRPr="00F74EA2">
          <w:rPr>
            <w:rStyle w:val="Hyperlink"/>
            <w:noProof/>
            <w:lang w:val="en-GB"/>
          </w:rPr>
          <w:t>3.2.2.1</w:t>
        </w:r>
        <w:r w:rsidR="007E0A9D">
          <w:rPr>
            <w:rFonts w:asciiTheme="minorHAnsi" w:eastAsiaTheme="minorEastAsia" w:hAnsiTheme="minorHAnsi" w:cstheme="minorBidi"/>
            <w:i w:val="0"/>
            <w:noProof/>
            <w:sz w:val="22"/>
            <w:szCs w:val="22"/>
            <w:lang w:val="da-DK" w:eastAsia="da-DK"/>
          </w:rPr>
          <w:tab/>
        </w:r>
        <w:r w:rsidR="007E0A9D" w:rsidRPr="00F74EA2">
          <w:rPr>
            <w:rStyle w:val="Hyperlink"/>
            <w:noProof/>
            <w:lang w:val="en-GB"/>
          </w:rPr>
          <w:t>Coexistence between WBB use within the same band</w:t>
        </w:r>
        <w:r w:rsidR="007E0A9D">
          <w:rPr>
            <w:noProof/>
            <w:webHidden/>
          </w:rPr>
          <w:tab/>
        </w:r>
        <w:r w:rsidR="007E0A9D">
          <w:rPr>
            <w:noProof/>
            <w:webHidden/>
          </w:rPr>
          <w:fldChar w:fldCharType="begin"/>
        </w:r>
        <w:r w:rsidR="007E0A9D">
          <w:rPr>
            <w:noProof/>
            <w:webHidden/>
          </w:rPr>
          <w:instrText xml:space="preserve"> PAGEREF _Toc405359547 \h </w:instrText>
        </w:r>
        <w:r w:rsidR="007E0A9D">
          <w:rPr>
            <w:noProof/>
            <w:webHidden/>
          </w:rPr>
        </w:r>
        <w:r w:rsidR="007E0A9D">
          <w:rPr>
            <w:noProof/>
            <w:webHidden/>
          </w:rPr>
          <w:fldChar w:fldCharType="separate"/>
        </w:r>
        <w:r w:rsidR="007E0A9D">
          <w:rPr>
            <w:noProof/>
            <w:webHidden/>
          </w:rPr>
          <w:t>9</w:t>
        </w:r>
        <w:r w:rsidR="007E0A9D">
          <w:rPr>
            <w:noProof/>
            <w:webHidden/>
          </w:rPr>
          <w:fldChar w:fldCharType="end"/>
        </w:r>
      </w:hyperlink>
    </w:p>
    <w:p w:rsidR="007E0A9D" w:rsidRDefault="00177DAC">
      <w:pPr>
        <w:pStyle w:val="TOC4"/>
        <w:rPr>
          <w:rFonts w:asciiTheme="minorHAnsi" w:eastAsiaTheme="minorEastAsia" w:hAnsiTheme="minorHAnsi" w:cstheme="minorBidi"/>
          <w:i w:val="0"/>
          <w:noProof/>
          <w:sz w:val="22"/>
          <w:szCs w:val="22"/>
          <w:lang w:val="da-DK" w:eastAsia="da-DK"/>
        </w:rPr>
      </w:pPr>
      <w:hyperlink w:anchor="_Toc405359548" w:history="1">
        <w:r w:rsidR="007E0A9D" w:rsidRPr="00F74EA2">
          <w:rPr>
            <w:rStyle w:val="Hyperlink"/>
            <w:noProof/>
            <w:lang w:val="en-GB"/>
          </w:rPr>
          <w:t>3.2.2.2</w:t>
        </w:r>
        <w:r w:rsidR="007E0A9D">
          <w:rPr>
            <w:rFonts w:asciiTheme="minorHAnsi" w:eastAsiaTheme="minorEastAsia" w:hAnsiTheme="minorHAnsi" w:cstheme="minorBidi"/>
            <w:i w:val="0"/>
            <w:noProof/>
            <w:sz w:val="22"/>
            <w:szCs w:val="22"/>
            <w:lang w:val="da-DK" w:eastAsia="da-DK"/>
          </w:rPr>
          <w:tab/>
        </w:r>
        <w:r w:rsidR="007E0A9D" w:rsidRPr="00F74EA2">
          <w:rPr>
            <w:rStyle w:val="Hyperlink"/>
            <w:noProof/>
            <w:lang w:val="en-GB"/>
          </w:rPr>
          <w:t>Coexistence between WBB and other applications/services in adjacent bands</w:t>
        </w:r>
        <w:r w:rsidR="007E0A9D">
          <w:rPr>
            <w:noProof/>
            <w:webHidden/>
          </w:rPr>
          <w:tab/>
        </w:r>
        <w:r w:rsidR="007E0A9D">
          <w:rPr>
            <w:noProof/>
            <w:webHidden/>
          </w:rPr>
          <w:fldChar w:fldCharType="begin"/>
        </w:r>
        <w:r w:rsidR="007E0A9D">
          <w:rPr>
            <w:noProof/>
            <w:webHidden/>
          </w:rPr>
          <w:instrText xml:space="preserve"> PAGEREF _Toc405359548 \h </w:instrText>
        </w:r>
        <w:r w:rsidR="007E0A9D">
          <w:rPr>
            <w:noProof/>
            <w:webHidden/>
          </w:rPr>
        </w:r>
        <w:r w:rsidR="007E0A9D">
          <w:rPr>
            <w:noProof/>
            <w:webHidden/>
          </w:rPr>
          <w:fldChar w:fldCharType="separate"/>
        </w:r>
        <w:r w:rsidR="007E0A9D">
          <w:rPr>
            <w:noProof/>
            <w:webHidden/>
          </w:rPr>
          <w:t>9</w:t>
        </w:r>
        <w:r w:rsidR="007E0A9D">
          <w:rPr>
            <w:noProof/>
            <w:webHidden/>
          </w:rPr>
          <w:fldChar w:fldCharType="end"/>
        </w:r>
      </w:hyperlink>
    </w:p>
    <w:p w:rsidR="007E0A9D" w:rsidRDefault="00177DAC">
      <w:pPr>
        <w:pStyle w:val="TOC3"/>
        <w:rPr>
          <w:rFonts w:asciiTheme="minorHAnsi" w:eastAsiaTheme="minorEastAsia" w:hAnsiTheme="minorHAnsi" w:cstheme="minorBidi"/>
          <w:noProof/>
          <w:sz w:val="22"/>
          <w:szCs w:val="22"/>
          <w:lang w:val="da-DK" w:eastAsia="da-DK"/>
        </w:rPr>
      </w:pPr>
      <w:hyperlink w:anchor="_Toc405359549" w:history="1">
        <w:r w:rsidR="007E0A9D" w:rsidRPr="00F74EA2">
          <w:rPr>
            <w:rStyle w:val="Hyperlink"/>
            <w:noProof/>
            <w:lang w:val="en-GB"/>
          </w:rPr>
          <w:t>3.2.3</w:t>
        </w:r>
        <w:r w:rsidR="007E0A9D">
          <w:rPr>
            <w:rFonts w:asciiTheme="minorHAnsi" w:eastAsiaTheme="minorEastAsia" w:hAnsiTheme="minorHAnsi" w:cstheme="minorBidi"/>
            <w:noProof/>
            <w:sz w:val="22"/>
            <w:szCs w:val="22"/>
            <w:lang w:val="da-DK" w:eastAsia="da-DK"/>
          </w:rPr>
          <w:tab/>
        </w:r>
        <w:r w:rsidR="007E0A9D" w:rsidRPr="00F74EA2">
          <w:rPr>
            <w:rStyle w:val="Hyperlink"/>
            <w:noProof/>
            <w:lang w:val="en-GB"/>
          </w:rPr>
          <w:t>Coexistence between WBB and other incumbent applications/services in the band</w:t>
        </w:r>
        <w:r w:rsidR="007E0A9D">
          <w:rPr>
            <w:noProof/>
            <w:webHidden/>
          </w:rPr>
          <w:tab/>
        </w:r>
        <w:r w:rsidR="007E0A9D">
          <w:rPr>
            <w:noProof/>
            <w:webHidden/>
          </w:rPr>
          <w:fldChar w:fldCharType="begin"/>
        </w:r>
        <w:r w:rsidR="007E0A9D">
          <w:rPr>
            <w:noProof/>
            <w:webHidden/>
          </w:rPr>
          <w:instrText xml:space="preserve"> PAGEREF _Toc405359549 \h </w:instrText>
        </w:r>
        <w:r w:rsidR="007E0A9D">
          <w:rPr>
            <w:noProof/>
            <w:webHidden/>
          </w:rPr>
        </w:r>
        <w:r w:rsidR="007E0A9D">
          <w:rPr>
            <w:noProof/>
            <w:webHidden/>
          </w:rPr>
          <w:fldChar w:fldCharType="separate"/>
        </w:r>
        <w:r w:rsidR="007E0A9D">
          <w:rPr>
            <w:noProof/>
            <w:webHidden/>
          </w:rPr>
          <w:t>11</w:t>
        </w:r>
        <w:r w:rsidR="007E0A9D">
          <w:rPr>
            <w:noProof/>
            <w:webHidden/>
          </w:rPr>
          <w:fldChar w:fldCharType="end"/>
        </w:r>
      </w:hyperlink>
    </w:p>
    <w:p w:rsidR="007E0A9D" w:rsidRDefault="00177DAC">
      <w:pPr>
        <w:pStyle w:val="TOC3"/>
        <w:rPr>
          <w:rFonts w:asciiTheme="minorHAnsi" w:eastAsiaTheme="minorEastAsia" w:hAnsiTheme="minorHAnsi" w:cstheme="minorBidi"/>
          <w:noProof/>
          <w:sz w:val="22"/>
          <w:szCs w:val="22"/>
          <w:lang w:val="da-DK" w:eastAsia="da-DK"/>
        </w:rPr>
      </w:pPr>
      <w:hyperlink w:anchor="_Toc405359550" w:history="1">
        <w:r w:rsidR="007E0A9D" w:rsidRPr="00F74EA2">
          <w:rPr>
            <w:rStyle w:val="Hyperlink"/>
            <w:noProof/>
            <w:lang w:val="en-GB"/>
          </w:rPr>
          <w:t>3.2.4</w:t>
        </w:r>
        <w:r w:rsidR="007E0A9D">
          <w:rPr>
            <w:rFonts w:asciiTheme="minorHAnsi" w:eastAsiaTheme="minorEastAsia" w:hAnsiTheme="minorHAnsi" w:cstheme="minorBidi"/>
            <w:noProof/>
            <w:sz w:val="22"/>
            <w:szCs w:val="22"/>
            <w:lang w:val="da-DK" w:eastAsia="da-DK"/>
          </w:rPr>
          <w:tab/>
        </w:r>
        <w:r w:rsidR="007E0A9D" w:rsidRPr="00F74EA2">
          <w:rPr>
            <w:rStyle w:val="Hyperlink"/>
            <w:noProof/>
            <w:lang w:val="en-GB"/>
          </w:rPr>
          <w:t>Cross-border coordination, including at EU outer borders</w:t>
        </w:r>
        <w:r w:rsidR="007E0A9D">
          <w:rPr>
            <w:noProof/>
            <w:webHidden/>
          </w:rPr>
          <w:tab/>
        </w:r>
        <w:r w:rsidR="007E0A9D">
          <w:rPr>
            <w:noProof/>
            <w:webHidden/>
          </w:rPr>
          <w:fldChar w:fldCharType="begin"/>
        </w:r>
        <w:r w:rsidR="007E0A9D">
          <w:rPr>
            <w:noProof/>
            <w:webHidden/>
          </w:rPr>
          <w:instrText xml:space="preserve"> PAGEREF _Toc405359550 \h </w:instrText>
        </w:r>
        <w:r w:rsidR="007E0A9D">
          <w:rPr>
            <w:noProof/>
            <w:webHidden/>
          </w:rPr>
        </w:r>
        <w:r w:rsidR="007E0A9D">
          <w:rPr>
            <w:noProof/>
            <w:webHidden/>
          </w:rPr>
          <w:fldChar w:fldCharType="separate"/>
        </w:r>
        <w:r w:rsidR="007E0A9D">
          <w:rPr>
            <w:noProof/>
            <w:webHidden/>
          </w:rPr>
          <w:t>12</w:t>
        </w:r>
        <w:r w:rsidR="007E0A9D">
          <w:rPr>
            <w:noProof/>
            <w:webHidden/>
          </w:rPr>
          <w:fldChar w:fldCharType="end"/>
        </w:r>
      </w:hyperlink>
    </w:p>
    <w:p w:rsidR="007E0A9D" w:rsidRDefault="00177DAC">
      <w:pPr>
        <w:pStyle w:val="TOC1"/>
        <w:rPr>
          <w:rFonts w:asciiTheme="minorHAnsi" w:eastAsiaTheme="minorEastAsia" w:hAnsiTheme="minorHAnsi" w:cstheme="minorBidi"/>
          <w:b w:val="0"/>
          <w:caps w:val="0"/>
          <w:noProof/>
          <w:sz w:val="22"/>
          <w:szCs w:val="22"/>
          <w:lang w:val="da-DK" w:eastAsia="da-DK"/>
        </w:rPr>
      </w:pPr>
      <w:hyperlink w:anchor="_Toc405359551" w:history="1">
        <w:r w:rsidR="007E0A9D" w:rsidRPr="00F74EA2">
          <w:rPr>
            <w:rStyle w:val="Hyperlink"/>
            <w:noProof/>
          </w:rPr>
          <w:t>4</w:t>
        </w:r>
        <w:r w:rsidR="007E0A9D">
          <w:rPr>
            <w:rFonts w:asciiTheme="minorHAnsi" w:eastAsiaTheme="minorEastAsia" w:hAnsiTheme="minorHAnsi" w:cstheme="minorBidi"/>
            <w:b w:val="0"/>
            <w:caps w:val="0"/>
            <w:noProof/>
            <w:sz w:val="22"/>
            <w:szCs w:val="22"/>
            <w:lang w:val="da-DK" w:eastAsia="da-DK"/>
          </w:rPr>
          <w:tab/>
        </w:r>
        <w:r w:rsidR="007E0A9D" w:rsidRPr="00F74EA2">
          <w:rPr>
            <w:rStyle w:val="Hyperlink"/>
            <w:noProof/>
          </w:rPr>
          <w:t>Conclusions</w:t>
        </w:r>
        <w:r w:rsidR="007E0A9D">
          <w:rPr>
            <w:noProof/>
            <w:webHidden/>
          </w:rPr>
          <w:tab/>
        </w:r>
        <w:r w:rsidR="007E0A9D">
          <w:rPr>
            <w:noProof/>
            <w:webHidden/>
          </w:rPr>
          <w:fldChar w:fldCharType="begin"/>
        </w:r>
        <w:r w:rsidR="007E0A9D">
          <w:rPr>
            <w:noProof/>
            <w:webHidden/>
          </w:rPr>
          <w:instrText xml:space="preserve"> PAGEREF _Toc405359551 \h </w:instrText>
        </w:r>
        <w:r w:rsidR="007E0A9D">
          <w:rPr>
            <w:noProof/>
            <w:webHidden/>
          </w:rPr>
        </w:r>
        <w:r w:rsidR="007E0A9D">
          <w:rPr>
            <w:noProof/>
            <w:webHidden/>
          </w:rPr>
          <w:fldChar w:fldCharType="separate"/>
        </w:r>
        <w:r w:rsidR="007E0A9D">
          <w:rPr>
            <w:noProof/>
            <w:webHidden/>
          </w:rPr>
          <w:t>14</w:t>
        </w:r>
        <w:r w:rsidR="007E0A9D">
          <w:rPr>
            <w:noProof/>
            <w:webHidden/>
          </w:rPr>
          <w:fldChar w:fldCharType="end"/>
        </w:r>
      </w:hyperlink>
    </w:p>
    <w:p w:rsidR="007E0A9D" w:rsidRDefault="00177DAC">
      <w:pPr>
        <w:pStyle w:val="TOC1"/>
        <w:rPr>
          <w:rFonts w:asciiTheme="minorHAnsi" w:eastAsiaTheme="minorEastAsia" w:hAnsiTheme="minorHAnsi" w:cstheme="minorBidi"/>
          <w:b w:val="0"/>
          <w:caps w:val="0"/>
          <w:noProof/>
          <w:sz w:val="22"/>
          <w:szCs w:val="22"/>
          <w:lang w:val="da-DK" w:eastAsia="da-DK"/>
        </w:rPr>
      </w:pPr>
      <w:hyperlink w:anchor="_Toc405359552" w:history="1">
        <w:r w:rsidR="007E0A9D" w:rsidRPr="00F74EA2">
          <w:rPr>
            <w:rStyle w:val="Hyperlink"/>
            <w:noProof/>
          </w:rPr>
          <w:t>ANNEX 1: cept mandate</w:t>
        </w:r>
        <w:r w:rsidR="007E0A9D">
          <w:rPr>
            <w:noProof/>
            <w:webHidden/>
          </w:rPr>
          <w:tab/>
        </w:r>
        <w:r w:rsidR="007E0A9D">
          <w:rPr>
            <w:noProof/>
            <w:webHidden/>
          </w:rPr>
          <w:fldChar w:fldCharType="begin"/>
        </w:r>
        <w:r w:rsidR="007E0A9D">
          <w:rPr>
            <w:noProof/>
            <w:webHidden/>
          </w:rPr>
          <w:instrText xml:space="preserve"> PAGEREF _Toc405359552 \h </w:instrText>
        </w:r>
        <w:r w:rsidR="007E0A9D">
          <w:rPr>
            <w:noProof/>
            <w:webHidden/>
          </w:rPr>
        </w:r>
        <w:r w:rsidR="007E0A9D">
          <w:rPr>
            <w:noProof/>
            <w:webHidden/>
          </w:rPr>
          <w:fldChar w:fldCharType="separate"/>
        </w:r>
        <w:r w:rsidR="007E0A9D">
          <w:rPr>
            <w:noProof/>
            <w:webHidden/>
          </w:rPr>
          <w:t>15</w:t>
        </w:r>
        <w:r w:rsidR="007E0A9D">
          <w:rPr>
            <w:noProof/>
            <w:webHidden/>
          </w:rPr>
          <w:fldChar w:fldCharType="end"/>
        </w:r>
      </w:hyperlink>
    </w:p>
    <w:p w:rsidR="007E0A9D" w:rsidRDefault="00177DAC">
      <w:pPr>
        <w:pStyle w:val="TOC1"/>
        <w:rPr>
          <w:rFonts w:asciiTheme="minorHAnsi" w:eastAsiaTheme="minorEastAsia" w:hAnsiTheme="minorHAnsi" w:cstheme="minorBidi"/>
          <w:b w:val="0"/>
          <w:caps w:val="0"/>
          <w:noProof/>
          <w:sz w:val="22"/>
          <w:szCs w:val="22"/>
          <w:lang w:val="da-DK" w:eastAsia="da-DK"/>
        </w:rPr>
      </w:pPr>
      <w:hyperlink w:anchor="_Toc405359553" w:history="1">
        <w:r w:rsidR="007E0A9D" w:rsidRPr="00F74EA2">
          <w:rPr>
            <w:rStyle w:val="Hyperlink"/>
            <w:noProof/>
          </w:rPr>
          <w:t>ANNEX 2: Technical Annex</w:t>
        </w:r>
        <w:r w:rsidR="007E0A9D">
          <w:rPr>
            <w:noProof/>
            <w:webHidden/>
          </w:rPr>
          <w:tab/>
        </w:r>
        <w:r w:rsidR="007E0A9D">
          <w:rPr>
            <w:noProof/>
            <w:webHidden/>
          </w:rPr>
          <w:fldChar w:fldCharType="begin"/>
        </w:r>
        <w:r w:rsidR="007E0A9D">
          <w:rPr>
            <w:noProof/>
            <w:webHidden/>
          </w:rPr>
          <w:instrText xml:space="preserve"> PAGEREF _Toc405359553 \h </w:instrText>
        </w:r>
        <w:r w:rsidR="007E0A9D">
          <w:rPr>
            <w:noProof/>
            <w:webHidden/>
          </w:rPr>
        </w:r>
        <w:r w:rsidR="007E0A9D">
          <w:rPr>
            <w:noProof/>
            <w:webHidden/>
          </w:rPr>
          <w:fldChar w:fldCharType="separate"/>
        </w:r>
        <w:r w:rsidR="007E0A9D">
          <w:rPr>
            <w:noProof/>
            <w:webHidden/>
          </w:rPr>
          <w:t>20</w:t>
        </w:r>
        <w:r w:rsidR="007E0A9D">
          <w:rPr>
            <w:noProof/>
            <w:webHidden/>
          </w:rPr>
          <w:fldChar w:fldCharType="end"/>
        </w:r>
      </w:hyperlink>
    </w:p>
    <w:p w:rsidR="007E0A9D" w:rsidRDefault="00177DAC">
      <w:pPr>
        <w:pStyle w:val="TOC1"/>
        <w:rPr>
          <w:rFonts w:asciiTheme="minorHAnsi" w:eastAsiaTheme="minorEastAsia" w:hAnsiTheme="minorHAnsi" w:cstheme="minorBidi"/>
          <w:b w:val="0"/>
          <w:caps w:val="0"/>
          <w:noProof/>
          <w:sz w:val="22"/>
          <w:szCs w:val="22"/>
          <w:lang w:val="da-DK" w:eastAsia="da-DK"/>
        </w:rPr>
      </w:pPr>
      <w:hyperlink w:anchor="_Toc405359554" w:history="1">
        <w:r w:rsidR="007E0A9D" w:rsidRPr="00F74EA2">
          <w:rPr>
            <w:rStyle w:val="Hyperlink"/>
            <w:noProof/>
          </w:rPr>
          <w:t>ANNEX 3: List of reference</w:t>
        </w:r>
        <w:r w:rsidR="007E0A9D">
          <w:rPr>
            <w:noProof/>
            <w:webHidden/>
          </w:rPr>
          <w:tab/>
        </w:r>
        <w:r w:rsidR="007E0A9D">
          <w:rPr>
            <w:noProof/>
            <w:webHidden/>
          </w:rPr>
          <w:fldChar w:fldCharType="begin"/>
        </w:r>
        <w:r w:rsidR="007E0A9D">
          <w:rPr>
            <w:noProof/>
            <w:webHidden/>
          </w:rPr>
          <w:instrText xml:space="preserve"> PAGEREF _Toc405359554 \h </w:instrText>
        </w:r>
        <w:r w:rsidR="007E0A9D">
          <w:rPr>
            <w:noProof/>
            <w:webHidden/>
          </w:rPr>
        </w:r>
        <w:r w:rsidR="007E0A9D">
          <w:rPr>
            <w:noProof/>
            <w:webHidden/>
          </w:rPr>
          <w:fldChar w:fldCharType="separate"/>
        </w:r>
        <w:r w:rsidR="007E0A9D">
          <w:rPr>
            <w:noProof/>
            <w:webHidden/>
          </w:rPr>
          <w:t>23</w:t>
        </w:r>
        <w:r w:rsidR="007E0A9D">
          <w:rPr>
            <w:noProof/>
            <w:webHidden/>
          </w:rPr>
          <w:fldChar w:fldCharType="end"/>
        </w:r>
      </w:hyperlink>
    </w:p>
    <w:p w:rsidR="00C41A81" w:rsidRPr="00317DE7" w:rsidRDefault="00C41A81" w:rsidP="00AB46DF">
      <w:pPr>
        <w:rPr>
          <w:lang w:val="en-GB"/>
        </w:rPr>
      </w:pPr>
      <w:r w:rsidRPr="00317DE7">
        <w:rPr>
          <w:caps/>
          <w:lang w:val="en-GB"/>
        </w:rPr>
        <w:fldChar w:fldCharType="end"/>
      </w:r>
    </w:p>
    <w:p w:rsidR="00C41A81" w:rsidRPr="00317DE7" w:rsidRDefault="00C41A81" w:rsidP="00AB46DF">
      <w:pPr>
        <w:rPr>
          <w:lang w:val="en-GB"/>
        </w:rPr>
      </w:pPr>
      <w:r w:rsidRPr="00317DE7">
        <w:rPr>
          <w:lang w:val="en-GB"/>
        </w:rPr>
        <w:br w:type="page"/>
      </w:r>
    </w:p>
    <w:p w:rsidR="00C41A81" w:rsidRPr="00317DE7" w:rsidRDefault="00C41A81" w:rsidP="00AB46DF">
      <w:pPr>
        <w:rPr>
          <w:b/>
          <w:color w:val="FFFFFF"/>
          <w:szCs w:val="20"/>
          <w:lang w:val="en-GB"/>
        </w:rPr>
      </w:pPr>
    </w:p>
    <w:p w:rsidR="00C41A81" w:rsidRPr="00317DE7" w:rsidRDefault="00C41A81" w:rsidP="00AB46DF">
      <w:pPr>
        <w:rPr>
          <w:b/>
          <w:color w:val="FFFFFF"/>
          <w:szCs w:val="20"/>
          <w:lang w:val="en-GB"/>
        </w:rPr>
      </w:pPr>
    </w:p>
    <w:p w:rsidR="00C41A81" w:rsidRPr="00317DE7" w:rsidRDefault="00A569ED" w:rsidP="00AB46DF">
      <w:pPr>
        <w:rPr>
          <w:b/>
          <w:color w:val="FFFFFF"/>
          <w:szCs w:val="20"/>
          <w:lang w:val="en-GB"/>
        </w:rPr>
      </w:pPr>
      <w:r w:rsidRPr="00317DE7">
        <w:rPr>
          <w:noProof/>
          <w:lang w:val="da-DK" w:eastAsia="da-DK"/>
        </w:rPr>
        <mc:AlternateContent>
          <mc:Choice Requires="wps">
            <w:drawing>
              <wp:anchor distT="0" distB="0" distL="114300" distR="114300" simplePos="0" relativeHeight="251657728" behindDoc="1" locked="0" layoutInCell="1" allowOverlap="1" wp14:anchorId="6B46CE04" wp14:editId="165A5F79">
                <wp:simplePos x="0" y="0"/>
                <wp:positionH relativeFrom="page">
                  <wp:align>center</wp:align>
                </wp:positionH>
                <wp:positionV relativeFrom="page">
                  <wp:posOffset>900430</wp:posOffset>
                </wp:positionV>
                <wp:extent cx="7560310" cy="720090"/>
                <wp:effectExtent l="0" t="0" r="2540" b="381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CR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TjH&#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p3KwkX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C41A81" w:rsidRPr="00317DE7">
        <w:rPr>
          <w:b/>
          <w:color w:val="FFFFFF"/>
          <w:szCs w:val="20"/>
          <w:lang w:val="en-GB"/>
        </w:rPr>
        <w:t>LIST OF ABBREVIATIONS</w:t>
      </w:r>
    </w:p>
    <w:p w:rsidR="00C41A81" w:rsidRPr="00317DE7" w:rsidRDefault="00C41A81" w:rsidP="00AB46DF">
      <w:pPr>
        <w:rPr>
          <w:b/>
          <w:color w:val="FFFFFF"/>
          <w:szCs w:val="20"/>
          <w:lang w:val="en-GB"/>
        </w:rPr>
      </w:pPr>
    </w:p>
    <w:p w:rsidR="00C41A81" w:rsidRPr="00317DE7" w:rsidRDefault="00C41A81" w:rsidP="00AB46DF">
      <w:pPr>
        <w:rPr>
          <w:b/>
          <w:color w:val="FFFFFF"/>
          <w:szCs w:val="20"/>
          <w:lang w:val="en-GB"/>
        </w:rPr>
      </w:pPr>
    </w:p>
    <w:p w:rsidR="00C41A81" w:rsidRPr="00317DE7" w:rsidRDefault="00C41A81" w:rsidP="00AB46DF">
      <w:pPr>
        <w:rPr>
          <w:lang w:val="en-GB"/>
        </w:rPr>
      </w:pPr>
    </w:p>
    <w:p w:rsidR="00C41A81" w:rsidRPr="00317DE7" w:rsidRDefault="00C41A81" w:rsidP="00AB46DF">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C41A81" w:rsidRPr="00317DE7">
        <w:trPr>
          <w:trHeight w:val="76"/>
        </w:trPr>
        <w:tc>
          <w:tcPr>
            <w:tcW w:w="2088" w:type="dxa"/>
          </w:tcPr>
          <w:p w:rsidR="00C41A81" w:rsidRPr="00317DE7" w:rsidRDefault="00C41A81" w:rsidP="00AB46DF">
            <w:pPr>
              <w:spacing w:line="288" w:lineRule="auto"/>
              <w:rPr>
                <w:b/>
                <w:color w:val="D2232A"/>
                <w:lang w:val="en-GB"/>
              </w:rPr>
            </w:pPr>
            <w:r w:rsidRPr="00317DE7">
              <w:rPr>
                <w:b/>
                <w:color w:val="D2232A"/>
                <w:lang w:val="en-GB"/>
              </w:rPr>
              <w:t>Abbreviation</w:t>
            </w:r>
          </w:p>
        </w:tc>
        <w:tc>
          <w:tcPr>
            <w:tcW w:w="7767" w:type="dxa"/>
          </w:tcPr>
          <w:p w:rsidR="00C41A81" w:rsidRPr="00317DE7" w:rsidRDefault="00C41A81" w:rsidP="006D5BB8">
            <w:pPr>
              <w:spacing w:line="288" w:lineRule="auto"/>
              <w:rPr>
                <w:b/>
                <w:color w:val="D2232A"/>
                <w:lang w:val="en-GB"/>
              </w:rPr>
            </w:pPr>
            <w:r w:rsidRPr="00317DE7">
              <w:rPr>
                <w:b/>
                <w:color w:val="D2232A"/>
                <w:lang w:val="en-GB"/>
              </w:rPr>
              <w:t>Explanation</w:t>
            </w:r>
          </w:p>
        </w:tc>
      </w:tr>
      <w:tr w:rsidR="00C41A81" w:rsidRPr="00317DE7">
        <w:tc>
          <w:tcPr>
            <w:tcW w:w="2088" w:type="dxa"/>
          </w:tcPr>
          <w:p w:rsidR="00C41A81" w:rsidRPr="00317DE7" w:rsidRDefault="00C41A81" w:rsidP="00AB46DF">
            <w:pPr>
              <w:spacing w:line="288" w:lineRule="auto"/>
              <w:rPr>
                <w:b/>
                <w:lang w:val="en-GB"/>
              </w:rPr>
            </w:pPr>
            <w:r w:rsidRPr="00317DE7">
              <w:rPr>
                <w:b/>
                <w:lang w:val="en-GB"/>
              </w:rPr>
              <w:t>3GPP</w:t>
            </w:r>
          </w:p>
        </w:tc>
        <w:tc>
          <w:tcPr>
            <w:tcW w:w="7767" w:type="dxa"/>
          </w:tcPr>
          <w:p w:rsidR="00C41A81" w:rsidRPr="00317DE7" w:rsidRDefault="00C41A81" w:rsidP="00AB46DF">
            <w:pPr>
              <w:spacing w:line="288" w:lineRule="auto"/>
              <w:rPr>
                <w:szCs w:val="20"/>
                <w:lang w:val="en-GB"/>
              </w:rPr>
            </w:pPr>
            <w:r w:rsidRPr="00317DE7">
              <w:rPr>
                <w:szCs w:val="20"/>
                <w:lang w:val="en-GB"/>
              </w:rPr>
              <w:t>3G Partnership Project</w:t>
            </w:r>
          </w:p>
        </w:tc>
      </w:tr>
      <w:tr w:rsidR="00C41A81" w:rsidRPr="00317DE7">
        <w:tc>
          <w:tcPr>
            <w:tcW w:w="2088" w:type="dxa"/>
          </w:tcPr>
          <w:p w:rsidR="00C41A81" w:rsidRPr="00317DE7" w:rsidRDefault="00C41A81" w:rsidP="00AB46DF">
            <w:pPr>
              <w:spacing w:line="288" w:lineRule="auto"/>
              <w:rPr>
                <w:b/>
                <w:lang w:val="en-GB"/>
              </w:rPr>
            </w:pPr>
            <w:r w:rsidRPr="00317DE7">
              <w:rPr>
                <w:b/>
                <w:lang w:val="en-GB"/>
              </w:rPr>
              <w:t>BEM</w:t>
            </w:r>
          </w:p>
        </w:tc>
        <w:tc>
          <w:tcPr>
            <w:tcW w:w="7767" w:type="dxa"/>
          </w:tcPr>
          <w:p w:rsidR="00C41A81" w:rsidRPr="00317DE7" w:rsidRDefault="00C41A81" w:rsidP="00AB46DF">
            <w:pPr>
              <w:spacing w:line="288" w:lineRule="auto"/>
              <w:rPr>
                <w:szCs w:val="20"/>
                <w:lang w:val="en-GB"/>
              </w:rPr>
            </w:pPr>
            <w:r w:rsidRPr="00317DE7">
              <w:rPr>
                <w:szCs w:val="20"/>
                <w:lang w:val="en-GB"/>
              </w:rPr>
              <w:t>Block Edge Mask</w:t>
            </w:r>
          </w:p>
        </w:tc>
      </w:tr>
      <w:tr w:rsidR="00C41A81" w:rsidRPr="00317DE7" w:rsidTr="005708C0">
        <w:trPr>
          <w:trHeight w:val="124"/>
        </w:trPr>
        <w:tc>
          <w:tcPr>
            <w:tcW w:w="2088" w:type="dxa"/>
          </w:tcPr>
          <w:p w:rsidR="00C41A81" w:rsidRPr="00317DE7" w:rsidRDefault="00C41A81" w:rsidP="00A779E4">
            <w:pPr>
              <w:spacing w:line="288" w:lineRule="auto"/>
              <w:rPr>
                <w:b/>
                <w:lang w:val="en-GB"/>
              </w:rPr>
            </w:pPr>
            <w:r w:rsidRPr="00317DE7">
              <w:rPr>
                <w:b/>
                <w:lang w:val="en-GB"/>
              </w:rPr>
              <w:t>CEPT</w:t>
            </w:r>
          </w:p>
        </w:tc>
        <w:tc>
          <w:tcPr>
            <w:tcW w:w="7767" w:type="dxa"/>
          </w:tcPr>
          <w:p w:rsidR="00C41A81" w:rsidRPr="00317DE7" w:rsidRDefault="00C41A81" w:rsidP="00A779E4">
            <w:pPr>
              <w:spacing w:line="288" w:lineRule="auto"/>
              <w:rPr>
                <w:szCs w:val="20"/>
                <w:lang w:val="en-GB"/>
              </w:rPr>
            </w:pPr>
            <w:r w:rsidRPr="00317DE7">
              <w:rPr>
                <w:szCs w:val="20"/>
                <w:lang w:val="en-GB"/>
              </w:rPr>
              <w:t>European Conference of Postal and Telecommunications Administrations</w:t>
            </w:r>
          </w:p>
        </w:tc>
      </w:tr>
      <w:tr w:rsidR="00C41A81" w:rsidRPr="00317DE7" w:rsidTr="002358A9">
        <w:trPr>
          <w:trHeight w:val="124"/>
        </w:trPr>
        <w:tc>
          <w:tcPr>
            <w:tcW w:w="2088" w:type="dxa"/>
          </w:tcPr>
          <w:p w:rsidR="00C41A81" w:rsidRPr="00317DE7" w:rsidRDefault="00C41A81" w:rsidP="00A779E4">
            <w:pPr>
              <w:spacing w:line="288" w:lineRule="auto"/>
              <w:rPr>
                <w:b/>
                <w:lang w:val="en-GB"/>
              </w:rPr>
            </w:pPr>
            <w:r w:rsidRPr="00317DE7">
              <w:rPr>
                <w:b/>
                <w:lang w:val="en-GB"/>
              </w:rPr>
              <w:t>EC</w:t>
            </w:r>
          </w:p>
        </w:tc>
        <w:tc>
          <w:tcPr>
            <w:tcW w:w="7767" w:type="dxa"/>
          </w:tcPr>
          <w:p w:rsidR="00C41A81" w:rsidRPr="00317DE7" w:rsidRDefault="00C41A81" w:rsidP="00A779E4">
            <w:pPr>
              <w:spacing w:line="288" w:lineRule="auto"/>
              <w:rPr>
                <w:szCs w:val="20"/>
                <w:lang w:val="en-GB"/>
              </w:rPr>
            </w:pPr>
            <w:r w:rsidRPr="00317DE7">
              <w:rPr>
                <w:szCs w:val="20"/>
                <w:lang w:val="en-GB"/>
              </w:rPr>
              <w:t>European Commission</w:t>
            </w:r>
          </w:p>
        </w:tc>
      </w:tr>
      <w:tr w:rsidR="00C41A81" w:rsidRPr="00317DE7">
        <w:tc>
          <w:tcPr>
            <w:tcW w:w="2088" w:type="dxa"/>
          </w:tcPr>
          <w:p w:rsidR="00C41A81" w:rsidRPr="00317DE7" w:rsidRDefault="00C41A81" w:rsidP="00A779E4">
            <w:pPr>
              <w:spacing w:line="288" w:lineRule="auto"/>
              <w:rPr>
                <w:b/>
                <w:lang w:val="en-GB"/>
              </w:rPr>
            </w:pPr>
            <w:r w:rsidRPr="00317DE7">
              <w:rPr>
                <w:b/>
                <w:lang w:val="en-GB"/>
              </w:rPr>
              <w:t>ECC</w:t>
            </w:r>
          </w:p>
        </w:tc>
        <w:tc>
          <w:tcPr>
            <w:tcW w:w="7767" w:type="dxa"/>
          </w:tcPr>
          <w:p w:rsidR="00C41A81" w:rsidRPr="00317DE7" w:rsidRDefault="00C41A81" w:rsidP="00A779E4">
            <w:pPr>
              <w:pStyle w:val="ECCParagraph"/>
              <w:spacing w:after="0" w:line="288" w:lineRule="auto"/>
              <w:jc w:val="left"/>
              <w:rPr>
                <w:szCs w:val="20"/>
              </w:rPr>
            </w:pPr>
            <w:r w:rsidRPr="00317DE7">
              <w:t>Electronic Communications Committee</w:t>
            </w:r>
          </w:p>
        </w:tc>
      </w:tr>
      <w:tr w:rsidR="00C41A81" w:rsidRPr="00317DE7">
        <w:tc>
          <w:tcPr>
            <w:tcW w:w="2088" w:type="dxa"/>
          </w:tcPr>
          <w:p w:rsidR="00C41A81" w:rsidRPr="00317DE7" w:rsidRDefault="00C41A81" w:rsidP="00A779E4">
            <w:pPr>
              <w:spacing w:line="288" w:lineRule="auto"/>
              <w:rPr>
                <w:b/>
                <w:lang w:val="en-GB"/>
              </w:rPr>
            </w:pPr>
            <w:r w:rsidRPr="00317DE7">
              <w:rPr>
                <w:b/>
                <w:lang w:val="en-GB"/>
              </w:rPr>
              <w:t>ECN</w:t>
            </w:r>
          </w:p>
        </w:tc>
        <w:tc>
          <w:tcPr>
            <w:tcW w:w="7767" w:type="dxa"/>
          </w:tcPr>
          <w:p w:rsidR="00C41A81" w:rsidRPr="00317DE7" w:rsidRDefault="00C41A81" w:rsidP="00A779E4">
            <w:pPr>
              <w:pStyle w:val="ECCParagraph"/>
              <w:spacing w:after="0" w:line="288" w:lineRule="auto"/>
              <w:jc w:val="left"/>
            </w:pPr>
            <w:r w:rsidRPr="00317DE7">
              <w:t>Electronic Communications Network</w:t>
            </w:r>
          </w:p>
        </w:tc>
      </w:tr>
      <w:tr w:rsidR="00C41A81" w:rsidRPr="00317DE7">
        <w:tc>
          <w:tcPr>
            <w:tcW w:w="2088" w:type="dxa"/>
          </w:tcPr>
          <w:p w:rsidR="00C41A81" w:rsidRPr="00317DE7" w:rsidRDefault="00C41A81" w:rsidP="00A779E4">
            <w:pPr>
              <w:spacing w:line="288" w:lineRule="auto"/>
              <w:rPr>
                <w:b/>
                <w:lang w:val="en-GB"/>
              </w:rPr>
            </w:pPr>
            <w:r w:rsidRPr="00317DE7">
              <w:rPr>
                <w:b/>
                <w:lang w:val="en-GB"/>
              </w:rPr>
              <w:t>ECS</w:t>
            </w:r>
          </w:p>
        </w:tc>
        <w:tc>
          <w:tcPr>
            <w:tcW w:w="7767" w:type="dxa"/>
          </w:tcPr>
          <w:p w:rsidR="00C41A81" w:rsidRPr="00317DE7" w:rsidRDefault="00C41A81" w:rsidP="00A779E4">
            <w:pPr>
              <w:pStyle w:val="ECCParagraph"/>
              <w:spacing w:after="0" w:line="288" w:lineRule="auto"/>
              <w:jc w:val="left"/>
            </w:pPr>
            <w:r w:rsidRPr="00317DE7">
              <w:t>Electronic Communication Services</w:t>
            </w:r>
          </w:p>
        </w:tc>
      </w:tr>
      <w:tr w:rsidR="00C41A81" w:rsidRPr="00317DE7">
        <w:tc>
          <w:tcPr>
            <w:tcW w:w="2088" w:type="dxa"/>
          </w:tcPr>
          <w:p w:rsidR="00C41A81" w:rsidRPr="00317DE7" w:rsidRDefault="00C41A81" w:rsidP="00A779E4">
            <w:pPr>
              <w:spacing w:line="288" w:lineRule="auto"/>
              <w:rPr>
                <w:b/>
                <w:lang w:val="en-GB"/>
              </w:rPr>
            </w:pPr>
            <w:proofErr w:type="spellStart"/>
            <w:r w:rsidRPr="00317DE7">
              <w:rPr>
                <w:b/>
                <w:lang w:val="en-GB"/>
              </w:rPr>
              <w:t>e.i.r.p</w:t>
            </w:r>
            <w:proofErr w:type="spellEnd"/>
            <w:r w:rsidRPr="00317DE7">
              <w:rPr>
                <w:b/>
                <w:lang w:val="en-GB"/>
              </w:rPr>
              <w:t>.</w:t>
            </w:r>
          </w:p>
        </w:tc>
        <w:tc>
          <w:tcPr>
            <w:tcW w:w="7767" w:type="dxa"/>
          </w:tcPr>
          <w:p w:rsidR="00C41A81" w:rsidRPr="00317DE7" w:rsidRDefault="00C41A81" w:rsidP="00A779E4">
            <w:pPr>
              <w:pStyle w:val="ECCParagraph"/>
              <w:spacing w:after="0" w:line="288" w:lineRule="auto"/>
              <w:jc w:val="left"/>
            </w:pPr>
            <w:r w:rsidRPr="00317DE7">
              <w:t xml:space="preserve">effective </w:t>
            </w:r>
            <w:proofErr w:type="spellStart"/>
            <w:r w:rsidRPr="00317DE7">
              <w:t>isotropically</w:t>
            </w:r>
            <w:proofErr w:type="spellEnd"/>
            <w:r w:rsidRPr="00317DE7">
              <w:t xml:space="preserve"> radiated power</w:t>
            </w:r>
          </w:p>
        </w:tc>
      </w:tr>
      <w:tr w:rsidR="00C41A81" w:rsidRPr="00317DE7">
        <w:tc>
          <w:tcPr>
            <w:tcW w:w="2088" w:type="dxa"/>
          </w:tcPr>
          <w:p w:rsidR="00C41A81" w:rsidRPr="00317DE7" w:rsidRDefault="00C41A81" w:rsidP="00A779E4">
            <w:pPr>
              <w:spacing w:line="288" w:lineRule="auto"/>
              <w:rPr>
                <w:b/>
                <w:lang w:val="en-GB"/>
              </w:rPr>
            </w:pPr>
            <w:r w:rsidRPr="00317DE7">
              <w:rPr>
                <w:b/>
                <w:lang w:val="en-GB"/>
              </w:rPr>
              <w:t>ERC</w:t>
            </w:r>
          </w:p>
        </w:tc>
        <w:tc>
          <w:tcPr>
            <w:tcW w:w="7767" w:type="dxa"/>
          </w:tcPr>
          <w:p w:rsidR="00C41A81" w:rsidRPr="00317DE7" w:rsidRDefault="00C41A81" w:rsidP="00A779E4">
            <w:pPr>
              <w:pStyle w:val="ECCParagraph"/>
              <w:spacing w:after="0" w:line="288" w:lineRule="auto"/>
              <w:jc w:val="left"/>
            </w:pPr>
            <w:r w:rsidRPr="00317DE7">
              <w:t xml:space="preserve">European </w:t>
            </w:r>
            <w:proofErr w:type="spellStart"/>
            <w:r w:rsidRPr="00317DE7">
              <w:t>Radiocommunication</w:t>
            </w:r>
            <w:proofErr w:type="spellEnd"/>
            <w:r w:rsidRPr="00317DE7">
              <w:t xml:space="preserve"> </w:t>
            </w:r>
            <w:proofErr w:type="spellStart"/>
            <w:r w:rsidRPr="00317DE7">
              <w:t>Commitee</w:t>
            </w:r>
            <w:proofErr w:type="spellEnd"/>
          </w:p>
        </w:tc>
      </w:tr>
      <w:tr w:rsidR="00C41A81" w:rsidRPr="00317DE7">
        <w:tc>
          <w:tcPr>
            <w:tcW w:w="2088" w:type="dxa"/>
          </w:tcPr>
          <w:p w:rsidR="00C41A81" w:rsidRPr="00317DE7" w:rsidRDefault="00C41A81" w:rsidP="00A779E4">
            <w:pPr>
              <w:spacing w:line="288" w:lineRule="auto"/>
              <w:rPr>
                <w:b/>
                <w:lang w:val="en-GB"/>
              </w:rPr>
            </w:pPr>
            <w:r w:rsidRPr="00317DE7">
              <w:rPr>
                <w:b/>
                <w:lang w:val="en-GB"/>
              </w:rPr>
              <w:t>FDD</w:t>
            </w:r>
          </w:p>
        </w:tc>
        <w:tc>
          <w:tcPr>
            <w:tcW w:w="7767" w:type="dxa"/>
          </w:tcPr>
          <w:p w:rsidR="00C41A81" w:rsidRPr="00317DE7" w:rsidRDefault="00C41A81" w:rsidP="006410C2">
            <w:pPr>
              <w:pStyle w:val="ECCParagraph"/>
              <w:spacing w:after="0" w:line="288" w:lineRule="auto"/>
              <w:jc w:val="left"/>
            </w:pPr>
            <w:r w:rsidRPr="00317DE7">
              <w:t>Frequency Division Duplex</w:t>
            </w:r>
          </w:p>
        </w:tc>
      </w:tr>
      <w:tr w:rsidR="00C41A81" w:rsidRPr="00317DE7">
        <w:tc>
          <w:tcPr>
            <w:tcW w:w="2088" w:type="dxa"/>
          </w:tcPr>
          <w:p w:rsidR="00C41A81" w:rsidRPr="00317DE7" w:rsidRDefault="00C41A81" w:rsidP="00A779E4">
            <w:pPr>
              <w:spacing w:line="288" w:lineRule="auto"/>
              <w:rPr>
                <w:b/>
                <w:lang w:val="en-GB"/>
              </w:rPr>
            </w:pPr>
            <w:r w:rsidRPr="00317DE7">
              <w:rPr>
                <w:b/>
                <w:lang w:val="en-GB"/>
              </w:rPr>
              <w:t>LRTC</w:t>
            </w:r>
          </w:p>
        </w:tc>
        <w:tc>
          <w:tcPr>
            <w:tcW w:w="7767" w:type="dxa"/>
          </w:tcPr>
          <w:p w:rsidR="00C41A81" w:rsidRPr="00317DE7" w:rsidRDefault="00C41A81" w:rsidP="00A779E4">
            <w:pPr>
              <w:pStyle w:val="ECCParagraph"/>
              <w:spacing w:after="0" w:line="288" w:lineRule="auto"/>
              <w:jc w:val="left"/>
            </w:pPr>
            <w:r w:rsidRPr="00317DE7">
              <w:t>Least Restrictive Technical Conditions</w:t>
            </w:r>
          </w:p>
        </w:tc>
      </w:tr>
      <w:tr w:rsidR="00C41A81" w:rsidRPr="00317DE7">
        <w:tc>
          <w:tcPr>
            <w:tcW w:w="2088" w:type="dxa"/>
          </w:tcPr>
          <w:p w:rsidR="00C41A81" w:rsidRPr="00317DE7" w:rsidRDefault="00C41A81" w:rsidP="00A779E4">
            <w:pPr>
              <w:spacing w:line="288" w:lineRule="auto"/>
              <w:rPr>
                <w:b/>
                <w:lang w:val="en-GB"/>
              </w:rPr>
            </w:pPr>
            <w:r w:rsidRPr="00317DE7">
              <w:rPr>
                <w:b/>
                <w:lang w:val="en-GB"/>
              </w:rPr>
              <w:t>LTE</w:t>
            </w:r>
          </w:p>
        </w:tc>
        <w:tc>
          <w:tcPr>
            <w:tcW w:w="7767" w:type="dxa"/>
          </w:tcPr>
          <w:p w:rsidR="00C41A81" w:rsidRPr="00317DE7" w:rsidRDefault="00C41A81" w:rsidP="00A779E4">
            <w:pPr>
              <w:pStyle w:val="ECCParagraph"/>
              <w:spacing w:after="0" w:line="288" w:lineRule="auto"/>
              <w:jc w:val="left"/>
            </w:pPr>
            <w:r w:rsidRPr="00317DE7">
              <w:t>Long Term Evolution</w:t>
            </w:r>
          </w:p>
        </w:tc>
      </w:tr>
      <w:tr w:rsidR="00C41A81" w:rsidRPr="00317DE7">
        <w:tc>
          <w:tcPr>
            <w:tcW w:w="2088" w:type="dxa"/>
          </w:tcPr>
          <w:p w:rsidR="00C41A81" w:rsidRPr="00317DE7" w:rsidRDefault="00C41A81" w:rsidP="00A779E4">
            <w:pPr>
              <w:spacing w:line="288" w:lineRule="auto"/>
              <w:rPr>
                <w:b/>
                <w:lang w:val="en-GB"/>
              </w:rPr>
            </w:pPr>
            <w:r w:rsidRPr="00317DE7">
              <w:rPr>
                <w:b/>
                <w:lang w:val="en-GB"/>
              </w:rPr>
              <w:t>MA</w:t>
            </w:r>
          </w:p>
        </w:tc>
        <w:tc>
          <w:tcPr>
            <w:tcW w:w="7767" w:type="dxa"/>
          </w:tcPr>
          <w:p w:rsidR="00C41A81" w:rsidRPr="00317DE7" w:rsidRDefault="00C41A81" w:rsidP="00A779E4">
            <w:pPr>
              <w:pStyle w:val="ECCParagraph"/>
              <w:spacing w:after="0" w:line="288" w:lineRule="auto"/>
              <w:jc w:val="left"/>
            </w:pPr>
            <w:r w:rsidRPr="00317DE7">
              <w:t>Maastricht Agreement</w:t>
            </w:r>
          </w:p>
        </w:tc>
      </w:tr>
      <w:tr w:rsidR="00C41A81" w:rsidRPr="00317DE7">
        <w:tc>
          <w:tcPr>
            <w:tcW w:w="2088" w:type="dxa"/>
          </w:tcPr>
          <w:p w:rsidR="00C41A81" w:rsidRPr="00317DE7" w:rsidRDefault="00C41A81" w:rsidP="00AB46DF">
            <w:pPr>
              <w:spacing w:line="288" w:lineRule="auto"/>
              <w:rPr>
                <w:b/>
                <w:lang w:val="en-GB"/>
              </w:rPr>
            </w:pPr>
            <w:r w:rsidRPr="00317DE7">
              <w:rPr>
                <w:b/>
                <w:lang w:val="en-GB"/>
              </w:rPr>
              <w:t>MFCN</w:t>
            </w:r>
          </w:p>
        </w:tc>
        <w:tc>
          <w:tcPr>
            <w:tcW w:w="7767" w:type="dxa"/>
          </w:tcPr>
          <w:p w:rsidR="00C41A81" w:rsidRPr="00317DE7" w:rsidRDefault="00C41A81" w:rsidP="00AB46DF">
            <w:pPr>
              <w:spacing w:line="288" w:lineRule="auto"/>
              <w:rPr>
                <w:lang w:val="en-GB"/>
              </w:rPr>
            </w:pPr>
            <w:r w:rsidRPr="00317DE7">
              <w:rPr>
                <w:lang w:val="en-GB"/>
              </w:rPr>
              <w:t>Mobile / Fixed Communication Networks</w:t>
            </w:r>
          </w:p>
        </w:tc>
      </w:tr>
      <w:tr w:rsidR="00846016" w:rsidRPr="00317DE7">
        <w:tc>
          <w:tcPr>
            <w:tcW w:w="2088" w:type="dxa"/>
          </w:tcPr>
          <w:p w:rsidR="00846016" w:rsidRPr="00317DE7" w:rsidRDefault="00846016" w:rsidP="00AB46DF">
            <w:pPr>
              <w:spacing w:line="288" w:lineRule="auto"/>
              <w:rPr>
                <w:b/>
                <w:lang w:val="en-GB"/>
              </w:rPr>
            </w:pPr>
            <w:r w:rsidRPr="00317DE7">
              <w:rPr>
                <w:b/>
                <w:lang w:val="en-GB"/>
              </w:rPr>
              <w:t>MSR</w:t>
            </w:r>
          </w:p>
        </w:tc>
        <w:tc>
          <w:tcPr>
            <w:tcW w:w="7767" w:type="dxa"/>
          </w:tcPr>
          <w:p w:rsidR="00846016" w:rsidRPr="00317DE7" w:rsidRDefault="00846016" w:rsidP="00AB46DF">
            <w:pPr>
              <w:spacing w:line="288" w:lineRule="auto"/>
              <w:rPr>
                <w:lang w:val="en-GB"/>
              </w:rPr>
            </w:pPr>
            <w:r w:rsidRPr="00317DE7">
              <w:rPr>
                <w:lang w:val="en-GB"/>
              </w:rPr>
              <w:t>Multi Standard Radio</w:t>
            </w:r>
          </w:p>
        </w:tc>
      </w:tr>
      <w:tr w:rsidR="00C41A81" w:rsidRPr="00317DE7">
        <w:tc>
          <w:tcPr>
            <w:tcW w:w="2088" w:type="dxa"/>
          </w:tcPr>
          <w:p w:rsidR="00C41A81" w:rsidRPr="00317DE7" w:rsidRDefault="00C41A81" w:rsidP="00AB46DF">
            <w:pPr>
              <w:spacing w:line="288" w:lineRule="auto"/>
              <w:rPr>
                <w:b/>
                <w:lang w:val="en-GB"/>
              </w:rPr>
            </w:pPr>
            <w:r w:rsidRPr="00317DE7">
              <w:rPr>
                <w:b/>
                <w:lang w:val="en-GB"/>
              </w:rPr>
              <w:t>OOBE</w:t>
            </w:r>
          </w:p>
        </w:tc>
        <w:tc>
          <w:tcPr>
            <w:tcW w:w="7767" w:type="dxa"/>
          </w:tcPr>
          <w:p w:rsidR="00C41A81" w:rsidRPr="00317DE7" w:rsidRDefault="00C41A81" w:rsidP="00AB46DF">
            <w:pPr>
              <w:spacing w:line="288" w:lineRule="auto"/>
              <w:rPr>
                <w:lang w:val="en-GB"/>
              </w:rPr>
            </w:pPr>
            <w:r w:rsidRPr="00317DE7">
              <w:rPr>
                <w:lang w:val="en-GB"/>
              </w:rPr>
              <w:t>Out of Band Emissions</w:t>
            </w:r>
          </w:p>
        </w:tc>
      </w:tr>
      <w:tr w:rsidR="00C41A81" w:rsidRPr="00317DE7">
        <w:tc>
          <w:tcPr>
            <w:tcW w:w="2088" w:type="dxa"/>
          </w:tcPr>
          <w:p w:rsidR="00C41A81" w:rsidRPr="00317DE7" w:rsidRDefault="00C41A81" w:rsidP="00AB46DF">
            <w:pPr>
              <w:spacing w:line="288" w:lineRule="auto"/>
              <w:rPr>
                <w:b/>
                <w:lang w:val="en-GB"/>
              </w:rPr>
            </w:pPr>
            <w:proofErr w:type="spellStart"/>
            <w:r w:rsidRPr="00317DE7">
              <w:rPr>
                <w:b/>
                <w:lang w:val="en-GB"/>
              </w:rPr>
              <w:t>pfd</w:t>
            </w:r>
            <w:proofErr w:type="spellEnd"/>
          </w:p>
        </w:tc>
        <w:tc>
          <w:tcPr>
            <w:tcW w:w="7767" w:type="dxa"/>
          </w:tcPr>
          <w:p w:rsidR="00C41A81" w:rsidRPr="00317DE7" w:rsidRDefault="00C41A81" w:rsidP="00AB46DF">
            <w:pPr>
              <w:spacing w:line="288" w:lineRule="auto"/>
              <w:rPr>
                <w:lang w:val="en-GB"/>
              </w:rPr>
            </w:pPr>
            <w:r w:rsidRPr="00317DE7">
              <w:rPr>
                <w:lang w:val="en-GB"/>
              </w:rPr>
              <w:t>Power flux density</w:t>
            </w:r>
          </w:p>
        </w:tc>
      </w:tr>
      <w:tr w:rsidR="00C41A81" w:rsidRPr="00317DE7">
        <w:tc>
          <w:tcPr>
            <w:tcW w:w="2088" w:type="dxa"/>
          </w:tcPr>
          <w:p w:rsidR="00C41A81" w:rsidRPr="00317DE7" w:rsidRDefault="00C41A81" w:rsidP="00AB46DF">
            <w:pPr>
              <w:spacing w:line="288" w:lineRule="auto"/>
              <w:rPr>
                <w:b/>
                <w:lang w:val="en-GB"/>
              </w:rPr>
            </w:pPr>
            <w:r w:rsidRPr="00317DE7">
              <w:rPr>
                <w:b/>
                <w:lang w:val="en-GB"/>
              </w:rPr>
              <w:t>RSPG</w:t>
            </w:r>
          </w:p>
        </w:tc>
        <w:tc>
          <w:tcPr>
            <w:tcW w:w="7767" w:type="dxa"/>
          </w:tcPr>
          <w:p w:rsidR="00C41A81" w:rsidRPr="00317DE7" w:rsidRDefault="00C41A81" w:rsidP="00AB46DF">
            <w:pPr>
              <w:spacing w:line="288" w:lineRule="auto"/>
              <w:rPr>
                <w:lang w:val="en-GB"/>
              </w:rPr>
            </w:pPr>
            <w:r w:rsidRPr="00317DE7">
              <w:rPr>
                <w:lang w:val="en-GB"/>
              </w:rPr>
              <w:t>Radio Spectrum Policy Group</w:t>
            </w:r>
          </w:p>
        </w:tc>
      </w:tr>
      <w:tr w:rsidR="00C41A81" w:rsidRPr="00317DE7">
        <w:tc>
          <w:tcPr>
            <w:tcW w:w="2088" w:type="dxa"/>
          </w:tcPr>
          <w:p w:rsidR="00C41A81" w:rsidRPr="00317DE7" w:rsidRDefault="00C41A81" w:rsidP="00AB46DF">
            <w:pPr>
              <w:spacing w:line="288" w:lineRule="auto"/>
              <w:rPr>
                <w:b/>
                <w:lang w:val="en-GB"/>
              </w:rPr>
            </w:pPr>
            <w:r w:rsidRPr="00317DE7">
              <w:rPr>
                <w:b/>
                <w:lang w:val="en-GB"/>
              </w:rPr>
              <w:t>SDL</w:t>
            </w:r>
          </w:p>
        </w:tc>
        <w:tc>
          <w:tcPr>
            <w:tcW w:w="7767" w:type="dxa"/>
          </w:tcPr>
          <w:p w:rsidR="00C41A81" w:rsidRPr="00317DE7" w:rsidRDefault="00C41A81" w:rsidP="00AB46DF">
            <w:pPr>
              <w:spacing w:line="288" w:lineRule="auto"/>
              <w:rPr>
                <w:lang w:val="en-GB"/>
              </w:rPr>
            </w:pPr>
            <w:r w:rsidRPr="00317DE7">
              <w:rPr>
                <w:lang w:val="en-GB"/>
              </w:rPr>
              <w:t>Supplemental Downlink</w:t>
            </w:r>
          </w:p>
        </w:tc>
      </w:tr>
      <w:tr w:rsidR="00846016" w:rsidRPr="00317DE7">
        <w:tc>
          <w:tcPr>
            <w:tcW w:w="2088" w:type="dxa"/>
          </w:tcPr>
          <w:p w:rsidR="00846016" w:rsidRPr="00317DE7" w:rsidRDefault="00846016" w:rsidP="00AB46DF">
            <w:pPr>
              <w:spacing w:line="288" w:lineRule="auto"/>
              <w:rPr>
                <w:b/>
                <w:lang w:val="en-GB"/>
              </w:rPr>
            </w:pPr>
            <w:r w:rsidRPr="00317DE7">
              <w:rPr>
                <w:b/>
                <w:lang w:val="en-GB"/>
              </w:rPr>
              <w:t>SEM</w:t>
            </w:r>
          </w:p>
        </w:tc>
        <w:tc>
          <w:tcPr>
            <w:tcW w:w="7767" w:type="dxa"/>
          </w:tcPr>
          <w:p w:rsidR="00846016" w:rsidRPr="00317DE7" w:rsidRDefault="00846016" w:rsidP="00AB46DF">
            <w:pPr>
              <w:spacing w:line="288" w:lineRule="auto"/>
              <w:rPr>
                <w:lang w:val="en-GB"/>
              </w:rPr>
            </w:pPr>
            <w:r w:rsidRPr="00317DE7">
              <w:rPr>
                <w:lang w:val="en-GB"/>
              </w:rPr>
              <w:t>Spectrum Emission Mask</w:t>
            </w:r>
          </w:p>
        </w:tc>
      </w:tr>
      <w:tr w:rsidR="00C41A81" w:rsidRPr="00317DE7">
        <w:tc>
          <w:tcPr>
            <w:tcW w:w="2088" w:type="dxa"/>
          </w:tcPr>
          <w:p w:rsidR="00C41A81" w:rsidRPr="00317DE7" w:rsidRDefault="00C41A81" w:rsidP="00AB46DF">
            <w:pPr>
              <w:spacing w:line="288" w:lineRule="auto"/>
              <w:rPr>
                <w:b/>
                <w:lang w:val="en-GB"/>
              </w:rPr>
            </w:pPr>
            <w:r w:rsidRPr="00317DE7">
              <w:rPr>
                <w:b/>
                <w:lang w:val="en-GB"/>
              </w:rPr>
              <w:t>T-DAB</w:t>
            </w:r>
          </w:p>
        </w:tc>
        <w:tc>
          <w:tcPr>
            <w:tcW w:w="7767" w:type="dxa"/>
          </w:tcPr>
          <w:p w:rsidR="00C41A81" w:rsidRPr="00317DE7" w:rsidRDefault="00C41A81" w:rsidP="00AB46DF">
            <w:pPr>
              <w:spacing w:line="288" w:lineRule="auto"/>
              <w:rPr>
                <w:lang w:val="en-GB"/>
              </w:rPr>
            </w:pPr>
            <w:r w:rsidRPr="00317DE7">
              <w:rPr>
                <w:lang w:val="en-GB"/>
              </w:rPr>
              <w:t>Terrestrial Digital Audio Broadcasting</w:t>
            </w:r>
          </w:p>
        </w:tc>
      </w:tr>
      <w:tr w:rsidR="00C41A81" w:rsidRPr="00317DE7">
        <w:tc>
          <w:tcPr>
            <w:tcW w:w="2088" w:type="dxa"/>
          </w:tcPr>
          <w:p w:rsidR="00C41A81" w:rsidRPr="00317DE7" w:rsidRDefault="00C41A81" w:rsidP="00AB46DF">
            <w:pPr>
              <w:spacing w:line="288" w:lineRule="auto"/>
              <w:rPr>
                <w:b/>
                <w:lang w:val="en-GB"/>
              </w:rPr>
            </w:pPr>
            <w:r w:rsidRPr="00317DE7">
              <w:rPr>
                <w:b/>
                <w:lang w:val="en-GB"/>
              </w:rPr>
              <w:t>UMTS</w:t>
            </w:r>
          </w:p>
        </w:tc>
        <w:tc>
          <w:tcPr>
            <w:tcW w:w="7767" w:type="dxa"/>
          </w:tcPr>
          <w:p w:rsidR="00C41A81" w:rsidRPr="00317DE7" w:rsidRDefault="00C41A81" w:rsidP="00AB46DF">
            <w:pPr>
              <w:spacing w:line="288" w:lineRule="auto"/>
              <w:rPr>
                <w:lang w:val="en-GB"/>
              </w:rPr>
            </w:pPr>
            <w:r w:rsidRPr="00317DE7">
              <w:rPr>
                <w:lang w:val="en-GB"/>
              </w:rPr>
              <w:t>Universal Mobile Telecommunication System</w:t>
            </w:r>
          </w:p>
        </w:tc>
      </w:tr>
      <w:tr w:rsidR="00C41A81" w:rsidRPr="00317DE7">
        <w:tc>
          <w:tcPr>
            <w:tcW w:w="2088" w:type="dxa"/>
          </w:tcPr>
          <w:p w:rsidR="00C41A81" w:rsidRPr="00317DE7" w:rsidRDefault="00C41A81" w:rsidP="00AB46DF">
            <w:pPr>
              <w:spacing w:line="288" w:lineRule="auto"/>
              <w:rPr>
                <w:b/>
                <w:lang w:val="en-GB"/>
              </w:rPr>
            </w:pPr>
            <w:r w:rsidRPr="00317DE7">
              <w:rPr>
                <w:b/>
                <w:lang w:val="en-GB"/>
              </w:rPr>
              <w:t>WBB</w:t>
            </w:r>
          </w:p>
        </w:tc>
        <w:tc>
          <w:tcPr>
            <w:tcW w:w="7767" w:type="dxa"/>
          </w:tcPr>
          <w:p w:rsidR="00C41A81" w:rsidRPr="00317DE7" w:rsidRDefault="00C41A81" w:rsidP="00AB46DF">
            <w:pPr>
              <w:spacing w:line="288" w:lineRule="auto"/>
              <w:rPr>
                <w:lang w:val="en-GB"/>
              </w:rPr>
            </w:pPr>
            <w:r w:rsidRPr="00317DE7">
              <w:rPr>
                <w:lang w:val="en-GB"/>
              </w:rPr>
              <w:t>Wireless Broadband</w:t>
            </w:r>
          </w:p>
        </w:tc>
      </w:tr>
      <w:tr w:rsidR="00C41A81" w:rsidRPr="00317DE7">
        <w:tc>
          <w:tcPr>
            <w:tcW w:w="2088" w:type="dxa"/>
          </w:tcPr>
          <w:p w:rsidR="00C41A81" w:rsidRPr="00317DE7" w:rsidRDefault="00C41A81" w:rsidP="00AB46DF">
            <w:pPr>
              <w:spacing w:line="288" w:lineRule="auto"/>
              <w:rPr>
                <w:b/>
                <w:lang w:val="en-GB"/>
              </w:rPr>
            </w:pPr>
            <w:r w:rsidRPr="00317DE7">
              <w:rPr>
                <w:b/>
                <w:lang w:val="en-GB"/>
              </w:rPr>
              <w:t>WiMAX</w:t>
            </w:r>
          </w:p>
        </w:tc>
        <w:tc>
          <w:tcPr>
            <w:tcW w:w="7767" w:type="dxa"/>
          </w:tcPr>
          <w:p w:rsidR="00C41A81" w:rsidRPr="00317DE7" w:rsidRDefault="00C41A81" w:rsidP="00FB6F77">
            <w:pPr>
              <w:spacing w:line="288" w:lineRule="auto"/>
              <w:rPr>
                <w:lang w:val="en-GB"/>
              </w:rPr>
            </w:pPr>
            <w:r w:rsidRPr="00317DE7">
              <w:rPr>
                <w:lang w:val="en-GB"/>
              </w:rPr>
              <w:t>Worldwide Interoperability for Microwave Access</w:t>
            </w:r>
          </w:p>
        </w:tc>
      </w:tr>
      <w:tr w:rsidR="00C41A81" w:rsidRPr="00317DE7">
        <w:tc>
          <w:tcPr>
            <w:tcW w:w="2088" w:type="dxa"/>
          </w:tcPr>
          <w:p w:rsidR="00C41A81" w:rsidRPr="00317DE7" w:rsidRDefault="00C41A81" w:rsidP="00AB46DF">
            <w:pPr>
              <w:spacing w:line="288" w:lineRule="auto"/>
              <w:rPr>
                <w:b/>
                <w:lang w:val="en-GB"/>
              </w:rPr>
            </w:pPr>
          </w:p>
        </w:tc>
        <w:tc>
          <w:tcPr>
            <w:tcW w:w="7767" w:type="dxa"/>
          </w:tcPr>
          <w:p w:rsidR="00C41A81" w:rsidRPr="00317DE7" w:rsidRDefault="00C41A81" w:rsidP="00AB46DF">
            <w:pPr>
              <w:spacing w:line="288" w:lineRule="auto"/>
              <w:rPr>
                <w:lang w:val="en-GB"/>
              </w:rPr>
            </w:pPr>
          </w:p>
        </w:tc>
      </w:tr>
    </w:tbl>
    <w:p w:rsidR="00C41A81" w:rsidRPr="00317DE7" w:rsidRDefault="00C41A81" w:rsidP="00AB46DF">
      <w:pPr>
        <w:rPr>
          <w:lang w:val="en-GB"/>
        </w:rPr>
      </w:pPr>
    </w:p>
    <w:p w:rsidR="00C41A81" w:rsidRPr="00317DE7" w:rsidRDefault="00C41A81" w:rsidP="00AB46DF">
      <w:pPr>
        <w:pStyle w:val="Heading1"/>
      </w:pPr>
      <w:bookmarkStart w:id="2" w:name="_Toc405359538"/>
      <w:r w:rsidRPr="00317DE7">
        <w:lastRenderedPageBreak/>
        <w:t>Introduction</w:t>
      </w:r>
      <w:bookmarkEnd w:id="2"/>
    </w:p>
    <w:p w:rsidR="00C41A81" w:rsidRPr="00317DE7" w:rsidRDefault="00C41A81" w:rsidP="00216BE1">
      <w:pPr>
        <w:pStyle w:val="ECCParagraph"/>
      </w:pPr>
      <w:r w:rsidRPr="00317DE7">
        <w:t>This CEPT Report is</w:t>
      </w:r>
      <w:r w:rsidR="00631416" w:rsidRPr="00317DE7">
        <w:t xml:space="preserve"> the response to the EC Mandate</w:t>
      </w:r>
      <w:r w:rsidRPr="00317DE7">
        <w:t xml:space="preserve"> issued by the European Commission to develop harmonised technical conditions in the 1452-1492 MHz frequency band for its use for wireless broadband (WBB) electronic communications services (ECS) in the EU (</w:t>
      </w:r>
      <w:r w:rsidR="00D03FE2" w:rsidRPr="00317DE7">
        <w:fldChar w:fldCharType="begin"/>
      </w:r>
      <w:r w:rsidR="00D03FE2" w:rsidRPr="00317DE7">
        <w:instrText xml:space="preserve"> REF _Ref405358631 \n \h </w:instrText>
      </w:r>
      <w:r w:rsidR="00D03FE2" w:rsidRPr="00317DE7">
        <w:fldChar w:fldCharType="separate"/>
      </w:r>
      <w:r w:rsidR="007E0A9D">
        <w:t>ANNEX 1:</w:t>
      </w:r>
      <w:r w:rsidR="00D03FE2" w:rsidRPr="00317DE7">
        <w:fldChar w:fldCharType="end"/>
      </w:r>
      <w:r w:rsidRPr="00317DE7">
        <w:t>).</w:t>
      </w:r>
    </w:p>
    <w:p w:rsidR="00C41A81" w:rsidRPr="00317DE7" w:rsidRDefault="00C41A81" w:rsidP="00216BE1">
      <w:pPr>
        <w:pStyle w:val="ECCParagraph"/>
      </w:pPr>
      <w:r w:rsidRPr="00317DE7">
        <w:t xml:space="preserve">The Mandate acknowledges the work carried out in CEPT </w:t>
      </w:r>
      <w:r w:rsidR="000F0A87" w:rsidRPr="00317DE7">
        <w:fldChar w:fldCharType="begin"/>
      </w:r>
      <w:r w:rsidR="000F0A87" w:rsidRPr="00317DE7">
        <w:instrText xml:space="preserve"> REF _Ref387324821 \r \h  \* MERGEFORMAT </w:instrText>
      </w:r>
      <w:r w:rsidR="000F0A87" w:rsidRPr="00317DE7">
        <w:fldChar w:fldCharType="separate"/>
      </w:r>
      <w:r w:rsidR="007E0A9D">
        <w:t>[1]</w:t>
      </w:r>
      <w:r w:rsidR="000F0A87" w:rsidRPr="00317DE7">
        <w:fldChar w:fldCharType="end"/>
      </w:r>
      <w:r w:rsidRPr="00317DE7">
        <w:t xml:space="preserve"> on the development of harmonised implementation measures for WBB use of 1452-1492 MHz as Supplemental Downlink (SDL). It notes that the RSPG recommends to the European Commission to consider adopting complementary measures, to the CEPT ones, to further promote the use of 1452-1492 MHz for SDL, while preserving the possibility for Member States to use part of this band for other terrestrial uses such as terrestrial broadcasting. The Commission further notes in the Mandate that CEPT adopted, in November 2013, a regulatory framework for SDL-based WBB use of the 1452-1492 MHz band </w:t>
      </w:r>
      <w:r w:rsidR="000F0A87" w:rsidRPr="00317DE7">
        <w:fldChar w:fldCharType="begin"/>
      </w:r>
      <w:r w:rsidR="000F0A87" w:rsidRPr="00317DE7">
        <w:instrText xml:space="preserve"> REF _Ref387324831 \r \h  \* MERGEFORMAT </w:instrText>
      </w:r>
      <w:r w:rsidR="000F0A87" w:rsidRPr="00317DE7">
        <w:fldChar w:fldCharType="separate"/>
      </w:r>
      <w:r w:rsidR="007E0A9D">
        <w:t>[2]</w:t>
      </w:r>
      <w:r w:rsidR="000F0A87" w:rsidRPr="00317DE7">
        <w:fldChar w:fldCharType="end"/>
      </w:r>
      <w:r w:rsidRPr="00317DE7">
        <w:t xml:space="preserve">, which also aims at </w:t>
      </w:r>
      <w:r w:rsidR="00846016" w:rsidRPr="00317DE7">
        <w:t>facilitating coexistence with Digital Audio Broadcasting (DAB) applications.</w:t>
      </w:r>
      <w:r w:rsidRPr="00317DE7">
        <w:t xml:space="preserve"> It subsequently considers that the 1452-1492 MHz band represents a candidate band for WBB use in the EU in the near term.</w:t>
      </w:r>
    </w:p>
    <w:p w:rsidR="00C41A81" w:rsidRPr="00317DE7" w:rsidRDefault="00C41A81" w:rsidP="00A779E4">
      <w:pPr>
        <w:pStyle w:val="ECCParagraph"/>
      </w:pPr>
      <w:r w:rsidRPr="00317DE7">
        <w:t>CEPT is therefore mandated to develop harmonised technical conditions for the short term use of wireless broadband electronic communications services in the 1452-1492 MHz frequency band taking into account, if necessary, sharing conditions with incumbent services for which future spectrum demand has been identified.</w:t>
      </w:r>
    </w:p>
    <w:p w:rsidR="00C41A81" w:rsidRPr="00317DE7" w:rsidRDefault="00C41A81" w:rsidP="00A779E4">
      <w:pPr>
        <w:pStyle w:val="ECCParagraph"/>
        <w:rPr>
          <w:i/>
        </w:rPr>
      </w:pPr>
      <w:r w:rsidRPr="00317DE7">
        <w:rPr>
          <w:i/>
        </w:rPr>
        <w:t>In particular, CEPT is mandated to develop harmonised technical arrangements and conditions for wireless broadband usage of the 1452-1492 MHz frequency band as well as related harmonised sharing and compatibility conditions, wherever necessary, with incumbent services/applications in the same or in adjacent bands, including at the EU outer borders. The arrangements and conditions must be sufficiently precise for the development of EU-wide equipment. This includes:</w:t>
      </w:r>
    </w:p>
    <w:p w:rsidR="00C41A81" w:rsidRPr="00317DE7" w:rsidRDefault="00C41A81" w:rsidP="00C56B76">
      <w:pPr>
        <w:pStyle w:val="ECCNumbered-LetteredList"/>
        <w:rPr>
          <w:i/>
          <w:lang w:val="en-GB"/>
        </w:rPr>
      </w:pPr>
      <w:r w:rsidRPr="00317DE7">
        <w:rPr>
          <w:i/>
          <w:lang w:val="en-GB"/>
        </w:rPr>
        <w:t>Development of channelling arrangements and common and minimal (least restrictive) technical conditions for wireless broadband usage. These conditions should be sufficient to ensure coexistence of wireless broadband services within the same band and with others services in adjacent bands.</w:t>
      </w:r>
    </w:p>
    <w:p w:rsidR="00C41A81" w:rsidRPr="00317DE7" w:rsidRDefault="00C41A81" w:rsidP="00C56B76">
      <w:pPr>
        <w:pStyle w:val="ECCNumbered-LetteredList"/>
        <w:rPr>
          <w:i/>
          <w:lang w:val="en-GB"/>
        </w:rPr>
      </w:pPr>
      <w:r w:rsidRPr="00317DE7">
        <w:rPr>
          <w:i/>
          <w:lang w:val="en-GB"/>
        </w:rPr>
        <w:t xml:space="preserve">Development of common technical conditions to ensure wireless broadband spectrum usage on a shared basis with relevant incumbent radio services/applications in close cooperation with all concerned stakeholders. These conditions should be sufficient </w:t>
      </w:r>
      <w:r w:rsidR="00846016" w:rsidRPr="00317DE7">
        <w:rPr>
          <w:i/>
          <w:lang w:val="en-GB"/>
        </w:rPr>
        <w:t xml:space="preserve">to ensure </w:t>
      </w:r>
      <w:r w:rsidR="00846016" w:rsidRPr="00317DE7">
        <w:rPr>
          <w:lang w:val="en-GB"/>
        </w:rPr>
        <w:t xml:space="preserve">coexistence </w:t>
      </w:r>
      <w:r w:rsidR="00846016" w:rsidRPr="00317DE7">
        <w:rPr>
          <w:i/>
          <w:lang w:val="en-GB"/>
        </w:rPr>
        <w:t xml:space="preserve">while </w:t>
      </w:r>
      <w:r w:rsidRPr="00317DE7">
        <w:rPr>
          <w:i/>
          <w:lang w:val="en-GB"/>
        </w:rPr>
        <w:t>mitigating interference with incumbent radio services/applications in the same band or in adjacent bands, in line with their regulatory status.</w:t>
      </w:r>
    </w:p>
    <w:p w:rsidR="00C41A81" w:rsidRPr="00317DE7" w:rsidRDefault="00C41A81" w:rsidP="00C56B76">
      <w:pPr>
        <w:pStyle w:val="ECCNumbered-LetteredList"/>
        <w:rPr>
          <w:i/>
          <w:lang w:val="en-GB"/>
        </w:rPr>
      </w:pPr>
      <w:r w:rsidRPr="00317DE7">
        <w:rPr>
          <w:i/>
          <w:lang w:val="en-GB"/>
        </w:rPr>
        <w:t>For each incumbent service/application identified as in need of protection under 2</w:t>
      </w:r>
      <w:r w:rsidR="0007729A" w:rsidRPr="00317DE7">
        <w:rPr>
          <w:i/>
          <w:lang w:val="en-GB"/>
        </w:rPr>
        <w:t>,</w:t>
      </w:r>
      <w:r w:rsidRPr="00317DE7">
        <w:rPr>
          <w:i/>
          <w:lang w:val="en-GB"/>
        </w:rPr>
        <w:t xml:space="preserve"> definition of relevant protection parameters and conditions for facilitating coexistence with wireless broadband within the same band and in adjacent bands, including at the EU outer borders.</w:t>
      </w:r>
    </w:p>
    <w:p w:rsidR="00C41A81" w:rsidRPr="00317DE7" w:rsidRDefault="00C41A81" w:rsidP="00216BE1">
      <w:pPr>
        <w:pStyle w:val="ECCNumbered-LetteredList"/>
        <w:rPr>
          <w:lang w:val="en-GB"/>
        </w:rPr>
      </w:pPr>
      <w:r w:rsidRPr="00317DE7">
        <w:rPr>
          <w:i/>
          <w:lang w:val="en-GB"/>
        </w:rPr>
        <w:t>Considering requirements for cross-border coordination, including at the EU outer borders.</w:t>
      </w:r>
    </w:p>
    <w:p w:rsidR="00C41A81" w:rsidRPr="00317DE7" w:rsidRDefault="00C41A81" w:rsidP="00044A2E">
      <w:pPr>
        <w:pStyle w:val="ECCNumbered-LetteredList"/>
        <w:numPr>
          <w:ilvl w:val="0"/>
          <w:numId w:val="0"/>
        </w:numPr>
        <w:ind w:left="340" w:hanging="340"/>
        <w:rPr>
          <w:lang w:val="en-GB"/>
        </w:rPr>
      </w:pPr>
    </w:p>
    <w:p w:rsidR="00C41A81" w:rsidRPr="00317DE7" w:rsidRDefault="00C41A81" w:rsidP="00216BE1">
      <w:pPr>
        <w:pStyle w:val="ECCParagraph"/>
      </w:pPr>
      <w:r w:rsidRPr="00317DE7">
        <w:t xml:space="preserve">The work required under this Mandate to develop the harmonised arrangements and common technical conditions for WBB SDL-based use of the 1452-1492 MHz, namely the harmonised channelling arrangement, the common and minimal (least restrictive) technical conditions and the common technical conditions </w:t>
      </w:r>
      <w:r w:rsidR="00846016" w:rsidRPr="00317DE7">
        <w:t xml:space="preserve">to ensure coexistence with </w:t>
      </w:r>
      <w:r w:rsidRPr="00317DE7">
        <w:t>radio services/applications in adjacent bands, has already been carried out by CEPT and is available in ECC Reports 188</w:t>
      </w:r>
      <w:r w:rsidR="00AF61C3" w:rsidRPr="00317DE7">
        <w:t xml:space="preserve"> [2]</w:t>
      </w:r>
      <w:r w:rsidRPr="00317DE7">
        <w:t xml:space="preserve"> and 202 </w:t>
      </w:r>
      <w:r w:rsidR="000F0A87" w:rsidRPr="00317DE7">
        <w:fldChar w:fldCharType="begin"/>
      </w:r>
      <w:r w:rsidR="000F0A87" w:rsidRPr="00317DE7">
        <w:instrText xml:space="preserve"> REF _Ref387324880 \r \h  \* MERGEFORMAT </w:instrText>
      </w:r>
      <w:r w:rsidR="000F0A87" w:rsidRPr="00317DE7">
        <w:fldChar w:fldCharType="separate"/>
      </w:r>
      <w:r w:rsidR="007E0A9D">
        <w:t>[3]</w:t>
      </w:r>
      <w:r w:rsidR="000F0A87" w:rsidRPr="00317DE7">
        <w:fldChar w:fldCharType="end"/>
      </w:r>
      <w:r w:rsidRPr="00317DE7">
        <w:t xml:space="preserve">. </w:t>
      </w:r>
    </w:p>
    <w:p w:rsidR="00C41A81" w:rsidRPr="00317DE7" w:rsidRDefault="00846016" w:rsidP="00216BE1">
      <w:pPr>
        <w:pStyle w:val="ECCParagraph"/>
      </w:pPr>
      <w:r w:rsidRPr="00317DE7">
        <w:t>The remaining work required under the Mandate to develop the technical conditions for adjacent channel co-existence and cross-border coordination within the band between WBB SDL and other incumbent radio-services/applications, to address specific national circumstances of incumbent use, namely terrestrial broadcasting and aeronautical telemetry, is</w:t>
      </w:r>
      <w:r w:rsidR="00E622E6" w:rsidRPr="00317DE7">
        <w:t xml:space="preserve"> also finalised and available in ECC Report</w:t>
      </w:r>
      <w:r w:rsidRPr="00317DE7">
        <w:t xml:space="preserve"> </w:t>
      </w:r>
      <w:r w:rsidR="009B3F10" w:rsidRPr="00317DE7">
        <w:t>227</w:t>
      </w:r>
      <w:r w:rsidR="00317DE7">
        <w:t xml:space="preserve"> </w:t>
      </w:r>
      <w:r w:rsidR="00317DE7">
        <w:fldChar w:fldCharType="begin"/>
      </w:r>
      <w:r w:rsidR="00317DE7">
        <w:instrText xml:space="preserve"> REF _Ref388945998 \n \h </w:instrText>
      </w:r>
      <w:r w:rsidR="00317DE7">
        <w:fldChar w:fldCharType="separate"/>
      </w:r>
      <w:r w:rsidR="007E0A9D">
        <w:t>[10]</w:t>
      </w:r>
      <w:r w:rsidR="00317DE7">
        <w:fldChar w:fldCharType="end"/>
      </w:r>
      <w:r w:rsidRPr="00317DE7">
        <w:t>.</w:t>
      </w:r>
    </w:p>
    <w:p w:rsidR="00C41A81" w:rsidRPr="00317DE7" w:rsidRDefault="00C41A81" w:rsidP="00216BE1">
      <w:pPr>
        <w:pStyle w:val="ECCParagraph"/>
      </w:pPr>
      <w:r w:rsidRPr="00317DE7">
        <w:t>This CEPT Report provides the necessary harmonised channelling arrangement and common technical conditions to assist the European Commission in elaborating complementary measures to further promote the use of the band 1452-1492 MHz for WBB SDL in the EU as recommended by the RSPG.</w:t>
      </w:r>
    </w:p>
    <w:p w:rsidR="00C41A81" w:rsidRPr="00317DE7" w:rsidRDefault="00C41A81" w:rsidP="00AB46DF">
      <w:pPr>
        <w:pStyle w:val="Heading1"/>
      </w:pPr>
      <w:bookmarkStart w:id="3" w:name="_Toc405359539"/>
      <w:bookmarkStart w:id="4" w:name="_Ref274743743"/>
      <w:r w:rsidRPr="00317DE7">
        <w:lastRenderedPageBreak/>
        <w:t>Background information</w:t>
      </w:r>
      <w:bookmarkEnd w:id="3"/>
    </w:p>
    <w:p w:rsidR="00C41A81" w:rsidRPr="00317DE7" w:rsidRDefault="00C41A81" w:rsidP="00AB46DF">
      <w:pPr>
        <w:pStyle w:val="Heading2"/>
        <w:rPr>
          <w:lang w:val="en-GB"/>
        </w:rPr>
      </w:pPr>
      <w:bookmarkStart w:id="5" w:name="_Toc405359540"/>
      <w:r w:rsidRPr="00317DE7">
        <w:rPr>
          <w:lang w:val="en-GB"/>
        </w:rPr>
        <w:t>Evolution steps of 1452-1492 MHz use in CEPT</w:t>
      </w:r>
      <w:bookmarkEnd w:id="5"/>
    </w:p>
    <w:p w:rsidR="00846016" w:rsidRPr="00317DE7" w:rsidRDefault="00846016" w:rsidP="00846016">
      <w:pPr>
        <w:pStyle w:val="ECCParagraph"/>
      </w:pPr>
      <w:r w:rsidRPr="00317DE7">
        <w:t xml:space="preserve">The 1452-1479.5 MHz sub-band is harmonised in CEPT for Terrestrial Audio Broadcasting systems through the Maastricht Special Arrangement (MA), since 2002. The arrangement was later revised in </w:t>
      </w:r>
      <w:proofErr w:type="spellStart"/>
      <w:r w:rsidRPr="00317DE7">
        <w:t>Constanţa</w:t>
      </w:r>
      <w:proofErr w:type="spellEnd"/>
      <w:r w:rsidRPr="00317DE7">
        <w:t xml:space="preserve"> (MA02revCO07), in 2007 </w:t>
      </w:r>
      <w:r w:rsidRPr="00317DE7">
        <w:fldChar w:fldCharType="begin"/>
      </w:r>
      <w:r w:rsidRPr="00317DE7">
        <w:instrText xml:space="preserve"> REF _Ref387324880 \r \h  \* MERGEFORMAT </w:instrText>
      </w:r>
      <w:r w:rsidRPr="00317DE7">
        <w:fldChar w:fldCharType="separate"/>
      </w:r>
      <w:r w:rsidR="007E0A9D">
        <w:t>[3]</w:t>
      </w:r>
      <w:r w:rsidRPr="00317DE7">
        <w:fldChar w:fldCharType="end"/>
      </w:r>
      <w:r w:rsidRPr="00317DE7">
        <w:t xml:space="preserve"> to introduce additional flexibility in order to allow the deployment of terrestrial mobile multimedia systems on a national basis. In addition, the 1479.5-1492 MHz sub-band had been harmonised for Satellite Digital Audio Broadcasting (S-DAB) since 2003 through the ECC Decision (03)02 </w:t>
      </w:r>
      <w:r w:rsidRPr="00317DE7">
        <w:fldChar w:fldCharType="begin"/>
      </w:r>
      <w:r w:rsidRPr="00317DE7">
        <w:instrText xml:space="preserve"> REF _Ref387324924 \r \h  \* MERGEFORMAT </w:instrText>
      </w:r>
      <w:r w:rsidRPr="00317DE7">
        <w:fldChar w:fldCharType="separate"/>
      </w:r>
      <w:r w:rsidR="007E0A9D">
        <w:t>[4]</w:t>
      </w:r>
      <w:r w:rsidRPr="00317DE7">
        <w:fldChar w:fldCharType="end"/>
      </w:r>
      <w:r w:rsidRPr="00317DE7">
        <w:t xml:space="preserve">. However, despite those harmonisation measures, the 1452-1492 MHz band has remained mostly unused for the past decade. </w:t>
      </w:r>
    </w:p>
    <w:p w:rsidR="00C41A81" w:rsidRPr="00317DE7" w:rsidRDefault="00846016" w:rsidP="00846016">
      <w:pPr>
        <w:pStyle w:val="ECCParagraph"/>
      </w:pPr>
      <w:r w:rsidRPr="00317DE7">
        <w:t>In late 2010, administrations and industry within CEPT expressed strong interest in reviewing the utilisation of the 1452-1492 MHz band in order to ensure an efficient use of those 40 MHz of prime spectrum in Europe and to provide a considerable opportunity for the development of new applications. In December 2010 the ECC launched a questionnaire to determine the candidate applications for the future use of the band and in May 2011, a new Project Team was established to determine which future use of the 1452-1492 MHz band that would be the most appropriate for CEPT, with the support of an impact analysis.</w:t>
      </w:r>
    </w:p>
    <w:p w:rsidR="00C41A81" w:rsidRPr="00317DE7" w:rsidRDefault="00C41A81" w:rsidP="009F50C1">
      <w:pPr>
        <w:pStyle w:val="ECCParagraph"/>
      </w:pPr>
      <w:r w:rsidRPr="00317DE7">
        <w:t xml:space="preserve">This work resulted in the adoption by CEPT of ECC Report 188 on the future harmonised use of 1452-1492 MHz in CEPT </w:t>
      </w:r>
      <w:r w:rsidR="000F0A87" w:rsidRPr="00317DE7">
        <w:fldChar w:fldCharType="begin"/>
      </w:r>
      <w:r w:rsidR="000F0A87" w:rsidRPr="00317DE7">
        <w:instrText xml:space="preserve"> REF _Ref387324821 \r \h  \* MERGEFORMAT </w:instrText>
      </w:r>
      <w:r w:rsidR="000F0A87" w:rsidRPr="00317DE7">
        <w:fldChar w:fldCharType="separate"/>
      </w:r>
      <w:r w:rsidR="007E0A9D">
        <w:t>[1]</w:t>
      </w:r>
      <w:r w:rsidR="000F0A87" w:rsidRPr="00317DE7">
        <w:fldChar w:fldCharType="end"/>
      </w:r>
      <w:r w:rsidRPr="00317DE7">
        <w:t>, in February 2013, and the subsequent adoption of ECC</w:t>
      </w:r>
      <w:r w:rsidR="00D03FE2" w:rsidRPr="00317DE7">
        <w:t>/</w:t>
      </w:r>
      <w:r w:rsidRPr="00317DE7">
        <w:t>D</w:t>
      </w:r>
      <w:r w:rsidR="00D03FE2" w:rsidRPr="00317DE7">
        <w:t>EC/</w:t>
      </w:r>
      <w:r w:rsidRPr="00317DE7">
        <w:t xml:space="preserve">(13)03 on “the harmonised use of the frequency band 1452-1492 MHz for Mobile/Fixed Communications Networks Supplemental Downlink (MFCN SDL)” </w:t>
      </w:r>
      <w:r w:rsidR="000F0A87" w:rsidRPr="00317DE7">
        <w:fldChar w:fldCharType="begin"/>
      </w:r>
      <w:r w:rsidR="000F0A87" w:rsidRPr="00317DE7">
        <w:instrText xml:space="preserve"> REF _Ref387324831 \r \h  \* MERGEFORMAT </w:instrText>
      </w:r>
      <w:r w:rsidR="000F0A87" w:rsidRPr="00317DE7">
        <w:fldChar w:fldCharType="separate"/>
      </w:r>
      <w:r w:rsidR="007E0A9D">
        <w:t>[2]</w:t>
      </w:r>
      <w:r w:rsidR="000F0A87" w:rsidRPr="00317DE7">
        <w:fldChar w:fldCharType="end"/>
      </w:r>
      <w:r w:rsidRPr="00317DE7">
        <w:t xml:space="preserve"> in November 2013.</w:t>
      </w:r>
    </w:p>
    <w:p w:rsidR="00C41A81" w:rsidRPr="00317DE7" w:rsidRDefault="00C41A81" w:rsidP="009F50C1">
      <w:pPr>
        <w:pStyle w:val="Heading2"/>
        <w:rPr>
          <w:lang w:val="en-GB"/>
        </w:rPr>
      </w:pPr>
      <w:bookmarkStart w:id="6" w:name="_Toc405359541"/>
      <w:r w:rsidRPr="00317DE7">
        <w:rPr>
          <w:lang w:val="en-GB"/>
        </w:rPr>
        <w:t>Regulatory background</w:t>
      </w:r>
      <w:bookmarkEnd w:id="6"/>
    </w:p>
    <w:p w:rsidR="00C41A81" w:rsidRPr="00317DE7" w:rsidRDefault="00C41A81" w:rsidP="009F50C1">
      <w:pPr>
        <w:pStyle w:val="ECCParagraph"/>
      </w:pPr>
      <w:r w:rsidRPr="00317DE7">
        <w:t xml:space="preserve">The ITU Radio Regulations allocate the band 1452-1492 MHz in Region 1 to the Fixed, Mobile (except aeronautical mobile), Broadcasting and Broadcasting Satellite Service on a co-primary basis. </w:t>
      </w:r>
    </w:p>
    <w:p w:rsidR="00C41A81" w:rsidRPr="00317DE7" w:rsidRDefault="00C41A81" w:rsidP="00941201">
      <w:pPr>
        <w:pStyle w:val="ECCParagraph"/>
        <w:spacing w:after="60"/>
      </w:pPr>
      <w:r w:rsidRPr="00317DE7">
        <w:t xml:space="preserve">Several footnotes apply to the band:  </w:t>
      </w:r>
    </w:p>
    <w:p w:rsidR="00C41A81" w:rsidRPr="00317DE7" w:rsidRDefault="002263B3" w:rsidP="00BA0DB2">
      <w:pPr>
        <w:pStyle w:val="ECCParagraph"/>
        <w:numPr>
          <w:ilvl w:val="0"/>
          <w:numId w:val="12"/>
        </w:numPr>
        <w:spacing w:after="120"/>
        <w:ind w:left="714" w:hanging="357"/>
      </w:pPr>
      <w:r w:rsidRPr="00317DE7">
        <w:rPr>
          <w:b/>
        </w:rPr>
        <w:t>5.342</w:t>
      </w:r>
      <w:r w:rsidRPr="00317DE7">
        <w:rPr>
          <w:b/>
        </w:rPr>
        <w:tab/>
      </w:r>
      <w:r w:rsidRPr="00317DE7">
        <w:rPr>
          <w:i/>
          <w:iCs/>
        </w:rPr>
        <w:t>Additional allocation: </w:t>
      </w:r>
      <w:r w:rsidRPr="00317DE7">
        <w:t> in Armenia, Azerbaijan, Belarus, the Russian Federation, Uzbekistan, Kyrgyzstan and Ukraine, the band 1 429-1 535 MHz, and in Bulgaria the band 1 525-1 535 MHz, are also allocated to the aeronautical mobile service on a primary basis exclusively for the purposes of aeronautical telemetry within the national territory. As of 1 April 2007, the use of the band 1 452-1 492 MHz is subject to agreement between the administrations concerned.    (WRC</w:t>
      </w:r>
      <w:r w:rsidRPr="00317DE7">
        <w:noBreakHyphen/>
        <w:t>12).</w:t>
      </w:r>
      <w:r w:rsidR="00C41A81" w:rsidRPr="00317DE7">
        <w:t xml:space="preserve"> </w:t>
      </w:r>
    </w:p>
    <w:p w:rsidR="00C41A81" w:rsidRPr="00317DE7" w:rsidRDefault="002263B3" w:rsidP="00BA0DB2">
      <w:pPr>
        <w:pStyle w:val="ECCParagraph"/>
        <w:numPr>
          <w:ilvl w:val="0"/>
          <w:numId w:val="12"/>
        </w:numPr>
      </w:pPr>
      <w:r w:rsidRPr="00317DE7">
        <w:rPr>
          <w:b/>
        </w:rPr>
        <w:t>5.345</w:t>
      </w:r>
      <w:r w:rsidRPr="00317DE7">
        <w:rPr>
          <w:b/>
        </w:rPr>
        <w:tab/>
      </w:r>
      <w:r w:rsidRPr="00317DE7">
        <w:t>Use of the band 1 452-1 492 MHz by the broadcasting-satellite service, and by the broadcasting service, is limited to digital audio broadcasting and is subject to the provisions of Resolution </w:t>
      </w:r>
      <w:r w:rsidRPr="00317DE7">
        <w:rPr>
          <w:b/>
          <w:bCs/>
        </w:rPr>
        <w:t>528 (WARC</w:t>
      </w:r>
      <w:r w:rsidRPr="00317DE7">
        <w:rPr>
          <w:b/>
          <w:bCs/>
        </w:rPr>
        <w:noBreakHyphen/>
        <w:t>92)</w:t>
      </w:r>
      <w:r w:rsidRPr="00317DE7">
        <w:rPr>
          <w:b/>
          <w:bCs/>
        </w:rPr>
        <w:footnoteReference w:customMarkFollows="1" w:id="1"/>
        <w:t>*</w:t>
      </w:r>
      <w:r w:rsidRPr="00317DE7">
        <w:t>.</w:t>
      </w:r>
    </w:p>
    <w:p w:rsidR="00C41A81" w:rsidRPr="00317DE7" w:rsidRDefault="00C41A81" w:rsidP="009F50C1">
      <w:pPr>
        <w:pStyle w:val="ECCParagraph"/>
      </w:pPr>
      <w:r w:rsidRPr="00317DE7">
        <w:t xml:space="preserve">In CEPT, the Maastricht, 2002, Special Arrangement, as revised in </w:t>
      </w:r>
      <w:proofErr w:type="spellStart"/>
      <w:r w:rsidRPr="00317DE7">
        <w:t>Constanţa</w:t>
      </w:r>
      <w:proofErr w:type="spellEnd"/>
      <w:r w:rsidRPr="00317DE7">
        <w:t xml:space="preserve">, in 2007 (MA02revCO07) provides the technical and regulatory framework for the deployment of T-DAB and other terrestrial mobile multimedia services in the frequency band 1452-1479.5 </w:t>
      </w:r>
      <w:proofErr w:type="spellStart"/>
      <w:r w:rsidRPr="00317DE7">
        <w:t>MHz.</w:t>
      </w:r>
      <w:proofErr w:type="spellEnd"/>
      <w:r w:rsidRPr="00317DE7">
        <w:t xml:space="preserve"> Annex 1 to MA02revCO07 provides the Plan as agreed in 2007. The Plan can be modified in order to include new allotments using the procedures given in MA02revCO07. MA02revCO07further provides cross-border coordination procedures between T-DAB and the Mobile Service.</w:t>
      </w:r>
    </w:p>
    <w:p w:rsidR="00C41A81" w:rsidRPr="00317DE7" w:rsidRDefault="00C41A81" w:rsidP="009F50C1">
      <w:pPr>
        <w:pStyle w:val="ECCParagraph"/>
      </w:pPr>
      <w:r w:rsidRPr="00317DE7">
        <w:t>The ECC/DEC</w:t>
      </w:r>
      <w:proofErr w:type="gramStart"/>
      <w:r w:rsidRPr="00317DE7">
        <w:t>/(</w:t>
      </w:r>
      <w:proofErr w:type="gramEnd"/>
      <w:r w:rsidRPr="00317DE7">
        <w:t xml:space="preserve">03)02 </w:t>
      </w:r>
      <w:r w:rsidR="000F0A87" w:rsidRPr="00317DE7">
        <w:fldChar w:fldCharType="begin"/>
      </w:r>
      <w:r w:rsidR="000F0A87" w:rsidRPr="00317DE7">
        <w:instrText xml:space="preserve"> REF _Ref387324924 \r \h  \* MERGEFORMAT </w:instrText>
      </w:r>
      <w:r w:rsidR="000F0A87" w:rsidRPr="00317DE7">
        <w:fldChar w:fldCharType="separate"/>
      </w:r>
      <w:r w:rsidR="007E0A9D">
        <w:t>[4]</w:t>
      </w:r>
      <w:r w:rsidR="000F0A87" w:rsidRPr="00317DE7">
        <w:fldChar w:fldCharType="end"/>
      </w:r>
      <w:r w:rsidRPr="00317DE7">
        <w:t>, adopted in 2003, designated the frequency band 1479.5-1492 MHz for use by satellite DAB systems. This Decision was withdrawn in June 2013 by CEPT through ECC/DEC</w:t>
      </w:r>
      <w:proofErr w:type="gramStart"/>
      <w:r w:rsidRPr="00317DE7">
        <w:t>/(</w:t>
      </w:r>
      <w:proofErr w:type="gramEnd"/>
      <w:r w:rsidRPr="00317DE7">
        <w:t xml:space="preserve">13)02 </w:t>
      </w:r>
      <w:r w:rsidR="000F0A87" w:rsidRPr="00317DE7">
        <w:fldChar w:fldCharType="begin"/>
      </w:r>
      <w:r w:rsidR="000F0A87" w:rsidRPr="00317DE7">
        <w:instrText xml:space="preserve"> REF _Ref387324995 \r \h  \* MERGEFORMAT </w:instrText>
      </w:r>
      <w:r w:rsidR="000F0A87" w:rsidRPr="00317DE7">
        <w:fldChar w:fldCharType="separate"/>
      </w:r>
      <w:r w:rsidR="007E0A9D">
        <w:t>[5]</w:t>
      </w:r>
      <w:r w:rsidR="000F0A87" w:rsidRPr="00317DE7">
        <w:fldChar w:fldCharType="end"/>
      </w:r>
      <w:r w:rsidRPr="00317DE7">
        <w:t xml:space="preserve"> as a result of the adoption of ECC Report 188 </w:t>
      </w:r>
      <w:r w:rsidR="000F0A87" w:rsidRPr="00317DE7">
        <w:fldChar w:fldCharType="begin"/>
      </w:r>
      <w:r w:rsidR="000F0A87" w:rsidRPr="00317DE7">
        <w:instrText xml:space="preserve"> REF _Ref387324821 \r \h  \* MERGEFORMAT </w:instrText>
      </w:r>
      <w:r w:rsidR="000F0A87" w:rsidRPr="00317DE7">
        <w:fldChar w:fldCharType="separate"/>
      </w:r>
      <w:r w:rsidR="007E0A9D">
        <w:t>[1]</w:t>
      </w:r>
      <w:r w:rsidR="000F0A87" w:rsidRPr="00317DE7">
        <w:fldChar w:fldCharType="end"/>
      </w:r>
      <w:r w:rsidRPr="00317DE7">
        <w:t xml:space="preserve"> on the future harmonised use of 1452-1492 MHz for MFCN SDL.</w:t>
      </w:r>
    </w:p>
    <w:p w:rsidR="00C41A81" w:rsidRPr="00317DE7" w:rsidRDefault="00846016" w:rsidP="009F50C1">
      <w:pPr>
        <w:pStyle w:val="ECCParagraph"/>
      </w:pPr>
      <w:r w:rsidRPr="00317DE7">
        <w:t>In November 2013, CEPT adopted ECC/DEC</w:t>
      </w:r>
      <w:proofErr w:type="gramStart"/>
      <w:r w:rsidRPr="00317DE7">
        <w:t>/(</w:t>
      </w:r>
      <w:proofErr w:type="gramEnd"/>
      <w:r w:rsidRPr="00317DE7">
        <w:t xml:space="preserve">13)03 </w:t>
      </w:r>
      <w:r w:rsidRPr="00317DE7">
        <w:fldChar w:fldCharType="begin"/>
      </w:r>
      <w:r w:rsidRPr="00317DE7">
        <w:instrText xml:space="preserve"> REF _Ref387324831 \r \h  \* MERGEFORMAT </w:instrText>
      </w:r>
      <w:r w:rsidRPr="00317DE7">
        <w:fldChar w:fldCharType="separate"/>
      </w:r>
      <w:r w:rsidR="007E0A9D">
        <w:t>[2]</w:t>
      </w:r>
      <w:r w:rsidRPr="00317DE7">
        <w:fldChar w:fldCharType="end"/>
      </w:r>
      <w:r w:rsidRPr="00317DE7">
        <w:t xml:space="preserve"> which harmonises the use of the frequency band 1452-1492 MHz for Mobile/Fixed Communications Networks Supplemental Downlink (MFCN SDL).</w:t>
      </w:r>
    </w:p>
    <w:p w:rsidR="00C41A81" w:rsidRPr="00317DE7" w:rsidRDefault="00C41A81" w:rsidP="00AB46DF">
      <w:pPr>
        <w:pStyle w:val="Heading1"/>
      </w:pPr>
      <w:bookmarkStart w:id="7" w:name="_Toc405359542"/>
      <w:bookmarkEnd w:id="4"/>
      <w:r w:rsidRPr="00317DE7">
        <w:lastRenderedPageBreak/>
        <w:t>RESULT of STUDIES on 1452-1492 mH</w:t>
      </w:r>
      <w:r w:rsidRPr="00317DE7">
        <w:rPr>
          <w:sz w:val="16"/>
        </w:rPr>
        <w:t>z</w:t>
      </w:r>
      <w:bookmarkEnd w:id="7"/>
    </w:p>
    <w:p w:rsidR="00C41A81" w:rsidRPr="00317DE7" w:rsidRDefault="00D06C7C" w:rsidP="00EA6AE1">
      <w:pPr>
        <w:pStyle w:val="Heading2"/>
        <w:rPr>
          <w:lang w:val="en-GB"/>
        </w:rPr>
      </w:pPr>
      <w:bookmarkStart w:id="8" w:name="_Toc405359543"/>
      <w:r w:rsidRPr="00317DE7">
        <w:rPr>
          <w:lang w:val="en-GB"/>
        </w:rPr>
        <w:t>R</w:t>
      </w:r>
      <w:r w:rsidR="00846016" w:rsidRPr="00317DE7">
        <w:rPr>
          <w:lang w:val="en-GB"/>
        </w:rPr>
        <w:t>esults of the impact analysis on the future use</w:t>
      </w:r>
      <w:bookmarkEnd w:id="8"/>
      <w:r w:rsidR="00C41A81" w:rsidRPr="00317DE7">
        <w:rPr>
          <w:lang w:val="en-GB"/>
        </w:rPr>
        <w:t xml:space="preserve"> </w:t>
      </w:r>
    </w:p>
    <w:p w:rsidR="00C41A81" w:rsidRPr="00317DE7" w:rsidRDefault="00C41A81" w:rsidP="00EA6AE1">
      <w:pPr>
        <w:pStyle w:val="ECCParagraph"/>
      </w:pPr>
      <w:r w:rsidRPr="00317DE7">
        <w:t>The impact analysis carried out by CEPT aimed at determining which regulatory framework will bring the highest benefits. The study is detailed in ECC Report 188</w:t>
      </w:r>
      <w:r w:rsidR="003359A1" w:rsidRPr="00317DE7">
        <w:t xml:space="preserve"> </w:t>
      </w:r>
      <w:r w:rsidR="003359A1" w:rsidRPr="00317DE7">
        <w:fldChar w:fldCharType="begin"/>
      </w:r>
      <w:r w:rsidR="003359A1" w:rsidRPr="00317DE7">
        <w:instrText xml:space="preserve"> REF _Ref387324821 \r \h </w:instrText>
      </w:r>
      <w:r w:rsidR="003359A1" w:rsidRPr="00317DE7">
        <w:fldChar w:fldCharType="separate"/>
      </w:r>
      <w:r w:rsidR="007E0A9D">
        <w:t>[1]</w:t>
      </w:r>
      <w:r w:rsidR="003359A1" w:rsidRPr="00317DE7">
        <w:fldChar w:fldCharType="end"/>
      </w:r>
      <w:r w:rsidRPr="00317DE7">
        <w:t xml:space="preserve"> on the future harmonised use of 1452-1492 MHz </w:t>
      </w:r>
      <w:r w:rsidR="000F0A87" w:rsidRPr="00317DE7">
        <w:fldChar w:fldCharType="begin"/>
      </w:r>
      <w:r w:rsidR="000F0A87" w:rsidRPr="00317DE7">
        <w:instrText xml:space="preserve"> REF _Ref387324821 \r \h  \* MERGEFORMAT </w:instrText>
      </w:r>
      <w:r w:rsidR="000F0A87" w:rsidRPr="00317DE7">
        <w:fldChar w:fldCharType="separate"/>
      </w:r>
      <w:r w:rsidR="007E0A9D">
        <w:t>[1]</w:t>
      </w:r>
      <w:r w:rsidR="000F0A87" w:rsidRPr="00317DE7">
        <w:fldChar w:fldCharType="end"/>
      </w:r>
      <w:r w:rsidRPr="00317DE7">
        <w:t>.</w:t>
      </w:r>
    </w:p>
    <w:p w:rsidR="00C41A81" w:rsidRPr="00317DE7" w:rsidRDefault="00C41A81" w:rsidP="008C0C8B">
      <w:pPr>
        <w:pStyle w:val="ECCParagraph"/>
        <w:spacing w:after="120"/>
      </w:pPr>
      <w:r w:rsidRPr="00317DE7">
        <w:t>In order to conduct this impact analysis, a number of criteria have been defined, namely:</w:t>
      </w:r>
    </w:p>
    <w:p w:rsidR="00C41A81" w:rsidRPr="00317DE7" w:rsidRDefault="00C41A81" w:rsidP="00BA0DB2">
      <w:pPr>
        <w:pStyle w:val="ECCParagraph"/>
        <w:numPr>
          <w:ilvl w:val="0"/>
          <w:numId w:val="13"/>
        </w:numPr>
        <w:spacing w:after="120"/>
        <w:ind w:left="714" w:hanging="357"/>
      </w:pPr>
      <w:r w:rsidRPr="00317DE7">
        <w:t xml:space="preserve">compatibility with the current regulatory framework; </w:t>
      </w:r>
    </w:p>
    <w:p w:rsidR="00C41A81" w:rsidRPr="00317DE7" w:rsidRDefault="00C41A81" w:rsidP="00BA0DB2">
      <w:pPr>
        <w:pStyle w:val="ECCParagraph"/>
        <w:numPr>
          <w:ilvl w:val="0"/>
          <w:numId w:val="13"/>
        </w:numPr>
        <w:spacing w:after="120"/>
        <w:ind w:left="714" w:hanging="357"/>
      </w:pPr>
      <w:r w:rsidRPr="00317DE7">
        <w:t>possibility to share with other applications/uses;</w:t>
      </w:r>
    </w:p>
    <w:p w:rsidR="00C41A81" w:rsidRPr="00317DE7" w:rsidRDefault="00C41A81" w:rsidP="00BA0DB2">
      <w:pPr>
        <w:pStyle w:val="ECCParagraph"/>
        <w:numPr>
          <w:ilvl w:val="0"/>
          <w:numId w:val="13"/>
        </w:numPr>
        <w:spacing w:after="120"/>
        <w:ind w:left="714" w:hanging="357"/>
      </w:pPr>
      <w:r w:rsidRPr="00317DE7">
        <w:t>extent (maximisation) of social and economic benefits;</w:t>
      </w:r>
    </w:p>
    <w:p w:rsidR="00C41A81" w:rsidRPr="00317DE7" w:rsidRDefault="00C41A81" w:rsidP="00BA0DB2">
      <w:pPr>
        <w:pStyle w:val="ECCParagraph"/>
        <w:numPr>
          <w:ilvl w:val="0"/>
          <w:numId w:val="13"/>
        </w:numPr>
        <w:spacing w:after="60"/>
        <w:ind w:left="714" w:hanging="357"/>
      </w:pPr>
      <w:r w:rsidRPr="00317DE7">
        <w:t xml:space="preserve">timeframe for availability of equipment on a large scale and for application deployment - status of standardisation; </w:t>
      </w:r>
    </w:p>
    <w:p w:rsidR="00C41A81" w:rsidRPr="00317DE7" w:rsidRDefault="00C41A81" w:rsidP="00BA0DB2">
      <w:pPr>
        <w:pStyle w:val="ECCParagraph"/>
        <w:numPr>
          <w:ilvl w:val="0"/>
          <w:numId w:val="13"/>
        </w:numPr>
        <w:spacing w:after="120"/>
        <w:ind w:left="714" w:hanging="357"/>
      </w:pPr>
      <w:r w:rsidRPr="00317DE7">
        <w:t>Potential for economy of scale (need and potential for harmonisation within and outside CEPT).</w:t>
      </w:r>
    </w:p>
    <w:p w:rsidR="00C41A81" w:rsidRPr="00317DE7" w:rsidRDefault="00C41A81" w:rsidP="008C0C8B">
      <w:pPr>
        <w:pStyle w:val="ECCParagraph"/>
        <w:spacing w:after="120"/>
        <w:ind w:left="714"/>
      </w:pPr>
    </w:p>
    <w:p w:rsidR="00C41A81" w:rsidRPr="00317DE7" w:rsidRDefault="00C41A81" w:rsidP="008C0C8B">
      <w:pPr>
        <w:pStyle w:val="ECCParagraph"/>
        <w:spacing w:after="120"/>
      </w:pPr>
      <w:r w:rsidRPr="00317DE7">
        <w:t>The candidate applications considered for the future use of the band were:</w:t>
      </w:r>
    </w:p>
    <w:p w:rsidR="00C41A81" w:rsidRPr="00317DE7" w:rsidRDefault="00C41A81" w:rsidP="00BA0DB2">
      <w:pPr>
        <w:pStyle w:val="ECCParagraph"/>
        <w:numPr>
          <w:ilvl w:val="0"/>
          <w:numId w:val="14"/>
        </w:numPr>
        <w:spacing w:after="120"/>
      </w:pPr>
      <w:r w:rsidRPr="00317DE7">
        <w:t xml:space="preserve">Terrestrial Broadcasting; </w:t>
      </w:r>
    </w:p>
    <w:p w:rsidR="00C41A81" w:rsidRPr="00317DE7" w:rsidRDefault="00C41A81" w:rsidP="00BA0DB2">
      <w:pPr>
        <w:pStyle w:val="ECCParagraph"/>
        <w:numPr>
          <w:ilvl w:val="0"/>
          <w:numId w:val="14"/>
        </w:numPr>
        <w:spacing w:after="120"/>
      </w:pPr>
      <w:r w:rsidRPr="00317DE7">
        <w:t xml:space="preserve">Mobile Broadband; </w:t>
      </w:r>
    </w:p>
    <w:p w:rsidR="00C41A81" w:rsidRPr="00317DE7" w:rsidRDefault="00C41A81" w:rsidP="00BA0DB2">
      <w:pPr>
        <w:pStyle w:val="ECCParagraph"/>
        <w:numPr>
          <w:ilvl w:val="0"/>
          <w:numId w:val="14"/>
        </w:numPr>
        <w:spacing w:after="120"/>
      </w:pPr>
      <w:r w:rsidRPr="00317DE7">
        <w:t>Mobile Broadband Supplemental Downlink;</w:t>
      </w:r>
    </w:p>
    <w:p w:rsidR="00C41A81" w:rsidRPr="00317DE7" w:rsidRDefault="00C41A81" w:rsidP="00BA0DB2">
      <w:pPr>
        <w:pStyle w:val="ECCParagraph"/>
        <w:numPr>
          <w:ilvl w:val="0"/>
          <w:numId w:val="14"/>
        </w:numPr>
        <w:spacing w:after="120"/>
      </w:pPr>
      <w:r w:rsidRPr="00317DE7">
        <w:t>Satellite Digital Audio Broadcasting;</w:t>
      </w:r>
    </w:p>
    <w:p w:rsidR="00C41A81" w:rsidRPr="00317DE7" w:rsidRDefault="00C41A81" w:rsidP="00BA0DB2">
      <w:pPr>
        <w:pStyle w:val="ECCParagraph"/>
        <w:numPr>
          <w:ilvl w:val="0"/>
          <w:numId w:val="14"/>
        </w:numPr>
        <w:spacing w:after="120"/>
      </w:pPr>
      <w:r w:rsidRPr="00317DE7">
        <w:t>Program Making and Special Events;</w:t>
      </w:r>
    </w:p>
    <w:p w:rsidR="00C41A81" w:rsidRPr="00317DE7" w:rsidRDefault="00C41A81" w:rsidP="00BA0DB2">
      <w:pPr>
        <w:pStyle w:val="ECCParagraph"/>
        <w:numPr>
          <w:ilvl w:val="0"/>
          <w:numId w:val="14"/>
        </w:numPr>
        <w:spacing w:after="120"/>
      </w:pPr>
      <w:r w:rsidRPr="00317DE7">
        <w:t>Broadband Public Protection Disaster Relief for temporary and local use;</w:t>
      </w:r>
    </w:p>
    <w:p w:rsidR="00846016" w:rsidRPr="00317DE7" w:rsidRDefault="00C41A81" w:rsidP="00BA0DB2">
      <w:pPr>
        <w:pStyle w:val="ECCParagraph"/>
        <w:numPr>
          <w:ilvl w:val="0"/>
          <w:numId w:val="14"/>
        </w:numPr>
      </w:pPr>
      <w:r w:rsidRPr="00317DE7">
        <w:t xml:space="preserve">Broadband Direct Air to Ground Communication. </w:t>
      </w:r>
    </w:p>
    <w:p w:rsidR="00C41A81" w:rsidRPr="00317DE7" w:rsidRDefault="00846016" w:rsidP="00EA6AE1">
      <w:pPr>
        <w:pStyle w:val="ECCParagraph"/>
      </w:pPr>
      <w:r w:rsidRPr="00317DE7">
        <w:t>The spectrum requirement of each candidate application was determined and an</w:t>
      </w:r>
      <w:r w:rsidR="00C41A81" w:rsidRPr="00317DE7">
        <w:t xml:space="preserve"> analysis of the various candidate applications against the defined criteria was carried out. The regulatory options required for the deployment of the candidate applications have been defined. Three regulatory options were then retained for further analysis. A detailed methodology to conduct the impact analysis was developed and the impact analysis was conducted.</w:t>
      </w:r>
    </w:p>
    <w:p w:rsidR="00C41A81" w:rsidRPr="00317DE7" w:rsidRDefault="00C41A81" w:rsidP="009D2522">
      <w:pPr>
        <w:pStyle w:val="ECCParagraph"/>
        <w:tabs>
          <w:tab w:val="left" w:pos="0"/>
        </w:tabs>
      </w:pPr>
      <w:r w:rsidRPr="00317DE7">
        <w:t>The conclusion of the ECC Report 188</w:t>
      </w:r>
      <w:r w:rsidR="003359A1" w:rsidRPr="00317DE7">
        <w:t xml:space="preserve"> </w:t>
      </w:r>
      <w:r w:rsidR="003359A1" w:rsidRPr="00317DE7">
        <w:fldChar w:fldCharType="begin"/>
      </w:r>
      <w:r w:rsidR="003359A1" w:rsidRPr="00317DE7">
        <w:instrText xml:space="preserve"> REF _Ref387324821 \r \h </w:instrText>
      </w:r>
      <w:r w:rsidR="003359A1" w:rsidRPr="00317DE7">
        <w:fldChar w:fldCharType="separate"/>
      </w:r>
      <w:r w:rsidR="007E0A9D">
        <w:t>[1]</w:t>
      </w:r>
      <w:r w:rsidR="003359A1" w:rsidRPr="00317DE7">
        <w:fldChar w:fldCharType="end"/>
      </w:r>
      <w:r w:rsidRPr="00317DE7">
        <w:t xml:space="preserve"> is that the most appropriate regulatory framework for the future use of the 1452-1492 MHz band in CEPT is the harmonisation of this band for MFCN SDL</w:t>
      </w:r>
      <w:r w:rsidRPr="00317DE7">
        <w:rPr>
          <w:rStyle w:val="FootnoteReference"/>
        </w:rPr>
        <w:footnoteReference w:id="2"/>
      </w:r>
      <w:r w:rsidRPr="00317DE7">
        <w:t xml:space="preserve">, while allowing individual countries to adapt to specific national circumstances in part of the band for terrestrial broadcasting and other terrestrial applications. This regulatory framework will bring the highest benefits for CEPT, with those benefits being maximised when SDL is deployed under this framework. </w:t>
      </w:r>
    </w:p>
    <w:p w:rsidR="00C41A81" w:rsidRPr="00317DE7" w:rsidRDefault="00C41A81" w:rsidP="005708C0">
      <w:pPr>
        <w:pStyle w:val="ECCParagraph"/>
        <w:tabs>
          <w:tab w:val="left" w:pos="0"/>
        </w:tabs>
      </w:pPr>
      <w:r w:rsidRPr="00317DE7">
        <w:rPr>
          <w:rFonts w:cs="Arial"/>
          <w:szCs w:val="20"/>
        </w:rPr>
        <w:t>The ECC also concluded tha</w:t>
      </w:r>
      <w:r w:rsidR="003359A1" w:rsidRPr="00317DE7">
        <w:rPr>
          <w:rFonts w:cs="Arial"/>
          <w:szCs w:val="20"/>
        </w:rPr>
        <w:t>t the harmonisation of the 1452-</w:t>
      </w:r>
      <w:r w:rsidRPr="00317DE7">
        <w:rPr>
          <w:rFonts w:cs="Arial"/>
          <w:szCs w:val="20"/>
        </w:rPr>
        <w:t xml:space="preserve">1492 MHz band for MFCN SDL is important to enhance the downlink capability of mobile broadband systems and represents a strategic tool to tackle the </w:t>
      </w:r>
      <w:r w:rsidR="0064689E" w:rsidRPr="00317DE7">
        <w:rPr>
          <w:rFonts w:cs="Arial"/>
          <w:szCs w:val="20"/>
        </w:rPr>
        <w:t xml:space="preserve">asymmetric </w:t>
      </w:r>
      <w:r w:rsidRPr="00317DE7">
        <w:rPr>
          <w:rFonts w:cs="Arial"/>
          <w:szCs w:val="20"/>
        </w:rPr>
        <w:t>growing mobile data traffic driven by</w:t>
      </w:r>
      <w:r w:rsidRPr="00317DE7">
        <w:t xml:space="preserve"> mobile multimedia usage</w:t>
      </w:r>
      <w:r w:rsidRPr="00317DE7">
        <w:rPr>
          <w:rFonts w:cs="Arial"/>
          <w:szCs w:val="20"/>
        </w:rPr>
        <w:t>. The ECC</w:t>
      </w:r>
      <w:r w:rsidRPr="00317DE7">
        <w:t xml:space="preserve"> also noted that</w:t>
      </w:r>
      <w:r w:rsidRPr="00317DE7">
        <w:rPr>
          <w:rFonts w:cs="Arial"/>
          <w:szCs w:val="20"/>
        </w:rPr>
        <w:t xml:space="preserve"> </w:t>
      </w:r>
      <w:r w:rsidRPr="00317DE7">
        <w:t xml:space="preserve">WBB technologies, such as UMTS and LTE, </w:t>
      </w:r>
      <w:r w:rsidRPr="00317DE7">
        <w:rPr>
          <w:szCs w:val="22"/>
        </w:rPr>
        <w:t xml:space="preserve">have evolved to be capable of using unpaired spectrum, like 1452-1492 MHz, for SDL. </w:t>
      </w:r>
      <w:r w:rsidRPr="00317DE7">
        <w:t xml:space="preserve">The ECC further recognised that the use of the band 1452-1492 MHz for MFCN SDL based on least restrictive technical conditions (LRTC) and on a harmonised frequency arrangement will </w:t>
      </w:r>
      <w:r w:rsidRPr="00317DE7">
        <w:rPr>
          <w:rFonts w:cs="Arial"/>
        </w:rPr>
        <w:t>maximise the opportunities and benefits for end users,</w:t>
      </w:r>
      <w:r w:rsidRPr="00317DE7">
        <w:t xml:space="preserve"> will reduce capital expenditure for operators and cost of manufacturing equipment and will secure future investments by providing economy of scale. </w:t>
      </w:r>
    </w:p>
    <w:p w:rsidR="00C41A81" w:rsidRPr="00317DE7" w:rsidRDefault="00C41A81" w:rsidP="00844464">
      <w:pPr>
        <w:pStyle w:val="ECCParagraph"/>
        <w:tabs>
          <w:tab w:val="left" w:pos="0"/>
        </w:tabs>
      </w:pPr>
    </w:p>
    <w:p w:rsidR="00C41A81" w:rsidRPr="00317DE7" w:rsidRDefault="00C41A81" w:rsidP="00EA6AE1">
      <w:pPr>
        <w:pStyle w:val="ECCParagraph"/>
        <w:spacing w:after="120"/>
      </w:pPr>
      <w:r w:rsidRPr="00317DE7">
        <w:t>The implementation of this regulatory framework resulted in the following:</w:t>
      </w:r>
    </w:p>
    <w:p w:rsidR="00C41A81" w:rsidRPr="00317DE7" w:rsidRDefault="00C41A81" w:rsidP="0022601E">
      <w:pPr>
        <w:pStyle w:val="ECCParagraph"/>
        <w:numPr>
          <w:ilvl w:val="0"/>
          <w:numId w:val="11"/>
        </w:numPr>
        <w:spacing w:after="120"/>
      </w:pPr>
      <w:r w:rsidRPr="00317DE7">
        <w:t xml:space="preserve">The ECC adopted ECC/DEC/(13)03 </w:t>
      </w:r>
      <w:r w:rsidR="000F0A87" w:rsidRPr="00317DE7">
        <w:fldChar w:fldCharType="begin"/>
      </w:r>
      <w:r w:rsidR="000F0A87" w:rsidRPr="00317DE7">
        <w:instrText xml:space="preserve"> REF _Ref387324831 \r \h  \* MERGEFORMAT </w:instrText>
      </w:r>
      <w:r w:rsidR="000F0A87" w:rsidRPr="00317DE7">
        <w:fldChar w:fldCharType="separate"/>
      </w:r>
      <w:r w:rsidR="007E0A9D">
        <w:t>[2]</w:t>
      </w:r>
      <w:r w:rsidR="000F0A87" w:rsidRPr="00317DE7">
        <w:fldChar w:fldCharType="end"/>
      </w:r>
      <w:r w:rsidRPr="00317DE7">
        <w:t xml:space="preserve"> which designates the band 1452-1492 MHz for Mobile/Fixed Communication Networks (MFCN) Supplemental Downlink and defines the harmonised channelling arrangement and the least restrictive technical conditions for MFCN SDL use of the 1452-1492 MHz band </w:t>
      </w:r>
    </w:p>
    <w:p w:rsidR="00C41A81" w:rsidRPr="00317DE7" w:rsidRDefault="00C41A81" w:rsidP="0022601E">
      <w:pPr>
        <w:pStyle w:val="ECCParagraph"/>
        <w:numPr>
          <w:ilvl w:val="0"/>
          <w:numId w:val="11"/>
        </w:numPr>
      </w:pPr>
      <w:r w:rsidRPr="00317DE7">
        <w:t>The ECC adopted ECC</w:t>
      </w:r>
      <w:r w:rsidR="003359A1" w:rsidRPr="00317DE7">
        <w:t>/</w:t>
      </w:r>
      <w:r w:rsidRPr="00317DE7">
        <w:t>D</w:t>
      </w:r>
      <w:r w:rsidR="003359A1" w:rsidRPr="00317DE7">
        <w:t>EC/</w:t>
      </w:r>
      <w:r w:rsidRPr="00317DE7">
        <w:t xml:space="preserve">(13)02 </w:t>
      </w:r>
      <w:r w:rsidR="000F0A87" w:rsidRPr="00317DE7">
        <w:fldChar w:fldCharType="begin"/>
      </w:r>
      <w:r w:rsidR="000F0A87" w:rsidRPr="00317DE7">
        <w:instrText xml:space="preserve"> REF _Ref387324995 \r \h  \* MERGEFORMAT </w:instrText>
      </w:r>
      <w:r w:rsidR="000F0A87" w:rsidRPr="00317DE7">
        <w:fldChar w:fldCharType="separate"/>
      </w:r>
      <w:r w:rsidR="007E0A9D">
        <w:t>[5]</w:t>
      </w:r>
      <w:r w:rsidR="000F0A87" w:rsidRPr="00317DE7">
        <w:fldChar w:fldCharType="end"/>
      </w:r>
      <w:r w:rsidRPr="00317DE7">
        <w:t xml:space="preserve"> which withdrew ECC/DEC/(03)02 </w:t>
      </w:r>
      <w:r w:rsidR="000F0A87" w:rsidRPr="00317DE7">
        <w:fldChar w:fldCharType="begin"/>
      </w:r>
      <w:r w:rsidR="000F0A87" w:rsidRPr="00317DE7">
        <w:instrText xml:space="preserve"> REF _Ref387324924 \r \h  \* MERGEFORMAT </w:instrText>
      </w:r>
      <w:r w:rsidR="000F0A87" w:rsidRPr="00317DE7">
        <w:fldChar w:fldCharType="separate"/>
      </w:r>
      <w:r w:rsidR="007E0A9D">
        <w:t>[4]</w:t>
      </w:r>
      <w:r w:rsidR="000F0A87" w:rsidRPr="00317DE7">
        <w:fldChar w:fldCharType="end"/>
      </w:r>
      <w:r w:rsidRPr="00317DE7">
        <w:t>, that used to harmonise the sub-band 1479.5-1492 MHz for Satellite Digital Audio Broadcasting within CEPT</w:t>
      </w:r>
    </w:p>
    <w:p w:rsidR="00C41A81" w:rsidRPr="00317DE7" w:rsidRDefault="00C41A81" w:rsidP="0022601E">
      <w:pPr>
        <w:pStyle w:val="ECCParagraph"/>
        <w:numPr>
          <w:ilvl w:val="0"/>
          <w:numId w:val="11"/>
        </w:numPr>
        <w:spacing w:after="120"/>
      </w:pPr>
      <w:r w:rsidRPr="00317DE7">
        <w:t xml:space="preserve">As a matter of national flexibility, an administration wishing to maintain the use of incumbent terrestrial digital sound broadcasting networks in part of the 1452-1479.5 MHz may choose to do so using the MA02revCO07 Arrangement and its possible Plan modifications. </w:t>
      </w:r>
    </w:p>
    <w:p w:rsidR="00C41A81" w:rsidRPr="00317DE7" w:rsidRDefault="00C41A81" w:rsidP="0022601E">
      <w:pPr>
        <w:pStyle w:val="ECCParagraph"/>
        <w:numPr>
          <w:ilvl w:val="0"/>
          <w:numId w:val="11"/>
        </w:numPr>
        <w:spacing w:after="120"/>
      </w:pPr>
      <w:r w:rsidRPr="00317DE7">
        <w:t>The MA02revCO07 Agreement was also retained for cross-border coordination bilateral agreements between terrestrial broadcasting, for countries wishing to maintain terrestrial broadcasting incumbent use in part of the band, and MFCN SDL.</w:t>
      </w:r>
    </w:p>
    <w:p w:rsidR="00C41A81" w:rsidRPr="00317DE7" w:rsidRDefault="00C41A81" w:rsidP="0022601E">
      <w:pPr>
        <w:pStyle w:val="ECCParagraph"/>
        <w:numPr>
          <w:ilvl w:val="0"/>
          <w:numId w:val="11"/>
        </w:numPr>
        <w:spacing w:after="120"/>
      </w:pPr>
      <w:r w:rsidRPr="00317DE7">
        <w:t xml:space="preserve">CEPT is considering proposing </w:t>
      </w:r>
      <w:r w:rsidR="0064689E" w:rsidRPr="00317DE7">
        <w:t>at the WRC-15 to</w:t>
      </w:r>
      <w:r w:rsidRPr="00317DE7">
        <w:t xml:space="preserve"> introduce </w:t>
      </w:r>
      <w:proofErr w:type="spellStart"/>
      <w:r w:rsidRPr="00317DE7">
        <w:t>pfd</w:t>
      </w:r>
      <w:proofErr w:type="spellEnd"/>
      <w:r w:rsidRPr="00317DE7">
        <w:t xml:space="preserve"> limits to be included in Article 21 of the RR. The objective is to protect MFCN SDL use within CEPT from harmful interference from satellite use outside CEPT</w:t>
      </w:r>
      <w:r w:rsidRPr="00317DE7">
        <w:rPr>
          <w:rStyle w:val="FootnoteReference"/>
        </w:rPr>
        <w:footnoteReference w:id="3"/>
      </w:r>
      <w:r w:rsidRPr="00317DE7">
        <w:t xml:space="preserve">. The required </w:t>
      </w:r>
      <w:proofErr w:type="spellStart"/>
      <w:r w:rsidRPr="00317DE7">
        <w:t>pfd</w:t>
      </w:r>
      <w:proofErr w:type="spellEnd"/>
      <w:r w:rsidRPr="00317DE7">
        <w:t xml:space="preserve"> limits have been determined.</w:t>
      </w:r>
    </w:p>
    <w:p w:rsidR="00C41A81" w:rsidRPr="00317DE7" w:rsidRDefault="00C41A81" w:rsidP="0022601E">
      <w:pPr>
        <w:pStyle w:val="ECCParagraph"/>
        <w:numPr>
          <w:ilvl w:val="0"/>
          <w:numId w:val="11"/>
        </w:numPr>
        <w:spacing w:after="120"/>
      </w:pPr>
      <w:r w:rsidRPr="00317DE7">
        <w:t>MFCN SDL to MFCN SDL cross-border coordination in the band 1452-1492 MHz will be subject to an ECC</w:t>
      </w:r>
      <w:r w:rsidR="004309BF">
        <w:t>/</w:t>
      </w:r>
      <w:r w:rsidRPr="00317DE7">
        <w:t>R</w:t>
      </w:r>
      <w:r w:rsidR="004309BF">
        <w:t>EC/(15)01</w:t>
      </w:r>
      <w:r w:rsidRPr="00317DE7">
        <w:t xml:space="preserve"> for bilateral agreements similar to other mobile to mobile cross-border coordination in other bands</w:t>
      </w:r>
      <w:r w:rsidR="009A76A7" w:rsidRPr="00317DE7">
        <w:t xml:space="preserve"> </w:t>
      </w:r>
      <w:r w:rsidR="009A76A7" w:rsidRPr="00317DE7">
        <w:fldChar w:fldCharType="begin"/>
      </w:r>
      <w:r w:rsidR="009A76A7" w:rsidRPr="00317DE7">
        <w:instrText xml:space="preserve"> REF _Ref405290740 \r \h </w:instrText>
      </w:r>
      <w:r w:rsidR="009A76A7" w:rsidRPr="00317DE7">
        <w:fldChar w:fldCharType="separate"/>
      </w:r>
      <w:r w:rsidR="007E0A9D">
        <w:t>[11]</w:t>
      </w:r>
      <w:r w:rsidR="009A76A7" w:rsidRPr="00317DE7">
        <w:fldChar w:fldCharType="end"/>
      </w:r>
      <w:r w:rsidRPr="00317DE7">
        <w:t>.</w:t>
      </w:r>
    </w:p>
    <w:p w:rsidR="00C41A81" w:rsidRPr="00317DE7" w:rsidRDefault="00D06C7C" w:rsidP="00C21303">
      <w:pPr>
        <w:pStyle w:val="Heading2"/>
        <w:rPr>
          <w:lang w:val="en-GB"/>
        </w:rPr>
      </w:pPr>
      <w:bookmarkStart w:id="9" w:name="_Toc405359544"/>
      <w:r w:rsidRPr="00317DE7">
        <w:rPr>
          <w:lang w:val="en-GB"/>
        </w:rPr>
        <w:t>H</w:t>
      </w:r>
      <w:r w:rsidR="0064689E" w:rsidRPr="00317DE7">
        <w:rPr>
          <w:lang w:val="en-GB"/>
        </w:rPr>
        <w:t>armonised channelling arrangement and technical conditions for wireless broadband usage of the 1452-1492 MH</w:t>
      </w:r>
      <w:r w:rsidR="0064689E" w:rsidRPr="00317DE7">
        <w:rPr>
          <w:sz w:val="16"/>
          <w:lang w:val="en-GB"/>
        </w:rPr>
        <w:t>z</w:t>
      </w:r>
      <w:r w:rsidR="0064689E" w:rsidRPr="00317DE7">
        <w:rPr>
          <w:lang w:val="en-GB"/>
        </w:rPr>
        <w:t xml:space="preserve"> frequency band</w:t>
      </w:r>
      <w:bookmarkEnd w:id="9"/>
      <w:r w:rsidR="00C41A81" w:rsidRPr="00317DE7" w:rsidDel="00EC1FF7">
        <w:rPr>
          <w:lang w:val="en-GB"/>
        </w:rPr>
        <w:t xml:space="preserve"> </w:t>
      </w:r>
      <w:r w:rsidR="00C41A81" w:rsidRPr="00317DE7" w:rsidDel="00C71B7F">
        <w:rPr>
          <w:lang w:val="en-GB"/>
        </w:rPr>
        <w:t xml:space="preserve"> </w:t>
      </w:r>
    </w:p>
    <w:p w:rsidR="00C41A81" w:rsidRPr="00317DE7" w:rsidRDefault="00C41A81" w:rsidP="00586DA9">
      <w:pPr>
        <w:pStyle w:val="ECCParagraph"/>
      </w:pPr>
      <w:r w:rsidRPr="00317DE7">
        <w:t>The harmonised arrangement and technical conditions for WBB SDL-base use of the 1452-1492 MHz band are summarised in Annex 2.</w:t>
      </w:r>
    </w:p>
    <w:p w:rsidR="00C41A81" w:rsidRPr="00317DE7" w:rsidRDefault="00C41A81">
      <w:pPr>
        <w:pStyle w:val="Heading3"/>
        <w:rPr>
          <w:lang w:val="en-GB"/>
        </w:rPr>
      </w:pPr>
      <w:bookmarkStart w:id="10" w:name="_Toc405359545"/>
      <w:r w:rsidRPr="00317DE7">
        <w:rPr>
          <w:lang w:val="en-GB"/>
        </w:rPr>
        <w:t>Harmonised channelling arrangement</w:t>
      </w:r>
      <w:bookmarkEnd w:id="10"/>
    </w:p>
    <w:p w:rsidR="00C41A81" w:rsidRPr="00317DE7" w:rsidRDefault="00C41A81" w:rsidP="00586DA9">
      <w:pPr>
        <w:pStyle w:val="ECCParagraph"/>
      </w:pPr>
      <w:r w:rsidRPr="00317DE7">
        <w:t xml:space="preserve">The channelling arrangement for the harmonised use of 1452-1492 MHz for WBB in the EU is based on eight block size of 5 MHz each, for downlink use i.e. base station to mobile transmission and is specified in </w:t>
      </w:r>
      <w:r w:rsidR="0064689E" w:rsidRPr="00317DE7">
        <w:fldChar w:fldCharType="begin"/>
      </w:r>
      <w:r w:rsidR="0064689E" w:rsidRPr="00317DE7">
        <w:instrText xml:space="preserve"> REF _Ref397092691 \r \h </w:instrText>
      </w:r>
      <w:r w:rsidR="0064689E" w:rsidRPr="00317DE7">
        <w:fldChar w:fldCharType="separate"/>
      </w:r>
      <w:r w:rsidR="007E0A9D">
        <w:t>Table 1:</w:t>
      </w:r>
      <w:r w:rsidR="0064689E" w:rsidRPr="00317DE7">
        <w:fldChar w:fldCharType="end"/>
      </w:r>
    </w:p>
    <w:p w:rsidR="00C41A81" w:rsidRPr="00317DE7" w:rsidRDefault="00C41A81">
      <w:pPr>
        <w:rPr>
          <w:lang w:val="en-GB"/>
        </w:rPr>
      </w:pPr>
      <w:r w:rsidRPr="00317DE7">
        <w:rPr>
          <w:lang w:val="en-GB"/>
        </w:rPr>
        <w:br w:type="page"/>
      </w:r>
    </w:p>
    <w:p w:rsidR="00C41A81" w:rsidRPr="00317DE7" w:rsidRDefault="00C41A81" w:rsidP="00C4765A">
      <w:pPr>
        <w:rPr>
          <w:rFonts w:cs="Arial"/>
          <w:lang w:val="en-GB"/>
        </w:rPr>
      </w:pPr>
    </w:p>
    <w:p w:rsidR="00C41A81" w:rsidRPr="00317DE7" w:rsidRDefault="00C41A81" w:rsidP="00F80D3F">
      <w:pPr>
        <w:pStyle w:val="ECCTabletitle"/>
      </w:pPr>
      <w:r w:rsidRPr="00317DE7">
        <w:t xml:space="preserve"> </w:t>
      </w:r>
      <w:bookmarkStart w:id="11" w:name="_Ref397092691"/>
      <w:r w:rsidRPr="00317DE7">
        <w:t>Harmonised channelling arrangement of the 1452-1492 MHz band</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7"/>
        <w:gridCol w:w="1197"/>
        <w:gridCol w:w="1197"/>
        <w:gridCol w:w="1197"/>
      </w:tblGrid>
      <w:tr w:rsidR="00C41A81" w:rsidRPr="00317DE7" w:rsidTr="00586DA9">
        <w:tc>
          <w:tcPr>
            <w:tcW w:w="1196" w:type="dxa"/>
            <w:tcBorders>
              <w:top w:val="single" w:sz="4" w:space="0" w:color="C00000"/>
              <w:left w:val="single" w:sz="4" w:space="0" w:color="C00000"/>
              <w:bottom w:val="single" w:sz="4" w:space="0" w:color="FFFFFF"/>
              <w:right w:val="single" w:sz="4" w:space="0" w:color="C00000"/>
            </w:tcBorders>
          </w:tcPr>
          <w:p w:rsidR="00C41A81" w:rsidRPr="00317DE7" w:rsidRDefault="00C41A81" w:rsidP="004576B4">
            <w:pPr>
              <w:spacing w:before="40" w:after="40"/>
              <w:rPr>
                <w:rFonts w:cs="Arial"/>
                <w:lang w:val="en-GB"/>
              </w:rPr>
            </w:pPr>
            <w:r w:rsidRPr="00317DE7">
              <w:rPr>
                <w:rFonts w:cs="Arial"/>
                <w:color w:val="000000"/>
                <w:kern w:val="24"/>
                <w:szCs w:val="22"/>
                <w:lang w:val="en-GB"/>
              </w:rPr>
              <w:t>1452-1457</w:t>
            </w:r>
          </w:p>
        </w:tc>
        <w:tc>
          <w:tcPr>
            <w:tcW w:w="1196" w:type="dxa"/>
            <w:tcBorders>
              <w:top w:val="single" w:sz="4" w:space="0" w:color="C00000"/>
              <w:left w:val="single" w:sz="4" w:space="0" w:color="C00000"/>
              <w:bottom w:val="single" w:sz="4" w:space="0" w:color="FFFFFF"/>
              <w:right w:val="single" w:sz="4" w:space="0" w:color="C00000"/>
            </w:tcBorders>
          </w:tcPr>
          <w:p w:rsidR="00C41A81" w:rsidRPr="00317DE7" w:rsidRDefault="00C41A81" w:rsidP="004576B4">
            <w:pPr>
              <w:spacing w:before="40" w:after="40"/>
              <w:rPr>
                <w:rFonts w:cs="Arial"/>
                <w:lang w:val="en-GB"/>
              </w:rPr>
            </w:pPr>
            <w:r w:rsidRPr="00317DE7">
              <w:rPr>
                <w:rFonts w:cs="Arial"/>
                <w:color w:val="000000"/>
                <w:kern w:val="24"/>
                <w:szCs w:val="22"/>
                <w:lang w:val="en-GB"/>
              </w:rPr>
              <w:t>1457-1462</w:t>
            </w:r>
          </w:p>
        </w:tc>
        <w:tc>
          <w:tcPr>
            <w:tcW w:w="1196" w:type="dxa"/>
            <w:tcBorders>
              <w:top w:val="single" w:sz="4" w:space="0" w:color="C00000"/>
              <w:left w:val="single" w:sz="4" w:space="0" w:color="C00000"/>
              <w:bottom w:val="single" w:sz="4" w:space="0" w:color="FFFFFF"/>
              <w:right w:val="single" w:sz="4" w:space="0" w:color="C00000"/>
            </w:tcBorders>
          </w:tcPr>
          <w:p w:rsidR="00C41A81" w:rsidRPr="00317DE7" w:rsidRDefault="00C41A81" w:rsidP="004576B4">
            <w:pPr>
              <w:spacing w:before="40" w:after="40"/>
              <w:rPr>
                <w:rFonts w:cs="Arial"/>
                <w:lang w:val="en-GB"/>
              </w:rPr>
            </w:pPr>
            <w:r w:rsidRPr="00317DE7">
              <w:rPr>
                <w:rFonts w:cs="Arial"/>
                <w:color w:val="000000"/>
                <w:kern w:val="24"/>
                <w:szCs w:val="22"/>
                <w:lang w:val="en-GB"/>
              </w:rPr>
              <w:t>1462-1467</w:t>
            </w:r>
          </w:p>
        </w:tc>
        <w:tc>
          <w:tcPr>
            <w:tcW w:w="1196" w:type="dxa"/>
            <w:tcBorders>
              <w:top w:val="single" w:sz="4" w:space="0" w:color="C00000"/>
              <w:left w:val="single" w:sz="4" w:space="0" w:color="C00000"/>
              <w:bottom w:val="single" w:sz="4" w:space="0" w:color="FFFFFF"/>
              <w:right w:val="single" w:sz="4" w:space="0" w:color="C00000"/>
            </w:tcBorders>
          </w:tcPr>
          <w:p w:rsidR="00C41A81" w:rsidRPr="00317DE7" w:rsidRDefault="00C41A81" w:rsidP="004576B4">
            <w:pPr>
              <w:spacing w:before="40" w:after="40"/>
              <w:rPr>
                <w:rFonts w:cs="Arial"/>
                <w:lang w:val="en-GB"/>
              </w:rPr>
            </w:pPr>
            <w:r w:rsidRPr="00317DE7">
              <w:rPr>
                <w:rFonts w:cs="Arial"/>
                <w:color w:val="000000"/>
                <w:kern w:val="24"/>
                <w:szCs w:val="22"/>
                <w:lang w:val="en-GB"/>
              </w:rPr>
              <w:t>1467-1472</w:t>
            </w:r>
          </w:p>
        </w:tc>
        <w:tc>
          <w:tcPr>
            <w:tcW w:w="1197" w:type="dxa"/>
            <w:tcBorders>
              <w:top w:val="single" w:sz="4" w:space="0" w:color="C00000"/>
              <w:left w:val="single" w:sz="4" w:space="0" w:color="C00000"/>
              <w:bottom w:val="single" w:sz="4" w:space="0" w:color="FFFFFF"/>
              <w:right w:val="single" w:sz="4" w:space="0" w:color="C00000"/>
            </w:tcBorders>
          </w:tcPr>
          <w:p w:rsidR="00C41A81" w:rsidRPr="00317DE7" w:rsidRDefault="00C41A81" w:rsidP="004576B4">
            <w:pPr>
              <w:spacing w:before="40" w:after="40"/>
              <w:rPr>
                <w:rFonts w:cs="Arial"/>
                <w:lang w:val="en-GB"/>
              </w:rPr>
            </w:pPr>
            <w:r w:rsidRPr="00317DE7">
              <w:rPr>
                <w:rFonts w:cs="Arial"/>
                <w:color w:val="000000"/>
                <w:kern w:val="24"/>
                <w:szCs w:val="22"/>
                <w:lang w:val="en-GB"/>
              </w:rPr>
              <w:t>1472-1477</w:t>
            </w:r>
          </w:p>
        </w:tc>
        <w:tc>
          <w:tcPr>
            <w:tcW w:w="1197" w:type="dxa"/>
            <w:tcBorders>
              <w:top w:val="single" w:sz="4" w:space="0" w:color="C00000"/>
              <w:left w:val="single" w:sz="4" w:space="0" w:color="C00000"/>
              <w:bottom w:val="single" w:sz="4" w:space="0" w:color="FFFFFF"/>
              <w:right w:val="single" w:sz="4" w:space="0" w:color="C00000"/>
            </w:tcBorders>
          </w:tcPr>
          <w:p w:rsidR="00C41A81" w:rsidRPr="00317DE7" w:rsidRDefault="00C41A81" w:rsidP="004576B4">
            <w:pPr>
              <w:spacing w:before="40" w:after="40"/>
              <w:rPr>
                <w:rFonts w:cs="Arial"/>
                <w:lang w:val="en-GB"/>
              </w:rPr>
            </w:pPr>
            <w:r w:rsidRPr="00317DE7">
              <w:rPr>
                <w:rFonts w:cs="Arial"/>
                <w:color w:val="000000"/>
                <w:kern w:val="24"/>
                <w:szCs w:val="22"/>
                <w:lang w:val="en-GB"/>
              </w:rPr>
              <w:t>1477-1482</w:t>
            </w:r>
          </w:p>
        </w:tc>
        <w:tc>
          <w:tcPr>
            <w:tcW w:w="1197" w:type="dxa"/>
            <w:tcBorders>
              <w:top w:val="single" w:sz="4" w:space="0" w:color="C00000"/>
              <w:left w:val="single" w:sz="4" w:space="0" w:color="C00000"/>
              <w:bottom w:val="single" w:sz="4" w:space="0" w:color="FFFFFF"/>
              <w:right w:val="single" w:sz="4" w:space="0" w:color="C00000"/>
            </w:tcBorders>
          </w:tcPr>
          <w:p w:rsidR="00C41A81" w:rsidRPr="00317DE7" w:rsidRDefault="00C41A81" w:rsidP="004576B4">
            <w:pPr>
              <w:spacing w:before="40" w:after="40"/>
              <w:rPr>
                <w:rFonts w:cs="Arial"/>
                <w:lang w:val="en-GB"/>
              </w:rPr>
            </w:pPr>
            <w:r w:rsidRPr="00317DE7">
              <w:rPr>
                <w:rFonts w:cs="Arial"/>
                <w:color w:val="000000"/>
                <w:kern w:val="24"/>
                <w:szCs w:val="22"/>
                <w:lang w:val="en-GB"/>
              </w:rPr>
              <w:t>1482-1487</w:t>
            </w:r>
          </w:p>
        </w:tc>
        <w:tc>
          <w:tcPr>
            <w:tcW w:w="1197" w:type="dxa"/>
            <w:tcBorders>
              <w:top w:val="single" w:sz="4" w:space="0" w:color="C00000"/>
              <w:left w:val="single" w:sz="4" w:space="0" w:color="C00000"/>
              <w:bottom w:val="single" w:sz="4" w:space="0" w:color="FFFFFF"/>
              <w:right w:val="single" w:sz="4" w:space="0" w:color="C00000"/>
            </w:tcBorders>
          </w:tcPr>
          <w:p w:rsidR="00C41A81" w:rsidRPr="00317DE7" w:rsidRDefault="00C41A81" w:rsidP="004576B4">
            <w:pPr>
              <w:spacing w:before="40" w:after="40"/>
              <w:rPr>
                <w:rFonts w:cs="Arial"/>
                <w:lang w:val="en-GB"/>
              </w:rPr>
            </w:pPr>
            <w:r w:rsidRPr="00317DE7">
              <w:rPr>
                <w:rFonts w:cs="Arial"/>
                <w:color w:val="000000"/>
                <w:kern w:val="24"/>
                <w:szCs w:val="22"/>
                <w:lang w:val="en-GB"/>
              </w:rPr>
              <w:t>1487-1492</w:t>
            </w:r>
          </w:p>
        </w:tc>
      </w:tr>
      <w:tr w:rsidR="00C41A81" w:rsidRPr="00317DE7" w:rsidTr="00BA22DF">
        <w:tblPrEx>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rPr>
          <w:tblHeader/>
        </w:trPr>
        <w:tc>
          <w:tcPr>
            <w:tcW w:w="9572" w:type="dxa"/>
            <w:gridSpan w:val="8"/>
            <w:tcBorders>
              <w:top w:val="single" w:sz="4" w:space="0" w:color="FFFFFF"/>
              <w:left w:val="single" w:sz="4" w:space="0" w:color="FFFFFF"/>
              <w:bottom w:val="single" w:sz="4" w:space="0" w:color="FFFFFF"/>
              <w:right w:val="single" w:sz="4" w:space="0" w:color="FFFFFF"/>
            </w:tcBorders>
            <w:shd w:val="clear" w:color="auto" w:fill="D2232A"/>
            <w:vAlign w:val="center"/>
          </w:tcPr>
          <w:p w:rsidR="00C41A81" w:rsidRPr="00317DE7" w:rsidRDefault="00C41A81" w:rsidP="004576B4">
            <w:pPr>
              <w:spacing w:before="40" w:after="40" w:line="288" w:lineRule="auto"/>
              <w:jc w:val="center"/>
              <w:rPr>
                <w:b/>
                <w:color w:val="FFFFFF"/>
                <w:lang w:val="en-GB"/>
              </w:rPr>
            </w:pPr>
            <w:r w:rsidRPr="00317DE7">
              <w:rPr>
                <w:b/>
                <w:color w:val="FFFFFF"/>
                <w:lang w:val="en-GB"/>
              </w:rPr>
              <w:t xml:space="preserve">Downlink (base station </w:t>
            </w:r>
            <w:r w:rsidR="00AE7DB0" w:rsidRPr="00317DE7">
              <w:rPr>
                <w:b/>
                <w:color w:val="FFFFFF"/>
                <w:lang w:val="en-GB"/>
              </w:rPr>
              <w:t>transmit)</w:t>
            </w:r>
          </w:p>
        </w:tc>
      </w:tr>
      <w:tr w:rsidR="00C41A81" w:rsidRPr="00317DE7" w:rsidTr="00BA22DF">
        <w:tblPrEx>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rPr>
          <w:tblHeader/>
        </w:trPr>
        <w:tc>
          <w:tcPr>
            <w:tcW w:w="9572" w:type="dxa"/>
            <w:gridSpan w:val="8"/>
            <w:tcBorders>
              <w:top w:val="single" w:sz="4" w:space="0" w:color="FFFFFF"/>
              <w:left w:val="single" w:sz="4" w:space="0" w:color="FFFFFF"/>
              <w:bottom w:val="single" w:sz="4" w:space="0" w:color="FFFFFF"/>
              <w:right w:val="single" w:sz="4" w:space="0" w:color="FFFFFF"/>
            </w:tcBorders>
            <w:shd w:val="clear" w:color="auto" w:fill="D2232A"/>
            <w:vAlign w:val="center"/>
          </w:tcPr>
          <w:p w:rsidR="00C41A81" w:rsidRPr="00317DE7" w:rsidRDefault="00C41A81" w:rsidP="004576B4">
            <w:pPr>
              <w:spacing w:before="40" w:after="40" w:line="288" w:lineRule="auto"/>
              <w:jc w:val="center"/>
              <w:rPr>
                <w:b/>
                <w:color w:val="FFFFFF"/>
                <w:lang w:val="en-GB"/>
              </w:rPr>
            </w:pPr>
            <w:r w:rsidRPr="00317DE7">
              <w:rPr>
                <w:rFonts w:cs="Arial"/>
                <w:color w:val="FFFFFF"/>
                <w:lang w:val="en-GB"/>
              </w:rPr>
              <w:t>40 MHz (8 blocks of 5 MHz)</w:t>
            </w:r>
          </w:p>
        </w:tc>
      </w:tr>
    </w:tbl>
    <w:p w:rsidR="00C41A81" w:rsidRPr="00317DE7" w:rsidRDefault="00C41A81" w:rsidP="00C4765A">
      <w:pPr>
        <w:jc w:val="center"/>
        <w:rPr>
          <w:rFonts w:cs="Arial"/>
          <w:lang w:val="en-GB"/>
        </w:rPr>
      </w:pPr>
    </w:p>
    <w:p w:rsidR="00C41A81" w:rsidRPr="00317DE7" w:rsidRDefault="00C41A81" w:rsidP="00CA08EC">
      <w:pPr>
        <w:pStyle w:val="Heading3"/>
        <w:rPr>
          <w:lang w:val="en-GB"/>
        </w:rPr>
      </w:pPr>
      <w:bookmarkStart w:id="12" w:name="_Toc405359546"/>
      <w:r w:rsidRPr="00317DE7">
        <w:rPr>
          <w:lang w:val="en-GB"/>
        </w:rPr>
        <w:t>Least Restrictive Technical Conditions</w:t>
      </w:r>
      <w:bookmarkEnd w:id="12"/>
      <w:r w:rsidRPr="00317DE7">
        <w:rPr>
          <w:lang w:val="en-GB"/>
        </w:rPr>
        <w:t xml:space="preserve"> </w:t>
      </w:r>
    </w:p>
    <w:p w:rsidR="00C41A81" w:rsidRPr="00317DE7" w:rsidRDefault="0064689E" w:rsidP="00705630">
      <w:pPr>
        <w:pStyle w:val="Heading4"/>
        <w:rPr>
          <w:lang w:val="en-GB"/>
        </w:rPr>
      </w:pPr>
      <w:bookmarkStart w:id="13" w:name="_Toc405359547"/>
      <w:r w:rsidRPr="00317DE7">
        <w:rPr>
          <w:lang w:val="en-GB"/>
        </w:rPr>
        <w:t xml:space="preserve">Coexistence </w:t>
      </w:r>
      <w:r w:rsidR="00C41A81" w:rsidRPr="00317DE7">
        <w:rPr>
          <w:lang w:val="en-GB"/>
        </w:rPr>
        <w:t>between WBB use within the same band</w:t>
      </w:r>
      <w:bookmarkEnd w:id="13"/>
      <w:r w:rsidR="00C41A81" w:rsidRPr="00317DE7">
        <w:rPr>
          <w:lang w:val="en-GB"/>
        </w:rPr>
        <w:t xml:space="preserve"> </w:t>
      </w:r>
    </w:p>
    <w:p w:rsidR="00C41A81" w:rsidRPr="00317DE7" w:rsidRDefault="0064689E" w:rsidP="003C6863">
      <w:pPr>
        <w:pStyle w:val="ECCParagraph"/>
      </w:pPr>
      <w:r w:rsidRPr="00317DE7">
        <w:t xml:space="preserve">CEPT developed Least Restrictive Technical Conditions based on a Block Edge Mask (BEM) to ensure the coexistence between WBB SDL users within 1452-1492 </w:t>
      </w:r>
      <w:proofErr w:type="spellStart"/>
      <w:r w:rsidRPr="00317DE7">
        <w:t>MHz.</w:t>
      </w:r>
      <w:proofErr w:type="spellEnd"/>
      <w:r w:rsidR="00C41A81" w:rsidRPr="00317DE7">
        <w:t xml:space="preserve"> The studied compatibility scenario corresponds to Base Station (BS) to Terminal Station (TS) interference scenario, which has been previously studied, in the context of the 2 GHz band, in CEPT Report 39 </w:t>
      </w:r>
      <w:r w:rsidR="000F0A87" w:rsidRPr="00317DE7">
        <w:fldChar w:fldCharType="begin"/>
      </w:r>
      <w:r w:rsidR="000F0A87" w:rsidRPr="00317DE7">
        <w:instrText xml:space="preserve"> REF _Ref387323882 \r \h  \* MERGEFORMAT </w:instrText>
      </w:r>
      <w:r w:rsidR="000F0A87" w:rsidRPr="00317DE7">
        <w:fldChar w:fldCharType="separate"/>
      </w:r>
      <w:r w:rsidR="007E0A9D">
        <w:t>[7]</w:t>
      </w:r>
      <w:r w:rsidR="000F0A87" w:rsidRPr="00317DE7">
        <w:fldChar w:fldCharType="end"/>
      </w:r>
      <w:r w:rsidR="00C41A81" w:rsidRPr="00317DE7">
        <w:t xml:space="preserve">. Furthermore, the Spectrum Emission Masks corresponding to the BEMs from CEPT Report 39 </w:t>
      </w:r>
      <w:r w:rsidR="000F0A87" w:rsidRPr="00317DE7">
        <w:fldChar w:fldCharType="begin"/>
      </w:r>
      <w:r w:rsidR="000F0A87" w:rsidRPr="00317DE7">
        <w:instrText xml:space="preserve"> REF _Ref387323882 \r \h  \* MERGEFORMAT </w:instrText>
      </w:r>
      <w:r w:rsidR="000F0A87" w:rsidRPr="00317DE7">
        <w:fldChar w:fldCharType="separate"/>
      </w:r>
      <w:r w:rsidR="007E0A9D">
        <w:t>[7]</w:t>
      </w:r>
      <w:r w:rsidR="000F0A87" w:rsidRPr="00317DE7">
        <w:fldChar w:fldCharType="end"/>
      </w:r>
      <w:r w:rsidR="00C41A81" w:rsidRPr="00317DE7">
        <w:t xml:space="preserve"> were also shown to be sufficient to ensure coexistence in the 900 MHz band (ECC Report 82 </w:t>
      </w:r>
      <w:r w:rsidR="000F0A87" w:rsidRPr="00317DE7">
        <w:fldChar w:fldCharType="begin"/>
      </w:r>
      <w:r w:rsidR="000F0A87" w:rsidRPr="00317DE7">
        <w:instrText xml:space="preserve"> REF _Ref387323915 \r \h  \* MERGEFORMAT </w:instrText>
      </w:r>
      <w:r w:rsidR="000F0A87" w:rsidRPr="00317DE7">
        <w:fldChar w:fldCharType="separate"/>
      </w:r>
      <w:r w:rsidR="007E0A9D">
        <w:t>[8]</w:t>
      </w:r>
      <w:r w:rsidR="000F0A87" w:rsidRPr="00317DE7">
        <w:fldChar w:fldCharType="end"/>
      </w:r>
      <w:r w:rsidR="00C41A81" w:rsidRPr="00317DE7">
        <w:t xml:space="preserve"> and CEPT Report 40 </w:t>
      </w:r>
      <w:r w:rsidR="000F0A87" w:rsidRPr="00317DE7">
        <w:fldChar w:fldCharType="begin"/>
      </w:r>
      <w:r w:rsidR="000F0A87" w:rsidRPr="00317DE7">
        <w:instrText xml:space="preserve"> REF _Ref387323905 \r \h  \* MERGEFORMAT </w:instrText>
      </w:r>
      <w:r w:rsidR="000F0A87" w:rsidRPr="00317DE7">
        <w:fldChar w:fldCharType="separate"/>
      </w:r>
      <w:r w:rsidR="007E0A9D">
        <w:t>[9]</w:t>
      </w:r>
      <w:r w:rsidR="000F0A87" w:rsidRPr="00317DE7">
        <w:fldChar w:fldCharType="end"/>
      </w:r>
      <w:r w:rsidR="00C41A81" w:rsidRPr="00317DE7">
        <w:t>).</w:t>
      </w:r>
    </w:p>
    <w:p w:rsidR="00C41A81" w:rsidRPr="00317DE7" w:rsidRDefault="00C41A81" w:rsidP="003C6863">
      <w:pPr>
        <w:pStyle w:val="ECCParagraph"/>
      </w:pPr>
      <w:r w:rsidRPr="00317DE7">
        <w:t>It is then considered that:</w:t>
      </w:r>
    </w:p>
    <w:p w:rsidR="00C41A81" w:rsidRPr="00317DE7" w:rsidRDefault="00C41A81" w:rsidP="0022601E">
      <w:pPr>
        <w:pStyle w:val="ECCParagraph"/>
        <w:numPr>
          <w:ilvl w:val="0"/>
          <w:numId w:val="10"/>
        </w:numPr>
      </w:pPr>
      <w:r w:rsidRPr="00317DE7">
        <w:t>BS to TS interference is similar to intra-system interference that occurs at the channel boundaries within WBB systems. Technical standards have been derived with sufficient mitigation techniques to overcome this type of interference;</w:t>
      </w:r>
    </w:p>
    <w:p w:rsidR="00C41A81" w:rsidRPr="00317DE7" w:rsidRDefault="00C41A81" w:rsidP="0022601E">
      <w:pPr>
        <w:pStyle w:val="ECCParagraph"/>
        <w:numPr>
          <w:ilvl w:val="0"/>
          <w:numId w:val="10"/>
        </w:numPr>
      </w:pPr>
      <w:r w:rsidRPr="00317DE7">
        <w:t xml:space="preserve">WBB SDL Base station BEM out-of-block </w:t>
      </w:r>
      <w:proofErr w:type="spellStart"/>
      <w:r w:rsidRPr="00317DE7">
        <w:t>e.i.r.p</w:t>
      </w:r>
      <w:proofErr w:type="spellEnd"/>
      <w:r w:rsidRPr="00317DE7">
        <w:t xml:space="preserve">. limits within the band 1452-1492 MHz can be derived directly by integration of the spectrum emission mask </w:t>
      </w:r>
      <w:r w:rsidR="0064689E" w:rsidRPr="00317DE7">
        <w:t xml:space="preserve">(SEM) </w:t>
      </w:r>
      <w:r w:rsidRPr="00317DE7">
        <w:t>of 3GPP Multi Standard Radio (MSR) specifications. Plans for current other ECN standards (e.g. WiMAX) indicate that alignment with this MSR SEM is feasible and it is considered that this should not impose any constraint on equipment implementation.</w:t>
      </w:r>
    </w:p>
    <w:p w:rsidR="00C41A81" w:rsidRPr="00317DE7" w:rsidRDefault="00C41A81" w:rsidP="003C6863">
      <w:pPr>
        <w:pStyle w:val="ECCParagraph"/>
      </w:pPr>
      <w:r w:rsidRPr="00317DE7">
        <w:t xml:space="preserve">The technology-neutral BEM (out-of-block) for WBB SDL Base Station operating within 1452-1492 MHz, per antenna, is provided in </w:t>
      </w:r>
      <w:r w:rsidR="0064689E" w:rsidRPr="00317DE7">
        <w:fldChar w:fldCharType="begin"/>
      </w:r>
      <w:r w:rsidR="0064689E" w:rsidRPr="00317DE7">
        <w:instrText xml:space="preserve"> REF _Ref397092821 \r \h </w:instrText>
      </w:r>
      <w:r w:rsidR="0064689E" w:rsidRPr="00317DE7">
        <w:fldChar w:fldCharType="separate"/>
      </w:r>
      <w:r w:rsidR="007E0A9D">
        <w:t>Table 2:</w:t>
      </w:r>
      <w:r w:rsidR="0064689E" w:rsidRPr="00317DE7">
        <w:fldChar w:fldCharType="end"/>
      </w:r>
    </w:p>
    <w:p w:rsidR="00C41A81" w:rsidRPr="00317DE7" w:rsidRDefault="00C41A81" w:rsidP="00F80D3F">
      <w:pPr>
        <w:pStyle w:val="ECCTabletitle"/>
      </w:pPr>
      <w:bookmarkStart w:id="14" w:name="_Ref397092821"/>
      <w:r w:rsidRPr="00317DE7">
        <w:t xml:space="preserve">Base station BEM (out-of-block) </w:t>
      </w:r>
      <w:proofErr w:type="spellStart"/>
      <w:r w:rsidRPr="00317DE7">
        <w:t>e.i.r.p</w:t>
      </w:r>
      <w:proofErr w:type="spellEnd"/>
      <w:r w:rsidRPr="00317DE7">
        <w:t>. within 1452-1492 MHz per antenna</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248"/>
        <w:gridCol w:w="2880"/>
        <w:gridCol w:w="2727"/>
      </w:tblGrid>
      <w:tr w:rsidR="00C41A81" w:rsidRPr="00317DE7" w:rsidTr="00A779E4">
        <w:trPr>
          <w:tblHeader/>
        </w:trPr>
        <w:tc>
          <w:tcPr>
            <w:tcW w:w="4248" w:type="dxa"/>
            <w:tcBorders>
              <w:top w:val="single" w:sz="4" w:space="0" w:color="D2232A"/>
              <w:left w:val="single" w:sz="4" w:space="0" w:color="D2232A"/>
              <w:bottom w:val="single" w:sz="4" w:space="0" w:color="D2232A"/>
              <w:right w:val="single" w:sz="4" w:space="0" w:color="FFFFFF"/>
            </w:tcBorders>
            <w:shd w:val="clear" w:color="auto" w:fill="D2232A"/>
          </w:tcPr>
          <w:p w:rsidR="00C41A81" w:rsidRPr="00317DE7" w:rsidRDefault="00C41A81" w:rsidP="00A779E4">
            <w:pPr>
              <w:jc w:val="center"/>
              <w:rPr>
                <w:rFonts w:cs="Arial"/>
                <w:b/>
                <w:color w:val="FFFFFF"/>
                <w:lang w:val="en-GB"/>
              </w:rPr>
            </w:pPr>
            <w:r w:rsidRPr="00317DE7">
              <w:rPr>
                <w:rFonts w:cs="Arial"/>
                <w:b/>
                <w:color w:val="FFFFFF"/>
                <w:lang w:val="en-GB"/>
              </w:rPr>
              <w:t xml:space="preserve">Frequency range of </w:t>
            </w:r>
          </w:p>
          <w:p w:rsidR="00C41A81" w:rsidRPr="00317DE7" w:rsidRDefault="00C41A81" w:rsidP="00A779E4">
            <w:pPr>
              <w:jc w:val="center"/>
              <w:rPr>
                <w:rFonts w:cs="Arial"/>
                <w:b/>
                <w:color w:val="FFFFFF"/>
                <w:lang w:val="en-GB"/>
              </w:rPr>
            </w:pPr>
            <w:r w:rsidRPr="00317DE7">
              <w:rPr>
                <w:rFonts w:cs="Arial"/>
                <w:b/>
                <w:color w:val="FFFFFF"/>
                <w:lang w:val="en-GB"/>
              </w:rPr>
              <w:t>out-of-block emissions</w:t>
            </w:r>
          </w:p>
        </w:tc>
        <w:tc>
          <w:tcPr>
            <w:tcW w:w="2880" w:type="dxa"/>
            <w:tcBorders>
              <w:top w:val="single" w:sz="4" w:space="0" w:color="D2232A"/>
              <w:left w:val="single" w:sz="4" w:space="0" w:color="FFFFFF"/>
              <w:bottom w:val="single" w:sz="4" w:space="0" w:color="D2232A"/>
              <w:right w:val="single" w:sz="4" w:space="0" w:color="FFFFFF"/>
            </w:tcBorders>
            <w:shd w:val="clear" w:color="auto" w:fill="D2232A"/>
          </w:tcPr>
          <w:p w:rsidR="00C41A81" w:rsidRPr="00317DE7" w:rsidRDefault="00C41A81" w:rsidP="00A779E4">
            <w:pPr>
              <w:jc w:val="center"/>
              <w:rPr>
                <w:rFonts w:cs="Arial"/>
                <w:b/>
                <w:color w:val="FFFFFF"/>
                <w:lang w:val="en-GB"/>
              </w:rPr>
            </w:pPr>
            <w:r w:rsidRPr="00317DE7">
              <w:rPr>
                <w:rFonts w:cs="Arial"/>
                <w:b/>
                <w:color w:val="FFFFFF"/>
                <w:lang w:val="en-GB"/>
              </w:rPr>
              <w:t xml:space="preserve">Maximum mean </w:t>
            </w:r>
          </w:p>
          <w:p w:rsidR="00C41A81" w:rsidRPr="00317DE7" w:rsidRDefault="00C41A81" w:rsidP="00A779E4">
            <w:pPr>
              <w:jc w:val="center"/>
              <w:rPr>
                <w:rFonts w:cs="Arial"/>
                <w:b/>
                <w:color w:val="FFFFFF"/>
                <w:lang w:val="en-GB"/>
              </w:rPr>
            </w:pPr>
            <w:proofErr w:type="gramStart"/>
            <w:r w:rsidRPr="00317DE7">
              <w:rPr>
                <w:rFonts w:cs="Arial"/>
                <w:b/>
                <w:color w:val="FFFFFF"/>
                <w:lang w:val="en-GB"/>
              </w:rPr>
              <w:t>out-of-block</w:t>
            </w:r>
            <w:proofErr w:type="gramEnd"/>
            <w:r w:rsidRPr="00317DE7">
              <w:rPr>
                <w:rFonts w:cs="Arial"/>
                <w:b/>
                <w:color w:val="FFFFFF"/>
                <w:lang w:val="en-GB"/>
              </w:rPr>
              <w:t xml:space="preserve"> </w:t>
            </w:r>
            <w:proofErr w:type="spellStart"/>
            <w:r w:rsidRPr="00317DE7">
              <w:rPr>
                <w:rFonts w:cs="Arial"/>
                <w:b/>
                <w:color w:val="FFFFFF"/>
                <w:lang w:val="en-GB"/>
              </w:rPr>
              <w:t>e.i.r.p</w:t>
            </w:r>
            <w:proofErr w:type="spellEnd"/>
            <w:r w:rsidRPr="00317DE7">
              <w:rPr>
                <w:rFonts w:cs="Arial"/>
                <w:b/>
                <w:color w:val="FFFFFF"/>
                <w:lang w:val="en-GB"/>
              </w:rPr>
              <w:t>.</w:t>
            </w:r>
          </w:p>
          <w:p w:rsidR="00C41A81" w:rsidRPr="00317DE7" w:rsidRDefault="00C41A81" w:rsidP="00A779E4">
            <w:pPr>
              <w:jc w:val="center"/>
              <w:rPr>
                <w:rFonts w:cs="Arial"/>
                <w:b/>
                <w:color w:val="FFFFFF"/>
                <w:lang w:val="en-GB"/>
              </w:rPr>
            </w:pPr>
            <w:r w:rsidRPr="00317DE7">
              <w:rPr>
                <w:rFonts w:cs="Arial"/>
                <w:b/>
                <w:color w:val="FFFFFF"/>
                <w:lang w:val="en-GB"/>
              </w:rPr>
              <w:t>[</w:t>
            </w:r>
            <w:proofErr w:type="spellStart"/>
            <w:r w:rsidRPr="00317DE7">
              <w:rPr>
                <w:rFonts w:cs="Arial"/>
                <w:b/>
                <w:color w:val="FFFFFF"/>
                <w:lang w:val="en-GB"/>
              </w:rPr>
              <w:t>dBm</w:t>
            </w:r>
            <w:proofErr w:type="spellEnd"/>
            <w:r w:rsidRPr="00317DE7">
              <w:rPr>
                <w:rFonts w:cs="Arial"/>
                <w:b/>
                <w:color w:val="FFFFFF"/>
                <w:lang w:val="en-GB"/>
              </w:rPr>
              <w:t>]</w:t>
            </w:r>
          </w:p>
        </w:tc>
        <w:tc>
          <w:tcPr>
            <w:tcW w:w="2727" w:type="dxa"/>
            <w:tcBorders>
              <w:top w:val="single" w:sz="4" w:space="0" w:color="D2232A"/>
              <w:left w:val="single" w:sz="4" w:space="0" w:color="FFFFFF"/>
              <w:bottom w:val="single" w:sz="4" w:space="0" w:color="D2232A"/>
              <w:right w:val="single" w:sz="4" w:space="0" w:color="D2232A"/>
            </w:tcBorders>
            <w:shd w:val="clear" w:color="auto" w:fill="D2232A"/>
          </w:tcPr>
          <w:p w:rsidR="00C41A81" w:rsidRPr="00317DE7" w:rsidRDefault="00C41A81" w:rsidP="00A779E4">
            <w:pPr>
              <w:jc w:val="center"/>
              <w:rPr>
                <w:rFonts w:cs="Arial"/>
                <w:b/>
                <w:color w:val="FFFFFF"/>
                <w:lang w:val="en-GB"/>
              </w:rPr>
            </w:pPr>
            <w:r w:rsidRPr="00317DE7">
              <w:rPr>
                <w:rFonts w:cs="Arial"/>
                <w:b/>
                <w:color w:val="FFFFFF"/>
                <w:lang w:val="en-GB"/>
              </w:rPr>
              <w:t xml:space="preserve">Measurement </w:t>
            </w:r>
          </w:p>
          <w:p w:rsidR="00C41A81" w:rsidRPr="00317DE7" w:rsidRDefault="00C41A81" w:rsidP="00A779E4">
            <w:pPr>
              <w:jc w:val="center"/>
              <w:rPr>
                <w:rFonts w:cs="Arial"/>
                <w:b/>
                <w:color w:val="FFFFFF"/>
                <w:lang w:val="en-GB"/>
              </w:rPr>
            </w:pPr>
            <w:r w:rsidRPr="00317DE7">
              <w:rPr>
                <w:rFonts w:cs="Arial"/>
                <w:b/>
                <w:color w:val="FFFFFF"/>
                <w:lang w:val="en-GB"/>
              </w:rPr>
              <w:t>bandwidth</w:t>
            </w:r>
          </w:p>
          <w:p w:rsidR="00C41A81" w:rsidRPr="00317DE7" w:rsidRDefault="00C41A81" w:rsidP="00A779E4">
            <w:pPr>
              <w:jc w:val="center"/>
              <w:rPr>
                <w:rFonts w:cs="Arial"/>
                <w:b/>
                <w:color w:val="FFFFFF"/>
                <w:lang w:val="en-GB"/>
              </w:rPr>
            </w:pPr>
            <w:r w:rsidRPr="00317DE7">
              <w:rPr>
                <w:rFonts w:cs="Arial"/>
                <w:b/>
                <w:color w:val="FFFFFF"/>
                <w:lang w:val="en-GB"/>
              </w:rPr>
              <w:t>[MHz]</w:t>
            </w:r>
          </w:p>
        </w:tc>
      </w:tr>
      <w:tr w:rsidR="00C41A81" w:rsidRPr="00317DE7" w:rsidTr="00A779E4">
        <w:tc>
          <w:tcPr>
            <w:tcW w:w="4248"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–10 to –5 MHz from lower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 xml:space="preserve">11 </w:t>
            </w:r>
            <w:proofErr w:type="spellStart"/>
            <w:r w:rsidRPr="00317DE7">
              <w:rPr>
                <w:lang w:val="en-GB"/>
              </w:rPr>
              <w:t>dBm</w:t>
            </w:r>
            <w:proofErr w:type="spellEnd"/>
            <w:r w:rsidRPr="00317DE7">
              <w:rPr>
                <w:lang w:val="en-GB"/>
              </w:rPr>
              <w:t xml:space="preserve"> </w:t>
            </w:r>
          </w:p>
        </w:tc>
        <w:tc>
          <w:tcPr>
            <w:tcW w:w="2727"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5 MHz</w:t>
            </w:r>
          </w:p>
        </w:tc>
      </w:tr>
      <w:tr w:rsidR="00C41A81" w:rsidRPr="00317DE7" w:rsidTr="00A779E4">
        <w:tc>
          <w:tcPr>
            <w:tcW w:w="4248"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–5 to 0 MHz from lower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 xml:space="preserve">16.3 </w:t>
            </w:r>
            <w:proofErr w:type="spellStart"/>
            <w:r w:rsidRPr="00317DE7">
              <w:rPr>
                <w:lang w:val="en-GB"/>
              </w:rPr>
              <w:t>dBm</w:t>
            </w:r>
            <w:proofErr w:type="spellEnd"/>
            <w:r w:rsidRPr="00317DE7">
              <w:rPr>
                <w:lang w:val="en-GB"/>
              </w:rPr>
              <w:t xml:space="preserve"> </w:t>
            </w:r>
          </w:p>
        </w:tc>
        <w:tc>
          <w:tcPr>
            <w:tcW w:w="2727"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5 MHz</w:t>
            </w:r>
          </w:p>
        </w:tc>
      </w:tr>
      <w:tr w:rsidR="00C41A81" w:rsidRPr="00317DE7" w:rsidTr="00A779E4">
        <w:tc>
          <w:tcPr>
            <w:tcW w:w="4248"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0 to +5 MHz from upper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 xml:space="preserve">16.3 </w:t>
            </w:r>
            <w:proofErr w:type="spellStart"/>
            <w:r w:rsidRPr="00317DE7">
              <w:rPr>
                <w:lang w:val="en-GB"/>
              </w:rPr>
              <w:t>dBm</w:t>
            </w:r>
            <w:proofErr w:type="spellEnd"/>
            <w:r w:rsidRPr="00317DE7">
              <w:rPr>
                <w:lang w:val="en-GB"/>
              </w:rPr>
              <w:t xml:space="preserve"> </w:t>
            </w:r>
          </w:p>
        </w:tc>
        <w:tc>
          <w:tcPr>
            <w:tcW w:w="2727"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5 MHz</w:t>
            </w:r>
          </w:p>
        </w:tc>
      </w:tr>
      <w:tr w:rsidR="00C41A81" w:rsidRPr="00317DE7" w:rsidTr="00A779E4">
        <w:tc>
          <w:tcPr>
            <w:tcW w:w="4248"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+5 to +10 MHz from upper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 xml:space="preserve">11 </w:t>
            </w:r>
            <w:proofErr w:type="spellStart"/>
            <w:r w:rsidRPr="00317DE7">
              <w:rPr>
                <w:lang w:val="en-GB"/>
              </w:rPr>
              <w:t>dBm</w:t>
            </w:r>
            <w:proofErr w:type="spellEnd"/>
            <w:r w:rsidRPr="00317DE7">
              <w:rPr>
                <w:lang w:val="en-GB"/>
              </w:rPr>
              <w:t xml:space="preserve"> </w:t>
            </w:r>
          </w:p>
        </w:tc>
        <w:tc>
          <w:tcPr>
            <w:tcW w:w="2727"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5 MHz</w:t>
            </w:r>
          </w:p>
        </w:tc>
      </w:tr>
      <w:tr w:rsidR="00C41A81" w:rsidRPr="00317DE7" w:rsidTr="00A779E4">
        <w:tc>
          <w:tcPr>
            <w:tcW w:w="4248"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Remaining MFCN SDL frequencies</w:t>
            </w:r>
          </w:p>
        </w:tc>
        <w:tc>
          <w:tcPr>
            <w:tcW w:w="2880"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 xml:space="preserve">9 </w:t>
            </w:r>
            <w:proofErr w:type="spellStart"/>
            <w:r w:rsidRPr="00317DE7">
              <w:rPr>
                <w:lang w:val="en-GB"/>
              </w:rPr>
              <w:t>dBm</w:t>
            </w:r>
            <w:proofErr w:type="spellEnd"/>
            <w:r w:rsidRPr="00317DE7">
              <w:rPr>
                <w:lang w:val="en-GB"/>
              </w:rPr>
              <w:t xml:space="preserve"> </w:t>
            </w:r>
          </w:p>
        </w:tc>
        <w:tc>
          <w:tcPr>
            <w:tcW w:w="2727"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A779E4">
            <w:pPr>
              <w:rPr>
                <w:lang w:val="en-GB"/>
              </w:rPr>
            </w:pPr>
            <w:r w:rsidRPr="00317DE7">
              <w:rPr>
                <w:lang w:val="en-GB"/>
              </w:rPr>
              <w:t>5 MHz</w:t>
            </w:r>
          </w:p>
        </w:tc>
      </w:tr>
    </w:tbl>
    <w:p w:rsidR="00C41A81" w:rsidRPr="00317DE7" w:rsidRDefault="00C41A81" w:rsidP="00F41A23">
      <w:pPr>
        <w:rPr>
          <w:lang w:val="en-GB"/>
        </w:rPr>
      </w:pPr>
    </w:p>
    <w:p w:rsidR="00C41A81" w:rsidRPr="00317DE7" w:rsidRDefault="0064689E" w:rsidP="00705630">
      <w:pPr>
        <w:pStyle w:val="Heading4"/>
        <w:rPr>
          <w:lang w:val="en-GB"/>
        </w:rPr>
      </w:pPr>
      <w:bookmarkStart w:id="15" w:name="_Toc405359548"/>
      <w:r w:rsidRPr="00317DE7">
        <w:rPr>
          <w:lang w:val="en-GB"/>
        </w:rPr>
        <w:t xml:space="preserve">Coexistence </w:t>
      </w:r>
      <w:r w:rsidR="00C41A81" w:rsidRPr="00317DE7">
        <w:rPr>
          <w:lang w:val="en-GB"/>
        </w:rPr>
        <w:t>between WBB and other applications/services in adjacent bands</w:t>
      </w:r>
      <w:bookmarkEnd w:id="15"/>
    </w:p>
    <w:p w:rsidR="00C41A81" w:rsidRPr="00317DE7" w:rsidRDefault="00C41A81" w:rsidP="008B5880">
      <w:pPr>
        <w:pStyle w:val="ECCParagraph"/>
      </w:pPr>
      <w:r w:rsidRPr="00317DE7">
        <w:t xml:space="preserve">CEPT developed Least Restrictive Technical Conditions based on Out-of-Band Emission (OOBE) limits for WBB SDL to ensure the coexistence between WBB SDL within 1452-1492 MHz and other applications/services in adjacent bands. </w:t>
      </w:r>
    </w:p>
    <w:p w:rsidR="00C41A81" w:rsidRPr="00317DE7" w:rsidRDefault="00C41A81" w:rsidP="008B5880">
      <w:pPr>
        <w:pStyle w:val="ECCParagraph"/>
      </w:pPr>
      <w:r w:rsidRPr="00317DE7">
        <w:lastRenderedPageBreak/>
        <w:t xml:space="preserve">The studies which have been carried out between WBB SDL and other applications/services used in adjacent bands are shown in the figure below. </w:t>
      </w:r>
      <w:r w:rsidR="0064689E" w:rsidRPr="00317DE7">
        <w:t>For the purpose of these studies, aeronautical telemetry is limited to ground stations, which are the only relevant receivers for that application.</w:t>
      </w:r>
    </w:p>
    <w:p w:rsidR="00C41A81" w:rsidRPr="00317DE7" w:rsidRDefault="00C41A81" w:rsidP="00BA22DF">
      <w:pPr>
        <w:rPr>
          <w:lang w:val="en-GB"/>
        </w:rPr>
      </w:pPr>
    </w:p>
    <w:p w:rsidR="00C41A81" w:rsidRPr="00317DE7" w:rsidRDefault="00A569ED" w:rsidP="007A445E">
      <w:pPr>
        <w:pStyle w:val="ECCParagraph"/>
        <w:jc w:val="center"/>
      </w:pPr>
      <w:r w:rsidRPr="00317DE7">
        <w:rPr>
          <w:noProof/>
          <w:lang w:val="da-DK" w:eastAsia="da-DK"/>
        </w:rPr>
        <w:drawing>
          <wp:inline distT="0" distB="0" distL="0" distR="0" wp14:anchorId="240D6DB7" wp14:editId="3236C745">
            <wp:extent cx="5795010" cy="1341755"/>
            <wp:effectExtent l="0" t="0" r="0" b="0"/>
            <wp:docPr id="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5010" cy="1341755"/>
                    </a:xfrm>
                    <a:prstGeom prst="rect">
                      <a:avLst/>
                    </a:prstGeom>
                    <a:noFill/>
                    <a:ln>
                      <a:noFill/>
                    </a:ln>
                  </pic:spPr>
                </pic:pic>
              </a:graphicData>
            </a:graphic>
          </wp:inline>
        </w:drawing>
      </w:r>
    </w:p>
    <w:p w:rsidR="00C41A81" w:rsidRPr="00317DE7" w:rsidRDefault="00C41A81" w:rsidP="00BA22DF">
      <w:pPr>
        <w:pStyle w:val="ECCFiguretitle"/>
      </w:pPr>
      <w:r w:rsidRPr="00317DE7">
        <w:t>Incumbent applications/services in bands adjacent to 1452-1492 MHz</w:t>
      </w:r>
    </w:p>
    <w:p w:rsidR="00C41A81" w:rsidRPr="00317DE7" w:rsidRDefault="00C41A81" w:rsidP="005708C0">
      <w:pPr>
        <w:spacing w:after="240"/>
        <w:jc w:val="both"/>
        <w:rPr>
          <w:lang w:val="en-GB"/>
        </w:rPr>
      </w:pPr>
      <w:r w:rsidRPr="00317DE7">
        <w:rPr>
          <w:lang w:val="en-GB"/>
        </w:rPr>
        <w:t xml:space="preserve">The studies are detailed in ECC Report 202 </w:t>
      </w:r>
      <w:r w:rsidR="000F0A87" w:rsidRPr="00317DE7">
        <w:rPr>
          <w:lang w:val="en-GB"/>
        </w:rPr>
        <w:fldChar w:fldCharType="begin"/>
      </w:r>
      <w:r w:rsidR="000F0A87" w:rsidRPr="00317DE7">
        <w:rPr>
          <w:lang w:val="en-GB"/>
        </w:rPr>
        <w:instrText xml:space="preserve"> REF _Ref387324017 \r \h  \* MERGEFORMAT </w:instrText>
      </w:r>
      <w:r w:rsidR="000F0A87" w:rsidRPr="00317DE7">
        <w:rPr>
          <w:lang w:val="en-GB"/>
        </w:rPr>
      </w:r>
      <w:r w:rsidR="000F0A87" w:rsidRPr="00317DE7">
        <w:rPr>
          <w:lang w:val="en-GB"/>
        </w:rPr>
        <w:fldChar w:fldCharType="separate"/>
      </w:r>
      <w:r w:rsidR="007E0A9D">
        <w:rPr>
          <w:lang w:val="en-GB"/>
        </w:rPr>
        <w:t>[6]</w:t>
      </w:r>
      <w:r w:rsidR="000F0A87" w:rsidRPr="00317DE7">
        <w:rPr>
          <w:lang w:val="en-GB"/>
        </w:rPr>
        <w:fldChar w:fldCharType="end"/>
      </w:r>
      <w:r w:rsidRPr="00317DE7">
        <w:rPr>
          <w:lang w:val="en-GB"/>
        </w:rPr>
        <w:t xml:space="preserve">. They provide in-block and Out-of-Band </w:t>
      </w:r>
      <w:proofErr w:type="spellStart"/>
      <w:r w:rsidRPr="00317DE7">
        <w:rPr>
          <w:lang w:val="en-GB"/>
        </w:rPr>
        <w:t>e.i.r.p</w:t>
      </w:r>
      <w:proofErr w:type="spellEnd"/>
      <w:r w:rsidRPr="00317DE7">
        <w:rPr>
          <w:lang w:val="en-GB"/>
        </w:rPr>
        <w:t xml:space="preserve">. (OOBE) limits, for the harmonised use of 1452-1492 MHz for WBB SDL, which ensure coexistence with applications/services in the adjacent band including Tactical Radio Relays, coordinated Fixed Links and aeronautical telemetry </w:t>
      </w:r>
      <w:r w:rsidR="0064689E" w:rsidRPr="00317DE7">
        <w:rPr>
          <w:lang w:val="en-GB"/>
        </w:rPr>
        <w:t xml:space="preserve">ground </w:t>
      </w:r>
      <w:r w:rsidRPr="00317DE7">
        <w:rPr>
          <w:lang w:val="en-GB"/>
        </w:rPr>
        <w:t xml:space="preserve">stations operating below 1452 MHz and above 1492 </w:t>
      </w:r>
      <w:proofErr w:type="spellStart"/>
      <w:r w:rsidRPr="00317DE7">
        <w:rPr>
          <w:lang w:val="en-GB"/>
        </w:rPr>
        <w:t>MHz.</w:t>
      </w:r>
      <w:proofErr w:type="spellEnd"/>
      <w:r w:rsidRPr="00317DE7">
        <w:rPr>
          <w:lang w:val="en-GB"/>
        </w:rPr>
        <w:t xml:space="preserve"> </w:t>
      </w:r>
    </w:p>
    <w:p w:rsidR="00C41A81" w:rsidRPr="00317DE7" w:rsidRDefault="00C41A81" w:rsidP="00156072">
      <w:pPr>
        <w:pStyle w:val="ECCParagraph"/>
      </w:pPr>
      <w:r w:rsidRPr="00317DE7">
        <w:t xml:space="preserve">These harmonised OOBE limits for the WBB SDL Base Station operating in the band 1452-1492 MHz are provided in the </w:t>
      </w:r>
      <w:r w:rsidR="0064689E" w:rsidRPr="00317DE7">
        <w:fldChar w:fldCharType="begin"/>
      </w:r>
      <w:r w:rsidR="0064689E" w:rsidRPr="00317DE7">
        <w:instrText xml:space="preserve"> REF _Ref397092925 \r \h </w:instrText>
      </w:r>
      <w:r w:rsidR="0064689E" w:rsidRPr="00317DE7">
        <w:fldChar w:fldCharType="separate"/>
      </w:r>
      <w:r w:rsidR="007E0A9D">
        <w:t>Table 3:</w:t>
      </w:r>
      <w:r w:rsidR="0064689E" w:rsidRPr="00317DE7">
        <w:fldChar w:fldCharType="end"/>
      </w:r>
      <w:r w:rsidRPr="00317DE7">
        <w:t>.</w:t>
      </w:r>
    </w:p>
    <w:p w:rsidR="00C41A81" w:rsidRPr="00317DE7" w:rsidRDefault="00C41A81" w:rsidP="00F80D3F">
      <w:pPr>
        <w:pStyle w:val="ECCTabletitle"/>
      </w:pPr>
      <w:r w:rsidRPr="00317DE7">
        <w:t xml:space="preserve"> </w:t>
      </w:r>
      <w:bookmarkStart w:id="16" w:name="_Ref397092925"/>
      <w:r w:rsidRPr="00317DE7">
        <w:t>OOBE limits for the WBB SDL base station operating in 1452-1492 MHz</w:t>
      </w:r>
      <w:bookmarkEnd w:id="16"/>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C41A81" w:rsidRPr="00317DE7" w:rsidTr="00A779E4">
        <w:trPr>
          <w:tblHeader/>
        </w:trPr>
        <w:tc>
          <w:tcPr>
            <w:tcW w:w="4248" w:type="dxa"/>
            <w:tcBorders>
              <w:right w:val="single" w:sz="8" w:space="0" w:color="FFFFFF"/>
            </w:tcBorders>
            <w:shd w:val="clear" w:color="auto" w:fill="D2232A"/>
            <w:vAlign w:val="center"/>
          </w:tcPr>
          <w:p w:rsidR="00C41A81" w:rsidRPr="00317DE7" w:rsidRDefault="00C41A81" w:rsidP="008B5880">
            <w:pPr>
              <w:spacing w:line="288" w:lineRule="auto"/>
              <w:jc w:val="center"/>
              <w:rPr>
                <w:b/>
                <w:color w:val="FFFFFF"/>
                <w:lang w:val="en-GB"/>
              </w:rPr>
            </w:pPr>
            <w:r w:rsidRPr="00317DE7">
              <w:rPr>
                <w:b/>
                <w:color w:val="FFFFFF"/>
                <w:lang w:val="en-GB"/>
              </w:rPr>
              <w:t xml:space="preserve">Frequency range of </w:t>
            </w:r>
          </w:p>
          <w:p w:rsidR="00C41A81" w:rsidRPr="00317DE7" w:rsidRDefault="00C41A81" w:rsidP="008B5880">
            <w:pPr>
              <w:spacing w:line="288" w:lineRule="auto"/>
              <w:jc w:val="center"/>
              <w:rPr>
                <w:b/>
                <w:color w:val="FFFFFF"/>
                <w:lang w:val="en-GB"/>
              </w:rPr>
            </w:pPr>
            <w:r w:rsidRPr="00317DE7">
              <w:rPr>
                <w:b/>
                <w:color w:val="FFFFFF"/>
                <w:lang w:val="en-GB"/>
              </w:rPr>
              <w:t>out-of-band emissions</w:t>
            </w:r>
          </w:p>
        </w:tc>
        <w:tc>
          <w:tcPr>
            <w:tcW w:w="2700" w:type="dxa"/>
            <w:tcBorders>
              <w:left w:val="single" w:sz="8" w:space="0" w:color="FFFFFF"/>
              <w:right w:val="single" w:sz="8" w:space="0" w:color="FFFFFF"/>
            </w:tcBorders>
            <w:shd w:val="clear" w:color="auto" w:fill="D2232A"/>
            <w:vAlign w:val="center"/>
          </w:tcPr>
          <w:p w:rsidR="00C41A81" w:rsidRPr="00317DE7" w:rsidRDefault="00C41A81" w:rsidP="008B5880">
            <w:pPr>
              <w:spacing w:line="288" w:lineRule="auto"/>
              <w:jc w:val="center"/>
              <w:rPr>
                <w:b/>
                <w:color w:val="FFFFFF"/>
                <w:lang w:val="en-GB"/>
              </w:rPr>
            </w:pPr>
            <w:r w:rsidRPr="00317DE7">
              <w:rPr>
                <w:b/>
                <w:color w:val="FFFFFF"/>
                <w:lang w:val="en-GB"/>
              </w:rPr>
              <w:t xml:space="preserve">Maximum mean </w:t>
            </w:r>
          </w:p>
          <w:p w:rsidR="00C41A81" w:rsidRPr="00317DE7" w:rsidRDefault="00C41A81" w:rsidP="008B5880">
            <w:pPr>
              <w:spacing w:line="288" w:lineRule="auto"/>
              <w:jc w:val="center"/>
              <w:rPr>
                <w:b/>
                <w:color w:val="FFFFFF"/>
                <w:lang w:val="en-GB"/>
              </w:rPr>
            </w:pPr>
            <w:r w:rsidRPr="00317DE7">
              <w:rPr>
                <w:b/>
                <w:color w:val="FFFFFF"/>
                <w:lang w:val="en-GB"/>
              </w:rPr>
              <w:t xml:space="preserve">out-of-band </w:t>
            </w:r>
            <w:proofErr w:type="spellStart"/>
            <w:r w:rsidRPr="00317DE7">
              <w:rPr>
                <w:color w:val="FFFFFF"/>
                <w:lang w:val="en-GB"/>
              </w:rPr>
              <w:t>e.i.r.p</w:t>
            </w:r>
            <w:proofErr w:type="spellEnd"/>
            <w:r w:rsidRPr="00317DE7">
              <w:rPr>
                <w:color w:val="FFFFFF"/>
                <w:lang w:val="en-GB"/>
              </w:rPr>
              <w:t>.</w:t>
            </w:r>
          </w:p>
        </w:tc>
        <w:tc>
          <w:tcPr>
            <w:tcW w:w="2907" w:type="dxa"/>
            <w:tcBorders>
              <w:left w:val="single" w:sz="8" w:space="0" w:color="FFFFFF"/>
            </w:tcBorders>
            <w:shd w:val="clear" w:color="auto" w:fill="D2232A"/>
            <w:vAlign w:val="center"/>
          </w:tcPr>
          <w:p w:rsidR="00C41A81" w:rsidRPr="00317DE7" w:rsidRDefault="00C41A81" w:rsidP="008B5880">
            <w:pPr>
              <w:spacing w:line="288" w:lineRule="auto"/>
              <w:jc w:val="center"/>
              <w:rPr>
                <w:b/>
                <w:color w:val="FFFFFF"/>
                <w:lang w:val="en-GB"/>
              </w:rPr>
            </w:pPr>
            <w:r w:rsidRPr="00317DE7">
              <w:rPr>
                <w:b/>
                <w:color w:val="FFFFFF"/>
                <w:lang w:val="en-GB"/>
              </w:rPr>
              <w:t xml:space="preserve">Measurement </w:t>
            </w:r>
          </w:p>
          <w:p w:rsidR="00C41A81" w:rsidRPr="00317DE7" w:rsidRDefault="00C41A81" w:rsidP="008B5880">
            <w:pPr>
              <w:spacing w:line="288" w:lineRule="auto"/>
              <w:jc w:val="center"/>
              <w:rPr>
                <w:b/>
                <w:color w:val="FFFFFF"/>
                <w:lang w:val="en-GB"/>
              </w:rPr>
            </w:pPr>
            <w:r w:rsidRPr="00317DE7">
              <w:rPr>
                <w:b/>
                <w:color w:val="FFFFFF"/>
                <w:lang w:val="en-GB"/>
              </w:rPr>
              <w:t>Bandwidth</w:t>
            </w:r>
          </w:p>
        </w:tc>
      </w:tr>
      <w:tr w:rsidR="00C41A81" w:rsidRPr="00317DE7" w:rsidTr="00A779E4">
        <w:tc>
          <w:tcPr>
            <w:tcW w:w="4248" w:type="dxa"/>
          </w:tcPr>
          <w:p w:rsidR="00C41A81" w:rsidRPr="00317DE7" w:rsidRDefault="00C41A81" w:rsidP="008B5880">
            <w:pPr>
              <w:rPr>
                <w:lang w:val="en-GB"/>
              </w:rPr>
            </w:pPr>
            <w:r w:rsidRPr="00317DE7">
              <w:rPr>
                <w:rFonts w:cs="Arial"/>
                <w:szCs w:val="22"/>
                <w:lang w:val="en-GB"/>
              </w:rPr>
              <w:t>Below 1449 MHz</w:t>
            </w:r>
          </w:p>
        </w:tc>
        <w:tc>
          <w:tcPr>
            <w:tcW w:w="2700" w:type="dxa"/>
          </w:tcPr>
          <w:p w:rsidR="00C41A81" w:rsidRPr="00317DE7" w:rsidRDefault="00C41A81" w:rsidP="008B5880">
            <w:pPr>
              <w:rPr>
                <w:lang w:val="en-GB"/>
              </w:rPr>
            </w:pPr>
            <w:r w:rsidRPr="00317DE7">
              <w:rPr>
                <w:lang w:val="en-GB"/>
              </w:rPr>
              <w:t xml:space="preserve">-20 </w:t>
            </w:r>
            <w:proofErr w:type="spellStart"/>
            <w:r w:rsidRPr="00317DE7">
              <w:rPr>
                <w:lang w:val="en-GB"/>
              </w:rPr>
              <w:t>dBm</w:t>
            </w:r>
            <w:proofErr w:type="spellEnd"/>
            <w:r w:rsidRPr="00317DE7">
              <w:rPr>
                <w:lang w:val="en-GB"/>
              </w:rPr>
              <w:t xml:space="preserve"> </w:t>
            </w:r>
          </w:p>
        </w:tc>
        <w:tc>
          <w:tcPr>
            <w:tcW w:w="2907" w:type="dxa"/>
          </w:tcPr>
          <w:p w:rsidR="00C41A81" w:rsidRPr="00317DE7" w:rsidRDefault="00C41A81" w:rsidP="008B5880">
            <w:pPr>
              <w:rPr>
                <w:lang w:val="en-GB"/>
              </w:rPr>
            </w:pPr>
            <w:r w:rsidRPr="00317DE7">
              <w:rPr>
                <w:lang w:val="en-GB"/>
              </w:rPr>
              <w:t>1 MHz</w:t>
            </w:r>
          </w:p>
        </w:tc>
      </w:tr>
      <w:tr w:rsidR="00C41A81" w:rsidRPr="00317DE7" w:rsidTr="00A779E4">
        <w:tc>
          <w:tcPr>
            <w:tcW w:w="4248" w:type="dxa"/>
          </w:tcPr>
          <w:p w:rsidR="00C41A81" w:rsidRPr="00317DE7" w:rsidRDefault="00C41A81" w:rsidP="008B5880">
            <w:pPr>
              <w:rPr>
                <w:rFonts w:cs="Arial"/>
                <w:lang w:val="en-GB"/>
              </w:rPr>
            </w:pPr>
            <w:r w:rsidRPr="00317DE7">
              <w:rPr>
                <w:rFonts w:cs="Arial"/>
                <w:szCs w:val="22"/>
                <w:lang w:val="en-GB"/>
              </w:rPr>
              <w:t>1449-1452 MHz</w:t>
            </w:r>
          </w:p>
        </w:tc>
        <w:tc>
          <w:tcPr>
            <w:tcW w:w="2700" w:type="dxa"/>
          </w:tcPr>
          <w:p w:rsidR="00C41A81" w:rsidRPr="00317DE7" w:rsidRDefault="00C41A81" w:rsidP="008B5880">
            <w:pPr>
              <w:rPr>
                <w:lang w:val="en-GB"/>
              </w:rPr>
            </w:pPr>
            <w:r w:rsidRPr="00317DE7">
              <w:rPr>
                <w:lang w:val="en-GB"/>
              </w:rPr>
              <w:t xml:space="preserve">14 </w:t>
            </w:r>
            <w:proofErr w:type="spellStart"/>
            <w:r w:rsidRPr="00317DE7">
              <w:rPr>
                <w:lang w:val="en-GB"/>
              </w:rPr>
              <w:t>dBm</w:t>
            </w:r>
            <w:proofErr w:type="spellEnd"/>
          </w:p>
        </w:tc>
        <w:tc>
          <w:tcPr>
            <w:tcW w:w="2907" w:type="dxa"/>
          </w:tcPr>
          <w:p w:rsidR="00C41A81" w:rsidRPr="00317DE7" w:rsidRDefault="00C41A81" w:rsidP="008B5880">
            <w:pPr>
              <w:rPr>
                <w:lang w:val="en-GB"/>
              </w:rPr>
            </w:pPr>
            <w:r w:rsidRPr="00317DE7">
              <w:rPr>
                <w:lang w:val="en-GB"/>
              </w:rPr>
              <w:t>3 MHz</w:t>
            </w:r>
          </w:p>
        </w:tc>
      </w:tr>
      <w:tr w:rsidR="00C41A81" w:rsidRPr="00317DE7" w:rsidTr="00A779E4">
        <w:tc>
          <w:tcPr>
            <w:tcW w:w="4248" w:type="dxa"/>
          </w:tcPr>
          <w:p w:rsidR="00C41A81" w:rsidRPr="00317DE7" w:rsidRDefault="00C41A81" w:rsidP="008B5880">
            <w:pPr>
              <w:rPr>
                <w:rFonts w:cs="Arial"/>
                <w:lang w:val="en-GB"/>
              </w:rPr>
            </w:pPr>
            <w:r w:rsidRPr="00317DE7">
              <w:rPr>
                <w:rFonts w:cs="Arial"/>
                <w:szCs w:val="22"/>
                <w:lang w:val="en-GB"/>
              </w:rPr>
              <w:t>1492-1495 MHz</w:t>
            </w:r>
          </w:p>
        </w:tc>
        <w:tc>
          <w:tcPr>
            <w:tcW w:w="2700" w:type="dxa"/>
          </w:tcPr>
          <w:p w:rsidR="00C41A81" w:rsidRPr="00317DE7" w:rsidRDefault="00C41A81" w:rsidP="008B5880">
            <w:pPr>
              <w:rPr>
                <w:lang w:val="en-GB"/>
              </w:rPr>
            </w:pPr>
            <w:r w:rsidRPr="00317DE7">
              <w:rPr>
                <w:lang w:val="en-GB"/>
              </w:rPr>
              <w:t xml:space="preserve">14 </w:t>
            </w:r>
            <w:proofErr w:type="spellStart"/>
            <w:r w:rsidRPr="00317DE7">
              <w:rPr>
                <w:lang w:val="en-GB"/>
              </w:rPr>
              <w:t>dBm</w:t>
            </w:r>
            <w:proofErr w:type="spellEnd"/>
          </w:p>
        </w:tc>
        <w:tc>
          <w:tcPr>
            <w:tcW w:w="2907" w:type="dxa"/>
          </w:tcPr>
          <w:p w:rsidR="00C41A81" w:rsidRPr="00317DE7" w:rsidRDefault="00C41A81" w:rsidP="008B5880">
            <w:pPr>
              <w:rPr>
                <w:lang w:val="en-GB"/>
              </w:rPr>
            </w:pPr>
            <w:r w:rsidRPr="00317DE7">
              <w:rPr>
                <w:lang w:val="en-GB"/>
              </w:rPr>
              <w:t>3 MHz</w:t>
            </w:r>
          </w:p>
        </w:tc>
      </w:tr>
      <w:tr w:rsidR="00C41A81" w:rsidRPr="00317DE7" w:rsidTr="00A779E4">
        <w:trPr>
          <w:trHeight w:val="170"/>
        </w:trPr>
        <w:tc>
          <w:tcPr>
            <w:tcW w:w="4248" w:type="dxa"/>
          </w:tcPr>
          <w:p w:rsidR="00C41A81" w:rsidRPr="00317DE7" w:rsidRDefault="00C41A81" w:rsidP="008B5880">
            <w:pPr>
              <w:rPr>
                <w:lang w:val="en-GB"/>
              </w:rPr>
            </w:pPr>
            <w:r w:rsidRPr="00317DE7">
              <w:rPr>
                <w:rFonts w:cs="Arial"/>
                <w:szCs w:val="22"/>
                <w:lang w:val="en-GB"/>
              </w:rPr>
              <w:t>Above 1495 MHz</w:t>
            </w:r>
          </w:p>
        </w:tc>
        <w:tc>
          <w:tcPr>
            <w:tcW w:w="2700" w:type="dxa"/>
          </w:tcPr>
          <w:p w:rsidR="00C41A81" w:rsidRPr="00317DE7" w:rsidRDefault="00C41A81" w:rsidP="008B5880">
            <w:pPr>
              <w:rPr>
                <w:lang w:val="en-GB"/>
              </w:rPr>
            </w:pPr>
            <w:r w:rsidRPr="00317DE7">
              <w:rPr>
                <w:lang w:val="en-GB"/>
              </w:rPr>
              <w:t xml:space="preserve">-20 </w:t>
            </w:r>
            <w:proofErr w:type="spellStart"/>
            <w:r w:rsidRPr="00317DE7">
              <w:rPr>
                <w:lang w:val="en-GB"/>
              </w:rPr>
              <w:t>dBm</w:t>
            </w:r>
            <w:proofErr w:type="spellEnd"/>
            <w:r w:rsidRPr="00317DE7">
              <w:rPr>
                <w:lang w:val="en-GB"/>
              </w:rPr>
              <w:t xml:space="preserve"> </w:t>
            </w:r>
          </w:p>
        </w:tc>
        <w:tc>
          <w:tcPr>
            <w:tcW w:w="2907" w:type="dxa"/>
          </w:tcPr>
          <w:p w:rsidR="00C41A81" w:rsidRPr="00317DE7" w:rsidRDefault="00C41A81" w:rsidP="008B5880">
            <w:pPr>
              <w:jc w:val="both"/>
              <w:rPr>
                <w:lang w:val="en-GB"/>
              </w:rPr>
            </w:pPr>
            <w:r w:rsidRPr="00317DE7">
              <w:rPr>
                <w:lang w:val="en-GB"/>
              </w:rPr>
              <w:t>1 MHz</w:t>
            </w:r>
          </w:p>
        </w:tc>
      </w:tr>
    </w:tbl>
    <w:p w:rsidR="00C41A81" w:rsidRPr="00317DE7" w:rsidRDefault="00C41A81" w:rsidP="0096389D">
      <w:pPr>
        <w:spacing w:after="240"/>
        <w:jc w:val="both"/>
        <w:rPr>
          <w:lang w:val="en-GB"/>
        </w:rPr>
      </w:pPr>
    </w:p>
    <w:p w:rsidR="00C41A81" w:rsidRPr="00317DE7" w:rsidRDefault="00C41A81" w:rsidP="001166D5">
      <w:pPr>
        <w:spacing w:after="240"/>
        <w:jc w:val="both"/>
        <w:rPr>
          <w:lang w:val="en-GB"/>
        </w:rPr>
      </w:pPr>
      <w:r w:rsidRPr="00317DE7">
        <w:rPr>
          <w:lang w:val="en-GB"/>
        </w:rPr>
        <w:t xml:space="preserve">Furthermore, the Report </w:t>
      </w:r>
      <w:r w:rsidR="009A76A7" w:rsidRPr="00317DE7">
        <w:rPr>
          <w:lang w:val="en-GB"/>
        </w:rPr>
        <w:fldChar w:fldCharType="begin"/>
      </w:r>
      <w:r w:rsidR="009A76A7" w:rsidRPr="00317DE7">
        <w:rPr>
          <w:lang w:val="en-GB"/>
        </w:rPr>
        <w:instrText xml:space="preserve"> REF _Ref387324017 \r \h </w:instrText>
      </w:r>
      <w:r w:rsidR="009A76A7" w:rsidRPr="00317DE7">
        <w:rPr>
          <w:lang w:val="en-GB"/>
        </w:rPr>
      </w:r>
      <w:r w:rsidR="009A76A7" w:rsidRPr="00317DE7">
        <w:rPr>
          <w:lang w:val="en-GB"/>
        </w:rPr>
        <w:fldChar w:fldCharType="separate"/>
      </w:r>
      <w:r w:rsidR="007E0A9D">
        <w:rPr>
          <w:lang w:val="en-GB"/>
        </w:rPr>
        <w:t>[6]</w:t>
      </w:r>
      <w:r w:rsidR="009A76A7" w:rsidRPr="00317DE7">
        <w:rPr>
          <w:lang w:val="en-GB"/>
        </w:rPr>
        <w:fldChar w:fldCharType="end"/>
      </w:r>
      <w:r w:rsidR="009A76A7" w:rsidRPr="00317DE7">
        <w:rPr>
          <w:lang w:val="en-GB"/>
        </w:rPr>
        <w:t xml:space="preserve"> </w:t>
      </w:r>
      <w:r w:rsidRPr="00317DE7">
        <w:rPr>
          <w:lang w:val="en-GB"/>
        </w:rPr>
        <w:t xml:space="preserve">concludes that, in addition to these OOBE, coexistence between MFCN SDL and coordinated fixed link stations, as well as coexistence between MFCN SDL and aeronautical telemetry stations in adjacent bands, within the territory of an administration, can be managed and ensured through network and frequency planning coordination (i.e. frequency/engineering planning which may require additional technical/operational conditions being applied i.e. frequency-territorial planning, depending on national circumstances). It should be noted that the Fixed Link protection and assignment criteria are different from country to country. Examples of coordination distances which are country specific, technical criteria and conditions are available in ECC Report 202 </w:t>
      </w:r>
      <w:r w:rsidR="000F0A87" w:rsidRPr="00317DE7">
        <w:rPr>
          <w:lang w:val="en-GB"/>
        </w:rPr>
        <w:fldChar w:fldCharType="begin"/>
      </w:r>
      <w:r w:rsidR="000F0A87" w:rsidRPr="00317DE7">
        <w:rPr>
          <w:lang w:val="en-GB"/>
        </w:rPr>
        <w:instrText xml:space="preserve"> REF _Ref387324017 \r \h  \* MERGEFORMAT </w:instrText>
      </w:r>
      <w:r w:rsidR="000F0A87" w:rsidRPr="00317DE7">
        <w:rPr>
          <w:lang w:val="en-GB"/>
        </w:rPr>
      </w:r>
      <w:r w:rsidR="000F0A87" w:rsidRPr="00317DE7">
        <w:rPr>
          <w:lang w:val="en-GB"/>
        </w:rPr>
        <w:fldChar w:fldCharType="separate"/>
      </w:r>
      <w:r w:rsidR="007E0A9D">
        <w:rPr>
          <w:lang w:val="en-GB"/>
        </w:rPr>
        <w:t>[6]</w:t>
      </w:r>
      <w:r w:rsidR="000F0A87" w:rsidRPr="00317DE7">
        <w:rPr>
          <w:lang w:val="en-GB"/>
        </w:rPr>
        <w:fldChar w:fldCharType="end"/>
      </w:r>
      <w:r w:rsidRPr="00317DE7">
        <w:rPr>
          <w:lang w:val="en-GB"/>
        </w:rPr>
        <w:t>.</w:t>
      </w:r>
    </w:p>
    <w:p w:rsidR="00C41A81" w:rsidRPr="00317DE7" w:rsidRDefault="00F470FA" w:rsidP="003D1687">
      <w:pPr>
        <w:pStyle w:val="ECCParagraph"/>
        <w:tabs>
          <w:tab w:val="left" w:pos="0"/>
        </w:tabs>
        <w:rPr>
          <w:rFonts w:cs="Arial"/>
          <w:szCs w:val="20"/>
        </w:rPr>
      </w:pPr>
      <w:r w:rsidRPr="00317DE7">
        <w:rPr>
          <w:rFonts w:cs="Arial"/>
          <w:szCs w:val="20"/>
        </w:rPr>
        <w:t xml:space="preserve">Based on MFCN SDL deployment requirements and on compatibility with other applications/services operating in adjacent bands, </w:t>
      </w:r>
      <w:r w:rsidR="0064689E" w:rsidRPr="00317DE7">
        <w:rPr>
          <w:rFonts w:cs="Arial"/>
          <w:szCs w:val="20"/>
        </w:rPr>
        <w:t xml:space="preserve">administration could at national level restrict the base station in-band </w:t>
      </w:r>
      <w:proofErr w:type="spellStart"/>
      <w:r w:rsidR="0064689E" w:rsidRPr="00317DE7">
        <w:rPr>
          <w:rFonts w:cs="Arial"/>
          <w:szCs w:val="20"/>
        </w:rPr>
        <w:t>e.i.r.p</w:t>
      </w:r>
      <w:proofErr w:type="spellEnd"/>
      <w:r w:rsidR="0064689E" w:rsidRPr="00317DE7">
        <w:rPr>
          <w:rFonts w:cs="Arial"/>
          <w:szCs w:val="20"/>
        </w:rPr>
        <w:t xml:space="preserve">. limit. Such limit may range up to 68 </w:t>
      </w:r>
      <w:proofErr w:type="spellStart"/>
      <w:r w:rsidR="0064689E" w:rsidRPr="00317DE7">
        <w:rPr>
          <w:rFonts w:cs="Arial"/>
          <w:szCs w:val="20"/>
        </w:rPr>
        <w:t>dBm</w:t>
      </w:r>
      <w:proofErr w:type="spellEnd"/>
      <w:r w:rsidR="0064689E" w:rsidRPr="00317DE7">
        <w:rPr>
          <w:rFonts w:cs="Arial"/>
          <w:szCs w:val="20"/>
        </w:rPr>
        <w:t xml:space="preserve"> / 5 MHz while higher</w:t>
      </w:r>
      <w:r w:rsidR="0064689E" w:rsidRPr="00317DE7">
        <w:rPr>
          <w:szCs w:val="20"/>
        </w:rPr>
        <w:t xml:space="preserve"> </w:t>
      </w:r>
      <w:proofErr w:type="spellStart"/>
      <w:r w:rsidR="0064689E" w:rsidRPr="00317DE7">
        <w:rPr>
          <w:szCs w:val="20"/>
        </w:rPr>
        <w:t>e.i.r.p</w:t>
      </w:r>
      <w:proofErr w:type="spellEnd"/>
      <w:r w:rsidR="0064689E" w:rsidRPr="00317DE7">
        <w:rPr>
          <w:szCs w:val="20"/>
        </w:rPr>
        <w:t xml:space="preserve"> levels may also be considered in specific circumstances</w:t>
      </w:r>
      <w:r w:rsidR="00C76DFE" w:rsidRPr="00317DE7">
        <w:rPr>
          <w:szCs w:val="20"/>
        </w:rPr>
        <w:t xml:space="preserve"> (e.g., when the </w:t>
      </w:r>
      <w:r w:rsidR="00C76DFE" w:rsidRPr="00317DE7">
        <w:rPr>
          <w:rFonts w:cs="Arial"/>
          <w:szCs w:val="20"/>
        </w:rPr>
        <w:t>1452-1492 MHz SDL band is be aggregated with FDD coverage bands in lower frequencies, so as to ensure the SDL capacity all over the base station cell)</w:t>
      </w:r>
      <w:r w:rsidR="0064689E" w:rsidRPr="00317DE7">
        <w:rPr>
          <w:szCs w:val="20"/>
        </w:rPr>
        <w:t>.</w:t>
      </w:r>
      <w:r w:rsidR="00C41A81" w:rsidRPr="00317DE7">
        <w:rPr>
          <w:szCs w:val="20"/>
        </w:rPr>
        <w:t xml:space="preserve"> </w:t>
      </w:r>
      <w:r w:rsidRPr="00317DE7">
        <w:rPr>
          <w:szCs w:val="20"/>
        </w:rPr>
        <w:t xml:space="preserve">For the purpose of this Report, the </w:t>
      </w:r>
      <w:proofErr w:type="spellStart"/>
      <w:r w:rsidRPr="00317DE7">
        <w:rPr>
          <w:szCs w:val="20"/>
        </w:rPr>
        <w:t>e.i.r.p</w:t>
      </w:r>
      <w:proofErr w:type="spellEnd"/>
      <w:r w:rsidRPr="00317DE7">
        <w:rPr>
          <w:szCs w:val="20"/>
        </w:rPr>
        <w:t>. is the total radiated power in any direction at a single location independent of any base</w:t>
      </w:r>
      <w:r w:rsidR="00C76DFE" w:rsidRPr="00317DE7">
        <w:rPr>
          <w:szCs w:val="20"/>
        </w:rPr>
        <w:t xml:space="preserve"> </w:t>
      </w:r>
      <w:r w:rsidRPr="00317DE7">
        <w:rPr>
          <w:szCs w:val="20"/>
        </w:rPr>
        <w:t>station configuration</w:t>
      </w:r>
      <w:r w:rsidRPr="00317DE7">
        <w:rPr>
          <w:rStyle w:val="FootnoteReference"/>
          <w:szCs w:val="20"/>
        </w:rPr>
        <w:footnoteReference w:id="4"/>
      </w:r>
      <w:r w:rsidRPr="00317DE7">
        <w:rPr>
          <w:szCs w:val="20"/>
        </w:rPr>
        <w:t>.</w:t>
      </w:r>
    </w:p>
    <w:p w:rsidR="00C41A81" w:rsidRPr="00317DE7" w:rsidRDefault="0064689E" w:rsidP="00A068F7">
      <w:pPr>
        <w:spacing w:after="240"/>
        <w:jc w:val="both"/>
        <w:rPr>
          <w:lang w:val="en-GB"/>
        </w:rPr>
      </w:pPr>
      <w:r w:rsidRPr="00317DE7">
        <w:rPr>
          <w:lang w:val="en-GB"/>
        </w:rPr>
        <w:t xml:space="preserve">For the specific case of coexistence with ‘uncoordinated’ fixed links, </w:t>
      </w:r>
      <w:r w:rsidR="00F470FA" w:rsidRPr="00317DE7">
        <w:rPr>
          <w:lang w:val="en-GB"/>
        </w:rPr>
        <w:t xml:space="preserve">ECC </w:t>
      </w:r>
      <w:r w:rsidRPr="00317DE7">
        <w:rPr>
          <w:lang w:val="en-GB"/>
        </w:rPr>
        <w:t xml:space="preserve">Report 202 </w:t>
      </w:r>
      <w:r w:rsidRPr="00317DE7">
        <w:rPr>
          <w:lang w:val="en-GB"/>
        </w:rPr>
        <w:fldChar w:fldCharType="begin"/>
      </w:r>
      <w:r w:rsidRPr="00317DE7">
        <w:rPr>
          <w:lang w:val="en-GB"/>
        </w:rPr>
        <w:instrText xml:space="preserve"> REF _Ref387324017 \r \h  \* MERGEFORMAT </w:instrText>
      </w:r>
      <w:r w:rsidRPr="00317DE7">
        <w:rPr>
          <w:lang w:val="en-GB"/>
        </w:rPr>
      </w:r>
      <w:r w:rsidRPr="00317DE7">
        <w:rPr>
          <w:lang w:val="en-GB"/>
        </w:rPr>
        <w:fldChar w:fldCharType="separate"/>
      </w:r>
      <w:r w:rsidR="007E0A9D">
        <w:rPr>
          <w:lang w:val="en-GB"/>
        </w:rPr>
        <w:t>[6]</w:t>
      </w:r>
      <w:r w:rsidRPr="00317DE7">
        <w:rPr>
          <w:lang w:val="en-GB"/>
        </w:rPr>
        <w:fldChar w:fldCharType="end"/>
      </w:r>
      <w:r w:rsidRPr="00317DE7">
        <w:rPr>
          <w:lang w:val="en-GB"/>
        </w:rPr>
        <w:t xml:space="preserve"> also provides specific MFCN SDL in-block and out-of-band </w:t>
      </w:r>
      <w:proofErr w:type="spellStart"/>
      <w:r w:rsidRPr="00317DE7">
        <w:rPr>
          <w:lang w:val="en-GB"/>
        </w:rPr>
        <w:t>e.i.r.p</w:t>
      </w:r>
      <w:proofErr w:type="spellEnd"/>
      <w:r w:rsidRPr="00317DE7">
        <w:rPr>
          <w:lang w:val="en-GB"/>
        </w:rPr>
        <w:t xml:space="preserve">. ‘Uncoordinated fixed links” refer to fixed links operating below 1452 or above 1492 MHz in an uncoordinated manner and not having specific operation locations. It </w:t>
      </w:r>
      <w:r w:rsidRPr="00317DE7">
        <w:rPr>
          <w:lang w:val="en-GB"/>
        </w:rPr>
        <w:lastRenderedPageBreak/>
        <w:t>was noted that this situation was rare and that the fixed link protection and assignment criteria are different from country to country and that s</w:t>
      </w:r>
      <w:r w:rsidRPr="00317DE7">
        <w:rPr>
          <w:rFonts w:cs="Arial"/>
          <w:szCs w:val="20"/>
          <w:lang w:val="en-GB" w:eastAsia="fr-FR"/>
        </w:rPr>
        <w:t xml:space="preserve">ome administrations may consider uncoordinated fixed links as fixed service, whereas other administrations may consider it as mobile service with different criteria. </w:t>
      </w:r>
      <w:r w:rsidRPr="00317DE7">
        <w:rPr>
          <w:lang w:val="en-GB"/>
        </w:rPr>
        <w:t xml:space="preserve">For this compatibility scenario between SDL with adjacent band uncoordinated fixed links, where the fixed link equipment, its position and its antenna alignment are completely unknown (from the SDL perspective), on the basis of Monte Carlo simulations and where there are no SDL base stations directly within the fixed link antenna main beam, </w:t>
      </w:r>
      <w:r w:rsidR="00F470FA" w:rsidRPr="00317DE7">
        <w:rPr>
          <w:lang w:val="en-GB"/>
        </w:rPr>
        <w:t xml:space="preserve">ECC </w:t>
      </w:r>
      <w:r w:rsidRPr="00317DE7">
        <w:rPr>
          <w:lang w:val="en-GB"/>
        </w:rPr>
        <w:t xml:space="preserve">Report 202 </w:t>
      </w:r>
      <w:r w:rsidRPr="00317DE7">
        <w:rPr>
          <w:lang w:val="en-GB"/>
        </w:rPr>
        <w:fldChar w:fldCharType="begin"/>
      </w:r>
      <w:r w:rsidRPr="00317DE7">
        <w:rPr>
          <w:lang w:val="en-GB"/>
        </w:rPr>
        <w:instrText xml:space="preserve"> REF _Ref387324017 \r \h  \* MERGEFORMAT </w:instrText>
      </w:r>
      <w:r w:rsidRPr="00317DE7">
        <w:rPr>
          <w:lang w:val="en-GB"/>
        </w:rPr>
      </w:r>
      <w:r w:rsidRPr="00317DE7">
        <w:rPr>
          <w:lang w:val="en-GB"/>
        </w:rPr>
        <w:fldChar w:fldCharType="separate"/>
      </w:r>
      <w:r w:rsidR="007E0A9D">
        <w:rPr>
          <w:lang w:val="en-GB"/>
        </w:rPr>
        <w:t>[6]</w:t>
      </w:r>
      <w:r w:rsidRPr="00317DE7">
        <w:rPr>
          <w:lang w:val="en-GB"/>
        </w:rPr>
        <w:fldChar w:fldCharType="end"/>
      </w:r>
      <w:r w:rsidRPr="00317DE7">
        <w:rPr>
          <w:lang w:val="en-GB"/>
        </w:rPr>
        <w:t xml:space="preserve"> provides an out of band emission limit of -38.5 </w:t>
      </w:r>
      <w:proofErr w:type="spellStart"/>
      <w:r w:rsidRPr="00317DE7">
        <w:rPr>
          <w:lang w:val="en-GB"/>
        </w:rPr>
        <w:t>dBm</w:t>
      </w:r>
      <w:proofErr w:type="spellEnd"/>
      <w:r w:rsidRPr="00317DE7">
        <w:rPr>
          <w:lang w:val="en-GB"/>
        </w:rPr>
        <w:t xml:space="preserve">/MHz (respectively, -26.2 </w:t>
      </w:r>
      <w:proofErr w:type="spellStart"/>
      <w:r w:rsidRPr="00317DE7">
        <w:rPr>
          <w:lang w:val="en-GB"/>
        </w:rPr>
        <w:t>dBm</w:t>
      </w:r>
      <w:proofErr w:type="spellEnd"/>
      <w:r w:rsidRPr="00317DE7">
        <w:rPr>
          <w:lang w:val="en-GB"/>
        </w:rPr>
        <w:t xml:space="preserve">/MHz) for I/N protection criteria of -20 dB (resp. -6 dB) with a minimum separation distance requirement of 250 m and additional limits on the in band SDL base station maximum </w:t>
      </w:r>
      <w:proofErr w:type="spellStart"/>
      <w:r w:rsidRPr="00317DE7">
        <w:rPr>
          <w:lang w:val="en-GB"/>
        </w:rPr>
        <w:t>e.i.r.p</w:t>
      </w:r>
      <w:proofErr w:type="spellEnd"/>
      <w:r w:rsidRPr="00317DE7">
        <w:rPr>
          <w:lang w:val="en-GB"/>
        </w:rPr>
        <w:t>.</w:t>
      </w:r>
      <w:r w:rsidR="0047518A" w:rsidRPr="00317DE7">
        <w:rPr>
          <w:lang w:val="en-GB"/>
        </w:rPr>
        <w:t xml:space="preserve"> of</w:t>
      </w:r>
      <w:r w:rsidRPr="00317DE7">
        <w:rPr>
          <w:lang w:val="en-GB"/>
        </w:rPr>
        <w:t xml:space="preserve"> 11.8 </w:t>
      </w:r>
      <w:proofErr w:type="spellStart"/>
      <w:r w:rsidRPr="00317DE7">
        <w:rPr>
          <w:lang w:val="en-GB"/>
        </w:rPr>
        <w:t>dBm</w:t>
      </w:r>
      <w:proofErr w:type="spellEnd"/>
      <w:r w:rsidR="0047518A" w:rsidRPr="00317DE7">
        <w:rPr>
          <w:lang w:val="en-GB"/>
        </w:rPr>
        <w:t xml:space="preserve"> (resp. </w:t>
      </w:r>
      <w:r w:rsidR="0047518A" w:rsidRPr="00317DE7">
        <w:rPr>
          <w:rFonts w:ascii="ArialMT" w:hAnsi="ArialMT" w:cs="ArialMT"/>
          <w:sz w:val="19"/>
          <w:szCs w:val="19"/>
          <w:lang w:val="en-GB" w:eastAsia="de-DE"/>
        </w:rPr>
        <w:t xml:space="preserve">33.4 </w:t>
      </w:r>
      <w:proofErr w:type="spellStart"/>
      <w:r w:rsidR="0047518A" w:rsidRPr="00317DE7">
        <w:rPr>
          <w:rFonts w:ascii="ArialMT" w:hAnsi="ArialMT" w:cs="ArialMT"/>
          <w:sz w:val="19"/>
          <w:szCs w:val="19"/>
          <w:lang w:val="en-GB" w:eastAsia="de-DE"/>
        </w:rPr>
        <w:t>dBm</w:t>
      </w:r>
      <w:proofErr w:type="spellEnd"/>
      <w:r w:rsidR="0047518A" w:rsidRPr="00317DE7">
        <w:rPr>
          <w:rFonts w:ascii="ArialMT" w:hAnsi="ArialMT" w:cs="ArialMT"/>
          <w:sz w:val="19"/>
          <w:szCs w:val="19"/>
          <w:lang w:val="en-GB" w:eastAsia="de-DE"/>
        </w:rPr>
        <w:t>)</w:t>
      </w:r>
      <w:r w:rsidRPr="00317DE7">
        <w:rPr>
          <w:lang w:val="en-GB"/>
        </w:rPr>
        <w:t xml:space="preserve"> for the first and last 5 MHz channel and 20.2 </w:t>
      </w:r>
      <w:proofErr w:type="spellStart"/>
      <w:r w:rsidRPr="00317DE7">
        <w:rPr>
          <w:lang w:val="en-GB"/>
        </w:rPr>
        <w:t>dBm</w:t>
      </w:r>
      <w:proofErr w:type="spellEnd"/>
      <w:r w:rsidR="0047518A" w:rsidRPr="00317DE7">
        <w:rPr>
          <w:lang w:val="en-GB"/>
        </w:rPr>
        <w:t xml:space="preserve"> (resp. 34 </w:t>
      </w:r>
      <w:proofErr w:type="spellStart"/>
      <w:r w:rsidR="0047518A" w:rsidRPr="00317DE7">
        <w:rPr>
          <w:lang w:val="en-GB"/>
        </w:rPr>
        <w:t>dBm</w:t>
      </w:r>
      <w:proofErr w:type="spellEnd"/>
      <w:r w:rsidR="0047518A" w:rsidRPr="00317DE7">
        <w:rPr>
          <w:lang w:val="en-GB"/>
        </w:rPr>
        <w:t>)</w:t>
      </w:r>
      <w:r w:rsidRPr="00317DE7">
        <w:rPr>
          <w:lang w:val="en-GB"/>
        </w:rPr>
        <w:t xml:space="preserve"> for the rest of the band, to address uncoordinated fixed links adjacent band selectivity and blocking requirement. However, the Report notes that uncoordinated fixed links with directional antennas above rooftop at any location pointing to any direction with low interference threshold results in extremely stringent requirements for systems in adjacent bands and that under such conditions, the band 1452-1492 MHz is practically unusable for any terrestrial system and that the deployment of uncoordinated fixed links in a country is incompatible with the implementation of the Maastricht Special Arrangement for this country.</w:t>
      </w:r>
    </w:p>
    <w:p w:rsidR="00C41A81" w:rsidRPr="00317DE7" w:rsidRDefault="00C41A81" w:rsidP="0032310B">
      <w:pPr>
        <w:pStyle w:val="ECCParagraph"/>
      </w:pPr>
      <w:r w:rsidRPr="00317DE7">
        <w:t>It can therefore be concluded that in addition to the harmonised out-of-band emission limits, some administrations may need to develop and implement additional technical and/or procedural measures, such as site coordination and/or more stringent out-of-band emissions, which take into account the specific national situations, to enable the use of 1452-1492 MHz for SDL while ensuring compatibility between SDL and systems in adjacent</w:t>
      </w:r>
      <w:r w:rsidR="0064689E" w:rsidRPr="00317DE7">
        <w:t xml:space="preserve"> </w:t>
      </w:r>
      <w:r w:rsidRPr="00317DE7">
        <w:t>bands.</w:t>
      </w:r>
    </w:p>
    <w:p w:rsidR="00C41A81" w:rsidRPr="00317DE7" w:rsidRDefault="00C41A81" w:rsidP="00CA08EC">
      <w:pPr>
        <w:pStyle w:val="Heading3"/>
        <w:rPr>
          <w:lang w:val="en-GB"/>
        </w:rPr>
      </w:pPr>
      <w:bookmarkStart w:id="17" w:name="_Toc405359549"/>
      <w:r w:rsidRPr="00317DE7">
        <w:rPr>
          <w:lang w:val="en-GB"/>
        </w:rPr>
        <w:t>Coexistence between WBB and other incumbent applications/services in the band</w:t>
      </w:r>
      <w:bookmarkEnd w:id="17"/>
    </w:p>
    <w:p w:rsidR="000F0A87" w:rsidRPr="00317DE7" w:rsidRDefault="00C41A81" w:rsidP="00AC1B70">
      <w:pPr>
        <w:pStyle w:val="ECCParagraph"/>
      </w:pPr>
      <w:r w:rsidRPr="00317DE7">
        <w:t xml:space="preserve">Some CEPT administrations have identified the need to maintain, as a matter of national flexibility, the use of </w:t>
      </w:r>
      <w:r w:rsidR="00F91872" w:rsidRPr="00317DE7">
        <w:t>T</w:t>
      </w:r>
      <w:r w:rsidRPr="00317DE7">
        <w:t xml:space="preserve">errestrial </w:t>
      </w:r>
      <w:r w:rsidR="00F91872" w:rsidRPr="00317DE7">
        <w:t>D</w:t>
      </w:r>
      <w:r w:rsidRPr="00317DE7">
        <w:t xml:space="preserve">igital </w:t>
      </w:r>
      <w:r w:rsidR="00F91872" w:rsidRPr="00317DE7">
        <w:t>A</w:t>
      </w:r>
      <w:r w:rsidRPr="00317DE7">
        <w:t xml:space="preserve">udio </w:t>
      </w:r>
      <w:r w:rsidR="00F91872" w:rsidRPr="00317DE7">
        <w:t>B</w:t>
      </w:r>
      <w:r w:rsidRPr="00317DE7">
        <w:t>road</w:t>
      </w:r>
      <w:r w:rsidR="00F91872" w:rsidRPr="00317DE7">
        <w:t>casting</w:t>
      </w:r>
      <w:r w:rsidRPr="00317DE7">
        <w:t xml:space="preserve"> (T-DAB) in part of the band 1452-1479.5 </w:t>
      </w:r>
      <w:proofErr w:type="spellStart"/>
      <w:r w:rsidRPr="00317DE7">
        <w:t>MHz.</w:t>
      </w:r>
      <w:proofErr w:type="spellEnd"/>
      <w:r w:rsidRPr="00317DE7">
        <w:t xml:space="preserve"> T-DAB is therefore the only incumbent application which would require in-band </w:t>
      </w:r>
      <w:r w:rsidR="000F0A87" w:rsidRPr="00317DE7">
        <w:t xml:space="preserve">adjacent </w:t>
      </w:r>
      <w:r w:rsidRPr="00317DE7">
        <w:t>channel coexistence study in the context of this Mandate.</w:t>
      </w:r>
    </w:p>
    <w:p w:rsidR="00F5380E" w:rsidRPr="00317DE7" w:rsidRDefault="00F5380E" w:rsidP="00F5380E">
      <w:pPr>
        <w:pStyle w:val="ECCParagraph"/>
      </w:pPr>
      <w:r w:rsidRPr="00317DE7">
        <w:t xml:space="preserve">The interference from SDL to T-DAB in adjacent channel is moderate under assumptions corresponding to rural deployment. In such a case, deployment with limited (0.5 MHz) guard band seems to be appropriate. In urban environment, the probability of interference from SDL implementing the out-of-block emission from </w:t>
      </w:r>
      <w:r w:rsidR="00F80D3F" w:rsidRPr="00317DE7">
        <w:fldChar w:fldCharType="begin"/>
      </w:r>
      <w:r w:rsidR="00F80D3F" w:rsidRPr="00317DE7">
        <w:instrText xml:space="preserve"> REF _Ref397092821 \r \h </w:instrText>
      </w:r>
      <w:r w:rsidR="00F80D3F" w:rsidRPr="00317DE7">
        <w:fldChar w:fldCharType="separate"/>
      </w:r>
      <w:r w:rsidR="007E0A9D">
        <w:t>Table 2:</w:t>
      </w:r>
      <w:r w:rsidR="00F80D3F" w:rsidRPr="00317DE7">
        <w:fldChar w:fldCharType="end"/>
      </w:r>
      <w:r w:rsidR="00F80D3F" w:rsidRPr="00317DE7">
        <w:t xml:space="preserve"> </w:t>
      </w:r>
      <w:r w:rsidRPr="00317DE7">
        <w:t xml:space="preserve">to T-DAB is substantial (more than 10 %) for guard band lower than 1 </w:t>
      </w:r>
      <w:proofErr w:type="spellStart"/>
      <w:r w:rsidRPr="00317DE7">
        <w:t>MHz.</w:t>
      </w:r>
      <w:proofErr w:type="spellEnd"/>
      <w:r w:rsidRPr="00317DE7">
        <w:t xml:space="preserve"> </w:t>
      </w:r>
    </w:p>
    <w:p w:rsidR="005E0204" w:rsidRPr="00317DE7" w:rsidRDefault="005E0204" w:rsidP="005E0204">
      <w:pPr>
        <w:pStyle w:val="ECCParagraph"/>
      </w:pPr>
      <w:r w:rsidRPr="00317DE7">
        <w:t>The SDL critical BEM, guaranteeing that interference</w:t>
      </w:r>
      <w:r w:rsidR="002646A7" w:rsidRPr="00317DE7">
        <w:t xml:space="preserve"> into T-DAB d</w:t>
      </w:r>
      <w:r w:rsidRPr="00317DE7">
        <w:t xml:space="preserve">ue to blocking is the dominant interference factor for any guard band is defined as follows:  </w:t>
      </w:r>
    </w:p>
    <w:p w:rsidR="005E0204" w:rsidRPr="00317DE7" w:rsidRDefault="005E0204" w:rsidP="00F80D3F">
      <w:pPr>
        <w:pStyle w:val="ECCTabletitle"/>
      </w:pPr>
      <w:bookmarkStart w:id="18" w:name="_Ref400408696"/>
      <w:r w:rsidRPr="00317DE7">
        <w:t>OOBE limits for WBB SDL base station operating in 1452-1492 MHz</w:t>
      </w:r>
      <w:r w:rsidR="002646A7" w:rsidRPr="00317DE7">
        <w:t xml:space="preserve"> z for adjacent channel coexistence with T-DAB</w:t>
      </w:r>
      <w:bookmarkEnd w:id="18"/>
      <w:r w:rsidR="002646A7" w:rsidRPr="00317DE7">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1798"/>
        <w:gridCol w:w="1798"/>
      </w:tblGrid>
      <w:tr w:rsidR="005E0204" w:rsidRPr="00317DE7" w:rsidTr="006B2686">
        <w:trPr>
          <w:jc w:val="center"/>
        </w:trPr>
        <w:tc>
          <w:tcPr>
            <w:tcW w:w="3212" w:type="dxa"/>
            <w:tcBorders>
              <w:top w:val="single" w:sz="4" w:space="0" w:color="C00000"/>
              <w:left w:val="single" w:sz="4" w:space="0" w:color="C00000"/>
              <w:bottom w:val="single" w:sz="4" w:space="0" w:color="C00000"/>
              <w:right w:val="single" w:sz="4" w:space="0" w:color="FFFFFF" w:themeColor="background1"/>
            </w:tcBorders>
            <w:shd w:val="clear" w:color="auto" w:fill="C00000"/>
            <w:hideMark/>
          </w:tcPr>
          <w:p w:rsidR="005E0204" w:rsidRPr="00317DE7" w:rsidRDefault="005E0204" w:rsidP="006B2686">
            <w:pPr>
              <w:jc w:val="center"/>
              <w:rPr>
                <w:rFonts w:cs="Arial"/>
                <w:b/>
                <w:color w:val="FFFFFF"/>
                <w:lang w:val="en-GB"/>
              </w:rPr>
            </w:pPr>
            <w:r w:rsidRPr="00317DE7">
              <w:rPr>
                <w:rFonts w:cs="Arial"/>
                <w:b/>
                <w:color w:val="FFFFFF"/>
                <w:lang w:val="en-GB"/>
              </w:rPr>
              <w:t xml:space="preserve">Frequency range of </w:t>
            </w:r>
          </w:p>
          <w:p w:rsidR="005E0204" w:rsidRPr="00317DE7" w:rsidRDefault="005E0204" w:rsidP="006B2686">
            <w:pPr>
              <w:keepNext/>
              <w:jc w:val="center"/>
              <w:rPr>
                <w:b/>
                <w:lang w:val="en-GB"/>
              </w:rPr>
            </w:pPr>
            <w:r w:rsidRPr="00317DE7">
              <w:rPr>
                <w:rFonts w:cs="Arial"/>
                <w:b/>
                <w:color w:val="FFFFFF"/>
                <w:lang w:val="en-GB"/>
              </w:rPr>
              <w:t>out-of-block emissions</w:t>
            </w:r>
          </w:p>
        </w:tc>
        <w:tc>
          <w:tcPr>
            <w:tcW w:w="1798" w:type="dxa"/>
            <w:tcBorders>
              <w:top w:val="single" w:sz="4" w:space="0" w:color="C00000"/>
              <w:left w:val="single" w:sz="4" w:space="0" w:color="FFFFFF" w:themeColor="background1"/>
              <w:bottom w:val="single" w:sz="4" w:space="0" w:color="C00000"/>
              <w:right w:val="single" w:sz="4" w:space="0" w:color="FFFFFF" w:themeColor="background1"/>
            </w:tcBorders>
            <w:shd w:val="clear" w:color="auto" w:fill="C00000"/>
            <w:hideMark/>
          </w:tcPr>
          <w:p w:rsidR="005E0204" w:rsidRPr="00317DE7" w:rsidRDefault="005E0204" w:rsidP="006B2686">
            <w:pPr>
              <w:jc w:val="center"/>
              <w:rPr>
                <w:rFonts w:cs="Arial"/>
                <w:b/>
                <w:color w:val="FFFFFF"/>
                <w:lang w:val="en-GB"/>
              </w:rPr>
            </w:pPr>
            <w:r w:rsidRPr="00317DE7">
              <w:rPr>
                <w:rFonts w:cs="Arial"/>
                <w:b/>
                <w:color w:val="FFFFFF"/>
                <w:lang w:val="en-GB"/>
              </w:rPr>
              <w:t xml:space="preserve">Maximum mean </w:t>
            </w:r>
          </w:p>
          <w:p w:rsidR="005E0204" w:rsidRPr="00317DE7" w:rsidRDefault="005E0204" w:rsidP="006B2686">
            <w:pPr>
              <w:jc w:val="center"/>
              <w:rPr>
                <w:rFonts w:cs="Arial"/>
                <w:b/>
                <w:color w:val="FFFFFF"/>
                <w:lang w:val="en-GB"/>
              </w:rPr>
            </w:pPr>
            <w:proofErr w:type="gramStart"/>
            <w:r w:rsidRPr="00317DE7">
              <w:rPr>
                <w:rFonts w:cs="Arial"/>
                <w:b/>
                <w:color w:val="FFFFFF"/>
                <w:lang w:val="en-GB"/>
              </w:rPr>
              <w:t>out-of-block</w:t>
            </w:r>
            <w:proofErr w:type="gramEnd"/>
            <w:r w:rsidRPr="00317DE7">
              <w:rPr>
                <w:rFonts w:cs="Arial"/>
                <w:b/>
                <w:color w:val="FFFFFF"/>
                <w:lang w:val="en-GB"/>
              </w:rPr>
              <w:t xml:space="preserve"> </w:t>
            </w:r>
            <w:proofErr w:type="spellStart"/>
            <w:r w:rsidRPr="00317DE7">
              <w:rPr>
                <w:rFonts w:cs="Arial"/>
                <w:b/>
                <w:color w:val="FFFFFF"/>
                <w:lang w:val="en-GB"/>
              </w:rPr>
              <w:t>e.i.r.p</w:t>
            </w:r>
            <w:proofErr w:type="spellEnd"/>
            <w:r w:rsidRPr="00317DE7">
              <w:rPr>
                <w:rFonts w:cs="Arial"/>
                <w:b/>
                <w:color w:val="FFFFFF"/>
                <w:lang w:val="en-GB"/>
              </w:rPr>
              <w:t>.</w:t>
            </w:r>
          </w:p>
          <w:p w:rsidR="005E0204" w:rsidRPr="00317DE7" w:rsidRDefault="005E0204" w:rsidP="006B2686">
            <w:pPr>
              <w:keepNext/>
              <w:jc w:val="center"/>
              <w:rPr>
                <w:b/>
                <w:lang w:val="en-GB"/>
              </w:rPr>
            </w:pPr>
            <w:r w:rsidRPr="00317DE7">
              <w:rPr>
                <w:rFonts w:cs="Arial"/>
                <w:b/>
                <w:color w:val="FFFFFF"/>
                <w:lang w:val="en-GB"/>
              </w:rPr>
              <w:t>[</w:t>
            </w:r>
            <w:proofErr w:type="spellStart"/>
            <w:r w:rsidRPr="00317DE7">
              <w:rPr>
                <w:rFonts w:cs="Arial"/>
                <w:b/>
                <w:color w:val="FFFFFF"/>
                <w:lang w:val="en-GB"/>
              </w:rPr>
              <w:t>dBm</w:t>
            </w:r>
            <w:proofErr w:type="spellEnd"/>
            <w:r w:rsidRPr="00317DE7">
              <w:rPr>
                <w:rFonts w:cs="Arial"/>
                <w:b/>
                <w:color w:val="FFFFFF"/>
                <w:lang w:val="en-GB"/>
              </w:rPr>
              <w:t>]</w:t>
            </w:r>
          </w:p>
        </w:tc>
        <w:tc>
          <w:tcPr>
            <w:tcW w:w="1798" w:type="dxa"/>
            <w:tcBorders>
              <w:top w:val="single" w:sz="4" w:space="0" w:color="C00000"/>
              <w:left w:val="single" w:sz="4" w:space="0" w:color="FFFFFF" w:themeColor="background1"/>
              <w:bottom w:val="single" w:sz="4" w:space="0" w:color="C00000"/>
              <w:right w:val="single" w:sz="4" w:space="0" w:color="FFFFFF" w:themeColor="background1"/>
            </w:tcBorders>
            <w:shd w:val="clear" w:color="auto" w:fill="C00000"/>
            <w:hideMark/>
          </w:tcPr>
          <w:p w:rsidR="005E0204" w:rsidRPr="00317DE7" w:rsidRDefault="005E0204" w:rsidP="006B2686">
            <w:pPr>
              <w:jc w:val="center"/>
              <w:rPr>
                <w:rFonts w:cs="Arial"/>
                <w:b/>
                <w:color w:val="FFFFFF"/>
                <w:lang w:val="en-GB"/>
              </w:rPr>
            </w:pPr>
            <w:r w:rsidRPr="00317DE7">
              <w:rPr>
                <w:rFonts w:cs="Arial"/>
                <w:b/>
                <w:color w:val="FFFFFF"/>
                <w:lang w:val="en-GB"/>
              </w:rPr>
              <w:t xml:space="preserve">Measurement </w:t>
            </w:r>
          </w:p>
          <w:p w:rsidR="005E0204" w:rsidRPr="00317DE7" w:rsidRDefault="005E0204" w:rsidP="006B2686">
            <w:pPr>
              <w:jc w:val="center"/>
              <w:rPr>
                <w:rFonts w:cs="Arial"/>
                <w:b/>
                <w:color w:val="FFFFFF"/>
                <w:lang w:val="en-GB"/>
              </w:rPr>
            </w:pPr>
            <w:r w:rsidRPr="00317DE7">
              <w:rPr>
                <w:rFonts w:cs="Arial"/>
                <w:b/>
                <w:color w:val="FFFFFF"/>
                <w:lang w:val="en-GB"/>
              </w:rPr>
              <w:t>Bandwidth</w:t>
            </w:r>
          </w:p>
          <w:p w:rsidR="005E0204" w:rsidRPr="00317DE7" w:rsidRDefault="005E0204" w:rsidP="006B2686">
            <w:pPr>
              <w:keepNext/>
              <w:jc w:val="center"/>
              <w:rPr>
                <w:b/>
                <w:lang w:val="en-GB"/>
              </w:rPr>
            </w:pPr>
            <w:r w:rsidRPr="00317DE7">
              <w:rPr>
                <w:rFonts w:cs="Arial"/>
                <w:b/>
                <w:color w:val="FFFFFF"/>
                <w:lang w:val="en-GB"/>
              </w:rPr>
              <w:t>[MHz]</w:t>
            </w:r>
          </w:p>
        </w:tc>
      </w:tr>
      <w:tr w:rsidR="005E0204" w:rsidRPr="00317DE7" w:rsidTr="006B2686">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keepNext/>
              <w:rPr>
                <w:lang w:val="en-GB"/>
              </w:rPr>
            </w:pPr>
            <w:r w:rsidRPr="00317DE7">
              <w:rPr>
                <w:lang w:val="en-GB"/>
              </w:rPr>
              <w:t>0 – 1.3 MHz from block edge</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keepNext/>
              <w:jc w:val="center"/>
              <w:rPr>
                <w:lang w:val="en-GB"/>
              </w:rPr>
            </w:pPr>
            <w:r w:rsidRPr="00317DE7">
              <w:rPr>
                <w:lang w:val="en-GB"/>
              </w:rPr>
              <w:t>9.3</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keepNext/>
              <w:jc w:val="center"/>
              <w:rPr>
                <w:lang w:val="en-GB"/>
              </w:rPr>
            </w:pPr>
            <w:r w:rsidRPr="00317DE7">
              <w:rPr>
                <w:lang w:val="en-GB"/>
              </w:rPr>
              <w:t>1</w:t>
            </w:r>
          </w:p>
        </w:tc>
      </w:tr>
      <w:tr w:rsidR="005E0204" w:rsidRPr="00317DE7" w:rsidTr="006B2686">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rPr>
                <w:lang w:val="en-GB"/>
              </w:rPr>
            </w:pPr>
            <w:r w:rsidRPr="00317DE7">
              <w:rPr>
                <w:lang w:val="en-GB"/>
              </w:rPr>
              <w:t>1.3-1.5 MHz from block edge</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2.8</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1</w:t>
            </w:r>
          </w:p>
        </w:tc>
      </w:tr>
      <w:tr w:rsidR="005E0204" w:rsidRPr="00317DE7" w:rsidTr="006B2686">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rPr>
                <w:lang w:val="en-GB"/>
              </w:rPr>
            </w:pPr>
            <w:r w:rsidRPr="00317DE7">
              <w:rPr>
                <w:lang w:val="en-GB"/>
              </w:rPr>
              <w:t>1.5-1.8 MHz from block edge</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-6.7</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1</w:t>
            </w:r>
          </w:p>
        </w:tc>
      </w:tr>
      <w:tr w:rsidR="005E0204" w:rsidRPr="00317DE7" w:rsidTr="006B2686">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rPr>
                <w:lang w:val="en-GB"/>
              </w:rPr>
            </w:pPr>
            <w:r w:rsidRPr="00317DE7">
              <w:rPr>
                <w:lang w:val="en-GB"/>
              </w:rPr>
              <w:t>1.8-2 MHz from block edge</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-12.4</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1</w:t>
            </w:r>
          </w:p>
        </w:tc>
      </w:tr>
      <w:tr w:rsidR="005E0204" w:rsidRPr="00317DE7" w:rsidTr="006B2686">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rPr>
                <w:lang w:val="en-GB"/>
              </w:rPr>
            </w:pPr>
            <w:r w:rsidRPr="00317DE7">
              <w:rPr>
                <w:lang w:val="en-GB"/>
              </w:rPr>
              <w:t>2-2.3 MHz from block edge</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-13.7</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1</w:t>
            </w:r>
          </w:p>
        </w:tc>
      </w:tr>
      <w:tr w:rsidR="005E0204" w:rsidRPr="00317DE7" w:rsidTr="006B2686">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rPr>
                <w:lang w:val="en-GB"/>
              </w:rPr>
            </w:pPr>
            <w:r w:rsidRPr="00317DE7">
              <w:rPr>
                <w:lang w:val="en-GB"/>
              </w:rPr>
              <w:t xml:space="preserve">2.3-5 MHz from block edge </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-14.9</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1</w:t>
            </w:r>
          </w:p>
        </w:tc>
      </w:tr>
      <w:tr w:rsidR="005E0204" w:rsidRPr="00317DE7" w:rsidTr="006B2686">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rPr>
                <w:lang w:val="en-GB"/>
              </w:rPr>
            </w:pPr>
            <w:r w:rsidRPr="00317DE7">
              <w:rPr>
                <w:lang w:val="en-GB"/>
              </w:rPr>
              <w:t>Remaining T-DAB frequencies</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-14.9</w:t>
            </w:r>
          </w:p>
        </w:tc>
        <w:tc>
          <w:tcPr>
            <w:tcW w:w="1798" w:type="dxa"/>
            <w:tcBorders>
              <w:top w:val="single" w:sz="4" w:space="0" w:color="C00000"/>
              <w:left w:val="single" w:sz="4" w:space="0" w:color="C00000"/>
              <w:bottom w:val="single" w:sz="4" w:space="0" w:color="C00000"/>
              <w:right w:val="single" w:sz="4" w:space="0" w:color="C00000"/>
            </w:tcBorders>
            <w:hideMark/>
          </w:tcPr>
          <w:p w:rsidR="005E0204" w:rsidRPr="00317DE7" w:rsidRDefault="005E0204" w:rsidP="006B2686">
            <w:pPr>
              <w:jc w:val="center"/>
              <w:rPr>
                <w:lang w:val="en-GB"/>
              </w:rPr>
            </w:pPr>
            <w:r w:rsidRPr="00317DE7">
              <w:rPr>
                <w:lang w:val="en-GB"/>
              </w:rPr>
              <w:t>1</w:t>
            </w:r>
          </w:p>
        </w:tc>
      </w:tr>
    </w:tbl>
    <w:p w:rsidR="005E0204" w:rsidRPr="00317DE7" w:rsidRDefault="005E0204" w:rsidP="005E0204">
      <w:pPr>
        <w:pStyle w:val="ECCParagraph"/>
      </w:pPr>
    </w:p>
    <w:p w:rsidR="00F5380E" w:rsidRPr="00317DE7" w:rsidRDefault="00F5380E" w:rsidP="00F5380E">
      <w:pPr>
        <w:pStyle w:val="ECCParagraph"/>
      </w:pPr>
      <w:r w:rsidRPr="00317DE7">
        <w:t xml:space="preserve">The adoption of the SDL critical BEM defined </w:t>
      </w:r>
      <w:r w:rsidR="00F80D3F" w:rsidRPr="00317DE7">
        <w:t xml:space="preserve">in </w:t>
      </w:r>
      <w:r w:rsidRPr="00317DE7">
        <w:t xml:space="preserve">Table 1 of ECC Report </w:t>
      </w:r>
      <w:r w:rsidR="009B3F10" w:rsidRPr="00317DE7">
        <w:t>227</w:t>
      </w:r>
      <w:r w:rsidR="004309BF">
        <w:t xml:space="preserve"> </w:t>
      </w:r>
      <w:r w:rsidR="004309BF">
        <w:fldChar w:fldCharType="begin"/>
      </w:r>
      <w:r w:rsidR="004309BF">
        <w:instrText xml:space="preserve"> REF _Ref388945998 \n \h </w:instrText>
      </w:r>
      <w:r w:rsidR="004309BF">
        <w:fldChar w:fldCharType="separate"/>
      </w:r>
      <w:r w:rsidR="004309BF">
        <w:t>[10]</w:t>
      </w:r>
      <w:r w:rsidR="004309BF">
        <w:fldChar w:fldCharType="end"/>
      </w:r>
      <w:r w:rsidR="00E21DA2" w:rsidRPr="00317DE7">
        <w:t xml:space="preserve"> </w:t>
      </w:r>
      <w:r w:rsidR="00F80D3F" w:rsidRPr="00317DE7">
        <w:t xml:space="preserve">and reproduced in </w:t>
      </w:r>
      <w:r w:rsidR="00F80D3F" w:rsidRPr="00317DE7">
        <w:fldChar w:fldCharType="begin"/>
      </w:r>
      <w:r w:rsidR="00F80D3F" w:rsidRPr="00317DE7">
        <w:instrText xml:space="preserve"> REF _Ref400408696 \r \h </w:instrText>
      </w:r>
      <w:r w:rsidR="00F80D3F" w:rsidRPr="00317DE7">
        <w:fldChar w:fldCharType="separate"/>
      </w:r>
      <w:r w:rsidR="007E0A9D">
        <w:t>Table 4:</w:t>
      </w:r>
      <w:r w:rsidR="00F80D3F" w:rsidRPr="00317DE7">
        <w:fldChar w:fldCharType="end"/>
      </w:r>
      <w:r w:rsidR="00F80D3F" w:rsidRPr="00317DE7">
        <w:t xml:space="preserve"> </w:t>
      </w:r>
      <w:r w:rsidRPr="00317DE7">
        <w:t>guarantees:</w:t>
      </w:r>
    </w:p>
    <w:p w:rsidR="00F5380E" w:rsidRPr="00317DE7" w:rsidRDefault="00F5380E" w:rsidP="00BA0DB2">
      <w:pPr>
        <w:pStyle w:val="ECCParBulleted"/>
        <w:numPr>
          <w:ilvl w:val="0"/>
          <w:numId w:val="21"/>
        </w:numPr>
      </w:pPr>
      <w:r w:rsidRPr="00317DE7">
        <w:t>That interference</w:t>
      </w:r>
      <w:r w:rsidR="002646A7" w:rsidRPr="00317DE7">
        <w:t xml:space="preserve"> from SDL to T-DAB </w:t>
      </w:r>
      <w:r w:rsidRPr="00317DE7">
        <w:t>due to blocking is the dominant interference factor for any guard band;</w:t>
      </w:r>
    </w:p>
    <w:p w:rsidR="00F5380E" w:rsidRPr="00317DE7" w:rsidRDefault="00644756" w:rsidP="00BA0DB2">
      <w:pPr>
        <w:pStyle w:val="ECCParBulleted"/>
        <w:numPr>
          <w:ilvl w:val="0"/>
          <w:numId w:val="21"/>
        </w:numPr>
      </w:pPr>
      <w:r w:rsidRPr="00317DE7">
        <w:lastRenderedPageBreak/>
        <w:t>A l</w:t>
      </w:r>
      <w:r w:rsidR="00F5380E" w:rsidRPr="00317DE7">
        <w:t xml:space="preserve">ow level of interference from SDL to T-DAB for a guard band of 1.5 MHz, even in urban deployment scenario. </w:t>
      </w:r>
    </w:p>
    <w:p w:rsidR="00644756" w:rsidRPr="00317DE7" w:rsidRDefault="00644756" w:rsidP="00AC1B70">
      <w:pPr>
        <w:pStyle w:val="ECCParagraph"/>
      </w:pPr>
    </w:p>
    <w:p w:rsidR="00F5380E" w:rsidRPr="00317DE7" w:rsidRDefault="00F5380E" w:rsidP="00AC1B70">
      <w:pPr>
        <w:pStyle w:val="ECCParagraph"/>
      </w:pPr>
      <w:r w:rsidRPr="00317DE7">
        <w:t xml:space="preserve">It should be noted that no assessment was conducted in ECC Report </w:t>
      </w:r>
      <w:r w:rsidR="00D06C7C" w:rsidRPr="00317DE7">
        <w:t xml:space="preserve">227 </w:t>
      </w:r>
      <w:r w:rsidR="004309BF">
        <w:fldChar w:fldCharType="begin"/>
      </w:r>
      <w:r w:rsidR="004309BF">
        <w:instrText xml:space="preserve"> REF _Ref388945998 \n \h </w:instrText>
      </w:r>
      <w:r w:rsidR="004309BF">
        <w:fldChar w:fldCharType="separate"/>
      </w:r>
      <w:r w:rsidR="004309BF">
        <w:t>[10]</w:t>
      </w:r>
      <w:r w:rsidR="004309BF">
        <w:fldChar w:fldCharType="end"/>
      </w:r>
      <w:r w:rsidR="004309BF">
        <w:t xml:space="preserve"> </w:t>
      </w:r>
      <w:r w:rsidRPr="00317DE7">
        <w:t xml:space="preserve">on whether the proposed SDL critical BEM can be implemented on a cost efficient manner. Such studies would be required on a national basis in order to select a </w:t>
      </w:r>
      <w:r w:rsidR="00644756" w:rsidRPr="00317DE7">
        <w:t xml:space="preserve">potentially different </w:t>
      </w:r>
      <w:r w:rsidRPr="00317DE7">
        <w:t>guard band between T-DAB and SDL</w:t>
      </w:r>
      <w:r w:rsidR="00644756" w:rsidRPr="00317DE7">
        <w:t>,</w:t>
      </w:r>
      <w:r w:rsidRPr="00317DE7">
        <w:t xml:space="preserve"> and </w:t>
      </w:r>
      <w:r w:rsidR="00644756" w:rsidRPr="00317DE7">
        <w:t xml:space="preserve">accordingly </w:t>
      </w:r>
      <w:r w:rsidRPr="00317DE7">
        <w:t xml:space="preserve">the SDL BEM corresponding to </w:t>
      </w:r>
      <w:r w:rsidR="00644756" w:rsidRPr="00317DE7">
        <w:t xml:space="preserve">that </w:t>
      </w:r>
      <w:r w:rsidRPr="00317DE7">
        <w:t>guard band.</w:t>
      </w:r>
    </w:p>
    <w:p w:rsidR="00C41A81" w:rsidRPr="00317DE7" w:rsidRDefault="00C41A81" w:rsidP="00CA08EC">
      <w:pPr>
        <w:pStyle w:val="Heading3"/>
        <w:rPr>
          <w:lang w:val="en-GB"/>
        </w:rPr>
      </w:pPr>
      <w:bookmarkStart w:id="19" w:name="_Toc405359550"/>
      <w:r w:rsidRPr="00317DE7">
        <w:rPr>
          <w:lang w:val="en-GB"/>
        </w:rPr>
        <w:t>Cross-border coordination, including at EU outer borders</w:t>
      </w:r>
      <w:bookmarkEnd w:id="19"/>
    </w:p>
    <w:p w:rsidR="00C41A81" w:rsidRPr="00317DE7" w:rsidRDefault="00C41A81" w:rsidP="00586DA9">
      <w:pPr>
        <w:pStyle w:val="ECCParagraph"/>
      </w:pPr>
      <w:r w:rsidRPr="00317DE7">
        <w:t>The two relevant scenarios, in the context of this Mandate for cross-border coordination within the EU and at EU outer borders are WBB SDL / T-DAB and WBB SDL / aeronautical telemetry (operated in some non-EU countries).</w:t>
      </w:r>
    </w:p>
    <w:p w:rsidR="00C41A81" w:rsidRPr="00317DE7" w:rsidRDefault="00C41A81" w:rsidP="00BA0DB2">
      <w:pPr>
        <w:pStyle w:val="ListParagraph"/>
        <w:numPr>
          <w:ilvl w:val="0"/>
          <w:numId w:val="15"/>
        </w:numPr>
        <w:spacing w:after="240"/>
        <w:ind w:left="714" w:hanging="357"/>
        <w:rPr>
          <w:rFonts w:cs="Arial"/>
          <w:b/>
          <w:lang w:val="en-GB"/>
        </w:rPr>
      </w:pPr>
      <w:r w:rsidRPr="00317DE7">
        <w:rPr>
          <w:rFonts w:cs="Arial"/>
          <w:b/>
          <w:lang w:val="en-GB"/>
        </w:rPr>
        <w:t>WBB SDL vs. T-DAB cross-border coordination</w:t>
      </w:r>
    </w:p>
    <w:p w:rsidR="00C41A81" w:rsidRPr="00317DE7" w:rsidRDefault="00C41A81" w:rsidP="00AC1B70">
      <w:pPr>
        <w:pStyle w:val="ECCParagraph"/>
        <w:spacing w:after="120"/>
      </w:pPr>
      <w:r w:rsidRPr="00317DE7">
        <w:t xml:space="preserve">The MA02revCO07 Agreement was retained by CEPT for cross-border coordination bilateral agreements between terrestrial broadcasting (for countries wishing to maintain terrestrial broadcasting incumbent use in part of the band) and WBB SDL. </w:t>
      </w:r>
    </w:p>
    <w:p w:rsidR="00C41A81" w:rsidRPr="00317DE7" w:rsidRDefault="00C41A81" w:rsidP="00AC1B70">
      <w:pPr>
        <w:pStyle w:val="ECCParagraph"/>
        <w:spacing w:after="120"/>
        <w:rPr>
          <w:rFonts w:cs="Arial"/>
        </w:rPr>
      </w:pPr>
      <w:r w:rsidRPr="00317DE7">
        <w:rPr>
          <w:rFonts w:cs="Arial"/>
        </w:rPr>
        <w:t xml:space="preserve">Article 5 of Ma02revCo07 applies. Indeed, Article 5.1.1 highlights that reception of stations in the mobile service, except the aeronautical mobile service, is likely to be affected by a proposed T-DAB block assignment if the appropriate limits indicated in Annex 2 are exceeded. Section 4.2.2 of Annex 2 outlines that when </w:t>
      </w:r>
      <w:r w:rsidRPr="00317DE7">
        <w:rPr>
          <w:rFonts w:cs="Arial"/>
          <w:i/>
        </w:rPr>
        <w:t xml:space="preserve">'no information concerning protection ratios for other services suffering interference from T-DAB has been supplied to the Planning Meeting, the administrations concerned should develop appropriate sharing criteria by mutual agreement. </w:t>
      </w:r>
      <w:proofErr w:type="gramStart"/>
      <w:r w:rsidRPr="00317DE7">
        <w:rPr>
          <w:rFonts w:cs="Arial"/>
          <w:i/>
        </w:rPr>
        <w:t>When available one could use the relevant ITU-R Recommendations or ERC and ECC Decisions and Recommendations</w:t>
      </w:r>
      <w:r w:rsidRPr="00317DE7">
        <w:rPr>
          <w:rFonts w:cs="Arial"/>
        </w:rPr>
        <w:t>' to determine maximum permissible interfering field strength limits.</w:t>
      </w:r>
      <w:proofErr w:type="gramEnd"/>
      <w:r w:rsidRPr="00317DE7">
        <w:rPr>
          <w:rFonts w:cs="Arial"/>
        </w:rPr>
        <w:t xml:space="preserve"> Article 5.2.1 and Section 4.2.1 of Annex 2 include similar provisions for the reverse case, namely when T-DAB allotments are likely to be affected by the mobile service.</w:t>
      </w:r>
    </w:p>
    <w:p w:rsidR="00C41A81" w:rsidRPr="00317DE7" w:rsidRDefault="00C41A81" w:rsidP="00AC1B70">
      <w:pPr>
        <w:pStyle w:val="ECCParagraph"/>
        <w:spacing w:after="120"/>
        <w:rPr>
          <w:rFonts w:cs="Arial"/>
          <w:bCs/>
          <w:lang w:eastAsia="fr-FR"/>
        </w:rPr>
      </w:pPr>
      <w:r w:rsidRPr="00317DE7">
        <w:rPr>
          <w:rFonts w:cs="Arial"/>
        </w:rPr>
        <w:t>Since the field strength limits to be applied for cross-border coordination between T-DAB and MFCN SDL have not been specified in Annex 2 of Ma02revCo07, at the time of the development of the agreement,</w:t>
      </w:r>
      <w:r w:rsidRPr="00317DE7">
        <w:rPr>
          <w:rFonts w:cs="Arial"/>
          <w:bCs/>
          <w:lang w:eastAsia="fr-FR"/>
        </w:rPr>
        <w:t xml:space="preserve"> CEPT </w:t>
      </w:r>
      <w:r w:rsidR="008B61DE" w:rsidRPr="00317DE7">
        <w:rPr>
          <w:rFonts w:cs="Arial"/>
          <w:bCs/>
          <w:lang w:eastAsia="fr-FR"/>
        </w:rPr>
        <w:t xml:space="preserve">has developed the following </w:t>
      </w:r>
      <w:r w:rsidR="008B61DE" w:rsidRPr="00317DE7">
        <w:rPr>
          <w:rFonts w:cs="Arial"/>
          <w:color w:val="000000" w:themeColor="text1"/>
          <w:lang w:eastAsia="fr-FR"/>
        </w:rPr>
        <w:t>recommended coordination thresholds</w:t>
      </w:r>
      <w:r w:rsidR="00893908" w:rsidRPr="00317DE7">
        <w:rPr>
          <w:rFonts w:cs="Arial"/>
          <w:color w:val="000000" w:themeColor="text1"/>
          <w:lang w:eastAsia="fr-FR"/>
        </w:rPr>
        <w:t xml:space="preserve">, to be used under the Maastricht </w:t>
      </w:r>
      <w:r w:rsidR="00AE7DB0" w:rsidRPr="00317DE7">
        <w:rPr>
          <w:rFonts w:cs="Arial"/>
          <w:color w:val="000000" w:themeColor="text1"/>
          <w:lang w:eastAsia="fr-FR"/>
        </w:rPr>
        <w:t>A</w:t>
      </w:r>
      <w:r w:rsidR="00893908" w:rsidRPr="00317DE7">
        <w:rPr>
          <w:rFonts w:cs="Arial"/>
          <w:color w:val="000000" w:themeColor="text1"/>
          <w:lang w:eastAsia="fr-FR"/>
        </w:rPr>
        <w:t>greement coordination procedure</w:t>
      </w:r>
      <w:r w:rsidR="008B61DE" w:rsidRPr="00317DE7">
        <w:rPr>
          <w:rFonts w:cs="Arial"/>
          <w:color w:val="000000" w:themeColor="text1"/>
          <w:lang w:eastAsia="fr-FR"/>
        </w:rPr>
        <w:t>:</w:t>
      </w:r>
    </w:p>
    <w:p w:rsidR="008B61DE" w:rsidRPr="00317DE7" w:rsidRDefault="00981651" w:rsidP="00BA0DB2">
      <w:pPr>
        <w:pStyle w:val="ECCParagraph"/>
        <w:numPr>
          <w:ilvl w:val="0"/>
          <w:numId w:val="17"/>
        </w:numPr>
        <w:spacing w:after="120"/>
        <w:rPr>
          <w:rFonts w:cs="Arial"/>
          <w:bCs/>
          <w:lang w:eastAsia="fr-FR"/>
        </w:rPr>
      </w:pPr>
      <w:proofErr w:type="gramStart"/>
      <w:r w:rsidRPr="00317DE7">
        <w:rPr>
          <w:rFonts w:cs="Arial"/>
          <w:bCs/>
          <w:lang w:eastAsia="fr-FR"/>
        </w:rPr>
        <w:t>in</w:t>
      </w:r>
      <w:proofErr w:type="gramEnd"/>
      <w:r w:rsidRPr="00317DE7">
        <w:rPr>
          <w:rFonts w:cs="Arial"/>
          <w:bCs/>
          <w:lang w:eastAsia="fr-FR"/>
        </w:rPr>
        <w:t xml:space="preserve"> the case of cross-border coordination of MFCN SDL interfering with T-DAB: 41 </w:t>
      </w:r>
      <w:proofErr w:type="spellStart"/>
      <w:r w:rsidRPr="00317DE7">
        <w:rPr>
          <w:rFonts w:cs="Arial"/>
          <w:bCs/>
          <w:lang w:eastAsia="fr-FR"/>
        </w:rPr>
        <w:t>dBµV</w:t>
      </w:r>
      <w:proofErr w:type="spellEnd"/>
      <w:r w:rsidRPr="00317DE7">
        <w:rPr>
          <w:rFonts w:cs="Arial"/>
          <w:bCs/>
          <w:lang w:eastAsia="fr-FR"/>
        </w:rPr>
        <w:t>/m</w:t>
      </w:r>
      <w:r w:rsidRPr="00317DE7">
        <w:rPr>
          <w:rStyle w:val="FootnoteReference"/>
          <w:bCs/>
          <w:lang w:eastAsia="fr-FR"/>
        </w:rPr>
        <w:footnoteReference w:id="5"/>
      </w:r>
      <w:r w:rsidRPr="00317DE7">
        <w:rPr>
          <w:rFonts w:cs="Arial"/>
          <w:bCs/>
          <w:lang w:eastAsia="fr-FR"/>
        </w:rPr>
        <w:t xml:space="preserve"> measured over the bandwidth of a single T-DAB block for an antenna height of 10 m (in conformity with the Maastricht agreement).</w:t>
      </w:r>
    </w:p>
    <w:p w:rsidR="00C41A81" w:rsidRPr="00317DE7" w:rsidRDefault="00981651" w:rsidP="00BA0DB2">
      <w:pPr>
        <w:pStyle w:val="ECCParagraph"/>
        <w:numPr>
          <w:ilvl w:val="0"/>
          <w:numId w:val="17"/>
        </w:numPr>
        <w:spacing w:after="120"/>
        <w:rPr>
          <w:rFonts w:cs="Arial"/>
        </w:rPr>
      </w:pPr>
      <w:proofErr w:type="gramStart"/>
      <w:r w:rsidRPr="00317DE7">
        <w:rPr>
          <w:rFonts w:cs="Arial"/>
          <w:bCs/>
          <w:lang w:eastAsia="fr-FR"/>
        </w:rPr>
        <w:t>in</w:t>
      </w:r>
      <w:proofErr w:type="gramEnd"/>
      <w:r w:rsidRPr="00317DE7">
        <w:rPr>
          <w:rFonts w:cs="Arial"/>
          <w:bCs/>
          <w:lang w:eastAsia="fr-FR"/>
        </w:rPr>
        <w:t xml:space="preserve"> the case of cross-border coordination of T-DAB interfering with MFCN SDL: 56.4 </w:t>
      </w:r>
      <w:proofErr w:type="spellStart"/>
      <w:r w:rsidRPr="00317DE7">
        <w:rPr>
          <w:rFonts w:cs="Arial"/>
          <w:bCs/>
          <w:lang w:eastAsia="fr-FR"/>
        </w:rPr>
        <w:t>dBμV</w:t>
      </w:r>
      <w:proofErr w:type="spellEnd"/>
      <w:r w:rsidRPr="00317DE7">
        <w:rPr>
          <w:rFonts w:cs="Arial"/>
          <w:bCs/>
          <w:lang w:eastAsia="fr-FR"/>
        </w:rPr>
        <w:t>/m measured over the bandwidth of a single SDL block (5 MHz) for an antenna height of 10 m (relaxing the threshold level from the Maastricht agreement).</w:t>
      </w:r>
    </w:p>
    <w:p w:rsidR="00C41A81" w:rsidRPr="00317DE7" w:rsidRDefault="00C41A81" w:rsidP="00BA0DB2">
      <w:pPr>
        <w:pStyle w:val="ECCParagraph"/>
        <w:keepNext/>
        <w:numPr>
          <w:ilvl w:val="0"/>
          <w:numId w:val="15"/>
        </w:numPr>
        <w:ind w:left="714" w:hanging="357"/>
        <w:rPr>
          <w:b/>
        </w:rPr>
      </w:pPr>
      <w:r w:rsidRPr="00317DE7">
        <w:rPr>
          <w:b/>
        </w:rPr>
        <w:t>WBB SDL vs. aeronautical telemetry cross border coordination</w:t>
      </w:r>
    </w:p>
    <w:p w:rsidR="00C41A81" w:rsidRPr="00317DE7" w:rsidRDefault="00981651" w:rsidP="00635F6B">
      <w:pPr>
        <w:pStyle w:val="ECCParagraph"/>
      </w:pPr>
      <w:r w:rsidRPr="00317DE7">
        <w:t>While allocated on a worldwide basis to the mobile service except aeronautical mobile the 1452-1492 MHz band is additionally allocated to aeronautical mobile services exclusively for the purposes of aeronautical telemetry within the national territory of some non-EU countries.</w:t>
      </w:r>
      <w:r w:rsidR="00C41A81" w:rsidRPr="00317DE7">
        <w:rPr>
          <w:rStyle w:val="ECCHLbold"/>
        </w:rPr>
        <w:t xml:space="preserve"> </w:t>
      </w:r>
      <w:r w:rsidR="00C41A81" w:rsidRPr="00317DE7">
        <w:rPr>
          <w:rStyle w:val="ECCHLbold"/>
          <w:b w:val="0"/>
        </w:rPr>
        <w:t xml:space="preserve">Indeed, Footnote </w:t>
      </w:r>
      <w:r w:rsidR="00A87687" w:rsidRPr="00317DE7">
        <w:rPr>
          <w:rStyle w:val="ECCHLbold"/>
          <w:b w:val="0"/>
        </w:rPr>
        <w:t xml:space="preserve">RR </w:t>
      </w:r>
      <w:r w:rsidR="00A87687" w:rsidRPr="00317DE7">
        <w:t>No.</w:t>
      </w:r>
      <w:r w:rsidR="00C41A81" w:rsidRPr="00317DE7">
        <w:rPr>
          <w:rStyle w:val="ECCHLbold"/>
          <w:b w:val="0"/>
        </w:rPr>
        <w:t>5.342 reads:</w:t>
      </w:r>
    </w:p>
    <w:p w:rsidR="00C41A81" w:rsidRPr="00317DE7" w:rsidRDefault="00C41A81" w:rsidP="00635F6B">
      <w:pPr>
        <w:pStyle w:val="ECCParagraph"/>
        <w:rPr>
          <w:rStyle w:val="Emphasis"/>
          <w:iCs/>
        </w:rPr>
      </w:pPr>
      <w:r w:rsidRPr="00317DE7">
        <w:rPr>
          <w:rStyle w:val="Emphasis"/>
          <w:iCs/>
        </w:rPr>
        <w:t>"Additional allocation: in Armenia, Azerbaijan, Belarus, Bulgaria, the Russian Federation, Uzbekistan, Kyrgyzstan and Ukraine, the band 1 429-1 535 MHz is also allocated to the aeronautical mobile service on a primary basis exclusively for the purposes of aeronautical telemetry within the national territory. As of 1 April 2007, the use of the band 1 452-1 492 MHz is subject to agreement between the administrations concerned."</w:t>
      </w:r>
    </w:p>
    <w:p w:rsidR="00A569ED" w:rsidRPr="00317DE7" w:rsidRDefault="00A569ED" w:rsidP="00A87687">
      <w:pPr>
        <w:pStyle w:val="ECCParagraph"/>
      </w:pPr>
      <w:r w:rsidRPr="00317DE7">
        <w:t>In order to provide p</w:t>
      </w:r>
      <w:r w:rsidR="00036F60" w:rsidRPr="00317DE7">
        <w:t>rotection of aeronautical</w:t>
      </w:r>
      <w:r w:rsidRPr="00317DE7">
        <w:t xml:space="preserve"> telemetry ground receivers in Region 1 from co-frequency interference caused by IMT stations, required separation distances would generally exceed 100 kilometres</w:t>
      </w:r>
      <w:r w:rsidR="009F3AAC" w:rsidRPr="00317DE7">
        <w:t>.</w:t>
      </w:r>
    </w:p>
    <w:p w:rsidR="00CE4545" w:rsidRPr="00317DE7" w:rsidRDefault="00CE4545" w:rsidP="00C867D0">
      <w:pPr>
        <w:pStyle w:val="ECCParagraph"/>
      </w:pPr>
      <w:r w:rsidRPr="00317DE7">
        <w:lastRenderedPageBreak/>
        <w:t xml:space="preserve">However, when applying mitigation techniques (e.g., sector antenna disabling at IMT base stations) separation distances may be reduced to few tens of </w:t>
      </w:r>
      <w:r w:rsidR="00D05A0D" w:rsidRPr="00317DE7">
        <w:t>kilometres</w:t>
      </w:r>
      <w:r w:rsidRPr="00317DE7">
        <w:t>. A</w:t>
      </w:r>
      <w:r w:rsidR="00584107" w:rsidRPr="00317DE7">
        <w:t xml:space="preserve">ppropriate </w:t>
      </w:r>
      <w:r w:rsidRPr="00317DE7">
        <w:t>separation distances and potential mitigation techniques (either at IMT base stations or ground telemetry stations) will be addressed during coordination between the concerned administrations.</w:t>
      </w:r>
    </w:p>
    <w:p w:rsidR="00606229" w:rsidRPr="00317DE7" w:rsidRDefault="009E4572" w:rsidP="00A569ED">
      <w:pPr>
        <w:pStyle w:val="ECCParagraph"/>
      </w:pPr>
      <w:r w:rsidRPr="00317DE7">
        <w:t>For the protection of IMT UE receiver, a</w:t>
      </w:r>
      <w:r w:rsidR="009F3AAC" w:rsidRPr="00317DE7">
        <w:t xml:space="preserve">ccording to </w:t>
      </w:r>
      <w:r w:rsidR="00177F0E" w:rsidRPr="00317DE7">
        <w:t xml:space="preserve">a </w:t>
      </w:r>
      <w:r w:rsidR="009F3AAC" w:rsidRPr="00317DE7">
        <w:t>scenario which takes into account measured distribution of antenna gain of airborne transmitter</w:t>
      </w:r>
      <w:r w:rsidR="00AC7256" w:rsidRPr="00317DE7">
        <w:t xml:space="preserve"> and </w:t>
      </w:r>
      <w:r w:rsidR="00D05A0D" w:rsidRPr="00317DE7">
        <w:t xml:space="preserve">Monte-Carlo </w:t>
      </w:r>
      <w:r w:rsidR="00AC7256" w:rsidRPr="00317DE7">
        <w:t>simulation</w:t>
      </w:r>
      <w:r w:rsidR="009F3AAC" w:rsidRPr="00317DE7">
        <w:t xml:space="preserve">, the separation distance of 15 km is sufficient to protect IMT UE receiver </w:t>
      </w:r>
      <w:r w:rsidR="00AC7256" w:rsidRPr="00317DE7">
        <w:t>assuming</w:t>
      </w:r>
      <w:r w:rsidR="009F3AAC" w:rsidRPr="00317DE7">
        <w:t xml:space="preserve"> 0.5% interference probability</w:t>
      </w:r>
      <w:r w:rsidR="00AC7256" w:rsidRPr="00317DE7">
        <w:t xml:space="preserve"> criteria</w:t>
      </w:r>
      <w:r w:rsidR="009F3AAC" w:rsidRPr="00317DE7">
        <w:t xml:space="preserve">. </w:t>
      </w:r>
      <w:r w:rsidR="0014384A" w:rsidRPr="00317DE7">
        <w:t>On the other hand, some ITU studies indicated that there could be interference</w:t>
      </w:r>
      <w:r w:rsidR="00177F0E" w:rsidRPr="00317DE7">
        <w:t>s</w:t>
      </w:r>
      <w:r w:rsidR="0014384A" w:rsidRPr="00317DE7">
        <w:t xml:space="preserve"> to UE up to 25 km from the border. </w:t>
      </w:r>
    </w:p>
    <w:p w:rsidR="00C41A81" w:rsidRPr="00317DE7" w:rsidRDefault="00C41A81" w:rsidP="00AB46DF">
      <w:pPr>
        <w:pStyle w:val="Heading1"/>
      </w:pPr>
      <w:bookmarkStart w:id="20" w:name="_Toc405359551"/>
      <w:r w:rsidRPr="00317DE7">
        <w:lastRenderedPageBreak/>
        <w:t>Conclusions</w:t>
      </w:r>
      <w:bookmarkEnd w:id="20"/>
    </w:p>
    <w:p w:rsidR="00C41A81" w:rsidRPr="00317DE7" w:rsidRDefault="00C41A81" w:rsidP="00AB46DF">
      <w:pPr>
        <w:pStyle w:val="ECCParagraph"/>
      </w:pPr>
      <w:r w:rsidRPr="00317DE7">
        <w:t>This CEPT Report is the response to the Mandate issued by the European Commission to develop harmonised technical conditions in the 1452-1492 MHz frequency band for its use for wireless broadband (WBB) electronic communications services (ECS) in the EU.</w:t>
      </w:r>
    </w:p>
    <w:p w:rsidR="00C41A81" w:rsidRPr="00317DE7" w:rsidRDefault="00C41A81" w:rsidP="00586DA9">
      <w:pPr>
        <w:pStyle w:val="ECCParagraph"/>
      </w:pPr>
      <w:r w:rsidRPr="00317DE7">
        <w:t xml:space="preserve">On the basis of the extensive work carried out within CEPT on the harmonisation of 1452-1492 MHz, namely the impact analysis on the regulatory framework that will bring the highest benefits with regard to the future harmonised use of the 1452-1492 MHz and the subsequent technical studies on the harmonised technical conditions, this CEPT Report provides the harmonised technical arrangements and common technical conditions for WBB Supplemental Downlink (SDL) use of the 1452-1492 MHz in the EU. These technical arrangements and conditions consist of the harmonised channelling arrangement, the common and minimal (least restrictive) technical conditions and the common technical conditions </w:t>
      </w:r>
      <w:r w:rsidR="00981651" w:rsidRPr="00317DE7">
        <w:t>to ensure coexistence with</w:t>
      </w:r>
      <w:r w:rsidRPr="00317DE7">
        <w:t xml:space="preserve"> radio services/applications in the same or in adjacent bands, including at the EU outer borders.</w:t>
      </w:r>
    </w:p>
    <w:p w:rsidR="00C41A81" w:rsidRPr="00317DE7" w:rsidRDefault="00C41A81" w:rsidP="008E68C7">
      <w:pPr>
        <w:pStyle w:val="ECCParagraph"/>
      </w:pPr>
      <w:r w:rsidRPr="00317DE7">
        <w:t>As a consequence, this CEPT Report provides the necessary harmonised arrangements and common technical conditions</w:t>
      </w:r>
      <w:r w:rsidR="008B61DE" w:rsidRPr="00317DE7">
        <w:t xml:space="preserve">, as gathered in </w:t>
      </w:r>
      <w:r w:rsidR="00D05A0D" w:rsidRPr="00317DE7">
        <w:fldChar w:fldCharType="begin"/>
      </w:r>
      <w:r w:rsidR="00D05A0D" w:rsidRPr="00317DE7">
        <w:instrText xml:space="preserve"> REF _Ref405294286 \r \h </w:instrText>
      </w:r>
      <w:r w:rsidR="00D05A0D" w:rsidRPr="00317DE7">
        <w:fldChar w:fldCharType="separate"/>
      </w:r>
      <w:r w:rsidR="007E0A9D">
        <w:t>ANNEX 2</w:t>
      </w:r>
      <w:proofErr w:type="gramStart"/>
      <w:r w:rsidR="007E0A9D">
        <w:t>:</w:t>
      </w:r>
      <w:r w:rsidR="00D05A0D" w:rsidRPr="00317DE7">
        <w:fldChar w:fldCharType="end"/>
      </w:r>
      <w:r w:rsidR="008B61DE" w:rsidRPr="00317DE7">
        <w:t>,</w:t>
      </w:r>
      <w:proofErr w:type="gramEnd"/>
      <w:r w:rsidRPr="00317DE7">
        <w:t xml:space="preserve"> to assist the European Commission in elaborating complementary measures to further promote the use of the band 1452-1492 MHz for WBB SDL in the EU, as recommended by the RSPG.</w:t>
      </w:r>
    </w:p>
    <w:p w:rsidR="00C41A81" w:rsidRPr="00317DE7" w:rsidRDefault="00C41A81" w:rsidP="00AB46DF">
      <w:pPr>
        <w:outlineLvl w:val="2"/>
        <w:rPr>
          <w:lang w:val="en-GB"/>
        </w:rPr>
      </w:pPr>
    </w:p>
    <w:p w:rsidR="00C41A81" w:rsidRPr="00317DE7" w:rsidRDefault="00C41A81">
      <w:pPr>
        <w:rPr>
          <w:lang w:val="en-GB"/>
        </w:rPr>
        <w:sectPr w:rsidR="00C41A81" w:rsidRPr="00317DE7">
          <w:headerReference w:type="default" r:id="rId12"/>
          <w:pgSz w:w="11907" w:h="16840" w:code="9"/>
          <w:pgMar w:top="1440" w:right="1134" w:bottom="1440" w:left="1134" w:header="709" w:footer="709" w:gutter="0"/>
          <w:cols w:space="708"/>
          <w:docGrid w:linePitch="360"/>
        </w:sectPr>
      </w:pPr>
    </w:p>
    <w:p w:rsidR="00C41A81" w:rsidRPr="00317DE7" w:rsidRDefault="00C41A81" w:rsidP="002209A7">
      <w:pPr>
        <w:pStyle w:val="ECCAnnexheading1"/>
      </w:pPr>
      <w:bookmarkStart w:id="21" w:name="_Ref405358631"/>
      <w:bookmarkStart w:id="22" w:name="_Toc405359552"/>
      <w:r w:rsidRPr="00317DE7">
        <w:lastRenderedPageBreak/>
        <w:t>cept mandate</w:t>
      </w:r>
      <w:bookmarkEnd w:id="21"/>
      <w:bookmarkEnd w:id="22"/>
    </w:p>
    <w:p w:rsidR="00C41A81" w:rsidRPr="00317DE7" w:rsidRDefault="00C41A81" w:rsidP="00AB46DF">
      <w:pPr>
        <w:pStyle w:val="ECCParagraph"/>
        <w:rPr>
          <w:i/>
        </w:r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C43904" w:rsidRPr="00317DE7" w:rsidTr="00846016">
        <w:trPr>
          <w:trHeight w:val="1440"/>
        </w:trPr>
        <w:tc>
          <w:tcPr>
            <w:tcW w:w="1814" w:type="dxa"/>
          </w:tcPr>
          <w:p w:rsidR="00C43904" w:rsidRPr="00317DE7" w:rsidRDefault="00C43904" w:rsidP="00846016">
            <w:pPr>
              <w:pStyle w:val="ZCom"/>
              <w:ind w:right="-454"/>
            </w:pPr>
            <w:r w:rsidRPr="00317DE7">
              <w:rPr>
                <w:noProof/>
                <w:snapToGrid/>
                <w:lang w:val="da-DK" w:eastAsia="da-DK"/>
              </w:rPr>
              <w:drawing>
                <wp:inline distT="0" distB="0" distL="0" distR="0" wp14:anchorId="7A8767F9" wp14:editId="37ACA75B">
                  <wp:extent cx="1112520" cy="548640"/>
                  <wp:effectExtent l="0" t="0" r="0" b="381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2520" cy="548640"/>
                          </a:xfrm>
                          <a:prstGeom prst="rect">
                            <a:avLst/>
                          </a:prstGeom>
                          <a:noFill/>
                          <a:ln>
                            <a:noFill/>
                          </a:ln>
                        </pic:spPr>
                      </pic:pic>
                    </a:graphicData>
                  </a:graphic>
                </wp:inline>
              </w:drawing>
            </w:r>
          </w:p>
        </w:tc>
        <w:tc>
          <w:tcPr>
            <w:tcW w:w="7655" w:type="dxa"/>
          </w:tcPr>
          <w:p w:rsidR="00C43904" w:rsidRPr="00317DE7" w:rsidRDefault="00C43904" w:rsidP="00846016">
            <w:pPr>
              <w:pStyle w:val="ZCom"/>
              <w:ind w:right="-454"/>
            </w:pPr>
            <w:r w:rsidRPr="00317DE7">
              <w:t>EUROPEAN COMMISSION</w:t>
            </w:r>
          </w:p>
          <w:p w:rsidR="00C43904" w:rsidRPr="00317DE7" w:rsidRDefault="00C43904" w:rsidP="00846016">
            <w:pPr>
              <w:pStyle w:val="ZDGName"/>
              <w:ind w:right="-454"/>
            </w:pPr>
            <w:r w:rsidRPr="00317DE7">
              <w:t>Communications Networks Content &amp; Technology Directorate-General</w:t>
            </w:r>
          </w:p>
          <w:p w:rsidR="00C43904" w:rsidRPr="00317DE7" w:rsidRDefault="00C43904" w:rsidP="00846016">
            <w:pPr>
              <w:pStyle w:val="ZDGName"/>
              <w:ind w:right="-454"/>
            </w:pPr>
          </w:p>
          <w:p w:rsidR="00C43904" w:rsidRPr="00317DE7" w:rsidRDefault="00C43904" w:rsidP="00846016">
            <w:pPr>
              <w:pStyle w:val="ZDGName"/>
              <w:ind w:right="-454"/>
            </w:pPr>
            <w:r w:rsidRPr="00317DE7">
              <w:t>Electronic Communications Networks &amp; Services</w:t>
            </w:r>
          </w:p>
          <w:p w:rsidR="00C43904" w:rsidRPr="00317DE7" w:rsidRDefault="00C43904" w:rsidP="00846016">
            <w:pPr>
              <w:pStyle w:val="ZDGName"/>
              <w:widowControl/>
              <w:rPr>
                <w:rFonts w:ascii="Helvetica" w:hAnsi="Helvetica"/>
                <w:b/>
              </w:rPr>
            </w:pPr>
            <w:r w:rsidRPr="00317DE7">
              <w:rPr>
                <w:b/>
              </w:rPr>
              <w:t xml:space="preserve">Spectrum </w:t>
            </w:r>
          </w:p>
          <w:p w:rsidR="00C43904" w:rsidRPr="00317DE7" w:rsidRDefault="00C43904" w:rsidP="00846016">
            <w:pPr>
              <w:pStyle w:val="ZDGName"/>
              <w:ind w:right="-454"/>
            </w:pPr>
          </w:p>
        </w:tc>
      </w:tr>
    </w:tbl>
    <w:p w:rsidR="00C43904" w:rsidRPr="00317DE7" w:rsidRDefault="00C43904" w:rsidP="00C43904">
      <w:pPr>
        <w:pStyle w:val="Date"/>
      </w:pPr>
      <w:r w:rsidRPr="00317DE7">
        <w:t>Brussels, 19 March 2014</w:t>
      </w:r>
    </w:p>
    <w:p w:rsidR="00C43904" w:rsidRPr="00317DE7" w:rsidRDefault="00C43904" w:rsidP="00C43904">
      <w:pPr>
        <w:pStyle w:val="References"/>
        <w:rPr>
          <w:sz w:val="24"/>
          <w:szCs w:val="24"/>
        </w:rPr>
      </w:pPr>
      <w:r w:rsidRPr="00317DE7">
        <w:rPr>
          <w:sz w:val="24"/>
          <w:szCs w:val="24"/>
        </w:rPr>
        <w:t>DG CONNECT/B4</w:t>
      </w:r>
    </w:p>
    <w:p w:rsidR="00C43904" w:rsidRPr="00317DE7" w:rsidRDefault="00C43904" w:rsidP="00C43904">
      <w:pPr>
        <w:pStyle w:val="AddressTR"/>
        <w:spacing w:before="240" w:after="600"/>
        <w:rPr>
          <w:b/>
        </w:rPr>
      </w:pPr>
      <w:r w:rsidRPr="00317DE7">
        <w:rPr>
          <w:b/>
        </w:rPr>
        <w:t>RSCOM13-67rev3</w:t>
      </w:r>
    </w:p>
    <w:p w:rsidR="00C43904" w:rsidRPr="00317DE7" w:rsidRDefault="00C43904" w:rsidP="00C43904">
      <w:pPr>
        <w:pStyle w:val="AddressTR"/>
        <w:pBdr>
          <w:top w:val="double" w:sz="4" w:space="1" w:color="auto"/>
          <w:left w:val="double" w:sz="4" w:space="4" w:color="auto"/>
          <w:bottom w:val="double" w:sz="4" w:space="1" w:color="auto"/>
          <w:right w:val="double" w:sz="4" w:space="4" w:color="auto"/>
        </w:pBdr>
        <w:jc w:val="center"/>
        <w:rPr>
          <w:b/>
        </w:rPr>
      </w:pPr>
      <w:r w:rsidRPr="00317DE7">
        <w:rPr>
          <w:b/>
        </w:rPr>
        <w:br/>
        <w:t>ADOPTED</w:t>
      </w:r>
      <w:r w:rsidRPr="00317DE7">
        <w:rPr>
          <w:b/>
        </w:rPr>
        <w:br/>
      </w:r>
    </w:p>
    <w:p w:rsidR="00C43904" w:rsidRPr="00317DE7" w:rsidRDefault="00C43904" w:rsidP="00C43904">
      <w:pPr>
        <w:pStyle w:val="AddressTR"/>
        <w:jc w:val="center"/>
        <w:rPr>
          <w:b/>
        </w:rPr>
      </w:pPr>
    </w:p>
    <w:p w:rsidR="00C43904" w:rsidRPr="00317DE7" w:rsidRDefault="00C43904" w:rsidP="00C43904">
      <w:pPr>
        <w:jc w:val="center"/>
        <w:rPr>
          <w:b/>
          <w:sz w:val="32"/>
          <w:lang w:val="en-GB"/>
        </w:rPr>
      </w:pPr>
      <w:r w:rsidRPr="00317DE7">
        <w:rPr>
          <w:b/>
          <w:sz w:val="32"/>
          <w:lang w:val="en-GB"/>
        </w:rPr>
        <w:t>RADIO SPECTRUM COMMITTEE</w:t>
      </w:r>
    </w:p>
    <w:p w:rsidR="00C43904" w:rsidRPr="00317DE7" w:rsidRDefault="00C43904" w:rsidP="00C43904">
      <w:pPr>
        <w:jc w:val="center"/>
        <w:rPr>
          <w:b/>
          <w:sz w:val="28"/>
          <w:lang w:val="en-GB"/>
        </w:rPr>
      </w:pPr>
      <w:r w:rsidRPr="00317DE7">
        <w:rPr>
          <w:b/>
          <w:sz w:val="28"/>
          <w:lang w:val="en-GB"/>
        </w:rPr>
        <w:t>Working Document</w:t>
      </w:r>
    </w:p>
    <w:p w:rsidR="00C43904" w:rsidRPr="00317DE7" w:rsidRDefault="00C43904" w:rsidP="00C43904">
      <w:pPr>
        <w:pBdr>
          <w:top w:val="double" w:sz="4" w:space="1" w:color="auto"/>
          <w:left w:val="double" w:sz="4" w:space="4" w:color="auto"/>
          <w:bottom w:val="double" w:sz="4" w:space="5" w:color="auto"/>
          <w:right w:val="double" w:sz="4" w:space="4" w:color="auto"/>
        </w:pBdr>
        <w:tabs>
          <w:tab w:val="center" w:pos="4308"/>
          <w:tab w:val="left" w:pos="7035"/>
        </w:tabs>
        <w:jc w:val="center"/>
        <w:rPr>
          <w:b/>
          <w:sz w:val="28"/>
          <w:lang w:val="en-GB"/>
        </w:rPr>
      </w:pPr>
      <w:r w:rsidRPr="00317DE7">
        <w:rPr>
          <w:b/>
          <w:sz w:val="28"/>
          <w:lang w:val="en-GB"/>
        </w:rPr>
        <w:t xml:space="preserve">Opinion of the RSC </w:t>
      </w:r>
      <w:r w:rsidRPr="00317DE7">
        <w:rPr>
          <w:b/>
          <w:sz w:val="28"/>
          <w:lang w:val="en-GB"/>
        </w:rPr>
        <w:br/>
        <w:t>pursuant to Advisory Procedure under Article 4 of Regulation 182/2011/EU and Article 4.2 of Radio Spectrum Decision 676/2002/EC</w:t>
      </w:r>
    </w:p>
    <w:p w:rsidR="00C43904" w:rsidRPr="00317DE7" w:rsidRDefault="00C43904" w:rsidP="00C43904">
      <w:pPr>
        <w:spacing w:before="240"/>
        <w:ind w:left="1418" w:hanging="1418"/>
        <w:rPr>
          <w:b/>
          <w:lang w:val="en-GB"/>
        </w:rPr>
      </w:pPr>
      <w:r w:rsidRPr="00317DE7">
        <w:rPr>
          <w:b/>
          <w:lang w:val="en-GB"/>
        </w:rPr>
        <w:t>Subject:</w:t>
      </w:r>
      <w:r w:rsidRPr="00317DE7">
        <w:rPr>
          <w:b/>
          <w:lang w:val="en-GB"/>
        </w:rPr>
        <w:tab/>
        <w:t>Mandate to CEPT to perform technical studies in the 1452-1492 MHz frequency band for its use for wireless broadband electronic communications services in the EU</w:t>
      </w:r>
    </w:p>
    <w:p w:rsidR="00C43904" w:rsidRPr="00317DE7" w:rsidRDefault="00C43904" w:rsidP="00C43904">
      <w:pPr>
        <w:rPr>
          <w:lang w:val="en-GB"/>
        </w:rPr>
      </w:pPr>
    </w:p>
    <w:p w:rsidR="00C43904" w:rsidRPr="00317DE7" w:rsidRDefault="00C43904" w:rsidP="00684387">
      <w:pPr>
        <w:pBdr>
          <w:top w:val="single" w:sz="4" w:space="1" w:color="auto"/>
          <w:left w:val="single" w:sz="4" w:space="4" w:color="auto"/>
          <w:bottom w:val="single" w:sz="4" w:space="1" w:color="auto"/>
          <w:right w:val="single" w:sz="4" w:space="4" w:color="auto"/>
        </w:pBdr>
        <w:jc w:val="center"/>
        <w:rPr>
          <w:b/>
          <w:smallCaps/>
          <w:lang w:val="en-GB"/>
        </w:rPr>
      </w:pPr>
      <w:r w:rsidRPr="00317DE7">
        <w:rPr>
          <w:i/>
          <w:snapToGrid w:val="0"/>
          <w:lang w:val="en-GB"/>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r w:rsidRPr="00317DE7">
        <w:rPr>
          <w:b/>
          <w:smallCaps/>
          <w:lang w:val="en-GB"/>
        </w:rPr>
        <w:br w:type="page"/>
      </w:r>
    </w:p>
    <w:p w:rsidR="00C43904" w:rsidRPr="00317DE7" w:rsidRDefault="00C43904" w:rsidP="00C43904">
      <w:pPr>
        <w:spacing w:after="480"/>
        <w:jc w:val="center"/>
        <w:rPr>
          <w:lang w:val="en-GB"/>
        </w:rPr>
      </w:pPr>
      <w:r w:rsidRPr="00317DE7">
        <w:rPr>
          <w:b/>
          <w:smallCaps/>
          <w:lang w:val="en-GB"/>
        </w:rPr>
        <w:lastRenderedPageBreak/>
        <w:t xml:space="preserve">Mandate to CEPT </w:t>
      </w:r>
      <w:r w:rsidRPr="00317DE7">
        <w:rPr>
          <w:b/>
          <w:smallCaps/>
          <w:lang w:val="en-GB"/>
        </w:rPr>
        <w:br/>
        <w:t>to develop harmonised technical conditions in the 1452-1492 MHz frequency band for wireless broadband electronic communications services in the EU</w:t>
      </w:r>
    </w:p>
    <w:p w:rsidR="00C43904" w:rsidRPr="00317DE7" w:rsidRDefault="00BA0DB2" w:rsidP="00BA0DB2">
      <w:pPr>
        <w:pStyle w:val="ListParagraph"/>
        <w:numPr>
          <w:ilvl w:val="0"/>
          <w:numId w:val="23"/>
        </w:numPr>
        <w:spacing w:before="120" w:after="120"/>
        <w:ind w:left="567" w:hanging="567"/>
        <w:rPr>
          <w:b/>
          <w:lang w:val="en-GB"/>
        </w:rPr>
      </w:pPr>
      <w:r w:rsidRPr="00317DE7">
        <w:rPr>
          <w:b/>
          <w:sz w:val="18"/>
          <w:lang w:val="en-GB"/>
        </w:rPr>
        <w:t>PURPOSE</w:t>
      </w:r>
      <w:r w:rsidR="00C43904" w:rsidRPr="00317DE7">
        <w:rPr>
          <w:b/>
          <w:lang w:val="en-GB"/>
        </w:rPr>
        <w:t xml:space="preserve"> </w:t>
      </w:r>
    </w:p>
    <w:p w:rsidR="00C43904" w:rsidRPr="00317DE7" w:rsidRDefault="00C43904" w:rsidP="00C43904">
      <w:pPr>
        <w:rPr>
          <w:lang w:val="en-GB"/>
        </w:rPr>
      </w:pPr>
      <w:r w:rsidRPr="00317DE7">
        <w:rPr>
          <w:lang w:val="en-GB"/>
        </w:rPr>
        <w:t xml:space="preserve">The deliverables of this Mandate should ensure flexible and efficient spectrum use of the 1452-1492 MHz frequency band by developing harmonised technical conditions for wireless broadband (WBB) electronic communications services (ECS) and, if necessary, harmonised sharing conditions which ensure co-existence of WBB use with incumbent services for which future demand has been identified. </w:t>
      </w:r>
    </w:p>
    <w:p w:rsidR="00C43904" w:rsidRPr="00317DE7" w:rsidRDefault="00C43904" w:rsidP="00C43904">
      <w:pPr>
        <w:rPr>
          <w:lang w:val="en-GB"/>
        </w:rPr>
      </w:pPr>
      <w:r w:rsidRPr="00317DE7">
        <w:rPr>
          <w:lang w:val="en-GB"/>
        </w:rPr>
        <w:t>Noting the favourable propagation properties within the 1.5 GHz frequency range, the deliverables of this Mandate should contribute to the EU spectrum target for wireless broadband of at least 1200 MHz laid down in the Radio Spectrum Policy Programme</w:t>
      </w:r>
      <w:r w:rsidRPr="00317DE7">
        <w:rPr>
          <w:rStyle w:val="FootnoteReference"/>
          <w:rFonts w:eastAsiaTheme="minorEastAsia"/>
          <w:lang w:val="en-GB"/>
        </w:rPr>
        <w:footnoteReference w:id="6"/>
      </w:r>
      <w:r w:rsidRPr="00317DE7">
        <w:rPr>
          <w:lang w:val="en-GB"/>
        </w:rPr>
        <w:t xml:space="preserve"> (RSPP). In preparing them, CEPT is requested to take into account the relevant developments at ITU level on the aforementioned frequency bands with regard to the World </w:t>
      </w:r>
      <w:proofErr w:type="spellStart"/>
      <w:r w:rsidRPr="00317DE7">
        <w:rPr>
          <w:lang w:val="en-GB"/>
        </w:rPr>
        <w:t>Radiocommunications</w:t>
      </w:r>
      <w:proofErr w:type="spellEnd"/>
      <w:r w:rsidRPr="00317DE7">
        <w:rPr>
          <w:lang w:val="en-GB"/>
        </w:rPr>
        <w:t xml:space="preserve"> Conference in 2015 (WRC-15).</w:t>
      </w:r>
    </w:p>
    <w:p w:rsidR="00C43904" w:rsidRPr="00317DE7" w:rsidRDefault="00BA0DB2" w:rsidP="00BA0DB2">
      <w:pPr>
        <w:pStyle w:val="ListParagraph"/>
        <w:numPr>
          <w:ilvl w:val="0"/>
          <w:numId w:val="23"/>
        </w:numPr>
        <w:spacing w:before="120" w:after="120"/>
        <w:ind w:left="567" w:hanging="567"/>
        <w:rPr>
          <w:b/>
          <w:lang w:val="en-GB"/>
        </w:rPr>
      </w:pPr>
      <w:r w:rsidRPr="00317DE7">
        <w:rPr>
          <w:b/>
          <w:lang w:val="en-GB"/>
        </w:rPr>
        <w:t xml:space="preserve">BACKGROUND AND INPUTS </w:t>
      </w:r>
    </w:p>
    <w:p w:rsidR="00C43904" w:rsidRPr="00317DE7" w:rsidRDefault="00C43904" w:rsidP="00C43904">
      <w:pPr>
        <w:rPr>
          <w:lang w:val="en-GB"/>
        </w:rPr>
      </w:pPr>
      <w:r w:rsidRPr="00317DE7">
        <w:rPr>
          <w:lang w:val="en-GB"/>
        </w:rPr>
        <w:t>In its Opinion on the strategic challenges facing Europe in addressing the growing spectrum demand for wireless broadband</w:t>
      </w:r>
      <w:r w:rsidRPr="00317DE7">
        <w:rPr>
          <w:rStyle w:val="FootnoteReference"/>
          <w:rFonts w:eastAsiaTheme="minorEastAsia"/>
          <w:lang w:val="en-GB"/>
        </w:rPr>
        <w:footnoteReference w:id="7"/>
      </w:r>
      <w:r w:rsidRPr="00317DE7">
        <w:rPr>
          <w:lang w:val="en-GB"/>
        </w:rPr>
        <w:t>, the Radio Spectrum Policy Group (RSPG) provided the following views regarding the potential of frequency bands in the 1.5 GHz range for WBB use in EU:</w:t>
      </w:r>
    </w:p>
    <w:p w:rsidR="00C43904" w:rsidRPr="00317DE7" w:rsidRDefault="00C43904" w:rsidP="00BA0DB2">
      <w:pPr>
        <w:numPr>
          <w:ilvl w:val="0"/>
          <w:numId w:val="19"/>
        </w:numPr>
        <w:spacing w:after="240"/>
        <w:jc w:val="both"/>
        <w:rPr>
          <w:lang w:val="en-GB"/>
        </w:rPr>
      </w:pPr>
      <w:r w:rsidRPr="00317DE7">
        <w:rPr>
          <w:lang w:val="en-GB"/>
        </w:rPr>
        <w:t xml:space="preserve">The frequency band </w:t>
      </w:r>
      <w:r w:rsidRPr="00317DE7">
        <w:rPr>
          <w:b/>
          <w:lang w:val="en-GB"/>
        </w:rPr>
        <w:t>1452-1492 MHz</w:t>
      </w:r>
      <w:r w:rsidRPr="00317DE7">
        <w:rPr>
          <w:lang w:val="en-GB"/>
        </w:rPr>
        <w:t xml:space="preserve"> (40 MHz in total) is identified as potentially available in the near term while the bands </w:t>
      </w:r>
      <w:r w:rsidRPr="00317DE7">
        <w:rPr>
          <w:b/>
          <w:lang w:val="en-GB"/>
        </w:rPr>
        <w:t>1375-1400 MHz</w:t>
      </w:r>
      <w:r w:rsidRPr="00317DE7">
        <w:rPr>
          <w:lang w:val="en-GB"/>
        </w:rPr>
        <w:t xml:space="preserve"> and </w:t>
      </w:r>
      <w:r w:rsidRPr="00317DE7">
        <w:rPr>
          <w:b/>
          <w:lang w:val="en-GB"/>
        </w:rPr>
        <w:t>1427-1452 MHz</w:t>
      </w:r>
      <w:r w:rsidRPr="00317DE7">
        <w:rPr>
          <w:lang w:val="en-GB"/>
        </w:rPr>
        <w:t xml:space="preserve"> (50 MHz in total) are considered potentially available in the medium term (&gt; 2015).</w:t>
      </w:r>
    </w:p>
    <w:p w:rsidR="00C43904" w:rsidRPr="00317DE7" w:rsidRDefault="00C43904" w:rsidP="00BA0DB2">
      <w:pPr>
        <w:numPr>
          <w:ilvl w:val="0"/>
          <w:numId w:val="19"/>
        </w:numPr>
        <w:spacing w:after="240"/>
        <w:jc w:val="both"/>
        <w:rPr>
          <w:lang w:val="en-GB"/>
        </w:rPr>
      </w:pPr>
      <w:r w:rsidRPr="00317DE7">
        <w:rPr>
          <w:lang w:val="en-GB"/>
        </w:rPr>
        <w:t xml:space="preserve">The frequency bands 1350-1375 MHz and 1492-1518 MHz are not identified as potentially available for WBB use. </w:t>
      </w:r>
    </w:p>
    <w:p w:rsidR="00C43904" w:rsidRPr="00317DE7" w:rsidRDefault="00C43904" w:rsidP="00BA0DB2">
      <w:pPr>
        <w:numPr>
          <w:ilvl w:val="0"/>
          <w:numId w:val="19"/>
        </w:numPr>
        <w:spacing w:after="240"/>
        <w:jc w:val="both"/>
        <w:rPr>
          <w:lang w:val="en-GB"/>
        </w:rPr>
      </w:pPr>
      <w:r w:rsidRPr="00317DE7">
        <w:rPr>
          <w:lang w:val="en-GB"/>
        </w:rPr>
        <w:t>The frequency band 1400-1427 MHz, which is protected from emissions by virtue of the ITU radio regulations</w:t>
      </w:r>
      <w:r w:rsidRPr="00317DE7">
        <w:rPr>
          <w:rStyle w:val="FootnoteReference"/>
          <w:rFonts w:eastAsiaTheme="minorEastAsia"/>
          <w:lang w:val="en-GB"/>
        </w:rPr>
        <w:footnoteReference w:id="8"/>
      </w:r>
      <w:r w:rsidRPr="00317DE7">
        <w:rPr>
          <w:lang w:val="en-GB"/>
        </w:rPr>
        <w:t>, is not identified as potentially available for WBB use.</w:t>
      </w:r>
    </w:p>
    <w:p w:rsidR="00C43904" w:rsidRPr="00317DE7" w:rsidRDefault="00C43904" w:rsidP="00BA0DB2">
      <w:pPr>
        <w:numPr>
          <w:ilvl w:val="0"/>
          <w:numId w:val="19"/>
        </w:numPr>
        <w:spacing w:after="240"/>
        <w:jc w:val="both"/>
        <w:rPr>
          <w:lang w:val="en-GB"/>
        </w:rPr>
      </w:pPr>
      <w:r w:rsidRPr="00317DE7">
        <w:rPr>
          <w:lang w:val="en-GB"/>
        </w:rPr>
        <w:t>The frequency range 1518-1559 MHz (41 MHz in total) is considered already available for WBB services (e.g. IMT satellite component, mobile satellite applications).</w:t>
      </w:r>
    </w:p>
    <w:p w:rsidR="00C43904" w:rsidRPr="00317DE7" w:rsidRDefault="00C43904" w:rsidP="00C43904">
      <w:pPr>
        <w:rPr>
          <w:lang w:val="en-GB"/>
        </w:rPr>
      </w:pPr>
      <w:r w:rsidRPr="00317DE7">
        <w:rPr>
          <w:lang w:val="en-GB"/>
        </w:rPr>
        <w:t>The conclusions of the RSPG in the aforementioned Opinion are based on analysis of incumbent services and possibilities for sharing with WBB, also in the light of the ITU radio regulations. The table below gives an overview of incumbent non-WBB services in frequency bands of the 1.5 GHz frequency range based on information from the RSPG Opinion.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3402"/>
        <w:gridCol w:w="2268"/>
      </w:tblGrid>
      <w:tr w:rsidR="00C43904" w:rsidRPr="00317DE7" w:rsidTr="00846016">
        <w:trPr>
          <w:trHeight w:val="733"/>
        </w:trPr>
        <w:tc>
          <w:tcPr>
            <w:tcW w:w="1843" w:type="dxa"/>
            <w:shd w:val="clear" w:color="auto" w:fill="auto"/>
            <w:vAlign w:val="center"/>
          </w:tcPr>
          <w:p w:rsidR="00C43904" w:rsidRPr="00317DE7" w:rsidRDefault="00C43904" w:rsidP="00846016">
            <w:pPr>
              <w:rPr>
                <w:rFonts w:ascii="Calibri" w:hAnsi="Calibri" w:cs="Calibri"/>
                <w:szCs w:val="22"/>
                <w:lang w:val="en-GB"/>
              </w:rPr>
            </w:pPr>
            <w:r w:rsidRPr="00317DE7">
              <w:rPr>
                <w:rFonts w:ascii="Calibri" w:hAnsi="Calibri" w:cs="Calibri"/>
                <w:szCs w:val="22"/>
                <w:lang w:val="en-GB"/>
              </w:rPr>
              <w:t>Frequency band</w:t>
            </w:r>
          </w:p>
        </w:tc>
        <w:tc>
          <w:tcPr>
            <w:tcW w:w="1276"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Bandwidth [MHz]</w:t>
            </w:r>
          </w:p>
        </w:tc>
        <w:tc>
          <w:tcPr>
            <w:tcW w:w="3402"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b/>
                <w:szCs w:val="22"/>
                <w:lang w:val="en-GB"/>
              </w:rPr>
              <w:t>RSPG:</w:t>
            </w:r>
            <w:r w:rsidRPr="00317DE7">
              <w:rPr>
                <w:rFonts w:ascii="Calibri" w:hAnsi="Calibri" w:cs="Calibri"/>
                <w:szCs w:val="22"/>
                <w:lang w:val="en-GB"/>
              </w:rPr>
              <w:t xml:space="preserve"> overview of incumbent non-WBB uses in the EU</w:t>
            </w:r>
          </w:p>
        </w:tc>
        <w:tc>
          <w:tcPr>
            <w:tcW w:w="2268"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b/>
                <w:szCs w:val="22"/>
                <w:lang w:val="en-GB"/>
              </w:rPr>
              <w:t>RSPG:</w:t>
            </w:r>
            <w:r w:rsidRPr="00317DE7">
              <w:rPr>
                <w:rFonts w:ascii="Calibri" w:hAnsi="Calibri" w:cs="Calibri"/>
                <w:szCs w:val="22"/>
                <w:lang w:val="en-GB"/>
              </w:rPr>
              <w:t xml:space="preserve"> assessment regarding WBB use in the EU</w:t>
            </w:r>
          </w:p>
        </w:tc>
      </w:tr>
      <w:tr w:rsidR="00C43904" w:rsidRPr="00317DE7" w:rsidTr="00846016">
        <w:tc>
          <w:tcPr>
            <w:tcW w:w="1843" w:type="dxa"/>
            <w:shd w:val="clear" w:color="auto" w:fill="auto"/>
            <w:vAlign w:val="center"/>
          </w:tcPr>
          <w:p w:rsidR="00C43904" w:rsidRPr="00317DE7" w:rsidRDefault="00C43904" w:rsidP="00846016">
            <w:pPr>
              <w:rPr>
                <w:rFonts w:ascii="Calibri" w:hAnsi="Calibri" w:cs="Calibri"/>
                <w:szCs w:val="22"/>
                <w:lang w:val="en-GB"/>
              </w:rPr>
            </w:pPr>
            <w:r w:rsidRPr="00317DE7">
              <w:rPr>
                <w:rFonts w:ascii="Calibri" w:hAnsi="Calibri" w:cs="Calibri"/>
                <w:szCs w:val="22"/>
                <w:lang w:val="en-GB"/>
              </w:rPr>
              <w:t>1350-1375 MHz</w:t>
            </w:r>
          </w:p>
        </w:tc>
        <w:tc>
          <w:tcPr>
            <w:tcW w:w="1276" w:type="dxa"/>
            <w:shd w:val="clear" w:color="auto" w:fill="auto"/>
            <w:vAlign w:val="center"/>
          </w:tcPr>
          <w:p w:rsidR="00C43904" w:rsidRPr="00317DE7" w:rsidRDefault="00C43904" w:rsidP="00846016">
            <w:pPr>
              <w:jc w:val="center"/>
              <w:rPr>
                <w:rFonts w:ascii="Calibri" w:hAnsi="Calibri" w:cs="Calibri"/>
                <w:szCs w:val="22"/>
                <w:highlight w:val="cyan"/>
                <w:lang w:val="en-GB"/>
              </w:rPr>
            </w:pPr>
            <w:r w:rsidRPr="00317DE7">
              <w:rPr>
                <w:rFonts w:ascii="Calibri" w:hAnsi="Calibri" w:cs="Calibri"/>
                <w:szCs w:val="22"/>
                <w:lang w:val="en-GB"/>
              </w:rPr>
              <w:t>25</w:t>
            </w:r>
          </w:p>
        </w:tc>
        <w:tc>
          <w:tcPr>
            <w:tcW w:w="3402"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Military, fixed links, radio astronomy</w:t>
            </w:r>
          </w:p>
        </w:tc>
        <w:tc>
          <w:tcPr>
            <w:tcW w:w="2268"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No recommendation</w:t>
            </w:r>
          </w:p>
        </w:tc>
      </w:tr>
      <w:tr w:rsidR="00C43904" w:rsidRPr="00317DE7" w:rsidTr="00846016">
        <w:tc>
          <w:tcPr>
            <w:tcW w:w="1843" w:type="dxa"/>
            <w:shd w:val="clear" w:color="auto" w:fill="auto"/>
            <w:vAlign w:val="center"/>
          </w:tcPr>
          <w:p w:rsidR="00C43904" w:rsidRPr="00317DE7" w:rsidRDefault="00C43904" w:rsidP="00846016">
            <w:pPr>
              <w:rPr>
                <w:rFonts w:ascii="Calibri" w:hAnsi="Calibri" w:cs="Calibri"/>
                <w:szCs w:val="22"/>
                <w:lang w:val="en-GB"/>
              </w:rPr>
            </w:pPr>
            <w:r w:rsidRPr="00317DE7">
              <w:rPr>
                <w:rFonts w:ascii="Calibri" w:hAnsi="Calibri" w:cs="Calibri"/>
                <w:szCs w:val="22"/>
                <w:lang w:val="en-GB"/>
              </w:rPr>
              <w:t>1375-1400 MHz</w:t>
            </w:r>
          </w:p>
        </w:tc>
        <w:tc>
          <w:tcPr>
            <w:tcW w:w="1276"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25</w:t>
            </w:r>
          </w:p>
        </w:tc>
        <w:tc>
          <w:tcPr>
            <w:tcW w:w="3402"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Military, fixed links, wireless cameras, radio astronomy</w:t>
            </w:r>
          </w:p>
        </w:tc>
        <w:tc>
          <w:tcPr>
            <w:tcW w:w="2268"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Recommendation: medium term (&gt; 2015)</w:t>
            </w:r>
          </w:p>
        </w:tc>
      </w:tr>
      <w:tr w:rsidR="00C43904" w:rsidRPr="00317DE7" w:rsidTr="00846016">
        <w:trPr>
          <w:trHeight w:val="855"/>
        </w:trPr>
        <w:tc>
          <w:tcPr>
            <w:tcW w:w="1843" w:type="dxa"/>
            <w:shd w:val="clear" w:color="auto" w:fill="auto"/>
            <w:vAlign w:val="center"/>
          </w:tcPr>
          <w:p w:rsidR="00C43904" w:rsidRPr="00317DE7" w:rsidRDefault="00C43904" w:rsidP="00846016">
            <w:pPr>
              <w:rPr>
                <w:rFonts w:ascii="Calibri" w:hAnsi="Calibri" w:cs="Calibri"/>
                <w:szCs w:val="22"/>
                <w:lang w:val="en-GB"/>
              </w:rPr>
            </w:pPr>
            <w:r w:rsidRPr="00317DE7">
              <w:rPr>
                <w:rFonts w:ascii="Calibri" w:hAnsi="Calibri" w:cs="Calibri"/>
                <w:szCs w:val="22"/>
                <w:lang w:val="en-GB"/>
              </w:rPr>
              <w:t>1400-1427 MHz</w:t>
            </w:r>
          </w:p>
        </w:tc>
        <w:tc>
          <w:tcPr>
            <w:tcW w:w="1276"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27</w:t>
            </w:r>
          </w:p>
        </w:tc>
        <w:tc>
          <w:tcPr>
            <w:tcW w:w="3402"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EESS (passive sensors), radio astronomy</w:t>
            </w:r>
          </w:p>
        </w:tc>
        <w:tc>
          <w:tcPr>
            <w:tcW w:w="2268"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No recommendation</w:t>
            </w:r>
          </w:p>
        </w:tc>
      </w:tr>
      <w:tr w:rsidR="00C43904" w:rsidRPr="00317DE7" w:rsidTr="00846016">
        <w:tc>
          <w:tcPr>
            <w:tcW w:w="1843" w:type="dxa"/>
            <w:shd w:val="clear" w:color="auto" w:fill="auto"/>
            <w:vAlign w:val="center"/>
          </w:tcPr>
          <w:p w:rsidR="00C43904" w:rsidRPr="00317DE7" w:rsidRDefault="00C43904" w:rsidP="00846016">
            <w:pPr>
              <w:rPr>
                <w:rFonts w:ascii="Calibri" w:hAnsi="Calibri" w:cs="Calibri"/>
                <w:szCs w:val="22"/>
                <w:lang w:val="en-GB"/>
              </w:rPr>
            </w:pPr>
            <w:r w:rsidRPr="00317DE7">
              <w:rPr>
                <w:rFonts w:ascii="Calibri" w:hAnsi="Calibri" w:cs="Calibri"/>
                <w:szCs w:val="22"/>
                <w:lang w:val="en-GB"/>
              </w:rPr>
              <w:t>1427-1452 MHz</w:t>
            </w:r>
          </w:p>
        </w:tc>
        <w:tc>
          <w:tcPr>
            <w:tcW w:w="1276"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25</w:t>
            </w:r>
          </w:p>
        </w:tc>
        <w:tc>
          <w:tcPr>
            <w:tcW w:w="3402"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Military, fixed links, wireless cameras</w:t>
            </w:r>
          </w:p>
        </w:tc>
        <w:tc>
          <w:tcPr>
            <w:tcW w:w="2268"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Recommendation: medium term (&gt; 2015)</w:t>
            </w:r>
          </w:p>
        </w:tc>
      </w:tr>
      <w:tr w:rsidR="00C43904" w:rsidRPr="00317DE7" w:rsidTr="00846016">
        <w:tc>
          <w:tcPr>
            <w:tcW w:w="1843" w:type="dxa"/>
            <w:shd w:val="clear" w:color="auto" w:fill="auto"/>
            <w:vAlign w:val="center"/>
          </w:tcPr>
          <w:p w:rsidR="00C43904" w:rsidRPr="00317DE7" w:rsidRDefault="00C43904" w:rsidP="00846016">
            <w:pPr>
              <w:rPr>
                <w:rFonts w:ascii="Calibri" w:hAnsi="Calibri" w:cs="Calibri"/>
                <w:szCs w:val="22"/>
                <w:lang w:val="en-GB"/>
              </w:rPr>
            </w:pPr>
            <w:r w:rsidRPr="00317DE7">
              <w:rPr>
                <w:rFonts w:ascii="Calibri" w:hAnsi="Calibri" w:cs="Calibri"/>
                <w:szCs w:val="22"/>
                <w:lang w:val="en-GB"/>
              </w:rPr>
              <w:t>1452-1492 MHz</w:t>
            </w:r>
          </w:p>
        </w:tc>
        <w:tc>
          <w:tcPr>
            <w:tcW w:w="1276"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40</w:t>
            </w:r>
          </w:p>
        </w:tc>
        <w:tc>
          <w:tcPr>
            <w:tcW w:w="3402"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T-DAB / S-DAB (low or no use)</w:t>
            </w:r>
          </w:p>
        </w:tc>
        <w:tc>
          <w:tcPr>
            <w:tcW w:w="2268"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Recommendation:   near-term</w:t>
            </w:r>
          </w:p>
        </w:tc>
      </w:tr>
      <w:tr w:rsidR="00C43904" w:rsidRPr="00317DE7" w:rsidTr="00846016">
        <w:tc>
          <w:tcPr>
            <w:tcW w:w="1843" w:type="dxa"/>
            <w:shd w:val="clear" w:color="auto" w:fill="auto"/>
            <w:vAlign w:val="center"/>
          </w:tcPr>
          <w:p w:rsidR="00C43904" w:rsidRPr="00317DE7" w:rsidRDefault="00C43904" w:rsidP="00846016">
            <w:pPr>
              <w:rPr>
                <w:rFonts w:ascii="Calibri" w:hAnsi="Calibri" w:cs="Calibri"/>
                <w:szCs w:val="22"/>
                <w:lang w:val="en-GB"/>
              </w:rPr>
            </w:pPr>
            <w:r w:rsidRPr="00317DE7">
              <w:rPr>
                <w:rFonts w:ascii="Calibri" w:hAnsi="Calibri" w:cs="Calibri"/>
                <w:szCs w:val="22"/>
                <w:lang w:val="en-GB"/>
              </w:rPr>
              <w:t>1492-1518 MHz</w:t>
            </w:r>
          </w:p>
        </w:tc>
        <w:tc>
          <w:tcPr>
            <w:tcW w:w="1276"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26</w:t>
            </w:r>
          </w:p>
        </w:tc>
        <w:tc>
          <w:tcPr>
            <w:tcW w:w="3402"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Military, fixed links</w:t>
            </w:r>
          </w:p>
        </w:tc>
        <w:tc>
          <w:tcPr>
            <w:tcW w:w="2268" w:type="dxa"/>
            <w:shd w:val="clear" w:color="auto" w:fill="auto"/>
            <w:vAlign w:val="center"/>
          </w:tcPr>
          <w:p w:rsidR="00C43904" w:rsidRPr="00317DE7" w:rsidRDefault="00C43904" w:rsidP="00846016">
            <w:pPr>
              <w:jc w:val="center"/>
              <w:rPr>
                <w:rFonts w:ascii="Calibri" w:hAnsi="Calibri" w:cs="Calibri"/>
                <w:szCs w:val="22"/>
                <w:lang w:val="en-GB"/>
              </w:rPr>
            </w:pPr>
            <w:r w:rsidRPr="00317DE7">
              <w:rPr>
                <w:rFonts w:ascii="Calibri" w:hAnsi="Calibri" w:cs="Calibri"/>
                <w:szCs w:val="22"/>
                <w:lang w:val="en-GB"/>
              </w:rPr>
              <w:t>No recommendation</w:t>
            </w:r>
          </w:p>
        </w:tc>
      </w:tr>
    </w:tbl>
    <w:p w:rsidR="00C43904" w:rsidRPr="00317DE7" w:rsidRDefault="00C43904" w:rsidP="00C43904">
      <w:pPr>
        <w:spacing w:before="120"/>
        <w:jc w:val="center"/>
        <w:rPr>
          <w:rFonts w:ascii="Calibri" w:hAnsi="Calibri" w:cs="Calibri"/>
          <w:b/>
          <w:lang w:val="en-GB"/>
        </w:rPr>
      </w:pPr>
      <w:r w:rsidRPr="00317DE7">
        <w:rPr>
          <w:rFonts w:ascii="Calibri" w:hAnsi="Calibri" w:cs="Calibri"/>
          <w:b/>
          <w:lang w:val="en-GB"/>
        </w:rPr>
        <w:t>Table 1:  Overview of the regulatory status of frequency bands in the 1.5 GHz range</w:t>
      </w:r>
    </w:p>
    <w:p w:rsidR="00C43904" w:rsidRPr="00317DE7" w:rsidRDefault="00C43904" w:rsidP="00C43904">
      <w:pPr>
        <w:rPr>
          <w:lang w:val="en-GB"/>
        </w:rPr>
      </w:pPr>
      <w:r w:rsidRPr="00317DE7">
        <w:rPr>
          <w:lang w:val="en-GB"/>
        </w:rPr>
        <w:lastRenderedPageBreak/>
        <w:t xml:space="preserve">In particular, the RSPG recommends to the Commission to make sufficient and appropriate spectrum available for WBB in the 2013-2020 timeframe including </w:t>
      </w:r>
      <w:r w:rsidRPr="00317DE7">
        <w:rPr>
          <w:i/>
          <w:lang w:val="en-GB"/>
        </w:rPr>
        <w:t>inter alia</w:t>
      </w:r>
      <w:r w:rsidRPr="00317DE7">
        <w:rPr>
          <w:lang w:val="en-GB"/>
        </w:rPr>
        <w:t xml:space="preserve"> analysis of the usage and the potential for WBB services of the 1452-1492 MHz band as well as the 1375-1400 MHz and 1427-1452 MHz frequency bands on a harmonised basis in accordance with the likely timeframe of their availability. </w:t>
      </w:r>
    </w:p>
    <w:p w:rsidR="00C43904" w:rsidRPr="00317DE7" w:rsidRDefault="00C43904" w:rsidP="00C43904">
      <w:pPr>
        <w:rPr>
          <w:lang w:val="en-GB"/>
        </w:rPr>
      </w:pPr>
      <w:r w:rsidRPr="00317DE7">
        <w:rPr>
          <w:lang w:val="en-GB"/>
        </w:rPr>
        <w:t>As for the 1452-1492 MHz band, and noting work in CEPT to develop harmonised implementation measures for WBB use as a supplemental downlink (SDL), the RSPG recommends to the Commission to consider adopting complementary measures to further promote the use of this band for SDL, while preserving the possibility for Member States to use part of this band for other terrestrial uses such as terrestrial broadcasting. The Commission services note that CEPT adopted in November 2013 a regulatory framework for SDL-based WBB use of the 1452-1492 MHz band</w:t>
      </w:r>
      <w:r w:rsidRPr="00317DE7">
        <w:rPr>
          <w:rStyle w:val="FootnoteReference"/>
          <w:rFonts w:eastAsiaTheme="minorEastAsia"/>
          <w:lang w:val="en-GB"/>
        </w:rPr>
        <w:footnoteReference w:id="9"/>
      </w:r>
      <w:r w:rsidRPr="00317DE7">
        <w:rPr>
          <w:lang w:val="en-GB"/>
        </w:rPr>
        <w:t>, which also aims at facilitating co-existence with broadcasting (DAB) applications. Therefore, the 1452-1492 MHz frequency band represents a candidate band for WBB use in the EU in the near term.</w:t>
      </w:r>
    </w:p>
    <w:p w:rsidR="00C43904" w:rsidRPr="00317DE7" w:rsidRDefault="00C43904" w:rsidP="00C43904">
      <w:pPr>
        <w:rPr>
          <w:lang w:val="en-GB"/>
        </w:rPr>
      </w:pPr>
      <w:r w:rsidRPr="00317DE7">
        <w:rPr>
          <w:lang w:val="en-GB"/>
        </w:rPr>
        <w:t>Both the CEPT and the ITU have launched sharing and compatibility studies regarding the potential allocation to the mobile service and/or identification for IMT (or WBB) of frequency bands in the 1.5 GHz range within their ongoing preparatory work on agenda item 1.1 of WRC-15. In this regard, the Commission services note that no final decision on candidate bands in relation to agenda item 1.1 has been taken yet at international level. Nevertheless, a final international agreement on the mobile service allocation and IMT identification of spectrum, which is bindingly applicable to the EU Member States, will be taken only at the WRC-15. In this regard, cross-border coordination with other services (such as aeronautical) at EU borders (e.g. with Russia) should be considered for certain frequency bands of the 1.5 GHz frequency range.</w:t>
      </w:r>
    </w:p>
    <w:p w:rsidR="00C43904" w:rsidRPr="00317DE7" w:rsidRDefault="00BA0DB2" w:rsidP="00BA0DB2">
      <w:pPr>
        <w:pStyle w:val="ListParagraph"/>
        <w:numPr>
          <w:ilvl w:val="0"/>
          <w:numId w:val="23"/>
        </w:numPr>
        <w:spacing w:before="120" w:after="120"/>
        <w:ind w:left="567" w:hanging="567"/>
        <w:rPr>
          <w:b/>
          <w:lang w:val="en-GB"/>
        </w:rPr>
      </w:pPr>
      <w:r w:rsidRPr="00317DE7">
        <w:rPr>
          <w:b/>
          <w:lang w:val="en-GB"/>
        </w:rPr>
        <w:t>JUSTIFICATION</w:t>
      </w:r>
    </w:p>
    <w:p w:rsidR="00C43904" w:rsidRPr="00317DE7" w:rsidRDefault="00C43904" w:rsidP="00C43904">
      <w:pPr>
        <w:rPr>
          <w:lang w:val="en-GB"/>
        </w:rPr>
      </w:pPr>
      <w:r w:rsidRPr="00317DE7">
        <w:rPr>
          <w:lang w:val="en-GB"/>
        </w:rPr>
        <w:t>Pursuant to Article 4(2) of the Radio Spectrum Decision</w:t>
      </w:r>
      <w:r w:rsidRPr="00317DE7">
        <w:rPr>
          <w:rStyle w:val="FootnoteReference"/>
          <w:rFonts w:eastAsiaTheme="minorEastAsia"/>
          <w:lang w:val="en-GB"/>
        </w:rPr>
        <w:footnoteReference w:id="10"/>
      </w:r>
      <w:r w:rsidRPr="00317DE7">
        <w:rPr>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Pursuant to Article 1 of the Radio Spectrum Decision, activities under the Decision must facilitate policy making with regard to the strategic planning and harmonisation of radio spectrum use as well as ensure the effective implementation of radio spectrum policy in the EU while serving the aim of coordination of policy approaches. Furthermore, they shall take due account of the work of international organisations related to spectrum management such as the ITU. </w:t>
      </w:r>
    </w:p>
    <w:p w:rsidR="00C43904" w:rsidRPr="00317DE7" w:rsidRDefault="00C43904" w:rsidP="00C43904">
      <w:pPr>
        <w:rPr>
          <w:lang w:val="en-GB"/>
        </w:rPr>
      </w:pPr>
      <w:r w:rsidRPr="00317DE7">
        <w:rPr>
          <w:lang w:val="en-GB"/>
        </w:rPr>
        <w:t>The Radio Spectrum Policy Programme requires Member States, in cooperation with the Commission, to take all steps necessary to ensure that sufficient wireless broadband spectrum for coverage and capacity purposes is available in order to achieve the target for all citizens to have access to broadband speeds of not less than 30 Mbps by 2020</w:t>
      </w:r>
      <w:r w:rsidRPr="00317DE7">
        <w:rPr>
          <w:rStyle w:val="FootnoteReference"/>
          <w:rFonts w:eastAsiaTheme="minorEastAsia"/>
          <w:lang w:val="en-GB"/>
        </w:rPr>
        <w:footnoteReference w:id="11"/>
      </w:r>
      <w:r w:rsidRPr="00317DE7">
        <w:rPr>
          <w:lang w:val="en-GB"/>
        </w:rPr>
        <w:t>. In particular, the RSPP sets the objective of identifying at least 1200 MHz of suitable spectrum for wireless broadband by 2015</w:t>
      </w:r>
      <w:r w:rsidRPr="00317DE7">
        <w:rPr>
          <w:rStyle w:val="FootnoteReference"/>
          <w:rFonts w:eastAsiaTheme="minorEastAsia"/>
          <w:lang w:val="en-GB"/>
        </w:rPr>
        <w:footnoteReference w:id="12"/>
      </w:r>
      <w:r w:rsidRPr="00317DE7">
        <w:rPr>
          <w:lang w:val="en-GB"/>
        </w:rPr>
        <w:t>, based on the spectrum inventory. That figure includes spectrum already in use. Furthermore, the RSPP stipulates that Member States, in cooperation with the Commission, shall, where appropriate, foster shared use of spectrum</w:t>
      </w:r>
      <w:r w:rsidRPr="00317DE7">
        <w:rPr>
          <w:rStyle w:val="FootnoteReference"/>
          <w:rFonts w:eastAsiaTheme="minorEastAsia"/>
          <w:lang w:val="en-GB"/>
        </w:rPr>
        <w:footnoteReference w:id="13"/>
      </w:r>
      <w:r w:rsidRPr="00317DE7">
        <w:rPr>
          <w:lang w:val="en-GB"/>
        </w:rPr>
        <w:t xml:space="preserve">. </w:t>
      </w:r>
    </w:p>
    <w:p w:rsidR="00C43904" w:rsidRPr="00317DE7" w:rsidRDefault="00C43904" w:rsidP="00C43904">
      <w:pPr>
        <w:rPr>
          <w:lang w:val="en-GB"/>
        </w:rPr>
      </w:pPr>
      <w:r w:rsidRPr="00317DE7">
        <w:rPr>
          <w:lang w:val="en-GB"/>
        </w:rPr>
        <w:t>In this regard, major objectives of the EU spectrum inventory</w:t>
      </w:r>
      <w:r w:rsidRPr="00317DE7">
        <w:rPr>
          <w:rStyle w:val="FootnoteReference"/>
          <w:rFonts w:eastAsiaTheme="minorEastAsia"/>
          <w:lang w:val="en-GB"/>
        </w:rPr>
        <w:footnoteReference w:id="14"/>
      </w:r>
      <w:r w:rsidRPr="00317DE7">
        <w:rPr>
          <w:lang w:val="en-GB"/>
        </w:rPr>
        <w:t xml:space="preserve"> set up by the RSPP are to facilitate efficient spectrum use as well as reallocation and spectrum-sharing opportunities in identified bands while taking into account future needs for spectrum. </w:t>
      </w:r>
    </w:p>
    <w:p w:rsidR="00C43904" w:rsidRPr="00317DE7" w:rsidRDefault="00C43904" w:rsidP="00C43904">
      <w:pPr>
        <w:rPr>
          <w:lang w:val="en-GB"/>
        </w:rPr>
      </w:pPr>
      <w:r w:rsidRPr="00317DE7">
        <w:rPr>
          <w:lang w:val="en-GB"/>
        </w:rPr>
        <w:t>The RSPP also stipulates that Member States, in cooperation with the Commission, continuously monitor the capacity requirements for wireless broadband services. On the basis of the results of the analysis referred to in Article 9(4) of the RSPP, the Commission shall assess and report to the European Parliament and the Council by 1 January 2015 on whether there is a need for action to harmonise additional frequency bands</w:t>
      </w:r>
      <w:r w:rsidRPr="00317DE7">
        <w:rPr>
          <w:rStyle w:val="FootnoteReference"/>
          <w:rFonts w:eastAsiaTheme="minorEastAsia"/>
          <w:lang w:val="en-GB"/>
        </w:rPr>
        <w:footnoteReference w:id="15"/>
      </w:r>
      <w:r w:rsidRPr="00317DE7">
        <w:rPr>
          <w:lang w:val="en-GB"/>
        </w:rPr>
        <w:t>. This report should be duly taken into account in the final deliverables on this Mandate.</w:t>
      </w:r>
    </w:p>
    <w:p w:rsidR="00C43904" w:rsidRPr="00317DE7" w:rsidRDefault="00C43904" w:rsidP="00C43904">
      <w:pPr>
        <w:rPr>
          <w:lang w:val="en-GB"/>
        </w:rPr>
      </w:pPr>
      <w:r w:rsidRPr="00317DE7">
        <w:rPr>
          <w:lang w:val="en-GB"/>
        </w:rPr>
        <w:t>The Commission services take the view that spectrum sharing should become a mainstream mode of spectrum use in the internal market given the increasing scarcity of spectrum resources (at least at frequencies below 6 GHz) and in order to ensure efficient spectrum use. In its Communication on promoting shared use of spectrum</w:t>
      </w:r>
      <w:r w:rsidRPr="00317DE7">
        <w:rPr>
          <w:rStyle w:val="FootnoteReference"/>
          <w:rFonts w:eastAsiaTheme="minorEastAsia"/>
          <w:lang w:val="en-GB"/>
        </w:rPr>
        <w:footnoteReference w:id="16"/>
      </w:r>
      <w:r w:rsidRPr="00317DE7">
        <w:rPr>
          <w:lang w:val="en-GB"/>
        </w:rPr>
        <w:t xml:space="preserve">, the Commission has stated that, to foster the development of wireless innovations </w:t>
      </w:r>
      <w:r w:rsidRPr="00317DE7">
        <w:rPr>
          <w:lang w:val="en-GB"/>
        </w:rPr>
        <w:lastRenderedPageBreak/>
        <w:t>in the EU, it is necessary to continuously improve the opportunities for harmonised spectrum access in both licence-exempt bands and licensed spectrum and to establish new tools for more shared use of radio spectrum resources in the internal market. In particular, the Commission stated that it sees the need in a common path in the EU towards enabling more sharing possibilities, based on contractual agreements between users. Furthermore, the RSPG has provided views on spectrum sharing in several deliverables such as the Opinion on collective use of spectrum and the Opinion on licensed shared access</w:t>
      </w:r>
      <w:r w:rsidRPr="00317DE7">
        <w:rPr>
          <w:rStyle w:val="FootnoteReference"/>
          <w:rFonts w:eastAsiaTheme="minorEastAsia"/>
          <w:lang w:val="en-GB"/>
        </w:rPr>
        <w:footnoteReference w:id="17"/>
      </w:r>
      <w:r w:rsidRPr="00317DE7">
        <w:rPr>
          <w:lang w:val="en-GB"/>
        </w:rPr>
        <w:t>.</w:t>
      </w:r>
    </w:p>
    <w:p w:rsidR="00C43904" w:rsidRPr="00317DE7" w:rsidRDefault="00C43904" w:rsidP="00C43904">
      <w:pPr>
        <w:rPr>
          <w:lang w:val="en-GB"/>
        </w:rPr>
      </w:pPr>
      <w:r w:rsidRPr="00317DE7">
        <w:rPr>
          <w:lang w:val="en-GB"/>
        </w:rPr>
        <w:t xml:space="preserve">In view of the above, the Commission considers that the consistent implementation of the RSPP policy objectives linked to the spectrum inventory and taking utmost account of the opinion of the RSPG justify the need for technical studies in the frequency band 1452-1492 </w:t>
      </w:r>
      <w:proofErr w:type="spellStart"/>
      <w:r w:rsidRPr="00317DE7">
        <w:rPr>
          <w:lang w:val="en-GB"/>
        </w:rPr>
        <w:t>MHz.</w:t>
      </w:r>
      <w:proofErr w:type="spellEnd"/>
    </w:p>
    <w:p w:rsidR="00C43904" w:rsidRPr="00317DE7" w:rsidRDefault="00BA0DB2" w:rsidP="00BA0DB2">
      <w:pPr>
        <w:pStyle w:val="ListParagraph"/>
        <w:numPr>
          <w:ilvl w:val="0"/>
          <w:numId w:val="23"/>
        </w:numPr>
        <w:spacing w:before="120" w:after="120"/>
        <w:ind w:left="567" w:hanging="567"/>
        <w:rPr>
          <w:b/>
          <w:lang w:val="en-GB"/>
        </w:rPr>
      </w:pPr>
      <w:r w:rsidRPr="00317DE7">
        <w:rPr>
          <w:b/>
          <w:lang w:val="en-GB"/>
        </w:rPr>
        <w:t>TASK ORDER AND SCHEDULE</w:t>
      </w:r>
    </w:p>
    <w:p w:rsidR="00C43904" w:rsidRPr="00317DE7" w:rsidRDefault="00C43904" w:rsidP="00C43904">
      <w:pPr>
        <w:rPr>
          <w:lang w:val="en-GB"/>
        </w:rPr>
      </w:pPr>
      <w:r w:rsidRPr="00317DE7">
        <w:rPr>
          <w:lang w:val="en-GB"/>
        </w:rPr>
        <w:t>CEPT is herewith mandated to undertake work in support of the EU policy objectives presented above to develop harmonised technical conditions in the short term for wireless broadband electronic communications services in the 1452-1492 MHz frequency band taking into account, if necessary, sharing conditions with incumbent services for which future spectrum demand has been identified.</w:t>
      </w:r>
    </w:p>
    <w:p w:rsidR="00C43904" w:rsidRPr="00317DE7" w:rsidRDefault="00C43904" w:rsidP="00C43904">
      <w:pPr>
        <w:rPr>
          <w:lang w:val="en-GB"/>
        </w:rPr>
      </w:pPr>
      <w:r w:rsidRPr="00317DE7">
        <w:rPr>
          <w:lang w:val="en-GB"/>
        </w:rPr>
        <w:t xml:space="preserve">In the work carried out under the Mandate, the overall spectrum policy objectives of the EU regulatory framework in electronic communications such as effective and efficient spectrum use should be given utmost consideration. In implementing this Mandate, the CEPT shall, where relevant, take utmost account of EU law applicable and support the principles of service and technological neutrality, non-discrimination and proportionality insofar as technically possible. </w:t>
      </w:r>
    </w:p>
    <w:p w:rsidR="00C43904" w:rsidRPr="00317DE7" w:rsidRDefault="00C43904" w:rsidP="00C43904">
      <w:pPr>
        <w:rPr>
          <w:lang w:val="en-GB"/>
        </w:rPr>
      </w:pPr>
      <w:r w:rsidRPr="00317DE7">
        <w:rPr>
          <w:lang w:val="en-GB"/>
        </w:rPr>
        <w:t>CEPT is requested to collaborate actively with the European Telecommunications Standardisation Institute (ETSI) which develops harmonised standards for conformity under Directive 1999/5/EC.</w:t>
      </w:r>
    </w:p>
    <w:p w:rsidR="00C43904" w:rsidRPr="00317DE7" w:rsidRDefault="00C43904" w:rsidP="00C43904">
      <w:pPr>
        <w:rPr>
          <w:lang w:val="en-GB"/>
        </w:rPr>
      </w:pPr>
      <w:r w:rsidRPr="00317DE7">
        <w:rPr>
          <w:lang w:val="en-GB"/>
        </w:rPr>
        <w:t xml:space="preserve">In particular, CEPT </w:t>
      </w:r>
      <w:r w:rsidRPr="00317DE7">
        <w:rPr>
          <w:shd w:val="clear" w:color="auto" w:fill="FFFFFF"/>
          <w:lang w:val="en-GB"/>
        </w:rPr>
        <w:t xml:space="preserve">is mandated </w:t>
      </w:r>
      <w:r w:rsidRPr="00317DE7">
        <w:rPr>
          <w:lang w:val="en-GB"/>
        </w:rPr>
        <w:t xml:space="preserve">to develop </w:t>
      </w:r>
      <w:r w:rsidRPr="00317DE7">
        <w:rPr>
          <w:i/>
          <w:lang w:val="en-GB"/>
        </w:rPr>
        <w:t>harmonised technical arrangements and conditions</w:t>
      </w:r>
      <w:r w:rsidRPr="00317DE7">
        <w:rPr>
          <w:lang w:val="en-GB"/>
        </w:rPr>
        <w:t xml:space="preserve"> for wireless broadband usage of the 1452-1492 MHz frequency band as well as related </w:t>
      </w:r>
      <w:r w:rsidRPr="00317DE7">
        <w:rPr>
          <w:i/>
          <w:lang w:val="en-GB"/>
        </w:rPr>
        <w:t>harmonised sharing and compatibility conditions</w:t>
      </w:r>
      <w:r w:rsidRPr="00317DE7">
        <w:rPr>
          <w:lang w:val="en-GB"/>
        </w:rPr>
        <w:t xml:space="preserve">, wherever necessary, with incumbent services/applications in the same or in adjacent bands, including at the EU outer borders. The arrangements and conditions must be sufficiently precise for the development of EU-wide equipment. This includes: </w:t>
      </w:r>
    </w:p>
    <w:p w:rsidR="00C43904" w:rsidRPr="00317DE7" w:rsidRDefault="00C43904" w:rsidP="00BA0DB2">
      <w:pPr>
        <w:pStyle w:val="ListNumber"/>
        <w:numPr>
          <w:ilvl w:val="0"/>
          <w:numId w:val="20"/>
        </w:numPr>
        <w:shd w:val="clear" w:color="auto" w:fill="FFFFFF"/>
      </w:pPr>
      <w:r w:rsidRPr="00317DE7">
        <w:t>Development of channelling arrangements and common and minimal (least restrictive) technical conditions</w:t>
      </w:r>
      <w:r w:rsidRPr="00317DE7">
        <w:rPr>
          <w:rStyle w:val="FootnoteReference"/>
          <w:rFonts w:eastAsiaTheme="minorEastAsia"/>
        </w:rPr>
        <w:footnoteReference w:id="18"/>
      </w:r>
      <w:r w:rsidRPr="00317DE7">
        <w:t xml:space="preserve"> for wireless broadband usage. These conditions should be sufficient to ensure coexistence of wireless broadband services within the same band and with others services in adjacent bands.</w:t>
      </w:r>
    </w:p>
    <w:p w:rsidR="00C43904" w:rsidRPr="00317DE7" w:rsidRDefault="00C43904" w:rsidP="00BA0DB2">
      <w:pPr>
        <w:pStyle w:val="ListNumber"/>
        <w:numPr>
          <w:ilvl w:val="0"/>
          <w:numId w:val="20"/>
        </w:numPr>
        <w:shd w:val="clear" w:color="auto" w:fill="FFFFFF"/>
      </w:pPr>
      <w:r w:rsidRPr="00317DE7">
        <w:t xml:space="preserve">Development of common technical conditions to ensure wireless broadband spectrum usage </w:t>
      </w:r>
      <w:r w:rsidRPr="00317DE7">
        <w:rPr>
          <w:i/>
        </w:rPr>
        <w:t>on a shared basis</w:t>
      </w:r>
      <w:r w:rsidRPr="00317DE7">
        <w:t xml:space="preserve"> with relevant incumbent radio services/applications in close cooperation with all concerned stakeholders. These conditions should be sufficient to ensure co-existence while mitigating interference with incumbent radio services/applications in the same band or in adjacent bands, in line with their regulatory status.</w:t>
      </w:r>
    </w:p>
    <w:p w:rsidR="00C43904" w:rsidRPr="00317DE7" w:rsidRDefault="00C43904" w:rsidP="00BA0DB2">
      <w:pPr>
        <w:pStyle w:val="ListNumber"/>
        <w:numPr>
          <w:ilvl w:val="0"/>
          <w:numId w:val="20"/>
        </w:numPr>
        <w:shd w:val="clear" w:color="auto" w:fill="FFFFFF"/>
      </w:pPr>
      <w:r w:rsidRPr="00317DE7">
        <w:t xml:space="preserve">For each incumbent service/application identified as in need of protection under </w:t>
      </w:r>
      <w:proofErr w:type="gramStart"/>
      <w:r w:rsidRPr="00317DE7">
        <w:t>2.:</w:t>
      </w:r>
      <w:proofErr w:type="gramEnd"/>
      <w:r w:rsidRPr="00317DE7">
        <w:t xml:space="preserve"> definition of relevant protection parameters and conditions for facilitating coexistence with wireless broadband within the same band and in adjacent bands, including at the EU outer borders.</w:t>
      </w:r>
    </w:p>
    <w:p w:rsidR="00C43904" w:rsidRPr="00317DE7" w:rsidRDefault="00C43904" w:rsidP="00BA0DB2">
      <w:pPr>
        <w:pStyle w:val="ListNumber"/>
        <w:numPr>
          <w:ilvl w:val="0"/>
          <w:numId w:val="20"/>
        </w:numPr>
        <w:shd w:val="clear" w:color="auto" w:fill="FFFFFF"/>
      </w:pPr>
      <w:r w:rsidRPr="00317DE7">
        <w:t>Considering requirements for cross-border coordination, including at the EU outer borders.</w:t>
      </w:r>
    </w:p>
    <w:p w:rsidR="00C43904" w:rsidRPr="00317DE7" w:rsidRDefault="00C43904" w:rsidP="00C43904">
      <w:pPr>
        <w:pStyle w:val="ListNumber"/>
        <w:numPr>
          <w:ilvl w:val="0"/>
          <w:numId w:val="0"/>
        </w:numPr>
        <w:shd w:val="clear" w:color="auto" w:fill="FFFFFF"/>
      </w:pPr>
      <w:r w:rsidRPr="00317DE7">
        <w:t>In performing this task, CEPT should take into consideration ETSI harmonised standards, which facilitate shared spectrum use and foster economies of scale.</w:t>
      </w:r>
    </w:p>
    <w:p w:rsidR="00C43904" w:rsidRPr="00317DE7" w:rsidRDefault="00C43904" w:rsidP="00BA0DB2">
      <w:pPr>
        <w:pStyle w:val="ListNumber"/>
        <w:keepNext/>
        <w:numPr>
          <w:ilvl w:val="0"/>
          <w:numId w:val="0"/>
        </w:numPr>
        <w:shd w:val="clear" w:color="auto" w:fill="FFFFFF"/>
      </w:pPr>
      <w:r w:rsidRPr="00317DE7">
        <w:lastRenderedPageBreak/>
        <w:t>CEPT should provide deliverables under this Mandate according to the following schedule: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2736"/>
        <w:gridCol w:w="4224"/>
      </w:tblGrid>
      <w:tr w:rsidR="00C43904" w:rsidRPr="00317DE7" w:rsidTr="00846016">
        <w:tc>
          <w:tcPr>
            <w:tcW w:w="1800" w:type="dxa"/>
          </w:tcPr>
          <w:p w:rsidR="00C43904" w:rsidRPr="00317DE7" w:rsidRDefault="00C43904" w:rsidP="00BA0DB2">
            <w:pPr>
              <w:keepNext/>
              <w:spacing w:before="120"/>
              <w:jc w:val="center"/>
              <w:rPr>
                <w:b/>
                <w:lang w:val="en-GB"/>
              </w:rPr>
            </w:pPr>
            <w:r w:rsidRPr="00317DE7">
              <w:rPr>
                <w:b/>
                <w:lang w:val="en-GB"/>
              </w:rPr>
              <w:t>Delivery date</w:t>
            </w:r>
          </w:p>
        </w:tc>
        <w:tc>
          <w:tcPr>
            <w:tcW w:w="2736" w:type="dxa"/>
          </w:tcPr>
          <w:p w:rsidR="00C43904" w:rsidRPr="00317DE7" w:rsidRDefault="00C43904" w:rsidP="00BA0DB2">
            <w:pPr>
              <w:keepNext/>
              <w:spacing w:before="120"/>
              <w:jc w:val="center"/>
              <w:rPr>
                <w:b/>
                <w:lang w:val="en-GB"/>
              </w:rPr>
            </w:pPr>
            <w:r w:rsidRPr="00317DE7">
              <w:rPr>
                <w:b/>
                <w:lang w:val="en-GB"/>
              </w:rPr>
              <w:t>Deliverable</w:t>
            </w:r>
          </w:p>
        </w:tc>
        <w:tc>
          <w:tcPr>
            <w:tcW w:w="4224" w:type="dxa"/>
          </w:tcPr>
          <w:p w:rsidR="00C43904" w:rsidRPr="00317DE7" w:rsidRDefault="00C43904" w:rsidP="00BA0DB2">
            <w:pPr>
              <w:keepNext/>
              <w:spacing w:before="120"/>
              <w:jc w:val="center"/>
              <w:rPr>
                <w:b/>
                <w:lang w:val="en-GB"/>
              </w:rPr>
            </w:pPr>
            <w:r w:rsidRPr="00317DE7">
              <w:rPr>
                <w:b/>
                <w:lang w:val="en-GB"/>
              </w:rPr>
              <w:t>Subject</w:t>
            </w:r>
          </w:p>
        </w:tc>
      </w:tr>
      <w:tr w:rsidR="00C43904" w:rsidRPr="00317DE7" w:rsidTr="00846016">
        <w:tc>
          <w:tcPr>
            <w:tcW w:w="1800" w:type="dxa"/>
          </w:tcPr>
          <w:p w:rsidR="00C43904" w:rsidRPr="00317DE7" w:rsidRDefault="00C43904" w:rsidP="00846016">
            <w:pPr>
              <w:spacing w:before="120"/>
              <w:rPr>
                <w:lang w:val="en-GB"/>
              </w:rPr>
            </w:pPr>
            <w:r w:rsidRPr="00317DE7">
              <w:rPr>
                <w:lang w:val="en-GB"/>
              </w:rPr>
              <w:t>July  2014</w:t>
            </w:r>
            <w:bookmarkStart w:id="23" w:name="_Ref374697117"/>
            <w:r w:rsidRPr="00317DE7">
              <w:rPr>
                <w:rStyle w:val="FootnoteReference"/>
                <w:rFonts w:eastAsiaTheme="minorEastAsia"/>
                <w:lang w:val="en-GB"/>
              </w:rPr>
              <w:footnoteReference w:id="19"/>
            </w:r>
            <w:bookmarkEnd w:id="23"/>
          </w:p>
        </w:tc>
        <w:tc>
          <w:tcPr>
            <w:tcW w:w="2736" w:type="dxa"/>
          </w:tcPr>
          <w:p w:rsidR="00C43904" w:rsidRPr="00317DE7" w:rsidRDefault="00C43904" w:rsidP="004576B4">
            <w:pPr>
              <w:spacing w:before="120"/>
              <w:rPr>
                <w:lang w:val="en-GB"/>
              </w:rPr>
            </w:pPr>
            <w:r w:rsidRPr="00317DE7">
              <w:rPr>
                <w:lang w:val="en-GB"/>
              </w:rPr>
              <w:t>Final Report from CEPT to the Commission</w:t>
            </w:r>
          </w:p>
        </w:tc>
        <w:tc>
          <w:tcPr>
            <w:tcW w:w="4224" w:type="dxa"/>
          </w:tcPr>
          <w:p w:rsidR="00C43904" w:rsidRPr="00317DE7" w:rsidRDefault="00C43904" w:rsidP="00846016">
            <w:pPr>
              <w:spacing w:before="120"/>
              <w:rPr>
                <w:lang w:val="en-GB"/>
              </w:rPr>
            </w:pPr>
            <w:r w:rsidRPr="00317DE7">
              <w:rPr>
                <w:lang w:val="en-GB"/>
              </w:rPr>
              <w:t>Description of the work undertaken and the results.</w:t>
            </w:r>
          </w:p>
        </w:tc>
      </w:tr>
      <w:tr w:rsidR="00C43904" w:rsidRPr="00317DE7" w:rsidTr="00846016">
        <w:tc>
          <w:tcPr>
            <w:tcW w:w="1800" w:type="dxa"/>
          </w:tcPr>
          <w:p w:rsidR="00C43904" w:rsidRPr="00317DE7" w:rsidRDefault="00C43904" w:rsidP="00846016">
            <w:pPr>
              <w:spacing w:before="120"/>
              <w:rPr>
                <w:lang w:val="en-GB"/>
              </w:rPr>
            </w:pPr>
            <w:r w:rsidRPr="00317DE7">
              <w:rPr>
                <w:lang w:val="en-GB"/>
              </w:rPr>
              <w:t>December 2014</w:t>
            </w:r>
          </w:p>
        </w:tc>
        <w:tc>
          <w:tcPr>
            <w:tcW w:w="2736" w:type="dxa"/>
          </w:tcPr>
          <w:p w:rsidR="00C43904" w:rsidRPr="00317DE7" w:rsidRDefault="00C43904" w:rsidP="00846016">
            <w:pPr>
              <w:spacing w:before="120"/>
              <w:rPr>
                <w:lang w:val="en-GB"/>
              </w:rPr>
            </w:pPr>
            <w:r w:rsidRPr="00317DE7">
              <w:rPr>
                <w:lang w:val="en-GB"/>
              </w:rPr>
              <w:t>Final Report from CEPT to the Commission taking into account the outcome of the public consultation</w:t>
            </w:r>
          </w:p>
        </w:tc>
        <w:tc>
          <w:tcPr>
            <w:tcW w:w="4224" w:type="dxa"/>
          </w:tcPr>
          <w:p w:rsidR="00C43904" w:rsidRPr="00317DE7" w:rsidRDefault="00C43904" w:rsidP="00846016">
            <w:pPr>
              <w:spacing w:before="120"/>
              <w:rPr>
                <w:lang w:val="en-GB"/>
              </w:rPr>
            </w:pPr>
            <w:r w:rsidRPr="00317DE7">
              <w:rPr>
                <w:lang w:val="en-GB"/>
              </w:rPr>
              <w:t>Description of the work undertaken and the results.</w:t>
            </w:r>
          </w:p>
        </w:tc>
      </w:tr>
    </w:tbl>
    <w:p w:rsidR="00C43904" w:rsidRPr="00317DE7" w:rsidRDefault="00C43904" w:rsidP="00C43904">
      <w:pPr>
        <w:pStyle w:val="ListNumber"/>
        <w:numPr>
          <w:ilvl w:val="0"/>
          <w:numId w:val="0"/>
        </w:numPr>
        <w:spacing w:after="120"/>
        <w:ind w:left="709" w:hanging="709"/>
      </w:pPr>
    </w:p>
    <w:p w:rsidR="00C43904" w:rsidRPr="00317DE7" w:rsidRDefault="00C43904" w:rsidP="00C43904">
      <w:pPr>
        <w:rPr>
          <w:lang w:val="en-GB"/>
        </w:rPr>
      </w:pPr>
      <w:r w:rsidRPr="00317DE7">
        <w:rPr>
          <w:lang w:val="en-GB"/>
        </w:rPr>
        <w:t xml:space="preserve">CEPT is requested to report on the progress of its work pursuant to this Mandate to all meetings of the Radio Spectrum Committee taking place during the course of the Mandate. </w:t>
      </w:r>
    </w:p>
    <w:p w:rsidR="00C43904" w:rsidRPr="00317DE7" w:rsidRDefault="00C43904" w:rsidP="00C43904">
      <w:pPr>
        <w:pStyle w:val="ListNumber"/>
        <w:numPr>
          <w:ilvl w:val="0"/>
          <w:numId w:val="0"/>
        </w:numPr>
        <w:shd w:val="clear" w:color="auto" w:fill="FFFFFF"/>
      </w:pPr>
      <w:r w:rsidRPr="00317DE7">
        <w:t>In regard to the work done by CEPT in preparation of WRC-15, CEPT is encouraged to consider possible synergies with the work to be undertaken under this Mandate.</w:t>
      </w:r>
    </w:p>
    <w:p w:rsidR="00C43904" w:rsidRPr="00317DE7" w:rsidRDefault="00C43904" w:rsidP="00C43904">
      <w:pPr>
        <w:rPr>
          <w:lang w:val="en-GB"/>
        </w:rPr>
      </w:pPr>
      <w:r w:rsidRPr="00317DE7">
        <w:rPr>
          <w:lang w:val="en-GB"/>
        </w:rPr>
        <w:t>The Commission, with the assistance of the Radio Spectrum Committee and pursuant to the Radio Spectrum Decision, may consider applying the results of this mandate in the EU, pursuant to Article 4 of the Radio Spectrum Decision and subject to the results of the spectrum inventory and relevant guidance of the RSPG.</w:t>
      </w:r>
    </w:p>
    <w:p w:rsidR="00C43904" w:rsidRPr="00317DE7" w:rsidRDefault="00C43904" w:rsidP="00C43904">
      <w:pPr>
        <w:rPr>
          <w:lang w:val="en-GB"/>
        </w:rPr>
      </w:pPr>
    </w:p>
    <w:p w:rsidR="00684387" w:rsidRPr="00317DE7" w:rsidRDefault="00684387" w:rsidP="00AB46DF">
      <w:pPr>
        <w:pStyle w:val="ECCParagraph"/>
        <w:rPr>
          <w:i/>
        </w:rPr>
        <w:sectPr w:rsidR="00684387" w:rsidRPr="00317DE7" w:rsidSect="00AB46DF">
          <w:footerReference w:type="even" r:id="rId14"/>
          <w:footerReference w:type="default" r:id="rId15"/>
          <w:headerReference w:type="first" r:id="rId16"/>
          <w:footerReference w:type="first" r:id="rId17"/>
          <w:pgSz w:w="11907" w:h="16840" w:code="9"/>
          <w:pgMar w:top="1440" w:right="1134" w:bottom="1440" w:left="1134" w:header="709" w:footer="709" w:gutter="0"/>
          <w:cols w:space="708"/>
          <w:docGrid w:linePitch="360"/>
        </w:sectPr>
      </w:pPr>
    </w:p>
    <w:p w:rsidR="00C41A81" w:rsidRPr="00317DE7" w:rsidRDefault="00C41A81" w:rsidP="00AB46DF">
      <w:pPr>
        <w:pStyle w:val="ECCAnnexheading1"/>
      </w:pPr>
      <w:bookmarkStart w:id="24" w:name="_Ref405294286"/>
      <w:bookmarkStart w:id="25" w:name="_Toc405359553"/>
      <w:r w:rsidRPr="00317DE7">
        <w:lastRenderedPageBreak/>
        <w:t>Technical Annex</w:t>
      </w:r>
      <w:bookmarkEnd w:id="24"/>
      <w:bookmarkEnd w:id="25"/>
    </w:p>
    <w:p w:rsidR="00C41A81" w:rsidRPr="00317DE7" w:rsidRDefault="00C41A81" w:rsidP="005708C0">
      <w:pPr>
        <w:pStyle w:val="ECCAnnexheading2"/>
        <w:rPr>
          <w:sz w:val="18"/>
          <w:lang w:val="en-GB"/>
        </w:rPr>
      </w:pPr>
      <w:r w:rsidRPr="00317DE7">
        <w:rPr>
          <w:sz w:val="18"/>
          <w:lang w:val="en-GB"/>
        </w:rPr>
        <w:t>channeling arrangementand common and minimal (least restrictive) technical conditions FOR WBB SDL in 1452-1492 MH</w:t>
      </w:r>
      <w:r w:rsidRPr="00317DE7">
        <w:rPr>
          <w:sz w:val="16"/>
          <w:lang w:val="en-GB"/>
        </w:rPr>
        <w:t>z</w:t>
      </w:r>
    </w:p>
    <w:p w:rsidR="00C41A81" w:rsidRPr="00317DE7" w:rsidRDefault="00C41A81" w:rsidP="005708C0">
      <w:pPr>
        <w:pStyle w:val="ECCParagraph"/>
      </w:pPr>
      <w:r w:rsidRPr="00317DE7">
        <w:t>The harmonised technology-neutral arrangements and common technical conditions for the use of 1452-1492 MHz for WBB SDL consist of:</w:t>
      </w:r>
    </w:p>
    <w:p w:rsidR="00C41A81" w:rsidRPr="00317DE7" w:rsidRDefault="00C41A81" w:rsidP="00BA0DB2">
      <w:pPr>
        <w:pStyle w:val="ECCParagraph"/>
        <w:numPr>
          <w:ilvl w:val="0"/>
          <w:numId w:val="16"/>
        </w:numPr>
      </w:pPr>
      <w:r w:rsidRPr="00317DE7">
        <w:t>A harmonised channelling arrangement;</w:t>
      </w:r>
    </w:p>
    <w:p w:rsidR="00C41A81" w:rsidRPr="00317DE7" w:rsidRDefault="003359A1" w:rsidP="00BA0DB2">
      <w:pPr>
        <w:pStyle w:val="ECCParagraph"/>
        <w:numPr>
          <w:ilvl w:val="0"/>
          <w:numId w:val="16"/>
        </w:numPr>
      </w:pPr>
      <w:r w:rsidRPr="00317DE7">
        <w:t>A</w:t>
      </w:r>
      <w:r w:rsidR="00C41A81" w:rsidRPr="00317DE7">
        <w:t xml:space="preserve"> Block-Edge Mask (BEM);</w:t>
      </w:r>
    </w:p>
    <w:p w:rsidR="00C41A81" w:rsidRPr="00317DE7" w:rsidRDefault="00C41A81" w:rsidP="00BA0DB2">
      <w:pPr>
        <w:pStyle w:val="ECCParagraph"/>
        <w:numPr>
          <w:ilvl w:val="0"/>
          <w:numId w:val="16"/>
        </w:numPr>
      </w:pPr>
      <w:r w:rsidRPr="00317DE7">
        <w:t>Out of Band Emission (OOBE) limits.</w:t>
      </w:r>
    </w:p>
    <w:p w:rsidR="00C41A81" w:rsidRPr="00317DE7" w:rsidRDefault="00C41A81" w:rsidP="00C77646">
      <w:pPr>
        <w:pStyle w:val="ECCAnnexheading3"/>
        <w:rPr>
          <w:sz w:val="18"/>
          <w:lang w:val="en-GB"/>
        </w:rPr>
      </w:pPr>
      <w:r w:rsidRPr="00317DE7">
        <w:rPr>
          <w:sz w:val="18"/>
          <w:lang w:val="en-GB"/>
        </w:rPr>
        <w:t>Harmonised channelling arrangement</w:t>
      </w:r>
    </w:p>
    <w:p w:rsidR="00C41A81" w:rsidRPr="00317DE7" w:rsidRDefault="00C41A81" w:rsidP="00C77646">
      <w:pPr>
        <w:rPr>
          <w:lang w:val="en-GB"/>
        </w:rPr>
      </w:pPr>
      <w:r w:rsidRPr="00317DE7">
        <w:rPr>
          <w:lang w:val="en-GB"/>
        </w:rPr>
        <w:t>The channelling arrangement for the harmonised use of 1452-1492 MHz for WBB SDL in the EU is:</w:t>
      </w:r>
    </w:p>
    <w:p w:rsidR="00C41A81" w:rsidRPr="00317DE7" w:rsidRDefault="00C41A81" w:rsidP="00F80D3F">
      <w:pPr>
        <w:pStyle w:val="ECCTabletitle"/>
      </w:pPr>
      <w:r w:rsidRPr="00317DE7">
        <w:t>Harmonised channelling arrangement of the 1452-1492 MHz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7"/>
        <w:gridCol w:w="1197"/>
        <w:gridCol w:w="1197"/>
        <w:gridCol w:w="1197"/>
      </w:tblGrid>
      <w:tr w:rsidR="00C41A81" w:rsidRPr="00317DE7" w:rsidTr="00586DA9">
        <w:tc>
          <w:tcPr>
            <w:tcW w:w="1196" w:type="dxa"/>
            <w:tcBorders>
              <w:top w:val="single" w:sz="4" w:space="0" w:color="D22A23"/>
              <w:left w:val="single" w:sz="4" w:space="0" w:color="D22A23"/>
              <w:bottom w:val="single" w:sz="4" w:space="0" w:color="FFFFFF"/>
              <w:right w:val="single" w:sz="4" w:space="0" w:color="D22A23"/>
            </w:tcBorders>
          </w:tcPr>
          <w:p w:rsidR="00C41A81" w:rsidRPr="00317DE7" w:rsidRDefault="00C41A81" w:rsidP="00586DA9">
            <w:pPr>
              <w:rPr>
                <w:rFonts w:cs="Arial"/>
                <w:lang w:val="en-GB"/>
              </w:rPr>
            </w:pPr>
            <w:r w:rsidRPr="00317DE7">
              <w:rPr>
                <w:rFonts w:cs="Arial"/>
                <w:color w:val="000000"/>
                <w:kern w:val="24"/>
                <w:szCs w:val="22"/>
                <w:lang w:val="en-GB"/>
              </w:rPr>
              <w:t>1452-1457</w:t>
            </w:r>
          </w:p>
        </w:tc>
        <w:tc>
          <w:tcPr>
            <w:tcW w:w="1196" w:type="dxa"/>
            <w:tcBorders>
              <w:top w:val="single" w:sz="4" w:space="0" w:color="D22A23"/>
              <w:left w:val="single" w:sz="4" w:space="0" w:color="D22A23"/>
              <w:bottom w:val="single" w:sz="4" w:space="0" w:color="FFFFFF"/>
              <w:right w:val="single" w:sz="4" w:space="0" w:color="D22A23"/>
            </w:tcBorders>
          </w:tcPr>
          <w:p w:rsidR="00C41A81" w:rsidRPr="00317DE7" w:rsidRDefault="00C41A81" w:rsidP="00586DA9">
            <w:pPr>
              <w:rPr>
                <w:rFonts w:cs="Arial"/>
                <w:lang w:val="en-GB"/>
              </w:rPr>
            </w:pPr>
            <w:r w:rsidRPr="00317DE7">
              <w:rPr>
                <w:rFonts w:cs="Arial"/>
                <w:color w:val="000000"/>
                <w:kern w:val="24"/>
                <w:szCs w:val="22"/>
                <w:lang w:val="en-GB"/>
              </w:rPr>
              <w:t>1457-1462</w:t>
            </w:r>
          </w:p>
        </w:tc>
        <w:tc>
          <w:tcPr>
            <w:tcW w:w="1196" w:type="dxa"/>
            <w:tcBorders>
              <w:top w:val="single" w:sz="4" w:space="0" w:color="D22A23"/>
              <w:left w:val="single" w:sz="4" w:space="0" w:color="D22A23"/>
              <w:bottom w:val="single" w:sz="4" w:space="0" w:color="FFFFFF"/>
              <w:right w:val="single" w:sz="4" w:space="0" w:color="D22A23"/>
            </w:tcBorders>
          </w:tcPr>
          <w:p w:rsidR="00C41A81" w:rsidRPr="00317DE7" w:rsidRDefault="00C41A81" w:rsidP="00586DA9">
            <w:pPr>
              <w:rPr>
                <w:rFonts w:cs="Arial"/>
                <w:lang w:val="en-GB"/>
              </w:rPr>
            </w:pPr>
            <w:r w:rsidRPr="00317DE7">
              <w:rPr>
                <w:rFonts w:cs="Arial"/>
                <w:color w:val="000000"/>
                <w:kern w:val="24"/>
                <w:szCs w:val="22"/>
                <w:lang w:val="en-GB"/>
              </w:rPr>
              <w:t>1462-1467</w:t>
            </w:r>
          </w:p>
        </w:tc>
        <w:tc>
          <w:tcPr>
            <w:tcW w:w="1196" w:type="dxa"/>
            <w:tcBorders>
              <w:top w:val="single" w:sz="4" w:space="0" w:color="D22A23"/>
              <w:left w:val="single" w:sz="4" w:space="0" w:color="D22A23"/>
              <w:bottom w:val="single" w:sz="4" w:space="0" w:color="FFFFFF"/>
              <w:right w:val="single" w:sz="4" w:space="0" w:color="D22A23"/>
            </w:tcBorders>
          </w:tcPr>
          <w:p w:rsidR="00C41A81" w:rsidRPr="00317DE7" w:rsidRDefault="00C41A81" w:rsidP="00586DA9">
            <w:pPr>
              <w:rPr>
                <w:rFonts w:cs="Arial"/>
                <w:lang w:val="en-GB"/>
              </w:rPr>
            </w:pPr>
            <w:r w:rsidRPr="00317DE7">
              <w:rPr>
                <w:rFonts w:cs="Arial"/>
                <w:color w:val="000000"/>
                <w:kern w:val="24"/>
                <w:szCs w:val="22"/>
                <w:lang w:val="en-GB"/>
              </w:rPr>
              <w:t>1467-1472</w:t>
            </w:r>
          </w:p>
        </w:tc>
        <w:tc>
          <w:tcPr>
            <w:tcW w:w="1197" w:type="dxa"/>
            <w:tcBorders>
              <w:top w:val="single" w:sz="4" w:space="0" w:color="D22A23"/>
              <w:left w:val="single" w:sz="4" w:space="0" w:color="D22A23"/>
              <w:bottom w:val="single" w:sz="4" w:space="0" w:color="FFFFFF"/>
              <w:right w:val="single" w:sz="4" w:space="0" w:color="D22A23"/>
            </w:tcBorders>
          </w:tcPr>
          <w:p w:rsidR="00C41A81" w:rsidRPr="00317DE7" w:rsidRDefault="00C41A81" w:rsidP="00586DA9">
            <w:pPr>
              <w:rPr>
                <w:rFonts w:cs="Arial"/>
                <w:lang w:val="en-GB"/>
              </w:rPr>
            </w:pPr>
            <w:r w:rsidRPr="00317DE7">
              <w:rPr>
                <w:rFonts w:cs="Arial"/>
                <w:color w:val="000000"/>
                <w:kern w:val="24"/>
                <w:szCs w:val="22"/>
                <w:lang w:val="en-GB"/>
              </w:rPr>
              <w:t>1472-1477</w:t>
            </w:r>
          </w:p>
        </w:tc>
        <w:tc>
          <w:tcPr>
            <w:tcW w:w="1197" w:type="dxa"/>
            <w:tcBorders>
              <w:top w:val="single" w:sz="4" w:space="0" w:color="D22A23"/>
              <w:left w:val="single" w:sz="4" w:space="0" w:color="D22A23"/>
              <w:bottom w:val="single" w:sz="4" w:space="0" w:color="FFFFFF"/>
              <w:right w:val="single" w:sz="4" w:space="0" w:color="D22A23"/>
            </w:tcBorders>
          </w:tcPr>
          <w:p w:rsidR="00C41A81" w:rsidRPr="00317DE7" w:rsidRDefault="00C41A81" w:rsidP="00586DA9">
            <w:pPr>
              <w:rPr>
                <w:rFonts w:cs="Arial"/>
                <w:lang w:val="en-GB"/>
              </w:rPr>
            </w:pPr>
            <w:r w:rsidRPr="00317DE7">
              <w:rPr>
                <w:rFonts w:cs="Arial"/>
                <w:color w:val="000000"/>
                <w:kern w:val="24"/>
                <w:szCs w:val="22"/>
                <w:lang w:val="en-GB"/>
              </w:rPr>
              <w:t>1477-1482</w:t>
            </w:r>
          </w:p>
        </w:tc>
        <w:tc>
          <w:tcPr>
            <w:tcW w:w="1197" w:type="dxa"/>
            <w:tcBorders>
              <w:top w:val="single" w:sz="4" w:space="0" w:color="D22A23"/>
              <w:left w:val="single" w:sz="4" w:space="0" w:color="D22A23"/>
              <w:bottom w:val="single" w:sz="4" w:space="0" w:color="FFFFFF"/>
              <w:right w:val="single" w:sz="4" w:space="0" w:color="D22A23"/>
            </w:tcBorders>
          </w:tcPr>
          <w:p w:rsidR="00C41A81" w:rsidRPr="00317DE7" w:rsidRDefault="00C41A81" w:rsidP="00586DA9">
            <w:pPr>
              <w:rPr>
                <w:rFonts w:cs="Arial"/>
                <w:lang w:val="en-GB"/>
              </w:rPr>
            </w:pPr>
            <w:r w:rsidRPr="00317DE7">
              <w:rPr>
                <w:rFonts w:cs="Arial"/>
                <w:color w:val="000000"/>
                <w:kern w:val="24"/>
                <w:szCs w:val="22"/>
                <w:lang w:val="en-GB"/>
              </w:rPr>
              <w:t>1482-1487</w:t>
            </w:r>
          </w:p>
        </w:tc>
        <w:tc>
          <w:tcPr>
            <w:tcW w:w="1197" w:type="dxa"/>
            <w:tcBorders>
              <w:top w:val="single" w:sz="4" w:space="0" w:color="D22A23"/>
              <w:left w:val="single" w:sz="4" w:space="0" w:color="D22A23"/>
              <w:bottom w:val="single" w:sz="4" w:space="0" w:color="FFFFFF"/>
              <w:right w:val="single" w:sz="4" w:space="0" w:color="D22A23"/>
            </w:tcBorders>
          </w:tcPr>
          <w:p w:rsidR="00C41A81" w:rsidRPr="00317DE7" w:rsidRDefault="00C41A81" w:rsidP="00586DA9">
            <w:pPr>
              <w:rPr>
                <w:rFonts w:cs="Arial"/>
                <w:lang w:val="en-GB"/>
              </w:rPr>
            </w:pPr>
            <w:r w:rsidRPr="00317DE7">
              <w:rPr>
                <w:rFonts w:cs="Arial"/>
                <w:color w:val="000000"/>
                <w:kern w:val="24"/>
                <w:szCs w:val="22"/>
                <w:lang w:val="en-GB"/>
              </w:rPr>
              <w:t>1487-1492</w:t>
            </w:r>
          </w:p>
        </w:tc>
      </w:tr>
      <w:tr w:rsidR="00C41A81" w:rsidRPr="00317DE7" w:rsidTr="00586DA9">
        <w:tblPrEx>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rPr>
          <w:tblHeader/>
        </w:trPr>
        <w:tc>
          <w:tcPr>
            <w:tcW w:w="9572" w:type="dxa"/>
            <w:gridSpan w:val="8"/>
            <w:tcBorders>
              <w:top w:val="single" w:sz="4" w:space="0" w:color="FFFFFF"/>
              <w:left w:val="single" w:sz="4" w:space="0" w:color="FFFFFF"/>
              <w:bottom w:val="single" w:sz="4" w:space="0" w:color="FFFFFF"/>
              <w:right w:val="single" w:sz="4" w:space="0" w:color="FFFFFF"/>
            </w:tcBorders>
            <w:shd w:val="clear" w:color="auto" w:fill="D2232A"/>
            <w:vAlign w:val="center"/>
          </w:tcPr>
          <w:p w:rsidR="00C41A81" w:rsidRPr="00317DE7" w:rsidRDefault="00C41A81" w:rsidP="00586DA9">
            <w:pPr>
              <w:spacing w:line="288" w:lineRule="auto"/>
              <w:jc w:val="center"/>
              <w:rPr>
                <w:b/>
                <w:color w:val="FFFFFF"/>
                <w:lang w:val="en-GB"/>
              </w:rPr>
            </w:pPr>
            <w:r w:rsidRPr="00317DE7">
              <w:rPr>
                <w:b/>
                <w:color w:val="FFFFFF"/>
                <w:lang w:val="en-GB"/>
              </w:rPr>
              <w:t>Downlink (base station transmit)</w:t>
            </w:r>
          </w:p>
        </w:tc>
      </w:tr>
      <w:tr w:rsidR="00C41A81" w:rsidRPr="00317DE7" w:rsidTr="00586DA9">
        <w:tblPrEx>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rPr>
          <w:tblHeader/>
        </w:trPr>
        <w:tc>
          <w:tcPr>
            <w:tcW w:w="9572" w:type="dxa"/>
            <w:gridSpan w:val="8"/>
            <w:tcBorders>
              <w:top w:val="single" w:sz="4" w:space="0" w:color="FFFFFF"/>
              <w:left w:val="single" w:sz="4" w:space="0" w:color="FFFFFF"/>
              <w:bottom w:val="single" w:sz="4" w:space="0" w:color="FFFFFF"/>
              <w:right w:val="single" w:sz="4" w:space="0" w:color="FFFFFF"/>
            </w:tcBorders>
            <w:shd w:val="clear" w:color="auto" w:fill="D2232A"/>
            <w:vAlign w:val="center"/>
          </w:tcPr>
          <w:p w:rsidR="00C41A81" w:rsidRPr="00317DE7" w:rsidRDefault="00C41A81" w:rsidP="00586DA9">
            <w:pPr>
              <w:spacing w:line="288" w:lineRule="auto"/>
              <w:jc w:val="center"/>
              <w:rPr>
                <w:b/>
                <w:color w:val="FFFFFF"/>
                <w:lang w:val="en-GB"/>
              </w:rPr>
            </w:pPr>
            <w:r w:rsidRPr="00317DE7">
              <w:rPr>
                <w:rFonts w:cs="Arial"/>
                <w:color w:val="FFFFFF"/>
                <w:lang w:val="en-GB"/>
              </w:rPr>
              <w:t>40 MHz (8 blocks of 5 MHz)</w:t>
            </w:r>
          </w:p>
        </w:tc>
      </w:tr>
    </w:tbl>
    <w:p w:rsidR="00C41A81" w:rsidRPr="00317DE7" w:rsidRDefault="00C41A81" w:rsidP="00C77646">
      <w:pPr>
        <w:rPr>
          <w:rFonts w:cs="Arial"/>
          <w:lang w:val="en-GB"/>
        </w:rPr>
      </w:pPr>
    </w:p>
    <w:p w:rsidR="00C41A81" w:rsidRPr="00317DE7" w:rsidRDefault="00C41A81" w:rsidP="00CA08EC">
      <w:pPr>
        <w:pStyle w:val="ECCAnnexheading3"/>
        <w:rPr>
          <w:sz w:val="18"/>
          <w:lang w:val="en-GB"/>
        </w:rPr>
      </w:pPr>
      <w:r w:rsidRPr="00317DE7">
        <w:rPr>
          <w:sz w:val="18"/>
          <w:lang w:val="en-GB"/>
        </w:rPr>
        <w:t>Block Edge Mask (BEM)</w:t>
      </w:r>
    </w:p>
    <w:p w:rsidR="00C41A81" w:rsidRPr="00317DE7" w:rsidRDefault="00C41A81" w:rsidP="00CA08EC">
      <w:pPr>
        <w:pStyle w:val="ECCParagraph"/>
      </w:pPr>
      <w:r w:rsidRPr="00317DE7">
        <w:t xml:space="preserve">The BEM (out-of-block) </w:t>
      </w:r>
      <w:proofErr w:type="spellStart"/>
      <w:r w:rsidRPr="00317DE7">
        <w:t>e.i.r.p</w:t>
      </w:r>
      <w:proofErr w:type="spellEnd"/>
      <w:r w:rsidRPr="00317DE7">
        <w:t>. limits, per antenna, for WBB SDL Base Station operating within 1452-1492 MHz are provided in the table below:</w:t>
      </w:r>
    </w:p>
    <w:p w:rsidR="00C41A81" w:rsidRPr="00317DE7" w:rsidRDefault="00C41A81" w:rsidP="00F80D3F">
      <w:pPr>
        <w:pStyle w:val="ECCTabletitle"/>
      </w:pPr>
      <w:r w:rsidRPr="00317DE7">
        <w:t xml:space="preserve">Base station BEM (out-of-block) </w:t>
      </w:r>
      <w:proofErr w:type="spellStart"/>
      <w:r w:rsidRPr="00317DE7">
        <w:t>e.i.r.p</w:t>
      </w:r>
      <w:proofErr w:type="spellEnd"/>
      <w:r w:rsidRPr="00317DE7">
        <w:t>. limits within 1452-1492 MHz per antenna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248"/>
        <w:gridCol w:w="2880"/>
        <w:gridCol w:w="2727"/>
      </w:tblGrid>
      <w:tr w:rsidR="00C41A81" w:rsidRPr="00317DE7" w:rsidTr="00FC6147">
        <w:trPr>
          <w:tblHeader/>
        </w:trPr>
        <w:tc>
          <w:tcPr>
            <w:tcW w:w="4248" w:type="dxa"/>
            <w:tcBorders>
              <w:top w:val="single" w:sz="4" w:space="0" w:color="D2232A"/>
              <w:left w:val="single" w:sz="4" w:space="0" w:color="D2232A"/>
              <w:bottom w:val="single" w:sz="4" w:space="0" w:color="D2232A"/>
              <w:right w:val="single" w:sz="4" w:space="0" w:color="FFFFFF"/>
            </w:tcBorders>
            <w:shd w:val="clear" w:color="auto" w:fill="D2232A"/>
          </w:tcPr>
          <w:p w:rsidR="00C41A81" w:rsidRPr="00317DE7" w:rsidRDefault="00C41A81" w:rsidP="00FC6147">
            <w:pPr>
              <w:jc w:val="center"/>
              <w:rPr>
                <w:rFonts w:cs="Arial"/>
                <w:b/>
                <w:color w:val="FFFFFF"/>
                <w:lang w:val="en-GB"/>
              </w:rPr>
            </w:pPr>
            <w:r w:rsidRPr="00317DE7">
              <w:rPr>
                <w:rFonts w:cs="Arial"/>
                <w:b/>
                <w:color w:val="FFFFFF"/>
                <w:lang w:val="en-GB"/>
              </w:rPr>
              <w:t xml:space="preserve">Frequency range of </w:t>
            </w:r>
          </w:p>
          <w:p w:rsidR="00C41A81" w:rsidRPr="00317DE7" w:rsidRDefault="00C41A81" w:rsidP="00FC6147">
            <w:pPr>
              <w:jc w:val="center"/>
              <w:rPr>
                <w:rFonts w:cs="Arial"/>
                <w:b/>
                <w:color w:val="FFFFFF"/>
                <w:lang w:val="en-GB"/>
              </w:rPr>
            </w:pPr>
            <w:r w:rsidRPr="00317DE7">
              <w:rPr>
                <w:rFonts w:cs="Arial"/>
                <w:b/>
                <w:color w:val="FFFFFF"/>
                <w:lang w:val="en-GB"/>
              </w:rPr>
              <w:t>out-of-block emissions</w:t>
            </w:r>
          </w:p>
        </w:tc>
        <w:tc>
          <w:tcPr>
            <w:tcW w:w="2880" w:type="dxa"/>
            <w:tcBorders>
              <w:top w:val="single" w:sz="4" w:space="0" w:color="D2232A"/>
              <w:left w:val="single" w:sz="4" w:space="0" w:color="FFFFFF"/>
              <w:bottom w:val="single" w:sz="4" w:space="0" w:color="D2232A"/>
              <w:right w:val="single" w:sz="4" w:space="0" w:color="FFFFFF"/>
            </w:tcBorders>
            <w:shd w:val="clear" w:color="auto" w:fill="D2232A"/>
          </w:tcPr>
          <w:p w:rsidR="00C41A81" w:rsidRPr="00317DE7" w:rsidRDefault="00C41A81" w:rsidP="00FC6147">
            <w:pPr>
              <w:jc w:val="center"/>
              <w:rPr>
                <w:rFonts w:cs="Arial"/>
                <w:b/>
                <w:color w:val="FFFFFF"/>
                <w:lang w:val="en-GB"/>
              </w:rPr>
            </w:pPr>
            <w:r w:rsidRPr="00317DE7">
              <w:rPr>
                <w:rFonts w:cs="Arial"/>
                <w:b/>
                <w:color w:val="FFFFFF"/>
                <w:lang w:val="en-GB"/>
              </w:rPr>
              <w:t xml:space="preserve">Maximum mean </w:t>
            </w:r>
          </w:p>
          <w:p w:rsidR="00C41A81" w:rsidRPr="00317DE7" w:rsidRDefault="00C41A81" w:rsidP="00FC6147">
            <w:pPr>
              <w:jc w:val="center"/>
              <w:rPr>
                <w:rFonts w:cs="Arial"/>
                <w:b/>
                <w:color w:val="FFFFFF"/>
                <w:lang w:val="en-GB"/>
              </w:rPr>
            </w:pPr>
            <w:proofErr w:type="gramStart"/>
            <w:r w:rsidRPr="00317DE7">
              <w:rPr>
                <w:rFonts w:cs="Arial"/>
                <w:b/>
                <w:color w:val="FFFFFF"/>
                <w:lang w:val="en-GB"/>
              </w:rPr>
              <w:t>out-of-block</w:t>
            </w:r>
            <w:proofErr w:type="gramEnd"/>
            <w:r w:rsidRPr="00317DE7">
              <w:rPr>
                <w:rFonts w:cs="Arial"/>
                <w:b/>
                <w:color w:val="FFFFFF"/>
                <w:lang w:val="en-GB"/>
              </w:rPr>
              <w:t xml:space="preserve"> </w:t>
            </w:r>
            <w:proofErr w:type="spellStart"/>
            <w:r w:rsidRPr="00317DE7">
              <w:rPr>
                <w:rFonts w:cs="Arial"/>
                <w:b/>
                <w:color w:val="FFFFFF"/>
                <w:lang w:val="en-GB"/>
              </w:rPr>
              <w:t>e.i.r.p</w:t>
            </w:r>
            <w:proofErr w:type="spellEnd"/>
            <w:r w:rsidRPr="00317DE7">
              <w:rPr>
                <w:rFonts w:cs="Arial"/>
                <w:b/>
                <w:color w:val="FFFFFF"/>
                <w:lang w:val="en-GB"/>
              </w:rPr>
              <w:t>.</w:t>
            </w:r>
          </w:p>
          <w:p w:rsidR="00C41A81" w:rsidRPr="00317DE7" w:rsidRDefault="00C41A81" w:rsidP="00FC6147">
            <w:pPr>
              <w:jc w:val="center"/>
              <w:rPr>
                <w:rFonts w:cs="Arial"/>
                <w:b/>
                <w:color w:val="FFFFFF"/>
                <w:lang w:val="en-GB"/>
              </w:rPr>
            </w:pPr>
            <w:r w:rsidRPr="00317DE7">
              <w:rPr>
                <w:rFonts w:cs="Arial"/>
                <w:b/>
                <w:color w:val="FFFFFF"/>
                <w:lang w:val="en-GB"/>
              </w:rPr>
              <w:t>[</w:t>
            </w:r>
            <w:proofErr w:type="spellStart"/>
            <w:r w:rsidRPr="00317DE7">
              <w:rPr>
                <w:rFonts w:cs="Arial"/>
                <w:b/>
                <w:color w:val="FFFFFF"/>
                <w:lang w:val="en-GB"/>
              </w:rPr>
              <w:t>dBm</w:t>
            </w:r>
            <w:proofErr w:type="spellEnd"/>
            <w:r w:rsidRPr="00317DE7">
              <w:rPr>
                <w:rFonts w:cs="Arial"/>
                <w:b/>
                <w:color w:val="FFFFFF"/>
                <w:lang w:val="en-GB"/>
              </w:rPr>
              <w:t>]</w:t>
            </w:r>
          </w:p>
        </w:tc>
        <w:tc>
          <w:tcPr>
            <w:tcW w:w="2727" w:type="dxa"/>
            <w:tcBorders>
              <w:top w:val="single" w:sz="4" w:space="0" w:color="D2232A"/>
              <w:left w:val="single" w:sz="4" w:space="0" w:color="FFFFFF"/>
              <w:bottom w:val="single" w:sz="4" w:space="0" w:color="D2232A"/>
              <w:right w:val="single" w:sz="4" w:space="0" w:color="D2232A"/>
            </w:tcBorders>
            <w:shd w:val="clear" w:color="auto" w:fill="D2232A"/>
          </w:tcPr>
          <w:p w:rsidR="00C41A81" w:rsidRPr="00317DE7" w:rsidRDefault="00C41A81" w:rsidP="00FC6147">
            <w:pPr>
              <w:jc w:val="center"/>
              <w:rPr>
                <w:rFonts w:cs="Arial"/>
                <w:b/>
                <w:color w:val="FFFFFF"/>
                <w:lang w:val="en-GB"/>
              </w:rPr>
            </w:pPr>
            <w:r w:rsidRPr="00317DE7">
              <w:rPr>
                <w:rFonts w:cs="Arial"/>
                <w:b/>
                <w:color w:val="FFFFFF"/>
                <w:lang w:val="en-GB"/>
              </w:rPr>
              <w:t xml:space="preserve">Measurement </w:t>
            </w:r>
          </w:p>
          <w:p w:rsidR="00C41A81" w:rsidRPr="00317DE7" w:rsidRDefault="00C41A81" w:rsidP="00FC6147">
            <w:pPr>
              <w:jc w:val="center"/>
              <w:rPr>
                <w:rFonts w:cs="Arial"/>
                <w:b/>
                <w:color w:val="FFFFFF"/>
                <w:lang w:val="en-GB"/>
              </w:rPr>
            </w:pPr>
            <w:r w:rsidRPr="00317DE7">
              <w:rPr>
                <w:rFonts w:cs="Arial"/>
                <w:b/>
                <w:color w:val="FFFFFF"/>
                <w:lang w:val="en-GB"/>
              </w:rPr>
              <w:t>Bandwidth</w:t>
            </w:r>
          </w:p>
          <w:p w:rsidR="00C41A81" w:rsidRPr="00317DE7" w:rsidRDefault="00C41A81" w:rsidP="00FC6147">
            <w:pPr>
              <w:jc w:val="center"/>
              <w:rPr>
                <w:rFonts w:cs="Arial"/>
                <w:b/>
                <w:color w:val="FFFFFF"/>
                <w:lang w:val="en-GB"/>
              </w:rPr>
            </w:pPr>
            <w:r w:rsidRPr="00317DE7">
              <w:rPr>
                <w:rFonts w:cs="Arial"/>
                <w:b/>
                <w:color w:val="FFFFFF"/>
                <w:lang w:val="en-GB"/>
              </w:rPr>
              <w:t>[MHz]</w:t>
            </w:r>
          </w:p>
        </w:tc>
      </w:tr>
      <w:tr w:rsidR="00C41A81" w:rsidRPr="00317DE7" w:rsidTr="00FC6147">
        <w:tc>
          <w:tcPr>
            <w:tcW w:w="4248"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–10 to –5 MHz from lower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 xml:space="preserve">11 </w:t>
            </w:r>
            <w:proofErr w:type="spellStart"/>
            <w:r w:rsidRPr="00317DE7">
              <w:rPr>
                <w:lang w:val="en-GB"/>
              </w:rPr>
              <w:t>dBm</w:t>
            </w:r>
            <w:proofErr w:type="spellEnd"/>
            <w:r w:rsidRPr="00317DE7">
              <w:rPr>
                <w:lang w:val="en-GB"/>
              </w:rPr>
              <w:t xml:space="preserve"> </w:t>
            </w:r>
          </w:p>
        </w:tc>
        <w:tc>
          <w:tcPr>
            <w:tcW w:w="2727"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5 MHz</w:t>
            </w:r>
          </w:p>
        </w:tc>
      </w:tr>
      <w:tr w:rsidR="00C41A81" w:rsidRPr="00317DE7" w:rsidTr="00FC6147">
        <w:tc>
          <w:tcPr>
            <w:tcW w:w="4248"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–5 to 0 MHz from lower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 xml:space="preserve">16.3 </w:t>
            </w:r>
            <w:proofErr w:type="spellStart"/>
            <w:r w:rsidRPr="00317DE7">
              <w:rPr>
                <w:lang w:val="en-GB"/>
              </w:rPr>
              <w:t>dBm</w:t>
            </w:r>
            <w:proofErr w:type="spellEnd"/>
            <w:r w:rsidRPr="00317DE7">
              <w:rPr>
                <w:lang w:val="en-GB"/>
              </w:rPr>
              <w:t xml:space="preserve"> </w:t>
            </w:r>
          </w:p>
        </w:tc>
        <w:tc>
          <w:tcPr>
            <w:tcW w:w="2727"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5 MHz</w:t>
            </w:r>
          </w:p>
        </w:tc>
      </w:tr>
      <w:tr w:rsidR="00C41A81" w:rsidRPr="00317DE7" w:rsidTr="00FC6147">
        <w:tc>
          <w:tcPr>
            <w:tcW w:w="4248"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0 to +5 MHz from upper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 xml:space="preserve">16.3 </w:t>
            </w:r>
            <w:proofErr w:type="spellStart"/>
            <w:r w:rsidRPr="00317DE7">
              <w:rPr>
                <w:lang w:val="en-GB"/>
              </w:rPr>
              <w:t>dBm</w:t>
            </w:r>
            <w:proofErr w:type="spellEnd"/>
            <w:r w:rsidRPr="00317DE7">
              <w:rPr>
                <w:lang w:val="en-GB"/>
              </w:rPr>
              <w:t xml:space="preserve"> </w:t>
            </w:r>
          </w:p>
        </w:tc>
        <w:tc>
          <w:tcPr>
            <w:tcW w:w="2727"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5 MHz</w:t>
            </w:r>
          </w:p>
        </w:tc>
      </w:tr>
      <w:tr w:rsidR="00C41A81" w:rsidRPr="00317DE7" w:rsidTr="00FC6147">
        <w:tc>
          <w:tcPr>
            <w:tcW w:w="4248"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+5 to +10 MHz from upper block edge</w:t>
            </w:r>
          </w:p>
        </w:tc>
        <w:tc>
          <w:tcPr>
            <w:tcW w:w="2880"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 xml:space="preserve">11 </w:t>
            </w:r>
            <w:proofErr w:type="spellStart"/>
            <w:r w:rsidRPr="00317DE7">
              <w:rPr>
                <w:lang w:val="en-GB"/>
              </w:rPr>
              <w:t>dBm</w:t>
            </w:r>
            <w:proofErr w:type="spellEnd"/>
            <w:r w:rsidRPr="00317DE7">
              <w:rPr>
                <w:lang w:val="en-GB"/>
              </w:rPr>
              <w:t xml:space="preserve"> </w:t>
            </w:r>
          </w:p>
        </w:tc>
        <w:tc>
          <w:tcPr>
            <w:tcW w:w="2727"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5 MHz</w:t>
            </w:r>
          </w:p>
        </w:tc>
      </w:tr>
      <w:tr w:rsidR="00C41A81" w:rsidRPr="00317DE7" w:rsidTr="00FC6147">
        <w:tc>
          <w:tcPr>
            <w:tcW w:w="4248"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Remaining MFCN SDL frequencies</w:t>
            </w:r>
          </w:p>
        </w:tc>
        <w:tc>
          <w:tcPr>
            <w:tcW w:w="2880"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 xml:space="preserve">9 </w:t>
            </w:r>
            <w:proofErr w:type="spellStart"/>
            <w:r w:rsidRPr="00317DE7">
              <w:rPr>
                <w:lang w:val="en-GB"/>
              </w:rPr>
              <w:t>dBm</w:t>
            </w:r>
            <w:proofErr w:type="spellEnd"/>
            <w:r w:rsidRPr="00317DE7">
              <w:rPr>
                <w:lang w:val="en-GB"/>
              </w:rPr>
              <w:t xml:space="preserve"> </w:t>
            </w:r>
          </w:p>
        </w:tc>
        <w:tc>
          <w:tcPr>
            <w:tcW w:w="2727" w:type="dxa"/>
            <w:tcBorders>
              <w:top w:val="single" w:sz="4" w:space="0" w:color="D2232A"/>
              <w:left w:val="single" w:sz="4" w:space="0" w:color="D2232A"/>
              <w:bottom w:val="single" w:sz="4" w:space="0" w:color="D2232A"/>
              <w:right w:val="single" w:sz="4" w:space="0" w:color="D2232A"/>
            </w:tcBorders>
            <w:vAlign w:val="center"/>
          </w:tcPr>
          <w:p w:rsidR="00C41A81" w:rsidRPr="00317DE7" w:rsidRDefault="00C41A81" w:rsidP="00FC6147">
            <w:pPr>
              <w:rPr>
                <w:lang w:val="en-GB"/>
              </w:rPr>
            </w:pPr>
            <w:r w:rsidRPr="00317DE7">
              <w:rPr>
                <w:lang w:val="en-GB"/>
              </w:rPr>
              <w:t>5 MHz</w:t>
            </w:r>
          </w:p>
        </w:tc>
      </w:tr>
    </w:tbl>
    <w:p w:rsidR="00C41A81" w:rsidRPr="00317DE7" w:rsidRDefault="00C41A81" w:rsidP="00CA08EC">
      <w:pPr>
        <w:rPr>
          <w:lang w:val="en-GB"/>
        </w:rPr>
      </w:pPr>
    </w:p>
    <w:p w:rsidR="00C41A81" w:rsidRPr="00317DE7" w:rsidRDefault="00C41A81" w:rsidP="00586DA9">
      <w:pPr>
        <w:pStyle w:val="ECCAnnexheading3"/>
        <w:keepNext/>
        <w:rPr>
          <w:sz w:val="18"/>
          <w:lang w:val="en-GB"/>
        </w:rPr>
      </w:pPr>
      <w:r w:rsidRPr="00317DE7">
        <w:rPr>
          <w:sz w:val="18"/>
          <w:lang w:val="en-GB"/>
        </w:rPr>
        <w:lastRenderedPageBreak/>
        <w:t>Out-of-Band Emission (OOBE) limits</w:t>
      </w:r>
    </w:p>
    <w:p w:rsidR="00C41A81" w:rsidRPr="00317DE7" w:rsidRDefault="00C41A81" w:rsidP="00586DA9">
      <w:pPr>
        <w:keepNext/>
        <w:spacing w:before="240" w:after="240"/>
        <w:rPr>
          <w:lang w:val="en-GB"/>
        </w:rPr>
      </w:pPr>
      <w:r w:rsidRPr="00317DE7">
        <w:rPr>
          <w:lang w:val="en-GB"/>
        </w:rPr>
        <w:t>The Out-of-Band Emissions limits of WBB SDL base station operating in 1452-1492 MHz are provided in the table below:</w:t>
      </w:r>
    </w:p>
    <w:p w:rsidR="00C41A81" w:rsidRPr="00317DE7" w:rsidRDefault="00C41A81" w:rsidP="00684387">
      <w:pPr>
        <w:pStyle w:val="ECCTabletitle"/>
        <w:keepNext/>
        <w:ind w:left="1349" w:hanging="357"/>
      </w:pPr>
      <w:r w:rsidRPr="00317DE7">
        <w:t>OOBE limits for WBB SDL base station operating in 1452-1492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C41A81" w:rsidRPr="00317DE7" w:rsidTr="00FC6147">
        <w:trPr>
          <w:tblHeader/>
        </w:trPr>
        <w:tc>
          <w:tcPr>
            <w:tcW w:w="4248" w:type="dxa"/>
            <w:tcBorders>
              <w:right w:val="single" w:sz="8" w:space="0" w:color="FFFFFF"/>
            </w:tcBorders>
            <w:shd w:val="clear" w:color="auto" w:fill="D2232A"/>
            <w:vAlign w:val="center"/>
          </w:tcPr>
          <w:p w:rsidR="00C41A81" w:rsidRPr="00317DE7" w:rsidRDefault="00C41A81" w:rsidP="00586DA9">
            <w:pPr>
              <w:keepNext/>
              <w:spacing w:line="288" w:lineRule="auto"/>
              <w:jc w:val="center"/>
              <w:rPr>
                <w:b/>
                <w:color w:val="FFFFFF"/>
                <w:lang w:val="en-GB"/>
              </w:rPr>
            </w:pPr>
            <w:r w:rsidRPr="00317DE7">
              <w:rPr>
                <w:b/>
                <w:color w:val="FFFFFF"/>
                <w:lang w:val="en-GB"/>
              </w:rPr>
              <w:t xml:space="preserve">Frequency range of </w:t>
            </w:r>
          </w:p>
          <w:p w:rsidR="00C41A81" w:rsidRPr="00317DE7" w:rsidRDefault="00C41A81" w:rsidP="00586DA9">
            <w:pPr>
              <w:keepNext/>
              <w:spacing w:line="288" w:lineRule="auto"/>
              <w:jc w:val="center"/>
              <w:rPr>
                <w:b/>
                <w:color w:val="FFFFFF"/>
                <w:lang w:val="en-GB"/>
              </w:rPr>
            </w:pPr>
            <w:r w:rsidRPr="00317DE7">
              <w:rPr>
                <w:b/>
                <w:color w:val="FFFFFF"/>
                <w:lang w:val="en-GB"/>
              </w:rPr>
              <w:t>out-of-band emissions</w:t>
            </w:r>
          </w:p>
        </w:tc>
        <w:tc>
          <w:tcPr>
            <w:tcW w:w="2700" w:type="dxa"/>
            <w:tcBorders>
              <w:left w:val="single" w:sz="8" w:space="0" w:color="FFFFFF"/>
              <w:right w:val="single" w:sz="8" w:space="0" w:color="FFFFFF"/>
            </w:tcBorders>
            <w:shd w:val="clear" w:color="auto" w:fill="D2232A"/>
            <w:vAlign w:val="center"/>
          </w:tcPr>
          <w:p w:rsidR="00C41A81" w:rsidRPr="00317DE7" w:rsidRDefault="00C41A81" w:rsidP="00586DA9">
            <w:pPr>
              <w:keepNext/>
              <w:spacing w:line="288" w:lineRule="auto"/>
              <w:jc w:val="center"/>
              <w:rPr>
                <w:b/>
                <w:color w:val="FFFFFF"/>
                <w:lang w:val="en-GB"/>
              </w:rPr>
            </w:pPr>
            <w:r w:rsidRPr="00317DE7">
              <w:rPr>
                <w:b/>
                <w:color w:val="FFFFFF"/>
                <w:lang w:val="en-GB"/>
              </w:rPr>
              <w:t xml:space="preserve">Maximum mean </w:t>
            </w:r>
          </w:p>
          <w:p w:rsidR="00C41A81" w:rsidRPr="00317DE7" w:rsidRDefault="00C41A81" w:rsidP="00586DA9">
            <w:pPr>
              <w:keepNext/>
              <w:spacing w:line="288" w:lineRule="auto"/>
              <w:jc w:val="center"/>
              <w:rPr>
                <w:b/>
                <w:color w:val="FFFFFF"/>
                <w:lang w:val="en-GB"/>
              </w:rPr>
            </w:pPr>
            <w:r w:rsidRPr="00317DE7">
              <w:rPr>
                <w:b/>
                <w:color w:val="FFFFFF"/>
                <w:lang w:val="en-GB"/>
              </w:rPr>
              <w:t xml:space="preserve">out-of-band </w:t>
            </w:r>
            <w:proofErr w:type="spellStart"/>
            <w:r w:rsidRPr="00317DE7">
              <w:rPr>
                <w:b/>
                <w:color w:val="FFFFFF"/>
                <w:lang w:val="en-GB"/>
              </w:rPr>
              <w:t>e.i.r.p</w:t>
            </w:r>
            <w:proofErr w:type="spellEnd"/>
            <w:r w:rsidRPr="00317DE7">
              <w:rPr>
                <w:b/>
                <w:color w:val="FFFFFF"/>
                <w:lang w:val="en-GB"/>
              </w:rPr>
              <w:t>.</w:t>
            </w:r>
          </w:p>
        </w:tc>
        <w:tc>
          <w:tcPr>
            <w:tcW w:w="2907" w:type="dxa"/>
            <w:tcBorders>
              <w:left w:val="single" w:sz="8" w:space="0" w:color="FFFFFF"/>
            </w:tcBorders>
            <w:shd w:val="clear" w:color="auto" w:fill="D2232A"/>
            <w:vAlign w:val="center"/>
          </w:tcPr>
          <w:p w:rsidR="00C41A81" w:rsidRPr="00317DE7" w:rsidRDefault="00C41A81" w:rsidP="00586DA9">
            <w:pPr>
              <w:keepNext/>
              <w:spacing w:line="288" w:lineRule="auto"/>
              <w:jc w:val="center"/>
              <w:rPr>
                <w:b/>
                <w:color w:val="FFFFFF"/>
                <w:lang w:val="en-GB"/>
              </w:rPr>
            </w:pPr>
            <w:r w:rsidRPr="00317DE7">
              <w:rPr>
                <w:b/>
                <w:color w:val="FFFFFF"/>
                <w:lang w:val="en-GB"/>
              </w:rPr>
              <w:t xml:space="preserve">Measurement </w:t>
            </w:r>
          </w:p>
          <w:p w:rsidR="00C41A81" w:rsidRPr="00317DE7" w:rsidRDefault="00C41A81" w:rsidP="00586DA9">
            <w:pPr>
              <w:keepNext/>
              <w:spacing w:line="288" w:lineRule="auto"/>
              <w:jc w:val="center"/>
              <w:rPr>
                <w:b/>
                <w:color w:val="FFFFFF"/>
                <w:lang w:val="en-GB"/>
              </w:rPr>
            </w:pPr>
            <w:r w:rsidRPr="00317DE7">
              <w:rPr>
                <w:b/>
                <w:color w:val="FFFFFF"/>
                <w:lang w:val="en-GB"/>
              </w:rPr>
              <w:t>Bandwidth</w:t>
            </w:r>
          </w:p>
        </w:tc>
      </w:tr>
      <w:tr w:rsidR="00C41A81" w:rsidRPr="00317DE7" w:rsidTr="00FC6147">
        <w:tc>
          <w:tcPr>
            <w:tcW w:w="4248" w:type="dxa"/>
          </w:tcPr>
          <w:p w:rsidR="00C41A81" w:rsidRPr="00317DE7" w:rsidRDefault="00C41A81" w:rsidP="00586DA9">
            <w:pPr>
              <w:keepNext/>
              <w:rPr>
                <w:lang w:val="en-GB"/>
              </w:rPr>
            </w:pPr>
            <w:r w:rsidRPr="00317DE7">
              <w:rPr>
                <w:rFonts w:cs="Arial"/>
                <w:szCs w:val="22"/>
                <w:lang w:val="en-GB"/>
              </w:rPr>
              <w:t>Below 1449 MHz</w:t>
            </w:r>
          </w:p>
        </w:tc>
        <w:tc>
          <w:tcPr>
            <w:tcW w:w="2700" w:type="dxa"/>
          </w:tcPr>
          <w:p w:rsidR="00C41A81" w:rsidRPr="00317DE7" w:rsidRDefault="00C41A81" w:rsidP="00586DA9">
            <w:pPr>
              <w:keepNext/>
              <w:rPr>
                <w:lang w:val="en-GB"/>
              </w:rPr>
            </w:pPr>
            <w:r w:rsidRPr="00317DE7">
              <w:rPr>
                <w:lang w:val="en-GB"/>
              </w:rPr>
              <w:t xml:space="preserve">-20 </w:t>
            </w:r>
            <w:proofErr w:type="spellStart"/>
            <w:r w:rsidRPr="00317DE7">
              <w:rPr>
                <w:lang w:val="en-GB"/>
              </w:rPr>
              <w:t>dBm</w:t>
            </w:r>
            <w:proofErr w:type="spellEnd"/>
            <w:r w:rsidRPr="00317DE7">
              <w:rPr>
                <w:lang w:val="en-GB"/>
              </w:rPr>
              <w:t xml:space="preserve"> </w:t>
            </w:r>
          </w:p>
        </w:tc>
        <w:tc>
          <w:tcPr>
            <w:tcW w:w="2907" w:type="dxa"/>
          </w:tcPr>
          <w:p w:rsidR="00C41A81" w:rsidRPr="00317DE7" w:rsidRDefault="00C41A81" w:rsidP="00586DA9">
            <w:pPr>
              <w:keepNext/>
              <w:rPr>
                <w:lang w:val="en-GB"/>
              </w:rPr>
            </w:pPr>
            <w:r w:rsidRPr="00317DE7">
              <w:rPr>
                <w:lang w:val="en-GB"/>
              </w:rPr>
              <w:t>1 MHz</w:t>
            </w:r>
          </w:p>
        </w:tc>
      </w:tr>
      <w:tr w:rsidR="00C41A81" w:rsidRPr="00317DE7" w:rsidTr="00FC6147">
        <w:tc>
          <w:tcPr>
            <w:tcW w:w="4248" w:type="dxa"/>
          </w:tcPr>
          <w:p w:rsidR="00C41A81" w:rsidRPr="00317DE7" w:rsidRDefault="00C41A81" w:rsidP="00586DA9">
            <w:pPr>
              <w:keepNext/>
              <w:rPr>
                <w:rFonts w:cs="Arial"/>
                <w:lang w:val="en-GB"/>
              </w:rPr>
            </w:pPr>
            <w:r w:rsidRPr="00317DE7">
              <w:rPr>
                <w:rFonts w:cs="Arial"/>
                <w:szCs w:val="22"/>
                <w:lang w:val="en-GB"/>
              </w:rPr>
              <w:t>1449-1452 MHz</w:t>
            </w:r>
          </w:p>
        </w:tc>
        <w:tc>
          <w:tcPr>
            <w:tcW w:w="2700" w:type="dxa"/>
          </w:tcPr>
          <w:p w:rsidR="00C41A81" w:rsidRPr="00317DE7" w:rsidRDefault="00C41A81" w:rsidP="00586DA9">
            <w:pPr>
              <w:keepNext/>
              <w:rPr>
                <w:lang w:val="en-GB"/>
              </w:rPr>
            </w:pPr>
            <w:r w:rsidRPr="00317DE7">
              <w:rPr>
                <w:lang w:val="en-GB"/>
              </w:rPr>
              <w:t xml:space="preserve">14 </w:t>
            </w:r>
            <w:proofErr w:type="spellStart"/>
            <w:r w:rsidRPr="00317DE7">
              <w:rPr>
                <w:lang w:val="en-GB"/>
              </w:rPr>
              <w:t>dBm</w:t>
            </w:r>
            <w:proofErr w:type="spellEnd"/>
          </w:p>
        </w:tc>
        <w:tc>
          <w:tcPr>
            <w:tcW w:w="2907" w:type="dxa"/>
          </w:tcPr>
          <w:p w:rsidR="00C41A81" w:rsidRPr="00317DE7" w:rsidRDefault="00C41A81" w:rsidP="00586DA9">
            <w:pPr>
              <w:keepNext/>
              <w:rPr>
                <w:lang w:val="en-GB"/>
              </w:rPr>
            </w:pPr>
            <w:r w:rsidRPr="00317DE7">
              <w:rPr>
                <w:lang w:val="en-GB"/>
              </w:rPr>
              <w:t>3 MHz</w:t>
            </w:r>
          </w:p>
        </w:tc>
      </w:tr>
      <w:tr w:rsidR="00C41A81" w:rsidRPr="00317DE7" w:rsidTr="00FC6147">
        <w:tc>
          <w:tcPr>
            <w:tcW w:w="4248" w:type="dxa"/>
          </w:tcPr>
          <w:p w:rsidR="00C41A81" w:rsidRPr="00317DE7" w:rsidRDefault="00C41A81" w:rsidP="00586DA9">
            <w:pPr>
              <w:keepNext/>
              <w:rPr>
                <w:rFonts w:cs="Arial"/>
                <w:lang w:val="en-GB"/>
              </w:rPr>
            </w:pPr>
            <w:r w:rsidRPr="00317DE7">
              <w:rPr>
                <w:rFonts w:cs="Arial"/>
                <w:szCs w:val="22"/>
                <w:lang w:val="en-GB"/>
              </w:rPr>
              <w:t>1492-1495 MHz</w:t>
            </w:r>
          </w:p>
        </w:tc>
        <w:tc>
          <w:tcPr>
            <w:tcW w:w="2700" w:type="dxa"/>
          </w:tcPr>
          <w:p w:rsidR="00C41A81" w:rsidRPr="00317DE7" w:rsidRDefault="00C41A81" w:rsidP="00586DA9">
            <w:pPr>
              <w:keepNext/>
              <w:rPr>
                <w:lang w:val="en-GB"/>
              </w:rPr>
            </w:pPr>
            <w:r w:rsidRPr="00317DE7">
              <w:rPr>
                <w:lang w:val="en-GB"/>
              </w:rPr>
              <w:t xml:space="preserve">14 </w:t>
            </w:r>
            <w:proofErr w:type="spellStart"/>
            <w:r w:rsidRPr="00317DE7">
              <w:rPr>
                <w:lang w:val="en-GB"/>
              </w:rPr>
              <w:t>dBm</w:t>
            </w:r>
            <w:proofErr w:type="spellEnd"/>
          </w:p>
        </w:tc>
        <w:tc>
          <w:tcPr>
            <w:tcW w:w="2907" w:type="dxa"/>
          </w:tcPr>
          <w:p w:rsidR="00C41A81" w:rsidRPr="00317DE7" w:rsidRDefault="00C41A81" w:rsidP="00586DA9">
            <w:pPr>
              <w:keepNext/>
              <w:rPr>
                <w:lang w:val="en-GB"/>
              </w:rPr>
            </w:pPr>
            <w:r w:rsidRPr="00317DE7">
              <w:rPr>
                <w:lang w:val="en-GB"/>
              </w:rPr>
              <w:t>3 MHz</w:t>
            </w:r>
          </w:p>
        </w:tc>
      </w:tr>
      <w:tr w:rsidR="00C41A81" w:rsidRPr="00317DE7" w:rsidTr="00FC6147">
        <w:trPr>
          <w:trHeight w:val="170"/>
        </w:trPr>
        <w:tc>
          <w:tcPr>
            <w:tcW w:w="4248" w:type="dxa"/>
          </w:tcPr>
          <w:p w:rsidR="00C41A81" w:rsidRPr="00317DE7" w:rsidRDefault="00C41A81" w:rsidP="00586DA9">
            <w:pPr>
              <w:keepNext/>
              <w:rPr>
                <w:lang w:val="en-GB"/>
              </w:rPr>
            </w:pPr>
            <w:r w:rsidRPr="00317DE7">
              <w:rPr>
                <w:rFonts w:cs="Arial"/>
                <w:szCs w:val="22"/>
                <w:lang w:val="en-GB"/>
              </w:rPr>
              <w:t>Above 1495 MHz</w:t>
            </w:r>
          </w:p>
        </w:tc>
        <w:tc>
          <w:tcPr>
            <w:tcW w:w="2700" w:type="dxa"/>
          </w:tcPr>
          <w:p w:rsidR="00C41A81" w:rsidRPr="00317DE7" w:rsidRDefault="00C41A81" w:rsidP="00586DA9">
            <w:pPr>
              <w:keepNext/>
              <w:rPr>
                <w:lang w:val="en-GB"/>
              </w:rPr>
            </w:pPr>
            <w:r w:rsidRPr="00317DE7">
              <w:rPr>
                <w:lang w:val="en-GB"/>
              </w:rPr>
              <w:t xml:space="preserve">-20 </w:t>
            </w:r>
            <w:proofErr w:type="spellStart"/>
            <w:r w:rsidRPr="00317DE7">
              <w:rPr>
                <w:lang w:val="en-GB"/>
              </w:rPr>
              <w:t>dBm</w:t>
            </w:r>
            <w:proofErr w:type="spellEnd"/>
            <w:r w:rsidRPr="00317DE7">
              <w:rPr>
                <w:lang w:val="en-GB"/>
              </w:rPr>
              <w:t xml:space="preserve"> </w:t>
            </w:r>
          </w:p>
        </w:tc>
        <w:tc>
          <w:tcPr>
            <w:tcW w:w="2907" w:type="dxa"/>
          </w:tcPr>
          <w:p w:rsidR="00C41A81" w:rsidRPr="00317DE7" w:rsidRDefault="00C41A81" w:rsidP="00586DA9">
            <w:pPr>
              <w:keepNext/>
              <w:jc w:val="both"/>
              <w:rPr>
                <w:lang w:val="en-GB"/>
              </w:rPr>
            </w:pPr>
            <w:r w:rsidRPr="00317DE7">
              <w:rPr>
                <w:lang w:val="en-GB"/>
              </w:rPr>
              <w:t>1 MHz</w:t>
            </w:r>
          </w:p>
        </w:tc>
      </w:tr>
    </w:tbl>
    <w:p w:rsidR="00C41A81" w:rsidRPr="00317DE7" w:rsidRDefault="00C41A81" w:rsidP="00CA08EC">
      <w:pPr>
        <w:spacing w:after="240"/>
        <w:jc w:val="both"/>
        <w:rPr>
          <w:lang w:val="en-GB"/>
        </w:rPr>
      </w:pPr>
    </w:p>
    <w:p w:rsidR="00C41A81" w:rsidRPr="00317DE7" w:rsidRDefault="00C41A81" w:rsidP="008E68C7">
      <w:pPr>
        <w:pStyle w:val="ECCAnnexheading3"/>
        <w:rPr>
          <w:sz w:val="18"/>
          <w:lang w:val="en-GB"/>
        </w:rPr>
      </w:pPr>
      <w:r w:rsidRPr="00317DE7">
        <w:rPr>
          <w:sz w:val="18"/>
          <w:lang w:val="en-GB"/>
        </w:rPr>
        <w:t>Specific case of adjacent band use by fixed links</w:t>
      </w:r>
    </w:p>
    <w:p w:rsidR="00C41A81" w:rsidRPr="00317DE7" w:rsidRDefault="00C41A81" w:rsidP="00CA08EC">
      <w:pPr>
        <w:spacing w:after="240"/>
        <w:jc w:val="both"/>
        <w:rPr>
          <w:lang w:val="en-GB"/>
        </w:rPr>
      </w:pPr>
      <w:r w:rsidRPr="00317DE7">
        <w:rPr>
          <w:lang w:val="en-GB"/>
        </w:rPr>
        <w:t>In the case where an Administration uses fixed links in the adjacent bands (namely, in 1427-1452 MHz or in 1492-1518 MHz), this Administration may implement at national level some specific measures to ensure coexistence with WBB SDL in the 1452-1492 MHz band. Those measures would need to include site coordination (which may include additional technical/operational conditions i.e. frequency-territorial planning) in the case of coordinated fixed links or more restrictive technical conditions in the case of uncoordinated fixed links. These technical conditions such as more stringent out-of-band emission limits are highly dependent of the uncoordinated fixed links considered and are as such only relevant for the concerned administration.</w:t>
      </w:r>
    </w:p>
    <w:p w:rsidR="00C41A81" w:rsidRPr="00317DE7" w:rsidRDefault="00C41A81" w:rsidP="003D3927">
      <w:pPr>
        <w:pStyle w:val="ECCAnnexheading2"/>
        <w:rPr>
          <w:sz w:val="18"/>
          <w:lang w:val="en-GB"/>
        </w:rPr>
      </w:pPr>
      <w:r w:rsidRPr="00317DE7">
        <w:rPr>
          <w:sz w:val="18"/>
          <w:lang w:val="en-GB"/>
        </w:rPr>
        <w:t>Coexistence between WBB and incumben applications/services wthin the band</w:t>
      </w:r>
    </w:p>
    <w:p w:rsidR="00C41A81" w:rsidRPr="00317DE7" w:rsidRDefault="00142AC0" w:rsidP="003525BA">
      <w:pPr>
        <w:pStyle w:val="ECCAnnexheading3"/>
        <w:rPr>
          <w:sz w:val="18"/>
          <w:lang w:val="en-GB"/>
        </w:rPr>
      </w:pPr>
      <w:r w:rsidRPr="00317DE7">
        <w:rPr>
          <w:sz w:val="18"/>
          <w:szCs w:val="18"/>
          <w:lang w:val="en-GB"/>
        </w:rPr>
        <w:t>In-band adjacent channel c</w:t>
      </w:r>
      <w:r w:rsidR="00C41A81" w:rsidRPr="00317DE7">
        <w:rPr>
          <w:sz w:val="18"/>
          <w:szCs w:val="18"/>
          <w:lang w:val="en-GB"/>
        </w:rPr>
        <w:t>oexistence between WBB SDL and T-DAB</w:t>
      </w:r>
    </w:p>
    <w:p w:rsidR="00996EC0" w:rsidRPr="00317DE7" w:rsidRDefault="00996EC0" w:rsidP="00996EC0">
      <w:pPr>
        <w:pStyle w:val="ECCParagraph"/>
      </w:pPr>
      <w:r w:rsidRPr="00317DE7">
        <w:t>The interference from SDL to T-DAB in adjacent channel is moderate under assumptions corresponding to rural deployment. In such a case, deployment with limited (0.5 MHz) guard band seems to be appropriate.</w:t>
      </w:r>
      <w:r w:rsidR="00684387" w:rsidRPr="00317DE7">
        <w:t xml:space="preserve"> </w:t>
      </w:r>
      <w:r w:rsidRPr="00317DE7">
        <w:t xml:space="preserve">In urban environment, the probability of interference from SDL implementing the out-of-block emission from Table 5 to T-DAB is substantial (more than 10 %) for guard band lower than 1 </w:t>
      </w:r>
      <w:proofErr w:type="spellStart"/>
      <w:r w:rsidRPr="00317DE7">
        <w:t>MHz.</w:t>
      </w:r>
      <w:proofErr w:type="spellEnd"/>
      <w:r w:rsidRPr="00317DE7">
        <w:t xml:space="preserve"> </w:t>
      </w:r>
    </w:p>
    <w:p w:rsidR="00996EC0" w:rsidRPr="00317DE7" w:rsidRDefault="00996EC0" w:rsidP="00996EC0">
      <w:pPr>
        <w:pStyle w:val="ECCParagraph"/>
      </w:pPr>
      <w:r w:rsidRPr="00317DE7">
        <w:t xml:space="preserve">The SDL critical BEM, guaranteeing that </w:t>
      </w:r>
      <w:r w:rsidR="005E0204" w:rsidRPr="00317DE7">
        <w:t>interference</w:t>
      </w:r>
      <w:r w:rsidR="002646A7" w:rsidRPr="00317DE7">
        <w:t xml:space="preserve"> from SDL to T-DAB </w:t>
      </w:r>
      <w:r w:rsidR="005E0204" w:rsidRPr="00317DE7">
        <w:t>due to blocking is the dominant interference factor for any guard band is defined as follows:</w:t>
      </w:r>
      <w:r w:rsidRPr="00317DE7">
        <w:t xml:space="preserve">  </w:t>
      </w:r>
    </w:p>
    <w:p w:rsidR="00425C2D" w:rsidRPr="00317DE7" w:rsidRDefault="005E0204" w:rsidP="00F80D3F">
      <w:pPr>
        <w:pStyle w:val="ECCTabletitle"/>
      </w:pPr>
      <w:r w:rsidRPr="00317DE7">
        <w:t>OOBE limits for WBB SDL base station operating in 1452-1492 MHz</w:t>
      </w:r>
      <w:r w:rsidR="002646A7" w:rsidRPr="00317DE7">
        <w:t xml:space="preserve"> for adjacent channel coexistence with T-DAB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1798"/>
        <w:gridCol w:w="1798"/>
      </w:tblGrid>
      <w:tr w:rsidR="00425C2D" w:rsidRPr="00317DE7" w:rsidTr="00425C2D">
        <w:trPr>
          <w:jc w:val="center"/>
        </w:trPr>
        <w:tc>
          <w:tcPr>
            <w:tcW w:w="3212" w:type="dxa"/>
            <w:tcBorders>
              <w:top w:val="single" w:sz="4" w:space="0" w:color="C00000"/>
              <w:left w:val="single" w:sz="4" w:space="0" w:color="C00000"/>
              <w:bottom w:val="single" w:sz="4" w:space="0" w:color="C00000"/>
              <w:right w:val="single" w:sz="4" w:space="0" w:color="FFFFFF" w:themeColor="background1"/>
            </w:tcBorders>
            <w:shd w:val="clear" w:color="auto" w:fill="C00000"/>
            <w:hideMark/>
          </w:tcPr>
          <w:p w:rsidR="00425C2D" w:rsidRPr="00317DE7" w:rsidRDefault="00425C2D">
            <w:pPr>
              <w:jc w:val="center"/>
              <w:rPr>
                <w:rFonts w:cs="Arial"/>
                <w:b/>
                <w:color w:val="FFFFFF"/>
                <w:lang w:val="en-GB"/>
              </w:rPr>
            </w:pPr>
            <w:r w:rsidRPr="00317DE7">
              <w:rPr>
                <w:rFonts w:cs="Arial"/>
                <w:b/>
                <w:color w:val="FFFFFF"/>
                <w:lang w:val="en-GB"/>
              </w:rPr>
              <w:t xml:space="preserve">Frequency range of </w:t>
            </w:r>
          </w:p>
          <w:p w:rsidR="00425C2D" w:rsidRPr="00317DE7" w:rsidRDefault="00425C2D">
            <w:pPr>
              <w:keepNext/>
              <w:jc w:val="center"/>
              <w:rPr>
                <w:b/>
                <w:lang w:val="en-GB"/>
              </w:rPr>
            </w:pPr>
            <w:r w:rsidRPr="00317DE7">
              <w:rPr>
                <w:rFonts w:cs="Arial"/>
                <w:b/>
                <w:color w:val="FFFFFF"/>
                <w:lang w:val="en-GB"/>
              </w:rPr>
              <w:t>out-of-block emissions</w:t>
            </w:r>
          </w:p>
        </w:tc>
        <w:tc>
          <w:tcPr>
            <w:tcW w:w="1798" w:type="dxa"/>
            <w:tcBorders>
              <w:top w:val="single" w:sz="4" w:space="0" w:color="C00000"/>
              <w:left w:val="single" w:sz="4" w:space="0" w:color="FFFFFF" w:themeColor="background1"/>
              <w:bottom w:val="single" w:sz="4" w:space="0" w:color="C00000"/>
              <w:right w:val="single" w:sz="4" w:space="0" w:color="FFFFFF" w:themeColor="background1"/>
            </w:tcBorders>
            <w:shd w:val="clear" w:color="auto" w:fill="C00000"/>
            <w:hideMark/>
          </w:tcPr>
          <w:p w:rsidR="00425C2D" w:rsidRPr="00317DE7" w:rsidRDefault="00425C2D">
            <w:pPr>
              <w:jc w:val="center"/>
              <w:rPr>
                <w:rFonts w:cs="Arial"/>
                <w:b/>
                <w:color w:val="FFFFFF"/>
                <w:lang w:val="en-GB"/>
              </w:rPr>
            </w:pPr>
            <w:r w:rsidRPr="00317DE7">
              <w:rPr>
                <w:rFonts w:cs="Arial"/>
                <w:b/>
                <w:color w:val="FFFFFF"/>
                <w:lang w:val="en-GB"/>
              </w:rPr>
              <w:t xml:space="preserve">Maximum mean </w:t>
            </w:r>
          </w:p>
          <w:p w:rsidR="00425C2D" w:rsidRPr="00317DE7" w:rsidRDefault="00425C2D">
            <w:pPr>
              <w:jc w:val="center"/>
              <w:rPr>
                <w:rFonts w:cs="Arial"/>
                <w:b/>
                <w:color w:val="FFFFFF"/>
                <w:lang w:val="en-GB"/>
              </w:rPr>
            </w:pPr>
            <w:proofErr w:type="gramStart"/>
            <w:r w:rsidRPr="00317DE7">
              <w:rPr>
                <w:rFonts w:cs="Arial"/>
                <w:b/>
                <w:color w:val="FFFFFF"/>
                <w:lang w:val="en-GB"/>
              </w:rPr>
              <w:t>out-of-block</w:t>
            </w:r>
            <w:proofErr w:type="gramEnd"/>
            <w:r w:rsidRPr="00317DE7">
              <w:rPr>
                <w:rFonts w:cs="Arial"/>
                <w:b/>
                <w:color w:val="FFFFFF"/>
                <w:lang w:val="en-GB"/>
              </w:rPr>
              <w:t xml:space="preserve"> </w:t>
            </w:r>
            <w:proofErr w:type="spellStart"/>
            <w:r w:rsidRPr="00317DE7">
              <w:rPr>
                <w:rFonts w:cs="Arial"/>
                <w:b/>
                <w:color w:val="FFFFFF"/>
                <w:lang w:val="en-GB"/>
              </w:rPr>
              <w:t>e.i.r.p</w:t>
            </w:r>
            <w:proofErr w:type="spellEnd"/>
            <w:r w:rsidRPr="00317DE7">
              <w:rPr>
                <w:rFonts w:cs="Arial"/>
                <w:b/>
                <w:color w:val="FFFFFF"/>
                <w:lang w:val="en-GB"/>
              </w:rPr>
              <w:t>.</w:t>
            </w:r>
          </w:p>
          <w:p w:rsidR="00425C2D" w:rsidRPr="00317DE7" w:rsidRDefault="00425C2D">
            <w:pPr>
              <w:keepNext/>
              <w:jc w:val="center"/>
              <w:rPr>
                <w:b/>
                <w:lang w:val="en-GB"/>
              </w:rPr>
            </w:pPr>
            <w:r w:rsidRPr="00317DE7">
              <w:rPr>
                <w:rFonts w:cs="Arial"/>
                <w:b/>
                <w:color w:val="FFFFFF"/>
                <w:lang w:val="en-GB"/>
              </w:rPr>
              <w:t>[</w:t>
            </w:r>
            <w:proofErr w:type="spellStart"/>
            <w:r w:rsidRPr="00317DE7">
              <w:rPr>
                <w:rFonts w:cs="Arial"/>
                <w:b/>
                <w:color w:val="FFFFFF"/>
                <w:lang w:val="en-GB"/>
              </w:rPr>
              <w:t>dBm</w:t>
            </w:r>
            <w:proofErr w:type="spellEnd"/>
            <w:r w:rsidRPr="00317DE7">
              <w:rPr>
                <w:rFonts w:cs="Arial"/>
                <w:b/>
                <w:color w:val="FFFFFF"/>
                <w:lang w:val="en-GB"/>
              </w:rPr>
              <w:t>]</w:t>
            </w:r>
          </w:p>
        </w:tc>
        <w:tc>
          <w:tcPr>
            <w:tcW w:w="1798" w:type="dxa"/>
            <w:tcBorders>
              <w:top w:val="single" w:sz="4" w:space="0" w:color="C00000"/>
              <w:left w:val="single" w:sz="4" w:space="0" w:color="FFFFFF" w:themeColor="background1"/>
              <w:bottom w:val="single" w:sz="4" w:space="0" w:color="C00000"/>
              <w:right w:val="single" w:sz="4" w:space="0" w:color="FFFFFF" w:themeColor="background1"/>
            </w:tcBorders>
            <w:shd w:val="clear" w:color="auto" w:fill="C00000"/>
            <w:hideMark/>
          </w:tcPr>
          <w:p w:rsidR="00425C2D" w:rsidRPr="00317DE7" w:rsidRDefault="00425C2D">
            <w:pPr>
              <w:jc w:val="center"/>
              <w:rPr>
                <w:rFonts w:cs="Arial"/>
                <w:b/>
                <w:color w:val="FFFFFF"/>
                <w:lang w:val="en-GB"/>
              </w:rPr>
            </w:pPr>
            <w:r w:rsidRPr="00317DE7">
              <w:rPr>
                <w:rFonts w:cs="Arial"/>
                <w:b/>
                <w:color w:val="FFFFFF"/>
                <w:lang w:val="en-GB"/>
              </w:rPr>
              <w:t xml:space="preserve">Measurement </w:t>
            </w:r>
          </w:p>
          <w:p w:rsidR="00425C2D" w:rsidRPr="00317DE7" w:rsidRDefault="00425C2D">
            <w:pPr>
              <w:jc w:val="center"/>
              <w:rPr>
                <w:rFonts w:cs="Arial"/>
                <w:b/>
                <w:color w:val="FFFFFF"/>
                <w:lang w:val="en-GB"/>
              </w:rPr>
            </w:pPr>
            <w:r w:rsidRPr="00317DE7">
              <w:rPr>
                <w:rFonts w:cs="Arial"/>
                <w:b/>
                <w:color w:val="FFFFFF"/>
                <w:lang w:val="en-GB"/>
              </w:rPr>
              <w:t>Bandwidth</w:t>
            </w:r>
          </w:p>
          <w:p w:rsidR="00425C2D" w:rsidRPr="00317DE7" w:rsidRDefault="00425C2D">
            <w:pPr>
              <w:keepNext/>
              <w:jc w:val="center"/>
              <w:rPr>
                <w:b/>
                <w:lang w:val="en-GB"/>
              </w:rPr>
            </w:pPr>
            <w:r w:rsidRPr="00317DE7">
              <w:rPr>
                <w:rFonts w:cs="Arial"/>
                <w:b/>
                <w:color w:val="FFFFFF"/>
                <w:lang w:val="en-GB"/>
              </w:rPr>
              <w:t>[MHz]</w:t>
            </w:r>
          </w:p>
        </w:tc>
      </w:tr>
      <w:tr w:rsidR="00425C2D" w:rsidRPr="00317DE7" w:rsidTr="00425C2D">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keepNext/>
              <w:rPr>
                <w:lang w:val="en-GB"/>
              </w:rPr>
            </w:pPr>
            <w:r w:rsidRPr="00317DE7">
              <w:rPr>
                <w:lang w:val="en-GB"/>
              </w:rPr>
              <w:t>0 – 1.3 MHz from block edge</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keepNext/>
              <w:jc w:val="center"/>
              <w:rPr>
                <w:lang w:val="en-GB"/>
              </w:rPr>
            </w:pPr>
            <w:r w:rsidRPr="00317DE7">
              <w:rPr>
                <w:lang w:val="en-GB"/>
              </w:rPr>
              <w:t>9.3</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keepNext/>
              <w:jc w:val="center"/>
              <w:rPr>
                <w:lang w:val="en-GB"/>
              </w:rPr>
            </w:pPr>
            <w:r w:rsidRPr="00317DE7">
              <w:rPr>
                <w:lang w:val="en-GB"/>
              </w:rPr>
              <w:t>1</w:t>
            </w:r>
          </w:p>
        </w:tc>
      </w:tr>
      <w:tr w:rsidR="00425C2D" w:rsidRPr="00317DE7" w:rsidTr="00425C2D">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rPr>
                <w:lang w:val="en-GB"/>
              </w:rPr>
            </w:pPr>
            <w:r w:rsidRPr="00317DE7">
              <w:rPr>
                <w:lang w:val="en-GB"/>
              </w:rPr>
              <w:t>1.3-1.5 MHz from block edge</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2.8</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1</w:t>
            </w:r>
          </w:p>
        </w:tc>
      </w:tr>
      <w:tr w:rsidR="00425C2D" w:rsidRPr="00317DE7" w:rsidTr="00425C2D">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rPr>
                <w:lang w:val="en-GB"/>
              </w:rPr>
            </w:pPr>
            <w:r w:rsidRPr="00317DE7">
              <w:rPr>
                <w:lang w:val="en-GB"/>
              </w:rPr>
              <w:t>1.5-1.8 MHz from block edge</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-6.7</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1</w:t>
            </w:r>
          </w:p>
        </w:tc>
      </w:tr>
      <w:tr w:rsidR="00425C2D" w:rsidRPr="00317DE7" w:rsidTr="00425C2D">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rPr>
                <w:lang w:val="en-GB"/>
              </w:rPr>
            </w:pPr>
            <w:r w:rsidRPr="00317DE7">
              <w:rPr>
                <w:lang w:val="en-GB"/>
              </w:rPr>
              <w:t>1.8-2 MHz from block edge</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-12.4</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1</w:t>
            </w:r>
          </w:p>
        </w:tc>
      </w:tr>
      <w:tr w:rsidR="00425C2D" w:rsidRPr="00317DE7" w:rsidTr="00425C2D">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rPr>
                <w:lang w:val="en-GB"/>
              </w:rPr>
            </w:pPr>
            <w:r w:rsidRPr="00317DE7">
              <w:rPr>
                <w:lang w:val="en-GB"/>
              </w:rPr>
              <w:t>2-2.3 MHz from block edge</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-13.7</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1</w:t>
            </w:r>
          </w:p>
        </w:tc>
      </w:tr>
      <w:tr w:rsidR="00425C2D" w:rsidRPr="00317DE7" w:rsidTr="00425C2D">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rPr>
                <w:lang w:val="en-GB"/>
              </w:rPr>
            </w:pPr>
            <w:r w:rsidRPr="00317DE7">
              <w:rPr>
                <w:lang w:val="en-GB"/>
              </w:rPr>
              <w:t xml:space="preserve">2.3-5 MHz from block edge </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-14.9</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1</w:t>
            </w:r>
          </w:p>
        </w:tc>
      </w:tr>
      <w:tr w:rsidR="00425C2D" w:rsidRPr="00317DE7" w:rsidTr="00425C2D">
        <w:trPr>
          <w:jc w:val="center"/>
        </w:trPr>
        <w:tc>
          <w:tcPr>
            <w:tcW w:w="3212"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rPr>
                <w:lang w:val="en-GB"/>
              </w:rPr>
            </w:pPr>
            <w:r w:rsidRPr="00317DE7">
              <w:rPr>
                <w:lang w:val="en-GB"/>
              </w:rPr>
              <w:t>Remaining T-DAB frequencies</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-14.9</w:t>
            </w:r>
          </w:p>
        </w:tc>
        <w:tc>
          <w:tcPr>
            <w:tcW w:w="1798" w:type="dxa"/>
            <w:tcBorders>
              <w:top w:val="single" w:sz="4" w:space="0" w:color="C00000"/>
              <w:left w:val="single" w:sz="4" w:space="0" w:color="C00000"/>
              <w:bottom w:val="single" w:sz="4" w:space="0" w:color="C00000"/>
              <w:right w:val="single" w:sz="4" w:space="0" w:color="C00000"/>
            </w:tcBorders>
            <w:hideMark/>
          </w:tcPr>
          <w:p w:rsidR="00425C2D" w:rsidRPr="00317DE7" w:rsidRDefault="00425C2D">
            <w:pPr>
              <w:jc w:val="center"/>
              <w:rPr>
                <w:lang w:val="en-GB"/>
              </w:rPr>
            </w:pPr>
            <w:r w:rsidRPr="00317DE7">
              <w:rPr>
                <w:lang w:val="en-GB"/>
              </w:rPr>
              <w:t>1</w:t>
            </w:r>
          </w:p>
        </w:tc>
      </w:tr>
    </w:tbl>
    <w:p w:rsidR="00425C2D" w:rsidRPr="00317DE7" w:rsidRDefault="00425C2D" w:rsidP="00996EC0">
      <w:pPr>
        <w:pStyle w:val="ECCParagraph"/>
      </w:pPr>
    </w:p>
    <w:p w:rsidR="00996EC0" w:rsidRPr="00317DE7" w:rsidRDefault="00996EC0" w:rsidP="006016B6">
      <w:pPr>
        <w:pStyle w:val="ECCParagraph"/>
        <w:keepNext/>
      </w:pPr>
      <w:r w:rsidRPr="00317DE7">
        <w:lastRenderedPageBreak/>
        <w:t>The adoption of the SDL critical BEM</w:t>
      </w:r>
      <w:r w:rsidR="005F630D" w:rsidRPr="00317DE7">
        <w:t xml:space="preserve"> </w:t>
      </w:r>
      <w:r w:rsidRPr="00317DE7">
        <w:t xml:space="preserve">defined Table 1 of ECC Report </w:t>
      </w:r>
      <w:r w:rsidR="009B3F10" w:rsidRPr="00317DE7">
        <w:t>227</w:t>
      </w:r>
      <w:r w:rsidR="004309BF">
        <w:t xml:space="preserve"> </w:t>
      </w:r>
      <w:r w:rsidR="004309BF">
        <w:fldChar w:fldCharType="begin"/>
      </w:r>
      <w:r w:rsidR="004309BF">
        <w:instrText xml:space="preserve"> REF _Ref388945998 \n \h </w:instrText>
      </w:r>
      <w:r w:rsidR="004309BF">
        <w:fldChar w:fldCharType="separate"/>
      </w:r>
      <w:r w:rsidR="004309BF">
        <w:t>[10]</w:t>
      </w:r>
      <w:r w:rsidR="004309BF">
        <w:fldChar w:fldCharType="end"/>
      </w:r>
      <w:r w:rsidR="002646A7" w:rsidRPr="00317DE7">
        <w:t xml:space="preserve">, at national level for coexistence between SDL and T-DAB, </w:t>
      </w:r>
      <w:r w:rsidRPr="00317DE7">
        <w:t>guarantees:</w:t>
      </w:r>
    </w:p>
    <w:p w:rsidR="00996EC0" w:rsidRPr="00317DE7" w:rsidRDefault="004309BF" w:rsidP="00BA0DB2">
      <w:pPr>
        <w:pStyle w:val="ECCParBulleted"/>
        <w:numPr>
          <w:ilvl w:val="0"/>
          <w:numId w:val="22"/>
        </w:numPr>
      </w:pPr>
      <w:r>
        <w:t>t</w:t>
      </w:r>
      <w:r w:rsidR="00996EC0" w:rsidRPr="00317DE7">
        <w:t>hat interference</w:t>
      </w:r>
      <w:r w:rsidR="002646A7" w:rsidRPr="00317DE7">
        <w:t xml:space="preserve"> from SDL to T-DAB</w:t>
      </w:r>
      <w:r w:rsidR="005F630D" w:rsidRPr="00317DE7">
        <w:t xml:space="preserve"> </w:t>
      </w:r>
      <w:r w:rsidR="00996EC0" w:rsidRPr="00317DE7">
        <w:t>due to blocking is the dominant interference factor for any guard band;</w:t>
      </w:r>
    </w:p>
    <w:p w:rsidR="00996EC0" w:rsidRPr="00317DE7" w:rsidRDefault="00996EC0" w:rsidP="00BA0DB2">
      <w:pPr>
        <w:pStyle w:val="ECCParBulleted"/>
        <w:numPr>
          <w:ilvl w:val="0"/>
          <w:numId w:val="22"/>
        </w:numPr>
      </w:pPr>
      <w:proofErr w:type="gramStart"/>
      <w:r w:rsidRPr="00317DE7">
        <w:t>low</w:t>
      </w:r>
      <w:proofErr w:type="gramEnd"/>
      <w:r w:rsidRPr="00317DE7">
        <w:t xml:space="preserve"> level of interference from SDL to T-DAB for a guard band of 1.5 MHz, even in urban deployment scenario. </w:t>
      </w:r>
    </w:p>
    <w:p w:rsidR="00684387" w:rsidRPr="00317DE7" w:rsidRDefault="00684387" w:rsidP="006016B6">
      <w:pPr>
        <w:pStyle w:val="ECCParBulleted"/>
        <w:tabs>
          <w:tab w:val="clear" w:pos="340"/>
        </w:tabs>
      </w:pPr>
    </w:p>
    <w:p w:rsidR="00996EC0" w:rsidRPr="00317DE7" w:rsidRDefault="00996EC0" w:rsidP="00996EC0">
      <w:pPr>
        <w:pStyle w:val="ECCParagraph"/>
      </w:pPr>
      <w:r w:rsidRPr="00317DE7">
        <w:t xml:space="preserve">It should be noted that no assessment was conducted in ECC Report </w:t>
      </w:r>
      <w:r w:rsidR="00AC7256" w:rsidRPr="00317DE7">
        <w:t>227</w:t>
      </w:r>
      <w:r w:rsidRPr="00317DE7">
        <w:t xml:space="preserve"> on whether the proposed SDL critical BEM can be implemented on a cost efficient manner was conducted. Such studies would be required on a national basis in order to select a guard band between T-DAB and SDL and the SDL BEM corresponding to such guard band.</w:t>
      </w:r>
    </w:p>
    <w:p w:rsidR="00C41A81" w:rsidRPr="00317DE7" w:rsidRDefault="00C41A81" w:rsidP="009E10CC">
      <w:pPr>
        <w:pStyle w:val="ECCAnnexheading3"/>
        <w:rPr>
          <w:sz w:val="18"/>
          <w:lang w:val="en-GB"/>
        </w:rPr>
      </w:pPr>
      <w:r w:rsidRPr="00317DE7">
        <w:rPr>
          <w:sz w:val="18"/>
          <w:lang w:val="en-GB"/>
        </w:rPr>
        <w:t>Cross-border coordination between WBB SDL and T-DAB</w:t>
      </w:r>
    </w:p>
    <w:p w:rsidR="008B61DE" w:rsidRPr="00317DE7" w:rsidRDefault="008B61DE" w:rsidP="008B61DE">
      <w:pPr>
        <w:pStyle w:val="ECCParagraph"/>
      </w:pPr>
      <w:r w:rsidRPr="00317DE7">
        <w:t xml:space="preserve">In the case where an Administration uses </w:t>
      </w:r>
      <w:r w:rsidR="00F91872" w:rsidRPr="00317DE7">
        <w:t>T</w:t>
      </w:r>
      <w:r w:rsidRPr="00317DE7">
        <w:t xml:space="preserve">errestrial </w:t>
      </w:r>
      <w:r w:rsidR="00F91872" w:rsidRPr="00317DE7">
        <w:t>D</w:t>
      </w:r>
      <w:r w:rsidRPr="00317DE7">
        <w:t xml:space="preserve">igital </w:t>
      </w:r>
      <w:r w:rsidR="00F91872" w:rsidRPr="00317DE7">
        <w:t>A</w:t>
      </w:r>
      <w:r w:rsidRPr="00317DE7">
        <w:t xml:space="preserve">udio </w:t>
      </w:r>
      <w:r w:rsidR="00F91872" w:rsidRPr="00317DE7">
        <w:t>B</w:t>
      </w:r>
      <w:r w:rsidRPr="00317DE7">
        <w:t>road</w:t>
      </w:r>
      <w:r w:rsidR="00F91872" w:rsidRPr="00317DE7">
        <w:t>casting</w:t>
      </w:r>
      <w:r w:rsidRPr="00317DE7">
        <w:t xml:space="preserve"> (T-DAB) in part of the band 1452-1479.5 MHz</w:t>
      </w:r>
      <w:r w:rsidR="00F91872" w:rsidRPr="00317DE7">
        <w:t>,</w:t>
      </w:r>
      <w:r w:rsidRPr="00317DE7">
        <w:t xml:space="preserve"> the following recommended coordination thresholds should be used under the Maastricht Agreement coordination procedure:</w:t>
      </w:r>
    </w:p>
    <w:p w:rsidR="008B61DE" w:rsidRPr="00317DE7" w:rsidRDefault="008B61DE" w:rsidP="008B61DE">
      <w:pPr>
        <w:pStyle w:val="ECCParagraph"/>
      </w:pPr>
      <w:r w:rsidRPr="00317DE7">
        <w:t xml:space="preserve">- </w:t>
      </w:r>
      <w:proofErr w:type="gramStart"/>
      <w:r w:rsidRPr="00317DE7">
        <w:t>in</w:t>
      </w:r>
      <w:proofErr w:type="gramEnd"/>
      <w:r w:rsidRPr="00317DE7">
        <w:t xml:space="preserve"> the case of cross-border coordination of MFCN SDL interfering with T-DAB: 41 </w:t>
      </w:r>
      <w:proofErr w:type="spellStart"/>
      <w:r w:rsidRPr="00317DE7">
        <w:t>dBµV</w:t>
      </w:r>
      <w:proofErr w:type="spellEnd"/>
      <w:r w:rsidRPr="00317DE7">
        <w:t>/m</w:t>
      </w:r>
      <w:r w:rsidR="00D63090" w:rsidRPr="00317DE7">
        <w:rPr>
          <w:rStyle w:val="FootnoteReference"/>
        </w:rPr>
        <w:footnoteReference w:id="20"/>
      </w:r>
      <w:r w:rsidRPr="00317DE7">
        <w:t xml:space="preserve"> measured over the bandwidth of a single T-DAB block for an antenna height of 10m (in conformity with Maastricht Agreement).</w:t>
      </w:r>
    </w:p>
    <w:p w:rsidR="008B61DE" w:rsidRPr="00317DE7" w:rsidRDefault="008B61DE" w:rsidP="008B61DE">
      <w:pPr>
        <w:pStyle w:val="ECCParagraph"/>
      </w:pPr>
      <w:r w:rsidRPr="00317DE7">
        <w:t xml:space="preserve">- </w:t>
      </w:r>
      <w:proofErr w:type="gramStart"/>
      <w:r w:rsidRPr="00317DE7">
        <w:t>in</w:t>
      </w:r>
      <w:proofErr w:type="gramEnd"/>
      <w:r w:rsidRPr="00317DE7">
        <w:t xml:space="preserve"> the case of cross-border coordination of T-DAB interfering with MFCN SDL: 56.4 </w:t>
      </w:r>
      <w:proofErr w:type="spellStart"/>
      <w:r w:rsidRPr="00317DE7">
        <w:t>dBμV</w:t>
      </w:r>
      <w:proofErr w:type="spellEnd"/>
      <w:r w:rsidRPr="00317DE7">
        <w:t>/m measured over the bandwidth of a single SDL block (5 MHz) for an antenna height of 10m (relaxing the threshold level from Maastricht Agreement).</w:t>
      </w:r>
    </w:p>
    <w:p w:rsidR="00B9378B" w:rsidRPr="00317DE7" w:rsidRDefault="00B9378B" w:rsidP="00B9378B">
      <w:pPr>
        <w:pStyle w:val="ECCAnnexheading2"/>
        <w:rPr>
          <w:sz w:val="18"/>
          <w:lang w:val="en-GB"/>
        </w:rPr>
      </w:pPr>
      <w:r w:rsidRPr="00317DE7">
        <w:rPr>
          <w:sz w:val="18"/>
          <w:lang w:val="en-GB"/>
        </w:rPr>
        <w:t>In-band cross border coordination between WBB SDL and aeronautical telemetry</w:t>
      </w:r>
    </w:p>
    <w:p w:rsidR="00B9378B" w:rsidRPr="00317DE7" w:rsidRDefault="00B9378B" w:rsidP="00B9378B">
      <w:pPr>
        <w:pStyle w:val="ECCParagraph"/>
      </w:pPr>
      <w:r w:rsidRPr="00317DE7">
        <w:t xml:space="preserve">Cross-border coordination between WBB SDL in EU countries and aeronautical telemetry in non-EU countries can be ensured through bilateral agreement between the administrations concerned and the application of mitigation techniques (e.g. sector antenna disabling at </w:t>
      </w:r>
      <w:r w:rsidR="0032280E" w:rsidRPr="00317DE7">
        <w:t xml:space="preserve">WBB SDL </w:t>
      </w:r>
      <w:r w:rsidRPr="00317DE7">
        <w:t>base stations).</w:t>
      </w:r>
    </w:p>
    <w:p w:rsidR="00B9378B" w:rsidRPr="00317DE7" w:rsidRDefault="00B9378B" w:rsidP="009E10CC">
      <w:pPr>
        <w:pStyle w:val="ECCParagraph"/>
      </w:pPr>
    </w:p>
    <w:p w:rsidR="00C41A81" w:rsidRPr="00317DE7" w:rsidRDefault="00C41A81" w:rsidP="00AB46DF">
      <w:pPr>
        <w:pStyle w:val="ECCAnnexheading1"/>
      </w:pPr>
      <w:bookmarkStart w:id="26" w:name="_Toc405359554"/>
      <w:r w:rsidRPr="00317DE7">
        <w:lastRenderedPageBreak/>
        <w:t>List of reference</w:t>
      </w:r>
      <w:bookmarkEnd w:id="26"/>
    </w:p>
    <w:p w:rsidR="00C41A81" w:rsidRPr="00317DE7" w:rsidRDefault="00C41A81" w:rsidP="006D5BB8">
      <w:pPr>
        <w:pStyle w:val="reference"/>
        <w:rPr>
          <w:lang w:val="en-GB"/>
        </w:rPr>
      </w:pPr>
      <w:bookmarkStart w:id="27" w:name="_Ref387324821"/>
      <w:r w:rsidRPr="00317DE7">
        <w:rPr>
          <w:lang w:val="en-GB"/>
        </w:rPr>
        <w:t>ECC Report 188 on the Future Harmonised Use of 1452-1492 MHz in CEPT</w:t>
      </w:r>
      <w:bookmarkEnd w:id="27"/>
    </w:p>
    <w:p w:rsidR="00C41A81" w:rsidRPr="00317DE7" w:rsidRDefault="00C41A81" w:rsidP="006D5BB8">
      <w:pPr>
        <w:pStyle w:val="reference"/>
        <w:rPr>
          <w:lang w:val="en-GB"/>
        </w:rPr>
      </w:pPr>
      <w:bookmarkStart w:id="28" w:name="_Ref387324831"/>
      <w:r w:rsidRPr="00317DE7">
        <w:rPr>
          <w:lang w:val="en-GB"/>
        </w:rPr>
        <w:t>ECC Decision (13)03 on the harmonised use of the frequency band 1452-1492 MHz for Mobile/Fixed Communications Networks Supplemental Downlink (MFCN SDL)</w:t>
      </w:r>
      <w:bookmarkEnd w:id="28"/>
    </w:p>
    <w:p w:rsidR="00C41A81" w:rsidRPr="00317DE7" w:rsidRDefault="00C41A81" w:rsidP="001D5FA5">
      <w:pPr>
        <w:pStyle w:val="reference"/>
        <w:rPr>
          <w:lang w:val="en-GB"/>
        </w:rPr>
      </w:pPr>
      <w:bookmarkStart w:id="29" w:name="_Ref387324880"/>
      <w:r w:rsidRPr="00317DE7">
        <w:rPr>
          <w:lang w:val="en-GB"/>
        </w:rPr>
        <w:t>Special Arrangement of the European Conference of Postal and Telecommunications Administrations (CEPT) relating to the use of the band 1452-1479.5 MHz for Terrestrial Digital Audio Broadcasting (T-DAB), Maastricht, 2002, Constanta, 2007</w:t>
      </w:r>
      <w:bookmarkEnd w:id="29"/>
    </w:p>
    <w:p w:rsidR="00C41A81" w:rsidRPr="00317DE7" w:rsidRDefault="00C41A81" w:rsidP="003926B6">
      <w:pPr>
        <w:pStyle w:val="reference"/>
        <w:rPr>
          <w:lang w:val="en-GB"/>
        </w:rPr>
      </w:pPr>
      <w:bookmarkStart w:id="30" w:name="_Ref387324924"/>
      <w:r w:rsidRPr="00317DE7">
        <w:rPr>
          <w:lang w:val="en-GB"/>
        </w:rPr>
        <w:t>ECC Decision (03)02 on the on the designation of the frequency band 1479.5-1492 MHz for use by Satellite Digital Audio Broadcasting systems</w:t>
      </w:r>
      <w:bookmarkEnd w:id="30"/>
    </w:p>
    <w:p w:rsidR="00C41A81" w:rsidRPr="00317DE7" w:rsidRDefault="00C41A81" w:rsidP="009D2522">
      <w:pPr>
        <w:pStyle w:val="reference"/>
        <w:rPr>
          <w:lang w:val="en-GB"/>
        </w:rPr>
      </w:pPr>
      <w:bookmarkStart w:id="31" w:name="_Ref387324995"/>
      <w:r w:rsidRPr="00317DE7">
        <w:rPr>
          <w:lang w:val="en-GB"/>
        </w:rPr>
        <w:t>ECC Decision (13)02 on the withdrawal of ECC Decision (03)02</w:t>
      </w:r>
      <w:bookmarkEnd w:id="31"/>
    </w:p>
    <w:p w:rsidR="00C41A81" w:rsidRPr="00317DE7" w:rsidRDefault="00C41A81" w:rsidP="00C56B76">
      <w:pPr>
        <w:pStyle w:val="reference"/>
        <w:rPr>
          <w:lang w:val="en-GB"/>
        </w:rPr>
      </w:pPr>
      <w:bookmarkStart w:id="32" w:name="_Ref387324017"/>
      <w:r w:rsidRPr="00317DE7">
        <w:rPr>
          <w:lang w:val="en-GB"/>
        </w:rPr>
        <w:t>ECC Report 202 on the Out-of-Band emission limits for Mobile/Fixed Communication Networks (MFCN) Supplemental Downlink (SDL) operating in the 1452-1492 MHz band</w:t>
      </w:r>
      <w:bookmarkEnd w:id="32"/>
    </w:p>
    <w:p w:rsidR="00C41A81" w:rsidRPr="00317DE7" w:rsidRDefault="00C41A81" w:rsidP="00FB6F77">
      <w:pPr>
        <w:pStyle w:val="reference"/>
        <w:rPr>
          <w:lang w:val="en-GB"/>
        </w:rPr>
      </w:pPr>
      <w:bookmarkStart w:id="33" w:name="_Ref387323882"/>
      <w:r w:rsidRPr="00317DE7">
        <w:rPr>
          <w:lang w:val="en-GB"/>
        </w:rPr>
        <w:t>CEPT Report 39: Report from CEPT to the European Commission in response to the Mandate to develop least restrictive technical conditions for 2 GHz bands</w:t>
      </w:r>
      <w:bookmarkEnd w:id="33"/>
    </w:p>
    <w:p w:rsidR="00C41A81" w:rsidRPr="00317DE7" w:rsidRDefault="00C41A81" w:rsidP="00FB6F77">
      <w:pPr>
        <w:pStyle w:val="reference"/>
        <w:rPr>
          <w:lang w:val="en-GB"/>
        </w:rPr>
      </w:pPr>
      <w:bookmarkStart w:id="34" w:name="_Ref387323915"/>
      <w:r w:rsidRPr="00317DE7">
        <w:rPr>
          <w:lang w:val="en-GB"/>
        </w:rPr>
        <w:t>ECC Report 82: Compatibility study for UMTS operating within the GSM 900 and GSM 1800 frequency bands</w:t>
      </w:r>
      <w:bookmarkEnd w:id="34"/>
    </w:p>
    <w:p w:rsidR="00C41A81" w:rsidRPr="00317DE7" w:rsidRDefault="00C41A81" w:rsidP="00FB6F77">
      <w:pPr>
        <w:pStyle w:val="reference"/>
        <w:rPr>
          <w:lang w:val="en-GB"/>
        </w:rPr>
      </w:pPr>
      <w:bookmarkStart w:id="35" w:name="_Ref387323905"/>
      <w:r w:rsidRPr="00317DE7">
        <w:rPr>
          <w:lang w:val="en-GB"/>
        </w:rPr>
        <w:t>CEPT Report 40: Report from CEPT to European Commission in response to Task 2 of the Mandate to CEPT on the 900/1800 MHz bands</w:t>
      </w:r>
      <w:bookmarkEnd w:id="35"/>
    </w:p>
    <w:p w:rsidR="00AE7DB0" w:rsidRPr="00317DE7" w:rsidRDefault="00AE7DB0" w:rsidP="00AE7DB0">
      <w:pPr>
        <w:pStyle w:val="reference"/>
        <w:rPr>
          <w:lang w:val="en-GB"/>
        </w:rPr>
      </w:pPr>
      <w:bookmarkStart w:id="36" w:name="_Ref388945998"/>
      <w:r w:rsidRPr="00317DE7">
        <w:rPr>
          <w:lang w:val="en-GB"/>
        </w:rPr>
        <w:t xml:space="preserve">ECC Report </w:t>
      </w:r>
      <w:r w:rsidR="009B3F10" w:rsidRPr="00317DE7">
        <w:rPr>
          <w:lang w:val="en-GB"/>
        </w:rPr>
        <w:t>227</w:t>
      </w:r>
      <w:r w:rsidR="004576B4">
        <w:rPr>
          <w:lang w:val="en-GB"/>
        </w:rPr>
        <w:t xml:space="preserve"> on</w:t>
      </w:r>
      <w:r w:rsidRPr="00317DE7">
        <w:rPr>
          <w:lang w:val="en-GB"/>
        </w:rPr>
        <w:t xml:space="preserve"> Compatibility Studies for Mobile/Fixed Communication Networks (MFCN) Supplemental Downlink (SDL) operating in the 1452-1492 MHz band </w:t>
      </w:r>
      <w:bookmarkEnd w:id="36"/>
    </w:p>
    <w:p w:rsidR="00317DE7" w:rsidRPr="007E0A9D" w:rsidRDefault="009A76A7">
      <w:pPr>
        <w:pStyle w:val="reference"/>
        <w:rPr>
          <w:lang w:val="en-GB"/>
        </w:rPr>
      </w:pPr>
      <w:bookmarkStart w:id="37" w:name="_Ref405290740"/>
      <w:bookmarkStart w:id="38" w:name="_GoBack"/>
      <w:bookmarkEnd w:id="38"/>
      <w:r w:rsidRPr="007E0A9D">
        <w:rPr>
          <w:lang w:val="en-GB"/>
        </w:rPr>
        <w:t>ECC Recommendation (15)01</w:t>
      </w:r>
      <w:r w:rsidR="004576B4">
        <w:rPr>
          <w:lang w:val="en-GB"/>
        </w:rPr>
        <w:t xml:space="preserve"> on</w:t>
      </w:r>
      <w:r w:rsidRPr="007E0A9D">
        <w:rPr>
          <w:lang w:val="en-GB"/>
        </w:rPr>
        <w:t xml:space="preserve"> Cross-border coordination for mobile/fixed communications networks (MFCN) in the frequency bands 1452-1492 MHz, 3400-3600 MHz and 3600-3800 MHz</w:t>
      </w:r>
      <w:bookmarkEnd w:id="37"/>
    </w:p>
    <w:sectPr w:rsidR="00317DE7" w:rsidRPr="007E0A9D"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FE2" w:rsidRDefault="00D03FE2" w:rsidP="00AB46DF">
      <w:r>
        <w:separator/>
      </w:r>
    </w:p>
  </w:endnote>
  <w:endnote w:type="continuationSeparator" w:id="0">
    <w:p w:rsidR="00D03FE2" w:rsidRDefault="00D03FE2"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E2" w:rsidRDefault="00D03FE2">
    <w:pPr>
      <w:pStyle w:val="Footer"/>
      <w:framePr w:wrap="around" w:vAnchor="text" w:hAnchor="margin" w:xAlign="center"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sidR="00177DAC">
      <w:rPr>
        <w:rStyle w:val="PageNumber"/>
        <w:rFonts w:eastAsiaTheme="minorEastAsia"/>
        <w:noProof/>
      </w:rPr>
      <w:t>22</w:t>
    </w:r>
    <w:r>
      <w:rPr>
        <w:rStyle w:val="PageNumber"/>
        <w:rFonts w:eastAsiaTheme="minorEastAsia"/>
      </w:rPr>
      <w:fldChar w:fldCharType="end"/>
    </w:r>
  </w:p>
  <w:p w:rsidR="00D03FE2" w:rsidRDefault="00D03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E2" w:rsidRDefault="00D03FE2">
    <w:pPr>
      <w:pStyle w:val="Footer"/>
      <w:framePr w:wrap="around" w:vAnchor="text" w:hAnchor="margin" w:xAlign="center"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sidR="00177DAC">
      <w:rPr>
        <w:rStyle w:val="PageNumber"/>
        <w:rFonts w:eastAsiaTheme="minorEastAsia"/>
        <w:noProof/>
      </w:rPr>
      <w:t>23</w:t>
    </w:r>
    <w:r>
      <w:rPr>
        <w:rStyle w:val="PageNumber"/>
        <w:rFonts w:eastAsiaTheme="minorEastAsia"/>
      </w:rPr>
      <w:fldChar w:fldCharType="end"/>
    </w:r>
  </w:p>
  <w:p w:rsidR="00D03FE2" w:rsidRDefault="00D03FE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E2" w:rsidRDefault="00D03FE2">
    <w:pPr>
      <w:pStyle w:val="Footer"/>
    </w:pPr>
  </w:p>
  <w:p w:rsidR="00D03FE2" w:rsidRPr="00941201" w:rsidRDefault="00177DAC">
    <w:pPr>
      <w:pStyle w:val="Footer"/>
      <w:ind w:left="284"/>
      <w:rPr>
        <w:rFonts w:cs="Arial"/>
        <w:szCs w:val="16"/>
        <w:lang w:val="fr-FR"/>
      </w:rPr>
    </w:pPr>
    <w:hyperlink r:id="rId1" w:history="1"/>
    <w:proofErr w:type="spellStart"/>
    <w:r w:rsidR="00D03FE2" w:rsidRPr="00353F0D">
      <w:rPr>
        <w:rFonts w:cs="Arial"/>
        <w:szCs w:val="16"/>
        <w:lang w:val="fr-FR"/>
      </w:rPr>
      <w:t>European</w:t>
    </w:r>
    <w:proofErr w:type="spellEnd"/>
    <w:r w:rsidR="00D03FE2" w:rsidRPr="00353F0D">
      <w:rPr>
        <w:rFonts w:cs="Arial"/>
        <w:szCs w:val="16"/>
        <w:lang w:val="fr-FR"/>
      </w:rPr>
      <w:t xml:space="preserve"> Commission, </w:t>
    </w:r>
    <w:r w:rsidR="00D03FE2" w:rsidRPr="00353F0D">
      <w:rPr>
        <w:lang w:val="fr-FR"/>
      </w:rPr>
      <w:t xml:space="preserve">DG Communications Networks Content &amp; </w:t>
    </w:r>
    <w:proofErr w:type="spellStart"/>
    <w:r w:rsidR="00D03FE2" w:rsidRPr="00353F0D">
      <w:rPr>
        <w:lang w:val="fr-FR"/>
      </w:rPr>
      <w:t>Technology</w:t>
    </w:r>
    <w:proofErr w:type="spellEnd"/>
    <w:r w:rsidR="00D03FE2" w:rsidRPr="00353F0D">
      <w:rPr>
        <w:rFonts w:cs="Arial"/>
        <w:szCs w:val="16"/>
        <w:lang w:val="fr-FR"/>
      </w:rPr>
      <w:t>, 200 Rue de la Loi, B-1049  Bruxelles</w:t>
    </w:r>
    <w:r w:rsidR="00D03FE2" w:rsidRPr="00353F0D">
      <w:rPr>
        <w:rFonts w:cs="Arial"/>
        <w:noProof/>
        <w:szCs w:val="16"/>
        <w:lang w:val="fr-FR"/>
      </w:rPr>
      <w:t xml:space="preserve">  </w:t>
    </w:r>
    <w:r w:rsidR="00D03FE2" w:rsidRPr="00353F0D">
      <w:rPr>
        <w:rFonts w:cs="Arial"/>
        <w:noProof/>
        <w:szCs w:val="16"/>
        <w:lang w:val="fr-FR"/>
      </w:rPr>
      <w:br/>
    </w:r>
    <w:r w:rsidR="00D03FE2" w:rsidRPr="00353F0D">
      <w:rPr>
        <w:rFonts w:cs="Arial"/>
        <w:szCs w:val="16"/>
        <w:lang w:val="fr-FR"/>
      </w:rPr>
      <w:t xml:space="preserve">RSC </w:t>
    </w:r>
    <w:proofErr w:type="spellStart"/>
    <w:r w:rsidR="00D03FE2" w:rsidRPr="00353F0D">
      <w:rPr>
        <w:rFonts w:cs="Arial"/>
        <w:szCs w:val="16"/>
        <w:lang w:val="fr-FR"/>
      </w:rPr>
      <w:t>Secretariat</w:t>
    </w:r>
    <w:proofErr w:type="spellEnd"/>
    <w:r w:rsidR="00D03FE2" w:rsidRPr="00353F0D">
      <w:rPr>
        <w:rFonts w:cs="Arial"/>
        <w:szCs w:val="16"/>
        <w:lang w:val="fr-FR"/>
      </w:rPr>
      <w:t xml:space="preserve">, Avenue de Beaulieu 33, B-1160  Brussels - </w:t>
    </w:r>
    <w:proofErr w:type="spellStart"/>
    <w:r w:rsidR="00D03FE2" w:rsidRPr="00353F0D">
      <w:rPr>
        <w:rFonts w:cs="Arial"/>
        <w:szCs w:val="16"/>
        <w:lang w:val="fr-FR"/>
      </w:rPr>
      <w:t>Belgium</w:t>
    </w:r>
    <w:proofErr w:type="spellEnd"/>
    <w:r w:rsidR="00D03FE2" w:rsidRPr="00353F0D">
      <w:rPr>
        <w:rFonts w:cs="Arial"/>
        <w:szCs w:val="16"/>
        <w:lang w:val="fr-FR"/>
      </w:rPr>
      <w:t xml:space="preserve"> - Office BU33 7/09</w:t>
    </w:r>
    <w:r w:rsidR="00D03FE2" w:rsidRPr="00353F0D">
      <w:rPr>
        <w:rFonts w:cs="Arial"/>
        <w:szCs w:val="16"/>
        <w:lang w:val="fr-FR"/>
      </w:rPr>
      <w:br/>
    </w:r>
    <w:r w:rsidR="00D03FE2" w:rsidRPr="00353F0D">
      <w:rPr>
        <w:rFonts w:cs="Arial"/>
        <w:noProof/>
        <w:szCs w:val="16"/>
        <w:lang w:val="fr-FR"/>
      </w:rPr>
      <w:t>Telephone:</w:t>
    </w:r>
    <w:r w:rsidR="00D03FE2" w:rsidRPr="00353F0D">
      <w:rPr>
        <w:rFonts w:cs="Arial"/>
        <w:szCs w:val="16"/>
        <w:lang w:val="fr-FR"/>
      </w:rPr>
      <w:t xml:space="preserve"> </w:t>
    </w:r>
    <w:r w:rsidR="00D03FE2" w:rsidRPr="00353F0D">
      <w:rPr>
        <w:rFonts w:cs="Arial"/>
        <w:noProof/>
        <w:szCs w:val="16"/>
        <w:lang w:val="fr-FR"/>
      </w:rPr>
      <w:t>direct line (+32-2)295.6512, switchboard (+32-2)299.11.11.</w:t>
    </w:r>
    <w:r w:rsidR="00D03FE2" w:rsidRPr="00353F0D">
      <w:rPr>
        <w:rFonts w:cs="Arial"/>
        <w:szCs w:val="16"/>
        <w:lang w:val="fr-FR"/>
      </w:rPr>
      <w:t xml:space="preserve"> </w:t>
    </w:r>
    <w:r w:rsidR="00D03FE2" w:rsidRPr="009A76A7">
      <w:rPr>
        <w:rFonts w:cs="Arial"/>
        <w:noProof/>
        <w:szCs w:val="16"/>
        <w:lang w:val="fr-FR"/>
      </w:rPr>
      <w:t>Fax:</w:t>
    </w:r>
    <w:r w:rsidR="00D03FE2" w:rsidRPr="009A76A7">
      <w:rPr>
        <w:rFonts w:cs="Arial"/>
        <w:szCs w:val="16"/>
        <w:lang w:val="fr-FR"/>
      </w:rPr>
      <w:t xml:space="preserve"> (</w:t>
    </w:r>
    <w:r w:rsidR="00D03FE2" w:rsidRPr="009A76A7">
      <w:rPr>
        <w:rFonts w:cs="Arial"/>
        <w:noProof/>
        <w:szCs w:val="16"/>
        <w:lang w:val="fr-FR"/>
      </w:rPr>
      <w:t>+32-2) 296.38.95</w:t>
    </w:r>
    <w:r w:rsidR="00D03FE2" w:rsidRPr="009A76A7">
      <w:rPr>
        <w:rFonts w:cs="Arial"/>
        <w:noProof/>
        <w:szCs w:val="16"/>
        <w:lang w:val="fr-FR"/>
      </w:rPr>
      <w:br/>
    </w:r>
    <w:r w:rsidR="00D03FE2" w:rsidRPr="00941201">
      <w:rPr>
        <w:rFonts w:cs="Arial"/>
        <w:noProof/>
        <w:szCs w:val="16"/>
        <w:lang w:val="fr-FR"/>
      </w:rPr>
      <w:t>E-mail :</w:t>
    </w:r>
    <w:r w:rsidR="00D03FE2" w:rsidRPr="00941201">
      <w:rPr>
        <w:rFonts w:cs="Arial"/>
        <w:szCs w:val="16"/>
        <w:lang w:val="fr-FR"/>
      </w:rPr>
      <w:t xml:space="preserve"> </w:t>
    </w:r>
    <w:hyperlink r:id="rId2" w:history="1">
      <w:r w:rsidR="00D03FE2" w:rsidRPr="00941201">
        <w:rPr>
          <w:rStyle w:val="Hyperlink"/>
          <w:rFonts w:cs="Arial"/>
          <w:noProof/>
          <w:szCs w:val="16"/>
          <w:lang w:val="fr-FR"/>
        </w:rPr>
        <w:t>cnect-rsc@ec.europa.eu</w:t>
      </w:r>
    </w:hyperlink>
  </w:p>
  <w:p w:rsidR="00D03FE2" w:rsidRPr="00941201" w:rsidRDefault="00D03FE2">
    <w:pPr>
      <w:pStyle w:val="Footer"/>
      <w:rPr>
        <w:sz w:val="12"/>
        <w:lang w:val="fr-FR"/>
      </w:rPr>
    </w:pPr>
  </w:p>
  <w:p w:rsidR="00D03FE2" w:rsidRPr="00941201" w:rsidRDefault="00D03FE2">
    <w:pPr>
      <w:pStyle w:val="Footer"/>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FE2" w:rsidRDefault="00D03FE2" w:rsidP="00AB46DF">
      <w:r>
        <w:separator/>
      </w:r>
    </w:p>
  </w:footnote>
  <w:footnote w:type="continuationSeparator" w:id="0">
    <w:p w:rsidR="00D03FE2" w:rsidRDefault="00D03FE2" w:rsidP="00AB46DF">
      <w:r>
        <w:continuationSeparator/>
      </w:r>
    </w:p>
  </w:footnote>
  <w:footnote w:id="1">
    <w:p w:rsidR="00D03FE2" w:rsidRPr="00FC40EB" w:rsidRDefault="00D03FE2" w:rsidP="00941201">
      <w:pPr>
        <w:pStyle w:val="ECCFootnote"/>
      </w:pPr>
      <w:r w:rsidRPr="00353F0D">
        <w:rPr>
          <w:rStyle w:val="FootnoteReference"/>
          <w:color w:val="000000"/>
          <w:lang w:val="en-AU"/>
        </w:rPr>
        <w:t>*</w:t>
      </w:r>
      <w:r w:rsidRPr="00353F0D">
        <w:rPr>
          <w:color w:val="000000"/>
          <w:lang w:val="en-AU"/>
        </w:rPr>
        <w:t xml:space="preserve"> </w:t>
      </w:r>
      <w:r w:rsidRPr="00353F0D">
        <w:rPr>
          <w:color w:val="000000"/>
          <w:lang w:val="en-AU"/>
        </w:rPr>
        <w:tab/>
      </w:r>
      <w:r w:rsidRPr="00353F0D">
        <w:t>This Resolution was revised by WRC-03.</w:t>
      </w:r>
    </w:p>
  </w:footnote>
  <w:footnote w:id="2">
    <w:p w:rsidR="00D03FE2" w:rsidRPr="00844464" w:rsidRDefault="00D03FE2" w:rsidP="00941201">
      <w:pPr>
        <w:pStyle w:val="ECCFootnote"/>
      </w:pPr>
      <w:r>
        <w:rPr>
          <w:rStyle w:val="FootnoteReference"/>
        </w:rPr>
        <w:footnoteRef/>
      </w:r>
      <w:r>
        <w:t xml:space="preserve"> </w:t>
      </w:r>
      <w:r w:rsidRPr="00844464">
        <w:t xml:space="preserve">A MFCN SDL is a mobile broadband </w:t>
      </w:r>
      <w:r w:rsidRPr="00941201">
        <w:t>system</w:t>
      </w:r>
      <w:r w:rsidRPr="00844464">
        <w:t>, which by means of base station transmitters in the network, uses unpaired spectrum in the downlink to provide a supplemental downlink capacity to carry comprehensive text, audio, images, data, sound and video content in general, in a unicasting, multicasting or broadcasting mode</w:t>
      </w:r>
      <w:r>
        <w:t xml:space="preserve"> to mobile devices</w:t>
      </w:r>
      <w:r w:rsidRPr="00844464">
        <w:t>.</w:t>
      </w:r>
    </w:p>
    <w:p w:rsidR="00D03FE2" w:rsidRDefault="00D03FE2" w:rsidP="00EA6AE1">
      <w:pPr>
        <w:pStyle w:val="ECCFootnote"/>
      </w:pPr>
      <w:r w:rsidRPr="00E11B33">
        <w:t xml:space="preserve">. </w:t>
      </w:r>
    </w:p>
  </w:footnote>
  <w:footnote w:id="3">
    <w:p w:rsidR="00D03FE2" w:rsidRDefault="00D03FE2" w:rsidP="00631416">
      <w:pPr>
        <w:pStyle w:val="ECCFootnote"/>
      </w:pPr>
      <w:r w:rsidRPr="00E11B33">
        <w:rPr>
          <w:rStyle w:val="FootnoteReference"/>
          <w:rFonts w:cs="Arial"/>
          <w:sz w:val="16"/>
          <w:szCs w:val="16"/>
        </w:rPr>
        <w:footnoteRef/>
      </w:r>
      <w:r w:rsidRPr="00E11B33">
        <w:t xml:space="preserve"> In the meantime, Administrations will have the possibility to register terrestrial stations of the SDL mobile service in the MIFR in order to ensure protection of MFCN from satellite interference through the ITU coordination procedure.</w:t>
      </w:r>
    </w:p>
  </w:footnote>
  <w:footnote w:id="4">
    <w:p w:rsidR="00D03FE2" w:rsidRPr="001241AB" w:rsidRDefault="00D03FE2" w:rsidP="00F470FA">
      <w:pPr>
        <w:pStyle w:val="FootnoteText"/>
      </w:pPr>
      <w:r>
        <w:rPr>
          <w:rStyle w:val="FootnoteReference"/>
        </w:rPr>
        <w:footnoteRef/>
      </w:r>
      <w:r>
        <w:t xml:space="preserve"> See ECC Report 202 for further details.</w:t>
      </w:r>
    </w:p>
  </w:footnote>
  <w:footnote w:id="5">
    <w:p w:rsidR="00D03FE2" w:rsidRPr="00AE7DB0" w:rsidRDefault="00D03FE2" w:rsidP="00981651">
      <w:pPr>
        <w:pStyle w:val="ECCFootnote"/>
      </w:pPr>
      <w:r>
        <w:rPr>
          <w:rStyle w:val="FootnoteReference"/>
        </w:rPr>
        <w:footnoteRef/>
      </w:r>
      <w:r>
        <w:t xml:space="preserve"> This value </w:t>
      </w:r>
      <w:r w:rsidRPr="001B30FB">
        <w:t>is based on the assumption of the impact of a single MFCN SDL interferer.</w:t>
      </w:r>
    </w:p>
  </w:footnote>
  <w:footnote w:id="6">
    <w:p w:rsidR="00D03FE2" w:rsidRDefault="00D03FE2" w:rsidP="00C43904">
      <w:pPr>
        <w:pStyle w:val="FootnoteText"/>
      </w:pPr>
      <w:r>
        <w:rPr>
          <w:rStyle w:val="FootnoteReference"/>
          <w:rFonts w:eastAsiaTheme="minorEastAsia"/>
        </w:rPr>
        <w:footnoteRef/>
      </w:r>
      <w:r>
        <w:t xml:space="preserve"> </w:t>
      </w:r>
      <w:r w:rsidRPr="003C5F46">
        <w:t xml:space="preserve">Decision No 243/2012/EU of the European Parliament and of the Council of 14 March 2012 establishing a multiannual radio spectrum policy </w:t>
      </w:r>
      <w:proofErr w:type="spellStart"/>
      <w:r w:rsidRPr="003C5F46">
        <w:t>programme</w:t>
      </w:r>
      <w:proofErr w:type="spellEnd"/>
      <w:r>
        <w:t>, OJ L 81, 21.3.2012, p. 7</w:t>
      </w:r>
    </w:p>
  </w:footnote>
  <w:footnote w:id="7">
    <w:p w:rsidR="00D03FE2" w:rsidRDefault="00D03FE2" w:rsidP="00C43904">
      <w:pPr>
        <w:pStyle w:val="FootnoteText"/>
      </w:pPr>
      <w:r w:rsidRPr="009C6BEE">
        <w:rPr>
          <w:rStyle w:val="FootnoteReference"/>
          <w:rFonts w:eastAsiaTheme="minorEastAsia"/>
        </w:rPr>
        <w:footnoteRef/>
      </w:r>
      <w:r w:rsidRPr="009C6BEE">
        <w:t xml:space="preserve"> Document RSPG13-521 rev1</w:t>
      </w:r>
    </w:p>
  </w:footnote>
  <w:footnote w:id="8">
    <w:p w:rsidR="00D03FE2" w:rsidRDefault="00D03FE2" w:rsidP="00C43904">
      <w:pPr>
        <w:pStyle w:val="FootnoteText"/>
      </w:pPr>
      <w:r>
        <w:rPr>
          <w:rStyle w:val="FootnoteReference"/>
          <w:rFonts w:eastAsiaTheme="minorEastAsia"/>
        </w:rPr>
        <w:footnoteRef/>
      </w:r>
      <w:r>
        <w:t xml:space="preserve">  Footnote 5.340 of the ITU Radio Regulations</w:t>
      </w:r>
    </w:p>
  </w:footnote>
  <w:footnote w:id="9">
    <w:p w:rsidR="00D03FE2" w:rsidRDefault="00D03FE2" w:rsidP="00C43904">
      <w:pPr>
        <w:pStyle w:val="FootnoteText"/>
      </w:pPr>
      <w:r w:rsidRPr="009408C2">
        <w:rPr>
          <w:rStyle w:val="FootnoteReference"/>
          <w:rFonts w:eastAsiaTheme="minorEastAsia"/>
        </w:rPr>
        <w:footnoteRef/>
      </w:r>
      <w:r w:rsidRPr="009408C2">
        <w:t xml:space="preserve"> ECC Decision ECCDEC(13)03</w:t>
      </w:r>
    </w:p>
  </w:footnote>
  <w:footnote w:id="10">
    <w:p w:rsidR="00D03FE2" w:rsidRPr="003F5DCF" w:rsidRDefault="00D03FE2" w:rsidP="00C43904">
      <w:pPr>
        <w:pStyle w:val="FootnoteText"/>
        <w:ind w:left="240" w:hanging="240"/>
      </w:pPr>
      <w:r>
        <w:rPr>
          <w:rStyle w:val="FootnoteReference"/>
          <w:rFonts w:eastAsiaTheme="minorEastAsia"/>
        </w:rPr>
        <w:footnoteRef/>
      </w:r>
      <w:r>
        <w:t xml:space="preserve"> Decision 676/2002/EC of the European Parliament and of the Council of 7 March 2002 on a regulatory framework for radio spectrum policy in the European Community, OJ L 108 of 24.4.2002</w:t>
      </w:r>
    </w:p>
  </w:footnote>
  <w:footnote w:id="11">
    <w:p w:rsidR="00D03FE2" w:rsidRPr="000A118C" w:rsidRDefault="00D03FE2" w:rsidP="00C43904">
      <w:pPr>
        <w:pStyle w:val="FootnoteText"/>
        <w:rPr>
          <w:lang w:val="fr-FR"/>
        </w:rPr>
      </w:pPr>
      <w:r>
        <w:rPr>
          <w:rStyle w:val="FootnoteReference"/>
          <w:rFonts w:eastAsiaTheme="minorEastAsia"/>
        </w:rPr>
        <w:footnoteRef/>
      </w:r>
      <w:r>
        <w:rPr>
          <w:lang w:val="fr-FR"/>
        </w:rPr>
        <w:t xml:space="preserve"> Article 6(1)</w:t>
      </w:r>
      <w:r w:rsidRPr="000A118C">
        <w:rPr>
          <w:lang w:val="fr-FR"/>
        </w:rPr>
        <w:t xml:space="preserve"> RSPP</w:t>
      </w:r>
    </w:p>
  </w:footnote>
  <w:footnote w:id="12">
    <w:p w:rsidR="00D03FE2" w:rsidRPr="000A118C" w:rsidRDefault="00D03FE2" w:rsidP="00C43904">
      <w:pPr>
        <w:pStyle w:val="FootnoteText"/>
        <w:rPr>
          <w:lang w:val="fr-FR"/>
        </w:rPr>
      </w:pPr>
      <w:r>
        <w:rPr>
          <w:rStyle w:val="FootnoteReference"/>
          <w:rFonts w:eastAsiaTheme="minorEastAsia"/>
        </w:rPr>
        <w:footnoteRef/>
      </w:r>
      <w:r>
        <w:rPr>
          <w:lang w:val="fr-FR"/>
        </w:rPr>
        <w:t xml:space="preserve"> Article 3(b)</w:t>
      </w:r>
      <w:r w:rsidRPr="000A118C">
        <w:rPr>
          <w:lang w:val="fr-FR"/>
        </w:rPr>
        <w:t xml:space="preserve"> RSPP</w:t>
      </w:r>
    </w:p>
  </w:footnote>
  <w:footnote w:id="13">
    <w:p w:rsidR="00D03FE2" w:rsidRPr="00013814" w:rsidRDefault="00D03FE2" w:rsidP="00C43904">
      <w:pPr>
        <w:pStyle w:val="FootnoteText"/>
        <w:rPr>
          <w:lang w:val="fr-FR"/>
        </w:rPr>
      </w:pPr>
      <w:r>
        <w:rPr>
          <w:rStyle w:val="FootnoteReference"/>
          <w:rFonts w:eastAsiaTheme="minorEastAsia"/>
        </w:rPr>
        <w:footnoteRef/>
      </w:r>
      <w:r w:rsidRPr="00013814">
        <w:rPr>
          <w:lang w:val="fr-FR"/>
        </w:rPr>
        <w:t xml:space="preserve"> Article 4(1) RSPP </w:t>
      </w:r>
    </w:p>
  </w:footnote>
  <w:footnote w:id="14">
    <w:p w:rsidR="00D03FE2" w:rsidRPr="00AF1993" w:rsidRDefault="00D03FE2" w:rsidP="00C43904">
      <w:pPr>
        <w:pStyle w:val="FootnoteText"/>
      </w:pPr>
      <w:r>
        <w:rPr>
          <w:rStyle w:val="FootnoteReference"/>
          <w:rFonts w:eastAsiaTheme="minorEastAsia"/>
        </w:rPr>
        <w:footnoteRef/>
      </w:r>
      <w:r>
        <w:t xml:space="preserve"> Article 9</w:t>
      </w:r>
      <w:r w:rsidRPr="00AF1993">
        <w:t xml:space="preserve"> RSPP</w:t>
      </w:r>
    </w:p>
  </w:footnote>
  <w:footnote w:id="15">
    <w:p w:rsidR="00D03FE2" w:rsidRPr="00AF1993" w:rsidRDefault="00D03FE2" w:rsidP="00C43904">
      <w:pPr>
        <w:pStyle w:val="FootnoteText"/>
      </w:pPr>
      <w:r>
        <w:rPr>
          <w:rStyle w:val="FootnoteReference"/>
          <w:rFonts w:eastAsiaTheme="minorEastAsia"/>
        </w:rPr>
        <w:footnoteRef/>
      </w:r>
      <w:r w:rsidRPr="00AF1993">
        <w:t xml:space="preserve"> Article 6(5) RSPP</w:t>
      </w:r>
    </w:p>
  </w:footnote>
  <w:footnote w:id="16">
    <w:p w:rsidR="00D03FE2" w:rsidRDefault="00D03FE2" w:rsidP="00C43904">
      <w:pPr>
        <w:pStyle w:val="FootnoteText"/>
      </w:pPr>
      <w:r>
        <w:rPr>
          <w:rStyle w:val="FootnoteReference"/>
          <w:rFonts w:eastAsiaTheme="minorEastAsia"/>
        </w:rPr>
        <w:footnoteRef/>
      </w:r>
      <w:r>
        <w:t xml:space="preserve"> </w:t>
      </w:r>
      <w:r>
        <w:rPr>
          <w:szCs w:val="24"/>
          <w:lang w:eastAsia="en-GB"/>
        </w:rPr>
        <w:t>COM(2012) 478 final, 3 September 2012</w:t>
      </w:r>
    </w:p>
  </w:footnote>
  <w:footnote w:id="17">
    <w:p w:rsidR="00D03FE2" w:rsidRDefault="00D03FE2" w:rsidP="00C43904">
      <w:pPr>
        <w:pStyle w:val="FootnoteText"/>
      </w:pPr>
      <w:r>
        <w:rPr>
          <w:rStyle w:val="FootnoteReference"/>
          <w:rFonts w:eastAsiaTheme="minorEastAsia"/>
        </w:rPr>
        <w:footnoteRef/>
      </w:r>
      <w:r>
        <w:t xml:space="preserve"> Documents </w:t>
      </w:r>
      <w:r w:rsidRPr="00CC7BB7">
        <w:t>RSPG08-244</w:t>
      </w:r>
      <w:r>
        <w:t xml:space="preserve"> and RSPG13-538 , respectively </w:t>
      </w:r>
    </w:p>
  </w:footnote>
  <w:footnote w:id="18">
    <w:p w:rsidR="00D03FE2" w:rsidRDefault="00D03FE2" w:rsidP="00C43904">
      <w:pPr>
        <w:pStyle w:val="FootnoteText"/>
      </w:pPr>
      <w:r>
        <w:rPr>
          <w:rStyle w:val="FootnoteReference"/>
          <w:rFonts w:eastAsiaTheme="minorEastAsia"/>
        </w:rPr>
        <w:footnoteRef/>
      </w:r>
      <w:r>
        <w:t xml:space="preserve"> </w:t>
      </w:r>
      <w:r w:rsidRPr="00E56F94">
        <w:t>Such as the definition of appropriate Block Edge Masks</w:t>
      </w:r>
      <w:r>
        <w:t xml:space="preserve"> (BEMs</w:t>
      </w:r>
      <w:r w:rsidRPr="00E56F94">
        <w:t>)</w:t>
      </w:r>
    </w:p>
  </w:footnote>
  <w:footnote w:id="19">
    <w:p w:rsidR="00D03FE2" w:rsidRDefault="00D03FE2" w:rsidP="00C43904">
      <w:pPr>
        <w:pStyle w:val="FootnoteText"/>
      </w:pPr>
      <w:r>
        <w:rPr>
          <w:rStyle w:val="FootnoteReference"/>
          <w:rFonts w:eastAsiaTheme="minorEastAsia"/>
        </w:rPr>
        <w:footnoteRef/>
      </w:r>
      <w:r>
        <w:t xml:space="preserve"> Subject to subsequent public consultation</w:t>
      </w:r>
    </w:p>
  </w:footnote>
  <w:footnote w:id="20">
    <w:p w:rsidR="00D03FE2" w:rsidRPr="00D63090" w:rsidRDefault="00D03FE2" w:rsidP="003359A1">
      <w:pPr>
        <w:pStyle w:val="ECCFootnote"/>
      </w:pPr>
      <w:r>
        <w:rPr>
          <w:rStyle w:val="FootnoteReference"/>
        </w:rPr>
        <w:footnoteRef/>
      </w:r>
      <w:r>
        <w:t xml:space="preserve"> This value </w:t>
      </w:r>
      <w:r w:rsidRPr="001B30FB">
        <w:t>is based on the assumption of the impact of a single MFCN SDL interferer.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E2" w:rsidRPr="007C5F95" w:rsidRDefault="00D03FE2">
    <w:pPr>
      <w:pStyle w:val="Header"/>
      <w:rPr>
        <w:szCs w:val="16"/>
        <w:lang w:val="da-DK"/>
      </w:rPr>
    </w:pPr>
    <w:r>
      <w:rPr>
        <w:lang w:val="da-DK"/>
      </w:rPr>
      <w:t>CEPT REPORT 54 -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177DAC" w:rsidRPr="00177DAC">
      <w:rPr>
        <w:noProof/>
        <w:szCs w:val="16"/>
        <w:lang w:val="da-DK"/>
      </w:rPr>
      <w:t>22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E2" w:rsidRPr="00941201" w:rsidRDefault="00D03FE2" w:rsidP="00941201">
    <w:pPr>
      <w:pStyle w:val="Header"/>
    </w:pPr>
    <w:r>
      <w:rPr>
        <w:noProof/>
        <w:szCs w:val="20"/>
        <w:lang w:val="da-DK" w:eastAsia="da-DK"/>
      </w:rPr>
      <w:drawing>
        <wp:anchor distT="0" distB="0" distL="114300" distR="114300" simplePos="0" relativeHeight="251661312" behindDoc="0" locked="0" layoutInCell="1" allowOverlap="1" wp14:anchorId="3C7D4E4D" wp14:editId="2E31BAA3">
          <wp:simplePos x="0" y="0"/>
          <wp:positionH relativeFrom="page">
            <wp:posOffset>5869940</wp:posOffset>
          </wp:positionH>
          <wp:positionV relativeFrom="page">
            <wp:posOffset>800735</wp:posOffset>
          </wp:positionV>
          <wp:extent cx="1461770" cy="546100"/>
          <wp:effectExtent l="25400" t="0" r="11430" b="0"/>
          <wp:wrapNone/>
          <wp:docPr id="17" name="Picture 17"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9264" behindDoc="0" locked="0" layoutInCell="1" allowOverlap="1" wp14:anchorId="44D1D0D0" wp14:editId="40448DFC">
          <wp:simplePos x="0" y="0"/>
          <wp:positionH relativeFrom="page">
            <wp:posOffset>725170</wp:posOffset>
          </wp:positionH>
          <wp:positionV relativeFrom="page">
            <wp:posOffset>609600</wp:posOffset>
          </wp:positionV>
          <wp:extent cx="889000" cy="889000"/>
          <wp:effectExtent l="25400" t="0" r="0" b="0"/>
          <wp:wrapNone/>
          <wp:docPr id="16" name="Picture 16"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E2" w:rsidRPr="007C5F95" w:rsidRDefault="00D03FE2" w:rsidP="00AB46DF">
    <w:pPr>
      <w:pStyle w:val="Header"/>
      <w:jc w:val="right"/>
      <w:rPr>
        <w:szCs w:val="16"/>
        <w:lang w:val="da-DK"/>
      </w:rPr>
    </w:pPr>
    <w:r>
      <w:rPr>
        <w:lang w:val="da-DK"/>
      </w:rPr>
      <w:t>CEPT REPORT 54 -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177DAC" w:rsidRPr="00177DAC">
      <w:rPr>
        <w:noProof/>
        <w:szCs w:val="16"/>
        <w:lang w:val="da-DK"/>
      </w:rPr>
      <w:t>23</w:t>
    </w:r>
    <w:r>
      <w:rPr>
        <w:noProof/>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E2" w:rsidRDefault="00D03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824"/>
    <w:multiLevelType w:val="hybridMultilevel"/>
    <w:tmpl w:val="401CE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852C20"/>
    <w:multiLevelType w:val="hybridMultilevel"/>
    <w:tmpl w:val="2604E9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nsid w:val="18BB728B"/>
    <w:multiLevelType w:val="hybridMultilevel"/>
    <w:tmpl w:val="14067E5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0F0485"/>
    <w:multiLevelType w:val="hybridMultilevel"/>
    <w:tmpl w:val="298EA42E"/>
    <w:lvl w:ilvl="0" w:tplc="1C8A6162">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7">
    <w:nsid w:val="2CF85E09"/>
    <w:multiLevelType w:val="hybridMultilevel"/>
    <w:tmpl w:val="9E92E80A"/>
    <w:lvl w:ilvl="0" w:tplc="1C8A6162">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163F7A"/>
    <w:multiLevelType w:val="multilevel"/>
    <w:tmpl w:val="A920C188"/>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10">
    <w:nsid w:val="3F4F71F0"/>
    <w:multiLevelType w:val="hybridMultilevel"/>
    <w:tmpl w:val="AD563DAC"/>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54CA1D76"/>
    <w:multiLevelType w:val="hybridMultilevel"/>
    <w:tmpl w:val="F81626A2"/>
    <w:lvl w:ilvl="0" w:tplc="DD885DAC">
      <w:numFmt w:val="bullet"/>
      <w:lvlText w:val="-"/>
      <w:lvlJc w:val="left"/>
      <w:pPr>
        <w:ind w:left="720" w:hanging="360"/>
      </w:pPr>
      <w:rPr>
        <w:rFonts w:ascii="Arial" w:eastAsia="Times New Roman"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626482"/>
    <w:multiLevelType w:val="hybridMultilevel"/>
    <w:tmpl w:val="2A4E5452"/>
    <w:lvl w:ilvl="0" w:tplc="C928A84A">
      <w:start w:val="1"/>
      <w:numFmt w:val="decimal"/>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5CC41269"/>
    <w:multiLevelType w:val="hybridMultilevel"/>
    <w:tmpl w:val="FC76DCC8"/>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5DE84859"/>
    <w:multiLevelType w:val="hybridMultilevel"/>
    <w:tmpl w:val="80EA081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473838"/>
    <w:multiLevelType w:val="hybridMultilevel"/>
    <w:tmpl w:val="0B1EE114"/>
    <w:lvl w:ilvl="0" w:tplc="C928A84A">
      <w:start w:val="1"/>
      <w:numFmt w:val="decimal"/>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7B3212E4"/>
    <w:multiLevelType w:val="multilevel"/>
    <w:tmpl w:val="764E08BE"/>
    <w:lvl w:ilvl="0">
      <w:start w:val="1"/>
      <w:numFmt w:val="decimal"/>
      <w:pStyle w:val="ECCTabletitle"/>
      <w:suff w:val="space"/>
      <w:lvlText w:val="Table %1:"/>
      <w:lvlJc w:val="left"/>
      <w:pPr>
        <w:ind w:left="1353"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7D213C2D"/>
    <w:multiLevelType w:val="hybridMultilevel"/>
    <w:tmpl w:val="9A1EF074"/>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7F11032D"/>
    <w:multiLevelType w:val="hybridMultilevel"/>
    <w:tmpl w:val="F670D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9"/>
  </w:num>
  <w:num w:numId="3">
    <w:abstractNumId w:val="13"/>
  </w:num>
  <w:num w:numId="4">
    <w:abstractNumId w:val="5"/>
  </w:num>
  <w:num w:numId="5">
    <w:abstractNumId w:val="12"/>
  </w:num>
  <w:num w:numId="6">
    <w:abstractNumId w:val="12"/>
    <w:lvlOverride w:ilvl="0">
      <w:startOverride w:val="1"/>
    </w:lvlOverride>
  </w:num>
  <w:num w:numId="7">
    <w:abstractNumId w:val="2"/>
  </w:num>
  <w:num w:numId="8">
    <w:abstractNumId w:val="9"/>
  </w:num>
  <w:num w:numId="9">
    <w:abstractNumId w:val="6"/>
  </w:num>
  <w:num w:numId="10">
    <w:abstractNumId w:val="4"/>
  </w:num>
  <w:num w:numId="11">
    <w:abstractNumId w:val="7"/>
  </w:num>
  <w:num w:numId="12">
    <w:abstractNumId w:val="17"/>
  </w:num>
  <w:num w:numId="13">
    <w:abstractNumId w:val="15"/>
  </w:num>
  <w:num w:numId="14">
    <w:abstractNumId w:val="18"/>
  </w:num>
  <w:num w:numId="15">
    <w:abstractNumId w:val="3"/>
  </w:num>
  <w:num w:numId="16">
    <w:abstractNumId w:val="16"/>
  </w:num>
  <w:num w:numId="17">
    <w:abstractNumId w:val="14"/>
  </w:num>
  <w:num w:numId="18">
    <w:abstractNumId w:val="11"/>
  </w:num>
  <w:num w:numId="19">
    <w:abstractNumId w:val="0"/>
  </w:num>
  <w:num w:numId="20">
    <w:abstractNumId w:val="21"/>
  </w:num>
  <w:num w:numId="21">
    <w:abstractNumId w:val="20"/>
  </w:num>
  <w:num w:numId="22">
    <w:abstractNumId w:val="1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BC"/>
    <w:rsid w:val="00005619"/>
    <w:rsid w:val="00021AFE"/>
    <w:rsid w:val="0003298F"/>
    <w:rsid w:val="00036F60"/>
    <w:rsid w:val="00044A2E"/>
    <w:rsid w:val="000455B5"/>
    <w:rsid w:val="00066F9B"/>
    <w:rsid w:val="00074DA2"/>
    <w:rsid w:val="0007729A"/>
    <w:rsid w:val="00080AF2"/>
    <w:rsid w:val="00086246"/>
    <w:rsid w:val="000B46E1"/>
    <w:rsid w:val="000B6908"/>
    <w:rsid w:val="000C30BC"/>
    <w:rsid w:val="000D3D65"/>
    <w:rsid w:val="000F0A15"/>
    <w:rsid w:val="000F0A87"/>
    <w:rsid w:val="000F23B8"/>
    <w:rsid w:val="000F4FA9"/>
    <w:rsid w:val="000F548C"/>
    <w:rsid w:val="001026CB"/>
    <w:rsid w:val="001067AE"/>
    <w:rsid w:val="001120A7"/>
    <w:rsid w:val="001166D5"/>
    <w:rsid w:val="001223D0"/>
    <w:rsid w:val="00126057"/>
    <w:rsid w:val="00142AC0"/>
    <w:rsid w:val="00142F20"/>
    <w:rsid w:val="0014384A"/>
    <w:rsid w:val="00145DEB"/>
    <w:rsid w:val="00147723"/>
    <w:rsid w:val="001535D2"/>
    <w:rsid w:val="00156072"/>
    <w:rsid w:val="001722A4"/>
    <w:rsid w:val="0017412F"/>
    <w:rsid w:val="00177DAC"/>
    <w:rsid w:val="00177F0E"/>
    <w:rsid w:val="001829F8"/>
    <w:rsid w:val="00187C52"/>
    <w:rsid w:val="001B1272"/>
    <w:rsid w:val="001B1935"/>
    <w:rsid w:val="001C4967"/>
    <w:rsid w:val="001D5FA5"/>
    <w:rsid w:val="001D7851"/>
    <w:rsid w:val="001F428A"/>
    <w:rsid w:val="0020240D"/>
    <w:rsid w:val="0020251F"/>
    <w:rsid w:val="00207581"/>
    <w:rsid w:val="002105E2"/>
    <w:rsid w:val="00216BE1"/>
    <w:rsid w:val="00216EE0"/>
    <w:rsid w:val="002209A7"/>
    <w:rsid w:val="0022554A"/>
    <w:rsid w:val="0022601E"/>
    <w:rsid w:val="002263B3"/>
    <w:rsid w:val="00235686"/>
    <w:rsid w:val="002358A9"/>
    <w:rsid w:val="00242211"/>
    <w:rsid w:val="00243CFC"/>
    <w:rsid w:val="00252AC5"/>
    <w:rsid w:val="002646A7"/>
    <w:rsid w:val="002664CF"/>
    <w:rsid w:val="00275C7A"/>
    <w:rsid w:val="0027733A"/>
    <w:rsid w:val="002940D8"/>
    <w:rsid w:val="00296740"/>
    <w:rsid w:val="002A65F5"/>
    <w:rsid w:val="002B26CA"/>
    <w:rsid w:val="002B27DF"/>
    <w:rsid w:val="002F30D4"/>
    <w:rsid w:val="002F6319"/>
    <w:rsid w:val="0030320C"/>
    <w:rsid w:val="00317DE7"/>
    <w:rsid w:val="0032280E"/>
    <w:rsid w:val="0032310B"/>
    <w:rsid w:val="003359A1"/>
    <w:rsid w:val="0034271A"/>
    <w:rsid w:val="00347FC6"/>
    <w:rsid w:val="003525BA"/>
    <w:rsid w:val="00353F0D"/>
    <w:rsid w:val="00366C98"/>
    <w:rsid w:val="00372BB8"/>
    <w:rsid w:val="003864A7"/>
    <w:rsid w:val="003926B6"/>
    <w:rsid w:val="003B17FA"/>
    <w:rsid w:val="003C3EE4"/>
    <w:rsid w:val="003C6863"/>
    <w:rsid w:val="003D1687"/>
    <w:rsid w:val="003D3927"/>
    <w:rsid w:val="003D3C0A"/>
    <w:rsid w:val="003E074A"/>
    <w:rsid w:val="003E12AE"/>
    <w:rsid w:val="003F54E7"/>
    <w:rsid w:val="003F5606"/>
    <w:rsid w:val="00416CCA"/>
    <w:rsid w:val="00417B27"/>
    <w:rsid w:val="004210BD"/>
    <w:rsid w:val="00423D9E"/>
    <w:rsid w:val="00425C2D"/>
    <w:rsid w:val="004309BF"/>
    <w:rsid w:val="00432DA1"/>
    <w:rsid w:val="004454C9"/>
    <w:rsid w:val="004576B4"/>
    <w:rsid w:val="0046658E"/>
    <w:rsid w:val="0047518A"/>
    <w:rsid w:val="00481F40"/>
    <w:rsid w:val="00483AD7"/>
    <w:rsid w:val="0049614E"/>
    <w:rsid w:val="004A0CC3"/>
    <w:rsid w:val="004A4479"/>
    <w:rsid w:val="004C34E6"/>
    <w:rsid w:val="004C37D0"/>
    <w:rsid w:val="004C4EF6"/>
    <w:rsid w:val="004D1CAE"/>
    <w:rsid w:val="004E6315"/>
    <w:rsid w:val="00501038"/>
    <w:rsid w:val="0050387B"/>
    <w:rsid w:val="0050481D"/>
    <w:rsid w:val="0051210C"/>
    <w:rsid w:val="00512382"/>
    <w:rsid w:val="00512677"/>
    <w:rsid w:val="005607AE"/>
    <w:rsid w:val="005610A8"/>
    <w:rsid w:val="005662CF"/>
    <w:rsid w:val="005708C0"/>
    <w:rsid w:val="005723E3"/>
    <w:rsid w:val="005762E8"/>
    <w:rsid w:val="00584107"/>
    <w:rsid w:val="00584798"/>
    <w:rsid w:val="00586DA9"/>
    <w:rsid w:val="00587A29"/>
    <w:rsid w:val="00591708"/>
    <w:rsid w:val="00591D30"/>
    <w:rsid w:val="005A278B"/>
    <w:rsid w:val="005A478A"/>
    <w:rsid w:val="005B2F4B"/>
    <w:rsid w:val="005B3B67"/>
    <w:rsid w:val="005B74D7"/>
    <w:rsid w:val="005C2F32"/>
    <w:rsid w:val="005D5D48"/>
    <w:rsid w:val="005E0204"/>
    <w:rsid w:val="005E4190"/>
    <w:rsid w:val="005F498E"/>
    <w:rsid w:val="005F630D"/>
    <w:rsid w:val="006010C8"/>
    <w:rsid w:val="006016B6"/>
    <w:rsid w:val="00604C14"/>
    <w:rsid w:val="00606229"/>
    <w:rsid w:val="00606337"/>
    <w:rsid w:val="006106B6"/>
    <w:rsid w:val="00620FD1"/>
    <w:rsid w:val="00631416"/>
    <w:rsid w:val="00635F6B"/>
    <w:rsid w:val="00637340"/>
    <w:rsid w:val="006410C2"/>
    <w:rsid w:val="006433D9"/>
    <w:rsid w:val="00644756"/>
    <w:rsid w:val="00645DA5"/>
    <w:rsid w:val="0064689E"/>
    <w:rsid w:val="00646E50"/>
    <w:rsid w:val="00664D96"/>
    <w:rsid w:val="006817A3"/>
    <w:rsid w:val="006842FE"/>
    <w:rsid w:val="00684387"/>
    <w:rsid w:val="006A0BEB"/>
    <w:rsid w:val="006B2686"/>
    <w:rsid w:val="006C24BA"/>
    <w:rsid w:val="006C25EF"/>
    <w:rsid w:val="006D5BB8"/>
    <w:rsid w:val="006F171E"/>
    <w:rsid w:val="006F5883"/>
    <w:rsid w:val="006F65C8"/>
    <w:rsid w:val="006F69D4"/>
    <w:rsid w:val="006F77A7"/>
    <w:rsid w:val="00705630"/>
    <w:rsid w:val="00707A49"/>
    <w:rsid w:val="00711F7E"/>
    <w:rsid w:val="00733497"/>
    <w:rsid w:val="00751EA0"/>
    <w:rsid w:val="00784FFE"/>
    <w:rsid w:val="007A445E"/>
    <w:rsid w:val="007A4B30"/>
    <w:rsid w:val="007C04AA"/>
    <w:rsid w:val="007C5F95"/>
    <w:rsid w:val="007E0A9D"/>
    <w:rsid w:val="007F645B"/>
    <w:rsid w:val="00807665"/>
    <w:rsid w:val="00812E59"/>
    <w:rsid w:val="00814D1C"/>
    <w:rsid w:val="008241DD"/>
    <w:rsid w:val="0083056D"/>
    <w:rsid w:val="00834466"/>
    <w:rsid w:val="0084181C"/>
    <w:rsid w:val="00844464"/>
    <w:rsid w:val="00845C42"/>
    <w:rsid w:val="00846016"/>
    <w:rsid w:val="008469F2"/>
    <w:rsid w:val="008602CC"/>
    <w:rsid w:val="00860A3A"/>
    <w:rsid w:val="0087238F"/>
    <w:rsid w:val="008758A8"/>
    <w:rsid w:val="008826DE"/>
    <w:rsid w:val="00893908"/>
    <w:rsid w:val="008939E8"/>
    <w:rsid w:val="008954C5"/>
    <w:rsid w:val="008A2D22"/>
    <w:rsid w:val="008B5880"/>
    <w:rsid w:val="008B61DE"/>
    <w:rsid w:val="008C0C8B"/>
    <w:rsid w:val="008D1CD0"/>
    <w:rsid w:val="008E68C7"/>
    <w:rsid w:val="008F01C0"/>
    <w:rsid w:val="008F56A7"/>
    <w:rsid w:val="008F704D"/>
    <w:rsid w:val="00901C04"/>
    <w:rsid w:val="0093620C"/>
    <w:rsid w:val="00941201"/>
    <w:rsid w:val="0096389D"/>
    <w:rsid w:val="00981651"/>
    <w:rsid w:val="00983529"/>
    <w:rsid w:val="00996EC0"/>
    <w:rsid w:val="009A76A7"/>
    <w:rsid w:val="009A7DDE"/>
    <w:rsid w:val="009B3F10"/>
    <w:rsid w:val="009D2522"/>
    <w:rsid w:val="009D634C"/>
    <w:rsid w:val="009E10CC"/>
    <w:rsid w:val="009E2172"/>
    <w:rsid w:val="009E4572"/>
    <w:rsid w:val="009F3AAC"/>
    <w:rsid w:val="009F50C1"/>
    <w:rsid w:val="00A05D9E"/>
    <w:rsid w:val="00A068F7"/>
    <w:rsid w:val="00A1086D"/>
    <w:rsid w:val="00A22EAA"/>
    <w:rsid w:val="00A268EF"/>
    <w:rsid w:val="00A36A49"/>
    <w:rsid w:val="00A410DE"/>
    <w:rsid w:val="00A44D89"/>
    <w:rsid w:val="00A4582C"/>
    <w:rsid w:val="00A569ED"/>
    <w:rsid w:val="00A724D9"/>
    <w:rsid w:val="00A779E4"/>
    <w:rsid w:val="00A77B87"/>
    <w:rsid w:val="00A80D1E"/>
    <w:rsid w:val="00A8388D"/>
    <w:rsid w:val="00A87687"/>
    <w:rsid w:val="00AA1AE1"/>
    <w:rsid w:val="00AB46DF"/>
    <w:rsid w:val="00AC1B70"/>
    <w:rsid w:val="00AC6318"/>
    <w:rsid w:val="00AC7256"/>
    <w:rsid w:val="00AC73AA"/>
    <w:rsid w:val="00AD0782"/>
    <w:rsid w:val="00AD1ECD"/>
    <w:rsid w:val="00AD4846"/>
    <w:rsid w:val="00AE0C68"/>
    <w:rsid w:val="00AE104E"/>
    <w:rsid w:val="00AE3E54"/>
    <w:rsid w:val="00AE7DB0"/>
    <w:rsid w:val="00AF2B2D"/>
    <w:rsid w:val="00AF53BF"/>
    <w:rsid w:val="00AF61C3"/>
    <w:rsid w:val="00B00439"/>
    <w:rsid w:val="00B30638"/>
    <w:rsid w:val="00B31E91"/>
    <w:rsid w:val="00B351C3"/>
    <w:rsid w:val="00B35A92"/>
    <w:rsid w:val="00B37E89"/>
    <w:rsid w:val="00B520B0"/>
    <w:rsid w:val="00B56668"/>
    <w:rsid w:val="00B85C67"/>
    <w:rsid w:val="00B9378B"/>
    <w:rsid w:val="00B969FB"/>
    <w:rsid w:val="00BA0052"/>
    <w:rsid w:val="00BA0DB2"/>
    <w:rsid w:val="00BA1D49"/>
    <w:rsid w:val="00BA22DF"/>
    <w:rsid w:val="00BB49E4"/>
    <w:rsid w:val="00BD37E5"/>
    <w:rsid w:val="00BE2B7A"/>
    <w:rsid w:val="00BE4ADA"/>
    <w:rsid w:val="00C00160"/>
    <w:rsid w:val="00C010C6"/>
    <w:rsid w:val="00C031F9"/>
    <w:rsid w:val="00C05778"/>
    <w:rsid w:val="00C079CF"/>
    <w:rsid w:val="00C136B2"/>
    <w:rsid w:val="00C152A1"/>
    <w:rsid w:val="00C153FE"/>
    <w:rsid w:val="00C168B2"/>
    <w:rsid w:val="00C20050"/>
    <w:rsid w:val="00C21303"/>
    <w:rsid w:val="00C3013F"/>
    <w:rsid w:val="00C41A81"/>
    <w:rsid w:val="00C43904"/>
    <w:rsid w:val="00C4765A"/>
    <w:rsid w:val="00C56B76"/>
    <w:rsid w:val="00C614B6"/>
    <w:rsid w:val="00C71B7F"/>
    <w:rsid w:val="00C76DFE"/>
    <w:rsid w:val="00C77646"/>
    <w:rsid w:val="00C77E99"/>
    <w:rsid w:val="00C81566"/>
    <w:rsid w:val="00C867D0"/>
    <w:rsid w:val="00C90255"/>
    <w:rsid w:val="00C95B93"/>
    <w:rsid w:val="00CA08EC"/>
    <w:rsid w:val="00CA5ECB"/>
    <w:rsid w:val="00CB04DE"/>
    <w:rsid w:val="00CD2C77"/>
    <w:rsid w:val="00CD5EB9"/>
    <w:rsid w:val="00CD664A"/>
    <w:rsid w:val="00CE05B6"/>
    <w:rsid w:val="00CE4545"/>
    <w:rsid w:val="00CE4C70"/>
    <w:rsid w:val="00CE56EC"/>
    <w:rsid w:val="00CF39DF"/>
    <w:rsid w:val="00D03FE2"/>
    <w:rsid w:val="00D05A0D"/>
    <w:rsid w:val="00D06C7C"/>
    <w:rsid w:val="00D14D6D"/>
    <w:rsid w:val="00D15303"/>
    <w:rsid w:val="00D20E3B"/>
    <w:rsid w:val="00D43284"/>
    <w:rsid w:val="00D4386A"/>
    <w:rsid w:val="00D537B8"/>
    <w:rsid w:val="00D63090"/>
    <w:rsid w:val="00D8047C"/>
    <w:rsid w:val="00D82A88"/>
    <w:rsid w:val="00DA5C4D"/>
    <w:rsid w:val="00DB5713"/>
    <w:rsid w:val="00DD270A"/>
    <w:rsid w:val="00E11B33"/>
    <w:rsid w:val="00E16692"/>
    <w:rsid w:val="00E168CB"/>
    <w:rsid w:val="00E21DA2"/>
    <w:rsid w:val="00E27BFF"/>
    <w:rsid w:val="00E32D8E"/>
    <w:rsid w:val="00E32DD0"/>
    <w:rsid w:val="00E41B58"/>
    <w:rsid w:val="00E606E7"/>
    <w:rsid w:val="00E622E6"/>
    <w:rsid w:val="00E81AE6"/>
    <w:rsid w:val="00E81D65"/>
    <w:rsid w:val="00E821B1"/>
    <w:rsid w:val="00E862CF"/>
    <w:rsid w:val="00E94F61"/>
    <w:rsid w:val="00EA6AE1"/>
    <w:rsid w:val="00EB5A68"/>
    <w:rsid w:val="00EC1FF7"/>
    <w:rsid w:val="00ED46C7"/>
    <w:rsid w:val="00EE6688"/>
    <w:rsid w:val="00EF25CA"/>
    <w:rsid w:val="00F03635"/>
    <w:rsid w:val="00F0623F"/>
    <w:rsid w:val="00F14D04"/>
    <w:rsid w:val="00F15064"/>
    <w:rsid w:val="00F2226C"/>
    <w:rsid w:val="00F36C86"/>
    <w:rsid w:val="00F41A05"/>
    <w:rsid w:val="00F41A23"/>
    <w:rsid w:val="00F470FA"/>
    <w:rsid w:val="00F5380E"/>
    <w:rsid w:val="00F57738"/>
    <w:rsid w:val="00F80D3F"/>
    <w:rsid w:val="00F83398"/>
    <w:rsid w:val="00F875E9"/>
    <w:rsid w:val="00F91872"/>
    <w:rsid w:val="00F94EC0"/>
    <w:rsid w:val="00FB6988"/>
    <w:rsid w:val="00FB6F77"/>
    <w:rsid w:val="00FB7945"/>
    <w:rsid w:val="00FC135C"/>
    <w:rsid w:val="00FC1FBD"/>
    <w:rsid w:val="00FC3B4A"/>
    <w:rsid w:val="00FC4410"/>
    <w:rsid w:val="00FC6147"/>
    <w:rsid w:val="00FE1795"/>
    <w:rsid w:val="00FF46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iPriority="0" w:unhideWhenUsed="1"/>
    <w:lsdException w:name="annotation text" w:unhideWhenUsed="1"/>
    <w:lsdException w:name="header" w:uiPriority="0" w:unhideWhenUsed="1"/>
    <w:lsdException w:name="footer" w:uiPriority="0"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iPriority="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0F23B8"/>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CA08EC"/>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EC1FF7"/>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D20E3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D20E3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D20E3B"/>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D20E3B"/>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rsid w:val="00A43357"/>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uiPriority w:val="99"/>
    <w:rsid w:val="00A43357"/>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9"/>
    <w:rsid w:val="00A43357"/>
    <w:rPr>
      <w:rFonts w:ascii="Arial" w:hAnsi="Arial" w:cs="Arial"/>
      <w:b/>
      <w:bCs/>
      <w:sz w:val="20"/>
      <w:szCs w:val="26"/>
      <w:lang w:val="en-US" w:eastAsia="en-US"/>
    </w:rPr>
  </w:style>
  <w:style w:type="character" w:customStyle="1" w:styleId="Heading4Char">
    <w:name w:val="Heading 4 Char"/>
    <w:aliases w:val="ECC Heading 4 Char"/>
    <w:basedOn w:val="DefaultParagraphFont"/>
    <w:link w:val="Heading4"/>
    <w:uiPriority w:val="99"/>
    <w:rsid w:val="00A43357"/>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rsid w:val="00A43357"/>
    <w:rPr>
      <w:rFonts w:ascii="Arial" w:hAnsi="Arial"/>
      <w:b/>
      <w:bCs/>
      <w:i/>
      <w:iCs/>
      <w:sz w:val="26"/>
      <w:szCs w:val="26"/>
      <w:lang w:val="en-US" w:eastAsia="en-US"/>
    </w:rPr>
  </w:style>
  <w:style w:type="character" w:customStyle="1" w:styleId="Heading6Char">
    <w:name w:val="Heading 6 Char"/>
    <w:basedOn w:val="DefaultParagraphFont"/>
    <w:link w:val="Heading6"/>
    <w:uiPriority w:val="99"/>
    <w:rsid w:val="00A43357"/>
    <w:rPr>
      <w:rFonts w:ascii="Arial" w:hAnsi="Arial"/>
      <w:b/>
      <w:bCs/>
      <w:lang w:val="en-US" w:eastAsia="en-US"/>
    </w:rPr>
  </w:style>
  <w:style w:type="character" w:customStyle="1" w:styleId="Heading7Char">
    <w:name w:val="Heading 7 Char"/>
    <w:basedOn w:val="DefaultParagraphFont"/>
    <w:link w:val="Heading7"/>
    <w:uiPriority w:val="99"/>
    <w:rsid w:val="00A43357"/>
    <w:rPr>
      <w:rFonts w:ascii="Arial" w:hAnsi="Arial"/>
      <w:sz w:val="24"/>
      <w:szCs w:val="24"/>
      <w:lang w:val="en-US" w:eastAsia="en-US"/>
    </w:rPr>
  </w:style>
  <w:style w:type="character" w:customStyle="1" w:styleId="Heading8Char">
    <w:name w:val="Heading 8 Char"/>
    <w:basedOn w:val="DefaultParagraphFont"/>
    <w:link w:val="Heading8"/>
    <w:uiPriority w:val="99"/>
    <w:rsid w:val="00A43357"/>
    <w:rPr>
      <w:rFonts w:ascii="Arial" w:hAnsi="Arial"/>
      <w:i/>
      <w:iCs/>
      <w:sz w:val="24"/>
      <w:szCs w:val="24"/>
      <w:lang w:val="en-US" w:eastAsia="en-US"/>
    </w:rPr>
  </w:style>
  <w:style w:type="character" w:customStyle="1" w:styleId="Heading9Char">
    <w:name w:val="Heading 9 Char"/>
    <w:basedOn w:val="DefaultParagraphFont"/>
    <w:link w:val="Heading9"/>
    <w:uiPriority w:val="99"/>
    <w:rsid w:val="00A43357"/>
    <w:rPr>
      <w:rFonts w:ascii="Arial" w:hAnsi="Arial" w:cs="Arial"/>
      <w:lang w:val="en-US" w:eastAsia="en-US"/>
    </w:rPr>
  </w:style>
  <w:style w:type="paragraph" w:customStyle="1" w:styleId="ECCParagraph">
    <w:name w:val="ECC Paragraph"/>
    <w:basedOn w:val="Normal"/>
    <w:link w:val="ECCParagraphZchn"/>
    <w:pPr>
      <w:spacing w:after="240"/>
      <w:jc w:val="both"/>
    </w:pPr>
    <w:rPr>
      <w:lang w:val="en-GB"/>
    </w:rPr>
  </w:style>
  <w:style w:type="paragraph" w:styleId="Header">
    <w:name w:val="header"/>
    <w:basedOn w:val="Normal"/>
    <w:link w:val="HeaderChar"/>
    <w:pPr>
      <w:tabs>
        <w:tab w:val="center" w:pos="4320"/>
        <w:tab w:val="right" w:pos="8640"/>
      </w:tabs>
    </w:pPr>
    <w:rPr>
      <w:b/>
      <w:sz w:val="16"/>
    </w:rPr>
  </w:style>
  <w:style w:type="character" w:customStyle="1" w:styleId="HeaderChar">
    <w:name w:val="Header Char"/>
    <w:basedOn w:val="DefaultParagraphFont"/>
    <w:link w:val="Header"/>
    <w:rsid w:val="00A43357"/>
    <w:rPr>
      <w:rFonts w:ascii="Arial" w:hAnsi="Arial"/>
      <w:sz w:val="20"/>
      <w:szCs w:val="24"/>
      <w:lang w:val="en-US" w:eastAsia="en-U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A43357"/>
    <w:rPr>
      <w:rFonts w:ascii="Arial" w:hAnsi="Arial"/>
      <w:sz w:val="20"/>
      <w:szCs w:val="24"/>
      <w:lang w:val="en-US" w:eastAsia="en-US"/>
    </w:rPr>
  </w:style>
  <w:style w:type="paragraph" w:customStyle="1" w:styleId="ECCAnnexheading1">
    <w:name w:val="ECC Annex heading1"/>
    <w:basedOn w:val="Heading1"/>
    <w:next w:val="ECCParagraph"/>
    <w:uiPriority w:val="99"/>
    <w:rsid w:val="002209A7"/>
    <w:pPr>
      <w:numPr>
        <w:numId w:val="4"/>
      </w:numPr>
      <w:ind w:left="0" w:firstLine="0"/>
    </w:pPr>
  </w:style>
  <w:style w:type="paragraph" w:styleId="TOC1">
    <w:name w:val="toc 1"/>
    <w:basedOn w:val="Normal"/>
    <w:next w:val="Normal"/>
    <w:autoRedefine/>
    <w:uiPriority w:val="39"/>
    <w:pPr>
      <w:tabs>
        <w:tab w:val="left" w:pos="360"/>
        <w:tab w:val="right" w:leader="dot" w:pos="9629"/>
      </w:tabs>
      <w:spacing w:before="240"/>
    </w:pPr>
    <w:rPr>
      <w:b/>
      <w:caps/>
    </w:rPr>
  </w:style>
  <w:style w:type="character" w:styleId="Hyperlink">
    <w:name w:val="Hyperlink"/>
    <w:basedOn w:val="DefaultParagraphFont"/>
    <w:uiPriority w:val="99"/>
    <w:rPr>
      <w:rFonts w:cs="Times New Roman"/>
      <w:color w:val="0000FF"/>
      <w:u w:val="single"/>
    </w:rPr>
  </w:style>
  <w:style w:type="paragraph" w:styleId="TOC2">
    <w:name w:val="toc 2"/>
    <w:basedOn w:val="Normal"/>
    <w:next w:val="Normal"/>
    <w:autoRedefine/>
    <w:uiPriority w:val="39"/>
    <w:pPr>
      <w:tabs>
        <w:tab w:val="left" w:pos="900"/>
        <w:tab w:val="right" w:leader="dot" w:pos="9629"/>
      </w:tabs>
      <w:ind w:left="360"/>
    </w:pPr>
  </w:style>
  <w:style w:type="paragraph" w:styleId="TOC3">
    <w:name w:val="toc 3"/>
    <w:basedOn w:val="Normal"/>
    <w:next w:val="Normal"/>
    <w:autoRedefine/>
    <w:uiPriority w:val="39"/>
    <w:pPr>
      <w:tabs>
        <w:tab w:val="left" w:pos="1440"/>
        <w:tab w:val="right" w:leader="dot" w:pos="9629"/>
      </w:tabs>
      <w:ind w:left="900"/>
    </w:pPr>
  </w:style>
  <w:style w:type="paragraph" w:styleId="TOC4">
    <w:name w:val="toc 4"/>
    <w:basedOn w:val="Normal"/>
    <w:next w:val="Normal"/>
    <w:autoRedefine/>
    <w:uiPriority w:val="39"/>
    <w:pPr>
      <w:tabs>
        <w:tab w:val="left" w:pos="2340"/>
        <w:tab w:val="right" w:leader="dot" w:pos="9629"/>
      </w:tabs>
      <w:ind w:left="1440"/>
    </w:pPr>
    <w:rPr>
      <w:i/>
    </w:rPr>
  </w:style>
  <w:style w:type="table" w:styleId="TableGrid">
    <w:name w:val="Table Grid"/>
    <w:basedOn w:val="TableNormal"/>
    <w:uiPriority w:val="99"/>
    <w:semiHidden/>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F80D3F"/>
    <w:pPr>
      <w:numPr>
        <w:numId w:val="2"/>
      </w:numPr>
      <w:spacing w:before="360" w:after="240"/>
    </w:pPr>
    <w:rPr>
      <w:szCs w:val="20"/>
      <w:lang w:eastAsia="de-DE"/>
    </w:rPr>
  </w:style>
  <w:style w:type="paragraph" w:customStyle="1" w:styleId="ECCFootnote">
    <w:name w:val="ECC Footnote"/>
    <w:basedOn w:val="Normal"/>
    <w:autoRedefine/>
    <w:uiPriority w:val="99"/>
    <w:rsid w:val="00941201"/>
    <w:pPr>
      <w:ind w:left="454" w:hanging="454"/>
    </w:pPr>
    <w:rPr>
      <w:iCs/>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Pr>
      <w:szCs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locked/>
    <w:rsid w:val="00EA6AE1"/>
    <w:rPr>
      <w:rFonts w:ascii="Arial" w:hAnsi="Arial" w:cs="Times New Roman"/>
      <w:lang w:val="en-US"/>
    </w:rPr>
  </w:style>
  <w:style w:type="character" w:styleId="FootnoteReference">
    <w:name w:val="footnote reference"/>
    <w:aliases w:val="Appel note de bas de p,Footnote Reference/,Footnote,Nota,Footnote symbol"/>
    <w:basedOn w:val="DefaultParagraphFont"/>
    <w:uiPriority w:val="99"/>
    <w:rPr>
      <w:rFonts w:cs="Times New Roman"/>
      <w:vertAlign w:val="superscript"/>
    </w:rPr>
  </w:style>
  <w:style w:type="paragraph" w:customStyle="1" w:styleId="Text">
    <w:name w:val="Text"/>
    <w:basedOn w:val="Normal"/>
    <w:uiPriority w:val="99"/>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pPr>
      <w:numPr>
        <w:numId w:val="5"/>
      </w:numPr>
    </w:pPr>
    <w:rPr>
      <w:lang w:eastAsia="ja-JP"/>
    </w:rPr>
  </w:style>
  <w:style w:type="paragraph" w:customStyle="1" w:styleId="ECCAnnexheading2">
    <w:name w:val="ECC Annex heading2"/>
    <w:basedOn w:val="Normal"/>
    <w:next w:val="ECCParagraph"/>
    <w:uiPriority w:val="99"/>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rPr>
      <w:sz w:val="24"/>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uiPriority w:val="99"/>
    <w:rsid w:val="00D20E3B"/>
    <w:pPr>
      <w:numPr>
        <w:numId w:val="8"/>
      </w:numPr>
    </w:pPr>
  </w:style>
  <w:style w:type="paragraph" w:styleId="BalloonText">
    <w:name w:val="Balloon Text"/>
    <w:basedOn w:val="Normal"/>
    <w:link w:val="BalloonTextChar"/>
    <w:uiPriority w:val="99"/>
    <w:semiHidden/>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20E3B"/>
    <w:rPr>
      <w:rFonts w:ascii="Lucida Grande" w:hAnsi="Lucida Grande" w:cs="Lucida Grande"/>
      <w:sz w:val="18"/>
      <w:szCs w:val="18"/>
      <w:lang w:val="en-US"/>
    </w:rPr>
  </w:style>
  <w:style w:type="paragraph" w:customStyle="1" w:styleId="ECCParBulleted">
    <w:name w:val="ECC Par Bulleted"/>
    <w:basedOn w:val="ECCParagraph"/>
    <w:uiPriority w:val="99"/>
    <w:rsid w:val="008B5880"/>
    <w:pPr>
      <w:tabs>
        <w:tab w:val="num" w:pos="340"/>
      </w:tabs>
      <w:spacing w:after="0"/>
      <w:ind w:left="340" w:hanging="340"/>
    </w:pPr>
  </w:style>
  <w:style w:type="paragraph" w:styleId="Caption">
    <w:name w:val="caption"/>
    <w:aliases w:val="Ca,Caption Char1,Caption Char Char,Caption Char1 Char,Caption Char2,Caption Char Char Char,Caption Char Char1,Caption Char,fig and tbl,fighead2,Table Caption,fighead21,fighead22,fighead23,Table Caption1,fighead211,fighead24,Table Caption2"/>
    <w:basedOn w:val="Normal"/>
    <w:next w:val="Normal"/>
    <w:link w:val="CaptionChar3"/>
    <w:qFormat/>
    <w:rsid w:val="007A445E"/>
    <w:pPr>
      <w:spacing w:before="240" w:after="240"/>
      <w:jc w:val="center"/>
    </w:pPr>
    <w:rPr>
      <w:b/>
      <w:color w:val="D2232A"/>
      <w:szCs w:val="20"/>
      <w:lang w:eastAsia="de-DE"/>
    </w:rPr>
  </w:style>
  <w:style w:type="character" w:customStyle="1" w:styleId="CaptionChar3">
    <w:name w:val="Caption Char3"/>
    <w:aliases w:val="Ca Char,Caption Char1 Char1,Caption Char Char Char1,Caption Char1 Char Char,Caption Char2 Char,Caption Char Char Char Char,Caption Char Char1 Char,Caption Char Char2,fig and tbl Char,fighead2 Char,Table Caption Char,fighead21 Char"/>
    <w:link w:val="Caption"/>
    <w:locked/>
    <w:rsid w:val="007A445E"/>
    <w:rPr>
      <w:rFonts w:ascii="Arial" w:hAnsi="Arial"/>
      <w:b/>
      <w:color w:val="D2232A"/>
      <w:lang w:val="en-US" w:eastAsia="de-DE"/>
    </w:rPr>
  </w:style>
  <w:style w:type="character" w:styleId="CommentReference">
    <w:name w:val="annotation reference"/>
    <w:basedOn w:val="DefaultParagraphFont"/>
    <w:uiPriority w:val="99"/>
    <w:semiHidden/>
    <w:rsid w:val="00AC6318"/>
    <w:rPr>
      <w:rFonts w:cs="Times New Roman"/>
      <w:sz w:val="16"/>
      <w:szCs w:val="16"/>
    </w:rPr>
  </w:style>
  <w:style w:type="paragraph" w:styleId="CommentText">
    <w:name w:val="annotation text"/>
    <w:basedOn w:val="Normal"/>
    <w:link w:val="CommentTextChar"/>
    <w:uiPriority w:val="99"/>
    <w:semiHidden/>
    <w:rsid w:val="00AC6318"/>
    <w:rPr>
      <w:szCs w:val="20"/>
    </w:rPr>
  </w:style>
  <w:style w:type="character" w:customStyle="1" w:styleId="CommentTextChar">
    <w:name w:val="Comment Text Char"/>
    <w:basedOn w:val="DefaultParagraphFont"/>
    <w:link w:val="CommentText"/>
    <w:uiPriority w:val="99"/>
    <w:semiHidden/>
    <w:locked/>
    <w:rsid w:val="00AC6318"/>
    <w:rPr>
      <w:rFonts w:ascii="Arial" w:hAnsi="Arial" w:cs="Times New Roman"/>
      <w:lang w:val="en-US"/>
    </w:rPr>
  </w:style>
  <w:style w:type="paragraph" w:styleId="CommentSubject">
    <w:name w:val="annotation subject"/>
    <w:basedOn w:val="CommentText"/>
    <w:next w:val="CommentText"/>
    <w:link w:val="CommentSubjectChar"/>
    <w:uiPriority w:val="99"/>
    <w:semiHidden/>
    <w:rsid w:val="00AC6318"/>
    <w:rPr>
      <w:b/>
      <w:bCs/>
    </w:rPr>
  </w:style>
  <w:style w:type="character" w:customStyle="1" w:styleId="CommentSubjectChar">
    <w:name w:val="Comment Subject Char"/>
    <w:basedOn w:val="CommentTextChar"/>
    <w:link w:val="CommentSubject"/>
    <w:uiPriority w:val="99"/>
    <w:semiHidden/>
    <w:locked/>
    <w:rsid w:val="00AC6318"/>
    <w:rPr>
      <w:rFonts w:ascii="Arial" w:hAnsi="Arial" w:cs="Times New Roman"/>
      <w:b/>
      <w:bCs/>
      <w:lang w:val="en-US"/>
    </w:rPr>
  </w:style>
  <w:style w:type="character" w:customStyle="1" w:styleId="ECCParagraphZchn">
    <w:name w:val="ECC Paragraph Zchn"/>
    <w:basedOn w:val="DefaultParagraphFont"/>
    <w:link w:val="ECCParagraph"/>
    <w:uiPriority w:val="99"/>
    <w:locked/>
    <w:rsid w:val="00635F6B"/>
    <w:rPr>
      <w:rFonts w:ascii="Arial" w:hAnsi="Arial" w:cs="Times New Roman"/>
      <w:sz w:val="24"/>
      <w:szCs w:val="24"/>
    </w:rPr>
  </w:style>
  <w:style w:type="character" w:customStyle="1" w:styleId="ECCHLbold">
    <w:name w:val="ECC HL bold"/>
    <w:uiPriority w:val="99"/>
    <w:rsid w:val="00635F6B"/>
    <w:rPr>
      <w:b/>
    </w:rPr>
  </w:style>
  <w:style w:type="character" w:styleId="Emphasis">
    <w:name w:val="Emphasis"/>
    <w:aliases w:val="ECC HL italics"/>
    <w:basedOn w:val="DefaultParagraphFont"/>
    <w:uiPriority w:val="99"/>
    <w:qFormat/>
    <w:rsid w:val="00635F6B"/>
    <w:rPr>
      <w:rFonts w:cs="Times New Roman"/>
      <w:i/>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FF46CF"/>
    <w:pPr>
      <w:autoSpaceDE w:val="0"/>
      <w:autoSpaceDN w:val="0"/>
      <w:spacing w:after="120"/>
    </w:pPr>
    <w:rPr>
      <w:rFonts w:ascii="Times New Roman" w:hAnsi="Times New Roman"/>
      <w:sz w:val="24"/>
      <w:lang w:val="en-GB" w:eastAsia="nl-NL"/>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FF46CF"/>
    <w:rPr>
      <w:rFonts w:cs="Times New Roman"/>
      <w:sz w:val="24"/>
      <w:szCs w:val="24"/>
      <w:lang w:eastAsia="nl-NL"/>
    </w:rPr>
  </w:style>
  <w:style w:type="paragraph" w:styleId="ListParagraph">
    <w:name w:val="List Paragraph"/>
    <w:basedOn w:val="Normal"/>
    <w:uiPriority w:val="99"/>
    <w:qFormat/>
    <w:rsid w:val="00AD4846"/>
    <w:pPr>
      <w:ind w:left="720"/>
      <w:contextualSpacing/>
    </w:pPr>
  </w:style>
  <w:style w:type="paragraph" w:styleId="Revision">
    <w:name w:val="Revision"/>
    <w:hidden/>
    <w:uiPriority w:val="99"/>
    <w:semiHidden/>
    <w:rsid w:val="00845C42"/>
    <w:rPr>
      <w:rFonts w:ascii="Arial" w:hAnsi="Arial"/>
      <w:sz w:val="20"/>
      <w:szCs w:val="24"/>
      <w:lang w:val="en-US" w:eastAsia="en-US"/>
    </w:rPr>
  </w:style>
  <w:style w:type="paragraph" w:styleId="EndnoteText">
    <w:name w:val="endnote text"/>
    <w:basedOn w:val="Normal"/>
    <w:link w:val="EndnoteTextChar"/>
    <w:uiPriority w:val="99"/>
    <w:semiHidden/>
    <w:rsid w:val="00EB5A68"/>
    <w:rPr>
      <w:szCs w:val="20"/>
    </w:rPr>
  </w:style>
  <w:style w:type="character" w:customStyle="1" w:styleId="EndnoteTextChar">
    <w:name w:val="Endnote Text Char"/>
    <w:basedOn w:val="DefaultParagraphFont"/>
    <w:link w:val="EndnoteText"/>
    <w:uiPriority w:val="99"/>
    <w:semiHidden/>
    <w:locked/>
    <w:rsid w:val="00EB5A68"/>
    <w:rPr>
      <w:rFonts w:ascii="Arial" w:hAnsi="Arial" w:cs="Times New Roman"/>
      <w:lang w:val="en-US"/>
    </w:rPr>
  </w:style>
  <w:style w:type="character" w:styleId="EndnoteReference">
    <w:name w:val="endnote reference"/>
    <w:basedOn w:val="DefaultParagraphFont"/>
    <w:uiPriority w:val="99"/>
    <w:semiHidden/>
    <w:rsid w:val="00EB5A68"/>
    <w:rPr>
      <w:rFonts w:cs="Times New Roman"/>
      <w:vertAlign w:val="superscript"/>
    </w:rPr>
  </w:style>
  <w:style w:type="numbering" w:customStyle="1" w:styleId="ECCBullets">
    <w:name w:val="ECC Bullets"/>
    <w:rsid w:val="00A43357"/>
    <w:pPr>
      <w:numPr>
        <w:numId w:val="7"/>
      </w:numPr>
    </w:pPr>
  </w:style>
  <w:style w:type="numbering" w:customStyle="1" w:styleId="ECCNumbers-Letters">
    <w:name w:val="ECC Numbers-Letters"/>
    <w:rsid w:val="00A43357"/>
    <w:pPr>
      <w:numPr>
        <w:numId w:val="9"/>
      </w:numPr>
    </w:pPr>
  </w:style>
  <w:style w:type="numbering" w:customStyle="1" w:styleId="ECCNumbers-Bullets">
    <w:name w:val="ECC Numbers-Bullets"/>
    <w:rsid w:val="00A43357"/>
    <w:pPr>
      <w:numPr>
        <w:numId w:val="8"/>
      </w:numPr>
    </w:pPr>
  </w:style>
  <w:style w:type="paragraph" w:customStyle="1" w:styleId="CharChar1CharCharCharCharCharChar2Car">
    <w:name w:val="Char Char1 Char Char Char Char Char Char2 Car"/>
    <w:basedOn w:val="Normal"/>
    <w:rsid w:val="00D82A88"/>
    <w:pPr>
      <w:tabs>
        <w:tab w:val="left" w:pos="540"/>
        <w:tab w:val="left" w:pos="1260"/>
        <w:tab w:val="left" w:pos="1800"/>
      </w:tabs>
      <w:spacing w:before="240" w:after="160" w:line="240" w:lineRule="exact"/>
    </w:pPr>
    <w:rPr>
      <w:rFonts w:ascii="Verdana" w:hAnsi="Verdana"/>
      <w:sz w:val="24"/>
      <w:szCs w:val="20"/>
    </w:rPr>
  </w:style>
  <w:style w:type="character" w:styleId="PageNumber">
    <w:name w:val="page number"/>
    <w:basedOn w:val="DefaultParagraphFont"/>
    <w:rsid w:val="00C43904"/>
  </w:style>
  <w:style w:type="paragraph" w:customStyle="1" w:styleId="AddressTR">
    <w:name w:val="AddressTR"/>
    <w:basedOn w:val="Normal"/>
    <w:next w:val="Normal"/>
    <w:rsid w:val="00C43904"/>
    <w:pPr>
      <w:spacing w:after="720"/>
      <w:ind w:left="5103"/>
    </w:pPr>
    <w:rPr>
      <w:rFonts w:ascii="Times New Roman" w:hAnsi="Times New Roman"/>
      <w:sz w:val="24"/>
      <w:szCs w:val="20"/>
      <w:lang w:val="en-GB" w:eastAsia="fr-BE"/>
    </w:rPr>
  </w:style>
  <w:style w:type="paragraph" w:styleId="Date">
    <w:name w:val="Date"/>
    <w:basedOn w:val="Normal"/>
    <w:next w:val="References"/>
    <w:link w:val="DateChar"/>
    <w:rsid w:val="00C43904"/>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rsid w:val="00C43904"/>
    <w:rPr>
      <w:sz w:val="24"/>
      <w:szCs w:val="20"/>
      <w:lang w:val="en-GB" w:eastAsia="fr-BE"/>
    </w:rPr>
  </w:style>
  <w:style w:type="paragraph" w:customStyle="1" w:styleId="References">
    <w:name w:val="References"/>
    <w:basedOn w:val="Normal"/>
    <w:next w:val="AddressTR"/>
    <w:rsid w:val="00C43904"/>
    <w:pPr>
      <w:spacing w:after="240"/>
      <w:ind w:left="5103"/>
    </w:pPr>
    <w:rPr>
      <w:rFonts w:ascii="Times New Roman" w:hAnsi="Times New Roman"/>
      <w:szCs w:val="20"/>
      <w:lang w:val="en-GB" w:eastAsia="fr-BE"/>
    </w:rPr>
  </w:style>
  <w:style w:type="paragraph" w:styleId="ListNumber">
    <w:name w:val="List Number"/>
    <w:basedOn w:val="Normal"/>
    <w:rsid w:val="00C43904"/>
    <w:pPr>
      <w:numPr>
        <w:numId w:val="18"/>
      </w:numPr>
      <w:spacing w:after="240"/>
      <w:jc w:val="both"/>
    </w:pPr>
    <w:rPr>
      <w:rFonts w:ascii="Times New Roman" w:hAnsi="Times New Roman"/>
      <w:sz w:val="24"/>
      <w:szCs w:val="20"/>
      <w:lang w:val="en-GB" w:eastAsia="fr-BE"/>
    </w:rPr>
  </w:style>
  <w:style w:type="paragraph" w:customStyle="1" w:styleId="ListNumberLevel2">
    <w:name w:val="List Number (Level 2)"/>
    <w:basedOn w:val="Normal"/>
    <w:rsid w:val="00C43904"/>
    <w:pPr>
      <w:numPr>
        <w:ilvl w:val="1"/>
        <w:numId w:val="18"/>
      </w:numPr>
      <w:spacing w:after="240"/>
      <w:jc w:val="both"/>
    </w:pPr>
    <w:rPr>
      <w:rFonts w:ascii="Times New Roman" w:hAnsi="Times New Roman"/>
      <w:sz w:val="24"/>
      <w:szCs w:val="20"/>
      <w:lang w:val="en-GB" w:eastAsia="fr-BE"/>
    </w:rPr>
  </w:style>
  <w:style w:type="paragraph" w:customStyle="1" w:styleId="ListNumberLevel3">
    <w:name w:val="List Number (Level 3)"/>
    <w:basedOn w:val="Normal"/>
    <w:rsid w:val="00C43904"/>
    <w:pPr>
      <w:numPr>
        <w:ilvl w:val="2"/>
        <w:numId w:val="18"/>
      </w:numPr>
      <w:spacing w:after="240"/>
      <w:jc w:val="both"/>
    </w:pPr>
    <w:rPr>
      <w:rFonts w:ascii="Times New Roman" w:hAnsi="Times New Roman"/>
      <w:sz w:val="24"/>
      <w:szCs w:val="20"/>
      <w:lang w:val="en-GB" w:eastAsia="fr-BE"/>
    </w:rPr>
  </w:style>
  <w:style w:type="paragraph" w:customStyle="1" w:styleId="ListNumberLevel4">
    <w:name w:val="List Number (Level 4)"/>
    <w:basedOn w:val="Normal"/>
    <w:rsid w:val="00C43904"/>
    <w:pPr>
      <w:numPr>
        <w:ilvl w:val="3"/>
        <w:numId w:val="18"/>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C43904"/>
    <w:pPr>
      <w:widowControl w:val="0"/>
      <w:ind w:right="85"/>
      <w:jc w:val="both"/>
    </w:pPr>
    <w:rPr>
      <w:snapToGrid w:val="0"/>
      <w:sz w:val="24"/>
      <w:szCs w:val="20"/>
      <w:lang w:val="en-GB"/>
    </w:rPr>
  </w:style>
  <w:style w:type="paragraph" w:customStyle="1" w:styleId="ZDGName">
    <w:name w:val="Z_DGName"/>
    <w:basedOn w:val="Normal"/>
    <w:rsid w:val="00C43904"/>
    <w:pPr>
      <w:widowControl w:val="0"/>
      <w:ind w:right="85"/>
    </w:pPr>
    <w:rPr>
      <w:snapToGrid w:val="0"/>
      <w:sz w:val="16"/>
      <w:szCs w:val="20"/>
      <w:lang w:val="en-GB"/>
    </w:rPr>
  </w:style>
  <w:style w:type="character" w:styleId="FollowedHyperlink">
    <w:name w:val="FollowedHyperlink"/>
    <w:basedOn w:val="DefaultParagraphFont"/>
    <w:uiPriority w:val="99"/>
    <w:semiHidden/>
    <w:unhideWhenUsed/>
    <w:rsid w:val="004576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iPriority="0" w:unhideWhenUsed="1"/>
    <w:lsdException w:name="annotation text" w:unhideWhenUsed="1"/>
    <w:lsdException w:name="header" w:uiPriority="0" w:unhideWhenUsed="1"/>
    <w:lsdException w:name="footer" w:uiPriority="0"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iPriority="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0F23B8"/>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CA08EC"/>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EC1FF7"/>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D20E3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D20E3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D20E3B"/>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D20E3B"/>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rsid w:val="00A43357"/>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uiPriority w:val="99"/>
    <w:rsid w:val="00A43357"/>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9"/>
    <w:rsid w:val="00A43357"/>
    <w:rPr>
      <w:rFonts w:ascii="Arial" w:hAnsi="Arial" w:cs="Arial"/>
      <w:b/>
      <w:bCs/>
      <w:sz w:val="20"/>
      <w:szCs w:val="26"/>
      <w:lang w:val="en-US" w:eastAsia="en-US"/>
    </w:rPr>
  </w:style>
  <w:style w:type="character" w:customStyle="1" w:styleId="Heading4Char">
    <w:name w:val="Heading 4 Char"/>
    <w:aliases w:val="ECC Heading 4 Char"/>
    <w:basedOn w:val="DefaultParagraphFont"/>
    <w:link w:val="Heading4"/>
    <w:uiPriority w:val="99"/>
    <w:rsid w:val="00A43357"/>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rsid w:val="00A43357"/>
    <w:rPr>
      <w:rFonts w:ascii="Arial" w:hAnsi="Arial"/>
      <w:b/>
      <w:bCs/>
      <w:i/>
      <w:iCs/>
      <w:sz w:val="26"/>
      <w:szCs w:val="26"/>
      <w:lang w:val="en-US" w:eastAsia="en-US"/>
    </w:rPr>
  </w:style>
  <w:style w:type="character" w:customStyle="1" w:styleId="Heading6Char">
    <w:name w:val="Heading 6 Char"/>
    <w:basedOn w:val="DefaultParagraphFont"/>
    <w:link w:val="Heading6"/>
    <w:uiPriority w:val="99"/>
    <w:rsid w:val="00A43357"/>
    <w:rPr>
      <w:rFonts w:ascii="Arial" w:hAnsi="Arial"/>
      <w:b/>
      <w:bCs/>
      <w:lang w:val="en-US" w:eastAsia="en-US"/>
    </w:rPr>
  </w:style>
  <w:style w:type="character" w:customStyle="1" w:styleId="Heading7Char">
    <w:name w:val="Heading 7 Char"/>
    <w:basedOn w:val="DefaultParagraphFont"/>
    <w:link w:val="Heading7"/>
    <w:uiPriority w:val="99"/>
    <w:rsid w:val="00A43357"/>
    <w:rPr>
      <w:rFonts w:ascii="Arial" w:hAnsi="Arial"/>
      <w:sz w:val="24"/>
      <w:szCs w:val="24"/>
      <w:lang w:val="en-US" w:eastAsia="en-US"/>
    </w:rPr>
  </w:style>
  <w:style w:type="character" w:customStyle="1" w:styleId="Heading8Char">
    <w:name w:val="Heading 8 Char"/>
    <w:basedOn w:val="DefaultParagraphFont"/>
    <w:link w:val="Heading8"/>
    <w:uiPriority w:val="99"/>
    <w:rsid w:val="00A43357"/>
    <w:rPr>
      <w:rFonts w:ascii="Arial" w:hAnsi="Arial"/>
      <w:i/>
      <w:iCs/>
      <w:sz w:val="24"/>
      <w:szCs w:val="24"/>
      <w:lang w:val="en-US" w:eastAsia="en-US"/>
    </w:rPr>
  </w:style>
  <w:style w:type="character" w:customStyle="1" w:styleId="Heading9Char">
    <w:name w:val="Heading 9 Char"/>
    <w:basedOn w:val="DefaultParagraphFont"/>
    <w:link w:val="Heading9"/>
    <w:uiPriority w:val="99"/>
    <w:rsid w:val="00A43357"/>
    <w:rPr>
      <w:rFonts w:ascii="Arial" w:hAnsi="Arial" w:cs="Arial"/>
      <w:lang w:val="en-US" w:eastAsia="en-US"/>
    </w:rPr>
  </w:style>
  <w:style w:type="paragraph" w:customStyle="1" w:styleId="ECCParagraph">
    <w:name w:val="ECC Paragraph"/>
    <w:basedOn w:val="Normal"/>
    <w:link w:val="ECCParagraphZchn"/>
    <w:pPr>
      <w:spacing w:after="240"/>
      <w:jc w:val="both"/>
    </w:pPr>
    <w:rPr>
      <w:lang w:val="en-GB"/>
    </w:rPr>
  </w:style>
  <w:style w:type="paragraph" w:styleId="Header">
    <w:name w:val="header"/>
    <w:basedOn w:val="Normal"/>
    <w:link w:val="HeaderChar"/>
    <w:pPr>
      <w:tabs>
        <w:tab w:val="center" w:pos="4320"/>
        <w:tab w:val="right" w:pos="8640"/>
      </w:tabs>
    </w:pPr>
    <w:rPr>
      <w:b/>
      <w:sz w:val="16"/>
    </w:rPr>
  </w:style>
  <w:style w:type="character" w:customStyle="1" w:styleId="HeaderChar">
    <w:name w:val="Header Char"/>
    <w:basedOn w:val="DefaultParagraphFont"/>
    <w:link w:val="Header"/>
    <w:rsid w:val="00A43357"/>
    <w:rPr>
      <w:rFonts w:ascii="Arial" w:hAnsi="Arial"/>
      <w:sz w:val="20"/>
      <w:szCs w:val="24"/>
      <w:lang w:val="en-US" w:eastAsia="en-U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A43357"/>
    <w:rPr>
      <w:rFonts w:ascii="Arial" w:hAnsi="Arial"/>
      <w:sz w:val="20"/>
      <w:szCs w:val="24"/>
      <w:lang w:val="en-US" w:eastAsia="en-US"/>
    </w:rPr>
  </w:style>
  <w:style w:type="paragraph" w:customStyle="1" w:styleId="ECCAnnexheading1">
    <w:name w:val="ECC Annex heading1"/>
    <w:basedOn w:val="Heading1"/>
    <w:next w:val="ECCParagraph"/>
    <w:uiPriority w:val="99"/>
    <w:rsid w:val="002209A7"/>
    <w:pPr>
      <w:numPr>
        <w:numId w:val="4"/>
      </w:numPr>
      <w:ind w:left="0" w:firstLine="0"/>
    </w:pPr>
  </w:style>
  <w:style w:type="paragraph" w:styleId="TOC1">
    <w:name w:val="toc 1"/>
    <w:basedOn w:val="Normal"/>
    <w:next w:val="Normal"/>
    <w:autoRedefine/>
    <w:uiPriority w:val="39"/>
    <w:pPr>
      <w:tabs>
        <w:tab w:val="left" w:pos="360"/>
        <w:tab w:val="right" w:leader="dot" w:pos="9629"/>
      </w:tabs>
      <w:spacing w:before="240"/>
    </w:pPr>
    <w:rPr>
      <w:b/>
      <w:caps/>
    </w:rPr>
  </w:style>
  <w:style w:type="character" w:styleId="Hyperlink">
    <w:name w:val="Hyperlink"/>
    <w:basedOn w:val="DefaultParagraphFont"/>
    <w:uiPriority w:val="99"/>
    <w:rPr>
      <w:rFonts w:cs="Times New Roman"/>
      <w:color w:val="0000FF"/>
      <w:u w:val="single"/>
    </w:rPr>
  </w:style>
  <w:style w:type="paragraph" w:styleId="TOC2">
    <w:name w:val="toc 2"/>
    <w:basedOn w:val="Normal"/>
    <w:next w:val="Normal"/>
    <w:autoRedefine/>
    <w:uiPriority w:val="39"/>
    <w:pPr>
      <w:tabs>
        <w:tab w:val="left" w:pos="900"/>
        <w:tab w:val="right" w:leader="dot" w:pos="9629"/>
      </w:tabs>
      <w:ind w:left="360"/>
    </w:pPr>
  </w:style>
  <w:style w:type="paragraph" w:styleId="TOC3">
    <w:name w:val="toc 3"/>
    <w:basedOn w:val="Normal"/>
    <w:next w:val="Normal"/>
    <w:autoRedefine/>
    <w:uiPriority w:val="39"/>
    <w:pPr>
      <w:tabs>
        <w:tab w:val="left" w:pos="1440"/>
        <w:tab w:val="right" w:leader="dot" w:pos="9629"/>
      </w:tabs>
      <w:ind w:left="900"/>
    </w:pPr>
  </w:style>
  <w:style w:type="paragraph" w:styleId="TOC4">
    <w:name w:val="toc 4"/>
    <w:basedOn w:val="Normal"/>
    <w:next w:val="Normal"/>
    <w:autoRedefine/>
    <w:uiPriority w:val="39"/>
    <w:pPr>
      <w:tabs>
        <w:tab w:val="left" w:pos="2340"/>
        <w:tab w:val="right" w:leader="dot" w:pos="9629"/>
      </w:tabs>
      <w:ind w:left="1440"/>
    </w:pPr>
    <w:rPr>
      <w:i/>
    </w:rPr>
  </w:style>
  <w:style w:type="table" w:styleId="TableGrid">
    <w:name w:val="Table Grid"/>
    <w:basedOn w:val="TableNormal"/>
    <w:uiPriority w:val="99"/>
    <w:semiHidden/>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F80D3F"/>
    <w:pPr>
      <w:numPr>
        <w:numId w:val="2"/>
      </w:numPr>
      <w:spacing w:before="360" w:after="240"/>
    </w:pPr>
    <w:rPr>
      <w:szCs w:val="20"/>
      <w:lang w:eastAsia="de-DE"/>
    </w:rPr>
  </w:style>
  <w:style w:type="paragraph" w:customStyle="1" w:styleId="ECCFootnote">
    <w:name w:val="ECC Footnote"/>
    <w:basedOn w:val="Normal"/>
    <w:autoRedefine/>
    <w:uiPriority w:val="99"/>
    <w:rsid w:val="00941201"/>
    <w:pPr>
      <w:ind w:left="454" w:hanging="454"/>
    </w:pPr>
    <w:rPr>
      <w:iCs/>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Pr>
      <w:szCs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locked/>
    <w:rsid w:val="00EA6AE1"/>
    <w:rPr>
      <w:rFonts w:ascii="Arial" w:hAnsi="Arial" w:cs="Times New Roman"/>
      <w:lang w:val="en-US"/>
    </w:rPr>
  </w:style>
  <w:style w:type="character" w:styleId="FootnoteReference">
    <w:name w:val="footnote reference"/>
    <w:aliases w:val="Appel note de bas de p,Footnote Reference/,Footnote,Nota,Footnote symbol"/>
    <w:basedOn w:val="DefaultParagraphFont"/>
    <w:uiPriority w:val="99"/>
    <w:rPr>
      <w:rFonts w:cs="Times New Roman"/>
      <w:vertAlign w:val="superscript"/>
    </w:rPr>
  </w:style>
  <w:style w:type="paragraph" w:customStyle="1" w:styleId="Text">
    <w:name w:val="Text"/>
    <w:basedOn w:val="Normal"/>
    <w:uiPriority w:val="99"/>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pPr>
      <w:numPr>
        <w:numId w:val="5"/>
      </w:numPr>
    </w:pPr>
    <w:rPr>
      <w:lang w:eastAsia="ja-JP"/>
    </w:rPr>
  </w:style>
  <w:style w:type="paragraph" w:customStyle="1" w:styleId="ECCAnnexheading2">
    <w:name w:val="ECC Annex heading2"/>
    <w:basedOn w:val="Normal"/>
    <w:next w:val="ECCParagraph"/>
    <w:uiPriority w:val="99"/>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rPr>
      <w:sz w:val="24"/>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uiPriority w:val="99"/>
    <w:rsid w:val="00D20E3B"/>
    <w:pPr>
      <w:numPr>
        <w:numId w:val="8"/>
      </w:numPr>
    </w:pPr>
  </w:style>
  <w:style w:type="paragraph" w:styleId="BalloonText">
    <w:name w:val="Balloon Text"/>
    <w:basedOn w:val="Normal"/>
    <w:link w:val="BalloonTextChar"/>
    <w:uiPriority w:val="99"/>
    <w:semiHidden/>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20E3B"/>
    <w:rPr>
      <w:rFonts w:ascii="Lucida Grande" w:hAnsi="Lucida Grande" w:cs="Lucida Grande"/>
      <w:sz w:val="18"/>
      <w:szCs w:val="18"/>
      <w:lang w:val="en-US"/>
    </w:rPr>
  </w:style>
  <w:style w:type="paragraph" w:customStyle="1" w:styleId="ECCParBulleted">
    <w:name w:val="ECC Par Bulleted"/>
    <w:basedOn w:val="ECCParagraph"/>
    <w:uiPriority w:val="99"/>
    <w:rsid w:val="008B5880"/>
    <w:pPr>
      <w:tabs>
        <w:tab w:val="num" w:pos="340"/>
      </w:tabs>
      <w:spacing w:after="0"/>
      <w:ind w:left="340" w:hanging="340"/>
    </w:pPr>
  </w:style>
  <w:style w:type="paragraph" w:styleId="Caption">
    <w:name w:val="caption"/>
    <w:aliases w:val="Ca,Caption Char1,Caption Char Char,Caption Char1 Char,Caption Char2,Caption Char Char Char,Caption Char Char1,Caption Char,fig and tbl,fighead2,Table Caption,fighead21,fighead22,fighead23,Table Caption1,fighead211,fighead24,Table Caption2"/>
    <w:basedOn w:val="Normal"/>
    <w:next w:val="Normal"/>
    <w:link w:val="CaptionChar3"/>
    <w:qFormat/>
    <w:rsid w:val="007A445E"/>
    <w:pPr>
      <w:spacing w:before="240" w:after="240"/>
      <w:jc w:val="center"/>
    </w:pPr>
    <w:rPr>
      <w:b/>
      <w:color w:val="D2232A"/>
      <w:szCs w:val="20"/>
      <w:lang w:eastAsia="de-DE"/>
    </w:rPr>
  </w:style>
  <w:style w:type="character" w:customStyle="1" w:styleId="CaptionChar3">
    <w:name w:val="Caption Char3"/>
    <w:aliases w:val="Ca Char,Caption Char1 Char1,Caption Char Char Char1,Caption Char1 Char Char,Caption Char2 Char,Caption Char Char Char Char,Caption Char Char1 Char,Caption Char Char2,fig and tbl Char,fighead2 Char,Table Caption Char,fighead21 Char"/>
    <w:link w:val="Caption"/>
    <w:locked/>
    <w:rsid w:val="007A445E"/>
    <w:rPr>
      <w:rFonts w:ascii="Arial" w:hAnsi="Arial"/>
      <w:b/>
      <w:color w:val="D2232A"/>
      <w:lang w:val="en-US" w:eastAsia="de-DE"/>
    </w:rPr>
  </w:style>
  <w:style w:type="character" w:styleId="CommentReference">
    <w:name w:val="annotation reference"/>
    <w:basedOn w:val="DefaultParagraphFont"/>
    <w:uiPriority w:val="99"/>
    <w:semiHidden/>
    <w:rsid w:val="00AC6318"/>
    <w:rPr>
      <w:rFonts w:cs="Times New Roman"/>
      <w:sz w:val="16"/>
      <w:szCs w:val="16"/>
    </w:rPr>
  </w:style>
  <w:style w:type="paragraph" w:styleId="CommentText">
    <w:name w:val="annotation text"/>
    <w:basedOn w:val="Normal"/>
    <w:link w:val="CommentTextChar"/>
    <w:uiPriority w:val="99"/>
    <w:semiHidden/>
    <w:rsid w:val="00AC6318"/>
    <w:rPr>
      <w:szCs w:val="20"/>
    </w:rPr>
  </w:style>
  <w:style w:type="character" w:customStyle="1" w:styleId="CommentTextChar">
    <w:name w:val="Comment Text Char"/>
    <w:basedOn w:val="DefaultParagraphFont"/>
    <w:link w:val="CommentText"/>
    <w:uiPriority w:val="99"/>
    <w:semiHidden/>
    <w:locked/>
    <w:rsid w:val="00AC6318"/>
    <w:rPr>
      <w:rFonts w:ascii="Arial" w:hAnsi="Arial" w:cs="Times New Roman"/>
      <w:lang w:val="en-US"/>
    </w:rPr>
  </w:style>
  <w:style w:type="paragraph" w:styleId="CommentSubject">
    <w:name w:val="annotation subject"/>
    <w:basedOn w:val="CommentText"/>
    <w:next w:val="CommentText"/>
    <w:link w:val="CommentSubjectChar"/>
    <w:uiPriority w:val="99"/>
    <w:semiHidden/>
    <w:rsid w:val="00AC6318"/>
    <w:rPr>
      <w:b/>
      <w:bCs/>
    </w:rPr>
  </w:style>
  <w:style w:type="character" w:customStyle="1" w:styleId="CommentSubjectChar">
    <w:name w:val="Comment Subject Char"/>
    <w:basedOn w:val="CommentTextChar"/>
    <w:link w:val="CommentSubject"/>
    <w:uiPriority w:val="99"/>
    <w:semiHidden/>
    <w:locked/>
    <w:rsid w:val="00AC6318"/>
    <w:rPr>
      <w:rFonts w:ascii="Arial" w:hAnsi="Arial" w:cs="Times New Roman"/>
      <w:b/>
      <w:bCs/>
      <w:lang w:val="en-US"/>
    </w:rPr>
  </w:style>
  <w:style w:type="character" w:customStyle="1" w:styleId="ECCParagraphZchn">
    <w:name w:val="ECC Paragraph Zchn"/>
    <w:basedOn w:val="DefaultParagraphFont"/>
    <w:link w:val="ECCParagraph"/>
    <w:uiPriority w:val="99"/>
    <w:locked/>
    <w:rsid w:val="00635F6B"/>
    <w:rPr>
      <w:rFonts w:ascii="Arial" w:hAnsi="Arial" w:cs="Times New Roman"/>
      <w:sz w:val="24"/>
      <w:szCs w:val="24"/>
    </w:rPr>
  </w:style>
  <w:style w:type="character" w:customStyle="1" w:styleId="ECCHLbold">
    <w:name w:val="ECC HL bold"/>
    <w:uiPriority w:val="99"/>
    <w:rsid w:val="00635F6B"/>
    <w:rPr>
      <w:b/>
    </w:rPr>
  </w:style>
  <w:style w:type="character" w:styleId="Emphasis">
    <w:name w:val="Emphasis"/>
    <w:aliases w:val="ECC HL italics"/>
    <w:basedOn w:val="DefaultParagraphFont"/>
    <w:uiPriority w:val="99"/>
    <w:qFormat/>
    <w:rsid w:val="00635F6B"/>
    <w:rPr>
      <w:rFonts w:cs="Times New Roman"/>
      <w:i/>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FF46CF"/>
    <w:pPr>
      <w:autoSpaceDE w:val="0"/>
      <w:autoSpaceDN w:val="0"/>
      <w:spacing w:after="120"/>
    </w:pPr>
    <w:rPr>
      <w:rFonts w:ascii="Times New Roman" w:hAnsi="Times New Roman"/>
      <w:sz w:val="24"/>
      <w:lang w:val="en-GB" w:eastAsia="nl-NL"/>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FF46CF"/>
    <w:rPr>
      <w:rFonts w:cs="Times New Roman"/>
      <w:sz w:val="24"/>
      <w:szCs w:val="24"/>
      <w:lang w:eastAsia="nl-NL"/>
    </w:rPr>
  </w:style>
  <w:style w:type="paragraph" w:styleId="ListParagraph">
    <w:name w:val="List Paragraph"/>
    <w:basedOn w:val="Normal"/>
    <w:uiPriority w:val="99"/>
    <w:qFormat/>
    <w:rsid w:val="00AD4846"/>
    <w:pPr>
      <w:ind w:left="720"/>
      <w:contextualSpacing/>
    </w:pPr>
  </w:style>
  <w:style w:type="paragraph" w:styleId="Revision">
    <w:name w:val="Revision"/>
    <w:hidden/>
    <w:uiPriority w:val="99"/>
    <w:semiHidden/>
    <w:rsid w:val="00845C42"/>
    <w:rPr>
      <w:rFonts w:ascii="Arial" w:hAnsi="Arial"/>
      <w:sz w:val="20"/>
      <w:szCs w:val="24"/>
      <w:lang w:val="en-US" w:eastAsia="en-US"/>
    </w:rPr>
  </w:style>
  <w:style w:type="paragraph" w:styleId="EndnoteText">
    <w:name w:val="endnote text"/>
    <w:basedOn w:val="Normal"/>
    <w:link w:val="EndnoteTextChar"/>
    <w:uiPriority w:val="99"/>
    <w:semiHidden/>
    <w:rsid w:val="00EB5A68"/>
    <w:rPr>
      <w:szCs w:val="20"/>
    </w:rPr>
  </w:style>
  <w:style w:type="character" w:customStyle="1" w:styleId="EndnoteTextChar">
    <w:name w:val="Endnote Text Char"/>
    <w:basedOn w:val="DefaultParagraphFont"/>
    <w:link w:val="EndnoteText"/>
    <w:uiPriority w:val="99"/>
    <w:semiHidden/>
    <w:locked/>
    <w:rsid w:val="00EB5A68"/>
    <w:rPr>
      <w:rFonts w:ascii="Arial" w:hAnsi="Arial" w:cs="Times New Roman"/>
      <w:lang w:val="en-US"/>
    </w:rPr>
  </w:style>
  <w:style w:type="character" w:styleId="EndnoteReference">
    <w:name w:val="endnote reference"/>
    <w:basedOn w:val="DefaultParagraphFont"/>
    <w:uiPriority w:val="99"/>
    <w:semiHidden/>
    <w:rsid w:val="00EB5A68"/>
    <w:rPr>
      <w:rFonts w:cs="Times New Roman"/>
      <w:vertAlign w:val="superscript"/>
    </w:rPr>
  </w:style>
  <w:style w:type="numbering" w:customStyle="1" w:styleId="ECCBullets">
    <w:name w:val="ECC Bullets"/>
    <w:rsid w:val="00A43357"/>
    <w:pPr>
      <w:numPr>
        <w:numId w:val="7"/>
      </w:numPr>
    </w:pPr>
  </w:style>
  <w:style w:type="numbering" w:customStyle="1" w:styleId="ECCNumbers-Letters">
    <w:name w:val="ECC Numbers-Letters"/>
    <w:rsid w:val="00A43357"/>
    <w:pPr>
      <w:numPr>
        <w:numId w:val="9"/>
      </w:numPr>
    </w:pPr>
  </w:style>
  <w:style w:type="numbering" w:customStyle="1" w:styleId="ECCNumbers-Bullets">
    <w:name w:val="ECC Numbers-Bullets"/>
    <w:rsid w:val="00A43357"/>
    <w:pPr>
      <w:numPr>
        <w:numId w:val="8"/>
      </w:numPr>
    </w:pPr>
  </w:style>
  <w:style w:type="paragraph" w:customStyle="1" w:styleId="CharChar1CharCharCharCharCharChar2Car">
    <w:name w:val="Char Char1 Char Char Char Char Char Char2 Car"/>
    <w:basedOn w:val="Normal"/>
    <w:rsid w:val="00D82A88"/>
    <w:pPr>
      <w:tabs>
        <w:tab w:val="left" w:pos="540"/>
        <w:tab w:val="left" w:pos="1260"/>
        <w:tab w:val="left" w:pos="1800"/>
      </w:tabs>
      <w:spacing w:before="240" w:after="160" w:line="240" w:lineRule="exact"/>
    </w:pPr>
    <w:rPr>
      <w:rFonts w:ascii="Verdana" w:hAnsi="Verdana"/>
      <w:sz w:val="24"/>
      <w:szCs w:val="20"/>
    </w:rPr>
  </w:style>
  <w:style w:type="character" w:styleId="PageNumber">
    <w:name w:val="page number"/>
    <w:basedOn w:val="DefaultParagraphFont"/>
    <w:rsid w:val="00C43904"/>
  </w:style>
  <w:style w:type="paragraph" w:customStyle="1" w:styleId="AddressTR">
    <w:name w:val="AddressTR"/>
    <w:basedOn w:val="Normal"/>
    <w:next w:val="Normal"/>
    <w:rsid w:val="00C43904"/>
    <w:pPr>
      <w:spacing w:after="720"/>
      <w:ind w:left="5103"/>
    </w:pPr>
    <w:rPr>
      <w:rFonts w:ascii="Times New Roman" w:hAnsi="Times New Roman"/>
      <w:sz w:val="24"/>
      <w:szCs w:val="20"/>
      <w:lang w:val="en-GB" w:eastAsia="fr-BE"/>
    </w:rPr>
  </w:style>
  <w:style w:type="paragraph" w:styleId="Date">
    <w:name w:val="Date"/>
    <w:basedOn w:val="Normal"/>
    <w:next w:val="References"/>
    <w:link w:val="DateChar"/>
    <w:rsid w:val="00C43904"/>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rsid w:val="00C43904"/>
    <w:rPr>
      <w:sz w:val="24"/>
      <w:szCs w:val="20"/>
      <w:lang w:val="en-GB" w:eastAsia="fr-BE"/>
    </w:rPr>
  </w:style>
  <w:style w:type="paragraph" w:customStyle="1" w:styleId="References">
    <w:name w:val="References"/>
    <w:basedOn w:val="Normal"/>
    <w:next w:val="AddressTR"/>
    <w:rsid w:val="00C43904"/>
    <w:pPr>
      <w:spacing w:after="240"/>
      <w:ind w:left="5103"/>
    </w:pPr>
    <w:rPr>
      <w:rFonts w:ascii="Times New Roman" w:hAnsi="Times New Roman"/>
      <w:szCs w:val="20"/>
      <w:lang w:val="en-GB" w:eastAsia="fr-BE"/>
    </w:rPr>
  </w:style>
  <w:style w:type="paragraph" w:styleId="ListNumber">
    <w:name w:val="List Number"/>
    <w:basedOn w:val="Normal"/>
    <w:rsid w:val="00C43904"/>
    <w:pPr>
      <w:numPr>
        <w:numId w:val="18"/>
      </w:numPr>
      <w:spacing w:after="240"/>
      <w:jc w:val="both"/>
    </w:pPr>
    <w:rPr>
      <w:rFonts w:ascii="Times New Roman" w:hAnsi="Times New Roman"/>
      <w:sz w:val="24"/>
      <w:szCs w:val="20"/>
      <w:lang w:val="en-GB" w:eastAsia="fr-BE"/>
    </w:rPr>
  </w:style>
  <w:style w:type="paragraph" w:customStyle="1" w:styleId="ListNumberLevel2">
    <w:name w:val="List Number (Level 2)"/>
    <w:basedOn w:val="Normal"/>
    <w:rsid w:val="00C43904"/>
    <w:pPr>
      <w:numPr>
        <w:ilvl w:val="1"/>
        <w:numId w:val="18"/>
      </w:numPr>
      <w:spacing w:after="240"/>
      <w:jc w:val="both"/>
    </w:pPr>
    <w:rPr>
      <w:rFonts w:ascii="Times New Roman" w:hAnsi="Times New Roman"/>
      <w:sz w:val="24"/>
      <w:szCs w:val="20"/>
      <w:lang w:val="en-GB" w:eastAsia="fr-BE"/>
    </w:rPr>
  </w:style>
  <w:style w:type="paragraph" w:customStyle="1" w:styleId="ListNumberLevel3">
    <w:name w:val="List Number (Level 3)"/>
    <w:basedOn w:val="Normal"/>
    <w:rsid w:val="00C43904"/>
    <w:pPr>
      <w:numPr>
        <w:ilvl w:val="2"/>
        <w:numId w:val="18"/>
      </w:numPr>
      <w:spacing w:after="240"/>
      <w:jc w:val="both"/>
    </w:pPr>
    <w:rPr>
      <w:rFonts w:ascii="Times New Roman" w:hAnsi="Times New Roman"/>
      <w:sz w:val="24"/>
      <w:szCs w:val="20"/>
      <w:lang w:val="en-GB" w:eastAsia="fr-BE"/>
    </w:rPr>
  </w:style>
  <w:style w:type="paragraph" w:customStyle="1" w:styleId="ListNumberLevel4">
    <w:name w:val="List Number (Level 4)"/>
    <w:basedOn w:val="Normal"/>
    <w:rsid w:val="00C43904"/>
    <w:pPr>
      <w:numPr>
        <w:ilvl w:val="3"/>
        <w:numId w:val="18"/>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C43904"/>
    <w:pPr>
      <w:widowControl w:val="0"/>
      <w:ind w:right="85"/>
      <w:jc w:val="both"/>
    </w:pPr>
    <w:rPr>
      <w:snapToGrid w:val="0"/>
      <w:sz w:val="24"/>
      <w:szCs w:val="20"/>
      <w:lang w:val="en-GB"/>
    </w:rPr>
  </w:style>
  <w:style w:type="paragraph" w:customStyle="1" w:styleId="ZDGName">
    <w:name w:val="Z_DGName"/>
    <w:basedOn w:val="Normal"/>
    <w:rsid w:val="00C43904"/>
    <w:pPr>
      <w:widowControl w:val="0"/>
      <w:ind w:right="85"/>
    </w:pPr>
    <w:rPr>
      <w:snapToGrid w:val="0"/>
      <w:sz w:val="16"/>
      <w:szCs w:val="20"/>
      <w:lang w:val="en-GB"/>
    </w:rPr>
  </w:style>
  <w:style w:type="character" w:styleId="FollowedHyperlink">
    <w:name w:val="FollowedHyperlink"/>
    <w:basedOn w:val="DefaultParagraphFont"/>
    <w:uiPriority w:val="99"/>
    <w:semiHidden/>
    <w:unhideWhenUsed/>
    <w:rsid w:val="004576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8113">
      <w:bodyDiv w:val="1"/>
      <w:marLeft w:val="0"/>
      <w:marRight w:val="0"/>
      <w:marTop w:val="0"/>
      <w:marBottom w:val="0"/>
      <w:divBdr>
        <w:top w:val="none" w:sz="0" w:space="0" w:color="auto"/>
        <w:left w:val="none" w:sz="0" w:space="0" w:color="auto"/>
        <w:bottom w:val="none" w:sz="0" w:space="0" w:color="auto"/>
        <w:right w:val="none" w:sz="0" w:space="0" w:color="auto"/>
      </w:divBdr>
    </w:div>
    <w:div w:id="295333916">
      <w:bodyDiv w:val="1"/>
      <w:marLeft w:val="0"/>
      <w:marRight w:val="0"/>
      <w:marTop w:val="0"/>
      <w:marBottom w:val="0"/>
      <w:divBdr>
        <w:top w:val="none" w:sz="0" w:space="0" w:color="auto"/>
        <w:left w:val="none" w:sz="0" w:space="0" w:color="auto"/>
        <w:bottom w:val="none" w:sz="0" w:space="0" w:color="auto"/>
        <w:right w:val="none" w:sz="0" w:space="0" w:color="auto"/>
      </w:divBdr>
    </w:div>
    <w:div w:id="561217317">
      <w:bodyDiv w:val="1"/>
      <w:marLeft w:val="0"/>
      <w:marRight w:val="0"/>
      <w:marTop w:val="0"/>
      <w:marBottom w:val="0"/>
      <w:divBdr>
        <w:top w:val="none" w:sz="0" w:space="0" w:color="auto"/>
        <w:left w:val="none" w:sz="0" w:space="0" w:color="auto"/>
        <w:bottom w:val="none" w:sz="0" w:space="0" w:color="auto"/>
        <w:right w:val="none" w:sz="0" w:space="0" w:color="auto"/>
      </w:divBdr>
    </w:div>
    <w:div w:id="1009062356">
      <w:bodyDiv w:val="1"/>
      <w:marLeft w:val="0"/>
      <w:marRight w:val="0"/>
      <w:marTop w:val="0"/>
      <w:marBottom w:val="0"/>
      <w:divBdr>
        <w:top w:val="none" w:sz="0" w:space="0" w:color="auto"/>
        <w:left w:val="none" w:sz="0" w:space="0" w:color="auto"/>
        <w:bottom w:val="none" w:sz="0" w:space="0" w:color="auto"/>
        <w:right w:val="none" w:sz="0" w:space="0" w:color="auto"/>
      </w:divBdr>
    </w:div>
    <w:div w:id="1262764278">
      <w:marLeft w:val="0"/>
      <w:marRight w:val="0"/>
      <w:marTop w:val="0"/>
      <w:marBottom w:val="0"/>
      <w:divBdr>
        <w:top w:val="none" w:sz="0" w:space="0" w:color="auto"/>
        <w:left w:val="none" w:sz="0" w:space="0" w:color="auto"/>
        <w:bottom w:val="none" w:sz="0" w:space="0" w:color="auto"/>
        <w:right w:val="none" w:sz="0" w:space="0" w:color="auto"/>
      </w:divBdr>
    </w:div>
    <w:div w:id="1262764304">
      <w:marLeft w:val="0"/>
      <w:marRight w:val="0"/>
      <w:marTop w:val="0"/>
      <w:marBottom w:val="0"/>
      <w:divBdr>
        <w:top w:val="none" w:sz="0" w:space="0" w:color="auto"/>
        <w:left w:val="none" w:sz="0" w:space="0" w:color="auto"/>
        <w:bottom w:val="none" w:sz="0" w:space="0" w:color="auto"/>
        <w:right w:val="none" w:sz="0" w:space="0" w:color="auto"/>
      </w:divBdr>
      <w:divsChild>
        <w:div w:id="1262764351">
          <w:marLeft w:val="0"/>
          <w:marRight w:val="0"/>
          <w:marTop w:val="0"/>
          <w:marBottom w:val="0"/>
          <w:divBdr>
            <w:top w:val="none" w:sz="0" w:space="0" w:color="auto"/>
            <w:left w:val="none" w:sz="0" w:space="0" w:color="auto"/>
            <w:bottom w:val="none" w:sz="0" w:space="0" w:color="auto"/>
            <w:right w:val="none" w:sz="0" w:space="0" w:color="auto"/>
          </w:divBdr>
          <w:divsChild>
            <w:div w:id="1262764265">
              <w:marLeft w:val="0"/>
              <w:marRight w:val="0"/>
              <w:marTop w:val="0"/>
              <w:marBottom w:val="0"/>
              <w:divBdr>
                <w:top w:val="none" w:sz="0" w:space="0" w:color="auto"/>
                <w:left w:val="none" w:sz="0" w:space="0" w:color="auto"/>
                <w:bottom w:val="none" w:sz="0" w:space="0" w:color="auto"/>
                <w:right w:val="none" w:sz="0" w:space="0" w:color="auto"/>
              </w:divBdr>
            </w:div>
            <w:div w:id="1262764273">
              <w:marLeft w:val="0"/>
              <w:marRight w:val="0"/>
              <w:marTop w:val="0"/>
              <w:marBottom w:val="0"/>
              <w:divBdr>
                <w:top w:val="none" w:sz="0" w:space="0" w:color="auto"/>
                <w:left w:val="none" w:sz="0" w:space="0" w:color="auto"/>
                <w:bottom w:val="none" w:sz="0" w:space="0" w:color="auto"/>
                <w:right w:val="none" w:sz="0" w:space="0" w:color="auto"/>
              </w:divBdr>
            </w:div>
            <w:div w:id="1262764274">
              <w:marLeft w:val="0"/>
              <w:marRight w:val="0"/>
              <w:marTop w:val="0"/>
              <w:marBottom w:val="0"/>
              <w:divBdr>
                <w:top w:val="none" w:sz="0" w:space="0" w:color="auto"/>
                <w:left w:val="none" w:sz="0" w:space="0" w:color="auto"/>
                <w:bottom w:val="none" w:sz="0" w:space="0" w:color="auto"/>
                <w:right w:val="none" w:sz="0" w:space="0" w:color="auto"/>
              </w:divBdr>
            </w:div>
            <w:div w:id="1262764280">
              <w:marLeft w:val="0"/>
              <w:marRight w:val="0"/>
              <w:marTop w:val="0"/>
              <w:marBottom w:val="0"/>
              <w:divBdr>
                <w:top w:val="none" w:sz="0" w:space="0" w:color="auto"/>
                <w:left w:val="none" w:sz="0" w:space="0" w:color="auto"/>
                <w:bottom w:val="none" w:sz="0" w:space="0" w:color="auto"/>
                <w:right w:val="none" w:sz="0" w:space="0" w:color="auto"/>
              </w:divBdr>
            </w:div>
            <w:div w:id="1262764281">
              <w:marLeft w:val="0"/>
              <w:marRight w:val="0"/>
              <w:marTop w:val="0"/>
              <w:marBottom w:val="0"/>
              <w:divBdr>
                <w:top w:val="none" w:sz="0" w:space="0" w:color="auto"/>
                <w:left w:val="none" w:sz="0" w:space="0" w:color="auto"/>
                <w:bottom w:val="none" w:sz="0" w:space="0" w:color="auto"/>
                <w:right w:val="none" w:sz="0" w:space="0" w:color="auto"/>
              </w:divBdr>
            </w:div>
            <w:div w:id="1262764282">
              <w:marLeft w:val="0"/>
              <w:marRight w:val="0"/>
              <w:marTop w:val="0"/>
              <w:marBottom w:val="0"/>
              <w:divBdr>
                <w:top w:val="none" w:sz="0" w:space="0" w:color="auto"/>
                <w:left w:val="none" w:sz="0" w:space="0" w:color="auto"/>
                <w:bottom w:val="none" w:sz="0" w:space="0" w:color="auto"/>
                <w:right w:val="none" w:sz="0" w:space="0" w:color="auto"/>
              </w:divBdr>
            </w:div>
            <w:div w:id="1262764288">
              <w:marLeft w:val="0"/>
              <w:marRight w:val="0"/>
              <w:marTop w:val="0"/>
              <w:marBottom w:val="0"/>
              <w:divBdr>
                <w:top w:val="none" w:sz="0" w:space="0" w:color="auto"/>
                <w:left w:val="none" w:sz="0" w:space="0" w:color="auto"/>
                <w:bottom w:val="none" w:sz="0" w:space="0" w:color="auto"/>
                <w:right w:val="none" w:sz="0" w:space="0" w:color="auto"/>
              </w:divBdr>
            </w:div>
            <w:div w:id="1262764291">
              <w:marLeft w:val="0"/>
              <w:marRight w:val="0"/>
              <w:marTop w:val="0"/>
              <w:marBottom w:val="0"/>
              <w:divBdr>
                <w:top w:val="none" w:sz="0" w:space="0" w:color="auto"/>
                <w:left w:val="none" w:sz="0" w:space="0" w:color="auto"/>
                <w:bottom w:val="none" w:sz="0" w:space="0" w:color="auto"/>
                <w:right w:val="none" w:sz="0" w:space="0" w:color="auto"/>
              </w:divBdr>
            </w:div>
            <w:div w:id="1262764293">
              <w:marLeft w:val="0"/>
              <w:marRight w:val="0"/>
              <w:marTop w:val="0"/>
              <w:marBottom w:val="0"/>
              <w:divBdr>
                <w:top w:val="none" w:sz="0" w:space="0" w:color="auto"/>
                <w:left w:val="none" w:sz="0" w:space="0" w:color="auto"/>
                <w:bottom w:val="none" w:sz="0" w:space="0" w:color="auto"/>
                <w:right w:val="none" w:sz="0" w:space="0" w:color="auto"/>
              </w:divBdr>
            </w:div>
            <w:div w:id="1262764295">
              <w:marLeft w:val="0"/>
              <w:marRight w:val="0"/>
              <w:marTop w:val="0"/>
              <w:marBottom w:val="0"/>
              <w:divBdr>
                <w:top w:val="none" w:sz="0" w:space="0" w:color="auto"/>
                <w:left w:val="none" w:sz="0" w:space="0" w:color="auto"/>
                <w:bottom w:val="none" w:sz="0" w:space="0" w:color="auto"/>
                <w:right w:val="none" w:sz="0" w:space="0" w:color="auto"/>
              </w:divBdr>
            </w:div>
            <w:div w:id="1262764305">
              <w:marLeft w:val="0"/>
              <w:marRight w:val="0"/>
              <w:marTop w:val="0"/>
              <w:marBottom w:val="0"/>
              <w:divBdr>
                <w:top w:val="none" w:sz="0" w:space="0" w:color="auto"/>
                <w:left w:val="none" w:sz="0" w:space="0" w:color="auto"/>
                <w:bottom w:val="none" w:sz="0" w:space="0" w:color="auto"/>
                <w:right w:val="none" w:sz="0" w:space="0" w:color="auto"/>
              </w:divBdr>
            </w:div>
            <w:div w:id="1262764309">
              <w:marLeft w:val="0"/>
              <w:marRight w:val="0"/>
              <w:marTop w:val="0"/>
              <w:marBottom w:val="0"/>
              <w:divBdr>
                <w:top w:val="none" w:sz="0" w:space="0" w:color="auto"/>
                <w:left w:val="none" w:sz="0" w:space="0" w:color="auto"/>
                <w:bottom w:val="none" w:sz="0" w:space="0" w:color="auto"/>
                <w:right w:val="none" w:sz="0" w:space="0" w:color="auto"/>
              </w:divBdr>
            </w:div>
            <w:div w:id="1262764330">
              <w:marLeft w:val="0"/>
              <w:marRight w:val="0"/>
              <w:marTop w:val="0"/>
              <w:marBottom w:val="0"/>
              <w:divBdr>
                <w:top w:val="none" w:sz="0" w:space="0" w:color="auto"/>
                <w:left w:val="none" w:sz="0" w:space="0" w:color="auto"/>
                <w:bottom w:val="none" w:sz="0" w:space="0" w:color="auto"/>
                <w:right w:val="none" w:sz="0" w:space="0" w:color="auto"/>
              </w:divBdr>
            </w:div>
            <w:div w:id="1262764332">
              <w:marLeft w:val="0"/>
              <w:marRight w:val="0"/>
              <w:marTop w:val="0"/>
              <w:marBottom w:val="0"/>
              <w:divBdr>
                <w:top w:val="none" w:sz="0" w:space="0" w:color="auto"/>
                <w:left w:val="none" w:sz="0" w:space="0" w:color="auto"/>
                <w:bottom w:val="none" w:sz="0" w:space="0" w:color="auto"/>
                <w:right w:val="none" w:sz="0" w:space="0" w:color="auto"/>
              </w:divBdr>
            </w:div>
            <w:div w:id="1262764333">
              <w:marLeft w:val="0"/>
              <w:marRight w:val="0"/>
              <w:marTop w:val="0"/>
              <w:marBottom w:val="0"/>
              <w:divBdr>
                <w:top w:val="none" w:sz="0" w:space="0" w:color="auto"/>
                <w:left w:val="none" w:sz="0" w:space="0" w:color="auto"/>
                <w:bottom w:val="none" w:sz="0" w:space="0" w:color="auto"/>
                <w:right w:val="none" w:sz="0" w:space="0" w:color="auto"/>
              </w:divBdr>
            </w:div>
            <w:div w:id="1262764334">
              <w:marLeft w:val="0"/>
              <w:marRight w:val="0"/>
              <w:marTop w:val="0"/>
              <w:marBottom w:val="0"/>
              <w:divBdr>
                <w:top w:val="none" w:sz="0" w:space="0" w:color="auto"/>
                <w:left w:val="none" w:sz="0" w:space="0" w:color="auto"/>
                <w:bottom w:val="none" w:sz="0" w:space="0" w:color="auto"/>
                <w:right w:val="none" w:sz="0" w:space="0" w:color="auto"/>
              </w:divBdr>
            </w:div>
            <w:div w:id="1262764336">
              <w:marLeft w:val="0"/>
              <w:marRight w:val="0"/>
              <w:marTop w:val="0"/>
              <w:marBottom w:val="0"/>
              <w:divBdr>
                <w:top w:val="none" w:sz="0" w:space="0" w:color="auto"/>
                <w:left w:val="none" w:sz="0" w:space="0" w:color="auto"/>
                <w:bottom w:val="none" w:sz="0" w:space="0" w:color="auto"/>
                <w:right w:val="none" w:sz="0" w:space="0" w:color="auto"/>
              </w:divBdr>
            </w:div>
            <w:div w:id="1262764342">
              <w:marLeft w:val="0"/>
              <w:marRight w:val="0"/>
              <w:marTop w:val="0"/>
              <w:marBottom w:val="0"/>
              <w:divBdr>
                <w:top w:val="none" w:sz="0" w:space="0" w:color="auto"/>
                <w:left w:val="none" w:sz="0" w:space="0" w:color="auto"/>
                <w:bottom w:val="none" w:sz="0" w:space="0" w:color="auto"/>
                <w:right w:val="none" w:sz="0" w:space="0" w:color="auto"/>
              </w:divBdr>
            </w:div>
            <w:div w:id="1262764343">
              <w:marLeft w:val="0"/>
              <w:marRight w:val="0"/>
              <w:marTop w:val="0"/>
              <w:marBottom w:val="0"/>
              <w:divBdr>
                <w:top w:val="none" w:sz="0" w:space="0" w:color="auto"/>
                <w:left w:val="none" w:sz="0" w:space="0" w:color="auto"/>
                <w:bottom w:val="none" w:sz="0" w:space="0" w:color="auto"/>
                <w:right w:val="none" w:sz="0" w:space="0" w:color="auto"/>
              </w:divBdr>
            </w:div>
            <w:div w:id="1262764347">
              <w:marLeft w:val="0"/>
              <w:marRight w:val="0"/>
              <w:marTop w:val="0"/>
              <w:marBottom w:val="0"/>
              <w:divBdr>
                <w:top w:val="none" w:sz="0" w:space="0" w:color="auto"/>
                <w:left w:val="none" w:sz="0" w:space="0" w:color="auto"/>
                <w:bottom w:val="none" w:sz="0" w:space="0" w:color="auto"/>
                <w:right w:val="none" w:sz="0" w:space="0" w:color="auto"/>
              </w:divBdr>
            </w:div>
            <w:div w:id="1262764348">
              <w:marLeft w:val="0"/>
              <w:marRight w:val="0"/>
              <w:marTop w:val="0"/>
              <w:marBottom w:val="0"/>
              <w:divBdr>
                <w:top w:val="none" w:sz="0" w:space="0" w:color="auto"/>
                <w:left w:val="none" w:sz="0" w:space="0" w:color="auto"/>
                <w:bottom w:val="none" w:sz="0" w:space="0" w:color="auto"/>
                <w:right w:val="none" w:sz="0" w:space="0" w:color="auto"/>
              </w:divBdr>
            </w:div>
            <w:div w:id="1262764349">
              <w:marLeft w:val="0"/>
              <w:marRight w:val="0"/>
              <w:marTop w:val="0"/>
              <w:marBottom w:val="0"/>
              <w:divBdr>
                <w:top w:val="none" w:sz="0" w:space="0" w:color="auto"/>
                <w:left w:val="none" w:sz="0" w:space="0" w:color="auto"/>
                <w:bottom w:val="none" w:sz="0" w:space="0" w:color="auto"/>
                <w:right w:val="none" w:sz="0" w:space="0" w:color="auto"/>
              </w:divBdr>
            </w:div>
            <w:div w:id="1262764350">
              <w:marLeft w:val="0"/>
              <w:marRight w:val="0"/>
              <w:marTop w:val="0"/>
              <w:marBottom w:val="0"/>
              <w:divBdr>
                <w:top w:val="none" w:sz="0" w:space="0" w:color="auto"/>
                <w:left w:val="none" w:sz="0" w:space="0" w:color="auto"/>
                <w:bottom w:val="none" w:sz="0" w:space="0" w:color="auto"/>
                <w:right w:val="none" w:sz="0" w:space="0" w:color="auto"/>
              </w:divBdr>
            </w:div>
            <w:div w:id="1262764356">
              <w:marLeft w:val="0"/>
              <w:marRight w:val="0"/>
              <w:marTop w:val="0"/>
              <w:marBottom w:val="0"/>
              <w:divBdr>
                <w:top w:val="none" w:sz="0" w:space="0" w:color="auto"/>
                <w:left w:val="none" w:sz="0" w:space="0" w:color="auto"/>
                <w:bottom w:val="none" w:sz="0" w:space="0" w:color="auto"/>
                <w:right w:val="none" w:sz="0" w:space="0" w:color="auto"/>
              </w:divBdr>
            </w:div>
            <w:div w:id="1262764361">
              <w:marLeft w:val="0"/>
              <w:marRight w:val="0"/>
              <w:marTop w:val="0"/>
              <w:marBottom w:val="0"/>
              <w:divBdr>
                <w:top w:val="none" w:sz="0" w:space="0" w:color="auto"/>
                <w:left w:val="none" w:sz="0" w:space="0" w:color="auto"/>
                <w:bottom w:val="none" w:sz="0" w:space="0" w:color="auto"/>
                <w:right w:val="none" w:sz="0" w:space="0" w:color="auto"/>
              </w:divBdr>
            </w:div>
            <w:div w:id="1262764370">
              <w:marLeft w:val="0"/>
              <w:marRight w:val="0"/>
              <w:marTop w:val="0"/>
              <w:marBottom w:val="0"/>
              <w:divBdr>
                <w:top w:val="none" w:sz="0" w:space="0" w:color="auto"/>
                <w:left w:val="none" w:sz="0" w:space="0" w:color="auto"/>
                <w:bottom w:val="none" w:sz="0" w:space="0" w:color="auto"/>
                <w:right w:val="none" w:sz="0" w:space="0" w:color="auto"/>
              </w:divBdr>
            </w:div>
            <w:div w:id="1262764379">
              <w:marLeft w:val="0"/>
              <w:marRight w:val="0"/>
              <w:marTop w:val="0"/>
              <w:marBottom w:val="0"/>
              <w:divBdr>
                <w:top w:val="none" w:sz="0" w:space="0" w:color="auto"/>
                <w:left w:val="none" w:sz="0" w:space="0" w:color="auto"/>
                <w:bottom w:val="none" w:sz="0" w:space="0" w:color="auto"/>
                <w:right w:val="none" w:sz="0" w:space="0" w:color="auto"/>
              </w:divBdr>
            </w:div>
            <w:div w:id="1262764381">
              <w:marLeft w:val="0"/>
              <w:marRight w:val="0"/>
              <w:marTop w:val="0"/>
              <w:marBottom w:val="0"/>
              <w:divBdr>
                <w:top w:val="none" w:sz="0" w:space="0" w:color="auto"/>
                <w:left w:val="none" w:sz="0" w:space="0" w:color="auto"/>
                <w:bottom w:val="none" w:sz="0" w:space="0" w:color="auto"/>
                <w:right w:val="none" w:sz="0" w:space="0" w:color="auto"/>
              </w:divBdr>
            </w:div>
            <w:div w:id="1262764383">
              <w:marLeft w:val="0"/>
              <w:marRight w:val="0"/>
              <w:marTop w:val="0"/>
              <w:marBottom w:val="0"/>
              <w:divBdr>
                <w:top w:val="none" w:sz="0" w:space="0" w:color="auto"/>
                <w:left w:val="none" w:sz="0" w:space="0" w:color="auto"/>
                <w:bottom w:val="none" w:sz="0" w:space="0" w:color="auto"/>
                <w:right w:val="none" w:sz="0" w:space="0" w:color="auto"/>
              </w:divBdr>
            </w:div>
            <w:div w:id="1262764384">
              <w:marLeft w:val="0"/>
              <w:marRight w:val="0"/>
              <w:marTop w:val="0"/>
              <w:marBottom w:val="0"/>
              <w:divBdr>
                <w:top w:val="none" w:sz="0" w:space="0" w:color="auto"/>
                <w:left w:val="none" w:sz="0" w:space="0" w:color="auto"/>
                <w:bottom w:val="none" w:sz="0" w:space="0" w:color="auto"/>
                <w:right w:val="none" w:sz="0" w:space="0" w:color="auto"/>
              </w:divBdr>
            </w:div>
            <w:div w:id="1262764385">
              <w:marLeft w:val="0"/>
              <w:marRight w:val="0"/>
              <w:marTop w:val="0"/>
              <w:marBottom w:val="0"/>
              <w:divBdr>
                <w:top w:val="none" w:sz="0" w:space="0" w:color="auto"/>
                <w:left w:val="none" w:sz="0" w:space="0" w:color="auto"/>
                <w:bottom w:val="none" w:sz="0" w:space="0" w:color="auto"/>
                <w:right w:val="none" w:sz="0" w:space="0" w:color="auto"/>
              </w:divBdr>
            </w:div>
            <w:div w:id="1262764392">
              <w:marLeft w:val="0"/>
              <w:marRight w:val="0"/>
              <w:marTop w:val="0"/>
              <w:marBottom w:val="0"/>
              <w:divBdr>
                <w:top w:val="none" w:sz="0" w:space="0" w:color="auto"/>
                <w:left w:val="none" w:sz="0" w:space="0" w:color="auto"/>
                <w:bottom w:val="none" w:sz="0" w:space="0" w:color="auto"/>
                <w:right w:val="none" w:sz="0" w:space="0" w:color="auto"/>
              </w:divBdr>
            </w:div>
            <w:div w:id="12627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4317">
      <w:marLeft w:val="0"/>
      <w:marRight w:val="0"/>
      <w:marTop w:val="0"/>
      <w:marBottom w:val="0"/>
      <w:divBdr>
        <w:top w:val="none" w:sz="0" w:space="0" w:color="auto"/>
        <w:left w:val="none" w:sz="0" w:space="0" w:color="auto"/>
        <w:bottom w:val="none" w:sz="0" w:space="0" w:color="auto"/>
        <w:right w:val="none" w:sz="0" w:space="0" w:color="auto"/>
      </w:divBdr>
      <w:divsChild>
        <w:div w:id="1262764270">
          <w:marLeft w:val="0"/>
          <w:marRight w:val="0"/>
          <w:marTop w:val="0"/>
          <w:marBottom w:val="0"/>
          <w:divBdr>
            <w:top w:val="none" w:sz="0" w:space="0" w:color="auto"/>
            <w:left w:val="none" w:sz="0" w:space="0" w:color="auto"/>
            <w:bottom w:val="none" w:sz="0" w:space="0" w:color="auto"/>
            <w:right w:val="none" w:sz="0" w:space="0" w:color="auto"/>
          </w:divBdr>
        </w:div>
        <w:div w:id="1262764271">
          <w:marLeft w:val="0"/>
          <w:marRight w:val="0"/>
          <w:marTop w:val="0"/>
          <w:marBottom w:val="0"/>
          <w:divBdr>
            <w:top w:val="none" w:sz="0" w:space="0" w:color="auto"/>
            <w:left w:val="none" w:sz="0" w:space="0" w:color="auto"/>
            <w:bottom w:val="none" w:sz="0" w:space="0" w:color="auto"/>
            <w:right w:val="none" w:sz="0" w:space="0" w:color="auto"/>
          </w:divBdr>
        </w:div>
        <w:div w:id="1262764289">
          <w:marLeft w:val="0"/>
          <w:marRight w:val="0"/>
          <w:marTop w:val="0"/>
          <w:marBottom w:val="0"/>
          <w:divBdr>
            <w:top w:val="none" w:sz="0" w:space="0" w:color="auto"/>
            <w:left w:val="none" w:sz="0" w:space="0" w:color="auto"/>
            <w:bottom w:val="none" w:sz="0" w:space="0" w:color="auto"/>
            <w:right w:val="none" w:sz="0" w:space="0" w:color="auto"/>
          </w:divBdr>
        </w:div>
        <w:div w:id="1262764307">
          <w:marLeft w:val="0"/>
          <w:marRight w:val="0"/>
          <w:marTop w:val="0"/>
          <w:marBottom w:val="0"/>
          <w:divBdr>
            <w:top w:val="none" w:sz="0" w:space="0" w:color="auto"/>
            <w:left w:val="none" w:sz="0" w:space="0" w:color="auto"/>
            <w:bottom w:val="none" w:sz="0" w:space="0" w:color="auto"/>
            <w:right w:val="none" w:sz="0" w:space="0" w:color="auto"/>
          </w:divBdr>
        </w:div>
        <w:div w:id="1262764353">
          <w:marLeft w:val="0"/>
          <w:marRight w:val="0"/>
          <w:marTop w:val="0"/>
          <w:marBottom w:val="0"/>
          <w:divBdr>
            <w:top w:val="none" w:sz="0" w:space="0" w:color="auto"/>
            <w:left w:val="none" w:sz="0" w:space="0" w:color="auto"/>
            <w:bottom w:val="none" w:sz="0" w:space="0" w:color="auto"/>
            <w:right w:val="none" w:sz="0" w:space="0" w:color="auto"/>
          </w:divBdr>
        </w:div>
        <w:div w:id="1262764357">
          <w:marLeft w:val="0"/>
          <w:marRight w:val="0"/>
          <w:marTop w:val="0"/>
          <w:marBottom w:val="0"/>
          <w:divBdr>
            <w:top w:val="none" w:sz="0" w:space="0" w:color="auto"/>
            <w:left w:val="none" w:sz="0" w:space="0" w:color="auto"/>
            <w:bottom w:val="none" w:sz="0" w:space="0" w:color="auto"/>
            <w:right w:val="none" w:sz="0" w:space="0" w:color="auto"/>
          </w:divBdr>
        </w:div>
        <w:div w:id="1262764358">
          <w:marLeft w:val="0"/>
          <w:marRight w:val="0"/>
          <w:marTop w:val="0"/>
          <w:marBottom w:val="0"/>
          <w:divBdr>
            <w:top w:val="none" w:sz="0" w:space="0" w:color="auto"/>
            <w:left w:val="none" w:sz="0" w:space="0" w:color="auto"/>
            <w:bottom w:val="none" w:sz="0" w:space="0" w:color="auto"/>
            <w:right w:val="none" w:sz="0" w:space="0" w:color="auto"/>
          </w:divBdr>
        </w:div>
        <w:div w:id="1262764388">
          <w:marLeft w:val="0"/>
          <w:marRight w:val="0"/>
          <w:marTop w:val="0"/>
          <w:marBottom w:val="0"/>
          <w:divBdr>
            <w:top w:val="none" w:sz="0" w:space="0" w:color="auto"/>
            <w:left w:val="none" w:sz="0" w:space="0" w:color="auto"/>
            <w:bottom w:val="none" w:sz="0" w:space="0" w:color="auto"/>
            <w:right w:val="none" w:sz="0" w:space="0" w:color="auto"/>
          </w:divBdr>
        </w:div>
      </w:divsChild>
    </w:div>
    <w:div w:id="1262764327">
      <w:marLeft w:val="0"/>
      <w:marRight w:val="0"/>
      <w:marTop w:val="0"/>
      <w:marBottom w:val="0"/>
      <w:divBdr>
        <w:top w:val="none" w:sz="0" w:space="0" w:color="auto"/>
        <w:left w:val="none" w:sz="0" w:space="0" w:color="auto"/>
        <w:bottom w:val="none" w:sz="0" w:space="0" w:color="auto"/>
        <w:right w:val="none" w:sz="0" w:space="0" w:color="auto"/>
      </w:divBdr>
    </w:div>
    <w:div w:id="1262764391">
      <w:marLeft w:val="0"/>
      <w:marRight w:val="0"/>
      <w:marTop w:val="0"/>
      <w:marBottom w:val="0"/>
      <w:divBdr>
        <w:top w:val="none" w:sz="0" w:space="0" w:color="auto"/>
        <w:left w:val="none" w:sz="0" w:space="0" w:color="auto"/>
        <w:bottom w:val="none" w:sz="0" w:space="0" w:color="auto"/>
        <w:right w:val="none" w:sz="0" w:space="0" w:color="auto"/>
      </w:divBdr>
      <w:divsChild>
        <w:div w:id="1262764266">
          <w:marLeft w:val="0"/>
          <w:marRight w:val="0"/>
          <w:marTop w:val="0"/>
          <w:marBottom w:val="0"/>
          <w:divBdr>
            <w:top w:val="none" w:sz="0" w:space="0" w:color="auto"/>
            <w:left w:val="none" w:sz="0" w:space="0" w:color="auto"/>
            <w:bottom w:val="none" w:sz="0" w:space="0" w:color="auto"/>
            <w:right w:val="none" w:sz="0" w:space="0" w:color="auto"/>
          </w:divBdr>
        </w:div>
        <w:div w:id="1262764267">
          <w:marLeft w:val="0"/>
          <w:marRight w:val="0"/>
          <w:marTop w:val="0"/>
          <w:marBottom w:val="0"/>
          <w:divBdr>
            <w:top w:val="none" w:sz="0" w:space="0" w:color="auto"/>
            <w:left w:val="none" w:sz="0" w:space="0" w:color="auto"/>
            <w:bottom w:val="none" w:sz="0" w:space="0" w:color="auto"/>
            <w:right w:val="none" w:sz="0" w:space="0" w:color="auto"/>
          </w:divBdr>
        </w:div>
        <w:div w:id="1262764268">
          <w:marLeft w:val="0"/>
          <w:marRight w:val="0"/>
          <w:marTop w:val="0"/>
          <w:marBottom w:val="0"/>
          <w:divBdr>
            <w:top w:val="none" w:sz="0" w:space="0" w:color="auto"/>
            <w:left w:val="none" w:sz="0" w:space="0" w:color="auto"/>
            <w:bottom w:val="none" w:sz="0" w:space="0" w:color="auto"/>
            <w:right w:val="none" w:sz="0" w:space="0" w:color="auto"/>
          </w:divBdr>
        </w:div>
        <w:div w:id="1262764269">
          <w:marLeft w:val="0"/>
          <w:marRight w:val="0"/>
          <w:marTop w:val="0"/>
          <w:marBottom w:val="0"/>
          <w:divBdr>
            <w:top w:val="none" w:sz="0" w:space="0" w:color="auto"/>
            <w:left w:val="none" w:sz="0" w:space="0" w:color="auto"/>
            <w:bottom w:val="none" w:sz="0" w:space="0" w:color="auto"/>
            <w:right w:val="none" w:sz="0" w:space="0" w:color="auto"/>
          </w:divBdr>
        </w:div>
        <w:div w:id="1262764272">
          <w:marLeft w:val="0"/>
          <w:marRight w:val="0"/>
          <w:marTop w:val="0"/>
          <w:marBottom w:val="0"/>
          <w:divBdr>
            <w:top w:val="none" w:sz="0" w:space="0" w:color="auto"/>
            <w:left w:val="none" w:sz="0" w:space="0" w:color="auto"/>
            <w:bottom w:val="none" w:sz="0" w:space="0" w:color="auto"/>
            <w:right w:val="none" w:sz="0" w:space="0" w:color="auto"/>
          </w:divBdr>
        </w:div>
        <w:div w:id="1262764275">
          <w:marLeft w:val="0"/>
          <w:marRight w:val="0"/>
          <w:marTop w:val="0"/>
          <w:marBottom w:val="0"/>
          <w:divBdr>
            <w:top w:val="none" w:sz="0" w:space="0" w:color="auto"/>
            <w:left w:val="none" w:sz="0" w:space="0" w:color="auto"/>
            <w:bottom w:val="none" w:sz="0" w:space="0" w:color="auto"/>
            <w:right w:val="none" w:sz="0" w:space="0" w:color="auto"/>
          </w:divBdr>
        </w:div>
        <w:div w:id="1262764276">
          <w:marLeft w:val="0"/>
          <w:marRight w:val="0"/>
          <w:marTop w:val="0"/>
          <w:marBottom w:val="0"/>
          <w:divBdr>
            <w:top w:val="none" w:sz="0" w:space="0" w:color="auto"/>
            <w:left w:val="none" w:sz="0" w:space="0" w:color="auto"/>
            <w:bottom w:val="none" w:sz="0" w:space="0" w:color="auto"/>
            <w:right w:val="none" w:sz="0" w:space="0" w:color="auto"/>
          </w:divBdr>
        </w:div>
        <w:div w:id="1262764277">
          <w:marLeft w:val="0"/>
          <w:marRight w:val="0"/>
          <w:marTop w:val="0"/>
          <w:marBottom w:val="0"/>
          <w:divBdr>
            <w:top w:val="none" w:sz="0" w:space="0" w:color="auto"/>
            <w:left w:val="none" w:sz="0" w:space="0" w:color="auto"/>
            <w:bottom w:val="none" w:sz="0" w:space="0" w:color="auto"/>
            <w:right w:val="none" w:sz="0" w:space="0" w:color="auto"/>
          </w:divBdr>
        </w:div>
        <w:div w:id="1262764279">
          <w:marLeft w:val="0"/>
          <w:marRight w:val="0"/>
          <w:marTop w:val="0"/>
          <w:marBottom w:val="0"/>
          <w:divBdr>
            <w:top w:val="none" w:sz="0" w:space="0" w:color="auto"/>
            <w:left w:val="none" w:sz="0" w:space="0" w:color="auto"/>
            <w:bottom w:val="none" w:sz="0" w:space="0" w:color="auto"/>
            <w:right w:val="none" w:sz="0" w:space="0" w:color="auto"/>
          </w:divBdr>
        </w:div>
        <w:div w:id="1262764283">
          <w:marLeft w:val="0"/>
          <w:marRight w:val="0"/>
          <w:marTop w:val="0"/>
          <w:marBottom w:val="0"/>
          <w:divBdr>
            <w:top w:val="none" w:sz="0" w:space="0" w:color="auto"/>
            <w:left w:val="none" w:sz="0" w:space="0" w:color="auto"/>
            <w:bottom w:val="none" w:sz="0" w:space="0" w:color="auto"/>
            <w:right w:val="none" w:sz="0" w:space="0" w:color="auto"/>
          </w:divBdr>
        </w:div>
        <w:div w:id="1262764284">
          <w:marLeft w:val="0"/>
          <w:marRight w:val="0"/>
          <w:marTop w:val="0"/>
          <w:marBottom w:val="0"/>
          <w:divBdr>
            <w:top w:val="none" w:sz="0" w:space="0" w:color="auto"/>
            <w:left w:val="none" w:sz="0" w:space="0" w:color="auto"/>
            <w:bottom w:val="none" w:sz="0" w:space="0" w:color="auto"/>
            <w:right w:val="none" w:sz="0" w:space="0" w:color="auto"/>
          </w:divBdr>
        </w:div>
        <w:div w:id="1262764285">
          <w:marLeft w:val="0"/>
          <w:marRight w:val="0"/>
          <w:marTop w:val="0"/>
          <w:marBottom w:val="0"/>
          <w:divBdr>
            <w:top w:val="none" w:sz="0" w:space="0" w:color="auto"/>
            <w:left w:val="none" w:sz="0" w:space="0" w:color="auto"/>
            <w:bottom w:val="none" w:sz="0" w:space="0" w:color="auto"/>
            <w:right w:val="none" w:sz="0" w:space="0" w:color="auto"/>
          </w:divBdr>
        </w:div>
        <w:div w:id="1262764286">
          <w:marLeft w:val="0"/>
          <w:marRight w:val="0"/>
          <w:marTop w:val="0"/>
          <w:marBottom w:val="0"/>
          <w:divBdr>
            <w:top w:val="none" w:sz="0" w:space="0" w:color="auto"/>
            <w:left w:val="none" w:sz="0" w:space="0" w:color="auto"/>
            <w:bottom w:val="none" w:sz="0" w:space="0" w:color="auto"/>
            <w:right w:val="none" w:sz="0" w:space="0" w:color="auto"/>
          </w:divBdr>
        </w:div>
        <w:div w:id="1262764287">
          <w:marLeft w:val="0"/>
          <w:marRight w:val="0"/>
          <w:marTop w:val="0"/>
          <w:marBottom w:val="0"/>
          <w:divBdr>
            <w:top w:val="none" w:sz="0" w:space="0" w:color="auto"/>
            <w:left w:val="none" w:sz="0" w:space="0" w:color="auto"/>
            <w:bottom w:val="none" w:sz="0" w:space="0" w:color="auto"/>
            <w:right w:val="none" w:sz="0" w:space="0" w:color="auto"/>
          </w:divBdr>
        </w:div>
        <w:div w:id="1262764290">
          <w:marLeft w:val="0"/>
          <w:marRight w:val="0"/>
          <w:marTop w:val="0"/>
          <w:marBottom w:val="0"/>
          <w:divBdr>
            <w:top w:val="none" w:sz="0" w:space="0" w:color="auto"/>
            <w:left w:val="none" w:sz="0" w:space="0" w:color="auto"/>
            <w:bottom w:val="none" w:sz="0" w:space="0" w:color="auto"/>
            <w:right w:val="none" w:sz="0" w:space="0" w:color="auto"/>
          </w:divBdr>
        </w:div>
        <w:div w:id="1262764292">
          <w:marLeft w:val="0"/>
          <w:marRight w:val="0"/>
          <w:marTop w:val="0"/>
          <w:marBottom w:val="0"/>
          <w:divBdr>
            <w:top w:val="none" w:sz="0" w:space="0" w:color="auto"/>
            <w:left w:val="none" w:sz="0" w:space="0" w:color="auto"/>
            <w:bottom w:val="none" w:sz="0" w:space="0" w:color="auto"/>
            <w:right w:val="none" w:sz="0" w:space="0" w:color="auto"/>
          </w:divBdr>
        </w:div>
        <w:div w:id="1262764294">
          <w:marLeft w:val="0"/>
          <w:marRight w:val="0"/>
          <w:marTop w:val="0"/>
          <w:marBottom w:val="0"/>
          <w:divBdr>
            <w:top w:val="none" w:sz="0" w:space="0" w:color="auto"/>
            <w:left w:val="none" w:sz="0" w:space="0" w:color="auto"/>
            <w:bottom w:val="none" w:sz="0" w:space="0" w:color="auto"/>
            <w:right w:val="none" w:sz="0" w:space="0" w:color="auto"/>
          </w:divBdr>
        </w:div>
        <w:div w:id="1262764296">
          <w:marLeft w:val="0"/>
          <w:marRight w:val="0"/>
          <w:marTop w:val="0"/>
          <w:marBottom w:val="0"/>
          <w:divBdr>
            <w:top w:val="none" w:sz="0" w:space="0" w:color="auto"/>
            <w:left w:val="none" w:sz="0" w:space="0" w:color="auto"/>
            <w:bottom w:val="none" w:sz="0" w:space="0" w:color="auto"/>
            <w:right w:val="none" w:sz="0" w:space="0" w:color="auto"/>
          </w:divBdr>
        </w:div>
        <w:div w:id="1262764297">
          <w:marLeft w:val="0"/>
          <w:marRight w:val="0"/>
          <w:marTop w:val="0"/>
          <w:marBottom w:val="0"/>
          <w:divBdr>
            <w:top w:val="none" w:sz="0" w:space="0" w:color="auto"/>
            <w:left w:val="none" w:sz="0" w:space="0" w:color="auto"/>
            <w:bottom w:val="none" w:sz="0" w:space="0" w:color="auto"/>
            <w:right w:val="none" w:sz="0" w:space="0" w:color="auto"/>
          </w:divBdr>
        </w:div>
        <w:div w:id="1262764298">
          <w:marLeft w:val="0"/>
          <w:marRight w:val="0"/>
          <w:marTop w:val="0"/>
          <w:marBottom w:val="0"/>
          <w:divBdr>
            <w:top w:val="none" w:sz="0" w:space="0" w:color="auto"/>
            <w:left w:val="none" w:sz="0" w:space="0" w:color="auto"/>
            <w:bottom w:val="none" w:sz="0" w:space="0" w:color="auto"/>
            <w:right w:val="none" w:sz="0" w:space="0" w:color="auto"/>
          </w:divBdr>
        </w:div>
        <w:div w:id="1262764299">
          <w:marLeft w:val="0"/>
          <w:marRight w:val="0"/>
          <w:marTop w:val="0"/>
          <w:marBottom w:val="0"/>
          <w:divBdr>
            <w:top w:val="none" w:sz="0" w:space="0" w:color="auto"/>
            <w:left w:val="none" w:sz="0" w:space="0" w:color="auto"/>
            <w:bottom w:val="none" w:sz="0" w:space="0" w:color="auto"/>
            <w:right w:val="none" w:sz="0" w:space="0" w:color="auto"/>
          </w:divBdr>
        </w:div>
        <w:div w:id="1262764300">
          <w:marLeft w:val="0"/>
          <w:marRight w:val="0"/>
          <w:marTop w:val="0"/>
          <w:marBottom w:val="0"/>
          <w:divBdr>
            <w:top w:val="none" w:sz="0" w:space="0" w:color="auto"/>
            <w:left w:val="none" w:sz="0" w:space="0" w:color="auto"/>
            <w:bottom w:val="none" w:sz="0" w:space="0" w:color="auto"/>
            <w:right w:val="none" w:sz="0" w:space="0" w:color="auto"/>
          </w:divBdr>
        </w:div>
        <w:div w:id="1262764301">
          <w:marLeft w:val="0"/>
          <w:marRight w:val="0"/>
          <w:marTop w:val="0"/>
          <w:marBottom w:val="0"/>
          <w:divBdr>
            <w:top w:val="none" w:sz="0" w:space="0" w:color="auto"/>
            <w:left w:val="none" w:sz="0" w:space="0" w:color="auto"/>
            <w:bottom w:val="none" w:sz="0" w:space="0" w:color="auto"/>
            <w:right w:val="none" w:sz="0" w:space="0" w:color="auto"/>
          </w:divBdr>
        </w:div>
        <w:div w:id="1262764302">
          <w:marLeft w:val="0"/>
          <w:marRight w:val="0"/>
          <w:marTop w:val="0"/>
          <w:marBottom w:val="0"/>
          <w:divBdr>
            <w:top w:val="none" w:sz="0" w:space="0" w:color="auto"/>
            <w:left w:val="none" w:sz="0" w:space="0" w:color="auto"/>
            <w:bottom w:val="none" w:sz="0" w:space="0" w:color="auto"/>
            <w:right w:val="none" w:sz="0" w:space="0" w:color="auto"/>
          </w:divBdr>
        </w:div>
        <w:div w:id="1262764303">
          <w:marLeft w:val="0"/>
          <w:marRight w:val="0"/>
          <w:marTop w:val="0"/>
          <w:marBottom w:val="0"/>
          <w:divBdr>
            <w:top w:val="none" w:sz="0" w:space="0" w:color="auto"/>
            <w:left w:val="none" w:sz="0" w:space="0" w:color="auto"/>
            <w:bottom w:val="none" w:sz="0" w:space="0" w:color="auto"/>
            <w:right w:val="none" w:sz="0" w:space="0" w:color="auto"/>
          </w:divBdr>
        </w:div>
        <w:div w:id="1262764306">
          <w:marLeft w:val="0"/>
          <w:marRight w:val="0"/>
          <w:marTop w:val="0"/>
          <w:marBottom w:val="0"/>
          <w:divBdr>
            <w:top w:val="none" w:sz="0" w:space="0" w:color="auto"/>
            <w:left w:val="none" w:sz="0" w:space="0" w:color="auto"/>
            <w:bottom w:val="none" w:sz="0" w:space="0" w:color="auto"/>
            <w:right w:val="none" w:sz="0" w:space="0" w:color="auto"/>
          </w:divBdr>
        </w:div>
        <w:div w:id="1262764308">
          <w:marLeft w:val="0"/>
          <w:marRight w:val="0"/>
          <w:marTop w:val="0"/>
          <w:marBottom w:val="0"/>
          <w:divBdr>
            <w:top w:val="none" w:sz="0" w:space="0" w:color="auto"/>
            <w:left w:val="none" w:sz="0" w:space="0" w:color="auto"/>
            <w:bottom w:val="none" w:sz="0" w:space="0" w:color="auto"/>
            <w:right w:val="none" w:sz="0" w:space="0" w:color="auto"/>
          </w:divBdr>
        </w:div>
        <w:div w:id="1262764310">
          <w:marLeft w:val="0"/>
          <w:marRight w:val="0"/>
          <w:marTop w:val="0"/>
          <w:marBottom w:val="0"/>
          <w:divBdr>
            <w:top w:val="none" w:sz="0" w:space="0" w:color="auto"/>
            <w:left w:val="none" w:sz="0" w:space="0" w:color="auto"/>
            <w:bottom w:val="none" w:sz="0" w:space="0" w:color="auto"/>
            <w:right w:val="none" w:sz="0" w:space="0" w:color="auto"/>
          </w:divBdr>
        </w:div>
        <w:div w:id="1262764311">
          <w:marLeft w:val="0"/>
          <w:marRight w:val="0"/>
          <w:marTop w:val="0"/>
          <w:marBottom w:val="0"/>
          <w:divBdr>
            <w:top w:val="none" w:sz="0" w:space="0" w:color="auto"/>
            <w:left w:val="none" w:sz="0" w:space="0" w:color="auto"/>
            <w:bottom w:val="none" w:sz="0" w:space="0" w:color="auto"/>
            <w:right w:val="none" w:sz="0" w:space="0" w:color="auto"/>
          </w:divBdr>
        </w:div>
        <w:div w:id="1262764312">
          <w:marLeft w:val="0"/>
          <w:marRight w:val="0"/>
          <w:marTop w:val="0"/>
          <w:marBottom w:val="0"/>
          <w:divBdr>
            <w:top w:val="none" w:sz="0" w:space="0" w:color="auto"/>
            <w:left w:val="none" w:sz="0" w:space="0" w:color="auto"/>
            <w:bottom w:val="none" w:sz="0" w:space="0" w:color="auto"/>
            <w:right w:val="none" w:sz="0" w:space="0" w:color="auto"/>
          </w:divBdr>
        </w:div>
        <w:div w:id="1262764313">
          <w:marLeft w:val="0"/>
          <w:marRight w:val="0"/>
          <w:marTop w:val="0"/>
          <w:marBottom w:val="0"/>
          <w:divBdr>
            <w:top w:val="none" w:sz="0" w:space="0" w:color="auto"/>
            <w:left w:val="none" w:sz="0" w:space="0" w:color="auto"/>
            <w:bottom w:val="none" w:sz="0" w:space="0" w:color="auto"/>
            <w:right w:val="none" w:sz="0" w:space="0" w:color="auto"/>
          </w:divBdr>
        </w:div>
        <w:div w:id="1262764314">
          <w:marLeft w:val="0"/>
          <w:marRight w:val="0"/>
          <w:marTop w:val="0"/>
          <w:marBottom w:val="0"/>
          <w:divBdr>
            <w:top w:val="none" w:sz="0" w:space="0" w:color="auto"/>
            <w:left w:val="none" w:sz="0" w:space="0" w:color="auto"/>
            <w:bottom w:val="none" w:sz="0" w:space="0" w:color="auto"/>
            <w:right w:val="none" w:sz="0" w:space="0" w:color="auto"/>
          </w:divBdr>
        </w:div>
        <w:div w:id="1262764315">
          <w:marLeft w:val="0"/>
          <w:marRight w:val="0"/>
          <w:marTop w:val="0"/>
          <w:marBottom w:val="0"/>
          <w:divBdr>
            <w:top w:val="none" w:sz="0" w:space="0" w:color="auto"/>
            <w:left w:val="none" w:sz="0" w:space="0" w:color="auto"/>
            <w:bottom w:val="none" w:sz="0" w:space="0" w:color="auto"/>
            <w:right w:val="none" w:sz="0" w:space="0" w:color="auto"/>
          </w:divBdr>
        </w:div>
        <w:div w:id="1262764316">
          <w:marLeft w:val="0"/>
          <w:marRight w:val="0"/>
          <w:marTop w:val="0"/>
          <w:marBottom w:val="0"/>
          <w:divBdr>
            <w:top w:val="none" w:sz="0" w:space="0" w:color="auto"/>
            <w:left w:val="none" w:sz="0" w:space="0" w:color="auto"/>
            <w:bottom w:val="none" w:sz="0" w:space="0" w:color="auto"/>
            <w:right w:val="none" w:sz="0" w:space="0" w:color="auto"/>
          </w:divBdr>
        </w:div>
        <w:div w:id="1262764318">
          <w:marLeft w:val="0"/>
          <w:marRight w:val="0"/>
          <w:marTop w:val="0"/>
          <w:marBottom w:val="0"/>
          <w:divBdr>
            <w:top w:val="none" w:sz="0" w:space="0" w:color="auto"/>
            <w:left w:val="none" w:sz="0" w:space="0" w:color="auto"/>
            <w:bottom w:val="none" w:sz="0" w:space="0" w:color="auto"/>
            <w:right w:val="none" w:sz="0" w:space="0" w:color="auto"/>
          </w:divBdr>
        </w:div>
        <w:div w:id="1262764319">
          <w:marLeft w:val="0"/>
          <w:marRight w:val="0"/>
          <w:marTop w:val="0"/>
          <w:marBottom w:val="0"/>
          <w:divBdr>
            <w:top w:val="none" w:sz="0" w:space="0" w:color="auto"/>
            <w:left w:val="none" w:sz="0" w:space="0" w:color="auto"/>
            <w:bottom w:val="none" w:sz="0" w:space="0" w:color="auto"/>
            <w:right w:val="none" w:sz="0" w:space="0" w:color="auto"/>
          </w:divBdr>
        </w:div>
        <w:div w:id="1262764320">
          <w:marLeft w:val="0"/>
          <w:marRight w:val="0"/>
          <w:marTop w:val="0"/>
          <w:marBottom w:val="0"/>
          <w:divBdr>
            <w:top w:val="none" w:sz="0" w:space="0" w:color="auto"/>
            <w:left w:val="none" w:sz="0" w:space="0" w:color="auto"/>
            <w:bottom w:val="none" w:sz="0" w:space="0" w:color="auto"/>
            <w:right w:val="none" w:sz="0" w:space="0" w:color="auto"/>
          </w:divBdr>
        </w:div>
        <w:div w:id="1262764321">
          <w:marLeft w:val="0"/>
          <w:marRight w:val="0"/>
          <w:marTop w:val="0"/>
          <w:marBottom w:val="0"/>
          <w:divBdr>
            <w:top w:val="none" w:sz="0" w:space="0" w:color="auto"/>
            <w:left w:val="none" w:sz="0" w:space="0" w:color="auto"/>
            <w:bottom w:val="none" w:sz="0" w:space="0" w:color="auto"/>
            <w:right w:val="none" w:sz="0" w:space="0" w:color="auto"/>
          </w:divBdr>
        </w:div>
        <w:div w:id="1262764322">
          <w:marLeft w:val="0"/>
          <w:marRight w:val="0"/>
          <w:marTop w:val="0"/>
          <w:marBottom w:val="0"/>
          <w:divBdr>
            <w:top w:val="none" w:sz="0" w:space="0" w:color="auto"/>
            <w:left w:val="none" w:sz="0" w:space="0" w:color="auto"/>
            <w:bottom w:val="none" w:sz="0" w:space="0" w:color="auto"/>
            <w:right w:val="none" w:sz="0" w:space="0" w:color="auto"/>
          </w:divBdr>
        </w:div>
        <w:div w:id="1262764323">
          <w:marLeft w:val="0"/>
          <w:marRight w:val="0"/>
          <w:marTop w:val="0"/>
          <w:marBottom w:val="0"/>
          <w:divBdr>
            <w:top w:val="none" w:sz="0" w:space="0" w:color="auto"/>
            <w:left w:val="none" w:sz="0" w:space="0" w:color="auto"/>
            <w:bottom w:val="none" w:sz="0" w:space="0" w:color="auto"/>
            <w:right w:val="none" w:sz="0" w:space="0" w:color="auto"/>
          </w:divBdr>
        </w:div>
        <w:div w:id="1262764324">
          <w:marLeft w:val="0"/>
          <w:marRight w:val="0"/>
          <w:marTop w:val="0"/>
          <w:marBottom w:val="0"/>
          <w:divBdr>
            <w:top w:val="none" w:sz="0" w:space="0" w:color="auto"/>
            <w:left w:val="none" w:sz="0" w:space="0" w:color="auto"/>
            <w:bottom w:val="none" w:sz="0" w:space="0" w:color="auto"/>
            <w:right w:val="none" w:sz="0" w:space="0" w:color="auto"/>
          </w:divBdr>
        </w:div>
        <w:div w:id="1262764325">
          <w:marLeft w:val="0"/>
          <w:marRight w:val="0"/>
          <w:marTop w:val="0"/>
          <w:marBottom w:val="0"/>
          <w:divBdr>
            <w:top w:val="none" w:sz="0" w:space="0" w:color="auto"/>
            <w:left w:val="none" w:sz="0" w:space="0" w:color="auto"/>
            <w:bottom w:val="none" w:sz="0" w:space="0" w:color="auto"/>
            <w:right w:val="none" w:sz="0" w:space="0" w:color="auto"/>
          </w:divBdr>
        </w:div>
        <w:div w:id="1262764326">
          <w:marLeft w:val="0"/>
          <w:marRight w:val="0"/>
          <w:marTop w:val="0"/>
          <w:marBottom w:val="0"/>
          <w:divBdr>
            <w:top w:val="none" w:sz="0" w:space="0" w:color="auto"/>
            <w:left w:val="none" w:sz="0" w:space="0" w:color="auto"/>
            <w:bottom w:val="none" w:sz="0" w:space="0" w:color="auto"/>
            <w:right w:val="none" w:sz="0" w:space="0" w:color="auto"/>
          </w:divBdr>
        </w:div>
        <w:div w:id="1262764328">
          <w:marLeft w:val="0"/>
          <w:marRight w:val="0"/>
          <w:marTop w:val="0"/>
          <w:marBottom w:val="0"/>
          <w:divBdr>
            <w:top w:val="none" w:sz="0" w:space="0" w:color="auto"/>
            <w:left w:val="none" w:sz="0" w:space="0" w:color="auto"/>
            <w:bottom w:val="none" w:sz="0" w:space="0" w:color="auto"/>
            <w:right w:val="none" w:sz="0" w:space="0" w:color="auto"/>
          </w:divBdr>
        </w:div>
        <w:div w:id="1262764329">
          <w:marLeft w:val="0"/>
          <w:marRight w:val="0"/>
          <w:marTop w:val="0"/>
          <w:marBottom w:val="0"/>
          <w:divBdr>
            <w:top w:val="none" w:sz="0" w:space="0" w:color="auto"/>
            <w:left w:val="none" w:sz="0" w:space="0" w:color="auto"/>
            <w:bottom w:val="none" w:sz="0" w:space="0" w:color="auto"/>
            <w:right w:val="none" w:sz="0" w:space="0" w:color="auto"/>
          </w:divBdr>
        </w:div>
        <w:div w:id="1262764331">
          <w:marLeft w:val="0"/>
          <w:marRight w:val="0"/>
          <w:marTop w:val="0"/>
          <w:marBottom w:val="0"/>
          <w:divBdr>
            <w:top w:val="none" w:sz="0" w:space="0" w:color="auto"/>
            <w:left w:val="none" w:sz="0" w:space="0" w:color="auto"/>
            <w:bottom w:val="none" w:sz="0" w:space="0" w:color="auto"/>
            <w:right w:val="none" w:sz="0" w:space="0" w:color="auto"/>
          </w:divBdr>
        </w:div>
        <w:div w:id="1262764335">
          <w:marLeft w:val="0"/>
          <w:marRight w:val="0"/>
          <w:marTop w:val="0"/>
          <w:marBottom w:val="0"/>
          <w:divBdr>
            <w:top w:val="none" w:sz="0" w:space="0" w:color="auto"/>
            <w:left w:val="none" w:sz="0" w:space="0" w:color="auto"/>
            <w:bottom w:val="none" w:sz="0" w:space="0" w:color="auto"/>
            <w:right w:val="none" w:sz="0" w:space="0" w:color="auto"/>
          </w:divBdr>
        </w:div>
        <w:div w:id="1262764337">
          <w:marLeft w:val="0"/>
          <w:marRight w:val="0"/>
          <w:marTop w:val="0"/>
          <w:marBottom w:val="0"/>
          <w:divBdr>
            <w:top w:val="none" w:sz="0" w:space="0" w:color="auto"/>
            <w:left w:val="none" w:sz="0" w:space="0" w:color="auto"/>
            <w:bottom w:val="none" w:sz="0" w:space="0" w:color="auto"/>
            <w:right w:val="none" w:sz="0" w:space="0" w:color="auto"/>
          </w:divBdr>
        </w:div>
        <w:div w:id="1262764338">
          <w:marLeft w:val="0"/>
          <w:marRight w:val="0"/>
          <w:marTop w:val="0"/>
          <w:marBottom w:val="0"/>
          <w:divBdr>
            <w:top w:val="none" w:sz="0" w:space="0" w:color="auto"/>
            <w:left w:val="none" w:sz="0" w:space="0" w:color="auto"/>
            <w:bottom w:val="none" w:sz="0" w:space="0" w:color="auto"/>
            <w:right w:val="none" w:sz="0" w:space="0" w:color="auto"/>
          </w:divBdr>
        </w:div>
        <w:div w:id="1262764339">
          <w:marLeft w:val="0"/>
          <w:marRight w:val="0"/>
          <w:marTop w:val="0"/>
          <w:marBottom w:val="0"/>
          <w:divBdr>
            <w:top w:val="none" w:sz="0" w:space="0" w:color="auto"/>
            <w:left w:val="none" w:sz="0" w:space="0" w:color="auto"/>
            <w:bottom w:val="none" w:sz="0" w:space="0" w:color="auto"/>
            <w:right w:val="none" w:sz="0" w:space="0" w:color="auto"/>
          </w:divBdr>
        </w:div>
        <w:div w:id="1262764340">
          <w:marLeft w:val="0"/>
          <w:marRight w:val="0"/>
          <w:marTop w:val="0"/>
          <w:marBottom w:val="0"/>
          <w:divBdr>
            <w:top w:val="none" w:sz="0" w:space="0" w:color="auto"/>
            <w:left w:val="none" w:sz="0" w:space="0" w:color="auto"/>
            <w:bottom w:val="none" w:sz="0" w:space="0" w:color="auto"/>
            <w:right w:val="none" w:sz="0" w:space="0" w:color="auto"/>
          </w:divBdr>
        </w:div>
        <w:div w:id="1262764341">
          <w:marLeft w:val="0"/>
          <w:marRight w:val="0"/>
          <w:marTop w:val="0"/>
          <w:marBottom w:val="0"/>
          <w:divBdr>
            <w:top w:val="none" w:sz="0" w:space="0" w:color="auto"/>
            <w:left w:val="none" w:sz="0" w:space="0" w:color="auto"/>
            <w:bottom w:val="none" w:sz="0" w:space="0" w:color="auto"/>
            <w:right w:val="none" w:sz="0" w:space="0" w:color="auto"/>
          </w:divBdr>
        </w:div>
        <w:div w:id="1262764344">
          <w:marLeft w:val="0"/>
          <w:marRight w:val="0"/>
          <w:marTop w:val="0"/>
          <w:marBottom w:val="0"/>
          <w:divBdr>
            <w:top w:val="none" w:sz="0" w:space="0" w:color="auto"/>
            <w:left w:val="none" w:sz="0" w:space="0" w:color="auto"/>
            <w:bottom w:val="none" w:sz="0" w:space="0" w:color="auto"/>
            <w:right w:val="none" w:sz="0" w:space="0" w:color="auto"/>
          </w:divBdr>
        </w:div>
        <w:div w:id="1262764345">
          <w:marLeft w:val="0"/>
          <w:marRight w:val="0"/>
          <w:marTop w:val="0"/>
          <w:marBottom w:val="0"/>
          <w:divBdr>
            <w:top w:val="none" w:sz="0" w:space="0" w:color="auto"/>
            <w:left w:val="none" w:sz="0" w:space="0" w:color="auto"/>
            <w:bottom w:val="none" w:sz="0" w:space="0" w:color="auto"/>
            <w:right w:val="none" w:sz="0" w:space="0" w:color="auto"/>
          </w:divBdr>
        </w:div>
        <w:div w:id="1262764346">
          <w:marLeft w:val="0"/>
          <w:marRight w:val="0"/>
          <w:marTop w:val="0"/>
          <w:marBottom w:val="0"/>
          <w:divBdr>
            <w:top w:val="none" w:sz="0" w:space="0" w:color="auto"/>
            <w:left w:val="none" w:sz="0" w:space="0" w:color="auto"/>
            <w:bottom w:val="none" w:sz="0" w:space="0" w:color="auto"/>
            <w:right w:val="none" w:sz="0" w:space="0" w:color="auto"/>
          </w:divBdr>
        </w:div>
        <w:div w:id="1262764352">
          <w:marLeft w:val="0"/>
          <w:marRight w:val="0"/>
          <w:marTop w:val="0"/>
          <w:marBottom w:val="0"/>
          <w:divBdr>
            <w:top w:val="none" w:sz="0" w:space="0" w:color="auto"/>
            <w:left w:val="none" w:sz="0" w:space="0" w:color="auto"/>
            <w:bottom w:val="none" w:sz="0" w:space="0" w:color="auto"/>
            <w:right w:val="none" w:sz="0" w:space="0" w:color="auto"/>
          </w:divBdr>
        </w:div>
        <w:div w:id="1262764354">
          <w:marLeft w:val="0"/>
          <w:marRight w:val="0"/>
          <w:marTop w:val="0"/>
          <w:marBottom w:val="0"/>
          <w:divBdr>
            <w:top w:val="none" w:sz="0" w:space="0" w:color="auto"/>
            <w:left w:val="none" w:sz="0" w:space="0" w:color="auto"/>
            <w:bottom w:val="none" w:sz="0" w:space="0" w:color="auto"/>
            <w:right w:val="none" w:sz="0" w:space="0" w:color="auto"/>
          </w:divBdr>
        </w:div>
        <w:div w:id="1262764355">
          <w:marLeft w:val="0"/>
          <w:marRight w:val="0"/>
          <w:marTop w:val="0"/>
          <w:marBottom w:val="0"/>
          <w:divBdr>
            <w:top w:val="none" w:sz="0" w:space="0" w:color="auto"/>
            <w:left w:val="none" w:sz="0" w:space="0" w:color="auto"/>
            <w:bottom w:val="none" w:sz="0" w:space="0" w:color="auto"/>
            <w:right w:val="none" w:sz="0" w:space="0" w:color="auto"/>
          </w:divBdr>
        </w:div>
        <w:div w:id="1262764359">
          <w:marLeft w:val="0"/>
          <w:marRight w:val="0"/>
          <w:marTop w:val="0"/>
          <w:marBottom w:val="0"/>
          <w:divBdr>
            <w:top w:val="none" w:sz="0" w:space="0" w:color="auto"/>
            <w:left w:val="none" w:sz="0" w:space="0" w:color="auto"/>
            <w:bottom w:val="none" w:sz="0" w:space="0" w:color="auto"/>
            <w:right w:val="none" w:sz="0" w:space="0" w:color="auto"/>
          </w:divBdr>
        </w:div>
        <w:div w:id="1262764360">
          <w:marLeft w:val="0"/>
          <w:marRight w:val="0"/>
          <w:marTop w:val="0"/>
          <w:marBottom w:val="0"/>
          <w:divBdr>
            <w:top w:val="none" w:sz="0" w:space="0" w:color="auto"/>
            <w:left w:val="none" w:sz="0" w:space="0" w:color="auto"/>
            <w:bottom w:val="none" w:sz="0" w:space="0" w:color="auto"/>
            <w:right w:val="none" w:sz="0" w:space="0" w:color="auto"/>
          </w:divBdr>
        </w:div>
        <w:div w:id="1262764362">
          <w:marLeft w:val="0"/>
          <w:marRight w:val="0"/>
          <w:marTop w:val="0"/>
          <w:marBottom w:val="0"/>
          <w:divBdr>
            <w:top w:val="none" w:sz="0" w:space="0" w:color="auto"/>
            <w:left w:val="none" w:sz="0" w:space="0" w:color="auto"/>
            <w:bottom w:val="none" w:sz="0" w:space="0" w:color="auto"/>
            <w:right w:val="none" w:sz="0" w:space="0" w:color="auto"/>
          </w:divBdr>
        </w:div>
        <w:div w:id="1262764363">
          <w:marLeft w:val="0"/>
          <w:marRight w:val="0"/>
          <w:marTop w:val="0"/>
          <w:marBottom w:val="0"/>
          <w:divBdr>
            <w:top w:val="none" w:sz="0" w:space="0" w:color="auto"/>
            <w:left w:val="none" w:sz="0" w:space="0" w:color="auto"/>
            <w:bottom w:val="none" w:sz="0" w:space="0" w:color="auto"/>
            <w:right w:val="none" w:sz="0" w:space="0" w:color="auto"/>
          </w:divBdr>
        </w:div>
        <w:div w:id="1262764364">
          <w:marLeft w:val="0"/>
          <w:marRight w:val="0"/>
          <w:marTop w:val="0"/>
          <w:marBottom w:val="0"/>
          <w:divBdr>
            <w:top w:val="none" w:sz="0" w:space="0" w:color="auto"/>
            <w:left w:val="none" w:sz="0" w:space="0" w:color="auto"/>
            <w:bottom w:val="none" w:sz="0" w:space="0" w:color="auto"/>
            <w:right w:val="none" w:sz="0" w:space="0" w:color="auto"/>
          </w:divBdr>
        </w:div>
        <w:div w:id="1262764365">
          <w:marLeft w:val="0"/>
          <w:marRight w:val="0"/>
          <w:marTop w:val="0"/>
          <w:marBottom w:val="0"/>
          <w:divBdr>
            <w:top w:val="none" w:sz="0" w:space="0" w:color="auto"/>
            <w:left w:val="none" w:sz="0" w:space="0" w:color="auto"/>
            <w:bottom w:val="none" w:sz="0" w:space="0" w:color="auto"/>
            <w:right w:val="none" w:sz="0" w:space="0" w:color="auto"/>
          </w:divBdr>
        </w:div>
        <w:div w:id="1262764366">
          <w:marLeft w:val="0"/>
          <w:marRight w:val="0"/>
          <w:marTop w:val="0"/>
          <w:marBottom w:val="0"/>
          <w:divBdr>
            <w:top w:val="none" w:sz="0" w:space="0" w:color="auto"/>
            <w:left w:val="none" w:sz="0" w:space="0" w:color="auto"/>
            <w:bottom w:val="none" w:sz="0" w:space="0" w:color="auto"/>
            <w:right w:val="none" w:sz="0" w:space="0" w:color="auto"/>
          </w:divBdr>
        </w:div>
        <w:div w:id="1262764367">
          <w:marLeft w:val="0"/>
          <w:marRight w:val="0"/>
          <w:marTop w:val="0"/>
          <w:marBottom w:val="0"/>
          <w:divBdr>
            <w:top w:val="none" w:sz="0" w:space="0" w:color="auto"/>
            <w:left w:val="none" w:sz="0" w:space="0" w:color="auto"/>
            <w:bottom w:val="none" w:sz="0" w:space="0" w:color="auto"/>
            <w:right w:val="none" w:sz="0" w:space="0" w:color="auto"/>
          </w:divBdr>
        </w:div>
        <w:div w:id="1262764368">
          <w:marLeft w:val="0"/>
          <w:marRight w:val="0"/>
          <w:marTop w:val="0"/>
          <w:marBottom w:val="0"/>
          <w:divBdr>
            <w:top w:val="none" w:sz="0" w:space="0" w:color="auto"/>
            <w:left w:val="none" w:sz="0" w:space="0" w:color="auto"/>
            <w:bottom w:val="none" w:sz="0" w:space="0" w:color="auto"/>
            <w:right w:val="none" w:sz="0" w:space="0" w:color="auto"/>
          </w:divBdr>
        </w:div>
        <w:div w:id="1262764369">
          <w:marLeft w:val="0"/>
          <w:marRight w:val="0"/>
          <w:marTop w:val="0"/>
          <w:marBottom w:val="0"/>
          <w:divBdr>
            <w:top w:val="none" w:sz="0" w:space="0" w:color="auto"/>
            <w:left w:val="none" w:sz="0" w:space="0" w:color="auto"/>
            <w:bottom w:val="none" w:sz="0" w:space="0" w:color="auto"/>
            <w:right w:val="none" w:sz="0" w:space="0" w:color="auto"/>
          </w:divBdr>
        </w:div>
        <w:div w:id="1262764371">
          <w:marLeft w:val="0"/>
          <w:marRight w:val="0"/>
          <w:marTop w:val="0"/>
          <w:marBottom w:val="0"/>
          <w:divBdr>
            <w:top w:val="none" w:sz="0" w:space="0" w:color="auto"/>
            <w:left w:val="none" w:sz="0" w:space="0" w:color="auto"/>
            <w:bottom w:val="none" w:sz="0" w:space="0" w:color="auto"/>
            <w:right w:val="none" w:sz="0" w:space="0" w:color="auto"/>
          </w:divBdr>
        </w:div>
        <w:div w:id="1262764372">
          <w:marLeft w:val="0"/>
          <w:marRight w:val="0"/>
          <w:marTop w:val="0"/>
          <w:marBottom w:val="0"/>
          <w:divBdr>
            <w:top w:val="none" w:sz="0" w:space="0" w:color="auto"/>
            <w:left w:val="none" w:sz="0" w:space="0" w:color="auto"/>
            <w:bottom w:val="none" w:sz="0" w:space="0" w:color="auto"/>
            <w:right w:val="none" w:sz="0" w:space="0" w:color="auto"/>
          </w:divBdr>
        </w:div>
        <w:div w:id="1262764373">
          <w:marLeft w:val="0"/>
          <w:marRight w:val="0"/>
          <w:marTop w:val="0"/>
          <w:marBottom w:val="0"/>
          <w:divBdr>
            <w:top w:val="none" w:sz="0" w:space="0" w:color="auto"/>
            <w:left w:val="none" w:sz="0" w:space="0" w:color="auto"/>
            <w:bottom w:val="none" w:sz="0" w:space="0" w:color="auto"/>
            <w:right w:val="none" w:sz="0" w:space="0" w:color="auto"/>
          </w:divBdr>
        </w:div>
        <w:div w:id="1262764374">
          <w:marLeft w:val="0"/>
          <w:marRight w:val="0"/>
          <w:marTop w:val="0"/>
          <w:marBottom w:val="0"/>
          <w:divBdr>
            <w:top w:val="none" w:sz="0" w:space="0" w:color="auto"/>
            <w:left w:val="none" w:sz="0" w:space="0" w:color="auto"/>
            <w:bottom w:val="none" w:sz="0" w:space="0" w:color="auto"/>
            <w:right w:val="none" w:sz="0" w:space="0" w:color="auto"/>
          </w:divBdr>
        </w:div>
        <w:div w:id="1262764375">
          <w:marLeft w:val="0"/>
          <w:marRight w:val="0"/>
          <w:marTop w:val="0"/>
          <w:marBottom w:val="0"/>
          <w:divBdr>
            <w:top w:val="none" w:sz="0" w:space="0" w:color="auto"/>
            <w:left w:val="none" w:sz="0" w:space="0" w:color="auto"/>
            <w:bottom w:val="none" w:sz="0" w:space="0" w:color="auto"/>
            <w:right w:val="none" w:sz="0" w:space="0" w:color="auto"/>
          </w:divBdr>
        </w:div>
        <w:div w:id="1262764376">
          <w:marLeft w:val="0"/>
          <w:marRight w:val="0"/>
          <w:marTop w:val="0"/>
          <w:marBottom w:val="0"/>
          <w:divBdr>
            <w:top w:val="none" w:sz="0" w:space="0" w:color="auto"/>
            <w:left w:val="none" w:sz="0" w:space="0" w:color="auto"/>
            <w:bottom w:val="none" w:sz="0" w:space="0" w:color="auto"/>
            <w:right w:val="none" w:sz="0" w:space="0" w:color="auto"/>
          </w:divBdr>
        </w:div>
        <w:div w:id="1262764377">
          <w:marLeft w:val="0"/>
          <w:marRight w:val="0"/>
          <w:marTop w:val="0"/>
          <w:marBottom w:val="0"/>
          <w:divBdr>
            <w:top w:val="none" w:sz="0" w:space="0" w:color="auto"/>
            <w:left w:val="none" w:sz="0" w:space="0" w:color="auto"/>
            <w:bottom w:val="none" w:sz="0" w:space="0" w:color="auto"/>
            <w:right w:val="none" w:sz="0" w:space="0" w:color="auto"/>
          </w:divBdr>
        </w:div>
        <w:div w:id="1262764378">
          <w:marLeft w:val="0"/>
          <w:marRight w:val="0"/>
          <w:marTop w:val="0"/>
          <w:marBottom w:val="0"/>
          <w:divBdr>
            <w:top w:val="none" w:sz="0" w:space="0" w:color="auto"/>
            <w:left w:val="none" w:sz="0" w:space="0" w:color="auto"/>
            <w:bottom w:val="none" w:sz="0" w:space="0" w:color="auto"/>
            <w:right w:val="none" w:sz="0" w:space="0" w:color="auto"/>
          </w:divBdr>
        </w:div>
        <w:div w:id="1262764380">
          <w:marLeft w:val="0"/>
          <w:marRight w:val="0"/>
          <w:marTop w:val="0"/>
          <w:marBottom w:val="0"/>
          <w:divBdr>
            <w:top w:val="none" w:sz="0" w:space="0" w:color="auto"/>
            <w:left w:val="none" w:sz="0" w:space="0" w:color="auto"/>
            <w:bottom w:val="none" w:sz="0" w:space="0" w:color="auto"/>
            <w:right w:val="none" w:sz="0" w:space="0" w:color="auto"/>
          </w:divBdr>
        </w:div>
        <w:div w:id="1262764382">
          <w:marLeft w:val="0"/>
          <w:marRight w:val="0"/>
          <w:marTop w:val="0"/>
          <w:marBottom w:val="0"/>
          <w:divBdr>
            <w:top w:val="none" w:sz="0" w:space="0" w:color="auto"/>
            <w:left w:val="none" w:sz="0" w:space="0" w:color="auto"/>
            <w:bottom w:val="none" w:sz="0" w:space="0" w:color="auto"/>
            <w:right w:val="none" w:sz="0" w:space="0" w:color="auto"/>
          </w:divBdr>
        </w:div>
        <w:div w:id="1262764386">
          <w:marLeft w:val="0"/>
          <w:marRight w:val="0"/>
          <w:marTop w:val="0"/>
          <w:marBottom w:val="0"/>
          <w:divBdr>
            <w:top w:val="none" w:sz="0" w:space="0" w:color="auto"/>
            <w:left w:val="none" w:sz="0" w:space="0" w:color="auto"/>
            <w:bottom w:val="none" w:sz="0" w:space="0" w:color="auto"/>
            <w:right w:val="none" w:sz="0" w:space="0" w:color="auto"/>
          </w:divBdr>
        </w:div>
        <w:div w:id="1262764387">
          <w:marLeft w:val="0"/>
          <w:marRight w:val="0"/>
          <w:marTop w:val="0"/>
          <w:marBottom w:val="0"/>
          <w:divBdr>
            <w:top w:val="none" w:sz="0" w:space="0" w:color="auto"/>
            <w:left w:val="none" w:sz="0" w:space="0" w:color="auto"/>
            <w:bottom w:val="none" w:sz="0" w:space="0" w:color="auto"/>
            <w:right w:val="none" w:sz="0" w:space="0" w:color="auto"/>
          </w:divBdr>
        </w:div>
        <w:div w:id="1262764389">
          <w:marLeft w:val="0"/>
          <w:marRight w:val="0"/>
          <w:marTop w:val="0"/>
          <w:marBottom w:val="0"/>
          <w:divBdr>
            <w:top w:val="none" w:sz="0" w:space="0" w:color="auto"/>
            <w:left w:val="none" w:sz="0" w:space="0" w:color="auto"/>
            <w:bottom w:val="none" w:sz="0" w:space="0" w:color="auto"/>
            <w:right w:val="none" w:sz="0" w:space="0" w:color="auto"/>
          </w:divBdr>
        </w:div>
        <w:div w:id="1262764390">
          <w:marLeft w:val="0"/>
          <w:marRight w:val="0"/>
          <w:marTop w:val="0"/>
          <w:marBottom w:val="0"/>
          <w:divBdr>
            <w:top w:val="none" w:sz="0" w:space="0" w:color="auto"/>
            <w:left w:val="none" w:sz="0" w:space="0" w:color="auto"/>
            <w:bottom w:val="none" w:sz="0" w:space="0" w:color="auto"/>
            <w:right w:val="none" w:sz="0" w:space="0" w:color="auto"/>
          </w:divBdr>
        </w:div>
        <w:div w:id="1262764395">
          <w:marLeft w:val="0"/>
          <w:marRight w:val="0"/>
          <w:marTop w:val="0"/>
          <w:marBottom w:val="0"/>
          <w:divBdr>
            <w:top w:val="none" w:sz="0" w:space="0" w:color="auto"/>
            <w:left w:val="none" w:sz="0" w:space="0" w:color="auto"/>
            <w:bottom w:val="none" w:sz="0" w:space="0" w:color="auto"/>
            <w:right w:val="none" w:sz="0" w:space="0" w:color="auto"/>
          </w:divBdr>
        </w:div>
      </w:divsChild>
    </w:div>
    <w:div w:id="1262764393">
      <w:marLeft w:val="0"/>
      <w:marRight w:val="0"/>
      <w:marTop w:val="0"/>
      <w:marBottom w:val="0"/>
      <w:divBdr>
        <w:top w:val="none" w:sz="0" w:space="0" w:color="auto"/>
        <w:left w:val="none" w:sz="0" w:space="0" w:color="auto"/>
        <w:bottom w:val="none" w:sz="0" w:space="0" w:color="auto"/>
        <w:right w:val="none" w:sz="0" w:space="0" w:color="auto"/>
      </w:divBdr>
    </w:div>
    <w:div w:id="1323465290">
      <w:bodyDiv w:val="1"/>
      <w:marLeft w:val="0"/>
      <w:marRight w:val="0"/>
      <w:marTop w:val="0"/>
      <w:marBottom w:val="0"/>
      <w:divBdr>
        <w:top w:val="none" w:sz="0" w:space="0" w:color="auto"/>
        <w:left w:val="none" w:sz="0" w:space="0" w:color="auto"/>
        <w:bottom w:val="none" w:sz="0" w:space="0" w:color="auto"/>
        <w:right w:val="none" w:sz="0" w:space="0" w:color="auto"/>
      </w:divBdr>
    </w:div>
    <w:div w:id="1732343424">
      <w:bodyDiv w:val="1"/>
      <w:marLeft w:val="0"/>
      <w:marRight w:val="0"/>
      <w:marTop w:val="0"/>
      <w:marBottom w:val="0"/>
      <w:divBdr>
        <w:top w:val="none" w:sz="0" w:space="0" w:color="auto"/>
        <w:left w:val="none" w:sz="0" w:space="0" w:color="auto"/>
        <w:bottom w:val="none" w:sz="0" w:space="0" w:color="auto"/>
        <w:right w:val="none" w:sz="0" w:space="0" w:color="auto"/>
      </w:divBdr>
    </w:div>
    <w:div w:id="179112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cnect-rsc@ec.europa.eu" TargetMode="External"/><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18B9-254F-4213-88BF-CA0C2BBB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8119</Words>
  <Characters>47740</Characters>
  <Application>Microsoft Office Word</Application>
  <DocSecurity>0</DocSecurity>
  <Lines>397</Lines>
  <Paragraphs>111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WG FM</Company>
  <LinksUpToDate>false</LinksUpToDate>
  <CharactersWithSpaces>55748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Input ECC#38</dc:subject>
  <dc:creator>DESCHAMPS Benoist</dc:creator>
  <cp:lastModifiedBy>Bente Pedersen</cp:lastModifiedBy>
  <cp:revision>5</cp:revision>
  <cp:lastPrinted>2014-12-03T07:42:00Z</cp:lastPrinted>
  <dcterms:created xsi:type="dcterms:W3CDTF">2014-12-03T07:42:00Z</dcterms:created>
  <dcterms:modified xsi:type="dcterms:W3CDTF">2015-02-19T14:34:00Z</dcterms:modified>
  <cp:category>for final approval</cp:category>
  <cp:contentStatus>Output WG FM #81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