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8D2EA0" w:rsidRDefault="008A54FC">
      <w:pPr>
        <w:rPr>
          <w:lang w:val="en-GB"/>
        </w:rPr>
      </w:pPr>
    </w:p>
    <w:p w:rsidR="008A54FC" w:rsidRPr="008D2EA0" w:rsidRDefault="008A54FC" w:rsidP="008A54FC">
      <w:pPr>
        <w:jc w:val="center"/>
        <w:rPr>
          <w:lang w:val="en-GB"/>
        </w:rPr>
      </w:pPr>
    </w:p>
    <w:p w:rsidR="008A54FC" w:rsidRPr="008D2EA0" w:rsidRDefault="008A54FC" w:rsidP="008B56EB">
      <w:pPr>
        <w:jc w:val="right"/>
        <w:rPr>
          <w:lang w:val="en-GB"/>
        </w:rPr>
      </w:pPr>
    </w:p>
    <w:p w:rsidR="008A54FC" w:rsidRPr="008D2EA0" w:rsidRDefault="008A54FC" w:rsidP="008A54FC">
      <w:pPr>
        <w:rPr>
          <w:lang w:val="en-GB"/>
        </w:rPr>
      </w:pPr>
    </w:p>
    <w:p w:rsidR="008A54FC" w:rsidRPr="008D2EA0" w:rsidRDefault="008A54FC" w:rsidP="008A54FC">
      <w:pPr>
        <w:rPr>
          <w:lang w:val="en-GB"/>
        </w:rPr>
      </w:pPr>
    </w:p>
    <w:p w:rsidR="008A54FC" w:rsidRPr="008D2EA0" w:rsidRDefault="00DF2C67" w:rsidP="008A54FC">
      <w:pPr>
        <w:jc w:val="center"/>
        <w:rPr>
          <w:b/>
          <w:sz w:val="24"/>
          <w:lang w:val="en-GB"/>
        </w:rPr>
      </w:pPr>
      <w:r w:rsidRPr="008D2EA0">
        <w:rPr>
          <w:b/>
          <w:noProof/>
          <w:sz w:val="24"/>
          <w:szCs w:val="20"/>
          <w:lang w:val="da-DK" w:eastAsia="da-DK"/>
        </w:rPr>
        <mc:AlternateContent>
          <mc:Choice Requires="wps">
            <w:drawing>
              <wp:anchor distT="0" distB="0" distL="114300" distR="114300" simplePos="0" relativeHeight="251656192" behindDoc="0" locked="0" layoutInCell="1" allowOverlap="1" wp14:anchorId="7179682B" wp14:editId="599E22F8">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456" w:rsidRPr="00080D86" w:rsidRDefault="00FB0456" w:rsidP="008A54FC">
                            <w:pPr>
                              <w:rPr>
                                <w:sz w:val="68"/>
                              </w:rPr>
                            </w:pPr>
                            <w:r w:rsidRPr="00080D86">
                              <w:rPr>
                                <w:color w:val="FFFFFF"/>
                                <w:sz w:val="68"/>
                              </w:rPr>
                              <w:t xml:space="preserve">ECC Report </w:t>
                            </w:r>
                            <w:r>
                              <w:rPr>
                                <w:color w:val="57433E"/>
                                <w:sz w:val="68"/>
                              </w:rPr>
                              <w:t>188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FB0456" w:rsidRPr="00080D86" w:rsidRDefault="00FB0456" w:rsidP="008A54FC">
                      <w:pPr>
                        <w:rPr>
                          <w:sz w:val="68"/>
                        </w:rPr>
                      </w:pPr>
                      <w:r w:rsidRPr="00080D86">
                        <w:rPr>
                          <w:color w:val="FFFFFF"/>
                          <w:sz w:val="68"/>
                        </w:rPr>
                        <w:t xml:space="preserve">ECC Report </w:t>
                      </w:r>
                      <w:r>
                        <w:rPr>
                          <w:color w:val="57433E"/>
                          <w:sz w:val="68"/>
                        </w:rPr>
                        <w:t>188</w:t>
                      </w:r>
                    </w:p>
                  </w:txbxContent>
                </v:textbox>
                <w10:wrap anchorx="page" anchory="page"/>
              </v:shape>
            </w:pict>
          </mc:Fallback>
        </mc:AlternateContent>
      </w:r>
      <w:r w:rsidRPr="008D2EA0">
        <w:rPr>
          <w:b/>
          <w:noProof/>
          <w:sz w:val="24"/>
          <w:szCs w:val="20"/>
          <w:lang w:val="da-DK" w:eastAsia="da-DK"/>
        </w:rPr>
        <mc:AlternateContent>
          <mc:Choice Requires="wpg">
            <w:drawing>
              <wp:anchor distT="0" distB="0" distL="114300" distR="114300" simplePos="0" relativeHeight="251657216" behindDoc="0" locked="0" layoutInCell="1" allowOverlap="1" wp14:anchorId="22B06CC5" wp14:editId="654991E3">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rPr>
          <w:b/>
          <w:sz w:val="24"/>
          <w:lang w:val="en-GB"/>
        </w:rPr>
      </w:pPr>
    </w:p>
    <w:p w:rsidR="008A54FC" w:rsidRPr="008D2EA0" w:rsidRDefault="008A54FC" w:rsidP="008A54FC">
      <w:pPr>
        <w:jc w:val="center"/>
        <w:rPr>
          <w:b/>
          <w:sz w:val="24"/>
          <w:lang w:val="en-GB"/>
        </w:rPr>
      </w:pPr>
    </w:p>
    <w:p w:rsidR="008A54FC" w:rsidRPr="008D2EA0" w:rsidRDefault="00536549" w:rsidP="009E47EB">
      <w:pPr>
        <w:pStyle w:val="Reporttitledescription"/>
        <w:rPr>
          <w:lang w:val="en-GB"/>
        </w:rPr>
      </w:pPr>
      <w:r w:rsidRPr="008D2EA0">
        <w:rPr>
          <w:lang w:val="en-GB"/>
        </w:rPr>
        <w:t>Future Harmonised Use of 1452-1492 MHz in CEPT</w:t>
      </w:r>
    </w:p>
    <w:p w:rsidR="008A54FC" w:rsidRPr="008D2EA0" w:rsidRDefault="00510087" w:rsidP="008A54FC">
      <w:pPr>
        <w:pStyle w:val="Reporttitledescription"/>
        <w:rPr>
          <w:b/>
          <w:sz w:val="18"/>
          <w:lang w:val="en-GB"/>
        </w:rPr>
      </w:pPr>
      <w:r>
        <w:rPr>
          <w:b/>
          <w:sz w:val="18"/>
          <w:lang w:val="en-GB"/>
        </w:rPr>
        <w:t>a</w:t>
      </w:r>
      <w:r w:rsidR="001C788C" w:rsidRPr="00510087">
        <w:rPr>
          <w:b/>
          <w:sz w:val="18"/>
          <w:lang w:val="en-GB"/>
        </w:rPr>
        <w:t xml:space="preserve">pproved </w:t>
      </w:r>
      <w:r>
        <w:rPr>
          <w:b/>
          <w:sz w:val="18"/>
          <w:lang w:val="en-GB"/>
        </w:rPr>
        <w:t>February 2013</w:t>
      </w:r>
    </w:p>
    <w:p w:rsidR="008A54FC" w:rsidRPr="001C788C" w:rsidRDefault="00DF2C67" w:rsidP="008A54FC">
      <w:pPr>
        <w:pStyle w:val="Lastupdated"/>
        <w:rPr>
          <w:lang w:val="da-DK"/>
        </w:rPr>
      </w:pPr>
      <w:r w:rsidRPr="008D2EA0">
        <w:rPr>
          <w:bCs w:val="0"/>
          <w:noProof/>
          <w:szCs w:val="20"/>
          <w:lang w:val="da-DK" w:eastAsia="da-DK"/>
        </w:rPr>
        <mc:AlternateContent>
          <mc:Choice Requires="wps">
            <w:drawing>
              <wp:anchor distT="0" distB="0" distL="114300" distR="114300" simplePos="0" relativeHeight="251655168" behindDoc="0" locked="0" layoutInCell="1" allowOverlap="1" wp14:anchorId="526EA6E0" wp14:editId="7A04D16A">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p>
    <w:p w:rsidR="008A54FC" w:rsidRPr="008D2EA0" w:rsidRDefault="008A54FC">
      <w:pPr>
        <w:rPr>
          <w:lang w:val="en-GB"/>
        </w:rPr>
        <w:sectPr w:rsidR="008A54FC" w:rsidRPr="008D2EA0">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Pr="008D2EA0" w:rsidRDefault="008A54FC" w:rsidP="006731B4">
      <w:pPr>
        <w:pStyle w:val="Heading1"/>
      </w:pPr>
      <w:bookmarkStart w:id="0" w:name="_Toc349039218"/>
      <w:r w:rsidRPr="008D2EA0">
        <w:lastRenderedPageBreak/>
        <w:t>Executive summary</w:t>
      </w:r>
      <w:bookmarkEnd w:id="0"/>
    </w:p>
    <w:p w:rsidR="002C6EFE" w:rsidRPr="008D2EA0" w:rsidRDefault="002C6EFE" w:rsidP="002C6EFE">
      <w:pPr>
        <w:pStyle w:val="ECCParagraph"/>
      </w:pPr>
      <w:r w:rsidRPr="008D2EA0">
        <w:t xml:space="preserve">The 1452-1492 MHz band has remained unused in most European countries for the past decade. Since 2002, the 1452-1479.5 MHz sub-band has been harmonised for Terrestrial </w:t>
      </w:r>
      <w:r w:rsidR="00200F36">
        <w:t xml:space="preserve">Digital </w:t>
      </w:r>
      <w:r w:rsidRPr="008D2EA0">
        <w:t>Audio Broadcasting systems (T-DAB) through the Maastricht, 2002 Special Arrangement. The arrangement was later revised in Constanţa, in 2007</w:t>
      </w:r>
      <w:r w:rsidR="00D6644C" w:rsidRPr="008D2EA0">
        <w:t xml:space="preserve"> </w:t>
      </w:r>
      <w:r w:rsidR="00D6644C" w:rsidRPr="008D2EA0">
        <w:fldChar w:fldCharType="begin"/>
      </w:r>
      <w:r w:rsidR="00D6644C" w:rsidRPr="008D2EA0">
        <w:instrText xml:space="preserve"> REF _Ref330503918 \r \h </w:instrText>
      </w:r>
      <w:r w:rsidR="00DC03F9" w:rsidRPr="008D2EA0">
        <w:instrText xml:space="preserve"> \* MERGEFORMAT </w:instrText>
      </w:r>
      <w:r w:rsidR="00D6644C" w:rsidRPr="008D2EA0">
        <w:fldChar w:fldCharType="separate"/>
      </w:r>
      <w:r w:rsidR="00E73FF2">
        <w:t>[1]</w:t>
      </w:r>
      <w:r w:rsidR="00D6644C" w:rsidRPr="008D2EA0">
        <w:fldChar w:fldCharType="end"/>
      </w:r>
      <w:r w:rsidRPr="008D2EA0">
        <w:t>. Since 2003, the 1479.5-1492 MHz sub-band has been harmonised for Satellite Digital Audio Broadcasting (S-DAB) th</w:t>
      </w:r>
      <w:r w:rsidR="00AF211C">
        <w:t>r</w:t>
      </w:r>
      <w:r w:rsidRPr="008D2EA0">
        <w:t>ough the ECC</w:t>
      </w:r>
      <w:r w:rsidR="005D1E13" w:rsidRPr="008D2EA0">
        <w:t>/</w:t>
      </w:r>
      <w:r w:rsidRPr="008D2EA0">
        <w:t xml:space="preserve"> D</w:t>
      </w:r>
      <w:r w:rsidR="005D1E13" w:rsidRPr="008D2EA0">
        <w:t>EC/</w:t>
      </w:r>
      <w:r w:rsidRPr="008D2EA0">
        <w:t>(03)02</w:t>
      </w:r>
      <w:r w:rsidR="00D6644C" w:rsidRPr="008D2EA0">
        <w:t xml:space="preserve"> </w:t>
      </w:r>
      <w:r w:rsidR="00D6644C" w:rsidRPr="008D2EA0">
        <w:fldChar w:fldCharType="begin"/>
      </w:r>
      <w:r w:rsidR="00D6644C" w:rsidRPr="008D2EA0">
        <w:instrText xml:space="preserve"> REF _Ref330503966 \r \h </w:instrText>
      </w:r>
      <w:r w:rsidR="00DC03F9" w:rsidRPr="008D2EA0">
        <w:instrText xml:space="preserve"> \* MERGEFORMAT </w:instrText>
      </w:r>
      <w:r w:rsidR="00D6644C" w:rsidRPr="008D2EA0">
        <w:fldChar w:fldCharType="separate"/>
      </w:r>
      <w:r w:rsidR="00E73FF2">
        <w:t>[2]</w:t>
      </w:r>
      <w:r w:rsidR="00D6644C" w:rsidRPr="008D2EA0">
        <w:fldChar w:fldCharType="end"/>
      </w:r>
      <w:r w:rsidRPr="008D2EA0">
        <w:t>. The 1452-1492 MHz is indifferently referenced to, in Europe, as the L-band, 1.4 GHz or 1.5 GHz.</w:t>
      </w:r>
    </w:p>
    <w:p w:rsidR="002C6EFE" w:rsidRPr="008D2EA0" w:rsidRDefault="002C6EFE" w:rsidP="002C6EFE">
      <w:pPr>
        <w:pStyle w:val="ECCParagraph"/>
      </w:pPr>
      <w:r w:rsidRPr="008D2EA0">
        <w:t xml:space="preserve">Late 2010, CEPT decided to undertake a review of the use of the L-band with the aim to change the current situation and enable the use of those 40 MHz of prime spectrum for new services and applications that could bring substantial social and economic benefits for Europe. In December 2010, the ECC launched a questionnaire to CEPT administrations and industry in order to identify the current and potential candidate applications. In May 2011, the ECC established a Project Team to determine, based on an impact analysis, the most appropriate future use(s) of the 1452-1492 MHz band in CEPT. </w:t>
      </w:r>
    </w:p>
    <w:p w:rsidR="007C0AE4" w:rsidRPr="008D2EA0" w:rsidRDefault="002C6EFE" w:rsidP="002C6EFE">
      <w:pPr>
        <w:pStyle w:val="ECCParagraph"/>
      </w:pPr>
      <w:r w:rsidRPr="008D2EA0">
        <w:t xml:space="preserve">In order to conduct the impact analysis, a number of criteria have been defined, namely 1) compatibility with the </w:t>
      </w:r>
      <w:r w:rsidR="00F90DCB">
        <w:t xml:space="preserve">current </w:t>
      </w:r>
      <w:r w:rsidRPr="008D2EA0">
        <w:t xml:space="preserve">regulatory framework, 2) possibility to share with other applications/uses, 3) extent (maximisation) of social and economic benefits, 4) timeframe for availability of equipment on a large scale and for application deployment </w:t>
      </w:r>
      <w:r w:rsidR="007C0AE4">
        <w:t xml:space="preserve">- </w:t>
      </w:r>
      <w:r w:rsidR="007C0AE4" w:rsidRPr="008D2EA0">
        <w:t xml:space="preserve">status of standardisation </w:t>
      </w:r>
      <w:r w:rsidRPr="008D2EA0">
        <w:t xml:space="preserve">and 5) </w:t>
      </w:r>
      <w:r w:rsidR="007C0AE4" w:rsidRPr="008D2EA0">
        <w:t>Potential for economy of scale (need and potential for harmonisation within and outside CEPT)</w:t>
      </w:r>
      <w:r w:rsidRPr="008D2EA0">
        <w:t>.</w:t>
      </w:r>
    </w:p>
    <w:p w:rsidR="002C6EFE" w:rsidRPr="008D2EA0" w:rsidRDefault="002C6EFE" w:rsidP="002C6EFE">
      <w:pPr>
        <w:pStyle w:val="ECCParagraph"/>
      </w:pPr>
      <w:r w:rsidRPr="008D2EA0">
        <w:t xml:space="preserve">The candidate applications considered for the future use of the band were 1) Terrestrial Broadcasting, 2) Mobile Broadband, 3) Mobile Supplemental Downlink, 4) Satellite Digital Audio Broadcasting, 5) Program Making and Special Events, 6) </w:t>
      </w:r>
      <w:r w:rsidR="00F90DCB">
        <w:t xml:space="preserve">Broadband </w:t>
      </w:r>
      <w:r w:rsidRPr="008D2EA0">
        <w:t xml:space="preserve">Public Protection Disaster Relief </w:t>
      </w:r>
      <w:r w:rsidR="00F90DCB">
        <w:t xml:space="preserve">for temporary and local use </w:t>
      </w:r>
      <w:r w:rsidRPr="008D2EA0">
        <w:t>and 7) Broadband Direct Air to Ground Communication. The spectrum requirement of each candidate application has been determined.</w:t>
      </w:r>
    </w:p>
    <w:p w:rsidR="002C6EFE" w:rsidRPr="008D2EA0" w:rsidRDefault="002C6EFE" w:rsidP="002C6EFE">
      <w:pPr>
        <w:pStyle w:val="ECCParagraph"/>
      </w:pPr>
      <w:r w:rsidRPr="008D2EA0">
        <w:t>An analysis of the candidate applications against the defined criteria was carried out. The regulatory options required for the deployment of the candidate applications have been defined. Three regulatory options were then retained for further analysis. A detailed methodology to conduct the impact analysis was developed and the impact analysis was conducted.</w:t>
      </w:r>
    </w:p>
    <w:p w:rsidR="002C6EFE" w:rsidRPr="008D2EA0" w:rsidRDefault="002C6EFE" w:rsidP="002C6EFE">
      <w:pPr>
        <w:pStyle w:val="ECCParagraph"/>
      </w:pPr>
      <w:r w:rsidRPr="0011502A">
        <w:rPr>
          <w:lang w:val="en-US"/>
        </w:rPr>
        <w:t>The conclusion is that the most appropriate regulatory framework for the future use of the 1452-1492 MHz band in CEPT is the</w:t>
      </w:r>
      <w:r w:rsidRPr="00510087">
        <w:t xml:space="preserve"> harmonisation</w:t>
      </w:r>
      <w:r w:rsidRPr="0011502A">
        <w:rPr>
          <w:lang w:val="en-US"/>
        </w:rPr>
        <w:t xml:space="preserve"> of this band for mobile broadband / mobile supplemental downlink</w:t>
      </w:r>
      <w:r w:rsidRPr="0011502A">
        <w:rPr>
          <w:rStyle w:val="FootnoteReference"/>
          <w:lang w:val="en-US"/>
        </w:rPr>
        <w:footnoteReference w:id="1"/>
      </w:r>
      <w:r w:rsidRPr="0011502A">
        <w:rPr>
          <w:lang w:val="en-US"/>
        </w:rPr>
        <w:t>, while allowing individual countries to adapt to specific national circumstances in part of the band for terrestrial broadcasting and other terrestrial applications. This regulatory framework will bring the highest benefits for CEPT, with those benefits being</w:t>
      </w:r>
      <w:r w:rsidRPr="00510087">
        <w:t xml:space="preserve"> maximised</w:t>
      </w:r>
      <w:r w:rsidRPr="0011502A">
        <w:rPr>
          <w:lang w:val="en-US"/>
        </w:rPr>
        <w:t xml:space="preserve"> when mobile supplemental downlink is deployed under this framework.</w:t>
      </w:r>
      <w:r w:rsidRPr="008D2EA0">
        <w:t xml:space="preserve"> </w:t>
      </w:r>
    </w:p>
    <w:p w:rsidR="002C6EFE" w:rsidRPr="008D2EA0" w:rsidRDefault="002C6EFE" w:rsidP="0051112C">
      <w:pPr>
        <w:pStyle w:val="ECCParagraph"/>
        <w:spacing w:after="120"/>
      </w:pPr>
      <w:r w:rsidRPr="008D2EA0">
        <w:t>The implementation of this regulatory framework would consist of the following:</w:t>
      </w:r>
    </w:p>
    <w:p w:rsidR="002C6EFE" w:rsidRPr="008D2EA0" w:rsidRDefault="002C6EFE" w:rsidP="00290368">
      <w:pPr>
        <w:pStyle w:val="ECCParagraph"/>
        <w:numPr>
          <w:ilvl w:val="0"/>
          <w:numId w:val="35"/>
        </w:numPr>
        <w:spacing w:after="120"/>
      </w:pPr>
      <w:r w:rsidRPr="008D2EA0">
        <w:t xml:space="preserve">The ECC will adopt an ECC Decision designating the band for Mobile/Fixed Communication Networks (MFCN) supplemental downlink and defining the Least Restrictive Technical Conditions with a harmonised band plan for the 1452-1492 MHz band, based on 8 blocks of 5 MHz with associated generic BEM and restricted BEM (for coexistence between uplink and downlink blocks). </w:t>
      </w:r>
    </w:p>
    <w:p w:rsidR="002C6EFE" w:rsidRPr="00540DF1" w:rsidRDefault="002C6EFE" w:rsidP="00290368">
      <w:pPr>
        <w:pStyle w:val="ECCParagraph"/>
        <w:numPr>
          <w:ilvl w:val="0"/>
          <w:numId w:val="35"/>
        </w:numPr>
      </w:pPr>
      <w:r w:rsidRPr="0011502A">
        <w:rPr>
          <w:lang w:val="en-US"/>
        </w:rPr>
        <w:t>The ECC</w:t>
      </w:r>
      <w:r w:rsidR="00166C04" w:rsidRPr="0011502A">
        <w:rPr>
          <w:lang w:val="en-US"/>
        </w:rPr>
        <w:t>/</w:t>
      </w:r>
      <w:r w:rsidR="0001264E" w:rsidRPr="0011502A">
        <w:rPr>
          <w:lang w:val="en-US"/>
        </w:rPr>
        <w:t>D</w:t>
      </w:r>
      <w:r w:rsidR="00166C04" w:rsidRPr="0011502A">
        <w:rPr>
          <w:lang w:val="en-US"/>
        </w:rPr>
        <w:t>EC/</w:t>
      </w:r>
      <w:r w:rsidRPr="0011502A">
        <w:rPr>
          <w:lang w:val="en-US"/>
        </w:rPr>
        <w:t xml:space="preserve">(03)02 </w:t>
      </w:r>
      <w:r w:rsidR="001D1A55" w:rsidRPr="0011502A">
        <w:rPr>
          <w:lang w:val="en-US"/>
        </w:rPr>
        <w:fldChar w:fldCharType="begin"/>
      </w:r>
      <w:r w:rsidR="001D1A55" w:rsidRPr="0011502A">
        <w:rPr>
          <w:lang w:val="en-US"/>
        </w:rPr>
        <w:instrText xml:space="preserve"> REF _Ref330503966 \r \h </w:instrText>
      </w:r>
      <w:r w:rsidR="00DC03F9" w:rsidRPr="0011502A">
        <w:rPr>
          <w:lang w:val="en-US"/>
        </w:rPr>
        <w:instrText xml:space="preserve"> \* MERGEFORMAT </w:instrText>
      </w:r>
      <w:r w:rsidR="001D1A55" w:rsidRPr="0011502A">
        <w:rPr>
          <w:lang w:val="en-US"/>
        </w:rPr>
      </w:r>
      <w:r w:rsidR="001D1A55" w:rsidRPr="0011502A">
        <w:rPr>
          <w:lang w:val="en-US"/>
        </w:rPr>
        <w:fldChar w:fldCharType="separate"/>
      </w:r>
      <w:r w:rsidR="00E73FF2">
        <w:rPr>
          <w:lang w:val="en-US"/>
        </w:rPr>
        <w:t>[2]</w:t>
      </w:r>
      <w:r w:rsidR="001D1A55" w:rsidRPr="0011502A">
        <w:rPr>
          <w:lang w:val="en-US"/>
        </w:rPr>
        <w:fldChar w:fldCharType="end"/>
      </w:r>
      <w:r w:rsidRPr="0011502A">
        <w:rPr>
          <w:lang w:val="en-US"/>
        </w:rPr>
        <w:t>, which currently</w:t>
      </w:r>
      <w:r w:rsidRPr="00E97FCA">
        <w:t xml:space="preserve"> harmonises</w:t>
      </w:r>
      <w:r w:rsidRPr="0011502A">
        <w:rPr>
          <w:lang w:val="en-US"/>
        </w:rPr>
        <w:t xml:space="preserve"> the sub-band 1479.5-1492 MHz for Satellite Digital Audio Broadcasting within CEPT, will be suppressed.</w:t>
      </w:r>
    </w:p>
    <w:p w:rsidR="002C6EFE" w:rsidRDefault="002C6EFE" w:rsidP="00290368">
      <w:pPr>
        <w:pStyle w:val="ECCParagraph"/>
        <w:numPr>
          <w:ilvl w:val="0"/>
          <w:numId w:val="36"/>
        </w:numPr>
        <w:spacing w:after="120"/>
        <w:ind w:left="714" w:hanging="357"/>
      </w:pPr>
      <w:r w:rsidRPr="008D2EA0">
        <w:lastRenderedPageBreak/>
        <w:t>An administration wishing to implement terrestrial digital sound broadcasting networks in part of the 1452-1492 MHz may choose to do so using the MA02revCO07 Arrangement and its possible Plan modifications</w:t>
      </w:r>
      <w:r w:rsidR="00152EB0">
        <w:t xml:space="preserve"> </w:t>
      </w:r>
      <w:r w:rsidR="00152EB0">
        <w:fldChar w:fldCharType="begin"/>
      </w:r>
      <w:r w:rsidR="00152EB0">
        <w:instrText xml:space="preserve"> REF _Ref330503918 \r \h </w:instrText>
      </w:r>
      <w:r w:rsidR="00152EB0">
        <w:fldChar w:fldCharType="separate"/>
      </w:r>
      <w:r w:rsidR="00E73FF2">
        <w:t>[1]</w:t>
      </w:r>
      <w:r w:rsidR="00152EB0">
        <w:fldChar w:fldCharType="end"/>
      </w:r>
      <w:r w:rsidRPr="008D2EA0">
        <w:t>.</w:t>
      </w:r>
    </w:p>
    <w:p w:rsidR="002C6EFE" w:rsidRPr="00E60485" w:rsidRDefault="002C6EFE" w:rsidP="00290368">
      <w:pPr>
        <w:pStyle w:val="ECCParagraph"/>
        <w:numPr>
          <w:ilvl w:val="0"/>
          <w:numId w:val="36"/>
        </w:numPr>
        <w:spacing w:after="120"/>
        <w:ind w:left="714" w:hanging="357"/>
      </w:pPr>
      <w:r w:rsidRPr="008D2EA0">
        <w:t xml:space="preserve">The MA02revCO07 Agreement will be retained for cross-border coordination bilateral agreements in the sub-band 1452-1479.5 MHz, between Terrestrial Broadcasting (for countries wishing to deploy terrestrial broadcasting in part of the band) and mobile services similar to the framework developed by CEPT for the 800 MHz band with GE06 and </w:t>
      </w:r>
      <w:r w:rsidRPr="00E60485">
        <w:t>ECC/DEC</w:t>
      </w:r>
      <w:r w:rsidR="00856422" w:rsidRPr="00E60485">
        <w:t xml:space="preserve"> </w:t>
      </w:r>
      <w:r w:rsidR="00856422" w:rsidRPr="00E60485">
        <w:fldChar w:fldCharType="begin"/>
      </w:r>
      <w:r w:rsidR="00856422" w:rsidRPr="00E60485">
        <w:instrText xml:space="preserve"> REF _Ref330504302 \r \h </w:instrText>
      </w:r>
      <w:r w:rsidR="00DC03F9" w:rsidRPr="00E60485">
        <w:instrText xml:space="preserve"> \* MERGEFORMAT </w:instrText>
      </w:r>
      <w:r w:rsidR="00856422" w:rsidRPr="00E60485">
        <w:fldChar w:fldCharType="separate"/>
      </w:r>
      <w:r w:rsidR="00E73FF2">
        <w:t>[3]</w:t>
      </w:r>
      <w:r w:rsidR="00856422" w:rsidRPr="00E60485">
        <w:fldChar w:fldCharType="end"/>
      </w:r>
      <w:r w:rsidRPr="00E60485">
        <w:t>.</w:t>
      </w:r>
    </w:p>
    <w:p w:rsidR="002C6EFE" w:rsidRPr="0011502A" w:rsidRDefault="00540DF1" w:rsidP="00290368">
      <w:pPr>
        <w:pStyle w:val="ECCParagraph"/>
        <w:numPr>
          <w:ilvl w:val="0"/>
          <w:numId w:val="36"/>
        </w:numPr>
        <w:spacing w:after="120"/>
        <w:ind w:left="714" w:hanging="357"/>
      </w:pPr>
      <w:r w:rsidRPr="007F09BF">
        <w:t xml:space="preserve">CEPT should consider </w:t>
      </w:r>
      <w:r w:rsidR="00C073F3" w:rsidRPr="007F09BF">
        <w:t>proposing</w:t>
      </w:r>
      <w:r w:rsidRPr="007F09BF">
        <w:t xml:space="preserve"> a</w:t>
      </w:r>
      <w:r w:rsidR="002C6EFE" w:rsidRPr="007F09BF">
        <w:t xml:space="preserve">n agenda item </w:t>
      </w:r>
      <w:r w:rsidRPr="007F09BF">
        <w:t xml:space="preserve">at the next WRC </w:t>
      </w:r>
      <w:r w:rsidR="002C6EFE" w:rsidRPr="007F09BF">
        <w:t xml:space="preserve">to introduce pfd limits to be included in Article 21 of the RR </w:t>
      </w:r>
      <w:r w:rsidR="00C3316C" w:rsidRPr="007F09BF">
        <w:fldChar w:fldCharType="begin"/>
      </w:r>
      <w:r w:rsidR="00C3316C" w:rsidRPr="007F09BF">
        <w:instrText xml:space="preserve"> REF _Ref332810663 \r \h </w:instrText>
      </w:r>
      <w:r w:rsidR="001B757B" w:rsidRPr="007F09BF">
        <w:instrText xml:space="preserve"> \* MERGEFORMAT </w:instrText>
      </w:r>
      <w:r w:rsidR="00C3316C" w:rsidRPr="007F09BF">
        <w:fldChar w:fldCharType="separate"/>
      </w:r>
      <w:r w:rsidR="00E73FF2">
        <w:t>[4]</w:t>
      </w:r>
      <w:r w:rsidR="00C3316C" w:rsidRPr="007F09BF">
        <w:fldChar w:fldCharType="end"/>
      </w:r>
      <w:r w:rsidR="002C6EFE" w:rsidRPr="007F09BF">
        <w:t>. The objective is to protect MFCN use within CEPT from harmful interference from satellite use outside CEPT</w:t>
      </w:r>
      <w:r w:rsidR="002C6EFE" w:rsidRPr="007F09BF">
        <w:rPr>
          <w:rStyle w:val="FootnoteReference"/>
        </w:rPr>
        <w:footnoteReference w:id="2"/>
      </w:r>
      <w:r w:rsidR="002C6EFE" w:rsidRPr="007F09BF">
        <w:t>;</w:t>
      </w:r>
      <w:r w:rsidRPr="007F09BF">
        <w:t xml:space="preserve"> </w:t>
      </w:r>
    </w:p>
    <w:p w:rsidR="002C6EFE" w:rsidRPr="008D2EA0" w:rsidRDefault="002C6EFE" w:rsidP="00290368">
      <w:pPr>
        <w:pStyle w:val="ECCParagraph"/>
        <w:numPr>
          <w:ilvl w:val="0"/>
          <w:numId w:val="36"/>
        </w:numPr>
        <w:spacing w:after="120"/>
        <w:ind w:left="714" w:hanging="357"/>
      </w:pPr>
      <w:r w:rsidRPr="008D2EA0">
        <w:t xml:space="preserve">Mobile to mobile cross-border </w:t>
      </w:r>
      <w:r w:rsidR="001C788C">
        <w:t>coordination in the band 1452-</w:t>
      </w:r>
      <w:r w:rsidRPr="008D2EA0">
        <w:t xml:space="preserve">1492 MHz will be subject to an ECC Recommendation for bilateral agreements as for other mobile to mobile cross-border coordination in other bands. </w:t>
      </w:r>
    </w:p>
    <w:p w:rsidR="008A54FC" w:rsidRPr="008D2EA0" w:rsidRDefault="008A54FC" w:rsidP="008A54FC">
      <w:pPr>
        <w:rPr>
          <w:lang w:val="en-GB"/>
        </w:rPr>
      </w:pPr>
      <w:r w:rsidRPr="008D2EA0">
        <w:rPr>
          <w:lang w:val="en-GB"/>
        </w:rPr>
        <w:br w:type="page"/>
      </w:r>
    </w:p>
    <w:p w:rsidR="008A54FC" w:rsidRPr="008D2EA0" w:rsidRDefault="00DF2C67" w:rsidP="008A54FC">
      <w:pPr>
        <w:rPr>
          <w:b/>
          <w:color w:val="FFFFFF"/>
          <w:lang w:val="en-GB"/>
        </w:rPr>
      </w:pPr>
      <w:r w:rsidRPr="008D2EA0">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25E2BAE2" wp14:editId="06282ED2">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Pr="008D2EA0" w:rsidRDefault="008B70CD" w:rsidP="008A54FC">
      <w:pPr>
        <w:rPr>
          <w:b/>
          <w:color w:val="FFFFFF"/>
          <w:szCs w:val="20"/>
          <w:lang w:val="en-GB"/>
        </w:rPr>
      </w:pPr>
    </w:p>
    <w:p w:rsidR="008A54FC" w:rsidRPr="008D2EA0" w:rsidRDefault="00763BA3" w:rsidP="008A54FC">
      <w:pPr>
        <w:rPr>
          <w:b/>
          <w:color w:val="FFFFFF"/>
          <w:szCs w:val="20"/>
          <w:lang w:val="en-GB"/>
        </w:rPr>
      </w:pPr>
      <w:r w:rsidRPr="008D2EA0">
        <w:rPr>
          <w:b/>
          <w:color w:val="FFFFFF"/>
          <w:szCs w:val="20"/>
          <w:lang w:val="en-GB"/>
        </w:rPr>
        <w:t>TABLE OF CONTENTS</w:t>
      </w:r>
    </w:p>
    <w:p w:rsidR="00067793" w:rsidRPr="008D2EA0" w:rsidRDefault="00067793" w:rsidP="008A54FC">
      <w:pPr>
        <w:rPr>
          <w:b/>
          <w:color w:val="FFFFFF"/>
          <w:szCs w:val="20"/>
          <w:lang w:val="en-GB"/>
        </w:rPr>
      </w:pPr>
    </w:p>
    <w:p w:rsidR="00067793" w:rsidRPr="008D2EA0" w:rsidRDefault="00067793" w:rsidP="008A54FC">
      <w:pPr>
        <w:rPr>
          <w:b/>
          <w:color w:val="FFFFFF"/>
          <w:szCs w:val="20"/>
          <w:lang w:val="en-GB"/>
        </w:rPr>
      </w:pPr>
    </w:p>
    <w:bookmarkStart w:id="1" w:name="_GoBack"/>
    <w:bookmarkEnd w:id="1"/>
    <w:p w:rsidR="00F21C76" w:rsidRDefault="008A54FC">
      <w:pPr>
        <w:pStyle w:val="TOC1"/>
        <w:rPr>
          <w:rFonts w:asciiTheme="minorHAnsi" w:eastAsiaTheme="minorEastAsia" w:hAnsiTheme="minorHAnsi" w:cstheme="minorBidi"/>
          <w:b w:val="0"/>
          <w:caps w:val="0"/>
          <w:noProof/>
          <w:sz w:val="22"/>
          <w:szCs w:val="22"/>
          <w:lang w:val="da-DK" w:eastAsia="da-DK"/>
        </w:rPr>
      </w:pPr>
      <w:r w:rsidRPr="008D2EA0">
        <w:rPr>
          <w:caps w:val="0"/>
          <w:lang w:val="en-GB"/>
        </w:rPr>
        <w:fldChar w:fldCharType="begin"/>
      </w:r>
      <w:r w:rsidRPr="008D2EA0">
        <w:rPr>
          <w:caps w:val="0"/>
          <w:lang w:val="en-GB"/>
        </w:rPr>
        <w:instrText xml:space="preserve"> TOC \o "1-4" \h \z \u </w:instrText>
      </w:r>
      <w:r w:rsidRPr="008D2EA0">
        <w:rPr>
          <w:caps w:val="0"/>
          <w:lang w:val="en-GB"/>
        </w:rPr>
        <w:fldChar w:fldCharType="separate"/>
      </w:r>
      <w:hyperlink w:anchor="_Toc349039218" w:history="1">
        <w:r w:rsidR="00F21C76" w:rsidRPr="00D66507">
          <w:rPr>
            <w:rStyle w:val="Hyperlink"/>
            <w:noProof/>
          </w:rPr>
          <w:t>0</w:t>
        </w:r>
        <w:r w:rsidR="00F21C76">
          <w:rPr>
            <w:rFonts w:asciiTheme="minorHAnsi" w:eastAsiaTheme="minorEastAsia" w:hAnsiTheme="minorHAnsi" w:cstheme="minorBidi"/>
            <w:b w:val="0"/>
            <w:caps w:val="0"/>
            <w:noProof/>
            <w:sz w:val="22"/>
            <w:szCs w:val="22"/>
            <w:lang w:val="da-DK" w:eastAsia="da-DK"/>
          </w:rPr>
          <w:tab/>
        </w:r>
        <w:r w:rsidR="00F21C76" w:rsidRPr="00D66507">
          <w:rPr>
            <w:rStyle w:val="Hyperlink"/>
            <w:noProof/>
          </w:rPr>
          <w:t>Executive summary</w:t>
        </w:r>
        <w:r w:rsidR="00F21C76">
          <w:rPr>
            <w:noProof/>
            <w:webHidden/>
          </w:rPr>
          <w:tab/>
        </w:r>
        <w:r w:rsidR="00F21C76">
          <w:rPr>
            <w:noProof/>
            <w:webHidden/>
          </w:rPr>
          <w:fldChar w:fldCharType="begin"/>
        </w:r>
        <w:r w:rsidR="00F21C76">
          <w:rPr>
            <w:noProof/>
            <w:webHidden/>
          </w:rPr>
          <w:instrText xml:space="preserve"> PAGEREF _Toc349039218 \h </w:instrText>
        </w:r>
        <w:r w:rsidR="00F21C76">
          <w:rPr>
            <w:noProof/>
            <w:webHidden/>
          </w:rPr>
        </w:r>
        <w:r w:rsidR="00F21C76">
          <w:rPr>
            <w:noProof/>
            <w:webHidden/>
          </w:rPr>
          <w:fldChar w:fldCharType="separate"/>
        </w:r>
        <w:r w:rsidR="00F21C76">
          <w:rPr>
            <w:noProof/>
            <w:webHidden/>
          </w:rPr>
          <w:t>2</w:t>
        </w:r>
        <w:r w:rsidR="00F21C76">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219" w:history="1">
        <w:r w:rsidRPr="00D66507">
          <w:rPr>
            <w:rStyle w:val="Hyperlink"/>
            <w:noProof/>
          </w:rPr>
          <w:t>1</w:t>
        </w:r>
        <w:r>
          <w:rPr>
            <w:rFonts w:asciiTheme="minorHAnsi" w:eastAsiaTheme="minorEastAsia" w:hAnsiTheme="minorHAnsi" w:cstheme="minorBidi"/>
            <w:b w:val="0"/>
            <w:caps w:val="0"/>
            <w:noProof/>
            <w:sz w:val="22"/>
            <w:szCs w:val="22"/>
            <w:lang w:val="da-DK" w:eastAsia="da-DK"/>
          </w:rPr>
          <w:tab/>
        </w:r>
        <w:r w:rsidRPr="00D66507">
          <w:rPr>
            <w:rStyle w:val="Hyperlink"/>
            <w:noProof/>
          </w:rPr>
          <w:t>introduction</w:t>
        </w:r>
        <w:r>
          <w:rPr>
            <w:noProof/>
            <w:webHidden/>
          </w:rPr>
          <w:tab/>
        </w:r>
        <w:r>
          <w:rPr>
            <w:noProof/>
            <w:webHidden/>
          </w:rPr>
          <w:fldChar w:fldCharType="begin"/>
        </w:r>
        <w:r>
          <w:rPr>
            <w:noProof/>
            <w:webHidden/>
          </w:rPr>
          <w:instrText xml:space="preserve"> PAGEREF _Toc349039219 \h </w:instrText>
        </w:r>
        <w:r>
          <w:rPr>
            <w:noProof/>
            <w:webHidden/>
          </w:rPr>
        </w:r>
        <w:r>
          <w:rPr>
            <w:noProof/>
            <w:webHidden/>
          </w:rPr>
          <w:fldChar w:fldCharType="separate"/>
        </w:r>
        <w:r>
          <w:rPr>
            <w:noProof/>
            <w:webHidden/>
          </w:rPr>
          <w:t>8</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220" w:history="1">
        <w:r w:rsidRPr="00D66507">
          <w:rPr>
            <w:rStyle w:val="Hyperlink"/>
            <w:noProof/>
          </w:rPr>
          <w:t>2</w:t>
        </w:r>
        <w:r>
          <w:rPr>
            <w:rFonts w:asciiTheme="minorHAnsi" w:eastAsiaTheme="minorEastAsia" w:hAnsiTheme="minorHAnsi" w:cstheme="minorBidi"/>
            <w:b w:val="0"/>
            <w:caps w:val="0"/>
            <w:noProof/>
            <w:sz w:val="22"/>
            <w:szCs w:val="22"/>
            <w:lang w:val="da-DK" w:eastAsia="da-DK"/>
          </w:rPr>
          <w:tab/>
        </w:r>
        <w:r w:rsidRPr="00D66507">
          <w:rPr>
            <w:rStyle w:val="Hyperlink"/>
            <w:noProof/>
          </w:rPr>
          <w:t>Description of the context of the study</w:t>
        </w:r>
        <w:r>
          <w:rPr>
            <w:noProof/>
            <w:webHidden/>
          </w:rPr>
          <w:tab/>
        </w:r>
        <w:r>
          <w:rPr>
            <w:noProof/>
            <w:webHidden/>
          </w:rPr>
          <w:fldChar w:fldCharType="begin"/>
        </w:r>
        <w:r>
          <w:rPr>
            <w:noProof/>
            <w:webHidden/>
          </w:rPr>
          <w:instrText xml:space="preserve"> PAGEREF _Toc349039220 \h </w:instrText>
        </w:r>
        <w:r>
          <w:rPr>
            <w:noProof/>
            <w:webHidden/>
          </w:rPr>
        </w:r>
        <w:r>
          <w:rPr>
            <w:noProof/>
            <w:webHidden/>
          </w:rPr>
          <w:fldChar w:fldCharType="separate"/>
        </w:r>
        <w:r>
          <w:rPr>
            <w:noProof/>
            <w:webHidden/>
          </w:rPr>
          <w:t>9</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21" w:history="1">
        <w:r w:rsidRPr="00D66507">
          <w:rPr>
            <w:rStyle w:val="Hyperlink"/>
            <w:noProof/>
            <w:lang w:val="en-GB"/>
          </w:rPr>
          <w:t>2.1</w:t>
        </w:r>
        <w:r>
          <w:rPr>
            <w:rFonts w:asciiTheme="minorHAnsi" w:eastAsiaTheme="minorEastAsia" w:hAnsiTheme="minorHAnsi" w:cstheme="minorBidi"/>
            <w:noProof/>
            <w:sz w:val="22"/>
            <w:szCs w:val="22"/>
            <w:lang w:val="da-DK" w:eastAsia="da-DK"/>
          </w:rPr>
          <w:tab/>
        </w:r>
        <w:r w:rsidRPr="00D66507">
          <w:rPr>
            <w:rStyle w:val="Hyperlink"/>
            <w:noProof/>
            <w:lang w:val="en-GB"/>
          </w:rPr>
          <w:t>Regulation within CEPT</w:t>
        </w:r>
        <w:r>
          <w:rPr>
            <w:noProof/>
            <w:webHidden/>
          </w:rPr>
          <w:tab/>
        </w:r>
        <w:r>
          <w:rPr>
            <w:noProof/>
            <w:webHidden/>
          </w:rPr>
          <w:fldChar w:fldCharType="begin"/>
        </w:r>
        <w:r>
          <w:rPr>
            <w:noProof/>
            <w:webHidden/>
          </w:rPr>
          <w:instrText xml:space="preserve"> PAGEREF _Toc349039221 \h </w:instrText>
        </w:r>
        <w:r>
          <w:rPr>
            <w:noProof/>
            <w:webHidden/>
          </w:rPr>
        </w:r>
        <w:r>
          <w:rPr>
            <w:noProof/>
            <w:webHidden/>
          </w:rPr>
          <w:fldChar w:fldCharType="separate"/>
        </w:r>
        <w:r>
          <w:rPr>
            <w:noProof/>
            <w:webHidden/>
          </w:rPr>
          <w:t>9</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22" w:history="1">
        <w:r w:rsidRPr="00D66507">
          <w:rPr>
            <w:rStyle w:val="Hyperlink"/>
            <w:noProof/>
            <w:lang w:val="en-GB"/>
          </w:rPr>
          <w:t>2.2</w:t>
        </w:r>
        <w:r>
          <w:rPr>
            <w:rFonts w:asciiTheme="minorHAnsi" w:eastAsiaTheme="minorEastAsia" w:hAnsiTheme="minorHAnsi" w:cstheme="minorBidi"/>
            <w:noProof/>
            <w:sz w:val="22"/>
            <w:szCs w:val="22"/>
            <w:lang w:val="da-DK" w:eastAsia="da-DK"/>
          </w:rPr>
          <w:tab/>
        </w:r>
        <w:r w:rsidRPr="00D66507">
          <w:rPr>
            <w:rStyle w:val="Hyperlink"/>
            <w:noProof/>
            <w:lang w:val="en-GB"/>
          </w:rPr>
          <w:t>Description of the current use within CEPT</w:t>
        </w:r>
        <w:r>
          <w:rPr>
            <w:noProof/>
            <w:webHidden/>
          </w:rPr>
          <w:tab/>
        </w:r>
        <w:r>
          <w:rPr>
            <w:noProof/>
            <w:webHidden/>
          </w:rPr>
          <w:fldChar w:fldCharType="begin"/>
        </w:r>
        <w:r>
          <w:rPr>
            <w:noProof/>
            <w:webHidden/>
          </w:rPr>
          <w:instrText xml:space="preserve"> PAGEREF _Toc349039222 \h </w:instrText>
        </w:r>
        <w:r>
          <w:rPr>
            <w:noProof/>
            <w:webHidden/>
          </w:rPr>
        </w:r>
        <w:r>
          <w:rPr>
            <w:noProof/>
            <w:webHidden/>
          </w:rPr>
          <w:fldChar w:fldCharType="separate"/>
        </w:r>
        <w:r>
          <w:rPr>
            <w:noProof/>
            <w:webHidden/>
          </w:rPr>
          <w:t>9</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23" w:history="1">
        <w:r w:rsidRPr="00D66507">
          <w:rPr>
            <w:rStyle w:val="Hyperlink"/>
            <w:noProof/>
          </w:rPr>
          <w:t>2.2.1</w:t>
        </w:r>
        <w:r>
          <w:rPr>
            <w:rFonts w:asciiTheme="minorHAnsi" w:eastAsiaTheme="minorEastAsia" w:hAnsiTheme="minorHAnsi" w:cstheme="minorBidi"/>
            <w:noProof/>
            <w:sz w:val="22"/>
            <w:szCs w:val="22"/>
            <w:lang w:val="da-DK" w:eastAsia="da-DK"/>
          </w:rPr>
          <w:tab/>
        </w:r>
        <w:r w:rsidRPr="00D66507">
          <w:rPr>
            <w:rStyle w:val="Hyperlink"/>
            <w:noProof/>
          </w:rPr>
          <w:t>T-DAB and S-DAB</w:t>
        </w:r>
        <w:r>
          <w:rPr>
            <w:noProof/>
            <w:webHidden/>
          </w:rPr>
          <w:tab/>
        </w:r>
        <w:r>
          <w:rPr>
            <w:noProof/>
            <w:webHidden/>
          </w:rPr>
          <w:fldChar w:fldCharType="begin"/>
        </w:r>
        <w:r>
          <w:rPr>
            <w:noProof/>
            <w:webHidden/>
          </w:rPr>
          <w:instrText xml:space="preserve"> PAGEREF _Toc349039223 \h </w:instrText>
        </w:r>
        <w:r>
          <w:rPr>
            <w:noProof/>
            <w:webHidden/>
          </w:rPr>
        </w:r>
        <w:r>
          <w:rPr>
            <w:noProof/>
            <w:webHidden/>
          </w:rPr>
          <w:fldChar w:fldCharType="separate"/>
        </w:r>
        <w:r>
          <w:rPr>
            <w:noProof/>
            <w:webHidden/>
          </w:rPr>
          <w:t>9</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24" w:history="1">
        <w:r w:rsidRPr="00D66507">
          <w:rPr>
            <w:rStyle w:val="Hyperlink"/>
            <w:noProof/>
          </w:rPr>
          <w:t>2.2.2</w:t>
        </w:r>
        <w:r>
          <w:rPr>
            <w:rFonts w:asciiTheme="minorHAnsi" w:eastAsiaTheme="minorEastAsia" w:hAnsiTheme="minorHAnsi" w:cstheme="minorBidi"/>
            <w:noProof/>
            <w:sz w:val="22"/>
            <w:szCs w:val="22"/>
            <w:lang w:val="da-DK" w:eastAsia="da-DK"/>
          </w:rPr>
          <w:tab/>
        </w:r>
        <w:r w:rsidRPr="00D66507">
          <w:rPr>
            <w:rStyle w:val="Hyperlink"/>
            <w:noProof/>
          </w:rPr>
          <w:t>Other uses</w:t>
        </w:r>
        <w:r>
          <w:rPr>
            <w:noProof/>
            <w:webHidden/>
          </w:rPr>
          <w:tab/>
        </w:r>
        <w:r>
          <w:rPr>
            <w:noProof/>
            <w:webHidden/>
          </w:rPr>
          <w:fldChar w:fldCharType="begin"/>
        </w:r>
        <w:r>
          <w:rPr>
            <w:noProof/>
            <w:webHidden/>
          </w:rPr>
          <w:instrText xml:space="preserve"> PAGEREF _Toc349039224 \h </w:instrText>
        </w:r>
        <w:r>
          <w:rPr>
            <w:noProof/>
            <w:webHidden/>
          </w:rPr>
        </w:r>
        <w:r>
          <w:rPr>
            <w:noProof/>
            <w:webHidden/>
          </w:rPr>
          <w:fldChar w:fldCharType="separate"/>
        </w:r>
        <w:r>
          <w:rPr>
            <w:noProof/>
            <w:webHidden/>
          </w:rPr>
          <w:t>10</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25" w:history="1">
        <w:r w:rsidRPr="00D66507">
          <w:rPr>
            <w:rStyle w:val="Hyperlink"/>
            <w:noProof/>
            <w:lang w:val="en-GB"/>
          </w:rPr>
          <w:t>2.3</w:t>
        </w:r>
        <w:r>
          <w:rPr>
            <w:rFonts w:asciiTheme="minorHAnsi" w:eastAsiaTheme="minorEastAsia" w:hAnsiTheme="minorHAnsi" w:cstheme="minorBidi"/>
            <w:noProof/>
            <w:sz w:val="22"/>
            <w:szCs w:val="22"/>
            <w:lang w:val="da-DK" w:eastAsia="da-DK"/>
          </w:rPr>
          <w:tab/>
        </w:r>
        <w:r w:rsidRPr="00D66507">
          <w:rPr>
            <w:rStyle w:val="Hyperlink"/>
            <w:noProof/>
            <w:lang w:val="en-GB"/>
          </w:rPr>
          <w:t>Current regulations and use outside CEPT</w:t>
        </w:r>
        <w:r>
          <w:rPr>
            <w:noProof/>
            <w:webHidden/>
          </w:rPr>
          <w:tab/>
        </w:r>
        <w:r>
          <w:rPr>
            <w:noProof/>
            <w:webHidden/>
          </w:rPr>
          <w:fldChar w:fldCharType="begin"/>
        </w:r>
        <w:r>
          <w:rPr>
            <w:noProof/>
            <w:webHidden/>
          </w:rPr>
          <w:instrText xml:space="preserve"> PAGEREF _Toc349039225 \h </w:instrText>
        </w:r>
        <w:r>
          <w:rPr>
            <w:noProof/>
            <w:webHidden/>
          </w:rPr>
        </w:r>
        <w:r>
          <w:rPr>
            <w:noProof/>
            <w:webHidden/>
          </w:rPr>
          <w:fldChar w:fldCharType="separate"/>
        </w:r>
        <w:r>
          <w:rPr>
            <w:noProof/>
            <w:webHidden/>
          </w:rPr>
          <w:t>10</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226" w:history="1">
        <w:r w:rsidRPr="00D66507">
          <w:rPr>
            <w:rStyle w:val="Hyperlink"/>
            <w:noProof/>
          </w:rPr>
          <w:t>3</w:t>
        </w:r>
        <w:r>
          <w:rPr>
            <w:rFonts w:asciiTheme="minorHAnsi" w:eastAsiaTheme="minorEastAsia" w:hAnsiTheme="minorHAnsi" w:cstheme="minorBidi"/>
            <w:b w:val="0"/>
            <w:caps w:val="0"/>
            <w:noProof/>
            <w:sz w:val="22"/>
            <w:szCs w:val="22"/>
            <w:lang w:val="da-DK" w:eastAsia="da-DK"/>
          </w:rPr>
          <w:tab/>
        </w:r>
        <w:r w:rsidRPr="00D66507">
          <w:rPr>
            <w:rStyle w:val="Hyperlink"/>
            <w:noProof/>
          </w:rPr>
          <w:t>Criteria of Impact ANALYsis</w:t>
        </w:r>
        <w:r>
          <w:rPr>
            <w:noProof/>
            <w:webHidden/>
          </w:rPr>
          <w:tab/>
        </w:r>
        <w:r>
          <w:rPr>
            <w:noProof/>
            <w:webHidden/>
          </w:rPr>
          <w:fldChar w:fldCharType="begin"/>
        </w:r>
        <w:r>
          <w:rPr>
            <w:noProof/>
            <w:webHidden/>
          </w:rPr>
          <w:instrText xml:space="preserve"> PAGEREF _Toc349039226 \h </w:instrText>
        </w:r>
        <w:r>
          <w:rPr>
            <w:noProof/>
            <w:webHidden/>
          </w:rPr>
        </w:r>
        <w:r>
          <w:rPr>
            <w:noProof/>
            <w:webHidden/>
          </w:rPr>
          <w:fldChar w:fldCharType="separate"/>
        </w:r>
        <w:r>
          <w:rPr>
            <w:noProof/>
            <w:webHidden/>
          </w:rPr>
          <w:t>10</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27" w:history="1">
        <w:r w:rsidRPr="00D66507">
          <w:rPr>
            <w:rStyle w:val="Hyperlink"/>
            <w:noProof/>
            <w:lang w:val="en-GB"/>
          </w:rPr>
          <w:t>3.1</w:t>
        </w:r>
        <w:r>
          <w:rPr>
            <w:rFonts w:asciiTheme="minorHAnsi" w:eastAsiaTheme="minorEastAsia" w:hAnsiTheme="minorHAnsi" w:cstheme="minorBidi"/>
            <w:noProof/>
            <w:sz w:val="22"/>
            <w:szCs w:val="22"/>
            <w:lang w:val="da-DK" w:eastAsia="da-DK"/>
          </w:rPr>
          <w:tab/>
        </w:r>
        <w:r w:rsidRPr="00D66507">
          <w:rPr>
            <w:rStyle w:val="Hyperlink"/>
            <w:noProof/>
            <w:lang w:val="en-GB"/>
          </w:rPr>
          <w:t>Criterion 1: Compatibility with the current regulatory framework</w:t>
        </w:r>
        <w:r>
          <w:rPr>
            <w:noProof/>
            <w:webHidden/>
          </w:rPr>
          <w:tab/>
        </w:r>
        <w:r>
          <w:rPr>
            <w:noProof/>
            <w:webHidden/>
          </w:rPr>
          <w:fldChar w:fldCharType="begin"/>
        </w:r>
        <w:r>
          <w:rPr>
            <w:noProof/>
            <w:webHidden/>
          </w:rPr>
          <w:instrText xml:space="preserve"> PAGEREF _Toc349039227 \h </w:instrText>
        </w:r>
        <w:r>
          <w:rPr>
            <w:noProof/>
            <w:webHidden/>
          </w:rPr>
        </w:r>
        <w:r>
          <w:rPr>
            <w:noProof/>
            <w:webHidden/>
          </w:rPr>
          <w:fldChar w:fldCharType="separate"/>
        </w:r>
        <w:r>
          <w:rPr>
            <w:noProof/>
            <w:webHidden/>
          </w:rPr>
          <w:t>10</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28" w:history="1">
        <w:r w:rsidRPr="00D66507">
          <w:rPr>
            <w:rStyle w:val="Hyperlink"/>
            <w:noProof/>
            <w:lang w:val="en-GB"/>
          </w:rPr>
          <w:t>3.2</w:t>
        </w:r>
        <w:r>
          <w:rPr>
            <w:rFonts w:asciiTheme="minorHAnsi" w:eastAsiaTheme="minorEastAsia" w:hAnsiTheme="minorHAnsi" w:cstheme="minorBidi"/>
            <w:noProof/>
            <w:sz w:val="22"/>
            <w:szCs w:val="22"/>
            <w:lang w:val="da-DK" w:eastAsia="da-DK"/>
          </w:rPr>
          <w:tab/>
        </w:r>
        <w:r w:rsidRPr="00D66507">
          <w:rPr>
            <w:rStyle w:val="Hyperlink"/>
            <w:noProof/>
            <w:lang w:val="en-GB"/>
          </w:rPr>
          <w:t>Criterion 2: Possibility to share with other applications/uses</w:t>
        </w:r>
        <w:r>
          <w:rPr>
            <w:noProof/>
            <w:webHidden/>
          </w:rPr>
          <w:tab/>
        </w:r>
        <w:r>
          <w:rPr>
            <w:noProof/>
            <w:webHidden/>
          </w:rPr>
          <w:fldChar w:fldCharType="begin"/>
        </w:r>
        <w:r>
          <w:rPr>
            <w:noProof/>
            <w:webHidden/>
          </w:rPr>
          <w:instrText xml:space="preserve"> PAGEREF _Toc349039228 \h </w:instrText>
        </w:r>
        <w:r>
          <w:rPr>
            <w:noProof/>
            <w:webHidden/>
          </w:rPr>
        </w:r>
        <w:r>
          <w:rPr>
            <w:noProof/>
            <w:webHidden/>
          </w:rPr>
          <w:fldChar w:fldCharType="separate"/>
        </w:r>
        <w:r>
          <w:rPr>
            <w:noProof/>
            <w:webHidden/>
          </w:rPr>
          <w:t>10</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29" w:history="1">
        <w:r w:rsidRPr="00D66507">
          <w:rPr>
            <w:rStyle w:val="Hyperlink"/>
            <w:noProof/>
            <w:lang w:val="en-GB"/>
          </w:rPr>
          <w:t>3.3</w:t>
        </w:r>
        <w:r>
          <w:rPr>
            <w:rFonts w:asciiTheme="minorHAnsi" w:eastAsiaTheme="minorEastAsia" w:hAnsiTheme="minorHAnsi" w:cstheme="minorBidi"/>
            <w:noProof/>
            <w:sz w:val="22"/>
            <w:szCs w:val="22"/>
            <w:lang w:val="da-DK" w:eastAsia="da-DK"/>
          </w:rPr>
          <w:tab/>
        </w:r>
        <w:r w:rsidRPr="00D66507">
          <w:rPr>
            <w:rStyle w:val="Hyperlink"/>
            <w:noProof/>
            <w:lang w:val="en-GB"/>
          </w:rPr>
          <w:t>Criterion 3: Extent (maximisation) of social and economic benefits</w:t>
        </w:r>
        <w:r>
          <w:rPr>
            <w:noProof/>
            <w:webHidden/>
          </w:rPr>
          <w:tab/>
        </w:r>
        <w:r>
          <w:rPr>
            <w:noProof/>
            <w:webHidden/>
          </w:rPr>
          <w:fldChar w:fldCharType="begin"/>
        </w:r>
        <w:r>
          <w:rPr>
            <w:noProof/>
            <w:webHidden/>
          </w:rPr>
          <w:instrText xml:space="preserve"> PAGEREF _Toc349039229 \h </w:instrText>
        </w:r>
        <w:r>
          <w:rPr>
            <w:noProof/>
            <w:webHidden/>
          </w:rPr>
        </w:r>
        <w:r>
          <w:rPr>
            <w:noProof/>
            <w:webHidden/>
          </w:rPr>
          <w:fldChar w:fldCharType="separate"/>
        </w:r>
        <w:r>
          <w:rPr>
            <w:noProof/>
            <w:webHidden/>
          </w:rPr>
          <w:t>11</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30" w:history="1">
        <w:r w:rsidRPr="00D66507">
          <w:rPr>
            <w:rStyle w:val="Hyperlink"/>
            <w:noProof/>
            <w:lang w:val="en-GB"/>
          </w:rPr>
          <w:t>3.4</w:t>
        </w:r>
        <w:r>
          <w:rPr>
            <w:rFonts w:asciiTheme="minorHAnsi" w:eastAsiaTheme="minorEastAsia" w:hAnsiTheme="minorHAnsi" w:cstheme="minorBidi"/>
            <w:noProof/>
            <w:sz w:val="22"/>
            <w:szCs w:val="22"/>
            <w:lang w:val="da-DK" w:eastAsia="da-DK"/>
          </w:rPr>
          <w:tab/>
        </w:r>
        <w:r w:rsidRPr="00D66507">
          <w:rPr>
            <w:rStyle w:val="Hyperlink"/>
            <w:noProof/>
            <w:lang w:val="en-GB"/>
          </w:rPr>
          <w:t>Criterion 4: Timeframe for availability of equipment on a large scale and for application deployment - status of standardisation</w:t>
        </w:r>
        <w:r>
          <w:rPr>
            <w:noProof/>
            <w:webHidden/>
          </w:rPr>
          <w:tab/>
        </w:r>
        <w:r>
          <w:rPr>
            <w:noProof/>
            <w:webHidden/>
          </w:rPr>
          <w:fldChar w:fldCharType="begin"/>
        </w:r>
        <w:r>
          <w:rPr>
            <w:noProof/>
            <w:webHidden/>
          </w:rPr>
          <w:instrText xml:space="preserve"> PAGEREF _Toc349039230 \h </w:instrText>
        </w:r>
        <w:r>
          <w:rPr>
            <w:noProof/>
            <w:webHidden/>
          </w:rPr>
        </w:r>
        <w:r>
          <w:rPr>
            <w:noProof/>
            <w:webHidden/>
          </w:rPr>
          <w:fldChar w:fldCharType="separate"/>
        </w:r>
        <w:r>
          <w:rPr>
            <w:noProof/>
            <w:webHidden/>
          </w:rPr>
          <w:t>11</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31" w:history="1">
        <w:r w:rsidRPr="00D66507">
          <w:rPr>
            <w:rStyle w:val="Hyperlink"/>
            <w:noProof/>
            <w:lang w:val="en-GB"/>
          </w:rPr>
          <w:t>3.5</w:t>
        </w:r>
        <w:r>
          <w:rPr>
            <w:rFonts w:asciiTheme="minorHAnsi" w:eastAsiaTheme="minorEastAsia" w:hAnsiTheme="minorHAnsi" w:cstheme="minorBidi"/>
            <w:noProof/>
            <w:sz w:val="22"/>
            <w:szCs w:val="22"/>
            <w:lang w:val="da-DK" w:eastAsia="da-DK"/>
          </w:rPr>
          <w:tab/>
        </w:r>
        <w:r w:rsidRPr="00D66507">
          <w:rPr>
            <w:rStyle w:val="Hyperlink"/>
            <w:noProof/>
            <w:lang w:val="en-GB"/>
          </w:rPr>
          <w:t>Criterion 5: Potential for economy of scale (need and potential for harmonisation within and outside CEPT)</w:t>
        </w:r>
        <w:r>
          <w:rPr>
            <w:noProof/>
            <w:webHidden/>
          </w:rPr>
          <w:tab/>
        </w:r>
        <w:r>
          <w:rPr>
            <w:noProof/>
            <w:webHidden/>
          </w:rPr>
          <w:fldChar w:fldCharType="begin"/>
        </w:r>
        <w:r>
          <w:rPr>
            <w:noProof/>
            <w:webHidden/>
          </w:rPr>
          <w:instrText xml:space="preserve"> PAGEREF _Toc349039231 \h </w:instrText>
        </w:r>
        <w:r>
          <w:rPr>
            <w:noProof/>
            <w:webHidden/>
          </w:rPr>
        </w:r>
        <w:r>
          <w:rPr>
            <w:noProof/>
            <w:webHidden/>
          </w:rPr>
          <w:fldChar w:fldCharType="separate"/>
        </w:r>
        <w:r>
          <w:rPr>
            <w:noProof/>
            <w:webHidden/>
          </w:rPr>
          <w:t>11</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232" w:history="1">
        <w:r w:rsidRPr="00D66507">
          <w:rPr>
            <w:rStyle w:val="Hyperlink"/>
            <w:noProof/>
          </w:rPr>
          <w:t>4</w:t>
        </w:r>
        <w:r>
          <w:rPr>
            <w:rFonts w:asciiTheme="minorHAnsi" w:eastAsiaTheme="minorEastAsia" w:hAnsiTheme="minorHAnsi" w:cstheme="minorBidi"/>
            <w:b w:val="0"/>
            <w:caps w:val="0"/>
            <w:noProof/>
            <w:sz w:val="22"/>
            <w:szCs w:val="22"/>
            <w:lang w:val="da-DK" w:eastAsia="da-DK"/>
          </w:rPr>
          <w:tab/>
        </w:r>
        <w:r w:rsidRPr="00D66507">
          <w:rPr>
            <w:rStyle w:val="Hyperlink"/>
            <w:noProof/>
          </w:rPr>
          <w:t>Description of the candidate applications, including spectrum needs</w:t>
        </w:r>
        <w:r>
          <w:rPr>
            <w:noProof/>
            <w:webHidden/>
          </w:rPr>
          <w:tab/>
        </w:r>
        <w:r>
          <w:rPr>
            <w:noProof/>
            <w:webHidden/>
          </w:rPr>
          <w:fldChar w:fldCharType="begin"/>
        </w:r>
        <w:r>
          <w:rPr>
            <w:noProof/>
            <w:webHidden/>
          </w:rPr>
          <w:instrText xml:space="preserve"> PAGEREF _Toc349039232 \h </w:instrText>
        </w:r>
        <w:r>
          <w:rPr>
            <w:noProof/>
            <w:webHidden/>
          </w:rPr>
        </w:r>
        <w:r>
          <w:rPr>
            <w:noProof/>
            <w:webHidden/>
          </w:rPr>
          <w:fldChar w:fldCharType="separate"/>
        </w:r>
        <w:r>
          <w:rPr>
            <w:noProof/>
            <w:webHidden/>
          </w:rPr>
          <w:t>11</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33" w:history="1">
        <w:r w:rsidRPr="00D66507">
          <w:rPr>
            <w:rStyle w:val="Hyperlink"/>
            <w:noProof/>
            <w:lang w:val="en-GB"/>
          </w:rPr>
          <w:t>4.1</w:t>
        </w:r>
        <w:r>
          <w:rPr>
            <w:rFonts w:asciiTheme="minorHAnsi" w:eastAsiaTheme="minorEastAsia" w:hAnsiTheme="minorHAnsi" w:cstheme="minorBidi"/>
            <w:noProof/>
            <w:sz w:val="22"/>
            <w:szCs w:val="22"/>
            <w:lang w:val="da-DK" w:eastAsia="da-DK"/>
          </w:rPr>
          <w:tab/>
        </w:r>
        <w:r w:rsidRPr="00D66507">
          <w:rPr>
            <w:rStyle w:val="Hyperlink"/>
            <w:noProof/>
            <w:lang w:val="en-GB"/>
          </w:rPr>
          <w:t>Application one: Terrestrial broadcasting</w:t>
        </w:r>
        <w:r>
          <w:rPr>
            <w:noProof/>
            <w:webHidden/>
          </w:rPr>
          <w:tab/>
        </w:r>
        <w:r>
          <w:rPr>
            <w:noProof/>
            <w:webHidden/>
          </w:rPr>
          <w:fldChar w:fldCharType="begin"/>
        </w:r>
        <w:r>
          <w:rPr>
            <w:noProof/>
            <w:webHidden/>
          </w:rPr>
          <w:instrText xml:space="preserve"> PAGEREF _Toc349039233 \h </w:instrText>
        </w:r>
        <w:r>
          <w:rPr>
            <w:noProof/>
            <w:webHidden/>
          </w:rPr>
        </w:r>
        <w:r>
          <w:rPr>
            <w:noProof/>
            <w:webHidden/>
          </w:rPr>
          <w:fldChar w:fldCharType="separate"/>
        </w:r>
        <w:r>
          <w:rPr>
            <w:noProof/>
            <w:webHidden/>
          </w:rPr>
          <w:t>11</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34" w:history="1">
        <w:r w:rsidRPr="00D66507">
          <w:rPr>
            <w:rStyle w:val="Hyperlink"/>
            <w:iCs/>
            <w:noProof/>
          </w:rPr>
          <w:t>4.1.1</w:t>
        </w:r>
        <w:r>
          <w:rPr>
            <w:rFonts w:asciiTheme="minorHAnsi" w:eastAsiaTheme="minorEastAsia" w:hAnsiTheme="minorHAnsi" w:cstheme="minorBidi"/>
            <w:noProof/>
            <w:sz w:val="22"/>
            <w:szCs w:val="22"/>
            <w:lang w:val="da-DK" w:eastAsia="da-DK"/>
          </w:rPr>
          <w:tab/>
        </w:r>
        <w:r w:rsidRPr="00D66507">
          <w:rPr>
            <w:rStyle w:val="Hyperlink"/>
            <w:noProof/>
          </w:rPr>
          <w:t>Description</w:t>
        </w:r>
        <w:r>
          <w:rPr>
            <w:noProof/>
            <w:webHidden/>
          </w:rPr>
          <w:tab/>
        </w:r>
        <w:r>
          <w:rPr>
            <w:noProof/>
            <w:webHidden/>
          </w:rPr>
          <w:fldChar w:fldCharType="begin"/>
        </w:r>
        <w:r>
          <w:rPr>
            <w:noProof/>
            <w:webHidden/>
          </w:rPr>
          <w:instrText xml:space="preserve"> PAGEREF _Toc349039234 \h </w:instrText>
        </w:r>
        <w:r>
          <w:rPr>
            <w:noProof/>
            <w:webHidden/>
          </w:rPr>
        </w:r>
        <w:r>
          <w:rPr>
            <w:noProof/>
            <w:webHidden/>
          </w:rPr>
          <w:fldChar w:fldCharType="separate"/>
        </w:r>
        <w:r>
          <w:rPr>
            <w:noProof/>
            <w:webHidden/>
          </w:rPr>
          <w:t>11</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35" w:history="1">
        <w:r w:rsidRPr="00D66507">
          <w:rPr>
            <w:rStyle w:val="Hyperlink"/>
            <w:noProof/>
          </w:rPr>
          <w:t>4.1.2</w:t>
        </w:r>
        <w:r>
          <w:rPr>
            <w:rFonts w:asciiTheme="minorHAnsi" w:eastAsiaTheme="minorEastAsia" w:hAnsiTheme="minorHAnsi" w:cstheme="minorBidi"/>
            <w:noProof/>
            <w:sz w:val="22"/>
            <w:szCs w:val="22"/>
            <w:lang w:val="da-DK" w:eastAsia="da-DK"/>
          </w:rPr>
          <w:tab/>
        </w:r>
        <w:r w:rsidRPr="00D66507">
          <w:rPr>
            <w:rStyle w:val="Hyperlink"/>
            <w:noProof/>
          </w:rPr>
          <w:t>Justification</w:t>
        </w:r>
        <w:r>
          <w:rPr>
            <w:noProof/>
            <w:webHidden/>
          </w:rPr>
          <w:tab/>
        </w:r>
        <w:r>
          <w:rPr>
            <w:noProof/>
            <w:webHidden/>
          </w:rPr>
          <w:fldChar w:fldCharType="begin"/>
        </w:r>
        <w:r>
          <w:rPr>
            <w:noProof/>
            <w:webHidden/>
          </w:rPr>
          <w:instrText xml:space="preserve"> PAGEREF _Toc349039235 \h </w:instrText>
        </w:r>
        <w:r>
          <w:rPr>
            <w:noProof/>
            <w:webHidden/>
          </w:rPr>
        </w:r>
        <w:r>
          <w:rPr>
            <w:noProof/>
            <w:webHidden/>
          </w:rPr>
          <w:fldChar w:fldCharType="separate"/>
        </w:r>
        <w:r>
          <w:rPr>
            <w:noProof/>
            <w:webHidden/>
          </w:rPr>
          <w:t>13</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36" w:history="1">
        <w:r w:rsidRPr="00D66507">
          <w:rPr>
            <w:rStyle w:val="Hyperlink"/>
            <w:noProof/>
          </w:rPr>
          <w:t>4.1.3</w:t>
        </w:r>
        <w:r>
          <w:rPr>
            <w:rFonts w:asciiTheme="minorHAnsi" w:eastAsiaTheme="minorEastAsia" w:hAnsiTheme="minorHAnsi" w:cstheme="minorBidi"/>
            <w:noProof/>
            <w:sz w:val="22"/>
            <w:szCs w:val="22"/>
            <w:lang w:val="da-DK" w:eastAsia="da-DK"/>
          </w:rPr>
          <w:tab/>
        </w:r>
        <w:r w:rsidRPr="00D66507">
          <w:rPr>
            <w:rStyle w:val="Hyperlink"/>
            <w:noProof/>
          </w:rPr>
          <w:t>Spectrum requirements</w:t>
        </w:r>
        <w:r>
          <w:rPr>
            <w:noProof/>
            <w:webHidden/>
          </w:rPr>
          <w:tab/>
        </w:r>
        <w:r>
          <w:rPr>
            <w:noProof/>
            <w:webHidden/>
          </w:rPr>
          <w:fldChar w:fldCharType="begin"/>
        </w:r>
        <w:r>
          <w:rPr>
            <w:noProof/>
            <w:webHidden/>
          </w:rPr>
          <w:instrText xml:space="preserve"> PAGEREF _Toc349039236 \h </w:instrText>
        </w:r>
        <w:r>
          <w:rPr>
            <w:noProof/>
            <w:webHidden/>
          </w:rPr>
        </w:r>
        <w:r>
          <w:rPr>
            <w:noProof/>
            <w:webHidden/>
          </w:rPr>
          <w:fldChar w:fldCharType="separate"/>
        </w:r>
        <w:r>
          <w:rPr>
            <w:noProof/>
            <w:webHidden/>
          </w:rPr>
          <w:t>13</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37" w:history="1">
        <w:r w:rsidRPr="00D66507">
          <w:rPr>
            <w:rStyle w:val="Hyperlink"/>
            <w:noProof/>
            <w:lang w:val="en-GB"/>
          </w:rPr>
          <w:t>4.2</w:t>
        </w:r>
        <w:r>
          <w:rPr>
            <w:rFonts w:asciiTheme="minorHAnsi" w:eastAsiaTheme="minorEastAsia" w:hAnsiTheme="minorHAnsi" w:cstheme="minorBidi"/>
            <w:noProof/>
            <w:sz w:val="22"/>
            <w:szCs w:val="22"/>
            <w:lang w:val="da-DK" w:eastAsia="da-DK"/>
          </w:rPr>
          <w:tab/>
        </w:r>
        <w:r w:rsidRPr="00D66507">
          <w:rPr>
            <w:rStyle w:val="Hyperlink"/>
            <w:noProof/>
            <w:lang w:val="en-GB"/>
          </w:rPr>
          <w:t>Application two: Mobile Broadband</w:t>
        </w:r>
        <w:r>
          <w:rPr>
            <w:noProof/>
            <w:webHidden/>
          </w:rPr>
          <w:tab/>
        </w:r>
        <w:r>
          <w:rPr>
            <w:noProof/>
            <w:webHidden/>
          </w:rPr>
          <w:fldChar w:fldCharType="begin"/>
        </w:r>
        <w:r>
          <w:rPr>
            <w:noProof/>
            <w:webHidden/>
          </w:rPr>
          <w:instrText xml:space="preserve"> PAGEREF _Toc349039237 \h </w:instrText>
        </w:r>
        <w:r>
          <w:rPr>
            <w:noProof/>
            <w:webHidden/>
          </w:rPr>
        </w:r>
        <w:r>
          <w:rPr>
            <w:noProof/>
            <w:webHidden/>
          </w:rPr>
          <w:fldChar w:fldCharType="separate"/>
        </w:r>
        <w:r>
          <w:rPr>
            <w:noProof/>
            <w:webHidden/>
          </w:rPr>
          <w:t>13</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38" w:history="1">
        <w:r w:rsidRPr="00D66507">
          <w:rPr>
            <w:rStyle w:val="Hyperlink"/>
            <w:noProof/>
          </w:rPr>
          <w:t>4.2.1</w:t>
        </w:r>
        <w:r>
          <w:rPr>
            <w:rFonts w:asciiTheme="minorHAnsi" w:eastAsiaTheme="minorEastAsia" w:hAnsiTheme="minorHAnsi" w:cstheme="minorBidi"/>
            <w:noProof/>
            <w:sz w:val="22"/>
            <w:szCs w:val="22"/>
            <w:lang w:val="da-DK" w:eastAsia="da-DK"/>
          </w:rPr>
          <w:tab/>
        </w:r>
        <w:r w:rsidRPr="00D66507">
          <w:rPr>
            <w:rStyle w:val="Hyperlink"/>
            <w:noProof/>
          </w:rPr>
          <w:t>Description</w:t>
        </w:r>
        <w:r>
          <w:rPr>
            <w:noProof/>
            <w:webHidden/>
          </w:rPr>
          <w:tab/>
        </w:r>
        <w:r>
          <w:rPr>
            <w:noProof/>
            <w:webHidden/>
          </w:rPr>
          <w:fldChar w:fldCharType="begin"/>
        </w:r>
        <w:r>
          <w:rPr>
            <w:noProof/>
            <w:webHidden/>
          </w:rPr>
          <w:instrText xml:space="preserve"> PAGEREF _Toc349039238 \h </w:instrText>
        </w:r>
        <w:r>
          <w:rPr>
            <w:noProof/>
            <w:webHidden/>
          </w:rPr>
        </w:r>
        <w:r>
          <w:rPr>
            <w:noProof/>
            <w:webHidden/>
          </w:rPr>
          <w:fldChar w:fldCharType="separate"/>
        </w:r>
        <w:r>
          <w:rPr>
            <w:noProof/>
            <w:webHidden/>
          </w:rPr>
          <w:t>13</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39" w:history="1">
        <w:r w:rsidRPr="00D66507">
          <w:rPr>
            <w:rStyle w:val="Hyperlink"/>
            <w:noProof/>
          </w:rPr>
          <w:t>4.2.2</w:t>
        </w:r>
        <w:r>
          <w:rPr>
            <w:rFonts w:asciiTheme="minorHAnsi" w:eastAsiaTheme="minorEastAsia" w:hAnsiTheme="minorHAnsi" w:cstheme="minorBidi"/>
            <w:noProof/>
            <w:sz w:val="22"/>
            <w:szCs w:val="22"/>
            <w:lang w:val="da-DK" w:eastAsia="da-DK"/>
          </w:rPr>
          <w:tab/>
        </w:r>
        <w:r w:rsidRPr="00D66507">
          <w:rPr>
            <w:rStyle w:val="Hyperlink"/>
            <w:noProof/>
          </w:rPr>
          <w:t>Justification</w:t>
        </w:r>
        <w:r>
          <w:rPr>
            <w:noProof/>
            <w:webHidden/>
          </w:rPr>
          <w:tab/>
        </w:r>
        <w:r>
          <w:rPr>
            <w:noProof/>
            <w:webHidden/>
          </w:rPr>
          <w:fldChar w:fldCharType="begin"/>
        </w:r>
        <w:r>
          <w:rPr>
            <w:noProof/>
            <w:webHidden/>
          </w:rPr>
          <w:instrText xml:space="preserve"> PAGEREF _Toc349039239 \h </w:instrText>
        </w:r>
        <w:r>
          <w:rPr>
            <w:noProof/>
            <w:webHidden/>
          </w:rPr>
        </w:r>
        <w:r>
          <w:rPr>
            <w:noProof/>
            <w:webHidden/>
          </w:rPr>
          <w:fldChar w:fldCharType="separate"/>
        </w:r>
        <w:r>
          <w:rPr>
            <w:noProof/>
            <w:webHidden/>
          </w:rPr>
          <w:t>14</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40" w:history="1">
        <w:r w:rsidRPr="00D66507">
          <w:rPr>
            <w:rStyle w:val="Hyperlink"/>
            <w:noProof/>
          </w:rPr>
          <w:t>4.2.3</w:t>
        </w:r>
        <w:r>
          <w:rPr>
            <w:rFonts w:asciiTheme="minorHAnsi" w:eastAsiaTheme="minorEastAsia" w:hAnsiTheme="minorHAnsi" w:cstheme="minorBidi"/>
            <w:noProof/>
            <w:sz w:val="22"/>
            <w:szCs w:val="22"/>
            <w:lang w:val="da-DK" w:eastAsia="da-DK"/>
          </w:rPr>
          <w:tab/>
        </w:r>
        <w:r w:rsidRPr="00D66507">
          <w:rPr>
            <w:rStyle w:val="Hyperlink"/>
            <w:noProof/>
          </w:rPr>
          <w:t>Spectrum requirements</w:t>
        </w:r>
        <w:r>
          <w:rPr>
            <w:noProof/>
            <w:webHidden/>
          </w:rPr>
          <w:tab/>
        </w:r>
        <w:r>
          <w:rPr>
            <w:noProof/>
            <w:webHidden/>
          </w:rPr>
          <w:fldChar w:fldCharType="begin"/>
        </w:r>
        <w:r>
          <w:rPr>
            <w:noProof/>
            <w:webHidden/>
          </w:rPr>
          <w:instrText xml:space="preserve"> PAGEREF _Toc349039240 \h </w:instrText>
        </w:r>
        <w:r>
          <w:rPr>
            <w:noProof/>
            <w:webHidden/>
          </w:rPr>
        </w:r>
        <w:r>
          <w:rPr>
            <w:noProof/>
            <w:webHidden/>
          </w:rPr>
          <w:fldChar w:fldCharType="separate"/>
        </w:r>
        <w:r>
          <w:rPr>
            <w:noProof/>
            <w:webHidden/>
          </w:rPr>
          <w:t>14</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41" w:history="1">
        <w:r w:rsidRPr="00D66507">
          <w:rPr>
            <w:rStyle w:val="Hyperlink"/>
            <w:noProof/>
            <w:lang w:val="en-GB"/>
          </w:rPr>
          <w:t>4.3</w:t>
        </w:r>
        <w:r>
          <w:rPr>
            <w:rFonts w:asciiTheme="minorHAnsi" w:eastAsiaTheme="minorEastAsia" w:hAnsiTheme="minorHAnsi" w:cstheme="minorBidi"/>
            <w:noProof/>
            <w:sz w:val="22"/>
            <w:szCs w:val="22"/>
            <w:lang w:val="da-DK" w:eastAsia="da-DK"/>
          </w:rPr>
          <w:tab/>
        </w:r>
        <w:r w:rsidRPr="00D66507">
          <w:rPr>
            <w:rStyle w:val="Hyperlink"/>
            <w:noProof/>
            <w:lang w:val="en-GB"/>
          </w:rPr>
          <w:t>Application three: Mobile Supplemental Downlink</w:t>
        </w:r>
        <w:r>
          <w:rPr>
            <w:noProof/>
            <w:webHidden/>
          </w:rPr>
          <w:tab/>
        </w:r>
        <w:r>
          <w:rPr>
            <w:noProof/>
            <w:webHidden/>
          </w:rPr>
          <w:fldChar w:fldCharType="begin"/>
        </w:r>
        <w:r>
          <w:rPr>
            <w:noProof/>
            <w:webHidden/>
          </w:rPr>
          <w:instrText xml:space="preserve"> PAGEREF _Toc349039241 \h </w:instrText>
        </w:r>
        <w:r>
          <w:rPr>
            <w:noProof/>
            <w:webHidden/>
          </w:rPr>
        </w:r>
        <w:r>
          <w:rPr>
            <w:noProof/>
            <w:webHidden/>
          </w:rPr>
          <w:fldChar w:fldCharType="separate"/>
        </w:r>
        <w:r>
          <w:rPr>
            <w:noProof/>
            <w:webHidden/>
          </w:rPr>
          <w:t>15</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42" w:history="1">
        <w:r w:rsidRPr="00D66507">
          <w:rPr>
            <w:rStyle w:val="Hyperlink"/>
            <w:noProof/>
          </w:rPr>
          <w:t>4.3.1</w:t>
        </w:r>
        <w:r>
          <w:rPr>
            <w:rFonts w:asciiTheme="minorHAnsi" w:eastAsiaTheme="minorEastAsia" w:hAnsiTheme="minorHAnsi" w:cstheme="minorBidi"/>
            <w:noProof/>
            <w:sz w:val="22"/>
            <w:szCs w:val="22"/>
            <w:lang w:val="da-DK" w:eastAsia="da-DK"/>
          </w:rPr>
          <w:tab/>
        </w:r>
        <w:r w:rsidRPr="00D66507">
          <w:rPr>
            <w:rStyle w:val="Hyperlink"/>
            <w:noProof/>
          </w:rPr>
          <w:t>Description</w:t>
        </w:r>
        <w:r>
          <w:rPr>
            <w:noProof/>
            <w:webHidden/>
          </w:rPr>
          <w:tab/>
        </w:r>
        <w:r>
          <w:rPr>
            <w:noProof/>
            <w:webHidden/>
          </w:rPr>
          <w:fldChar w:fldCharType="begin"/>
        </w:r>
        <w:r>
          <w:rPr>
            <w:noProof/>
            <w:webHidden/>
          </w:rPr>
          <w:instrText xml:space="preserve"> PAGEREF _Toc349039242 \h </w:instrText>
        </w:r>
        <w:r>
          <w:rPr>
            <w:noProof/>
            <w:webHidden/>
          </w:rPr>
        </w:r>
        <w:r>
          <w:rPr>
            <w:noProof/>
            <w:webHidden/>
          </w:rPr>
          <w:fldChar w:fldCharType="separate"/>
        </w:r>
        <w:r>
          <w:rPr>
            <w:noProof/>
            <w:webHidden/>
          </w:rPr>
          <w:t>15</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43" w:history="1">
        <w:r w:rsidRPr="00D66507">
          <w:rPr>
            <w:rStyle w:val="Hyperlink"/>
            <w:noProof/>
          </w:rPr>
          <w:t>4.3.2</w:t>
        </w:r>
        <w:r>
          <w:rPr>
            <w:rFonts w:asciiTheme="minorHAnsi" w:eastAsiaTheme="minorEastAsia" w:hAnsiTheme="minorHAnsi" w:cstheme="minorBidi"/>
            <w:noProof/>
            <w:sz w:val="22"/>
            <w:szCs w:val="22"/>
            <w:lang w:val="da-DK" w:eastAsia="da-DK"/>
          </w:rPr>
          <w:tab/>
        </w:r>
        <w:r w:rsidRPr="00D66507">
          <w:rPr>
            <w:rStyle w:val="Hyperlink"/>
            <w:noProof/>
          </w:rPr>
          <w:t>Justification</w:t>
        </w:r>
        <w:r>
          <w:rPr>
            <w:noProof/>
            <w:webHidden/>
          </w:rPr>
          <w:tab/>
        </w:r>
        <w:r>
          <w:rPr>
            <w:noProof/>
            <w:webHidden/>
          </w:rPr>
          <w:fldChar w:fldCharType="begin"/>
        </w:r>
        <w:r>
          <w:rPr>
            <w:noProof/>
            <w:webHidden/>
          </w:rPr>
          <w:instrText xml:space="preserve"> PAGEREF _Toc349039243 \h </w:instrText>
        </w:r>
        <w:r>
          <w:rPr>
            <w:noProof/>
            <w:webHidden/>
          </w:rPr>
        </w:r>
        <w:r>
          <w:rPr>
            <w:noProof/>
            <w:webHidden/>
          </w:rPr>
          <w:fldChar w:fldCharType="separate"/>
        </w:r>
        <w:r>
          <w:rPr>
            <w:noProof/>
            <w:webHidden/>
          </w:rPr>
          <w:t>16</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44" w:history="1">
        <w:r w:rsidRPr="00D66507">
          <w:rPr>
            <w:rStyle w:val="Hyperlink"/>
            <w:noProof/>
          </w:rPr>
          <w:t>4.3.3</w:t>
        </w:r>
        <w:r>
          <w:rPr>
            <w:rFonts w:asciiTheme="minorHAnsi" w:eastAsiaTheme="minorEastAsia" w:hAnsiTheme="minorHAnsi" w:cstheme="minorBidi"/>
            <w:noProof/>
            <w:sz w:val="22"/>
            <w:szCs w:val="22"/>
            <w:lang w:val="da-DK" w:eastAsia="da-DK"/>
          </w:rPr>
          <w:tab/>
        </w:r>
        <w:r w:rsidRPr="00D66507">
          <w:rPr>
            <w:rStyle w:val="Hyperlink"/>
            <w:noProof/>
          </w:rPr>
          <w:t>Spectrum requirements</w:t>
        </w:r>
        <w:r>
          <w:rPr>
            <w:noProof/>
            <w:webHidden/>
          </w:rPr>
          <w:tab/>
        </w:r>
        <w:r>
          <w:rPr>
            <w:noProof/>
            <w:webHidden/>
          </w:rPr>
          <w:fldChar w:fldCharType="begin"/>
        </w:r>
        <w:r>
          <w:rPr>
            <w:noProof/>
            <w:webHidden/>
          </w:rPr>
          <w:instrText xml:space="preserve"> PAGEREF _Toc349039244 \h </w:instrText>
        </w:r>
        <w:r>
          <w:rPr>
            <w:noProof/>
            <w:webHidden/>
          </w:rPr>
        </w:r>
        <w:r>
          <w:rPr>
            <w:noProof/>
            <w:webHidden/>
          </w:rPr>
          <w:fldChar w:fldCharType="separate"/>
        </w:r>
        <w:r>
          <w:rPr>
            <w:noProof/>
            <w:webHidden/>
          </w:rPr>
          <w:t>17</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45" w:history="1">
        <w:r w:rsidRPr="00D66507">
          <w:rPr>
            <w:rStyle w:val="Hyperlink"/>
            <w:noProof/>
            <w:lang w:val="en-GB"/>
          </w:rPr>
          <w:t>4.4</w:t>
        </w:r>
        <w:r>
          <w:rPr>
            <w:rFonts w:asciiTheme="minorHAnsi" w:eastAsiaTheme="minorEastAsia" w:hAnsiTheme="minorHAnsi" w:cstheme="minorBidi"/>
            <w:noProof/>
            <w:sz w:val="22"/>
            <w:szCs w:val="22"/>
            <w:lang w:val="da-DK" w:eastAsia="da-DK"/>
          </w:rPr>
          <w:tab/>
        </w:r>
        <w:r w:rsidRPr="00D66507">
          <w:rPr>
            <w:rStyle w:val="Hyperlink"/>
            <w:noProof/>
            <w:lang w:val="en-GB"/>
          </w:rPr>
          <w:t>application four: Satellite Digital Audio Broadcasting (S-DAB)</w:t>
        </w:r>
        <w:r>
          <w:rPr>
            <w:noProof/>
            <w:webHidden/>
          </w:rPr>
          <w:tab/>
        </w:r>
        <w:r>
          <w:rPr>
            <w:noProof/>
            <w:webHidden/>
          </w:rPr>
          <w:fldChar w:fldCharType="begin"/>
        </w:r>
        <w:r>
          <w:rPr>
            <w:noProof/>
            <w:webHidden/>
          </w:rPr>
          <w:instrText xml:space="preserve"> PAGEREF _Toc349039245 \h </w:instrText>
        </w:r>
        <w:r>
          <w:rPr>
            <w:noProof/>
            <w:webHidden/>
          </w:rPr>
        </w:r>
        <w:r>
          <w:rPr>
            <w:noProof/>
            <w:webHidden/>
          </w:rPr>
          <w:fldChar w:fldCharType="separate"/>
        </w:r>
        <w:r>
          <w:rPr>
            <w:noProof/>
            <w:webHidden/>
          </w:rPr>
          <w:t>17</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46" w:history="1">
        <w:r w:rsidRPr="00D66507">
          <w:rPr>
            <w:rStyle w:val="Hyperlink"/>
            <w:noProof/>
          </w:rPr>
          <w:t>4.4.1</w:t>
        </w:r>
        <w:r>
          <w:rPr>
            <w:rFonts w:asciiTheme="minorHAnsi" w:eastAsiaTheme="minorEastAsia" w:hAnsiTheme="minorHAnsi" w:cstheme="minorBidi"/>
            <w:noProof/>
            <w:sz w:val="22"/>
            <w:szCs w:val="22"/>
            <w:lang w:val="da-DK" w:eastAsia="da-DK"/>
          </w:rPr>
          <w:tab/>
        </w:r>
        <w:r w:rsidRPr="00D66507">
          <w:rPr>
            <w:rStyle w:val="Hyperlink"/>
            <w:noProof/>
          </w:rPr>
          <w:t>Description</w:t>
        </w:r>
        <w:r>
          <w:rPr>
            <w:noProof/>
            <w:webHidden/>
          </w:rPr>
          <w:tab/>
        </w:r>
        <w:r>
          <w:rPr>
            <w:noProof/>
            <w:webHidden/>
          </w:rPr>
          <w:fldChar w:fldCharType="begin"/>
        </w:r>
        <w:r>
          <w:rPr>
            <w:noProof/>
            <w:webHidden/>
          </w:rPr>
          <w:instrText xml:space="preserve"> PAGEREF _Toc349039246 \h </w:instrText>
        </w:r>
        <w:r>
          <w:rPr>
            <w:noProof/>
            <w:webHidden/>
          </w:rPr>
        </w:r>
        <w:r>
          <w:rPr>
            <w:noProof/>
            <w:webHidden/>
          </w:rPr>
          <w:fldChar w:fldCharType="separate"/>
        </w:r>
        <w:r>
          <w:rPr>
            <w:noProof/>
            <w:webHidden/>
          </w:rPr>
          <w:t>17</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47" w:history="1">
        <w:r w:rsidRPr="00D66507">
          <w:rPr>
            <w:rStyle w:val="Hyperlink"/>
            <w:noProof/>
          </w:rPr>
          <w:t>4.4.2</w:t>
        </w:r>
        <w:r>
          <w:rPr>
            <w:rFonts w:asciiTheme="minorHAnsi" w:eastAsiaTheme="minorEastAsia" w:hAnsiTheme="minorHAnsi" w:cstheme="minorBidi"/>
            <w:noProof/>
            <w:sz w:val="22"/>
            <w:szCs w:val="22"/>
            <w:lang w:val="da-DK" w:eastAsia="da-DK"/>
          </w:rPr>
          <w:tab/>
        </w:r>
        <w:r w:rsidRPr="00D66507">
          <w:rPr>
            <w:rStyle w:val="Hyperlink"/>
            <w:noProof/>
          </w:rPr>
          <w:t>Justification</w:t>
        </w:r>
        <w:r>
          <w:rPr>
            <w:noProof/>
            <w:webHidden/>
          </w:rPr>
          <w:tab/>
        </w:r>
        <w:r>
          <w:rPr>
            <w:noProof/>
            <w:webHidden/>
          </w:rPr>
          <w:fldChar w:fldCharType="begin"/>
        </w:r>
        <w:r>
          <w:rPr>
            <w:noProof/>
            <w:webHidden/>
          </w:rPr>
          <w:instrText xml:space="preserve"> PAGEREF _Toc349039247 \h </w:instrText>
        </w:r>
        <w:r>
          <w:rPr>
            <w:noProof/>
            <w:webHidden/>
          </w:rPr>
        </w:r>
        <w:r>
          <w:rPr>
            <w:noProof/>
            <w:webHidden/>
          </w:rPr>
          <w:fldChar w:fldCharType="separate"/>
        </w:r>
        <w:r>
          <w:rPr>
            <w:noProof/>
            <w:webHidden/>
          </w:rPr>
          <w:t>19</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48" w:history="1">
        <w:r w:rsidRPr="00D66507">
          <w:rPr>
            <w:rStyle w:val="Hyperlink"/>
            <w:noProof/>
          </w:rPr>
          <w:t>4.4.3</w:t>
        </w:r>
        <w:r>
          <w:rPr>
            <w:rFonts w:asciiTheme="minorHAnsi" w:eastAsiaTheme="minorEastAsia" w:hAnsiTheme="minorHAnsi" w:cstheme="minorBidi"/>
            <w:noProof/>
            <w:sz w:val="22"/>
            <w:szCs w:val="22"/>
            <w:lang w:val="da-DK" w:eastAsia="da-DK"/>
          </w:rPr>
          <w:tab/>
        </w:r>
        <w:r w:rsidRPr="00D66507">
          <w:rPr>
            <w:rStyle w:val="Hyperlink"/>
            <w:noProof/>
          </w:rPr>
          <w:t>Spectrum requirements</w:t>
        </w:r>
        <w:r>
          <w:rPr>
            <w:noProof/>
            <w:webHidden/>
          </w:rPr>
          <w:tab/>
        </w:r>
        <w:r>
          <w:rPr>
            <w:noProof/>
            <w:webHidden/>
          </w:rPr>
          <w:fldChar w:fldCharType="begin"/>
        </w:r>
        <w:r>
          <w:rPr>
            <w:noProof/>
            <w:webHidden/>
          </w:rPr>
          <w:instrText xml:space="preserve"> PAGEREF _Toc349039248 \h </w:instrText>
        </w:r>
        <w:r>
          <w:rPr>
            <w:noProof/>
            <w:webHidden/>
          </w:rPr>
        </w:r>
        <w:r>
          <w:rPr>
            <w:noProof/>
            <w:webHidden/>
          </w:rPr>
          <w:fldChar w:fldCharType="separate"/>
        </w:r>
        <w:r>
          <w:rPr>
            <w:noProof/>
            <w:webHidden/>
          </w:rPr>
          <w:t>19</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49" w:history="1">
        <w:r w:rsidRPr="00D66507">
          <w:rPr>
            <w:rStyle w:val="Hyperlink"/>
            <w:noProof/>
            <w:lang w:val="en-GB"/>
          </w:rPr>
          <w:t>4.5</w:t>
        </w:r>
        <w:r>
          <w:rPr>
            <w:rFonts w:asciiTheme="minorHAnsi" w:eastAsiaTheme="minorEastAsia" w:hAnsiTheme="minorHAnsi" w:cstheme="minorBidi"/>
            <w:noProof/>
            <w:sz w:val="22"/>
            <w:szCs w:val="22"/>
            <w:lang w:val="da-DK" w:eastAsia="da-DK"/>
          </w:rPr>
          <w:tab/>
        </w:r>
        <w:r w:rsidRPr="00D66507">
          <w:rPr>
            <w:rStyle w:val="Hyperlink"/>
            <w:noProof/>
            <w:lang w:val="en-GB"/>
          </w:rPr>
          <w:t>Application five: Programme Making and Special Events (PMSE)</w:t>
        </w:r>
        <w:r>
          <w:rPr>
            <w:noProof/>
            <w:webHidden/>
          </w:rPr>
          <w:tab/>
        </w:r>
        <w:r>
          <w:rPr>
            <w:noProof/>
            <w:webHidden/>
          </w:rPr>
          <w:fldChar w:fldCharType="begin"/>
        </w:r>
        <w:r>
          <w:rPr>
            <w:noProof/>
            <w:webHidden/>
          </w:rPr>
          <w:instrText xml:space="preserve"> PAGEREF _Toc349039249 \h </w:instrText>
        </w:r>
        <w:r>
          <w:rPr>
            <w:noProof/>
            <w:webHidden/>
          </w:rPr>
        </w:r>
        <w:r>
          <w:rPr>
            <w:noProof/>
            <w:webHidden/>
          </w:rPr>
          <w:fldChar w:fldCharType="separate"/>
        </w:r>
        <w:r>
          <w:rPr>
            <w:noProof/>
            <w:webHidden/>
          </w:rPr>
          <w:t>20</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50" w:history="1">
        <w:r w:rsidRPr="00D66507">
          <w:rPr>
            <w:rStyle w:val="Hyperlink"/>
            <w:noProof/>
          </w:rPr>
          <w:t>4.5.1</w:t>
        </w:r>
        <w:r>
          <w:rPr>
            <w:rFonts w:asciiTheme="minorHAnsi" w:eastAsiaTheme="minorEastAsia" w:hAnsiTheme="minorHAnsi" w:cstheme="minorBidi"/>
            <w:noProof/>
            <w:sz w:val="22"/>
            <w:szCs w:val="22"/>
            <w:lang w:val="da-DK" w:eastAsia="da-DK"/>
          </w:rPr>
          <w:tab/>
        </w:r>
        <w:r w:rsidRPr="00D66507">
          <w:rPr>
            <w:rStyle w:val="Hyperlink"/>
            <w:noProof/>
          </w:rPr>
          <w:t>Description</w:t>
        </w:r>
        <w:r>
          <w:rPr>
            <w:noProof/>
            <w:webHidden/>
          </w:rPr>
          <w:tab/>
        </w:r>
        <w:r>
          <w:rPr>
            <w:noProof/>
            <w:webHidden/>
          </w:rPr>
          <w:fldChar w:fldCharType="begin"/>
        </w:r>
        <w:r>
          <w:rPr>
            <w:noProof/>
            <w:webHidden/>
          </w:rPr>
          <w:instrText xml:space="preserve"> PAGEREF _Toc349039250 \h </w:instrText>
        </w:r>
        <w:r>
          <w:rPr>
            <w:noProof/>
            <w:webHidden/>
          </w:rPr>
        </w:r>
        <w:r>
          <w:rPr>
            <w:noProof/>
            <w:webHidden/>
          </w:rPr>
          <w:fldChar w:fldCharType="separate"/>
        </w:r>
        <w:r>
          <w:rPr>
            <w:noProof/>
            <w:webHidden/>
          </w:rPr>
          <w:t>20</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51" w:history="1">
        <w:r w:rsidRPr="00D66507">
          <w:rPr>
            <w:rStyle w:val="Hyperlink"/>
            <w:noProof/>
          </w:rPr>
          <w:t>4.5.2</w:t>
        </w:r>
        <w:r>
          <w:rPr>
            <w:rFonts w:asciiTheme="minorHAnsi" w:eastAsiaTheme="minorEastAsia" w:hAnsiTheme="minorHAnsi" w:cstheme="minorBidi"/>
            <w:noProof/>
            <w:sz w:val="22"/>
            <w:szCs w:val="22"/>
            <w:lang w:val="da-DK" w:eastAsia="da-DK"/>
          </w:rPr>
          <w:tab/>
        </w:r>
        <w:r w:rsidRPr="00D66507">
          <w:rPr>
            <w:rStyle w:val="Hyperlink"/>
            <w:noProof/>
          </w:rPr>
          <w:t>Justification</w:t>
        </w:r>
        <w:r>
          <w:rPr>
            <w:noProof/>
            <w:webHidden/>
          </w:rPr>
          <w:tab/>
        </w:r>
        <w:r>
          <w:rPr>
            <w:noProof/>
            <w:webHidden/>
          </w:rPr>
          <w:fldChar w:fldCharType="begin"/>
        </w:r>
        <w:r>
          <w:rPr>
            <w:noProof/>
            <w:webHidden/>
          </w:rPr>
          <w:instrText xml:space="preserve"> PAGEREF _Toc349039251 \h </w:instrText>
        </w:r>
        <w:r>
          <w:rPr>
            <w:noProof/>
            <w:webHidden/>
          </w:rPr>
        </w:r>
        <w:r>
          <w:rPr>
            <w:noProof/>
            <w:webHidden/>
          </w:rPr>
          <w:fldChar w:fldCharType="separate"/>
        </w:r>
        <w:r>
          <w:rPr>
            <w:noProof/>
            <w:webHidden/>
          </w:rPr>
          <w:t>21</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52" w:history="1">
        <w:r w:rsidRPr="00D66507">
          <w:rPr>
            <w:rStyle w:val="Hyperlink"/>
            <w:noProof/>
          </w:rPr>
          <w:t>4.5.3</w:t>
        </w:r>
        <w:r>
          <w:rPr>
            <w:rFonts w:asciiTheme="minorHAnsi" w:eastAsiaTheme="minorEastAsia" w:hAnsiTheme="minorHAnsi" w:cstheme="minorBidi"/>
            <w:noProof/>
            <w:sz w:val="22"/>
            <w:szCs w:val="22"/>
            <w:lang w:val="da-DK" w:eastAsia="da-DK"/>
          </w:rPr>
          <w:tab/>
        </w:r>
        <w:r w:rsidRPr="00D66507">
          <w:rPr>
            <w:rStyle w:val="Hyperlink"/>
            <w:noProof/>
          </w:rPr>
          <w:t>Spectrum requirements</w:t>
        </w:r>
        <w:r>
          <w:rPr>
            <w:noProof/>
            <w:webHidden/>
          </w:rPr>
          <w:tab/>
        </w:r>
        <w:r>
          <w:rPr>
            <w:noProof/>
            <w:webHidden/>
          </w:rPr>
          <w:fldChar w:fldCharType="begin"/>
        </w:r>
        <w:r>
          <w:rPr>
            <w:noProof/>
            <w:webHidden/>
          </w:rPr>
          <w:instrText xml:space="preserve"> PAGEREF _Toc349039252 \h </w:instrText>
        </w:r>
        <w:r>
          <w:rPr>
            <w:noProof/>
            <w:webHidden/>
          </w:rPr>
        </w:r>
        <w:r>
          <w:rPr>
            <w:noProof/>
            <w:webHidden/>
          </w:rPr>
          <w:fldChar w:fldCharType="separate"/>
        </w:r>
        <w:r>
          <w:rPr>
            <w:noProof/>
            <w:webHidden/>
          </w:rPr>
          <w:t>22</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53" w:history="1">
        <w:r w:rsidRPr="00D66507">
          <w:rPr>
            <w:rStyle w:val="Hyperlink"/>
            <w:noProof/>
            <w:lang w:val="en-GB"/>
          </w:rPr>
          <w:t>4.6</w:t>
        </w:r>
        <w:r>
          <w:rPr>
            <w:rFonts w:asciiTheme="minorHAnsi" w:eastAsiaTheme="minorEastAsia" w:hAnsiTheme="minorHAnsi" w:cstheme="minorBidi"/>
            <w:noProof/>
            <w:sz w:val="22"/>
            <w:szCs w:val="22"/>
            <w:lang w:val="da-DK" w:eastAsia="da-DK"/>
          </w:rPr>
          <w:tab/>
        </w:r>
        <w:r w:rsidRPr="00D66507">
          <w:rPr>
            <w:rStyle w:val="Hyperlink"/>
            <w:noProof/>
            <w:lang w:val="en-GB"/>
          </w:rPr>
          <w:t>Application six: Broadband PPDR for temporary and local use</w:t>
        </w:r>
        <w:r>
          <w:rPr>
            <w:noProof/>
            <w:webHidden/>
          </w:rPr>
          <w:tab/>
        </w:r>
        <w:r>
          <w:rPr>
            <w:noProof/>
            <w:webHidden/>
          </w:rPr>
          <w:fldChar w:fldCharType="begin"/>
        </w:r>
        <w:r>
          <w:rPr>
            <w:noProof/>
            <w:webHidden/>
          </w:rPr>
          <w:instrText xml:space="preserve"> PAGEREF _Toc349039253 \h </w:instrText>
        </w:r>
        <w:r>
          <w:rPr>
            <w:noProof/>
            <w:webHidden/>
          </w:rPr>
        </w:r>
        <w:r>
          <w:rPr>
            <w:noProof/>
            <w:webHidden/>
          </w:rPr>
          <w:fldChar w:fldCharType="separate"/>
        </w:r>
        <w:r>
          <w:rPr>
            <w:noProof/>
            <w:webHidden/>
          </w:rPr>
          <w:t>22</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54" w:history="1">
        <w:r w:rsidRPr="00D66507">
          <w:rPr>
            <w:rStyle w:val="Hyperlink"/>
            <w:noProof/>
          </w:rPr>
          <w:t>4.6.1</w:t>
        </w:r>
        <w:r>
          <w:rPr>
            <w:rFonts w:asciiTheme="minorHAnsi" w:eastAsiaTheme="minorEastAsia" w:hAnsiTheme="minorHAnsi" w:cstheme="minorBidi"/>
            <w:noProof/>
            <w:sz w:val="22"/>
            <w:szCs w:val="22"/>
            <w:lang w:val="da-DK" w:eastAsia="da-DK"/>
          </w:rPr>
          <w:tab/>
        </w:r>
        <w:r w:rsidRPr="00D66507">
          <w:rPr>
            <w:rStyle w:val="Hyperlink"/>
            <w:noProof/>
          </w:rPr>
          <w:t>Description</w:t>
        </w:r>
        <w:r>
          <w:rPr>
            <w:noProof/>
            <w:webHidden/>
          </w:rPr>
          <w:tab/>
        </w:r>
        <w:r>
          <w:rPr>
            <w:noProof/>
            <w:webHidden/>
          </w:rPr>
          <w:fldChar w:fldCharType="begin"/>
        </w:r>
        <w:r>
          <w:rPr>
            <w:noProof/>
            <w:webHidden/>
          </w:rPr>
          <w:instrText xml:space="preserve"> PAGEREF _Toc349039254 \h </w:instrText>
        </w:r>
        <w:r>
          <w:rPr>
            <w:noProof/>
            <w:webHidden/>
          </w:rPr>
        </w:r>
        <w:r>
          <w:rPr>
            <w:noProof/>
            <w:webHidden/>
          </w:rPr>
          <w:fldChar w:fldCharType="separate"/>
        </w:r>
        <w:r>
          <w:rPr>
            <w:noProof/>
            <w:webHidden/>
          </w:rPr>
          <w:t>22</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55" w:history="1">
        <w:r w:rsidRPr="00D66507">
          <w:rPr>
            <w:rStyle w:val="Hyperlink"/>
            <w:noProof/>
          </w:rPr>
          <w:t>4.6.2</w:t>
        </w:r>
        <w:r>
          <w:rPr>
            <w:rFonts w:asciiTheme="minorHAnsi" w:eastAsiaTheme="minorEastAsia" w:hAnsiTheme="minorHAnsi" w:cstheme="minorBidi"/>
            <w:noProof/>
            <w:sz w:val="22"/>
            <w:szCs w:val="22"/>
            <w:lang w:val="da-DK" w:eastAsia="da-DK"/>
          </w:rPr>
          <w:tab/>
        </w:r>
        <w:r w:rsidRPr="00D66507">
          <w:rPr>
            <w:rStyle w:val="Hyperlink"/>
            <w:noProof/>
          </w:rPr>
          <w:t>Justification</w:t>
        </w:r>
        <w:r>
          <w:rPr>
            <w:noProof/>
            <w:webHidden/>
          </w:rPr>
          <w:tab/>
        </w:r>
        <w:r>
          <w:rPr>
            <w:noProof/>
            <w:webHidden/>
          </w:rPr>
          <w:fldChar w:fldCharType="begin"/>
        </w:r>
        <w:r>
          <w:rPr>
            <w:noProof/>
            <w:webHidden/>
          </w:rPr>
          <w:instrText xml:space="preserve"> PAGEREF _Toc349039255 \h </w:instrText>
        </w:r>
        <w:r>
          <w:rPr>
            <w:noProof/>
            <w:webHidden/>
          </w:rPr>
        </w:r>
        <w:r>
          <w:rPr>
            <w:noProof/>
            <w:webHidden/>
          </w:rPr>
          <w:fldChar w:fldCharType="separate"/>
        </w:r>
        <w:r>
          <w:rPr>
            <w:noProof/>
            <w:webHidden/>
          </w:rPr>
          <w:t>22</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56" w:history="1">
        <w:r w:rsidRPr="00D66507">
          <w:rPr>
            <w:rStyle w:val="Hyperlink"/>
            <w:noProof/>
          </w:rPr>
          <w:t>4.6.3</w:t>
        </w:r>
        <w:r>
          <w:rPr>
            <w:rFonts w:asciiTheme="minorHAnsi" w:eastAsiaTheme="minorEastAsia" w:hAnsiTheme="minorHAnsi" w:cstheme="minorBidi"/>
            <w:noProof/>
            <w:sz w:val="22"/>
            <w:szCs w:val="22"/>
            <w:lang w:val="da-DK" w:eastAsia="da-DK"/>
          </w:rPr>
          <w:tab/>
        </w:r>
        <w:r w:rsidRPr="00D66507">
          <w:rPr>
            <w:rStyle w:val="Hyperlink"/>
            <w:noProof/>
          </w:rPr>
          <w:t>Spectrum requirements</w:t>
        </w:r>
        <w:r>
          <w:rPr>
            <w:noProof/>
            <w:webHidden/>
          </w:rPr>
          <w:tab/>
        </w:r>
        <w:r>
          <w:rPr>
            <w:noProof/>
            <w:webHidden/>
          </w:rPr>
          <w:fldChar w:fldCharType="begin"/>
        </w:r>
        <w:r>
          <w:rPr>
            <w:noProof/>
            <w:webHidden/>
          </w:rPr>
          <w:instrText xml:space="preserve"> PAGEREF _Toc349039256 \h </w:instrText>
        </w:r>
        <w:r>
          <w:rPr>
            <w:noProof/>
            <w:webHidden/>
          </w:rPr>
        </w:r>
        <w:r>
          <w:rPr>
            <w:noProof/>
            <w:webHidden/>
          </w:rPr>
          <w:fldChar w:fldCharType="separate"/>
        </w:r>
        <w:r>
          <w:rPr>
            <w:noProof/>
            <w:webHidden/>
          </w:rPr>
          <w:t>23</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57" w:history="1">
        <w:r w:rsidRPr="00D66507">
          <w:rPr>
            <w:rStyle w:val="Hyperlink"/>
            <w:noProof/>
            <w:lang w:val="en-GB"/>
          </w:rPr>
          <w:t>4.7</w:t>
        </w:r>
        <w:r>
          <w:rPr>
            <w:rFonts w:asciiTheme="minorHAnsi" w:eastAsiaTheme="minorEastAsia" w:hAnsiTheme="minorHAnsi" w:cstheme="minorBidi"/>
            <w:noProof/>
            <w:sz w:val="22"/>
            <w:szCs w:val="22"/>
            <w:lang w:val="da-DK" w:eastAsia="da-DK"/>
          </w:rPr>
          <w:tab/>
        </w:r>
        <w:r w:rsidRPr="00D66507">
          <w:rPr>
            <w:rStyle w:val="Hyperlink"/>
            <w:noProof/>
            <w:lang w:val="en-GB"/>
          </w:rPr>
          <w:t>Application seven: Broadband Direct-Air-to-Ground Communications (BDA2GC)</w:t>
        </w:r>
        <w:r>
          <w:rPr>
            <w:noProof/>
            <w:webHidden/>
          </w:rPr>
          <w:tab/>
        </w:r>
        <w:r>
          <w:rPr>
            <w:noProof/>
            <w:webHidden/>
          </w:rPr>
          <w:fldChar w:fldCharType="begin"/>
        </w:r>
        <w:r>
          <w:rPr>
            <w:noProof/>
            <w:webHidden/>
          </w:rPr>
          <w:instrText xml:space="preserve"> PAGEREF _Toc349039257 \h </w:instrText>
        </w:r>
        <w:r>
          <w:rPr>
            <w:noProof/>
            <w:webHidden/>
          </w:rPr>
        </w:r>
        <w:r>
          <w:rPr>
            <w:noProof/>
            <w:webHidden/>
          </w:rPr>
          <w:fldChar w:fldCharType="separate"/>
        </w:r>
        <w:r>
          <w:rPr>
            <w:noProof/>
            <w:webHidden/>
          </w:rPr>
          <w:t>23</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58" w:history="1">
        <w:r w:rsidRPr="00D66507">
          <w:rPr>
            <w:rStyle w:val="Hyperlink"/>
            <w:noProof/>
          </w:rPr>
          <w:t>4.7.1</w:t>
        </w:r>
        <w:r>
          <w:rPr>
            <w:rFonts w:asciiTheme="minorHAnsi" w:eastAsiaTheme="minorEastAsia" w:hAnsiTheme="minorHAnsi" w:cstheme="minorBidi"/>
            <w:noProof/>
            <w:sz w:val="22"/>
            <w:szCs w:val="22"/>
            <w:lang w:val="da-DK" w:eastAsia="da-DK"/>
          </w:rPr>
          <w:tab/>
        </w:r>
        <w:r w:rsidRPr="00D66507">
          <w:rPr>
            <w:rStyle w:val="Hyperlink"/>
            <w:noProof/>
          </w:rPr>
          <w:t>Description</w:t>
        </w:r>
        <w:r>
          <w:rPr>
            <w:noProof/>
            <w:webHidden/>
          </w:rPr>
          <w:tab/>
        </w:r>
        <w:r>
          <w:rPr>
            <w:noProof/>
            <w:webHidden/>
          </w:rPr>
          <w:fldChar w:fldCharType="begin"/>
        </w:r>
        <w:r>
          <w:rPr>
            <w:noProof/>
            <w:webHidden/>
          </w:rPr>
          <w:instrText xml:space="preserve"> PAGEREF _Toc349039258 \h </w:instrText>
        </w:r>
        <w:r>
          <w:rPr>
            <w:noProof/>
            <w:webHidden/>
          </w:rPr>
        </w:r>
        <w:r>
          <w:rPr>
            <w:noProof/>
            <w:webHidden/>
          </w:rPr>
          <w:fldChar w:fldCharType="separate"/>
        </w:r>
        <w:r>
          <w:rPr>
            <w:noProof/>
            <w:webHidden/>
          </w:rPr>
          <w:t>23</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59" w:history="1">
        <w:r w:rsidRPr="00D66507">
          <w:rPr>
            <w:rStyle w:val="Hyperlink"/>
            <w:noProof/>
          </w:rPr>
          <w:t>4.7.2</w:t>
        </w:r>
        <w:r>
          <w:rPr>
            <w:rFonts w:asciiTheme="minorHAnsi" w:eastAsiaTheme="minorEastAsia" w:hAnsiTheme="minorHAnsi" w:cstheme="minorBidi"/>
            <w:noProof/>
            <w:sz w:val="22"/>
            <w:szCs w:val="22"/>
            <w:lang w:val="da-DK" w:eastAsia="da-DK"/>
          </w:rPr>
          <w:tab/>
        </w:r>
        <w:r w:rsidRPr="00D66507">
          <w:rPr>
            <w:rStyle w:val="Hyperlink"/>
            <w:noProof/>
          </w:rPr>
          <w:t>Justification</w:t>
        </w:r>
        <w:r>
          <w:rPr>
            <w:noProof/>
            <w:webHidden/>
          </w:rPr>
          <w:tab/>
        </w:r>
        <w:r>
          <w:rPr>
            <w:noProof/>
            <w:webHidden/>
          </w:rPr>
          <w:fldChar w:fldCharType="begin"/>
        </w:r>
        <w:r>
          <w:rPr>
            <w:noProof/>
            <w:webHidden/>
          </w:rPr>
          <w:instrText xml:space="preserve"> PAGEREF _Toc349039259 \h </w:instrText>
        </w:r>
        <w:r>
          <w:rPr>
            <w:noProof/>
            <w:webHidden/>
          </w:rPr>
        </w:r>
        <w:r>
          <w:rPr>
            <w:noProof/>
            <w:webHidden/>
          </w:rPr>
          <w:fldChar w:fldCharType="separate"/>
        </w:r>
        <w:r>
          <w:rPr>
            <w:noProof/>
            <w:webHidden/>
          </w:rPr>
          <w:t>24</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60" w:history="1">
        <w:r w:rsidRPr="00D66507">
          <w:rPr>
            <w:rStyle w:val="Hyperlink"/>
            <w:noProof/>
          </w:rPr>
          <w:t>4.7.3</w:t>
        </w:r>
        <w:r>
          <w:rPr>
            <w:rFonts w:asciiTheme="minorHAnsi" w:eastAsiaTheme="minorEastAsia" w:hAnsiTheme="minorHAnsi" w:cstheme="minorBidi"/>
            <w:noProof/>
            <w:sz w:val="22"/>
            <w:szCs w:val="22"/>
            <w:lang w:val="da-DK" w:eastAsia="da-DK"/>
          </w:rPr>
          <w:tab/>
        </w:r>
        <w:r w:rsidRPr="00D66507">
          <w:rPr>
            <w:rStyle w:val="Hyperlink"/>
            <w:noProof/>
          </w:rPr>
          <w:t>Spectrum requirements</w:t>
        </w:r>
        <w:r>
          <w:rPr>
            <w:noProof/>
            <w:webHidden/>
          </w:rPr>
          <w:tab/>
        </w:r>
        <w:r>
          <w:rPr>
            <w:noProof/>
            <w:webHidden/>
          </w:rPr>
          <w:fldChar w:fldCharType="begin"/>
        </w:r>
        <w:r>
          <w:rPr>
            <w:noProof/>
            <w:webHidden/>
          </w:rPr>
          <w:instrText xml:space="preserve"> PAGEREF _Toc349039260 \h </w:instrText>
        </w:r>
        <w:r>
          <w:rPr>
            <w:noProof/>
            <w:webHidden/>
          </w:rPr>
        </w:r>
        <w:r>
          <w:rPr>
            <w:noProof/>
            <w:webHidden/>
          </w:rPr>
          <w:fldChar w:fldCharType="separate"/>
        </w:r>
        <w:r>
          <w:rPr>
            <w:noProof/>
            <w:webHidden/>
          </w:rPr>
          <w:t>24</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261" w:history="1">
        <w:r w:rsidRPr="00D66507">
          <w:rPr>
            <w:rStyle w:val="Hyperlink"/>
            <w:noProof/>
          </w:rPr>
          <w:t>5</w:t>
        </w:r>
        <w:r>
          <w:rPr>
            <w:rFonts w:asciiTheme="minorHAnsi" w:eastAsiaTheme="minorEastAsia" w:hAnsiTheme="minorHAnsi" w:cstheme="minorBidi"/>
            <w:b w:val="0"/>
            <w:caps w:val="0"/>
            <w:noProof/>
            <w:sz w:val="22"/>
            <w:szCs w:val="22"/>
            <w:lang w:val="da-DK" w:eastAsia="da-DK"/>
          </w:rPr>
          <w:tab/>
        </w:r>
        <w:r w:rsidRPr="00D66507">
          <w:rPr>
            <w:rStyle w:val="Hyperlink"/>
            <w:noProof/>
          </w:rPr>
          <w:t>ANALYSIS OF THE APPLICATIONS WITH RESPECT TO THE Criteria</w:t>
        </w:r>
        <w:r>
          <w:rPr>
            <w:noProof/>
            <w:webHidden/>
          </w:rPr>
          <w:tab/>
        </w:r>
        <w:r>
          <w:rPr>
            <w:noProof/>
            <w:webHidden/>
          </w:rPr>
          <w:fldChar w:fldCharType="begin"/>
        </w:r>
        <w:r>
          <w:rPr>
            <w:noProof/>
            <w:webHidden/>
          </w:rPr>
          <w:instrText xml:space="preserve"> PAGEREF _Toc349039261 \h </w:instrText>
        </w:r>
        <w:r>
          <w:rPr>
            <w:noProof/>
            <w:webHidden/>
          </w:rPr>
        </w:r>
        <w:r>
          <w:rPr>
            <w:noProof/>
            <w:webHidden/>
          </w:rPr>
          <w:fldChar w:fldCharType="separate"/>
        </w:r>
        <w:r>
          <w:rPr>
            <w:noProof/>
            <w:webHidden/>
          </w:rPr>
          <w:t>25</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62" w:history="1">
        <w:r w:rsidRPr="00D66507">
          <w:rPr>
            <w:rStyle w:val="Hyperlink"/>
            <w:noProof/>
            <w:lang w:val="en-GB"/>
          </w:rPr>
          <w:t>5.1</w:t>
        </w:r>
        <w:r>
          <w:rPr>
            <w:rFonts w:asciiTheme="minorHAnsi" w:eastAsiaTheme="minorEastAsia" w:hAnsiTheme="minorHAnsi" w:cstheme="minorBidi"/>
            <w:noProof/>
            <w:sz w:val="22"/>
            <w:szCs w:val="22"/>
            <w:lang w:val="da-DK" w:eastAsia="da-DK"/>
          </w:rPr>
          <w:tab/>
        </w:r>
        <w:r w:rsidRPr="00D66507">
          <w:rPr>
            <w:rStyle w:val="Hyperlink"/>
            <w:noProof/>
            <w:lang w:val="en-GB"/>
          </w:rPr>
          <w:t>Criterion 1</w:t>
        </w:r>
        <w:r>
          <w:rPr>
            <w:noProof/>
            <w:webHidden/>
          </w:rPr>
          <w:tab/>
        </w:r>
        <w:r>
          <w:rPr>
            <w:noProof/>
            <w:webHidden/>
          </w:rPr>
          <w:fldChar w:fldCharType="begin"/>
        </w:r>
        <w:r>
          <w:rPr>
            <w:noProof/>
            <w:webHidden/>
          </w:rPr>
          <w:instrText xml:space="preserve"> PAGEREF _Toc349039262 \h </w:instrText>
        </w:r>
        <w:r>
          <w:rPr>
            <w:noProof/>
            <w:webHidden/>
          </w:rPr>
        </w:r>
        <w:r>
          <w:rPr>
            <w:noProof/>
            <w:webHidden/>
          </w:rPr>
          <w:fldChar w:fldCharType="separate"/>
        </w:r>
        <w:r>
          <w:rPr>
            <w:noProof/>
            <w:webHidden/>
          </w:rPr>
          <w:t>25</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63" w:history="1">
        <w:r w:rsidRPr="00D66507">
          <w:rPr>
            <w:rStyle w:val="Hyperlink"/>
            <w:noProof/>
          </w:rPr>
          <w:t>5.1.1</w:t>
        </w:r>
        <w:r>
          <w:rPr>
            <w:rFonts w:asciiTheme="minorHAnsi" w:eastAsiaTheme="minorEastAsia" w:hAnsiTheme="minorHAnsi" w:cstheme="minorBidi"/>
            <w:noProof/>
            <w:sz w:val="22"/>
            <w:szCs w:val="22"/>
            <w:lang w:val="da-DK" w:eastAsia="da-DK"/>
          </w:rPr>
          <w:tab/>
        </w:r>
        <w:r w:rsidRPr="00D66507">
          <w:rPr>
            <w:rStyle w:val="Hyperlink"/>
            <w:noProof/>
          </w:rPr>
          <w:t>Compatibility of terrestrial broadcasting with the current regulatory framework</w:t>
        </w:r>
        <w:r>
          <w:rPr>
            <w:noProof/>
            <w:webHidden/>
          </w:rPr>
          <w:tab/>
        </w:r>
        <w:r>
          <w:rPr>
            <w:noProof/>
            <w:webHidden/>
          </w:rPr>
          <w:fldChar w:fldCharType="begin"/>
        </w:r>
        <w:r>
          <w:rPr>
            <w:noProof/>
            <w:webHidden/>
          </w:rPr>
          <w:instrText xml:space="preserve"> PAGEREF _Toc349039263 \h </w:instrText>
        </w:r>
        <w:r>
          <w:rPr>
            <w:noProof/>
            <w:webHidden/>
          </w:rPr>
        </w:r>
        <w:r>
          <w:rPr>
            <w:noProof/>
            <w:webHidden/>
          </w:rPr>
          <w:fldChar w:fldCharType="separate"/>
        </w:r>
        <w:r>
          <w:rPr>
            <w:noProof/>
            <w:webHidden/>
          </w:rPr>
          <w:t>25</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64" w:history="1">
        <w:r w:rsidRPr="00D66507">
          <w:rPr>
            <w:rStyle w:val="Hyperlink"/>
            <w:noProof/>
          </w:rPr>
          <w:t>5.1.2</w:t>
        </w:r>
        <w:r>
          <w:rPr>
            <w:rFonts w:asciiTheme="minorHAnsi" w:eastAsiaTheme="minorEastAsia" w:hAnsiTheme="minorHAnsi" w:cstheme="minorBidi"/>
            <w:noProof/>
            <w:sz w:val="22"/>
            <w:szCs w:val="22"/>
            <w:lang w:val="da-DK" w:eastAsia="da-DK"/>
          </w:rPr>
          <w:tab/>
        </w:r>
        <w:r w:rsidRPr="00D66507">
          <w:rPr>
            <w:rStyle w:val="Hyperlink"/>
            <w:noProof/>
          </w:rPr>
          <w:t>Mobile Broadband: compatibility with the current regulatory framework</w:t>
        </w:r>
        <w:r>
          <w:rPr>
            <w:noProof/>
            <w:webHidden/>
          </w:rPr>
          <w:tab/>
        </w:r>
        <w:r>
          <w:rPr>
            <w:noProof/>
            <w:webHidden/>
          </w:rPr>
          <w:fldChar w:fldCharType="begin"/>
        </w:r>
        <w:r>
          <w:rPr>
            <w:noProof/>
            <w:webHidden/>
          </w:rPr>
          <w:instrText xml:space="preserve"> PAGEREF _Toc349039264 \h </w:instrText>
        </w:r>
        <w:r>
          <w:rPr>
            <w:noProof/>
            <w:webHidden/>
          </w:rPr>
        </w:r>
        <w:r>
          <w:rPr>
            <w:noProof/>
            <w:webHidden/>
          </w:rPr>
          <w:fldChar w:fldCharType="separate"/>
        </w:r>
        <w:r>
          <w:rPr>
            <w:noProof/>
            <w:webHidden/>
          </w:rPr>
          <w:t>26</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65" w:history="1">
        <w:r w:rsidRPr="00D66507">
          <w:rPr>
            <w:rStyle w:val="Hyperlink"/>
            <w:noProof/>
          </w:rPr>
          <w:t>5.1.3</w:t>
        </w:r>
        <w:r>
          <w:rPr>
            <w:rFonts w:asciiTheme="minorHAnsi" w:eastAsiaTheme="minorEastAsia" w:hAnsiTheme="minorHAnsi" w:cstheme="minorBidi"/>
            <w:noProof/>
            <w:sz w:val="22"/>
            <w:szCs w:val="22"/>
            <w:lang w:val="da-DK" w:eastAsia="da-DK"/>
          </w:rPr>
          <w:tab/>
        </w:r>
        <w:r w:rsidRPr="00D66507">
          <w:rPr>
            <w:rStyle w:val="Hyperlink"/>
            <w:noProof/>
          </w:rPr>
          <w:t>Mobile SDL: compatibility with the current regulatory framework</w:t>
        </w:r>
        <w:r>
          <w:rPr>
            <w:noProof/>
            <w:webHidden/>
          </w:rPr>
          <w:tab/>
        </w:r>
        <w:r>
          <w:rPr>
            <w:noProof/>
            <w:webHidden/>
          </w:rPr>
          <w:fldChar w:fldCharType="begin"/>
        </w:r>
        <w:r>
          <w:rPr>
            <w:noProof/>
            <w:webHidden/>
          </w:rPr>
          <w:instrText xml:space="preserve"> PAGEREF _Toc349039265 \h </w:instrText>
        </w:r>
        <w:r>
          <w:rPr>
            <w:noProof/>
            <w:webHidden/>
          </w:rPr>
        </w:r>
        <w:r>
          <w:rPr>
            <w:noProof/>
            <w:webHidden/>
          </w:rPr>
          <w:fldChar w:fldCharType="separate"/>
        </w:r>
        <w:r>
          <w:rPr>
            <w:noProof/>
            <w:webHidden/>
          </w:rPr>
          <w:t>26</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66" w:history="1">
        <w:r w:rsidRPr="00D66507">
          <w:rPr>
            <w:rStyle w:val="Hyperlink"/>
            <w:noProof/>
          </w:rPr>
          <w:t>5.1.4</w:t>
        </w:r>
        <w:r>
          <w:rPr>
            <w:rFonts w:asciiTheme="minorHAnsi" w:eastAsiaTheme="minorEastAsia" w:hAnsiTheme="minorHAnsi" w:cstheme="minorBidi"/>
            <w:noProof/>
            <w:sz w:val="22"/>
            <w:szCs w:val="22"/>
            <w:lang w:val="da-DK" w:eastAsia="da-DK"/>
          </w:rPr>
          <w:tab/>
        </w:r>
        <w:r w:rsidRPr="00D66507">
          <w:rPr>
            <w:rStyle w:val="Hyperlink"/>
            <w:noProof/>
          </w:rPr>
          <w:t>S-DAB: compatibility with the current regulatory framework</w:t>
        </w:r>
        <w:r>
          <w:rPr>
            <w:noProof/>
            <w:webHidden/>
          </w:rPr>
          <w:tab/>
        </w:r>
        <w:r>
          <w:rPr>
            <w:noProof/>
            <w:webHidden/>
          </w:rPr>
          <w:fldChar w:fldCharType="begin"/>
        </w:r>
        <w:r>
          <w:rPr>
            <w:noProof/>
            <w:webHidden/>
          </w:rPr>
          <w:instrText xml:space="preserve"> PAGEREF _Toc349039266 \h </w:instrText>
        </w:r>
        <w:r>
          <w:rPr>
            <w:noProof/>
            <w:webHidden/>
          </w:rPr>
        </w:r>
        <w:r>
          <w:rPr>
            <w:noProof/>
            <w:webHidden/>
          </w:rPr>
          <w:fldChar w:fldCharType="separate"/>
        </w:r>
        <w:r>
          <w:rPr>
            <w:noProof/>
            <w:webHidden/>
          </w:rPr>
          <w:t>27</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67" w:history="1">
        <w:r w:rsidRPr="00D66507">
          <w:rPr>
            <w:rStyle w:val="Hyperlink"/>
            <w:noProof/>
          </w:rPr>
          <w:t>5.1.5</w:t>
        </w:r>
        <w:r>
          <w:rPr>
            <w:rFonts w:asciiTheme="minorHAnsi" w:eastAsiaTheme="minorEastAsia" w:hAnsiTheme="minorHAnsi" w:cstheme="minorBidi"/>
            <w:noProof/>
            <w:sz w:val="22"/>
            <w:szCs w:val="22"/>
            <w:lang w:val="da-DK" w:eastAsia="da-DK"/>
          </w:rPr>
          <w:tab/>
        </w:r>
        <w:r w:rsidRPr="00D66507">
          <w:rPr>
            <w:rStyle w:val="Hyperlink"/>
            <w:noProof/>
          </w:rPr>
          <w:t>PMSE: compatibility with the current regulatory framework</w:t>
        </w:r>
        <w:r>
          <w:rPr>
            <w:noProof/>
            <w:webHidden/>
          </w:rPr>
          <w:tab/>
        </w:r>
        <w:r>
          <w:rPr>
            <w:noProof/>
            <w:webHidden/>
          </w:rPr>
          <w:fldChar w:fldCharType="begin"/>
        </w:r>
        <w:r>
          <w:rPr>
            <w:noProof/>
            <w:webHidden/>
          </w:rPr>
          <w:instrText xml:space="preserve"> PAGEREF _Toc349039267 \h </w:instrText>
        </w:r>
        <w:r>
          <w:rPr>
            <w:noProof/>
            <w:webHidden/>
          </w:rPr>
        </w:r>
        <w:r>
          <w:rPr>
            <w:noProof/>
            <w:webHidden/>
          </w:rPr>
          <w:fldChar w:fldCharType="separate"/>
        </w:r>
        <w:r>
          <w:rPr>
            <w:noProof/>
            <w:webHidden/>
          </w:rPr>
          <w:t>27</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68" w:history="1">
        <w:r w:rsidRPr="00D66507">
          <w:rPr>
            <w:rStyle w:val="Hyperlink"/>
            <w:noProof/>
          </w:rPr>
          <w:t>5.1.6</w:t>
        </w:r>
        <w:r>
          <w:rPr>
            <w:rFonts w:asciiTheme="minorHAnsi" w:eastAsiaTheme="minorEastAsia" w:hAnsiTheme="minorHAnsi" w:cstheme="minorBidi"/>
            <w:noProof/>
            <w:sz w:val="22"/>
            <w:szCs w:val="22"/>
            <w:lang w:val="da-DK" w:eastAsia="da-DK"/>
          </w:rPr>
          <w:tab/>
        </w:r>
        <w:r w:rsidRPr="00D66507">
          <w:rPr>
            <w:rStyle w:val="Hyperlink"/>
            <w:noProof/>
          </w:rPr>
          <w:t>Broadband PPDR for temporary and local use: compatibility with the current regulatory framework</w:t>
        </w:r>
        <w:r>
          <w:rPr>
            <w:noProof/>
            <w:webHidden/>
          </w:rPr>
          <w:tab/>
        </w:r>
        <w:r>
          <w:rPr>
            <w:noProof/>
            <w:webHidden/>
          </w:rPr>
          <w:fldChar w:fldCharType="begin"/>
        </w:r>
        <w:r>
          <w:rPr>
            <w:noProof/>
            <w:webHidden/>
          </w:rPr>
          <w:instrText xml:space="preserve"> PAGEREF _Toc349039268 \h </w:instrText>
        </w:r>
        <w:r>
          <w:rPr>
            <w:noProof/>
            <w:webHidden/>
          </w:rPr>
        </w:r>
        <w:r>
          <w:rPr>
            <w:noProof/>
            <w:webHidden/>
          </w:rPr>
          <w:fldChar w:fldCharType="separate"/>
        </w:r>
        <w:r>
          <w:rPr>
            <w:noProof/>
            <w:webHidden/>
          </w:rPr>
          <w:t>28</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69" w:history="1">
        <w:r w:rsidRPr="00D66507">
          <w:rPr>
            <w:rStyle w:val="Hyperlink"/>
            <w:noProof/>
          </w:rPr>
          <w:t>5.1.7</w:t>
        </w:r>
        <w:r>
          <w:rPr>
            <w:rFonts w:asciiTheme="minorHAnsi" w:eastAsiaTheme="minorEastAsia" w:hAnsiTheme="minorHAnsi" w:cstheme="minorBidi"/>
            <w:noProof/>
            <w:sz w:val="22"/>
            <w:szCs w:val="22"/>
            <w:lang w:val="da-DK" w:eastAsia="da-DK"/>
          </w:rPr>
          <w:tab/>
        </w:r>
        <w:r w:rsidRPr="00D66507">
          <w:rPr>
            <w:rStyle w:val="Hyperlink"/>
            <w:noProof/>
          </w:rPr>
          <w:t>BDA2GC: compatibility with the current regulatory framework</w:t>
        </w:r>
        <w:r>
          <w:rPr>
            <w:noProof/>
            <w:webHidden/>
          </w:rPr>
          <w:tab/>
        </w:r>
        <w:r>
          <w:rPr>
            <w:noProof/>
            <w:webHidden/>
          </w:rPr>
          <w:fldChar w:fldCharType="begin"/>
        </w:r>
        <w:r>
          <w:rPr>
            <w:noProof/>
            <w:webHidden/>
          </w:rPr>
          <w:instrText xml:space="preserve"> PAGEREF _Toc349039269 \h </w:instrText>
        </w:r>
        <w:r>
          <w:rPr>
            <w:noProof/>
            <w:webHidden/>
          </w:rPr>
        </w:r>
        <w:r>
          <w:rPr>
            <w:noProof/>
            <w:webHidden/>
          </w:rPr>
          <w:fldChar w:fldCharType="separate"/>
        </w:r>
        <w:r>
          <w:rPr>
            <w:noProof/>
            <w:webHidden/>
          </w:rPr>
          <w:t>28</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70" w:history="1">
        <w:r w:rsidRPr="00D66507">
          <w:rPr>
            <w:rStyle w:val="Hyperlink"/>
            <w:noProof/>
            <w:lang w:val="en-GB"/>
          </w:rPr>
          <w:t>5.2</w:t>
        </w:r>
        <w:r>
          <w:rPr>
            <w:rFonts w:asciiTheme="minorHAnsi" w:eastAsiaTheme="minorEastAsia" w:hAnsiTheme="minorHAnsi" w:cstheme="minorBidi"/>
            <w:noProof/>
            <w:sz w:val="22"/>
            <w:szCs w:val="22"/>
            <w:lang w:val="da-DK" w:eastAsia="da-DK"/>
          </w:rPr>
          <w:tab/>
        </w:r>
        <w:r w:rsidRPr="00D66507">
          <w:rPr>
            <w:rStyle w:val="Hyperlink"/>
            <w:noProof/>
            <w:lang w:val="en-GB"/>
          </w:rPr>
          <w:t>Criterion 2</w:t>
        </w:r>
        <w:r>
          <w:rPr>
            <w:noProof/>
            <w:webHidden/>
          </w:rPr>
          <w:tab/>
        </w:r>
        <w:r>
          <w:rPr>
            <w:noProof/>
            <w:webHidden/>
          </w:rPr>
          <w:fldChar w:fldCharType="begin"/>
        </w:r>
        <w:r>
          <w:rPr>
            <w:noProof/>
            <w:webHidden/>
          </w:rPr>
          <w:instrText xml:space="preserve"> PAGEREF _Toc349039270 \h </w:instrText>
        </w:r>
        <w:r>
          <w:rPr>
            <w:noProof/>
            <w:webHidden/>
          </w:rPr>
        </w:r>
        <w:r>
          <w:rPr>
            <w:noProof/>
            <w:webHidden/>
          </w:rPr>
          <w:fldChar w:fldCharType="separate"/>
        </w:r>
        <w:r>
          <w:rPr>
            <w:noProof/>
            <w:webHidden/>
          </w:rPr>
          <w:t>29</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71" w:history="1">
        <w:r w:rsidRPr="00D66507">
          <w:rPr>
            <w:rStyle w:val="Hyperlink"/>
            <w:noProof/>
            <w:lang w:val="en-GB"/>
          </w:rPr>
          <w:t>5.3</w:t>
        </w:r>
        <w:r>
          <w:rPr>
            <w:rFonts w:asciiTheme="minorHAnsi" w:eastAsiaTheme="minorEastAsia" w:hAnsiTheme="minorHAnsi" w:cstheme="minorBidi"/>
            <w:noProof/>
            <w:sz w:val="22"/>
            <w:szCs w:val="22"/>
            <w:lang w:val="da-DK" w:eastAsia="da-DK"/>
          </w:rPr>
          <w:tab/>
        </w:r>
        <w:r w:rsidRPr="00D66507">
          <w:rPr>
            <w:rStyle w:val="Hyperlink"/>
            <w:noProof/>
            <w:lang w:val="en-GB"/>
          </w:rPr>
          <w:t>Criterion 3</w:t>
        </w:r>
        <w:r>
          <w:rPr>
            <w:noProof/>
            <w:webHidden/>
          </w:rPr>
          <w:tab/>
        </w:r>
        <w:r>
          <w:rPr>
            <w:noProof/>
            <w:webHidden/>
          </w:rPr>
          <w:fldChar w:fldCharType="begin"/>
        </w:r>
        <w:r>
          <w:rPr>
            <w:noProof/>
            <w:webHidden/>
          </w:rPr>
          <w:instrText xml:space="preserve"> PAGEREF _Toc349039271 \h </w:instrText>
        </w:r>
        <w:r>
          <w:rPr>
            <w:noProof/>
            <w:webHidden/>
          </w:rPr>
        </w:r>
        <w:r>
          <w:rPr>
            <w:noProof/>
            <w:webHidden/>
          </w:rPr>
          <w:fldChar w:fldCharType="separate"/>
        </w:r>
        <w:r>
          <w:rPr>
            <w:noProof/>
            <w:webHidden/>
          </w:rPr>
          <w:t>29</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72" w:history="1">
        <w:r w:rsidRPr="00D66507">
          <w:rPr>
            <w:rStyle w:val="Hyperlink"/>
            <w:noProof/>
          </w:rPr>
          <w:t>5.3.1</w:t>
        </w:r>
        <w:r>
          <w:rPr>
            <w:rFonts w:asciiTheme="minorHAnsi" w:eastAsiaTheme="minorEastAsia" w:hAnsiTheme="minorHAnsi" w:cstheme="minorBidi"/>
            <w:noProof/>
            <w:sz w:val="22"/>
            <w:szCs w:val="22"/>
            <w:lang w:val="da-DK" w:eastAsia="da-DK"/>
          </w:rPr>
          <w:tab/>
        </w:r>
        <w:r w:rsidRPr="00D66507">
          <w:rPr>
            <w:rStyle w:val="Hyperlink"/>
            <w:noProof/>
          </w:rPr>
          <w:t>Terrestrial broadcasting</w:t>
        </w:r>
        <w:r>
          <w:rPr>
            <w:noProof/>
            <w:webHidden/>
          </w:rPr>
          <w:tab/>
        </w:r>
        <w:r>
          <w:rPr>
            <w:noProof/>
            <w:webHidden/>
          </w:rPr>
          <w:fldChar w:fldCharType="begin"/>
        </w:r>
        <w:r>
          <w:rPr>
            <w:noProof/>
            <w:webHidden/>
          </w:rPr>
          <w:instrText xml:space="preserve"> PAGEREF _Toc349039272 \h </w:instrText>
        </w:r>
        <w:r>
          <w:rPr>
            <w:noProof/>
            <w:webHidden/>
          </w:rPr>
        </w:r>
        <w:r>
          <w:rPr>
            <w:noProof/>
            <w:webHidden/>
          </w:rPr>
          <w:fldChar w:fldCharType="separate"/>
        </w:r>
        <w:r>
          <w:rPr>
            <w:noProof/>
            <w:webHidden/>
          </w:rPr>
          <w:t>30</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73" w:history="1">
        <w:r w:rsidRPr="00D66507">
          <w:rPr>
            <w:rStyle w:val="Hyperlink"/>
            <w:noProof/>
          </w:rPr>
          <w:t>5.3.2</w:t>
        </w:r>
        <w:r>
          <w:rPr>
            <w:rFonts w:asciiTheme="minorHAnsi" w:eastAsiaTheme="minorEastAsia" w:hAnsiTheme="minorHAnsi" w:cstheme="minorBidi"/>
            <w:noProof/>
            <w:sz w:val="22"/>
            <w:szCs w:val="22"/>
            <w:lang w:val="da-DK" w:eastAsia="da-DK"/>
          </w:rPr>
          <w:tab/>
        </w:r>
        <w:r w:rsidRPr="00D66507">
          <w:rPr>
            <w:rStyle w:val="Hyperlink"/>
            <w:noProof/>
          </w:rPr>
          <w:t>Mobile Broadband</w:t>
        </w:r>
        <w:r>
          <w:rPr>
            <w:noProof/>
            <w:webHidden/>
          </w:rPr>
          <w:tab/>
        </w:r>
        <w:r>
          <w:rPr>
            <w:noProof/>
            <w:webHidden/>
          </w:rPr>
          <w:fldChar w:fldCharType="begin"/>
        </w:r>
        <w:r>
          <w:rPr>
            <w:noProof/>
            <w:webHidden/>
          </w:rPr>
          <w:instrText xml:space="preserve"> PAGEREF _Toc349039273 \h </w:instrText>
        </w:r>
        <w:r>
          <w:rPr>
            <w:noProof/>
            <w:webHidden/>
          </w:rPr>
        </w:r>
        <w:r>
          <w:rPr>
            <w:noProof/>
            <w:webHidden/>
          </w:rPr>
          <w:fldChar w:fldCharType="separate"/>
        </w:r>
        <w:r>
          <w:rPr>
            <w:noProof/>
            <w:webHidden/>
          </w:rPr>
          <w:t>31</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74" w:history="1">
        <w:r w:rsidRPr="00D66507">
          <w:rPr>
            <w:rStyle w:val="Hyperlink"/>
            <w:noProof/>
          </w:rPr>
          <w:t>5.3.3</w:t>
        </w:r>
        <w:r>
          <w:rPr>
            <w:rFonts w:asciiTheme="minorHAnsi" w:eastAsiaTheme="minorEastAsia" w:hAnsiTheme="minorHAnsi" w:cstheme="minorBidi"/>
            <w:noProof/>
            <w:sz w:val="22"/>
            <w:szCs w:val="22"/>
            <w:lang w:val="da-DK" w:eastAsia="da-DK"/>
          </w:rPr>
          <w:tab/>
        </w:r>
        <w:r w:rsidRPr="00D66507">
          <w:rPr>
            <w:rStyle w:val="Hyperlink"/>
            <w:noProof/>
          </w:rPr>
          <w:t>Mobile SDL</w:t>
        </w:r>
        <w:r>
          <w:rPr>
            <w:noProof/>
            <w:webHidden/>
          </w:rPr>
          <w:tab/>
        </w:r>
        <w:r>
          <w:rPr>
            <w:noProof/>
            <w:webHidden/>
          </w:rPr>
          <w:fldChar w:fldCharType="begin"/>
        </w:r>
        <w:r>
          <w:rPr>
            <w:noProof/>
            <w:webHidden/>
          </w:rPr>
          <w:instrText xml:space="preserve"> PAGEREF _Toc349039274 \h </w:instrText>
        </w:r>
        <w:r>
          <w:rPr>
            <w:noProof/>
            <w:webHidden/>
          </w:rPr>
        </w:r>
        <w:r>
          <w:rPr>
            <w:noProof/>
            <w:webHidden/>
          </w:rPr>
          <w:fldChar w:fldCharType="separate"/>
        </w:r>
        <w:r>
          <w:rPr>
            <w:noProof/>
            <w:webHidden/>
          </w:rPr>
          <w:t>32</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75" w:history="1">
        <w:r w:rsidRPr="00D66507">
          <w:rPr>
            <w:rStyle w:val="Hyperlink"/>
            <w:noProof/>
          </w:rPr>
          <w:t>5.3.4</w:t>
        </w:r>
        <w:r>
          <w:rPr>
            <w:rFonts w:asciiTheme="minorHAnsi" w:eastAsiaTheme="minorEastAsia" w:hAnsiTheme="minorHAnsi" w:cstheme="minorBidi"/>
            <w:noProof/>
            <w:sz w:val="22"/>
            <w:szCs w:val="22"/>
            <w:lang w:val="da-DK" w:eastAsia="da-DK"/>
          </w:rPr>
          <w:tab/>
        </w:r>
        <w:r w:rsidRPr="00D66507">
          <w:rPr>
            <w:rStyle w:val="Hyperlink"/>
            <w:noProof/>
          </w:rPr>
          <w:t>S-DAB</w:t>
        </w:r>
        <w:r>
          <w:rPr>
            <w:noProof/>
            <w:webHidden/>
          </w:rPr>
          <w:tab/>
        </w:r>
        <w:r>
          <w:rPr>
            <w:noProof/>
            <w:webHidden/>
          </w:rPr>
          <w:fldChar w:fldCharType="begin"/>
        </w:r>
        <w:r>
          <w:rPr>
            <w:noProof/>
            <w:webHidden/>
          </w:rPr>
          <w:instrText xml:space="preserve"> PAGEREF _Toc349039275 \h </w:instrText>
        </w:r>
        <w:r>
          <w:rPr>
            <w:noProof/>
            <w:webHidden/>
          </w:rPr>
        </w:r>
        <w:r>
          <w:rPr>
            <w:noProof/>
            <w:webHidden/>
          </w:rPr>
          <w:fldChar w:fldCharType="separate"/>
        </w:r>
        <w:r>
          <w:rPr>
            <w:noProof/>
            <w:webHidden/>
          </w:rPr>
          <w:t>33</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76" w:history="1">
        <w:r w:rsidRPr="00D66507">
          <w:rPr>
            <w:rStyle w:val="Hyperlink"/>
            <w:noProof/>
          </w:rPr>
          <w:t>5.3.5</w:t>
        </w:r>
        <w:r>
          <w:rPr>
            <w:rFonts w:asciiTheme="minorHAnsi" w:eastAsiaTheme="minorEastAsia" w:hAnsiTheme="minorHAnsi" w:cstheme="minorBidi"/>
            <w:noProof/>
            <w:sz w:val="22"/>
            <w:szCs w:val="22"/>
            <w:lang w:val="da-DK" w:eastAsia="da-DK"/>
          </w:rPr>
          <w:tab/>
        </w:r>
        <w:r w:rsidRPr="00D66507">
          <w:rPr>
            <w:rStyle w:val="Hyperlink"/>
            <w:noProof/>
          </w:rPr>
          <w:t>PMSE</w:t>
        </w:r>
        <w:r>
          <w:rPr>
            <w:noProof/>
            <w:webHidden/>
          </w:rPr>
          <w:tab/>
        </w:r>
        <w:r>
          <w:rPr>
            <w:noProof/>
            <w:webHidden/>
          </w:rPr>
          <w:fldChar w:fldCharType="begin"/>
        </w:r>
        <w:r>
          <w:rPr>
            <w:noProof/>
            <w:webHidden/>
          </w:rPr>
          <w:instrText xml:space="preserve"> PAGEREF _Toc349039276 \h </w:instrText>
        </w:r>
        <w:r>
          <w:rPr>
            <w:noProof/>
            <w:webHidden/>
          </w:rPr>
        </w:r>
        <w:r>
          <w:rPr>
            <w:noProof/>
            <w:webHidden/>
          </w:rPr>
          <w:fldChar w:fldCharType="separate"/>
        </w:r>
        <w:r>
          <w:rPr>
            <w:noProof/>
            <w:webHidden/>
          </w:rPr>
          <w:t>34</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77" w:history="1">
        <w:r w:rsidRPr="00D66507">
          <w:rPr>
            <w:rStyle w:val="Hyperlink"/>
            <w:noProof/>
          </w:rPr>
          <w:t>5.3.6</w:t>
        </w:r>
        <w:r>
          <w:rPr>
            <w:rFonts w:asciiTheme="minorHAnsi" w:eastAsiaTheme="minorEastAsia" w:hAnsiTheme="minorHAnsi" w:cstheme="minorBidi"/>
            <w:noProof/>
            <w:sz w:val="22"/>
            <w:szCs w:val="22"/>
            <w:lang w:val="da-DK" w:eastAsia="da-DK"/>
          </w:rPr>
          <w:tab/>
        </w:r>
        <w:r w:rsidRPr="00D66507">
          <w:rPr>
            <w:rStyle w:val="Hyperlink"/>
            <w:noProof/>
          </w:rPr>
          <w:t>Broadband PPDR for local and temporary use</w:t>
        </w:r>
        <w:r>
          <w:rPr>
            <w:noProof/>
            <w:webHidden/>
          </w:rPr>
          <w:tab/>
        </w:r>
        <w:r>
          <w:rPr>
            <w:noProof/>
            <w:webHidden/>
          </w:rPr>
          <w:fldChar w:fldCharType="begin"/>
        </w:r>
        <w:r>
          <w:rPr>
            <w:noProof/>
            <w:webHidden/>
          </w:rPr>
          <w:instrText xml:space="preserve"> PAGEREF _Toc349039277 \h </w:instrText>
        </w:r>
        <w:r>
          <w:rPr>
            <w:noProof/>
            <w:webHidden/>
          </w:rPr>
        </w:r>
        <w:r>
          <w:rPr>
            <w:noProof/>
            <w:webHidden/>
          </w:rPr>
          <w:fldChar w:fldCharType="separate"/>
        </w:r>
        <w:r>
          <w:rPr>
            <w:noProof/>
            <w:webHidden/>
          </w:rPr>
          <w:t>35</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78" w:history="1">
        <w:r w:rsidRPr="00D66507">
          <w:rPr>
            <w:rStyle w:val="Hyperlink"/>
            <w:noProof/>
          </w:rPr>
          <w:t>5.3.7</w:t>
        </w:r>
        <w:r>
          <w:rPr>
            <w:rFonts w:asciiTheme="minorHAnsi" w:eastAsiaTheme="minorEastAsia" w:hAnsiTheme="minorHAnsi" w:cstheme="minorBidi"/>
            <w:noProof/>
            <w:sz w:val="22"/>
            <w:szCs w:val="22"/>
            <w:lang w:val="da-DK" w:eastAsia="da-DK"/>
          </w:rPr>
          <w:tab/>
        </w:r>
        <w:r w:rsidRPr="00D66507">
          <w:rPr>
            <w:rStyle w:val="Hyperlink"/>
            <w:noProof/>
          </w:rPr>
          <w:t>BDA2GC</w:t>
        </w:r>
        <w:r>
          <w:rPr>
            <w:noProof/>
            <w:webHidden/>
          </w:rPr>
          <w:tab/>
        </w:r>
        <w:r>
          <w:rPr>
            <w:noProof/>
            <w:webHidden/>
          </w:rPr>
          <w:fldChar w:fldCharType="begin"/>
        </w:r>
        <w:r>
          <w:rPr>
            <w:noProof/>
            <w:webHidden/>
          </w:rPr>
          <w:instrText xml:space="preserve"> PAGEREF _Toc349039278 \h </w:instrText>
        </w:r>
        <w:r>
          <w:rPr>
            <w:noProof/>
            <w:webHidden/>
          </w:rPr>
        </w:r>
        <w:r>
          <w:rPr>
            <w:noProof/>
            <w:webHidden/>
          </w:rPr>
          <w:fldChar w:fldCharType="separate"/>
        </w:r>
        <w:r>
          <w:rPr>
            <w:noProof/>
            <w:webHidden/>
          </w:rPr>
          <w:t>36</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79" w:history="1">
        <w:r w:rsidRPr="00D66507">
          <w:rPr>
            <w:rStyle w:val="Hyperlink"/>
            <w:noProof/>
            <w:lang w:val="en-GB"/>
          </w:rPr>
          <w:t>5.4</w:t>
        </w:r>
        <w:r>
          <w:rPr>
            <w:rFonts w:asciiTheme="minorHAnsi" w:eastAsiaTheme="minorEastAsia" w:hAnsiTheme="minorHAnsi" w:cstheme="minorBidi"/>
            <w:noProof/>
            <w:sz w:val="22"/>
            <w:szCs w:val="22"/>
            <w:lang w:val="da-DK" w:eastAsia="da-DK"/>
          </w:rPr>
          <w:tab/>
        </w:r>
        <w:r w:rsidRPr="00D66507">
          <w:rPr>
            <w:rStyle w:val="Hyperlink"/>
            <w:noProof/>
            <w:lang w:val="en-GB"/>
          </w:rPr>
          <w:t>Criterion 4</w:t>
        </w:r>
        <w:r>
          <w:rPr>
            <w:noProof/>
            <w:webHidden/>
          </w:rPr>
          <w:tab/>
        </w:r>
        <w:r>
          <w:rPr>
            <w:noProof/>
            <w:webHidden/>
          </w:rPr>
          <w:fldChar w:fldCharType="begin"/>
        </w:r>
        <w:r>
          <w:rPr>
            <w:noProof/>
            <w:webHidden/>
          </w:rPr>
          <w:instrText xml:space="preserve"> PAGEREF _Toc349039279 \h </w:instrText>
        </w:r>
        <w:r>
          <w:rPr>
            <w:noProof/>
            <w:webHidden/>
          </w:rPr>
        </w:r>
        <w:r>
          <w:rPr>
            <w:noProof/>
            <w:webHidden/>
          </w:rPr>
          <w:fldChar w:fldCharType="separate"/>
        </w:r>
        <w:r>
          <w:rPr>
            <w:noProof/>
            <w:webHidden/>
          </w:rPr>
          <w:t>38</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80" w:history="1">
        <w:r w:rsidRPr="00D66507">
          <w:rPr>
            <w:rStyle w:val="Hyperlink"/>
            <w:noProof/>
          </w:rPr>
          <w:t>5.4.1</w:t>
        </w:r>
        <w:r>
          <w:rPr>
            <w:rFonts w:asciiTheme="minorHAnsi" w:eastAsiaTheme="minorEastAsia" w:hAnsiTheme="minorHAnsi" w:cstheme="minorBidi"/>
            <w:noProof/>
            <w:sz w:val="22"/>
            <w:szCs w:val="22"/>
            <w:lang w:val="da-DK" w:eastAsia="da-DK"/>
          </w:rPr>
          <w:tab/>
        </w:r>
        <w:r w:rsidRPr="00D66507">
          <w:rPr>
            <w:rStyle w:val="Hyperlink"/>
            <w:noProof/>
          </w:rPr>
          <w:t>Terrestrial broadcasting</w:t>
        </w:r>
        <w:r>
          <w:rPr>
            <w:noProof/>
            <w:webHidden/>
          </w:rPr>
          <w:tab/>
        </w:r>
        <w:r>
          <w:rPr>
            <w:noProof/>
            <w:webHidden/>
          </w:rPr>
          <w:fldChar w:fldCharType="begin"/>
        </w:r>
        <w:r>
          <w:rPr>
            <w:noProof/>
            <w:webHidden/>
          </w:rPr>
          <w:instrText xml:space="preserve"> PAGEREF _Toc349039280 \h </w:instrText>
        </w:r>
        <w:r>
          <w:rPr>
            <w:noProof/>
            <w:webHidden/>
          </w:rPr>
        </w:r>
        <w:r>
          <w:rPr>
            <w:noProof/>
            <w:webHidden/>
          </w:rPr>
          <w:fldChar w:fldCharType="separate"/>
        </w:r>
        <w:r>
          <w:rPr>
            <w:noProof/>
            <w:webHidden/>
          </w:rPr>
          <w:t>39</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81" w:history="1">
        <w:r w:rsidRPr="00D66507">
          <w:rPr>
            <w:rStyle w:val="Hyperlink"/>
            <w:noProof/>
          </w:rPr>
          <w:t>5.4.2</w:t>
        </w:r>
        <w:r>
          <w:rPr>
            <w:rFonts w:asciiTheme="minorHAnsi" w:eastAsiaTheme="minorEastAsia" w:hAnsiTheme="minorHAnsi" w:cstheme="minorBidi"/>
            <w:noProof/>
            <w:sz w:val="22"/>
            <w:szCs w:val="22"/>
            <w:lang w:val="da-DK" w:eastAsia="da-DK"/>
          </w:rPr>
          <w:tab/>
        </w:r>
        <w:r w:rsidRPr="00D66507">
          <w:rPr>
            <w:rStyle w:val="Hyperlink"/>
            <w:noProof/>
          </w:rPr>
          <w:t>Mobile Broadband</w:t>
        </w:r>
        <w:r>
          <w:rPr>
            <w:noProof/>
            <w:webHidden/>
          </w:rPr>
          <w:tab/>
        </w:r>
        <w:r>
          <w:rPr>
            <w:noProof/>
            <w:webHidden/>
          </w:rPr>
          <w:fldChar w:fldCharType="begin"/>
        </w:r>
        <w:r>
          <w:rPr>
            <w:noProof/>
            <w:webHidden/>
          </w:rPr>
          <w:instrText xml:space="preserve"> PAGEREF _Toc349039281 \h </w:instrText>
        </w:r>
        <w:r>
          <w:rPr>
            <w:noProof/>
            <w:webHidden/>
          </w:rPr>
        </w:r>
        <w:r>
          <w:rPr>
            <w:noProof/>
            <w:webHidden/>
          </w:rPr>
          <w:fldChar w:fldCharType="separate"/>
        </w:r>
        <w:r>
          <w:rPr>
            <w:noProof/>
            <w:webHidden/>
          </w:rPr>
          <w:t>40</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82" w:history="1">
        <w:r w:rsidRPr="00D66507">
          <w:rPr>
            <w:rStyle w:val="Hyperlink"/>
            <w:noProof/>
          </w:rPr>
          <w:t>5.4.3</w:t>
        </w:r>
        <w:r>
          <w:rPr>
            <w:rFonts w:asciiTheme="minorHAnsi" w:eastAsiaTheme="minorEastAsia" w:hAnsiTheme="minorHAnsi" w:cstheme="minorBidi"/>
            <w:noProof/>
            <w:sz w:val="22"/>
            <w:szCs w:val="22"/>
            <w:lang w:val="da-DK" w:eastAsia="da-DK"/>
          </w:rPr>
          <w:tab/>
        </w:r>
        <w:r w:rsidRPr="00D66507">
          <w:rPr>
            <w:rStyle w:val="Hyperlink"/>
            <w:noProof/>
          </w:rPr>
          <w:t>Mobile SDL</w:t>
        </w:r>
        <w:r>
          <w:rPr>
            <w:noProof/>
            <w:webHidden/>
          </w:rPr>
          <w:tab/>
        </w:r>
        <w:r>
          <w:rPr>
            <w:noProof/>
            <w:webHidden/>
          </w:rPr>
          <w:fldChar w:fldCharType="begin"/>
        </w:r>
        <w:r>
          <w:rPr>
            <w:noProof/>
            <w:webHidden/>
          </w:rPr>
          <w:instrText xml:space="preserve"> PAGEREF _Toc349039282 \h </w:instrText>
        </w:r>
        <w:r>
          <w:rPr>
            <w:noProof/>
            <w:webHidden/>
          </w:rPr>
        </w:r>
        <w:r>
          <w:rPr>
            <w:noProof/>
            <w:webHidden/>
          </w:rPr>
          <w:fldChar w:fldCharType="separate"/>
        </w:r>
        <w:r>
          <w:rPr>
            <w:noProof/>
            <w:webHidden/>
          </w:rPr>
          <w:t>41</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83" w:history="1">
        <w:r w:rsidRPr="00D66507">
          <w:rPr>
            <w:rStyle w:val="Hyperlink"/>
            <w:noProof/>
          </w:rPr>
          <w:t>5.4.4</w:t>
        </w:r>
        <w:r>
          <w:rPr>
            <w:rFonts w:asciiTheme="minorHAnsi" w:eastAsiaTheme="minorEastAsia" w:hAnsiTheme="minorHAnsi" w:cstheme="minorBidi"/>
            <w:noProof/>
            <w:sz w:val="22"/>
            <w:szCs w:val="22"/>
            <w:lang w:val="da-DK" w:eastAsia="da-DK"/>
          </w:rPr>
          <w:tab/>
        </w:r>
        <w:r w:rsidRPr="00D66507">
          <w:rPr>
            <w:rStyle w:val="Hyperlink"/>
            <w:noProof/>
          </w:rPr>
          <w:t>S-DAB</w:t>
        </w:r>
        <w:r>
          <w:rPr>
            <w:noProof/>
            <w:webHidden/>
          </w:rPr>
          <w:tab/>
        </w:r>
        <w:r>
          <w:rPr>
            <w:noProof/>
            <w:webHidden/>
          </w:rPr>
          <w:fldChar w:fldCharType="begin"/>
        </w:r>
        <w:r>
          <w:rPr>
            <w:noProof/>
            <w:webHidden/>
          </w:rPr>
          <w:instrText xml:space="preserve"> PAGEREF _Toc349039283 \h </w:instrText>
        </w:r>
        <w:r>
          <w:rPr>
            <w:noProof/>
            <w:webHidden/>
          </w:rPr>
        </w:r>
        <w:r>
          <w:rPr>
            <w:noProof/>
            <w:webHidden/>
          </w:rPr>
          <w:fldChar w:fldCharType="separate"/>
        </w:r>
        <w:r>
          <w:rPr>
            <w:noProof/>
            <w:webHidden/>
          </w:rPr>
          <w:t>43</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84" w:history="1">
        <w:r w:rsidRPr="00D66507">
          <w:rPr>
            <w:rStyle w:val="Hyperlink"/>
            <w:noProof/>
          </w:rPr>
          <w:t>5.4.5</w:t>
        </w:r>
        <w:r>
          <w:rPr>
            <w:rFonts w:asciiTheme="minorHAnsi" w:eastAsiaTheme="minorEastAsia" w:hAnsiTheme="minorHAnsi" w:cstheme="minorBidi"/>
            <w:noProof/>
            <w:sz w:val="22"/>
            <w:szCs w:val="22"/>
            <w:lang w:val="da-DK" w:eastAsia="da-DK"/>
          </w:rPr>
          <w:tab/>
        </w:r>
        <w:r w:rsidRPr="00D66507">
          <w:rPr>
            <w:rStyle w:val="Hyperlink"/>
            <w:noProof/>
          </w:rPr>
          <w:t>PMSE</w:t>
        </w:r>
        <w:r>
          <w:rPr>
            <w:noProof/>
            <w:webHidden/>
          </w:rPr>
          <w:tab/>
        </w:r>
        <w:r>
          <w:rPr>
            <w:noProof/>
            <w:webHidden/>
          </w:rPr>
          <w:fldChar w:fldCharType="begin"/>
        </w:r>
        <w:r>
          <w:rPr>
            <w:noProof/>
            <w:webHidden/>
          </w:rPr>
          <w:instrText xml:space="preserve"> PAGEREF _Toc349039284 \h </w:instrText>
        </w:r>
        <w:r>
          <w:rPr>
            <w:noProof/>
            <w:webHidden/>
          </w:rPr>
        </w:r>
        <w:r>
          <w:rPr>
            <w:noProof/>
            <w:webHidden/>
          </w:rPr>
          <w:fldChar w:fldCharType="separate"/>
        </w:r>
        <w:r>
          <w:rPr>
            <w:noProof/>
            <w:webHidden/>
          </w:rPr>
          <w:t>44</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85" w:history="1">
        <w:r w:rsidRPr="00D66507">
          <w:rPr>
            <w:rStyle w:val="Hyperlink"/>
            <w:noProof/>
          </w:rPr>
          <w:t>5.4.6</w:t>
        </w:r>
        <w:r>
          <w:rPr>
            <w:rFonts w:asciiTheme="minorHAnsi" w:eastAsiaTheme="minorEastAsia" w:hAnsiTheme="minorHAnsi" w:cstheme="minorBidi"/>
            <w:noProof/>
            <w:sz w:val="22"/>
            <w:szCs w:val="22"/>
            <w:lang w:val="da-DK" w:eastAsia="da-DK"/>
          </w:rPr>
          <w:tab/>
        </w:r>
        <w:r w:rsidRPr="00D66507">
          <w:rPr>
            <w:rStyle w:val="Hyperlink"/>
            <w:noProof/>
          </w:rPr>
          <w:t>Broadband PPDR for local and temporary use</w:t>
        </w:r>
        <w:r>
          <w:rPr>
            <w:noProof/>
            <w:webHidden/>
          </w:rPr>
          <w:tab/>
        </w:r>
        <w:r>
          <w:rPr>
            <w:noProof/>
            <w:webHidden/>
          </w:rPr>
          <w:fldChar w:fldCharType="begin"/>
        </w:r>
        <w:r>
          <w:rPr>
            <w:noProof/>
            <w:webHidden/>
          </w:rPr>
          <w:instrText xml:space="preserve"> PAGEREF _Toc349039285 \h </w:instrText>
        </w:r>
        <w:r>
          <w:rPr>
            <w:noProof/>
            <w:webHidden/>
          </w:rPr>
        </w:r>
        <w:r>
          <w:rPr>
            <w:noProof/>
            <w:webHidden/>
          </w:rPr>
          <w:fldChar w:fldCharType="separate"/>
        </w:r>
        <w:r>
          <w:rPr>
            <w:noProof/>
            <w:webHidden/>
          </w:rPr>
          <w:t>44</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86" w:history="1">
        <w:r w:rsidRPr="00D66507">
          <w:rPr>
            <w:rStyle w:val="Hyperlink"/>
            <w:noProof/>
          </w:rPr>
          <w:t>5.4.7</w:t>
        </w:r>
        <w:r>
          <w:rPr>
            <w:rFonts w:asciiTheme="minorHAnsi" w:eastAsiaTheme="minorEastAsia" w:hAnsiTheme="minorHAnsi" w:cstheme="minorBidi"/>
            <w:noProof/>
            <w:sz w:val="22"/>
            <w:szCs w:val="22"/>
            <w:lang w:val="da-DK" w:eastAsia="da-DK"/>
          </w:rPr>
          <w:tab/>
        </w:r>
        <w:r w:rsidRPr="00D66507">
          <w:rPr>
            <w:rStyle w:val="Hyperlink"/>
            <w:noProof/>
          </w:rPr>
          <w:t>BDA2GC</w:t>
        </w:r>
        <w:r>
          <w:rPr>
            <w:noProof/>
            <w:webHidden/>
          </w:rPr>
          <w:tab/>
        </w:r>
        <w:r>
          <w:rPr>
            <w:noProof/>
            <w:webHidden/>
          </w:rPr>
          <w:fldChar w:fldCharType="begin"/>
        </w:r>
        <w:r>
          <w:rPr>
            <w:noProof/>
            <w:webHidden/>
          </w:rPr>
          <w:instrText xml:space="preserve"> PAGEREF _Toc349039286 \h </w:instrText>
        </w:r>
        <w:r>
          <w:rPr>
            <w:noProof/>
            <w:webHidden/>
          </w:rPr>
        </w:r>
        <w:r>
          <w:rPr>
            <w:noProof/>
            <w:webHidden/>
          </w:rPr>
          <w:fldChar w:fldCharType="separate"/>
        </w:r>
        <w:r>
          <w:rPr>
            <w:noProof/>
            <w:webHidden/>
          </w:rPr>
          <w:t>45</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87" w:history="1">
        <w:r w:rsidRPr="00D66507">
          <w:rPr>
            <w:rStyle w:val="Hyperlink"/>
            <w:noProof/>
            <w:lang w:val="en-GB"/>
          </w:rPr>
          <w:t>5.5</w:t>
        </w:r>
        <w:r>
          <w:rPr>
            <w:rFonts w:asciiTheme="minorHAnsi" w:eastAsiaTheme="minorEastAsia" w:hAnsiTheme="minorHAnsi" w:cstheme="minorBidi"/>
            <w:noProof/>
            <w:sz w:val="22"/>
            <w:szCs w:val="22"/>
            <w:lang w:val="da-DK" w:eastAsia="da-DK"/>
          </w:rPr>
          <w:tab/>
        </w:r>
        <w:r w:rsidRPr="00D66507">
          <w:rPr>
            <w:rStyle w:val="Hyperlink"/>
            <w:noProof/>
            <w:lang w:val="en-GB"/>
          </w:rPr>
          <w:t>Criterion 5</w:t>
        </w:r>
        <w:r>
          <w:rPr>
            <w:noProof/>
            <w:webHidden/>
          </w:rPr>
          <w:tab/>
        </w:r>
        <w:r>
          <w:rPr>
            <w:noProof/>
            <w:webHidden/>
          </w:rPr>
          <w:fldChar w:fldCharType="begin"/>
        </w:r>
        <w:r>
          <w:rPr>
            <w:noProof/>
            <w:webHidden/>
          </w:rPr>
          <w:instrText xml:space="preserve"> PAGEREF _Toc349039287 \h </w:instrText>
        </w:r>
        <w:r>
          <w:rPr>
            <w:noProof/>
            <w:webHidden/>
          </w:rPr>
        </w:r>
        <w:r>
          <w:rPr>
            <w:noProof/>
            <w:webHidden/>
          </w:rPr>
          <w:fldChar w:fldCharType="separate"/>
        </w:r>
        <w:r>
          <w:rPr>
            <w:noProof/>
            <w:webHidden/>
          </w:rPr>
          <w:t>46</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88" w:history="1">
        <w:r w:rsidRPr="00D66507">
          <w:rPr>
            <w:rStyle w:val="Hyperlink"/>
            <w:noProof/>
          </w:rPr>
          <w:t>5.5.1</w:t>
        </w:r>
        <w:r>
          <w:rPr>
            <w:rFonts w:asciiTheme="minorHAnsi" w:eastAsiaTheme="minorEastAsia" w:hAnsiTheme="minorHAnsi" w:cstheme="minorBidi"/>
            <w:noProof/>
            <w:sz w:val="22"/>
            <w:szCs w:val="22"/>
            <w:lang w:val="da-DK" w:eastAsia="da-DK"/>
          </w:rPr>
          <w:tab/>
        </w:r>
        <w:r w:rsidRPr="00D66507">
          <w:rPr>
            <w:rStyle w:val="Hyperlink"/>
            <w:noProof/>
          </w:rPr>
          <w:t>Terrestrial broadcasting</w:t>
        </w:r>
        <w:r>
          <w:rPr>
            <w:noProof/>
            <w:webHidden/>
          </w:rPr>
          <w:tab/>
        </w:r>
        <w:r>
          <w:rPr>
            <w:noProof/>
            <w:webHidden/>
          </w:rPr>
          <w:fldChar w:fldCharType="begin"/>
        </w:r>
        <w:r>
          <w:rPr>
            <w:noProof/>
            <w:webHidden/>
          </w:rPr>
          <w:instrText xml:space="preserve"> PAGEREF _Toc349039288 \h </w:instrText>
        </w:r>
        <w:r>
          <w:rPr>
            <w:noProof/>
            <w:webHidden/>
          </w:rPr>
        </w:r>
        <w:r>
          <w:rPr>
            <w:noProof/>
            <w:webHidden/>
          </w:rPr>
          <w:fldChar w:fldCharType="separate"/>
        </w:r>
        <w:r>
          <w:rPr>
            <w:noProof/>
            <w:webHidden/>
          </w:rPr>
          <w:t>47</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89" w:history="1">
        <w:r w:rsidRPr="00D66507">
          <w:rPr>
            <w:rStyle w:val="Hyperlink"/>
            <w:noProof/>
          </w:rPr>
          <w:t>5.5.2</w:t>
        </w:r>
        <w:r>
          <w:rPr>
            <w:rFonts w:asciiTheme="minorHAnsi" w:eastAsiaTheme="minorEastAsia" w:hAnsiTheme="minorHAnsi" w:cstheme="minorBidi"/>
            <w:noProof/>
            <w:sz w:val="22"/>
            <w:szCs w:val="22"/>
            <w:lang w:val="da-DK" w:eastAsia="da-DK"/>
          </w:rPr>
          <w:tab/>
        </w:r>
        <w:r w:rsidRPr="00D66507">
          <w:rPr>
            <w:rStyle w:val="Hyperlink"/>
            <w:noProof/>
          </w:rPr>
          <w:t>Mobile broadband</w:t>
        </w:r>
        <w:r>
          <w:rPr>
            <w:noProof/>
            <w:webHidden/>
          </w:rPr>
          <w:tab/>
        </w:r>
        <w:r>
          <w:rPr>
            <w:noProof/>
            <w:webHidden/>
          </w:rPr>
          <w:fldChar w:fldCharType="begin"/>
        </w:r>
        <w:r>
          <w:rPr>
            <w:noProof/>
            <w:webHidden/>
          </w:rPr>
          <w:instrText xml:space="preserve"> PAGEREF _Toc349039289 \h </w:instrText>
        </w:r>
        <w:r>
          <w:rPr>
            <w:noProof/>
            <w:webHidden/>
          </w:rPr>
        </w:r>
        <w:r>
          <w:rPr>
            <w:noProof/>
            <w:webHidden/>
          </w:rPr>
          <w:fldChar w:fldCharType="separate"/>
        </w:r>
        <w:r>
          <w:rPr>
            <w:noProof/>
            <w:webHidden/>
          </w:rPr>
          <w:t>47</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90" w:history="1">
        <w:r w:rsidRPr="00D66507">
          <w:rPr>
            <w:rStyle w:val="Hyperlink"/>
            <w:noProof/>
          </w:rPr>
          <w:t>5.5.3</w:t>
        </w:r>
        <w:r>
          <w:rPr>
            <w:rFonts w:asciiTheme="minorHAnsi" w:eastAsiaTheme="minorEastAsia" w:hAnsiTheme="minorHAnsi" w:cstheme="minorBidi"/>
            <w:noProof/>
            <w:sz w:val="22"/>
            <w:szCs w:val="22"/>
            <w:lang w:val="da-DK" w:eastAsia="da-DK"/>
          </w:rPr>
          <w:tab/>
        </w:r>
        <w:r w:rsidRPr="00D66507">
          <w:rPr>
            <w:rStyle w:val="Hyperlink"/>
            <w:noProof/>
          </w:rPr>
          <w:t>Mobile-SDL</w:t>
        </w:r>
        <w:r>
          <w:rPr>
            <w:noProof/>
            <w:webHidden/>
          </w:rPr>
          <w:tab/>
        </w:r>
        <w:r>
          <w:rPr>
            <w:noProof/>
            <w:webHidden/>
          </w:rPr>
          <w:fldChar w:fldCharType="begin"/>
        </w:r>
        <w:r>
          <w:rPr>
            <w:noProof/>
            <w:webHidden/>
          </w:rPr>
          <w:instrText xml:space="preserve"> PAGEREF _Toc349039290 \h </w:instrText>
        </w:r>
        <w:r>
          <w:rPr>
            <w:noProof/>
            <w:webHidden/>
          </w:rPr>
        </w:r>
        <w:r>
          <w:rPr>
            <w:noProof/>
            <w:webHidden/>
          </w:rPr>
          <w:fldChar w:fldCharType="separate"/>
        </w:r>
        <w:r>
          <w:rPr>
            <w:noProof/>
            <w:webHidden/>
          </w:rPr>
          <w:t>48</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91" w:history="1">
        <w:r w:rsidRPr="00D66507">
          <w:rPr>
            <w:rStyle w:val="Hyperlink"/>
            <w:noProof/>
          </w:rPr>
          <w:t>5.5.4</w:t>
        </w:r>
        <w:r>
          <w:rPr>
            <w:rFonts w:asciiTheme="minorHAnsi" w:eastAsiaTheme="minorEastAsia" w:hAnsiTheme="minorHAnsi" w:cstheme="minorBidi"/>
            <w:noProof/>
            <w:sz w:val="22"/>
            <w:szCs w:val="22"/>
            <w:lang w:val="da-DK" w:eastAsia="da-DK"/>
          </w:rPr>
          <w:tab/>
        </w:r>
        <w:r w:rsidRPr="00D66507">
          <w:rPr>
            <w:rStyle w:val="Hyperlink"/>
            <w:noProof/>
          </w:rPr>
          <w:t>S-DAB</w:t>
        </w:r>
        <w:r>
          <w:rPr>
            <w:noProof/>
            <w:webHidden/>
          </w:rPr>
          <w:tab/>
        </w:r>
        <w:r>
          <w:rPr>
            <w:noProof/>
            <w:webHidden/>
          </w:rPr>
          <w:fldChar w:fldCharType="begin"/>
        </w:r>
        <w:r>
          <w:rPr>
            <w:noProof/>
            <w:webHidden/>
          </w:rPr>
          <w:instrText xml:space="preserve"> PAGEREF _Toc349039291 \h </w:instrText>
        </w:r>
        <w:r>
          <w:rPr>
            <w:noProof/>
            <w:webHidden/>
          </w:rPr>
        </w:r>
        <w:r>
          <w:rPr>
            <w:noProof/>
            <w:webHidden/>
          </w:rPr>
          <w:fldChar w:fldCharType="separate"/>
        </w:r>
        <w:r>
          <w:rPr>
            <w:noProof/>
            <w:webHidden/>
          </w:rPr>
          <w:t>49</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92" w:history="1">
        <w:r w:rsidRPr="00D66507">
          <w:rPr>
            <w:rStyle w:val="Hyperlink"/>
            <w:noProof/>
          </w:rPr>
          <w:t>5.5.5</w:t>
        </w:r>
        <w:r>
          <w:rPr>
            <w:rFonts w:asciiTheme="minorHAnsi" w:eastAsiaTheme="minorEastAsia" w:hAnsiTheme="minorHAnsi" w:cstheme="minorBidi"/>
            <w:noProof/>
            <w:sz w:val="22"/>
            <w:szCs w:val="22"/>
            <w:lang w:val="da-DK" w:eastAsia="da-DK"/>
          </w:rPr>
          <w:tab/>
        </w:r>
        <w:r w:rsidRPr="00D66507">
          <w:rPr>
            <w:rStyle w:val="Hyperlink"/>
            <w:noProof/>
          </w:rPr>
          <w:t>PMSE</w:t>
        </w:r>
        <w:r>
          <w:rPr>
            <w:noProof/>
            <w:webHidden/>
          </w:rPr>
          <w:tab/>
        </w:r>
        <w:r>
          <w:rPr>
            <w:noProof/>
            <w:webHidden/>
          </w:rPr>
          <w:fldChar w:fldCharType="begin"/>
        </w:r>
        <w:r>
          <w:rPr>
            <w:noProof/>
            <w:webHidden/>
          </w:rPr>
          <w:instrText xml:space="preserve"> PAGEREF _Toc349039292 \h </w:instrText>
        </w:r>
        <w:r>
          <w:rPr>
            <w:noProof/>
            <w:webHidden/>
          </w:rPr>
        </w:r>
        <w:r>
          <w:rPr>
            <w:noProof/>
            <w:webHidden/>
          </w:rPr>
          <w:fldChar w:fldCharType="separate"/>
        </w:r>
        <w:r>
          <w:rPr>
            <w:noProof/>
            <w:webHidden/>
          </w:rPr>
          <w:t>49</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93" w:history="1">
        <w:r w:rsidRPr="00D66507">
          <w:rPr>
            <w:rStyle w:val="Hyperlink"/>
            <w:noProof/>
          </w:rPr>
          <w:t>5.5.6</w:t>
        </w:r>
        <w:r>
          <w:rPr>
            <w:rFonts w:asciiTheme="minorHAnsi" w:eastAsiaTheme="minorEastAsia" w:hAnsiTheme="minorHAnsi" w:cstheme="minorBidi"/>
            <w:noProof/>
            <w:sz w:val="22"/>
            <w:szCs w:val="22"/>
            <w:lang w:val="da-DK" w:eastAsia="da-DK"/>
          </w:rPr>
          <w:tab/>
        </w:r>
        <w:r w:rsidRPr="00D66507">
          <w:rPr>
            <w:rStyle w:val="Hyperlink"/>
            <w:noProof/>
          </w:rPr>
          <w:t>Broadband PPDR for local and temporary use</w:t>
        </w:r>
        <w:r>
          <w:rPr>
            <w:noProof/>
            <w:webHidden/>
          </w:rPr>
          <w:tab/>
        </w:r>
        <w:r>
          <w:rPr>
            <w:noProof/>
            <w:webHidden/>
          </w:rPr>
          <w:fldChar w:fldCharType="begin"/>
        </w:r>
        <w:r>
          <w:rPr>
            <w:noProof/>
            <w:webHidden/>
          </w:rPr>
          <w:instrText xml:space="preserve"> PAGEREF _Toc349039293 \h </w:instrText>
        </w:r>
        <w:r>
          <w:rPr>
            <w:noProof/>
            <w:webHidden/>
          </w:rPr>
        </w:r>
        <w:r>
          <w:rPr>
            <w:noProof/>
            <w:webHidden/>
          </w:rPr>
          <w:fldChar w:fldCharType="separate"/>
        </w:r>
        <w:r>
          <w:rPr>
            <w:noProof/>
            <w:webHidden/>
          </w:rPr>
          <w:t>50</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94" w:history="1">
        <w:r w:rsidRPr="00D66507">
          <w:rPr>
            <w:rStyle w:val="Hyperlink"/>
            <w:noProof/>
          </w:rPr>
          <w:t>5.5.7</w:t>
        </w:r>
        <w:r>
          <w:rPr>
            <w:rFonts w:asciiTheme="minorHAnsi" w:eastAsiaTheme="minorEastAsia" w:hAnsiTheme="minorHAnsi" w:cstheme="minorBidi"/>
            <w:noProof/>
            <w:sz w:val="22"/>
            <w:szCs w:val="22"/>
            <w:lang w:val="da-DK" w:eastAsia="da-DK"/>
          </w:rPr>
          <w:tab/>
        </w:r>
        <w:r w:rsidRPr="00D66507">
          <w:rPr>
            <w:rStyle w:val="Hyperlink"/>
            <w:noProof/>
          </w:rPr>
          <w:t>BDA2GC</w:t>
        </w:r>
        <w:r>
          <w:rPr>
            <w:noProof/>
            <w:webHidden/>
          </w:rPr>
          <w:tab/>
        </w:r>
        <w:r>
          <w:rPr>
            <w:noProof/>
            <w:webHidden/>
          </w:rPr>
          <w:fldChar w:fldCharType="begin"/>
        </w:r>
        <w:r>
          <w:rPr>
            <w:noProof/>
            <w:webHidden/>
          </w:rPr>
          <w:instrText xml:space="preserve"> PAGEREF _Toc349039294 \h </w:instrText>
        </w:r>
        <w:r>
          <w:rPr>
            <w:noProof/>
            <w:webHidden/>
          </w:rPr>
        </w:r>
        <w:r>
          <w:rPr>
            <w:noProof/>
            <w:webHidden/>
          </w:rPr>
          <w:fldChar w:fldCharType="separate"/>
        </w:r>
        <w:r>
          <w:rPr>
            <w:noProof/>
            <w:webHidden/>
          </w:rPr>
          <w:t>50</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295" w:history="1">
        <w:r w:rsidRPr="00D66507">
          <w:rPr>
            <w:rStyle w:val="Hyperlink"/>
            <w:noProof/>
          </w:rPr>
          <w:t>6</w:t>
        </w:r>
        <w:r>
          <w:rPr>
            <w:rFonts w:asciiTheme="minorHAnsi" w:eastAsiaTheme="minorEastAsia" w:hAnsiTheme="minorHAnsi" w:cstheme="minorBidi"/>
            <w:b w:val="0"/>
            <w:caps w:val="0"/>
            <w:noProof/>
            <w:sz w:val="22"/>
            <w:szCs w:val="22"/>
            <w:lang w:val="da-DK" w:eastAsia="da-DK"/>
          </w:rPr>
          <w:tab/>
        </w:r>
        <w:r w:rsidRPr="00D66507">
          <w:rPr>
            <w:rStyle w:val="Hyperlink"/>
            <w:noProof/>
          </w:rPr>
          <w:t>Regulatory options</w:t>
        </w:r>
        <w:r>
          <w:rPr>
            <w:noProof/>
            <w:webHidden/>
          </w:rPr>
          <w:tab/>
        </w:r>
        <w:r>
          <w:rPr>
            <w:noProof/>
            <w:webHidden/>
          </w:rPr>
          <w:fldChar w:fldCharType="begin"/>
        </w:r>
        <w:r>
          <w:rPr>
            <w:noProof/>
            <w:webHidden/>
          </w:rPr>
          <w:instrText xml:space="preserve"> PAGEREF _Toc349039295 \h </w:instrText>
        </w:r>
        <w:r>
          <w:rPr>
            <w:noProof/>
            <w:webHidden/>
          </w:rPr>
        </w:r>
        <w:r>
          <w:rPr>
            <w:noProof/>
            <w:webHidden/>
          </w:rPr>
          <w:fldChar w:fldCharType="separate"/>
        </w:r>
        <w:r>
          <w:rPr>
            <w:noProof/>
            <w:webHidden/>
          </w:rPr>
          <w:t>51</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296" w:history="1">
        <w:r w:rsidRPr="00D66507">
          <w:rPr>
            <w:rStyle w:val="Hyperlink"/>
            <w:noProof/>
            <w:lang w:val="en-GB"/>
          </w:rPr>
          <w:t>6.1</w:t>
        </w:r>
        <w:r>
          <w:rPr>
            <w:rFonts w:asciiTheme="minorHAnsi" w:eastAsiaTheme="minorEastAsia" w:hAnsiTheme="minorHAnsi" w:cstheme="minorBidi"/>
            <w:noProof/>
            <w:sz w:val="22"/>
            <w:szCs w:val="22"/>
            <w:lang w:val="da-DK" w:eastAsia="da-DK"/>
          </w:rPr>
          <w:tab/>
        </w:r>
        <w:r w:rsidRPr="00D66507">
          <w:rPr>
            <w:rStyle w:val="Hyperlink"/>
            <w:noProof/>
            <w:lang w:val="en-GB"/>
          </w:rPr>
          <w:t>Least Restrictive Technical Conditions</w:t>
        </w:r>
        <w:r>
          <w:rPr>
            <w:noProof/>
            <w:webHidden/>
          </w:rPr>
          <w:tab/>
        </w:r>
        <w:r>
          <w:rPr>
            <w:noProof/>
            <w:webHidden/>
          </w:rPr>
          <w:fldChar w:fldCharType="begin"/>
        </w:r>
        <w:r>
          <w:rPr>
            <w:noProof/>
            <w:webHidden/>
          </w:rPr>
          <w:instrText xml:space="preserve"> PAGEREF _Toc349039296 \h </w:instrText>
        </w:r>
        <w:r>
          <w:rPr>
            <w:noProof/>
            <w:webHidden/>
          </w:rPr>
        </w:r>
        <w:r>
          <w:rPr>
            <w:noProof/>
            <w:webHidden/>
          </w:rPr>
          <w:fldChar w:fldCharType="separate"/>
        </w:r>
        <w:r>
          <w:rPr>
            <w:noProof/>
            <w:webHidden/>
          </w:rPr>
          <w:t>51</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97" w:history="1">
        <w:r w:rsidRPr="00D66507">
          <w:rPr>
            <w:rStyle w:val="Hyperlink"/>
            <w:noProof/>
          </w:rPr>
          <w:t>6.1.1</w:t>
        </w:r>
        <w:r>
          <w:rPr>
            <w:rFonts w:asciiTheme="minorHAnsi" w:eastAsiaTheme="minorEastAsia" w:hAnsiTheme="minorHAnsi" w:cstheme="minorBidi"/>
            <w:noProof/>
            <w:sz w:val="22"/>
            <w:szCs w:val="22"/>
            <w:lang w:val="da-DK" w:eastAsia="da-DK"/>
          </w:rPr>
          <w:tab/>
        </w:r>
        <w:r w:rsidRPr="00D66507">
          <w:rPr>
            <w:rStyle w:val="Hyperlink"/>
            <w:noProof/>
          </w:rPr>
          <w:t>ECC experience with LRTCs</w:t>
        </w:r>
        <w:r>
          <w:rPr>
            <w:noProof/>
            <w:webHidden/>
          </w:rPr>
          <w:tab/>
        </w:r>
        <w:r>
          <w:rPr>
            <w:noProof/>
            <w:webHidden/>
          </w:rPr>
          <w:fldChar w:fldCharType="begin"/>
        </w:r>
        <w:r>
          <w:rPr>
            <w:noProof/>
            <w:webHidden/>
          </w:rPr>
          <w:instrText xml:space="preserve"> PAGEREF _Toc349039297 \h </w:instrText>
        </w:r>
        <w:r>
          <w:rPr>
            <w:noProof/>
            <w:webHidden/>
          </w:rPr>
        </w:r>
        <w:r>
          <w:rPr>
            <w:noProof/>
            <w:webHidden/>
          </w:rPr>
          <w:fldChar w:fldCharType="separate"/>
        </w:r>
        <w:r>
          <w:rPr>
            <w:noProof/>
            <w:webHidden/>
          </w:rPr>
          <w:t>51</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298" w:history="1">
        <w:r w:rsidRPr="00D66507">
          <w:rPr>
            <w:rStyle w:val="Hyperlink"/>
            <w:noProof/>
          </w:rPr>
          <w:t>6.1.2</w:t>
        </w:r>
        <w:r>
          <w:rPr>
            <w:rFonts w:asciiTheme="minorHAnsi" w:eastAsiaTheme="minorEastAsia" w:hAnsiTheme="minorHAnsi" w:cstheme="minorBidi"/>
            <w:noProof/>
            <w:sz w:val="22"/>
            <w:szCs w:val="22"/>
            <w:lang w:val="da-DK" w:eastAsia="da-DK"/>
          </w:rPr>
          <w:tab/>
        </w:r>
        <w:r w:rsidRPr="00D66507">
          <w:rPr>
            <w:rStyle w:val="Hyperlink"/>
            <w:noProof/>
          </w:rPr>
          <w:t>Possible sets of LRTC to be developed</w:t>
        </w:r>
        <w:r>
          <w:rPr>
            <w:noProof/>
            <w:webHidden/>
          </w:rPr>
          <w:tab/>
        </w:r>
        <w:r>
          <w:rPr>
            <w:noProof/>
            <w:webHidden/>
          </w:rPr>
          <w:fldChar w:fldCharType="begin"/>
        </w:r>
        <w:r>
          <w:rPr>
            <w:noProof/>
            <w:webHidden/>
          </w:rPr>
          <w:instrText xml:space="preserve"> PAGEREF _Toc349039298 \h </w:instrText>
        </w:r>
        <w:r>
          <w:rPr>
            <w:noProof/>
            <w:webHidden/>
          </w:rPr>
        </w:r>
        <w:r>
          <w:rPr>
            <w:noProof/>
            <w:webHidden/>
          </w:rPr>
          <w:fldChar w:fldCharType="separate"/>
        </w:r>
        <w:r>
          <w:rPr>
            <w:noProof/>
            <w:webHidden/>
          </w:rPr>
          <w:t>52</w:t>
        </w:r>
        <w:r>
          <w:rPr>
            <w:noProof/>
            <w:webHidden/>
          </w:rPr>
          <w:fldChar w:fldCharType="end"/>
        </w:r>
      </w:hyperlink>
    </w:p>
    <w:p w:rsidR="00F21C76" w:rsidRDefault="00F21C76">
      <w:pPr>
        <w:pStyle w:val="TOC4"/>
        <w:rPr>
          <w:rFonts w:asciiTheme="minorHAnsi" w:eastAsiaTheme="minorEastAsia" w:hAnsiTheme="minorHAnsi" w:cstheme="minorBidi"/>
          <w:i w:val="0"/>
          <w:noProof/>
          <w:sz w:val="22"/>
          <w:szCs w:val="22"/>
          <w:lang w:val="da-DK" w:eastAsia="da-DK"/>
        </w:rPr>
      </w:pPr>
      <w:hyperlink w:anchor="_Toc349039299" w:history="1">
        <w:r w:rsidRPr="00D66507">
          <w:rPr>
            <w:rStyle w:val="Hyperlink"/>
            <w:noProof/>
            <w:lang w:val="en-GB"/>
          </w:rPr>
          <w:t>6.1.2.1</w:t>
        </w:r>
        <w:r>
          <w:rPr>
            <w:rFonts w:asciiTheme="minorHAnsi" w:eastAsiaTheme="minorEastAsia" w:hAnsiTheme="minorHAnsi" w:cstheme="minorBidi"/>
            <w:i w:val="0"/>
            <w:noProof/>
            <w:sz w:val="22"/>
            <w:szCs w:val="22"/>
            <w:lang w:val="da-DK" w:eastAsia="da-DK"/>
          </w:rPr>
          <w:tab/>
        </w:r>
        <w:r w:rsidRPr="00D66507">
          <w:rPr>
            <w:rStyle w:val="Hyperlink"/>
            <w:noProof/>
            <w:lang w:val="en-GB"/>
          </w:rPr>
          <w:t>Terrestrial Systems</w:t>
        </w:r>
        <w:r>
          <w:rPr>
            <w:noProof/>
            <w:webHidden/>
          </w:rPr>
          <w:tab/>
        </w:r>
        <w:r>
          <w:rPr>
            <w:noProof/>
            <w:webHidden/>
          </w:rPr>
          <w:fldChar w:fldCharType="begin"/>
        </w:r>
        <w:r>
          <w:rPr>
            <w:noProof/>
            <w:webHidden/>
          </w:rPr>
          <w:instrText xml:space="preserve"> PAGEREF _Toc349039299 \h </w:instrText>
        </w:r>
        <w:r>
          <w:rPr>
            <w:noProof/>
            <w:webHidden/>
          </w:rPr>
        </w:r>
        <w:r>
          <w:rPr>
            <w:noProof/>
            <w:webHidden/>
          </w:rPr>
          <w:fldChar w:fldCharType="separate"/>
        </w:r>
        <w:r>
          <w:rPr>
            <w:noProof/>
            <w:webHidden/>
          </w:rPr>
          <w:t>52</w:t>
        </w:r>
        <w:r>
          <w:rPr>
            <w:noProof/>
            <w:webHidden/>
          </w:rPr>
          <w:fldChar w:fldCharType="end"/>
        </w:r>
      </w:hyperlink>
    </w:p>
    <w:p w:rsidR="00F21C76" w:rsidRDefault="00F21C76">
      <w:pPr>
        <w:pStyle w:val="TOC4"/>
        <w:rPr>
          <w:rFonts w:asciiTheme="minorHAnsi" w:eastAsiaTheme="minorEastAsia" w:hAnsiTheme="minorHAnsi" w:cstheme="minorBidi"/>
          <w:i w:val="0"/>
          <w:noProof/>
          <w:sz w:val="22"/>
          <w:szCs w:val="22"/>
          <w:lang w:val="da-DK" w:eastAsia="da-DK"/>
        </w:rPr>
      </w:pPr>
      <w:hyperlink w:anchor="_Toc349039300" w:history="1">
        <w:r w:rsidRPr="00D66507">
          <w:rPr>
            <w:rStyle w:val="Hyperlink"/>
            <w:noProof/>
            <w:lang w:val="en-GB"/>
          </w:rPr>
          <w:t>6.1.2.2</w:t>
        </w:r>
        <w:r>
          <w:rPr>
            <w:rFonts w:asciiTheme="minorHAnsi" w:eastAsiaTheme="minorEastAsia" w:hAnsiTheme="minorHAnsi" w:cstheme="minorBidi"/>
            <w:i w:val="0"/>
            <w:noProof/>
            <w:sz w:val="22"/>
            <w:szCs w:val="22"/>
            <w:lang w:val="da-DK" w:eastAsia="da-DK"/>
          </w:rPr>
          <w:tab/>
        </w:r>
        <w:r w:rsidRPr="00D66507">
          <w:rPr>
            <w:rStyle w:val="Hyperlink"/>
            <w:noProof/>
            <w:lang w:val="en-GB"/>
          </w:rPr>
          <w:t>Satellite Digital Audio Broadcasting – (including terrestrial component)</w:t>
        </w:r>
        <w:r>
          <w:rPr>
            <w:noProof/>
            <w:webHidden/>
          </w:rPr>
          <w:tab/>
        </w:r>
        <w:r>
          <w:rPr>
            <w:noProof/>
            <w:webHidden/>
          </w:rPr>
          <w:fldChar w:fldCharType="begin"/>
        </w:r>
        <w:r>
          <w:rPr>
            <w:noProof/>
            <w:webHidden/>
          </w:rPr>
          <w:instrText xml:space="preserve"> PAGEREF _Toc349039300 \h </w:instrText>
        </w:r>
        <w:r>
          <w:rPr>
            <w:noProof/>
            <w:webHidden/>
          </w:rPr>
        </w:r>
        <w:r>
          <w:rPr>
            <w:noProof/>
            <w:webHidden/>
          </w:rPr>
          <w:fldChar w:fldCharType="separate"/>
        </w:r>
        <w:r>
          <w:rPr>
            <w:noProof/>
            <w:webHidden/>
          </w:rPr>
          <w:t>54</w:t>
        </w:r>
        <w:r>
          <w:rPr>
            <w:noProof/>
            <w:webHidden/>
          </w:rPr>
          <w:fldChar w:fldCharType="end"/>
        </w:r>
      </w:hyperlink>
    </w:p>
    <w:p w:rsidR="00F21C76" w:rsidRDefault="00F21C76">
      <w:pPr>
        <w:pStyle w:val="TOC4"/>
        <w:rPr>
          <w:rFonts w:asciiTheme="minorHAnsi" w:eastAsiaTheme="minorEastAsia" w:hAnsiTheme="minorHAnsi" w:cstheme="minorBidi"/>
          <w:i w:val="0"/>
          <w:noProof/>
          <w:sz w:val="22"/>
          <w:szCs w:val="22"/>
          <w:lang w:val="da-DK" w:eastAsia="da-DK"/>
        </w:rPr>
      </w:pPr>
      <w:hyperlink w:anchor="_Toc349039301" w:history="1">
        <w:r w:rsidRPr="00D66507">
          <w:rPr>
            <w:rStyle w:val="Hyperlink"/>
            <w:noProof/>
            <w:lang w:val="en-GB"/>
          </w:rPr>
          <w:t>6.1.2.3</w:t>
        </w:r>
        <w:r>
          <w:rPr>
            <w:rFonts w:asciiTheme="minorHAnsi" w:eastAsiaTheme="minorEastAsia" w:hAnsiTheme="minorHAnsi" w:cstheme="minorBidi"/>
            <w:i w:val="0"/>
            <w:noProof/>
            <w:sz w:val="22"/>
            <w:szCs w:val="22"/>
            <w:lang w:val="da-DK" w:eastAsia="da-DK"/>
          </w:rPr>
          <w:tab/>
        </w:r>
        <w:r w:rsidRPr="00D66507">
          <w:rPr>
            <w:rStyle w:val="Hyperlink"/>
            <w:noProof/>
            <w:lang w:val="en-GB"/>
          </w:rPr>
          <w:t>BDA2GC</w:t>
        </w:r>
        <w:r>
          <w:rPr>
            <w:noProof/>
            <w:webHidden/>
          </w:rPr>
          <w:tab/>
        </w:r>
        <w:r>
          <w:rPr>
            <w:noProof/>
            <w:webHidden/>
          </w:rPr>
          <w:fldChar w:fldCharType="begin"/>
        </w:r>
        <w:r>
          <w:rPr>
            <w:noProof/>
            <w:webHidden/>
          </w:rPr>
          <w:instrText xml:space="preserve"> PAGEREF _Toc349039301 \h </w:instrText>
        </w:r>
        <w:r>
          <w:rPr>
            <w:noProof/>
            <w:webHidden/>
          </w:rPr>
        </w:r>
        <w:r>
          <w:rPr>
            <w:noProof/>
            <w:webHidden/>
          </w:rPr>
          <w:fldChar w:fldCharType="separate"/>
        </w:r>
        <w:r>
          <w:rPr>
            <w:noProof/>
            <w:webHidden/>
          </w:rPr>
          <w:t>54</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02" w:history="1">
        <w:r w:rsidRPr="00D66507">
          <w:rPr>
            <w:rStyle w:val="Hyperlink"/>
            <w:noProof/>
          </w:rPr>
          <w:t>6.1.3</w:t>
        </w:r>
        <w:r>
          <w:rPr>
            <w:rFonts w:asciiTheme="minorHAnsi" w:eastAsiaTheme="minorEastAsia" w:hAnsiTheme="minorHAnsi" w:cstheme="minorBidi"/>
            <w:noProof/>
            <w:sz w:val="22"/>
            <w:szCs w:val="22"/>
            <w:lang w:val="da-DK" w:eastAsia="da-DK"/>
          </w:rPr>
          <w:tab/>
        </w:r>
        <w:r w:rsidRPr="00D66507">
          <w:rPr>
            <w:rStyle w:val="Hyperlink"/>
            <w:noProof/>
          </w:rPr>
          <w:t>Reference systems</w:t>
        </w:r>
        <w:r>
          <w:rPr>
            <w:noProof/>
            <w:webHidden/>
          </w:rPr>
          <w:tab/>
        </w:r>
        <w:r>
          <w:rPr>
            <w:noProof/>
            <w:webHidden/>
          </w:rPr>
          <w:fldChar w:fldCharType="begin"/>
        </w:r>
        <w:r>
          <w:rPr>
            <w:noProof/>
            <w:webHidden/>
          </w:rPr>
          <w:instrText xml:space="preserve"> PAGEREF _Toc349039302 \h </w:instrText>
        </w:r>
        <w:r>
          <w:rPr>
            <w:noProof/>
            <w:webHidden/>
          </w:rPr>
        </w:r>
        <w:r>
          <w:rPr>
            <w:noProof/>
            <w:webHidden/>
          </w:rPr>
          <w:fldChar w:fldCharType="separate"/>
        </w:r>
        <w:r>
          <w:rPr>
            <w:noProof/>
            <w:webHidden/>
          </w:rPr>
          <w:t>55</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03" w:history="1">
        <w:r w:rsidRPr="00D66507">
          <w:rPr>
            <w:rStyle w:val="Hyperlink"/>
            <w:noProof/>
          </w:rPr>
          <w:t>6.1.4</w:t>
        </w:r>
        <w:r>
          <w:rPr>
            <w:rFonts w:asciiTheme="minorHAnsi" w:eastAsiaTheme="minorEastAsia" w:hAnsiTheme="minorHAnsi" w:cstheme="minorBidi"/>
            <w:noProof/>
            <w:sz w:val="22"/>
            <w:szCs w:val="22"/>
            <w:lang w:val="da-DK" w:eastAsia="da-DK"/>
          </w:rPr>
          <w:tab/>
        </w:r>
        <w:r w:rsidRPr="00D66507">
          <w:rPr>
            <w:rStyle w:val="Hyperlink"/>
            <w:noProof/>
          </w:rPr>
          <w:t>Initial considerations on LRTC for Terrestrial system</w:t>
        </w:r>
        <w:r>
          <w:rPr>
            <w:noProof/>
            <w:webHidden/>
          </w:rPr>
          <w:tab/>
        </w:r>
        <w:r>
          <w:rPr>
            <w:noProof/>
            <w:webHidden/>
          </w:rPr>
          <w:fldChar w:fldCharType="begin"/>
        </w:r>
        <w:r>
          <w:rPr>
            <w:noProof/>
            <w:webHidden/>
          </w:rPr>
          <w:instrText xml:space="preserve"> PAGEREF _Toc349039303 \h </w:instrText>
        </w:r>
        <w:r>
          <w:rPr>
            <w:noProof/>
            <w:webHidden/>
          </w:rPr>
        </w:r>
        <w:r>
          <w:rPr>
            <w:noProof/>
            <w:webHidden/>
          </w:rPr>
          <w:fldChar w:fldCharType="separate"/>
        </w:r>
        <w:r>
          <w:rPr>
            <w:noProof/>
            <w:webHidden/>
          </w:rPr>
          <w:t>55</w:t>
        </w:r>
        <w:r>
          <w:rPr>
            <w:noProof/>
            <w:webHidden/>
          </w:rPr>
          <w:fldChar w:fldCharType="end"/>
        </w:r>
      </w:hyperlink>
    </w:p>
    <w:p w:rsidR="00F21C76" w:rsidRDefault="00F21C76">
      <w:pPr>
        <w:pStyle w:val="TOC4"/>
        <w:rPr>
          <w:rFonts w:asciiTheme="minorHAnsi" w:eastAsiaTheme="minorEastAsia" w:hAnsiTheme="minorHAnsi" w:cstheme="minorBidi"/>
          <w:i w:val="0"/>
          <w:noProof/>
          <w:sz w:val="22"/>
          <w:szCs w:val="22"/>
          <w:lang w:val="da-DK" w:eastAsia="da-DK"/>
        </w:rPr>
      </w:pPr>
      <w:hyperlink w:anchor="_Toc349039304" w:history="1">
        <w:r w:rsidRPr="00D66507">
          <w:rPr>
            <w:rStyle w:val="Hyperlink"/>
            <w:noProof/>
            <w:lang w:val="en-GB"/>
          </w:rPr>
          <w:t>6.1.4.1</w:t>
        </w:r>
        <w:r>
          <w:rPr>
            <w:rFonts w:asciiTheme="minorHAnsi" w:eastAsiaTheme="minorEastAsia" w:hAnsiTheme="minorHAnsi" w:cstheme="minorBidi"/>
            <w:i w:val="0"/>
            <w:noProof/>
            <w:sz w:val="22"/>
            <w:szCs w:val="22"/>
            <w:lang w:val="da-DK" w:eastAsia="da-DK"/>
          </w:rPr>
          <w:tab/>
        </w:r>
        <w:r w:rsidRPr="00D66507">
          <w:rPr>
            <w:rStyle w:val="Hyperlink"/>
            <w:noProof/>
            <w:lang w:val="en-GB"/>
          </w:rPr>
          <w:t>Possible Band plan(s)</w:t>
        </w:r>
        <w:r>
          <w:rPr>
            <w:noProof/>
            <w:webHidden/>
          </w:rPr>
          <w:tab/>
        </w:r>
        <w:r>
          <w:rPr>
            <w:noProof/>
            <w:webHidden/>
          </w:rPr>
          <w:fldChar w:fldCharType="begin"/>
        </w:r>
        <w:r>
          <w:rPr>
            <w:noProof/>
            <w:webHidden/>
          </w:rPr>
          <w:instrText xml:space="preserve"> PAGEREF _Toc349039304 \h </w:instrText>
        </w:r>
        <w:r>
          <w:rPr>
            <w:noProof/>
            <w:webHidden/>
          </w:rPr>
        </w:r>
        <w:r>
          <w:rPr>
            <w:noProof/>
            <w:webHidden/>
          </w:rPr>
          <w:fldChar w:fldCharType="separate"/>
        </w:r>
        <w:r>
          <w:rPr>
            <w:noProof/>
            <w:webHidden/>
          </w:rPr>
          <w:t>55</w:t>
        </w:r>
        <w:r>
          <w:rPr>
            <w:noProof/>
            <w:webHidden/>
          </w:rPr>
          <w:fldChar w:fldCharType="end"/>
        </w:r>
      </w:hyperlink>
    </w:p>
    <w:p w:rsidR="00F21C76" w:rsidRDefault="00F21C76">
      <w:pPr>
        <w:pStyle w:val="TOC4"/>
        <w:rPr>
          <w:rFonts w:asciiTheme="minorHAnsi" w:eastAsiaTheme="minorEastAsia" w:hAnsiTheme="minorHAnsi" w:cstheme="minorBidi"/>
          <w:i w:val="0"/>
          <w:noProof/>
          <w:sz w:val="22"/>
          <w:szCs w:val="22"/>
          <w:lang w:val="da-DK" w:eastAsia="da-DK"/>
        </w:rPr>
      </w:pPr>
      <w:hyperlink w:anchor="_Toc349039305" w:history="1">
        <w:r w:rsidRPr="00D66507">
          <w:rPr>
            <w:rStyle w:val="Hyperlink"/>
            <w:noProof/>
            <w:lang w:val="en-GB"/>
          </w:rPr>
          <w:t>6.1.4.2</w:t>
        </w:r>
        <w:r>
          <w:rPr>
            <w:rFonts w:asciiTheme="minorHAnsi" w:eastAsiaTheme="minorEastAsia" w:hAnsiTheme="minorHAnsi" w:cstheme="minorBidi"/>
            <w:i w:val="0"/>
            <w:noProof/>
            <w:sz w:val="22"/>
            <w:szCs w:val="22"/>
            <w:lang w:val="da-DK" w:eastAsia="da-DK"/>
          </w:rPr>
          <w:tab/>
        </w:r>
        <w:r w:rsidRPr="00D66507">
          <w:rPr>
            <w:rStyle w:val="Hyperlink"/>
            <w:noProof/>
            <w:lang w:val="en-GB"/>
          </w:rPr>
          <w:t>Generic BEM</w:t>
        </w:r>
        <w:r>
          <w:rPr>
            <w:noProof/>
            <w:webHidden/>
          </w:rPr>
          <w:tab/>
        </w:r>
        <w:r>
          <w:rPr>
            <w:noProof/>
            <w:webHidden/>
          </w:rPr>
          <w:fldChar w:fldCharType="begin"/>
        </w:r>
        <w:r>
          <w:rPr>
            <w:noProof/>
            <w:webHidden/>
          </w:rPr>
          <w:instrText xml:space="preserve"> PAGEREF _Toc349039305 \h </w:instrText>
        </w:r>
        <w:r>
          <w:rPr>
            <w:noProof/>
            <w:webHidden/>
          </w:rPr>
        </w:r>
        <w:r>
          <w:rPr>
            <w:noProof/>
            <w:webHidden/>
          </w:rPr>
          <w:fldChar w:fldCharType="separate"/>
        </w:r>
        <w:r>
          <w:rPr>
            <w:noProof/>
            <w:webHidden/>
          </w:rPr>
          <w:t>56</w:t>
        </w:r>
        <w:r>
          <w:rPr>
            <w:noProof/>
            <w:webHidden/>
          </w:rPr>
          <w:fldChar w:fldCharType="end"/>
        </w:r>
      </w:hyperlink>
    </w:p>
    <w:p w:rsidR="00F21C76" w:rsidRDefault="00F21C76">
      <w:pPr>
        <w:pStyle w:val="TOC4"/>
        <w:rPr>
          <w:rFonts w:asciiTheme="minorHAnsi" w:eastAsiaTheme="minorEastAsia" w:hAnsiTheme="minorHAnsi" w:cstheme="minorBidi"/>
          <w:i w:val="0"/>
          <w:noProof/>
          <w:sz w:val="22"/>
          <w:szCs w:val="22"/>
          <w:lang w:val="da-DK" w:eastAsia="da-DK"/>
        </w:rPr>
      </w:pPr>
      <w:hyperlink w:anchor="_Toc349039306" w:history="1">
        <w:r w:rsidRPr="00D66507">
          <w:rPr>
            <w:rStyle w:val="Hyperlink"/>
            <w:noProof/>
            <w:lang w:val="en-GB"/>
          </w:rPr>
          <w:t>6.1.4.3</w:t>
        </w:r>
        <w:r>
          <w:rPr>
            <w:rFonts w:asciiTheme="minorHAnsi" w:eastAsiaTheme="minorEastAsia" w:hAnsiTheme="minorHAnsi" w:cstheme="minorBidi"/>
            <w:i w:val="0"/>
            <w:noProof/>
            <w:sz w:val="22"/>
            <w:szCs w:val="22"/>
            <w:lang w:val="da-DK" w:eastAsia="da-DK"/>
          </w:rPr>
          <w:tab/>
        </w:r>
        <w:r w:rsidRPr="00D66507">
          <w:rPr>
            <w:rStyle w:val="Hyperlink"/>
            <w:noProof/>
            <w:lang w:val="en-GB"/>
          </w:rPr>
          <w:t>Restricted BEM</w:t>
        </w:r>
        <w:r>
          <w:rPr>
            <w:noProof/>
            <w:webHidden/>
          </w:rPr>
          <w:tab/>
        </w:r>
        <w:r>
          <w:rPr>
            <w:noProof/>
            <w:webHidden/>
          </w:rPr>
          <w:fldChar w:fldCharType="begin"/>
        </w:r>
        <w:r>
          <w:rPr>
            <w:noProof/>
            <w:webHidden/>
          </w:rPr>
          <w:instrText xml:space="preserve"> PAGEREF _Toc349039306 \h </w:instrText>
        </w:r>
        <w:r>
          <w:rPr>
            <w:noProof/>
            <w:webHidden/>
          </w:rPr>
        </w:r>
        <w:r>
          <w:rPr>
            <w:noProof/>
            <w:webHidden/>
          </w:rPr>
          <w:fldChar w:fldCharType="separate"/>
        </w:r>
        <w:r>
          <w:rPr>
            <w:noProof/>
            <w:webHidden/>
          </w:rPr>
          <w:t>57</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307" w:history="1">
        <w:r w:rsidRPr="00D66507">
          <w:rPr>
            <w:rStyle w:val="Hyperlink"/>
            <w:noProof/>
            <w:lang w:val="en-GB"/>
          </w:rPr>
          <w:t>6.2</w:t>
        </w:r>
        <w:r>
          <w:rPr>
            <w:rFonts w:asciiTheme="minorHAnsi" w:eastAsiaTheme="minorEastAsia" w:hAnsiTheme="minorHAnsi" w:cstheme="minorBidi"/>
            <w:noProof/>
            <w:sz w:val="22"/>
            <w:szCs w:val="22"/>
            <w:lang w:val="da-DK" w:eastAsia="da-DK"/>
          </w:rPr>
          <w:tab/>
        </w:r>
        <w:r w:rsidRPr="00D66507">
          <w:rPr>
            <w:rStyle w:val="Hyperlink"/>
            <w:noProof/>
            <w:lang w:val="en-GB"/>
          </w:rPr>
          <w:t>Pan-european vs National coverage</w:t>
        </w:r>
        <w:r>
          <w:rPr>
            <w:noProof/>
            <w:webHidden/>
          </w:rPr>
          <w:tab/>
        </w:r>
        <w:r>
          <w:rPr>
            <w:noProof/>
            <w:webHidden/>
          </w:rPr>
          <w:fldChar w:fldCharType="begin"/>
        </w:r>
        <w:r>
          <w:rPr>
            <w:noProof/>
            <w:webHidden/>
          </w:rPr>
          <w:instrText xml:space="preserve"> PAGEREF _Toc349039307 \h </w:instrText>
        </w:r>
        <w:r>
          <w:rPr>
            <w:noProof/>
            <w:webHidden/>
          </w:rPr>
        </w:r>
        <w:r>
          <w:rPr>
            <w:noProof/>
            <w:webHidden/>
          </w:rPr>
          <w:fldChar w:fldCharType="separate"/>
        </w:r>
        <w:r>
          <w:rPr>
            <w:noProof/>
            <w:webHidden/>
          </w:rPr>
          <w:t>57</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08" w:history="1">
        <w:r w:rsidRPr="00D66507">
          <w:rPr>
            <w:rStyle w:val="Hyperlink"/>
            <w:noProof/>
          </w:rPr>
          <w:t>6.2.1</w:t>
        </w:r>
        <w:r>
          <w:rPr>
            <w:rFonts w:asciiTheme="minorHAnsi" w:eastAsiaTheme="minorEastAsia" w:hAnsiTheme="minorHAnsi" w:cstheme="minorBidi"/>
            <w:noProof/>
            <w:sz w:val="22"/>
            <w:szCs w:val="22"/>
            <w:lang w:val="da-DK" w:eastAsia="da-DK"/>
          </w:rPr>
          <w:tab/>
        </w:r>
        <w:r w:rsidRPr="00D66507">
          <w:rPr>
            <w:rStyle w:val="Hyperlink"/>
            <w:noProof/>
          </w:rPr>
          <w:t>Applications requiring the harmonisation and identification of spectrum for CEPT-wide use/coverage</w:t>
        </w:r>
        <w:r>
          <w:rPr>
            <w:noProof/>
            <w:webHidden/>
          </w:rPr>
          <w:tab/>
        </w:r>
        <w:r>
          <w:rPr>
            <w:noProof/>
            <w:webHidden/>
          </w:rPr>
          <w:fldChar w:fldCharType="begin"/>
        </w:r>
        <w:r>
          <w:rPr>
            <w:noProof/>
            <w:webHidden/>
          </w:rPr>
          <w:instrText xml:space="preserve"> PAGEREF _Toc349039308 \h </w:instrText>
        </w:r>
        <w:r>
          <w:rPr>
            <w:noProof/>
            <w:webHidden/>
          </w:rPr>
        </w:r>
        <w:r>
          <w:rPr>
            <w:noProof/>
            <w:webHidden/>
          </w:rPr>
          <w:fldChar w:fldCharType="separate"/>
        </w:r>
        <w:r>
          <w:rPr>
            <w:noProof/>
            <w:webHidden/>
          </w:rPr>
          <w:t>57</w:t>
        </w:r>
        <w:r>
          <w:rPr>
            <w:noProof/>
            <w:webHidden/>
          </w:rPr>
          <w:fldChar w:fldCharType="end"/>
        </w:r>
      </w:hyperlink>
    </w:p>
    <w:p w:rsidR="00F21C76" w:rsidRDefault="00F21C76">
      <w:pPr>
        <w:pStyle w:val="TOC4"/>
        <w:rPr>
          <w:rFonts w:asciiTheme="minorHAnsi" w:eastAsiaTheme="minorEastAsia" w:hAnsiTheme="minorHAnsi" w:cstheme="minorBidi"/>
          <w:i w:val="0"/>
          <w:noProof/>
          <w:sz w:val="22"/>
          <w:szCs w:val="22"/>
          <w:lang w:val="da-DK" w:eastAsia="da-DK"/>
        </w:rPr>
      </w:pPr>
      <w:hyperlink w:anchor="_Toc349039309" w:history="1">
        <w:r w:rsidRPr="00D66507">
          <w:rPr>
            <w:rStyle w:val="Hyperlink"/>
            <w:noProof/>
            <w:lang w:val="en-GB"/>
          </w:rPr>
          <w:t>6.2.1.1</w:t>
        </w:r>
        <w:r>
          <w:rPr>
            <w:rFonts w:asciiTheme="minorHAnsi" w:eastAsiaTheme="minorEastAsia" w:hAnsiTheme="minorHAnsi" w:cstheme="minorBidi"/>
            <w:i w:val="0"/>
            <w:noProof/>
            <w:sz w:val="22"/>
            <w:szCs w:val="22"/>
            <w:lang w:val="da-DK" w:eastAsia="da-DK"/>
          </w:rPr>
          <w:tab/>
        </w:r>
        <w:r w:rsidRPr="00D66507">
          <w:rPr>
            <w:rStyle w:val="Hyperlink"/>
            <w:noProof/>
            <w:lang w:val="en-GB"/>
          </w:rPr>
          <w:t>Satellite Digital Audio Broadcasting– (including terrestrial component)</w:t>
        </w:r>
        <w:r>
          <w:rPr>
            <w:noProof/>
            <w:webHidden/>
          </w:rPr>
          <w:tab/>
        </w:r>
        <w:r>
          <w:rPr>
            <w:noProof/>
            <w:webHidden/>
          </w:rPr>
          <w:fldChar w:fldCharType="begin"/>
        </w:r>
        <w:r>
          <w:rPr>
            <w:noProof/>
            <w:webHidden/>
          </w:rPr>
          <w:instrText xml:space="preserve"> PAGEREF _Toc349039309 \h </w:instrText>
        </w:r>
        <w:r>
          <w:rPr>
            <w:noProof/>
            <w:webHidden/>
          </w:rPr>
        </w:r>
        <w:r>
          <w:rPr>
            <w:noProof/>
            <w:webHidden/>
          </w:rPr>
          <w:fldChar w:fldCharType="separate"/>
        </w:r>
        <w:r>
          <w:rPr>
            <w:noProof/>
            <w:webHidden/>
          </w:rPr>
          <w:t>57</w:t>
        </w:r>
        <w:r>
          <w:rPr>
            <w:noProof/>
            <w:webHidden/>
          </w:rPr>
          <w:fldChar w:fldCharType="end"/>
        </w:r>
      </w:hyperlink>
    </w:p>
    <w:p w:rsidR="00F21C76" w:rsidRDefault="00F21C76">
      <w:pPr>
        <w:pStyle w:val="TOC4"/>
        <w:rPr>
          <w:rFonts w:asciiTheme="minorHAnsi" w:eastAsiaTheme="minorEastAsia" w:hAnsiTheme="minorHAnsi" w:cstheme="minorBidi"/>
          <w:i w:val="0"/>
          <w:noProof/>
          <w:sz w:val="22"/>
          <w:szCs w:val="22"/>
          <w:lang w:val="da-DK" w:eastAsia="da-DK"/>
        </w:rPr>
      </w:pPr>
      <w:hyperlink w:anchor="_Toc349039310" w:history="1">
        <w:r w:rsidRPr="00D66507">
          <w:rPr>
            <w:rStyle w:val="Hyperlink"/>
            <w:noProof/>
            <w:lang w:val="en-GB"/>
          </w:rPr>
          <w:t>6.2.1.2</w:t>
        </w:r>
        <w:r>
          <w:rPr>
            <w:rFonts w:asciiTheme="minorHAnsi" w:eastAsiaTheme="minorEastAsia" w:hAnsiTheme="minorHAnsi" w:cstheme="minorBidi"/>
            <w:i w:val="0"/>
            <w:noProof/>
            <w:sz w:val="22"/>
            <w:szCs w:val="22"/>
            <w:lang w:val="da-DK" w:eastAsia="da-DK"/>
          </w:rPr>
          <w:tab/>
        </w:r>
        <w:r w:rsidRPr="00D66507">
          <w:rPr>
            <w:rStyle w:val="Hyperlink"/>
            <w:noProof/>
            <w:lang w:val="en-GB"/>
          </w:rPr>
          <w:t>BDA2GC</w:t>
        </w:r>
        <w:r>
          <w:rPr>
            <w:noProof/>
            <w:webHidden/>
          </w:rPr>
          <w:tab/>
        </w:r>
        <w:r>
          <w:rPr>
            <w:noProof/>
            <w:webHidden/>
          </w:rPr>
          <w:fldChar w:fldCharType="begin"/>
        </w:r>
        <w:r>
          <w:rPr>
            <w:noProof/>
            <w:webHidden/>
          </w:rPr>
          <w:instrText xml:space="preserve"> PAGEREF _Toc349039310 \h </w:instrText>
        </w:r>
        <w:r>
          <w:rPr>
            <w:noProof/>
            <w:webHidden/>
          </w:rPr>
        </w:r>
        <w:r>
          <w:rPr>
            <w:noProof/>
            <w:webHidden/>
          </w:rPr>
          <w:fldChar w:fldCharType="separate"/>
        </w:r>
        <w:r>
          <w:rPr>
            <w:noProof/>
            <w:webHidden/>
          </w:rPr>
          <w:t>58</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11" w:history="1">
        <w:r w:rsidRPr="00D66507">
          <w:rPr>
            <w:rStyle w:val="Hyperlink"/>
            <w:noProof/>
          </w:rPr>
          <w:t>6.2.2</w:t>
        </w:r>
        <w:r>
          <w:rPr>
            <w:rFonts w:asciiTheme="minorHAnsi" w:eastAsiaTheme="minorEastAsia" w:hAnsiTheme="minorHAnsi" w:cstheme="minorBidi"/>
            <w:noProof/>
            <w:sz w:val="22"/>
            <w:szCs w:val="22"/>
            <w:lang w:val="da-DK" w:eastAsia="da-DK"/>
          </w:rPr>
          <w:tab/>
        </w:r>
        <w:r w:rsidRPr="00D66507">
          <w:rPr>
            <w:rStyle w:val="Hyperlink"/>
            <w:noProof/>
          </w:rPr>
          <w:t>Applications requiring the harmonisation and identification of spectrum for deployment at national level</w:t>
        </w:r>
        <w:r>
          <w:rPr>
            <w:noProof/>
            <w:webHidden/>
          </w:rPr>
          <w:tab/>
        </w:r>
        <w:r>
          <w:rPr>
            <w:noProof/>
            <w:webHidden/>
          </w:rPr>
          <w:fldChar w:fldCharType="begin"/>
        </w:r>
        <w:r>
          <w:rPr>
            <w:noProof/>
            <w:webHidden/>
          </w:rPr>
          <w:instrText xml:space="preserve"> PAGEREF _Toc349039311 \h </w:instrText>
        </w:r>
        <w:r>
          <w:rPr>
            <w:noProof/>
            <w:webHidden/>
          </w:rPr>
        </w:r>
        <w:r>
          <w:rPr>
            <w:noProof/>
            <w:webHidden/>
          </w:rPr>
          <w:fldChar w:fldCharType="separate"/>
        </w:r>
        <w:r>
          <w:rPr>
            <w:noProof/>
            <w:webHidden/>
          </w:rPr>
          <w:t>58</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312" w:history="1">
        <w:r w:rsidRPr="00D66507">
          <w:rPr>
            <w:rStyle w:val="Hyperlink"/>
            <w:noProof/>
            <w:lang w:val="en-GB"/>
          </w:rPr>
          <w:t>6.3</w:t>
        </w:r>
        <w:r>
          <w:rPr>
            <w:rFonts w:asciiTheme="minorHAnsi" w:eastAsiaTheme="minorEastAsia" w:hAnsiTheme="minorHAnsi" w:cstheme="minorBidi"/>
            <w:noProof/>
            <w:sz w:val="22"/>
            <w:szCs w:val="22"/>
            <w:lang w:val="da-DK" w:eastAsia="da-DK"/>
          </w:rPr>
          <w:tab/>
        </w:r>
        <w:r w:rsidRPr="00D66507">
          <w:rPr>
            <w:rStyle w:val="Hyperlink"/>
            <w:noProof/>
            <w:lang w:val="en-GB"/>
          </w:rPr>
          <w:t>Regulatory options considered</w:t>
        </w:r>
        <w:r>
          <w:rPr>
            <w:noProof/>
            <w:webHidden/>
          </w:rPr>
          <w:tab/>
        </w:r>
        <w:r>
          <w:rPr>
            <w:noProof/>
            <w:webHidden/>
          </w:rPr>
          <w:fldChar w:fldCharType="begin"/>
        </w:r>
        <w:r>
          <w:rPr>
            <w:noProof/>
            <w:webHidden/>
          </w:rPr>
          <w:instrText xml:space="preserve"> PAGEREF _Toc349039312 \h </w:instrText>
        </w:r>
        <w:r>
          <w:rPr>
            <w:noProof/>
            <w:webHidden/>
          </w:rPr>
        </w:r>
        <w:r>
          <w:rPr>
            <w:noProof/>
            <w:webHidden/>
          </w:rPr>
          <w:fldChar w:fldCharType="separate"/>
        </w:r>
        <w:r>
          <w:rPr>
            <w:noProof/>
            <w:webHidden/>
          </w:rPr>
          <w:t>58</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313" w:history="1">
        <w:r w:rsidRPr="00D66507">
          <w:rPr>
            <w:rStyle w:val="Hyperlink"/>
            <w:noProof/>
          </w:rPr>
          <w:t>7</w:t>
        </w:r>
        <w:r>
          <w:rPr>
            <w:rFonts w:asciiTheme="minorHAnsi" w:eastAsiaTheme="minorEastAsia" w:hAnsiTheme="minorHAnsi" w:cstheme="minorBidi"/>
            <w:b w:val="0"/>
            <w:caps w:val="0"/>
            <w:noProof/>
            <w:sz w:val="22"/>
            <w:szCs w:val="22"/>
            <w:lang w:val="da-DK" w:eastAsia="da-DK"/>
          </w:rPr>
          <w:tab/>
        </w:r>
        <w:r w:rsidRPr="00D66507">
          <w:rPr>
            <w:rStyle w:val="Hyperlink"/>
            <w:noProof/>
          </w:rPr>
          <w:t>Impact aNALYSIS of the regulatory options</w:t>
        </w:r>
        <w:r>
          <w:rPr>
            <w:noProof/>
            <w:webHidden/>
          </w:rPr>
          <w:tab/>
        </w:r>
        <w:r>
          <w:rPr>
            <w:noProof/>
            <w:webHidden/>
          </w:rPr>
          <w:fldChar w:fldCharType="begin"/>
        </w:r>
        <w:r>
          <w:rPr>
            <w:noProof/>
            <w:webHidden/>
          </w:rPr>
          <w:instrText xml:space="preserve"> PAGEREF _Toc349039313 \h </w:instrText>
        </w:r>
        <w:r>
          <w:rPr>
            <w:noProof/>
            <w:webHidden/>
          </w:rPr>
        </w:r>
        <w:r>
          <w:rPr>
            <w:noProof/>
            <w:webHidden/>
          </w:rPr>
          <w:fldChar w:fldCharType="separate"/>
        </w:r>
        <w:r>
          <w:rPr>
            <w:noProof/>
            <w:webHidden/>
          </w:rPr>
          <w:t>60</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314" w:history="1">
        <w:r w:rsidRPr="00D66507">
          <w:rPr>
            <w:rStyle w:val="Hyperlink"/>
            <w:noProof/>
            <w:lang w:val="en-GB"/>
          </w:rPr>
          <w:t>7.1</w:t>
        </w:r>
        <w:r>
          <w:rPr>
            <w:rFonts w:asciiTheme="minorHAnsi" w:eastAsiaTheme="minorEastAsia" w:hAnsiTheme="minorHAnsi" w:cstheme="minorBidi"/>
            <w:noProof/>
            <w:sz w:val="22"/>
            <w:szCs w:val="22"/>
            <w:lang w:val="da-DK" w:eastAsia="da-DK"/>
          </w:rPr>
          <w:tab/>
        </w:r>
        <w:r w:rsidRPr="00D66507">
          <w:rPr>
            <w:rStyle w:val="Hyperlink"/>
            <w:noProof/>
            <w:lang w:val="en-GB"/>
          </w:rPr>
          <w:t>Methodology</w:t>
        </w:r>
        <w:r>
          <w:rPr>
            <w:noProof/>
            <w:webHidden/>
          </w:rPr>
          <w:tab/>
        </w:r>
        <w:r>
          <w:rPr>
            <w:noProof/>
            <w:webHidden/>
          </w:rPr>
          <w:fldChar w:fldCharType="begin"/>
        </w:r>
        <w:r>
          <w:rPr>
            <w:noProof/>
            <w:webHidden/>
          </w:rPr>
          <w:instrText xml:space="preserve"> PAGEREF _Toc349039314 \h </w:instrText>
        </w:r>
        <w:r>
          <w:rPr>
            <w:noProof/>
            <w:webHidden/>
          </w:rPr>
        </w:r>
        <w:r>
          <w:rPr>
            <w:noProof/>
            <w:webHidden/>
          </w:rPr>
          <w:fldChar w:fldCharType="separate"/>
        </w:r>
        <w:r>
          <w:rPr>
            <w:noProof/>
            <w:webHidden/>
          </w:rPr>
          <w:t>60</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315" w:history="1">
        <w:r w:rsidRPr="00D66507">
          <w:rPr>
            <w:rStyle w:val="Hyperlink"/>
            <w:noProof/>
            <w:lang w:val="en-GB"/>
          </w:rPr>
          <w:t>7.2</w:t>
        </w:r>
        <w:r>
          <w:rPr>
            <w:rFonts w:asciiTheme="minorHAnsi" w:eastAsiaTheme="minorEastAsia" w:hAnsiTheme="minorHAnsi" w:cstheme="minorBidi"/>
            <w:noProof/>
            <w:sz w:val="22"/>
            <w:szCs w:val="22"/>
            <w:lang w:val="da-DK" w:eastAsia="da-DK"/>
          </w:rPr>
          <w:tab/>
        </w:r>
        <w:r w:rsidRPr="00D66507">
          <w:rPr>
            <w:rStyle w:val="Hyperlink"/>
            <w:noProof/>
            <w:lang w:val="en-GB"/>
          </w:rPr>
          <w:t>Application of the criteria</w:t>
        </w:r>
        <w:r>
          <w:rPr>
            <w:noProof/>
            <w:webHidden/>
          </w:rPr>
          <w:tab/>
        </w:r>
        <w:r>
          <w:rPr>
            <w:noProof/>
            <w:webHidden/>
          </w:rPr>
          <w:fldChar w:fldCharType="begin"/>
        </w:r>
        <w:r>
          <w:rPr>
            <w:noProof/>
            <w:webHidden/>
          </w:rPr>
          <w:instrText xml:space="preserve"> PAGEREF _Toc349039315 \h </w:instrText>
        </w:r>
        <w:r>
          <w:rPr>
            <w:noProof/>
            <w:webHidden/>
          </w:rPr>
        </w:r>
        <w:r>
          <w:rPr>
            <w:noProof/>
            <w:webHidden/>
          </w:rPr>
          <w:fldChar w:fldCharType="separate"/>
        </w:r>
        <w:r>
          <w:rPr>
            <w:noProof/>
            <w:webHidden/>
          </w:rPr>
          <w:t>61</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16" w:history="1">
        <w:r w:rsidRPr="00D66507">
          <w:rPr>
            <w:rStyle w:val="Hyperlink"/>
            <w:noProof/>
          </w:rPr>
          <w:t>7.2.1</w:t>
        </w:r>
        <w:r>
          <w:rPr>
            <w:rFonts w:asciiTheme="minorHAnsi" w:eastAsiaTheme="minorEastAsia" w:hAnsiTheme="minorHAnsi" w:cstheme="minorBidi"/>
            <w:noProof/>
            <w:sz w:val="22"/>
            <w:szCs w:val="22"/>
            <w:lang w:val="da-DK" w:eastAsia="da-DK"/>
          </w:rPr>
          <w:tab/>
        </w:r>
        <w:r w:rsidRPr="00D66507">
          <w:rPr>
            <w:rStyle w:val="Hyperlink"/>
            <w:noProof/>
          </w:rPr>
          <w:t>Criterion 1 - Compatibility with regulatory framework</w:t>
        </w:r>
        <w:r>
          <w:rPr>
            <w:noProof/>
            <w:webHidden/>
          </w:rPr>
          <w:tab/>
        </w:r>
        <w:r>
          <w:rPr>
            <w:noProof/>
            <w:webHidden/>
          </w:rPr>
          <w:fldChar w:fldCharType="begin"/>
        </w:r>
        <w:r>
          <w:rPr>
            <w:noProof/>
            <w:webHidden/>
          </w:rPr>
          <w:instrText xml:space="preserve"> PAGEREF _Toc349039316 \h </w:instrText>
        </w:r>
        <w:r>
          <w:rPr>
            <w:noProof/>
            <w:webHidden/>
          </w:rPr>
        </w:r>
        <w:r>
          <w:rPr>
            <w:noProof/>
            <w:webHidden/>
          </w:rPr>
          <w:fldChar w:fldCharType="separate"/>
        </w:r>
        <w:r>
          <w:rPr>
            <w:noProof/>
            <w:webHidden/>
          </w:rPr>
          <w:t>61</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17" w:history="1">
        <w:r w:rsidRPr="00D66507">
          <w:rPr>
            <w:rStyle w:val="Hyperlink"/>
            <w:noProof/>
            <w:lang w:eastAsia="fr-FR"/>
          </w:rPr>
          <w:t>7.2.2</w:t>
        </w:r>
        <w:r>
          <w:rPr>
            <w:rFonts w:asciiTheme="minorHAnsi" w:eastAsiaTheme="minorEastAsia" w:hAnsiTheme="minorHAnsi" w:cstheme="minorBidi"/>
            <w:noProof/>
            <w:sz w:val="22"/>
            <w:szCs w:val="22"/>
            <w:lang w:val="da-DK" w:eastAsia="da-DK"/>
          </w:rPr>
          <w:tab/>
        </w:r>
        <w:r w:rsidRPr="00D66507">
          <w:rPr>
            <w:rStyle w:val="Hyperlink"/>
            <w:noProof/>
          </w:rPr>
          <w:t>Criterion 2 - Possibility to share with other applications/uses (frequency, spatial, time and/or signal separation)</w:t>
        </w:r>
        <w:r>
          <w:rPr>
            <w:noProof/>
            <w:webHidden/>
          </w:rPr>
          <w:tab/>
        </w:r>
        <w:r>
          <w:rPr>
            <w:noProof/>
            <w:webHidden/>
          </w:rPr>
          <w:fldChar w:fldCharType="begin"/>
        </w:r>
        <w:r>
          <w:rPr>
            <w:noProof/>
            <w:webHidden/>
          </w:rPr>
          <w:instrText xml:space="preserve"> PAGEREF _Toc349039317 \h </w:instrText>
        </w:r>
        <w:r>
          <w:rPr>
            <w:noProof/>
            <w:webHidden/>
          </w:rPr>
        </w:r>
        <w:r>
          <w:rPr>
            <w:noProof/>
            <w:webHidden/>
          </w:rPr>
          <w:fldChar w:fldCharType="separate"/>
        </w:r>
        <w:r>
          <w:rPr>
            <w:noProof/>
            <w:webHidden/>
          </w:rPr>
          <w:t>62</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18" w:history="1">
        <w:r w:rsidRPr="00D66507">
          <w:rPr>
            <w:rStyle w:val="Hyperlink"/>
            <w:noProof/>
          </w:rPr>
          <w:t>7.2.3</w:t>
        </w:r>
        <w:r>
          <w:rPr>
            <w:rFonts w:asciiTheme="minorHAnsi" w:eastAsiaTheme="minorEastAsia" w:hAnsiTheme="minorHAnsi" w:cstheme="minorBidi"/>
            <w:noProof/>
            <w:sz w:val="22"/>
            <w:szCs w:val="22"/>
            <w:lang w:val="da-DK" w:eastAsia="da-DK"/>
          </w:rPr>
          <w:tab/>
        </w:r>
        <w:r w:rsidRPr="00D66507">
          <w:rPr>
            <w:rStyle w:val="Hyperlink"/>
            <w:noProof/>
          </w:rPr>
          <w:t xml:space="preserve">Criterion 3 - </w:t>
        </w:r>
        <w:r w:rsidRPr="00D66507">
          <w:rPr>
            <w:rStyle w:val="Hyperlink"/>
            <w:noProof/>
            <w:lang w:eastAsia="sv-SE"/>
          </w:rPr>
          <w:t>Extent (maximisation) of social and economic benefits</w:t>
        </w:r>
        <w:r>
          <w:rPr>
            <w:noProof/>
            <w:webHidden/>
          </w:rPr>
          <w:tab/>
        </w:r>
        <w:r>
          <w:rPr>
            <w:noProof/>
            <w:webHidden/>
          </w:rPr>
          <w:fldChar w:fldCharType="begin"/>
        </w:r>
        <w:r>
          <w:rPr>
            <w:noProof/>
            <w:webHidden/>
          </w:rPr>
          <w:instrText xml:space="preserve"> PAGEREF _Toc349039318 \h </w:instrText>
        </w:r>
        <w:r>
          <w:rPr>
            <w:noProof/>
            <w:webHidden/>
          </w:rPr>
        </w:r>
        <w:r>
          <w:rPr>
            <w:noProof/>
            <w:webHidden/>
          </w:rPr>
          <w:fldChar w:fldCharType="separate"/>
        </w:r>
        <w:r>
          <w:rPr>
            <w:noProof/>
            <w:webHidden/>
          </w:rPr>
          <w:t>63</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19" w:history="1">
        <w:r w:rsidRPr="00D66507">
          <w:rPr>
            <w:rStyle w:val="Hyperlink"/>
            <w:noProof/>
          </w:rPr>
          <w:t>7.2.4</w:t>
        </w:r>
        <w:r>
          <w:rPr>
            <w:rFonts w:asciiTheme="minorHAnsi" w:eastAsiaTheme="minorEastAsia" w:hAnsiTheme="minorHAnsi" w:cstheme="minorBidi"/>
            <w:noProof/>
            <w:sz w:val="22"/>
            <w:szCs w:val="22"/>
            <w:lang w:val="da-DK" w:eastAsia="da-DK"/>
          </w:rPr>
          <w:tab/>
        </w:r>
        <w:r w:rsidRPr="00D66507">
          <w:rPr>
            <w:rStyle w:val="Hyperlink"/>
            <w:noProof/>
          </w:rPr>
          <w:t xml:space="preserve">Criterion 4 - </w:t>
        </w:r>
        <w:r w:rsidRPr="00D66507">
          <w:rPr>
            <w:rStyle w:val="Hyperlink"/>
            <w:noProof/>
            <w:lang w:eastAsia="sv-SE"/>
          </w:rPr>
          <w:t>Timeframe for availability of equipment on a large scale and for application deployment - status of standardisation</w:t>
        </w:r>
        <w:r>
          <w:rPr>
            <w:noProof/>
            <w:webHidden/>
          </w:rPr>
          <w:tab/>
        </w:r>
        <w:r>
          <w:rPr>
            <w:noProof/>
            <w:webHidden/>
          </w:rPr>
          <w:fldChar w:fldCharType="begin"/>
        </w:r>
        <w:r>
          <w:rPr>
            <w:noProof/>
            <w:webHidden/>
          </w:rPr>
          <w:instrText xml:space="preserve"> PAGEREF _Toc349039319 \h </w:instrText>
        </w:r>
        <w:r>
          <w:rPr>
            <w:noProof/>
            <w:webHidden/>
          </w:rPr>
        </w:r>
        <w:r>
          <w:rPr>
            <w:noProof/>
            <w:webHidden/>
          </w:rPr>
          <w:fldChar w:fldCharType="separate"/>
        </w:r>
        <w:r>
          <w:rPr>
            <w:noProof/>
            <w:webHidden/>
          </w:rPr>
          <w:t>67</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20" w:history="1">
        <w:r w:rsidRPr="00D66507">
          <w:rPr>
            <w:rStyle w:val="Hyperlink"/>
            <w:noProof/>
            <w:lang w:eastAsia="fr-FR"/>
          </w:rPr>
          <w:t>7.2.5</w:t>
        </w:r>
        <w:r>
          <w:rPr>
            <w:rFonts w:asciiTheme="minorHAnsi" w:eastAsiaTheme="minorEastAsia" w:hAnsiTheme="minorHAnsi" w:cstheme="minorBidi"/>
            <w:noProof/>
            <w:sz w:val="22"/>
            <w:szCs w:val="22"/>
            <w:lang w:val="da-DK" w:eastAsia="da-DK"/>
          </w:rPr>
          <w:tab/>
        </w:r>
        <w:r w:rsidRPr="00D66507">
          <w:rPr>
            <w:rStyle w:val="Hyperlink"/>
            <w:noProof/>
          </w:rPr>
          <w:t xml:space="preserve">Criterion 5 - </w:t>
        </w:r>
        <w:r w:rsidRPr="00D66507">
          <w:rPr>
            <w:rStyle w:val="Hyperlink"/>
            <w:noProof/>
            <w:lang w:eastAsia="sv-SE"/>
          </w:rPr>
          <w:t>Potential for harmonisation within and outside CEPT</w:t>
        </w:r>
        <w:r>
          <w:rPr>
            <w:noProof/>
            <w:webHidden/>
          </w:rPr>
          <w:tab/>
        </w:r>
        <w:r>
          <w:rPr>
            <w:noProof/>
            <w:webHidden/>
          </w:rPr>
          <w:fldChar w:fldCharType="begin"/>
        </w:r>
        <w:r>
          <w:rPr>
            <w:noProof/>
            <w:webHidden/>
          </w:rPr>
          <w:instrText xml:space="preserve"> PAGEREF _Toc349039320 \h </w:instrText>
        </w:r>
        <w:r>
          <w:rPr>
            <w:noProof/>
            <w:webHidden/>
          </w:rPr>
        </w:r>
        <w:r>
          <w:rPr>
            <w:noProof/>
            <w:webHidden/>
          </w:rPr>
          <w:fldChar w:fldCharType="separate"/>
        </w:r>
        <w:r>
          <w:rPr>
            <w:noProof/>
            <w:webHidden/>
          </w:rPr>
          <w:t>68</w:t>
        </w:r>
        <w:r>
          <w:rPr>
            <w:noProof/>
            <w:webHidden/>
          </w:rPr>
          <w:fldChar w:fldCharType="end"/>
        </w:r>
      </w:hyperlink>
    </w:p>
    <w:p w:rsidR="00F21C76" w:rsidRDefault="00F21C76">
      <w:pPr>
        <w:pStyle w:val="TOC2"/>
        <w:rPr>
          <w:rFonts w:asciiTheme="minorHAnsi" w:eastAsiaTheme="minorEastAsia" w:hAnsiTheme="minorHAnsi" w:cstheme="minorBidi"/>
          <w:noProof/>
          <w:sz w:val="22"/>
          <w:szCs w:val="22"/>
          <w:lang w:val="da-DK" w:eastAsia="da-DK"/>
        </w:rPr>
      </w:pPr>
      <w:hyperlink w:anchor="_Toc349039321" w:history="1">
        <w:r w:rsidRPr="00D66507">
          <w:rPr>
            <w:rStyle w:val="Hyperlink"/>
            <w:noProof/>
            <w:lang w:val="en-GB"/>
          </w:rPr>
          <w:t>7.3</w:t>
        </w:r>
        <w:r>
          <w:rPr>
            <w:rFonts w:asciiTheme="minorHAnsi" w:eastAsiaTheme="minorEastAsia" w:hAnsiTheme="minorHAnsi" w:cstheme="minorBidi"/>
            <w:noProof/>
            <w:sz w:val="22"/>
            <w:szCs w:val="22"/>
            <w:lang w:val="da-DK" w:eastAsia="da-DK"/>
          </w:rPr>
          <w:tab/>
        </w:r>
        <w:r w:rsidRPr="00D66507">
          <w:rPr>
            <w:rStyle w:val="Hyperlink"/>
            <w:noProof/>
            <w:lang w:val="en-GB"/>
          </w:rPr>
          <w:t>Detailed regulatory option (including scenarios) assessment</w:t>
        </w:r>
        <w:r>
          <w:rPr>
            <w:noProof/>
            <w:webHidden/>
          </w:rPr>
          <w:tab/>
        </w:r>
        <w:r>
          <w:rPr>
            <w:noProof/>
            <w:webHidden/>
          </w:rPr>
          <w:fldChar w:fldCharType="begin"/>
        </w:r>
        <w:r>
          <w:rPr>
            <w:noProof/>
            <w:webHidden/>
          </w:rPr>
          <w:instrText xml:space="preserve"> PAGEREF _Toc349039321 \h </w:instrText>
        </w:r>
        <w:r>
          <w:rPr>
            <w:noProof/>
            <w:webHidden/>
          </w:rPr>
        </w:r>
        <w:r>
          <w:rPr>
            <w:noProof/>
            <w:webHidden/>
          </w:rPr>
          <w:fldChar w:fldCharType="separate"/>
        </w:r>
        <w:r>
          <w:rPr>
            <w:noProof/>
            <w:webHidden/>
          </w:rPr>
          <w:t>69</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22" w:history="1">
        <w:r w:rsidRPr="00D66507">
          <w:rPr>
            <w:rStyle w:val="Hyperlink"/>
            <w:noProof/>
          </w:rPr>
          <w:t>7.3.1</w:t>
        </w:r>
        <w:r>
          <w:rPr>
            <w:rFonts w:asciiTheme="minorHAnsi" w:eastAsiaTheme="minorEastAsia" w:hAnsiTheme="minorHAnsi" w:cstheme="minorBidi"/>
            <w:noProof/>
            <w:sz w:val="22"/>
            <w:szCs w:val="22"/>
            <w:lang w:val="da-DK" w:eastAsia="da-DK"/>
          </w:rPr>
          <w:tab/>
        </w:r>
        <w:r w:rsidRPr="00D66507">
          <w:rPr>
            <w:rStyle w:val="Hyperlink"/>
            <w:noProof/>
          </w:rPr>
          <w:t>Regulatory option 1: T-DAB in 1452-1479.5 MHz and S-DAB in 1479.5-1492 MHz</w:t>
        </w:r>
        <w:r>
          <w:rPr>
            <w:noProof/>
            <w:webHidden/>
          </w:rPr>
          <w:tab/>
        </w:r>
        <w:r>
          <w:rPr>
            <w:noProof/>
            <w:webHidden/>
          </w:rPr>
          <w:fldChar w:fldCharType="begin"/>
        </w:r>
        <w:r>
          <w:rPr>
            <w:noProof/>
            <w:webHidden/>
          </w:rPr>
          <w:instrText xml:space="preserve"> PAGEREF _Toc349039322 \h </w:instrText>
        </w:r>
        <w:r>
          <w:rPr>
            <w:noProof/>
            <w:webHidden/>
          </w:rPr>
        </w:r>
        <w:r>
          <w:rPr>
            <w:noProof/>
            <w:webHidden/>
          </w:rPr>
          <w:fldChar w:fldCharType="separate"/>
        </w:r>
        <w:r>
          <w:rPr>
            <w:noProof/>
            <w:webHidden/>
          </w:rPr>
          <w:t>69</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23" w:history="1">
        <w:r w:rsidRPr="00D66507">
          <w:rPr>
            <w:rStyle w:val="Hyperlink"/>
            <w:noProof/>
          </w:rPr>
          <w:t>7.3.2</w:t>
        </w:r>
        <w:r>
          <w:rPr>
            <w:rFonts w:asciiTheme="minorHAnsi" w:eastAsiaTheme="minorEastAsia" w:hAnsiTheme="minorHAnsi" w:cstheme="minorBidi"/>
            <w:noProof/>
            <w:sz w:val="22"/>
            <w:szCs w:val="22"/>
            <w:lang w:val="da-DK" w:eastAsia="da-DK"/>
          </w:rPr>
          <w:tab/>
        </w:r>
        <w:r w:rsidRPr="00D66507">
          <w:rPr>
            <w:rStyle w:val="Hyperlink"/>
            <w:noProof/>
          </w:rPr>
          <w:t>Scenario 2-A under regulatory option 2: Mobile supplemental downlink in 1452-1492 MHz</w:t>
        </w:r>
        <w:r>
          <w:rPr>
            <w:noProof/>
            <w:webHidden/>
          </w:rPr>
          <w:tab/>
        </w:r>
        <w:r>
          <w:rPr>
            <w:noProof/>
            <w:webHidden/>
          </w:rPr>
          <w:fldChar w:fldCharType="begin"/>
        </w:r>
        <w:r>
          <w:rPr>
            <w:noProof/>
            <w:webHidden/>
          </w:rPr>
          <w:instrText xml:space="preserve"> PAGEREF _Toc349039323 \h </w:instrText>
        </w:r>
        <w:r>
          <w:rPr>
            <w:noProof/>
            <w:webHidden/>
          </w:rPr>
        </w:r>
        <w:r>
          <w:rPr>
            <w:noProof/>
            <w:webHidden/>
          </w:rPr>
          <w:fldChar w:fldCharType="separate"/>
        </w:r>
        <w:r>
          <w:rPr>
            <w:noProof/>
            <w:webHidden/>
          </w:rPr>
          <w:t>70</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24" w:history="1">
        <w:r w:rsidRPr="00D66507">
          <w:rPr>
            <w:rStyle w:val="Hyperlink"/>
            <w:noProof/>
          </w:rPr>
          <w:t>7.3.3</w:t>
        </w:r>
        <w:r>
          <w:rPr>
            <w:rFonts w:asciiTheme="minorHAnsi" w:eastAsiaTheme="minorEastAsia" w:hAnsiTheme="minorHAnsi" w:cstheme="minorBidi"/>
            <w:noProof/>
            <w:sz w:val="22"/>
            <w:szCs w:val="22"/>
            <w:lang w:val="da-DK" w:eastAsia="da-DK"/>
          </w:rPr>
          <w:tab/>
        </w:r>
        <w:r w:rsidRPr="00D66507">
          <w:rPr>
            <w:rStyle w:val="Hyperlink"/>
            <w:noProof/>
          </w:rPr>
          <w:t>Scenario 2-B under regulatory option 2: Mobile broadband in 1452-1492 MHz</w:t>
        </w:r>
        <w:r>
          <w:rPr>
            <w:noProof/>
            <w:webHidden/>
          </w:rPr>
          <w:tab/>
        </w:r>
        <w:r>
          <w:rPr>
            <w:noProof/>
            <w:webHidden/>
          </w:rPr>
          <w:fldChar w:fldCharType="begin"/>
        </w:r>
        <w:r>
          <w:rPr>
            <w:noProof/>
            <w:webHidden/>
          </w:rPr>
          <w:instrText xml:space="preserve"> PAGEREF _Toc349039324 \h </w:instrText>
        </w:r>
        <w:r>
          <w:rPr>
            <w:noProof/>
            <w:webHidden/>
          </w:rPr>
        </w:r>
        <w:r>
          <w:rPr>
            <w:noProof/>
            <w:webHidden/>
          </w:rPr>
          <w:fldChar w:fldCharType="separate"/>
        </w:r>
        <w:r>
          <w:rPr>
            <w:noProof/>
            <w:webHidden/>
          </w:rPr>
          <w:t>71</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25" w:history="1">
        <w:r w:rsidRPr="00D66507">
          <w:rPr>
            <w:rStyle w:val="Hyperlink"/>
            <w:noProof/>
          </w:rPr>
          <w:t>7.3.4</w:t>
        </w:r>
        <w:r>
          <w:rPr>
            <w:rFonts w:asciiTheme="minorHAnsi" w:eastAsiaTheme="minorEastAsia" w:hAnsiTheme="minorHAnsi" w:cstheme="minorBidi"/>
            <w:noProof/>
            <w:sz w:val="22"/>
            <w:szCs w:val="22"/>
            <w:lang w:val="da-DK" w:eastAsia="da-DK"/>
          </w:rPr>
          <w:tab/>
        </w:r>
        <w:r w:rsidRPr="00D66507">
          <w:rPr>
            <w:rStyle w:val="Hyperlink"/>
            <w:noProof/>
          </w:rPr>
          <w:t>Scenario 3-A under regulatory option 3: BDA2GC in 1452-1472 MHz and PPDR in 1472-1492 MHz</w:t>
        </w:r>
        <w:r>
          <w:rPr>
            <w:noProof/>
            <w:webHidden/>
          </w:rPr>
          <w:tab/>
        </w:r>
        <w:r>
          <w:rPr>
            <w:noProof/>
            <w:webHidden/>
          </w:rPr>
          <w:fldChar w:fldCharType="begin"/>
        </w:r>
        <w:r>
          <w:rPr>
            <w:noProof/>
            <w:webHidden/>
          </w:rPr>
          <w:instrText xml:space="preserve"> PAGEREF _Toc349039325 \h </w:instrText>
        </w:r>
        <w:r>
          <w:rPr>
            <w:noProof/>
            <w:webHidden/>
          </w:rPr>
        </w:r>
        <w:r>
          <w:rPr>
            <w:noProof/>
            <w:webHidden/>
          </w:rPr>
          <w:fldChar w:fldCharType="separate"/>
        </w:r>
        <w:r>
          <w:rPr>
            <w:noProof/>
            <w:webHidden/>
          </w:rPr>
          <w:t>71</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26" w:history="1">
        <w:r w:rsidRPr="00D66507">
          <w:rPr>
            <w:rStyle w:val="Hyperlink"/>
            <w:noProof/>
          </w:rPr>
          <w:t>7.3.5</w:t>
        </w:r>
        <w:r>
          <w:rPr>
            <w:rFonts w:asciiTheme="minorHAnsi" w:eastAsiaTheme="minorEastAsia" w:hAnsiTheme="minorHAnsi" w:cstheme="minorBidi"/>
            <w:noProof/>
            <w:sz w:val="22"/>
            <w:szCs w:val="22"/>
            <w:lang w:val="da-DK" w:eastAsia="da-DK"/>
          </w:rPr>
          <w:tab/>
        </w:r>
        <w:r w:rsidRPr="00D66507">
          <w:rPr>
            <w:rStyle w:val="Hyperlink"/>
            <w:noProof/>
          </w:rPr>
          <w:t>Scenario 3-B under regulatory option 3: BDA2GC in 1452-1472 MHz and PMSE in 1472-1492 MHz</w:t>
        </w:r>
        <w:r>
          <w:rPr>
            <w:noProof/>
            <w:webHidden/>
          </w:rPr>
          <w:tab/>
        </w:r>
        <w:r>
          <w:rPr>
            <w:noProof/>
            <w:webHidden/>
          </w:rPr>
          <w:fldChar w:fldCharType="begin"/>
        </w:r>
        <w:r>
          <w:rPr>
            <w:noProof/>
            <w:webHidden/>
          </w:rPr>
          <w:instrText xml:space="preserve"> PAGEREF _Toc349039326 \h </w:instrText>
        </w:r>
        <w:r>
          <w:rPr>
            <w:noProof/>
            <w:webHidden/>
          </w:rPr>
        </w:r>
        <w:r>
          <w:rPr>
            <w:noProof/>
            <w:webHidden/>
          </w:rPr>
          <w:fldChar w:fldCharType="separate"/>
        </w:r>
        <w:r>
          <w:rPr>
            <w:noProof/>
            <w:webHidden/>
          </w:rPr>
          <w:t>72</w:t>
        </w:r>
        <w:r>
          <w:rPr>
            <w:noProof/>
            <w:webHidden/>
          </w:rPr>
          <w:fldChar w:fldCharType="end"/>
        </w:r>
      </w:hyperlink>
    </w:p>
    <w:p w:rsidR="00F21C76" w:rsidRDefault="00F21C76">
      <w:pPr>
        <w:pStyle w:val="TOC3"/>
        <w:rPr>
          <w:rFonts w:asciiTheme="minorHAnsi" w:eastAsiaTheme="minorEastAsia" w:hAnsiTheme="minorHAnsi" w:cstheme="minorBidi"/>
          <w:noProof/>
          <w:sz w:val="22"/>
          <w:szCs w:val="22"/>
          <w:lang w:val="da-DK" w:eastAsia="da-DK"/>
        </w:rPr>
      </w:pPr>
      <w:hyperlink w:anchor="_Toc349039327" w:history="1">
        <w:r w:rsidRPr="00D66507">
          <w:rPr>
            <w:rStyle w:val="Hyperlink"/>
            <w:noProof/>
          </w:rPr>
          <w:t>7.3.6</w:t>
        </w:r>
        <w:r>
          <w:rPr>
            <w:rFonts w:asciiTheme="minorHAnsi" w:eastAsiaTheme="minorEastAsia" w:hAnsiTheme="minorHAnsi" w:cstheme="minorBidi"/>
            <w:noProof/>
            <w:sz w:val="22"/>
            <w:szCs w:val="22"/>
            <w:lang w:val="da-DK" w:eastAsia="da-DK"/>
          </w:rPr>
          <w:tab/>
        </w:r>
        <w:r w:rsidRPr="00D66507">
          <w:rPr>
            <w:rStyle w:val="Hyperlink"/>
            <w:noProof/>
          </w:rPr>
          <w:t>Summary</w:t>
        </w:r>
        <w:r>
          <w:rPr>
            <w:noProof/>
            <w:webHidden/>
          </w:rPr>
          <w:tab/>
        </w:r>
        <w:r>
          <w:rPr>
            <w:noProof/>
            <w:webHidden/>
          </w:rPr>
          <w:fldChar w:fldCharType="begin"/>
        </w:r>
        <w:r>
          <w:rPr>
            <w:noProof/>
            <w:webHidden/>
          </w:rPr>
          <w:instrText xml:space="preserve"> PAGEREF _Toc349039327 \h </w:instrText>
        </w:r>
        <w:r>
          <w:rPr>
            <w:noProof/>
            <w:webHidden/>
          </w:rPr>
        </w:r>
        <w:r>
          <w:rPr>
            <w:noProof/>
            <w:webHidden/>
          </w:rPr>
          <w:fldChar w:fldCharType="separate"/>
        </w:r>
        <w:r>
          <w:rPr>
            <w:noProof/>
            <w:webHidden/>
          </w:rPr>
          <w:t>73</w:t>
        </w:r>
        <w:r>
          <w:rPr>
            <w:noProof/>
            <w:webHidden/>
          </w:rPr>
          <w:fldChar w:fldCharType="end"/>
        </w:r>
      </w:hyperlink>
    </w:p>
    <w:p w:rsidR="00F21C76" w:rsidRDefault="00F21C76">
      <w:pPr>
        <w:pStyle w:val="TOC4"/>
        <w:rPr>
          <w:rFonts w:asciiTheme="minorHAnsi" w:eastAsiaTheme="minorEastAsia" w:hAnsiTheme="minorHAnsi" w:cstheme="minorBidi"/>
          <w:i w:val="0"/>
          <w:noProof/>
          <w:sz w:val="22"/>
          <w:szCs w:val="22"/>
          <w:lang w:val="da-DK" w:eastAsia="da-DK"/>
        </w:rPr>
      </w:pPr>
      <w:hyperlink w:anchor="_Toc349039328" w:history="1">
        <w:r w:rsidRPr="00D66507">
          <w:rPr>
            <w:rStyle w:val="Hyperlink"/>
            <w:noProof/>
            <w:lang w:val="en-GB" w:eastAsia="fr-FR"/>
          </w:rPr>
          <w:t>7.3.6.1</w:t>
        </w:r>
        <w:r>
          <w:rPr>
            <w:rFonts w:asciiTheme="minorHAnsi" w:eastAsiaTheme="minorEastAsia" w:hAnsiTheme="minorHAnsi" w:cstheme="minorBidi"/>
            <w:i w:val="0"/>
            <w:noProof/>
            <w:sz w:val="22"/>
            <w:szCs w:val="22"/>
            <w:lang w:val="da-DK" w:eastAsia="da-DK"/>
          </w:rPr>
          <w:tab/>
        </w:r>
        <w:r w:rsidRPr="00D66507">
          <w:rPr>
            <w:rStyle w:val="Hyperlink"/>
            <w:b/>
            <w:noProof/>
            <w:lang w:val="en-GB" w:eastAsia="fr-FR"/>
          </w:rPr>
          <w:t>Comparative analysis of the scenarios under regulatory options 2 and 3</w:t>
        </w:r>
        <w:r>
          <w:rPr>
            <w:noProof/>
            <w:webHidden/>
          </w:rPr>
          <w:tab/>
        </w:r>
        <w:r>
          <w:rPr>
            <w:noProof/>
            <w:webHidden/>
          </w:rPr>
          <w:fldChar w:fldCharType="begin"/>
        </w:r>
        <w:r>
          <w:rPr>
            <w:noProof/>
            <w:webHidden/>
          </w:rPr>
          <w:instrText xml:space="preserve"> PAGEREF _Toc349039328 \h </w:instrText>
        </w:r>
        <w:r>
          <w:rPr>
            <w:noProof/>
            <w:webHidden/>
          </w:rPr>
        </w:r>
        <w:r>
          <w:rPr>
            <w:noProof/>
            <w:webHidden/>
          </w:rPr>
          <w:fldChar w:fldCharType="separate"/>
        </w:r>
        <w:r>
          <w:rPr>
            <w:noProof/>
            <w:webHidden/>
          </w:rPr>
          <w:t>73</w:t>
        </w:r>
        <w:r>
          <w:rPr>
            <w:noProof/>
            <w:webHidden/>
          </w:rPr>
          <w:fldChar w:fldCharType="end"/>
        </w:r>
      </w:hyperlink>
    </w:p>
    <w:p w:rsidR="00F21C76" w:rsidRDefault="00F21C76">
      <w:pPr>
        <w:pStyle w:val="TOC4"/>
        <w:rPr>
          <w:rFonts w:asciiTheme="minorHAnsi" w:eastAsiaTheme="minorEastAsia" w:hAnsiTheme="minorHAnsi" w:cstheme="minorBidi"/>
          <w:i w:val="0"/>
          <w:noProof/>
          <w:sz w:val="22"/>
          <w:szCs w:val="22"/>
          <w:lang w:val="da-DK" w:eastAsia="da-DK"/>
        </w:rPr>
      </w:pPr>
      <w:hyperlink w:anchor="_Toc349039329" w:history="1">
        <w:r w:rsidRPr="00D66507">
          <w:rPr>
            <w:rStyle w:val="Hyperlink"/>
            <w:noProof/>
            <w:lang w:val="en-GB"/>
          </w:rPr>
          <w:t>7.3.6.2</w:t>
        </w:r>
        <w:r>
          <w:rPr>
            <w:rFonts w:asciiTheme="minorHAnsi" w:eastAsiaTheme="minorEastAsia" w:hAnsiTheme="minorHAnsi" w:cstheme="minorBidi"/>
            <w:i w:val="0"/>
            <w:noProof/>
            <w:sz w:val="22"/>
            <w:szCs w:val="22"/>
            <w:lang w:val="da-DK" w:eastAsia="da-DK"/>
          </w:rPr>
          <w:tab/>
        </w:r>
        <w:r w:rsidRPr="00D66507">
          <w:rPr>
            <w:rStyle w:val="Hyperlink"/>
            <w:b/>
            <w:noProof/>
            <w:lang w:val="en-GB"/>
          </w:rPr>
          <w:t>Overall conclusion on the impact analysis of the regulatory options</w:t>
        </w:r>
        <w:r>
          <w:rPr>
            <w:noProof/>
            <w:webHidden/>
          </w:rPr>
          <w:tab/>
        </w:r>
        <w:r>
          <w:rPr>
            <w:noProof/>
            <w:webHidden/>
          </w:rPr>
          <w:fldChar w:fldCharType="begin"/>
        </w:r>
        <w:r>
          <w:rPr>
            <w:noProof/>
            <w:webHidden/>
          </w:rPr>
          <w:instrText xml:space="preserve"> PAGEREF _Toc349039329 \h </w:instrText>
        </w:r>
        <w:r>
          <w:rPr>
            <w:noProof/>
            <w:webHidden/>
          </w:rPr>
        </w:r>
        <w:r>
          <w:rPr>
            <w:noProof/>
            <w:webHidden/>
          </w:rPr>
          <w:fldChar w:fldCharType="separate"/>
        </w:r>
        <w:r>
          <w:rPr>
            <w:noProof/>
            <w:webHidden/>
          </w:rPr>
          <w:t>73</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330" w:history="1">
        <w:r w:rsidRPr="00D66507">
          <w:rPr>
            <w:rStyle w:val="Hyperlink"/>
            <w:noProof/>
          </w:rPr>
          <w:t>8</w:t>
        </w:r>
        <w:r>
          <w:rPr>
            <w:rFonts w:asciiTheme="minorHAnsi" w:eastAsiaTheme="minorEastAsia" w:hAnsiTheme="minorHAnsi" w:cstheme="minorBidi"/>
            <w:b w:val="0"/>
            <w:caps w:val="0"/>
            <w:noProof/>
            <w:sz w:val="22"/>
            <w:szCs w:val="22"/>
            <w:lang w:val="da-DK" w:eastAsia="da-DK"/>
          </w:rPr>
          <w:tab/>
        </w:r>
        <w:r w:rsidRPr="00D66507">
          <w:rPr>
            <w:rStyle w:val="Hyperlink"/>
            <w:noProof/>
          </w:rPr>
          <w:t>conclusion</w:t>
        </w:r>
        <w:r>
          <w:rPr>
            <w:noProof/>
            <w:webHidden/>
          </w:rPr>
          <w:tab/>
        </w:r>
        <w:r>
          <w:rPr>
            <w:noProof/>
            <w:webHidden/>
          </w:rPr>
          <w:fldChar w:fldCharType="begin"/>
        </w:r>
        <w:r>
          <w:rPr>
            <w:noProof/>
            <w:webHidden/>
          </w:rPr>
          <w:instrText xml:space="preserve"> PAGEREF _Toc349039330 \h </w:instrText>
        </w:r>
        <w:r>
          <w:rPr>
            <w:noProof/>
            <w:webHidden/>
          </w:rPr>
        </w:r>
        <w:r>
          <w:rPr>
            <w:noProof/>
            <w:webHidden/>
          </w:rPr>
          <w:fldChar w:fldCharType="separate"/>
        </w:r>
        <w:r>
          <w:rPr>
            <w:noProof/>
            <w:webHidden/>
          </w:rPr>
          <w:t>74</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331" w:history="1">
        <w:r w:rsidRPr="00D66507">
          <w:rPr>
            <w:rStyle w:val="Hyperlink"/>
            <w:noProof/>
          </w:rPr>
          <w:t>ANNEX 1: Extract of the Radio Regulations Article 5 for 1452-1492 MHz</w:t>
        </w:r>
        <w:r>
          <w:rPr>
            <w:noProof/>
            <w:webHidden/>
          </w:rPr>
          <w:tab/>
        </w:r>
        <w:r>
          <w:rPr>
            <w:noProof/>
            <w:webHidden/>
          </w:rPr>
          <w:fldChar w:fldCharType="begin"/>
        </w:r>
        <w:r>
          <w:rPr>
            <w:noProof/>
            <w:webHidden/>
          </w:rPr>
          <w:instrText xml:space="preserve"> PAGEREF _Toc349039331 \h </w:instrText>
        </w:r>
        <w:r>
          <w:rPr>
            <w:noProof/>
            <w:webHidden/>
          </w:rPr>
        </w:r>
        <w:r>
          <w:rPr>
            <w:noProof/>
            <w:webHidden/>
          </w:rPr>
          <w:fldChar w:fldCharType="separate"/>
        </w:r>
        <w:r>
          <w:rPr>
            <w:noProof/>
            <w:webHidden/>
          </w:rPr>
          <w:t>76</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332" w:history="1">
        <w:r w:rsidRPr="00D66507">
          <w:rPr>
            <w:rStyle w:val="Hyperlink"/>
            <w:noProof/>
          </w:rPr>
          <w:t>ANNEX 2: Flexibility in MA02revCO07 Special Arrangement (1452-1479.5 MHz)</w:t>
        </w:r>
        <w:r>
          <w:rPr>
            <w:noProof/>
            <w:webHidden/>
          </w:rPr>
          <w:tab/>
        </w:r>
        <w:r>
          <w:rPr>
            <w:noProof/>
            <w:webHidden/>
          </w:rPr>
          <w:fldChar w:fldCharType="begin"/>
        </w:r>
        <w:r>
          <w:rPr>
            <w:noProof/>
            <w:webHidden/>
          </w:rPr>
          <w:instrText xml:space="preserve"> PAGEREF _Toc349039332 \h </w:instrText>
        </w:r>
        <w:r>
          <w:rPr>
            <w:noProof/>
            <w:webHidden/>
          </w:rPr>
        </w:r>
        <w:r>
          <w:rPr>
            <w:noProof/>
            <w:webHidden/>
          </w:rPr>
          <w:fldChar w:fldCharType="separate"/>
        </w:r>
        <w:r>
          <w:rPr>
            <w:noProof/>
            <w:webHidden/>
          </w:rPr>
          <w:t>77</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333" w:history="1">
        <w:r w:rsidRPr="00D66507">
          <w:rPr>
            <w:rStyle w:val="Hyperlink"/>
            <w:noProof/>
          </w:rPr>
          <w:t>ANNEX 3: 1452-1479.5 MHz band utilisation in some CEPT countries (updated information compared to the ECC survey conducted in December 2010 – January 2011)</w:t>
        </w:r>
        <w:r>
          <w:rPr>
            <w:noProof/>
            <w:webHidden/>
          </w:rPr>
          <w:tab/>
        </w:r>
        <w:r>
          <w:rPr>
            <w:noProof/>
            <w:webHidden/>
          </w:rPr>
          <w:fldChar w:fldCharType="begin"/>
        </w:r>
        <w:r>
          <w:rPr>
            <w:noProof/>
            <w:webHidden/>
          </w:rPr>
          <w:instrText xml:space="preserve"> PAGEREF _Toc349039333 \h </w:instrText>
        </w:r>
        <w:r>
          <w:rPr>
            <w:noProof/>
            <w:webHidden/>
          </w:rPr>
        </w:r>
        <w:r>
          <w:rPr>
            <w:noProof/>
            <w:webHidden/>
          </w:rPr>
          <w:fldChar w:fldCharType="separate"/>
        </w:r>
        <w:r>
          <w:rPr>
            <w:noProof/>
            <w:webHidden/>
          </w:rPr>
          <w:t>85</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334" w:history="1">
        <w:r w:rsidRPr="00D66507">
          <w:rPr>
            <w:rStyle w:val="Hyperlink"/>
            <w:noProof/>
          </w:rPr>
          <w:t>ANNEX 4: overview of the use/regulations of the band 1452-1492 MHz in a number of countries outside from CEPT</w:t>
        </w:r>
        <w:r>
          <w:rPr>
            <w:noProof/>
            <w:webHidden/>
          </w:rPr>
          <w:tab/>
        </w:r>
        <w:r>
          <w:rPr>
            <w:noProof/>
            <w:webHidden/>
          </w:rPr>
          <w:fldChar w:fldCharType="begin"/>
        </w:r>
        <w:r>
          <w:rPr>
            <w:noProof/>
            <w:webHidden/>
          </w:rPr>
          <w:instrText xml:space="preserve"> PAGEREF _Toc349039334 \h </w:instrText>
        </w:r>
        <w:r>
          <w:rPr>
            <w:noProof/>
            <w:webHidden/>
          </w:rPr>
        </w:r>
        <w:r>
          <w:rPr>
            <w:noProof/>
            <w:webHidden/>
          </w:rPr>
          <w:fldChar w:fldCharType="separate"/>
        </w:r>
        <w:r>
          <w:rPr>
            <w:noProof/>
            <w:webHidden/>
          </w:rPr>
          <w:t>87</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335" w:history="1">
        <w:r w:rsidRPr="00D66507">
          <w:rPr>
            <w:rStyle w:val="Hyperlink"/>
            <w:noProof/>
          </w:rPr>
          <w:t>ANNEX 5: Broadcasting standards</w:t>
        </w:r>
        <w:r>
          <w:rPr>
            <w:noProof/>
            <w:webHidden/>
          </w:rPr>
          <w:tab/>
        </w:r>
        <w:r>
          <w:rPr>
            <w:noProof/>
            <w:webHidden/>
          </w:rPr>
          <w:fldChar w:fldCharType="begin"/>
        </w:r>
        <w:r>
          <w:rPr>
            <w:noProof/>
            <w:webHidden/>
          </w:rPr>
          <w:instrText xml:space="preserve"> PAGEREF _Toc349039335 \h </w:instrText>
        </w:r>
        <w:r>
          <w:rPr>
            <w:noProof/>
            <w:webHidden/>
          </w:rPr>
        </w:r>
        <w:r>
          <w:rPr>
            <w:noProof/>
            <w:webHidden/>
          </w:rPr>
          <w:fldChar w:fldCharType="separate"/>
        </w:r>
        <w:r>
          <w:rPr>
            <w:noProof/>
            <w:webHidden/>
          </w:rPr>
          <w:t>89</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336" w:history="1">
        <w:r w:rsidRPr="00D66507">
          <w:rPr>
            <w:rStyle w:val="Hyperlink"/>
            <w:noProof/>
          </w:rPr>
          <w:t>ANNEX 6: MOBILE BROADBAND AND MOBILE SUPPLEMENTAL DOWNLINK STANDARDS</w:t>
        </w:r>
        <w:r>
          <w:rPr>
            <w:noProof/>
            <w:webHidden/>
          </w:rPr>
          <w:tab/>
        </w:r>
        <w:r>
          <w:rPr>
            <w:noProof/>
            <w:webHidden/>
          </w:rPr>
          <w:fldChar w:fldCharType="begin"/>
        </w:r>
        <w:r>
          <w:rPr>
            <w:noProof/>
            <w:webHidden/>
          </w:rPr>
          <w:instrText xml:space="preserve"> PAGEREF _Toc349039336 \h </w:instrText>
        </w:r>
        <w:r>
          <w:rPr>
            <w:noProof/>
            <w:webHidden/>
          </w:rPr>
        </w:r>
        <w:r>
          <w:rPr>
            <w:noProof/>
            <w:webHidden/>
          </w:rPr>
          <w:fldChar w:fldCharType="separate"/>
        </w:r>
        <w:r>
          <w:rPr>
            <w:noProof/>
            <w:webHidden/>
          </w:rPr>
          <w:t>92</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337" w:history="1">
        <w:r w:rsidRPr="00D66507">
          <w:rPr>
            <w:rStyle w:val="Hyperlink"/>
            <w:noProof/>
          </w:rPr>
          <w:t>ANNEX 7: Technical information on PMSE</w:t>
        </w:r>
        <w:r>
          <w:rPr>
            <w:noProof/>
            <w:webHidden/>
          </w:rPr>
          <w:tab/>
        </w:r>
        <w:r>
          <w:rPr>
            <w:noProof/>
            <w:webHidden/>
          </w:rPr>
          <w:fldChar w:fldCharType="begin"/>
        </w:r>
        <w:r>
          <w:rPr>
            <w:noProof/>
            <w:webHidden/>
          </w:rPr>
          <w:instrText xml:space="preserve"> PAGEREF _Toc349039337 \h </w:instrText>
        </w:r>
        <w:r>
          <w:rPr>
            <w:noProof/>
            <w:webHidden/>
          </w:rPr>
        </w:r>
        <w:r>
          <w:rPr>
            <w:noProof/>
            <w:webHidden/>
          </w:rPr>
          <w:fldChar w:fldCharType="separate"/>
        </w:r>
        <w:r>
          <w:rPr>
            <w:noProof/>
            <w:webHidden/>
          </w:rPr>
          <w:t>94</w:t>
        </w:r>
        <w:r>
          <w:rPr>
            <w:noProof/>
            <w:webHidden/>
          </w:rPr>
          <w:fldChar w:fldCharType="end"/>
        </w:r>
      </w:hyperlink>
    </w:p>
    <w:p w:rsidR="00F21C76" w:rsidRDefault="00F21C76">
      <w:pPr>
        <w:pStyle w:val="TOC1"/>
        <w:rPr>
          <w:rFonts w:asciiTheme="minorHAnsi" w:eastAsiaTheme="minorEastAsia" w:hAnsiTheme="minorHAnsi" w:cstheme="minorBidi"/>
          <w:b w:val="0"/>
          <w:caps w:val="0"/>
          <w:noProof/>
          <w:sz w:val="22"/>
          <w:szCs w:val="22"/>
          <w:lang w:val="da-DK" w:eastAsia="da-DK"/>
        </w:rPr>
      </w:pPr>
      <w:hyperlink w:anchor="_Toc349039338" w:history="1">
        <w:r w:rsidRPr="00D66507">
          <w:rPr>
            <w:rStyle w:val="Hyperlink"/>
            <w:noProof/>
          </w:rPr>
          <w:t>ANNEX 8: List of reference</w:t>
        </w:r>
        <w:r>
          <w:rPr>
            <w:noProof/>
            <w:webHidden/>
          </w:rPr>
          <w:tab/>
        </w:r>
        <w:r>
          <w:rPr>
            <w:noProof/>
            <w:webHidden/>
          </w:rPr>
          <w:fldChar w:fldCharType="begin"/>
        </w:r>
        <w:r>
          <w:rPr>
            <w:noProof/>
            <w:webHidden/>
          </w:rPr>
          <w:instrText xml:space="preserve"> PAGEREF _Toc349039338 \h </w:instrText>
        </w:r>
        <w:r>
          <w:rPr>
            <w:noProof/>
            <w:webHidden/>
          </w:rPr>
        </w:r>
        <w:r>
          <w:rPr>
            <w:noProof/>
            <w:webHidden/>
          </w:rPr>
          <w:fldChar w:fldCharType="separate"/>
        </w:r>
        <w:r>
          <w:rPr>
            <w:noProof/>
            <w:webHidden/>
          </w:rPr>
          <w:t>96</w:t>
        </w:r>
        <w:r>
          <w:rPr>
            <w:noProof/>
            <w:webHidden/>
          </w:rPr>
          <w:fldChar w:fldCharType="end"/>
        </w:r>
      </w:hyperlink>
    </w:p>
    <w:p w:rsidR="008A54FC" w:rsidRPr="008D2EA0" w:rsidRDefault="008A54FC" w:rsidP="008A54FC">
      <w:pPr>
        <w:rPr>
          <w:lang w:val="en-GB"/>
        </w:rPr>
      </w:pPr>
      <w:r w:rsidRPr="008D2EA0">
        <w:rPr>
          <w:caps/>
          <w:lang w:val="en-GB"/>
        </w:rPr>
        <w:fldChar w:fldCharType="end"/>
      </w:r>
    </w:p>
    <w:p w:rsidR="008A54FC" w:rsidRPr="008D2EA0" w:rsidRDefault="008A54FC" w:rsidP="008A54FC">
      <w:pPr>
        <w:rPr>
          <w:lang w:val="en-GB"/>
        </w:rPr>
      </w:pPr>
      <w:r w:rsidRPr="008D2EA0">
        <w:rPr>
          <w:lang w:val="en-GB"/>
        </w:rPr>
        <w:br w:type="page"/>
      </w:r>
    </w:p>
    <w:p w:rsidR="008A54FC" w:rsidRPr="008D2EA0" w:rsidRDefault="008A54FC" w:rsidP="008A54FC">
      <w:pPr>
        <w:rPr>
          <w:b/>
          <w:color w:val="FFFFFF"/>
          <w:szCs w:val="20"/>
          <w:lang w:val="en-GB"/>
        </w:rPr>
      </w:pPr>
    </w:p>
    <w:p w:rsidR="008B70CD" w:rsidRPr="008D2EA0" w:rsidRDefault="008B70CD" w:rsidP="008A54FC">
      <w:pPr>
        <w:rPr>
          <w:b/>
          <w:color w:val="FFFFFF"/>
          <w:szCs w:val="20"/>
          <w:lang w:val="en-GB"/>
        </w:rPr>
      </w:pPr>
    </w:p>
    <w:p w:rsidR="008A54FC" w:rsidRPr="008D2EA0" w:rsidRDefault="00DF2C67" w:rsidP="008A54FC">
      <w:pPr>
        <w:rPr>
          <w:b/>
          <w:color w:val="FFFFFF"/>
          <w:szCs w:val="20"/>
          <w:lang w:val="en-GB"/>
        </w:rPr>
      </w:pPr>
      <w:r w:rsidRPr="008D2EA0">
        <w:rPr>
          <w:b/>
          <w:noProof/>
          <w:color w:val="FFFFFF"/>
          <w:szCs w:val="20"/>
          <w:lang w:val="da-DK" w:eastAsia="da-DK"/>
        </w:rPr>
        <mc:AlternateContent>
          <mc:Choice Requires="wps">
            <w:drawing>
              <wp:anchor distT="0" distB="0" distL="114300" distR="114300" simplePos="0" relativeHeight="251659264" behindDoc="1" locked="0" layoutInCell="1" allowOverlap="1" wp14:anchorId="4E98E30A" wp14:editId="5A4ACBAD">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8D2EA0">
        <w:rPr>
          <w:b/>
          <w:color w:val="FFFFFF"/>
          <w:szCs w:val="20"/>
          <w:lang w:val="en-GB"/>
        </w:rPr>
        <w:t>LIST OF ABBREVIATIONS</w:t>
      </w:r>
    </w:p>
    <w:p w:rsidR="008A54FC" w:rsidRPr="008D2EA0" w:rsidRDefault="008A54FC" w:rsidP="008A54FC">
      <w:pPr>
        <w:rPr>
          <w:b/>
          <w:color w:val="FFFFFF"/>
          <w:szCs w:val="20"/>
          <w:lang w:val="en-GB"/>
        </w:rPr>
      </w:pPr>
    </w:p>
    <w:p w:rsidR="008A54FC" w:rsidRPr="008D2EA0" w:rsidRDefault="008A54FC" w:rsidP="008A54FC">
      <w:pPr>
        <w:rPr>
          <w:b/>
          <w:color w:val="FFFFFF"/>
          <w:szCs w:val="20"/>
          <w:lang w:val="en-GB"/>
        </w:rPr>
      </w:pPr>
    </w:p>
    <w:p w:rsidR="008A54FC" w:rsidRPr="008D2EA0" w:rsidRDefault="008A54FC" w:rsidP="008A54FC">
      <w:pPr>
        <w:rPr>
          <w:lang w:val="en-GB"/>
        </w:rPr>
      </w:pPr>
    </w:p>
    <w:p w:rsidR="008A54FC" w:rsidRPr="008D2EA0"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41"/>
        <w:gridCol w:w="7245"/>
      </w:tblGrid>
      <w:tr w:rsidR="008A54FC" w:rsidRPr="008D2EA0" w:rsidTr="00B055B7">
        <w:trPr>
          <w:trHeight w:val="76"/>
        </w:trPr>
        <w:tc>
          <w:tcPr>
            <w:tcW w:w="2041" w:type="dxa"/>
          </w:tcPr>
          <w:p w:rsidR="008A54FC" w:rsidRPr="008D2EA0" w:rsidRDefault="008A54FC" w:rsidP="008A54FC">
            <w:pPr>
              <w:spacing w:line="288" w:lineRule="auto"/>
              <w:rPr>
                <w:b/>
                <w:color w:val="D2232A"/>
                <w:lang w:val="en-GB"/>
              </w:rPr>
            </w:pPr>
            <w:r w:rsidRPr="008D2EA0">
              <w:rPr>
                <w:b/>
                <w:color w:val="D2232A"/>
                <w:lang w:val="en-GB"/>
              </w:rPr>
              <w:t>Abbreviation</w:t>
            </w:r>
          </w:p>
        </w:tc>
        <w:tc>
          <w:tcPr>
            <w:tcW w:w="7245" w:type="dxa"/>
          </w:tcPr>
          <w:p w:rsidR="008A54FC" w:rsidRPr="008D2EA0" w:rsidRDefault="00C73C6D" w:rsidP="00C73C6D">
            <w:pPr>
              <w:spacing w:line="288" w:lineRule="auto"/>
              <w:rPr>
                <w:b/>
                <w:color w:val="D2232A"/>
                <w:lang w:val="en-GB"/>
              </w:rPr>
            </w:pPr>
            <w:r w:rsidRPr="008D2EA0">
              <w:rPr>
                <w:b/>
                <w:color w:val="D2232A"/>
                <w:lang w:val="en-GB"/>
              </w:rPr>
              <w:t>Explanation</w:t>
            </w:r>
          </w:p>
        </w:tc>
      </w:tr>
      <w:tr w:rsidR="006D1BB1" w:rsidRPr="008D2EA0" w:rsidTr="00B055B7">
        <w:tc>
          <w:tcPr>
            <w:tcW w:w="2041" w:type="dxa"/>
          </w:tcPr>
          <w:p w:rsidR="006D1BB1" w:rsidRPr="008D2EA0" w:rsidRDefault="006D1BB1">
            <w:pPr>
              <w:rPr>
                <w:b/>
                <w:lang w:val="en-GB"/>
              </w:rPr>
            </w:pPr>
            <w:r w:rsidRPr="008D2EA0">
              <w:rPr>
                <w:b/>
                <w:lang w:val="en-GB"/>
              </w:rPr>
              <w:t>BDA2GC</w:t>
            </w:r>
          </w:p>
          <w:p w:rsidR="00856422" w:rsidRPr="008D2EA0" w:rsidRDefault="00856422">
            <w:pPr>
              <w:rPr>
                <w:b/>
                <w:lang w:val="en-GB"/>
              </w:rPr>
            </w:pPr>
            <w:r w:rsidRPr="008D2EA0">
              <w:rPr>
                <w:b/>
                <w:lang w:val="en-GB"/>
              </w:rPr>
              <w:t>BEM</w:t>
            </w:r>
          </w:p>
        </w:tc>
        <w:tc>
          <w:tcPr>
            <w:tcW w:w="7245" w:type="dxa"/>
          </w:tcPr>
          <w:p w:rsidR="006D1BB1" w:rsidRPr="008D2EA0" w:rsidRDefault="00C73C6D" w:rsidP="00C73C6D">
            <w:pPr>
              <w:rPr>
                <w:lang w:val="en-GB"/>
              </w:rPr>
            </w:pPr>
            <w:r w:rsidRPr="008D2EA0">
              <w:rPr>
                <w:lang w:val="en-GB"/>
              </w:rPr>
              <w:t>Broadband Direct-Air-to-Ground Communications</w:t>
            </w:r>
          </w:p>
          <w:p w:rsidR="00856422" w:rsidRPr="008D2EA0" w:rsidRDefault="00856422" w:rsidP="00C73C6D">
            <w:pPr>
              <w:rPr>
                <w:lang w:val="en-GB"/>
              </w:rPr>
            </w:pPr>
            <w:r w:rsidRPr="008D2EA0">
              <w:rPr>
                <w:lang w:val="en-GB"/>
              </w:rPr>
              <w:t>Block Edge Mask</w:t>
            </w:r>
          </w:p>
        </w:tc>
      </w:tr>
      <w:tr w:rsidR="008A54FC" w:rsidRPr="008D2EA0" w:rsidTr="00B055B7">
        <w:tc>
          <w:tcPr>
            <w:tcW w:w="2041" w:type="dxa"/>
          </w:tcPr>
          <w:p w:rsidR="00AA0B55" w:rsidRPr="008D2EA0" w:rsidRDefault="00AA0B55" w:rsidP="008A54FC">
            <w:pPr>
              <w:spacing w:line="288" w:lineRule="auto"/>
              <w:rPr>
                <w:b/>
                <w:lang w:val="en-GB"/>
              </w:rPr>
            </w:pPr>
            <w:r w:rsidRPr="008D2EA0">
              <w:rPr>
                <w:b/>
                <w:lang w:val="en-GB"/>
              </w:rPr>
              <w:t>CDMA</w:t>
            </w:r>
          </w:p>
          <w:p w:rsidR="008A54FC" w:rsidRPr="008D2EA0" w:rsidRDefault="008A54FC" w:rsidP="008A54FC">
            <w:pPr>
              <w:spacing w:line="288" w:lineRule="auto"/>
              <w:rPr>
                <w:b/>
                <w:lang w:val="en-GB"/>
              </w:rPr>
            </w:pPr>
            <w:r w:rsidRPr="008D2EA0">
              <w:rPr>
                <w:b/>
                <w:lang w:val="en-GB"/>
              </w:rPr>
              <w:t>CEPT</w:t>
            </w:r>
          </w:p>
        </w:tc>
        <w:tc>
          <w:tcPr>
            <w:tcW w:w="7245" w:type="dxa"/>
          </w:tcPr>
          <w:p w:rsidR="00AA0B55" w:rsidRPr="008D2EA0" w:rsidRDefault="00AA0B55" w:rsidP="008A54FC">
            <w:pPr>
              <w:spacing w:line="288" w:lineRule="auto"/>
              <w:rPr>
                <w:szCs w:val="20"/>
                <w:lang w:val="en-GB"/>
              </w:rPr>
            </w:pPr>
            <w:r w:rsidRPr="008D2EA0">
              <w:rPr>
                <w:szCs w:val="20"/>
                <w:lang w:val="en-GB"/>
              </w:rPr>
              <w:t xml:space="preserve">Code </w:t>
            </w:r>
            <w:r w:rsidR="000B6D89" w:rsidRPr="008D2EA0">
              <w:rPr>
                <w:szCs w:val="20"/>
                <w:lang w:val="en-GB"/>
              </w:rPr>
              <w:t>D</w:t>
            </w:r>
            <w:r w:rsidRPr="008D2EA0">
              <w:rPr>
                <w:szCs w:val="20"/>
                <w:lang w:val="en-GB"/>
              </w:rPr>
              <w:t xml:space="preserve">ivision </w:t>
            </w:r>
            <w:r w:rsidR="000B6D89" w:rsidRPr="008D2EA0">
              <w:rPr>
                <w:szCs w:val="20"/>
                <w:lang w:val="en-GB"/>
              </w:rPr>
              <w:t>M</w:t>
            </w:r>
            <w:r w:rsidRPr="008D2EA0">
              <w:rPr>
                <w:szCs w:val="20"/>
                <w:lang w:val="en-GB"/>
              </w:rPr>
              <w:t xml:space="preserve">ultiple </w:t>
            </w:r>
            <w:r w:rsidR="000B6D89" w:rsidRPr="008D2EA0">
              <w:rPr>
                <w:szCs w:val="20"/>
                <w:lang w:val="en-GB"/>
              </w:rPr>
              <w:t>A</w:t>
            </w:r>
            <w:r w:rsidRPr="008D2EA0">
              <w:rPr>
                <w:szCs w:val="20"/>
                <w:lang w:val="en-GB"/>
              </w:rPr>
              <w:t>ccess</w:t>
            </w:r>
          </w:p>
          <w:p w:rsidR="008A54FC" w:rsidRPr="008D2EA0" w:rsidRDefault="008A54FC" w:rsidP="008A54FC">
            <w:pPr>
              <w:spacing w:line="288" w:lineRule="auto"/>
              <w:rPr>
                <w:szCs w:val="20"/>
                <w:lang w:val="en-GB"/>
              </w:rPr>
            </w:pPr>
            <w:r w:rsidRPr="008D2EA0">
              <w:rPr>
                <w:szCs w:val="20"/>
                <w:lang w:val="en-GB"/>
              </w:rPr>
              <w:t>European Conference of Postal and Telecommunications Administrations</w:t>
            </w:r>
          </w:p>
        </w:tc>
      </w:tr>
      <w:tr w:rsidR="00C73C6D" w:rsidRPr="008D2EA0" w:rsidTr="00B055B7">
        <w:tc>
          <w:tcPr>
            <w:tcW w:w="2041" w:type="dxa"/>
          </w:tcPr>
          <w:p w:rsidR="00AA0B55" w:rsidRPr="008D2EA0" w:rsidRDefault="00AA0B55" w:rsidP="008A54FC">
            <w:pPr>
              <w:spacing w:line="288" w:lineRule="auto"/>
              <w:rPr>
                <w:b/>
                <w:lang w:val="en-GB"/>
              </w:rPr>
            </w:pPr>
            <w:r w:rsidRPr="008D2EA0">
              <w:rPr>
                <w:b/>
                <w:lang w:val="en-GB"/>
              </w:rPr>
              <w:t>DAB</w:t>
            </w:r>
          </w:p>
          <w:p w:rsidR="00EA4FFC" w:rsidRPr="008D2EA0" w:rsidRDefault="00EA4FFC" w:rsidP="008A54FC">
            <w:pPr>
              <w:spacing w:line="288" w:lineRule="auto"/>
              <w:rPr>
                <w:b/>
                <w:lang w:val="en-GB"/>
              </w:rPr>
            </w:pPr>
            <w:r w:rsidRPr="008D2EA0">
              <w:rPr>
                <w:b/>
                <w:lang w:val="en-GB"/>
              </w:rPr>
              <w:t>DL</w:t>
            </w:r>
          </w:p>
          <w:p w:rsidR="00EA4FFC" w:rsidRPr="008D2EA0" w:rsidRDefault="00C73C6D" w:rsidP="008A54FC">
            <w:pPr>
              <w:spacing w:line="288" w:lineRule="auto"/>
              <w:rPr>
                <w:b/>
                <w:lang w:val="en-GB"/>
              </w:rPr>
            </w:pPr>
            <w:r w:rsidRPr="008D2EA0">
              <w:rPr>
                <w:b/>
                <w:lang w:val="en-GB"/>
              </w:rPr>
              <w:t>DVB</w:t>
            </w:r>
          </w:p>
        </w:tc>
        <w:tc>
          <w:tcPr>
            <w:tcW w:w="7245" w:type="dxa"/>
          </w:tcPr>
          <w:p w:rsidR="00AA0B55" w:rsidRPr="008D2EA0" w:rsidRDefault="00AA0B55" w:rsidP="008A54FC">
            <w:pPr>
              <w:spacing w:line="288" w:lineRule="auto"/>
              <w:rPr>
                <w:lang w:val="en-GB"/>
              </w:rPr>
            </w:pPr>
            <w:r w:rsidRPr="008D2EA0">
              <w:rPr>
                <w:lang w:val="en-GB"/>
              </w:rPr>
              <w:t>Digital Audio Broadcasting</w:t>
            </w:r>
          </w:p>
          <w:p w:rsidR="00EA4FFC" w:rsidRPr="008D2EA0" w:rsidRDefault="00EA4FFC" w:rsidP="008A54FC">
            <w:pPr>
              <w:spacing w:line="288" w:lineRule="auto"/>
              <w:rPr>
                <w:lang w:val="en-GB"/>
              </w:rPr>
            </w:pPr>
            <w:r w:rsidRPr="008D2EA0">
              <w:rPr>
                <w:lang w:val="en-GB"/>
              </w:rPr>
              <w:t>Down-</w:t>
            </w:r>
            <w:r w:rsidR="000B6D89" w:rsidRPr="008D2EA0">
              <w:rPr>
                <w:lang w:val="en-GB"/>
              </w:rPr>
              <w:t>L</w:t>
            </w:r>
            <w:r w:rsidRPr="008D2EA0">
              <w:rPr>
                <w:lang w:val="en-GB"/>
              </w:rPr>
              <w:t>ink</w:t>
            </w:r>
          </w:p>
          <w:p w:rsidR="00C73C6D" w:rsidRPr="008D2EA0" w:rsidRDefault="00C73C6D" w:rsidP="008A54FC">
            <w:pPr>
              <w:spacing w:line="288" w:lineRule="auto"/>
              <w:rPr>
                <w:szCs w:val="20"/>
                <w:lang w:val="en-GB"/>
              </w:rPr>
            </w:pPr>
            <w:r w:rsidRPr="008D2EA0">
              <w:rPr>
                <w:lang w:val="en-GB"/>
              </w:rPr>
              <w:t>Digital Video Broadcasting</w:t>
            </w:r>
          </w:p>
        </w:tc>
      </w:tr>
      <w:tr w:rsidR="008A54FC" w:rsidRPr="008D2EA0" w:rsidTr="00B055B7">
        <w:tc>
          <w:tcPr>
            <w:tcW w:w="2041" w:type="dxa"/>
          </w:tcPr>
          <w:p w:rsidR="008A54FC" w:rsidRPr="008D2EA0" w:rsidRDefault="008A54FC" w:rsidP="008A54FC">
            <w:pPr>
              <w:spacing w:line="288" w:lineRule="auto"/>
              <w:rPr>
                <w:b/>
                <w:lang w:val="en-GB"/>
              </w:rPr>
            </w:pPr>
            <w:r w:rsidRPr="008D2EA0">
              <w:rPr>
                <w:b/>
                <w:lang w:val="en-GB"/>
              </w:rPr>
              <w:t>ECC</w:t>
            </w:r>
          </w:p>
        </w:tc>
        <w:tc>
          <w:tcPr>
            <w:tcW w:w="7245" w:type="dxa"/>
          </w:tcPr>
          <w:p w:rsidR="008A54FC" w:rsidRPr="008D2EA0" w:rsidRDefault="008A54FC" w:rsidP="008A54FC">
            <w:pPr>
              <w:pStyle w:val="ECCParagraph"/>
              <w:spacing w:after="0" w:line="288" w:lineRule="auto"/>
              <w:jc w:val="left"/>
              <w:rPr>
                <w:szCs w:val="20"/>
              </w:rPr>
            </w:pPr>
            <w:r w:rsidRPr="008D2EA0">
              <w:t>Electronic Communications Committee</w:t>
            </w:r>
          </w:p>
        </w:tc>
      </w:tr>
      <w:tr w:rsidR="00B055B7" w:rsidRPr="008D2EA0" w:rsidTr="00B055B7">
        <w:tc>
          <w:tcPr>
            <w:tcW w:w="2041" w:type="dxa"/>
          </w:tcPr>
          <w:p w:rsidR="00EA4FFC" w:rsidRPr="008D2EA0" w:rsidRDefault="00EA4FFC" w:rsidP="008A54FC">
            <w:pPr>
              <w:spacing w:line="288" w:lineRule="auto"/>
              <w:rPr>
                <w:b/>
                <w:lang w:val="en-GB"/>
              </w:rPr>
            </w:pPr>
            <w:r w:rsidRPr="008D2EA0">
              <w:rPr>
                <w:b/>
                <w:lang w:val="en-GB"/>
              </w:rPr>
              <w:t>ECN</w:t>
            </w:r>
          </w:p>
          <w:p w:rsidR="00B055B7" w:rsidRPr="008D2EA0" w:rsidRDefault="00B055B7" w:rsidP="008A54FC">
            <w:pPr>
              <w:spacing w:line="288" w:lineRule="auto"/>
              <w:rPr>
                <w:b/>
                <w:lang w:val="en-GB"/>
              </w:rPr>
            </w:pPr>
            <w:r w:rsidRPr="008D2EA0">
              <w:rPr>
                <w:b/>
                <w:lang w:val="en-GB"/>
              </w:rPr>
              <w:t>EU</w:t>
            </w:r>
          </w:p>
        </w:tc>
        <w:tc>
          <w:tcPr>
            <w:tcW w:w="7245" w:type="dxa"/>
          </w:tcPr>
          <w:p w:rsidR="00EA4FFC" w:rsidRPr="008D2EA0" w:rsidRDefault="00EA4FFC" w:rsidP="008A54FC">
            <w:pPr>
              <w:pStyle w:val="ECCParagraph"/>
              <w:spacing w:after="0" w:line="288" w:lineRule="auto"/>
              <w:jc w:val="left"/>
            </w:pPr>
            <w:r w:rsidRPr="008D2EA0">
              <w:t>Electronic Communications Networks</w:t>
            </w:r>
          </w:p>
          <w:p w:rsidR="00B055B7" w:rsidRPr="008D2EA0" w:rsidRDefault="00B055B7" w:rsidP="008A54FC">
            <w:pPr>
              <w:pStyle w:val="ECCParagraph"/>
              <w:spacing w:after="0" w:line="288" w:lineRule="auto"/>
              <w:jc w:val="left"/>
            </w:pPr>
            <w:r w:rsidRPr="008D2EA0">
              <w:t>European Union</w:t>
            </w:r>
          </w:p>
        </w:tc>
      </w:tr>
      <w:tr w:rsidR="00C73C6D" w:rsidRPr="008D2EA0" w:rsidTr="00B055B7">
        <w:tc>
          <w:tcPr>
            <w:tcW w:w="2041" w:type="dxa"/>
          </w:tcPr>
          <w:p w:rsidR="00EA4FFC" w:rsidRPr="008D2EA0" w:rsidRDefault="00C73C6D" w:rsidP="008A54FC">
            <w:pPr>
              <w:spacing w:line="288" w:lineRule="auto"/>
              <w:rPr>
                <w:b/>
                <w:lang w:val="en-GB"/>
              </w:rPr>
            </w:pPr>
            <w:r w:rsidRPr="008D2EA0">
              <w:rPr>
                <w:b/>
                <w:lang w:val="en-GB"/>
              </w:rPr>
              <w:t>FDD</w:t>
            </w:r>
          </w:p>
          <w:p w:rsidR="00AA0B55" w:rsidRPr="008D2EA0" w:rsidRDefault="00AA0B55" w:rsidP="008A54FC">
            <w:pPr>
              <w:spacing w:line="288" w:lineRule="auto"/>
              <w:rPr>
                <w:b/>
                <w:lang w:val="en-GB"/>
              </w:rPr>
            </w:pPr>
            <w:r w:rsidRPr="008D2EA0">
              <w:rPr>
                <w:b/>
                <w:lang w:val="en-GB"/>
              </w:rPr>
              <w:t>HSPA</w:t>
            </w:r>
          </w:p>
        </w:tc>
        <w:tc>
          <w:tcPr>
            <w:tcW w:w="7245" w:type="dxa"/>
          </w:tcPr>
          <w:p w:rsidR="00C73C6D" w:rsidRPr="008D2EA0" w:rsidRDefault="00C73C6D" w:rsidP="008A54FC">
            <w:pPr>
              <w:pStyle w:val="ECCParagraph"/>
              <w:spacing w:after="0" w:line="288" w:lineRule="auto"/>
              <w:jc w:val="left"/>
            </w:pPr>
            <w:r w:rsidRPr="008D2EA0">
              <w:t>Frequency Division Duplex</w:t>
            </w:r>
          </w:p>
          <w:p w:rsidR="00AA0B55" w:rsidRPr="008D2EA0" w:rsidRDefault="00AA0B55" w:rsidP="008A54FC">
            <w:pPr>
              <w:pStyle w:val="ECCParagraph"/>
              <w:spacing w:after="0" w:line="288" w:lineRule="auto"/>
              <w:jc w:val="left"/>
            </w:pPr>
            <w:r w:rsidRPr="008D2EA0">
              <w:t>High Speed Packet Access</w:t>
            </w:r>
          </w:p>
        </w:tc>
      </w:tr>
      <w:tr w:rsidR="00B055B7" w:rsidRPr="008D2EA0" w:rsidTr="00B055B7">
        <w:tc>
          <w:tcPr>
            <w:tcW w:w="2041" w:type="dxa"/>
          </w:tcPr>
          <w:p w:rsidR="00B055B7" w:rsidRPr="008D2EA0" w:rsidRDefault="00B055B7">
            <w:pPr>
              <w:rPr>
                <w:b/>
                <w:lang w:val="en-GB"/>
              </w:rPr>
            </w:pPr>
            <w:r w:rsidRPr="008D2EA0">
              <w:rPr>
                <w:b/>
                <w:lang w:val="en-GB"/>
              </w:rPr>
              <w:t xml:space="preserve">ITU-R </w:t>
            </w:r>
          </w:p>
        </w:tc>
        <w:tc>
          <w:tcPr>
            <w:tcW w:w="7245" w:type="dxa"/>
          </w:tcPr>
          <w:p w:rsidR="00B055B7" w:rsidRPr="008D2EA0" w:rsidRDefault="00B055B7">
            <w:pPr>
              <w:rPr>
                <w:lang w:val="en-GB"/>
              </w:rPr>
            </w:pPr>
            <w:r w:rsidRPr="008D2EA0">
              <w:rPr>
                <w:lang w:val="en-GB"/>
              </w:rPr>
              <w:t>International Telecommunication Union Radiocommunications</w:t>
            </w:r>
          </w:p>
        </w:tc>
      </w:tr>
      <w:tr w:rsidR="008A54FC" w:rsidRPr="008D2EA0" w:rsidTr="00B055B7">
        <w:tc>
          <w:tcPr>
            <w:tcW w:w="2041" w:type="dxa"/>
          </w:tcPr>
          <w:p w:rsidR="00AA0B55" w:rsidRPr="008D2EA0" w:rsidRDefault="00AA0B55" w:rsidP="008A54FC">
            <w:pPr>
              <w:spacing w:line="288" w:lineRule="auto"/>
              <w:rPr>
                <w:b/>
                <w:lang w:val="en-GB"/>
              </w:rPr>
            </w:pPr>
            <w:r w:rsidRPr="008D2EA0">
              <w:rPr>
                <w:b/>
                <w:lang w:val="en-GB"/>
              </w:rPr>
              <w:t>LTE</w:t>
            </w:r>
          </w:p>
          <w:p w:rsidR="00EA4FFC" w:rsidRPr="008D2EA0" w:rsidRDefault="00EA4FFC" w:rsidP="008A54FC">
            <w:pPr>
              <w:spacing w:line="288" w:lineRule="auto"/>
              <w:rPr>
                <w:b/>
                <w:lang w:val="en-GB"/>
              </w:rPr>
            </w:pPr>
            <w:r w:rsidRPr="008D2EA0">
              <w:rPr>
                <w:b/>
                <w:lang w:val="en-GB"/>
              </w:rPr>
              <w:t>LRTC</w:t>
            </w:r>
          </w:p>
          <w:p w:rsidR="008A54FC" w:rsidRPr="008D2EA0" w:rsidRDefault="00B055B7" w:rsidP="008A54FC">
            <w:pPr>
              <w:spacing w:line="288" w:lineRule="auto"/>
              <w:rPr>
                <w:b/>
                <w:lang w:val="en-GB"/>
              </w:rPr>
            </w:pPr>
            <w:r w:rsidRPr="008D2EA0">
              <w:rPr>
                <w:b/>
                <w:lang w:val="en-GB"/>
              </w:rPr>
              <w:t>MA02revCO07</w:t>
            </w:r>
          </w:p>
        </w:tc>
        <w:tc>
          <w:tcPr>
            <w:tcW w:w="7245" w:type="dxa"/>
          </w:tcPr>
          <w:p w:rsidR="00AA0B55" w:rsidRPr="008D2EA0" w:rsidRDefault="00AA0B55" w:rsidP="008A54FC">
            <w:pPr>
              <w:pStyle w:val="ECCParagraph"/>
              <w:spacing w:after="0" w:line="288" w:lineRule="auto"/>
              <w:jc w:val="left"/>
            </w:pPr>
            <w:r w:rsidRPr="008D2EA0">
              <w:t>Long Term Evolution</w:t>
            </w:r>
          </w:p>
          <w:p w:rsidR="00EA4FFC" w:rsidRPr="008D2EA0" w:rsidRDefault="00EA4FFC" w:rsidP="008A54FC">
            <w:pPr>
              <w:pStyle w:val="ECCParagraph"/>
              <w:spacing w:after="0" w:line="288" w:lineRule="auto"/>
              <w:jc w:val="left"/>
            </w:pPr>
            <w:r w:rsidRPr="008D2EA0">
              <w:t>Least restrictive technical conditions</w:t>
            </w:r>
          </w:p>
          <w:p w:rsidR="008A54FC" w:rsidRPr="008D2EA0" w:rsidRDefault="00B055B7" w:rsidP="008A54FC">
            <w:pPr>
              <w:pStyle w:val="ECCParagraph"/>
              <w:spacing w:after="0" w:line="288" w:lineRule="auto"/>
              <w:jc w:val="left"/>
            </w:pPr>
            <w:r w:rsidRPr="008D2EA0">
              <w:t>Maastricht, 2002, Special Arrangement, as revised in Constanţa, 2007</w:t>
            </w:r>
          </w:p>
        </w:tc>
      </w:tr>
      <w:tr w:rsidR="00C73C6D" w:rsidRPr="008D2EA0" w:rsidTr="00B055B7">
        <w:tc>
          <w:tcPr>
            <w:tcW w:w="2041" w:type="dxa"/>
          </w:tcPr>
          <w:p w:rsidR="00C73C6D" w:rsidRPr="008D2EA0" w:rsidRDefault="0001264E" w:rsidP="008A54FC">
            <w:pPr>
              <w:spacing w:line="288" w:lineRule="auto"/>
              <w:rPr>
                <w:b/>
                <w:lang w:val="en-GB"/>
              </w:rPr>
            </w:pPr>
            <w:r w:rsidRPr="008D2EA0">
              <w:rPr>
                <w:b/>
                <w:lang w:val="en-GB"/>
              </w:rPr>
              <w:t>B</w:t>
            </w:r>
            <w:r w:rsidR="00C73C6D" w:rsidRPr="008D2EA0">
              <w:rPr>
                <w:b/>
                <w:lang w:val="en-GB"/>
              </w:rPr>
              <w:t>PPDR</w:t>
            </w:r>
          </w:p>
        </w:tc>
        <w:tc>
          <w:tcPr>
            <w:tcW w:w="7245" w:type="dxa"/>
          </w:tcPr>
          <w:p w:rsidR="00C73C6D" w:rsidRPr="008D2EA0" w:rsidRDefault="00C73C6D" w:rsidP="008A54FC">
            <w:pPr>
              <w:pStyle w:val="ECCParagraph"/>
              <w:spacing w:after="0" w:line="288" w:lineRule="auto"/>
              <w:jc w:val="left"/>
            </w:pPr>
            <w:r w:rsidRPr="008D2EA0">
              <w:t>Broadband Public Protection and Disaster Relief</w:t>
            </w:r>
          </w:p>
        </w:tc>
      </w:tr>
      <w:tr w:rsidR="006D1BB1" w:rsidRPr="008D2EA0" w:rsidTr="00B055B7">
        <w:tc>
          <w:tcPr>
            <w:tcW w:w="2041" w:type="dxa"/>
          </w:tcPr>
          <w:p w:rsidR="006D1BB1" w:rsidRPr="008D2EA0" w:rsidRDefault="006D1BB1" w:rsidP="008A54FC">
            <w:pPr>
              <w:spacing w:line="288" w:lineRule="auto"/>
              <w:rPr>
                <w:b/>
                <w:lang w:val="en-GB"/>
              </w:rPr>
            </w:pPr>
            <w:r w:rsidRPr="008D2EA0">
              <w:rPr>
                <w:b/>
                <w:lang w:val="en-GB"/>
              </w:rPr>
              <w:t>PMSE</w:t>
            </w:r>
          </w:p>
          <w:p w:rsidR="00AA0B55" w:rsidRPr="008D2EA0" w:rsidRDefault="00AA0B55" w:rsidP="008A54FC">
            <w:pPr>
              <w:spacing w:line="288" w:lineRule="auto"/>
              <w:rPr>
                <w:b/>
                <w:lang w:val="en-GB"/>
              </w:rPr>
            </w:pPr>
            <w:r w:rsidRPr="008D2EA0">
              <w:rPr>
                <w:b/>
                <w:lang w:val="en-GB"/>
              </w:rPr>
              <w:t>QoS</w:t>
            </w:r>
          </w:p>
        </w:tc>
        <w:tc>
          <w:tcPr>
            <w:tcW w:w="7245" w:type="dxa"/>
          </w:tcPr>
          <w:p w:rsidR="006D1BB1" w:rsidRPr="008D2EA0" w:rsidRDefault="006D1BB1" w:rsidP="008A54FC">
            <w:pPr>
              <w:pStyle w:val="ECCParagraph"/>
              <w:spacing w:after="0" w:line="288" w:lineRule="auto"/>
              <w:jc w:val="left"/>
            </w:pPr>
            <w:r w:rsidRPr="008D2EA0">
              <w:t>Programme Making and Special Events</w:t>
            </w:r>
          </w:p>
          <w:p w:rsidR="00AA0B55" w:rsidRPr="008D2EA0" w:rsidRDefault="00AA0B55" w:rsidP="008A54FC">
            <w:pPr>
              <w:pStyle w:val="ECCParagraph"/>
              <w:spacing w:after="0" w:line="288" w:lineRule="auto"/>
              <w:jc w:val="left"/>
            </w:pPr>
            <w:r w:rsidRPr="008D2EA0">
              <w:t>Quality of Service</w:t>
            </w:r>
          </w:p>
        </w:tc>
      </w:tr>
      <w:tr w:rsidR="008A54FC" w:rsidRPr="008D2EA0" w:rsidTr="00B055B7">
        <w:tc>
          <w:tcPr>
            <w:tcW w:w="2041" w:type="dxa"/>
          </w:tcPr>
          <w:p w:rsidR="008A54FC" w:rsidRPr="008D2EA0" w:rsidRDefault="00B055B7" w:rsidP="00B055B7">
            <w:pPr>
              <w:spacing w:line="288" w:lineRule="auto"/>
              <w:rPr>
                <w:b/>
                <w:lang w:val="en-GB"/>
              </w:rPr>
            </w:pPr>
            <w:r w:rsidRPr="008D2EA0">
              <w:rPr>
                <w:b/>
                <w:lang w:val="en-GB"/>
              </w:rPr>
              <w:t>S-DAB</w:t>
            </w:r>
          </w:p>
        </w:tc>
        <w:tc>
          <w:tcPr>
            <w:tcW w:w="7245" w:type="dxa"/>
          </w:tcPr>
          <w:p w:rsidR="008A54FC" w:rsidRPr="008D2EA0" w:rsidRDefault="00B055B7" w:rsidP="008A54FC">
            <w:pPr>
              <w:pStyle w:val="ECCParagraph"/>
              <w:spacing w:after="0" w:line="288" w:lineRule="auto"/>
              <w:jc w:val="left"/>
              <w:rPr>
                <w:color w:val="000000"/>
              </w:rPr>
            </w:pPr>
            <w:r w:rsidRPr="008D2EA0">
              <w:rPr>
                <w:color w:val="000000"/>
              </w:rPr>
              <w:t>Satellite Digital Audio Broadcasting</w:t>
            </w:r>
          </w:p>
        </w:tc>
      </w:tr>
      <w:tr w:rsidR="002E56DB" w:rsidRPr="008D2EA0" w:rsidTr="00B055B7">
        <w:tc>
          <w:tcPr>
            <w:tcW w:w="2041" w:type="dxa"/>
          </w:tcPr>
          <w:p w:rsidR="002E56DB" w:rsidRPr="008D2EA0" w:rsidRDefault="002E56DB" w:rsidP="002E56DB">
            <w:pPr>
              <w:spacing w:line="288" w:lineRule="auto"/>
              <w:rPr>
                <w:b/>
                <w:lang w:val="en-GB"/>
              </w:rPr>
            </w:pPr>
            <w:r w:rsidRPr="008D2EA0">
              <w:rPr>
                <w:b/>
                <w:lang w:val="en-GB"/>
              </w:rPr>
              <w:t>SDL</w:t>
            </w:r>
          </w:p>
        </w:tc>
        <w:tc>
          <w:tcPr>
            <w:tcW w:w="7245" w:type="dxa"/>
          </w:tcPr>
          <w:p w:rsidR="002E56DB" w:rsidRPr="008D2EA0" w:rsidRDefault="002E56DB" w:rsidP="002E56DB">
            <w:pPr>
              <w:pStyle w:val="ECCParagraph"/>
              <w:spacing w:after="0" w:line="288" w:lineRule="auto"/>
              <w:jc w:val="left"/>
              <w:rPr>
                <w:color w:val="000000"/>
              </w:rPr>
            </w:pPr>
            <w:r w:rsidRPr="008D2EA0">
              <w:rPr>
                <w:color w:val="000000"/>
              </w:rPr>
              <w:t>Supplemental Downlink</w:t>
            </w:r>
          </w:p>
        </w:tc>
      </w:tr>
      <w:tr w:rsidR="002E56DB" w:rsidRPr="008D2EA0" w:rsidTr="00B055B7">
        <w:tc>
          <w:tcPr>
            <w:tcW w:w="2041" w:type="dxa"/>
          </w:tcPr>
          <w:p w:rsidR="00AA0B55" w:rsidRPr="008D2EA0" w:rsidRDefault="00AA0B55" w:rsidP="00B055B7">
            <w:pPr>
              <w:spacing w:line="288" w:lineRule="auto"/>
              <w:rPr>
                <w:b/>
                <w:lang w:val="en-GB"/>
              </w:rPr>
            </w:pPr>
            <w:r w:rsidRPr="008D2EA0">
              <w:rPr>
                <w:b/>
                <w:lang w:val="en-GB"/>
              </w:rPr>
              <w:t>SDR</w:t>
            </w:r>
          </w:p>
          <w:p w:rsidR="002E56DB" w:rsidRPr="008D2EA0" w:rsidRDefault="002E56DB" w:rsidP="00B055B7">
            <w:pPr>
              <w:spacing w:line="288" w:lineRule="auto"/>
              <w:rPr>
                <w:b/>
                <w:lang w:val="en-GB"/>
              </w:rPr>
            </w:pPr>
            <w:r w:rsidRPr="008D2EA0">
              <w:rPr>
                <w:b/>
                <w:lang w:val="en-GB"/>
              </w:rPr>
              <w:t xml:space="preserve">T-DAB </w:t>
            </w:r>
          </w:p>
        </w:tc>
        <w:tc>
          <w:tcPr>
            <w:tcW w:w="7245" w:type="dxa"/>
          </w:tcPr>
          <w:p w:rsidR="00AA0B55" w:rsidRPr="008D2EA0" w:rsidRDefault="00AA0B55" w:rsidP="008A54FC">
            <w:pPr>
              <w:spacing w:line="288" w:lineRule="auto"/>
              <w:rPr>
                <w:color w:val="000000"/>
                <w:lang w:val="en-GB"/>
              </w:rPr>
            </w:pPr>
            <w:r w:rsidRPr="008D2EA0">
              <w:rPr>
                <w:color w:val="000000"/>
                <w:lang w:val="en-GB"/>
              </w:rPr>
              <w:t>Satellite Digital Radio</w:t>
            </w:r>
          </w:p>
          <w:p w:rsidR="002E56DB" w:rsidRPr="008D2EA0" w:rsidRDefault="002E56DB" w:rsidP="008A54FC">
            <w:pPr>
              <w:spacing w:line="288" w:lineRule="auto"/>
              <w:rPr>
                <w:lang w:val="en-GB"/>
              </w:rPr>
            </w:pPr>
            <w:r w:rsidRPr="008D2EA0">
              <w:rPr>
                <w:color w:val="000000"/>
                <w:lang w:val="en-GB"/>
              </w:rPr>
              <w:t>Terrestrial Digital Audio Broadcasting</w:t>
            </w:r>
          </w:p>
        </w:tc>
      </w:tr>
      <w:tr w:rsidR="002E56DB" w:rsidRPr="008D2EA0" w:rsidTr="00B055B7">
        <w:tc>
          <w:tcPr>
            <w:tcW w:w="2041" w:type="dxa"/>
          </w:tcPr>
          <w:p w:rsidR="002E56DB" w:rsidRPr="008D2EA0" w:rsidRDefault="002E56DB" w:rsidP="008A54FC">
            <w:pPr>
              <w:spacing w:line="288" w:lineRule="auto"/>
              <w:rPr>
                <w:b/>
                <w:lang w:val="en-GB"/>
              </w:rPr>
            </w:pPr>
            <w:r w:rsidRPr="008D2EA0">
              <w:rPr>
                <w:b/>
                <w:lang w:val="en-GB"/>
              </w:rPr>
              <w:t>TDD</w:t>
            </w:r>
          </w:p>
          <w:p w:rsidR="00EA4FFC" w:rsidRPr="008D2EA0" w:rsidRDefault="00EA4FFC" w:rsidP="008A54FC">
            <w:pPr>
              <w:spacing w:line="288" w:lineRule="auto"/>
              <w:rPr>
                <w:b/>
                <w:lang w:val="en-GB"/>
              </w:rPr>
            </w:pPr>
            <w:r w:rsidRPr="008D2EA0">
              <w:rPr>
                <w:b/>
                <w:lang w:val="en-GB"/>
              </w:rPr>
              <w:t>UL</w:t>
            </w:r>
          </w:p>
          <w:p w:rsidR="00AA0B55" w:rsidRPr="008D2EA0" w:rsidRDefault="00AA0B55" w:rsidP="008A54FC">
            <w:pPr>
              <w:spacing w:line="288" w:lineRule="auto"/>
              <w:rPr>
                <w:b/>
                <w:lang w:val="en-GB"/>
              </w:rPr>
            </w:pPr>
            <w:r w:rsidRPr="008D2EA0">
              <w:rPr>
                <w:b/>
                <w:lang w:val="en-GB"/>
              </w:rPr>
              <w:t>UMTS</w:t>
            </w:r>
          </w:p>
          <w:p w:rsidR="00AA0B55" w:rsidRPr="008D2EA0" w:rsidRDefault="00AA0B55" w:rsidP="008A54FC">
            <w:pPr>
              <w:spacing w:line="288" w:lineRule="auto"/>
              <w:rPr>
                <w:b/>
                <w:lang w:val="en-GB"/>
              </w:rPr>
            </w:pPr>
          </w:p>
        </w:tc>
        <w:tc>
          <w:tcPr>
            <w:tcW w:w="7245" w:type="dxa"/>
          </w:tcPr>
          <w:p w:rsidR="002E56DB" w:rsidRPr="008D2EA0" w:rsidRDefault="002E56DB" w:rsidP="008A54FC">
            <w:pPr>
              <w:spacing w:line="288" w:lineRule="auto"/>
              <w:rPr>
                <w:lang w:val="en-GB"/>
              </w:rPr>
            </w:pPr>
            <w:r w:rsidRPr="008D2EA0">
              <w:rPr>
                <w:lang w:val="en-GB"/>
              </w:rPr>
              <w:t>Time Division Duplex</w:t>
            </w:r>
          </w:p>
          <w:p w:rsidR="00EA4FFC" w:rsidRPr="008D2EA0" w:rsidRDefault="00EA4FFC" w:rsidP="008A54FC">
            <w:pPr>
              <w:spacing w:line="288" w:lineRule="auto"/>
              <w:rPr>
                <w:lang w:val="en-GB"/>
              </w:rPr>
            </w:pPr>
            <w:r w:rsidRPr="008D2EA0">
              <w:rPr>
                <w:lang w:val="en-GB"/>
              </w:rPr>
              <w:t>Up-</w:t>
            </w:r>
            <w:r w:rsidR="000B6D89" w:rsidRPr="008D2EA0">
              <w:rPr>
                <w:lang w:val="en-GB"/>
              </w:rPr>
              <w:t>L</w:t>
            </w:r>
            <w:r w:rsidRPr="008D2EA0">
              <w:rPr>
                <w:lang w:val="en-GB"/>
              </w:rPr>
              <w:t>ink</w:t>
            </w:r>
          </w:p>
          <w:p w:rsidR="00AA0B55" w:rsidRPr="008D2EA0" w:rsidRDefault="00AA0B55" w:rsidP="008A54FC">
            <w:pPr>
              <w:spacing w:line="288" w:lineRule="auto"/>
              <w:rPr>
                <w:lang w:val="en-GB"/>
              </w:rPr>
            </w:pPr>
            <w:r w:rsidRPr="008D2EA0">
              <w:rPr>
                <w:lang w:val="en-GB"/>
              </w:rPr>
              <w:t>Universal Mobile Telecommunications System</w:t>
            </w:r>
          </w:p>
        </w:tc>
      </w:tr>
    </w:tbl>
    <w:p w:rsidR="000A4122" w:rsidRPr="008D2EA0" w:rsidRDefault="000A4122" w:rsidP="0036081F">
      <w:pPr>
        <w:pStyle w:val="Heading1"/>
        <w:pageBreakBefore/>
      </w:pPr>
      <w:bookmarkStart w:id="2" w:name="_Toc349039219"/>
      <w:r w:rsidRPr="008D2EA0">
        <w:lastRenderedPageBreak/>
        <w:t>introduction</w:t>
      </w:r>
      <w:bookmarkEnd w:id="2"/>
    </w:p>
    <w:p w:rsidR="000A4122" w:rsidRPr="008D2EA0" w:rsidRDefault="000A4122" w:rsidP="00FB0456">
      <w:pPr>
        <w:pStyle w:val="ECCParagraph"/>
      </w:pPr>
      <w:r w:rsidRPr="008D2EA0">
        <w:t>This Report identifies and describes the most appropriate future harmonised use(s) of the band 1452-1492 MHz, also called L-band</w:t>
      </w:r>
      <w:r w:rsidR="00200F36">
        <w:t xml:space="preserve">, </w:t>
      </w:r>
      <w:r w:rsidR="00200F36" w:rsidRPr="008D2EA0">
        <w:t>1.4 GHz or 1.5 GHz</w:t>
      </w:r>
      <w:r w:rsidRPr="008D2EA0">
        <w:t xml:space="preserve"> in CEPT.</w:t>
      </w:r>
    </w:p>
    <w:p w:rsidR="000A4122" w:rsidRPr="008D2EA0" w:rsidRDefault="000A4122" w:rsidP="00FB0456">
      <w:pPr>
        <w:pStyle w:val="ECCParagraph"/>
      </w:pPr>
      <w:r w:rsidRPr="008D2EA0">
        <w:t>Since 2002, the 1452-1479.5 MHz sub-band has been harmonised in CEPT for Terrestrial Audio Broadcasting systems through the Maastricht, 2002, Special Arrangement. The arrangement was later revised in Constanţa, in 2007</w:t>
      </w:r>
      <w:r w:rsidR="00100A75" w:rsidRPr="008D2EA0">
        <w:t xml:space="preserve"> </w:t>
      </w:r>
      <w:r w:rsidR="00100A75" w:rsidRPr="008D2EA0">
        <w:fldChar w:fldCharType="begin"/>
      </w:r>
      <w:r w:rsidR="00100A75" w:rsidRPr="008D2EA0">
        <w:instrText xml:space="preserve"> REF _Ref330503918 \r \h </w:instrText>
      </w:r>
      <w:r w:rsidR="00DC03F9" w:rsidRPr="008D2EA0">
        <w:instrText xml:space="preserve"> \* MERGEFORMAT </w:instrText>
      </w:r>
      <w:r w:rsidR="00100A75" w:rsidRPr="008D2EA0">
        <w:fldChar w:fldCharType="separate"/>
      </w:r>
      <w:r w:rsidR="00E73FF2">
        <w:t>[1]</w:t>
      </w:r>
      <w:r w:rsidR="00100A75" w:rsidRPr="008D2EA0">
        <w:fldChar w:fldCharType="end"/>
      </w:r>
      <w:r w:rsidRPr="008D2EA0">
        <w:t>, to introduce additional flexibility in order to allow the deployment of terrestrial mobile multimedia systems on a national basis. In addition, the 1479.5-1492 MHz sub-band has been harmonised for satellite audio broadcasting (S-DAB) since 2003 th</w:t>
      </w:r>
      <w:r w:rsidR="00AE43E5" w:rsidRPr="008D2EA0">
        <w:t>r</w:t>
      </w:r>
      <w:r w:rsidRPr="008D2EA0">
        <w:t xml:space="preserve">ough </w:t>
      </w:r>
      <w:r w:rsidR="00AE43E5" w:rsidRPr="008D2EA0">
        <w:t xml:space="preserve">the </w:t>
      </w:r>
      <w:r w:rsidRPr="008D2EA0">
        <w:t>ECC Decision (03)02</w:t>
      </w:r>
      <w:r w:rsidR="00100A75" w:rsidRPr="008D2EA0">
        <w:t xml:space="preserve"> </w:t>
      </w:r>
      <w:r w:rsidR="00100A75" w:rsidRPr="008D2EA0">
        <w:fldChar w:fldCharType="begin"/>
      </w:r>
      <w:r w:rsidR="00100A75" w:rsidRPr="008D2EA0">
        <w:instrText xml:space="preserve"> REF _Ref330503966 \r \h </w:instrText>
      </w:r>
      <w:r w:rsidR="00DC03F9" w:rsidRPr="008D2EA0">
        <w:instrText xml:space="preserve"> \* MERGEFORMAT </w:instrText>
      </w:r>
      <w:r w:rsidR="00100A75" w:rsidRPr="008D2EA0">
        <w:fldChar w:fldCharType="separate"/>
      </w:r>
      <w:r w:rsidR="00E73FF2">
        <w:t>[2]</w:t>
      </w:r>
      <w:r w:rsidR="00100A75" w:rsidRPr="008D2EA0">
        <w:fldChar w:fldCharType="end"/>
      </w:r>
      <w:r w:rsidRPr="008D2EA0">
        <w:t xml:space="preserve">. However, despite those harmonisation measures, the 1452-1492 MHz band has remained mostly unused for the past decade. </w:t>
      </w:r>
    </w:p>
    <w:p w:rsidR="000A4122" w:rsidRPr="008D2EA0" w:rsidRDefault="000A4122" w:rsidP="00FB0456">
      <w:pPr>
        <w:pStyle w:val="ECCParagraph"/>
      </w:pPr>
      <w:r w:rsidRPr="008D2EA0">
        <w:t>In late 2010, administrations and industry within CEPT have expressed interest in reviewing the utili</w:t>
      </w:r>
      <w:r w:rsidR="00AE43E5" w:rsidRPr="008D2EA0">
        <w:t>s</w:t>
      </w:r>
      <w:r w:rsidRPr="008D2EA0">
        <w:t xml:space="preserve">ation of the band in order to ensure an efficient use of those 40 MHz of prime spectrum in Europe and to provide a considerable opportunity for the development of new applications. The ECC launched in December 2010 a questionnaire to determine the candidate applications for the future use of the band and in May 2011, a new Project Team was established to determine which future use of the 1452-1492 MHz band would be the most appropriate for CEPT, with the support of an impact analysis. </w:t>
      </w:r>
    </w:p>
    <w:p w:rsidR="000A4122" w:rsidRPr="008D2EA0" w:rsidRDefault="000A4122" w:rsidP="00FB0456">
      <w:pPr>
        <w:pStyle w:val="ECCParagraph"/>
      </w:pPr>
      <w:r w:rsidRPr="008D2EA0">
        <w:t xml:space="preserve">Section </w:t>
      </w:r>
      <w:r w:rsidR="001D1A55" w:rsidRPr="008D2EA0">
        <w:fldChar w:fldCharType="begin"/>
      </w:r>
      <w:r w:rsidR="001D1A55" w:rsidRPr="008D2EA0">
        <w:instrText xml:space="preserve"> REF _Ref330539778 \r \h </w:instrText>
      </w:r>
      <w:r w:rsidR="00FB0456">
        <w:instrText xml:space="preserve"> \* MERGEFORMAT </w:instrText>
      </w:r>
      <w:r w:rsidR="001D1A55" w:rsidRPr="008D2EA0">
        <w:fldChar w:fldCharType="separate"/>
      </w:r>
      <w:r w:rsidR="00E73FF2">
        <w:t>2</w:t>
      </w:r>
      <w:r w:rsidR="001D1A55" w:rsidRPr="008D2EA0">
        <w:fldChar w:fldCharType="end"/>
      </w:r>
      <w:r w:rsidRPr="008D2EA0">
        <w:t xml:space="preserve"> of this ECC Report contains a description of the current regulatory framework for the band 1452-1492 MHz in CEPT and globally, as well as the current status and level of use of this band inside and outside CEPT. </w:t>
      </w:r>
    </w:p>
    <w:p w:rsidR="000A4122" w:rsidRPr="008D2EA0" w:rsidRDefault="000A4122" w:rsidP="00FB0456">
      <w:pPr>
        <w:pStyle w:val="ECCParagraph"/>
        <w:rPr>
          <w:color w:val="000000"/>
          <w:lang w:eastAsia="sv-SE"/>
        </w:rPr>
      </w:pPr>
      <w:r w:rsidRPr="008D2EA0">
        <w:t xml:space="preserve">In Section </w:t>
      </w:r>
      <w:r w:rsidR="001D1A55" w:rsidRPr="008D2EA0">
        <w:fldChar w:fldCharType="begin"/>
      </w:r>
      <w:r w:rsidR="001D1A55" w:rsidRPr="008D2EA0">
        <w:instrText xml:space="preserve"> REF _Ref330516059 \r \h </w:instrText>
      </w:r>
      <w:r w:rsidR="00FB0456">
        <w:instrText xml:space="preserve"> \* MERGEFORMAT </w:instrText>
      </w:r>
      <w:r w:rsidR="001D1A55" w:rsidRPr="008D2EA0">
        <w:fldChar w:fldCharType="separate"/>
      </w:r>
      <w:r w:rsidR="00E73FF2">
        <w:t>3</w:t>
      </w:r>
      <w:r w:rsidR="001D1A55" w:rsidRPr="008D2EA0">
        <w:fldChar w:fldCharType="end"/>
      </w:r>
      <w:r w:rsidRPr="008D2EA0">
        <w:t xml:space="preserve"> the criteria for the impact analysis, </w:t>
      </w:r>
      <w:r w:rsidRPr="008D2EA0">
        <w:rPr>
          <w:color w:val="000000"/>
          <w:lang w:eastAsia="sv-SE"/>
        </w:rPr>
        <w:t>are defined</w:t>
      </w:r>
      <w:r w:rsidRPr="008D2EA0">
        <w:t xml:space="preserve">, namely 1) compatibility with the regulatory framework, 2) possibility to share with other applications/uses, 3) </w:t>
      </w:r>
      <w:r w:rsidRPr="008D2EA0">
        <w:rPr>
          <w:color w:val="000000"/>
          <w:lang w:eastAsia="sv-SE"/>
        </w:rPr>
        <w:t>extent (maximisation) of social and economic benefits, 4) timeframe for availability of equipment on a large scale and for application deployment and 5) potential for harmonisation within and outside CEPT.</w:t>
      </w:r>
    </w:p>
    <w:p w:rsidR="00E60485" w:rsidRDefault="000A4122" w:rsidP="00FB0456">
      <w:pPr>
        <w:pStyle w:val="ECCParagraph"/>
      </w:pPr>
      <w:r w:rsidRPr="008D2EA0">
        <w:t xml:space="preserve">Section </w:t>
      </w:r>
      <w:r w:rsidR="001D1A55" w:rsidRPr="008D2EA0">
        <w:fldChar w:fldCharType="begin"/>
      </w:r>
      <w:r w:rsidR="001D1A55" w:rsidRPr="008D2EA0">
        <w:instrText xml:space="preserve"> REF _Ref330539813 \r \h </w:instrText>
      </w:r>
      <w:r w:rsidR="00FB0456">
        <w:instrText xml:space="preserve"> \* MERGEFORMAT </w:instrText>
      </w:r>
      <w:r w:rsidR="001D1A55" w:rsidRPr="008D2EA0">
        <w:fldChar w:fldCharType="separate"/>
      </w:r>
      <w:r w:rsidR="00E73FF2">
        <w:t>4</w:t>
      </w:r>
      <w:r w:rsidR="001D1A55" w:rsidRPr="008D2EA0">
        <w:fldChar w:fldCharType="end"/>
      </w:r>
      <w:r w:rsidRPr="008D2EA0">
        <w:t xml:space="preserve"> provides descriptions of the candidate applications including their spectrum requirements namely</w:t>
      </w:r>
      <w:r w:rsidR="00510087">
        <w:t>:</w:t>
      </w:r>
      <w:r w:rsidRPr="008D2EA0">
        <w:t xml:space="preserve"> </w:t>
      </w:r>
    </w:p>
    <w:p w:rsidR="00E60485" w:rsidRPr="00F21C76" w:rsidRDefault="00E60485" w:rsidP="00F21C76">
      <w:pPr>
        <w:pStyle w:val="ListParagraph"/>
        <w:numPr>
          <w:ilvl w:val="0"/>
          <w:numId w:val="75"/>
        </w:numPr>
        <w:spacing w:before="60" w:after="60"/>
        <w:jc w:val="both"/>
        <w:rPr>
          <w:lang w:val="en-GB"/>
        </w:rPr>
      </w:pPr>
      <w:r w:rsidRPr="00F21C76">
        <w:rPr>
          <w:lang w:val="en-GB"/>
        </w:rPr>
        <w:t>Terrestrial Broadcasting;</w:t>
      </w:r>
    </w:p>
    <w:p w:rsidR="00E60485" w:rsidRPr="00F21C76" w:rsidRDefault="00E60485" w:rsidP="00F21C76">
      <w:pPr>
        <w:pStyle w:val="ListParagraph"/>
        <w:numPr>
          <w:ilvl w:val="0"/>
          <w:numId w:val="75"/>
        </w:numPr>
        <w:spacing w:before="60" w:after="60"/>
        <w:jc w:val="both"/>
        <w:rPr>
          <w:lang w:val="en-GB"/>
        </w:rPr>
      </w:pPr>
      <w:r w:rsidRPr="00F21C76">
        <w:rPr>
          <w:lang w:val="en-GB"/>
        </w:rPr>
        <w:t>Mobile Broadband;</w:t>
      </w:r>
    </w:p>
    <w:p w:rsidR="00E60485" w:rsidRPr="00F21C76" w:rsidRDefault="00E60485" w:rsidP="00F21C76">
      <w:pPr>
        <w:pStyle w:val="ListParagraph"/>
        <w:numPr>
          <w:ilvl w:val="0"/>
          <w:numId w:val="75"/>
        </w:numPr>
        <w:spacing w:before="60" w:after="60"/>
        <w:jc w:val="both"/>
        <w:rPr>
          <w:lang w:val="en-GB"/>
        </w:rPr>
      </w:pPr>
      <w:r w:rsidRPr="00F21C76">
        <w:rPr>
          <w:lang w:val="en-GB"/>
        </w:rPr>
        <w:t>Mobile Supplemental Downlink;</w:t>
      </w:r>
    </w:p>
    <w:p w:rsidR="00E60485" w:rsidRPr="00F21C76" w:rsidRDefault="000A4122" w:rsidP="00F21C76">
      <w:pPr>
        <w:pStyle w:val="ListParagraph"/>
        <w:numPr>
          <w:ilvl w:val="0"/>
          <w:numId w:val="75"/>
        </w:numPr>
        <w:spacing w:before="60" w:after="60"/>
        <w:jc w:val="both"/>
        <w:rPr>
          <w:lang w:val="en-GB"/>
        </w:rPr>
      </w:pPr>
      <w:r w:rsidRPr="00F21C76">
        <w:rPr>
          <w:lang w:val="en-GB"/>
        </w:rPr>
        <w:t>Satell</w:t>
      </w:r>
      <w:r w:rsidR="00E60485" w:rsidRPr="00F21C76">
        <w:rPr>
          <w:lang w:val="en-GB"/>
        </w:rPr>
        <w:t>ite Digital Audio Broadcasting;</w:t>
      </w:r>
    </w:p>
    <w:p w:rsidR="00E60485" w:rsidRPr="00F21C76" w:rsidRDefault="000A4122" w:rsidP="00F21C76">
      <w:pPr>
        <w:pStyle w:val="ListParagraph"/>
        <w:numPr>
          <w:ilvl w:val="0"/>
          <w:numId w:val="75"/>
        </w:numPr>
        <w:spacing w:before="60" w:after="60"/>
        <w:jc w:val="both"/>
        <w:rPr>
          <w:lang w:val="en-GB"/>
        </w:rPr>
      </w:pPr>
      <w:r w:rsidRPr="00F21C76">
        <w:rPr>
          <w:lang w:val="en-GB"/>
        </w:rPr>
        <w:t>Program Making and Special Events</w:t>
      </w:r>
      <w:r w:rsidR="00E60485" w:rsidRPr="00F21C76">
        <w:rPr>
          <w:lang w:val="en-GB"/>
        </w:rPr>
        <w:t>;</w:t>
      </w:r>
    </w:p>
    <w:p w:rsidR="00E60485" w:rsidRPr="00F21C76" w:rsidRDefault="00200F36" w:rsidP="00F21C76">
      <w:pPr>
        <w:pStyle w:val="ListParagraph"/>
        <w:numPr>
          <w:ilvl w:val="0"/>
          <w:numId w:val="75"/>
        </w:numPr>
        <w:spacing w:before="60" w:after="60"/>
        <w:jc w:val="both"/>
        <w:rPr>
          <w:lang w:val="en-GB"/>
        </w:rPr>
      </w:pPr>
      <w:r w:rsidRPr="00F21C76">
        <w:rPr>
          <w:lang w:val="en-GB"/>
        </w:rPr>
        <w:t xml:space="preserve">Broadband </w:t>
      </w:r>
      <w:r w:rsidR="000A4122" w:rsidRPr="00F21C76">
        <w:rPr>
          <w:lang w:val="en-GB"/>
        </w:rPr>
        <w:t>Public</w:t>
      </w:r>
      <w:r w:rsidR="00E60485" w:rsidRPr="00F21C76">
        <w:rPr>
          <w:lang w:val="en-GB"/>
        </w:rPr>
        <w:t xml:space="preserve"> Protection Disaster Relief</w:t>
      </w:r>
      <w:r w:rsidRPr="00F21C76">
        <w:rPr>
          <w:lang w:val="en-GB"/>
        </w:rPr>
        <w:t xml:space="preserve"> for temporary and local use</w:t>
      </w:r>
      <w:r w:rsidR="00E60485" w:rsidRPr="00F21C76">
        <w:rPr>
          <w:lang w:val="en-GB"/>
        </w:rPr>
        <w:t>;</w:t>
      </w:r>
    </w:p>
    <w:p w:rsidR="000A4122" w:rsidRPr="00F21C76" w:rsidRDefault="000A4122" w:rsidP="00F21C76">
      <w:pPr>
        <w:pStyle w:val="ListParagraph"/>
        <w:numPr>
          <w:ilvl w:val="0"/>
          <w:numId w:val="75"/>
        </w:numPr>
        <w:spacing w:before="60" w:after="60"/>
        <w:jc w:val="both"/>
        <w:rPr>
          <w:lang w:val="en-GB"/>
        </w:rPr>
      </w:pPr>
      <w:r w:rsidRPr="00F21C76">
        <w:rPr>
          <w:lang w:val="en-GB"/>
        </w:rPr>
        <w:t>Broadband Direct Air to Ground Communication</w:t>
      </w:r>
      <w:r w:rsidR="00200F36" w:rsidRPr="00F21C76">
        <w:rPr>
          <w:lang w:val="en-GB"/>
        </w:rPr>
        <w:t>s</w:t>
      </w:r>
      <w:r w:rsidRPr="00F21C76">
        <w:rPr>
          <w:lang w:val="en-GB"/>
        </w:rPr>
        <w:t xml:space="preserve">. </w:t>
      </w:r>
    </w:p>
    <w:p w:rsidR="00E60485" w:rsidRPr="008D2EA0" w:rsidRDefault="00E60485" w:rsidP="00E60485">
      <w:pPr>
        <w:spacing w:before="60" w:after="60"/>
        <w:jc w:val="both"/>
        <w:rPr>
          <w:lang w:val="en-GB"/>
        </w:rPr>
      </w:pPr>
    </w:p>
    <w:p w:rsidR="000A4122" w:rsidRPr="008D2EA0" w:rsidRDefault="000A4122" w:rsidP="00FB0456">
      <w:pPr>
        <w:pStyle w:val="ECCParagraph"/>
      </w:pPr>
      <w:r w:rsidRPr="008D2EA0">
        <w:t xml:space="preserve">In Section </w:t>
      </w:r>
      <w:r w:rsidR="001D1A55" w:rsidRPr="008D2EA0">
        <w:fldChar w:fldCharType="begin"/>
      </w:r>
      <w:r w:rsidR="001D1A55" w:rsidRPr="008D2EA0">
        <w:instrText xml:space="preserve"> REF _Ref330539844 \r \h </w:instrText>
      </w:r>
      <w:r w:rsidR="00FB0456">
        <w:instrText xml:space="preserve"> \* MERGEFORMAT </w:instrText>
      </w:r>
      <w:r w:rsidR="001D1A55" w:rsidRPr="008D2EA0">
        <w:fldChar w:fldCharType="separate"/>
      </w:r>
      <w:r w:rsidR="00E73FF2">
        <w:t>5</w:t>
      </w:r>
      <w:r w:rsidR="001D1A55" w:rsidRPr="008D2EA0">
        <w:fldChar w:fldCharType="end"/>
      </w:r>
      <w:r w:rsidRPr="008D2EA0">
        <w:t xml:space="preserve">, the candidate applications are assessed against the criteria. </w:t>
      </w:r>
    </w:p>
    <w:p w:rsidR="000A4122" w:rsidRPr="008D2EA0" w:rsidRDefault="000A4122" w:rsidP="00FB0456">
      <w:pPr>
        <w:pStyle w:val="ECCParagraph"/>
      </w:pPr>
      <w:r w:rsidRPr="008D2EA0">
        <w:t xml:space="preserve">Section </w:t>
      </w:r>
      <w:r w:rsidR="001D1A55" w:rsidRPr="008D2EA0">
        <w:fldChar w:fldCharType="begin"/>
      </w:r>
      <w:r w:rsidR="001D1A55" w:rsidRPr="008D2EA0">
        <w:instrText xml:space="preserve"> REF _Ref330539873 \r \h </w:instrText>
      </w:r>
      <w:r w:rsidR="00FB0456">
        <w:instrText xml:space="preserve"> \* MERGEFORMAT </w:instrText>
      </w:r>
      <w:r w:rsidR="001D1A55" w:rsidRPr="008D2EA0">
        <w:fldChar w:fldCharType="separate"/>
      </w:r>
      <w:r w:rsidR="00E73FF2">
        <w:t>6</w:t>
      </w:r>
      <w:r w:rsidR="001D1A55" w:rsidRPr="008D2EA0">
        <w:fldChar w:fldCharType="end"/>
      </w:r>
      <w:r w:rsidRPr="008D2EA0">
        <w:t xml:space="preserve"> identifies and describes three regulatory options for harmonised implementations of candidate applications.</w:t>
      </w:r>
    </w:p>
    <w:p w:rsidR="000A4122" w:rsidRPr="008D2EA0" w:rsidRDefault="000A4122" w:rsidP="00FB0456">
      <w:pPr>
        <w:pStyle w:val="ECCParagraph"/>
      </w:pPr>
      <w:r w:rsidRPr="008D2EA0">
        <w:t xml:space="preserve">In Section </w:t>
      </w:r>
      <w:r w:rsidR="001D1A55" w:rsidRPr="008D2EA0">
        <w:fldChar w:fldCharType="begin"/>
      </w:r>
      <w:r w:rsidR="001D1A55" w:rsidRPr="008D2EA0">
        <w:instrText xml:space="preserve"> REF _Ref330539896 \r \h </w:instrText>
      </w:r>
      <w:r w:rsidR="00FB0456">
        <w:instrText xml:space="preserve"> \* MERGEFORMAT </w:instrText>
      </w:r>
      <w:r w:rsidR="001D1A55" w:rsidRPr="008D2EA0">
        <w:fldChar w:fldCharType="separate"/>
      </w:r>
      <w:r w:rsidR="00E73FF2">
        <w:t>7</w:t>
      </w:r>
      <w:r w:rsidR="001D1A55" w:rsidRPr="008D2EA0">
        <w:fldChar w:fldCharType="end"/>
      </w:r>
      <w:r w:rsidRPr="008D2EA0">
        <w:t xml:space="preserve"> the regulatory options are assessed, graded and ranked by using an analysis methodology developed for the purpose of this work, taking into account the results of the analysis conducted in Section </w:t>
      </w:r>
      <w:r w:rsidR="001D1A55" w:rsidRPr="008D2EA0">
        <w:fldChar w:fldCharType="begin"/>
      </w:r>
      <w:r w:rsidR="001D1A55" w:rsidRPr="008D2EA0">
        <w:instrText xml:space="preserve"> REF _Ref330539916 \r \h </w:instrText>
      </w:r>
      <w:r w:rsidR="00FB0456">
        <w:instrText xml:space="preserve"> \* MERGEFORMAT </w:instrText>
      </w:r>
      <w:r w:rsidR="001D1A55" w:rsidRPr="008D2EA0">
        <w:fldChar w:fldCharType="separate"/>
      </w:r>
      <w:r w:rsidR="00E73FF2">
        <w:t>5</w:t>
      </w:r>
      <w:r w:rsidR="001D1A55" w:rsidRPr="008D2EA0">
        <w:fldChar w:fldCharType="end"/>
      </w:r>
      <w:r w:rsidRPr="008D2EA0">
        <w:t>.</w:t>
      </w:r>
    </w:p>
    <w:p w:rsidR="000A4122" w:rsidRPr="008D2EA0" w:rsidRDefault="000A4122" w:rsidP="00FB0456">
      <w:pPr>
        <w:pStyle w:val="ECCParagraph"/>
        <w:rPr>
          <w:rFonts w:cs="Arial"/>
          <w:szCs w:val="20"/>
          <w:lang w:eastAsia="de-DE"/>
        </w:rPr>
      </w:pPr>
      <w:r w:rsidRPr="008D2EA0">
        <w:t xml:space="preserve">In the Conclusion the </w:t>
      </w:r>
      <w:r w:rsidR="00CB5C2F" w:rsidRPr="008D2EA0">
        <w:t xml:space="preserve">most appropriate </w:t>
      </w:r>
      <w:r w:rsidRPr="008D2EA0">
        <w:t xml:space="preserve">regulatory framework </w:t>
      </w:r>
      <w:r w:rsidR="00CB5C2F" w:rsidRPr="008D2EA0">
        <w:t xml:space="preserve">for the harmonization </w:t>
      </w:r>
      <w:r w:rsidRPr="008D2EA0">
        <w:t xml:space="preserve">of the band 1452-1492 MHz </w:t>
      </w:r>
      <w:r w:rsidR="00CB5C2F" w:rsidRPr="008D2EA0">
        <w:t>is provided</w:t>
      </w:r>
      <w:r w:rsidRPr="008D2EA0">
        <w:t>.</w:t>
      </w:r>
    </w:p>
    <w:p w:rsidR="000A4122" w:rsidRPr="008D2EA0" w:rsidRDefault="000A4122" w:rsidP="00FB0456">
      <w:pPr>
        <w:pStyle w:val="ECCParagraph"/>
      </w:pPr>
      <w:r w:rsidRPr="008D2EA0">
        <w:rPr>
          <w:lang w:eastAsia="de-DE"/>
        </w:rPr>
        <w:t>This Report also includes a number of Annexes which cover in particular the current CEPT regulations and the ITU Radio Regulations applicable for the band 1452-1492 MHz, the status of this band in various countries inside and outside CEPT and detailed descriptions of the various technology standards for the candidate applications.</w:t>
      </w:r>
    </w:p>
    <w:p w:rsidR="00797D4C" w:rsidRPr="008D2EA0" w:rsidRDefault="00AA1738" w:rsidP="006731B4">
      <w:pPr>
        <w:pStyle w:val="Heading1"/>
      </w:pPr>
      <w:bookmarkStart w:id="3" w:name="_Ref330514714"/>
      <w:bookmarkStart w:id="4" w:name="_Ref330539778"/>
      <w:bookmarkStart w:id="5" w:name="_Toc349039220"/>
      <w:r w:rsidRPr="008D2EA0">
        <w:lastRenderedPageBreak/>
        <w:t>Description of the context of the study</w:t>
      </w:r>
      <w:bookmarkEnd w:id="3"/>
      <w:bookmarkEnd w:id="4"/>
      <w:bookmarkEnd w:id="5"/>
    </w:p>
    <w:p w:rsidR="00067793" w:rsidRPr="008D2EA0" w:rsidRDefault="00AA1738" w:rsidP="00E41E35">
      <w:pPr>
        <w:pStyle w:val="Heading2"/>
        <w:rPr>
          <w:lang w:val="en-GB"/>
        </w:rPr>
      </w:pPr>
      <w:bookmarkStart w:id="6" w:name="_Toc349039221"/>
      <w:r w:rsidRPr="008D2EA0">
        <w:rPr>
          <w:lang w:val="en-GB"/>
        </w:rPr>
        <w:t>Regulation within CEPT</w:t>
      </w:r>
      <w:bookmarkEnd w:id="6"/>
    </w:p>
    <w:p w:rsidR="00AA1738" w:rsidRPr="008D2EA0" w:rsidRDefault="00AA1738" w:rsidP="00026A63">
      <w:pPr>
        <w:pStyle w:val="ECCParagraph"/>
        <w:rPr>
          <w:i/>
          <w:iCs/>
        </w:rPr>
      </w:pPr>
      <w:r w:rsidRPr="008D2EA0">
        <w:t>The ITU Radio Regulations allocate the band 1452</w:t>
      </w:r>
      <w:r w:rsidR="0036081F" w:rsidRPr="008D2EA0">
        <w:t>-</w:t>
      </w:r>
      <w:r w:rsidRPr="008D2EA0">
        <w:t xml:space="preserve">1492 MHz in Region 1 to the Fixed, Mobile (except aeronautical mobile), Broadcasting and Broadcasting Satellite Service on a co-primary basis. Several footnotes apply to the band. The details for this band extracted from Article 5 of the </w:t>
      </w:r>
      <w:r w:rsidR="005D1E13" w:rsidRPr="008D2EA0">
        <w:t xml:space="preserve">ITU </w:t>
      </w:r>
      <w:r w:rsidRPr="008D2EA0">
        <w:t>Radio Regulations (including Region 2 and Region 3)</w:t>
      </w:r>
      <w:r w:rsidR="001D1A55" w:rsidRPr="008D2EA0">
        <w:t xml:space="preserve"> </w:t>
      </w:r>
      <w:r w:rsidRPr="008D2EA0">
        <w:t>are given in</w:t>
      </w:r>
      <w:r w:rsidR="001D1A55" w:rsidRPr="008D2EA0">
        <w:t xml:space="preserve"> </w:t>
      </w:r>
      <w:r w:rsidR="00200F36">
        <w:t>ANNEX 1</w:t>
      </w:r>
      <w:r w:rsidRPr="008D2EA0">
        <w:t>.</w:t>
      </w:r>
    </w:p>
    <w:p w:rsidR="00AA1738" w:rsidRPr="008D2EA0" w:rsidRDefault="00AA1738" w:rsidP="00026A63">
      <w:pPr>
        <w:pStyle w:val="ECCParagraph"/>
      </w:pPr>
      <w:r w:rsidRPr="008D2EA0">
        <w:rPr>
          <w:szCs w:val="20"/>
        </w:rPr>
        <w:t xml:space="preserve">According to footnote No. 5.342 </w:t>
      </w:r>
      <w:r w:rsidRPr="008D2EA0">
        <w:t>the band 1 429-1 535 MHz is also allocated to the aeronautical mobile service on a primary basis exclusively for the purposes of aeronautical telemetry within the national territory in some CEPT countries.</w:t>
      </w:r>
    </w:p>
    <w:p w:rsidR="00797D4C" w:rsidRPr="008D2EA0" w:rsidRDefault="00AA1738" w:rsidP="00AA1738">
      <w:pPr>
        <w:pStyle w:val="ECCParagraph"/>
        <w:rPr>
          <w:rFonts w:cs="Arial"/>
        </w:rPr>
      </w:pPr>
      <w:r w:rsidRPr="008D2EA0">
        <w:rPr>
          <w:rFonts w:cs="Arial"/>
          <w:szCs w:val="20"/>
        </w:rPr>
        <w:t>According to footnote No. 5.345 t</w:t>
      </w:r>
      <w:r w:rsidRPr="008D2EA0">
        <w:rPr>
          <w:rFonts w:cs="Arial"/>
        </w:rPr>
        <w:t>he use of the band 1452-1492 MHz by both the broadcasting satellite service and the broadcasting service is limited to digital audio broadcasting. The band is subject to the provisions of Resolution 528 (</w:t>
      </w:r>
      <w:r w:rsidR="00A95AC5" w:rsidRPr="008D2EA0">
        <w:rPr>
          <w:rFonts w:cs="Arial"/>
        </w:rPr>
        <w:t>Rev WRC-03</w:t>
      </w:r>
      <w:r w:rsidRPr="008D2EA0">
        <w:rPr>
          <w:rFonts w:cs="Arial"/>
        </w:rPr>
        <w:t>)</w:t>
      </w:r>
      <w:r w:rsidR="00100A75" w:rsidRPr="008D2EA0">
        <w:rPr>
          <w:rFonts w:cs="Arial"/>
        </w:rPr>
        <w:t xml:space="preserve"> </w:t>
      </w:r>
      <w:r w:rsidR="00C3316C" w:rsidRPr="008D2EA0">
        <w:rPr>
          <w:rFonts w:cs="Arial"/>
        </w:rPr>
        <w:fldChar w:fldCharType="begin"/>
      </w:r>
      <w:r w:rsidR="00C3316C" w:rsidRPr="008D2EA0">
        <w:rPr>
          <w:rFonts w:cs="Arial"/>
        </w:rPr>
        <w:instrText xml:space="preserve"> REF _Ref332810663 \r \h </w:instrText>
      </w:r>
      <w:r w:rsidR="00C3316C" w:rsidRPr="008D2EA0">
        <w:rPr>
          <w:rFonts w:cs="Arial"/>
        </w:rPr>
      </w:r>
      <w:r w:rsidR="00C3316C" w:rsidRPr="008D2EA0">
        <w:rPr>
          <w:rFonts w:cs="Arial"/>
        </w:rPr>
        <w:fldChar w:fldCharType="separate"/>
      </w:r>
      <w:r w:rsidR="00E73FF2">
        <w:rPr>
          <w:rFonts w:cs="Arial"/>
        </w:rPr>
        <w:t>[4]</w:t>
      </w:r>
      <w:r w:rsidR="00C3316C" w:rsidRPr="008D2EA0">
        <w:rPr>
          <w:rFonts w:cs="Arial"/>
        </w:rPr>
        <w:fldChar w:fldCharType="end"/>
      </w:r>
      <w:r w:rsidR="00100A75" w:rsidRPr="008D2EA0">
        <w:rPr>
          <w:rFonts w:cs="Arial"/>
        </w:rPr>
        <w:fldChar w:fldCharType="begin"/>
      </w:r>
      <w:r w:rsidR="00100A75" w:rsidRPr="008D2EA0">
        <w:rPr>
          <w:rFonts w:cs="Arial"/>
        </w:rPr>
        <w:instrText xml:space="preserve"> REF _Ref330504750 \r \h </w:instrText>
      </w:r>
      <w:r w:rsidR="00100A75" w:rsidRPr="008D2EA0">
        <w:rPr>
          <w:rFonts w:cs="Arial"/>
        </w:rPr>
      </w:r>
      <w:r w:rsidR="00100A75" w:rsidRPr="008D2EA0">
        <w:rPr>
          <w:rFonts w:cs="Arial"/>
        </w:rPr>
        <w:fldChar w:fldCharType="separate"/>
      </w:r>
      <w:r w:rsidR="00E73FF2">
        <w:rPr>
          <w:rFonts w:cs="Arial"/>
        </w:rPr>
        <w:t>[2]</w:t>
      </w:r>
      <w:r w:rsidR="00100A75" w:rsidRPr="008D2EA0">
        <w:rPr>
          <w:rFonts w:cs="Arial"/>
        </w:rPr>
        <w:fldChar w:fldCharType="end"/>
      </w:r>
      <w:r w:rsidRPr="008D2EA0">
        <w:rPr>
          <w:rFonts w:cs="Arial"/>
        </w:rPr>
        <w:t>.</w:t>
      </w:r>
    </w:p>
    <w:p w:rsidR="00026A63" w:rsidRPr="008D2EA0" w:rsidRDefault="00026A63" w:rsidP="00026A63">
      <w:pPr>
        <w:pStyle w:val="ECCParagraph"/>
      </w:pPr>
      <w:r w:rsidRPr="00272858">
        <w:t xml:space="preserve">In CEPT, </w:t>
      </w:r>
      <w:r w:rsidRPr="008D2EA0">
        <w:t>the Maastricht, 2002, Special Arrangement, a</w:t>
      </w:r>
      <w:r w:rsidR="00E60485">
        <w:t>s revised in Constanţa, in 2007</w:t>
      </w:r>
      <w:r w:rsidRPr="008D2EA0">
        <w:t xml:space="preserve"> provides the technical and regulatory framework in order to facilitate the introduction of terrestrial mobile multimedia services (in addition to T-DAB) in the frequency band 1452 - 1479.5 MHz, Annex 1 to MA02revCO07 provides the Plan as agreed in 2007. The Plan can be modified in order to include new allotments using the procedures given in the MA02revCO07. In particular, MA02revCO07</w:t>
      </w:r>
      <w:r w:rsidR="00E60485">
        <w:t xml:space="preserve"> </w:t>
      </w:r>
      <w:r w:rsidR="00E60485">
        <w:fldChar w:fldCharType="begin"/>
      </w:r>
      <w:r w:rsidR="00E60485">
        <w:instrText xml:space="preserve"> REF _Ref330503918 \r \h </w:instrText>
      </w:r>
      <w:r w:rsidR="00E60485">
        <w:fldChar w:fldCharType="separate"/>
      </w:r>
      <w:r w:rsidR="00E73FF2">
        <w:t>[1]</w:t>
      </w:r>
      <w:r w:rsidR="00E60485">
        <w:fldChar w:fldCharType="end"/>
      </w:r>
      <w:r w:rsidRPr="008D2EA0">
        <w:t xml:space="preserve"> allows the implementation of mobile multimedia services through the envelop concept and the aggregation of blocks. These concepts were described in </w:t>
      </w:r>
      <w:r w:rsidR="00100A75" w:rsidRPr="008D2EA0">
        <w:rPr>
          <w:rFonts w:cs="Arial"/>
        </w:rPr>
        <w:t>CEPT Report 18</w:t>
      </w:r>
      <w:r w:rsidRPr="008D2EA0">
        <w:t xml:space="preserve"> </w:t>
      </w:r>
      <w:r w:rsidR="00100A75" w:rsidRPr="008D2EA0">
        <w:fldChar w:fldCharType="begin"/>
      </w:r>
      <w:r w:rsidR="00100A75" w:rsidRPr="008D2EA0">
        <w:instrText xml:space="preserve"> REF _Ref330504932 \r \h </w:instrText>
      </w:r>
      <w:r w:rsidR="00100A75" w:rsidRPr="008D2EA0">
        <w:fldChar w:fldCharType="separate"/>
      </w:r>
      <w:r w:rsidR="00E73FF2">
        <w:t>[5]</w:t>
      </w:r>
      <w:r w:rsidR="00100A75" w:rsidRPr="008D2EA0">
        <w:fldChar w:fldCharType="end"/>
      </w:r>
      <w:r w:rsidR="00100A75" w:rsidRPr="008D2EA0">
        <w:t xml:space="preserve"> </w:t>
      </w:r>
      <w:r w:rsidRPr="008D2EA0">
        <w:t>in response to the Mandate on EU harmonisation of the band 1452-1479.5 MHz (lower part of L-band) to allow flexible use by mobile multimedia technologies.  Flexible spectrum usage may be subject to international coordination according to the provisions of MA02revCO07</w:t>
      </w:r>
      <w:r w:rsidR="00100A75" w:rsidRPr="008D2EA0">
        <w:fldChar w:fldCharType="begin"/>
      </w:r>
      <w:r w:rsidR="00100A75" w:rsidRPr="008D2EA0">
        <w:instrText xml:space="preserve"> REF _Ref330503918 \r \h </w:instrText>
      </w:r>
      <w:r w:rsidR="00100A75" w:rsidRPr="008D2EA0">
        <w:fldChar w:fldCharType="separate"/>
      </w:r>
      <w:r w:rsidR="00E73FF2">
        <w:t>[1]</w:t>
      </w:r>
      <w:r w:rsidR="00100A75" w:rsidRPr="008D2EA0">
        <w:fldChar w:fldCharType="end"/>
      </w:r>
      <w:r w:rsidR="00100A75" w:rsidRPr="008D2EA0">
        <w:t xml:space="preserve"> </w:t>
      </w:r>
      <w:r w:rsidRPr="008D2EA0">
        <w:t>(further details are provided in</w:t>
      </w:r>
      <w:r w:rsidR="00100A75" w:rsidRPr="008D2EA0">
        <w:t xml:space="preserve"> </w:t>
      </w:r>
      <w:r w:rsidR="00100A75" w:rsidRPr="008D2EA0">
        <w:fldChar w:fldCharType="begin"/>
      </w:r>
      <w:r w:rsidR="00100A75" w:rsidRPr="008D2EA0">
        <w:instrText xml:space="preserve"> REF _Ref330505100 \r \h </w:instrText>
      </w:r>
      <w:r w:rsidR="00100A75" w:rsidRPr="008D2EA0">
        <w:fldChar w:fldCharType="separate"/>
      </w:r>
      <w:r w:rsidR="00E73FF2">
        <w:t>ANNEX 2:</w:t>
      </w:r>
      <w:r w:rsidR="00100A75" w:rsidRPr="008D2EA0">
        <w:fldChar w:fldCharType="end"/>
      </w:r>
      <w:r w:rsidRPr="008D2EA0">
        <w:t xml:space="preserve">). </w:t>
      </w:r>
    </w:p>
    <w:p w:rsidR="00026A63" w:rsidRPr="008D2EA0" w:rsidRDefault="00026A63" w:rsidP="00026A63">
      <w:pPr>
        <w:pStyle w:val="ECCParagraph"/>
      </w:pPr>
      <w:r w:rsidRPr="008D2EA0">
        <w:t>The ECC</w:t>
      </w:r>
      <w:r w:rsidR="0036081F" w:rsidRPr="008D2EA0">
        <w:t>/</w:t>
      </w:r>
      <w:r w:rsidRPr="008D2EA0">
        <w:t>D</w:t>
      </w:r>
      <w:r w:rsidR="0036081F" w:rsidRPr="008D2EA0">
        <w:t>EC/</w:t>
      </w:r>
      <w:r w:rsidRPr="008D2EA0">
        <w:t>(03)02</w:t>
      </w:r>
      <w:r w:rsidR="00100A75" w:rsidRPr="008D2EA0">
        <w:t xml:space="preserve"> </w:t>
      </w:r>
      <w:r w:rsidR="00100A75" w:rsidRPr="008D2EA0">
        <w:fldChar w:fldCharType="begin"/>
      </w:r>
      <w:r w:rsidR="00100A75" w:rsidRPr="008D2EA0">
        <w:instrText xml:space="preserve"> REF _Ref330503966 \r \h </w:instrText>
      </w:r>
      <w:r w:rsidR="00100A75" w:rsidRPr="008D2EA0">
        <w:fldChar w:fldCharType="separate"/>
      </w:r>
      <w:r w:rsidR="00E73FF2">
        <w:t>[2]</w:t>
      </w:r>
      <w:r w:rsidR="00100A75" w:rsidRPr="008D2EA0">
        <w:fldChar w:fldCharType="end"/>
      </w:r>
      <w:r w:rsidRPr="008D2EA0">
        <w:t xml:space="preserve"> designates the frequency band 1479.5-1492 MHz for use by satellite DAB systems. This Decision shall be reviewed inter alia on the basis of market demand at least every 10 years according to Decides 2 of ECC</w:t>
      </w:r>
      <w:r w:rsidR="0036081F" w:rsidRPr="008D2EA0">
        <w:t>/</w:t>
      </w:r>
      <w:r w:rsidRPr="008D2EA0">
        <w:t>D</w:t>
      </w:r>
      <w:r w:rsidR="0036081F" w:rsidRPr="008D2EA0">
        <w:t>EC/</w:t>
      </w:r>
      <w:r w:rsidRPr="008D2EA0">
        <w:t>(03)02</w:t>
      </w:r>
      <w:r w:rsidR="00B055B7" w:rsidRPr="008D2EA0">
        <w:t xml:space="preserve"> </w:t>
      </w:r>
      <w:r w:rsidR="00100A75" w:rsidRPr="008D2EA0">
        <w:fldChar w:fldCharType="begin"/>
      </w:r>
      <w:r w:rsidR="00100A75" w:rsidRPr="008D2EA0">
        <w:instrText xml:space="preserve"> REF _Ref330503966 \r \h </w:instrText>
      </w:r>
      <w:r w:rsidR="00100A75" w:rsidRPr="008D2EA0">
        <w:fldChar w:fldCharType="separate"/>
      </w:r>
      <w:r w:rsidR="00E73FF2">
        <w:t>[2]</w:t>
      </w:r>
      <w:r w:rsidR="00100A75" w:rsidRPr="008D2EA0">
        <w:fldChar w:fldCharType="end"/>
      </w:r>
      <w:r w:rsidRPr="008D2EA0">
        <w:t>. However, according to the ECC Rules of Procedure (art. 12.4.1), each Decision shall be reviewed on a regular basis, but not later than every five years.</w:t>
      </w:r>
    </w:p>
    <w:p w:rsidR="00026A63" w:rsidRPr="008D2EA0" w:rsidRDefault="00026A63" w:rsidP="00E41E35">
      <w:pPr>
        <w:pStyle w:val="Heading2"/>
        <w:rPr>
          <w:lang w:val="en-GB"/>
        </w:rPr>
      </w:pPr>
      <w:bookmarkStart w:id="7" w:name="_Toc349039222"/>
      <w:r w:rsidRPr="008D2EA0">
        <w:rPr>
          <w:lang w:val="en-GB"/>
        </w:rPr>
        <w:t>Description of the current use within CEPT</w:t>
      </w:r>
      <w:bookmarkEnd w:id="7"/>
    </w:p>
    <w:p w:rsidR="00026A63" w:rsidRPr="008D2EA0" w:rsidRDefault="008F5C31" w:rsidP="00026A63">
      <w:pPr>
        <w:pStyle w:val="ECCParagraph"/>
      </w:pPr>
      <w:r w:rsidRPr="008D2EA0">
        <w:t xml:space="preserve">Sections </w:t>
      </w:r>
      <w:r w:rsidR="005F2E59">
        <w:fldChar w:fldCharType="begin"/>
      </w:r>
      <w:r w:rsidR="005F2E59">
        <w:instrText xml:space="preserve"> REF _Ref333573735 \r \h </w:instrText>
      </w:r>
      <w:r w:rsidR="005F2E59">
        <w:fldChar w:fldCharType="separate"/>
      </w:r>
      <w:r w:rsidR="00E73FF2">
        <w:t>2.2.1</w:t>
      </w:r>
      <w:r w:rsidR="005F2E59">
        <w:fldChar w:fldCharType="end"/>
      </w:r>
      <w:r w:rsidRPr="008D2EA0">
        <w:t xml:space="preserve">and </w:t>
      </w:r>
      <w:r w:rsidRPr="008D2EA0">
        <w:fldChar w:fldCharType="begin"/>
      </w:r>
      <w:r w:rsidRPr="008D2EA0">
        <w:instrText xml:space="preserve"> REF _Ref330505286 \r \h </w:instrText>
      </w:r>
      <w:r w:rsidRPr="008D2EA0">
        <w:fldChar w:fldCharType="separate"/>
      </w:r>
      <w:r w:rsidR="00E73FF2">
        <w:t>2.2.2</w:t>
      </w:r>
      <w:r w:rsidRPr="008D2EA0">
        <w:fldChar w:fldCharType="end"/>
      </w:r>
      <w:r w:rsidRPr="008D2EA0">
        <w:t xml:space="preserve"> </w:t>
      </w:r>
      <w:r w:rsidR="00026A63" w:rsidRPr="008D2EA0">
        <w:t xml:space="preserve">provide general information about the use of the band 1452-1492 MHz in CEPT. </w:t>
      </w:r>
      <w:r w:rsidR="005F2E59">
        <w:fldChar w:fldCharType="begin"/>
      </w:r>
      <w:r w:rsidR="005F2E59">
        <w:instrText xml:space="preserve"> REF _Ref333573796 \r \h </w:instrText>
      </w:r>
      <w:r w:rsidR="005F2E59">
        <w:fldChar w:fldCharType="separate"/>
      </w:r>
      <w:r w:rsidR="00E73FF2">
        <w:t>ANNEX 3:</w:t>
      </w:r>
      <w:r w:rsidR="005F2E59">
        <w:fldChar w:fldCharType="end"/>
      </w:r>
      <w:r w:rsidR="005F2E59">
        <w:t xml:space="preserve"> </w:t>
      </w:r>
      <w:r w:rsidR="00026A63" w:rsidRPr="008D2EA0">
        <w:t>provides additional details about the use of the band 1452-1492 MHz in some CEPT countries.</w:t>
      </w:r>
    </w:p>
    <w:p w:rsidR="00166C04" w:rsidRPr="008D2EA0" w:rsidRDefault="00166C04" w:rsidP="00510087">
      <w:pPr>
        <w:pStyle w:val="Heading3"/>
      </w:pPr>
      <w:bookmarkStart w:id="8" w:name="_Ref333573735"/>
      <w:bookmarkStart w:id="9" w:name="_Toc349039223"/>
      <w:r w:rsidRPr="008D2EA0">
        <w:t>T-DAB and S-DAB</w:t>
      </w:r>
      <w:bookmarkEnd w:id="8"/>
      <w:bookmarkEnd w:id="9"/>
    </w:p>
    <w:p w:rsidR="00026A63" w:rsidRPr="008D2EA0" w:rsidRDefault="00026A63" w:rsidP="007C3130">
      <w:pPr>
        <w:pStyle w:val="ECCParagraph"/>
      </w:pPr>
      <w:r w:rsidRPr="008D2EA0">
        <w:t xml:space="preserve">In most CEPT countries, the 1452-1492 MHz band is currently identified for the use by terrestrial and satellite digital audio broadcasting (T-DAB and S-DAB) applications. </w:t>
      </w:r>
    </w:p>
    <w:p w:rsidR="00026A63" w:rsidRPr="008D2EA0" w:rsidRDefault="00026A63" w:rsidP="007C3130">
      <w:pPr>
        <w:pStyle w:val="ECCParagraph"/>
      </w:pPr>
      <w:r w:rsidRPr="008D2EA0">
        <w:t>Relating to T-DAB, most CEPT countries have one to three nation-wide T-DAB allotment coverages in the Plan with a bandwidth of 1.7 MHz (only a few countries currently possess in total three layers of Plan entries).</w:t>
      </w:r>
    </w:p>
    <w:p w:rsidR="00026A63" w:rsidRPr="008D2EA0" w:rsidRDefault="00026A63" w:rsidP="00026A63">
      <w:pPr>
        <w:pStyle w:val="ECCParagraph"/>
      </w:pPr>
      <w:r w:rsidRPr="008D2EA0">
        <w:t xml:space="preserve">Relating to S-DAB, a review undertaken in July 2011 of the ITU-R database of satellite filings covering Europe showed that 7 CEPT administrations have 53 active requests for coordination which include the band 1479.5-1492 MHz over the arc </w:t>
      </w:r>
      <w:r w:rsidRPr="008D2EA0">
        <w:rPr>
          <w:lang w:eastAsia="fr-FR"/>
        </w:rPr>
        <w:t>15°W to 55°E</w:t>
      </w:r>
      <w:r w:rsidRPr="008D2EA0">
        <w:t>. Three of these have been notified. To date, none has been brought into use and resulted in the submission of Resolution 49 information.</w:t>
      </w:r>
    </w:p>
    <w:p w:rsidR="00026A63" w:rsidRPr="008D2EA0" w:rsidRDefault="00026A63" w:rsidP="00026A63">
      <w:pPr>
        <w:pStyle w:val="ECCParagraph"/>
        <w:rPr>
          <w:sz w:val="24"/>
        </w:rPr>
      </w:pPr>
      <w:r w:rsidRPr="008D2EA0">
        <w:t>None of the T-DAB and S-DAB usages have actually grown in the band to date as it has been shown by the Radio Spectrum Policy Group survey and Report on the future of digital audio broadcasting</w:t>
      </w:r>
      <w:r w:rsidR="006C5372" w:rsidRPr="008D2EA0">
        <w:t xml:space="preserve"> </w:t>
      </w:r>
      <w:r w:rsidR="006C5372" w:rsidRPr="008D2EA0">
        <w:fldChar w:fldCharType="begin"/>
      </w:r>
      <w:r w:rsidR="006C5372" w:rsidRPr="008D2EA0">
        <w:instrText xml:space="preserve"> REF _Ref332810988 \r \h </w:instrText>
      </w:r>
      <w:r w:rsidR="006C5372" w:rsidRPr="008D2EA0">
        <w:fldChar w:fldCharType="separate"/>
      </w:r>
      <w:r w:rsidR="00E73FF2">
        <w:t>[6]</w:t>
      </w:r>
      <w:r w:rsidR="006C5372" w:rsidRPr="008D2EA0">
        <w:fldChar w:fldCharType="end"/>
      </w:r>
      <w:r w:rsidRPr="008D2EA0">
        <w:t>.</w:t>
      </w:r>
    </w:p>
    <w:p w:rsidR="00026A63" w:rsidRPr="008D2EA0" w:rsidRDefault="00026A63" w:rsidP="00510087">
      <w:pPr>
        <w:pStyle w:val="Heading3"/>
      </w:pPr>
      <w:bookmarkStart w:id="10" w:name="_Ref330505286"/>
      <w:bookmarkStart w:id="11" w:name="_Toc349039224"/>
      <w:r w:rsidRPr="008D2EA0">
        <w:lastRenderedPageBreak/>
        <w:t>Other uses</w:t>
      </w:r>
      <w:bookmarkEnd w:id="10"/>
      <w:bookmarkEnd w:id="11"/>
    </w:p>
    <w:p w:rsidR="00026A63" w:rsidRPr="008D2EA0" w:rsidRDefault="00026A63" w:rsidP="00026A63">
      <w:pPr>
        <w:pStyle w:val="ECCParagraph"/>
        <w:rPr>
          <w:rFonts w:cs="Arial"/>
        </w:rPr>
      </w:pPr>
      <w:r w:rsidRPr="008D2EA0">
        <w:rPr>
          <w:rFonts w:cs="Arial"/>
        </w:rPr>
        <w:t>There are some other systems in operation in few countries. In nine countries, the band is currently used by applications operated in services different from audio broadcasting: Fixed Service (6 countries), Mobile Service (3 countries), Ground and Wall probing Radar (1 country), Radio Astronomy (1 country), Aeronautical Mobile Service (aeronautical telemetry) (1 country). These uses are generally limited to sub-parts only of the 1452-1492 MHz band. Some of the countries indicated in their response to the ECC survey</w:t>
      </w:r>
      <w:r w:rsidRPr="008D2EA0">
        <w:rPr>
          <w:rStyle w:val="FootnoteReference"/>
          <w:rFonts w:cs="Arial"/>
        </w:rPr>
        <w:footnoteReference w:id="3"/>
      </w:r>
      <w:r w:rsidRPr="008D2EA0">
        <w:rPr>
          <w:rFonts w:cs="Arial"/>
        </w:rPr>
        <w:t xml:space="preserve"> carried out in December 2010 – January 2011 on the future use of the 1452-1492 MHz band that those mentioned different uses will continue until an already fixed date (1 country) or once digital radio will be implemented (2 countries) or until the band is used by multimedia services (1 country). One other country indicated that it had licensed the whole 1452-1492 MHz band for terrestrial applications under technology neutral technical conditions of usage (see</w:t>
      </w:r>
      <w:r w:rsidR="005F2E59">
        <w:rPr>
          <w:rFonts w:cs="Arial"/>
        </w:rPr>
        <w:t xml:space="preserve"> </w:t>
      </w:r>
      <w:r w:rsidR="005F2E59">
        <w:rPr>
          <w:rFonts w:cs="Arial"/>
        </w:rPr>
        <w:fldChar w:fldCharType="begin"/>
      </w:r>
      <w:r w:rsidR="005F2E59">
        <w:rPr>
          <w:rFonts w:cs="Arial"/>
        </w:rPr>
        <w:instrText xml:space="preserve"> REF _Ref333573796 \r \h </w:instrText>
      </w:r>
      <w:r w:rsidR="005F2E59">
        <w:rPr>
          <w:rFonts w:cs="Arial"/>
        </w:rPr>
      </w:r>
      <w:r w:rsidR="005F2E59">
        <w:rPr>
          <w:rFonts w:cs="Arial"/>
        </w:rPr>
        <w:fldChar w:fldCharType="separate"/>
      </w:r>
      <w:r w:rsidR="00E73FF2">
        <w:rPr>
          <w:rFonts w:cs="Arial"/>
        </w:rPr>
        <w:t>ANNEX 3:</w:t>
      </w:r>
      <w:r w:rsidR="005F2E59">
        <w:rPr>
          <w:rFonts w:cs="Arial"/>
        </w:rPr>
        <w:fldChar w:fldCharType="end"/>
      </w:r>
      <w:r w:rsidRPr="008D2EA0">
        <w:rPr>
          <w:rFonts w:cs="Arial"/>
        </w:rPr>
        <w:t>).</w:t>
      </w:r>
    </w:p>
    <w:p w:rsidR="00026A63" w:rsidRPr="008D2EA0" w:rsidRDefault="00026A63" w:rsidP="00E41E35">
      <w:pPr>
        <w:pStyle w:val="Heading2"/>
        <w:rPr>
          <w:lang w:val="en-GB"/>
        </w:rPr>
      </w:pPr>
      <w:bookmarkStart w:id="12" w:name="_Toc349039225"/>
      <w:r w:rsidRPr="008D2EA0">
        <w:rPr>
          <w:lang w:val="en-GB"/>
        </w:rPr>
        <w:t>Current regulations and use outside CEPT</w:t>
      </w:r>
      <w:bookmarkEnd w:id="12"/>
    </w:p>
    <w:p w:rsidR="00026A63" w:rsidRPr="008D2EA0" w:rsidRDefault="00026A63" w:rsidP="00026A63">
      <w:pPr>
        <w:pStyle w:val="ECCParagraph"/>
      </w:pPr>
      <w:r w:rsidRPr="008D2EA0">
        <w:t xml:space="preserve">Many countries are aligned with CEPT by allocating the </w:t>
      </w:r>
      <w:r w:rsidRPr="008D2EA0">
        <w:rPr>
          <w:szCs w:val="20"/>
        </w:rPr>
        <w:t xml:space="preserve">1452-1492 MHz </w:t>
      </w:r>
      <w:r w:rsidRPr="008D2EA0">
        <w:t xml:space="preserve">band to </w:t>
      </w:r>
      <w:r w:rsidR="00200F36">
        <w:t>digital audio broadcasting</w:t>
      </w:r>
      <w:r w:rsidR="00200F36" w:rsidRPr="008D2EA0">
        <w:t xml:space="preserve"> </w:t>
      </w:r>
      <w:r w:rsidRPr="008D2EA0">
        <w:t xml:space="preserve">services. There are currently limited operational terrestrial </w:t>
      </w:r>
      <w:r w:rsidR="00200F36">
        <w:t>digital audio broadcasting</w:t>
      </w:r>
      <w:r w:rsidRPr="008D2EA0">
        <w:t xml:space="preserve"> services. There are 2 satellites in operation </w:t>
      </w:r>
      <w:r w:rsidR="00B87C20" w:rsidRPr="008D2EA0">
        <w:t>i</w:t>
      </w:r>
      <w:r w:rsidRPr="008D2EA0">
        <w:t xml:space="preserve">n the </w:t>
      </w:r>
      <w:r w:rsidRPr="008D2EA0">
        <w:rPr>
          <w:szCs w:val="20"/>
        </w:rPr>
        <w:t xml:space="preserve">1452-1492 MHz </w:t>
      </w:r>
      <w:r w:rsidRPr="008D2EA0">
        <w:t xml:space="preserve">band. </w:t>
      </w:r>
    </w:p>
    <w:p w:rsidR="00026A63" w:rsidRPr="008D2EA0" w:rsidRDefault="008F5C31" w:rsidP="00026A63">
      <w:pPr>
        <w:pStyle w:val="ECCParagraph"/>
        <w:rPr>
          <w:rStyle w:val="Artdef"/>
          <w:b w:val="0"/>
          <w:bCs w:val="0"/>
        </w:rPr>
      </w:pPr>
      <w:r w:rsidRPr="008D2EA0">
        <w:rPr>
          <w:rStyle w:val="Artdef"/>
          <w:b w:val="0"/>
          <w:bCs w:val="0"/>
        </w:rPr>
        <w:fldChar w:fldCharType="begin"/>
      </w:r>
      <w:r w:rsidRPr="008D2EA0">
        <w:rPr>
          <w:rStyle w:val="Artdef"/>
          <w:b w:val="0"/>
          <w:bCs w:val="0"/>
        </w:rPr>
        <w:instrText xml:space="preserve"> REF _Ref330505473 \r \h </w:instrText>
      </w:r>
      <w:r w:rsidRPr="008D2EA0">
        <w:rPr>
          <w:rStyle w:val="Artdef"/>
          <w:b w:val="0"/>
          <w:bCs w:val="0"/>
        </w:rPr>
      </w:r>
      <w:r w:rsidRPr="008D2EA0">
        <w:rPr>
          <w:rStyle w:val="Artdef"/>
          <w:b w:val="0"/>
          <w:bCs w:val="0"/>
        </w:rPr>
        <w:fldChar w:fldCharType="separate"/>
      </w:r>
      <w:r w:rsidR="00E73FF2">
        <w:rPr>
          <w:rStyle w:val="Artdef"/>
          <w:b w:val="0"/>
          <w:bCs w:val="0"/>
        </w:rPr>
        <w:t>ANNEX 4:</w:t>
      </w:r>
      <w:r w:rsidRPr="008D2EA0">
        <w:rPr>
          <w:rStyle w:val="Artdef"/>
          <w:b w:val="0"/>
          <w:bCs w:val="0"/>
        </w:rPr>
        <w:fldChar w:fldCharType="end"/>
      </w:r>
      <w:r w:rsidRPr="008D2EA0">
        <w:rPr>
          <w:rStyle w:val="Artdef"/>
          <w:b w:val="0"/>
          <w:bCs w:val="0"/>
        </w:rPr>
        <w:t xml:space="preserve"> </w:t>
      </w:r>
      <w:r w:rsidR="00026A63" w:rsidRPr="008D2EA0">
        <w:rPr>
          <w:rStyle w:val="Artdef"/>
          <w:b w:val="0"/>
          <w:bCs w:val="0"/>
        </w:rPr>
        <w:t>provides an overview of the use/regulations of the band 1452 – 1492 MHz in a number of countries outside from CEPT</w:t>
      </w:r>
      <w:r w:rsidR="00B055B7" w:rsidRPr="008D2EA0">
        <w:rPr>
          <w:rStyle w:val="Artdef"/>
          <w:b w:val="0"/>
          <w:bCs w:val="0"/>
        </w:rPr>
        <w:t>.</w:t>
      </w:r>
    </w:p>
    <w:p w:rsidR="00B055B7" w:rsidRPr="008D2EA0" w:rsidRDefault="00B055B7" w:rsidP="006731B4">
      <w:pPr>
        <w:pStyle w:val="Heading1"/>
      </w:pPr>
      <w:bookmarkStart w:id="13" w:name="_Ref330516059"/>
      <w:bookmarkStart w:id="14" w:name="_Toc349039226"/>
      <w:r w:rsidRPr="008D2EA0">
        <w:t xml:space="preserve">Criteria of Impact </w:t>
      </w:r>
      <w:r w:rsidR="008F5C31" w:rsidRPr="008D2EA0">
        <w:t>ANALYsis</w:t>
      </w:r>
      <w:bookmarkEnd w:id="13"/>
      <w:bookmarkEnd w:id="14"/>
    </w:p>
    <w:p w:rsidR="00B055B7" w:rsidRPr="008D2EA0" w:rsidRDefault="00B055B7" w:rsidP="000F6780">
      <w:pPr>
        <w:pStyle w:val="ECCParBulleted"/>
        <w:numPr>
          <w:ilvl w:val="0"/>
          <w:numId w:val="18"/>
        </w:numPr>
      </w:pPr>
      <w:r w:rsidRPr="008D2EA0">
        <w:t>Compatibility with the current regulatory framework</w:t>
      </w:r>
      <w:r w:rsidR="00E60485">
        <w:t>;</w:t>
      </w:r>
    </w:p>
    <w:p w:rsidR="00B055B7" w:rsidRPr="008D2EA0" w:rsidRDefault="00B055B7" w:rsidP="000F6780">
      <w:pPr>
        <w:pStyle w:val="ECCParBulleted"/>
        <w:numPr>
          <w:ilvl w:val="0"/>
          <w:numId w:val="18"/>
        </w:numPr>
      </w:pPr>
      <w:r w:rsidRPr="008D2EA0">
        <w:t>Possibility to share with other applications/uses</w:t>
      </w:r>
      <w:r w:rsidR="00E60485">
        <w:t>;</w:t>
      </w:r>
      <w:r w:rsidRPr="008D2EA0">
        <w:t xml:space="preserve"> </w:t>
      </w:r>
    </w:p>
    <w:p w:rsidR="00B055B7" w:rsidRPr="008D2EA0" w:rsidRDefault="00B055B7" w:rsidP="000F6780">
      <w:pPr>
        <w:pStyle w:val="ECCParBulleted"/>
        <w:numPr>
          <w:ilvl w:val="0"/>
          <w:numId w:val="18"/>
        </w:numPr>
      </w:pPr>
      <w:r w:rsidRPr="008D2EA0">
        <w:t xml:space="preserve">Extent (maximisation) </w:t>
      </w:r>
      <w:r w:rsidR="00E60485">
        <w:t>of social and economic benefits;</w:t>
      </w:r>
    </w:p>
    <w:p w:rsidR="00B055B7" w:rsidRPr="008D2EA0" w:rsidRDefault="00B055B7" w:rsidP="000F6780">
      <w:pPr>
        <w:pStyle w:val="ECCParBulleted"/>
        <w:numPr>
          <w:ilvl w:val="0"/>
          <w:numId w:val="18"/>
        </w:numPr>
      </w:pPr>
      <w:r w:rsidRPr="008D2EA0">
        <w:t>Timeframe for availability of equipment on a large scale and for application deployment - status of standardisation</w:t>
      </w:r>
      <w:r w:rsidR="00E60485">
        <w:t>;</w:t>
      </w:r>
    </w:p>
    <w:p w:rsidR="00B055B7" w:rsidRPr="008D2EA0" w:rsidRDefault="00B055B7" w:rsidP="000F6780">
      <w:pPr>
        <w:pStyle w:val="ECCParBulleted"/>
        <w:numPr>
          <w:ilvl w:val="0"/>
          <w:numId w:val="18"/>
        </w:numPr>
      </w:pPr>
      <w:r w:rsidRPr="008D2EA0">
        <w:t>Potential for economy of scale (need and potential for harmonisation within and outside CEPT)</w:t>
      </w:r>
      <w:r w:rsidR="00C073F3">
        <w:t>.</w:t>
      </w:r>
    </w:p>
    <w:p w:rsidR="00B055B7" w:rsidRPr="008D2EA0" w:rsidRDefault="00B055B7" w:rsidP="00B055B7">
      <w:pPr>
        <w:ind w:left="360"/>
        <w:rPr>
          <w:lang w:val="en-GB"/>
        </w:rPr>
      </w:pPr>
    </w:p>
    <w:p w:rsidR="00B055B7" w:rsidRPr="008D2EA0" w:rsidRDefault="00491C0C" w:rsidP="00B055B7">
      <w:pPr>
        <w:pStyle w:val="ECCParagraph"/>
      </w:pPr>
      <w:r w:rsidRPr="008D2EA0">
        <w:t>The r</w:t>
      </w:r>
      <w:r w:rsidR="00B055B7" w:rsidRPr="008D2EA0">
        <w:t xml:space="preserve">eference documents </w:t>
      </w:r>
      <w:r w:rsidRPr="008D2EA0">
        <w:t xml:space="preserve">for this analysis are </w:t>
      </w:r>
      <w:r w:rsidR="00B055B7" w:rsidRPr="008D2EA0">
        <w:t xml:space="preserve">ECC Report 125 </w:t>
      </w:r>
      <w:r w:rsidR="00247F2A" w:rsidRPr="008D2EA0">
        <w:fldChar w:fldCharType="begin"/>
      </w:r>
      <w:r w:rsidR="00247F2A" w:rsidRPr="008D2EA0">
        <w:instrText xml:space="preserve"> REF _Ref332811109 \r \h </w:instrText>
      </w:r>
      <w:r w:rsidR="00247F2A" w:rsidRPr="008D2EA0">
        <w:fldChar w:fldCharType="separate"/>
      </w:r>
      <w:r w:rsidR="00E73FF2">
        <w:t>[7]</w:t>
      </w:r>
      <w:r w:rsidR="00247F2A" w:rsidRPr="008D2EA0">
        <w:fldChar w:fldCharType="end"/>
      </w:r>
      <w:r w:rsidR="008F5C31" w:rsidRPr="008D2EA0">
        <w:t xml:space="preserve"> </w:t>
      </w:r>
      <w:r w:rsidR="00B055B7" w:rsidRPr="008D2EA0">
        <w:t xml:space="preserve">and </w:t>
      </w:r>
      <w:r w:rsidR="006B0A2C" w:rsidRPr="008D2EA0">
        <w:t xml:space="preserve">the internal ECC Report on </w:t>
      </w:r>
      <w:r w:rsidR="00B055B7" w:rsidRPr="008D2EA0">
        <w:t>Management of Impact Assessment</w:t>
      </w:r>
      <w:r w:rsidR="006B0A2C" w:rsidRPr="008D2EA0">
        <w:t>s in the ECC structure (Annex 13 to the Minutes of the 22</w:t>
      </w:r>
      <w:r w:rsidR="006B0A2C" w:rsidRPr="00272858">
        <w:rPr>
          <w:vertAlign w:val="superscript"/>
        </w:rPr>
        <w:t>nd</w:t>
      </w:r>
      <w:r w:rsidR="006B0A2C" w:rsidRPr="008D2EA0">
        <w:t xml:space="preserve"> ECC meeting, Vienna, 9</w:t>
      </w:r>
      <w:r w:rsidR="006B0A2C" w:rsidRPr="008D2EA0">
        <w:rPr>
          <w:vertAlign w:val="superscript"/>
        </w:rPr>
        <w:t>th</w:t>
      </w:r>
      <w:r w:rsidR="006B0A2C" w:rsidRPr="008D2EA0">
        <w:t xml:space="preserve"> - 13</w:t>
      </w:r>
      <w:r w:rsidR="006B0A2C" w:rsidRPr="008D2EA0">
        <w:rPr>
          <w:vertAlign w:val="superscript"/>
        </w:rPr>
        <w:t>th</w:t>
      </w:r>
      <w:r w:rsidR="006B0A2C" w:rsidRPr="008D2EA0">
        <w:t xml:space="preserve"> March 2009).</w:t>
      </w:r>
      <w:r w:rsidR="00CF580E" w:rsidRPr="008D2EA0">
        <w:t xml:space="preserve"> </w:t>
      </w:r>
    </w:p>
    <w:p w:rsidR="00B055B7" w:rsidRPr="008D2EA0" w:rsidRDefault="00E94566" w:rsidP="00E41E35">
      <w:pPr>
        <w:pStyle w:val="Heading2"/>
        <w:rPr>
          <w:lang w:val="en-GB"/>
        </w:rPr>
      </w:pPr>
      <w:bookmarkStart w:id="15" w:name="_Toc349039227"/>
      <w:r w:rsidRPr="008D2EA0">
        <w:rPr>
          <w:lang w:val="en-GB"/>
        </w:rPr>
        <w:t>Criteri</w:t>
      </w:r>
      <w:r w:rsidR="008F5C31" w:rsidRPr="008D2EA0">
        <w:rPr>
          <w:lang w:val="en-GB"/>
        </w:rPr>
        <w:t xml:space="preserve">on </w:t>
      </w:r>
      <w:r w:rsidR="00B055B7" w:rsidRPr="008D2EA0">
        <w:rPr>
          <w:lang w:val="en-GB"/>
        </w:rPr>
        <w:t>1: Compatibility with the current regulatory framework</w:t>
      </w:r>
      <w:bookmarkEnd w:id="15"/>
    </w:p>
    <w:p w:rsidR="00B055B7" w:rsidRPr="008D2EA0" w:rsidRDefault="00B055B7" w:rsidP="0036081F">
      <w:pPr>
        <w:pStyle w:val="ECCParagraph"/>
        <w:spacing w:after="120"/>
      </w:pPr>
      <w:r w:rsidRPr="008D2EA0">
        <w:t>To evaluate if the application(s) under study is(are) compatible:</w:t>
      </w:r>
    </w:p>
    <w:p w:rsidR="00B055B7" w:rsidRPr="008D2EA0" w:rsidRDefault="00CF580E" w:rsidP="000F6780">
      <w:pPr>
        <w:pStyle w:val="ECCParBulleted"/>
        <w:numPr>
          <w:ilvl w:val="0"/>
          <w:numId w:val="18"/>
        </w:numPr>
      </w:pPr>
      <w:r w:rsidRPr="008D2EA0">
        <w:t>with the Radio Regulations</w:t>
      </w:r>
      <w:r w:rsidR="00152EB0">
        <w:t>;</w:t>
      </w:r>
    </w:p>
    <w:p w:rsidR="00B055B7" w:rsidRPr="008D2EA0" w:rsidRDefault="00B055B7" w:rsidP="000F6780">
      <w:pPr>
        <w:pStyle w:val="ECCParBulleted"/>
        <w:numPr>
          <w:ilvl w:val="0"/>
          <w:numId w:val="18"/>
        </w:numPr>
      </w:pPr>
      <w:r w:rsidRPr="008D2EA0">
        <w:t xml:space="preserve">with </w:t>
      </w:r>
      <w:r w:rsidR="00CF580E" w:rsidRPr="008D2EA0">
        <w:t>MA02</w:t>
      </w:r>
      <w:r w:rsidR="002657A6">
        <w:t>rev</w:t>
      </w:r>
      <w:r w:rsidR="00CF580E" w:rsidRPr="008D2EA0">
        <w:t>CO07 within 1452-1479.5 MHz</w:t>
      </w:r>
      <w:r w:rsidR="008F5C31" w:rsidRPr="008D2EA0">
        <w:t xml:space="preserve"> </w:t>
      </w:r>
      <w:r w:rsidR="008F5C31" w:rsidRPr="008D2EA0">
        <w:rPr>
          <w:highlight w:val="yellow"/>
        </w:rPr>
        <w:fldChar w:fldCharType="begin"/>
      </w:r>
      <w:r w:rsidR="008F5C31" w:rsidRPr="008D2EA0">
        <w:instrText xml:space="preserve"> REF _Ref330503918 \r \h </w:instrText>
      </w:r>
      <w:r w:rsidR="008F5C31" w:rsidRPr="008D2EA0">
        <w:rPr>
          <w:highlight w:val="yellow"/>
        </w:rPr>
      </w:r>
      <w:r w:rsidR="008F5C31" w:rsidRPr="008D2EA0">
        <w:rPr>
          <w:highlight w:val="yellow"/>
        </w:rPr>
        <w:fldChar w:fldCharType="separate"/>
      </w:r>
      <w:r w:rsidR="00E73FF2">
        <w:t>[1]</w:t>
      </w:r>
      <w:r w:rsidR="008F5C31" w:rsidRPr="008D2EA0">
        <w:rPr>
          <w:highlight w:val="yellow"/>
        </w:rPr>
        <w:fldChar w:fldCharType="end"/>
      </w:r>
      <w:r w:rsidR="00152EB0">
        <w:t>;</w:t>
      </w:r>
    </w:p>
    <w:p w:rsidR="00B055B7" w:rsidRPr="008D2EA0" w:rsidRDefault="00B055B7" w:rsidP="000F6780">
      <w:pPr>
        <w:pStyle w:val="ECCParBulleted"/>
        <w:numPr>
          <w:ilvl w:val="0"/>
          <w:numId w:val="18"/>
        </w:numPr>
      </w:pPr>
      <w:r w:rsidRPr="008D2EA0">
        <w:t>with ECC DEC(03)02 within 1479.5-149</w:t>
      </w:r>
      <w:r w:rsidR="00CF580E" w:rsidRPr="008D2EA0">
        <w:t xml:space="preserve">2 MHz </w:t>
      </w:r>
      <w:r w:rsidR="008F5C31" w:rsidRPr="008D2EA0">
        <w:rPr>
          <w:highlight w:val="yellow"/>
        </w:rPr>
        <w:fldChar w:fldCharType="begin"/>
      </w:r>
      <w:r w:rsidR="008F5C31" w:rsidRPr="008D2EA0">
        <w:instrText xml:space="preserve"> REF _Ref330503966 \r \h </w:instrText>
      </w:r>
      <w:r w:rsidR="008F5C31" w:rsidRPr="008D2EA0">
        <w:rPr>
          <w:highlight w:val="yellow"/>
        </w:rPr>
      </w:r>
      <w:r w:rsidR="008F5C31" w:rsidRPr="008D2EA0">
        <w:rPr>
          <w:highlight w:val="yellow"/>
        </w:rPr>
        <w:fldChar w:fldCharType="separate"/>
      </w:r>
      <w:r w:rsidR="00E73FF2">
        <w:t>[2]</w:t>
      </w:r>
      <w:r w:rsidR="008F5C31" w:rsidRPr="008D2EA0">
        <w:rPr>
          <w:highlight w:val="yellow"/>
        </w:rPr>
        <w:fldChar w:fldCharType="end"/>
      </w:r>
      <w:r w:rsidR="008F5C31" w:rsidRPr="008D2EA0">
        <w:t>.</w:t>
      </w:r>
    </w:p>
    <w:p w:rsidR="00B055B7" w:rsidRPr="008D2EA0" w:rsidRDefault="00E94566" w:rsidP="00E41E35">
      <w:pPr>
        <w:pStyle w:val="Heading2"/>
        <w:rPr>
          <w:lang w:val="en-GB"/>
        </w:rPr>
      </w:pPr>
      <w:bookmarkStart w:id="16" w:name="_Toc349039228"/>
      <w:r w:rsidRPr="008D2EA0">
        <w:rPr>
          <w:lang w:val="en-GB"/>
        </w:rPr>
        <w:t>Criterion</w:t>
      </w:r>
      <w:r w:rsidR="008F5C31" w:rsidRPr="008D2EA0">
        <w:rPr>
          <w:lang w:val="en-GB"/>
        </w:rPr>
        <w:t xml:space="preserve"> </w:t>
      </w:r>
      <w:r w:rsidR="00B055B7" w:rsidRPr="008D2EA0">
        <w:rPr>
          <w:lang w:val="en-GB"/>
        </w:rPr>
        <w:t>2: Possibility to share with other applications/uses</w:t>
      </w:r>
      <w:bookmarkEnd w:id="16"/>
    </w:p>
    <w:p w:rsidR="00B055B7" w:rsidRPr="008D2EA0" w:rsidRDefault="00B055B7" w:rsidP="00B055B7">
      <w:pPr>
        <w:pStyle w:val="ECCParagraph"/>
      </w:pPr>
      <w:r w:rsidRPr="008D2EA0">
        <w:t>For each application it should be evaluated whether sharing with other applications is possible, based on the requirements, including spectrum requirements, of the relevant applications. If sharing is possible, the type of sharing should be indicated</w:t>
      </w:r>
      <w:r w:rsidR="00E40EC5" w:rsidRPr="008D2EA0">
        <w:t xml:space="preserve"> including whether through national flexibility or at CEPT level</w:t>
      </w:r>
      <w:r w:rsidRPr="008D2EA0">
        <w:t>.</w:t>
      </w:r>
    </w:p>
    <w:p w:rsidR="00B055B7" w:rsidRPr="008D2EA0" w:rsidRDefault="00B055B7" w:rsidP="00E97FCA">
      <w:pPr>
        <w:pStyle w:val="ECCParagraph"/>
        <w:keepNext/>
        <w:spacing w:after="120"/>
        <w:rPr>
          <w:rFonts w:cs="Arial"/>
        </w:rPr>
      </w:pPr>
      <w:r w:rsidRPr="008D2EA0">
        <w:lastRenderedPageBreak/>
        <w:t xml:space="preserve">There are different ways for applications to share spectrum. </w:t>
      </w:r>
      <w:r w:rsidR="00E40EC5" w:rsidRPr="008D2EA0">
        <w:t xml:space="preserve">Recommendation </w:t>
      </w:r>
      <w:r w:rsidRPr="008D2EA0">
        <w:t xml:space="preserve">ITU-R </w:t>
      </w:r>
      <w:r w:rsidRPr="008D2EA0">
        <w:rPr>
          <w:rFonts w:cs="Arial"/>
        </w:rPr>
        <w:t>SM.1132-2</w:t>
      </w:r>
      <w:r w:rsidR="00E40EC5" w:rsidRPr="008D2EA0">
        <w:rPr>
          <w:rFonts w:cs="Arial"/>
        </w:rPr>
        <w:t xml:space="preserve"> </w:t>
      </w:r>
      <w:r w:rsidR="008F5C31" w:rsidRPr="008D2EA0">
        <w:rPr>
          <w:rFonts w:cs="Arial"/>
        </w:rPr>
        <w:fldChar w:fldCharType="begin"/>
      </w:r>
      <w:r w:rsidR="008F5C31" w:rsidRPr="008D2EA0">
        <w:rPr>
          <w:rFonts w:cs="Arial"/>
        </w:rPr>
        <w:instrText xml:space="preserve"> REF _Ref330506718 \r \h </w:instrText>
      </w:r>
      <w:r w:rsidR="008F5C31" w:rsidRPr="008D2EA0">
        <w:rPr>
          <w:rFonts w:cs="Arial"/>
        </w:rPr>
      </w:r>
      <w:r w:rsidR="008F5C31" w:rsidRPr="008D2EA0">
        <w:rPr>
          <w:rFonts w:cs="Arial"/>
        </w:rPr>
        <w:fldChar w:fldCharType="separate"/>
      </w:r>
      <w:r w:rsidR="00E73FF2">
        <w:rPr>
          <w:rFonts w:cs="Arial"/>
        </w:rPr>
        <w:t>[8]</w:t>
      </w:r>
      <w:r w:rsidR="008F5C31" w:rsidRPr="008D2EA0">
        <w:rPr>
          <w:rFonts w:cs="Arial"/>
        </w:rPr>
        <w:fldChar w:fldCharType="end"/>
      </w:r>
      <w:r w:rsidR="008F5C31" w:rsidRPr="008D2EA0">
        <w:rPr>
          <w:rFonts w:cs="Arial"/>
        </w:rPr>
        <w:t xml:space="preserve"> </w:t>
      </w:r>
      <w:r w:rsidRPr="008D2EA0">
        <w:rPr>
          <w:rFonts w:cs="Arial"/>
        </w:rPr>
        <w:t>gives guidelines on the different possible dimensions of sharing:</w:t>
      </w:r>
    </w:p>
    <w:p w:rsidR="00B055B7" w:rsidRPr="008D2EA0" w:rsidRDefault="00B055B7" w:rsidP="000F6780">
      <w:pPr>
        <w:pStyle w:val="ECCParBulleted"/>
        <w:numPr>
          <w:ilvl w:val="0"/>
          <w:numId w:val="18"/>
        </w:numPr>
      </w:pPr>
      <w:r w:rsidRPr="008D2EA0">
        <w:t>Frequency separation</w:t>
      </w:r>
      <w:r w:rsidR="00E97FCA">
        <w:t>;</w:t>
      </w:r>
    </w:p>
    <w:p w:rsidR="00B055B7" w:rsidRPr="008D2EA0" w:rsidRDefault="00B055B7" w:rsidP="000F6780">
      <w:pPr>
        <w:pStyle w:val="ECCParBulleted"/>
        <w:numPr>
          <w:ilvl w:val="0"/>
          <w:numId w:val="18"/>
        </w:numPr>
      </w:pPr>
      <w:r w:rsidRPr="008D2EA0">
        <w:t>Spatial separation</w:t>
      </w:r>
      <w:r w:rsidR="00E97FCA">
        <w:t>;</w:t>
      </w:r>
    </w:p>
    <w:p w:rsidR="00B055B7" w:rsidRPr="008D2EA0" w:rsidRDefault="00B055B7" w:rsidP="000F6780">
      <w:pPr>
        <w:pStyle w:val="ECCParBulleted"/>
        <w:numPr>
          <w:ilvl w:val="0"/>
          <w:numId w:val="18"/>
        </w:numPr>
      </w:pPr>
      <w:r w:rsidRPr="008D2EA0">
        <w:t>Time separation</w:t>
      </w:r>
      <w:r w:rsidR="00510087">
        <w:t>;</w:t>
      </w:r>
    </w:p>
    <w:p w:rsidR="00B055B7" w:rsidRPr="008D2EA0" w:rsidRDefault="00B055B7" w:rsidP="000F6780">
      <w:pPr>
        <w:pStyle w:val="ECCParBulleted"/>
        <w:numPr>
          <w:ilvl w:val="0"/>
          <w:numId w:val="18"/>
        </w:numPr>
      </w:pPr>
      <w:r w:rsidRPr="008D2EA0">
        <w:t>Signal separation</w:t>
      </w:r>
      <w:r w:rsidR="00E97FCA">
        <w:t>.</w:t>
      </w:r>
    </w:p>
    <w:p w:rsidR="0036081F" w:rsidRPr="008D2EA0" w:rsidRDefault="0036081F" w:rsidP="00E97FCA">
      <w:pPr>
        <w:pStyle w:val="ECCParBulleted"/>
        <w:numPr>
          <w:ilvl w:val="0"/>
          <w:numId w:val="0"/>
        </w:numPr>
      </w:pPr>
    </w:p>
    <w:p w:rsidR="00B055B7" w:rsidRPr="008D2EA0" w:rsidRDefault="00B055B7" w:rsidP="00B055B7">
      <w:pPr>
        <w:pStyle w:val="ECCParagraph"/>
      </w:pPr>
      <w:r w:rsidRPr="008D2EA0">
        <w:t>Th</w:t>
      </w:r>
      <w:r w:rsidR="00B87C20" w:rsidRPr="008D2EA0">
        <w:t>is</w:t>
      </w:r>
      <w:r w:rsidRPr="008D2EA0">
        <w:t xml:space="preserve"> ITU-R </w:t>
      </w:r>
      <w:r w:rsidR="00B87C20" w:rsidRPr="008D2EA0">
        <w:t>R</w:t>
      </w:r>
      <w:r w:rsidRPr="008D2EA0">
        <w:t>ecommendation</w:t>
      </w:r>
      <w:r w:rsidR="008F5C31" w:rsidRPr="008D2EA0">
        <w:t xml:space="preserve"> </w:t>
      </w:r>
      <w:r w:rsidR="008F5C31" w:rsidRPr="008D2EA0">
        <w:fldChar w:fldCharType="begin"/>
      </w:r>
      <w:r w:rsidR="008F5C31" w:rsidRPr="008D2EA0">
        <w:instrText xml:space="preserve"> REF _Ref330506718 \r \h </w:instrText>
      </w:r>
      <w:r w:rsidR="006B0A2C" w:rsidRPr="008D2EA0">
        <w:instrText xml:space="preserve"> \* MERGEFORMAT </w:instrText>
      </w:r>
      <w:r w:rsidR="008F5C31" w:rsidRPr="008D2EA0">
        <w:fldChar w:fldCharType="separate"/>
      </w:r>
      <w:r w:rsidR="00E73FF2">
        <w:t>[8]</w:t>
      </w:r>
      <w:r w:rsidR="008F5C31" w:rsidRPr="008D2EA0">
        <w:fldChar w:fldCharType="end"/>
      </w:r>
      <w:r w:rsidRPr="008D2EA0">
        <w:t xml:space="preserve"> gives an extensive (non-exhaustive) list of detailed sharing possibilities, including </w:t>
      </w:r>
      <w:r w:rsidR="00E40EC5" w:rsidRPr="008D2EA0">
        <w:t>channelling</w:t>
      </w:r>
      <w:r w:rsidRPr="008D2EA0">
        <w:t xml:space="preserve"> plans, band segmentation and geographical separation.</w:t>
      </w:r>
    </w:p>
    <w:p w:rsidR="00B055B7" w:rsidRPr="008D2EA0" w:rsidRDefault="00E94566" w:rsidP="00E41E35">
      <w:pPr>
        <w:pStyle w:val="Heading2"/>
        <w:rPr>
          <w:lang w:val="en-GB"/>
        </w:rPr>
      </w:pPr>
      <w:bookmarkStart w:id="17" w:name="_Toc349039229"/>
      <w:r w:rsidRPr="008D2EA0">
        <w:rPr>
          <w:lang w:val="en-GB"/>
        </w:rPr>
        <w:t>Criterion</w:t>
      </w:r>
      <w:r w:rsidR="008F5C31" w:rsidRPr="008D2EA0">
        <w:rPr>
          <w:lang w:val="en-GB"/>
        </w:rPr>
        <w:t xml:space="preserve"> </w:t>
      </w:r>
      <w:r w:rsidR="00B055B7" w:rsidRPr="008D2EA0">
        <w:rPr>
          <w:lang w:val="en-GB"/>
        </w:rPr>
        <w:t>3: Extent (maximisation) of social and economic benefits</w:t>
      </w:r>
      <w:bookmarkEnd w:id="17"/>
    </w:p>
    <w:p w:rsidR="00B055B7" w:rsidRPr="008D2EA0" w:rsidRDefault="00B055B7" w:rsidP="00B055B7">
      <w:pPr>
        <w:pStyle w:val="ECCParagraph"/>
      </w:pPr>
      <w:r w:rsidRPr="008D2EA0">
        <w:t xml:space="preserve">The expected social (including public policy objectives) and economic benefits should be evaluated. This should be based on quantitative data where relevant. </w:t>
      </w:r>
      <w:r w:rsidR="008F5C31" w:rsidRPr="008D2EA0">
        <w:t xml:space="preserve">Where </w:t>
      </w:r>
      <w:r w:rsidRPr="008D2EA0">
        <w:t>quantitative data is not available</w:t>
      </w:r>
      <w:r w:rsidR="008F5C31" w:rsidRPr="008D2EA0">
        <w:t>,</w:t>
      </w:r>
      <w:r w:rsidRPr="008D2EA0">
        <w:t xml:space="preserve"> a qualitative analysis of expected benefits and costs can be provided.</w:t>
      </w:r>
    </w:p>
    <w:p w:rsidR="00B055B7" w:rsidRPr="008D2EA0" w:rsidRDefault="00E94566" w:rsidP="00E41E35">
      <w:pPr>
        <w:pStyle w:val="Heading2"/>
        <w:rPr>
          <w:lang w:val="en-GB"/>
        </w:rPr>
      </w:pPr>
      <w:bookmarkStart w:id="18" w:name="_Toc349039230"/>
      <w:r w:rsidRPr="008D2EA0">
        <w:rPr>
          <w:lang w:val="en-GB"/>
        </w:rPr>
        <w:t>Criterion</w:t>
      </w:r>
      <w:r w:rsidR="008F5C31" w:rsidRPr="008D2EA0">
        <w:rPr>
          <w:lang w:val="en-GB"/>
        </w:rPr>
        <w:t xml:space="preserve"> </w:t>
      </w:r>
      <w:r w:rsidR="00B055B7" w:rsidRPr="008D2EA0">
        <w:rPr>
          <w:lang w:val="en-GB"/>
        </w:rPr>
        <w:t>4: Timeframe for availability of equipment on a large scale and for application deployment - status of standardisation</w:t>
      </w:r>
      <w:bookmarkEnd w:id="18"/>
    </w:p>
    <w:p w:rsidR="00B055B7" w:rsidRPr="008D2EA0" w:rsidRDefault="00B055B7" w:rsidP="00B055B7">
      <w:pPr>
        <w:pStyle w:val="ECCParagraph"/>
      </w:pPr>
      <w:r w:rsidRPr="008D2EA0">
        <w:t xml:space="preserve">The timeframe of the availability of equipment on a large scale should be assessed. The status of standardisation, either existing, in preparation or planned should be assessed. </w:t>
      </w:r>
    </w:p>
    <w:p w:rsidR="00B055B7" w:rsidRPr="008D2EA0" w:rsidRDefault="00B055B7" w:rsidP="00B055B7">
      <w:pPr>
        <w:pStyle w:val="ECCParagraph"/>
      </w:pPr>
      <w:r w:rsidRPr="008D2EA0">
        <w:t>The timeline for application deployment and use should be assessed.</w:t>
      </w:r>
    </w:p>
    <w:p w:rsidR="00B055B7" w:rsidRPr="008D2EA0" w:rsidRDefault="00E94566" w:rsidP="00E41E35">
      <w:pPr>
        <w:pStyle w:val="Heading2"/>
        <w:rPr>
          <w:lang w:val="en-GB"/>
        </w:rPr>
      </w:pPr>
      <w:bookmarkStart w:id="19" w:name="_Toc349039231"/>
      <w:r w:rsidRPr="008D2EA0">
        <w:rPr>
          <w:lang w:val="en-GB"/>
        </w:rPr>
        <w:t>Criterion</w:t>
      </w:r>
      <w:r w:rsidR="008F5C31" w:rsidRPr="008D2EA0">
        <w:rPr>
          <w:lang w:val="en-GB"/>
        </w:rPr>
        <w:t xml:space="preserve"> </w:t>
      </w:r>
      <w:r w:rsidR="00B055B7" w:rsidRPr="008D2EA0">
        <w:rPr>
          <w:lang w:val="en-GB"/>
        </w:rPr>
        <w:t>5: Potential for economy of scale (need and potential for harmonisation within and outside CEPT)</w:t>
      </w:r>
      <w:bookmarkEnd w:id="19"/>
    </w:p>
    <w:p w:rsidR="00B055B7" w:rsidRPr="008D2EA0" w:rsidRDefault="00B055B7" w:rsidP="0036081F">
      <w:pPr>
        <w:pStyle w:val="ECCParagraph"/>
      </w:pPr>
      <w:r w:rsidRPr="008D2EA0">
        <w:t>For each application the size of the market shall be estimated taking into account the potential for CEPT wide or global harmonisation. The required level of harmonisation within and outside CEPT for each application should also be taken into account.</w:t>
      </w:r>
    </w:p>
    <w:p w:rsidR="006D1BB1" w:rsidRPr="008D2EA0" w:rsidRDefault="006D1BB1" w:rsidP="006731B4">
      <w:pPr>
        <w:pStyle w:val="Heading1"/>
      </w:pPr>
      <w:bookmarkStart w:id="20" w:name="_Toc321318099"/>
      <w:bookmarkStart w:id="21" w:name="_Ref330516117"/>
      <w:bookmarkStart w:id="22" w:name="_Ref330539813"/>
      <w:bookmarkStart w:id="23" w:name="_Toc349039232"/>
      <w:r w:rsidRPr="008D2EA0">
        <w:t>Description of the candidate applications, including spectrum needs</w:t>
      </w:r>
      <w:bookmarkEnd w:id="20"/>
      <w:bookmarkEnd w:id="21"/>
      <w:bookmarkEnd w:id="22"/>
      <w:bookmarkEnd w:id="23"/>
    </w:p>
    <w:p w:rsidR="006D1BB1" w:rsidRPr="008D2EA0" w:rsidRDefault="006D1BB1" w:rsidP="006D1BB1">
      <w:pPr>
        <w:pStyle w:val="ECCParagraph"/>
        <w:spacing w:after="120"/>
      </w:pPr>
      <w:r w:rsidRPr="008D2EA0">
        <w:t>The following candidate applications are considered:</w:t>
      </w:r>
    </w:p>
    <w:p w:rsidR="006D1BB1" w:rsidRPr="008D2EA0" w:rsidRDefault="006D1BB1" w:rsidP="000F6780">
      <w:pPr>
        <w:pStyle w:val="ECCNumberedBullets"/>
        <w:numPr>
          <w:ilvl w:val="0"/>
          <w:numId w:val="20"/>
        </w:numPr>
        <w:spacing w:after="120"/>
        <w:rPr>
          <w:lang w:val="en-GB"/>
        </w:rPr>
      </w:pPr>
      <w:r w:rsidRPr="008D2EA0">
        <w:rPr>
          <w:lang w:val="en-GB"/>
        </w:rPr>
        <w:t>Terrestrial broadcasting</w:t>
      </w:r>
      <w:r w:rsidR="00995D9E">
        <w:rPr>
          <w:lang w:val="en-GB"/>
        </w:rPr>
        <w:t>;</w:t>
      </w:r>
    </w:p>
    <w:p w:rsidR="006D1BB1" w:rsidRPr="008D2EA0" w:rsidRDefault="006D1BB1" w:rsidP="000F6780">
      <w:pPr>
        <w:pStyle w:val="ECCNumberedBullets"/>
        <w:numPr>
          <w:ilvl w:val="0"/>
          <w:numId w:val="20"/>
        </w:numPr>
        <w:spacing w:after="120"/>
        <w:rPr>
          <w:lang w:val="en-GB"/>
        </w:rPr>
      </w:pPr>
      <w:r w:rsidRPr="008D2EA0">
        <w:rPr>
          <w:lang w:val="en-GB"/>
        </w:rPr>
        <w:t>Mobile broadband</w:t>
      </w:r>
      <w:r w:rsidR="00995D9E">
        <w:rPr>
          <w:lang w:val="en-GB"/>
        </w:rPr>
        <w:t>;</w:t>
      </w:r>
    </w:p>
    <w:p w:rsidR="006D1BB1" w:rsidRPr="008D2EA0" w:rsidRDefault="006D1BB1" w:rsidP="000F6780">
      <w:pPr>
        <w:pStyle w:val="ECCNumberedBullets"/>
        <w:numPr>
          <w:ilvl w:val="0"/>
          <w:numId w:val="20"/>
        </w:numPr>
        <w:spacing w:after="120"/>
        <w:rPr>
          <w:lang w:val="en-GB"/>
        </w:rPr>
      </w:pPr>
      <w:r w:rsidRPr="008D2EA0">
        <w:rPr>
          <w:lang w:val="en-GB"/>
        </w:rPr>
        <w:t xml:space="preserve">Mobile </w:t>
      </w:r>
      <w:r w:rsidR="004F6693" w:rsidRPr="008D2EA0">
        <w:rPr>
          <w:lang w:val="en-GB"/>
        </w:rPr>
        <w:t>S</w:t>
      </w:r>
      <w:r w:rsidRPr="008D2EA0">
        <w:rPr>
          <w:lang w:val="en-GB"/>
        </w:rPr>
        <w:t xml:space="preserve">upplemental </w:t>
      </w:r>
      <w:r w:rsidR="004F6693" w:rsidRPr="008D2EA0">
        <w:rPr>
          <w:lang w:val="en-GB"/>
        </w:rPr>
        <w:t>D</w:t>
      </w:r>
      <w:r w:rsidRPr="008D2EA0">
        <w:rPr>
          <w:lang w:val="en-GB"/>
        </w:rPr>
        <w:t>own</w:t>
      </w:r>
      <w:r w:rsidR="004F6693" w:rsidRPr="008D2EA0">
        <w:rPr>
          <w:lang w:val="en-GB"/>
        </w:rPr>
        <w:t>-L</w:t>
      </w:r>
      <w:r w:rsidRPr="008D2EA0">
        <w:rPr>
          <w:lang w:val="en-GB"/>
        </w:rPr>
        <w:t>ink</w:t>
      </w:r>
      <w:r w:rsidR="008F5C31" w:rsidRPr="008D2EA0">
        <w:rPr>
          <w:lang w:val="en-GB"/>
        </w:rPr>
        <w:t xml:space="preserve"> (Mobile SDL)</w:t>
      </w:r>
      <w:r w:rsidR="00995D9E">
        <w:rPr>
          <w:lang w:val="en-GB"/>
        </w:rPr>
        <w:t>;</w:t>
      </w:r>
    </w:p>
    <w:p w:rsidR="006D1BB1" w:rsidRPr="008D2EA0" w:rsidRDefault="006D1BB1" w:rsidP="000F6780">
      <w:pPr>
        <w:pStyle w:val="ECCNumberedBullets"/>
        <w:numPr>
          <w:ilvl w:val="0"/>
          <w:numId w:val="20"/>
        </w:numPr>
        <w:spacing w:after="120"/>
        <w:rPr>
          <w:lang w:val="en-GB"/>
        </w:rPr>
      </w:pPr>
      <w:r w:rsidRPr="008D2EA0">
        <w:rPr>
          <w:lang w:val="en-GB"/>
        </w:rPr>
        <w:t>Satellite Digital Audio Broadcasting (S-DAB)</w:t>
      </w:r>
      <w:r w:rsidR="00995D9E">
        <w:rPr>
          <w:lang w:val="en-GB"/>
        </w:rPr>
        <w:t>;</w:t>
      </w:r>
    </w:p>
    <w:p w:rsidR="006D1BB1" w:rsidRPr="008D2EA0" w:rsidRDefault="006D1BB1" w:rsidP="000F6780">
      <w:pPr>
        <w:pStyle w:val="ECCNumberedBullets"/>
        <w:numPr>
          <w:ilvl w:val="0"/>
          <w:numId w:val="20"/>
        </w:numPr>
        <w:spacing w:after="120"/>
        <w:rPr>
          <w:lang w:val="en-GB"/>
        </w:rPr>
      </w:pPr>
      <w:r w:rsidRPr="008D2EA0">
        <w:rPr>
          <w:lang w:val="en-GB"/>
        </w:rPr>
        <w:t>Programme Making and Special Events (PMSE)</w:t>
      </w:r>
      <w:r w:rsidR="00995D9E">
        <w:rPr>
          <w:lang w:val="en-GB"/>
        </w:rPr>
        <w:t>;</w:t>
      </w:r>
    </w:p>
    <w:p w:rsidR="006D1BB1" w:rsidRPr="008D2EA0" w:rsidRDefault="006D1BB1" w:rsidP="000F6780">
      <w:pPr>
        <w:pStyle w:val="ECCNumberedBullets"/>
        <w:numPr>
          <w:ilvl w:val="0"/>
          <w:numId w:val="20"/>
        </w:numPr>
        <w:spacing w:after="120"/>
        <w:rPr>
          <w:lang w:val="en-GB"/>
        </w:rPr>
      </w:pPr>
      <w:r w:rsidRPr="008D2EA0">
        <w:rPr>
          <w:lang w:val="en-GB"/>
        </w:rPr>
        <w:t>Broadband Public Protection and Disaster Relief (</w:t>
      </w:r>
      <w:r w:rsidR="002657A6">
        <w:rPr>
          <w:lang w:val="en-GB"/>
        </w:rPr>
        <w:t>B</w:t>
      </w:r>
      <w:r w:rsidRPr="008D2EA0">
        <w:rPr>
          <w:lang w:val="en-GB"/>
        </w:rPr>
        <w:t>PPDR) for temporary and local use</w:t>
      </w:r>
      <w:r w:rsidR="00995D9E">
        <w:rPr>
          <w:lang w:val="en-GB"/>
        </w:rPr>
        <w:t>;</w:t>
      </w:r>
    </w:p>
    <w:p w:rsidR="006D1BB1" w:rsidRPr="008D2EA0" w:rsidRDefault="006D1BB1" w:rsidP="000F6780">
      <w:pPr>
        <w:pStyle w:val="ECCNumberedBullets"/>
        <w:numPr>
          <w:ilvl w:val="0"/>
          <w:numId w:val="20"/>
        </w:numPr>
        <w:spacing w:after="120"/>
        <w:rPr>
          <w:lang w:val="en-GB"/>
        </w:rPr>
      </w:pPr>
      <w:r w:rsidRPr="008D2EA0">
        <w:rPr>
          <w:bCs/>
          <w:lang w:val="en-GB"/>
        </w:rPr>
        <w:t>Broadband Direct-Air-to-Ground Communications</w:t>
      </w:r>
      <w:r w:rsidRPr="008D2EA0">
        <w:rPr>
          <w:lang w:val="en-GB"/>
        </w:rPr>
        <w:t xml:space="preserve"> (BDA2GC)</w:t>
      </w:r>
      <w:r w:rsidR="00995D9E">
        <w:rPr>
          <w:lang w:val="en-GB"/>
        </w:rPr>
        <w:t>.</w:t>
      </w:r>
    </w:p>
    <w:p w:rsidR="006D1BB1" w:rsidRPr="008D2EA0" w:rsidRDefault="00E94566" w:rsidP="00E41E35">
      <w:pPr>
        <w:pStyle w:val="Heading2"/>
        <w:rPr>
          <w:lang w:val="en-GB"/>
        </w:rPr>
      </w:pPr>
      <w:bookmarkStart w:id="24" w:name="_Toc321318100"/>
      <w:bookmarkStart w:id="25" w:name="_Ref330512293"/>
      <w:bookmarkStart w:id="26" w:name="_Ref330512317"/>
      <w:bookmarkStart w:id="27" w:name="_Toc349039233"/>
      <w:r w:rsidRPr="008D2EA0">
        <w:rPr>
          <w:lang w:val="en-GB"/>
        </w:rPr>
        <w:t>A</w:t>
      </w:r>
      <w:r w:rsidR="006D1BB1" w:rsidRPr="008D2EA0">
        <w:rPr>
          <w:lang w:val="en-GB"/>
        </w:rPr>
        <w:t>pplication one: Terrestrial broadcasting</w:t>
      </w:r>
      <w:bookmarkEnd w:id="24"/>
      <w:bookmarkEnd w:id="25"/>
      <w:bookmarkEnd w:id="26"/>
      <w:bookmarkEnd w:id="27"/>
    </w:p>
    <w:p w:rsidR="006D1BB1" w:rsidRPr="008D2EA0" w:rsidRDefault="006D1BB1" w:rsidP="00510087">
      <w:pPr>
        <w:pStyle w:val="Heading3"/>
        <w:rPr>
          <w:iCs/>
          <w:caps/>
        </w:rPr>
      </w:pPr>
      <w:bookmarkStart w:id="28" w:name="_Toc321318101"/>
      <w:bookmarkStart w:id="29" w:name="_Toc349039234"/>
      <w:r w:rsidRPr="008D2EA0">
        <w:t>Description</w:t>
      </w:r>
      <w:bookmarkEnd w:id="28"/>
      <w:bookmarkEnd w:id="29"/>
    </w:p>
    <w:p w:rsidR="006D1BB1" w:rsidRPr="008D2EA0" w:rsidRDefault="006D1BB1" w:rsidP="006D1BB1">
      <w:pPr>
        <w:pStyle w:val="ECCParagraph"/>
      </w:pPr>
      <w:r w:rsidRPr="008D2EA0">
        <w:t>Terrestrial broadcasting is a digital terrestrial system for distribution of audio and video content in a one-to-many mode to fixed, portable, handheld and mobile receivers. In many countries terrestrial broadcasting is one of the principal means for access to radio and TV services by the general public.</w:t>
      </w:r>
    </w:p>
    <w:p w:rsidR="006D1BB1" w:rsidRPr="008D2EA0" w:rsidRDefault="006D1BB1" w:rsidP="0036081F">
      <w:pPr>
        <w:pStyle w:val="ECCParagraph"/>
        <w:keepNext/>
        <w:spacing w:after="120"/>
      </w:pPr>
      <w:r w:rsidRPr="008D2EA0">
        <w:lastRenderedPageBreak/>
        <w:t>The main features of terrestrial radio and TV services are:</w:t>
      </w:r>
    </w:p>
    <w:p w:rsidR="006D1BB1" w:rsidRPr="008D2EA0" w:rsidRDefault="006D1BB1" w:rsidP="0036081F">
      <w:pPr>
        <w:keepNext/>
        <w:numPr>
          <w:ilvl w:val="0"/>
          <w:numId w:val="21"/>
        </w:numPr>
        <w:tabs>
          <w:tab w:val="left" w:pos="426"/>
          <w:tab w:val="left" w:pos="1560"/>
        </w:tabs>
        <w:spacing w:before="120"/>
        <w:rPr>
          <w:lang w:val="en-GB"/>
        </w:rPr>
      </w:pPr>
      <w:r w:rsidRPr="008D2EA0">
        <w:rPr>
          <w:lang w:val="en-GB"/>
        </w:rPr>
        <w:t xml:space="preserve">Universal availability </w:t>
      </w:r>
    </w:p>
    <w:p w:rsidR="006D1BB1" w:rsidRPr="00E60485" w:rsidRDefault="006D1BB1" w:rsidP="00F77275">
      <w:pPr>
        <w:pStyle w:val="ListParagraph"/>
        <w:keepNext/>
        <w:numPr>
          <w:ilvl w:val="0"/>
          <w:numId w:val="57"/>
        </w:numPr>
        <w:tabs>
          <w:tab w:val="left" w:pos="0"/>
        </w:tabs>
        <w:rPr>
          <w:lang w:val="en-GB"/>
        </w:rPr>
      </w:pPr>
      <w:r w:rsidRPr="00E60485">
        <w:rPr>
          <w:lang w:val="en-GB"/>
        </w:rPr>
        <w:t>coverage often exceeds 98% of the population</w:t>
      </w:r>
      <w:r w:rsidR="00E60485">
        <w:rPr>
          <w:lang w:val="en-GB"/>
        </w:rPr>
        <w:t>;</w:t>
      </w:r>
    </w:p>
    <w:p w:rsidR="006D1BB1" w:rsidRPr="00E60485" w:rsidRDefault="006D1BB1" w:rsidP="00F77275">
      <w:pPr>
        <w:pStyle w:val="ListParagraph"/>
        <w:keepNext/>
        <w:numPr>
          <w:ilvl w:val="0"/>
          <w:numId w:val="57"/>
        </w:numPr>
        <w:tabs>
          <w:tab w:val="left" w:pos="0"/>
        </w:tabs>
        <w:rPr>
          <w:lang w:val="en-GB"/>
        </w:rPr>
      </w:pPr>
      <w:r w:rsidRPr="00E60485">
        <w:rPr>
          <w:lang w:val="en-GB"/>
        </w:rPr>
        <w:t>delivery to secondary receivers</w:t>
      </w:r>
      <w:r w:rsidR="00E60485">
        <w:rPr>
          <w:lang w:val="en-GB"/>
        </w:rPr>
        <w:t>;</w:t>
      </w:r>
    </w:p>
    <w:p w:rsidR="006D1BB1" w:rsidRPr="00E60485" w:rsidRDefault="006D1BB1" w:rsidP="00F77275">
      <w:pPr>
        <w:pStyle w:val="ListParagraph"/>
        <w:keepNext/>
        <w:numPr>
          <w:ilvl w:val="0"/>
          <w:numId w:val="57"/>
        </w:numPr>
        <w:tabs>
          <w:tab w:val="left" w:pos="0"/>
        </w:tabs>
        <w:rPr>
          <w:lang w:val="en-GB"/>
        </w:rPr>
      </w:pPr>
      <w:r w:rsidRPr="00E60485">
        <w:rPr>
          <w:lang w:val="en-GB"/>
        </w:rPr>
        <w:t>support for services for people with disabilities</w:t>
      </w:r>
      <w:r w:rsidR="00E60485">
        <w:rPr>
          <w:lang w:val="en-GB"/>
        </w:rPr>
        <w:t>.</w:t>
      </w:r>
    </w:p>
    <w:p w:rsidR="006D1BB1" w:rsidRPr="008D2EA0" w:rsidRDefault="006D1BB1" w:rsidP="006D1BB1">
      <w:pPr>
        <w:tabs>
          <w:tab w:val="left" w:pos="426"/>
          <w:tab w:val="left" w:pos="1560"/>
        </w:tabs>
        <w:rPr>
          <w:lang w:val="en-GB"/>
        </w:rPr>
      </w:pPr>
    </w:p>
    <w:p w:rsidR="006D1BB1" w:rsidRPr="008D2EA0" w:rsidRDefault="006D1BB1" w:rsidP="001E05C6">
      <w:pPr>
        <w:pStyle w:val="ECCParBulleted"/>
        <w:numPr>
          <w:ilvl w:val="0"/>
          <w:numId w:val="18"/>
        </w:numPr>
        <w:tabs>
          <w:tab w:val="clear" w:pos="680"/>
          <w:tab w:val="num" w:pos="426"/>
        </w:tabs>
        <w:ind w:hanging="680"/>
      </w:pPr>
      <w:r w:rsidRPr="008D2EA0">
        <w:t>High QoS</w:t>
      </w:r>
    </w:p>
    <w:p w:rsidR="006D1BB1" w:rsidRPr="008D2EA0" w:rsidRDefault="006D1BB1" w:rsidP="00F77275">
      <w:pPr>
        <w:pStyle w:val="ListParagraph"/>
        <w:keepNext/>
        <w:numPr>
          <w:ilvl w:val="0"/>
          <w:numId w:val="58"/>
        </w:numPr>
        <w:tabs>
          <w:tab w:val="left" w:pos="0"/>
        </w:tabs>
      </w:pPr>
      <w:r w:rsidRPr="008D2EA0">
        <w:t>predictable and consistent across the whole service area</w:t>
      </w:r>
      <w:r w:rsidR="00E60485">
        <w:t>;</w:t>
      </w:r>
    </w:p>
    <w:p w:rsidR="006D1BB1" w:rsidRPr="008D2EA0" w:rsidRDefault="006D1BB1" w:rsidP="00F77275">
      <w:pPr>
        <w:pStyle w:val="ListParagraph"/>
        <w:keepNext/>
        <w:numPr>
          <w:ilvl w:val="0"/>
          <w:numId w:val="58"/>
        </w:numPr>
        <w:tabs>
          <w:tab w:val="left" w:pos="0"/>
        </w:tabs>
      </w:pPr>
      <w:r w:rsidRPr="008D2EA0">
        <w:t>independent of the number of simultaneous viewers and listeners</w:t>
      </w:r>
      <w:r w:rsidR="00E60485">
        <w:t>;</w:t>
      </w:r>
    </w:p>
    <w:p w:rsidR="006D1BB1" w:rsidRPr="008D2EA0" w:rsidRDefault="006D1BB1" w:rsidP="00F77275">
      <w:pPr>
        <w:pStyle w:val="ListParagraph"/>
        <w:keepNext/>
        <w:numPr>
          <w:ilvl w:val="0"/>
          <w:numId w:val="58"/>
        </w:numPr>
        <w:tabs>
          <w:tab w:val="left" w:pos="0"/>
        </w:tabs>
      </w:pPr>
      <w:r w:rsidRPr="008D2EA0">
        <w:t>control over QoS</w:t>
      </w:r>
      <w:r w:rsidR="00E60485">
        <w:t>.</w:t>
      </w:r>
    </w:p>
    <w:p w:rsidR="006D1BB1" w:rsidRPr="008D2EA0" w:rsidRDefault="006D1BB1" w:rsidP="006D1BB1">
      <w:pPr>
        <w:pStyle w:val="ECCParBulleted"/>
        <w:numPr>
          <w:ilvl w:val="0"/>
          <w:numId w:val="0"/>
        </w:numPr>
        <w:tabs>
          <w:tab w:val="left" w:pos="1304"/>
        </w:tabs>
        <w:jc w:val="left"/>
      </w:pPr>
    </w:p>
    <w:p w:rsidR="006D1BB1" w:rsidRPr="008D2EA0" w:rsidRDefault="006D1BB1" w:rsidP="001E05C6">
      <w:pPr>
        <w:pStyle w:val="ECCParBulleted"/>
        <w:numPr>
          <w:ilvl w:val="0"/>
          <w:numId w:val="18"/>
        </w:numPr>
        <w:tabs>
          <w:tab w:val="clear" w:pos="680"/>
          <w:tab w:val="num" w:pos="426"/>
        </w:tabs>
        <w:ind w:hanging="680"/>
      </w:pPr>
      <w:r w:rsidRPr="008D2EA0">
        <w:t>Efficiency</w:t>
      </w:r>
    </w:p>
    <w:p w:rsidR="006D1BB1" w:rsidRPr="008D2EA0" w:rsidRDefault="006D1BB1" w:rsidP="00F77275">
      <w:pPr>
        <w:pStyle w:val="ListParagraph"/>
        <w:keepNext/>
        <w:numPr>
          <w:ilvl w:val="0"/>
          <w:numId w:val="59"/>
        </w:numPr>
        <w:tabs>
          <w:tab w:val="left" w:pos="0"/>
        </w:tabs>
      </w:pPr>
      <w:r w:rsidRPr="008D2EA0">
        <w:t>technically and cost efficient delivery to large audiences</w:t>
      </w:r>
      <w:r w:rsidR="00E60485">
        <w:t>.</w:t>
      </w:r>
    </w:p>
    <w:p w:rsidR="006D1BB1" w:rsidRPr="008D2EA0" w:rsidRDefault="006D1BB1" w:rsidP="006D1BB1">
      <w:pPr>
        <w:pStyle w:val="ECCParBulleted"/>
        <w:numPr>
          <w:ilvl w:val="0"/>
          <w:numId w:val="0"/>
        </w:numPr>
        <w:tabs>
          <w:tab w:val="left" w:pos="1304"/>
        </w:tabs>
        <w:jc w:val="left"/>
      </w:pPr>
    </w:p>
    <w:p w:rsidR="006D1BB1" w:rsidRPr="008D2EA0" w:rsidRDefault="006D1BB1" w:rsidP="001E05C6">
      <w:pPr>
        <w:pStyle w:val="ECCParBulleted"/>
        <w:numPr>
          <w:ilvl w:val="0"/>
          <w:numId w:val="18"/>
        </w:numPr>
        <w:tabs>
          <w:tab w:val="clear" w:pos="680"/>
          <w:tab w:val="num" w:pos="426"/>
        </w:tabs>
        <w:ind w:hanging="680"/>
      </w:pPr>
      <w:r w:rsidRPr="008D2EA0">
        <w:t>Flexibility</w:t>
      </w:r>
    </w:p>
    <w:p w:rsidR="006D1BB1" w:rsidRPr="008D2EA0" w:rsidRDefault="006D1BB1" w:rsidP="00F77275">
      <w:pPr>
        <w:pStyle w:val="ListParagraph"/>
        <w:keepNext/>
        <w:numPr>
          <w:ilvl w:val="0"/>
          <w:numId w:val="60"/>
        </w:numPr>
        <w:tabs>
          <w:tab w:val="left" w:pos="0"/>
        </w:tabs>
      </w:pPr>
      <w:r w:rsidRPr="008D2EA0">
        <w:t>possible delivery to fixed, portable and mobile reception conditions</w:t>
      </w:r>
      <w:r w:rsidR="00E60485">
        <w:t>;</w:t>
      </w:r>
    </w:p>
    <w:p w:rsidR="006D1BB1" w:rsidRPr="008D2EA0" w:rsidRDefault="006D1BB1" w:rsidP="00F77275">
      <w:pPr>
        <w:pStyle w:val="ListParagraph"/>
        <w:keepNext/>
        <w:numPr>
          <w:ilvl w:val="0"/>
          <w:numId w:val="60"/>
        </w:numPr>
        <w:tabs>
          <w:tab w:val="left" w:pos="0"/>
        </w:tabs>
      </w:pPr>
      <w:r w:rsidRPr="008D2EA0">
        <w:t>support to free-to-air reception or conditional access, or both</w:t>
      </w:r>
      <w:r w:rsidR="00E60485">
        <w:t>;</w:t>
      </w:r>
    </w:p>
    <w:p w:rsidR="006D1BB1" w:rsidRPr="008D2EA0" w:rsidRDefault="006D1BB1" w:rsidP="00F77275">
      <w:pPr>
        <w:pStyle w:val="ListParagraph"/>
        <w:keepNext/>
        <w:numPr>
          <w:ilvl w:val="0"/>
          <w:numId w:val="60"/>
        </w:numPr>
        <w:tabs>
          <w:tab w:val="left" w:pos="0"/>
        </w:tabs>
      </w:pPr>
      <w:r w:rsidRPr="008D2EA0">
        <w:t>supports public service as well as commercial broadcasting model</w:t>
      </w:r>
      <w:r w:rsidR="002657A6">
        <w:t>s</w:t>
      </w:r>
      <w:r w:rsidR="00E60485">
        <w:t>;</w:t>
      </w:r>
    </w:p>
    <w:p w:rsidR="006D1BB1" w:rsidRPr="008D2EA0" w:rsidRDefault="006D1BB1" w:rsidP="00F77275">
      <w:pPr>
        <w:pStyle w:val="ListParagraph"/>
        <w:keepNext/>
        <w:numPr>
          <w:ilvl w:val="0"/>
          <w:numId w:val="60"/>
        </w:numPr>
        <w:tabs>
          <w:tab w:val="left" w:pos="0"/>
        </w:tabs>
      </w:pPr>
      <w:r w:rsidRPr="008D2EA0">
        <w:t>coverage adapted to the service requirements (national, regional or local)</w:t>
      </w:r>
      <w:r w:rsidR="00E60485">
        <w:t>.</w:t>
      </w:r>
    </w:p>
    <w:p w:rsidR="006D1BB1" w:rsidRPr="008D2EA0" w:rsidRDefault="006D1BB1" w:rsidP="006D1BB1">
      <w:pPr>
        <w:pStyle w:val="ECCParBulleted"/>
        <w:numPr>
          <w:ilvl w:val="0"/>
          <w:numId w:val="0"/>
        </w:numPr>
        <w:tabs>
          <w:tab w:val="left" w:pos="1304"/>
        </w:tabs>
        <w:jc w:val="left"/>
      </w:pPr>
    </w:p>
    <w:p w:rsidR="006D1BB1" w:rsidRPr="008D2EA0" w:rsidRDefault="006D1BB1" w:rsidP="001E05C6">
      <w:pPr>
        <w:pStyle w:val="ECCParBulleted"/>
        <w:numPr>
          <w:ilvl w:val="0"/>
          <w:numId w:val="18"/>
        </w:numPr>
        <w:tabs>
          <w:tab w:val="clear" w:pos="680"/>
          <w:tab w:val="num" w:pos="426"/>
        </w:tabs>
        <w:ind w:hanging="680"/>
      </w:pPr>
      <w:r w:rsidRPr="008D2EA0">
        <w:t>Mass market platform</w:t>
      </w:r>
    </w:p>
    <w:p w:rsidR="006D1BB1" w:rsidRPr="008D2EA0" w:rsidRDefault="006D1BB1" w:rsidP="00F77275">
      <w:pPr>
        <w:pStyle w:val="ListParagraph"/>
        <w:keepNext/>
        <w:numPr>
          <w:ilvl w:val="0"/>
          <w:numId w:val="61"/>
        </w:numPr>
      </w:pPr>
      <w:r w:rsidRPr="008D2EA0">
        <w:t>widely supported by manufacturers, network operators, broadcasters, regulators and the public</w:t>
      </w:r>
      <w:r w:rsidR="00E60485">
        <w:t>.</w:t>
      </w:r>
    </w:p>
    <w:p w:rsidR="006D1BB1" w:rsidRPr="008D2EA0" w:rsidRDefault="006D1BB1" w:rsidP="006D1BB1">
      <w:pPr>
        <w:pStyle w:val="ECCParBulleted"/>
        <w:numPr>
          <w:ilvl w:val="0"/>
          <w:numId w:val="0"/>
        </w:numPr>
        <w:tabs>
          <w:tab w:val="left" w:pos="1304"/>
        </w:tabs>
      </w:pPr>
    </w:p>
    <w:p w:rsidR="006D1BB1" w:rsidRPr="008D2EA0" w:rsidRDefault="006D1BB1" w:rsidP="001E05C6">
      <w:pPr>
        <w:pStyle w:val="ECCParBulleted"/>
        <w:numPr>
          <w:ilvl w:val="0"/>
          <w:numId w:val="18"/>
        </w:numPr>
        <w:tabs>
          <w:tab w:val="clear" w:pos="680"/>
          <w:tab w:val="num" w:pos="426"/>
        </w:tabs>
        <w:ind w:hanging="680"/>
      </w:pPr>
      <w:r w:rsidRPr="008D2EA0">
        <w:t>Competition</w:t>
      </w:r>
    </w:p>
    <w:p w:rsidR="006D1BB1" w:rsidRPr="008D2EA0" w:rsidRDefault="006D1BB1" w:rsidP="00F77275">
      <w:pPr>
        <w:pStyle w:val="ListParagraph"/>
        <w:keepNext/>
        <w:numPr>
          <w:ilvl w:val="0"/>
          <w:numId w:val="61"/>
        </w:numPr>
        <w:tabs>
          <w:tab w:val="left" w:pos="0"/>
        </w:tabs>
      </w:pPr>
      <w:r w:rsidRPr="008D2EA0">
        <w:t>promotes competition even in those markets that are dominated by other delivery platforms</w:t>
      </w:r>
      <w:r w:rsidR="00E60485">
        <w:t>.</w:t>
      </w:r>
    </w:p>
    <w:p w:rsidR="006D1BB1" w:rsidRPr="008D2EA0" w:rsidRDefault="006D1BB1" w:rsidP="006D1BB1">
      <w:pPr>
        <w:pStyle w:val="ECCParBulleted"/>
        <w:numPr>
          <w:ilvl w:val="0"/>
          <w:numId w:val="0"/>
        </w:numPr>
        <w:tabs>
          <w:tab w:val="left" w:pos="1304"/>
        </w:tabs>
        <w:ind w:left="340" w:hanging="340"/>
        <w:jc w:val="left"/>
      </w:pPr>
    </w:p>
    <w:p w:rsidR="006D1BB1" w:rsidRPr="008D2EA0" w:rsidRDefault="006D1BB1" w:rsidP="006D1BB1">
      <w:pPr>
        <w:pStyle w:val="ECCParagraph"/>
      </w:pPr>
      <w:r w:rsidRPr="008D2EA0">
        <w:t xml:space="preserve">Terrestrial broadcasting networks can be implemented by means of different systems, in particular the DAB and DVB families of standards and SDR, as indicated in </w:t>
      </w:r>
      <w:r w:rsidR="008F5C31" w:rsidRPr="008D2EA0">
        <w:fldChar w:fldCharType="begin"/>
      </w:r>
      <w:r w:rsidR="008F5C31" w:rsidRPr="008D2EA0">
        <w:instrText xml:space="preserve"> REF _Ref330507301 \r \h </w:instrText>
      </w:r>
      <w:r w:rsidR="004F6693" w:rsidRPr="008D2EA0">
        <w:instrText xml:space="preserve"> \* MERGEFORMAT </w:instrText>
      </w:r>
      <w:r w:rsidR="008F5C31" w:rsidRPr="008D2EA0">
        <w:fldChar w:fldCharType="separate"/>
      </w:r>
      <w:r w:rsidR="00E73FF2">
        <w:t>Table 1:</w:t>
      </w:r>
      <w:r w:rsidR="008F5C31" w:rsidRPr="008D2EA0">
        <w:fldChar w:fldCharType="end"/>
      </w:r>
      <w:r w:rsidR="008F5C31" w:rsidRPr="008D2EA0">
        <w:t xml:space="preserve"> </w:t>
      </w:r>
      <w:r w:rsidRPr="008D2EA0">
        <w:t>below:</w:t>
      </w:r>
    </w:p>
    <w:p w:rsidR="006D1BB1" w:rsidRPr="008D2EA0" w:rsidRDefault="006D1BB1" w:rsidP="00F21C76">
      <w:pPr>
        <w:pStyle w:val="ECCTabletitle"/>
      </w:pPr>
      <w:bookmarkStart w:id="30" w:name="_Ref330507301"/>
      <w:r w:rsidRPr="008D2EA0">
        <w:t>Examples of terrestrial broadcasting systems</w:t>
      </w:r>
      <w:r w:rsidR="00431D6D" w:rsidRPr="008D2EA0">
        <w:t xml:space="preserve"> (see</w:t>
      </w:r>
      <w:r w:rsidR="00713147">
        <w:t xml:space="preserve"> also</w:t>
      </w:r>
      <w:r w:rsidR="008F5C31" w:rsidRPr="008D2EA0">
        <w:t xml:space="preserve"> </w:t>
      </w:r>
      <w:r w:rsidR="008F5C31" w:rsidRPr="008D2EA0">
        <w:fldChar w:fldCharType="begin"/>
      </w:r>
      <w:r w:rsidR="008F5C31" w:rsidRPr="008D2EA0">
        <w:instrText xml:space="preserve"> REF _Ref330507104 \r \h  \* MERGEFORMAT </w:instrText>
      </w:r>
      <w:r w:rsidR="008F5C31" w:rsidRPr="008D2EA0">
        <w:fldChar w:fldCharType="separate"/>
      </w:r>
      <w:r w:rsidR="00E73FF2">
        <w:t>ANNEX 5:</w:t>
      </w:r>
      <w:r w:rsidR="008F5C31" w:rsidRPr="008D2EA0">
        <w:fldChar w:fldCharType="end"/>
      </w:r>
      <w:r w:rsidR="00431D6D" w:rsidRPr="008D2EA0">
        <w:t>)</w:t>
      </w:r>
      <w:bookmarkEnd w:id="30"/>
    </w:p>
    <w:tbl>
      <w:tblPr>
        <w:tblW w:w="931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233"/>
        <w:gridCol w:w="2974"/>
        <w:gridCol w:w="4108"/>
      </w:tblGrid>
      <w:tr w:rsidR="006D1BB1" w:rsidRPr="008D2EA0" w:rsidTr="006D1BB1">
        <w:trPr>
          <w:tblHeader/>
        </w:trPr>
        <w:tc>
          <w:tcPr>
            <w:tcW w:w="2235"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6D1BB1" w:rsidRPr="008D2EA0" w:rsidRDefault="006D1BB1" w:rsidP="00166C04">
            <w:pPr>
              <w:keepNext/>
              <w:spacing w:line="288" w:lineRule="auto"/>
              <w:jc w:val="center"/>
              <w:rPr>
                <w:rFonts w:cs="Arial"/>
                <w:b/>
                <w:color w:val="FFFFFF"/>
                <w:lang w:val="en-GB"/>
              </w:rPr>
            </w:pPr>
            <w:r w:rsidRPr="008D2EA0">
              <w:rPr>
                <w:rFonts w:cs="Arial"/>
                <w:b/>
                <w:color w:val="FFFFFF"/>
                <w:lang w:val="en-GB"/>
              </w:rPr>
              <w:t>System</w:t>
            </w:r>
          </w:p>
        </w:tc>
        <w:tc>
          <w:tcPr>
            <w:tcW w:w="2976"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6D1BB1" w:rsidRPr="008D2EA0" w:rsidRDefault="006D1BB1" w:rsidP="00166C04">
            <w:pPr>
              <w:keepNext/>
              <w:spacing w:line="288" w:lineRule="auto"/>
              <w:jc w:val="center"/>
              <w:rPr>
                <w:b/>
                <w:color w:val="FFFFFF"/>
                <w:lang w:val="en-GB"/>
              </w:rPr>
            </w:pPr>
            <w:r w:rsidRPr="008D2EA0">
              <w:rPr>
                <w:b/>
                <w:color w:val="FFFFFF"/>
                <w:lang w:val="en-GB"/>
              </w:rPr>
              <w:t>Required block/channel bandwidth</w:t>
            </w:r>
          </w:p>
        </w:tc>
        <w:tc>
          <w:tcPr>
            <w:tcW w:w="4111"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6D1BB1" w:rsidRPr="008D2EA0" w:rsidRDefault="006D1BB1" w:rsidP="00E60485">
            <w:pPr>
              <w:keepNext/>
              <w:spacing w:line="288" w:lineRule="auto"/>
              <w:jc w:val="center"/>
              <w:rPr>
                <w:b/>
                <w:color w:val="FFFFFF"/>
                <w:lang w:val="en-GB"/>
              </w:rPr>
            </w:pPr>
            <w:r w:rsidRPr="008D2EA0">
              <w:rPr>
                <w:b/>
                <w:color w:val="FFFFFF"/>
                <w:lang w:val="en-GB"/>
              </w:rPr>
              <w:t xml:space="preserve">Related </w:t>
            </w:r>
            <w:r w:rsidR="00E60485">
              <w:rPr>
                <w:b/>
                <w:color w:val="FFFFFF"/>
                <w:lang w:val="en-GB"/>
              </w:rPr>
              <w:t>s</w:t>
            </w:r>
            <w:r w:rsidRPr="008D2EA0">
              <w:rPr>
                <w:b/>
                <w:color w:val="FFFFFF"/>
                <w:lang w:val="en-GB"/>
              </w:rPr>
              <w:t>tandards</w:t>
            </w:r>
            <w:r w:rsidR="00C073F3">
              <w:rPr>
                <w:b/>
                <w:color w:val="FFFFFF"/>
                <w:lang w:val="en-GB"/>
              </w:rPr>
              <w:t>, specifications and reports</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sz w:val="24"/>
                <w:lang w:val="en-GB" w:eastAsia="fr-FR"/>
              </w:rPr>
            </w:pPr>
            <w:r w:rsidRPr="008D2EA0">
              <w:rPr>
                <w:lang w:val="en-GB"/>
              </w:rPr>
              <w:t>T-DAB</w:t>
            </w:r>
          </w:p>
        </w:tc>
        <w:tc>
          <w:tcPr>
            <w:tcW w:w="2976"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sz w:val="24"/>
                <w:lang w:val="en-GB" w:eastAsia="fr-FR"/>
              </w:rPr>
            </w:pPr>
            <w:r w:rsidRPr="008D2EA0">
              <w:rPr>
                <w:lang w:val="en-GB"/>
              </w:rPr>
              <w:t>1.7 MHz</w:t>
            </w:r>
          </w:p>
        </w:tc>
        <w:tc>
          <w:tcPr>
            <w:tcW w:w="4111"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autoSpaceDE w:val="0"/>
              <w:autoSpaceDN w:val="0"/>
              <w:adjustRightInd w:val="0"/>
              <w:ind w:left="175"/>
              <w:rPr>
                <w:rFonts w:ascii="Times New Roman" w:hAnsi="Times New Roman"/>
                <w:sz w:val="24"/>
                <w:lang w:val="en-GB" w:eastAsia="en-GB"/>
              </w:rPr>
            </w:pPr>
            <w:r w:rsidRPr="008D2EA0">
              <w:rPr>
                <w:lang w:val="en-GB" w:eastAsia="en-GB"/>
              </w:rPr>
              <w:t>ETSI – EN 300 401</w:t>
            </w:r>
          </w:p>
          <w:p w:rsidR="006D1BB1" w:rsidRPr="008D2EA0" w:rsidRDefault="006D1BB1" w:rsidP="001F7B40">
            <w:pPr>
              <w:ind w:left="175"/>
              <w:rPr>
                <w:rFonts w:ascii="Times New Roman" w:hAnsi="Times New Roman"/>
                <w:sz w:val="24"/>
                <w:lang w:val="en-GB" w:eastAsia="fr-FR"/>
              </w:rPr>
            </w:pPr>
            <w:r w:rsidRPr="008D2EA0">
              <w:rPr>
                <w:lang w:val="en-GB" w:eastAsia="en-GB"/>
              </w:rPr>
              <w:t>ETSI – TR 101 496-3</w:t>
            </w:r>
            <w:r w:rsidR="004F651C" w:rsidRPr="008D2EA0">
              <w:rPr>
                <w:lang w:val="en-GB" w:eastAsia="en-GB"/>
              </w:rPr>
              <w:t xml:space="preserve"> </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sz w:val="24"/>
                <w:lang w:val="en-GB" w:eastAsia="fr-FR"/>
              </w:rPr>
            </w:pPr>
            <w:r w:rsidRPr="008D2EA0">
              <w:rPr>
                <w:lang w:val="en-GB"/>
              </w:rPr>
              <w:t>T-DMB</w:t>
            </w:r>
          </w:p>
        </w:tc>
        <w:tc>
          <w:tcPr>
            <w:tcW w:w="2976"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sz w:val="24"/>
                <w:lang w:val="en-GB" w:eastAsia="fr-FR"/>
              </w:rPr>
            </w:pPr>
            <w:r w:rsidRPr="008D2EA0">
              <w:rPr>
                <w:lang w:val="en-GB"/>
              </w:rPr>
              <w:t>1.7 MHz</w:t>
            </w:r>
          </w:p>
        </w:tc>
        <w:tc>
          <w:tcPr>
            <w:tcW w:w="4111"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autoSpaceDE w:val="0"/>
              <w:autoSpaceDN w:val="0"/>
              <w:adjustRightInd w:val="0"/>
              <w:ind w:left="175"/>
              <w:rPr>
                <w:rFonts w:ascii="Times New Roman" w:hAnsi="Times New Roman"/>
                <w:sz w:val="24"/>
                <w:lang w:val="en-GB" w:eastAsia="en-GB"/>
              </w:rPr>
            </w:pPr>
            <w:r w:rsidRPr="008D2EA0">
              <w:rPr>
                <w:lang w:val="en-GB" w:eastAsia="en-GB"/>
              </w:rPr>
              <w:t>ETSI – EN 300 401</w:t>
            </w:r>
          </w:p>
          <w:p w:rsidR="006D1BB1" w:rsidRPr="008D2EA0" w:rsidRDefault="006D1BB1" w:rsidP="001F7B40">
            <w:pPr>
              <w:ind w:left="175"/>
              <w:rPr>
                <w:rFonts w:ascii="Times New Roman" w:hAnsi="Times New Roman"/>
                <w:sz w:val="24"/>
                <w:lang w:val="en-GB" w:eastAsia="fr-FR"/>
              </w:rPr>
            </w:pPr>
            <w:r w:rsidRPr="008D2EA0">
              <w:rPr>
                <w:lang w:val="en-GB" w:eastAsia="en-GB"/>
              </w:rPr>
              <w:t>ETSI – TS 102 428</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sz w:val="24"/>
                <w:lang w:val="en-GB" w:eastAsia="fr-FR"/>
              </w:rPr>
            </w:pPr>
            <w:r w:rsidRPr="008D2EA0">
              <w:rPr>
                <w:lang w:val="en-GB"/>
              </w:rPr>
              <w:t>DAB-IP</w:t>
            </w:r>
          </w:p>
        </w:tc>
        <w:tc>
          <w:tcPr>
            <w:tcW w:w="2976"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sz w:val="24"/>
                <w:lang w:val="en-GB" w:eastAsia="fr-FR"/>
              </w:rPr>
            </w:pPr>
            <w:r w:rsidRPr="008D2EA0">
              <w:rPr>
                <w:lang w:val="en-GB"/>
              </w:rPr>
              <w:t>1.7 MHz</w:t>
            </w:r>
          </w:p>
        </w:tc>
        <w:tc>
          <w:tcPr>
            <w:tcW w:w="4111"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autoSpaceDE w:val="0"/>
              <w:autoSpaceDN w:val="0"/>
              <w:adjustRightInd w:val="0"/>
              <w:ind w:left="175"/>
              <w:rPr>
                <w:rFonts w:ascii="Times New Roman" w:hAnsi="Times New Roman"/>
                <w:sz w:val="24"/>
                <w:lang w:val="en-GB" w:eastAsia="en-GB"/>
              </w:rPr>
            </w:pPr>
            <w:r w:rsidRPr="008D2EA0">
              <w:rPr>
                <w:lang w:val="en-GB" w:eastAsia="en-GB"/>
              </w:rPr>
              <w:t>ETSI – EN 300 401</w:t>
            </w:r>
          </w:p>
          <w:p w:rsidR="006D1BB1" w:rsidRPr="008D2EA0" w:rsidRDefault="006D1BB1" w:rsidP="001F7B40">
            <w:pPr>
              <w:ind w:left="175"/>
              <w:rPr>
                <w:rFonts w:ascii="Times New Roman" w:hAnsi="Times New Roman"/>
                <w:sz w:val="24"/>
                <w:lang w:val="en-GB" w:eastAsia="fr-FR"/>
              </w:rPr>
            </w:pPr>
            <w:r w:rsidRPr="008D2EA0">
              <w:rPr>
                <w:lang w:val="en-GB" w:eastAsia="en-GB"/>
              </w:rPr>
              <w:t>ETSI - ES 201 735</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spacing w:before="40" w:after="40"/>
              <w:rPr>
                <w:rFonts w:ascii="Times New Roman" w:hAnsi="Times New Roman"/>
                <w:sz w:val="24"/>
                <w:lang w:val="en-GB" w:eastAsia="fr-FR"/>
              </w:rPr>
            </w:pPr>
            <w:r w:rsidRPr="008D2EA0">
              <w:rPr>
                <w:lang w:val="en-GB"/>
              </w:rPr>
              <w:t>SDR</w:t>
            </w:r>
          </w:p>
          <w:p w:rsidR="006D1BB1" w:rsidRPr="008D2EA0" w:rsidRDefault="006D1BB1">
            <w:pPr>
              <w:rPr>
                <w:rFonts w:ascii="Times New Roman" w:hAnsi="Times New Roman"/>
                <w:sz w:val="24"/>
                <w:lang w:val="en-GB" w:eastAsia="fr-FR"/>
              </w:rPr>
            </w:pPr>
            <w:r w:rsidRPr="008D2EA0">
              <w:rPr>
                <w:lang w:val="en-GB"/>
              </w:rPr>
              <w:t>(terrestrial deployment)</w:t>
            </w:r>
          </w:p>
        </w:tc>
        <w:tc>
          <w:tcPr>
            <w:tcW w:w="2976"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sz w:val="24"/>
                <w:lang w:val="en-GB" w:eastAsia="fr-FR"/>
              </w:rPr>
            </w:pPr>
            <w:r w:rsidRPr="008D2EA0">
              <w:rPr>
                <w:lang w:val="en-GB"/>
              </w:rPr>
              <w:t>1.7 MHz</w:t>
            </w:r>
          </w:p>
        </w:tc>
        <w:tc>
          <w:tcPr>
            <w:tcW w:w="4111" w:type="dxa"/>
            <w:tcBorders>
              <w:top w:val="single" w:sz="4" w:space="0" w:color="D2232A"/>
              <w:left w:val="single" w:sz="4" w:space="0" w:color="D2232A"/>
              <w:bottom w:val="single" w:sz="4" w:space="0" w:color="D2232A"/>
              <w:right w:val="single" w:sz="4" w:space="0" w:color="D2232A"/>
            </w:tcBorders>
            <w:hideMark/>
          </w:tcPr>
          <w:p w:rsidR="006D1BB1" w:rsidRPr="00C06365" w:rsidRDefault="006D1BB1">
            <w:pPr>
              <w:spacing w:before="40" w:after="40"/>
              <w:ind w:left="175"/>
              <w:rPr>
                <w:rFonts w:ascii="Times New Roman" w:hAnsi="Times New Roman"/>
                <w:sz w:val="24"/>
                <w:lang w:val="fr-FR" w:eastAsia="en-GB"/>
              </w:rPr>
            </w:pPr>
            <w:r w:rsidRPr="00C06365">
              <w:rPr>
                <w:lang w:val="fr-FR" w:eastAsia="en-GB"/>
              </w:rPr>
              <w:t>ETSI - TR 102 525</w:t>
            </w:r>
          </w:p>
          <w:p w:rsidR="006D1BB1" w:rsidRPr="00C06365" w:rsidRDefault="006D1BB1">
            <w:pPr>
              <w:spacing w:before="40" w:after="40"/>
              <w:ind w:left="175"/>
              <w:rPr>
                <w:lang w:val="fr-FR" w:eastAsia="en-GB"/>
              </w:rPr>
            </w:pPr>
            <w:r w:rsidRPr="00C06365">
              <w:rPr>
                <w:lang w:val="fr-FR" w:eastAsia="en-GB"/>
              </w:rPr>
              <w:t>ETSI - TS 302 550</w:t>
            </w:r>
          </w:p>
          <w:p w:rsidR="006D1BB1" w:rsidRPr="00C06365" w:rsidRDefault="006D1BB1">
            <w:pPr>
              <w:spacing w:before="40" w:after="40"/>
              <w:ind w:left="175"/>
              <w:rPr>
                <w:lang w:val="fr-FR" w:eastAsia="en-GB"/>
              </w:rPr>
            </w:pPr>
            <w:r w:rsidRPr="00C06365">
              <w:rPr>
                <w:lang w:val="fr-FR" w:eastAsia="en-GB"/>
              </w:rPr>
              <w:t>ETSI - TS 302 551-1</w:t>
            </w:r>
          </w:p>
          <w:p w:rsidR="006D1BB1" w:rsidRPr="008D2EA0" w:rsidRDefault="006D1BB1" w:rsidP="001F7B40">
            <w:pPr>
              <w:autoSpaceDE w:val="0"/>
              <w:autoSpaceDN w:val="0"/>
              <w:adjustRightInd w:val="0"/>
              <w:ind w:left="175"/>
              <w:rPr>
                <w:rFonts w:ascii="Times New Roman" w:hAnsi="Times New Roman"/>
                <w:sz w:val="24"/>
                <w:lang w:val="en-GB" w:eastAsia="en-GB"/>
              </w:rPr>
            </w:pPr>
            <w:r w:rsidRPr="008D2EA0">
              <w:rPr>
                <w:lang w:val="en-GB" w:eastAsia="en-GB"/>
              </w:rPr>
              <w:t>ETSI - TS 302 551-2</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spacing w:before="40" w:after="40"/>
              <w:rPr>
                <w:rFonts w:ascii="Times New Roman" w:hAnsi="Times New Roman"/>
                <w:sz w:val="24"/>
                <w:lang w:val="en-GB" w:eastAsia="fr-FR"/>
              </w:rPr>
            </w:pPr>
            <w:r w:rsidRPr="008D2EA0">
              <w:rPr>
                <w:lang w:val="en-GB"/>
              </w:rPr>
              <w:t>DVB-H</w:t>
            </w:r>
          </w:p>
        </w:tc>
        <w:tc>
          <w:tcPr>
            <w:tcW w:w="2976"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spacing w:before="40" w:after="40"/>
              <w:rPr>
                <w:rFonts w:ascii="Times New Roman" w:hAnsi="Times New Roman"/>
                <w:sz w:val="24"/>
                <w:lang w:val="en-GB" w:eastAsia="fr-FR"/>
              </w:rPr>
            </w:pPr>
            <w:r w:rsidRPr="008D2EA0">
              <w:rPr>
                <w:lang w:val="en-GB"/>
              </w:rPr>
              <w:t>5, 6, 7 or 8 MHz</w:t>
            </w:r>
          </w:p>
        </w:tc>
        <w:tc>
          <w:tcPr>
            <w:tcW w:w="4111"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rsidP="001F7B40">
            <w:pPr>
              <w:spacing w:before="40" w:after="40"/>
              <w:ind w:left="175"/>
              <w:rPr>
                <w:rFonts w:ascii="Times New Roman" w:hAnsi="Times New Roman"/>
                <w:sz w:val="24"/>
                <w:lang w:val="en-GB" w:eastAsia="fr-FR"/>
              </w:rPr>
            </w:pPr>
            <w:r w:rsidRPr="008D2EA0">
              <w:rPr>
                <w:lang w:val="en-GB" w:eastAsia="en-GB"/>
              </w:rPr>
              <w:t>ETSI – TR 102 377</w:t>
            </w:r>
          </w:p>
        </w:tc>
      </w:tr>
      <w:tr w:rsidR="006D1BB1" w:rsidRPr="008E14F4"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7B55B6" w:rsidRDefault="006D1BB1">
            <w:pPr>
              <w:rPr>
                <w:rFonts w:ascii="Times New Roman" w:hAnsi="Times New Roman"/>
                <w:sz w:val="24"/>
                <w:lang w:val="fr-FR" w:eastAsia="fr-FR"/>
              </w:rPr>
            </w:pPr>
            <w:r w:rsidRPr="007B55B6">
              <w:rPr>
                <w:lang w:val="fr-FR"/>
              </w:rPr>
              <w:t xml:space="preserve">DVB-T2 </w:t>
            </w:r>
            <w:r w:rsidR="00C37391" w:rsidRPr="007B55B6">
              <w:rPr>
                <w:lang w:val="fr-FR"/>
              </w:rPr>
              <w:t>(</w:t>
            </w:r>
            <w:r w:rsidRPr="007B55B6">
              <w:rPr>
                <w:lang w:val="fr-FR"/>
              </w:rPr>
              <w:t>Base</w:t>
            </w:r>
            <w:r w:rsidR="00C37391" w:rsidRPr="007B55B6">
              <w:rPr>
                <w:lang w:val="fr-FR"/>
              </w:rPr>
              <w:t xml:space="preserve"> &amp; </w:t>
            </w:r>
            <w:r w:rsidRPr="007B55B6">
              <w:rPr>
                <w:lang w:val="fr-FR"/>
              </w:rPr>
              <w:t>Lite</w:t>
            </w:r>
            <w:r w:rsidR="00C37391" w:rsidRPr="007B55B6">
              <w:rPr>
                <w:lang w:val="fr-FR"/>
              </w:rPr>
              <w:t>)</w:t>
            </w:r>
            <w:r w:rsidRPr="007B55B6">
              <w:rPr>
                <w:lang w:val="fr-FR"/>
              </w:rPr>
              <w:br/>
              <w:t xml:space="preserve">DVB- </w:t>
            </w:r>
            <w:r w:rsidR="00C37391" w:rsidRPr="007B55B6">
              <w:rPr>
                <w:lang w:val="fr-FR"/>
              </w:rPr>
              <w:t>NGH</w:t>
            </w:r>
          </w:p>
        </w:tc>
        <w:tc>
          <w:tcPr>
            <w:tcW w:w="2976" w:type="dxa"/>
            <w:tcBorders>
              <w:top w:val="single" w:sz="4" w:space="0" w:color="D2232A"/>
              <w:left w:val="single" w:sz="4" w:space="0" w:color="D2232A"/>
              <w:bottom w:val="single" w:sz="4" w:space="0" w:color="D2232A"/>
              <w:right w:val="single" w:sz="4" w:space="0" w:color="D2232A"/>
            </w:tcBorders>
            <w:vAlign w:val="center"/>
            <w:hideMark/>
          </w:tcPr>
          <w:p w:rsidR="006D1BB1" w:rsidRPr="007B55B6" w:rsidRDefault="006D1BB1">
            <w:pPr>
              <w:rPr>
                <w:rFonts w:ascii="Times New Roman" w:hAnsi="Times New Roman"/>
                <w:sz w:val="24"/>
                <w:lang w:val="en-GB" w:eastAsia="fr-FR"/>
              </w:rPr>
            </w:pPr>
            <w:r w:rsidRPr="007B55B6">
              <w:rPr>
                <w:lang w:val="en-GB"/>
              </w:rPr>
              <w:t>1.7, 5, 6, 7, 8 and 10 MHz</w:t>
            </w:r>
          </w:p>
        </w:tc>
        <w:tc>
          <w:tcPr>
            <w:tcW w:w="4111" w:type="dxa"/>
            <w:tcBorders>
              <w:top w:val="single" w:sz="4" w:space="0" w:color="D2232A"/>
              <w:left w:val="single" w:sz="4" w:space="0" w:color="D2232A"/>
              <w:bottom w:val="single" w:sz="4" w:space="0" w:color="D2232A"/>
              <w:right w:val="single" w:sz="4" w:space="0" w:color="D2232A"/>
            </w:tcBorders>
            <w:hideMark/>
          </w:tcPr>
          <w:p w:rsidR="006D1BB1" w:rsidRPr="007B55B6" w:rsidRDefault="006D1BB1">
            <w:pPr>
              <w:autoSpaceDE w:val="0"/>
              <w:autoSpaceDN w:val="0"/>
              <w:adjustRightInd w:val="0"/>
              <w:ind w:left="175"/>
              <w:rPr>
                <w:lang w:val="da-DK"/>
              </w:rPr>
            </w:pPr>
            <w:r w:rsidRPr="007B55B6">
              <w:rPr>
                <w:lang w:val="da-DK"/>
              </w:rPr>
              <w:t xml:space="preserve">ETSI </w:t>
            </w:r>
            <w:r w:rsidRPr="007B55B6">
              <w:rPr>
                <w:lang w:val="da-DK" w:eastAsia="en-GB"/>
              </w:rPr>
              <w:t>–</w:t>
            </w:r>
            <w:r w:rsidRPr="007B55B6">
              <w:rPr>
                <w:lang w:val="da-DK"/>
              </w:rPr>
              <w:t xml:space="preserve"> EN 302 755</w:t>
            </w:r>
          </w:p>
          <w:p w:rsidR="008E14F4" w:rsidRPr="00510087" w:rsidRDefault="008E14F4" w:rsidP="008E14F4">
            <w:pPr>
              <w:autoSpaceDE w:val="0"/>
              <w:autoSpaceDN w:val="0"/>
              <w:ind w:left="175"/>
              <w:rPr>
                <w:lang w:val="da-DK"/>
              </w:rPr>
            </w:pPr>
            <w:r w:rsidRPr="00510087">
              <w:rPr>
                <w:lang w:val="da-DK"/>
              </w:rPr>
              <w:t>ETSI – EN 303 105</w:t>
            </w:r>
          </w:p>
          <w:p w:rsidR="006D1BB1" w:rsidRPr="00164E22" w:rsidRDefault="006D1BB1" w:rsidP="001F7B40">
            <w:pPr>
              <w:autoSpaceDE w:val="0"/>
              <w:autoSpaceDN w:val="0"/>
              <w:adjustRightInd w:val="0"/>
              <w:ind w:left="175"/>
              <w:rPr>
                <w:rFonts w:ascii="Times New Roman" w:hAnsi="Times New Roman"/>
                <w:sz w:val="24"/>
                <w:lang w:val="da-DK" w:eastAsia="en-GB"/>
              </w:rPr>
            </w:pP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sz w:val="24"/>
                <w:lang w:val="en-GB" w:eastAsia="fr-FR"/>
              </w:rPr>
            </w:pPr>
            <w:r w:rsidRPr="008D2EA0">
              <w:rPr>
                <w:lang w:val="en-GB"/>
              </w:rPr>
              <w:t>DVB-SH</w:t>
            </w:r>
            <w:r w:rsidRPr="008D2EA0">
              <w:rPr>
                <w:lang w:val="en-GB"/>
              </w:rPr>
              <w:br/>
              <w:t>(terrestrial component)</w:t>
            </w:r>
          </w:p>
        </w:tc>
        <w:tc>
          <w:tcPr>
            <w:tcW w:w="2976"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sz w:val="24"/>
                <w:lang w:val="en-GB" w:eastAsia="fr-FR"/>
              </w:rPr>
            </w:pPr>
            <w:r w:rsidRPr="008D2EA0">
              <w:rPr>
                <w:lang w:val="en-GB"/>
              </w:rPr>
              <w:t>1.7, 5, 6, 7, 8 and 10 MHz</w:t>
            </w:r>
          </w:p>
        </w:tc>
        <w:tc>
          <w:tcPr>
            <w:tcW w:w="4111"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autoSpaceDE w:val="0"/>
              <w:autoSpaceDN w:val="0"/>
              <w:adjustRightInd w:val="0"/>
              <w:ind w:left="175"/>
              <w:rPr>
                <w:rFonts w:ascii="Times New Roman" w:hAnsi="Times New Roman"/>
                <w:sz w:val="24"/>
                <w:lang w:val="en-GB" w:eastAsia="fr-FR"/>
              </w:rPr>
            </w:pPr>
            <w:r w:rsidRPr="008D2EA0">
              <w:rPr>
                <w:lang w:val="en-GB"/>
              </w:rPr>
              <w:t>ETSI – EN 302 583</w:t>
            </w:r>
          </w:p>
          <w:p w:rsidR="006D1BB1" w:rsidRPr="008D2EA0" w:rsidRDefault="006D1BB1" w:rsidP="001F7B40">
            <w:pPr>
              <w:autoSpaceDE w:val="0"/>
              <w:autoSpaceDN w:val="0"/>
              <w:adjustRightInd w:val="0"/>
              <w:ind w:left="175"/>
              <w:rPr>
                <w:rFonts w:ascii="Times New Roman" w:hAnsi="Times New Roman"/>
                <w:sz w:val="24"/>
                <w:lang w:val="en-GB" w:eastAsia="fr-FR"/>
              </w:rPr>
            </w:pPr>
            <w:r w:rsidRPr="008D2EA0">
              <w:rPr>
                <w:lang w:val="en-GB"/>
              </w:rPr>
              <w:t>ETSI – TS 102 594</w:t>
            </w:r>
          </w:p>
        </w:tc>
      </w:tr>
    </w:tbl>
    <w:p w:rsidR="006D1BB1" w:rsidRPr="008D2EA0" w:rsidRDefault="006D1BB1" w:rsidP="006D1BB1">
      <w:pPr>
        <w:rPr>
          <w:i/>
          <w:lang w:val="en-GB"/>
        </w:rPr>
      </w:pPr>
    </w:p>
    <w:p w:rsidR="006D1BB1" w:rsidRPr="008D2EA0" w:rsidRDefault="006D1BB1" w:rsidP="00510087">
      <w:pPr>
        <w:pStyle w:val="Heading3"/>
      </w:pPr>
      <w:bookmarkStart w:id="31" w:name="_Toc349039235"/>
      <w:r w:rsidRPr="008D2EA0">
        <w:lastRenderedPageBreak/>
        <w:t>Justification</w:t>
      </w:r>
      <w:bookmarkEnd w:id="31"/>
    </w:p>
    <w:p w:rsidR="006D1BB1" w:rsidRPr="008D2EA0" w:rsidRDefault="006D1BB1" w:rsidP="006D1BB1">
      <w:pPr>
        <w:pStyle w:val="ECCParagraph"/>
      </w:pPr>
      <w:r w:rsidRPr="008D2EA0">
        <w:t>Demand for terrestrial broadcasting services both radio and TV is growing in most countries in CEPT. It is reflected in a growing number of radio and TV channels that have come on-air in the recent years</w:t>
      </w:r>
      <w:r w:rsidRPr="008D2EA0">
        <w:rPr>
          <w:rStyle w:val="FootnoteReference"/>
        </w:rPr>
        <w:footnoteReference w:id="4"/>
      </w:r>
      <w:r w:rsidRPr="008D2EA0">
        <w:t xml:space="preserve"> and in a growing viewing and listening time. In addition to national and international services there is an increasing demand for local broadcasting, in particular for local radio programmes.</w:t>
      </w:r>
    </w:p>
    <w:p w:rsidR="006D1BB1" w:rsidRPr="008D2EA0" w:rsidRDefault="006D1BB1" w:rsidP="006D1BB1">
      <w:pPr>
        <w:pStyle w:val="ECCParagraph"/>
      </w:pPr>
      <w:r w:rsidRPr="008D2EA0">
        <w:t>While the FM radio is still the most popular radio platform</w:t>
      </w:r>
      <w:r w:rsidR="004F651C" w:rsidRPr="008D2EA0">
        <w:t>,</w:t>
      </w:r>
      <w:r w:rsidRPr="008D2EA0">
        <w:t xml:space="preserve"> the capacity limits of band II have been reached in many countries and this constrains further developments. Digital radio has been introduced in a number of countries in the </w:t>
      </w:r>
      <w:r w:rsidR="0027209E">
        <w:t>frequency band 174-2</w:t>
      </w:r>
      <w:r w:rsidR="00A43610">
        <w:t>4</w:t>
      </w:r>
      <w:r w:rsidR="0027209E">
        <w:t>0 MHz</w:t>
      </w:r>
      <w:r w:rsidRPr="008D2EA0">
        <w:t>. However, this band may not be available in all countries and/or may not be sufficient to satisfy the future requirements, in particular for local radio services. This is why the L-band is important for the future development of digital radio in some countries.</w:t>
      </w:r>
    </w:p>
    <w:p w:rsidR="006D1BB1" w:rsidRPr="008D2EA0" w:rsidRDefault="006D1BB1" w:rsidP="006D1BB1">
      <w:pPr>
        <w:pStyle w:val="ECCParagraph"/>
      </w:pPr>
      <w:r w:rsidRPr="008D2EA0">
        <w:t>The L-band will also facilitate the delivery of advanced multimedia services which are provided to the consumers in addition to the traditional radio and TV programmes.</w:t>
      </w:r>
    </w:p>
    <w:p w:rsidR="006D1BB1" w:rsidRPr="008D2EA0" w:rsidRDefault="006D1BB1" w:rsidP="006D1BB1">
      <w:pPr>
        <w:pStyle w:val="ECCParagraph"/>
      </w:pPr>
      <w:r w:rsidRPr="008D2EA0">
        <w:t>Furthermore, there is a growing market demand for non-linear broadcasting services, both audio and video (e.g. time-shifted, personali</w:t>
      </w:r>
      <w:r w:rsidR="00995D9E">
        <w:t>s</w:t>
      </w:r>
      <w:r w:rsidRPr="008D2EA0">
        <w:t xml:space="preserve">ed, on-demand, interactive and second screen services). L-Band is well suited for the provision of such non-linear services, in particular if terrestrial broadcasting is combined with wireless broadband technologies. </w:t>
      </w:r>
    </w:p>
    <w:p w:rsidR="006D1BB1" w:rsidRPr="008D2EA0" w:rsidRDefault="006D1BB1" w:rsidP="006D1BB1">
      <w:pPr>
        <w:pStyle w:val="ECCParagraph"/>
      </w:pPr>
      <w:r w:rsidRPr="008D2EA0">
        <w:t>Joint initiatives between broadcasting and mobile industries are emerging that would enable further convergence in order to enable the full range of broadcasting and multimedia services in the future. The L-band offers an opportunity for implementation of such innovative approaches.</w:t>
      </w:r>
    </w:p>
    <w:p w:rsidR="006D1BB1" w:rsidRPr="008D2EA0" w:rsidRDefault="006D1BB1" w:rsidP="006D1BB1">
      <w:pPr>
        <w:pStyle w:val="ECCParagraph"/>
      </w:pPr>
      <w:r w:rsidRPr="008D2EA0">
        <w:t>Finally, demand has been expressed for the deployment of the subscription-based radio services in the L-band on the basis of the above mentioned SDR specification. Implementation in Europe would require taking into account the variety of languages, cultural specificities and different coverage that compose the European countries. In this respect, the L band is adequate (see also section</w:t>
      </w:r>
      <w:r w:rsidR="00631F3F" w:rsidRPr="008D2EA0">
        <w:t xml:space="preserve">s </w:t>
      </w:r>
      <w:r w:rsidR="00631F3F" w:rsidRPr="008D2EA0">
        <w:rPr>
          <w:highlight w:val="yellow"/>
        </w:rPr>
        <w:fldChar w:fldCharType="begin"/>
      </w:r>
      <w:r w:rsidR="00631F3F" w:rsidRPr="008D2EA0">
        <w:instrText xml:space="preserve"> REF _Ref332794763 \r \h </w:instrText>
      </w:r>
      <w:r w:rsidR="00631F3F" w:rsidRPr="008D2EA0">
        <w:rPr>
          <w:highlight w:val="yellow"/>
        </w:rPr>
      </w:r>
      <w:r w:rsidR="00631F3F" w:rsidRPr="008D2EA0">
        <w:rPr>
          <w:highlight w:val="yellow"/>
        </w:rPr>
        <w:fldChar w:fldCharType="separate"/>
      </w:r>
      <w:r w:rsidR="00E73FF2">
        <w:t>5.1.1</w:t>
      </w:r>
      <w:r w:rsidR="00631F3F" w:rsidRPr="008D2EA0">
        <w:rPr>
          <w:highlight w:val="yellow"/>
        </w:rPr>
        <w:fldChar w:fldCharType="end"/>
      </w:r>
      <w:r w:rsidR="00631F3F" w:rsidRPr="008D2EA0">
        <w:t xml:space="preserve"> and </w:t>
      </w:r>
      <w:r w:rsidR="00631F3F" w:rsidRPr="008D2EA0">
        <w:rPr>
          <w:highlight w:val="yellow"/>
        </w:rPr>
        <w:fldChar w:fldCharType="begin"/>
      </w:r>
      <w:r w:rsidR="00631F3F" w:rsidRPr="008D2EA0">
        <w:instrText xml:space="preserve"> REF _Ref332794793 \r \h </w:instrText>
      </w:r>
      <w:r w:rsidR="00631F3F" w:rsidRPr="008D2EA0">
        <w:rPr>
          <w:highlight w:val="yellow"/>
        </w:rPr>
      </w:r>
      <w:r w:rsidR="00631F3F" w:rsidRPr="008D2EA0">
        <w:rPr>
          <w:highlight w:val="yellow"/>
        </w:rPr>
        <w:fldChar w:fldCharType="separate"/>
      </w:r>
      <w:r w:rsidR="00E73FF2">
        <w:t>5.4.1</w:t>
      </w:r>
      <w:r w:rsidR="00631F3F" w:rsidRPr="008D2EA0">
        <w:rPr>
          <w:highlight w:val="yellow"/>
        </w:rPr>
        <w:fldChar w:fldCharType="end"/>
      </w:r>
      <w:r w:rsidRPr="008D2EA0">
        <w:t>) to anchor the deployment of national, independent subscription radio services. For instance, the existing regulation offers an option for any country to deploy subscription services according to individual needs, if and when required. This, in turn, would provide scope for further economies of scale through a harmonised use in Europe and for convergence with other services (notably with free-to-air radio).</w:t>
      </w:r>
    </w:p>
    <w:p w:rsidR="006D1BB1" w:rsidRPr="008D2EA0" w:rsidRDefault="006D1BB1" w:rsidP="006D1BB1">
      <w:pPr>
        <w:pStyle w:val="ECCParagraph"/>
      </w:pPr>
      <w:r w:rsidRPr="008D2EA0">
        <w:t xml:space="preserve">It should be noted that broadcasting services in L-band have already been implemented in some European countries (see section </w:t>
      </w:r>
      <w:r w:rsidR="008D2EA0">
        <w:fldChar w:fldCharType="begin"/>
      </w:r>
      <w:r w:rsidR="008D2EA0">
        <w:instrText xml:space="preserve"> REF _Ref333573735 \r \h </w:instrText>
      </w:r>
      <w:r w:rsidR="008D2EA0">
        <w:fldChar w:fldCharType="separate"/>
      </w:r>
      <w:r w:rsidR="00E73FF2">
        <w:t>2.2.1</w:t>
      </w:r>
      <w:r w:rsidR="008D2EA0">
        <w:fldChar w:fldCharType="end"/>
      </w:r>
      <w:r w:rsidRPr="008D2EA0">
        <w:t xml:space="preserve"> and</w:t>
      </w:r>
      <w:r w:rsidR="004F651C" w:rsidRPr="008D2EA0">
        <w:t xml:space="preserve"> </w:t>
      </w:r>
      <w:r w:rsidR="008D2EA0">
        <w:fldChar w:fldCharType="begin"/>
      </w:r>
      <w:r w:rsidR="008D2EA0">
        <w:instrText xml:space="preserve"> REF _Ref333573796 \r \h </w:instrText>
      </w:r>
      <w:r w:rsidR="008D2EA0">
        <w:fldChar w:fldCharType="separate"/>
      </w:r>
      <w:r w:rsidR="00E73FF2">
        <w:t>ANNEX 3:</w:t>
      </w:r>
      <w:r w:rsidR="008D2EA0">
        <w:fldChar w:fldCharType="end"/>
      </w:r>
      <w:r w:rsidRPr="008D2EA0">
        <w:t>).</w:t>
      </w:r>
    </w:p>
    <w:p w:rsidR="006D1BB1" w:rsidRPr="008D2EA0" w:rsidRDefault="006D1BB1" w:rsidP="00510087">
      <w:pPr>
        <w:pStyle w:val="Heading3"/>
      </w:pPr>
      <w:bookmarkStart w:id="32" w:name="_Toc321318103"/>
      <w:bookmarkStart w:id="33" w:name="_Toc349039236"/>
      <w:r w:rsidRPr="008D2EA0">
        <w:t>Spectrum requirements</w:t>
      </w:r>
      <w:bookmarkEnd w:id="32"/>
      <w:bookmarkEnd w:id="33"/>
    </w:p>
    <w:p w:rsidR="006D1BB1" w:rsidRPr="008D2EA0" w:rsidRDefault="006D1BB1" w:rsidP="006D1BB1">
      <w:pPr>
        <w:pStyle w:val="ECCParagraph"/>
        <w:spacing w:after="0"/>
      </w:pPr>
      <w:r w:rsidRPr="008D2EA0">
        <w:t>The spectrum requirement for terrestrial broadcasting applications is the frequency band 1452-1479.5 MHz which allows terrestrial broadcasting to be implemented in those countries where market demand exists.</w:t>
      </w:r>
    </w:p>
    <w:p w:rsidR="006D1BB1" w:rsidRPr="008D2EA0" w:rsidRDefault="00E94566" w:rsidP="006957A0">
      <w:pPr>
        <w:pStyle w:val="Heading2"/>
        <w:rPr>
          <w:lang w:val="en-GB"/>
        </w:rPr>
      </w:pPr>
      <w:bookmarkStart w:id="34" w:name="_Toc349039237"/>
      <w:r w:rsidRPr="008D2EA0">
        <w:rPr>
          <w:lang w:val="en-GB"/>
        </w:rPr>
        <w:t>Application two: Mobile B</w:t>
      </w:r>
      <w:r w:rsidR="006D1BB1" w:rsidRPr="008D2EA0">
        <w:rPr>
          <w:lang w:val="en-GB"/>
        </w:rPr>
        <w:t>roadband</w:t>
      </w:r>
      <w:bookmarkEnd w:id="34"/>
    </w:p>
    <w:p w:rsidR="006D1BB1" w:rsidRPr="008D2EA0" w:rsidRDefault="006D1BB1" w:rsidP="00510087">
      <w:pPr>
        <w:pStyle w:val="Heading3"/>
        <w:numPr>
          <w:ilvl w:val="2"/>
          <w:numId w:val="19"/>
        </w:numPr>
        <w:ind w:hanging="1004"/>
      </w:pPr>
      <w:bookmarkStart w:id="35" w:name="_Toc321318105"/>
      <w:bookmarkStart w:id="36" w:name="_Ref332796633"/>
      <w:bookmarkStart w:id="37" w:name="_Toc349039238"/>
      <w:r w:rsidRPr="008D2EA0">
        <w:t>Description</w:t>
      </w:r>
      <w:bookmarkEnd w:id="35"/>
      <w:bookmarkEnd w:id="36"/>
      <w:bookmarkEnd w:id="37"/>
    </w:p>
    <w:p w:rsidR="006D1BB1" w:rsidRPr="008D2EA0" w:rsidRDefault="006D1BB1" w:rsidP="006D1BB1">
      <w:pPr>
        <w:pStyle w:val="ECCParagraph"/>
      </w:pPr>
      <w:r w:rsidRPr="008D2EA0">
        <w:t>Mobile broadband is a terrestrial radio</w:t>
      </w:r>
      <w:r w:rsidR="00995D9E">
        <w:t xml:space="preserve"> </w:t>
      </w:r>
      <w:r w:rsidRPr="008D2EA0">
        <w:t>communication system that, by means of connected base stations and mobile station devices, is able of communicating in mobile situations in one or two directions providing various services and applications to end users, including mobile internet, e-entertainment, e-education, e-health and e-learning.</w:t>
      </w:r>
    </w:p>
    <w:p w:rsidR="006D1BB1" w:rsidRPr="008D2EA0" w:rsidRDefault="006D1BB1" w:rsidP="006D1BB1">
      <w:pPr>
        <w:pStyle w:val="ECCParagraph"/>
      </w:pPr>
      <w:r w:rsidRPr="008D2EA0">
        <w:t xml:space="preserve">The trend in consumer devices with smartphones, tablets and dongles has changed the user behaviour in such a way that the traffic is becoming more IP based and asymmetric in terms of </w:t>
      </w:r>
      <w:r w:rsidRPr="008D2EA0">
        <w:lastRenderedPageBreak/>
        <w:t xml:space="preserve">download and upload ratio. Users download more data than they upload. Current spectrum allocations are usually symmetrical for the mobile broadband platform. </w:t>
      </w:r>
    </w:p>
    <w:p w:rsidR="006D1BB1" w:rsidRPr="008D2EA0" w:rsidRDefault="006D1BB1" w:rsidP="006D1BB1">
      <w:pPr>
        <w:pStyle w:val="ECCParagraph"/>
      </w:pPr>
      <w:r w:rsidRPr="008D2EA0">
        <w:t>Mobile broadband applications could be provided by either FDD (frequency division duplex) with in-band or out-band pairing or TDD (time division duplex) systems. In case of FDD systems the maximum of 40 MHz potentially available in the L-band is considered not to be sufficient for a viable eco-system for in-band pairing.</w:t>
      </w:r>
    </w:p>
    <w:p w:rsidR="006D1BB1" w:rsidRPr="008D2EA0" w:rsidRDefault="006D1BB1" w:rsidP="006D1BB1">
      <w:pPr>
        <w:pStyle w:val="ECCParagraph"/>
      </w:pPr>
      <w:r w:rsidRPr="008D2EA0">
        <w:t>Some examples of mobile broadband systems and their required bandwidths are provided in the table below. Which technology route to take will depend on a variety of factors depending on the operator, the availability of alternative spectrum, geography,</w:t>
      </w:r>
      <w:r w:rsidR="006731B4" w:rsidRPr="008D2EA0">
        <w:t xml:space="preserve"> demography and local conditions</w:t>
      </w:r>
      <w:r w:rsidRPr="008D2EA0">
        <w:t>.</w:t>
      </w:r>
    </w:p>
    <w:p w:rsidR="006D1BB1" w:rsidRPr="008D2EA0" w:rsidRDefault="006D1BB1" w:rsidP="00F21C76">
      <w:pPr>
        <w:pStyle w:val="ECCTabletitle"/>
      </w:pPr>
      <w:bookmarkStart w:id="38" w:name="_Ref310935257"/>
      <w:r w:rsidRPr="008D2EA0">
        <w:t xml:space="preserve">Examples of mobile broadband </w:t>
      </w:r>
      <w:bookmarkEnd w:id="38"/>
      <w:r w:rsidRPr="008D2EA0">
        <w:t>standards</w:t>
      </w:r>
      <w:r w:rsidR="00431D6D" w:rsidRPr="008D2EA0">
        <w:t xml:space="preserve"> (see also</w:t>
      </w:r>
      <w:r w:rsidR="008D2EA0">
        <w:t xml:space="preserve"> </w:t>
      </w:r>
      <w:r w:rsidR="008D2EA0">
        <w:fldChar w:fldCharType="begin"/>
      </w:r>
      <w:r w:rsidR="008D2EA0">
        <w:instrText xml:space="preserve"> REF _Ref333573833 \r \h </w:instrText>
      </w:r>
      <w:r w:rsidR="008D2EA0">
        <w:fldChar w:fldCharType="separate"/>
      </w:r>
      <w:r w:rsidR="00E73FF2">
        <w:t>ANNEX 6:</w:t>
      </w:r>
      <w:r w:rsidR="008D2EA0">
        <w:fldChar w:fldCharType="end"/>
      </w:r>
      <w:r w:rsidR="00431D6D" w:rsidRPr="008D2EA0">
        <w:t>)</w:t>
      </w:r>
    </w:p>
    <w:tbl>
      <w:tblPr>
        <w:tblW w:w="931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233"/>
        <w:gridCol w:w="2974"/>
        <w:gridCol w:w="4108"/>
      </w:tblGrid>
      <w:tr w:rsidR="006D1BB1" w:rsidRPr="008D2EA0" w:rsidTr="006D1BB1">
        <w:trPr>
          <w:tblHeader/>
        </w:trPr>
        <w:tc>
          <w:tcPr>
            <w:tcW w:w="2235"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6D1BB1" w:rsidRPr="008D2EA0" w:rsidRDefault="006D1BB1">
            <w:pPr>
              <w:spacing w:line="288" w:lineRule="auto"/>
              <w:jc w:val="center"/>
              <w:rPr>
                <w:rFonts w:cs="Arial"/>
                <w:b/>
                <w:color w:val="FFFFFF"/>
                <w:lang w:val="en-GB"/>
              </w:rPr>
            </w:pPr>
            <w:r w:rsidRPr="008D2EA0">
              <w:rPr>
                <w:rFonts w:cs="Arial"/>
                <w:b/>
                <w:color w:val="FFFFFF"/>
                <w:lang w:val="en-GB"/>
              </w:rPr>
              <w:t>Standard</w:t>
            </w:r>
          </w:p>
        </w:tc>
        <w:tc>
          <w:tcPr>
            <w:tcW w:w="2976"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6D1BB1" w:rsidRPr="008D2EA0" w:rsidRDefault="006D1BB1">
            <w:pPr>
              <w:spacing w:line="288" w:lineRule="auto"/>
              <w:jc w:val="center"/>
              <w:rPr>
                <w:b/>
                <w:color w:val="FFFFFF"/>
                <w:lang w:val="en-GB"/>
              </w:rPr>
            </w:pPr>
            <w:r w:rsidRPr="008D2EA0">
              <w:rPr>
                <w:b/>
                <w:color w:val="FFFFFF"/>
                <w:lang w:val="en-GB"/>
              </w:rPr>
              <w:t xml:space="preserve">Required block/channel bandwidth </w:t>
            </w:r>
          </w:p>
        </w:tc>
        <w:tc>
          <w:tcPr>
            <w:tcW w:w="4111"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6D1BB1" w:rsidRPr="008D2EA0" w:rsidRDefault="006D1BB1">
            <w:pPr>
              <w:spacing w:line="288" w:lineRule="auto"/>
              <w:jc w:val="center"/>
              <w:rPr>
                <w:b/>
                <w:color w:val="FFFFFF"/>
                <w:lang w:val="en-GB"/>
              </w:rPr>
            </w:pPr>
            <w:r w:rsidRPr="008D2EA0">
              <w:rPr>
                <w:b/>
                <w:color w:val="FFFFFF"/>
                <w:lang w:val="en-GB"/>
              </w:rPr>
              <w:t>Related specifications</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cs="Arial"/>
                <w:szCs w:val="20"/>
                <w:lang w:val="en-GB"/>
              </w:rPr>
            </w:pPr>
            <w:r w:rsidRPr="008D2EA0">
              <w:rPr>
                <w:rFonts w:cs="Arial"/>
                <w:szCs w:val="20"/>
                <w:lang w:val="en-GB"/>
              </w:rPr>
              <w:t>UMTS/HSPA+</w:t>
            </w:r>
          </w:p>
        </w:tc>
        <w:tc>
          <w:tcPr>
            <w:tcW w:w="2976"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rPr>
                <w:rFonts w:cs="Arial"/>
                <w:szCs w:val="20"/>
                <w:lang w:val="en-GB"/>
              </w:rPr>
            </w:pPr>
            <w:r w:rsidRPr="008D2EA0">
              <w:rPr>
                <w:rFonts w:cs="Arial"/>
                <w:szCs w:val="20"/>
                <w:lang w:val="en-GB"/>
              </w:rPr>
              <w:t xml:space="preserve">5, 10 MHz </w:t>
            </w:r>
            <w:r w:rsidRPr="008D2EA0">
              <w:rPr>
                <w:rFonts w:cs="Arial"/>
                <w:szCs w:val="20"/>
                <w:lang w:val="en-GB"/>
              </w:rPr>
              <w:br/>
              <w:t>(in-band carrier aggregation)</w:t>
            </w:r>
          </w:p>
        </w:tc>
        <w:tc>
          <w:tcPr>
            <w:tcW w:w="4111"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autoSpaceDE w:val="0"/>
              <w:autoSpaceDN w:val="0"/>
              <w:adjustRightInd w:val="0"/>
              <w:rPr>
                <w:rFonts w:cs="Arial"/>
                <w:szCs w:val="20"/>
                <w:lang w:val="en-GB" w:eastAsia="en-GB"/>
              </w:rPr>
            </w:pPr>
            <w:r w:rsidRPr="008D2EA0">
              <w:rPr>
                <w:rFonts w:cs="Arial"/>
                <w:szCs w:val="20"/>
                <w:lang w:val="en-GB" w:eastAsia="en-GB"/>
              </w:rPr>
              <w:t>3GPP Release 6 to 8</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cs="Arial"/>
                <w:szCs w:val="20"/>
                <w:lang w:val="en-GB"/>
              </w:rPr>
            </w:pPr>
            <w:r w:rsidRPr="008D2EA0">
              <w:rPr>
                <w:rFonts w:cs="Arial"/>
                <w:szCs w:val="20"/>
                <w:lang w:val="en-GB"/>
              </w:rPr>
              <w:t>LTE</w:t>
            </w:r>
          </w:p>
        </w:tc>
        <w:tc>
          <w:tcPr>
            <w:tcW w:w="2976"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rPr>
                <w:rFonts w:cs="Arial"/>
                <w:szCs w:val="20"/>
                <w:lang w:val="en-GB"/>
              </w:rPr>
            </w:pPr>
            <w:r w:rsidRPr="008D2EA0">
              <w:rPr>
                <w:rFonts w:cs="Arial"/>
                <w:szCs w:val="20"/>
                <w:lang w:val="en-GB"/>
              </w:rPr>
              <w:t>5, 10, 15 and 20 MHz</w:t>
            </w:r>
          </w:p>
        </w:tc>
        <w:tc>
          <w:tcPr>
            <w:tcW w:w="4111"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autoSpaceDE w:val="0"/>
              <w:autoSpaceDN w:val="0"/>
              <w:adjustRightInd w:val="0"/>
              <w:rPr>
                <w:rFonts w:cs="Arial"/>
                <w:szCs w:val="20"/>
                <w:lang w:val="en-GB" w:eastAsia="en-GB"/>
              </w:rPr>
            </w:pPr>
            <w:r w:rsidRPr="008D2EA0">
              <w:rPr>
                <w:rFonts w:cs="Arial"/>
                <w:szCs w:val="20"/>
                <w:lang w:val="en-GB" w:eastAsia="en-GB"/>
              </w:rPr>
              <w:t>3GPP Release 8 and 9</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cs="Arial"/>
                <w:sz w:val="24"/>
                <w:szCs w:val="20"/>
                <w:lang w:val="en-GB" w:eastAsia="fr-FR"/>
              </w:rPr>
            </w:pPr>
            <w:r w:rsidRPr="008D2EA0">
              <w:rPr>
                <w:rFonts w:cs="Arial"/>
                <w:szCs w:val="20"/>
                <w:lang w:val="en-GB"/>
              </w:rPr>
              <w:t>UMTS/HSPA+</w:t>
            </w:r>
          </w:p>
        </w:tc>
        <w:tc>
          <w:tcPr>
            <w:tcW w:w="2976"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rPr>
                <w:rFonts w:ascii="Times New Roman" w:hAnsi="Times New Roman" w:cs="Arial"/>
                <w:sz w:val="24"/>
                <w:szCs w:val="20"/>
                <w:lang w:val="en-GB" w:eastAsia="fr-FR"/>
              </w:rPr>
            </w:pPr>
            <w:r w:rsidRPr="008D2EA0">
              <w:rPr>
                <w:rFonts w:cs="Arial"/>
                <w:szCs w:val="20"/>
                <w:lang w:val="en-GB"/>
              </w:rPr>
              <w:t xml:space="preserve">5,10, 15, 20 MHz </w:t>
            </w:r>
            <w:r w:rsidRPr="008D2EA0">
              <w:rPr>
                <w:rFonts w:cs="Arial"/>
                <w:szCs w:val="20"/>
                <w:lang w:val="en-GB"/>
              </w:rPr>
              <w:br/>
              <w:t>(carrier aggregation across bands)</w:t>
            </w:r>
          </w:p>
        </w:tc>
        <w:tc>
          <w:tcPr>
            <w:tcW w:w="4111"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autoSpaceDE w:val="0"/>
              <w:autoSpaceDN w:val="0"/>
              <w:adjustRightInd w:val="0"/>
              <w:rPr>
                <w:rFonts w:ascii="Times New Roman" w:hAnsi="Times New Roman" w:cs="Arial"/>
                <w:sz w:val="24"/>
                <w:szCs w:val="20"/>
                <w:lang w:val="en-GB" w:eastAsia="en-GB"/>
              </w:rPr>
            </w:pPr>
            <w:r w:rsidRPr="008D2EA0">
              <w:rPr>
                <w:rFonts w:cs="Arial"/>
                <w:szCs w:val="20"/>
                <w:lang w:val="en-GB" w:eastAsia="en-GB"/>
              </w:rPr>
              <w:t>3GPP Release 9, 10 and beyond</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cs="Arial"/>
                <w:sz w:val="24"/>
                <w:szCs w:val="20"/>
                <w:lang w:val="en-GB" w:eastAsia="fr-FR"/>
              </w:rPr>
            </w:pPr>
            <w:r w:rsidRPr="008D2EA0">
              <w:rPr>
                <w:rFonts w:cs="Arial"/>
                <w:szCs w:val="20"/>
                <w:lang w:val="en-GB"/>
              </w:rPr>
              <w:t>LTE-Advanced</w:t>
            </w:r>
          </w:p>
        </w:tc>
        <w:tc>
          <w:tcPr>
            <w:tcW w:w="2976"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rPr>
                <w:rFonts w:ascii="Times New Roman" w:hAnsi="Times New Roman" w:cs="Arial"/>
                <w:sz w:val="24"/>
                <w:szCs w:val="20"/>
                <w:lang w:val="en-GB" w:eastAsia="fr-FR"/>
              </w:rPr>
            </w:pPr>
            <w:r w:rsidRPr="008D2EA0">
              <w:rPr>
                <w:rFonts w:cs="Arial"/>
                <w:szCs w:val="20"/>
                <w:lang w:val="en-GB"/>
              </w:rPr>
              <w:t xml:space="preserve">1.4, 3, 5, 10 and 20 MHz </w:t>
            </w:r>
            <w:r w:rsidRPr="008D2EA0">
              <w:rPr>
                <w:rFonts w:cs="Arial"/>
                <w:szCs w:val="20"/>
                <w:lang w:val="en-GB"/>
              </w:rPr>
              <w:br/>
              <w:t>(and higher values up to 100 MHz by carrier aggregation across bands)</w:t>
            </w:r>
          </w:p>
        </w:tc>
        <w:tc>
          <w:tcPr>
            <w:tcW w:w="4111"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cs="Arial"/>
                <w:sz w:val="24"/>
                <w:szCs w:val="20"/>
                <w:lang w:val="en-GB" w:eastAsia="fr-FR"/>
              </w:rPr>
            </w:pPr>
            <w:r w:rsidRPr="008D2EA0">
              <w:rPr>
                <w:rFonts w:cs="Arial"/>
                <w:szCs w:val="20"/>
                <w:lang w:val="en-GB"/>
              </w:rPr>
              <w:t>3GPP Release 10 and beyond</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cs="Arial"/>
                <w:sz w:val="24"/>
                <w:szCs w:val="20"/>
                <w:lang w:val="en-GB" w:eastAsia="fr-FR"/>
              </w:rPr>
            </w:pPr>
            <w:r w:rsidRPr="008D2EA0">
              <w:rPr>
                <w:rFonts w:cs="Arial"/>
                <w:szCs w:val="20"/>
                <w:lang w:val="en-GB"/>
              </w:rPr>
              <w:t>WiMAX</w:t>
            </w:r>
          </w:p>
        </w:tc>
        <w:tc>
          <w:tcPr>
            <w:tcW w:w="2976"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cs="Arial"/>
                <w:sz w:val="24"/>
                <w:szCs w:val="20"/>
                <w:lang w:val="en-GB" w:eastAsia="fr-FR"/>
              </w:rPr>
            </w:pPr>
            <w:r w:rsidRPr="008D2EA0">
              <w:rPr>
                <w:rFonts w:cs="Arial"/>
                <w:szCs w:val="20"/>
                <w:lang w:val="en-GB"/>
              </w:rPr>
              <w:t xml:space="preserve">5, 10 MHz </w:t>
            </w:r>
          </w:p>
        </w:tc>
        <w:tc>
          <w:tcPr>
            <w:tcW w:w="4111"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rPr>
                <w:rFonts w:ascii="Times New Roman" w:hAnsi="Times New Roman" w:cs="Arial"/>
                <w:sz w:val="24"/>
                <w:szCs w:val="20"/>
                <w:lang w:val="en-GB" w:eastAsia="fr-FR"/>
              </w:rPr>
            </w:pPr>
            <w:r w:rsidRPr="008D2EA0">
              <w:rPr>
                <w:rFonts w:cs="Arial"/>
                <w:szCs w:val="20"/>
                <w:lang w:val="en-GB"/>
              </w:rPr>
              <w:t>IEEE 802.16-2004</w:t>
            </w:r>
          </w:p>
          <w:p w:rsidR="006D1BB1" w:rsidRPr="008D2EA0" w:rsidRDefault="006D1BB1">
            <w:pPr>
              <w:rPr>
                <w:rFonts w:ascii="Times New Roman" w:hAnsi="Times New Roman" w:cs="Arial"/>
                <w:sz w:val="24"/>
                <w:szCs w:val="20"/>
                <w:lang w:val="en-GB" w:eastAsia="fr-FR"/>
              </w:rPr>
            </w:pPr>
            <w:r w:rsidRPr="008D2EA0">
              <w:rPr>
                <w:rFonts w:cs="Arial"/>
                <w:szCs w:val="20"/>
                <w:lang w:val="en-GB"/>
              </w:rPr>
              <w:t xml:space="preserve">IEEE 802.16e-2005 </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spacing w:before="40" w:after="40"/>
              <w:rPr>
                <w:rFonts w:ascii="Times New Roman" w:hAnsi="Times New Roman" w:cs="Arial"/>
                <w:sz w:val="24"/>
                <w:szCs w:val="20"/>
                <w:lang w:val="en-GB" w:eastAsia="fr-FR"/>
              </w:rPr>
            </w:pPr>
            <w:r w:rsidRPr="008D2EA0">
              <w:rPr>
                <w:rFonts w:cs="Arial"/>
                <w:szCs w:val="20"/>
                <w:lang w:val="en-GB"/>
              </w:rPr>
              <w:t>CDMA revB</w:t>
            </w:r>
          </w:p>
        </w:tc>
        <w:tc>
          <w:tcPr>
            <w:tcW w:w="2976"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spacing w:before="40" w:after="40"/>
              <w:rPr>
                <w:rFonts w:ascii="Times New Roman" w:hAnsi="Times New Roman" w:cs="Arial"/>
                <w:sz w:val="24"/>
                <w:szCs w:val="20"/>
                <w:lang w:val="en-GB" w:eastAsia="fr-FR"/>
              </w:rPr>
            </w:pPr>
            <w:r w:rsidRPr="008D2EA0">
              <w:rPr>
                <w:rFonts w:cs="Arial"/>
                <w:szCs w:val="20"/>
                <w:lang w:val="en-GB"/>
              </w:rPr>
              <w:t>1.25, 5, 10, 15, 20 MHz (by carrier aggregation, up to 15 carriers)</w:t>
            </w:r>
          </w:p>
        </w:tc>
        <w:tc>
          <w:tcPr>
            <w:tcW w:w="4111"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spacing w:before="40" w:after="40"/>
              <w:rPr>
                <w:rFonts w:ascii="Times New Roman" w:hAnsi="Times New Roman"/>
                <w:sz w:val="24"/>
                <w:lang w:val="en-GB" w:eastAsia="fr-FR"/>
              </w:rPr>
            </w:pPr>
            <w:r w:rsidRPr="008D2EA0">
              <w:rPr>
                <w:lang w:val="en-GB"/>
              </w:rPr>
              <w:t>3GPP2 C.S0024-B</w:t>
            </w:r>
          </w:p>
          <w:p w:rsidR="006D1BB1" w:rsidRPr="008D2EA0" w:rsidRDefault="006D1BB1">
            <w:pPr>
              <w:spacing w:before="40" w:after="40"/>
              <w:rPr>
                <w:rFonts w:ascii="Times New Roman" w:hAnsi="Times New Roman" w:cs="Arial"/>
                <w:sz w:val="24"/>
                <w:szCs w:val="20"/>
                <w:lang w:val="en-GB" w:eastAsia="fr-FR"/>
              </w:rPr>
            </w:pPr>
            <w:r w:rsidRPr="008D2EA0">
              <w:rPr>
                <w:lang w:val="en-GB"/>
              </w:rPr>
              <w:t>TIA/EIA/IS-856-B. Rev. B</w:t>
            </w:r>
          </w:p>
        </w:tc>
      </w:tr>
    </w:tbl>
    <w:p w:rsidR="006D1BB1" w:rsidRPr="008D2EA0" w:rsidRDefault="006D1BB1" w:rsidP="00922F46">
      <w:pPr>
        <w:pStyle w:val="ECCTablenote"/>
      </w:pPr>
    </w:p>
    <w:p w:rsidR="00715E5F" w:rsidRDefault="00715E5F" w:rsidP="00715E5F">
      <w:bookmarkStart w:id="39" w:name="_Toc321318106"/>
    </w:p>
    <w:p w:rsidR="00715E5F" w:rsidRDefault="00715E5F" w:rsidP="00715E5F">
      <w:pPr>
        <w:pStyle w:val="Heading3"/>
      </w:pPr>
      <w:bookmarkStart w:id="40" w:name="_Toc349039239"/>
      <w:r w:rsidRPr="008D2EA0">
        <w:t>Justification</w:t>
      </w:r>
      <w:bookmarkEnd w:id="40"/>
    </w:p>
    <w:bookmarkEnd w:id="39"/>
    <w:p w:rsidR="006D1BB1" w:rsidRPr="008D2EA0" w:rsidRDefault="006D1BB1" w:rsidP="006D1BB1">
      <w:pPr>
        <w:pStyle w:val="ECCParagraph"/>
      </w:pPr>
      <w:r w:rsidRPr="008D2EA0">
        <w:t>Within few years, data services are expected to be accessed more often from smartphones than from desktop computers for the provision of a variety of bandwidth-intensive services (banking, shopping, multimedia content, education, social media, e-health). As a result, data traffic over mobile networks is expected to grow considerably in the coming years</w:t>
      </w:r>
      <w:r w:rsidRPr="008D2EA0">
        <w:rPr>
          <w:rStyle w:val="FootnoteReference"/>
        </w:rPr>
        <w:footnoteReference w:id="5"/>
      </w:r>
      <w:r w:rsidRPr="008D2EA0">
        <w:t xml:space="preserve">. Spectrum availability for mobile broadband will therefore be key in order to cope with the consumers demand by expanding the network capacity and coverage. </w:t>
      </w:r>
    </w:p>
    <w:p w:rsidR="006D1BB1" w:rsidRPr="008D2EA0" w:rsidRDefault="006D1BB1" w:rsidP="006D1BB1">
      <w:pPr>
        <w:pStyle w:val="ECCParagraph"/>
      </w:pPr>
      <w:r w:rsidRPr="008D2EA0">
        <w:t>The need for additional spectrum for mobile broadband is recogni</w:t>
      </w:r>
      <w:r w:rsidR="00995D9E">
        <w:t>s</w:t>
      </w:r>
      <w:r w:rsidRPr="008D2EA0">
        <w:t>ed at European level by both RSPG and CEPT</w:t>
      </w:r>
      <w:r w:rsidRPr="008D2EA0">
        <w:rPr>
          <w:rStyle w:val="FootnoteReference"/>
        </w:rPr>
        <w:footnoteReference w:id="6"/>
      </w:r>
      <w:r w:rsidRPr="008D2EA0">
        <w:t>.</w:t>
      </w:r>
    </w:p>
    <w:p w:rsidR="006D1BB1" w:rsidRDefault="006D1BB1" w:rsidP="006D1BB1">
      <w:pPr>
        <w:pStyle w:val="ECCParagraph"/>
      </w:pPr>
      <w:r w:rsidRPr="008D2EA0">
        <w:t>The L-band is within the working range of the current cellular networks used by the mobile broadband systems which could have a positive impact on the equipment design and cost. The propagation characteristics of the band make it a good complement to frequency bands already available.</w:t>
      </w:r>
    </w:p>
    <w:p w:rsidR="002239E6" w:rsidRPr="008D2EA0" w:rsidRDefault="002239E6" w:rsidP="002239E6">
      <w:pPr>
        <w:pStyle w:val="Heading3"/>
      </w:pPr>
      <w:bookmarkStart w:id="41" w:name="_Toc349039240"/>
      <w:r w:rsidRPr="008D2EA0">
        <w:t>Spectrum requirements</w:t>
      </w:r>
      <w:bookmarkEnd w:id="41"/>
    </w:p>
    <w:p w:rsidR="006D1BB1" w:rsidRPr="008D2EA0" w:rsidRDefault="006D1BB1" w:rsidP="006D1BB1">
      <w:pPr>
        <w:pStyle w:val="ECCParagraph"/>
      </w:pPr>
      <w:r w:rsidRPr="008D2EA0">
        <w:t xml:space="preserve">Broadband mobile data services are currently deployed over 5 MHz and 10 MHz wide channels with UMTS/HSPA+ and over 10, 15 and 20 MHz wide channels with LTE. The market request for increased network download speed has led to the current deployment of systems operating over </w:t>
      </w:r>
      <w:r w:rsidRPr="008D2EA0">
        <w:lastRenderedPageBreak/>
        <w:t>larger bandwidths (10 MHz, 20 MHz, 40 MHz, etc.) through the introduction of multi-carrier and multi-band aggregation. In this context, bandwidths lower than 5 MHz is not appropriate for significant improvement of speeds and user experience while bandwidths of 5, 10 MHz and more would appropriately complement carriers in other frequency bands. The attractiveness of 1452-1492 MHz band deployment for an operator is linked to the possibility of deploying a network for at least 10 MHz (TDD or in one direction in case of FDD) of capacity to make network investments justifiable.</w:t>
      </w:r>
    </w:p>
    <w:p w:rsidR="006D1BB1" w:rsidRPr="008D2EA0" w:rsidRDefault="006D1BB1" w:rsidP="006D1BB1">
      <w:pPr>
        <w:pStyle w:val="ECCParagraph"/>
      </w:pPr>
      <w:r w:rsidRPr="008D2EA0">
        <w:t>The success of a frequency bands depends on the emergence of an eco-system, i.e. on a significant terminal market supporting the band. Such a market usually occurs when a band is harmonised on a large basis and when most operators have deployed networks in a band. At the opposite, if only one operator is using a specific technology/frequency band in a countr</w:t>
      </w:r>
      <w:r w:rsidR="00CC4BB4" w:rsidRPr="008D2EA0">
        <w:t>y, it would struggle to produce</w:t>
      </w:r>
      <w:r w:rsidRPr="008D2EA0">
        <w:t xml:space="preserve"> equipment. There are typically 3 or 4 Mobile Network Operators in European countries.</w:t>
      </w:r>
    </w:p>
    <w:p w:rsidR="006D1BB1" w:rsidRPr="008D2EA0" w:rsidRDefault="006D1BB1" w:rsidP="006D1BB1">
      <w:pPr>
        <w:pStyle w:val="ECCParagraph"/>
      </w:pPr>
      <w:r w:rsidRPr="008D2EA0">
        <w:rPr>
          <w:rFonts w:cs="Arial"/>
          <w:bCs/>
          <w:kern w:val="32"/>
          <w:szCs w:val="32"/>
        </w:rPr>
        <w:t>T</w:t>
      </w:r>
      <w:r w:rsidRPr="008D2EA0">
        <w:t>he band 1452-1492 MHz would be offering 40 MHz to augment the capacity of mobile broadband networks which is regarded to be a minimum amount of spectrum required, in particular assuming 3-4 operators within the band.</w:t>
      </w:r>
    </w:p>
    <w:p w:rsidR="006D1BB1" w:rsidRDefault="00E94566" w:rsidP="000F6780">
      <w:pPr>
        <w:pStyle w:val="Heading2"/>
        <w:numPr>
          <w:ilvl w:val="1"/>
          <w:numId w:val="19"/>
        </w:numPr>
        <w:rPr>
          <w:lang w:val="en-GB"/>
        </w:rPr>
      </w:pPr>
      <w:bookmarkStart w:id="42" w:name="_Toc349039241"/>
      <w:r w:rsidRPr="008D2EA0">
        <w:rPr>
          <w:lang w:val="en-GB"/>
        </w:rPr>
        <w:t>A</w:t>
      </w:r>
      <w:r w:rsidR="006D1BB1" w:rsidRPr="008D2EA0">
        <w:rPr>
          <w:lang w:val="en-GB"/>
        </w:rPr>
        <w:t xml:space="preserve">pplication three: Mobile </w:t>
      </w:r>
      <w:r w:rsidRPr="008D2EA0">
        <w:rPr>
          <w:lang w:val="en-GB"/>
        </w:rPr>
        <w:t>Supplemental</w:t>
      </w:r>
      <w:r w:rsidR="006D1BB1" w:rsidRPr="008D2EA0">
        <w:rPr>
          <w:lang w:val="en-GB"/>
        </w:rPr>
        <w:t xml:space="preserve"> </w:t>
      </w:r>
      <w:r w:rsidRPr="008D2EA0">
        <w:rPr>
          <w:lang w:val="en-GB"/>
        </w:rPr>
        <w:t>D</w:t>
      </w:r>
      <w:r w:rsidR="006D1BB1" w:rsidRPr="008D2EA0">
        <w:rPr>
          <w:lang w:val="en-GB"/>
        </w:rPr>
        <w:t>ownlink</w:t>
      </w:r>
      <w:bookmarkEnd w:id="42"/>
    </w:p>
    <w:p w:rsidR="002239E6" w:rsidRPr="002239E6" w:rsidRDefault="002239E6" w:rsidP="002239E6">
      <w:pPr>
        <w:pStyle w:val="Heading3"/>
      </w:pPr>
      <w:bookmarkStart w:id="43" w:name="_Toc349039242"/>
      <w:r w:rsidRPr="008D2EA0">
        <w:t>Description</w:t>
      </w:r>
      <w:bookmarkEnd w:id="43"/>
    </w:p>
    <w:p w:rsidR="006D1BB1" w:rsidRPr="008D2EA0" w:rsidRDefault="006D1BB1" w:rsidP="006D1BB1">
      <w:pPr>
        <w:pStyle w:val="ECCParagraph"/>
      </w:pPr>
      <w:r w:rsidRPr="008D2EA0">
        <w:rPr>
          <w:iCs/>
        </w:rPr>
        <w:t>Mobile  Supplemental Downlink (Mobile SDL) is a feature</w:t>
      </w:r>
      <w:r w:rsidRPr="008D2EA0">
        <w:t xml:space="preserve"> within a mobile broadband  system, which by means of base station transmitters in the network, is able </w:t>
      </w:r>
      <w:r w:rsidR="008037B4" w:rsidRPr="008D2EA0">
        <w:t>to use</w:t>
      </w:r>
      <w:r w:rsidRPr="008D2EA0">
        <w:t xml:space="preserve"> unpaired spectrum to provide a supplemental downlink  capacity to carry efficiently comprehensive text, voice, images, sound and video content in unicasting, multicasting and/or broadcasting mode to mobile devices.</w:t>
      </w:r>
    </w:p>
    <w:p w:rsidR="006D1BB1" w:rsidRPr="008D2EA0" w:rsidRDefault="006D1BB1" w:rsidP="006D1BB1">
      <w:pPr>
        <w:pStyle w:val="ECCParagraph"/>
      </w:pPr>
      <w:r w:rsidRPr="008D2EA0">
        <w:t>Convergence is often referred to as a key technological evolution in the digital society, and the practical application is now materializing with the convergence of mobile broadband, fixed and broadcasting service offerings. The driving factor seems to be the requirement for rich multimedia and internet content carried to and from mobile devices. Multimedia content is consumed in various forms such as real time broadcast content, high definition audio/video streaming, podcasts, file casts, on-line gaming, social networking and apps downloading and is provided by a multitude of players under several different business models.</w:t>
      </w:r>
    </w:p>
    <w:p w:rsidR="006D1BB1" w:rsidRPr="008D2EA0" w:rsidRDefault="006D1BB1" w:rsidP="006D1BB1">
      <w:pPr>
        <w:pStyle w:val="ECCParagraph"/>
        <w:rPr>
          <w:szCs w:val="20"/>
        </w:rPr>
      </w:pPr>
      <w:r w:rsidRPr="008D2EA0">
        <w:rPr>
          <w:szCs w:val="20"/>
        </w:rPr>
        <w:t>The data based traffic over mobile broadband networks is predicted to increase rapidly over the coming years driven by mobile multimedia usage with a particular evolution towards asymmetrical traffic and therefore  an increasing demand for downlink capacity.</w:t>
      </w:r>
    </w:p>
    <w:p w:rsidR="006D1BB1" w:rsidRPr="008D2EA0" w:rsidRDefault="006D1BB1" w:rsidP="006D1BB1">
      <w:pPr>
        <w:pStyle w:val="ECCParagraph"/>
      </w:pPr>
      <w:r w:rsidRPr="008D2EA0">
        <w:t xml:space="preserve">3G/4G mobile technologies have already evolved to support traffic asymmetry and the efficient delivery of mobile multimedia services (UMTS/HSPA 3GPP specification Release 9 and beyond, LTE-Advanced 3GPP specification Release 10 and beyond) with Mobile SDL using multi-bands and multi-carriers aggregation capabilities. As highlighted in </w:t>
      </w:r>
      <w:r w:rsidR="00BC050E" w:rsidRPr="008D2EA0">
        <w:fldChar w:fldCharType="begin"/>
      </w:r>
      <w:r w:rsidR="00BC050E" w:rsidRPr="008D2EA0">
        <w:instrText xml:space="preserve"> REF _Ref333495754 \n \h </w:instrText>
      </w:r>
      <w:r w:rsidR="00BC050E" w:rsidRPr="008D2EA0">
        <w:fldChar w:fldCharType="separate"/>
      </w:r>
      <w:r w:rsidR="00E73FF2">
        <w:t>Table 3:</w:t>
      </w:r>
      <w:r w:rsidR="00BC050E" w:rsidRPr="008D2EA0">
        <w:fldChar w:fldCharType="end"/>
      </w:r>
      <w:r w:rsidRPr="008D2EA0">
        <w:t>, UMTS/HSPA supports from 5 MHz to 40 MHz channel bandwidth aggregation and LTE-Advanced supports from 5 MHz to 100 MHz channel bandwidth aggregation in the downlink in multiple bands including the L-band.</w:t>
      </w:r>
    </w:p>
    <w:p w:rsidR="006D1BB1" w:rsidRPr="008D2EA0" w:rsidRDefault="006D1BB1" w:rsidP="006D1BB1">
      <w:pPr>
        <w:pStyle w:val="ECCParagraph"/>
      </w:pPr>
      <w:r w:rsidRPr="008D2EA0">
        <w:t>LTE (3GPP specification Release 9 and beyond) also includes evolved Multimedia Broadcast and Multicast Services capabilities (eMBMS) which would enable to deliver rich mobile multimedia content to users using SDL spectrum in a flexible manner. It allows the mobile broadband network to switch dynamically from a unicast</w:t>
      </w:r>
      <w:r w:rsidR="0027209E">
        <w:t>ing</w:t>
      </w:r>
      <w:r w:rsidRPr="008D2EA0">
        <w:t xml:space="preserve"> to a broadcasting mode on a cell basis to very efficiently address users demand for live or on-demand content and other multimedia services.</w:t>
      </w:r>
    </w:p>
    <w:p w:rsidR="006D1BB1" w:rsidRPr="008D2EA0" w:rsidRDefault="006D1BB1" w:rsidP="00F21C76">
      <w:pPr>
        <w:pStyle w:val="ECCTabletitle"/>
      </w:pPr>
      <w:bookmarkStart w:id="44" w:name="_Ref333495754"/>
      <w:r w:rsidRPr="008D2EA0">
        <w:lastRenderedPageBreak/>
        <w:t>Mobile</w:t>
      </w:r>
      <w:r w:rsidR="007E42E6" w:rsidRPr="008D2EA0">
        <w:t xml:space="preserve"> broadband standards supporting</w:t>
      </w:r>
      <w:r w:rsidRPr="008D2EA0">
        <w:t xml:space="preserve"> Mobile SDL</w:t>
      </w:r>
      <w:r w:rsidR="00431D6D" w:rsidRPr="008D2EA0">
        <w:t xml:space="preserve"> (see also Annex 6)</w:t>
      </w:r>
      <w:bookmarkEnd w:id="44"/>
    </w:p>
    <w:tbl>
      <w:tblPr>
        <w:tblW w:w="931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233"/>
        <w:gridCol w:w="2974"/>
        <w:gridCol w:w="4108"/>
      </w:tblGrid>
      <w:tr w:rsidR="006D1BB1" w:rsidRPr="008D2EA0" w:rsidTr="006D1BB1">
        <w:trPr>
          <w:tblHeader/>
        </w:trPr>
        <w:tc>
          <w:tcPr>
            <w:tcW w:w="2235"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6D1BB1" w:rsidRPr="008D2EA0" w:rsidRDefault="006D1BB1" w:rsidP="00A953FD">
            <w:pPr>
              <w:keepNext/>
              <w:spacing w:line="288" w:lineRule="auto"/>
              <w:jc w:val="center"/>
              <w:rPr>
                <w:rFonts w:cs="Arial"/>
                <w:b/>
                <w:color w:val="FFFFFF"/>
                <w:lang w:val="en-GB"/>
              </w:rPr>
            </w:pPr>
            <w:r w:rsidRPr="008D2EA0">
              <w:rPr>
                <w:rFonts w:cs="Arial"/>
                <w:b/>
                <w:color w:val="FFFFFF"/>
                <w:lang w:val="en-GB"/>
              </w:rPr>
              <w:t>Standard</w:t>
            </w:r>
          </w:p>
        </w:tc>
        <w:tc>
          <w:tcPr>
            <w:tcW w:w="2976"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6D1BB1" w:rsidRPr="008D2EA0" w:rsidRDefault="006D1BB1" w:rsidP="00A953FD">
            <w:pPr>
              <w:keepNext/>
              <w:spacing w:line="288" w:lineRule="auto"/>
              <w:jc w:val="center"/>
              <w:rPr>
                <w:b/>
                <w:color w:val="FFFFFF"/>
                <w:lang w:val="en-GB"/>
              </w:rPr>
            </w:pPr>
            <w:r w:rsidRPr="008D2EA0">
              <w:rPr>
                <w:b/>
                <w:color w:val="FFFFFF"/>
                <w:lang w:val="en-GB"/>
              </w:rPr>
              <w:t xml:space="preserve">Aggregated downlink Bandwidth </w:t>
            </w:r>
          </w:p>
        </w:tc>
        <w:tc>
          <w:tcPr>
            <w:tcW w:w="4111"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6D1BB1" w:rsidRPr="008D2EA0" w:rsidRDefault="006D1BB1" w:rsidP="00A953FD">
            <w:pPr>
              <w:keepNext/>
              <w:spacing w:line="288" w:lineRule="auto"/>
              <w:jc w:val="center"/>
              <w:rPr>
                <w:b/>
                <w:color w:val="FFFFFF"/>
                <w:lang w:val="en-GB"/>
              </w:rPr>
            </w:pPr>
            <w:r w:rsidRPr="008D2EA0">
              <w:rPr>
                <w:b/>
                <w:color w:val="FFFFFF"/>
                <w:lang w:val="en-GB"/>
              </w:rPr>
              <w:t>Related specifications</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rsidP="00A953FD">
            <w:pPr>
              <w:keepNext/>
              <w:rPr>
                <w:rFonts w:ascii="Times New Roman" w:hAnsi="Times New Roman" w:cs="Arial"/>
                <w:sz w:val="24"/>
                <w:szCs w:val="20"/>
                <w:lang w:val="en-GB" w:eastAsia="fr-FR"/>
              </w:rPr>
            </w:pPr>
            <w:r w:rsidRPr="008D2EA0">
              <w:rPr>
                <w:rFonts w:cs="Arial"/>
                <w:szCs w:val="20"/>
                <w:lang w:val="en-GB"/>
              </w:rPr>
              <w:t>UMT</w:t>
            </w:r>
            <w:r w:rsidR="00FF61A6" w:rsidRPr="008D2EA0">
              <w:rPr>
                <w:rFonts w:cs="Arial"/>
                <w:szCs w:val="20"/>
                <w:lang w:val="en-GB"/>
              </w:rPr>
              <w:t>S</w:t>
            </w:r>
            <w:r w:rsidRPr="008D2EA0">
              <w:rPr>
                <w:rFonts w:cs="Arial"/>
                <w:szCs w:val="20"/>
                <w:lang w:val="en-GB"/>
              </w:rPr>
              <w:t>/HSPA+</w:t>
            </w:r>
          </w:p>
        </w:tc>
        <w:tc>
          <w:tcPr>
            <w:tcW w:w="2976"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rsidP="00A953FD">
            <w:pPr>
              <w:keepNext/>
              <w:rPr>
                <w:rFonts w:ascii="Times New Roman" w:hAnsi="Times New Roman" w:cs="Arial"/>
                <w:sz w:val="24"/>
                <w:szCs w:val="20"/>
                <w:lang w:val="en-GB" w:eastAsia="fr-FR"/>
              </w:rPr>
            </w:pPr>
            <w:r w:rsidRPr="008D2EA0">
              <w:rPr>
                <w:rFonts w:cs="Arial"/>
                <w:szCs w:val="20"/>
                <w:lang w:val="en-GB"/>
              </w:rPr>
              <w:t>Up to 40 MHz(using carrier aggregation across bands)</w:t>
            </w:r>
          </w:p>
        </w:tc>
        <w:tc>
          <w:tcPr>
            <w:tcW w:w="4111"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rsidP="00A953FD">
            <w:pPr>
              <w:keepNext/>
              <w:autoSpaceDE w:val="0"/>
              <w:autoSpaceDN w:val="0"/>
              <w:adjustRightInd w:val="0"/>
              <w:rPr>
                <w:rFonts w:ascii="Times New Roman" w:hAnsi="Times New Roman" w:cs="Arial"/>
                <w:sz w:val="24"/>
                <w:szCs w:val="20"/>
                <w:lang w:val="en-GB" w:eastAsia="en-GB"/>
              </w:rPr>
            </w:pPr>
            <w:r w:rsidRPr="008D2EA0">
              <w:rPr>
                <w:rFonts w:cs="Arial"/>
                <w:szCs w:val="20"/>
                <w:lang w:val="en-GB" w:eastAsia="en-GB"/>
              </w:rPr>
              <w:t>3GPP Release 9 and beyond</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cs="Arial"/>
                <w:sz w:val="24"/>
                <w:szCs w:val="20"/>
                <w:lang w:val="en-GB" w:eastAsia="fr-FR"/>
              </w:rPr>
            </w:pPr>
            <w:r w:rsidRPr="008D2EA0">
              <w:rPr>
                <w:rFonts w:cs="Arial"/>
                <w:szCs w:val="20"/>
                <w:lang w:val="en-GB"/>
              </w:rPr>
              <w:t>LTE-Advanced</w:t>
            </w:r>
          </w:p>
        </w:tc>
        <w:tc>
          <w:tcPr>
            <w:tcW w:w="2976"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rPr>
                <w:rFonts w:cs="Arial"/>
                <w:szCs w:val="20"/>
                <w:lang w:val="en-GB"/>
              </w:rPr>
            </w:pPr>
            <w:r w:rsidRPr="008D2EA0">
              <w:rPr>
                <w:rFonts w:cs="Arial"/>
                <w:szCs w:val="20"/>
                <w:lang w:val="en-GB"/>
              </w:rPr>
              <w:t>Up to 100 MHz (using  carrier aggregation across bands)</w:t>
            </w:r>
          </w:p>
        </w:tc>
        <w:tc>
          <w:tcPr>
            <w:tcW w:w="4111"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cs="Arial"/>
                <w:sz w:val="24"/>
                <w:szCs w:val="20"/>
                <w:lang w:val="en-GB" w:eastAsia="fr-FR"/>
              </w:rPr>
            </w:pPr>
            <w:r w:rsidRPr="008D2EA0">
              <w:rPr>
                <w:rFonts w:cs="Arial"/>
                <w:szCs w:val="20"/>
                <w:lang w:val="en-GB"/>
              </w:rPr>
              <w:t>3GPP Release 10 and beyond</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cs="Arial"/>
                <w:szCs w:val="20"/>
                <w:lang w:val="en-GB"/>
              </w:rPr>
            </w:pPr>
            <w:r w:rsidRPr="008D2EA0">
              <w:rPr>
                <w:rFonts w:cs="Arial"/>
                <w:szCs w:val="20"/>
                <w:lang w:val="en-GB"/>
              </w:rPr>
              <w:t>LTE eMBMS</w:t>
            </w:r>
          </w:p>
        </w:tc>
        <w:tc>
          <w:tcPr>
            <w:tcW w:w="2976"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pPr>
              <w:rPr>
                <w:rFonts w:cs="Arial"/>
                <w:szCs w:val="20"/>
                <w:lang w:val="en-GB"/>
              </w:rPr>
            </w:pPr>
            <w:r w:rsidRPr="008D2EA0">
              <w:rPr>
                <w:rFonts w:cs="Arial"/>
                <w:szCs w:val="20"/>
                <w:lang w:val="en-GB"/>
              </w:rPr>
              <w:t xml:space="preserve">Up to 20 MHz </w:t>
            </w:r>
          </w:p>
        </w:tc>
        <w:tc>
          <w:tcPr>
            <w:tcW w:w="4111"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cs="Arial"/>
                <w:szCs w:val="20"/>
                <w:lang w:val="en-GB"/>
              </w:rPr>
            </w:pPr>
            <w:r w:rsidRPr="008D2EA0">
              <w:rPr>
                <w:rFonts w:cs="Arial"/>
                <w:szCs w:val="20"/>
                <w:lang w:val="en-GB"/>
              </w:rPr>
              <w:t>3GPP Release 9 and beyond</w:t>
            </w:r>
          </w:p>
        </w:tc>
      </w:tr>
    </w:tbl>
    <w:p w:rsidR="006D1BB1" w:rsidRPr="008D2EA0" w:rsidRDefault="006D1BB1" w:rsidP="006D1BB1">
      <w:pPr>
        <w:pStyle w:val="ECCParagraph"/>
        <w:spacing w:before="120" w:after="0"/>
      </w:pPr>
    </w:p>
    <w:p w:rsidR="006D1BB1" w:rsidRPr="008D2EA0" w:rsidRDefault="006D1BB1" w:rsidP="006D1BB1">
      <w:pPr>
        <w:pStyle w:val="ECCParagraph"/>
      </w:pPr>
      <w:r w:rsidRPr="008D2EA0">
        <w:t>A mobile broadband network implementing a Mobile SDL uses a wider channel for the downlink than for the uplink, by bonding the usual downlink of the paired mobile bands (800 MHz, 900 MHz, 1.8 GHz, 2.0 GHz, 2.6 GHz) with a supplemental downlink channel(s) as show</w:t>
      </w:r>
      <w:r w:rsidR="001D0DA1" w:rsidRPr="008D2EA0">
        <w:t>n</w:t>
      </w:r>
      <w:r w:rsidRPr="008D2EA0">
        <w:t xml:space="preserve"> in</w:t>
      </w:r>
      <w:r w:rsidR="004F651C" w:rsidRPr="008D2EA0">
        <w:t xml:space="preserve"> </w:t>
      </w:r>
      <w:r w:rsidR="004F651C" w:rsidRPr="008D2EA0">
        <w:fldChar w:fldCharType="begin"/>
      </w:r>
      <w:r w:rsidR="004F651C" w:rsidRPr="008D2EA0">
        <w:instrText xml:space="preserve"> REF _Ref330509589 \r \h </w:instrText>
      </w:r>
      <w:r w:rsidR="004F651C" w:rsidRPr="008D2EA0">
        <w:fldChar w:fldCharType="separate"/>
      </w:r>
      <w:r w:rsidR="00E73FF2">
        <w:t>Figure 1:</w:t>
      </w:r>
      <w:r w:rsidR="004F651C" w:rsidRPr="008D2EA0">
        <w:fldChar w:fldCharType="end"/>
      </w:r>
      <w:r w:rsidRPr="008D2EA0">
        <w:t>.</w:t>
      </w:r>
    </w:p>
    <w:p w:rsidR="006D1BB1" w:rsidRPr="008D2EA0" w:rsidRDefault="006D1BB1" w:rsidP="006D1BB1">
      <w:pPr>
        <w:pStyle w:val="ECCParagraph"/>
      </w:pPr>
      <w:r w:rsidRPr="008D2EA0">
        <w:rPr>
          <w:noProof/>
          <w:lang w:val="da-DK" w:eastAsia="da-DK"/>
        </w:rPr>
        <w:drawing>
          <wp:inline distT="0" distB="0" distL="0" distR="0" wp14:anchorId="67916EC3" wp14:editId="51532FCA">
            <wp:extent cx="5753100" cy="2886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t="-2196" r="-7474" b="-3275"/>
                    <a:stretch>
                      <a:fillRect/>
                    </a:stretch>
                  </pic:blipFill>
                  <pic:spPr bwMode="auto">
                    <a:xfrm>
                      <a:off x="0" y="0"/>
                      <a:ext cx="5753100" cy="2886075"/>
                    </a:xfrm>
                    <a:prstGeom prst="rect">
                      <a:avLst/>
                    </a:prstGeom>
                    <a:noFill/>
                    <a:ln>
                      <a:noFill/>
                    </a:ln>
                  </pic:spPr>
                </pic:pic>
              </a:graphicData>
            </a:graphic>
          </wp:inline>
        </w:drawing>
      </w:r>
    </w:p>
    <w:p w:rsidR="006D1BB1" w:rsidRPr="008D2EA0" w:rsidRDefault="006D1BB1" w:rsidP="006D1BB1">
      <w:pPr>
        <w:pStyle w:val="ECCParagraph"/>
      </w:pPr>
    </w:p>
    <w:p w:rsidR="006D1BB1" w:rsidRDefault="006D1BB1" w:rsidP="00AC460F">
      <w:pPr>
        <w:pStyle w:val="ECCFiguretitle"/>
      </w:pPr>
      <w:bookmarkStart w:id="45" w:name="_Ref330509589"/>
      <w:r w:rsidRPr="008D2EA0">
        <w:t>A Mobile Supplemental Downlink</w:t>
      </w:r>
      <w:bookmarkEnd w:id="45"/>
    </w:p>
    <w:p w:rsidR="002239E6" w:rsidRPr="002239E6" w:rsidRDefault="002239E6" w:rsidP="002239E6">
      <w:pPr>
        <w:pStyle w:val="Heading3"/>
      </w:pPr>
      <w:bookmarkStart w:id="46" w:name="_Toc349039243"/>
      <w:r>
        <w:t>Justification</w:t>
      </w:r>
      <w:bookmarkEnd w:id="46"/>
    </w:p>
    <w:p w:rsidR="006D1BB1" w:rsidRPr="008D2EA0" w:rsidRDefault="006D1BB1" w:rsidP="006D1BB1">
      <w:pPr>
        <w:pStyle w:val="ECCParagraph"/>
        <w:rPr>
          <w:bCs/>
        </w:rPr>
      </w:pPr>
      <w:r w:rsidRPr="008D2EA0">
        <w:t>The convergence of several service offerings (internet, broadcasting, and other multimedia based service offerings) on mobile devices, such as smartphones and tablets, is leading to an ever growing asymmetry of the overall mobile data traffic. Measurements in today’s mobile networks clearly confirm the asymmetrical nature of the data traffic with consumers downloading considerably more than they upload data and multimedia content. The current usages of data services on smartphones will be more common th</w:t>
      </w:r>
      <w:r w:rsidR="006731B4" w:rsidRPr="008D2EA0">
        <w:t>an on desktop computers within</w:t>
      </w:r>
      <w:r w:rsidRPr="008D2EA0">
        <w:t xml:space="preserve"> few years. </w:t>
      </w:r>
      <w:r w:rsidRPr="008D2EA0">
        <w:rPr>
          <w:bCs/>
        </w:rPr>
        <w:t>Smartphones and tablets, as well as laptops using dongles will drive usage of video and hence lead to considerable growth of the mobile data traffic.</w:t>
      </w:r>
    </w:p>
    <w:p w:rsidR="006D1BB1" w:rsidRPr="008D2EA0" w:rsidRDefault="006D1BB1" w:rsidP="006D1BB1">
      <w:pPr>
        <w:pStyle w:val="ECCParagraph"/>
      </w:pPr>
      <w:r w:rsidRPr="008D2EA0">
        <w:t xml:space="preserve">A high proportion of this data traffic is already mobile multimedia. Moreover, multimedia is expected to account for a rising proportion of traffic in future. The downlink to uplink ratios seem likely to widen towards 10:1 </w:t>
      </w:r>
      <w:r w:rsidR="00DF0B01" w:rsidRPr="008D2EA0">
        <w:t xml:space="preserve">in high-traffic areas, </w:t>
      </w:r>
      <w:r w:rsidRPr="008D2EA0">
        <w:t>as the proportion of video traffic in networks grows. The use of the 1452-1492 MHz for Mobile SDL provides additional downlink capacity</w:t>
      </w:r>
      <w:r w:rsidRPr="008D2EA0">
        <w:rPr>
          <w:rFonts w:cs="Arial"/>
          <w:bCs/>
          <w:kern w:val="32"/>
          <w:szCs w:val="32"/>
        </w:rPr>
        <w:t xml:space="preserve"> next to the bands used for mobile applications up to now</w:t>
      </w:r>
      <w:r w:rsidRPr="008D2EA0">
        <w:t>, enables higher user data rates and supports a greater number of users, all of which will enhance the user experience and increase consumers demand for capacity (see</w:t>
      </w:r>
      <w:r w:rsidR="008D2EA0">
        <w:t xml:space="preserve"> </w:t>
      </w:r>
      <w:r w:rsidR="008D2EA0">
        <w:fldChar w:fldCharType="begin"/>
      </w:r>
      <w:r w:rsidR="008D2EA0">
        <w:instrText xml:space="preserve"> REF _Ref333573946 \r \h </w:instrText>
      </w:r>
      <w:r w:rsidR="008D2EA0">
        <w:fldChar w:fldCharType="separate"/>
      </w:r>
      <w:r w:rsidR="00E73FF2">
        <w:t>ANNEX 6:</w:t>
      </w:r>
      <w:r w:rsidR="008D2EA0">
        <w:fldChar w:fldCharType="end"/>
      </w:r>
      <w:r w:rsidRPr="008D2EA0">
        <w:t>).</w:t>
      </w:r>
    </w:p>
    <w:p w:rsidR="006D1BB1" w:rsidRDefault="006D1BB1" w:rsidP="006D1BB1">
      <w:pPr>
        <w:pStyle w:val="ECCParagraph"/>
      </w:pPr>
      <w:r w:rsidRPr="008D2EA0">
        <w:lastRenderedPageBreak/>
        <w:t>The L-band is within the operational range of the current cellular spectrum used by mobile broadband systems and its implementation will have a marginal</w:t>
      </w:r>
      <w:r w:rsidRPr="008D2EA0">
        <w:rPr>
          <w:rStyle w:val="FootnoteReference"/>
        </w:rPr>
        <w:footnoteReference w:id="7"/>
      </w:r>
      <w:r w:rsidRPr="008D2EA0">
        <w:t xml:space="preserve"> impact on the equipment (base stations, chipsets, devices) design and cost. In addition, the L-band offers favourable propagation properties for coverage allowing consumers in urban, suburban as well as rural areas to cost efficiently access enhanced mobile services.</w:t>
      </w:r>
    </w:p>
    <w:p w:rsidR="002239E6" w:rsidRPr="008D2EA0" w:rsidRDefault="002239E6" w:rsidP="002239E6">
      <w:pPr>
        <w:pStyle w:val="Heading3"/>
      </w:pPr>
      <w:bookmarkStart w:id="47" w:name="_Toc349039244"/>
      <w:r w:rsidRPr="008D2EA0">
        <w:t>Spectrum requirements</w:t>
      </w:r>
      <w:bookmarkEnd w:id="47"/>
    </w:p>
    <w:p w:rsidR="006D1BB1" w:rsidRPr="008D2EA0" w:rsidRDefault="006D1BB1" w:rsidP="006D1BB1">
      <w:pPr>
        <w:pStyle w:val="ECCParagraph"/>
      </w:pPr>
      <w:r w:rsidRPr="008D2EA0">
        <w:t>Users in mobile networks are demanding increasingly higher peak data rates and enhanced quality of service. Operators are deploying next generation networks supporting larger bandwidth, typically 10 MHz, 15 MHz, 20 MHz, etc., to cope with these demands. In this context, and in order to support the requirement for significant increase of data speeds and user experience, access to bandwidths of 10 MHz, 15 MHz or 20 MHz etc. in the band 1452</w:t>
      </w:r>
      <w:r w:rsidR="006731B4" w:rsidRPr="008D2EA0">
        <w:t>-</w:t>
      </w:r>
      <w:r w:rsidRPr="008D2EA0">
        <w:t>1492 MHz is therefore required to appropriately supplement related deployments in other mobile bands from several mobile operators. In additi</w:t>
      </w:r>
      <w:r w:rsidR="006731B4" w:rsidRPr="008D2EA0">
        <w:t>on, interest of the band 1452-</w:t>
      </w:r>
      <w:r w:rsidRPr="008D2EA0">
        <w:t>1492 MHz for Mobile SDL use by operators is linked to the opportunity of having access to a frequency block of at least 10 MHz for SDL deployments to make network investments justifiable. Notably, a one frequency block of 5 MHz per operator would not be sufficient to support advanced services such as higher definition video based multimedia content.</w:t>
      </w:r>
    </w:p>
    <w:p w:rsidR="006D1BB1" w:rsidRPr="008D2EA0" w:rsidRDefault="006D1BB1" w:rsidP="006D1BB1">
      <w:pPr>
        <w:pStyle w:val="ECCParagraph"/>
        <w:spacing w:after="120"/>
      </w:pPr>
      <w:r w:rsidRPr="008D2EA0">
        <w:t xml:space="preserve">Furthermore, the success of a frequency band arrangement depends on the emergence of an eco-system with high equipment market penetration, including both base stations and devices, supporting usages in this band. This requires that the band is harmonised (in order to ensure its availability in a sufficient number of countries) and large enough (in order to accommodate multiple operators, which would through competition trigger growing demands). On the contrary, if the band is not harmonized in </w:t>
      </w:r>
      <w:r w:rsidR="0027209E">
        <w:t>its entirety</w:t>
      </w:r>
      <w:r w:rsidRPr="008D2EA0">
        <w:t xml:space="preserve"> (less than 40 MHz) and only one operator would be able to use the band in a country, then such operator would struggle to find mass market cost efficient equipment. Therefore, the</w:t>
      </w:r>
      <w:r w:rsidR="006731B4" w:rsidRPr="008D2EA0">
        <w:t xml:space="preserve"> full 40 MHz in the band 1452-</w:t>
      </w:r>
      <w:r w:rsidRPr="008D2EA0">
        <w:t xml:space="preserve">1492 MHz will accommodate multiple operators and therefore drive economy scale to the benefits of consumers. </w:t>
      </w:r>
    </w:p>
    <w:p w:rsidR="006D1BB1" w:rsidRPr="008D2EA0" w:rsidRDefault="006D1BB1" w:rsidP="006D1BB1">
      <w:pPr>
        <w:pStyle w:val="ECCParagraph"/>
      </w:pPr>
      <w:r w:rsidRPr="008D2EA0">
        <w:t xml:space="preserve">Taking into account the need of at least 10 MHz per operator (see above) in a competition environment with several operators able to access the </w:t>
      </w:r>
      <w:r w:rsidR="0027209E">
        <w:t>L-</w:t>
      </w:r>
      <w:r w:rsidRPr="008D2EA0">
        <w:t>band and the requirement for economies of scale, in large bandwidth devices and infrastructure, a harmonised channelling arrangement for Mobile SDL across the whole band 1452</w:t>
      </w:r>
      <w:r w:rsidR="006731B4" w:rsidRPr="008D2EA0">
        <w:t>-</w:t>
      </w:r>
      <w:r w:rsidRPr="008D2EA0">
        <w:t xml:space="preserve">1492 MHz is deemed essential. Such a channelling arrangement should be designed for eight frequency blocks of 5 MHz each as usual for mobile bands (with the possibility to aggregate at least two adjacent blocks), subject to LRTC while enabling terrestrial UMTS/LTE SDL deployment i.e. base station to devices communication direction. A firm decision will convey a clear signal to the mobile broadband and broadcasting content industries on the availability of a sufficient harmonised capacity (40 MHz) for economically sustainable business cases in the </w:t>
      </w:r>
      <w:r w:rsidR="0027209E">
        <w:t>L-</w:t>
      </w:r>
      <w:r w:rsidRPr="008D2EA0">
        <w:t xml:space="preserve">band, still leaving the choice to administrations to potentially accommodate in part of the band any specific national need for other applications. </w:t>
      </w:r>
    </w:p>
    <w:p w:rsidR="006D1BB1" w:rsidRDefault="006D1BB1" w:rsidP="000F6780">
      <w:pPr>
        <w:pStyle w:val="Heading2"/>
        <w:numPr>
          <w:ilvl w:val="1"/>
          <w:numId w:val="19"/>
        </w:numPr>
        <w:rPr>
          <w:lang w:val="en-GB"/>
        </w:rPr>
      </w:pPr>
      <w:bookmarkStart w:id="48" w:name="_Toc349039245"/>
      <w:r w:rsidRPr="008D2EA0">
        <w:rPr>
          <w:lang w:val="en-GB"/>
        </w:rPr>
        <w:t>application four: Satellite D</w:t>
      </w:r>
      <w:r w:rsidR="00E94566" w:rsidRPr="008D2EA0">
        <w:rPr>
          <w:lang w:val="en-GB"/>
        </w:rPr>
        <w:t>igital</w:t>
      </w:r>
      <w:r w:rsidRPr="008D2EA0">
        <w:rPr>
          <w:lang w:val="en-GB"/>
        </w:rPr>
        <w:t xml:space="preserve"> A</w:t>
      </w:r>
      <w:r w:rsidR="00E94566" w:rsidRPr="008D2EA0">
        <w:rPr>
          <w:lang w:val="en-GB"/>
        </w:rPr>
        <w:t>udio</w:t>
      </w:r>
      <w:r w:rsidRPr="008D2EA0">
        <w:rPr>
          <w:lang w:val="en-GB"/>
        </w:rPr>
        <w:t xml:space="preserve"> B</w:t>
      </w:r>
      <w:r w:rsidR="00E94566" w:rsidRPr="008D2EA0">
        <w:rPr>
          <w:lang w:val="en-GB"/>
        </w:rPr>
        <w:t>roadcasting</w:t>
      </w:r>
      <w:r w:rsidRPr="008D2EA0">
        <w:rPr>
          <w:lang w:val="en-GB"/>
        </w:rPr>
        <w:t xml:space="preserve"> (S-DAB)</w:t>
      </w:r>
      <w:bookmarkEnd w:id="48"/>
    </w:p>
    <w:p w:rsidR="002239E6" w:rsidRPr="002239E6" w:rsidRDefault="002239E6" w:rsidP="002239E6">
      <w:pPr>
        <w:pStyle w:val="Heading3"/>
      </w:pPr>
      <w:bookmarkStart w:id="49" w:name="_Toc349039246"/>
      <w:r>
        <w:t>Description</w:t>
      </w:r>
      <w:bookmarkEnd w:id="49"/>
    </w:p>
    <w:p w:rsidR="006D1BB1" w:rsidRPr="008D2EA0" w:rsidRDefault="006D1BB1" w:rsidP="006D1BB1">
      <w:pPr>
        <w:pStyle w:val="ECCParagraph"/>
      </w:pPr>
      <w:r w:rsidRPr="008D2EA0">
        <w:t>Satellite broadcasting is one of the principal means for access to thousands of radio and TV services by the general public in many countries across the globe. Satellites play a major role in ensuring comple</w:t>
      </w:r>
      <w:r w:rsidR="001D0DA1" w:rsidRPr="008D2EA0">
        <w:t>te coverage</w:t>
      </w:r>
      <w:r w:rsidRPr="008D2EA0">
        <w:t>. In those cases, such offer complements the basic terrestrial offer, which may not be available everywhere. Alternatively, satellite can also offer new channels that are not available on terrestrial-only networks. As demonstrated by the digiti</w:t>
      </w:r>
      <w:r w:rsidR="0027209E">
        <w:t>s</w:t>
      </w:r>
      <w:r w:rsidRPr="008D2EA0">
        <w:t>ation of TV services, digital satellite can play an important role enabling the deployment of new digital technologies and services.</w:t>
      </w:r>
    </w:p>
    <w:p w:rsidR="006D1BB1" w:rsidRPr="008D2EA0" w:rsidRDefault="006D1BB1" w:rsidP="006D1BB1">
      <w:pPr>
        <w:pStyle w:val="ECCParagraph"/>
        <w:spacing w:after="120"/>
      </w:pPr>
      <w:r w:rsidRPr="008D2EA0">
        <w:rPr>
          <w:rFonts w:cs="Arial"/>
        </w:rPr>
        <w:t xml:space="preserve">Where satellites are </w:t>
      </w:r>
      <w:r w:rsidRPr="008D2EA0">
        <w:t>used in combination with complementary terrestrial networks</w:t>
      </w:r>
      <w:r w:rsidRPr="008D2EA0">
        <w:rPr>
          <w:rFonts w:cs="Arial"/>
        </w:rPr>
        <w:t>,</w:t>
      </w:r>
      <w:r w:rsidRPr="008D2EA0">
        <w:t xml:space="preserve"> a “hybrid” system is created. Such a hybrid system consists of the satellite component and its associated terrestrial component(s). The complementary terrestrial networks can be used for the retransmission of content also available on the satellite (for instance to improve the reception quality in areas without line of </w:t>
      </w:r>
      <w:r w:rsidRPr="008D2EA0">
        <w:lastRenderedPageBreak/>
        <w:t>sight to the satellite, especially important in a mobile environment) and/or to provide access to additional content (e</w:t>
      </w:r>
      <w:r w:rsidR="009151EF" w:rsidRPr="008D2EA0">
        <w:t>.</w:t>
      </w:r>
      <w:r w:rsidRPr="008D2EA0">
        <w:t xml:space="preserve">g, local or on-demand content). </w:t>
      </w:r>
    </w:p>
    <w:p w:rsidR="006D1BB1" w:rsidRPr="008D2EA0" w:rsidRDefault="006D1BB1" w:rsidP="006D1BB1">
      <w:pPr>
        <w:pStyle w:val="ECCParagraph"/>
        <w:spacing w:after="120"/>
      </w:pPr>
      <w:r w:rsidRPr="008D2EA0">
        <w:t xml:space="preserve">Satellite Digital Audio Broadcasting (S-DAB) is a satellite-enabled system for the digital broadcasting of a wide variety of audio content to fixed and mobile receivers (including portable, handheld and vehicular). S-DAB systems are expected to transport a mix of “subscription-based” and “free-to-air” services. Free-to-air services may be public services or commercial services for a large audience. A basic encryption could still be employed also in the case of free-to-air services in order to ensure copyright protection. </w:t>
      </w:r>
    </w:p>
    <w:p w:rsidR="006D1BB1" w:rsidRPr="008D2EA0" w:rsidRDefault="006D1BB1" w:rsidP="006D1BB1">
      <w:pPr>
        <w:pStyle w:val="ECCParagraph"/>
        <w:spacing w:after="120"/>
      </w:pPr>
      <w:r w:rsidRPr="008D2EA0">
        <w:t>Three main modes of S-DAB operation can be distinguished:</w:t>
      </w:r>
    </w:p>
    <w:p w:rsidR="006D1BB1" w:rsidRPr="008D2EA0" w:rsidRDefault="006D1BB1" w:rsidP="000F6780">
      <w:pPr>
        <w:pStyle w:val="ECCParBulleted"/>
        <w:numPr>
          <w:ilvl w:val="0"/>
          <w:numId w:val="18"/>
        </w:numPr>
        <w:rPr>
          <w:lang w:eastAsia="de-DE"/>
        </w:rPr>
      </w:pPr>
      <w:r w:rsidRPr="008D2EA0">
        <w:rPr>
          <w:lang w:eastAsia="de-DE"/>
        </w:rPr>
        <w:t>As a standalone satellite component (i.e, without complementary terrestrial component);</w:t>
      </w:r>
    </w:p>
    <w:p w:rsidR="006D1BB1" w:rsidRPr="008D2EA0" w:rsidRDefault="006D1BB1" w:rsidP="000F6780">
      <w:pPr>
        <w:pStyle w:val="ECCParBulleted"/>
        <w:numPr>
          <w:ilvl w:val="0"/>
          <w:numId w:val="18"/>
        </w:numPr>
      </w:pPr>
      <w:r w:rsidRPr="008D2EA0">
        <w:rPr>
          <w:lang w:eastAsia="de-DE"/>
        </w:rPr>
        <w:t>As the satellite component of a hybrid solution with complementary terrestrial broadcasting networks operating in the spectrum used by the satellite across CEPT;</w:t>
      </w:r>
    </w:p>
    <w:p w:rsidR="006D1BB1" w:rsidRPr="008D2EA0" w:rsidRDefault="006D1BB1" w:rsidP="000F6780">
      <w:pPr>
        <w:pStyle w:val="ECCParBulleted"/>
        <w:numPr>
          <w:ilvl w:val="0"/>
          <w:numId w:val="18"/>
        </w:numPr>
        <w:rPr>
          <w:lang w:eastAsia="de-DE"/>
        </w:rPr>
      </w:pPr>
      <w:r w:rsidRPr="008D2EA0">
        <w:rPr>
          <w:lang w:eastAsia="de-DE"/>
        </w:rPr>
        <w:t>As a standalone satellite component, complementing nationally licensed terrestrial broadcast networks.</w:t>
      </w:r>
    </w:p>
    <w:p w:rsidR="006D1BB1" w:rsidRPr="008D2EA0" w:rsidRDefault="006D1BB1" w:rsidP="006D1BB1">
      <w:pPr>
        <w:pStyle w:val="Sansinterligne1"/>
        <w:tabs>
          <w:tab w:val="num" w:pos="284"/>
        </w:tabs>
        <w:spacing w:before="120" w:after="120"/>
        <w:rPr>
          <w:rFonts w:ascii="Arial" w:hAnsi="Arial" w:cs="Arial"/>
          <w:sz w:val="20"/>
          <w:szCs w:val="20"/>
          <w:lang w:val="en-GB"/>
        </w:rPr>
      </w:pPr>
      <w:r w:rsidRPr="008D2EA0">
        <w:rPr>
          <w:rFonts w:ascii="Arial" w:hAnsi="Arial" w:cs="Arial"/>
          <w:sz w:val="20"/>
          <w:szCs w:val="20"/>
          <w:lang w:val="en-GB"/>
        </w:rPr>
        <w:t xml:space="preserve">The specific mode of operation (and content) may vary from country to country, depending on national regulations and the competitive situation. A hybrid service using the second mode of operation (operating in the 2.3 GHz band) has accumulated </w:t>
      </w:r>
      <w:r w:rsidR="0027209E">
        <w:rPr>
          <w:rFonts w:ascii="Arial" w:hAnsi="Arial" w:cs="Arial"/>
          <w:sz w:val="20"/>
          <w:szCs w:val="20"/>
          <w:lang w:val="en-GB"/>
        </w:rPr>
        <w:t>a significant number of</w:t>
      </w:r>
      <w:r w:rsidR="00995D9E">
        <w:rPr>
          <w:rFonts w:ascii="Arial" w:hAnsi="Arial" w:cs="Arial"/>
          <w:sz w:val="20"/>
          <w:szCs w:val="20"/>
          <w:lang w:val="en-GB"/>
        </w:rPr>
        <w:t xml:space="preserve"> </w:t>
      </w:r>
      <w:r w:rsidRPr="008D2EA0">
        <w:rPr>
          <w:rFonts w:ascii="Arial" w:hAnsi="Arial" w:cs="Arial"/>
          <w:sz w:val="20"/>
          <w:szCs w:val="20"/>
          <w:lang w:val="en-GB"/>
        </w:rPr>
        <w:t xml:space="preserve">subscribers in North America. A large proportion of new cars sold in North America </w:t>
      </w:r>
      <w:r w:rsidR="0027209E">
        <w:rPr>
          <w:rFonts w:ascii="Arial" w:hAnsi="Arial" w:cs="Arial"/>
          <w:sz w:val="20"/>
          <w:szCs w:val="20"/>
          <w:lang w:val="en-GB"/>
        </w:rPr>
        <w:t>are</w:t>
      </w:r>
      <w:r w:rsidR="0027209E" w:rsidRPr="008D2EA0">
        <w:rPr>
          <w:rFonts w:ascii="Arial" w:hAnsi="Arial" w:cs="Arial"/>
          <w:sz w:val="20"/>
          <w:szCs w:val="20"/>
          <w:lang w:val="en-GB"/>
        </w:rPr>
        <w:t xml:space="preserve"> </w:t>
      </w:r>
      <w:r w:rsidRPr="008D2EA0">
        <w:rPr>
          <w:rFonts w:ascii="Arial" w:hAnsi="Arial" w:cs="Arial"/>
          <w:sz w:val="20"/>
          <w:szCs w:val="20"/>
          <w:lang w:val="en-GB"/>
        </w:rPr>
        <w:t>equipped with a satellite radio enabled receiver.</w:t>
      </w:r>
    </w:p>
    <w:p w:rsidR="006D1BB1" w:rsidRPr="008D2EA0" w:rsidRDefault="006D1BB1" w:rsidP="006D1BB1">
      <w:pPr>
        <w:pStyle w:val="ECCParagraph"/>
        <w:spacing w:after="120"/>
      </w:pPr>
      <w:r w:rsidRPr="008D2EA0">
        <w:t>The main features of S-DAB services are:</w:t>
      </w:r>
    </w:p>
    <w:p w:rsidR="006D1BB1" w:rsidRPr="008D2EA0" w:rsidRDefault="006D1BB1" w:rsidP="000F6780">
      <w:pPr>
        <w:pStyle w:val="ECCParBulleted"/>
        <w:numPr>
          <w:ilvl w:val="0"/>
          <w:numId w:val="18"/>
        </w:numPr>
      </w:pPr>
      <w:r w:rsidRPr="008D2EA0">
        <w:t>Universal availability</w:t>
      </w:r>
    </w:p>
    <w:p w:rsidR="006D1BB1" w:rsidRPr="008D2EA0" w:rsidRDefault="006D1BB1" w:rsidP="00F77275">
      <w:pPr>
        <w:pStyle w:val="ECCParBulleted"/>
        <w:numPr>
          <w:ilvl w:val="0"/>
          <w:numId w:val="62"/>
        </w:numPr>
      </w:pPr>
      <w:r w:rsidRPr="008D2EA0">
        <w:t>coverage up to 100% of the territory under line-of-sight conditions</w:t>
      </w:r>
      <w:r w:rsidR="00E60485">
        <w:t>;</w:t>
      </w:r>
    </w:p>
    <w:p w:rsidR="006D1BB1" w:rsidRPr="008D2EA0" w:rsidRDefault="006D1BB1" w:rsidP="00F77275">
      <w:pPr>
        <w:pStyle w:val="ECCParBulleted"/>
        <w:numPr>
          <w:ilvl w:val="0"/>
          <w:numId w:val="62"/>
        </w:numPr>
      </w:pPr>
      <w:r w:rsidRPr="008D2EA0">
        <w:t>support for services for people with disabilities, where required</w:t>
      </w:r>
      <w:r w:rsidR="00E60485">
        <w:t>.</w:t>
      </w:r>
    </w:p>
    <w:p w:rsidR="006D1BB1" w:rsidRPr="008D2EA0" w:rsidRDefault="006D1BB1" w:rsidP="006D1BB1">
      <w:pPr>
        <w:tabs>
          <w:tab w:val="left" w:pos="426"/>
          <w:tab w:val="left" w:pos="1560"/>
        </w:tabs>
        <w:rPr>
          <w:lang w:val="en-GB"/>
        </w:rPr>
      </w:pPr>
    </w:p>
    <w:p w:rsidR="006D1BB1" w:rsidRPr="008D2EA0" w:rsidRDefault="006D1BB1" w:rsidP="000F6780">
      <w:pPr>
        <w:pStyle w:val="ECCParBulleted"/>
        <w:numPr>
          <w:ilvl w:val="0"/>
          <w:numId w:val="18"/>
        </w:numPr>
      </w:pPr>
      <w:r w:rsidRPr="008D2EA0">
        <w:t>High QoS</w:t>
      </w:r>
    </w:p>
    <w:p w:rsidR="006D1BB1" w:rsidRPr="008D2EA0" w:rsidRDefault="006D1BB1" w:rsidP="00F77275">
      <w:pPr>
        <w:pStyle w:val="ECCParBulleted"/>
        <w:numPr>
          <w:ilvl w:val="0"/>
          <w:numId w:val="63"/>
        </w:numPr>
      </w:pPr>
      <w:r w:rsidRPr="008D2EA0">
        <w:t>predictable and consistent across the whole service area</w:t>
      </w:r>
      <w:r w:rsidR="00E60485">
        <w:t>;</w:t>
      </w:r>
    </w:p>
    <w:p w:rsidR="006D1BB1" w:rsidRPr="008D2EA0" w:rsidRDefault="006D1BB1" w:rsidP="00F77275">
      <w:pPr>
        <w:pStyle w:val="ECCParBulleted"/>
        <w:numPr>
          <w:ilvl w:val="0"/>
          <w:numId w:val="63"/>
        </w:numPr>
      </w:pPr>
      <w:r w:rsidRPr="008D2EA0">
        <w:t>independent of the number of simultaneous viewers and listeners</w:t>
      </w:r>
      <w:r w:rsidR="00E60485">
        <w:t>;</w:t>
      </w:r>
    </w:p>
    <w:p w:rsidR="006D1BB1" w:rsidRPr="008D2EA0" w:rsidRDefault="006D1BB1" w:rsidP="00F77275">
      <w:pPr>
        <w:pStyle w:val="ECCParBulleted"/>
        <w:numPr>
          <w:ilvl w:val="0"/>
          <w:numId w:val="63"/>
        </w:numPr>
      </w:pPr>
      <w:r w:rsidRPr="008D2EA0">
        <w:t>control over QoS</w:t>
      </w:r>
      <w:r w:rsidR="00E60485">
        <w:t>.</w:t>
      </w:r>
    </w:p>
    <w:p w:rsidR="006D1BB1" w:rsidRPr="008D2EA0" w:rsidRDefault="006D1BB1" w:rsidP="006D1BB1">
      <w:pPr>
        <w:pStyle w:val="ECCParBulleted"/>
        <w:numPr>
          <w:ilvl w:val="0"/>
          <w:numId w:val="0"/>
        </w:numPr>
        <w:tabs>
          <w:tab w:val="left" w:pos="1304"/>
        </w:tabs>
        <w:jc w:val="left"/>
      </w:pPr>
    </w:p>
    <w:p w:rsidR="006D1BB1" w:rsidRPr="008D2EA0" w:rsidRDefault="006D1BB1" w:rsidP="000F6780">
      <w:pPr>
        <w:pStyle w:val="ECCParBulleted"/>
        <w:numPr>
          <w:ilvl w:val="0"/>
          <w:numId w:val="18"/>
        </w:numPr>
      </w:pPr>
      <w:r w:rsidRPr="008D2EA0">
        <w:t>Efficiency</w:t>
      </w:r>
    </w:p>
    <w:p w:rsidR="006D1BB1" w:rsidRPr="008D2EA0" w:rsidRDefault="006D1BB1" w:rsidP="00F77275">
      <w:pPr>
        <w:pStyle w:val="ECCParBulleted"/>
        <w:numPr>
          <w:ilvl w:val="0"/>
          <w:numId w:val="64"/>
        </w:numPr>
      </w:pPr>
      <w:r w:rsidRPr="008D2EA0">
        <w:t>spectrally, technically and cost efficient delivery to large audiences</w:t>
      </w:r>
      <w:r w:rsidR="00E60485">
        <w:t>.</w:t>
      </w:r>
    </w:p>
    <w:p w:rsidR="006D1BB1" w:rsidRPr="008D2EA0" w:rsidRDefault="006D1BB1" w:rsidP="006D1BB1">
      <w:pPr>
        <w:pStyle w:val="ECCParBulleted"/>
        <w:numPr>
          <w:ilvl w:val="0"/>
          <w:numId w:val="0"/>
        </w:numPr>
        <w:tabs>
          <w:tab w:val="left" w:pos="1304"/>
        </w:tabs>
      </w:pPr>
    </w:p>
    <w:p w:rsidR="006D1BB1" w:rsidRPr="008D2EA0" w:rsidRDefault="006D1BB1" w:rsidP="000F6780">
      <w:pPr>
        <w:pStyle w:val="ECCParBulleted"/>
        <w:numPr>
          <w:ilvl w:val="0"/>
          <w:numId w:val="18"/>
        </w:numPr>
      </w:pPr>
      <w:r w:rsidRPr="008D2EA0">
        <w:t>Flexibility</w:t>
      </w:r>
    </w:p>
    <w:p w:rsidR="006D1BB1" w:rsidRPr="008D2EA0" w:rsidRDefault="006D1BB1" w:rsidP="00F77275">
      <w:pPr>
        <w:pStyle w:val="ECCParBulleted"/>
        <w:numPr>
          <w:ilvl w:val="0"/>
          <w:numId w:val="65"/>
        </w:numPr>
      </w:pPr>
      <w:r w:rsidRPr="008D2EA0">
        <w:t>possible delivery to fixed, portable and mobile reception conditions</w:t>
      </w:r>
      <w:r w:rsidR="00E60485">
        <w:t>;</w:t>
      </w:r>
    </w:p>
    <w:p w:rsidR="006D1BB1" w:rsidRPr="008D2EA0" w:rsidRDefault="006D1BB1" w:rsidP="00F77275">
      <w:pPr>
        <w:pStyle w:val="ECCParBulleted"/>
        <w:numPr>
          <w:ilvl w:val="0"/>
          <w:numId w:val="65"/>
        </w:numPr>
      </w:pPr>
      <w:r w:rsidRPr="008D2EA0">
        <w:t>support for free-to-air reception or conditional access, or both</w:t>
      </w:r>
      <w:r w:rsidR="00E60485">
        <w:t>;</w:t>
      </w:r>
    </w:p>
    <w:p w:rsidR="006D1BB1" w:rsidRPr="008D2EA0" w:rsidRDefault="006D1BB1" w:rsidP="00F77275">
      <w:pPr>
        <w:pStyle w:val="ECCParBulleted"/>
        <w:numPr>
          <w:ilvl w:val="0"/>
          <w:numId w:val="65"/>
        </w:numPr>
      </w:pPr>
      <w:r w:rsidRPr="008D2EA0">
        <w:t>supports public service as well as commercial broadcasting model</w:t>
      </w:r>
      <w:r w:rsidR="00CF56E0">
        <w:t>s</w:t>
      </w:r>
      <w:r w:rsidR="00E60485">
        <w:t>;</w:t>
      </w:r>
    </w:p>
    <w:p w:rsidR="006D1BB1" w:rsidRPr="008D2EA0" w:rsidRDefault="006D1BB1" w:rsidP="00F77275">
      <w:pPr>
        <w:pStyle w:val="ECCParBulleted"/>
        <w:numPr>
          <w:ilvl w:val="0"/>
          <w:numId w:val="65"/>
        </w:numPr>
      </w:pPr>
      <w:r w:rsidRPr="008D2EA0">
        <w:t>access adapted to the service requirements (international, national and regional)</w:t>
      </w:r>
      <w:r w:rsidR="00E60485">
        <w:t>.</w:t>
      </w:r>
    </w:p>
    <w:p w:rsidR="006D1BB1" w:rsidRPr="008D2EA0" w:rsidRDefault="006D1BB1" w:rsidP="006D1BB1">
      <w:pPr>
        <w:pStyle w:val="ECCParBulleted"/>
        <w:numPr>
          <w:ilvl w:val="0"/>
          <w:numId w:val="0"/>
        </w:numPr>
        <w:tabs>
          <w:tab w:val="left" w:pos="1304"/>
        </w:tabs>
        <w:ind w:left="340"/>
        <w:jc w:val="left"/>
      </w:pPr>
    </w:p>
    <w:p w:rsidR="006D1BB1" w:rsidRPr="008D2EA0" w:rsidRDefault="006D1BB1" w:rsidP="000F6780">
      <w:pPr>
        <w:pStyle w:val="ECCParBulleted"/>
        <w:numPr>
          <w:ilvl w:val="0"/>
          <w:numId w:val="18"/>
        </w:numPr>
      </w:pPr>
      <w:r w:rsidRPr="008D2EA0">
        <w:t>Mass-market platform</w:t>
      </w:r>
    </w:p>
    <w:p w:rsidR="006D1BB1" w:rsidRPr="008D2EA0" w:rsidRDefault="006D1BB1" w:rsidP="00F77275">
      <w:pPr>
        <w:pStyle w:val="ECCParBulleted"/>
        <w:numPr>
          <w:ilvl w:val="0"/>
          <w:numId w:val="66"/>
        </w:numPr>
      </w:pPr>
      <w:r w:rsidRPr="008D2EA0">
        <w:t>widely supported by manufacturers, satellite network operators, broadcasters and regulators</w:t>
      </w:r>
      <w:r w:rsidR="00E60485">
        <w:t>.</w:t>
      </w:r>
      <w:r w:rsidRPr="008D2EA0">
        <w:t xml:space="preserve"> </w:t>
      </w:r>
    </w:p>
    <w:p w:rsidR="006D1BB1" w:rsidRPr="008D2EA0" w:rsidRDefault="006D1BB1" w:rsidP="006D1BB1">
      <w:pPr>
        <w:pStyle w:val="ECCParBulleted"/>
        <w:numPr>
          <w:ilvl w:val="0"/>
          <w:numId w:val="0"/>
        </w:numPr>
        <w:tabs>
          <w:tab w:val="left" w:pos="1304"/>
        </w:tabs>
        <w:jc w:val="left"/>
      </w:pPr>
    </w:p>
    <w:p w:rsidR="006D1BB1" w:rsidRPr="008D2EA0" w:rsidRDefault="006D1BB1" w:rsidP="000F6780">
      <w:pPr>
        <w:pStyle w:val="ECCParBulleted"/>
        <w:numPr>
          <w:ilvl w:val="0"/>
          <w:numId w:val="18"/>
        </w:numPr>
      </w:pPr>
      <w:r w:rsidRPr="008D2EA0">
        <w:t>Competition</w:t>
      </w:r>
    </w:p>
    <w:p w:rsidR="006D1BB1" w:rsidRPr="008D2EA0" w:rsidRDefault="006D1BB1" w:rsidP="00F77275">
      <w:pPr>
        <w:pStyle w:val="ECCParBulleted"/>
        <w:numPr>
          <w:ilvl w:val="0"/>
          <w:numId w:val="66"/>
        </w:numPr>
      </w:pPr>
      <w:r w:rsidRPr="008D2EA0">
        <w:t>promotes competition even in those markets that are dominated by other delivery platforms</w:t>
      </w:r>
      <w:r w:rsidR="00E60485">
        <w:t>.</w:t>
      </w:r>
    </w:p>
    <w:p w:rsidR="006D1BB1" w:rsidRPr="008D2EA0" w:rsidRDefault="006D1BB1" w:rsidP="006D1BB1">
      <w:pPr>
        <w:pStyle w:val="ECCParBulleted"/>
        <w:numPr>
          <w:ilvl w:val="0"/>
          <w:numId w:val="0"/>
        </w:numPr>
        <w:tabs>
          <w:tab w:val="left" w:pos="1304"/>
        </w:tabs>
        <w:ind w:left="340" w:hanging="340"/>
        <w:jc w:val="left"/>
      </w:pPr>
    </w:p>
    <w:p w:rsidR="006D1BB1" w:rsidRPr="008D2EA0" w:rsidRDefault="006D1BB1" w:rsidP="00E60485">
      <w:pPr>
        <w:pStyle w:val="ECCParagraph"/>
        <w:keepNext/>
      </w:pPr>
      <w:r w:rsidRPr="008D2EA0">
        <w:lastRenderedPageBreak/>
        <w:t>S-DAB networks can be implemented by means of different technologies, in particular the DVB-SH and SDR standards families, as indicated in the table 4 below:</w:t>
      </w:r>
    </w:p>
    <w:p w:rsidR="006D1BB1" w:rsidRPr="008D2EA0" w:rsidRDefault="006D1BB1" w:rsidP="00F21C76">
      <w:pPr>
        <w:pStyle w:val="ECCTabletitle"/>
      </w:pPr>
      <w:r w:rsidRPr="008D2EA0">
        <w:t>Examples of satellite broadcasting technologies</w:t>
      </w:r>
      <w:r w:rsidR="00431D6D" w:rsidRPr="008D2EA0">
        <w:t xml:space="preserve"> (see also</w:t>
      </w:r>
      <w:r w:rsidR="009151EF" w:rsidRPr="008D2EA0">
        <w:t xml:space="preserve"> </w:t>
      </w:r>
      <w:r w:rsidR="009151EF" w:rsidRPr="008D2EA0">
        <w:fldChar w:fldCharType="begin"/>
      </w:r>
      <w:r w:rsidR="009151EF" w:rsidRPr="008D2EA0">
        <w:instrText xml:space="preserve"> REF _Ref330509799 \r \h </w:instrText>
      </w:r>
      <w:r w:rsidR="009151EF" w:rsidRPr="008D2EA0">
        <w:fldChar w:fldCharType="separate"/>
      </w:r>
      <w:r w:rsidR="00E73FF2">
        <w:t>ANNEX 5:</w:t>
      </w:r>
      <w:r w:rsidR="009151EF" w:rsidRPr="008D2EA0">
        <w:fldChar w:fldCharType="end"/>
      </w:r>
      <w:r w:rsidR="00431D6D" w:rsidRPr="008D2EA0">
        <w:t>)</w:t>
      </w:r>
    </w:p>
    <w:tbl>
      <w:tblPr>
        <w:tblW w:w="931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233"/>
        <w:gridCol w:w="2974"/>
        <w:gridCol w:w="4108"/>
      </w:tblGrid>
      <w:tr w:rsidR="006D1BB1" w:rsidRPr="008D2EA0" w:rsidTr="006D1BB1">
        <w:trPr>
          <w:tblHeader/>
        </w:trPr>
        <w:tc>
          <w:tcPr>
            <w:tcW w:w="2235"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6D1BB1" w:rsidRPr="008D2EA0" w:rsidRDefault="006D1BB1" w:rsidP="00E60485">
            <w:pPr>
              <w:keepNext/>
              <w:spacing w:line="288" w:lineRule="auto"/>
              <w:jc w:val="center"/>
              <w:rPr>
                <w:rFonts w:cs="Arial"/>
                <w:b/>
                <w:color w:val="FFFFFF"/>
                <w:lang w:val="en-GB"/>
              </w:rPr>
            </w:pPr>
            <w:r w:rsidRPr="008D2EA0">
              <w:rPr>
                <w:rFonts w:cs="Arial"/>
                <w:b/>
                <w:color w:val="FFFFFF"/>
                <w:lang w:val="en-GB"/>
              </w:rPr>
              <w:t>Technology</w:t>
            </w:r>
          </w:p>
        </w:tc>
        <w:tc>
          <w:tcPr>
            <w:tcW w:w="2976"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6D1BB1" w:rsidRPr="008D2EA0" w:rsidRDefault="006D1BB1" w:rsidP="00E60485">
            <w:pPr>
              <w:keepNext/>
              <w:spacing w:line="288" w:lineRule="auto"/>
              <w:jc w:val="center"/>
              <w:rPr>
                <w:b/>
                <w:color w:val="FFFFFF"/>
                <w:lang w:val="en-GB"/>
              </w:rPr>
            </w:pPr>
            <w:r w:rsidRPr="008D2EA0">
              <w:rPr>
                <w:b/>
                <w:color w:val="FFFFFF"/>
                <w:lang w:val="en-GB"/>
              </w:rPr>
              <w:t>Supported block/channel bandwidth</w:t>
            </w:r>
          </w:p>
        </w:tc>
        <w:tc>
          <w:tcPr>
            <w:tcW w:w="4111"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6D1BB1" w:rsidRPr="008D2EA0" w:rsidRDefault="006D1BB1" w:rsidP="00E60485">
            <w:pPr>
              <w:keepNext/>
              <w:spacing w:line="288" w:lineRule="auto"/>
              <w:jc w:val="center"/>
              <w:rPr>
                <w:b/>
                <w:color w:val="FFFFFF"/>
                <w:lang w:val="en-GB"/>
              </w:rPr>
            </w:pPr>
            <w:r w:rsidRPr="008D2EA0">
              <w:rPr>
                <w:b/>
                <w:color w:val="FFFFFF"/>
                <w:lang w:val="en-GB"/>
              </w:rPr>
              <w:t xml:space="preserve">Related </w:t>
            </w:r>
            <w:r w:rsidR="00E60485">
              <w:rPr>
                <w:b/>
                <w:color w:val="FFFFFF"/>
                <w:lang w:val="en-GB"/>
              </w:rPr>
              <w:t>s</w:t>
            </w:r>
            <w:r w:rsidRPr="008D2EA0">
              <w:rPr>
                <w:b/>
                <w:color w:val="FFFFFF"/>
                <w:lang w:val="en-GB"/>
              </w:rPr>
              <w:t>tandards</w:t>
            </w:r>
            <w:r w:rsidR="00C073F3">
              <w:rPr>
                <w:b/>
                <w:color w:val="FFFFFF"/>
                <w:lang w:val="en-GB"/>
              </w:rPr>
              <w:t>, specifications and reports</w:t>
            </w:r>
          </w:p>
        </w:tc>
      </w:tr>
      <w:tr w:rsidR="006D1BB1" w:rsidRPr="008D2EA0"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rsidP="00E60485">
            <w:pPr>
              <w:keepNext/>
              <w:spacing w:before="40" w:after="40"/>
              <w:rPr>
                <w:rFonts w:ascii="Times New Roman" w:hAnsi="Times New Roman"/>
                <w:sz w:val="24"/>
                <w:lang w:val="en-GB" w:eastAsia="fr-FR"/>
              </w:rPr>
            </w:pPr>
            <w:r w:rsidRPr="008D2EA0">
              <w:rPr>
                <w:lang w:val="en-GB"/>
              </w:rPr>
              <w:t>SDR</w:t>
            </w:r>
          </w:p>
        </w:tc>
        <w:tc>
          <w:tcPr>
            <w:tcW w:w="2976"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BC050E" w:rsidP="00E60485">
            <w:pPr>
              <w:keepNext/>
              <w:rPr>
                <w:rFonts w:ascii="Times New Roman" w:hAnsi="Times New Roman"/>
                <w:sz w:val="24"/>
                <w:lang w:val="en-GB" w:eastAsia="fr-FR"/>
              </w:rPr>
            </w:pPr>
            <w:r w:rsidRPr="008D2EA0">
              <w:rPr>
                <w:lang w:val="en-GB"/>
              </w:rPr>
              <w:t>1.7-</w:t>
            </w:r>
            <w:r w:rsidR="006D1BB1" w:rsidRPr="008D2EA0">
              <w:rPr>
                <w:lang w:val="en-GB"/>
              </w:rPr>
              <w:t>12.5 MHz</w:t>
            </w:r>
          </w:p>
        </w:tc>
        <w:tc>
          <w:tcPr>
            <w:tcW w:w="4111" w:type="dxa"/>
            <w:tcBorders>
              <w:top w:val="single" w:sz="4" w:space="0" w:color="D2232A"/>
              <w:left w:val="single" w:sz="4" w:space="0" w:color="D2232A"/>
              <w:bottom w:val="single" w:sz="4" w:space="0" w:color="D2232A"/>
              <w:right w:val="single" w:sz="4" w:space="0" w:color="D2232A"/>
            </w:tcBorders>
            <w:hideMark/>
          </w:tcPr>
          <w:p w:rsidR="006D1BB1" w:rsidRPr="00C06365" w:rsidRDefault="006D1BB1" w:rsidP="00E60485">
            <w:pPr>
              <w:keepNext/>
              <w:spacing w:before="40" w:after="40"/>
              <w:ind w:left="175"/>
              <w:rPr>
                <w:rFonts w:ascii="Times New Roman" w:hAnsi="Times New Roman"/>
                <w:sz w:val="24"/>
                <w:lang w:val="fr-FR" w:eastAsia="en-GB"/>
              </w:rPr>
            </w:pPr>
            <w:r w:rsidRPr="00C06365">
              <w:rPr>
                <w:lang w:val="fr-FR" w:eastAsia="en-GB"/>
              </w:rPr>
              <w:t>ETSI - TR 102 525</w:t>
            </w:r>
          </w:p>
          <w:p w:rsidR="006D1BB1" w:rsidRPr="00C06365" w:rsidRDefault="006D1BB1" w:rsidP="00E60485">
            <w:pPr>
              <w:keepNext/>
              <w:spacing w:before="40" w:after="40"/>
              <w:ind w:left="175"/>
              <w:rPr>
                <w:rFonts w:ascii="Times New Roman" w:hAnsi="Times New Roman"/>
                <w:sz w:val="24"/>
                <w:lang w:val="fr-FR" w:eastAsia="en-GB"/>
              </w:rPr>
            </w:pPr>
            <w:r w:rsidRPr="00C06365">
              <w:rPr>
                <w:lang w:val="fr-FR" w:eastAsia="en-GB"/>
              </w:rPr>
              <w:t>ETSI - TR 102 604</w:t>
            </w:r>
          </w:p>
          <w:p w:rsidR="006D1BB1" w:rsidRPr="00C06365" w:rsidRDefault="006D1BB1" w:rsidP="00E60485">
            <w:pPr>
              <w:keepNext/>
              <w:spacing w:before="40" w:after="40"/>
              <w:ind w:left="175"/>
              <w:rPr>
                <w:lang w:val="fr-FR" w:eastAsia="en-GB"/>
              </w:rPr>
            </w:pPr>
            <w:r w:rsidRPr="00C06365">
              <w:rPr>
                <w:lang w:val="fr-FR" w:eastAsia="en-GB"/>
              </w:rPr>
              <w:t>ETSI - TS 302 550-1-1</w:t>
            </w:r>
            <w:r w:rsidR="009151EF" w:rsidRPr="00C06365">
              <w:rPr>
                <w:lang w:val="fr-FR" w:eastAsia="en-GB"/>
              </w:rPr>
              <w:t xml:space="preserve"> </w:t>
            </w:r>
          </w:p>
          <w:p w:rsidR="006D1BB1" w:rsidRPr="008D2EA0" w:rsidRDefault="006D1BB1" w:rsidP="00E60485">
            <w:pPr>
              <w:keepNext/>
              <w:autoSpaceDE w:val="0"/>
              <w:autoSpaceDN w:val="0"/>
              <w:adjustRightInd w:val="0"/>
              <w:ind w:left="175"/>
              <w:rPr>
                <w:lang w:val="en-GB" w:eastAsia="en-GB"/>
              </w:rPr>
            </w:pPr>
            <w:r w:rsidRPr="008D2EA0">
              <w:rPr>
                <w:lang w:val="en-GB" w:eastAsia="en-GB"/>
              </w:rPr>
              <w:t>ETSI - TS 302 550-1-2</w:t>
            </w:r>
          </w:p>
          <w:p w:rsidR="006D1BB1" w:rsidRPr="008D2EA0" w:rsidRDefault="006D1BB1" w:rsidP="00E60485">
            <w:pPr>
              <w:keepNext/>
              <w:autoSpaceDE w:val="0"/>
              <w:autoSpaceDN w:val="0"/>
              <w:adjustRightInd w:val="0"/>
              <w:ind w:left="175"/>
              <w:rPr>
                <w:rFonts w:ascii="Times New Roman" w:hAnsi="Times New Roman"/>
                <w:sz w:val="24"/>
                <w:lang w:val="en-GB" w:eastAsia="en-GB"/>
              </w:rPr>
            </w:pPr>
            <w:r w:rsidRPr="008D2EA0">
              <w:rPr>
                <w:lang w:val="en-GB" w:eastAsia="en-GB"/>
              </w:rPr>
              <w:t>ETSI - TS 302 550-1-3</w:t>
            </w:r>
          </w:p>
        </w:tc>
      </w:tr>
      <w:tr w:rsidR="006D1BB1" w:rsidRPr="00F21C76" w:rsidTr="006D1BB1">
        <w:tc>
          <w:tcPr>
            <w:tcW w:w="2235"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sz w:val="24"/>
                <w:lang w:val="en-GB" w:eastAsia="fr-FR"/>
              </w:rPr>
            </w:pPr>
            <w:r w:rsidRPr="008D2EA0">
              <w:rPr>
                <w:lang w:val="en-GB"/>
              </w:rPr>
              <w:t>DVB-SH</w:t>
            </w:r>
          </w:p>
        </w:tc>
        <w:tc>
          <w:tcPr>
            <w:tcW w:w="2976" w:type="dxa"/>
            <w:tcBorders>
              <w:top w:val="single" w:sz="4" w:space="0" w:color="D2232A"/>
              <w:left w:val="single" w:sz="4" w:space="0" w:color="D2232A"/>
              <w:bottom w:val="single" w:sz="4" w:space="0" w:color="D2232A"/>
              <w:right w:val="single" w:sz="4" w:space="0" w:color="D2232A"/>
            </w:tcBorders>
            <w:vAlign w:val="center"/>
            <w:hideMark/>
          </w:tcPr>
          <w:p w:rsidR="006D1BB1" w:rsidRPr="008D2EA0" w:rsidRDefault="006D1BB1">
            <w:pPr>
              <w:rPr>
                <w:rFonts w:ascii="Times New Roman" w:hAnsi="Times New Roman"/>
                <w:sz w:val="24"/>
                <w:lang w:val="en-GB" w:eastAsia="fr-FR"/>
              </w:rPr>
            </w:pPr>
            <w:r w:rsidRPr="008D2EA0">
              <w:rPr>
                <w:lang w:val="en-GB"/>
              </w:rPr>
              <w:t>1.7, 5, 6, 7 and 8 MHz</w:t>
            </w:r>
          </w:p>
        </w:tc>
        <w:tc>
          <w:tcPr>
            <w:tcW w:w="4111" w:type="dxa"/>
            <w:tcBorders>
              <w:top w:val="single" w:sz="4" w:space="0" w:color="D2232A"/>
              <w:left w:val="single" w:sz="4" w:space="0" w:color="D2232A"/>
              <w:bottom w:val="single" w:sz="4" w:space="0" w:color="D2232A"/>
              <w:right w:val="single" w:sz="4" w:space="0" w:color="D2232A"/>
            </w:tcBorders>
            <w:hideMark/>
          </w:tcPr>
          <w:p w:rsidR="006D1BB1" w:rsidRPr="00C06365" w:rsidRDefault="006D1BB1">
            <w:pPr>
              <w:autoSpaceDE w:val="0"/>
              <w:autoSpaceDN w:val="0"/>
              <w:adjustRightInd w:val="0"/>
              <w:ind w:left="175"/>
              <w:rPr>
                <w:rFonts w:ascii="Times New Roman" w:hAnsi="Times New Roman"/>
                <w:sz w:val="24"/>
                <w:lang w:val="fr-FR" w:eastAsia="fr-FR"/>
              </w:rPr>
            </w:pPr>
            <w:r w:rsidRPr="00C06365">
              <w:rPr>
                <w:lang w:val="fr-FR"/>
              </w:rPr>
              <w:t>ETSI – EN 302 583</w:t>
            </w:r>
          </w:p>
          <w:p w:rsidR="006D1BB1" w:rsidRPr="00C06365" w:rsidRDefault="006D1BB1">
            <w:pPr>
              <w:autoSpaceDE w:val="0"/>
              <w:autoSpaceDN w:val="0"/>
              <w:adjustRightInd w:val="0"/>
              <w:ind w:left="175"/>
              <w:rPr>
                <w:lang w:val="fr-FR"/>
              </w:rPr>
            </w:pPr>
            <w:r w:rsidRPr="00C06365">
              <w:rPr>
                <w:lang w:val="fr-FR"/>
              </w:rPr>
              <w:t>ETSI – TS 102 594</w:t>
            </w:r>
          </w:p>
          <w:p w:rsidR="006D1BB1" w:rsidRPr="00C06365" w:rsidRDefault="006D1BB1" w:rsidP="00D12EE0">
            <w:pPr>
              <w:autoSpaceDE w:val="0"/>
              <w:autoSpaceDN w:val="0"/>
              <w:adjustRightInd w:val="0"/>
              <w:ind w:left="175"/>
              <w:rPr>
                <w:rFonts w:ascii="Times New Roman" w:hAnsi="Times New Roman"/>
                <w:sz w:val="24"/>
                <w:lang w:val="fr-FR" w:eastAsia="fr-FR"/>
              </w:rPr>
            </w:pPr>
            <w:r w:rsidRPr="00C06365">
              <w:rPr>
                <w:lang w:val="fr-FR" w:eastAsia="en-GB"/>
              </w:rPr>
              <w:t>ETSI – TR 102 377</w:t>
            </w:r>
          </w:p>
        </w:tc>
      </w:tr>
    </w:tbl>
    <w:p w:rsidR="006D1BB1" w:rsidRPr="002A2935" w:rsidRDefault="006D1BB1" w:rsidP="006D1BB1">
      <w:pPr>
        <w:rPr>
          <w:lang w:val="fr-FR"/>
        </w:rPr>
      </w:pPr>
    </w:p>
    <w:p w:rsidR="006D1BB1" w:rsidRPr="008D2EA0" w:rsidRDefault="006D1BB1" w:rsidP="002239E6">
      <w:pPr>
        <w:pStyle w:val="Heading3"/>
      </w:pPr>
      <w:bookmarkStart w:id="50" w:name="_Toc321318114"/>
      <w:bookmarkStart w:id="51" w:name="_Toc349039247"/>
      <w:r w:rsidRPr="008D2EA0">
        <w:t>Justification</w:t>
      </w:r>
      <w:bookmarkEnd w:id="50"/>
      <w:bookmarkEnd w:id="51"/>
    </w:p>
    <w:p w:rsidR="006D1BB1" w:rsidRPr="008D2EA0" w:rsidRDefault="006D1BB1" w:rsidP="006D1BB1">
      <w:pPr>
        <w:autoSpaceDE w:val="0"/>
        <w:autoSpaceDN w:val="0"/>
        <w:adjustRightInd w:val="0"/>
        <w:spacing w:after="240"/>
        <w:jc w:val="both"/>
        <w:rPr>
          <w:rFonts w:cs="Arial"/>
          <w:color w:val="000000"/>
          <w:szCs w:val="20"/>
          <w:lang w:val="en-GB"/>
        </w:rPr>
      </w:pPr>
      <w:bookmarkStart w:id="52" w:name="_Toc313548327"/>
      <w:r w:rsidRPr="008D2EA0">
        <w:rPr>
          <w:rFonts w:cs="Arial"/>
          <w:color w:val="000000"/>
          <w:szCs w:val="20"/>
          <w:lang w:val="en-GB"/>
        </w:rPr>
        <w:t xml:space="preserve">With demand for digital audio broadcasting services growing in </w:t>
      </w:r>
      <w:r w:rsidR="00CF56E0">
        <w:rPr>
          <w:rFonts w:cs="Arial"/>
          <w:color w:val="000000"/>
          <w:szCs w:val="20"/>
          <w:lang w:val="en-GB"/>
        </w:rPr>
        <w:t>some</w:t>
      </w:r>
      <w:r w:rsidR="00CF56E0" w:rsidRPr="008D2EA0">
        <w:rPr>
          <w:rFonts w:cs="Arial"/>
          <w:color w:val="000000"/>
          <w:szCs w:val="20"/>
          <w:lang w:val="en-GB"/>
        </w:rPr>
        <w:t xml:space="preserve"> </w:t>
      </w:r>
      <w:r w:rsidRPr="008D2EA0">
        <w:rPr>
          <w:rFonts w:cs="Arial"/>
          <w:color w:val="000000"/>
          <w:szCs w:val="20"/>
          <w:lang w:val="en-GB"/>
        </w:rPr>
        <w:t>countries in CEPT, satellites can play a role in extending coverage and population reach of existing and new audio content. S-DAB could thus provide digital audio broadcasting solutions not only in countries where L-Band is important because of lack of alternative spectrum, but also as an enabler of new and innovative audio content offers.</w:t>
      </w:r>
    </w:p>
    <w:p w:rsidR="006D1BB1" w:rsidRPr="008D2EA0" w:rsidRDefault="00CF56E0" w:rsidP="006D1BB1">
      <w:pPr>
        <w:pStyle w:val="ECCParagraph"/>
      </w:pPr>
      <w:r>
        <w:t>Some d</w:t>
      </w:r>
      <w:r w:rsidR="006D1BB1" w:rsidRPr="008D2EA0">
        <w:t>emand has been expressed for the deployment of feature-rich free-to-air and subscription-based radio services. Implementation in Europe would require taking into account the variety of languages, cultural specificities and different coverage that compose the European countries. In this respect, the L</w:t>
      </w:r>
      <w:r>
        <w:t>-</w:t>
      </w:r>
      <w:r w:rsidR="006D1BB1" w:rsidRPr="008D2EA0">
        <w:t>band is adequate to complement the deployment of national, independent subscription radio services. For instance, the existing regulation offers an option for any country to deploy subscription services according to individual needs, if and when required. This, in turn, would provide scope for further economies of scale through a harmonised use in Europe and for integration with other services (notably with free-to-air radio).</w:t>
      </w:r>
    </w:p>
    <w:p w:rsidR="006D1BB1" w:rsidRPr="008D2EA0" w:rsidRDefault="006D1BB1" w:rsidP="006D1BB1">
      <w:pPr>
        <w:pStyle w:val="ECCParagraph"/>
      </w:pPr>
      <w:r w:rsidRPr="008D2EA0">
        <w:t>Furthermore, there is a growing market demand for non-linear broadcasting services (e.g. time-shifted, personali</w:t>
      </w:r>
      <w:r w:rsidR="00742087">
        <w:t>s</w:t>
      </w:r>
      <w:r w:rsidRPr="008D2EA0">
        <w:t>ed, on-demand, interactive and second screen services). L-Band is well suited for the provision of such non-linear services. The L-band offers an opportunity for implementation of such innovative approaches.</w:t>
      </w:r>
    </w:p>
    <w:p w:rsidR="006D1BB1" w:rsidRPr="008D2EA0" w:rsidRDefault="006D1BB1" w:rsidP="006D1BB1">
      <w:pPr>
        <w:pStyle w:val="ECCParagraph"/>
      </w:pPr>
      <w:r w:rsidRPr="008D2EA0">
        <w:t xml:space="preserve">The success of a frequency band depends on the emergence of an eco-system, i.e. on a significant terminal market supporting the band. Such a market usually occurs when a band is harmonised on a large basis and when sufficient operators and service providers have deployed networks and are offering affordable and attractive content and services in a band. At the opposite, if only few operators are using a specific technology or frequency band within CEPT, they may struggle to get affordable access to equipment. </w:t>
      </w:r>
    </w:p>
    <w:p w:rsidR="006D1BB1" w:rsidRPr="008D2EA0" w:rsidRDefault="006D1BB1" w:rsidP="006D1BB1">
      <w:pPr>
        <w:spacing w:after="240"/>
        <w:rPr>
          <w:lang w:val="en-GB"/>
        </w:rPr>
      </w:pPr>
      <w:r w:rsidRPr="008D2EA0">
        <w:rPr>
          <w:lang w:val="en-GB"/>
        </w:rPr>
        <w:t xml:space="preserve">SDR chipsets for the L-Band are already available, which could have a positive impact on the equipment design for S-DAB.  </w:t>
      </w:r>
    </w:p>
    <w:p w:rsidR="006D1BB1" w:rsidRPr="008D2EA0" w:rsidRDefault="006D1BB1" w:rsidP="006D1BB1">
      <w:pPr>
        <w:spacing w:after="240"/>
        <w:rPr>
          <w:rFonts w:cs="Arial"/>
          <w:szCs w:val="20"/>
          <w:lang w:val="en-GB" w:eastAsia="de-DE"/>
        </w:rPr>
      </w:pPr>
      <w:r w:rsidRPr="008D2EA0">
        <w:rPr>
          <w:lang w:val="en-GB"/>
        </w:rPr>
        <w:t>Furthermore, the propagation characteristics of the L-band are favourable for S-DAB.</w:t>
      </w:r>
    </w:p>
    <w:p w:rsidR="006D1BB1" w:rsidRPr="008D2EA0" w:rsidRDefault="006D1BB1" w:rsidP="002239E6">
      <w:pPr>
        <w:pStyle w:val="Heading3"/>
      </w:pPr>
      <w:bookmarkStart w:id="53" w:name="_Toc321318115"/>
      <w:bookmarkStart w:id="54" w:name="_Toc349039248"/>
      <w:bookmarkEnd w:id="52"/>
      <w:r w:rsidRPr="008D2EA0">
        <w:t>Spectrum requirements</w:t>
      </w:r>
      <w:bookmarkEnd w:id="53"/>
      <w:bookmarkEnd w:id="54"/>
    </w:p>
    <w:p w:rsidR="006D1BB1" w:rsidRPr="008D2EA0" w:rsidRDefault="006D1BB1" w:rsidP="006D1BB1">
      <w:pPr>
        <w:pStyle w:val="ECCParagraph"/>
        <w:rPr>
          <w:lang w:eastAsia="de-DE"/>
        </w:rPr>
      </w:pPr>
      <w:r w:rsidRPr="008D2EA0">
        <w:rPr>
          <w:lang w:eastAsia="de-DE"/>
        </w:rPr>
        <w:t>The spectrum requirements are primarily determined by the number of audio channels that are needed to create attractive content packages for different markets. Operations in the US, as well as comparable pay-TV benchmarks indicate that a mini</w:t>
      </w:r>
      <w:r w:rsidR="006731B4" w:rsidRPr="008D2EA0">
        <w:rPr>
          <w:lang w:eastAsia="de-DE"/>
        </w:rPr>
        <w:t>mum of about 50 - 60 channels are</w:t>
      </w:r>
      <w:r w:rsidRPr="008D2EA0">
        <w:rPr>
          <w:lang w:eastAsia="de-DE"/>
        </w:rPr>
        <w:t xml:space="preserve"> required per key national market in order to create a sufficiently diverse package. Taking into account different markets in Europe, the restrictions imposed by Resolution 528</w:t>
      </w:r>
      <w:r w:rsidR="00D2467F" w:rsidRPr="008D2EA0">
        <w:rPr>
          <w:lang w:eastAsia="de-DE"/>
        </w:rPr>
        <w:t xml:space="preserve"> (</w:t>
      </w:r>
      <w:r w:rsidR="001D0DA1" w:rsidRPr="008D2EA0">
        <w:rPr>
          <w:lang w:eastAsia="de-DE"/>
        </w:rPr>
        <w:t>Rev.</w:t>
      </w:r>
      <w:r w:rsidR="00D2467F" w:rsidRPr="008D2EA0">
        <w:rPr>
          <w:lang w:eastAsia="de-DE"/>
        </w:rPr>
        <w:t>WRC-</w:t>
      </w:r>
      <w:r w:rsidR="001D0DA1" w:rsidRPr="008D2EA0">
        <w:rPr>
          <w:lang w:eastAsia="de-DE"/>
        </w:rPr>
        <w:t>03</w:t>
      </w:r>
      <w:r w:rsidR="00D2467F" w:rsidRPr="008D2EA0">
        <w:rPr>
          <w:lang w:eastAsia="de-DE"/>
        </w:rPr>
        <w:t>)</w:t>
      </w:r>
      <w:r w:rsidRPr="008D2EA0">
        <w:rPr>
          <w:lang w:eastAsia="de-DE"/>
        </w:rPr>
        <w:t xml:space="preserve"> </w:t>
      </w:r>
      <w:r w:rsidR="00255894" w:rsidRPr="008D2EA0">
        <w:rPr>
          <w:lang w:eastAsia="de-DE"/>
        </w:rPr>
        <w:fldChar w:fldCharType="begin"/>
      </w:r>
      <w:r w:rsidR="00255894" w:rsidRPr="008D2EA0">
        <w:rPr>
          <w:lang w:eastAsia="de-DE"/>
        </w:rPr>
        <w:instrText xml:space="preserve"> REF _Ref332810663 \r \h </w:instrText>
      </w:r>
      <w:r w:rsidR="00255894" w:rsidRPr="008D2EA0">
        <w:rPr>
          <w:lang w:eastAsia="de-DE"/>
        </w:rPr>
      </w:r>
      <w:r w:rsidR="00255894" w:rsidRPr="008D2EA0">
        <w:rPr>
          <w:lang w:eastAsia="de-DE"/>
        </w:rPr>
        <w:fldChar w:fldCharType="separate"/>
      </w:r>
      <w:r w:rsidR="00E73FF2">
        <w:rPr>
          <w:lang w:eastAsia="de-DE"/>
        </w:rPr>
        <w:t>[4]</w:t>
      </w:r>
      <w:r w:rsidR="00255894" w:rsidRPr="008D2EA0">
        <w:rPr>
          <w:lang w:eastAsia="de-DE"/>
        </w:rPr>
        <w:fldChar w:fldCharType="end"/>
      </w:r>
      <w:r w:rsidR="00255894" w:rsidRPr="008D2EA0">
        <w:rPr>
          <w:lang w:eastAsia="de-DE"/>
        </w:rPr>
        <w:t xml:space="preserve"> </w:t>
      </w:r>
      <w:r w:rsidRPr="008D2EA0">
        <w:rPr>
          <w:lang w:eastAsia="de-DE"/>
        </w:rPr>
        <w:t>with respect to S-</w:t>
      </w:r>
      <w:r w:rsidRPr="008D2EA0">
        <w:rPr>
          <w:lang w:eastAsia="de-DE"/>
        </w:rPr>
        <w:lastRenderedPageBreak/>
        <w:t>DAB in the band 1452</w:t>
      </w:r>
      <w:r w:rsidR="006731B4" w:rsidRPr="008D2EA0">
        <w:rPr>
          <w:lang w:eastAsia="de-DE"/>
        </w:rPr>
        <w:t>-</w:t>
      </w:r>
      <w:r w:rsidRPr="008D2EA0">
        <w:rPr>
          <w:lang w:eastAsia="de-DE"/>
        </w:rPr>
        <w:t>1492</w:t>
      </w:r>
      <w:r w:rsidR="00995D9E">
        <w:rPr>
          <w:lang w:eastAsia="de-DE"/>
        </w:rPr>
        <w:t xml:space="preserve"> MHz</w:t>
      </w:r>
      <w:r w:rsidRPr="008D2EA0">
        <w:rPr>
          <w:lang w:eastAsia="de-DE"/>
        </w:rPr>
        <w:t xml:space="preserve"> (effectively limiting S-DAB to the upper 25 MHz anywhere in the world, which would impact satellite transmissions in the direction of non-CEPT countries), and the ability to respond in a flexible manner to spectrum uses across CEPT, a harmonised channelling arrangement enabling S-DAB across the upper 25 MHz of the band 1452</w:t>
      </w:r>
      <w:r w:rsidR="006731B4" w:rsidRPr="008D2EA0">
        <w:rPr>
          <w:lang w:eastAsia="de-DE"/>
        </w:rPr>
        <w:t>-</w:t>
      </w:r>
      <w:r w:rsidRPr="008D2EA0">
        <w:rPr>
          <w:lang w:eastAsia="de-DE"/>
        </w:rPr>
        <w:t xml:space="preserve">1492 MHz is deemed essential. Technologies to be used for </w:t>
      </w:r>
      <w:r w:rsidRPr="008D2EA0">
        <w:t>S-DAB are flexible enough to cope with existing or new harmoni</w:t>
      </w:r>
      <w:r w:rsidR="00742087">
        <w:t>s</w:t>
      </w:r>
      <w:r w:rsidRPr="008D2EA0">
        <w:t xml:space="preserve">ed band plans. </w:t>
      </w:r>
      <w:r w:rsidRPr="008D2EA0">
        <w:rPr>
          <w:lang w:eastAsia="de-DE"/>
        </w:rPr>
        <w:t>The L-Band is the only frequency band below 3 GHz allocated to the broadcasting satellite service.</w:t>
      </w:r>
    </w:p>
    <w:p w:rsidR="006D1BB1" w:rsidRPr="008D2EA0" w:rsidRDefault="006D1BB1" w:rsidP="000F6780">
      <w:pPr>
        <w:pStyle w:val="Heading2"/>
        <w:numPr>
          <w:ilvl w:val="1"/>
          <w:numId w:val="19"/>
        </w:numPr>
        <w:rPr>
          <w:lang w:val="en-GB"/>
        </w:rPr>
      </w:pPr>
      <w:bookmarkStart w:id="55" w:name="_Ref330514512"/>
      <w:bookmarkStart w:id="56" w:name="_Toc349039249"/>
      <w:r w:rsidRPr="008D2EA0">
        <w:rPr>
          <w:lang w:val="en-GB"/>
        </w:rPr>
        <w:t>Application five: Programme Making and Special Events (PMSE)</w:t>
      </w:r>
      <w:bookmarkEnd w:id="55"/>
      <w:bookmarkEnd w:id="56"/>
    </w:p>
    <w:p w:rsidR="006D1BB1" w:rsidRPr="008D2EA0" w:rsidRDefault="006D1BB1" w:rsidP="002239E6">
      <w:pPr>
        <w:pStyle w:val="Heading3"/>
      </w:pPr>
      <w:bookmarkStart w:id="57" w:name="_Toc349039250"/>
      <w:r w:rsidRPr="008D2EA0">
        <w:t>Description</w:t>
      </w:r>
      <w:bookmarkEnd w:id="57"/>
    </w:p>
    <w:p w:rsidR="006D1BB1" w:rsidRPr="008D2EA0" w:rsidRDefault="006D1BB1" w:rsidP="00922F46">
      <w:pPr>
        <w:pStyle w:val="ECCParagraph"/>
        <w:rPr>
          <w:lang w:eastAsia="de-DE"/>
        </w:rPr>
      </w:pPr>
      <w:r w:rsidRPr="008D2EA0">
        <w:rPr>
          <w:lang w:eastAsia="de-DE"/>
        </w:rPr>
        <w:t>The term Programme Making</w:t>
      </w:r>
      <w:r w:rsidRPr="008D2EA0">
        <w:rPr>
          <w:vertAlign w:val="superscript"/>
          <w:lang w:eastAsia="de-DE"/>
        </w:rPr>
        <w:footnoteReference w:id="8"/>
      </w:r>
      <w:r w:rsidRPr="008D2EA0">
        <w:rPr>
          <w:lang w:eastAsia="de-DE"/>
        </w:rPr>
        <w:t xml:space="preserve"> and Special Events</w:t>
      </w:r>
      <w:r w:rsidRPr="008D2EA0">
        <w:rPr>
          <w:vertAlign w:val="superscript"/>
          <w:lang w:eastAsia="de-DE"/>
        </w:rPr>
        <w:footnoteReference w:id="9"/>
      </w:r>
      <w:r w:rsidRPr="008D2EA0">
        <w:rPr>
          <w:lang w:eastAsia="de-DE"/>
        </w:rPr>
        <w:t xml:space="preserve"> applications (PMSE) is a widespread term gathering various radio applications used for SAP/SAB, ENG, SNG, OB in public or private events for perceived real-time presentation of audio</w:t>
      </w:r>
      <w:r w:rsidR="006731B4" w:rsidRPr="008D2EA0">
        <w:rPr>
          <w:lang w:eastAsia="de-DE"/>
        </w:rPr>
        <w:t xml:space="preserve"> </w:t>
      </w:r>
      <w:r w:rsidRPr="008D2EA0">
        <w:rPr>
          <w:lang w:eastAsia="de-DE"/>
        </w:rPr>
        <w:t>visual information. The communication links are also used in the production of programmes, such as talk-back or personal monitoring of sound-track.</w:t>
      </w:r>
    </w:p>
    <w:p w:rsidR="006D1BB1" w:rsidRPr="008D2EA0" w:rsidRDefault="006D1BB1" w:rsidP="006D1BB1">
      <w:pPr>
        <w:pStyle w:val="ECCParagraph"/>
        <w:spacing w:before="120" w:line="276" w:lineRule="auto"/>
        <w:rPr>
          <w:rFonts w:cs="Arial"/>
          <w:szCs w:val="20"/>
        </w:rPr>
      </w:pPr>
      <w:r w:rsidRPr="008D2EA0">
        <w:rPr>
          <w:rFonts w:cs="Arial"/>
          <w:szCs w:val="20"/>
        </w:rPr>
        <w:t>The definitions of SAP/SAB and ENG/OB are set out</w:t>
      </w:r>
      <w:r w:rsidRPr="008D2EA0">
        <w:rPr>
          <w:rStyle w:val="FootnoteReference"/>
          <w:rFonts w:cs="Arial"/>
          <w:szCs w:val="20"/>
        </w:rPr>
        <w:footnoteReference w:id="10"/>
      </w:r>
      <w:r w:rsidRPr="008D2EA0">
        <w:rPr>
          <w:rFonts w:cs="Arial"/>
          <w:szCs w:val="20"/>
        </w:rPr>
        <w:t xml:space="preserve"> as follows:</w:t>
      </w:r>
    </w:p>
    <w:p w:rsidR="006D1BB1" w:rsidRPr="008D2EA0" w:rsidRDefault="006D1BB1" w:rsidP="006731B4">
      <w:pPr>
        <w:autoSpaceDE w:val="0"/>
        <w:autoSpaceDN w:val="0"/>
        <w:adjustRightInd w:val="0"/>
        <w:spacing w:before="120"/>
        <w:ind w:left="709" w:hanging="709"/>
        <w:jc w:val="both"/>
        <w:rPr>
          <w:rFonts w:cs="Arial"/>
          <w:szCs w:val="20"/>
          <w:lang w:val="en-GB"/>
        </w:rPr>
      </w:pPr>
      <w:r w:rsidRPr="008D2EA0">
        <w:rPr>
          <w:rFonts w:cs="Arial"/>
          <w:b/>
          <w:bCs/>
          <w:szCs w:val="20"/>
          <w:lang w:val="en-GB"/>
        </w:rPr>
        <w:t>SAP:</w:t>
      </w:r>
      <w:r w:rsidRPr="008D2EA0">
        <w:rPr>
          <w:rFonts w:cs="Arial"/>
          <w:b/>
          <w:bCs/>
          <w:szCs w:val="20"/>
          <w:lang w:val="en-GB"/>
        </w:rPr>
        <w:tab/>
      </w:r>
      <w:r w:rsidRPr="008D2EA0">
        <w:rPr>
          <w:rFonts w:cs="Arial"/>
          <w:szCs w:val="20"/>
          <w:lang w:val="en-GB"/>
        </w:rPr>
        <w:t>Services Ancillary to Program making (SAP) support the activities carried out in the making of “program”, such as film making, advertisements, corporate videos, concerts, theatre and similar activities not initially meant for broadcasting to general public.</w:t>
      </w:r>
    </w:p>
    <w:p w:rsidR="006D1BB1" w:rsidRPr="008D2EA0" w:rsidRDefault="006D1BB1" w:rsidP="006731B4">
      <w:pPr>
        <w:autoSpaceDE w:val="0"/>
        <w:autoSpaceDN w:val="0"/>
        <w:adjustRightInd w:val="0"/>
        <w:spacing w:before="120"/>
        <w:ind w:left="709" w:hanging="709"/>
        <w:jc w:val="both"/>
        <w:rPr>
          <w:rFonts w:cs="Arial"/>
          <w:szCs w:val="20"/>
          <w:lang w:val="en-GB"/>
        </w:rPr>
      </w:pPr>
      <w:r w:rsidRPr="008D2EA0">
        <w:rPr>
          <w:rFonts w:cs="Arial"/>
          <w:b/>
          <w:bCs/>
          <w:szCs w:val="20"/>
          <w:lang w:val="en-GB"/>
        </w:rPr>
        <w:t>SAB:</w:t>
      </w:r>
      <w:r w:rsidRPr="008D2EA0">
        <w:rPr>
          <w:rFonts w:cs="Arial"/>
          <w:b/>
          <w:bCs/>
          <w:szCs w:val="20"/>
          <w:lang w:val="en-GB"/>
        </w:rPr>
        <w:tab/>
      </w:r>
      <w:r w:rsidRPr="008D2EA0">
        <w:rPr>
          <w:rFonts w:cs="Arial"/>
          <w:szCs w:val="20"/>
          <w:lang w:val="en-GB"/>
        </w:rPr>
        <w:t>Services Ancillary to Broadcasting (SAB) support the activities of broadcasting industry carried out in the production of their program material.</w:t>
      </w:r>
    </w:p>
    <w:p w:rsidR="006D1BB1" w:rsidRPr="008D2EA0" w:rsidRDefault="006D1BB1" w:rsidP="006731B4">
      <w:pPr>
        <w:spacing w:before="120"/>
        <w:ind w:left="709" w:hanging="709"/>
        <w:jc w:val="both"/>
        <w:rPr>
          <w:rFonts w:cs="Arial"/>
          <w:szCs w:val="20"/>
          <w:lang w:val="en-GB"/>
        </w:rPr>
      </w:pPr>
      <w:r w:rsidRPr="008D2EA0">
        <w:rPr>
          <w:rFonts w:cs="Arial"/>
          <w:b/>
          <w:szCs w:val="20"/>
          <w:lang w:val="en-GB"/>
        </w:rPr>
        <w:t>ENG:</w:t>
      </w:r>
      <w:r w:rsidRPr="008D2EA0">
        <w:rPr>
          <w:rFonts w:cs="Arial"/>
          <w:szCs w:val="20"/>
          <w:lang w:val="en-GB"/>
        </w:rPr>
        <w:tab/>
        <w:t>Electronic News Gathering (ENG) is the collection of video and/or sound material by means of small, often hand-held wireless cameras and/or microphones with radio links to the news room and/or to the portable tape or other recorders.</w:t>
      </w:r>
    </w:p>
    <w:p w:rsidR="006D1BB1" w:rsidRPr="008D2EA0" w:rsidRDefault="006D1BB1" w:rsidP="006731B4">
      <w:pPr>
        <w:spacing w:before="120"/>
        <w:ind w:left="709" w:hanging="709"/>
        <w:jc w:val="both"/>
        <w:rPr>
          <w:rFonts w:cs="Arial"/>
          <w:szCs w:val="20"/>
          <w:lang w:val="en-GB"/>
        </w:rPr>
      </w:pPr>
      <w:r w:rsidRPr="008D2EA0">
        <w:rPr>
          <w:rFonts w:cs="Arial"/>
          <w:b/>
          <w:bCs/>
          <w:szCs w:val="20"/>
          <w:lang w:val="en-GB"/>
        </w:rPr>
        <w:t>SNG:</w:t>
      </w:r>
      <w:r w:rsidRPr="008D2EA0">
        <w:rPr>
          <w:rFonts w:cs="Arial"/>
          <w:b/>
          <w:bCs/>
          <w:szCs w:val="20"/>
          <w:lang w:val="en-GB"/>
        </w:rPr>
        <w:tab/>
      </w:r>
      <w:r w:rsidRPr="008D2EA0">
        <w:rPr>
          <w:rFonts w:cs="Arial"/>
          <w:szCs w:val="20"/>
          <w:lang w:val="en-GB"/>
        </w:rPr>
        <w:t xml:space="preserve">Satellite News Gathering (SNG) </w:t>
      </w:r>
      <w:r w:rsidR="006731B4" w:rsidRPr="008D2EA0">
        <w:rPr>
          <w:rFonts w:cs="Arial"/>
          <w:szCs w:val="20"/>
          <w:lang w:val="en-GB"/>
        </w:rPr>
        <w:t>is</w:t>
      </w:r>
      <w:r w:rsidRPr="008D2EA0">
        <w:rPr>
          <w:rFonts w:cs="Arial"/>
          <w:szCs w:val="20"/>
          <w:lang w:val="en-GB"/>
        </w:rPr>
        <w:t xml:space="preserve"> applications similar to ENG using satellite radio communication channels.</w:t>
      </w:r>
    </w:p>
    <w:p w:rsidR="006D1BB1" w:rsidRPr="008D2EA0" w:rsidRDefault="006D1BB1" w:rsidP="006731B4">
      <w:pPr>
        <w:autoSpaceDE w:val="0"/>
        <w:autoSpaceDN w:val="0"/>
        <w:adjustRightInd w:val="0"/>
        <w:spacing w:before="120"/>
        <w:ind w:left="709" w:hanging="709"/>
        <w:jc w:val="both"/>
        <w:rPr>
          <w:rFonts w:cs="Arial"/>
          <w:szCs w:val="20"/>
          <w:lang w:val="en-GB"/>
        </w:rPr>
      </w:pPr>
      <w:r w:rsidRPr="008D2EA0">
        <w:rPr>
          <w:rFonts w:cs="Arial"/>
          <w:b/>
          <w:szCs w:val="20"/>
          <w:lang w:val="en-GB"/>
        </w:rPr>
        <w:t>OB:</w:t>
      </w:r>
      <w:r w:rsidRPr="008D2EA0">
        <w:rPr>
          <w:rFonts w:cs="Arial"/>
          <w:szCs w:val="20"/>
          <w:lang w:val="en-GB"/>
        </w:rPr>
        <w:tab/>
        <w:t>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point to point connections between the OB vehicle, additional locations around it, and the studio.</w:t>
      </w:r>
    </w:p>
    <w:p w:rsidR="006D1BB1" w:rsidRPr="008D2EA0" w:rsidRDefault="006D1BB1" w:rsidP="006D1BB1">
      <w:pPr>
        <w:spacing w:line="276" w:lineRule="auto"/>
        <w:rPr>
          <w:rFonts w:cs="Arial"/>
          <w:szCs w:val="20"/>
          <w:highlight w:val="magenta"/>
          <w:lang w:val="en-GB"/>
        </w:rPr>
      </w:pPr>
    </w:p>
    <w:p w:rsidR="006D1BB1" w:rsidRPr="008D2EA0" w:rsidRDefault="006D1BB1" w:rsidP="00F21C76">
      <w:pPr>
        <w:pStyle w:val="ECCTabletitle"/>
      </w:pPr>
      <w:r w:rsidRPr="008D2EA0">
        <w:t>Technical terms of audio transmission systems that are part of PMSE</w:t>
      </w:r>
    </w:p>
    <w:tbl>
      <w:tblPr>
        <w:tblW w:w="8505" w:type="dxa"/>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3"/>
        <w:gridCol w:w="3119"/>
        <w:gridCol w:w="2693"/>
      </w:tblGrid>
      <w:tr w:rsidR="006D1BB1" w:rsidRPr="008D2EA0" w:rsidTr="001C788C">
        <w:trPr>
          <w:tblHeader/>
        </w:trPr>
        <w:tc>
          <w:tcPr>
            <w:tcW w:w="2693"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6D1BB1" w:rsidRPr="008D2EA0" w:rsidRDefault="006D1BB1">
            <w:pPr>
              <w:spacing w:line="288" w:lineRule="auto"/>
              <w:jc w:val="center"/>
              <w:rPr>
                <w:rFonts w:cs="Arial"/>
                <w:b/>
                <w:color w:val="FFFFFF"/>
                <w:lang w:val="en-GB"/>
              </w:rPr>
            </w:pPr>
            <w:r w:rsidRPr="008D2EA0">
              <w:rPr>
                <w:rFonts w:cs="Arial"/>
                <w:b/>
                <w:color w:val="FFFFFF"/>
                <w:lang w:val="en-GB"/>
              </w:rPr>
              <w:t>Application</w:t>
            </w:r>
          </w:p>
        </w:tc>
        <w:tc>
          <w:tcPr>
            <w:tcW w:w="3119"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6D1BB1" w:rsidRPr="008D2EA0" w:rsidRDefault="006D1BB1">
            <w:pPr>
              <w:spacing w:line="288" w:lineRule="auto"/>
              <w:jc w:val="center"/>
              <w:rPr>
                <w:b/>
                <w:color w:val="FFFFFF"/>
                <w:lang w:val="en-GB"/>
              </w:rPr>
            </w:pPr>
            <w:r w:rsidRPr="008D2EA0">
              <w:rPr>
                <w:b/>
                <w:color w:val="FFFFFF"/>
                <w:lang w:val="en-GB"/>
              </w:rPr>
              <w:t>Max bandwidth</w:t>
            </w:r>
          </w:p>
        </w:tc>
        <w:tc>
          <w:tcPr>
            <w:tcW w:w="2693"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6D1BB1" w:rsidRPr="008D2EA0" w:rsidRDefault="006D1BB1" w:rsidP="001C788C">
            <w:pPr>
              <w:spacing w:line="288" w:lineRule="auto"/>
              <w:jc w:val="center"/>
              <w:rPr>
                <w:b/>
                <w:color w:val="FFFFFF"/>
                <w:lang w:val="en-GB"/>
              </w:rPr>
            </w:pPr>
            <w:r w:rsidRPr="008D2EA0">
              <w:rPr>
                <w:b/>
                <w:color w:val="FFFFFF"/>
                <w:lang w:val="en-GB"/>
              </w:rPr>
              <w:t xml:space="preserve">Max </w:t>
            </w:r>
            <w:r w:rsidR="001C788C">
              <w:rPr>
                <w:b/>
                <w:color w:val="FFFFFF"/>
                <w:lang w:val="en-GB"/>
              </w:rPr>
              <w:t>e.r.p.</w:t>
            </w:r>
          </w:p>
        </w:tc>
      </w:tr>
      <w:tr w:rsidR="006D1BB1" w:rsidRPr="008D2EA0" w:rsidTr="001C788C">
        <w:tc>
          <w:tcPr>
            <w:tcW w:w="2693"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rsidP="001C788C">
            <w:pPr>
              <w:autoSpaceDE w:val="0"/>
              <w:autoSpaceDN w:val="0"/>
              <w:adjustRightInd w:val="0"/>
              <w:spacing w:line="276" w:lineRule="auto"/>
              <w:rPr>
                <w:rFonts w:cs="Arial"/>
                <w:szCs w:val="20"/>
                <w:lang w:val="en-GB"/>
              </w:rPr>
            </w:pPr>
            <w:r w:rsidRPr="008D2EA0">
              <w:rPr>
                <w:rFonts w:cs="Arial"/>
                <w:szCs w:val="20"/>
                <w:lang w:val="en-GB"/>
              </w:rPr>
              <w:t>Wireless microphones and in-ear monitor systems</w:t>
            </w:r>
          </w:p>
        </w:tc>
        <w:tc>
          <w:tcPr>
            <w:tcW w:w="3119"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rsidP="001C788C">
            <w:pPr>
              <w:autoSpaceDE w:val="0"/>
              <w:autoSpaceDN w:val="0"/>
              <w:adjustRightInd w:val="0"/>
              <w:spacing w:line="276" w:lineRule="auto"/>
              <w:ind w:left="709" w:hanging="709"/>
              <w:rPr>
                <w:rFonts w:cs="Arial"/>
                <w:szCs w:val="20"/>
                <w:lang w:val="en-GB"/>
              </w:rPr>
            </w:pPr>
            <w:r w:rsidRPr="008D2EA0">
              <w:rPr>
                <w:rFonts w:cs="Arial"/>
                <w:szCs w:val="20"/>
                <w:lang w:val="en-GB"/>
              </w:rPr>
              <w:t xml:space="preserve">200 / 400 / 600 kHz </w:t>
            </w:r>
            <w:r w:rsidRPr="008D2EA0">
              <w:rPr>
                <w:rStyle w:val="FootnoteReference"/>
                <w:lang w:val="en-GB"/>
              </w:rPr>
              <w:footnoteReference w:id="11"/>
            </w:r>
            <w:r w:rsidRPr="008D2EA0">
              <w:rPr>
                <w:rFonts w:cs="Arial"/>
                <w:szCs w:val="20"/>
                <w:lang w:val="en-GB"/>
              </w:rPr>
              <w:t xml:space="preserve"> per link</w:t>
            </w:r>
          </w:p>
        </w:tc>
        <w:tc>
          <w:tcPr>
            <w:tcW w:w="2693"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rsidP="001C788C">
            <w:pPr>
              <w:autoSpaceDE w:val="0"/>
              <w:autoSpaceDN w:val="0"/>
              <w:adjustRightInd w:val="0"/>
              <w:spacing w:line="276" w:lineRule="auto"/>
              <w:ind w:left="33"/>
              <w:rPr>
                <w:rFonts w:cs="Arial"/>
                <w:szCs w:val="20"/>
                <w:lang w:val="en-GB"/>
              </w:rPr>
            </w:pPr>
            <w:r w:rsidRPr="008D2EA0">
              <w:rPr>
                <w:rFonts w:cs="Arial"/>
                <w:szCs w:val="20"/>
                <w:lang w:val="en-GB"/>
              </w:rPr>
              <w:t xml:space="preserve">50mW </w:t>
            </w:r>
          </w:p>
        </w:tc>
      </w:tr>
      <w:tr w:rsidR="006D1BB1" w:rsidRPr="008D2EA0" w:rsidTr="001C788C">
        <w:tc>
          <w:tcPr>
            <w:tcW w:w="2693"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rsidP="001C788C">
            <w:pPr>
              <w:autoSpaceDE w:val="0"/>
              <w:autoSpaceDN w:val="0"/>
              <w:adjustRightInd w:val="0"/>
              <w:spacing w:line="276" w:lineRule="auto"/>
              <w:rPr>
                <w:rFonts w:cs="Arial"/>
                <w:szCs w:val="20"/>
                <w:lang w:val="en-GB"/>
              </w:rPr>
            </w:pPr>
            <w:r w:rsidRPr="008D2EA0">
              <w:rPr>
                <w:rFonts w:cs="Arial"/>
                <w:szCs w:val="20"/>
                <w:lang w:val="en-GB"/>
              </w:rPr>
              <w:t>Wireless conference and interpretation systems</w:t>
            </w:r>
          </w:p>
        </w:tc>
        <w:tc>
          <w:tcPr>
            <w:tcW w:w="3119"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rsidP="001C788C">
            <w:pPr>
              <w:pStyle w:val="ListParagraph1"/>
              <w:autoSpaceDE w:val="0"/>
              <w:autoSpaceDN w:val="0"/>
              <w:adjustRightInd w:val="0"/>
              <w:spacing w:line="276" w:lineRule="auto"/>
              <w:ind w:left="49"/>
              <w:contextualSpacing/>
              <w:jc w:val="left"/>
              <w:rPr>
                <w:rFonts w:ascii="Arial" w:hAnsi="Arial" w:cs="Arial"/>
                <w:sz w:val="20"/>
                <w:szCs w:val="20"/>
                <w:lang w:eastAsia="en-US"/>
              </w:rPr>
            </w:pPr>
            <w:r w:rsidRPr="008D2EA0">
              <w:rPr>
                <w:rFonts w:ascii="Arial" w:hAnsi="Arial" w:cs="Arial"/>
                <w:sz w:val="20"/>
                <w:szCs w:val="20"/>
                <w:lang w:eastAsia="en-US"/>
              </w:rPr>
              <w:t>20 MHz (in one block)</w:t>
            </w:r>
          </w:p>
        </w:tc>
        <w:tc>
          <w:tcPr>
            <w:tcW w:w="2693" w:type="dxa"/>
            <w:tcBorders>
              <w:top w:val="single" w:sz="4" w:space="0" w:color="D2232A"/>
              <w:left w:val="single" w:sz="4" w:space="0" w:color="D2232A"/>
              <w:bottom w:val="single" w:sz="4" w:space="0" w:color="D2232A"/>
              <w:right w:val="single" w:sz="4" w:space="0" w:color="D2232A"/>
            </w:tcBorders>
            <w:hideMark/>
          </w:tcPr>
          <w:p w:rsidR="006D1BB1" w:rsidRPr="008D2EA0" w:rsidRDefault="006D1BB1" w:rsidP="001C788C">
            <w:pPr>
              <w:pStyle w:val="ListParagraph1"/>
              <w:autoSpaceDE w:val="0"/>
              <w:autoSpaceDN w:val="0"/>
              <w:adjustRightInd w:val="0"/>
              <w:spacing w:line="276" w:lineRule="auto"/>
              <w:ind w:left="33"/>
              <w:contextualSpacing/>
              <w:jc w:val="left"/>
              <w:rPr>
                <w:rFonts w:ascii="Arial" w:hAnsi="Arial" w:cs="Arial"/>
                <w:sz w:val="20"/>
                <w:szCs w:val="20"/>
                <w:lang w:eastAsia="en-US"/>
              </w:rPr>
            </w:pPr>
            <w:r w:rsidRPr="008D2EA0">
              <w:rPr>
                <w:rFonts w:ascii="Arial" w:hAnsi="Arial" w:cs="Arial"/>
                <w:sz w:val="20"/>
                <w:szCs w:val="20"/>
                <w:lang w:eastAsia="en-US"/>
              </w:rPr>
              <w:t>100mW</w:t>
            </w:r>
          </w:p>
        </w:tc>
      </w:tr>
    </w:tbl>
    <w:p w:rsidR="006D1BB1" w:rsidRPr="008D2EA0" w:rsidRDefault="006D1BB1" w:rsidP="006D1BB1">
      <w:pPr>
        <w:spacing w:line="276" w:lineRule="auto"/>
        <w:rPr>
          <w:lang w:val="en-GB"/>
        </w:rPr>
      </w:pPr>
    </w:p>
    <w:p w:rsidR="006D1BB1" w:rsidRPr="008D2EA0" w:rsidRDefault="006D1BB1" w:rsidP="006731B4">
      <w:pPr>
        <w:spacing w:before="120"/>
        <w:jc w:val="both"/>
        <w:rPr>
          <w:rFonts w:cs="Arial"/>
          <w:szCs w:val="20"/>
          <w:lang w:val="en-GB"/>
        </w:rPr>
      </w:pPr>
      <w:r w:rsidRPr="008D2EA0">
        <w:rPr>
          <w:rFonts w:cs="Arial"/>
          <w:szCs w:val="20"/>
          <w:lang w:val="en-GB"/>
        </w:rPr>
        <w:t xml:space="preserve">Wireless conference and interpretation systems are used in houses of parliament, courts, at banks and insurance companies, multipurpose halls, hotels, conference centres, industry meeting and discussion rooms as well as designed board rooms or historical meeting places that do not allow </w:t>
      </w:r>
      <w:r w:rsidRPr="008D2EA0">
        <w:rPr>
          <w:rFonts w:cs="Arial"/>
          <w:szCs w:val="20"/>
          <w:lang w:val="en-GB"/>
        </w:rPr>
        <w:lastRenderedPageBreak/>
        <w:t xml:space="preserve">installations etc. These systems are very often combined with wireless microphone systems and in-ear monitor systems for those that lead through a presentation or discussion. </w:t>
      </w:r>
    </w:p>
    <w:p w:rsidR="006D1BB1" w:rsidRPr="008D2EA0" w:rsidRDefault="006D1BB1" w:rsidP="006731B4">
      <w:pPr>
        <w:jc w:val="both"/>
        <w:rPr>
          <w:rFonts w:cs="Arial"/>
          <w:szCs w:val="20"/>
          <w:lang w:val="en-GB"/>
        </w:rPr>
      </w:pPr>
    </w:p>
    <w:p w:rsidR="006D1BB1" w:rsidRPr="008D2EA0" w:rsidRDefault="006D1BB1" w:rsidP="006731B4">
      <w:pPr>
        <w:jc w:val="both"/>
        <w:rPr>
          <w:rFonts w:cs="Arial"/>
          <w:szCs w:val="20"/>
          <w:lang w:val="en-GB"/>
        </w:rPr>
      </w:pPr>
      <w:r w:rsidRPr="008D2EA0">
        <w:rPr>
          <w:rFonts w:cs="Arial"/>
          <w:szCs w:val="20"/>
          <w:lang w:val="en-GB"/>
        </w:rPr>
        <w:t xml:space="preserve">The current wireless microphone systems both analogue and digital deliver a resolution of 16 bit. This is almost CD quality. This is suitable for live presentations and the majority of all other productions. HD-Sound demands more: Studios already use for their productions 24 or 32 bit resolution and wish to use it direct from the wireless microphone too. Higher resolution means more dynamics for the listeners. ECC regulations are compatible with this demand through increasing the maximum allowed bandwidth from 200 kHz to 600 kHz. It can be seen by switching to the 24 bit resolution the required amount of spectrum for a given production doubles, for 32 bit resolution it triples. </w:t>
      </w:r>
    </w:p>
    <w:p w:rsidR="006D1BB1" w:rsidRPr="008D2EA0" w:rsidRDefault="006D1BB1" w:rsidP="00922F46">
      <w:pPr>
        <w:spacing w:before="120"/>
        <w:rPr>
          <w:rFonts w:cs="Arial"/>
          <w:szCs w:val="20"/>
          <w:lang w:val="en-GB"/>
        </w:rPr>
      </w:pPr>
      <w:r w:rsidRPr="008D2EA0">
        <w:rPr>
          <w:rFonts w:cs="Arial"/>
          <w:szCs w:val="20"/>
          <w:lang w:val="en-GB"/>
        </w:rPr>
        <w:t>Whereas in the past professional wireless microphone systems could not use bands above 1 GHz due to technical issues modern professional systems can operate above 1 GHz for certain applications.</w:t>
      </w:r>
    </w:p>
    <w:p w:rsidR="006D1BB1" w:rsidRPr="008D2EA0" w:rsidRDefault="006D1BB1" w:rsidP="002239E6">
      <w:pPr>
        <w:pStyle w:val="Heading3"/>
      </w:pPr>
      <w:bookmarkStart w:id="58" w:name="_Toc349039251"/>
      <w:r w:rsidRPr="008D2EA0">
        <w:t>Justification</w:t>
      </w:r>
      <w:bookmarkEnd w:id="58"/>
    </w:p>
    <w:p w:rsidR="006D1BB1" w:rsidRPr="008D2EA0" w:rsidRDefault="006D1BB1" w:rsidP="006D1BB1">
      <w:pPr>
        <w:pStyle w:val="ECCParagraph"/>
      </w:pPr>
      <w:r w:rsidRPr="008D2EA0">
        <w:t xml:space="preserve">Section 3.1 of ECC's Strategic Plan </w:t>
      </w:r>
      <w:r w:rsidR="00C5370E" w:rsidRPr="008D2EA0">
        <w:rPr>
          <w:vertAlign w:val="superscript"/>
        </w:rPr>
        <w:fldChar w:fldCharType="begin"/>
      </w:r>
      <w:r w:rsidR="00C5370E" w:rsidRPr="008D2EA0">
        <w:instrText xml:space="preserve"> REF _Ref332816896 \r \h </w:instrText>
      </w:r>
      <w:r w:rsidR="00C5370E" w:rsidRPr="008D2EA0">
        <w:rPr>
          <w:vertAlign w:val="superscript"/>
        </w:rPr>
      </w:r>
      <w:r w:rsidR="00C5370E" w:rsidRPr="008D2EA0">
        <w:rPr>
          <w:vertAlign w:val="superscript"/>
        </w:rPr>
        <w:fldChar w:fldCharType="separate"/>
      </w:r>
      <w:r w:rsidR="00E73FF2">
        <w:t>[14]</w:t>
      </w:r>
      <w:r w:rsidR="00C5370E" w:rsidRPr="008D2EA0">
        <w:rPr>
          <w:vertAlign w:val="superscript"/>
        </w:rPr>
        <w:fldChar w:fldCharType="end"/>
      </w:r>
      <w:r w:rsidR="00C5370E" w:rsidRPr="008D2EA0">
        <w:rPr>
          <w:vertAlign w:val="superscript"/>
        </w:rPr>
        <w:t xml:space="preserve"> </w:t>
      </w:r>
      <w:r w:rsidRPr="008D2EA0">
        <w:t>mentions that the identification of appropriate frequency bands for PMSE is one of the main challenges of ECC to be solved within the next remain</w:t>
      </w:r>
      <w:r w:rsidR="00631F3F" w:rsidRPr="008D2EA0">
        <w:t>ing three years due to the fact</w:t>
      </w:r>
      <w:r w:rsidRPr="008D2EA0">
        <w:rPr>
          <w:b/>
          <w:bCs/>
          <w:sz w:val="22"/>
          <w:szCs w:val="22"/>
          <w:lang w:eastAsia="de-DE"/>
        </w:rPr>
        <w:t xml:space="preserve"> </w:t>
      </w:r>
      <w:r w:rsidRPr="008D2EA0">
        <w:t>that</w:t>
      </w:r>
      <w:r w:rsidR="00631F3F" w:rsidRPr="008D2EA0">
        <w:t>,</w:t>
      </w:r>
      <w:r w:rsidRPr="008D2EA0">
        <w:t xml:space="preserve"> “in the course of implementing the digital dividend affected applications supporting programme making and special events (PMSE) are likely to be refarmed. Providing appropriate and sufficient resources to PMSE is crucial for that sector.” This is also in line with the EU policy objective to support the creative and cultural activities. The ECC established </w:t>
      </w:r>
      <w:r w:rsidR="009728AD" w:rsidRPr="008D2EA0">
        <w:t xml:space="preserve">a dedicated </w:t>
      </w:r>
      <w:r w:rsidRPr="008D2EA0">
        <w:t xml:space="preserve">project team to address the spectrum requirements for PMSE. However, the mandate of </w:t>
      </w:r>
      <w:r w:rsidR="009728AD" w:rsidRPr="008D2EA0">
        <w:t>that project team</w:t>
      </w:r>
      <w:r w:rsidRPr="008D2EA0">
        <w:t xml:space="preserve"> exclude</w:t>
      </w:r>
      <w:r w:rsidR="009728AD" w:rsidRPr="008D2EA0">
        <w:t>d</w:t>
      </w:r>
      <w:r w:rsidRPr="008D2EA0">
        <w:t xml:space="preserve"> </w:t>
      </w:r>
      <w:r w:rsidR="009728AD" w:rsidRPr="008D2EA0">
        <w:t>the consideration of</w:t>
      </w:r>
      <w:r w:rsidRPr="008D2EA0">
        <w:t xml:space="preserve"> the band 1452-1492 MHz for the applications under its mandate</w:t>
      </w:r>
      <w:r w:rsidR="009728AD" w:rsidRPr="008D2EA0">
        <w:t xml:space="preserve"> until the final adoption </w:t>
      </w:r>
      <w:r w:rsidRPr="008D2EA0">
        <w:t xml:space="preserve">of </w:t>
      </w:r>
      <w:r w:rsidR="009728AD" w:rsidRPr="008D2EA0">
        <w:t>this Report on the L-band</w:t>
      </w:r>
      <w:r w:rsidRPr="008D2EA0">
        <w:t>.</w:t>
      </w:r>
    </w:p>
    <w:p w:rsidR="006D1BB1" w:rsidRPr="008D2EA0" w:rsidRDefault="006D1BB1" w:rsidP="006D1BB1">
      <w:pPr>
        <w:pStyle w:val="ECCParagraph"/>
      </w:pPr>
      <w:r w:rsidRPr="008D2EA0">
        <w:t>Already in 2007 the ETSI SR</w:t>
      </w:r>
      <w:r w:rsidR="001766D2" w:rsidRPr="008D2EA0">
        <w:t>d</w:t>
      </w:r>
      <w:r w:rsidRPr="008D2EA0">
        <w:t>oc TR 102</w:t>
      </w:r>
      <w:r w:rsidR="00431D6D" w:rsidRPr="008D2EA0">
        <w:t xml:space="preserve"> </w:t>
      </w:r>
      <w:r w:rsidRPr="008D2EA0">
        <w:t>546</w:t>
      </w:r>
      <w:r w:rsidR="00C5370E" w:rsidRPr="008D2EA0">
        <w:t xml:space="preserve"> </w:t>
      </w:r>
      <w:r w:rsidR="001D0DA1" w:rsidRPr="008D2EA0">
        <w:fldChar w:fldCharType="begin"/>
      </w:r>
      <w:r w:rsidR="001D0DA1" w:rsidRPr="008D2EA0">
        <w:instrText xml:space="preserve"> REF _Ref330511343 \r \h </w:instrText>
      </w:r>
      <w:r w:rsidR="001D0DA1" w:rsidRPr="008D2EA0">
        <w:fldChar w:fldCharType="separate"/>
      </w:r>
      <w:r w:rsidR="00E73FF2">
        <w:t>[15]</w:t>
      </w:r>
      <w:r w:rsidR="001D0DA1" w:rsidRPr="008D2EA0">
        <w:fldChar w:fldCharType="end"/>
      </w:r>
      <w:r w:rsidRPr="008D2EA0">
        <w:t xml:space="preserve"> requested access to the L-Band for the future development of PMSE. Besides that ETSI updated the spectrum mask above 1 GHz in the technical standard for audio PMSE (EN 300 422</w:t>
      </w:r>
      <w:r w:rsidR="001D0DA1" w:rsidRPr="008D2EA0">
        <w:t xml:space="preserve"> </w:t>
      </w:r>
      <w:r w:rsidR="001D0DA1" w:rsidRPr="008D2EA0">
        <w:fldChar w:fldCharType="begin"/>
      </w:r>
      <w:r w:rsidR="001D0DA1" w:rsidRPr="008D2EA0">
        <w:instrText xml:space="preserve"> REF _Ref330511420 \r \h </w:instrText>
      </w:r>
      <w:r w:rsidR="001D0DA1" w:rsidRPr="008D2EA0">
        <w:fldChar w:fldCharType="separate"/>
      </w:r>
      <w:r w:rsidR="00E73FF2">
        <w:t>[13]</w:t>
      </w:r>
      <w:r w:rsidR="001D0DA1" w:rsidRPr="008D2EA0">
        <w:fldChar w:fldCharType="end"/>
      </w:r>
      <w:r w:rsidRPr="008D2EA0">
        <w:t>). Based on these ETSI statements manufacturers have invested already to provide technology for this range.</w:t>
      </w:r>
    </w:p>
    <w:p w:rsidR="006D1BB1" w:rsidRPr="008D2EA0" w:rsidRDefault="006D1BB1" w:rsidP="006D1BB1">
      <w:pPr>
        <w:pStyle w:val="ECCParagraph"/>
      </w:pPr>
      <w:r w:rsidRPr="008D2EA0">
        <w:t>The necessary spectrum harmoni</w:t>
      </w:r>
      <w:r w:rsidR="009728AD" w:rsidRPr="008D2EA0">
        <w:t>s</w:t>
      </w:r>
      <w:r w:rsidRPr="008D2EA0">
        <w:t>ation of PMSE wireless production systems will require a long term effort from ECC and relevant CEPT Administrations at national level, but ECC has to face this challenge of coordinating the spectrum need of PMSE in Europe and as far as possible on a worldwide basis.</w:t>
      </w:r>
    </w:p>
    <w:p w:rsidR="006D1BB1" w:rsidRPr="008D2EA0" w:rsidRDefault="006D1BB1" w:rsidP="006D1BB1">
      <w:pPr>
        <w:pStyle w:val="ECCParagraph"/>
      </w:pPr>
      <w:r w:rsidRPr="008D2EA0">
        <w:t>The L-Band could potentially be available to audio PMSE across Europe and beyond on a secondary basis. The density of users of audio PMSE applications in the currently available spectrum has risen in the course of implementing the digital dividend and as a result of the switch-over from analogue to digital TV. Future evolution of terrestrial digital TV may further limit the spectrum available for audio PMSE in the UHF band (e.g. simulcast of DVB-T and DVB-T2, HDTV, 3DTV) noting that PMSE is a secondary user and may only use gaps left by the TV transmitters.</w:t>
      </w:r>
    </w:p>
    <w:p w:rsidR="006D1BB1" w:rsidRPr="008D2EA0" w:rsidRDefault="006D1BB1" w:rsidP="006731B4">
      <w:pPr>
        <w:pStyle w:val="ECCParagraph"/>
      </w:pPr>
      <w:r w:rsidRPr="008D2EA0">
        <w:t>At the same time the need for spectrum is increasing steadily because of the increasing demand for production quality, new audio formats and the growth of the number of concurrent PMSE users in a given event</w:t>
      </w:r>
      <w:r w:rsidRPr="008D2EA0">
        <w:rPr>
          <w:rStyle w:val="FootnoteReference"/>
          <w:szCs w:val="20"/>
        </w:rPr>
        <w:footnoteReference w:id="12"/>
      </w:r>
      <w:r w:rsidRPr="008D2EA0">
        <w:t>. This may lead to the situation where peak spectrum demand will not be possible to satisfy within the exiting spectrum.</w:t>
      </w:r>
    </w:p>
    <w:p w:rsidR="006D1BB1" w:rsidRPr="008D2EA0" w:rsidRDefault="006D1BB1" w:rsidP="006731B4">
      <w:pPr>
        <w:pStyle w:val="ECCParagraph"/>
      </w:pPr>
      <w:r w:rsidRPr="008D2EA0">
        <w:t xml:space="preserve">Some applications currently operating in the UHF band could be moved to the L-band, provided that they accept the related operational constraints. Man-made noise in the L-Band is lower than in the UHF range while the wave propagation characteristics in the L band are not as favourable. </w:t>
      </w:r>
    </w:p>
    <w:p w:rsidR="006D1BB1" w:rsidRPr="008D2EA0" w:rsidRDefault="006D1BB1" w:rsidP="006731B4">
      <w:pPr>
        <w:pStyle w:val="ECCParagraph"/>
      </w:pPr>
    </w:p>
    <w:p w:rsidR="006D1BB1" w:rsidRPr="008D2EA0" w:rsidRDefault="006D1BB1" w:rsidP="002239E6">
      <w:pPr>
        <w:pStyle w:val="Heading3"/>
      </w:pPr>
      <w:bookmarkStart w:id="59" w:name="_Toc349039252"/>
      <w:r w:rsidRPr="008D2EA0">
        <w:lastRenderedPageBreak/>
        <w:t>Spectrum requirements</w:t>
      </w:r>
      <w:bookmarkEnd w:id="59"/>
    </w:p>
    <w:p w:rsidR="00531207" w:rsidRDefault="00531207" w:rsidP="006D1BB1">
      <w:pPr>
        <w:pStyle w:val="ECCParagraph"/>
      </w:pPr>
      <w:r w:rsidRPr="008D2EA0">
        <w:t>The amount of spectrum required to operate wireless microphones in a given event is not a linear function of the number of microphones, but more a geometrical or exponential function (see</w:t>
      </w:r>
      <w:r>
        <w:t xml:space="preserve"> </w:t>
      </w:r>
      <w:r>
        <w:fldChar w:fldCharType="begin"/>
      </w:r>
      <w:r>
        <w:instrText xml:space="preserve"> REF _Ref333574020 \r \h </w:instrText>
      </w:r>
      <w:r>
        <w:fldChar w:fldCharType="separate"/>
      </w:r>
      <w:r w:rsidR="00E73FF2">
        <w:t>ANNEX 7:</w:t>
      </w:r>
      <w:r>
        <w:fldChar w:fldCharType="end"/>
      </w:r>
      <w:r w:rsidRPr="008D2EA0">
        <w:t>) For example, assuming devices compliant with standards EN</w:t>
      </w:r>
      <w:r>
        <w:t xml:space="preserve"> </w:t>
      </w:r>
      <w:r w:rsidRPr="008D2EA0">
        <w:t xml:space="preserve">300 422 </w:t>
      </w:r>
      <w:r w:rsidRPr="008D2EA0">
        <w:fldChar w:fldCharType="begin"/>
      </w:r>
      <w:r w:rsidRPr="008D2EA0">
        <w:instrText xml:space="preserve"> REF _Ref330511420 \r \h  \* MERGEFORMAT </w:instrText>
      </w:r>
      <w:r w:rsidRPr="008D2EA0">
        <w:fldChar w:fldCharType="separate"/>
      </w:r>
      <w:r w:rsidR="00E73FF2">
        <w:t>[13]</w:t>
      </w:r>
      <w:r w:rsidRPr="008D2EA0">
        <w:fldChar w:fldCharType="end"/>
      </w:r>
      <w:r w:rsidRPr="008D2EA0">
        <w:t xml:space="preserve"> and operating in the UHF band, the operation of 22 devices requires typically 20 MHz of spectrum, while the operation of 32 devices requires typically 40 MHz.</w:t>
      </w:r>
    </w:p>
    <w:p w:rsidR="006D1BB1" w:rsidRPr="008D2EA0" w:rsidRDefault="006D1BB1" w:rsidP="006D1BB1">
      <w:pPr>
        <w:pStyle w:val="ECCParagraph"/>
      </w:pPr>
      <w:r w:rsidRPr="008D2EA0">
        <w:t>PMSE applications are successfully operating in interleaved spectrum alongside primary users and would benefit from having access on a secondary basis to the L-Band from 1452 to 1492 MHz.</w:t>
      </w:r>
    </w:p>
    <w:p w:rsidR="006D1BB1" w:rsidRPr="008D2EA0" w:rsidRDefault="006D1BB1" w:rsidP="000F6780">
      <w:pPr>
        <w:pStyle w:val="Heading2"/>
        <w:numPr>
          <w:ilvl w:val="1"/>
          <w:numId w:val="19"/>
        </w:numPr>
        <w:rPr>
          <w:i/>
          <w:lang w:val="en-GB"/>
        </w:rPr>
      </w:pPr>
      <w:bookmarkStart w:id="60" w:name="_Toc349039253"/>
      <w:r w:rsidRPr="008D2EA0">
        <w:rPr>
          <w:lang w:val="en-GB"/>
        </w:rPr>
        <w:t xml:space="preserve">Application six: </w:t>
      </w:r>
      <w:r w:rsidRPr="008D2EA0">
        <w:rPr>
          <w:szCs w:val="22"/>
          <w:lang w:val="en-GB"/>
        </w:rPr>
        <w:t xml:space="preserve">Broadband </w:t>
      </w:r>
      <w:r w:rsidRPr="008D2EA0">
        <w:rPr>
          <w:lang w:val="en-GB"/>
        </w:rPr>
        <w:t>PPDR for temporary and local use</w:t>
      </w:r>
      <w:bookmarkEnd w:id="60"/>
    </w:p>
    <w:p w:rsidR="006D1BB1" w:rsidRPr="008D2EA0" w:rsidRDefault="006D1BB1" w:rsidP="002239E6">
      <w:pPr>
        <w:pStyle w:val="Heading3"/>
      </w:pPr>
      <w:bookmarkStart w:id="61" w:name="_Toc321318118"/>
      <w:bookmarkStart w:id="62" w:name="_Toc349039254"/>
      <w:r w:rsidRPr="008D2EA0">
        <w:t>Description</w:t>
      </w:r>
      <w:bookmarkEnd w:id="61"/>
      <w:bookmarkEnd w:id="62"/>
    </w:p>
    <w:p w:rsidR="006D1BB1" w:rsidRPr="008D2EA0" w:rsidRDefault="006D1BB1" w:rsidP="006D1BB1">
      <w:pPr>
        <w:pStyle w:val="ECCParagraph"/>
      </w:pPr>
      <w:r w:rsidRPr="008D2EA0">
        <w:t>Public Protection and Disaster Relief (PPDR) radio</w:t>
      </w:r>
      <w:r w:rsidR="00995D9E">
        <w:t xml:space="preserve"> </w:t>
      </w:r>
      <w:r w:rsidRPr="008D2EA0">
        <w:t>communication systems are defined (by ITU-R) as:</w:t>
      </w:r>
    </w:p>
    <w:p w:rsidR="006D1BB1" w:rsidRPr="008D2EA0" w:rsidRDefault="006D1BB1" w:rsidP="006D1BB1">
      <w:pPr>
        <w:pStyle w:val="ECCParagraph"/>
      </w:pPr>
      <w:r w:rsidRPr="008D2EA0">
        <w:t>Radio</w:t>
      </w:r>
      <w:r w:rsidR="00995D9E">
        <w:t xml:space="preserve"> </w:t>
      </w:r>
      <w:r w:rsidRPr="008D2EA0">
        <w:t>communications of Public Protection (PP) used by responsible agencies and organi</w:t>
      </w:r>
      <w:r w:rsidR="00995D9E">
        <w:t>s</w:t>
      </w:r>
      <w:r w:rsidRPr="008D2EA0">
        <w:t>ations dealing with maintenance of law and order, protection of life and property, and emergency situations.</w:t>
      </w:r>
    </w:p>
    <w:p w:rsidR="006D1BB1" w:rsidRPr="008D2EA0" w:rsidRDefault="006D1BB1" w:rsidP="006D1BB1">
      <w:pPr>
        <w:pStyle w:val="ECCParagraph"/>
      </w:pPr>
      <w:r w:rsidRPr="008D2EA0">
        <w:t>Radio</w:t>
      </w:r>
      <w:r w:rsidR="00995D9E">
        <w:t xml:space="preserve"> </w:t>
      </w:r>
      <w:r w:rsidRPr="008D2EA0">
        <w:t>communications of Disaster Relief (DR) used by agencies and organi</w:t>
      </w:r>
      <w:r w:rsidR="00995D9E">
        <w:t>s</w:t>
      </w:r>
      <w:r w:rsidRPr="008D2EA0">
        <w:t>ations dealing with a serious disruption of the functioning of society, posing a significant, widespread threat to human life, health, property or the environment, whether caused by accident, nature or human activity, and whether developing suddenly or as a result of complex, long-term processes.</w:t>
      </w:r>
    </w:p>
    <w:p w:rsidR="006D1BB1" w:rsidRPr="008D2EA0" w:rsidRDefault="006D1BB1" w:rsidP="006D1BB1">
      <w:pPr>
        <w:pStyle w:val="ECCParagraph"/>
      </w:pPr>
      <w:r w:rsidRPr="008D2EA0">
        <w:t>National narrowband PPDR networks using the TETRA or TETRAPOL technology are in operation in many European countries using the 390-395 MHz/380-385 MHz band harmoni</w:t>
      </w:r>
      <w:r w:rsidR="00995D9E">
        <w:t>s</w:t>
      </w:r>
      <w:r w:rsidRPr="008D2EA0">
        <w:t>ed for narrowband PPDR applications (ECC/DEC(08)05</w:t>
      </w:r>
      <w:r w:rsidR="00C02C73" w:rsidRPr="008D2EA0">
        <w:t xml:space="preserve"> </w:t>
      </w:r>
      <w:r w:rsidR="00C02C73" w:rsidRPr="008D2EA0">
        <w:fldChar w:fldCharType="begin"/>
      </w:r>
      <w:r w:rsidR="00C02C73" w:rsidRPr="008D2EA0">
        <w:instrText xml:space="preserve"> REF _Ref330511597 \r \h </w:instrText>
      </w:r>
      <w:r w:rsidR="00C02C73" w:rsidRPr="008D2EA0">
        <w:fldChar w:fldCharType="separate"/>
      </w:r>
      <w:r w:rsidR="00E73FF2">
        <w:t>[16]</w:t>
      </w:r>
      <w:r w:rsidR="00C02C73" w:rsidRPr="008D2EA0">
        <w:fldChar w:fldCharType="end"/>
      </w:r>
      <w:r w:rsidRPr="008D2EA0">
        <w:t xml:space="preserve">). Various studies and surveys have been made in an attempt to define the PPDR organisations future need of broadband applications. The users see a demand for a number of broadband applications in their future daily work, as well as in emergency crises situations. When translated to frequency bandwidth requirements, a minimum spectrum of 2 </w:t>
      </w:r>
      <w:r w:rsidRPr="008D2EA0">
        <w:rPr>
          <w:iCs/>
        </w:rPr>
        <w:t>×</w:t>
      </w:r>
      <w:r w:rsidR="001D278F" w:rsidRPr="008D2EA0">
        <w:t xml:space="preserve"> 10 M</w:t>
      </w:r>
      <w:r w:rsidR="009728AD" w:rsidRPr="008D2EA0">
        <w:t>H</w:t>
      </w:r>
      <w:r w:rsidR="001D278F" w:rsidRPr="008D2EA0">
        <w:t xml:space="preserve">z </w:t>
      </w:r>
      <w:r w:rsidRPr="008D2EA0">
        <w:t>below</w:t>
      </w:r>
      <w:r w:rsidR="001D278F" w:rsidRPr="008D2EA0">
        <w:t xml:space="preserve"> </w:t>
      </w:r>
      <w:r w:rsidRPr="008D2EA0">
        <w:t>1 GHz is believed to be necessary to cover the identified needs.</w:t>
      </w:r>
    </w:p>
    <w:p w:rsidR="006D1BB1" w:rsidRPr="008D2EA0" w:rsidRDefault="006D1BB1" w:rsidP="006D1BB1">
      <w:pPr>
        <w:pStyle w:val="ECCParagraph"/>
      </w:pPr>
      <w:r w:rsidRPr="008D2EA0">
        <w:t xml:space="preserve">In addition to the identified need for permanent spectrum for broadband PPDR, studies done on the initiative of one </w:t>
      </w:r>
      <w:r w:rsidRPr="00E60485">
        <w:t>administration</w:t>
      </w:r>
      <w:r w:rsidR="00445253" w:rsidRPr="00E60485">
        <w:t xml:space="preserve"> </w:t>
      </w:r>
      <w:r w:rsidR="00445253" w:rsidRPr="00E60485">
        <w:fldChar w:fldCharType="begin"/>
      </w:r>
      <w:r w:rsidR="00445253" w:rsidRPr="00E60485">
        <w:instrText xml:space="preserve"> REF _Ref333826684 \r \h </w:instrText>
      </w:r>
      <w:r w:rsidR="00E60485" w:rsidRPr="00E60485">
        <w:instrText xml:space="preserve"> \* MERGEFORMAT </w:instrText>
      </w:r>
      <w:r w:rsidR="00445253" w:rsidRPr="00E60485">
        <w:fldChar w:fldCharType="separate"/>
      </w:r>
      <w:r w:rsidR="00E73FF2">
        <w:t>[17]</w:t>
      </w:r>
      <w:r w:rsidR="00445253" w:rsidRPr="00E60485">
        <w:fldChar w:fldCharType="end"/>
      </w:r>
      <w:r w:rsidR="00445253" w:rsidRPr="00E60485">
        <w:t xml:space="preserve"> </w:t>
      </w:r>
      <w:r w:rsidR="00445253" w:rsidRPr="00E60485">
        <w:fldChar w:fldCharType="begin"/>
      </w:r>
      <w:r w:rsidR="00445253" w:rsidRPr="00E60485">
        <w:instrText xml:space="preserve"> REF _Ref333832218 \r \h </w:instrText>
      </w:r>
      <w:r w:rsidR="00E60485" w:rsidRPr="00E60485">
        <w:instrText xml:space="preserve"> \* MERGEFORMAT </w:instrText>
      </w:r>
      <w:r w:rsidR="00445253" w:rsidRPr="00E60485">
        <w:fldChar w:fldCharType="separate"/>
      </w:r>
      <w:r w:rsidR="00E73FF2">
        <w:t>[18]</w:t>
      </w:r>
      <w:r w:rsidR="00445253" w:rsidRPr="00E60485">
        <w:fldChar w:fldCharType="end"/>
      </w:r>
      <w:r w:rsidRPr="008D2EA0">
        <w:t xml:space="preserve"> show an additional need for spectrum for temporary use. In order to allow the PPDR applications for the usage of additional capacity to transmit real-time video of the site of operation or medical telemetry etc. it has been considered to provide these applications with an extension at the site of operation. The spectrum requirements for temporary and local usage are mainly driven by the need to address significant incidents where this additional capacity is required. The PPDR devices will need to be capable of operating in both the permanent and temporary spectrum bands. During temporary use for PPDR the spectrum will not be </w:t>
      </w:r>
      <w:r w:rsidR="008D2EA0" w:rsidRPr="008D2EA0">
        <w:t>accessible</w:t>
      </w:r>
      <w:r w:rsidRPr="008D2EA0">
        <w:t xml:space="preserve"> to any other users. Appropriate mechanisms to ensure priority access for PPDR users to the temporary bands are to be defined.</w:t>
      </w:r>
    </w:p>
    <w:p w:rsidR="006D1BB1" w:rsidRPr="008D2EA0" w:rsidRDefault="006D1BB1" w:rsidP="002239E6">
      <w:pPr>
        <w:pStyle w:val="Heading3"/>
      </w:pPr>
      <w:bookmarkStart w:id="63" w:name="_Toc321318119"/>
      <w:bookmarkStart w:id="64" w:name="_Toc349039255"/>
      <w:r w:rsidRPr="008D2EA0">
        <w:t>Justification</w:t>
      </w:r>
      <w:bookmarkEnd w:id="63"/>
      <w:bookmarkEnd w:id="64"/>
    </w:p>
    <w:p w:rsidR="006D1BB1" w:rsidRPr="008D2EA0" w:rsidRDefault="006D1BB1" w:rsidP="006D1BB1">
      <w:pPr>
        <w:pStyle w:val="ECCParagraph"/>
        <w:rPr>
          <w:highlight w:val="green"/>
        </w:rPr>
      </w:pPr>
      <w:r w:rsidRPr="008D2EA0">
        <w:t>Section 3.3</w:t>
      </w:r>
      <w:r w:rsidRPr="008D2EA0">
        <w:rPr>
          <w:vertAlign w:val="superscript"/>
        </w:rPr>
        <w:footnoteReference w:id="13"/>
      </w:r>
      <w:r w:rsidRPr="008D2EA0">
        <w:t xml:space="preserve"> of ECC’s Strategic Plan</w:t>
      </w:r>
      <w:r w:rsidR="00C5370E" w:rsidRPr="008D2EA0">
        <w:t xml:space="preserve"> </w:t>
      </w:r>
      <w:r w:rsidR="00C5370E" w:rsidRPr="008D2EA0">
        <w:fldChar w:fldCharType="begin"/>
      </w:r>
      <w:r w:rsidR="00C5370E" w:rsidRPr="008D2EA0">
        <w:instrText xml:space="preserve"> REF _Ref332816896 \r \h </w:instrText>
      </w:r>
      <w:r w:rsidR="00C5370E" w:rsidRPr="008D2EA0">
        <w:fldChar w:fldCharType="separate"/>
      </w:r>
      <w:r w:rsidR="00E73FF2">
        <w:t>[14]</w:t>
      </w:r>
      <w:r w:rsidR="00C5370E" w:rsidRPr="008D2EA0">
        <w:fldChar w:fldCharType="end"/>
      </w:r>
      <w:r w:rsidR="00C5370E" w:rsidRPr="008D2EA0">
        <w:t xml:space="preserve"> </w:t>
      </w:r>
      <w:r w:rsidRPr="008D2EA0">
        <w:t>mentions that</w:t>
      </w:r>
      <w:r w:rsidR="00631F3F" w:rsidRPr="008D2EA0">
        <w:t>,</w:t>
      </w:r>
      <w:r w:rsidRPr="008D2EA0">
        <w:t xml:space="preserve"> the overall demand for PPDR spectrum is one of the main challenges of ECC to be solved within the next remaining three years. Until now no other frequency band is designated for the use by broadband PPDR applications. The ECC established </w:t>
      </w:r>
      <w:r w:rsidR="009E16D0" w:rsidRPr="008D2EA0">
        <w:t xml:space="preserve">a dedicated </w:t>
      </w:r>
      <w:r w:rsidRPr="008D2EA0">
        <w:t>project team to address the spectrum requirements for PPDR.</w:t>
      </w:r>
    </w:p>
    <w:p w:rsidR="006D1BB1" w:rsidRPr="008D2EA0" w:rsidRDefault="006D1BB1" w:rsidP="006D1BB1">
      <w:pPr>
        <w:pStyle w:val="ECCParagraph"/>
      </w:pPr>
      <w:r w:rsidRPr="008D2EA0">
        <w:t>Some administrations identified the need for temporary and local PPDR networks with spectrum requirements outside those currently used for PPDR. The L-band could accommodate these needs.</w:t>
      </w:r>
    </w:p>
    <w:p w:rsidR="006D1BB1" w:rsidRPr="008D2EA0" w:rsidRDefault="006D1BB1" w:rsidP="006D1BB1">
      <w:pPr>
        <w:pStyle w:val="ECCParagraph"/>
        <w:spacing w:after="120"/>
        <w:rPr>
          <w:szCs w:val="20"/>
        </w:rPr>
      </w:pPr>
      <w:r w:rsidRPr="008D2EA0">
        <w:lastRenderedPageBreak/>
        <w:t xml:space="preserve">The </w:t>
      </w:r>
      <w:r w:rsidR="00661528">
        <w:t xml:space="preserve">studies </w:t>
      </w:r>
      <w:r w:rsidRPr="008D2EA0">
        <w:t xml:space="preserve">mentioned </w:t>
      </w:r>
      <w:r w:rsidR="00661528">
        <w:t xml:space="preserve">in 4.6.1 </w:t>
      </w:r>
      <w:r w:rsidRPr="008D2EA0">
        <w:t>show that in case of significant incid</w:t>
      </w:r>
      <w:r w:rsidR="008D2EA0">
        <w:t>ents the following applications</w:t>
      </w:r>
      <w:r w:rsidRPr="008D2EA0">
        <w:t xml:space="preserve"> require higher capacity than that which can be provided by the permanent PPDR </w:t>
      </w:r>
      <w:r w:rsidRPr="008D2EA0">
        <w:rPr>
          <w:szCs w:val="20"/>
        </w:rPr>
        <w:t>networks:</w:t>
      </w:r>
    </w:p>
    <w:p w:rsidR="006D1BB1" w:rsidRPr="008D2EA0" w:rsidRDefault="00E60485" w:rsidP="000F6780">
      <w:pPr>
        <w:pStyle w:val="ECCParBulleted"/>
        <w:numPr>
          <w:ilvl w:val="0"/>
          <w:numId w:val="18"/>
        </w:numPr>
      </w:pPr>
      <w:r>
        <w:t>local mobile data transfer;</w:t>
      </w:r>
    </w:p>
    <w:p w:rsidR="006D1BB1" w:rsidRPr="008D2EA0" w:rsidRDefault="006D1BB1" w:rsidP="000F6780">
      <w:pPr>
        <w:pStyle w:val="ECCParBulleted"/>
        <w:numPr>
          <w:ilvl w:val="0"/>
          <w:numId w:val="18"/>
        </w:numPr>
      </w:pPr>
      <w:r w:rsidRPr="008D2EA0">
        <w:t>local high speed moving picture transfer</w:t>
      </w:r>
      <w:r w:rsidR="00E60485">
        <w:t>;</w:t>
      </w:r>
    </w:p>
    <w:p w:rsidR="006D1BB1" w:rsidRPr="008D2EA0" w:rsidRDefault="006D1BB1" w:rsidP="000F6780">
      <w:pPr>
        <w:pStyle w:val="ECCParBulleted"/>
        <w:numPr>
          <w:ilvl w:val="0"/>
          <w:numId w:val="18"/>
        </w:numPr>
      </w:pPr>
      <w:r w:rsidRPr="008D2EA0">
        <w:t>local infrared high speed moving picture transfer</w:t>
      </w:r>
      <w:r w:rsidR="00E60485">
        <w:t>;</w:t>
      </w:r>
    </w:p>
    <w:p w:rsidR="006D1BB1" w:rsidRPr="008D2EA0" w:rsidRDefault="006D1BB1" w:rsidP="000F6780">
      <w:pPr>
        <w:pStyle w:val="ECCParBulleted"/>
        <w:numPr>
          <w:ilvl w:val="0"/>
          <w:numId w:val="18"/>
        </w:numPr>
      </w:pPr>
      <w:r w:rsidRPr="008D2EA0">
        <w:t>local t</w:t>
      </w:r>
      <w:r w:rsidRPr="008D2EA0">
        <w:rPr>
          <w:szCs w:val="20"/>
        </w:rPr>
        <w:t>hermal imaging cameras</w:t>
      </w:r>
      <w:r w:rsidR="00E60485">
        <w:rPr>
          <w:szCs w:val="20"/>
        </w:rPr>
        <w:t>;</w:t>
      </w:r>
    </w:p>
    <w:p w:rsidR="006D1BB1" w:rsidRPr="008D2EA0" w:rsidRDefault="006D1BB1" w:rsidP="000F6780">
      <w:pPr>
        <w:pStyle w:val="ECCParBulleted"/>
        <w:numPr>
          <w:ilvl w:val="0"/>
          <w:numId w:val="18"/>
        </w:numPr>
      </w:pPr>
      <w:r w:rsidRPr="008D2EA0">
        <w:t>local operation surveillance</w:t>
      </w:r>
      <w:r w:rsidR="00E60485">
        <w:t>;</w:t>
      </w:r>
    </w:p>
    <w:p w:rsidR="006D1BB1" w:rsidRPr="008D2EA0" w:rsidRDefault="006D1BB1" w:rsidP="000F6780">
      <w:pPr>
        <w:pStyle w:val="ECCParBulleted"/>
        <w:numPr>
          <w:ilvl w:val="0"/>
          <w:numId w:val="18"/>
        </w:numPr>
      </w:pPr>
      <w:r w:rsidRPr="008D2EA0">
        <w:t>local unmanned remote controlled vehicles carrying surveillance cameras</w:t>
      </w:r>
      <w:r w:rsidR="00E60485">
        <w:t>.</w:t>
      </w:r>
    </w:p>
    <w:p w:rsidR="006D1BB1" w:rsidRPr="008D2EA0" w:rsidRDefault="006D1BB1" w:rsidP="002239E6">
      <w:pPr>
        <w:pStyle w:val="Heading3"/>
      </w:pPr>
      <w:bookmarkStart w:id="65" w:name="_Toc321318120"/>
      <w:bookmarkStart w:id="66" w:name="_Toc349039256"/>
      <w:r w:rsidRPr="008D2EA0">
        <w:t>Spectrum requirements</w:t>
      </w:r>
      <w:bookmarkEnd w:id="65"/>
      <w:bookmarkEnd w:id="66"/>
    </w:p>
    <w:p w:rsidR="006D1BB1" w:rsidRPr="008D2EA0" w:rsidRDefault="006D1BB1" w:rsidP="006D1BB1">
      <w:pPr>
        <w:pStyle w:val="ECCParagraph"/>
      </w:pPr>
      <w:r w:rsidRPr="008D2EA0">
        <w:t>Investigations undertaken by one CEPT country on high speed data communication demands and needs for PPDR and its possible realisation in the radio spectrum have been carried out in 2010</w:t>
      </w:r>
      <w:r w:rsidR="00BD3C18">
        <w:t xml:space="preserve"> </w:t>
      </w:r>
      <w:r w:rsidR="00BD3C18">
        <w:fldChar w:fldCharType="begin"/>
      </w:r>
      <w:r w:rsidR="00BD3C18">
        <w:instrText xml:space="preserve"> REF _Ref333826684 \r \h </w:instrText>
      </w:r>
      <w:r w:rsidR="00BD3C18">
        <w:fldChar w:fldCharType="separate"/>
      </w:r>
      <w:r w:rsidR="00E73FF2">
        <w:t>[17]</w:t>
      </w:r>
      <w:r w:rsidR="00BD3C18">
        <w:fldChar w:fldCharType="end"/>
      </w:r>
      <w:r w:rsidRPr="008D2EA0">
        <w:t xml:space="preserve"> and 2011</w:t>
      </w:r>
      <w:r w:rsidR="00445253">
        <w:t xml:space="preserve"> </w:t>
      </w:r>
      <w:r w:rsidR="00445253">
        <w:fldChar w:fldCharType="begin"/>
      </w:r>
      <w:r w:rsidR="00445253">
        <w:instrText xml:space="preserve"> REF _Ref333832218 \r \h </w:instrText>
      </w:r>
      <w:r w:rsidR="00445253">
        <w:fldChar w:fldCharType="separate"/>
      </w:r>
      <w:r w:rsidR="00E73FF2">
        <w:t>[18]</w:t>
      </w:r>
      <w:r w:rsidR="00445253">
        <w:fldChar w:fldCharType="end"/>
      </w:r>
      <w:r w:rsidRPr="008D2EA0">
        <w:t xml:space="preserve">. </w:t>
      </w:r>
    </w:p>
    <w:p w:rsidR="006D1BB1" w:rsidRPr="008D2EA0" w:rsidRDefault="006D1BB1" w:rsidP="006D1BB1">
      <w:pPr>
        <w:pStyle w:val="ECCParagraph"/>
      </w:pPr>
      <w:r w:rsidRPr="008D2EA0">
        <w:t>The calculations have been done on the basis of LTE - but not prejudging LTE or excluding any other standard at this point of time.</w:t>
      </w:r>
    </w:p>
    <w:p w:rsidR="006D1BB1" w:rsidRPr="008D2EA0" w:rsidRDefault="006D1BB1" w:rsidP="006D1BB1">
      <w:pPr>
        <w:pStyle w:val="ECCParagraph"/>
      </w:pPr>
      <w:r w:rsidRPr="008D2EA0">
        <w:t xml:space="preserve">The needed bandwidth for temporary and local PPDR high speed data communications is 15 MHz as indicated in one of the above mentioned studies </w:t>
      </w:r>
      <w:r w:rsidR="00445253">
        <w:fldChar w:fldCharType="begin"/>
      </w:r>
      <w:r w:rsidR="00445253">
        <w:instrText xml:space="preserve"> REF _Ref333826684 \r \h </w:instrText>
      </w:r>
      <w:r w:rsidR="00445253">
        <w:fldChar w:fldCharType="separate"/>
      </w:r>
      <w:r w:rsidR="00E73FF2">
        <w:t>[17]</w:t>
      </w:r>
      <w:r w:rsidR="00445253">
        <w:fldChar w:fldCharType="end"/>
      </w:r>
      <w:r w:rsidRPr="008D2EA0">
        <w:t>.</w:t>
      </w:r>
      <w:r w:rsidR="00445253">
        <w:t xml:space="preserve"> </w:t>
      </w:r>
      <w:r w:rsidRPr="008D2EA0">
        <w:t>This requirement is primarily considered for a pan-European deployment.</w:t>
      </w:r>
    </w:p>
    <w:p w:rsidR="006D1BB1" w:rsidRPr="008D2EA0" w:rsidRDefault="006D1BB1" w:rsidP="000F6780">
      <w:pPr>
        <w:pStyle w:val="Heading2"/>
        <w:numPr>
          <w:ilvl w:val="1"/>
          <w:numId w:val="19"/>
        </w:numPr>
        <w:rPr>
          <w:lang w:val="en-GB"/>
        </w:rPr>
      </w:pPr>
      <w:bookmarkStart w:id="67" w:name="_Toc349039257"/>
      <w:r w:rsidRPr="008D2EA0">
        <w:rPr>
          <w:lang w:val="en-GB"/>
        </w:rPr>
        <w:t>Application seven:</w:t>
      </w:r>
      <w:r w:rsidRPr="008D2EA0">
        <w:rPr>
          <w:lang w:val="en-GB"/>
        </w:rPr>
        <w:tab/>
        <w:t>Broadband Direct-Air-to-Ground Communications (BDA2GC)</w:t>
      </w:r>
      <w:bookmarkEnd w:id="67"/>
    </w:p>
    <w:p w:rsidR="006D1BB1" w:rsidRPr="008D2EA0" w:rsidRDefault="006D1BB1" w:rsidP="002239E6">
      <w:pPr>
        <w:pStyle w:val="Heading3"/>
      </w:pPr>
      <w:bookmarkStart w:id="68" w:name="_Toc321318122"/>
      <w:bookmarkStart w:id="69" w:name="_Toc349039258"/>
      <w:r w:rsidRPr="008D2EA0">
        <w:t>Description</w:t>
      </w:r>
      <w:bookmarkEnd w:id="68"/>
      <w:bookmarkEnd w:id="69"/>
    </w:p>
    <w:p w:rsidR="006D1BB1" w:rsidRPr="008D2EA0" w:rsidRDefault="006D1BB1" w:rsidP="006D1BB1">
      <w:pPr>
        <w:pStyle w:val="ECCParagraph"/>
      </w:pPr>
      <w:r w:rsidRPr="008D2EA0">
        <w:t>A broadband DA2GC system constitutes an application for various types of telecommunications services, such as internet access and mobile multimedia services. It aims to provide access to broadband communication services during continental flights on a Europe-wide basis. The overall end-to-end system architecture of the broadband DA2G communication system is illustrated in</w:t>
      </w:r>
      <w:r w:rsidR="001D278F" w:rsidRPr="008D2EA0">
        <w:t xml:space="preserve"> </w:t>
      </w:r>
      <w:r w:rsidR="001D278F" w:rsidRPr="008D2EA0">
        <w:fldChar w:fldCharType="begin"/>
      </w:r>
      <w:r w:rsidR="001D278F" w:rsidRPr="008D2EA0">
        <w:instrText xml:space="preserve"> REF _Ref310935488 \r \h </w:instrText>
      </w:r>
      <w:r w:rsidR="001D278F" w:rsidRPr="008D2EA0">
        <w:fldChar w:fldCharType="separate"/>
      </w:r>
      <w:r w:rsidR="00E73FF2">
        <w:t>Figure 2:</w:t>
      </w:r>
      <w:r w:rsidR="001D278F" w:rsidRPr="008D2EA0">
        <w:fldChar w:fldCharType="end"/>
      </w:r>
      <w:r w:rsidRPr="008D2EA0">
        <w:t>. The request for spectrum is related to the direct air-to-ground radio solution.</w:t>
      </w:r>
    </w:p>
    <w:p w:rsidR="006D1BB1" w:rsidRPr="008D2EA0" w:rsidRDefault="006D1BB1" w:rsidP="006D1BB1">
      <w:pPr>
        <w:rPr>
          <w:lang w:val="en-GB"/>
        </w:rPr>
      </w:pPr>
    </w:p>
    <w:p w:rsidR="006D1BB1" w:rsidRPr="008D2EA0" w:rsidRDefault="006D1BB1" w:rsidP="006D1BB1">
      <w:pPr>
        <w:jc w:val="center"/>
        <w:rPr>
          <w:szCs w:val="20"/>
          <w:lang w:val="en-GB"/>
        </w:rPr>
      </w:pPr>
      <w:r w:rsidRPr="008D2EA0">
        <w:rPr>
          <w:noProof/>
          <w:lang w:val="da-DK" w:eastAsia="da-DK"/>
        </w:rPr>
        <w:drawing>
          <wp:inline distT="0" distB="0" distL="0" distR="0" wp14:anchorId="5280EF9E" wp14:editId="37755A17">
            <wp:extent cx="5686425" cy="2962275"/>
            <wp:effectExtent l="0" t="0" r="9525" b="9525"/>
            <wp:docPr id="3" name="Picture 3" descr="Description: System-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System-Archite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2962275"/>
                    </a:xfrm>
                    <a:prstGeom prst="rect">
                      <a:avLst/>
                    </a:prstGeom>
                    <a:noFill/>
                    <a:ln>
                      <a:noFill/>
                    </a:ln>
                  </pic:spPr>
                </pic:pic>
              </a:graphicData>
            </a:graphic>
          </wp:inline>
        </w:drawing>
      </w:r>
    </w:p>
    <w:p w:rsidR="006D1BB1" w:rsidRPr="008D2EA0" w:rsidRDefault="006D1BB1" w:rsidP="00AC460F">
      <w:pPr>
        <w:pStyle w:val="ECCFiguretitle"/>
      </w:pPr>
      <w:bookmarkStart w:id="70" w:name="_Ref310935488"/>
      <w:r w:rsidRPr="008D2EA0">
        <w:t>System architecture for broadband DA2G communication</w:t>
      </w:r>
      <w:bookmarkEnd w:id="70"/>
      <w:r w:rsidRPr="008D2EA0">
        <w:t xml:space="preserve"> </w:t>
      </w:r>
    </w:p>
    <w:p w:rsidR="006D1BB1" w:rsidRPr="008D2EA0" w:rsidRDefault="006D1BB1" w:rsidP="006D1BB1">
      <w:pPr>
        <w:pStyle w:val="ECCParagraph"/>
      </w:pPr>
      <w:r w:rsidRPr="008D2EA0">
        <w:lastRenderedPageBreak/>
        <w:t>The BDA2GC system under consideration in this Report is based on the 3GPP LTE (also called E-UTRA) standard (Rel. 8 or higher), as described in more detail in ETSI TR 103 054</w:t>
      </w:r>
      <w:r w:rsidR="00445253">
        <w:t xml:space="preserve"> </w:t>
      </w:r>
      <w:r w:rsidR="00445253">
        <w:fldChar w:fldCharType="begin"/>
      </w:r>
      <w:r w:rsidR="00445253">
        <w:instrText xml:space="preserve"> REF _Ref333832497 \r \h </w:instrText>
      </w:r>
      <w:r w:rsidR="00445253">
        <w:fldChar w:fldCharType="separate"/>
      </w:r>
      <w:r w:rsidR="00E73FF2">
        <w:t>[19]</w:t>
      </w:r>
      <w:r w:rsidR="00445253">
        <w:fldChar w:fldCharType="end"/>
      </w:r>
      <w:r w:rsidRPr="008D2EA0">
        <w:t>. The general characteristics of the DA2GC RF and digital baseband signals are also based on the LTE specification. To adapt the LTE system functionalities to the DA2GC link specifics, some modifications are required. In particular synchroni</w:t>
      </w:r>
      <w:r w:rsidR="00995D9E">
        <w:t>s</w:t>
      </w:r>
      <w:r w:rsidRPr="008D2EA0">
        <w:t>ation algorithms as well as the maximum OBU Tx power are to be modified compared to terrestrial mobile radio usage in order to cope with high Doppler frequency shift caused by aircraft speed and large cell sizes. In addition the BS antenna adjustment has to be matched to cover typical aircraft altitudes between 3 and 12 km by up-tilt of vertical diagrams. Ongoing investigations will determine whether further modifications are required</w:t>
      </w:r>
      <w:r w:rsidRPr="008D2EA0">
        <w:rPr>
          <w:rStyle w:val="FootnoteReference"/>
        </w:rPr>
        <w:footnoteReference w:id="14"/>
      </w:r>
      <w:r w:rsidRPr="008D2EA0">
        <w:t>.</w:t>
      </w:r>
    </w:p>
    <w:p w:rsidR="006D1BB1" w:rsidRPr="008D2EA0" w:rsidRDefault="006D1BB1" w:rsidP="006D1BB1">
      <w:pPr>
        <w:pStyle w:val="ECCParagraph"/>
      </w:pPr>
      <w:r w:rsidRPr="008D2EA0">
        <w:t>The main application field would be Air Passenger Communications (APC), e.g. WiFi or GSM based internet/company intranet access, data synchroni</w:t>
      </w:r>
      <w:r w:rsidR="00995D9E">
        <w:t>s</w:t>
      </w:r>
      <w:r w:rsidRPr="008D2EA0">
        <w:t>ation and voice communication. In addition the system could also support Airline Administrative Communications services (AAC), e.g. flight data, crew scheduling and lodging information, aircraft supply requirements (catering etc.), miscellaneous crew information and requests for medical assistance. The envisaged broadband DA2GC system is not intended to be used for safety-relevant communications such as Air Traffic Control (ATC) and related services. It should also be noted that in continental US an Air to Ground system has been established with more than 1.300 commercial aircrafts equipped so far</w:t>
      </w:r>
      <w:r w:rsidR="009F6C71" w:rsidRPr="008D2EA0">
        <w:rPr>
          <w:rStyle w:val="FootnoteReference"/>
        </w:rPr>
        <w:footnoteReference w:id="15"/>
      </w:r>
      <w:r w:rsidRPr="008D2EA0">
        <w:t>.</w:t>
      </w:r>
    </w:p>
    <w:p w:rsidR="006D1BB1" w:rsidRPr="008D2EA0" w:rsidRDefault="006D1BB1" w:rsidP="006D1BB1">
      <w:pPr>
        <w:pStyle w:val="ECCParagraph"/>
      </w:pPr>
      <w:r w:rsidRPr="008D2EA0">
        <w:t>There are other proposals in Europe for BDA2GC systems to be used in ISM bands using different technologies (see also section</w:t>
      </w:r>
      <w:r w:rsidR="001D278F" w:rsidRPr="008D2EA0">
        <w:t xml:space="preserve"> </w:t>
      </w:r>
      <w:r w:rsidR="001D278F" w:rsidRPr="008D2EA0">
        <w:fldChar w:fldCharType="begin"/>
      </w:r>
      <w:r w:rsidR="001D278F" w:rsidRPr="008D2EA0">
        <w:instrText xml:space="preserve"> REF _Ref330511988 \r \h </w:instrText>
      </w:r>
      <w:r w:rsidR="001D278F" w:rsidRPr="008D2EA0">
        <w:fldChar w:fldCharType="separate"/>
      </w:r>
      <w:r w:rsidR="00E73FF2">
        <w:t>4.7.3</w:t>
      </w:r>
      <w:r w:rsidR="001D278F" w:rsidRPr="008D2EA0">
        <w:fldChar w:fldCharType="end"/>
      </w:r>
      <w:r w:rsidRPr="008D2EA0">
        <w:t xml:space="preserve">). </w:t>
      </w:r>
    </w:p>
    <w:p w:rsidR="006D1BB1" w:rsidRPr="00510087" w:rsidRDefault="006D1BB1" w:rsidP="002239E6">
      <w:pPr>
        <w:pStyle w:val="Heading3"/>
        <w:rPr>
          <w:i/>
          <w:sz w:val="24"/>
        </w:rPr>
      </w:pPr>
      <w:bookmarkStart w:id="71" w:name="_Toc321318123"/>
      <w:bookmarkStart w:id="72" w:name="_Toc349039259"/>
      <w:r w:rsidRPr="008D2EA0">
        <w:t>Justification</w:t>
      </w:r>
      <w:bookmarkEnd w:id="71"/>
      <w:bookmarkEnd w:id="72"/>
    </w:p>
    <w:p w:rsidR="006D1BB1" w:rsidRPr="008D2EA0" w:rsidRDefault="006D1BB1" w:rsidP="006D1BB1">
      <w:pPr>
        <w:pStyle w:val="ECCParagraph"/>
      </w:pPr>
      <w:r w:rsidRPr="008D2EA0">
        <w:t>Mobile customers expect to be connected everywhere, every time, with all kind of mobile devices. A terrestrial BDA2GC system in Europe is proposed to be an alternative to the already existing satellite based services. A number of European airlines have great interest to offer internet services to their flight passengers in their continental fleets as soon as possible. The costs for the aircraft installation and maintenance are key issue</w:t>
      </w:r>
      <w:r w:rsidR="00713147">
        <w:t>s</w:t>
      </w:r>
      <w:r w:rsidRPr="008D2EA0">
        <w:t>.</w:t>
      </w:r>
    </w:p>
    <w:p w:rsidR="006D1BB1" w:rsidRPr="008D2EA0" w:rsidRDefault="006D1BB1" w:rsidP="006D1BB1">
      <w:pPr>
        <w:pStyle w:val="ECCParagraph"/>
      </w:pPr>
      <w:r w:rsidRPr="008D2EA0">
        <w:t>A forecast from Eurocontrol</w:t>
      </w:r>
      <w:r w:rsidRPr="008D2EA0">
        <w:rPr>
          <w:vertAlign w:val="superscript"/>
        </w:rPr>
        <w:footnoteReference w:id="16"/>
      </w:r>
      <w:r w:rsidRPr="008D2EA0">
        <w:t xml:space="preserve"> published in October 2011 estimates 11.5 million movements according Instrument Flight Rules (IFR) in Europe in 2017. This is 21% more than in 2010. Studies on air passenger demand for on</w:t>
      </w:r>
      <w:r w:rsidR="002239E6">
        <w:t>-</w:t>
      </w:r>
      <w:r w:rsidRPr="008D2EA0">
        <w:t>board connectivity are currently not publicly available</w:t>
      </w:r>
      <w:r w:rsidRPr="008D2EA0">
        <w:rPr>
          <w:rStyle w:val="FootnoteReference"/>
        </w:rPr>
        <w:footnoteReference w:id="17"/>
      </w:r>
      <w:r w:rsidRPr="008D2EA0">
        <w:t xml:space="preserve">. </w:t>
      </w:r>
    </w:p>
    <w:p w:rsidR="006D1BB1" w:rsidRPr="008D2EA0" w:rsidRDefault="006D1BB1" w:rsidP="006D1BB1">
      <w:pPr>
        <w:pStyle w:val="ECCParagraph"/>
      </w:pPr>
      <w:r w:rsidRPr="008D2EA0">
        <w:t xml:space="preserve">Currently, there is no spectrum designated for BDA2GC in Europe. In order to allow European citizens and airlines to derive social and economic benefits of the implementation of such a system, a spectrum designation on a Europe-wide basis would be necessary. </w:t>
      </w:r>
    </w:p>
    <w:p w:rsidR="006D1BB1" w:rsidRPr="008D2EA0" w:rsidRDefault="006D1BB1" w:rsidP="002239E6">
      <w:pPr>
        <w:pStyle w:val="Heading3"/>
      </w:pPr>
      <w:bookmarkStart w:id="73" w:name="_Toc321318124"/>
      <w:bookmarkStart w:id="74" w:name="_Ref330511988"/>
      <w:bookmarkStart w:id="75" w:name="_Toc349039260"/>
      <w:r w:rsidRPr="008D2EA0">
        <w:t>Spectrum requirements</w:t>
      </w:r>
      <w:bookmarkEnd w:id="73"/>
      <w:bookmarkEnd w:id="74"/>
      <w:bookmarkEnd w:id="75"/>
    </w:p>
    <w:p w:rsidR="006D1BB1" w:rsidRPr="008D2EA0" w:rsidRDefault="006D1BB1" w:rsidP="006D1BB1">
      <w:pPr>
        <w:pStyle w:val="ECCParagraph"/>
      </w:pPr>
      <w:r w:rsidRPr="008D2EA0">
        <w:t xml:space="preserve">The spectrum demand for the BDA2GC system is derived from a summary of relevant factors to be essential to cope with future capacity demand as well as from results achieved by system performance evaluations. </w:t>
      </w:r>
    </w:p>
    <w:p w:rsidR="006D1BB1" w:rsidRPr="008D2EA0" w:rsidRDefault="006D1BB1" w:rsidP="006D1BB1">
      <w:pPr>
        <w:pStyle w:val="ECCParagraph"/>
      </w:pPr>
      <w:r w:rsidRPr="008D2EA0">
        <w:t>WG FM agreed that for BDA2GC paired spectrum of 2 x 10 MHz for FDD operation is considered necessary to cope with short- to medium-term demand. Unpaired spectrum for TDD operation (20 MHz) would also be an option, but system performance would slightly suffer due to guard time intervals required for large cell sizes. CEPT is looking to designate in total 20 MHz for BDA2GC</w:t>
      </w:r>
      <w:r w:rsidRPr="008D2EA0">
        <w:rPr>
          <w:vertAlign w:val="superscript"/>
        </w:rPr>
        <w:footnoteReference w:id="18"/>
      </w:r>
      <w:r w:rsidRPr="008D2EA0">
        <w:t>.</w:t>
      </w:r>
      <w:r w:rsidRPr="008D2EA0">
        <w:rPr>
          <w:vertAlign w:val="superscript"/>
        </w:rPr>
        <w:t xml:space="preserve"> </w:t>
      </w:r>
    </w:p>
    <w:p w:rsidR="006D1BB1" w:rsidRPr="008D2EA0" w:rsidRDefault="006D1BB1" w:rsidP="006D1BB1">
      <w:pPr>
        <w:pStyle w:val="ECCParagraph"/>
      </w:pPr>
      <w:r w:rsidRPr="008D2EA0">
        <w:t>The whole spectrum requirement of 2 x 10 MHz of paired spectrum for FDD or 20 MHz of unpaired spectrum for TDD operation or a part of it may be satisfied in the 1452-1492 MHz band.</w:t>
      </w:r>
    </w:p>
    <w:p w:rsidR="00E41E35" w:rsidRPr="008D2EA0" w:rsidRDefault="00DA016B" w:rsidP="00DA016B">
      <w:pPr>
        <w:pStyle w:val="Heading1"/>
      </w:pPr>
      <w:bookmarkStart w:id="76" w:name="_Ref330539844"/>
      <w:bookmarkStart w:id="77" w:name="_Ref330539916"/>
      <w:bookmarkStart w:id="78" w:name="_Ref330548046"/>
      <w:bookmarkStart w:id="79" w:name="_Ref330549813"/>
      <w:bookmarkStart w:id="80" w:name="_Ref330550031"/>
      <w:bookmarkStart w:id="81" w:name="_Ref330550111"/>
      <w:bookmarkStart w:id="82" w:name="_Toc349039261"/>
      <w:r w:rsidRPr="00DA016B">
        <w:lastRenderedPageBreak/>
        <w:t xml:space="preserve">ANALYSIS OF THE APPLICATIONS WITH RESPECT TO THE </w:t>
      </w:r>
      <w:r w:rsidR="000F6780" w:rsidRPr="008D2EA0">
        <w:t>Criteria</w:t>
      </w:r>
      <w:bookmarkEnd w:id="76"/>
      <w:bookmarkEnd w:id="77"/>
      <w:bookmarkEnd w:id="78"/>
      <w:bookmarkEnd w:id="79"/>
      <w:bookmarkEnd w:id="80"/>
      <w:bookmarkEnd w:id="81"/>
      <w:bookmarkEnd w:id="82"/>
    </w:p>
    <w:p w:rsidR="00E709FD" w:rsidRPr="008D2EA0" w:rsidRDefault="00E709FD" w:rsidP="00E709FD">
      <w:pPr>
        <w:pStyle w:val="Heading2"/>
        <w:rPr>
          <w:lang w:val="en-GB"/>
        </w:rPr>
      </w:pPr>
      <w:bookmarkStart w:id="83" w:name="_Toc349039262"/>
      <w:r w:rsidRPr="008D2EA0">
        <w:rPr>
          <w:lang w:val="en-GB"/>
        </w:rPr>
        <w:t>Criterion 1</w:t>
      </w:r>
      <w:bookmarkEnd w:id="83"/>
    </w:p>
    <w:p w:rsidR="00E709FD" w:rsidRPr="008D2EA0" w:rsidRDefault="00E709FD" w:rsidP="00E709FD">
      <w:pPr>
        <w:pStyle w:val="ECCParagraph"/>
      </w:pPr>
      <w:r w:rsidRPr="008D2EA0">
        <w:t xml:space="preserve">The existing regulatory framework for the band 1452-1492 MHz consists of the ITU Radio Regulations, and at CEPT level the MA02revCO07 special arrangement </w:t>
      </w:r>
      <w:r w:rsidR="001D278F" w:rsidRPr="008D2EA0">
        <w:fldChar w:fldCharType="begin"/>
      </w:r>
      <w:r w:rsidR="001D278F" w:rsidRPr="008D2EA0">
        <w:instrText xml:space="preserve"> REF _Ref330503918 \r \h </w:instrText>
      </w:r>
      <w:r w:rsidR="001D278F" w:rsidRPr="008D2EA0">
        <w:fldChar w:fldCharType="separate"/>
      </w:r>
      <w:r w:rsidR="00E73FF2">
        <w:t>[1]</w:t>
      </w:r>
      <w:r w:rsidR="001D278F" w:rsidRPr="008D2EA0">
        <w:fldChar w:fldCharType="end"/>
      </w:r>
      <w:r w:rsidR="001D278F" w:rsidRPr="008D2EA0">
        <w:t xml:space="preserve"> </w:t>
      </w:r>
      <w:r w:rsidRPr="008D2EA0">
        <w:t>and ECC</w:t>
      </w:r>
      <w:r w:rsidR="0036081F" w:rsidRPr="008D2EA0">
        <w:t>/</w:t>
      </w:r>
      <w:r w:rsidRPr="008D2EA0">
        <w:t>D</w:t>
      </w:r>
      <w:r w:rsidR="0036081F" w:rsidRPr="008D2EA0">
        <w:t>EC</w:t>
      </w:r>
      <w:r w:rsidRPr="008D2EA0">
        <w:t>(03)02</w:t>
      </w:r>
      <w:r w:rsidR="001D278F" w:rsidRPr="008D2EA0">
        <w:t xml:space="preserve"> </w:t>
      </w:r>
      <w:r w:rsidR="001D278F" w:rsidRPr="008D2EA0">
        <w:fldChar w:fldCharType="begin"/>
      </w:r>
      <w:r w:rsidR="001D278F" w:rsidRPr="008D2EA0">
        <w:instrText xml:space="preserve"> REF _Ref330503966 \r \h </w:instrText>
      </w:r>
      <w:r w:rsidR="001D278F" w:rsidRPr="008D2EA0">
        <w:fldChar w:fldCharType="separate"/>
      </w:r>
      <w:r w:rsidR="00E73FF2">
        <w:t>[2]</w:t>
      </w:r>
      <w:r w:rsidR="001D278F" w:rsidRPr="008D2EA0">
        <w:fldChar w:fldCharType="end"/>
      </w:r>
      <w:r w:rsidRPr="008D2EA0">
        <w:t>. In this section each application is checked against these three aspects of the framework.</w:t>
      </w:r>
    </w:p>
    <w:p w:rsidR="00E709FD" w:rsidRPr="008D2EA0" w:rsidRDefault="00E709FD" w:rsidP="00E709FD">
      <w:pPr>
        <w:pStyle w:val="ECCParagraph"/>
        <w:rPr>
          <w:rFonts w:cs="Arial"/>
        </w:rPr>
      </w:pPr>
      <w:r w:rsidRPr="008D2EA0">
        <w:rPr>
          <w:rFonts w:cs="Arial"/>
        </w:rPr>
        <w:t>In the context of this report, compliance with the Radio Regulations is understood to be compliance with Article No.</w:t>
      </w:r>
      <w:r w:rsidR="009C5FD6" w:rsidRPr="008D2EA0">
        <w:rPr>
          <w:rFonts w:cs="Arial"/>
        </w:rPr>
        <w:t xml:space="preserve"> </w:t>
      </w:r>
      <w:r w:rsidRPr="008D2EA0">
        <w:rPr>
          <w:rFonts w:cs="Arial"/>
        </w:rPr>
        <w:t>5 of the RR (including footnotes, as applicable). This is without prejudice to Article No.</w:t>
      </w:r>
      <w:r w:rsidR="009C5FD6" w:rsidRPr="008D2EA0">
        <w:rPr>
          <w:rFonts w:cs="Arial"/>
        </w:rPr>
        <w:t xml:space="preserve"> </w:t>
      </w:r>
      <w:r w:rsidRPr="008D2EA0">
        <w:rPr>
          <w:rFonts w:cs="Arial"/>
        </w:rPr>
        <w:t>4.4</w:t>
      </w:r>
      <w:r w:rsidRPr="008D2EA0">
        <w:rPr>
          <w:rStyle w:val="FootnoteReference"/>
          <w:rFonts w:cs="Arial"/>
        </w:rPr>
        <w:footnoteReference w:id="19"/>
      </w:r>
      <w:r w:rsidRPr="008D2EA0">
        <w:rPr>
          <w:rFonts w:cs="Arial"/>
        </w:rPr>
        <w:t xml:space="preserve"> of the RR</w:t>
      </w:r>
      <w:r w:rsidR="00596FA6" w:rsidRPr="008D2EA0">
        <w:rPr>
          <w:rFonts w:cs="Arial"/>
        </w:rPr>
        <w:t xml:space="preserve"> </w:t>
      </w:r>
      <w:r w:rsidR="00596FA6" w:rsidRPr="008D2EA0">
        <w:rPr>
          <w:rFonts w:cs="Arial"/>
        </w:rPr>
        <w:fldChar w:fldCharType="begin"/>
      </w:r>
      <w:r w:rsidR="00596FA6" w:rsidRPr="008D2EA0">
        <w:rPr>
          <w:rFonts w:cs="Arial"/>
        </w:rPr>
        <w:instrText xml:space="preserve"> REF _Ref332810663 \r \h </w:instrText>
      </w:r>
      <w:r w:rsidR="00596FA6" w:rsidRPr="008D2EA0">
        <w:rPr>
          <w:rFonts w:cs="Arial"/>
        </w:rPr>
      </w:r>
      <w:r w:rsidR="00596FA6" w:rsidRPr="008D2EA0">
        <w:rPr>
          <w:rFonts w:cs="Arial"/>
        </w:rPr>
        <w:fldChar w:fldCharType="separate"/>
      </w:r>
      <w:r w:rsidR="00E73FF2">
        <w:rPr>
          <w:rFonts w:cs="Arial"/>
        </w:rPr>
        <w:t>[4]</w:t>
      </w:r>
      <w:r w:rsidR="00596FA6" w:rsidRPr="008D2EA0">
        <w:rPr>
          <w:rFonts w:cs="Arial"/>
        </w:rPr>
        <w:fldChar w:fldCharType="end"/>
      </w:r>
      <w:r w:rsidRPr="008D2EA0">
        <w:rPr>
          <w:rFonts w:cs="Arial"/>
        </w:rPr>
        <w:t>.</w:t>
      </w:r>
    </w:p>
    <w:p w:rsidR="00E709FD" w:rsidRPr="008D2EA0" w:rsidRDefault="00E709FD" w:rsidP="00E709FD">
      <w:pPr>
        <w:pStyle w:val="ECCParagraph"/>
        <w:rPr>
          <w:szCs w:val="20"/>
        </w:rPr>
      </w:pPr>
      <w:r w:rsidRPr="008D2EA0">
        <w:rPr>
          <w:szCs w:val="20"/>
        </w:rPr>
        <w:t xml:space="preserve">There are three areas where an application can be compatible with the MA02revCO07 </w:t>
      </w:r>
      <w:r w:rsidR="00311A4A">
        <w:rPr>
          <w:szCs w:val="20"/>
        </w:rPr>
        <w:t>S</w:t>
      </w:r>
      <w:r w:rsidRPr="008D2EA0">
        <w:rPr>
          <w:szCs w:val="20"/>
        </w:rPr>
        <w:t xml:space="preserve">pecial </w:t>
      </w:r>
      <w:r w:rsidR="00311A4A">
        <w:rPr>
          <w:szCs w:val="20"/>
        </w:rPr>
        <w:t>A</w:t>
      </w:r>
      <w:r w:rsidRPr="008D2EA0">
        <w:rPr>
          <w:szCs w:val="20"/>
        </w:rPr>
        <w:t>rrangement</w:t>
      </w:r>
      <w:r w:rsidR="001D278F" w:rsidRPr="008D2EA0">
        <w:rPr>
          <w:szCs w:val="20"/>
        </w:rPr>
        <w:t xml:space="preserve"> </w:t>
      </w:r>
      <w:r w:rsidR="001D278F" w:rsidRPr="008D2EA0">
        <w:rPr>
          <w:szCs w:val="20"/>
        </w:rPr>
        <w:fldChar w:fldCharType="begin"/>
      </w:r>
      <w:r w:rsidR="001D278F" w:rsidRPr="008D2EA0">
        <w:rPr>
          <w:szCs w:val="20"/>
        </w:rPr>
        <w:instrText xml:space="preserve"> REF _Ref330503918 \r \h </w:instrText>
      </w:r>
      <w:r w:rsidR="001D278F" w:rsidRPr="008D2EA0">
        <w:rPr>
          <w:szCs w:val="20"/>
        </w:rPr>
      </w:r>
      <w:r w:rsidR="001D278F" w:rsidRPr="008D2EA0">
        <w:rPr>
          <w:szCs w:val="20"/>
        </w:rPr>
        <w:fldChar w:fldCharType="separate"/>
      </w:r>
      <w:r w:rsidR="00E73FF2">
        <w:rPr>
          <w:szCs w:val="20"/>
        </w:rPr>
        <w:t>[1]</w:t>
      </w:r>
      <w:r w:rsidR="001D278F" w:rsidRPr="008D2EA0">
        <w:rPr>
          <w:szCs w:val="20"/>
        </w:rPr>
        <w:fldChar w:fldCharType="end"/>
      </w:r>
      <w:r w:rsidRPr="008D2EA0">
        <w:rPr>
          <w:szCs w:val="20"/>
        </w:rPr>
        <w:t>:</w:t>
      </w:r>
    </w:p>
    <w:p w:rsidR="00E709FD" w:rsidRPr="008D2EA0" w:rsidRDefault="00E709FD" w:rsidP="00E709FD">
      <w:pPr>
        <w:pStyle w:val="ECCParagraph"/>
        <w:rPr>
          <w:szCs w:val="20"/>
        </w:rPr>
      </w:pPr>
      <w:bookmarkStart w:id="84" w:name="OLE_LINK5"/>
      <w:bookmarkStart w:id="85" w:name="OLE_LINK6"/>
      <w:r w:rsidRPr="001E5BD1">
        <w:rPr>
          <w:szCs w:val="20"/>
        </w:rPr>
        <w:t>1. Use of the current Plan (</w:t>
      </w:r>
      <w:r w:rsidR="001E5BD1">
        <w:rPr>
          <w:szCs w:val="20"/>
        </w:rPr>
        <w:t>A</w:t>
      </w:r>
      <w:r w:rsidRPr="001E5BD1">
        <w:rPr>
          <w:szCs w:val="20"/>
        </w:rPr>
        <w:t xml:space="preserve">nnex </w:t>
      </w:r>
      <w:r w:rsidR="001E5BD1">
        <w:rPr>
          <w:szCs w:val="20"/>
        </w:rPr>
        <w:t>1</w:t>
      </w:r>
      <w:r w:rsidRPr="001E5BD1">
        <w:rPr>
          <w:szCs w:val="20"/>
        </w:rPr>
        <w:t xml:space="preserve"> contains the Plan as of 2007) designed for T-DAB.  Applications other than terrestrial broadcasting</w:t>
      </w:r>
      <w:r w:rsidR="001E5BD1">
        <w:rPr>
          <w:szCs w:val="20"/>
        </w:rPr>
        <w:t>, requiring a larger bandwidth than</w:t>
      </w:r>
      <w:r w:rsidRPr="001E5BD1">
        <w:rPr>
          <w:szCs w:val="20"/>
        </w:rPr>
        <w:t xml:space="preserve"> 1.7 MHz</w:t>
      </w:r>
      <w:r w:rsidR="001E5BD1">
        <w:rPr>
          <w:szCs w:val="20"/>
        </w:rPr>
        <w:t xml:space="preserve">, will </w:t>
      </w:r>
      <w:r w:rsidRPr="001E5BD1">
        <w:rPr>
          <w:szCs w:val="20"/>
        </w:rPr>
        <w:t xml:space="preserve">have little use of the </w:t>
      </w:r>
      <w:r w:rsidR="001E5BD1">
        <w:rPr>
          <w:szCs w:val="20"/>
        </w:rPr>
        <w:t xml:space="preserve">current </w:t>
      </w:r>
      <w:r w:rsidRPr="001E5BD1">
        <w:rPr>
          <w:szCs w:val="20"/>
        </w:rPr>
        <w:t>Plan.</w:t>
      </w:r>
    </w:p>
    <w:bookmarkEnd w:id="84"/>
    <w:bookmarkEnd w:id="85"/>
    <w:p w:rsidR="00E709FD" w:rsidRPr="008D2EA0" w:rsidRDefault="00E709FD" w:rsidP="00E709FD">
      <w:pPr>
        <w:pStyle w:val="ECCParagraph"/>
        <w:rPr>
          <w:szCs w:val="20"/>
        </w:rPr>
      </w:pPr>
      <w:r w:rsidRPr="008D2EA0">
        <w:rPr>
          <w:szCs w:val="20"/>
        </w:rPr>
        <w:t xml:space="preserve">2. Use of </w:t>
      </w:r>
      <w:r w:rsidR="001D278F" w:rsidRPr="008D2EA0">
        <w:rPr>
          <w:szCs w:val="20"/>
        </w:rPr>
        <w:t xml:space="preserve">its </w:t>
      </w:r>
      <w:r w:rsidRPr="008D2EA0">
        <w:rPr>
          <w:szCs w:val="20"/>
        </w:rPr>
        <w:t xml:space="preserve">Annex </w:t>
      </w:r>
      <w:r w:rsidR="00AE1497">
        <w:rPr>
          <w:szCs w:val="20"/>
        </w:rPr>
        <w:t>2</w:t>
      </w:r>
      <w:r w:rsidRPr="008D2EA0">
        <w:rPr>
          <w:szCs w:val="20"/>
        </w:rPr>
        <w:t xml:space="preserve"> frequency arrangement (envelope concept) and the procedures to aggregate channels of 1.7 MHz (see table 2 of Annex </w:t>
      </w:r>
      <w:r w:rsidR="00AE1497">
        <w:rPr>
          <w:szCs w:val="20"/>
        </w:rPr>
        <w:t>2</w:t>
      </w:r>
      <w:r w:rsidRPr="008D2EA0">
        <w:rPr>
          <w:szCs w:val="20"/>
        </w:rPr>
        <w:t>): all terrestrial applications with fixed transmitters or any station of any other radio</w:t>
      </w:r>
      <w:r w:rsidR="00995D9E">
        <w:rPr>
          <w:szCs w:val="20"/>
        </w:rPr>
        <w:t xml:space="preserve"> </w:t>
      </w:r>
      <w:r w:rsidRPr="008D2EA0">
        <w:rPr>
          <w:szCs w:val="20"/>
        </w:rPr>
        <w:t xml:space="preserve">communication service may use those procedures to aggregate 1.7 MHz contiguous channels to enable wider bandwidths (5 MHz, 10 MHz, etc.). The emissions masks proposed may need to be revised. However, if the whole band 1452-1492 MHz is proposed for harmonisation for technologies using carriers of (a multiple of) 5 MHz, a new channelling arrangement across the 40 MHz would need to be developed to enable the use of the band efficiently in its entirety. </w:t>
      </w:r>
    </w:p>
    <w:p w:rsidR="00E709FD" w:rsidRPr="008D2EA0" w:rsidRDefault="00E709FD" w:rsidP="00E709FD">
      <w:pPr>
        <w:pStyle w:val="ECCParagraph"/>
        <w:rPr>
          <w:szCs w:val="20"/>
        </w:rPr>
      </w:pPr>
      <w:r w:rsidRPr="008D2EA0">
        <w:rPr>
          <w:szCs w:val="20"/>
        </w:rPr>
        <w:t xml:space="preserve">3. Use of </w:t>
      </w:r>
      <w:r w:rsidR="001D278F" w:rsidRPr="008D2EA0">
        <w:rPr>
          <w:szCs w:val="20"/>
        </w:rPr>
        <w:t xml:space="preserve">its </w:t>
      </w:r>
      <w:r w:rsidRPr="008D2EA0">
        <w:rPr>
          <w:szCs w:val="20"/>
        </w:rPr>
        <w:t xml:space="preserve">Annex II for cross border coordination. The Ma02revCo07 procedure for cross-border coordination assumes that sharing and compatibility criteria for the services involved are known. Annex </w:t>
      </w:r>
      <w:r w:rsidR="001D278F" w:rsidRPr="008D2EA0">
        <w:rPr>
          <w:szCs w:val="20"/>
        </w:rPr>
        <w:t xml:space="preserve">II </w:t>
      </w:r>
      <w:r w:rsidRPr="008D2EA0">
        <w:rPr>
          <w:szCs w:val="20"/>
        </w:rPr>
        <w:t>provides such criteria for T-DAB and a set of other services that were considered at the Maastricht '02 planning meeting. No information is given for other candidate applications in the present ECC Report.</w:t>
      </w:r>
    </w:p>
    <w:p w:rsidR="00E709FD" w:rsidRPr="008D2EA0" w:rsidRDefault="00E709FD" w:rsidP="00E709FD">
      <w:pPr>
        <w:pStyle w:val="ECCParagraph"/>
      </w:pPr>
      <w:r w:rsidRPr="008D2EA0">
        <w:rPr>
          <w:szCs w:val="20"/>
        </w:rPr>
        <w:t xml:space="preserve">Nevertheless, administrations can use the Ma02revCo07 procedure to coordinate systems other than T-DAB. For such cases the provisions in Annex </w:t>
      </w:r>
      <w:r w:rsidR="00AE1497">
        <w:rPr>
          <w:szCs w:val="20"/>
        </w:rPr>
        <w:t>2</w:t>
      </w:r>
      <w:r w:rsidR="001D278F" w:rsidRPr="008D2EA0">
        <w:rPr>
          <w:szCs w:val="20"/>
        </w:rPr>
        <w:t xml:space="preserve"> </w:t>
      </w:r>
      <w:r w:rsidRPr="008D2EA0">
        <w:rPr>
          <w:szCs w:val="20"/>
        </w:rPr>
        <w:t>require that</w:t>
      </w:r>
      <w:r w:rsidRPr="008D2EA0">
        <w:rPr>
          <w:rFonts w:ascii="Calibri" w:hAnsi="Calibri" w:cs="Calibri"/>
          <w:szCs w:val="20"/>
        </w:rPr>
        <w:t xml:space="preserve"> '</w:t>
      </w:r>
      <w:r w:rsidRPr="008D2EA0">
        <w:rPr>
          <w:i/>
          <w:iCs/>
        </w:rPr>
        <w:t>the administrations concerned should develop appropriate sharing criteria by mutual agreement. When available, one could use the relevant ITU- R Recommendations or ERC and ECC Decisions and Recommendations</w:t>
      </w:r>
      <w:r w:rsidRPr="008D2EA0">
        <w:t xml:space="preserve">.' </w:t>
      </w:r>
    </w:p>
    <w:p w:rsidR="00E709FD" w:rsidRPr="008D2EA0" w:rsidRDefault="00E709FD" w:rsidP="00E709FD">
      <w:pPr>
        <w:pStyle w:val="ECCParagraph"/>
        <w:rPr>
          <w:szCs w:val="20"/>
        </w:rPr>
      </w:pPr>
      <w:r w:rsidRPr="008D2EA0">
        <w:t>In particular the coordination procedure to evaluate the field strength of mobile uplink and non fixed transmitters would need to be defined and agreed.</w:t>
      </w:r>
    </w:p>
    <w:p w:rsidR="00E709FD" w:rsidRPr="008D2EA0" w:rsidRDefault="00E709FD" w:rsidP="00510087">
      <w:pPr>
        <w:pStyle w:val="Heading3"/>
      </w:pPr>
      <w:bookmarkStart w:id="86" w:name="_Ref332794763"/>
      <w:bookmarkStart w:id="87" w:name="_Toc349039263"/>
      <w:r w:rsidRPr="008D2EA0">
        <w:t>Compatibility of terrestrial broadcasting with the current regulatory framework</w:t>
      </w:r>
      <w:bookmarkEnd w:id="86"/>
      <w:bookmarkEnd w:id="87"/>
      <w:r w:rsidRPr="008D2EA0">
        <w:t xml:space="preserve"> </w:t>
      </w:r>
    </w:p>
    <w:p w:rsidR="00E709FD" w:rsidRPr="008D2EA0" w:rsidRDefault="00E709FD" w:rsidP="00E709FD">
      <w:pPr>
        <w:pStyle w:val="ECCParagraph"/>
      </w:pPr>
      <w:r w:rsidRPr="008D2EA0">
        <w:t>At ITU level, the 1452-1492 MHz band is allocated in Region 1 to the Broadcasting Service (sound) on a co-primary basis. Terrestrial broadcasting limited to audio broadcasting (</w:t>
      </w:r>
      <w:r w:rsidR="00F13EE6" w:rsidRPr="008D2EA0">
        <w:t xml:space="preserve">RR </w:t>
      </w:r>
      <w:r w:rsidRPr="008D2EA0">
        <w:t xml:space="preserve">footnote </w:t>
      </w:r>
      <w:r w:rsidR="00924142" w:rsidRPr="008D2EA0">
        <w:t>No.</w:t>
      </w:r>
      <w:r w:rsidR="001D278F" w:rsidRPr="008D2EA0">
        <w:t xml:space="preserve"> </w:t>
      </w:r>
      <w:r w:rsidRPr="008D2EA0">
        <w:t>5.345) is compliant with the Radio Regulations.</w:t>
      </w:r>
    </w:p>
    <w:p w:rsidR="00E709FD" w:rsidRPr="008D2EA0" w:rsidRDefault="00E709FD" w:rsidP="00E709FD">
      <w:pPr>
        <w:pStyle w:val="ECCParagraph"/>
      </w:pPr>
    </w:p>
    <w:p w:rsidR="00E709FD" w:rsidRPr="008D2EA0" w:rsidRDefault="00E709FD" w:rsidP="00E709FD">
      <w:pPr>
        <w:pStyle w:val="ECCParagraph"/>
      </w:pPr>
      <w:r w:rsidRPr="008D2EA0">
        <w:t>Terrestrial broadcasting (as described in section</w:t>
      </w:r>
      <w:r w:rsidR="001D278F" w:rsidRPr="008D2EA0">
        <w:t xml:space="preserve"> </w:t>
      </w:r>
      <w:r w:rsidR="001D278F" w:rsidRPr="008D2EA0">
        <w:fldChar w:fldCharType="begin"/>
      </w:r>
      <w:r w:rsidR="001D278F" w:rsidRPr="008D2EA0">
        <w:instrText xml:space="preserve"> REF _Ref330512293 \r \h </w:instrText>
      </w:r>
      <w:r w:rsidR="001D278F" w:rsidRPr="008D2EA0">
        <w:fldChar w:fldCharType="separate"/>
      </w:r>
      <w:r w:rsidR="00E73FF2">
        <w:t>4.1</w:t>
      </w:r>
      <w:r w:rsidR="001D278F" w:rsidRPr="008D2EA0">
        <w:fldChar w:fldCharType="end"/>
      </w:r>
      <w:r w:rsidRPr="008D2EA0">
        <w:t>) is compatible with the MA02revCO07 special arrangement:</w:t>
      </w:r>
    </w:p>
    <w:p w:rsidR="00E709FD" w:rsidRPr="008D2EA0" w:rsidRDefault="00E709FD" w:rsidP="00E709FD">
      <w:pPr>
        <w:rPr>
          <w:szCs w:val="20"/>
          <w:lang w:val="en-GB"/>
        </w:rPr>
      </w:pPr>
    </w:p>
    <w:p w:rsidR="00E709FD" w:rsidRPr="008D2EA0" w:rsidRDefault="00E709FD" w:rsidP="00F21C76">
      <w:pPr>
        <w:pStyle w:val="ECCTabletitle"/>
      </w:pPr>
      <w:r w:rsidRPr="008D2EA0">
        <w:lastRenderedPageBreak/>
        <w:t>Criterion 1 – Terrestrial broadcasting</w:t>
      </w:r>
    </w:p>
    <w:tbl>
      <w:tblPr>
        <w:tblW w:w="0" w:type="auto"/>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tblGrid>
      <w:tr w:rsidR="00E709FD" w:rsidRPr="008D2EA0" w:rsidTr="000D55A2">
        <w:trPr>
          <w:tblHeader/>
        </w:trPr>
        <w:tc>
          <w:tcPr>
            <w:tcW w:w="4248" w:type="dxa"/>
            <w:tcBorders>
              <w:right w:val="single" w:sz="8" w:space="0" w:color="FFFFFF"/>
            </w:tcBorders>
            <w:shd w:val="clear" w:color="auto" w:fill="D2232A"/>
            <w:vAlign w:val="center"/>
          </w:tcPr>
          <w:p w:rsidR="00E709FD" w:rsidRPr="008D2EA0" w:rsidRDefault="00E709FD" w:rsidP="000D55A2">
            <w:pPr>
              <w:spacing w:line="288" w:lineRule="auto"/>
              <w:jc w:val="center"/>
              <w:rPr>
                <w:b/>
                <w:color w:val="FFFFFF"/>
                <w:lang w:val="en-GB"/>
              </w:rPr>
            </w:pPr>
            <w:r w:rsidRPr="008D2EA0">
              <w:rPr>
                <w:b/>
                <w:color w:val="FFFFFF"/>
                <w:lang w:val="en-GB"/>
              </w:rPr>
              <w:t>Compatibility with MA02revCO07</w:t>
            </w:r>
          </w:p>
        </w:tc>
        <w:tc>
          <w:tcPr>
            <w:tcW w:w="2700" w:type="dxa"/>
            <w:tcBorders>
              <w:left w:val="single" w:sz="8" w:space="0" w:color="FFFFFF"/>
              <w:right w:val="single" w:sz="8" w:space="0" w:color="FFFFFF"/>
            </w:tcBorders>
            <w:shd w:val="clear" w:color="auto" w:fill="D2232A"/>
            <w:vAlign w:val="center"/>
          </w:tcPr>
          <w:p w:rsidR="00E709FD" w:rsidRPr="008D2EA0" w:rsidRDefault="00E709FD" w:rsidP="000D55A2">
            <w:pPr>
              <w:spacing w:line="288" w:lineRule="auto"/>
              <w:jc w:val="center"/>
              <w:rPr>
                <w:b/>
                <w:color w:val="FFFFFF"/>
                <w:lang w:val="en-GB"/>
              </w:rPr>
            </w:pPr>
            <w:r w:rsidRPr="008D2EA0">
              <w:rPr>
                <w:b/>
                <w:color w:val="FFFFFF"/>
                <w:lang w:val="en-GB"/>
              </w:rPr>
              <w:t>Terrestrial Broadcasting</w:t>
            </w:r>
          </w:p>
        </w:tc>
      </w:tr>
      <w:tr w:rsidR="00E709FD" w:rsidRPr="008D2EA0" w:rsidTr="000D55A2">
        <w:tc>
          <w:tcPr>
            <w:tcW w:w="4248" w:type="dxa"/>
          </w:tcPr>
          <w:p w:rsidR="00E709FD" w:rsidRPr="008D2EA0" w:rsidRDefault="00E709FD" w:rsidP="000D55A2">
            <w:pPr>
              <w:rPr>
                <w:lang w:val="en-GB"/>
              </w:rPr>
            </w:pPr>
            <w:r w:rsidRPr="008D2EA0">
              <w:rPr>
                <w:lang w:val="en-GB"/>
              </w:rPr>
              <w:t>Compatibility with the current  Plan</w:t>
            </w:r>
          </w:p>
        </w:tc>
        <w:tc>
          <w:tcPr>
            <w:tcW w:w="2700" w:type="dxa"/>
          </w:tcPr>
          <w:p w:rsidR="00E709FD" w:rsidRPr="008D2EA0" w:rsidRDefault="00E709FD" w:rsidP="000D55A2">
            <w:pPr>
              <w:rPr>
                <w:lang w:val="en-GB"/>
              </w:rPr>
            </w:pPr>
            <w:r w:rsidRPr="008D2EA0">
              <w:rPr>
                <w:lang w:val="en-GB"/>
              </w:rPr>
              <w:t>Yes</w:t>
            </w:r>
          </w:p>
        </w:tc>
      </w:tr>
      <w:tr w:rsidR="00E709FD" w:rsidRPr="008D2EA0" w:rsidTr="000D55A2">
        <w:tc>
          <w:tcPr>
            <w:tcW w:w="4248" w:type="dxa"/>
          </w:tcPr>
          <w:p w:rsidR="00E709FD" w:rsidRPr="008D2EA0" w:rsidRDefault="00E709FD" w:rsidP="000D55A2">
            <w:pPr>
              <w:rPr>
                <w:lang w:val="en-GB"/>
              </w:rPr>
            </w:pPr>
            <w:r w:rsidRPr="008D2EA0">
              <w:rPr>
                <w:lang w:val="en-GB"/>
              </w:rPr>
              <w:t>Compatibility with envelope concept</w:t>
            </w:r>
          </w:p>
        </w:tc>
        <w:tc>
          <w:tcPr>
            <w:tcW w:w="2700" w:type="dxa"/>
          </w:tcPr>
          <w:p w:rsidR="00E709FD" w:rsidRPr="008D2EA0" w:rsidRDefault="00E709FD" w:rsidP="000D55A2">
            <w:pPr>
              <w:rPr>
                <w:lang w:val="en-GB"/>
              </w:rPr>
            </w:pPr>
            <w:r w:rsidRPr="008D2EA0">
              <w:rPr>
                <w:lang w:val="en-GB"/>
              </w:rPr>
              <w:t>Yes</w:t>
            </w:r>
          </w:p>
        </w:tc>
      </w:tr>
      <w:tr w:rsidR="00E709FD" w:rsidRPr="008D2EA0" w:rsidTr="000D55A2">
        <w:tc>
          <w:tcPr>
            <w:tcW w:w="4248" w:type="dxa"/>
          </w:tcPr>
          <w:p w:rsidR="00E709FD" w:rsidRPr="008D2EA0" w:rsidRDefault="00E709FD" w:rsidP="000D55A2">
            <w:pPr>
              <w:rPr>
                <w:lang w:val="en-GB"/>
              </w:rPr>
            </w:pPr>
            <w:r w:rsidRPr="008D2EA0">
              <w:rPr>
                <w:lang w:val="en-GB"/>
              </w:rPr>
              <w:t>MA02 as a tool for cross-border coordination</w:t>
            </w:r>
          </w:p>
        </w:tc>
        <w:tc>
          <w:tcPr>
            <w:tcW w:w="2700" w:type="dxa"/>
          </w:tcPr>
          <w:p w:rsidR="00E709FD" w:rsidRPr="008D2EA0" w:rsidRDefault="00E709FD" w:rsidP="000D55A2">
            <w:pPr>
              <w:rPr>
                <w:lang w:val="en-GB"/>
              </w:rPr>
            </w:pPr>
            <w:r w:rsidRPr="008D2EA0">
              <w:rPr>
                <w:lang w:val="en-GB"/>
              </w:rPr>
              <w:t>Yes</w:t>
            </w:r>
          </w:p>
        </w:tc>
      </w:tr>
    </w:tbl>
    <w:p w:rsidR="00E709FD" w:rsidRPr="008D2EA0" w:rsidRDefault="00E709FD" w:rsidP="00922F46">
      <w:pPr>
        <w:pStyle w:val="ECCTablenote"/>
      </w:pPr>
    </w:p>
    <w:p w:rsidR="00E709FD" w:rsidRPr="008D2EA0" w:rsidRDefault="00E709FD" w:rsidP="00E709FD">
      <w:pPr>
        <w:pStyle w:val="ECCParagraph"/>
      </w:pPr>
      <w:r w:rsidRPr="008D2EA0">
        <w:t xml:space="preserve">The spectrum requirement for this application as described in section </w:t>
      </w:r>
      <w:r w:rsidR="001D278F" w:rsidRPr="008D2EA0">
        <w:fldChar w:fldCharType="begin"/>
      </w:r>
      <w:r w:rsidR="001D278F" w:rsidRPr="008D2EA0">
        <w:instrText xml:space="preserve"> REF _Ref330512317 \r \h </w:instrText>
      </w:r>
      <w:r w:rsidR="001D278F" w:rsidRPr="008D2EA0">
        <w:fldChar w:fldCharType="separate"/>
      </w:r>
      <w:r w:rsidR="00E73FF2">
        <w:t>4.1</w:t>
      </w:r>
      <w:r w:rsidR="001D278F" w:rsidRPr="008D2EA0">
        <w:fldChar w:fldCharType="end"/>
      </w:r>
      <w:r w:rsidRPr="008D2EA0">
        <w:t xml:space="preserve"> does not c</w:t>
      </w:r>
      <w:r w:rsidR="00E60485">
        <w:t>over the band designated in ECC/</w:t>
      </w:r>
      <w:r w:rsidRPr="008D2EA0">
        <w:t>DEC(03)02</w:t>
      </w:r>
      <w:r w:rsidR="001D278F" w:rsidRPr="008D2EA0">
        <w:t xml:space="preserve"> </w:t>
      </w:r>
      <w:r w:rsidR="001D278F" w:rsidRPr="008D2EA0">
        <w:fldChar w:fldCharType="begin"/>
      </w:r>
      <w:r w:rsidR="001D278F" w:rsidRPr="008D2EA0">
        <w:instrText xml:space="preserve"> REF _Ref330503966 \r \h </w:instrText>
      </w:r>
      <w:r w:rsidR="001D278F" w:rsidRPr="008D2EA0">
        <w:fldChar w:fldCharType="separate"/>
      </w:r>
      <w:r w:rsidR="00E73FF2">
        <w:t>[2]</w:t>
      </w:r>
      <w:r w:rsidR="001D278F" w:rsidRPr="008D2EA0">
        <w:fldChar w:fldCharType="end"/>
      </w:r>
      <w:r w:rsidRPr="008D2EA0">
        <w:t>.</w:t>
      </w:r>
    </w:p>
    <w:p w:rsidR="00E709FD" w:rsidRPr="008D2EA0" w:rsidRDefault="00E709FD" w:rsidP="00510087">
      <w:pPr>
        <w:pStyle w:val="Heading3"/>
      </w:pPr>
      <w:bookmarkStart w:id="88" w:name="_Toc311197392"/>
      <w:bookmarkStart w:id="89" w:name="_Toc349039264"/>
      <w:r w:rsidRPr="008D2EA0">
        <w:t>Mobile Broadband: compatibility with the current regulatory framework</w:t>
      </w:r>
      <w:bookmarkEnd w:id="88"/>
      <w:bookmarkEnd w:id="89"/>
    </w:p>
    <w:p w:rsidR="00E709FD" w:rsidRPr="008D2EA0" w:rsidRDefault="00E709FD" w:rsidP="00E709FD">
      <w:pPr>
        <w:pStyle w:val="ECCParagraph"/>
      </w:pPr>
      <w:r w:rsidRPr="008D2EA0">
        <w:t>As a mobile system, Mobile Broadband will operate under the Mobile Service allocation and is therefore compatible with Article 5 of Radio Regulations where the band 1452-1492 MHz is allocated to the Mobile Service on a co-primary basis.</w:t>
      </w:r>
    </w:p>
    <w:p w:rsidR="00B70495" w:rsidRPr="008D2EA0" w:rsidRDefault="00B70495" w:rsidP="00B70495">
      <w:pPr>
        <w:pStyle w:val="ECCParagraph"/>
      </w:pPr>
      <w:r w:rsidRPr="008D2EA0">
        <w:t>The adoption of a band plan based on 5 MHz blocks for the introduction of technologies supporting the delivery of mobile broadband services in 1452-1492 MHz may stay compatible with the existing Maastricht special arrangement (MA02revCO07)</w:t>
      </w:r>
      <w:r w:rsidR="001D278F" w:rsidRPr="008D2EA0">
        <w:t xml:space="preserve"> </w:t>
      </w:r>
      <w:r w:rsidR="001D278F" w:rsidRPr="008D2EA0">
        <w:fldChar w:fldCharType="begin"/>
      </w:r>
      <w:r w:rsidR="001D278F" w:rsidRPr="008D2EA0">
        <w:instrText xml:space="preserve"> REF _Ref330503918 \r \h </w:instrText>
      </w:r>
      <w:r w:rsidR="001D278F" w:rsidRPr="008D2EA0">
        <w:fldChar w:fldCharType="separate"/>
      </w:r>
      <w:r w:rsidR="00E73FF2">
        <w:t>[1]</w:t>
      </w:r>
      <w:r w:rsidR="001D278F" w:rsidRPr="008D2EA0">
        <w:fldChar w:fldCharType="end"/>
      </w:r>
      <w:r w:rsidRPr="008D2EA0">
        <w:t>.</w:t>
      </w:r>
    </w:p>
    <w:p w:rsidR="00B70495" w:rsidRPr="008D2EA0" w:rsidRDefault="00B70495" w:rsidP="00B70495">
      <w:pPr>
        <w:pStyle w:val="ECCParagraph"/>
      </w:pPr>
      <w:r w:rsidRPr="008D2EA0">
        <w:rPr>
          <w:rFonts w:cs="Arial"/>
          <w:szCs w:val="20"/>
        </w:rPr>
        <w:t>The issue of compatibility with MA02revCO07 is summed up in the table below:</w:t>
      </w:r>
    </w:p>
    <w:p w:rsidR="00B70495" w:rsidRPr="008D2EA0" w:rsidRDefault="001D4784" w:rsidP="00F21C76">
      <w:pPr>
        <w:pStyle w:val="ECCTabletitle"/>
      </w:pPr>
      <w:r w:rsidRPr="008D2EA0">
        <w:t>Criterion 1 – Mobile broadband</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62"/>
        <w:gridCol w:w="4832"/>
      </w:tblGrid>
      <w:tr w:rsidR="00B70495" w:rsidRPr="008D2EA0" w:rsidTr="000D55A2">
        <w:trPr>
          <w:tblHeader/>
        </w:trPr>
        <w:tc>
          <w:tcPr>
            <w:tcW w:w="4252" w:type="dxa"/>
            <w:tcBorders>
              <w:right w:val="single" w:sz="8" w:space="0" w:color="FFFFFF"/>
            </w:tcBorders>
            <w:shd w:val="clear" w:color="auto" w:fill="D2232A"/>
            <w:vAlign w:val="center"/>
          </w:tcPr>
          <w:p w:rsidR="00B70495" w:rsidRPr="008D2EA0" w:rsidRDefault="00B70495" w:rsidP="000D55A2">
            <w:pPr>
              <w:spacing w:line="288" w:lineRule="auto"/>
              <w:jc w:val="center"/>
              <w:rPr>
                <w:b/>
                <w:color w:val="FFFFFF"/>
                <w:lang w:val="en-GB"/>
              </w:rPr>
            </w:pPr>
            <w:r w:rsidRPr="008D2EA0">
              <w:rPr>
                <w:b/>
                <w:color w:val="FFFFFF"/>
                <w:lang w:val="en-GB"/>
              </w:rPr>
              <w:t>Compatibility with MA02revCO07</w:t>
            </w:r>
          </w:p>
        </w:tc>
        <w:tc>
          <w:tcPr>
            <w:tcW w:w="5103" w:type="dxa"/>
            <w:tcBorders>
              <w:left w:val="single" w:sz="8" w:space="0" w:color="FFFFFF"/>
              <w:right w:val="single" w:sz="8" w:space="0" w:color="FFFFFF"/>
            </w:tcBorders>
            <w:shd w:val="clear" w:color="auto" w:fill="D2232A"/>
            <w:vAlign w:val="center"/>
          </w:tcPr>
          <w:p w:rsidR="00B70495" w:rsidRPr="008D2EA0" w:rsidRDefault="00B70495" w:rsidP="000D55A2">
            <w:pPr>
              <w:spacing w:line="288" w:lineRule="auto"/>
              <w:jc w:val="center"/>
              <w:rPr>
                <w:b/>
                <w:color w:val="FFFFFF"/>
                <w:lang w:val="en-GB"/>
              </w:rPr>
            </w:pPr>
            <w:r w:rsidRPr="008D2EA0">
              <w:rPr>
                <w:b/>
                <w:color w:val="FFFFFF"/>
                <w:lang w:val="en-GB"/>
              </w:rPr>
              <w:t>Mobile Broadband</w:t>
            </w:r>
          </w:p>
        </w:tc>
      </w:tr>
      <w:tr w:rsidR="00B70495" w:rsidRPr="008D2EA0" w:rsidTr="000D55A2">
        <w:tc>
          <w:tcPr>
            <w:tcW w:w="4252" w:type="dxa"/>
          </w:tcPr>
          <w:p w:rsidR="00B70495" w:rsidRPr="008D2EA0" w:rsidRDefault="00B70495" w:rsidP="000D55A2">
            <w:pPr>
              <w:rPr>
                <w:lang w:val="en-GB"/>
              </w:rPr>
            </w:pPr>
            <w:r w:rsidRPr="008D2EA0">
              <w:rPr>
                <w:lang w:val="en-GB"/>
              </w:rPr>
              <w:t xml:space="preserve">Compatibility with the current Plan </w:t>
            </w:r>
          </w:p>
        </w:tc>
        <w:tc>
          <w:tcPr>
            <w:tcW w:w="5103" w:type="dxa"/>
          </w:tcPr>
          <w:p w:rsidR="00B70495" w:rsidRPr="008D2EA0" w:rsidRDefault="00B70495" w:rsidP="000D55A2">
            <w:pPr>
              <w:rPr>
                <w:lang w:val="en-GB"/>
              </w:rPr>
            </w:pPr>
            <w:r w:rsidRPr="008D2EA0">
              <w:rPr>
                <w:lang w:val="en-GB"/>
              </w:rPr>
              <w:t>No</w:t>
            </w:r>
          </w:p>
        </w:tc>
      </w:tr>
      <w:tr w:rsidR="00B70495" w:rsidRPr="008D2EA0" w:rsidTr="000D55A2">
        <w:tc>
          <w:tcPr>
            <w:tcW w:w="4252" w:type="dxa"/>
          </w:tcPr>
          <w:p w:rsidR="00B70495" w:rsidRPr="008D2EA0" w:rsidRDefault="00B70495" w:rsidP="000D55A2">
            <w:pPr>
              <w:rPr>
                <w:lang w:val="en-GB"/>
              </w:rPr>
            </w:pPr>
            <w:r w:rsidRPr="008D2EA0">
              <w:rPr>
                <w:lang w:val="en-GB"/>
              </w:rPr>
              <w:t>Compatibility with envelope concept</w:t>
            </w:r>
          </w:p>
        </w:tc>
        <w:tc>
          <w:tcPr>
            <w:tcW w:w="5103" w:type="dxa"/>
          </w:tcPr>
          <w:p w:rsidR="00B70495" w:rsidRPr="008D2EA0" w:rsidRDefault="00B70495" w:rsidP="000D55A2">
            <w:pPr>
              <w:rPr>
                <w:lang w:val="en-GB"/>
              </w:rPr>
            </w:pPr>
            <w:r w:rsidRPr="008D2EA0">
              <w:rPr>
                <w:lang w:val="en-GB"/>
              </w:rPr>
              <w:t xml:space="preserve">Mobile Broadband in the downlink could use aggregation of 1.7 MHz contiguous channels, but it would be suboptimal and the whole 40 MHz would not be used. </w:t>
            </w:r>
          </w:p>
        </w:tc>
      </w:tr>
      <w:tr w:rsidR="00B70495" w:rsidRPr="008D2EA0" w:rsidTr="000D55A2">
        <w:tc>
          <w:tcPr>
            <w:tcW w:w="4252" w:type="dxa"/>
          </w:tcPr>
          <w:p w:rsidR="00B70495" w:rsidRPr="008D2EA0" w:rsidRDefault="00B70495" w:rsidP="000D55A2">
            <w:pPr>
              <w:rPr>
                <w:lang w:val="en-GB"/>
              </w:rPr>
            </w:pPr>
            <w:r w:rsidRPr="008D2EA0">
              <w:rPr>
                <w:lang w:val="en-GB"/>
              </w:rPr>
              <w:t>MA02 as a tool for cross-border coordination</w:t>
            </w:r>
          </w:p>
        </w:tc>
        <w:tc>
          <w:tcPr>
            <w:tcW w:w="5103" w:type="dxa"/>
          </w:tcPr>
          <w:p w:rsidR="00B70495" w:rsidRPr="008D2EA0" w:rsidRDefault="00B70495" w:rsidP="000D55A2">
            <w:pPr>
              <w:rPr>
                <w:lang w:val="en-GB"/>
              </w:rPr>
            </w:pPr>
            <w:r w:rsidRPr="008D2EA0">
              <w:rPr>
                <w:lang w:val="en-GB"/>
              </w:rPr>
              <w:t>Need to develop procedure for mobile transmitters</w:t>
            </w:r>
          </w:p>
        </w:tc>
      </w:tr>
    </w:tbl>
    <w:p w:rsidR="00B70495" w:rsidRDefault="00B70495" w:rsidP="00B70495">
      <w:pPr>
        <w:rPr>
          <w:lang w:val="en-GB"/>
        </w:rPr>
      </w:pPr>
    </w:p>
    <w:p w:rsidR="00E60485" w:rsidRPr="008D2EA0" w:rsidRDefault="00E60485" w:rsidP="00B70495">
      <w:pPr>
        <w:rPr>
          <w:lang w:val="en-GB"/>
        </w:rPr>
      </w:pPr>
    </w:p>
    <w:p w:rsidR="00B70495" w:rsidRPr="008D2EA0" w:rsidRDefault="0080413A" w:rsidP="00B70495">
      <w:pPr>
        <w:pStyle w:val="ECCParagraph"/>
      </w:pPr>
      <w:r w:rsidRPr="008D2EA0">
        <w:t xml:space="preserve">The </w:t>
      </w:r>
      <w:r w:rsidR="00B70495" w:rsidRPr="008D2EA0">
        <w:t>ECC</w:t>
      </w:r>
      <w:r w:rsidRPr="008D2EA0">
        <w:t>/</w:t>
      </w:r>
      <w:r w:rsidR="00B70495" w:rsidRPr="008D2EA0">
        <w:t>DEC</w:t>
      </w:r>
      <w:r w:rsidRPr="008D2EA0">
        <w:t>/</w:t>
      </w:r>
      <w:r w:rsidR="00B70495" w:rsidRPr="008D2EA0">
        <w:t xml:space="preserve">(03)02 designates the frequency band 1479.5-1492 MHz for use by satellite digital audio broadcasting systems. Thus Mobile Broadband is not compatible with </w:t>
      </w:r>
      <w:r w:rsidR="00F13EE6" w:rsidRPr="008D2EA0">
        <w:t>t</w:t>
      </w:r>
      <w:r w:rsidRPr="008D2EA0">
        <w:t xml:space="preserve">he </w:t>
      </w:r>
      <w:r w:rsidR="00B70495" w:rsidRPr="008D2EA0">
        <w:t>ECC</w:t>
      </w:r>
      <w:r w:rsidRPr="008D2EA0">
        <w:t>/</w:t>
      </w:r>
      <w:r w:rsidR="00B70495" w:rsidRPr="008D2EA0">
        <w:t>DEC</w:t>
      </w:r>
      <w:r w:rsidRPr="008D2EA0">
        <w:t>/</w:t>
      </w:r>
      <w:r w:rsidR="00B70495" w:rsidRPr="008D2EA0">
        <w:t>(03)02</w:t>
      </w:r>
      <w:r w:rsidR="001D278F" w:rsidRPr="008D2EA0">
        <w:t xml:space="preserve"> </w:t>
      </w:r>
      <w:r w:rsidR="001D278F" w:rsidRPr="008D2EA0">
        <w:fldChar w:fldCharType="begin"/>
      </w:r>
      <w:r w:rsidR="001D278F" w:rsidRPr="008D2EA0">
        <w:instrText xml:space="preserve"> REF _Ref330503966 \r \h </w:instrText>
      </w:r>
      <w:r w:rsidR="00F13EE6" w:rsidRPr="008D2EA0">
        <w:instrText xml:space="preserve"> \* MERGEFORMAT </w:instrText>
      </w:r>
      <w:r w:rsidR="001D278F" w:rsidRPr="008D2EA0">
        <w:fldChar w:fldCharType="separate"/>
      </w:r>
      <w:r w:rsidR="00E73FF2">
        <w:t>[2]</w:t>
      </w:r>
      <w:r w:rsidR="001D278F" w:rsidRPr="008D2EA0">
        <w:fldChar w:fldCharType="end"/>
      </w:r>
      <w:r w:rsidR="00B70495" w:rsidRPr="008D2EA0">
        <w:t>.</w:t>
      </w:r>
    </w:p>
    <w:p w:rsidR="00B70495" w:rsidRPr="008D2EA0" w:rsidRDefault="00B70495" w:rsidP="00510087">
      <w:pPr>
        <w:pStyle w:val="Heading3"/>
      </w:pPr>
      <w:bookmarkStart w:id="90" w:name="_Toc311197399"/>
      <w:bookmarkStart w:id="91" w:name="_Toc349039265"/>
      <w:r w:rsidRPr="008D2EA0">
        <w:t>Mobile SDL: compatibility with the current regulatory framework</w:t>
      </w:r>
      <w:bookmarkEnd w:id="90"/>
      <w:bookmarkEnd w:id="91"/>
    </w:p>
    <w:p w:rsidR="00B70495" w:rsidRPr="008D2EA0" w:rsidRDefault="00B70495" w:rsidP="00B70495">
      <w:pPr>
        <w:pStyle w:val="ECCParagraph"/>
        <w:rPr>
          <w:highlight w:val="yellow"/>
        </w:rPr>
      </w:pPr>
      <w:r w:rsidRPr="008D2EA0">
        <w:t>As a mobile system, Mobile SDL will operate under the Mobile Service allocation and is therefore compatible with Article 5 of Radio Regulations where the band 1452-1492 MHz is allocated to the Mobile Service on a co-primary basis.</w:t>
      </w:r>
    </w:p>
    <w:p w:rsidR="00B70495" w:rsidRPr="008D2EA0" w:rsidRDefault="00B70495" w:rsidP="00B70495">
      <w:pPr>
        <w:pStyle w:val="ECCParagraph"/>
      </w:pPr>
      <w:r w:rsidRPr="008D2EA0">
        <w:t>The adoption of a band plan based on 5 MHz blocks for the introduction of technologies supporting the delivery of mobile broadband services in 1452-1492 MHz may stay compatible with the existing Maastricht special arrangement (MA02revCO07)</w:t>
      </w:r>
      <w:r w:rsidR="001D278F" w:rsidRPr="008D2EA0">
        <w:t xml:space="preserve"> </w:t>
      </w:r>
      <w:r w:rsidR="001D278F" w:rsidRPr="008D2EA0">
        <w:fldChar w:fldCharType="begin"/>
      </w:r>
      <w:r w:rsidR="001D278F" w:rsidRPr="008D2EA0">
        <w:instrText xml:space="preserve"> REF _Ref330503918 \r \h </w:instrText>
      </w:r>
      <w:r w:rsidR="001D278F" w:rsidRPr="008D2EA0">
        <w:fldChar w:fldCharType="separate"/>
      </w:r>
      <w:r w:rsidR="00E73FF2">
        <w:t>[1]</w:t>
      </w:r>
      <w:r w:rsidR="001D278F" w:rsidRPr="008D2EA0">
        <w:fldChar w:fldCharType="end"/>
      </w:r>
      <w:r w:rsidRPr="008D2EA0">
        <w:t>.</w:t>
      </w:r>
    </w:p>
    <w:p w:rsidR="001D4784" w:rsidRPr="008D2EA0" w:rsidRDefault="001D4784" w:rsidP="00F21C76">
      <w:pPr>
        <w:pStyle w:val="ECCParagraph"/>
        <w:keepNext/>
      </w:pPr>
      <w:r w:rsidRPr="008D2EA0">
        <w:rPr>
          <w:rFonts w:cs="Arial"/>
          <w:szCs w:val="20"/>
        </w:rPr>
        <w:lastRenderedPageBreak/>
        <w:t>The issue of compatibility with MA02revCO07 is summed up in the table below:</w:t>
      </w:r>
    </w:p>
    <w:p w:rsidR="001D4784" w:rsidRPr="008D2EA0" w:rsidRDefault="001D4784" w:rsidP="00F21C76">
      <w:pPr>
        <w:pStyle w:val="ECCTabletitle"/>
      </w:pPr>
      <w:r w:rsidRPr="008D2EA0">
        <w:t>Criterion 1 – Mobile SDL</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62"/>
        <w:gridCol w:w="4832"/>
      </w:tblGrid>
      <w:tr w:rsidR="001D4784" w:rsidRPr="008D2EA0" w:rsidTr="000D55A2">
        <w:trPr>
          <w:tblHeader/>
        </w:trPr>
        <w:tc>
          <w:tcPr>
            <w:tcW w:w="4252" w:type="dxa"/>
            <w:tcBorders>
              <w:right w:val="single" w:sz="8" w:space="0" w:color="FFFFFF"/>
            </w:tcBorders>
            <w:shd w:val="clear" w:color="auto" w:fill="D2232A"/>
            <w:vAlign w:val="center"/>
          </w:tcPr>
          <w:p w:rsidR="001D4784" w:rsidRPr="008D2EA0" w:rsidRDefault="001D4784" w:rsidP="00E60485">
            <w:pPr>
              <w:keepNext/>
              <w:spacing w:line="288" w:lineRule="auto"/>
              <w:jc w:val="center"/>
              <w:rPr>
                <w:b/>
                <w:color w:val="FFFFFF"/>
                <w:lang w:val="en-GB"/>
              </w:rPr>
            </w:pPr>
            <w:r w:rsidRPr="008D2EA0">
              <w:rPr>
                <w:b/>
                <w:color w:val="FFFFFF"/>
                <w:lang w:val="en-GB"/>
              </w:rPr>
              <w:t>Compatibility with MA02revCO07</w:t>
            </w:r>
          </w:p>
        </w:tc>
        <w:tc>
          <w:tcPr>
            <w:tcW w:w="5103" w:type="dxa"/>
            <w:tcBorders>
              <w:left w:val="single" w:sz="8" w:space="0" w:color="FFFFFF"/>
              <w:right w:val="single" w:sz="8" w:space="0" w:color="FFFFFF"/>
            </w:tcBorders>
            <w:shd w:val="clear" w:color="auto" w:fill="D2232A"/>
            <w:vAlign w:val="center"/>
          </w:tcPr>
          <w:p w:rsidR="001D4784" w:rsidRPr="008D2EA0" w:rsidRDefault="001D4784" w:rsidP="00E60485">
            <w:pPr>
              <w:keepNext/>
              <w:spacing w:line="288" w:lineRule="auto"/>
              <w:jc w:val="center"/>
              <w:rPr>
                <w:b/>
                <w:color w:val="FFFFFF"/>
                <w:lang w:val="en-GB"/>
              </w:rPr>
            </w:pPr>
            <w:r w:rsidRPr="008D2EA0">
              <w:rPr>
                <w:b/>
                <w:color w:val="FFFFFF"/>
                <w:lang w:val="en-GB"/>
              </w:rPr>
              <w:t>Mobile SDL</w:t>
            </w:r>
          </w:p>
        </w:tc>
      </w:tr>
      <w:tr w:rsidR="001D4784" w:rsidRPr="008D2EA0" w:rsidTr="000D55A2">
        <w:tc>
          <w:tcPr>
            <w:tcW w:w="4252" w:type="dxa"/>
          </w:tcPr>
          <w:p w:rsidR="001D4784" w:rsidRPr="008D2EA0" w:rsidRDefault="001D4784" w:rsidP="00E60485">
            <w:pPr>
              <w:keepNext/>
              <w:rPr>
                <w:lang w:val="en-GB"/>
              </w:rPr>
            </w:pPr>
            <w:r w:rsidRPr="008D2EA0">
              <w:rPr>
                <w:lang w:val="en-GB"/>
              </w:rPr>
              <w:t xml:space="preserve">Compatibility with the current Plan </w:t>
            </w:r>
          </w:p>
        </w:tc>
        <w:tc>
          <w:tcPr>
            <w:tcW w:w="5103" w:type="dxa"/>
          </w:tcPr>
          <w:p w:rsidR="001D4784" w:rsidRPr="008D2EA0" w:rsidRDefault="001D4784" w:rsidP="00E60485">
            <w:pPr>
              <w:keepNext/>
              <w:rPr>
                <w:lang w:val="en-GB"/>
              </w:rPr>
            </w:pPr>
            <w:r w:rsidRPr="008D2EA0">
              <w:rPr>
                <w:lang w:val="en-GB"/>
              </w:rPr>
              <w:t>No</w:t>
            </w:r>
          </w:p>
        </w:tc>
      </w:tr>
      <w:tr w:rsidR="001D4784" w:rsidRPr="008D2EA0" w:rsidTr="000D55A2">
        <w:tc>
          <w:tcPr>
            <w:tcW w:w="4252" w:type="dxa"/>
          </w:tcPr>
          <w:p w:rsidR="001D4784" w:rsidRPr="008D2EA0" w:rsidRDefault="001D4784" w:rsidP="00E60485">
            <w:pPr>
              <w:keepNext/>
              <w:rPr>
                <w:lang w:val="en-GB"/>
              </w:rPr>
            </w:pPr>
            <w:r w:rsidRPr="008D2EA0">
              <w:rPr>
                <w:lang w:val="en-GB"/>
              </w:rPr>
              <w:t>Compatibility with envelope concept</w:t>
            </w:r>
          </w:p>
        </w:tc>
        <w:tc>
          <w:tcPr>
            <w:tcW w:w="5103" w:type="dxa"/>
          </w:tcPr>
          <w:p w:rsidR="001D4784" w:rsidRPr="008D2EA0" w:rsidRDefault="001D4784" w:rsidP="00E60485">
            <w:pPr>
              <w:keepNext/>
              <w:rPr>
                <w:lang w:val="en-GB"/>
              </w:rPr>
            </w:pPr>
            <w:r w:rsidRPr="008D2EA0">
              <w:rPr>
                <w:lang w:val="en-GB"/>
              </w:rPr>
              <w:t>Mobile Broadband in the downlink could use aggregation of 1.7 MHz contiguous channels, but it would be suboptimal and the whole 40 MHz would not be used.</w:t>
            </w:r>
          </w:p>
        </w:tc>
      </w:tr>
      <w:tr w:rsidR="001D4784" w:rsidRPr="008D2EA0" w:rsidTr="000D55A2">
        <w:tc>
          <w:tcPr>
            <w:tcW w:w="4252" w:type="dxa"/>
          </w:tcPr>
          <w:p w:rsidR="001D4784" w:rsidRPr="008D2EA0" w:rsidRDefault="001D4784" w:rsidP="000D55A2">
            <w:pPr>
              <w:rPr>
                <w:lang w:val="en-GB"/>
              </w:rPr>
            </w:pPr>
            <w:r w:rsidRPr="008D2EA0">
              <w:rPr>
                <w:lang w:val="en-GB"/>
              </w:rPr>
              <w:t>MA02 as a tool for cross-border coordination</w:t>
            </w:r>
          </w:p>
        </w:tc>
        <w:tc>
          <w:tcPr>
            <w:tcW w:w="5103" w:type="dxa"/>
          </w:tcPr>
          <w:p w:rsidR="001D4784" w:rsidRPr="008D2EA0" w:rsidRDefault="001D4784" w:rsidP="000D55A2">
            <w:pPr>
              <w:rPr>
                <w:lang w:val="en-GB"/>
              </w:rPr>
            </w:pPr>
            <w:r w:rsidRPr="008D2EA0">
              <w:rPr>
                <w:lang w:val="en-GB"/>
              </w:rPr>
              <w:t>The procedure could be used as the transmitters are fixed</w:t>
            </w:r>
          </w:p>
        </w:tc>
      </w:tr>
    </w:tbl>
    <w:p w:rsidR="001D4784" w:rsidRPr="008D2EA0" w:rsidRDefault="001D4784" w:rsidP="001D4784">
      <w:pPr>
        <w:rPr>
          <w:lang w:val="en-GB"/>
        </w:rPr>
      </w:pPr>
    </w:p>
    <w:p w:rsidR="001D4784" w:rsidRPr="008D2EA0" w:rsidRDefault="0080413A" w:rsidP="001D4784">
      <w:pPr>
        <w:pStyle w:val="ECCParagraph"/>
        <w:spacing w:after="120"/>
      </w:pPr>
      <w:r w:rsidRPr="008D2EA0">
        <w:t xml:space="preserve">The </w:t>
      </w:r>
      <w:r w:rsidR="001D4784" w:rsidRPr="008D2EA0">
        <w:t>ECC</w:t>
      </w:r>
      <w:r w:rsidRPr="008D2EA0">
        <w:t>/</w:t>
      </w:r>
      <w:r w:rsidR="001D4784" w:rsidRPr="008D2EA0">
        <w:t>DEC</w:t>
      </w:r>
      <w:r w:rsidRPr="008D2EA0">
        <w:t>/</w:t>
      </w:r>
      <w:r w:rsidR="001D4784" w:rsidRPr="008D2EA0">
        <w:t xml:space="preserve">(03)02 designates the frequency band 1479.5-1492 MHz for use by satellite digital audio broadcasting systems. Thus Mobile SDL is not compatible with </w:t>
      </w:r>
      <w:r w:rsidRPr="008D2EA0">
        <w:t>the ECC/DEC/</w:t>
      </w:r>
      <w:r w:rsidR="001D4784" w:rsidRPr="008D2EA0">
        <w:t>(03)02</w:t>
      </w:r>
      <w:r w:rsidR="001D278F" w:rsidRPr="008D2EA0">
        <w:t xml:space="preserve"> </w:t>
      </w:r>
      <w:r w:rsidR="001D278F" w:rsidRPr="008D2EA0">
        <w:fldChar w:fldCharType="begin"/>
      </w:r>
      <w:r w:rsidR="001D278F" w:rsidRPr="008D2EA0">
        <w:instrText xml:space="preserve"> REF _Ref330503966 \r \h </w:instrText>
      </w:r>
      <w:r w:rsidR="00F13EE6" w:rsidRPr="008D2EA0">
        <w:instrText xml:space="preserve"> \* MERGEFORMAT </w:instrText>
      </w:r>
      <w:r w:rsidR="001D278F" w:rsidRPr="008D2EA0">
        <w:fldChar w:fldCharType="separate"/>
      </w:r>
      <w:r w:rsidR="00E73FF2">
        <w:t>[2]</w:t>
      </w:r>
      <w:r w:rsidR="001D278F" w:rsidRPr="008D2EA0">
        <w:fldChar w:fldCharType="end"/>
      </w:r>
      <w:r w:rsidR="001D4784" w:rsidRPr="008D2EA0">
        <w:t>.</w:t>
      </w:r>
    </w:p>
    <w:p w:rsidR="001D4784" w:rsidRPr="008D2EA0" w:rsidRDefault="001D4784" w:rsidP="00510087">
      <w:pPr>
        <w:pStyle w:val="Heading3"/>
      </w:pPr>
      <w:bookmarkStart w:id="92" w:name="_Toc311197409"/>
      <w:bookmarkStart w:id="93" w:name="_Toc349039266"/>
      <w:r w:rsidRPr="008D2EA0">
        <w:t>S-DAB: compatibility with the current regulatory framework</w:t>
      </w:r>
      <w:bookmarkEnd w:id="92"/>
      <w:bookmarkEnd w:id="93"/>
      <w:r w:rsidRPr="008D2EA0">
        <w:t xml:space="preserve"> </w:t>
      </w:r>
    </w:p>
    <w:p w:rsidR="00E709FD" w:rsidRPr="008D2EA0" w:rsidRDefault="0036081F" w:rsidP="001D4784">
      <w:pPr>
        <w:pStyle w:val="ECCParagraph"/>
      </w:pPr>
      <w:r w:rsidRPr="008D2EA0">
        <w:t>At ITU level, the 1</w:t>
      </w:r>
      <w:r w:rsidR="001D4784" w:rsidRPr="008D2EA0">
        <w:t>452</w:t>
      </w:r>
      <w:r w:rsidRPr="008D2EA0">
        <w:t>-</w:t>
      </w:r>
      <w:r w:rsidR="001D4784" w:rsidRPr="008D2EA0">
        <w:t>1492 MHz Band is allocated in Region 1 to the Broadcasting-Satellite Service (sound), on a co-primary basis. The ability to deploy Broadcasting-Satellite Services is limited to the upper 25 MHz of the band, in accordance with Resolution 528</w:t>
      </w:r>
      <w:r w:rsidR="00530F73" w:rsidRPr="008D2EA0">
        <w:t xml:space="preserve"> (Rev. WRC-03)</w:t>
      </w:r>
      <w:r w:rsidR="00596FA6" w:rsidRPr="008D2EA0">
        <w:t xml:space="preserve"> </w:t>
      </w:r>
      <w:r w:rsidR="00596FA6" w:rsidRPr="008D2EA0">
        <w:fldChar w:fldCharType="begin"/>
      </w:r>
      <w:r w:rsidR="00596FA6" w:rsidRPr="008D2EA0">
        <w:instrText xml:space="preserve"> REF _Ref332810663 \r \h </w:instrText>
      </w:r>
      <w:r w:rsidR="00596FA6" w:rsidRPr="008D2EA0">
        <w:fldChar w:fldCharType="separate"/>
      </w:r>
      <w:r w:rsidR="00E73FF2">
        <w:t>[4]</w:t>
      </w:r>
      <w:r w:rsidR="00596FA6" w:rsidRPr="008D2EA0">
        <w:fldChar w:fldCharType="end"/>
      </w:r>
      <w:r w:rsidR="001D4784" w:rsidRPr="008D2EA0">
        <w:t>. Satellite broadcasting limited to audio broadcasting (</w:t>
      </w:r>
      <w:r w:rsidR="00F13EE6" w:rsidRPr="008D2EA0">
        <w:t xml:space="preserve">RR </w:t>
      </w:r>
      <w:r w:rsidR="001D4784" w:rsidRPr="008D2EA0">
        <w:t xml:space="preserve">footnote </w:t>
      </w:r>
      <w:r w:rsidR="0080413A" w:rsidRPr="008D2EA0">
        <w:t xml:space="preserve">No. </w:t>
      </w:r>
      <w:r w:rsidR="001D4784" w:rsidRPr="008D2EA0">
        <w:t>5.345) is compliant with the Radio Regulations.</w:t>
      </w:r>
    </w:p>
    <w:p w:rsidR="00100C51" w:rsidRPr="008D2EA0" w:rsidRDefault="00100C51" w:rsidP="00BC050E">
      <w:pPr>
        <w:pStyle w:val="ECCParagraph"/>
        <w:keepNext/>
      </w:pPr>
      <w:r w:rsidRPr="008D2EA0">
        <w:t>The issue of compatibility with MA02revCO07</w:t>
      </w:r>
      <w:r w:rsidR="00E60485">
        <w:t xml:space="preserve"> </w:t>
      </w:r>
      <w:r w:rsidR="00E60485">
        <w:fldChar w:fldCharType="begin"/>
      </w:r>
      <w:r w:rsidR="00E60485">
        <w:instrText xml:space="preserve"> REF _Ref330503918 \r \h </w:instrText>
      </w:r>
      <w:r w:rsidR="00E60485">
        <w:fldChar w:fldCharType="separate"/>
      </w:r>
      <w:r w:rsidR="00E73FF2">
        <w:t>[1]</w:t>
      </w:r>
      <w:r w:rsidR="00E60485">
        <w:fldChar w:fldCharType="end"/>
      </w:r>
      <w:r w:rsidRPr="008D2EA0">
        <w:t xml:space="preserve"> is summed up in the table below:</w:t>
      </w:r>
    </w:p>
    <w:p w:rsidR="00100C51" w:rsidRPr="008D2EA0" w:rsidRDefault="00100C51" w:rsidP="00F21C76">
      <w:pPr>
        <w:pStyle w:val="ECCTabletitle"/>
      </w:pPr>
      <w:r w:rsidRPr="008D2EA0">
        <w:t>Criterion 1 – S-DAB</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56"/>
        <w:gridCol w:w="4838"/>
      </w:tblGrid>
      <w:tr w:rsidR="00100C51" w:rsidRPr="008D2EA0" w:rsidTr="000D55A2">
        <w:trPr>
          <w:tblHeader/>
        </w:trPr>
        <w:tc>
          <w:tcPr>
            <w:tcW w:w="4252" w:type="dxa"/>
            <w:tcBorders>
              <w:right w:val="single" w:sz="8" w:space="0" w:color="FFFFFF"/>
            </w:tcBorders>
            <w:shd w:val="clear" w:color="auto" w:fill="D2232A"/>
            <w:vAlign w:val="center"/>
          </w:tcPr>
          <w:p w:rsidR="00100C51" w:rsidRPr="008D2EA0" w:rsidRDefault="00100C51" w:rsidP="00BC050E">
            <w:pPr>
              <w:keepNext/>
              <w:spacing w:line="288" w:lineRule="auto"/>
              <w:jc w:val="center"/>
              <w:rPr>
                <w:b/>
                <w:color w:val="FFFFFF"/>
                <w:lang w:val="en-GB"/>
              </w:rPr>
            </w:pPr>
            <w:r w:rsidRPr="008D2EA0">
              <w:rPr>
                <w:b/>
                <w:color w:val="FFFFFF"/>
                <w:lang w:val="en-GB"/>
              </w:rPr>
              <w:t>Compatibility with MA02revCO07</w:t>
            </w:r>
          </w:p>
        </w:tc>
        <w:tc>
          <w:tcPr>
            <w:tcW w:w="5103" w:type="dxa"/>
            <w:tcBorders>
              <w:left w:val="single" w:sz="8" w:space="0" w:color="FFFFFF"/>
              <w:right w:val="single" w:sz="8" w:space="0" w:color="FFFFFF"/>
            </w:tcBorders>
            <w:shd w:val="clear" w:color="auto" w:fill="D2232A"/>
            <w:vAlign w:val="center"/>
          </w:tcPr>
          <w:p w:rsidR="00100C51" w:rsidRPr="008D2EA0" w:rsidRDefault="00100C51" w:rsidP="00BC050E">
            <w:pPr>
              <w:keepNext/>
              <w:spacing w:line="288" w:lineRule="auto"/>
              <w:jc w:val="center"/>
              <w:rPr>
                <w:b/>
                <w:color w:val="FFFFFF"/>
                <w:lang w:val="en-GB"/>
              </w:rPr>
            </w:pPr>
            <w:r w:rsidRPr="008D2EA0">
              <w:rPr>
                <w:b/>
                <w:color w:val="FFFFFF"/>
                <w:lang w:val="en-GB"/>
              </w:rPr>
              <w:t>Satellite Broadcasting</w:t>
            </w:r>
          </w:p>
        </w:tc>
      </w:tr>
      <w:tr w:rsidR="00100C51" w:rsidRPr="008D2EA0" w:rsidTr="000D55A2">
        <w:tc>
          <w:tcPr>
            <w:tcW w:w="4252" w:type="dxa"/>
          </w:tcPr>
          <w:p w:rsidR="00100C51" w:rsidRPr="008D2EA0" w:rsidRDefault="00100C51" w:rsidP="000D55A2">
            <w:pPr>
              <w:rPr>
                <w:lang w:val="en-GB"/>
              </w:rPr>
            </w:pPr>
            <w:r w:rsidRPr="008D2EA0">
              <w:rPr>
                <w:lang w:val="en-GB"/>
              </w:rPr>
              <w:t xml:space="preserve">Compatibility with the current Plan </w:t>
            </w:r>
          </w:p>
        </w:tc>
        <w:tc>
          <w:tcPr>
            <w:tcW w:w="5103" w:type="dxa"/>
          </w:tcPr>
          <w:p w:rsidR="00100C51" w:rsidRPr="008D2EA0" w:rsidRDefault="00100C51" w:rsidP="000D55A2">
            <w:pPr>
              <w:rPr>
                <w:lang w:val="en-GB"/>
              </w:rPr>
            </w:pPr>
            <w:r w:rsidRPr="008D2EA0">
              <w:rPr>
                <w:lang w:val="en-GB"/>
              </w:rPr>
              <w:t>No</w:t>
            </w:r>
          </w:p>
        </w:tc>
      </w:tr>
      <w:tr w:rsidR="00100C51" w:rsidRPr="008D2EA0" w:rsidTr="000D55A2">
        <w:tc>
          <w:tcPr>
            <w:tcW w:w="4252" w:type="dxa"/>
          </w:tcPr>
          <w:p w:rsidR="00100C51" w:rsidRPr="008D2EA0" w:rsidRDefault="00100C51" w:rsidP="000D55A2">
            <w:pPr>
              <w:rPr>
                <w:lang w:val="en-GB"/>
              </w:rPr>
            </w:pPr>
            <w:r w:rsidRPr="008D2EA0">
              <w:rPr>
                <w:lang w:val="en-GB"/>
              </w:rPr>
              <w:t>Compatibility with envelope concept</w:t>
            </w:r>
          </w:p>
        </w:tc>
        <w:tc>
          <w:tcPr>
            <w:tcW w:w="5103" w:type="dxa"/>
          </w:tcPr>
          <w:p w:rsidR="00100C51" w:rsidRPr="008D2EA0" w:rsidRDefault="00100C51" w:rsidP="000D55A2">
            <w:pPr>
              <w:rPr>
                <w:lang w:val="en-GB"/>
              </w:rPr>
            </w:pPr>
            <w:r w:rsidRPr="008D2EA0">
              <w:rPr>
                <w:lang w:val="en-GB"/>
              </w:rPr>
              <w:t>No</w:t>
            </w:r>
          </w:p>
          <w:p w:rsidR="00100C51" w:rsidRPr="008D2EA0" w:rsidRDefault="00100C51" w:rsidP="000D55A2">
            <w:pPr>
              <w:rPr>
                <w:lang w:val="en-GB"/>
              </w:rPr>
            </w:pPr>
          </w:p>
        </w:tc>
      </w:tr>
      <w:tr w:rsidR="00100C51" w:rsidRPr="008D2EA0" w:rsidTr="000D55A2">
        <w:tc>
          <w:tcPr>
            <w:tcW w:w="4252" w:type="dxa"/>
          </w:tcPr>
          <w:p w:rsidR="00100C51" w:rsidRPr="008D2EA0" w:rsidRDefault="00100C51" w:rsidP="000D55A2">
            <w:pPr>
              <w:rPr>
                <w:lang w:val="en-GB"/>
              </w:rPr>
            </w:pPr>
            <w:r w:rsidRPr="008D2EA0">
              <w:rPr>
                <w:lang w:val="en-GB"/>
              </w:rPr>
              <w:t>MA02 as a tool for cross-border coordination</w:t>
            </w:r>
          </w:p>
        </w:tc>
        <w:tc>
          <w:tcPr>
            <w:tcW w:w="5103" w:type="dxa"/>
          </w:tcPr>
          <w:p w:rsidR="00100C51" w:rsidRPr="008D2EA0" w:rsidRDefault="00100C51" w:rsidP="000D55A2">
            <w:pPr>
              <w:rPr>
                <w:lang w:val="en-GB"/>
              </w:rPr>
            </w:pPr>
            <w:r w:rsidRPr="008D2EA0">
              <w:rPr>
                <w:lang w:val="en-GB"/>
              </w:rPr>
              <w:t>Not applicable, ITU coordination applies</w:t>
            </w:r>
          </w:p>
        </w:tc>
      </w:tr>
    </w:tbl>
    <w:p w:rsidR="00100C51" w:rsidRPr="008D2EA0" w:rsidRDefault="00100C51" w:rsidP="00100C51">
      <w:pPr>
        <w:pStyle w:val="ECCParagraph"/>
      </w:pPr>
    </w:p>
    <w:p w:rsidR="00100C51" w:rsidRPr="008D2EA0" w:rsidRDefault="00100C51" w:rsidP="00100C51">
      <w:pPr>
        <w:pStyle w:val="ECCParagraph"/>
      </w:pPr>
      <w:r w:rsidRPr="008D2EA0">
        <w:t xml:space="preserve">Satellite broadcasting limited to audio is compatible with </w:t>
      </w:r>
      <w:r w:rsidR="0080413A" w:rsidRPr="008D2EA0">
        <w:t>the ECC/DEC/</w:t>
      </w:r>
      <w:r w:rsidRPr="008D2EA0">
        <w:t>(03)02</w:t>
      </w:r>
      <w:r w:rsidRPr="008D2EA0">
        <w:rPr>
          <w:rFonts w:eastAsiaTheme="minorEastAsia" w:cs="Arial"/>
          <w:color w:val="000000" w:themeColor="dark1"/>
          <w:kern w:val="24"/>
          <w:szCs w:val="20"/>
        </w:rPr>
        <w:t xml:space="preserve"> </w:t>
      </w:r>
      <w:r w:rsidR="001D278F" w:rsidRPr="008D2EA0">
        <w:rPr>
          <w:rFonts w:eastAsiaTheme="minorEastAsia" w:cs="Arial"/>
          <w:color w:val="000000" w:themeColor="dark1"/>
          <w:kern w:val="24"/>
          <w:szCs w:val="20"/>
        </w:rPr>
        <w:fldChar w:fldCharType="begin"/>
      </w:r>
      <w:r w:rsidR="001D278F" w:rsidRPr="008D2EA0">
        <w:rPr>
          <w:rFonts w:eastAsiaTheme="minorEastAsia" w:cs="Arial"/>
          <w:color w:val="000000" w:themeColor="dark1"/>
          <w:kern w:val="24"/>
          <w:szCs w:val="20"/>
        </w:rPr>
        <w:instrText xml:space="preserve"> REF _Ref330503966 \r \h  \* MERGEFORMAT </w:instrText>
      </w:r>
      <w:r w:rsidR="001D278F" w:rsidRPr="008D2EA0">
        <w:rPr>
          <w:rFonts w:eastAsiaTheme="minorEastAsia" w:cs="Arial"/>
          <w:color w:val="000000" w:themeColor="dark1"/>
          <w:kern w:val="24"/>
          <w:szCs w:val="20"/>
        </w:rPr>
      </w:r>
      <w:r w:rsidR="001D278F" w:rsidRPr="008D2EA0">
        <w:rPr>
          <w:rFonts w:eastAsiaTheme="minorEastAsia" w:cs="Arial"/>
          <w:color w:val="000000" w:themeColor="dark1"/>
          <w:kern w:val="24"/>
          <w:szCs w:val="20"/>
        </w:rPr>
        <w:fldChar w:fldCharType="separate"/>
      </w:r>
      <w:r w:rsidR="00E73FF2">
        <w:rPr>
          <w:rFonts w:eastAsiaTheme="minorEastAsia" w:cs="Arial"/>
          <w:color w:val="000000" w:themeColor="dark1"/>
          <w:kern w:val="24"/>
          <w:szCs w:val="20"/>
        </w:rPr>
        <w:t>[2]</w:t>
      </w:r>
      <w:r w:rsidR="001D278F" w:rsidRPr="008D2EA0">
        <w:rPr>
          <w:rFonts w:eastAsiaTheme="minorEastAsia" w:cs="Arial"/>
          <w:color w:val="000000" w:themeColor="dark1"/>
          <w:kern w:val="24"/>
          <w:szCs w:val="20"/>
        </w:rPr>
        <w:fldChar w:fldCharType="end"/>
      </w:r>
      <w:r w:rsidR="001D278F" w:rsidRPr="008D2EA0">
        <w:rPr>
          <w:rFonts w:asciiTheme="minorHAnsi" w:eastAsiaTheme="minorEastAsia" w:hAnsi="Calibri" w:cstheme="minorBidi"/>
          <w:color w:val="000000" w:themeColor="dark1"/>
          <w:kern w:val="24"/>
          <w:sz w:val="28"/>
          <w:szCs w:val="28"/>
        </w:rPr>
        <w:t xml:space="preserve"> </w:t>
      </w:r>
      <w:r w:rsidRPr="008D2EA0">
        <w:t>and may be complemented by a terrestrial component in areas where satellite signal is not available (</w:t>
      </w:r>
      <w:r w:rsidR="0080413A" w:rsidRPr="008D2EA0">
        <w:t xml:space="preserve">see </w:t>
      </w:r>
      <w:r w:rsidRPr="008D2EA0">
        <w:rPr>
          <w:i/>
        </w:rPr>
        <w:t>considering f</w:t>
      </w:r>
      <w:r w:rsidRPr="008D2EA0">
        <w:t xml:space="preserve"> of </w:t>
      </w:r>
      <w:r w:rsidR="0080413A" w:rsidRPr="008D2EA0">
        <w:t xml:space="preserve">the </w:t>
      </w:r>
      <w:r w:rsidRPr="008D2EA0">
        <w:t>ECC</w:t>
      </w:r>
      <w:r w:rsidR="0080413A" w:rsidRPr="008D2EA0">
        <w:t>/</w:t>
      </w:r>
      <w:r w:rsidRPr="008D2EA0">
        <w:t>DEC</w:t>
      </w:r>
      <w:r w:rsidR="0080413A" w:rsidRPr="008D2EA0">
        <w:t>/</w:t>
      </w:r>
      <w:r w:rsidRPr="008D2EA0">
        <w:t>(03)02).</w:t>
      </w:r>
    </w:p>
    <w:p w:rsidR="00100C51" w:rsidRPr="008D2EA0" w:rsidRDefault="00100C51" w:rsidP="00510087">
      <w:pPr>
        <w:pStyle w:val="Heading3"/>
      </w:pPr>
      <w:bookmarkStart w:id="94" w:name="_Toc311197415"/>
      <w:bookmarkStart w:id="95" w:name="_Toc349039267"/>
      <w:r w:rsidRPr="008D2EA0">
        <w:t>PMSE: compatibility with the current regulatory framework</w:t>
      </w:r>
      <w:bookmarkEnd w:id="94"/>
      <w:bookmarkEnd w:id="95"/>
    </w:p>
    <w:p w:rsidR="00100C51" w:rsidRPr="008D2EA0" w:rsidRDefault="00100C51" w:rsidP="00100C51">
      <w:pPr>
        <w:pStyle w:val="Default"/>
        <w:spacing w:after="120" w:line="264" w:lineRule="auto"/>
        <w:rPr>
          <w:color w:val="auto"/>
          <w:sz w:val="20"/>
          <w:szCs w:val="20"/>
          <w:lang w:val="en-GB"/>
        </w:rPr>
      </w:pPr>
      <w:r w:rsidRPr="008D2EA0">
        <w:rPr>
          <w:color w:val="auto"/>
          <w:sz w:val="20"/>
          <w:szCs w:val="20"/>
          <w:lang w:val="en-GB"/>
        </w:rPr>
        <w:t>PMSE is a mobile service according to the definition of the ITU Radio Regulation and as such is compliant to article 5 within the 1452-1492 MHz band.</w:t>
      </w:r>
    </w:p>
    <w:p w:rsidR="00100C51" w:rsidRPr="008D2EA0" w:rsidRDefault="00100C51" w:rsidP="00E60485">
      <w:pPr>
        <w:keepNext/>
        <w:rPr>
          <w:rFonts w:cs="Arial"/>
          <w:szCs w:val="20"/>
          <w:lang w:val="en-GB"/>
        </w:rPr>
      </w:pPr>
      <w:r w:rsidRPr="008D2EA0">
        <w:rPr>
          <w:rFonts w:cs="Arial"/>
          <w:szCs w:val="20"/>
          <w:lang w:val="en-GB"/>
        </w:rPr>
        <w:t xml:space="preserve">The issue of compatibility with MA02revCO07 </w:t>
      </w:r>
      <w:r w:rsidR="001D278F" w:rsidRPr="008D2EA0">
        <w:rPr>
          <w:rFonts w:cs="Arial"/>
          <w:szCs w:val="20"/>
          <w:lang w:val="en-GB"/>
        </w:rPr>
        <w:fldChar w:fldCharType="begin"/>
      </w:r>
      <w:r w:rsidR="001D278F" w:rsidRPr="008D2EA0">
        <w:rPr>
          <w:rFonts w:cs="Arial"/>
          <w:szCs w:val="20"/>
          <w:lang w:val="en-GB"/>
        </w:rPr>
        <w:instrText xml:space="preserve"> REF _Ref330503918 \r \h </w:instrText>
      </w:r>
      <w:r w:rsidR="001D278F" w:rsidRPr="008D2EA0">
        <w:rPr>
          <w:rFonts w:cs="Arial"/>
          <w:szCs w:val="20"/>
          <w:lang w:val="en-GB"/>
        </w:rPr>
      </w:r>
      <w:r w:rsidR="001D278F" w:rsidRPr="008D2EA0">
        <w:rPr>
          <w:rFonts w:cs="Arial"/>
          <w:szCs w:val="20"/>
          <w:lang w:val="en-GB"/>
        </w:rPr>
        <w:fldChar w:fldCharType="separate"/>
      </w:r>
      <w:r w:rsidR="00E73FF2">
        <w:rPr>
          <w:rFonts w:cs="Arial"/>
          <w:szCs w:val="20"/>
          <w:lang w:val="en-GB"/>
        </w:rPr>
        <w:t>[1]</w:t>
      </w:r>
      <w:r w:rsidR="001D278F" w:rsidRPr="008D2EA0">
        <w:rPr>
          <w:rFonts w:cs="Arial"/>
          <w:szCs w:val="20"/>
          <w:lang w:val="en-GB"/>
        </w:rPr>
        <w:fldChar w:fldCharType="end"/>
      </w:r>
      <w:r w:rsidR="001D278F" w:rsidRPr="008D2EA0">
        <w:rPr>
          <w:rFonts w:cs="Arial"/>
          <w:szCs w:val="20"/>
          <w:lang w:val="en-GB"/>
        </w:rPr>
        <w:t xml:space="preserve"> </w:t>
      </w:r>
      <w:r w:rsidRPr="008D2EA0">
        <w:rPr>
          <w:rFonts w:cs="Arial"/>
          <w:szCs w:val="20"/>
          <w:lang w:val="en-GB"/>
        </w:rPr>
        <w:t>is summed up in the table below:</w:t>
      </w:r>
    </w:p>
    <w:p w:rsidR="00100C51" w:rsidRPr="008D2EA0" w:rsidRDefault="00100C51" w:rsidP="00F21C76">
      <w:pPr>
        <w:pStyle w:val="ECCTabletitle"/>
      </w:pPr>
      <w:r w:rsidRPr="008D2EA0">
        <w:t>Criterion 1 – PMSE</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65"/>
        <w:gridCol w:w="4829"/>
      </w:tblGrid>
      <w:tr w:rsidR="00100C51" w:rsidRPr="008D2EA0" w:rsidTr="000D55A2">
        <w:trPr>
          <w:tblHeader/>
        </w:trPr>
        <w:tc>
          <w:tcPr>
            <w:tcW w:w="4252" w:type="dxa"/>
            <w:tcBorders>
              <w:right w:val="single" w:sz="8" w:space="0" w:color="FFFFFF"/>
            </w:tcBorders>
            <w:shd w:val="clear" w:color="auto" w:fill="D2232A"/>
            <w:vAlign w:val="center"/>
          </w:tcPr>
          <w:p w:rsidR="00100C51" w:rsidRPr="008D2EA0" w:rsidRDefault="00100C51" w:rsidP="00E60485">
            <w:pPr>
              <w:keepNext/>
              <w:spacing w:line="288" w:lineRule="auto"/>
              <w:jc w:val="center"/>
              <w:rPr>
                <w:b/>
                <w:color w:val="FFFFFF"/>
                <w:lang w:val="en-GB"/>
              </w:rPr>
            </w:pPr>
            <w:r w:rsidRPr="008D2EA0">
              <w:rPr>
                <w:b/>
                <w:color w:val="FFFFFF"/>
                <w:lang w:val="en-GB"/>
              </w:rPr>
              <w:t>Compatibility with MA02revCO07</w:t>
            </w:r>
          </w:p>
        </w:tc>
        <w:tc>
          <w:tcPr>
            <w:tcW w:w="5103" w:type="dxa"/>
            <w:tcBorders>
              <w:left w:val="single" w:sz="8" w:space="0" w:color="FFFFFF"/>
              <w:right w:val="single" w:sz="8" w:space="0" w:color="FFFFFF"/>
            </w:tcBorders>
            <w:shd w:val="clear" w:color="auto" w:fill="D2232A"/>
            <w:vAlign w:val="center"/>
          </w:tcPr>
          <w:p w:rsidR="00100C51" w:rsidRPr="008D2EA0" w:rsidRDefault="00100C51" w:rsidP="00E60485">
            <w:pPr>
              <w:keepNext/>
              <w:spacing w:line="288" w:lineRule="auto"/>
              <w:jc w:val="center"/>
              <w:rPr>
                <w:b/>
                <w:color w:val="FFFFFF"/>
                <w:lang w:val="en-GB"/>
              </w:rPr>
            </w:pPr>
            <w:r w:rsidRPr="008D2EA0">
              <w:rPr>
                <w:b/>
                <w:color w:val="FFFFFF"/>
                <w:lang w:val="en-GB"/>
              </w:rPr>
              <w:t>PMSE</w:t>
            </w:r>
          </w:p>
        </w:tc>
      </w:tr>
      <w:tr w:rsidR="00100C51" w:rsidRPr="008D2EA0" w:rsidTr="000D55A2">
        <w:tc>
          <w:tcPr>
            <w:tcW w:w="4252" w:type="dxa"/>
          </w:tcPr>
          <w:p w:rsidR="00100C51" w:rsidRPr="008D2EA0" w:rsidRDefault="00100C51" w:rsidP="00E60485">
            <w:pPr>
              <w:keepNext/>
              <w:rPr>
                <w:lang w:val="en-GB"/>
              </w:rPr>
            </w:pPr>
            <w:r w:rsidRPr="008D2EA0">
              <w:rPr>
                <w:lang w:val="en-GB"/>
              </w:rPr>
              <w:t xml:space="preserve">Compatibility with the current Plan </w:t>
            </w:r>
          </w:p>
        </w:tc>
        <w:tc>
          <w:tcPr>
            <w:tcW w:w="5103" w:type="dxa"/>
          </w:tcPr>
          <w:p w:rsidR="00100C51" w:rsidRPr="008D2EA0" w:rsidRDefault="00100C51" w:rsidP="00E60485">
            <w:pPr>
              <w:keepNext/>
              <w:rPr>
                <w:lang w:val="en-GB"/>
              </w:rPr>
            </w:pPr>
            <w:r w:rsidRPr="008D2EA0">
              <w:rPr>
                <w:lang w:val="en-GB"/>
              </w:rPr>
              <w:t>Can use the interleaved spectrum of the allotment plan as a secondary service</w:t>
            </w:r>
          </w:p>
        </w:tc>
      </w:tr>
      <w:tr w:rsidR="00100C51" w:rsidRPr="008D2EA0" w:rsidTr="000D55A2">
        <w:tc>
          <w:tcPr>
            <w:tcW w:w="4252" w:type="dxa"/>
          </w:tcPr>
          <w:p w:rsidR="00100C51" w:rsidRPr="008D2EA0" w:rsidRDefault="00100C51" w:rsidP="000D55A2">
            <w:pPr>
              <w:rPr>
                <w:lang w:val="en-GB"/>
              </w:rPr>
            </w:pPr>
            <w:r w:rsidRPr="008D2EA0">
              <w:rPr>
                <w:lang w:val="en-GB"/>
              </w:rPr>
              <w:t>Compatibility with envelope concept</w:t>
            </w:r>
          </w:p>
        </w:tc>
        <w:tc>
          <w:tcPr>
            <w:tcW w:w="5103" w:type="dxa"/>
          </w:tcPr>
          <w:p w:rsidR="00100C51" w:rsidRPr="008D2EA0" w:rsidRDefault="00100C51" w:rsidP="000D55A2">
            <w:pPr>
              <w:rPr>
                <w:lang w:val="en-GB"/>
              </w:rPr>
            </w:pPr>
            <w:r w:rsidRPr="008D2EA0">
              <w:rPr>
                <w:lang w:val="en-GB"/>
              </w:rPr>
              <w:t>Yes, can fit several audio channels within a T-DAB channel (as a secondary service would not need to notify)</w:t>
            </w:r>
          </w:p>
        </w:tc>
      </w:tr>
      <w:tr w:rsidR="00100C51" w:rsidRPr="008D2EA0" w:rsidTr="000D55A2">
        <w:tc>
          <w:tcPr>
            <w:tcW w:w="4252" w:type="dxa"/>
          </w:tcPr>
          <w:p w:rsidR="00100C51" w:rsidRPr="008D2EA0" w:rsidRDefault="00100C51" w:rsidP="000D55A2">
            <w:pPr>
              <w:rPr>
                <w:lang w:val="en-GB"/>
              </w:rPr>
            </w:pPr>
            <w:r w:rsidRPr="008D2EA0">
              <w:rPr>
                <w:lang w:val="en-GB"/>
              </w:rPr>
              <w:t xml:space="preserve">MA02 as a tool for cross-border </w:t>
            </w:r>
            <w:r w:rsidRPr="008D2EA0">
              <w:rPr>
                <w:lang w:val="en-GB"/>
              </w:rPr>
              <w:lastRenderedPageBreak/>
              <w:t>coordination</w:t>
            </w:r>
          </w:p>
        </w:tc>
        <w:tc>
          <w:tcPr>
            <w:tcW w:w="5103" w:type="dxa"/>
          </w:tcPr>
          <w:p w:rsidR="00100C51" w:rsidRPr="008D2EA0" w:rsidRDefault="00100C51" w:rsidP="000D55A2">
            <w:pPr>
              <w:rPr>
                <w:lang w:val="en-GB"/>
              </w:rPr>
            </w:pPr>
            <w:r w:rsidRPr="008D2EA0">
              <w:rPr>
                <w:lang w:val="en-GB"/>
              </w:rPr>
              <w:lastRenderedPageBreak/>
              <w:t xml:space="preserve">Not applicable; as a secondary service does not </w:t>
            </w:r>
            <w:r w:rsidRPr="008D2EA0">
              <w:rPr>
                <w:lang w:val="en-GB"/>
              </w:rPr>
              <w:lastRenderedPageBreak/>
              <w:t>use the Maastricht agreement procedure</w:t>
            </w:r>
          </w:p>
        </w:tc>
      </w:tr>
    </w:tbl>
    <w:p w:rsidR="00100C51" w:rsidRPr="008D2EA0" w:rsidRDefault="00100C51" w:rsidP="00100C51">
      <w:pPr>
        <w:rPr>
          <w:lang w:val="en-GB"/>
        </w:rPr>
      </w:pPr>
    </w:p>
    <w:p w:rsidR="00100C51" w:rsidRPr="008D2EA0" w:rsidRDefault="0080413A" w:rsidP="00100C51">
      <w:pPr>
        <w:pStyle w:val="ECCParagraph"/>
        <w:spacing w:after="120"/>
      </w:pPr>
      <w:r w:rsidRPr="008D2EA0">
        <w:t xml:space="preserve">The </w:t>
      </w:r>
      <w:r w:rsidR="00100C51" w:rsidRPr="008D2EA0">
        <w:t>ECC</w:t>
      </w:r>
      <w:r w:rsidRPr="008D2EA0">
        <w:t>/</w:t>
      </w:r>
      <w:r w:rsidR="00100C51" w:rsidRPr="008D2EA0">
        <w:t>DEC</w:t>
      </w:r>
      <w:r w:rsidRPr="008D2EA0">
        <w:t>/</w:t>
      </w:r>
      <w:r w:rsidR="00100C51" w:rsidRPr="008D2EA0">
        <w:t xml:space="preserve">(03)02 designates the frequency band 1479.5-1492 MHz for use by satellite digital audio broadcasting systems. PMSE is not compatible with </w:t>
      </w:r>
      <w:r w:rsidRPr="008D2EA0">
        <w:t xml:space="preserve">the </w:t>
      </w:r>
      <w:r w:rsidR="00100C51" w:rsidRPr="008D2EA0">
        <w:t>ECC</w:t>
      </w:r>
      <w:r w:rsidRPr="008D2EA0">
        <w:t>/</w:t>
      </w:r>
      <w:r w:rsidR="00100C51" w:rsidRPr="008D2EA0">
        <w:t>DEC</w:t>
      </w:r>
      <w:r w:rsidRPr="008D2EA0">
        <w:t>/</w:t>
      </w:r>
      <w:r w:rsidR="00100C51" w:rsidRPr="008D2EA0">
        <w:t>(03)02</w:t>
      </w:r>
      <w:r w:rsidR="001D278F" w:rsidRPr="008D2EA0">
        <w:t xml:space="preserve"> </w:t>
      </w:r>
      <w:r w:rsidR="001D278F" w:rsidRPr="008D2EA0">
        <w:fldChar w:fldCharType="begin"/>
      </w:r>
      <w:r w:rsidR="001D278F" w:rsidRPr="008D2EA0">
        <w:instrText xml:space="preserve"> REF _Ref330503966 \r \h </w:instrText>
      </w:r>
      <w:r w:rsidR="00F13EE6" w:rsidRPr="008D2EA0">
        <w:instrText xml:space="preserve"> \* MERGEFORMAT </w:instrText>
      </w:r>
      <w:r w:rsidR="001D278F" w:rsidRPr="008D2EA0">
        <w:fldChar w:fldCharType="separate"/>
      </w:r>
      <w:r w:rsidR="00E73FF2">
        <w:t>[2]</w:t>
      </w:r>
      <w:r w:rsidR="001D278F" w:rsidRPr="008D2EA0">
        <w:fldChar w:fldCharType="end"/>
      </w:r>
      <w:r w:rsidR="00100C51" w:rsidRPr="008D2EA0">
        <w:t>. However, the spectrum requirement for PMSE may not necessarily cover the band 1479.5-1492 MHz.</w:t>
      </w:r>
    </w:p>
    <w:p w:rsidR="00100C51" w:rsidRPr="008D2EA0" w:rsidRDefault="00100C51" w:rsidP="00510087">
      <w:pPr>
        <w:pStyle w:val="Heading3"/>
      </w:pPr>
      <w:bookmarkStart w:id="96" w:name="_Toc311197434"/>
      <w:bookmarkStart w:id="97" w:name="_Toc349039268"/>
      <w:r w:rsidRPr="008D2EA0">
        <w:t>Broadband PPDR for temporary and local use: compatibility with the current regulatory framework</w:t>
      </w:r>
      <w:bookmarkEnd w:id="96"/>
      <w:bookmarkEnd w:id="97"/>
    </w:p>
    <w:p w:rsidR="00100C51" w:rsidRPr="008D2EA0" w:rsidRDefault="00100C51" w:rsidP="00100C51">
      <w:pPr>
        <w:pStyle w:val="ECCParagraph"/>
      </w:pPr>
      <w:r w:rsidRPr="008D2EA0">
        <w:t>As a mobile system, PPDR will operate under the Mobile Service allocation and is therefore compatible with Article 5 of Radio Regulations where the band 1452-1492 MHz is allocated to the Mobile Service on a co-primary basis.</w:t>
      </w:r>
    </w:p>
    <w:p w:rsidR="00BC050E" w:rsidRPr="008D2EA0" w:rsidRDefault="00100C51" w:rsidP="00100C51">
      <w:pPr>
        <w:pStyle w:val="ECCParagraph"/>
      </w:pPr>
      <w:r w:rsidRPr="008D2EA0">
        <w:t>The adoption of a band plan based on 5 MHz blocks for the introduction of technologies supporting the delivery of mobile broadband services in 1452-1492 MHz may stay compatible with the existing Maastricht special arrangement (MA02revCO07)</w:t>
      </w:r>
      <w:r w:rsidR="001D278F" w:rsidRPr="008D2EA0">
        <w:t xml:space="preserve"> </w:t>
      </w:r>
      <w:r w:rsidR="001D278F" w:rsidRPr="008D2EA0">
        <w:fldChar w:fldCharType="begin"/>
      </w:r>
      <w:r w:rsidR="001D278F" w:rsidRPr="008D2EA0">
        <w:instrText xml:space="preserve"> REF _Ref330503918 \r \h </w:instrText>
      </w:r>
      <w:r w:rsidR="001D278F" w:rsidRPr="008D2EA0">
        <w:fldChar w:fldCharType="separate"/>
      </w:r>
      <w:r w:rsidR="00E73FF2">
        <w:t>[1]</w:t>
      </w:r>
      <w:r w:rsidR="001D278F" w:rsidRPr="008D2EA0">
        <w:fldChar w:fldCharType="end"/>
      </w:r>
      <w:r w:rsidRPr="008D2EA0">
        <w:t>.</w:t>
      </w:r>
    </w:p>
    <w:p w:rsidR="00100C51" w:rsidRPr="008D2EA0" w:rsidRDefault="00100C51" w:rsidP="00BC050E">
      <w:pPr>
        <w:pStyle w:val="ECCParagraph"/>
        <w:keepNext/>
      </w:pPr>
      <w:r w:rsidRPr="008D2EA0">
        <w:rPr>
          <w:rFonts w:cs="Arial"/>
          <w:szCs w:val="20"/>
        </w:rPr>
        <w:t>The issue of compatibility with MA02revCO07 is summed up in the table below:</w:t>
      </w:r>
    </w:p>
    <w:p w:rsidR="00100C51" w:rsidRPr="008D2EA0" w:rsidRDefault="00100C51" w:rsidP="00F21C76">
      <w:pPr>
        <w:pStyle w:val="ECCTabletitle"/>
      </w:pPr>
      <w:r w:rsidRPr="008D2EA0">
        <w:t>Criterion 1 – Broadband PPDR</w:t>
      </w:r>
    </w:p>
    <w:tbl>
      <w:tblPr>
        <w:tblW w:w="9497" w:type="dxa"/>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2"/>
        <w:gridCol w:w="5245"/>
      </w:tblGrid>
      <w:tr w:rsidR="00100C51" w:rsidRPr="008D2EA0" w:rsidTr="000D55A2">
        <w:trPr>
          <w:tblHeader/>
        </w:trPr>
        <w:tc>
          <w:tcPr>
            <w:tcW w:w="4252" w:type="dxa"/>
            <w:tcBorders>
              <w:right w:val="single" w:sz="8" w:space="0" w:color="FFFFFF"/>
            </w:tcBorders>
            <w:shd w:val="clear" w:color="auto" w:fill="D2232A"/>
            <w:vAlign w:val="center"/>
          </w:tcPr>
          <w:p w:rsidR="00100C51" w:rsidRPr="008D2EA0" w:rsidRDefault="00100C51" w:rsidP="00BC050E">
            <w:pPr>
              <w:keepNext/>
              <w:spacing w:line="288" w:lineRule="auto"/>
              <w:jc w:val="center"/>
              <w:rPr>
                <w:b/>
                <w:color w:val="FFFFFF"/>
                <w:lang w:val="en-GB"/>
              </w:rPr>
            </w:pPr>
            <w:r w:rsidRPr="008D2EA0">
              <w:rPr>
                <w:b/>
                <w:color w:val="FFFFFF"/>
                <w:lang w:val="en-GB"/>
              </w:rPr>
              <w:t>Compatibility with MA02revCO07</w:t>
            </w:r>
          </w:p>
        </w:tc>
        <w:tc>
          <w:tcPr>
            <w:tcW w:w="5245" w:type="dxa"/>
            <w:tcBorders>
              <w:left w:val="single" w:sz="8" w:space="0" w:color="FFFFFF"/>
              <w:right w:val="single" w:sz="8" w:space="0" w:color="FFFFFF"/>
            </w:tcBorders>
            <w:shd w:val="clear" w:color="auto" w:fill="D2232A"/>
            <w:vAlign w:val="center"/>
          </w:tcPr>
          <w:p w:rsidR="00100C51" w:rsidRPr="008D2EA0" w:rsidRDefault="00100C51" w:rsidP="00BC050E">
            <w:pPr>
              <w:keepNext/>
              <w:spacing w:line="288" w:lineRule="auto"/>
              <w:jc w:val="center"/>
              <w:rPr>
                <w:b/>
                <w:color w:val="FFFFFF"/>
                <w:lang w:val="en-GB"/>
              </w:rPr>
            </w:pPr>
            <w:r w:rsidRPr="008D2EA0">
              <w:rPr>
                <w:b/>
                <w:color w:val="FFFFFF"/>
                <w:lang w:val="en-GB"/>
              </w:rPr>
              <w:t>PPDR</w:t>
            </w:r>
          </w:p>
        </w:tc>
      </w:tr>
      <w:tr w:rsidR="00100C51" w:rsidRPr="008D2EA0" w:rsidTr="000D55A2">
        <w:tc>
          <w:tcPr>
            <w:tcW w:w="4252" w:type="dxa"/>
          </w:tcPr>
          <w:p w:rsidR="00100C51" w:rsidRPr="008D2EA0" w:rsidRDefault="00100C51" w:rsidP="000D55A2">
            <w:pPr>
              <w:rPr>
                <w:lang w:val="en-GB"/>
              </w:rPr>
            </w:pPr>
            <w:r w:rsidRPr="008D2EA0">
              <w:rPr>
                <w:lang w:val="en-GB"/>
              </w:rPr>
              <w:t>Compatibility with the current Plan</w:t>
            </w:r>
          </w:p>
        </w:tc>
        <w:tc>
          <w:tcPr>
            <w:tcW w:w="5245" w:type="dxa"/>
          </w:tcPr>
          <w:p w:rsidR="00100C51" w:rsidRPr="008D2EA0" w:rsidRDefault="00100C51" w:rsidP="000D55A2">
            <w:pPr>
              <w:rPr>
                <w:lang w:val="en-GB"/>
              </w:rPr>
            </w:pPr>
            <w:r w:rsidRPr="008D2EA0">
              <w:rPr>
                <w:lang w:val="en-GB"/>
              </w:rPr>
              <w:t>No</w:t>
            </w:r>
          </w:p>
        </w:tc>
      </w:tr>
      <w:tr w:rsidR="00100C51" w:rsidRPr="008D2EA0" w:rsidTr="000D55A2">
        <w:tc>
          <w:tcPr>
            <w:tcW w:w="4252" w:type="dxa"/>
          </w:tcPr>
          <w:p w:rsidR="00100C51" w:rsidRPr="008D2EA0" w:rsidRDefault="00100C51" w:rsidP="000D55A2">
            <w:pPr>
              <w:rPr>
                <w:lang w:val="en-GB"/>
              </w:rPr>
            </w:pPr>
            <w:r w:rsidRPr="008D2EA0">
              <w:rPr>
                <w:szCs w:val="20"/>
                <w:lang w:val="en-GB"/>
              </w:rPr>
              <w:t>Compatibility with envelope concept</w:t>
            </w:r>
          </w:p>
        </w:tc>
        <w:tc>
          <w:tcPr>
            <w:tcW w:w="5245" w:type="dxa"/>
          </w:tcPr>
          <w:p w:rsidR="00100C51" w:rsidRPr="008D2EA0" w:rsidRDefault="00100C51" w:rsidP="000D55A2">
            <w:pPr>
              <w:rPr>
                <w:szCs w:val="20"/>
                <w:lang w:val="en-GB"/>
              </w:rPr>
            </w:pPr>
            <w:r w:rsidRPr="008D2EA0">
              <w:rPr>
                <w:szCs w:val="20"/>
                <w:lang w:val="en-GB"/>
              </w:rPr>
              <w:t>Mobile Broadband in the downlink could use aggregation of 1.7 MHz contiguous channels, but it would be suboptimal and the whole 40 MHz would not be used.</w:t>
            </w:r>
          </w:p>
          <w:p w:rsidR="00100C51" w:rsidRPr="008D2EA0" w:rsidRDefault="00100C51" w:rsidP="000D55A2">
            <w:pPr>
              <w:rPr>
                <w:szCs w:val="20"/>
                <w:lang w:val="en-GB"/>
              </w:rPr>
            </w:pPr>
          </w:p>
        </w:tc>
      </w:tr>
      <w:tr w:rsidR="00100C51" w:rsidRPr="008D2EA0" w:rsidTr="000D55A2">
        <w:tc>
          <w:tcPr>
            <w:tcW w:w="4252" w:type="dxa"/>
          </w:tcPr>
          <w:p w:rsidR="00100C51" w:rsidRPr="008D2EA0" w:rsidRDefault="00100C51" w:rsidP="000D55A2">
            <w:pPr>
              <w:rPr>
                <w:lang w:val="en-GB"/>
              </w:rPr>
            </w:pPr>
            <w:r w:rsidRPr="008D2EA0">
              <w:rPr>
                <w:lang w:val="en-GB"/>
              </w:rPr>
              <w:t>MA02 as a tool for cross-border coordination</w:t>
            </w:r>
          </w:p>
        </w:tc>
        <w:tc>
          <w:tcPr>
            <w:tcW w:w="5245" w:type="dxa"/>
          </w:tcPr>
          <w:p w:rsidR="00100C51" w:rsidRPr="008D2EA0" w:rsidRDefault="00100C51" w:rsidP="000D55A2">
            <w:pPr>
              <w:rPr>
                <w:szCs w:val="20"/>
                <w:lang w:val="en-GB"/>
              </w:rPr>
            </w:pPr>
            <w:r w:rsidRPr="008D2EA0">
              <w:rPr>
                <w:szCs w:val="20"/>
                <w:lang w:val="en-GB"/>
              </w:rPr>
              <w:t>Need to develop procedure for mobile transmitters</w:t>
            </w:r>
          </w:p>
          <w:p w:rsidR="00100C51" w:rsidRPr="008D2EA0" w:rsidRDefault="00100C51" w:rsidP="000D55A2">
            <w:pPr>
              <w:rPr>
                <w:sz w:val="22"/>
                <w:lang w:val="en-GB"/>
              </w:rPr>
            </w:pPr>
          </w:p>
        </w:tc>
      </w:tr>
    </w:tbl>
    <w:p w:rsidR="00100C51" w:rsidRPr="008D2EA0" w:rsidRDefault="00100C51" w:rsidP="00100C51">
      <w:pPr>
        <w:rPr>
          <w:lang w:val="en-GB"/>
        </w:rPr>
      </w:pPr>
    </w:p>
    <w:p w:rsidR="00100C51" w:rsidRPr="008D2EA0" w:rsidRDefault="0080413A" w:rsidP="00100C51">
      <w:pPr>
        <w:pStyle w:val="ECCParagraph"/>
      </w:pPr>
      <w:r w:rsidRPr="008D2EA0">
        <w:t xml:space="preserve">The ECC/DEC/(03)02 </w:t>
      </w:r>
      <w:r w:rsidR="00100C51" w:rsidRPr="008D2EA0">
        <w:t xml:space="preserve">designates the frequency band 1479.5-1492 MHz for use by satellite digital audio broadcasting systems. Thus PPDR is not compatible with </w:t>
      </w:r>
      <w:r w:rsidRPr="008D2EA0">
        <w:t xml:space="preserve">the </w:t>
      </w:r>
      <w:r w:rsidR="00100C51" w:rsidRPr="008D2EA0">
        <w:t>ECC</w:t>
      </w:r>
      <w:r w:rsidRPr="008D2EA0">
        <w:t>/</w:t>
      </w:r>
      <w:r w:rsidR="00100C51" w:rsidRPr="008D2EA0">
        <w:t>DEC</w:t>
      </w:r>
      <w:r w:rsidRPr="008D2EA0">
        <w:t>/</w:t>
      </w:r>
      <w:r w:rsidR="00100C51" w:rsidRPr="008D2EA0">
        <w:t>(03)02</w:t>
      </w:r>
      <w:r w:rsidR="001D278F" w:rsidRPr="008D2EA0">
        <w:t xml:space="preserve"> </w:t>
      </w:r>
      <w:r w:rsidR="001D278F" w:rsidRPr="008D2EA0">
        <w:fldChar w:fldCharType="begin"/>
      </w:r>
      <w:r w:rsidR="001D278F" w:rsidRPr="008D2EA0">
        <w:instrText xml:space="preserve"> REF _Ref330503966 \r \h </w:instrText>
      </w:r>
      <w:r w:rsidR="00F13EE6" w:rsidRPr="008D2EA0">
        <w:instrText xml:space="preserve"> \* MERGEFORMAT </w:instrText>
      </w:r>
      <w:r w:rsidR="001D278F" w:rsidRPr="008D2EA0">
        <w:fldChar w:fldCharType="separate"/>
      </w:r>
      <w:r w:rsidR="00E73FF2">
        <w:t>[2]</w:t>
      </w:r>
      <w:r w:rsidR="001D278F" w:rsidRPr="008D2EA0">
        <w:fldChar w:fldCharType="end"/>
      </w:r>
      <w:r w:rsidR="00100C51" w:rsidRPr="008D2EA0">
        <w:t>. However, the spectrum requirement for PPDR may not necessarily cover the band 1479.5-1492 MHz.</w:t>
      </w:r>
    </w:p>
    <w:p w:rsidR="00100C51" w:rsidRPr="008D2EA0" w:rsidRDefault="00100C51" w:rsidP="00510087">
      <w:pPr>
        <w:pStyle w:val="Heading3"/>
      </w:pPr>
      <w:bookmarkStart w:id="98" w:name="_Toc311101365"/>
      <w:bookmarkStart w:id="99" w:name="_Toc349039269"/>
      <w:r w:rsidRPr="008D2EA0">
        <w:t>BDA2GC: compatibility with the current regulatory framework</w:t>
      </w:r>
      <w:bookmarkEnd w:id="98"/>
      <w:bookmarkEnd w:id="99"/>
    </w:p>
    <w:p w:rsidR="00100C51" w:rsidRPr="008D2EA0" w:rsidRDefault="00100C51" w:rsidP="00100C51">
      <w:pPr>
        <w:pStyle w:val="ECCParagraph"/>
        <w:rPr>
          <w:rFonts w:cs="Arial"/>
          <w:szCs w:val="20"/>
          <w:lang w:eastAsia="fr-FR"/>
        </w:rPr>
      </w:pPr>
      <w:r w:rsidRPr="008D2EA0">
        <w:rPr>
          <w:rFonts w:cs="Arial"/>
          <w:szCs w:val="20"/>
          <w:lang w:eastAsia="fr-FR"/>
        </w:rPr>
        <w:t>A ground station (base station) for a Broadband DA2GC system has to be considered as an “aeronautical station” according to provision No. 1.81 of ITU RR</w:t>
      </w:r>
      <w:r w:rsidR="00596FA6" w:rsidRPr="008D2EA0">
        <w:rPr>
          <w:rFonts w:cs="Arial"/>
          <w:szCs w:val="20"/>
          <w:lang w:eastAsia="fr-FR"/>
        </w:rPr>
        <w:t xml:space="preserve"> </w:t>
      </w:r>
      <w:r w:rsidR="00596FA6" w:rsidRPr="008D2EA0">
        <w:rPr>
          <w:rFonts w:cs="Arial"/>
          <w:szCs w:val="20"/>
          <w:lang w:eastAsia="fr-FR"/>
        </w:rPr>
        <w:fldChar w:fldCharType="begin"/>
      </w:r>
      <w:r w:rsidR="00596FA6" w:rsidRPr="008D2EA0">
        <w:rPr>
          <w:rFonts w:cs="Arial"/>
          <w:szCs w:val="20"/>
          <w:lang w:eastAsia="fr-FR"/>
        </w:rPr>
        <w:instrText xml:space="preserve"> REF _Ref332810663 \r \h </w:instrText>
      </w:r>
      <w:r w:rsidR="00596FA6" w:rsidRPr="008D2EA0">
        <w:rPr>
          <w:rFonts w:cs="Arial"/>
          <w:szCs w:val="20"/>
          <w:lang w:eastAsia="fr-FR"/>
        </w:rPr>
      </w:r>
      <w:r w:rsidR="00596FA6" w:rsidRPr="008D2EA0">
        <w:rPr>
          <w:rFonts w:cs="Arial"/>
          <w:szCs w:val="20"/>
          <w:lang w:eastAsia="fr-FR"/>
        </w:rPr>
        <w:fldChar w:fldCharType="separate"/>
      </w:r>
      <w:r w:rsidR="00E73FF2">
        <w:rPr>
          <w:rFonts w:cs="Arial"/>
          <w:szCs w:val="20"/>
          <w:lang w:eastAsia="fr-FR"/>
        </w:rPr>
        <w:t>[4]</w:t>
      </w:r>
      <w:r w:rsidR="00596FA6" w:rsidRPr="008D2EA0">
        <w:rPr>
          <w:rFonts w:cs="Arial"/>
          <w:szCs w:val="20"/>
          <w:lang w:eastAsia="fr-FR"/>
        </w:rPr>
        <w:fldChar w:fldCharType="end"/>
      </w:r>
      <w:r w:rsidRPr="008D2EA0">
        <w:rPr>
          <w:rFonts w:cs="Arial"/>
          <w:szCs w:val="20"/>
          <w:lang w:eastAsia="fr-FR"/>
        </w:rPr>
        <w:t xml:space="preserve">. Therefore, BDA2GC is to be understood as aeronautical mobile service. As the band 1452-1492 MHz is currently allocated to the Mobile Service except aeronautical mobile in Region 1, BDA2GC is not compliant with current allocations in Article 5 of the Radio Regulations. </w:t>
      </w:r>
    </w:p>
    <w:p w:rsidR="00100C51" w:rsidRPr="008D2EA0" w:rsidRDefault="00100C51" w:rsidP="00E60485">
      <w:pPr>
        <w:pStyle w:val="ECCParagraph"/>
        <w:keepNext/>
        <w:rPr>
          <w:rFonts w:cs="Arial"/>
          <w:szCs w:val="20"/>
        </w:rPr>
      </w:pPr>
      <w:r w:rsidRPr="008D2EA0">
        <w:rPr>
          <w:rFonts w:cs="Arial"/>
          <w:szCs w:val="20"/>
        </w:rPr>
        <w:t xml:space="preserve">The issue of compatibility with MA02revCO07 </w:t>
      </w:r>
      <w:r w:rsidR="001D278F" w:rsidRPr="008D2EA0">
        <w:rPr>
          <w:rFonts w:cs="Arial"/>
          <w:szCs w:val="20"/>
        </w:rPr>
        <w:fldChar w:fldCharType="begin"/>
      </w:r>
      <w:r w:rsidR="001D278F" w:rsidRPr="008D2EA0">
        <w:rPr>
          <w:rFonts w:cs="Arial"/>
          <w:szCs w:val="20"/>
        </w:rPr>
        <w:instrText xml:space="preserve"> REF _Ref330503918 \r \h </w:instrText>
      </w:r>
      <w:r w:rsidR="001D278F" w:rsidRPr="008D2EA0">
        <w:rPr>
          <w:rFonts w:cs="Arial"/>
          <w:szCs w:val="20"/>
        </w:rPr>
      </w:r>
      <w:r w:rsidR="001D278F" w:rsidRPr="008D2EA0">
        <w:rPr>
          <w:rFonts w:cs="Arial"/>
          <w:szCs w:val="20"/>
        </w:rPr>
        <w:fldChar w:fldCharType="separate"/>
      </w:r>
      <w:r w:rsidR="00E73FF2">
        <w:rPr>
          <w:rFonts w:cs="Arial"/>
          <w:szCs w:val="20"/>
        </w:rPr>
        <w:t>[1]</w:t>
      </w:r>
      <w:r w:rsidR="001D278F" w:rsidRPr="008D2EA0">
        <w:rPr>
          <w:rFonts w:cs="Arial"/>
          <w:szCs w:val="20"/>
        </w:rPr>
        <w:fldChar w:fldCharType="end"/>
      </w:r>
      <w:r w:rsidR="001D278F" w:rsidRPr="008D2EA0">
        <w:rPr>
          <w:rFonts w:cs="Arial"/>
          <w:szCs w:val="20"/>
        </w:rPr>
        <w:t xml:space="preserve"> </w:t>
      </w:r>
      <w:r w:rsidRPr="008D2EA0">
        <w:rPr>
          <w:rFonts w:cs="Arial"/>
          <w:szCs w:val="20"/>
        </w:rPr>
        <w:t>is summed up in the table below:</w:t>
      </w:r>
    </w:p>
    <w:p w:rsidR="00100C51" w:rsidRPr="008D2EA0" w:rsidRDefault="00100C51" w:rsidP="00F21C76">
      <w:pPr>
        <w:pStyle w:val="ECCTabletitle"/>
      </w:pPr>
      <w:r w:rsidRPr="008D2EA0">
        <w:t>Criterion 1 – BDA2GC</w:t>
      </w:r>
    </w:p>
    <w:tbl>
      <w:tblPr>
        <w:tblW w:w="9497" w:type="dxa"/>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2"/>
        <w:gridCol w:w="5245"/>
      </w:tblGrid>
      <w:tr w:rsidR="00100C51" w:rsidRPr="008D2EA0" w:rsidTr="000D55A2">
        <w:trPr>
          <w:tblHeader/>
        </w:trPr>
        <w:tc>
          <w:tcPr>
            <w:tcW w:w="4252" w:type="dxa"/>
            <w:tcBorders>
              <w:right w:val="single" w:sz="8" w:space="0" w:color="FFFFFF"/>
            </w:tcBorders>
            <w:shd w:val="clear" w:color="auto" w:fill="D2232A"/>
            <w:vAlign w:val="center"/>
          </w:tcPr>
          <w:p w:rsidR="00100C51" w:rsidRPr="008D2EA0" w:rsidRDefault="00100C51" w:rsidP="000D55A2">
            <w:pPr>
              <w:spacing w:line="288" w:lineRule="auto"/>
              <w:jc w:val="center"/>
              <w:rPr>
                <w:b/>
                <w:color w:val="FFFFFF"/>
                <w:lang w:val="en-GB"/>
              </w:rPr>
            </w:pPr>
            <w:r w:rsidRPr="008D2EA0">
              <w:rPr>
                <w:b/>
                <w:color w:val="FFFFFF"/>
                <w:lang w:val="en-GB"/>
              </w:rPr>
              <w:t>Compatibility with MA02revCO07</w:t>
            </w:r>
          </w:p>
        </w:tc>
        <w:tc>
          <w:tcPr>
            <w:tcW w:w="5245" w:type="dxa"/>
            <w:tcBorders>
              <w:left w:val="single" w:sz="8" w:space="0" w:color="FFFFFF"/>
              <w:right w:val="single" w:sz="8" w:space="0" w:color="FFFFFF"/>
            </w:tcBorders>
            <w:shd w:val="clear" w:color="auto" w:fill="D2232A"/>
            <w:vAlign w:val="center"/>
          </w:tcPr>
          <w:p w:rsidR="00100C51" w:rsidRPr="008D2EA0" w:rsidRDefault="00100C51" w:rsidP="000D55A2">
            <w:pPr>
              <w:spacing w:line="288" w:lineRule="auto"/>
              <w:jc w:val="center"/>
              <w:rPr>
                <w:b/>
                <w:color w:val="FFFFFF"/>
                <w:lang w:val="en-GB"/>
              </w:rPr>
            </w:pPr>
            <w:r w:rsidRPr="008D2EA0">
              <w:rPr>
                <w:b/>
                <w:color w:val="FFFFFF"/>
                <w:lang w:val="en-GB"/>
              </w:rPr>
              <w:t>BDA2GC</w:t>
            </w:r>
          </w:p>
        </w:tc>
      </w:tr>
      <w:tr w:rsidR="00100C51" w:rsidRPr="008D2EA0" w:rsidTr="000D55A2">
        <w:tc>
          <w:tcPr>
            <w:tcW w:w="4252" w:type="dxa"/>
          </w:tcPr>
          <w:p w:rsidR="00100C51" w:rsidRPr="008D2EA0" w:rsidRDefault="00100C51" w:rsidP="000D55A2">
            <w:pPr>
              <w:rPr>
                <w:lang w:val="en-GB"/>
              </w:rPr>
            </w:pPr>
            <w:r w:rsidRPr="008D2EA0">
              <w:rPr>
                <w:lang w:val="en-GB"/>
              </w:rPr>
              <w:t>Compatibility with the current Plan</w:t>
            </w:r>
          </w:p>
        </w:tc>
        <w:tc>
          <w:tcPr>
            <w:tcW w:w="5245" w:type="dxa"/>
          </w:tcPr>
          <w:p w:rsidR="00100C51" w:rsidRPr="008D2EA0" w:rsidRDefault="00100C51" w:rsidP="000D55A2">
            <w:pPr>
              <w:rPr>
                <w:lang w:val="en-GB"/>
              </w:rPr>
            </w:pPr>
            <w:r w:rsidRPr="008D2EA0">
              <w:rPr>
                <w:lang w:val="en-GB"/>
              </w:rPr>
              <w:t>No</w:t>
            </w:r>
          </w:p>
        </w:tc>
      </w:tr>
      <w:tr w:rsidR="00100C51" w:rsidRPr="008D2EA0" w:rsidTr="000D55A2">
        <w:tc>
          <w:tcPr>
            <w:tcW w:w="4252" w:type="dxa"/>
          </w:tcPr>
          <w:p w:rsidR="00100C51" w:rsidRPr="008D2EA0" w:rsidRDefault="00100C51" w:rsidP="000D55A2">
            <w:pPr>
              <w:rPr>
                <w:lang w:val="en-GB"/>
              </w:rPr>
            </w:pPr>
            <w:r w:rsidRPr="008D2EA0">
              <w:rPr>
                <w:szCs w:val="20"/>
                <w:lang w:val="en-GB"/>
              </w:rPr>
              <w:t>Compatibility with envelope concept</w:t>
            </w:r>
          </w:p>
        </w:tc>
        <w:tc>
          <w:tcPr>
            <w:tcW w:w="5245" w:type="dxa"/>
          </w:tcPr>
          <w:p w:rsidR="00100C51" w:rsidRPr="008D2EA0" w:rsidRDefault="0080413A" w:rsidP="000D55A2">
            <w:pPr>
              <w:rPr>
                <w:szCs w:val="20"/>
                <w:lang w:val="en-GB"/>
              </w:rPr>
            </w:pPr>
            <w:r w:rsidRPr="008D2EA0">
              <w:rPr>
                <w:szCs w:val="20"/>
                <w:lang w:val="en-GB"/>
              </w:rPr>
              <w:t>C</w:t>
            </w:r>
            <w:r w:rsidR="00100C51" w:rsidRPr="008D2EA0">
              <w:rPr>
                <w:szCs w:val="20"/>
                <w:lang w:val="en-GB"/>
              </w:rPr>
              <w:t>ould use aggregation of 1.7 MHz contiguous channels in the forward link (ground to air), but it would be suboptimal and the whole 40 MHz would not be used.</w:t>
            </w:r>
          </w:p>
          <w:p w:rsidR="00100C51" w:rsidRPr="008D2EA0" w:rsidRDefault="00100C51" w:rsidP="000D55A2">
            <w:pPr>
              <w:rPr>
                <w:szCs w:val="20"/>
                <w:lang w:val="en-GB"/>
              </w:rPr>
            </w:pPr>
          </w:p>
          <w:p w:rsidR="00100C51" w:rsidRPr="008D2EA0" w:rsidRDefault="00100C51" w:rsidP="000D55A2">
            <w:pPr>
              <w:rPr>
                <w:szCs w:val="20"/>
                <w:lang w:val="en-GB"/>
              </w:rPr>
            </w:pPr>
            <w:r w:rsidRPr="008D2EA0">
              <w:rPr>
                <w:szCs w:val="20"/>
                <w:lang w:val="en-GB"/>
              </w:rPr>
              <w:t>For the mobile transmitters (aircraft) appropriate procedure may need to be defined through mutual agreement.</w:t>
            </w:r>
          </w:p>
          <w:p w:rsidR="00100C51" w:rsidRPr="008D2EA0" w:rsidRDefault="00100C51" w:rsidP="000D55A2">
            <w:pPr>
              <w:rPr>
                <w:szCs w:val="20"/>
                <w:lang w:val="en-GB"/>
              </w:rPr>
            </w:pPr>
          </w:p>
        </w:tc>
      </w:tr>
      <w:tr w:rsidR="00100C51" w:rsidRPr="008D2EA0" w:rsidTr="000D55A2">
        <w:tc>
          <w:tcPr>
            <w:tcW w:w="4252" w:type="dxa"/>
          </w:tcPr>
          <w:p w:rsidR="00100C51" w:rsidRPr="008D2EA0" w:rsidRDefault="00100C51" w:rsidP="000D55A2">
            <w:pPr>
              <w:rPr>
                <w:lang w:val="en-GB"/>
              </w:rPr>
            </w:pPr>
            <w:r w:rsidRPr="008D2EA0">
              <w:rPr>
                <w:lang w:val="en-GB"/>
              </w:rPr>
              <w:lastRenderedPageBreak/>
              <w:t>MA02 as a tool for cross-border coordination</w:t>
            </w:r>
          </w:p>
        </w:tc>
        <w:tc>
          <w:tcPr>
            <w:tcW w:w="5245" w:type="dxa"/>
          </w:tcPr>
          <w:p w:rsidR="00100C51" w:rsidRPr="008D2EA0" w:rsidRDefault="00100C51" w:rsidP="000D55A2">
            <w:pPr>
              <w:rPr>
                <w:sz w:val="22"/>
                <w:lang w:val="en-GB"/>
              </w:rPr>
            </w:pPr>
            <w:r w:rsidRPr="008D2EA0">
              <w:rPr>
                <w:szCs w:val="20"/>
                <w:lang w:val="en-GB"/>
              </w:rPr>
              <w:t>Not applicable, CEPT wide service</w:t>
            </w:r>
          </w:p>
        </w:tc>
      </w:tr>
    </w:tbl>
    <w:p w:rsidR="00100C51" w:rsidRPr="008D2EA0" w:rsidRDefault="00100C51" w:rsidP="00100C51">
      <w:pPr>
        <w:pStyle w:val="ECCParagraph"/>
        <w:rPr>
          <w:rFonts w:cs="Arial"/>
          <w:color w:val="000000"/>
          <w:szCs w:val="20"/>
          <w:lang w:eastAsia="fr-FR"/>
        </w:rPr>
      </w:pPr>
    </w:p>
    <w:p w:rsidR="00100C51" w:rsidRPr="008D2EA0" w:rsidRDefault="00100C51" w:rsidP="00100C51">
      <w:pPr>
        <w:pStyle w:val="ECCParagraph"/>
        <w:rPr>
          <w:rFonts w:cs="Arial"/>
          <w:szCs w:val="20"/>
        </w:rPr>
      </w:pPr>
      <w:r w:rsidRPr="008D2EA0">
        <w:rPr>
          <w:rFonts w:cs="Arial"/>
          <w:color w:val="000000"/>
          <w:szCs w:val="20"/>
          <w:lang w:eastAsia="fr-FR"/>
        </w:rPr>
        <w:t xml:space="preserve">As </w:t>
      </w:r>
      <w:r w:rsidR="0080413A" w:rsidRPr="008D2EA0">
        <w:rPr>
          <w:rFonts w:cs="Arial"/>
          <w:color w:val="000000"/>
          <w:szCs w:val="20"/>
          <w:lang w:eastAsia="fr-FR"/>
        </w:rPr>
        <w:t xml:space="preserve">the </w:t>
      </w:r>
      <w:r w:rsidRPr="008D2EA0">
        <w:rPr>
          <w:rFonts w:cs="Arial"/>
          <w:color w:val="000000"/>
          <w:szCs w:val="20"/>
          <w:lang w:eastAsia="fr-FR"/>
        </w:rPr>
        <w:t>ECC</w:t>
      </w:r>
      <w:r w:rsidR="0080413A" w:rsidRPr="008D2EA0">
        <w:rPr>
          <w:rFonts w:cs="Arial"/>
          <w:color w:val="000000"/>
          <w:szCs w:val="20"/>
          <w:lang w:eastAsia="fr-FR"/>
        </w:rPr>
        <w:t>/</w:t>
      </w:r>
      <w:r w:rsidRPr="008D2EA0">
        <w:rPr>
          <w:rFonts w:cs="Arial"/>
          <w:color w:val="000000"/>
          <w:szCs w:val="20"/>
          <w:lang w:eastAsia="fr-FR"/>
        </w:rPr>
        <w:t>DEC</w:t>
      </w:r>
      <w:r w:rsidR="0080413A" w:rsidRPr="008D2EA0">
        <w:rPr>
          <w:rFonts w:cs="Arial"/>
          <w:color w:val="000000"/>
          <w:szCs w:val="20"/>
          <w:lang w:eastAsia="fr-FR"/>
        </w:rPr>
        <w:t>/</w:t>
      </w:r>
      <w:r w:rsidRPr="008D2EA0">
        <w:rPr>
          <w:rFonts w:cs="Arial"/>
          <w:color w:val="000000"/>
          <w:szCs w:val="20"/>
          <w:lang w:eastAsia="fr-FR"/>
        </w:rPr>
        <w:t>(03)02 designates the frequency band 1479.5-1492 MHz for use by satellite digital audio broadcasting systems, BDA2GC is not compatible with this Decision</w:t>
      </w:r>
      <w:r w:rsidR="001D278F" w:rsidRPr="008D2EA0">
        <w:rPr>
          <w:rFonts w:cs="Arial"/>
          <w:color w:val="000000"/>
          <w:szCs w:val="20"/>
          <w:lang w:eastAsia="fr-FR"/>
        </w:rPr>
        <w:t xml:space="preserve"> </w:t>
      </w:r>
      <w:r w:rsidR="001D278F" w:rsidRPr="008D2EA0">
        <w:rPr>
          <w:rFonts w:cs="Arial"/>
          <w:color w:val="000000"/>
          <w:szCs w:val="20"/>
          <w:lang w:eastAsia="fr-FR"/>
        </w:rPr>
        <w:fldChar w:fldCharType="begin"/>
      </w:r>
      <w:r w:rsidR="001D278F" w:rsidRPr="008D2EA0">
        <w:rPr>
          <w:rFonts w:cs="Arial"/>
          <w:color w:val="000000"/>
          <w:szCs w:val="20"/>
          <w:lang w:eastAsia="fr-FR"/>
        </w:rPr>
        <w:instrText xml:space="preserve"> REF _Ref330503966 \r \h </w:instrText>
      </w:r>
      <w:r w:rsidR="005B1DE8" w:rsidRPr="008D2EA0">
        <w:rPr>
          <w:rFonts w:cs="Arial"/>
          <w:color w:val="000000"/>
          <w:szCs w:val="20"/>
          <w:lang w:eastAsia="fr-FR"/>
        </w:rPr>
        <w:instrText xml:space="preserve"> \* MERGEFORMAT </w:instrText>
      </w:r>
      <w:r w:rsidR="001D278F" w:rsidRPr="008D2EA0">
        <w:rPr>
          <w:rFonts w:cs="Arial"/>
          <w:color w:val="000000"/>
          <w:szCs w:val="20"/>
          <w:lang w:eastAsia="fr-FR"/>
        </w:rPr>
      </w:r>
      <w:r w:rsidR="001D278F" w:rsidRPr="008D2EA0">
        <w:rPr>
          <w:rFonts w:cs="Arial"/>
          <w:color w:val="000000"/>
          <w:szCs w:val="20"/>
          <w:lang w:eastAsia="fr-FR"/>
        </w:rPr>
        <w:fldChar w:fldCharType="separate"/>
      </w:r>
      <w:r w:rsidR="00E73FF2">
        <w:rPr>
          <w:rFonts w:cs="Arial"/>
          <w:color w:val="000000"/>
          <w:szCs w:val="20"/>
          <w:lang w:eastAsia="fr-FR"/>
        </w:rPr>
        <w:t>[2]</w:t>
      </w:r>
      <w:r w:rsidR="001D278F" w:rsidRPr="008D2EA0">
        <w:rPr>
          <w:rFonts w:cs="Arial"/>
          <w:color w:val="000000"/>
          <w:szCs w:val="20"/>
          <w:lang w:eastAsia="fr-FR"/>
        </w:rPr>
        <w:fldChar w:fldCharType="end"/>
      </w:r>
      <w:r w:rsidRPr="008D2EA0">
        <w:rPr>
          <w:rFonts w:cs="Arial"/>
          <w:color w:val="000000"/>
          <w:szCs w:val="20"/>
          <w:lang w:eastAsia="fr-FR"/>
        </w:rPr>
        <w:t>.</w:t>
      </w:r>
      <w:r w:rsidRPr="008D2EA0">
        <w:t xml:space="preserve"> However, the spectrum requirement for BDA2GC may not necessarily cover the band 1479.5-1492 MHz.</w:t>
      </w:r>
    </w:p>
    <w:p w:rsidR="00100C51" w:rsidRPr="008D2EA0" w:rsidRDefault="00100C51" w:rsidP="00100C51">
      <w:pPr>
        <w:pStyle w:val="Heading2"/>
        <w:rPr>
          <w:lang w:val="en-GB"/>
        </w:rPr>
      </w:pPr>
      <w:bookmarkStart w:id="100" w:name="_Toc349039270"/>
      <w:r w:rsidRPr="008D2EA0">
        <w:rPr>
          <w:lang w:val="en-GB"/>
        </w:rPr>
        <w:t>Criterion 2</w:t>
      </w:r>
      <w:bookmarkEnd w:id="100"/>
    </w:p>
    <w:p w:rsidR="00100C51" w:rsidRPr="008D2EA0" w:rsidRDefault="00100C51" w:rsidP="00100C51">
      <w:pPr>
        <w:pStyle w:val="ECCParagraph"/>
        <w:rPr>
          <w:rFonts w:cs="Arial"/>
          <w:szCs w:val="20"/>
        </w:rPr>
      </w:pPr>
      <w:r w:rsidRPr="008D2EA0">
        <w:rPr>
          <w:rFonts w:cs="Arial"/>
          <w:szCs w:val="20"/>
        </w:rPr>
        <w:t>This criterion assesses the possibility for an application to share with another application. In this report it was considered that this would be best evaluated for each regulatory option and not individually a</w:t>
      </w:r>
      <w:r w:rsidR="009C5FD6" w:rsidRPr="008D2EA0">
        <w:rPr>
          <w:rFonts w:cs="Arial"/>
          <w:szCs w:val="20"/>
        </w:rPr>
        <w:t>t</w:t>
      </w:r>
      <w:r w:rsidRPr="008D2EA0">
        <w:rPr>
          <w:rFonts w:cs="Arial"/>
          <w:szCs w:val="20"/>
        </w:rPr>
        <w:t xml:space="preserve"> the application level. There is no reason to award points to two applications that could share the spectrum if there is no regulatory option that would actually allow the inclusion of these two applications. In section 6 of this report a methodology is proposed to take into account that some applications included within an given regulatory option may share the spectrum whether through band segmentation or through flexibility at national level.</w:t>
      </w:r>
    </w:p>
    <w:p w:rsidR="00100C51" w:rsidRPr="008D2EA0" w:rsidRDefault="00100C51" w:rsidP="00100C51">
      <w:pPr>
        <w:pStyle w:val="Heading2"/>
        <w:rPr>
          <w:lang w:val="en-GB"/>
        </w:rPr>
      </w:pPr>
      <w:bookmarkStart w:id="101" w:name="_Toc349039271"/>
      <w:r w:rsidRPr="008D2EA0">
        <w:rPr>
          <w:lang w:val="en-GB"/>
        </w:rPr>
        <w:t>Criterion 3</w:t>
      </w:r>
      <w:bookmarkEnd w:id="101"/>
    </w:p>
    <w:p w:rsidR="00100C51" w:rsidRPr="008D2EA0" w:rsidRDefault="00100C51" w:rsidP="00E60485">
      <w:pPr>
        <w:spacing w:after="120"/>
        <w:rPr>
          <w:lang w:val="en-GB"/>
        </w:rPr>
      </w:pPr>
      <w:r w:rsidRPr="008D2EA0">
        <w:rPr>
          <w:lang w:val="en-GB"/>
        </w:rPr>
        <w:t xml:space="preserve">This criterion assesses the extent of social and economic benefits. </w:t>
      </w:r>
      <w:r w:rsidRPr="008D2EA0">
        <w:rPr>
          <w:rFonts w:cs="Arial"/>
          <w:szCs w:val="20"/>
          <w:lang w:val="en-GB"/>
        </w:rPr>
        <w:t>For this assessment it was decided to respect the following principles:</w:t>
      </w:r>
    </w:p>
    <w:p w:rsidR="00100C51" w:rsidRPr="008D2EA0" w:rsidRDefault="00100C51" w:rsidP="00290368">
      <w:pPr>
        <w:pStyle w:val="bodyChar"/>
        <w:numPr>
          <w:ilvl w:val="0"/>
          <w:numId w:val="52"/>
        </w:numPr>
        <w:spacing w:line="240" w:lineRule="auto"/>
        <w:rPr>
          <w:rFonts w:cs="Arial"/>
          <w:noProof w:val="0"/>
          <w:sz w:val="20"/>
          <w:szCs w:val="20"/>
          <w:lang w:val="en-GB"/>
        </w:rPr>
      </w:pPr>
      <w:r w:rsidRPr="008D2EA0">
        <w:rPr>
          <w:rFonts w:cs="Arial"/>
          <w:sz w:val="20"/>
          <w:szCs w:val="20"/>
          <w:lang w:val="en-GB"/>
        </w:rPr>
        <w:t>Both qualitative and/or quantitative data can be used;</w:t>
      </w:r>
    </w:p>
    <w:p w:rsidR="00100C51" w:rsidRPr="008D2EA0" w:rsidRDefault="00100C51" w:rsidP="00290368">
      <w:pPr>
        <w:pStyle w:val="bodyChar"/>
        <w:numPr>
          <w:ilvl w:val="0"/>
          <w:numId w:val="52"/>
        </w:numPr>
        <w:spacing w:line="240" w:lineRule="auto"/>
        <w:rPr>
          <w:rFonts w:cs="Arial"/>
          <w:noProof w:val="0"/>
          <w:sz w:val="20"/>
          <w:szCs w:val="20"/>
          <w:lang w:val="en-GB"/>
        </w:rPr>
      </w:pPr>
      <w:r w:rsidRPr="008D2EA0">
        <w:rPr>
          <w:rFonts w:cs="Arial"/>
          <w:sz w:val="20"/>
          <w:szCs w:val="20"/>
          <w:lang w:val="en-GB"/>
        </w:rPr>
        <w:t>The economic surplus is the quantitative measure to be used (net present value based on a 10 year period);</w:t>
      </w:r>
    </w:p>
    <w:p w:rsidR="00100C51" w:rsidRPr="008D2EA0" w:rsidRDefault="00100C51" w:rsidP="00290368">
      <w:pPr>
        <w:pStyle w:val="bodyChar"/>
        <w:numPr>
          <w:ilvl w:val="0"/>
          <w:numId w:val="52"/>
        </w:numPr>
        <w:spacing w:line="240" w:lineRule="auto"/>
        <w:rPr>
          <w:rFonts w:cs="Arial"/>
          <w:sz w:val="20"/>
          <w:szCs w:val="20"/>
          <w:lang w:val="en-GB"/>
        </w:rPr>
      </w:pPr>
      <w:r w:rsidRPr="008D2EA0">
        <w:rPr>
          <w:rFonts w:cs="Arial"/>
          <w:sz w:val="20"/>
          <w:szCs w:val="20"/>
          <w:lang w:val="en-GB"/>
        </w:rPr>
        <w:t>Transparency in the inputs and on th</w:t>
      </w:r>
      <w:r w:rsidR="00E60485">
        <w:rPr>
          <w:rFonts w:cs="Arial"/>
          <w:sz w:val="20"/>
          <w:szCs w:val="20"/>
          <w:lang w:val="en-GB"/>
        </w:rPr>
        <w:t>e methodology has to be ensured;</w:t>
      </w:r>
    </w:p>
    <w:p w:rsidR="00100C51" w:rsidRDefault="00100C51" w:rsidP="00290368">
      <w:pPr>
        <w:pStyle w:val="bodyChar"/>
        <w:numPr>
          <w:ilvl w:val="0"/>
          <w:numId w:val="52"/>
        </w:numPr>
        <w:spacing w:line="240" w:lineRule="auto"/>
        <w:rPr>
          <w:rFonts w:cs="Arial"/>
          <w:sz w:val="20"/>
          <w:szCs w:val="20"/>
          <w:lang w:val="en-GB"/>
        </w:rPr>
      </w:pPr>
      <w:r w:rsidRPr="008D2EA0">
        <w:rPr>
          <w:rFonts w:cs="Arial"/>
          <w:sz w:val="20"/>
          <w:szCs w:val="20"/>
          <w:lang w:val="en-GB"/>
        </w:rPr>
        <w:t>The benefits should be specific to the L-band</w:t>
      </w:r>
      <w:r w:rsidR="00E60485">
        <w:rPr>
          <w:rFonts w:cs="Arial"/>
          <w:sz w:val="20"/>
          <w:szCs w:val="20"/>
          <w:lang w:val="en-GB"/>
        </w:rPr>
        <w:t>.</w:t>
      </w:r>
    </w:p>
    <w:p w:rsidR="00E60485" w:rsidRPr="008D2EA0" w:rsidRDefault="00E60485" w:rsidP="00E60485">
      <w:pPr>
        <w:pStyle w:val="bodyChar"/>
        <w:tabs>
          <w:tab w:val="clear" w:pos="360"/>
        </w:tabs>
        <w:spacing w:line="240" w:lineRule="auto"/>
        <w:rPr>
          <w:rFonts w:cs="Arial"/>
          <w:sz w:val="20"/>
          <w:szCs w:val="20"/>
          <w:lang w:val="en-GB"/>
        </w:rPr>
      </w:pPr>
    </w:p>
    <w:p w:rsidR="00100C51" w:rsidRPr="008D2EA0" w:rsidRDefault="00100C51" w:rsidP="00100C51">
      <w:pPr>
        <w:pStyle w:val="bodyChar"/>
        <w:tabs>
          <w:tab w:val="clear" w:pos="360"/>
        </w:tabs>
        <w:spacing w:line="240" w:lineRule="auto"/>
        <w:ind w:left="1440"/>
        <w:rPr>
          <w:rFonts w:cs="Arial"/>
          <w:sz w:val="20"/>
          <w:szCs w:val="20"/>
          <w:lang w:val="en-GB"/>
        </w:rPr>
      </w:pPr>
    </w:p>
    <w:p w:rsidR="00100C51" w:rsidRPr="008D2EA0" w:rsidRDefault="00100C51" w:rsidP="00E60485">
      <w:pPr>
        <w:spacing w:after="120"/>
        <w:rPr>
          <w:lang w:val="en-GB"/>
        </w:rPr>
      </w:pPr>
      <w:r w:rsidRPr="008D2EA0">
        <w:rPr>
          <w:lang w:val="en-GB"/>
        </w:rPr>
        <w:t>Accordingly the assessment was subdivided in four sub</w:t>
      </w:r>
      <w:r w:rsidR="00097B38" w:rsidRPr="008D2EA0">
        <w:rPr>
          <w:lang w:val="en-GB"/>
        </w:rPr>
        <w:t>-</w:t>
      </w:r>
      <w:r w:rsidRPr="008D2EA0">
        <w:rPr>
          <w:lang w:val="en-GB"/>
        </w:rPr>
        <w:t>criteria:</w:t>
      </w:r>
    </w:p>
    <w:p w:rsidR="00100C51" w:rsidRPr="002239E6" w:rsidRDefault="00100C51" w:rsidP="002239E6">
      <w:pPr>
        <w:pStyle w:val="ListParagraph"/>
        <w:numPr>
          <w:ilvl w:val="0"/>
          <w:numId w:val="68"/>
        </w:numPr>
        <w:rPr>
          <w:lang w:val="en-GB"/>
        </w:rPr>
      </w:pPr>
      <w:r w:rsidRPr="002239E6">
        <w:rPr>
          <w:lang w:val="en-GB"/>
        </w:rPr>
        <w:t>Citizen/Consumer benefits (qualitative), more broadly this includes social benefits</w:t>
      </w:r>
      <w:r w:rsidR="00E60485" w:rsidRPr="002239E6">
        <w:rPr>
          <w:lang w:val="en-GB"/>
        </w:rPr>
        <w:t>;</w:t>
      </w:r>
      <w:r w:rsidRPr="002239E6">
        <w:rPr>
          <w:lang w:val="en-GB"/>
        </w:rPr>
        <w:t xml:space="preserve"> </w:t>
      </w:r>
    </w:p>
    <w:p w:rsidR="00100C51" w:rsidRPr="002239E6" w:rsidRDefault="00100C51" w:rsidP="002239E6">
      <w:pPr>
        <w:pStyle w:val="ListParagraph"/>
        <w:numPr>
          <w:ilvl w:val="0"/>
          <w:numId w:val="68"/>
        </w:numPr>
        <w:rPr>
          <w:lang w:val="fr-FR"/>
        </w:rPr>
      </w:pPr>
      <w:r w:rsidRPr="002239E6">
        <w:rPr>
          <w:lang w:val="fr-FR"/>
        </w:rPr>
        <w:t>Consumer surplus (quantitative), if available</w:t>
      </w:r>
      <w:r w:rsidR="00E60485" w:rsidRPr="002239E6">
        <w:rPr>
          <w:lang w:val="fr-FR"/>
        </w:rPr>
        <w:t>;</w:t>
      </w:r>
    </w:p>
    <w:p w:rsidR="00100C51" w:rsidRPr="002239E6" w:rsidRDefault="00100C51" w:rsidP="002239E6">
      <w:pPr>
        <w:pStyle w:val="ListParagraph"/>
        <w:numPr>
          <w:ilvl w:val="0"/>
          <w:numId w:val="68"/>
        </w:numPr>
        <w:rPr>
          <w:lang w:val="en-GB"/>
        </w:rPr>
      </w:pPr>
      <w:r w:rsidRPr="002239E6">
        <w:rPr>
          <w:lang w:val="en-GB"/>
        </w:rPr>
        <w:t>Producer/industry benefits (qualitative)</w:t>
      </w:r>
      <w:r w:rsidR="00E60485" w:rsidRPr="002239E6">
        <w:rPr>
          <w:lang w:val="en-GB"/>
        </w:rPr>
        <w:t>;</w:t>
      </w:r>
    </w:p>
    <w:p w:rsidR="00100C51" w:rsidRPr="002239E6" w:rsidRDefault="00100C51" w:rsidP="002239E6">
      <w:pPr>
        <w:pStyle w:val="ListParagraph"/>
        <w:numPr>
          <w:ilvl w:val="0"/>
          <w:numId w:val="68"/>
        </w:numPr>
        <w:rPr>
          <w:lang w:val="fr-FR"/>
        </w:rPr>
      </w:pPr>
      <w:r w:rsidRPr="002239E6">
        <w:rPr>
          <w:lang w:val="fr-FR"/>
        </w:rPr>
        <w:t>Producer surplus (quantitative), if available</w:t>
      </w:r>
      <w:r w:rsidR="00E60485" w:rsidRPr="002239E6">
        <w:rPr>
          <w:lang w:val="fr-FR"/>
        </w:rPr>
        <w:t>.</w:t>
      </w:r>
    </w:p>
    <w:p w:rsidR="00100C51" w:rsidRPr="002A2935" w:rsidRDefault="00100C51" w:rsidP="00100C51">
      <w:pPr>
        <w:rPr>
          <w:lang w:val="fr-FR"/>
        </w:rPr>
      </w:pPr>
    </w:p>
    <w:p w:rsidR="00100C51" w:rsidRPr="008D2EA0" w:rsidRDefault="00100C51" w:rsidP="00F21C76">
      <w:pPr>
        <w:pStyle w:val="Heading3"/>
      </w:pPr>
      <w:bookmarkStart w:id="102" w:name="_Toc349039272"/>
      <w:r w:rsidRPr="008D2EA0">
        <w:lastRenderedPageBreak/>
        <w:t>Terrestrial broadcasting</w:t>
      </w:r>
      <w:bookmarkEnd w:id="102"/>
    </w:p>
    <w:p w:rsidR="000D55A2" w:rsidRPr="008D2EA0" w:rsidRDefault="000D55A2" w:rsidP="00F21C76">
      <w:pPr>
        <w:pStyle w:val="ECCTabletitle"/>
      </w:pPr>
      <w:r w:rsidRPr="008D2EA0">
        <w:t>Criterion 3 – Terrestrial broadcasting</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44"/>
        <w:gridCol w:w="6650"/>
      </w:tblGrid>
      <w:tr w:rsidR="00100C51" w:rsidRPr="008D2EA0" w:rsidTr="000D55A2">
        <w:trPr>
          <w:tblHeader/>
        </w:trPr>
        <w:tc>
          <w:tcPr>
            <w:tcW w:w="2244" w:type="dxa"/>
            <w:tcBorders>
              <w:right w:val="single" w:sz="8" w:space="0" w:color="FFFFFF"/>
            </w:tcBorders>
            <w:shd w:val="clear" w:color="auto" w:fill="D2232A"/>
            <w:vAlign w:val="center"/>
          </w:tcPr>
          <w:p w:rsidR="00100C51" w:rsidRPr="008D2EA0" w:rsidRDefault="00100C51" w:rsidP="00E60485">
            <w:pPr>
              <w:keepNext/>
              <w:spacing w:line="288" w:lineRule="auto"/>
              <w:jc w:val="center"/>
              <w:rPr>
                <w:b/>
                <w:color w:val="FFFFFF"/>
                <w:lang w:val="en-GB"/>
              </w:rPr>
            </w:pPr>
          </w:p>
        </w:tc>
        <w:tc>
          <w:tcPr>
            <w:tcW w:w="6650" w:type="dxa"/>
            <w:tcBorders>
              <w:left w:val="single" w:sz="8" w:space="0" w:color="FFFFFF"/>
              <w:right w:val="single" w:sz="8" w:space="0" w:color="FFFFFF"/>
            </w:tcBorders>
            <w:shd w:val="clear" w:color="auto" w:fill="D2232A"/>
            <w:vAlign w:val="center"/>
          </w:tcPr>
          <w:p w:rsidR="00100C51" w:rsidRPr="008D2EA0" w:rsidRDefault="00100C51" w:rsidP="00E60485">
            <w:pPr>
              <w:keepNext/>
              <w:spacing w:line="288" w:lineRule="auto"/>
              <w:jc w:val="center"/>
              <w:rPr>
                <w:b/>
                <w:color w:val="FFFFFF"/>
                <w:lang w:val="en-GB"/>
              </w:rPr>
            </w:pPr>
            <w:r w:rsidRPr="008D2EA0">
              <w:rPr>
                <w:b/>
                <w:color w:val="FFFFFF"/>
                <w:lang w:val="en-GB"/>
              </w:rPr>
              <w:t>Terrestrial broadcasting</w:t>
            </w:r>
          </w:p>
        </w:tc>
      </w:tr>
      <w:tr w:rsidR="00100C51" w:rsidRPr="008D2EA0" w:rsidTr="000D55A2">
        <w:tc>
          <w:tcPr>
            <w:tcW w:w="2244" w:type="dxa"/>
          </w:tcPr>
          <w:p w:rsidR="00100C51" w:rsidRPr="008D2EA0" w:rsidRDefault="00100C51" w:rsidP="00E60485">
            <w:pPr>
              <w:keepNext/>
              <w:rPr>
                <w:sz w:val="22"/>
                <w:szCs w:val="22"/>
                <w:lang w:val="en-GB"/>
              </w:rPr>
            </w:pPr>
            <w:r w:rsidRPr="008D2EA0">
              <w:rPr>
                <w:lang w:val="en-GB"/>
              </w:rPr>
              <w:t>Consumer/citizen benefits</w:t>
            </w:r>
          </w:p>
        </w:tc>
        <w:tc>
          <w:tcPr>
            <w:tcW w:w="6650" w:type="dxa"/>
          </w:tcPr>
          <w:p w:rsidR="00100C51" w:rsidRPr="008D2EA0" w:rsidRDefault="00100C51" w:rsidP="00E60485">
            <w:pPr>
              <w:pStyle w:val="ECCParagraph"/>
              <w:keepNext/>
              <w:rPr>
                <w:rFonts w:cs="Arial"/>
                <w:szCs w:val="20"/>
              </w:rPr>
            </w:pPr>
            <w:r w:rsidRPr="008D2EA0">
              <w:rPr>
                <w:rFonts w:cs="Arial"/>
                <w:szCs w:val="20"/>
              </w:rPr>
              <w:t xml:space="preserve">The availability of the L-band for terrestrial radio broadcasting would allow consumers to receive digital radio in addition to </w:t>
            </w:r>
            <w:r w:rsidR="00CA51CC">
              <w:rPr>
                <w:rFonts w:cs="Arial"/>
                <w:szCs w:val="20"/>
              </w:rPr>
              <w:t>174-2</w:t>
            </w:r>
            <w:r w:rsidR="00D54CB5">
              <w:rPr>
                <w:rFonts w:cs="Arial"/>
                <w:szCs w:val="20"/>
              </w:rPr>
              <w:t>4</w:t>
            </w:r>
            <w:r w:rsidR="00CA51CC">
              <w:rPr>
                <w:rFonts w:cs="Arial"/>
                <w:szCs w:val="20"/>
              </w:rPr>
              <w:t xml:space="preserve">0 MHz </w:t>
            </w:r>
            <w:r w:rsidRPr="008D2EA0">
              <w:rPr>
                <w:rFonts w:cs="Arial"/>
                <w:szCs w:val="20"/>
              </w:rPr>
              <w:t>where available. In addition to that, consumer may enjoy access to a broad variety of local radio services.</w:t>
            </w:r>
          </w:p>
          <w:p w:rsidR="00100C51" w:rsidRPr="008D2EA0" w:rsidRDefault="00100C51" w:rsidP="00E60485">
            <w:pPr>
              <w:keepNext/>
              <w:rPr>
                <w:rFonts w:cs="Arial"/>
                <w:szCs w:val="22"/>
                <w:lang w:val="en-GB"/>
              </w:rPr>
            </w:pPr>
            <w:r w:rsidRPr="008D2EA0">
              <w:rPr>
                <w:rFonts w:cs="Arial"/>
                <w:lang w:val="en-GB"/>
              </w:rPr>
              <w:t>Additionally, the subscription model on which subscription radio is based creates an opportunity to differentiate from what is currently being offered by free-to-air commercial radio. In the field of music, as an example, commercial radios indeed tend to format their programming in order to best fit the expected music tastes of specific advertising audiences, that they are designed to target (specific age and gender, social class, etc.). Accordingly, subscription radio – by not being constrained by such advertising-driven formats – is positioned to provide commercial-free programmes complementary to existing free-to-air radio offerings in terms of content, and as such to contribute to extend national radio landscapes to the overall benefit of consumers.</w:t>
            </w:r>
          </w:p>
          <w:p w:rsidR="00100C51" w:rsidRPr="008D2EA0" w:rsidRDefault="00100C51" w:rsidP="00E60485">
            <w:pPr>
              <w:keepNext/>
              <w:rPr>
                <w:rFonts w:cs="Arial"/>
                <w:lang w:val="en-GB"/>
              </w:rPr>
            </w:pPr>
          </w:p>
          <w:p w:rsidR="00100C51" w:rsidRPr="008D2EA0" w:rsidRDefault="00100C51" w:rsidP="00E60485">
            <w:pPr>
              <w:keepNext/>
              <w:rPr>
                <w:rFonts w:cs="Arial"/>
                <w:lang w:val="en-GB"/>
              </w:rPr>
            </w:pPr>
            <w:r w:rsidRPr="008D2EA0">
              <w:rPr>
                <w:rFonts w:cs="Arial"/>
                <w:lang w:val="en-GB"/>
              </w:rPr>
              <w:t>This complementary nature of free-to-air and subscription radio, both in terms of economic model and content, could favour the eventual development of convergent, multi-standard receivers enabling the reception of both services. By targeting national markets, subscription radio services are bound to engage in substantial marketing efforts to accompany their commercial rollout on a national basis, and could therefore play a positive role in the digitisation efforts of radio across Europe, through the dissemination of such convergent receivers, thereby contributing to enable European consumers access a variety of radio programmes in digital quality, throughout territories.</w:t>
            </w:r>
          </w:p>
          <w:p w:rsidR="00100C51" w:rsidRPr="008D2EA0" w:rsidRDefault="00100C51" w:rsidP="00E60485">
            <w:pPr>
              <w:keepNext/>
              <w:rPr>
                <w:sz w:val="22"/>
                <w:szCs w:val="22"/>
                <w:lang w:val="en-GB"/>
              </w:rPr>
            </w:pPr>
          </w:p>
        </w:tc>
      </w:tr>
      <w:tr w:rsidR="00100C51" w:rsidRPr="008D2EA0" w:rsidTr="000D55A2">
        <w:tc>
          <w:tcPr>
            <w:tcW w:w="2244" w:type="dxa"/>
          </w:tcPr>
          <w:p w:rsidR="00100C51" w:rsidRPr="008D2EA0" w:rsidRDefault="00100C51" w:rsidP="000D55A2">
            <w:pPr>
              <w:rPr>
                <w:sz w:val="22"/>
                <w:szCs w:val="22"/>
                <w:lang w:val="en-GB"/>
              </w:rPr>
            </w:pPr>
            <w:r w:rsidRPr="008D2EA0">
              <w:rPr>
                <w:lang w:val="en-GB"/>
              </w:rPr>
              <w:t>Consumer surplus (quantitative)</w:t>
            </w:r>
          </w:p>
        </w:tc>
        <w:tc>
          <w:tcPr>
            <w:tcW w:w="6650" w:type="dxa"/>
          </w:tcPr>
          <w:p w:rsidR="00100C51" w:rsidRPr="008D2EA0" w:rsidRDefault="00100C51" w:rsidP="00E60485">
            <w:pPr>
              <w:spacing w:after="120"/>
              <w:rPr>
                <w:rFonts w:cs="Arial"/>
                <w:szCs w:val="20"/>
                <w:lang w:val="en-GB"/>
              </w:rPr>
            </w:pPr>
            <w:r w:rsidRPr="008D2EA0">
              <w:rPr>
                <w:rFonts w:cs="Arial"/>
                <w:szCs w:val="20"/>
                <w:lang w:val="en-GB"/>
              </w:rPr>
              <w:t>8.6 b€ (net present value)</w:t>
            </w:r>
          </w:p>
          <w:p w:rsidR="00100C51" w:rsidRPr="008D2EA0" w:rsidRDefault="00100C51" w:rsidP="000D55A2">
            <w:pPr>
              <w:rPr>
                <w:rFonts w:cs="Arial"/>
                <w:szCs w:val="20"/>
                <w:lang w:val="en-GB"/>
              </w:rPr>
            </w:pPr>
            <w:r w:rsidRPr="008D2EA0">
              <w:rPr>
                <w:rFonts w:cs="Arial"/>
                <w:szCs w:val="20"/>
                <w:lang w:val="en-GB"/>
              </w:rPr>
              <w:t xml:space="preserve">The net present value computed is valid for a system combining T-DAB and S-DAB. Therefore this value should be used as a combined value for two applications: T-DAB and S-DAB. </w:t>
            </w:r>
          </w:p>
          <w:p w:rsidR="00100C51" w:rsidRPr="008D2EA0" w:rsidRDefault="00100C51" w:rsidP="000D55A2">
            <w:pPr>
              <w:rPr>
                <w:rFonts w:cs="Arial"/>
                <w:szCs w:val="20"/>
                <w:lang w:val="en-GB"/>
              </w:rPr>
            </w:pPr>
          </w:p>
          <w:p w:rsidR="00100C51" w:rsidRPr="008D2EA0" w:rsidRDefault="00100C51" w:rsidP="000D55A2">
            <w:pPr>
              <w:pStyle w:val="ECCParBulleted"/>
              <w:numPr>
                <w:ilvl w:val="0"/>
                <w:numId w:val="0"/>
              </w:numPr>
              <w:tabs>
                <w:tab w:val="left" w:pos="708"/>
              </w:tabs>
              <w:rPr>
                <w:rFonts w:cs="Arial"/>
                <w:szCs w:val="20"/>
              </w:rPr>
            </w:pPr>
            <w:r w:rsidRPr="008D2EA0">
              <w:rPr>
                <w:rFonts w:cs="Arial"/>
                <w:szCs w:val="20"/>
              </w:rPr>
              <w:t>In North America, subscription radio has attracted so far (end of 2011) more than 21 million subscribers.</w:t>
            </w:r>
          </w:p>
          <w:p w:rsidR="00100C51" w:rsidRPr="008D2EA0" w:rsidRDefault="00100C51" w:rsidP="000D55A2">
            <w:pPr>
              <w:pStyle w:val="ECCParBulleted"/>
              <w:numPr>
                <w:ilvl w:val="0"/>
                <w:numId w:val="0"/>
              </w:numPr>
              <w:tabs>
                <w:tab w:val="left" w:pos="708"/>
              </w:tabs>
              <w:rPr>
                <w:rFonts w:cs="Arial"/>
                <w:i/>
                <w:szCs w:val="20"/>
                <w:highlight w:val="yellow"/>
              </w:rPr>
            </w:pPr>
          </w:p>
          <w:p w:rsidR="00100C51" w:rsidRDefault="00100C51" w:rsidP="00E60485">
            <w:pPr>
              <w:pStyle w:val="ECCParBulleted"/>
              <w:numPr>
                <w:ilvl w:val="0"/>
                <w:numId w:val="0"/>
              </w:numPr>
              <w:tabs>
                <w:tab w:val="left" w:pos="708"/>
              </w:tabs>
              <w:rPr>
                <w:rFonts w:cs="Arial"/>
                <w:szCs w:val="20"/>
              </w:rPr>
            </w:pPr>
            <w:r w:rsidRPr="008D2EA0">
              <w:rPr>
                <w:rFonts w:cs="Arial"/>
                <w:szCs w:val="20"/>
              </w:rPr>
              <w:t>In Europe, dedicated market research conducted over the past decade (more than 15’000 respondents surveyed in total</w:t>
            </w:r>
            <w:r w:rsidRPr="008D2EA0">
              <w:rPr>
                <w:rStyle w:val="FootnoteReference"/>
                <w:rFonts w:cs="Arial"/>
                <w:szCs w:val="20"/>
              </w:rPr>
              <w:footnoteReference w:id="20"/>
            </w:r>
            <w:r w:rsidRPr="008D2EA0">
              <w:rPr>
                <w:rFonts w:cs="Arial"/>
                <w:szCs w:val="20"/>
              </w:rPr>
              <w:t>) has  evidenced the existence of an aggregated European market potential for commercial-free radio services that is comparable in size to the US’ situation, with one adult out of five declaring to be “ready to subscribe” in Western Europe. Accordingly, the revenues generated by subscription radio over the first decade of commercial operation in the US have been used to estimate the NPV of revenues (in 2014) that could be created in Europe over the 2014-2023 timeframe (6.0 b€), using a 10% discount rate. An average elasticity of demand of 0.35 derived from price sensitivity data available from available market research is then used to calculate the consumer surplus value of 8.6 b€</w:t>
            </w:r>
            <w:r w:rsidRPr="008D2EA0">
              <w:rPr>
                <w:rStyle w:val="FootnoteReference"/>
                <w:rFonts w:cs="Arial"/>
                <w:szCs w:val="20"/>
              </w:rPr>
              <w:footnoteReference w:id="21"/>
            </w:r>
            <w:r w:rsidRPr="008D2EA0">
              <w:rPr>
                <w:rFonts w:cs="Arial"/>
                <w:szCs w:val="20"/>
              </w:rPr>
              <w:t>.</w:t>
            </w:r>
          </w:p>
          <w:p w:rsidR="00E60485" w:rsidRPr="008D2EA0" w:rsidRDefault="00E60485" w:rsidP="00E60485">
            <w:pPr>
              <w:pStyle w:val="ECCParBulleted"/>
              <w:numPr>
                <w:ilvl w:val="0"/>
                <w:numId w:val="0"/>
              </w:numPr>
              <w:tabs>
                <w:tab w:val="left" w:pos="708"/>
              </w:tabs>
              <w:rPr>
                <w:rFonts w:cs="Arial"/>
                <w:szCs w:val="20"/>
              </w:rPr>
            </w:pPr>
          </w:p>
        </w:tc>
      </w:tr>
      <w:tr w:rsidR="00100C51" w:rsidRPr="008D2EA0" w:rsidTr="000D55A2">
        <w:tc>
          <w:tcPr>
            <w:tcW w:w="2244" w:type="dxa"/>
          </w:tcPr>
          <w:p w:rsidR="00100C51" w:rsidRPr="008D2EA0" w:rsidRDefault="00100C51" w:rsidP="000D55A2">
            <w:pPr>
              <w:rPr>
                <w:sz w:val="22"/>
                <w:szCs w:val="22"/>
                <w:lang w:val="en-GB"/>
              </w:rPr>
            </w:pPr>
            <w:r w:rsidRPr="008D2EA0">
              <w:rPr>
                <w:lang w:val="en-GB"/>
              </w:rPr>
              <w:t xml:space="preserve">Producer/industry </w:t>
            </w:r>
            <w:r w:rsidRPr="008D2EA0">
              <w:rPr>
                <w:lang w:val="en-GB"/>
              </w:rPr>
              <w:lastRenderedPageBreak/>
              <w:t>benefits</w:t>
            </w:r>
          </w:p>
        </w:tc>
        <w:tc>
          <w:tcPr>
            <w:tcW w:w="6650" w:type="dxa"/>
          </w:tcPr>
          <w:p w:rsidR="00100C51" w:rsidRPr="008D2EA0" w:rsidRDefault="00100C51" w:rsidP="000D55A2">
            <w:pPr>
              <w:pStyle w:val="ECCParBulleted"/>
              <w:numPr>
                <w:ilvl w:val="0"/>
                <w:numId w:val="0"/>
              </w:numPr>
              <w:tabs>
                <w:tab w:val="left" w:pos="708"/>
              </w:tabs>
              <w:rPr>
                <w:rFonts w:cs="Arial"/>
                <w:szCs w:val="20"/>
              </w:rPr>
            </w:pPr>
            <w:r w:rsidRPr="008D2EA0">
              <w:rPr>
                <w:rFonts w:cs="Arial"/>
                <w:szCs w:val="20"/>
              </w:rPr>
              <w:lastRenderedPageBreak/>
              <w:t xml:space="preserve">The development of subscription radio services in Europe is positioned </w:t>
            </w:r>
            <w:r w:rsidRPr="008D2EA0">
              <w:rPr>
                <w:rFonts w:cs="Arial"/>
                <w:szCs w:val="20"/>
              </w:rPr>
              <w:lastRenderedPageBreak/>
              <w:t>to generate further industrial contracts to the direct benefit of the European economy, as some European procurement companies stand among worldwide leaders in a number of domains of interest to the deployment of subscription radio networks and services (terrestrial broadcast repeaters, deployment of conditional access receivers, core technologies, etc.).</w:t>
            </w:r>
          </w:p>
          <w:p w:rsidR="00100C51" w:rsidRPr="008D2EA0" w:rsidRDefault="00100C51" w:rsidP="000D55A2">
            <w:pPr>
              <w:rPr>
                <w:rFonts w:cs="Arial"/>
                <w:szCs w:val="20"/>
                <w:lang w:val="en-GB"/>
              </w:rPr>
            </w:pPr>
          </w:p>
        </w:tc>
      </w:tr>
      <w:tr w:rsidR="00100C51" w:rsidRPr="008D2EA0" w:rsidTr="000D55A2">
        <w:tc>
          <w:tcPr>
            <w:tcW w:w="2244" w:type="dxa"/>
          </w:tcPr>
          <w:p w:rsidR="00100C51" w:rsidRPr="008D2EA0" w:rsidRDefault="00100C51" w:rsidP="000D55A2">
            <w:pPr>
              <w:rPr>
                <w:lang w:val="en-GB"/>
              </w:rPr>
            </w:pPr>
            <w:r w:rsidRPr="008D2EA0">
              <w:rPr>
                <w:lang w:val="en-GB"/>
              </w:rPr>
              <w:lastRenderedPageBreak/>
              <w:t>Producer surplus (quantitative)</w:t>
            </w:r>
          </w:p>
        </w:tc>
        <w:tc>
          <w:tcPr>
            <w:tcW w:w="6650" w:type="dxa"/>
          </w:tcPr>
          <w:p w:rsidR="00100C51" w:rsidRPr="008D2EA0" w:rsidRDefault="00100C51" w:rsidP="00E60485">
            <w:pPr>
              <w:spacing w:after="120"/>
              <w:rPr>
                <w:rFonts w:cs="Arial"/>
                <w:szCs w:val="20"/>
                <w:lang w:val="en-GB"/>
              </w:rPr>
            </w:pPr>
            <w:r w:rsidRPr="008D2EA0">
              <w:rPr>
                <w:rFonts w:cs="Arial"/>
                <w:szCs w:val="20"/>
                <w:lang w:val="en-GB"/>
              </w:rPr>
              <w:t>1.6 b€ (NPV)</w:t>
            </w:r>
          </w:p>
          <w:p w:rsidR="00100C51" w:rsidRPr="008D2EA0" w:rsidRDefault="00100C51" w:rsidP="000D55A2">
            <w:pPr>
              <w:rPr>
                <w:rFonts w:cs="Arial"/>
                <w:szCs w:val="20"/>
                <w:lang w:val="en-GB"/>
              </w:rPr>
            </w:pPr>
            <w:r w:rsidRPr="008D2EA0">
              <w:rPr>
                <w:rFonts w:cs="Arial"/>
                <w:szCs w:val="20"/>
                <w:lang w:val="en-GB"/>
              </w:rPr>
              <w:t>This net present value is valid for a combined system T-DAB and S-DAB. Therefore this value should be used as the combined value for two applications: T-DAB and S-DAB.</w:t>
            </w:r>
          </w:p>
          <w:p w:rsidR="00100C51" w:rsidRPr="008D2EA0" w:rsidRDefault="00100C51" w:rsidP="000D55A2">
            <w:pPr>
              <w:rPr>
                <w:rFonts w:cs="Arial"/>
                <w:szCs w:val="20"/>
                <w:lang w:val="en-GB"/>
              </w:rPr>
            </w:pPr>
          </w:p>
          <w:p w:rsidR="00100C51" w:rsidRPr="008D2EA0" w:rsidRDefault="00100C51" w:rsidP="000D55A2">
            <w:pPr>
              <w:rPr>
                <w:rFonts w:cs="Arial"/>
                <w:szCs w:val="20"/>
                <w:lang w:val="en-GB"/>
              </w:rPr>
            </w:pPr>
            <w:r w:rsidRPr="008D2EA0">
              <w:rPr>
                <w:rFonts w:cs="Arial"/>
                <w:szCs w:val="20"/>
                <w:lang w:val="en-GB"/>
              </w:rPr>
              <w:t>As for the derivation of the consumer surplus, the US case is taken as a benchmark to estimate the producer surplus to be taken into account in this impact assessment analysis for Europe.</w:t>
            </w:r>
          </w:p>
          <w:p w:rsidR="00100C51" w:rsidRPr="008D2EA0" w:rsidRDefault="00100C51" w:rsidP="000D55A2">
            <w:pPr>
              <w:rPr>
                <w:rFonts w:cs="Arial"/>
                <w:szCs w:val="20"/>
                <w:lang w:val="en-GB"/>
              </w:rPr>
            </w:pPr>
          </w:p>
          <w:p w:rsidR="00100C51" w:rsidRPr="008D2EA0" w:rsidRDefault="00100C51" w:rsidP="00E60485">
            <w:pPr>
              <w:rPr>
                <w:rFonts w:cs="Arial"/>
                <w:szCs w:val="20"/>
                <w:lang w:val="en-GB"/>
              </w:rPr>
            </w:pPr>
            <w:r w:rsidRPr="008D2EA0">
              <w:rPr>
                <w:rFonts w:cs="Arial"/>
                <w:szCs w:val="20"/>
                <w:lang w:val="en-GB"/>
              </w:rPr>
              <w:t>In the US market, the producer surplus for subscription radio is assumed to at least equal over time the initial CAPEX investments that were incurred to startup the existing service, that were about $2 bn (1.6 b€).</w:t>
            </w:r>
          </w:p>
        </w:tc>
      </w:tr>
    </w:tbl>
    <w:p w:rsidR="00100C51" w:rsidRPr="008D2EA0" w:rsidRDefault="00100C51" w:rsidP="00100C51">
      <w:pPr>
        <w:pStyle w:val="ECCParagraph"/>
      </w:pPr>
    </w:p>
    <w:p w:rsidR="00100C51" w:rsidRPr="008D2EA0" w:rsidRDefault="00100C51" w:rsidP="00510087">
      <w:pPr>
        <w:pStyle w:val="Heading3"/>
      </w:pPr>
      <w:bookmarkStart w:id="103" w:name="_Toc349039273"/>
      <w:r w:rsidRPr="008D2EA0">
        <w:t>Mobile Broadband</w:t>
      </w:r>
      <w:bookmarkEnd w:id="103"/>
    </w:p>
    <w:p w:rsidR="000D55A2" w:rsidRPr="008D2EA0" w:rsidRDefault="000D55A2" w:rsidP="00F21C76">
      <w:pPr>
        <w:pStyle w:val="ECCTabletitle"/>
      </w:pPr>
      <w:r w:rsidRPr="008D2EA0">
        <w:t>Criterion 3 – Mobile broadband</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43"/>
        <w:gridCol w:w="6651"/>
      </w:tblGrid>
      <w:tr w:rsidR="00100C51" w:rsidRPr="008D2EA0" w:rsidTr="000D55A2">
        <w:trPr>
          <w:tblHeader/>
        </w:trPr>
        <w:tc>
          <w:tcPr>
            <w:tcW w:w="2243" w:type="dxa"/>
            <w:tcBorders>
              <w:right w:val="single" w:sz="8" w:space="0" w:color="FFFFFF"/>
            </w:tcBorders>
            <w:shd w:val="clear" w:color="auto" w:fill="D2232A"/>
            <w:vAlign w:val="center"/>
          </w:tcPr>
          <w:p w:rsidR="00100C51" w:rsidRPr="008D2EA0" w:rsidRDefault="00100C51" w:rsidP="001E74AC">
            <w:pPr>
              <w:keepNext/>
              <w:spacing w:line="288" w:lineRule="auto"/>
              <w:jc w:val="center"/>
              <w:rPr>
                <w:b/>
                <w:color w:val="FFFFFF"/>
                <w:lang w:val="en-GB"/>
              </w:rPr>
            </w:pPr>
          </w:p>
        </w:tc>
        <w:tc>
          <w:tcPr>
            <w:tcW w:w="6651" w:type="dxa"/>
            <w:tcBorders>
              <w:left w:val="single" w:sz="8" w:space="0" w:color="FFFFFF"/>
              <w:right w:val="single" w:sz="8" w:space="0" w:color="FFFFFF"/>
            </w:tcBorders>
            <w:shd w:val="clear" w:color="auto" w:fill="D2232A"/>
            <w:vAlign w:val="center"/>
          </w:tcPr>
          <w:p w:rsidR="00100C51" w:rsidRPr="008D2EA0" w:rsidRDefault="00100C51" w:rsidP="001E74AC">
            <w:pPr>
              <w:keepNext/>
              <w:spacing w:line="288" w:lineRule="auto"/>
              <w:jc w:val="center"/>
              <w:rPr>
                <w:b/>
                <w:color w:val="FFFFFF"/>
                <w:lang w:val="en-GB"/>
              </w:rPr>
            </w:pPr>
            <w:r w:rsidRPr="008D2EA0">
              <w:rPr>
                <w:b/>
                <w:color w:val="FFFFFF"/>
                <w:lang w:val="en-GB"/>
              </w:rPr>
              <w:t>Mobile Broadband</w:t>
            </w:r>
          </w:p>
        </w:tc>
      </w:tr>
      <w:tr w:rsidR="00100C51" w:rsidRPr="008D2EA0" w:rsidTr="00E60485">
        <w:trPr>
          <w:trHeight w:val="2650"/>
        </w:trPr>
        <w:tc>
          <w:tcPr>
            <w:tcW w:w="2243" w:type="dxa"/>
          </w:tcPr>
          <w:p w:rsidR="00100C51" w:rsidRPr="008D2EA0" w:rsidRDefault="00100C51" w:rsidP="001E74AC">
            <w:pPr>
              <w:keepNext/>
              <w:rPr>
                <w:sz w:val="22"/>
                <w:szCs w:val="22"/>
                <w:lang w:val="en-GB"/>
              </w:rPr>
            </w:pPr>
            <w:r w:rsidRPr="008D2EA0">
              <w:rPr>
                <w:lang w:val="en-GB"/>
              </w:rPr>
              <w:t>Consumer/citizen benefits</w:t>
            </w:r>
          </w:p>
        </w:tc>
        <w:tc>
          <w:tcPr>
            <w:tcW w:w="6651" w:type="dxa"/>
          </w:tcPr>
          <w:p w:rsidR="00100C51" w:rsidRPr="008D2EA0" w:rsidRDefault="00100C51" w:rsidP="001E74AC">
            <w:pPr>
              <w:keepNext/>
              <w:rPr>
                <w:lang w:val="en-GB"/>
              </w:rPr>
            </w:pPr>
            <w:r w:rsidRPr="008D2EA0">
              <w:rPr>
                <w:lang w:val="en-GB"/>
              </w:rPr>
              <w:t>The use of 1452-1492 MHz for Mobile Broadband will lead to a range of consumer/citizen benefits with:</w:t>
            </w:r>
          </w:p>
          <w:p w:rsidR="00100C51" w:rsidRPr="008D2EA0" w:rsidRDefault="00100C51" w:rsidP="00290368">
            <w:pPr>
              <w:pStyle w:val="ListParagraph"/>
              <w:keepNext/>
              <w:numPr>
                <w:ilvl w:val="0"/>
                <w:numId w:val="53"/>
              </w:numPr>
              <w:rPr>
                <w:szCs w:val="20"/>
                <w:lang w:val="en-GB"/>
              </w:rPr>
            </w:pPr>
            <w:r w:rsidRPr="008D2EA0">
              <w:rPr>
                <w:lang w:val="en-GB"/>
              </w:rPr>
              <w:t xml:space="preserve">additional mobile capacity, as additional spectrum will increase capacity </w:t>
            </w:r>
          </w:p>
          <w:p w:rsidR="00100C51" w:rsidRPr="008D2EA0" w:rsidRDefault="00100C51" w:rsidP="00290368">
            <w:pPr>
              <w:pStyle w:val="ListParagraph"/>
              <w:keepNext/>
              <w:numPr>
                <w:ilvl w:val="0"/>
                <w:numId w:val="53"/>
              </w:numPr>
              <w:rPr>
                <w:szCs w:val="20"/>
                <w:lang w:val="en-GB"/>
              </w:rPr>
            </w:pPr>
            <w:r w:rsidRPr="008D2EA0">
              <w:rPr>
                <w:szCs w:val="20"/>
                <w:lang w:val="en-GB"/>
              </w:rPr>
              <w:t>more affordable services, as more spectrum for mobile broadband will reduce the cost of the service and stimulate competition</w:t>
            </w:r>
          </w:p>
          <w:p w:rsidR="00100C51" w:rsidRPr="008D2EA0" w:rsidRDefault="00100C51" w:rsidP="00E60485">
            <w:pPr>
              <w:keepNext/>
              <w:rPr>
                <w:sz w:val="22"/>
                <w:szCs w:val="22"/>
                <w:lang w:val="en-GB"/>
              </w:rPr>
            </w:pPr>
            <w:r w:rsidRPr="008D2EA0">
              <w:rPr>
                <w:rFonts w:cs="Calibri"/>
                <w:lang w:val="en-GB"/>
              </w:rPr>
              <w:t>The demand for mobile broadband is expected to grow strongly over the next 10 years</w:t>
            </w:r>
            <w:r w:rsidRPr="008D2EA0">
              <w:rPr>
                <w:rStyle w:val="FootnoteReference"/>
                <w:rFonts w:cs="Calibri"/>
                <w:lang w:val="en-GB"/>
              </w:rPr>
              <w:footnoteReference w:id="22"/>
            </w:r>
            <w:r w:rsidRPr="008D2EA0">
              <w:rPr>
                <w:rFonts w:cs="Calibri"/>
                <w:lang w:val="en-GB"/>
              </w:rPr>
              <w:t xml:space="preserve">. In Europe, mobile broadband traffic carried over mobile networks is forecasted to grow between 14 and 29 fold over the period 2010 to 2015.  </w:t>
            </w:r>
            <w:r w:rsidRPr="008D2EA0">
              <w:rPr>
                <w:rFonts w:ascii="Times New Roman" w:hAnsi="Times New Roman"/>
                <w:sz w:val="24"/>
                <w:lang w:val="en-GB" w:eastAsia="fr-FR"/>
              </w:rPr>
              <w:t xml:space="preserve"> </w:t>
            </w:r>
          </w:p>
        </w:tc>
      </w:tr>
      <w:tr w:rsidR="00100C51" w:rsidRPr="008D2EA0" w:rsidTr="00E60485">
        <w:trPr>
          <w:trHeight w:val="660"/>
        </w:trPr>
        <w:tc>
          <w:tcPr>
            <w:tcW w:w="2243" w:type="dxa"/>
          </w:tcPr>
          <w:p w:rsidR="00100C51" w:rsidRPr="008D2EA0" w:rsidRDefault="00100C51" w:rsidP="000D55A2">
            <w:pPr>
              <w:rPr>
                <w:sz w:val="22"/>
                <w:szCs w:val="22"/>
                <w:lang w:val="en-GB"/>
              </w:rPr>
            </w:pPr>
            <w:r w:rsidRPr="008D2EA0">
              <w:rPr>
                <w:lang w:val="en-GB"/>
              </w:rPr>
              <w:t>Consumer surplus (quantitative)</w:t>
            </w:r>
          </w:p>
        </w:tc>
        <w:tc>
          <w:tcPr>
            <w:tcW w:w="6651" w:type="dxa"/>
          </w:tcPr>
          <w:p w:rsidR="00100C51" w:rsidRPr="008D2EA0" w:rsidRDefault="00100C51" w:rsidP="00CA51CC">
            <w:pPr>
              <w:spacing w:after="200" w:line="276" w:lineRule="auto"/>
              <w:jc w:val="both"/>
              <w:rPr>
                <w:rFonts w:cs="Arial"/>
                <w:szCs w:val="20"/>
                <w:lang w:val="en-GB"/>
              </w:rPr>
            </w:pPr>
            <w:r w:rsidRPr="008D2EA0">
              <w:rPr>
                <w:lang w:val="en-GB"/>
              </w:rPr>
              <w:t xml:space="preserve">The </w:t>
            </w:r>
            <w:r w:rsidR="00CA51CC">
              <w:rPr>
                <w:lang w:val="en-GB"/>
              </w:rPr>
              <w:t xml:space="preserve">band specific </w:t>
            </w:r>
            <w:r w:rsidRPr="008D2EA0">
              <w:rPr>
                <w:lang w:val="en-GB"/>
              </w:rPr>
              <w:t xml:space="preserve">quantitative analysis is not available for the mobile broadband application </w:t>
            </w:r>
            <w:r w:rsidR="00CA51CC">
              <w:rPr>
                <w:lang w:val="en-GB"/>
              </w:rPr>
              <w:t xml:space="preserve">as </w:t>
            </w:r>
            <w:r w:rsidRPr="008D2EA0">
              <w:rPr>
                <w:lang w:val="en-GB"/>
              </w:rPr>
              <w:t>described in this Report.</w:t>
            </w:r>
          </w:p>
        </w:tc>
      </w:tr>
      <w:tr w:rsidR="00100C51" w:rsidRPr="008D2EA0" w:rsidTr="00E60485">
        <w:trPr>
          <w:trHeight w:val="869"/>
        </w:trPr>
        <w:tc>
          <w:tcPr>
            <w:tcW w:w="2243" w:type="dxa"/>
          </w:tcPr>
          <w:p w:rsidR="00100C51" w:rsidRPr="008D2EA0" w:rsidRDefault="00100C51" w:rsidP="000D55A2">
            <w:pPr>
              <w:rPr>
                <w:sz w:val="22"/>
                <w:szCs w:val="22"/>
                <w:lang w:val="en-GB"/>
              </w:rPr>
            </w:pPr>
            <w:r w:rsidRPr="008D2EA0">
              <w:rPr>
                <w:lang w:val="en-GB"/>
              </w:rPr>
              <w:t>Producer/industry benefits</w:t>
            </w:r>
          </w:p>
        </w:tc>
        <w:tc>
          <w:tcPr>
            <w:tcW w:w="6651" w:type="dxa"/>
          </w:tcPr>
          <w:p w:rsidR="00100C51" w:rsidRPr="008D2EA0" w:rsidRDefault="00100C51" w:rsidP="00CA51CC">
            <w:pPr>
              <w:rPr>
                <w:rFonts w:cs="Arial"/>
                <w:szCs w:val="20"/>
                <w:lang w:val="en-GB"/>
              </w:rPr>
            </w:pPr>
            <w:r w:rsidRPr="008D2EA0">
              <w:rPr>
                <w:rFonts w:cs="Arial"/>
                <w:szCs w:val="20"/>
                <w:lang w:val="en-GB"/>
              </w:rPr>
              <w:t xml:space="preserve">The harmonisation of the </w:t>
            </w:r>
            <w:r w:rsidR="00CA51CC">
              <w:rPr>
                <w:rFonts w:cs="Arial"/>
                <w:szCs w:val="20"/>
                <w:lang w:val="en-GB"/>
              </w:rPr>
              <w:t>L-</w:t>
            </w:r>
            <w:r w:rsidRPr="008D2EA0">
              <w:rPr>
                <w:rFonts w:cs="Arial"/>
                <w:szCs w:val="20"/>
                <w:lang w:val="en-GB"/>
              </w:rPr>
              <w:t>band for Mobile Broadband gives European operators and suppliers an early advantage in the development of mobile broadband services.</w:t>
            </w:r>
          </w:p>
        </w:tc>
      </w:tr>
      <w:tr w:rsidR="00100C51" w:rsidRPr="008D2EA0" w:rsidTr="00E60485">
        <w:trPr>
          <w:trHeight w:val="581"/>
        </w:trPr>
        <w:tc>
          <w:tcPr>
            <w:tcW w:w="2243" w:type="dxa"/>
          </w:tcPr>
          <w:p w:rsidR="00100C51" w:rsidRPr="008D2EA0" w:rsidRDefault="00100C51" w:rsidP="000D55A2">
            <w:pPr>
              <w:rPr>
                <w:lang w:val="en-GB"/>
              </w:rPr>
            </w:pPr>
            <w:r w:rsidRPr="008D2EA0">
              <w:rPr>
                <w:lang w:val="en-GB"/>
              </w:rPr>
              <w:t>Producer surplus (quantitative)</w:t>
            </w:r>
          </w:p>
        </w:tc>
        <w:tc>
          <w:tcPr>
            <w:tcW w:w="6651" w:type="dxa"/>
          </w:tcPr>
          <w:p w:rsidR="00100C51" w:rsidRPr="008D2EA0" w:rsidRDefault="00100C51" w:rsidP="00E60485">
            <w:pPr>
              <w:rPr>
                <w:rFonts w:cs="Arial"/>
                <w:szCs w:val="20"/>
                <w:lang w:val="en-GB"/>
              </w:rPr>
            </w:pPr>
            <w:r w:rsidRPr="008D2EA0">
              <w:rPr>
                <w:lang w:val="en-GB"/>
              </w:rPr>
              <w:t>The quantitative analysis is not available for the mobile broadband application which is described in this Report.</w:t>
            </w:r>
          </w:p>
        </w:tc>
      </w:tr>
    </w:tbl>
    <w:p w:rsidR="00100C51" w:rsidRPr="008D2EA0" w:rsidRDefault="00100C51" w:rsidP="00100C51">
      <w:pPr>
        <w:pStyle w:val="ECCParagraph"/>
      </w:pPr>
    </w:p>
    <w:p w:rsidR="00100C51" w:rsidRPr="008D2EA0" w:rsidRDefault="00100C51" w:rsidP="00F21C76">
      <w:pPr>
        <w:pStyle w:val="Heading3"/>
      </w:pPr>
      <w:bookmarkStart w:id="104" w:name="_Toc349039274"/>
      <w:r w:rsidRPr="008D2EA0">
        <w:lastRenderedPageBreak/>
        <w:t>Mobile SDL</w:t>
      </w:r>
      <w:bookmarkEnd w:id="104"/>
    </w:p>
    <w:p w:rsidR="000D55A2" w:rsidRPr="008D2EA0" w:rsidRDefault="000D55A2" w:rsidP="00F21C76">
      <w:pPr>
        <w:pStyle w:val="ECCTabletitle"/>
      </w:pPr>
      <w:r w:rsidRPr="008D2EA0">
        <w:t>Criterion 3 – Mobile SDL</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43"/>
        <w:gridCol w:w="6651"/>
      </w:tblGrid>
      <w:tr w:rsidR="00100C51" w:rsidRPr="008D2EA0" w:rsidTr="000D55A2">
        <w:trPr>
          <w:tblHeader/>
        </w:trPr>
        <w:tc>
          <w:tcPr>
            <w:tcW w:w="2243" w:type="dxa"/>
            <w:tcBorders>
              <w:right w:val="single" w:sz="8" w:space="0" w:color="FFFFFF"/>
            </w:tcBorders>
            <w:shd w:val="clear" w:color="auto" w:fill="D2232A"/>
            <w:vAlign w:val="center"/>
          </w:tcPr>
          <w:p w:rsidR="00100C51" w:rsidRPr="008D2EA0" w:rsidRDefault="00100C51" w:rsidP="00E60485">
            <w:pPr>
              <w:keepNext/>
              <w:spacing w:line="288" w:lineRule="auto"/>
              <w:jc w:val="center"/>
              <w:rPr>
                <w:b/>
                <w:color w:val="FFFFFF"/>
                <w:lang w:val="en-GB"/>
              </w:rPr>
            </w:pPr>
          </w:p>
        </w:tc>
        <w:tc>
          <w:tcPr>
            <w:tcW w:w="6651" w:type="dxa"/>
            <w:tcBorders>
              <w:left w:val="single" w:sz="8" w:space="0" w:color="FFFFFF"/>
              <w:right w:val="single" w:sz="8" w:space="0" w:color="FFFFFF"/>
            </w:tcBorders>
            <w:shd w:val="clear" w:color="auto" w:fill="D2232A"/>
            <w:vAlign w:val="center"/>
          </w:tcPr>
          <w:p w:rsidR="00100C51" w:rsidRPr="008D2EA0" w:rsidRDefault="00100C51" w:rsidP="00E60485">
            <w:pPr>
              <w:keepNext/>
              <w:spacing w:line="288" w:lineRule="auto"/>
              <w:jc w:val="center"/>
              <w:rPr>
                <w:b/>
                <w:color w:val="FFFFFF"/>
                <w:lang w:val="en-GB"/>
              </w:rPr>
            </w:pPr>
            <w:r w:rsidRPr="008D2EA0">
              <w:rPr>
                <w:b/>
                <w:color w:val="FFFFFF"/>
                <w:lang w:val="en-GB"/>
              </w:rPr>
              <w:t>Mobile SDL</w:t>
            </w:r>
          </w:p>
        </w:tc>
      </w:tr>
      <w:tr w:rsidR="00100C51" w:rsidRPr="008D2EA0" w:rsidTr="000D55A2">
        <w:tc>
          <w:tcPr>
            <w:tcW w:w="2243" w:type="dxa"/>
          </w:tcPr>
          <w:p w:rsidR="00100C51" w:rsidRPr="008D2EA0" w:rsidRDefault="00100C51" w:rsidP="000D55A2">
            <w:pPr>
              <w:rPr>
                <w:sz w:val="22"/>
                <w:szCs w:val="22"/>
                <w:lang w:val="en-GB"/>
              </w:rPr>
            </w:pPr>
            <w:r w:rsidRPr="008D2EA0">
              <w:rPr>
                <w:lang w:val="en-GB"/>
              </w:rPr>
              <w:t>Consumer/citizen benefits</w:t>
            </w:r>
          </w:p>
        </w:tc>
        <w:tc>
          <w:tcPr>
            <w:tcW w:w="6651" w:type="dxa"/>
          </w:tcPr>
          <w:p w:rsidR="00100C51" w:rsidRPr="008D2EA0" w:rsidRDefault="00100C51" w:rsidP="000D55A2">
            <w:pPr>
              <w:rPr>
                <w:rFonts w:cs="Arial"/>
                <w:szCs w:val="20"/>
                <w:lang w:val="en-GB"/>
              </w:rPr>
            </w:pPr>
            <w:r w:rsidRPr="008D2EA0">
              <w:rPr>
                <w:rFonts w:cs="Arial"/>
                <w:szCs w:val="20"/>
                <w:lang w:val="en-GB"/>
              </w:rPr>
              <w:t>The use of 1452-1492 MHz for Mobile SDL will lead to a range of consumer/citizen benefits with:</w:t>
            </w:r>
          </w:p>
          <w:p w:rsidR="00100C51" w:rsidRPr="008D2EA0" w:rsidRDefault="00100C51" w:rsidP="000D55A2">
            <w:pPr>
              <w:rPr>
                <w:rFonts w:cs="Arial"/>
                <w:szCs w:val="20"/>
                <w:lang w:val="en-GB"/>
              </w:rPr>
            </w:pPr>
            <w:r w:rsidRPr="008D2EA0">
              <w:rPr>
                <w:rFonts w:cs="Arial"/>
                <w:szCs w:val="20"/>
                <w:lang w:val="en-GB"/>
              </w:rPr>
              <w:t>- enhanced mobile broadband services (faster download speeds, higher capacity) as carrier aggregation enables wider downlink spectrum</w:t>
            </w:r>
          </w:p>
          <w:p w:rsidR="00100C51" w:rsidRPr="008D2EA0" w:rsidRDefault="00100C51" w:rsidP="000D55A2">
            <w:pPr>
              <w:rPr>
                <w:rFonts w:cs="Arial"/>
                <w:szCs w:val="20"/>
                <w:lang w:val="en-GB"/>
              </w:rPr>
            </w:pPr>
            <w:r w:rsidRPr="008D2EA0">
              <w:rPr>
                <w:rFonts w:cs="Arial"/>
                <w:szCs w:val="20"/>
                <w:lang w:val="en-GB"/>
              </w:rPr>
              <w:t>- better user experience in rural areas (contribute towards achieving Digital Agenda target of 30 Mbps for all by 2020 at lower cost)</w:t>
            </w:r>
          </w:p>
          <w:p w:rsidR="00100C51" w:rsidRPr="008D2EA0" w:rsidRDefault="00100C51" w:rsidP="000D55A2">
            <w:pPr>
              <w:rPr>
                <w:rFonts w:cs="Arial"/>
                <w:szCs w:val="20"/>
                <w:lang w:val="en-GB"/>
              </w:rPr>
            </w:pPr>
            <w:r w:rsidRPr="008D2EA0">
              <w:rPr>
                <w:rFonts w:cs="Arial"/>
                <w:szCs w:val="20"/>
                <w:lang w:val="en-GB"/>
              </w:rPr>
              <w:t>- more affordable services, as more spectrum for mobile broadband will reduce the cost of the service and stimulate competition</w:t>
            </w:r>
          </w:p>
          <w:p w:rsidR="00100C51" w:rsidRPr="008D2EA0" w:rsidRDefault="00100C51" w:rsidP="000D55A2">
            <w:pPr>
              <w:rPr>
                <w:rFonts w:cs="Arial"/>
                <w:szCs w:val="20"/>
                <w:lang w:val="en-GB"/>
              </w:rPr>
            </w:pPr>
            <w:r w:rsidRPr="008D2EA0">
              <w:rPr>
                <w:rFonts w:cs="Arial"/>
                <w:szCs w:val="20"/>
                <w:lang w:val="en-GB"/>
              </w:rPr>
              <w:t>- innovative services, due to the availability of this new ‘downlink pipe’ especially well-suited for the delivery of mobile multimedia content</w:t>
            </w:r>
          </w:p>
          <w:p w:rsidR="00100C51" w:rsidRPr="008D2EA0" w:rsidRDefault="00100C51" w:rsidP="000D55A2">
            <w:pPr>
              <w:rPr>
                <w:rFonts w:cs="Arial"/>
                <w:szCs w:val="20"/>
                <w:lang w:val="en-GB"/>
              </w:rPr>
            </w:pPr>
          </w:p>
          <w:p w:rsidR="00100C51" w:rsidRPr="008D2EA0" w:rsidRDefault="00100C51" w:rsidP="000D55A2">
            <w:pPr>
              <w:jc w:val="both"/>
              <w:rPr>
                <w:rFonts w:cs="Arial"/>
                <w:szCs w:val="20"/>
                <w:lang w:val="en-GB"/>
              </w:rPr>
            </w:pPr>
            <w:r w:rsidRPr="008D2EA0">
              <w:rPr>
                <w:rFonts w:cs="Arial"/>
                <w:szCs w:val="20"/>
                <w:lang w:val="en-GB"/>
              </w:rPr>
              <w:t>There are a number of elements which, when taken together, suggest that demand for mobile broadband multimedia services is already significant and will grow over the next decade. Moreover, when this is coupled with the asymmetric nature of mobile broadband traffic, it demonstrates the existence of a market consumers’ demand for Mobile SDL:</w:t>
            </w:r>
          </w:p>
          <w:p w:rsidR="00100C51" w:rsidRPr="008D2EA0" w:rsidRDefault="00100C51" w:rsidP="00290368">
            <w:pPr>
              <w:pStyle w:val="ListParagraph"/>
              <w:numPr>
                <w:ilvl w:val="0"/>
                <w:numId w:val="55"/>
              </w:numPr>
              <w:ind w:left="484" w:hanging="284"/>
              <w:jc w:val="both"/>
              <w:rPr>
                <w:rFonts w:cs="Arial"/>
                <w:szCs w:val="20"/>
                <w:lang w:val="en-GB"/>
              </w:rPr>
            </w:pPr>
            <w:r w:rsidRPr="008D2EA0">
              <w:rPr>
                <w:rFonts w:cs="Arial"/>
                <w:szCs w:val="20"/>
                <w:lang w:val="en-GB"/>
              </w:rPr>
              <w:t xml:space="preserve">there is a trend towards personalisation, immediate and on the move use of the video-based content. </w:t>
            </w:r>
          </w:p>
          <w:p w:rsidR="00100C51" w:rsidRPr="008D2EA0" w:rsidRDefault="00100C51" w:rsidP="00F657F3">
            <w:pPr>
              <w:jc w:val="both"/>
              <w:rPr>
                <w:rFonts w:cs="Arial"/>
                <w:b/>
                <w:i/>
                <w:szCs w:val="20"/>
                <w:lang w:val="en-GB"/>
              </w:rPr>
            </w:pPr>
          </w:p>
          <w:p w:rsidR="00100C51" w:rsidRPr="008D2EA0" w:rsidRDefault="00100C51" w:rsidP="00F657F3">
            <w:pPr>
              <w:jc w:val="both"/>
              <w:rPr>
                <w:rFonts w:cs="Arial"/>
                <w:b/>
                <w:i/>
                <w:szCs w:val="20"/>
                <w:lang w:val="en-GB"/>
              </w:rPr>
            </w:pPr>
            <w:r w:rsidRPr="008D2EA0">
              <w:rPr>
                <w:rFonts w:cs="Arial"/>
                <w:szCs w:val="20"/>
                <w:lang w:val="en-GB"/>
              </w:rPr>
              <w:t xml:space="preserve">A high proportion of mobile broadband is already multimedia traffic. </w:t>
            </w:r>
            <w:r w:rsidRPr="008D2EA0">
              <w:rPr>
                <w:rStyle w:val="ccmtdefault"/>
                <w:rFonts w:cs="Arial"/>
                <w:color w:val="000000"/>
                <w:szCs w:val="20"/>
                <w:lang w:val="en-GB"/>
              </w:rPr>
              <w:t>Mobile video traffic exceeded 50 percent for the first time in 2011</w:t>
            </w:r>
            <w:r w:rsidRPr="008D2EA0">
              <w:rPr>
                <w:rFonts w:cs="Arial"/>
                <w:color w:val="000000"/>
                <w:szCs w:val="20"/>
                <w:lang w:val="en-GB"/>
              </w:rPr>
              <w:t>. Mobile video traffic was 52 percent of traffic by the end of 2011</w:t>
            </w:r>
            <w:bookmarkStart w:id="105" w:name="_Ref294705603"/>
            <w:r w:rsidRPr="008D2EA0">
              <w:rPr>
                <w:rStyle w:val="FootnoteReference"/>
                <w:rFonts w:cs="Arial"/>
                <w:szCs w:val="20"/>
                <w:lang w:val="en-GB"/>
              </w:rPr>
              <w:footnoteReference w:id="23"/>
            </w:r>
            <w:bookmarkEnd w:id="105"/>
            <w:r w:rsidRPr="008D2EA0">
              <w:rPr>
                <w:rFonts w:cs="Arial"/>
                <w:szCs w:val="20"/>
                <w:lang w:val="en-GB"/>
              </w:rPr>
              <w:t>. This is driven by the growing number of smart phones and tablets.</w:t>
            </w:r>
          </w:p>
          <w:p w:rsidR="00100C51" w:rsidRPr="008D2EA0" w:rsidRDefault="00100C51" w:rsidP="00290368">
            <w:pPr>
              <w:pStyle w:val="ListParagraph"/>
              <w:numPr>
                <w:ilvl w:val="0"/>
                <w:numId w:val="54"/>
              </w:numPr>
              <w:ind w:left="484" w:hanging="284"/>
              <w:jc w:val="both"/>
              <w:rPr>
                <w:rFonts w:cs="Arial"/>
                <w:szCs w:val="20"/>
                <w:lang w:val="en-GB"/>
              </w:rPr>
            </w:pPr>
            <w:r w:rsidRPr="008D2EA0">
              <w:rPr>
                <w:rFonts w:cs="Arial"/>
                <w:szCs w:val="20"/>
                <w:lang w:val="en-GB"/>
              </w:rPr>
              <w:t>demand for mobile broadband is expected to grow strongly over the next 10 years</w:t>
            </w:r>
            <w:r w:rsidRPr="008D2EA0">
              <w:rPr>
                <w:rStyle w:val="FootnoteReference"/>
                <w:rFonts w:cs="Arial"/>
                <w:szCs w:val="20"/>
                <w:lang w:val="en-GB"/>
              </w:rPr>
              <w:footnoteReference w:id="24"/>
            </w:r>
            <w:r w:rsidRPr="008D2EA0">
              <w:rPr>
                <w:rFonts w:cs="Arial"/>
                <w:szCs w:val="20"/>
                <w:lang w:val="en-GB"/>
              </w:rPr>
              <w:t xml:space="preserve">. In Europe, mobile broadband traffic carried over mobile networks is forecasted to grow between 14 and 29 fold over the period 2010 to 2015. </w:t>
            </w:r>
          </w:p>
          <w:p w:rsidR="00100C51" w:rsidRPr="008D2EA0" w:rsidRDefault="00995D9E" w:rsidP="00290368">
            <w:pPr>
              <w:pStyle w:val="ListParagraph"/>
              <w:numPr>
                <w:ilvl w:val="0"/>
                <w:numId w:val="54"/>
              </w:numPr>
              <w:ind w:left="484" w:hanging="284"/>
              <w:jc w:val="both"/>
              <w:rPr>
                <w:rFonts w:cs="Arial"/>
                <w:szCs w:val="20"/>
                <w:lang w:val="en-GB"/>
              </w:rPr>
            </w:pPr>
            <w:r>
              <w:rPr>
                <w:rFonts w:cs="Arial"/>
                <w:szCs w:val="20"/>
                <w:lang w:val="en-GB"/>
              </w:rPr>
              <w:t>m</w:t>
            </w:r>
            <w:r w:rsidR="00100C51" w:rsidRPr="008D2EA0">
              <w:rPr>
                <w:rFonts w:cs="Arial"/>
                <w:szCs w:val="20"/>
                <w:lang w:val="en-GB"/>
              </w:rPr>
              <w:t>obile users download much more data than they upload. The ratio of downlink to uplink traffic could rise to 10:1 over the next five years in high capacity areas, as the proportion of video traffic in the total mobile traffic grows</w:t>
            </w:r>
            <w:r w:rsidR="00100C51" w:rsidRPr="008D2EA0">
              <w:rPr>
                <w:rStyle w:val="FootnoteReference"/>
                <w:rFonts w:cs="Arial"/>
                <w:szCs w:val="20"/>
                <w:lang w:val="en-GB"/>
              </w:rPr>
              <w:footnoteReference w:id="25"/>
            </w:r>
            <w:r w:rsidR="00100C51" w:rsidRPr="008D2EA0">
              <w:rPr>
                <w:rFonts w:cs="Arial"/>
                <w:szCs w:val="20"/>
                <w:lang w:val="en-GB"/>
              </w:rPr>
              <w:t xml:space="preserve">. </w:t>
            </w:r>
          </w:p>
          <w:p w:rsidR="00100C51" w:rsidRPr="008D2EA0" w:rsidRDefault="00100C51" w:rsidP="000D55A2">
            <w:pPr>
              <w:rPr>
                <w:sz w:val="22"/>
                <w:szCs w:val="22"/>
                <w:lang w:val="en-GB"/>
              </w:rPr>
            </w:pPr>
          </w:p>
        </w:tc>
      </w:tr>
      <w:tr w:rsidR="00100C51" w:rsidRPr="008D2EA0" w:rsidTr="000D55A2">
        <w:tc>
          <w:tcPr>
            <w:tcW w:w="2243" w:type="dxa"/>
          </w:tcPr>
          <w:p w:rsidR="00100C51" w:rsidRPr="008D2EA0" w:rsidRDefault="00100C51" w:rsidP="000D55A2">
            <w:pPr>
              <w:rPr>
                <w:sz w:val="22"/>
                <w:szCs w:val="22"/>
                <w:lang w:val="en-GB"/>
              </w:rPr>
            </w:pPr>
            <w:r w:rsidRPr="008D2EA0">
              <w:rPr>
                <w:lang w:val="en-GB"/>
              </w:rPr>
              <w:t>Consumer surplus (quantitative)</w:t>
            </w:r>
          </w:p>
        </w:tc>
        <w:tc>
          <w:tcPr>
            <w:tcW w:w="6651" w:type="dxa"/>
          </w:tcPr>
          <w:p w:rsidR="00100C51" w:rsidRPr="008D2EA0" w:rsidRDefault="00100C51" w:rsidP="00E60485">
            <w:pPr>
              <w:spacing w:after="120"/>
              <w:rPr>
                <w:lang w:val="en-GB"/>
              </w:rPr>
            </w:pPr>
            <w:r w:rsidRPr="008D2EA0">
              <w:rPr>
                <w:lang w:val="en-GB"/>
              </w:rPr>
              <w:t>28 b€ (Net Present Value)</w:t>
            </w:r>
          </w:p>
          <w:p w:rsidR="00100C51" w:rsidRPr="008D2EA0" w:rsidRDefault="00100C51" w:rsidP="000D55A2">
            <w:pPr>
              <w:rPr>
                <w:szCs w:val="20"/>
                <w:lang w:val="en-GB"/>
              </w:rPr>
            </w:pPr>
            <w:r w:rsidRPr="008D2EA0">
              <w:rPr>
                <w:szCs w:val="20"/>
                <w:lang w:val="en-GB"/>
              </w:rPr>
              <w:t xml:space="preserve">Deploying a Mobile SDL at 1452-1492 MHz will lead to faster download speeds, support for a greater number of users, better in-building coverage and enhanced services which will consequently increase consumers surplus, which was </w:t>
            </w:r>
            <w:r w:rsidRPr="008D2EA0">
              <w:rPr>
                <w:lang w:val="en-GB"/>
              </w:rPr>
              <w:t>estimated at a net present value of 28 b€</w:t>
            </w:r>
            <w:r w:rsidRPr="008D2EA0">
              <w:rPr>
                <w:rStyle w:val="FootnoteReference"/>
                <w:lang w:val="en-GB"/>
              </w:rPr>
              <w:footnoteReference w:id="26"/>
            </w:r>
            <w:r w:rsidRPr="008D2EA0">
              <w:rPr>
                <w:lang w:val="en-GB"/>
              </w:rPr>
              <w:t>.</w:t>
            </w:r>
            <w:r w:rsidRPr="008D2EA0">
              <w:rPr>
                <w:szCs w:val="20"/>
                <w:lang w:val="en-GB"/>
              </w:rPr>
              <w:t>This estimate is consistent with previous studies that estimate total surplus (consumer + producer) of mobile broadband services at values ranging from €0.51 to €7.01 per MHz per pop</w:t>
            </w:r>
            <w:r w:rsidRPr="008D2EA0">
              <w:rPr>
                <w:rStyle w:val="FootnoteReference"/>
                <w:szCs w:val="20"/>
                <w:lang w:val="en-GB"/>
              </w:rPr>
              <w:footnoteReference w:id="27"/>
            </w:r>
            <w:r w:rsidRPr="008D2EA0">
              <w:rPr>
                <w:szCs w:val="20"/>
                <w:lang w:val="en-GB"/>
              </w:rPr>
              <w:t>, with a number of studies clustering at the upper end of this range. These numbers would equate to a benefit of between €10 billion and €140 billion for the 1452-1492 MHz band for Europe.</w:t>
            </w:r>
          </w:p>
          <w:p w:rsidR="00C35565" w:rsidRPr="008D2EA0" w:rsidRDefault="00C35565" w:rsidP="000D55A2">
            <w:pPr>
              <w:rPr>
                <w:lang w:val="en-GB"/>
              </w:rPr>
            </w:pPr>
          </w:p>
        </w:tc>
      </w:tr>
      <w:tr w:rsidR="00100C51" w:rsidRPr="008D2EA0" w:rsidTr="000D55A2">
        <w:tc>
          <w:tcPr>
            <w:tcW w:w="2243" w:type="dxa"/>
          </w:tcPr>
          <w:p w:rsidR="00100C51" w:rsidRPr="008D2EA0" w:rsidRDefault="00100C51" w:rsidP="000D55A2">
            <w:pPr>
              <w:rPr>
                <w:sz w:val="22"/>
                <w:szCs w:val="22"/>
                <w:lang w:val="en-GB"/>
              </w:rPr>
            </w:pPr>
            <w:r w:rsidRPr="008D2EA0">
              <w:rPr>
                <w:lang w:val="en-GB"/>
              </w:rPr>
              <w:t>Producer/industry benefits</w:t>
            </w:r>
          </w:p>
        </w:tc>
        <w:tc>
          <w:tcPr>
            <w:tcW w:w="6651" w:type="dxa"/>
          </w:tcPr>
          <w:p w:rsidR="00100C51" w:rsidRPr="008D2EA0" w:rsidRDefault="00100C51" w:rsidP="000D55A2">
            <w:pPr>
              <w:rPr>
                <w:lang w:val="en-GB"/>
              </w:rPr>
            </w:pPr>
            <w:r w:rsidRPr="008D2EA0">
              <w:rPr>
                <w:lang w:val="en-GB"/>
              </w:rPr>
              <w:t xml:space="preserve">Early adoption of Mobile SDL in 1452-1492 MHz will enable European businesses </w:t>
            </w:r>
            <w:r w:rsidRPr="008D2EA0">
              <w:rPr>
                <w:szCs w:val="20"/>
                <w:lang w:val="en-GB"/>
              </w:rPr>
              <w:t>to better compete in global mobile services markets:</w:t>
            </w:r>
          </w:p>
          <w:p w:rsidR="00100C51" w:rsidRPr="008D2EA0" w:rsidRDefault="00100C51" w:rsidP="000D55A2">
            <w:pPr>
              <w:rPr>
                <w:rFonts w:cs="Arial"/>
                <w:szCs w:val="20"/>
                <w:lang w:val="en-GB"/>
              </w:rPr>
            </w:pPr>
            <w:r w:rsidRPr="008D2EA0">
              <w:rPr>
                <w:rFonts w:cs="Arial"/>
                <w:szCs w:val="20"/>
                <w:lang w:val="en-GB"/>
              </w:rPr>
              <w:t xml:space="preserve">The harmonisation of the </w:t>
            </w:r>
            <w:r w:rsidR="00CA51CC">
              <w:rPr>
                <w:rFonts w:cs="Arial"/>
                <w:szCs w:val="20"/>
                <w:lang w:val="en-GB"/>
              </w:rPr>
              <w:t>L-</w:t>
            </w:r>
            <w:r w:rsidRPr="008D2EA0">
              <w:rPr>
                <w:rFonts w:cs="Arial"/>
                <w:szCs w:val="20"/>
                <w:lang w:val="en-GB"/>
              </w:rPr>
              <w:t xml:space="preserve">band for Mobile SDL gives European </w:t>
            </w:r>
            <w:r w:rsidRPr="008D2EA0">
              <w:rPr>
                <w:rFonts w:cs="Arial"/>
                <w:szCs w:val="20"/>
                <w:lang w:val="en-GB"/>
              </w:rPr>
              <w:lastRenderedPageBreak/>
              <w:t xml:space="preserve">operators and suppliers an early advantage in the development of mobile multimedia services using a supplemental downlink. Implementation of the standard in Europe will open up new business opportunities in international markets, particularly for service providers that will be able to develop in advance new products and innovative business models tailored to Mobile SDL International adoption of the </w:t>
            </w:r>
            <w:r w:rsidR="00CA51CC">
              <w:rPr>
                <w:rFonts w:cs="Arial"/>
                <w:szCs w:val="20"/>
                <w:lang w:val="en-GB"/>
              </w:rPr>
              <w:t>L-band</w:t>
            </w:r>
            <w:r w:rsidRPr="008D2EA0">
              <w:rPr>
                <w:rFonts w:cs="Arial"/>
                <w:szCs w:val="20"/>
                <w:lang w:val="en-GB"/>
              </w:rPr>
              <w:t xml:space="preserve"> for Mobile SDL will be of great benefit also to technology providers</w:t>
            </w:r>
            <w:r w:rsidRPr="008D2EA0">
              <w:rPr>
                <w:rStyle w:val="FootnoteReference"/>
                <w:szCs w:val="20"/>
                <w:lang w:val="en-GB"/>
              </w:rPr>
              <w:footnoteReference w:id="28"/>
            </w:r>
            <w:r w:rsidRPr="008D2EA0">
              <w:rPr>
                <w:rFonts w:cs="Arial"/>
                <w:szCs w:val="20"/>
                <w:lang w:val="en-GB"/>
              </w:rPr>
              <w:t xml:space="preserve"> in addition to European content and service providers.</w:t>
            </w:r>
          </w:p>
          <w:p w:rsidR="00100C51" w:rsidRPr="008D2EA0" w:rsidRDefault="00100C51" w:rsidP="000D55A2">
            <w:pPr>
              <w:rPr>
                <w:rFonts w:cs="Arial"/>
                <w:szCs w:val="20"/>
                <w:lang w:val="en-GB"/>
              </w:rPr>
            </w:pPr>
          </w:p>
        </w:tc>
      </w:tr>
      <w:tr w:rsidR="00100C51" w:rsidRPr="008D2EA0" w:rsidTr="000D55A2">
        <w:tc>
          <w:tcPr>
            <w:tcW w:w="2243" w:type="dxa"/>
          </w:tcPr>
          <w:p w:rsidR="00100C51" w:rsidRPr="008D2EA0" w:rsidRDefault="00100C51" w:rsidP="000D55A2">
            <w:pPr>
              <w:rPr>
                <w:lang w:val="en-GB"/>
              </w:rPr>
            </w:pPr>
            <w:r w:rsidRPr="008D2EA0">
              <w:rPr>
                <w:lang w:val="en-GB"/>
              </w:rPr>
              <w:lastRenderedPageBreak/>
              <w:t>Producer surplus (quantitative)</w:t>
            </w:r>
          </w:p>
        </w:tc>
        <w:tc>
          <w:tcPr>
            <w:tcW w:w="6651" w:type="dxa"/>
          </w:tcPr>
          <w:p w:rsidR="00100C51" w:rsidRPr="008D2EA0" w:rsidRDefault="00100C51" w:rsidP="00E60485">
            <w:pPr>
              <w:spacing w:after="120"/>
              <w:rPr>
                <w:lang w:val="en-GB"/>
              </w:rPr>
            </w:pPr>
            <w:r w:rsidRPr="008D2EA0">
              <w:rPr>
                <w:lang w:val="en-GB"/>
              </w:rPr>
              <w:t xml:space="preserve">26 b€ (NPV) </w:t>
            </w:r>
          </w:p>
          <w:p w:rsidR="00100C51" w:rsidRPr="008D2EA0" w:rsidRDefault="00100C51" w:rsidP="000D55A2">
            <w:pPr>
              <w:rPr>
                <w:rFonts w:ascii="Times New Roman" w:hAnsi="Times New Roman"/>
                <w:sz w:val="24"/>
                <w:lang w:val="en-GB" w:eastAsia="fr-FR"/>
              </w:rPr>
            </w:pPr>
            <w:r w:rsidRPr="008D2EA0">
              <w:rPr>
                <w:szCs w:val="20"/>
                <w:lang w:val="en-GB"/>
              </w:rPr>
              <w:t>The producer surplus derived from the use of 1452-1492 MHz for Mobile SDL was estimated with the avoided costs model</w:t>
            </w:r>
            <w:r w:rsidRPr="008D2EA0">
              <w:rPr>
                <w:vertAlign w:val="superscript"/>
                <w:lang w:val="en-GB"/>
              </w:rPr>
              <w:footnoteReference w:id="29"/>
            </w:r>
            <w:r w:rsidRPr="008D2EA0">
              <w:rPr>
                <w:szCs w:val="20"/>
                <w:lang w:val="en-GB"/>
              </w:rPr>
              <w:t xml:space="preserve">. Deploying a </w:t>
            </w:r>
            <w:r w:rsidR="00CA51CC">
              <w:rPr>
                <w:szCs w:val="20"/>
                <w:lang w:val="en-GB"/>
              </w:rPr>
              <w:t>L-band</w:t>
            </w:r>
            <w:r w:rsidRPr="008D2EA0">
              <w:rPr>
                <w:szCs w:val="20"/>
                <w:lang w:val="en-GB"/>
              </w:rPr>
              <w:t xml:space="preserve"> supplemental downlink rather than deploying additional base stations using their existing spectrum allows mobile operators to avoid significant cost to meet rising demand for mobile multimedia services. </w:t>
            </w:r>
          </w:p>
          <w:p w:rsidR="00100C51" w:rsidRPr="008D2EA0" w:rsidRDefault="00100C51" w:rsidP="000D55A2">
            <w:pPr>
              <w:rPr>
                <w:rFonts w:cs="Arial"/>
                <w:szCs w:val="20"/>
                <w:lang w:val="en-GB"/>
              </w:rPr>
            </w:pPr>
          </w:p>
        </w:tc>
      </w:tr>
    </w:tbl>
    <w:p w:rsidR="00100C51" w:rsidRPr="008D2EA0" w:rsidRDefault="00100C51" w:rsidP="00100C51">
      <w:pPr>
        <w:pStyle w:val="ECCParagraph"/>
      </w:pPr>
    </w:p>
    <w:p w:rsidR="00100C51" w:rsidRPr="008D2EA0" w:rsidRDefault="00100C51" w:rsidP="00510087">
      <w:pPr>
        <w:pStyle w:val="Heading3"/>
      </w:pPr>
      <w:bookmarkStart w:id="106" w:name="_Toc349039275"/>
      <w:r w:rsidRPr="008D2EA0">
        <w:t>S-DAB</w:t>
      </w:r>
      <w:bookmarkEnd w:id="106"/>
    </w:p>
    <w:p w:rsidR="000D55A2" w:rsidRPr="008D2EA0" w:rsidRDefault="000D55A2" w:rsidP="00F21C76">
      <w:pPr>
        <w:pStyle w:val="ECCTabletitle"/>
      </w:pPr>
      <w:r w:rsidRPr="008D2EA0">
        <w:t>Criterion 3 – S-DAB</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42"/>
        <w:gridCol w:w="6652"/>
      </w:tblGrid>
      <w:tr w:rsidR="00100C51" w:rsidRPr="008D2EA0" w:rsidTr="000D55A2">
        <w:trPr>
          <w:tblHeader/>
        </w:trPr>
        <w:tc>
          <w:tcPr>
            <w:tcW w:w="2242" w:type="dxa"/>
            <w:tcBorders>
              <w:right w:val="single" w:sz="8" w:space="0" w:color="FFFFFF"/>
            </w:tcBorders>
            <w:shd w:val="clear" w:color="auto" w:fill="D2232A"/>
            <w:vAlign w:val="center"/>
          </w:tcPr>
          <w:p w:rsidR="00100C51" w:rsidRPr="008D2EA0" w:rsidRDefault="00100C51" w:rsidP="000D55A2">
            <w:pPr>
              <w:spacing w:line="288" w:lineRule="auto"/>
              <w:jc w:val="center"/>
              <w:rPr>
                <w:b/>
                <w:color w:val="FFFFFF"/>
                <w:lang w:val="en-GB"/>
              </w:rPr>
            </w:pPr>
          </w:p>
        </w:tc>
        <w:tc>
          <w:tcPr>
            <w:tcW w:w="6652" w:type="dxa"/>
            <w:tcBorders>
              <w:left w:val="single" w:sz="8" w:space="0" w:color="FFFFFF"/>
              <w:right w:val="single" w:sz="8" w:space="0" w:color="FFFFFF"/>
            </w:tcBorders>
            <w:shd w:val="clear" w:color="auto" w:fill="D2232A"/>
            <w:vAlign w:val="center"/>
          </w:tcPr>
          <w:p w:rsidR="00100C51" w:rsidRPr="008D2EA0" w:rsidRDefault="00100C51" w:rsidP="000D55A2">
            <w:pPr>
              <w:spacing w:line="288" w:lineRule="auto"/>
              <w:jc w:val="center"/>
              <w:rPr>
                <w:b/>
                <w:color w:val="FFFFFF"/>
                <w:lang w:val="en-GB"/>
              </w:rPr>
            </w:pPr>
            <w:r w:rsidRPr="008D2EA0">
              <w:rPr>
                <w:b/>
                <w:color w:val="FFFFFF"/>
                <w:lang w:val="en-GB"/>
              </w:rPr>
              <w:t>S-DAB</w:t>
            </w:r>
          </w:p>
        </w:tc>
      </w:tr>
      <w:tr w:rsidR="00100C51" w:rsidRPr="008D2EA0" w:rsidTr="000D55A2">
        <w:tc>
          <w:tcPr>
            <w:tcW w:w="2242" w:type="dxa"/>
          </w:tcPr>
          <w:p w:rsidR="00100C51" w:rsidRPr="008D2EA0" w:rsidRDefault="00100C51" w:rsidP="000D55A2">
            <w:pPr>
              <w:rPr>
                <w:sz w:val="22"/>
                <w:szCs w:val="22"/>
                <w:lang w:val="en-GB"/>
              </w:rPr>
            </w:pPr>
            <w:r w:rsidRPr="008D2EA0">
              <w:rPr>
                <w:lang w:val="en-GB"/>
              </w:rPr>
              <w:t>Consumer/citizen benefits</w:t>
            </w:r>
          </w:p>
        </w:tc>
        <w:tc>
          <w:tcPr>
            <w:tcW w:w="6652" w:type="dxa"/>
          </w:tcPr>
          <w:p w:rsidR="00100C51" w:rsidRPr="008D2EA0" w:rsidRDefault="00100C51" w:rsidP="000D55A2">
            <w:pPr>
              <w:rPr>
                <w:rFonts w:cs="Arial"/>
                <w:szCs w:val="20"/>
                <w:lang w:val="en-GB"/>
              </w:rPr>
            </w:pPr>
            <w:r w:rsidRPr="008D2EA0">
              <w:rPr>
                <w:rFonts w:cs="Arial"/>
                <w:szCs w:val="20"/>
                <w:lang w:val="en-GB"/>
              </w:rPr>
              <w:t xml:space="preserve">The satellite digital audio broadcasting (S-DAB) application as presented in this report provides the social benefit of delivering satellite audio across a wide territory, for instance in countries where full digital radio coverage in </w:t>
            </w:r>
            <w:r w:rsidR="00D54CB5">
              <w:rPr>
                <w:rFonts w:cs="Arial"/>
                <w:szCs w:val="20"/>
                <w:lang w:val="en-GB"/>
              </w:rPr>
              <w:t xml:space="preserve">174-240 MHz </w:t>
            </w:r>
            <w:r w:rsidRPr="008D2EA0">
              <w:rPr>
                <w:rFonts w:cs="Arial"/>
                <w:szCs w:val="20"/>
                <w:lang w:val="en-GB"/>
              </w:rPr>
              <w:t>would not be achievable or to provide additional or new audio programming for the benefit of citizens/consumers in those areas where no other, terrestrial, services are authori</w:t>
            </w:r>
            <w:r w:rsidR="00995D9E">
              <w:rPr>
                <w:rFonts w:cs="Arial"/>
                <w:szCs w:val="20"/>
                <w:lang w:val="en-GB"/>
              </w:rPr>
              <w:t>s</w:t>
            </w:r>
            <w:r w:rsidRPr="008D2EA0">
              <w:rPr>
                <w:rFonts w:cs="Arial"/>
                <w:szCs w:val="20"/>
                <w:lang w:val="en-GB"/>
              </w:rPr>
              <w:t>ed and deployed. It should be noted that so far, satellite audio broadcasting (with harmoni</w:t>
            </w:r>
            <w:r w:rsidR="00995D9E">
              <w:rPr>
                <w:rFonts w:cs="Arial"/>
                <w:szCs w:val="20"/>
                <w:lang w:val="en-GB"/>
              </w:rPr>
              <w:t>s</w:t>
            </w:r>
            <w:r w:rsidRPr="008D2EA0">
              <w:rPr>
                <w:rFonts w:cs="Arial"/>
                <w:szCs w:val="20"/>
                <w:lang w:val="en-GB"/>
              </w:rPr>
              <w:t>ed use restricted to 12.5 MHz across CEPT), has not been a commercial success in Europe, which was one of the reasons to reconsider the harmoni</w:t>
            </w:r>
            <w:r w:rsidR="00995D9E">
              <w:rPr>
                <w:rFonts w:cs="Arial"/>
                <w:szCs w:val="20"/>
                <w:lang w:val="en-GB"/>
              </w:rPr>
              <w:t>s</w:t>
            </w:r>
            <w:r w:rsidRPr="008D2EA0">
              <w:rPr>
                <w:rFonts w:cs="Arial"/>
                <w:szCs w:val="20"/>
                <w:lang w:val="en-GB"/>
              </w:rPr>
              <w:t xml:space="preserve">ation of the L-Band within CEPT.  </w:t>
            </w:r>
          </w:p>
          <w:p w:rsidR="00100C51" w:rsidRPr="008D2EA0" w:rsidRDefault="00100C51" w:rsidP="000D55A2">
            <w:pPr>
              <w:rPr>
                <w:lang w:val="en-GB"/>
              </w:rPr>
            </w:pPr>
          </w:p>
        </w:tc>
      </w:tr>
      <w:tr w:rsidR="00100C51" w:rsidRPr="008D2EA0" w:rsidTr="000D55A2">
        <w:tc>
          <w:tcPr>
            <w:tcW w:w="2242" w:type="dxa"/>
          </w:tcPr>
          <w:p w:rsidR="00100C51" w:rsidRPr="008D2EA0" w:rsidRDefault="00100C51" w:rsidP="000D55A2">
            <w:pPr>
              <w:rPr>
                <w:sz w:val="22"/>
                <w:szCs w:val="22"/>
                <w:lang w:val="en-GB"/>
              </w:rPr>
            </w:pPr>
            <w:r w:rsidRPr="008D2EA0">
              <w:rPr>
                <w:lang w:val="en-GB"/>
              </w:rPr>
              <w:t>Consumer surplus (quantitative)</w:t>
            </w:r>
          </w:p>
        </w:tc>
        <w:tc>
          <w:tcPr>
            <w:tcW w:w="6652" w:type="dxa"/>
          </w:tcPr>
          <w:p w:rsidR="00100C51" w:rsidRPr="008D2EA0" w:rsidRDefault="00100C51" w:rsidP="000D55A2">
            <w:pPr>
              <w:rPr>
                <w:lang w:val="en-GB"/>
              </w:rPr>
            </w:pPr>
            <w:r w:rsidRPr="008D2EA0">
              <w:rPr>
                <w:lang w:val="en-GB"/>
              </w:rPr>
              <w:t xml:space="preserve">See Terrestrial broadcasting above. </w:t>
            </w:r>
          </w:p>
          <w:p w:rsidR="00100C51" w:rsidRPr="008D2EA0" w:rsidRDefault="00100C51" w:rsidP="000D55A2">
            <w:pPr>
              <w:rPr>
                <w:lang w:val="en-GB"/>
              </w:rPr>
            </w:pPr>
            <w:r w:rsidRPr="008D2EA0">
              <w:rPr>
                <w:lang w:val="en-GB"/>
              </w:rPr>
              <w:t>This net present value is valid for a combined system T-DAB and S-DAB. Therefore this value should be used as the combined value for two applications: T-DAB and S-DAB.</w:t>
            </w:r>
          </w:p>
          <w:p w:rsidR="00100C51" w:rsidRPr="008D2EA0" w:rsidRDefault="00100C51" w:rsidP="000D55A2">
            <w:pPr>
              <w:rPr>
                <w:lang w:val="en-GB"/>
              </w:rPr>
            </w:pPr>
          </w:p>
        </w:tc>
      </w:tr>
      <w:tr w:rsidR="00100C51" w:rsidRPr="008D2EA0" w:rsidTr="000D55A2">
        <w:tc>
          <w:tcPr>
            <w:tcW w:w="2242" w:type="dxa"/>
          </w:tcPr>
          <w:p w:rsidR="00100C51" w:rsidRPr="008D2EA0" w:rsidRDefault="00100C51" w:rsidP="000D55A2">
            <w:pPr>
              <w:rPr>
                <w:sz w:val="22"/>
                <w:szCs w:val="22"/>
                <w:lang w:val="en-GB"/>
              </w:rPr>
            </w:pPr>
            <w:r w:rsidRPr="008D2EA0">
              <w:rPr>
                <w:lang w:val="en-GB"/>
              </w:rPr>
              <w:t>Producer/industry benefits</w:t>
            </w:r>
          </w:p>
        </w:tc>
        <w:tc>
          <w:tcPr>
            <w:tcW w:w="6652" w:type="dxa"/>
          </w:tcPr>
          <w:p w:rsidR="00100C51" w:rsidRPr="008D2EA0" w:rsidRDefault="00100C51" w:rsidP="000D55A2">
            <w:pPr>
              <w:rPr>
                <w:rFonts w:cs="Calibri"/>
                <w:lang w:val="en-GB"/>
              </w:rPr>
            </w:pPr>
            <w:r w:rsidRPr="008D2EA0">
              <w:rPr>
                <w:rFonts w:cs="Calibri"/>
                <w:lang w:val="en-GB"/>
              </w:rPr>
              <w:t>The development of S-DAB in Europe is positioned to generate further industrial contracts to the direct benefit of the European economy, as  some European procurement companies stand among worldwide leaders in a number of domains of interest to the deployment of S-DAB services (deployment of conditional access receivers, core technologies, satellite manufacturers and media companies, etc.).</w:t>
            </w:r>
          </w:p>
          <w:p w:rsidR="00C35565" w:rsidRPr="008D2EA0" w:rsidRDefault="00C35565" w:rsidP="000D55A2">
            <w:pPr>
              <w:rPr>
                <w:lang w:val="en-GB"/>
              </w:rPr>
            </w:pPr>
          </w:p>
        </w:tc>
      </w:tr>
      <w:tr w:rsidR="00100C51" w:rsidRPr="008D2EA0" w:rsidTr="000D55A2">
        <w:tc>
          <w:tcPr>
            <w:tcW w:w="2242" w:type="dxa"/>
          </w:tcPr>
          <w:p w:rsidR="00100C51" w:rsidRPr="008D2EA0" w:rsidRDefault="00100C51" w:rsidP="000D55A2">
            <w:pPr>
              <w:rPr>
                <w:lang w:val="en-GB"/>
              </w:rPr>
            </w:pPr>
            <w:r w:rsidRPr="008D2EA0">
              <w:rPr>
                <w:lang w:val="en-GB"/>
              </w:rPr>
              <w:t>Producer surplus (quantitative)</w:t>
            </w:r>
          </w:p>
        </w:tc>
        <w:tc>
          <w:tcPr>
            <w:tcW w:w="6652" w:type="dxa"/>
          </w:tcPr>
          <w:p w:rsidR="00100C51" w:rsidRPr="008D2EA0" w:rsidRDefault="00100C51" w:rsidP="000D55A2">
            <w:pPr>
              <w:rPr>
                <w:lang w:val="en-GB"/>
              </w:rPr>
            </w:pPr>
            <w:r w:rsidRPr="008D2EA0">
              <w:rPr>
                <w:lang w:val="en-GB"/>
              </w:rPr>
              <w:t>See Terrestrial broadcasting above.</w:t>
            </w:r>
          </w:p>
          <w:p w:rsidR="00100C51" w:rsidRPr="008D2EA0" w:rsidRDefault="00100C51" w:rsidP="000D55A2">
            <w:pPr>
              <w:rPr>
                <w:lang w:val="en-GB"/>
              </w:rPr>
            </w:pPr>
            <w:r w:rsidRPr="008D2EA0">
              <w:rPr>
                <w:lang w:val="en-GB"/>
              </w:rPr>
              <w:t>This net present value is valid for a combined system T-DAB and S-DAB. Therefore this value should be used as the combined value for two applications: T-DAB and S-DAB.</w:t>
            </w:r>
          </w:p>
          <w:p w:rsidR="00100C51" w:rsidRPr="008D2EA0" w:rsidRDefault="00100C51" w:rsidP="000D55A2">
            <w:pPr>
              <w:rPr>
                <w:rFonts w:cs="Arial"/>
                <w:szCs w:val="20"/>
                <w:lang w:val="en-GB"/>
              </w:rPr>
            </w:pPr>
          </w:p>
        </w:tc>
      </w:tr>
    </w:tbl>
    <w:p w:rsidR="00100C51" w:rsidRPr="008D2EA0" w:rsidRDefault="00100C51" w:rsidP="00510087">
      <w:pPr>
        <w:pStyle w:val="Heading3"/>
      </w:pPr>
      <w:bookmarkStart w:id="107" w:name="_Toc349039276"/>
      <w:r w:rsidRPr="008D2EA0">
        <w:lastRenderedPageBreak/>
        <w:t>PMSE</w:t>
      </w:r>
      <w:bookmarkEnd w:id="107"/>
    </w:p>
    <w:p w:rsidR="000D55A2" w:rsidRPr="008D2EA0" w:rsidRDefault="000D55A2" w:rsidP="00F21C76">
      <w:pPr>
        <w:pStyle w:val="ECCTabletitle"/>
      </w:pPr>
      <w:r w:rsidRPr="008D2EA0">
        <w:t>Criterion 3 – PMSE</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44"/>
        <w:gridCol w:w="6650"/>
      </w:tblGrid>
      <w:tr w:rsidR="00100C51" w:rsidRPr="008D2EA0" w:rsidTr="000D55A2">
        <w:trPr>
          <w:tblHeader/>
        </w:trPr>
        <w:tc>
          <w:tcPr>
            <w:tcW w:w="2244" w:type="dxa"/>
            <w:tcBorders>
              <w:right w:val="single" w:sz="8" w:space="0" w:color="FFFFFF"/>
            </w:tcBorders>
            <w:shd w:val="clear" w:color="auto" w:fill="D2232A"/>
            <w:vAlign w:val="center"/>
          </w:tcPr>
          <w:p w:rsidR="00100C51" w:rsidRPr="008D2EA0" w:rsidRDefault="00100C51" w:rsidP="000D55A2">
            <w:pPr>
              <w:spacing w:line="288" w:lineRule="auto"/>
              <w:jc w:val="center"/>
              <w:rPr>
                <w:b/>
                <w:color w:val="FFFFFF"/>
                <w:lang w:val="en-GB"/>
              </w:rPr>
            </w:pPr>
          </w:p>
        </w:tc>
        <w:tc>
          <w:tcPr>
            <w:tcW w:w="6650" w:type="dxa"/>
            <w:tcBorders>
              <w:left w:val="single" w:sz="8" w:space="0" w:color="FFFFFF"/>
              <w:right w:val="single" w:sz="8" w:space="0" w:color="FFFFFF"/>
            </w:tcBorders>
            <w:shd w:val="clear" w:color="auto" w:fill="D2232A"/>
            <w:vAlign w:val="center"/>
          </w:tcPr>
          <w:p w:rsidR="00100C51" w:rsidRPr="008D2EA0" w:rsidRDefault="00100C51" w:rsidP="000D55A2">
            <w:pPr>
              <w:spacing w:line="288" w:lineRule="auto"/>
              <w:jc w:val="center"/>
              <w:rPr>
                <w:b/>
                <w:color w:val="FFFFFF"/>
                <w:lang w:val="en-GB"/>
              </w:rPr>
            </w:pPr>
            <w:r w:rsidRPr="008D2EA0">
              <w:rPr>
                <w:b/>
                <w:color w:val="FFFFFF"/>
                <w:lang w:val="en-GB"/>
              </w:rPr>
              <w:t>PMSE</w:t>
            </w:r>
          </w:p>
        </w:tc>
      </w:tr>
      <w:tr w:rsidR="00100C51" w:rsidRPr="008D2EA0" w:rsidTr="000D55A2">
        <w:tc>
          <w:tcPr>
            <w:tcW w:w="2244" w:type="dxa"/>
          </w:tcPr>
          <w:p w:rsidR="00100C51" w:rsidRPr="008D2EA0" w:rsidRDefault="00100C51" w:rsidP="000D55A2">
            <w:pPr>
              <w:rPr>
                <w:sz w:val="22"/>
                <w:szCs w:val="22"/>
                <w:lang w:val="en-GB"/>
              </w:rPr>
            </w:pPr>
            <w:r w:rsidRPr="008D2EA0">
              <w:rPr>
                <w:lang w:val="en-GB"/>
              </w:rPr>
              <w:t>Consumer/citizen benefits</w:t>
            </w:r>
          </w:p>
        </w:tc>
        <w:tc>
          <w:tcPr>
            <w:tcW w:w="6650" w:type="dxa"/>
          </w:tcPr>
          <w:p w:rsidR="00100C51" w:rsidRPr="008D2EA0" w:rsidRDefault="00100C51" w:rsidP="000D55A2">
            <w:pPr>
              <w:rPr>
                <w:lang w:val="en-GB"/>
              </w:rPr>
            </w:pPr>
            <w:r w:rsidRPr="008D2EA0">
              <w:rPr>
                <w:lang w:val="en-GB"/>
              </w:rPr>
              <w:t>Use of the L-band offers the chance to switch to HD sound in production. It will secure the growth of the application as well as the demanded higher quality for productions</w:t>
            </w:r>
            <w:r w:rsidRPr="008D2EA0">
              <w:rPr>
                <w:rStyle w:val="FootnoteReference"/>
                <w:lang w:val="en-GB"/>
              </w:rPr>
              <w:footnoteReference w:id="30"/>
            </w:r>
            <w:r w:rsidRPr="008D2EA0">
              <w:rPr>
                <w:lang w:val="en-GB"/>
              </w:rPr>
              <w:t xml:space="preserve">. </w:t>
            </w:r>
          </w:p>
          <w:p w:rsidR="00100C51" w:rsidRPr="008D2EA0" w:rsidRDefault="00100C51" w:rsidP="000D55A2">
            <w:pPr>
              <w:rPr>
                <w:lang w:val="en-GB"/>
              </w:rPr>
            </w:pPr>
            <w:r w:rsidRPr="008D2EA0">
              <w:rPr>
                <w:lang w:val="en-GB"/>
              </w:rPr>
              <w:t xml:space="preserve">In particular the L-Band will offer to the consumer real HD-sound content. This is especially important at live productions where there is no chance to install complex post production. This allows the development of new performance styles and genres. </w:t>
            </w:r>
          </w:p>
          <w:p w:rsidR="00100C51" w:rsidRPr="008D2EA0" w:rsidRDefault="00100C51" w:rsidP="000D55A2">
            <w:pPr>
              <w:rPr>
                <w:lang w:val="en-GB"/>
              </w:rPr>
            </w:pPr>
            <w:r w:rsidRPr="008D2EA0">
              <w:rPr>
                <w:lang w:val="en-GB"/>
              </w:rPr>
              <w:t>This will benefit the whole cultural and creative sector.</w:t>
            </w:r>
          </w:p>
          <w:p w:rsidR="00C35565" w:rsidRPr="008D2EA0" w:rsidRDefault="00C35565" w:rsidP="000D55A2">
            <w:pPr>
              <w:rPr>
                <w:lang w:val="en-GB"/>
              </w:rPr>
            </w:pPr>
          </w:p>
        </w:tc>
      </w:tr>
      <w:tr w:rsidR="00100C51" w:rsidRPr="008D2EA0" w:rsidTr="000D55A2">
        <w:tc>
          <w:tcPr>
            <w:tcW w:w="2244" w:type="dxa"/>
          </w:tcPr>
          <w:p w:rsidR="00100C51" w:rsidRPr="008D2EA0" w:rsidRDefault="00100C51" w:rsidP="000D55A2">
            <w:pPr>
              <w:rPr>
                <w:sz w:val="22"/>
                <w:szCs w:val="22"/>
                <w:lang w:val="en-GB"/>
              </w:rPr>
            </w:pPr>
            <w:r w:rsidRPr="008D2EA0">
              <w:rPr>
                <w:lang w:val="en-GB"/>
              </w:rPr>
              <w:t>Consumer surplus (quantitative)</w:t>
            </w:r>
          </w:p>
        </w:tc>
        <w:tc>
          <w:tcPr>
            <w:tcW w:w="6650" w:type="dxa"/>
          </w:tcPr>
          <w:p w:rsidR="00100C51" w:rsidRPr="008D2EA0" w:rsidRDefault="00100C51" w:rsidP="000D55A2">
            <w:pPr>
              <w:rPr>
                <w:lang w:val="en-GB"/>
              </w:rPr>
            </w:pPr>
            <w:r w:rsidRPr="008D2EA0">
              <w:rPr>
                <w:lang w:val="en-GB"/>
              </w:rPr>
              <w:t>The quantitative analysis is not available</w:t>
            </w:r>
          </w:p>
        </w:tc>
      </w:tr>
      <w:tr w:rsidR="00100C51" w:rsidRPr="008D2EA0" w:rsidTr="000D55A2">
        <w:tc>
          <w:tcPr>
            <w:tcW w:w="2244" w:type="dxa"/>
          </w:tcPr>
          <w:p w:rsidR="00100C51" w:rsidRPr="008D2EA0" w:rsidRDefault="00100C51" w:rsidP="000D55A2">
            <w:pPr>
              <w:rPr>
                <w:sz w:val="22"/>
                <w:szCs w:val="22"/>
                <w:lang w:val="en-GB"/>
              </w:rPr>
            </w:pPr>
            <w:r w:rsidRPr="008D2EA0">
              <w:rPr>
                <w:lang w:val="en-GB"/>
              </w:rPr>
              <w:t>Producer/industry benefits</w:t>
            </w:r>
          </w:p>
        </w:tc>
        <w:tc>
          <w:tcPr>
            <w:tcW w:w="6650" w:type="dxa"/>
          </w:tcPr>
          <w:p w:rsidR="00100C51" w:rsidRPr="008D2EA0" w:rsidRDefault="00100C51" w:rsidP="000D55A2">
            <w:pPr>
              <w:rPr>
                <w:lang w:val="en-GB"/>
              </w:rPr>
            </w:pPr>
            <w:r w:rsidRPr="008D2EA0">
              <w:rPr>
                <w:lang w:val="en-GB"/>
              </w:rPr>
              <w:t>The possibility to use PMSE within the L-band will allow cost reduction and more flexibility for major cultural/media events that require a heavy use of PMSE. The saving from using increased capacity associated with the L-band can be a significant part of t</w:t>
            </w:r>
            <w:r w:rsidR="00052F6E" w:rsidRPr="008D2EA0">
              <w:rPr>
                <w:lang w:val="en-GB"/>
              </w:rPr>
              <w:t>he production cost in average (e</w:t>
            </w:r>
            <w:r w:rsidRPr="008D2EA0">
              <w:rPr>
                <w:lang w:val="en-GB"/>
              </w:rPr>
              <w:t>.g. shorter rent of a venue but also less staff and a greater flexibility when changes are necessary). It depends on the size and complexity of a production. In particular more complex large productions (such as musicals) can be performed.</w:t>
            </w:r>
          </w:p>
          <w:p w:rsidR="00100C51" w:rsidRPr="008D2EA0" w:rsidRDefault="00100C51" w:rsidP="000D55A2">
            <w:pPr>
              <w:rPr>
                <w:lang w:val="en-GB"/>
              </w:rPr>
            </w:pPr>
            <w:r w:rsidRPr="008D2EA0">
              <w:rPr>
                <w:lang w:val="en-GB"/>
              </w:rPr>
              <w:t>At the beginning of 2012 a total of 8900 TV channels were available in the EU and the candidate count</w:t>
            </w:r>
            <w:r w:rsidR="00244123" w:rsidRPr="008D2EA0">
              <w:rPr>
                <w:lang w:val="en-GB"/>
              </w:rPr>
              <w:t>r</w:t>
            </w:r>
            <w:r w:rsidRPr="008D2EA0">
              <w:rPr>
                <w:lang w:val="en-GB"/>
              </w:rPr>
              <w:t>ies. At the end of 2011 approximately 612 have been already HD channels. 20 % are broadcasting sport followed by film (15%).</w:t>
            </w:r>
            <w:r w:rsidRPr="008D2EA0">
              <w:rPr>
                <w:rStyle w:val="FootnoteReference"/>
                <w:lang w:val="en-GB"/>
              </w:rPr>
              <w:footnoteReference w:id="31"/>
            </w:r>
            <w:r w:rsidRPr="008D2EA0">
              <w:rPr>
                <w:lang w:val="en-GB"/>
              </w:rPr>
              <w:t xml:space="preserve"> Developing HD-TV to a complete system it has be combined with HD-Sound to make it more vibrant. Viewers are sticking longer to “full” HD TV channels. HD sound will enable Commercial broadcasters to continue to compete for ad revenues.</w:t>
            </w:r>
          </w:p>
          <w:p w:rsidR="00100C51" w:rsidRPr="008D2EA0" w:rsidRDefault="00100C51" w:rsidP="000D55A2">
            <w:pPr>
              <w:rPr>
                <w:lang w:val="en-GB"/>
              </w:rPr>
            </w:pPr>
            <w:r w:rsidRPr="008D2EA0">
              <w:rPr>
                <w:lang w:val="en-GB"/>
              </w:rPr>
              <w:t>Enabling PMSE in the L-band will also support the expansion of the PMSE application (e.g. current annual growth of HD content in Germany is about 15%), and the demand for improved sound quality (HD-Sound).</w:t>
            </w:r>
          </w:p>
          <w:p w:rsidR="00100C51" w:rsidRPr="008D2EA0" w:rsidRDefault="00100C51" w:rsidP="000D55A2">
            <w:pPr>
              <w:rPr>
                <w:lang w:val="en-GB"/>
              </w:rPr>
            </w:pPr>
            <w:r w:rsidRPr="008D2EA0">
              <w:rPr>
                <w:lang w:val="en-GB"/>
              </w:rPr>
              <w:t>The new HD-Sound will change the equipment in the wireless production segment: as the studio equipment is already on HD level the wireless HD component will now fill up the missing gap. This will substantially stimulate the market for professional wireless production equipment.</w:t>
            </w:r>
          </w:p>
          <w:p w:rsidR="00C35565" w:rsidRPr="008D2EA0" w:rsidRDefault="00C35565" w:rsidP="000D55A2">
            <w:pPr>
              <w:rPr>
                <w:lang w:val="en-GB"/>
              </w:rPr>
            </w:pPr>
          </w:p>
        </w:tc>
      </w:tr>
      <w:tr w:rsidR="00100C51" w:rsidRPr="008D2EA0" w:rsidTr="000D55A2">
        <w:tc>
          <w:tcPr>
            <w:tcW w:w="2244" w:type="dxa"/>
          </w:tcPr>
          <w:p w:rsidR="00100C51" w:rsidRPr="008D2EA0" w:rsidRDefault="00100C51" w:rsidP="000D55A2">
            <w:pPr>
              <w:rPr>
                <w:lang w:val="en-GB"/>
              </w:rPr>
            </w:pPr>
            <w:r w:rsidRPr="008D2EA0">
              <w:rPr>
                <w:lang w:val="en-GB"/>
              </w:rPr>
              <w:t>Producer surplus (quantitative)</w:t>
            </w:r>
          </w:p>
        </w:tc>
        <w:tc>
          <w:tcPr>
            <w:tcW w:w="6650" w:type="dxa"/>
          </w:tcPr>
          <w:p w:rsidR="00100C51" w:rsidRPr="008D2EA0" w:rsidRDefault="00100C51" w:rsidP="000D55A2">
            <w:pPr>
              <w:rPr>
                <w:lang w:val="en-GB"/>
              </w:rPr>
            </w:pPr>
            <w:r w:rsidRPr="008D2EA0">
              <w:rPr>
                <w:lang w:val="en-GB"/>
              </w:rPr>
              <w:t xml:space="preserve">A detailed analysis was not available. However based on the following simplified assumptions : </w:t>
            </w:r>
          </w:p>
          <w:p w:rsidR="00100C51" w:rsidRPr="008D2EA0" w:rsidRDefault="00100C51" w:rsidP="00290368">
            <w:pPr>
              <w:pStyle w:val="ListParagraph"/>
              <w:numPr>
                <w:ilvl w:val="0"/>
                <w:numId w:val="37"/>
              </w:numPr>
              <w:ind w:left="341" w:hanging="283"/>
              <w:rPr>
                <w:lang w:val="en-GB"/>
              </w:rPr>
            </w:pPr>
            <w:r w:rsidRPr="008D2EA0">
              <w:rPr>
                <w:lang w:val="en-GB"/>
              </w:rPr>
              <w:t xml:space="preserve">limited access to the UHF band, </w:t>
            </w:r>
          </w:p>
          <w:p w:rsidR="00100C51" w:rsidRPr="008D2EA0" w:rsidRDefault="00100C51" w:rsidP="00290368">
            <w:pPr>
              <w:pStyle w:val="ListParagraph"/>
              <w:numPr>
                <w:ilvl w:val="0"/>
                <w:numId w:val="37"/>
              </w:numPr>
              <w:ind w:left="341" w:hanging="283"/>
              <w:rPr>
                <w:lang w:val="en-GB"/>
              </w:rPr>
            </w:pPr>
            <w:r w:rsidRPr="008D2EA0">
              <w:rPr>
                <w:lang w:val="en-GB"/>
              </w:rPr>
              <w:t>a new market is created for HD-sound microphones equivalent in value to the existing market (with a transition period reduced to zero),</w:t>
            </w:r>
          </w:p>
          <w:p w:rsidR="00100C51" w:rsidRPr="008D2EA0" w:rsidRDefault="00100C51" w:rsidP="00290368">
            <w:pPr>
              <w:pStyle w:val="ListParagraph"/>
              <w:numPr>
                <w:ilvl w:val="0"/>
                <w:numId w:val="37"/>
              </w:numPr>
              <w:ind w:left="341" w:hanging="283"/>
              <w:rPr>
                <w:lang w:val="en-GB"/>
              </w:rPr>
            </w:pPr>
            <w:r w:rsidRPr="008D2EA0">
              <w:rPr>
                <w:lang w:val="en-GB"/>
              </w:rPr>
              <w:t>the L-band is used across all CEPT countries,</w:t>
            </w:r>
          </w:p>
          <w:p w:rsidR="00100C51" w:rsidRPr="008D2EA0" w:rsidRDefault="00100C51" w:rsidP="000D55A2">
            <w:pPr>
              <w:rPr>
                <w:lang w:val="en-GB"/>
              </w:rPr>
            </w:pPr>
            <w:r w:rsidRPr="008D2EA0">
              <w:rPr>
                <w:lang w:val="en-GB"/>
              </w:rPr>
              <w:t>the following best effort estimation is provided.</w:t>
            </w:r>
          </w:p>
          <w:p w:rsidR="00100C51" w:rsidRPr="008D2EA0" w:rsidRDefault="00100C51" w:rsidP="000D55A2">
            <w:pPr>
              <w:rPr>
                <w:lang w:val="en-GB"/>
              </w:rPr>
            </w:pPr>
            <w:r w:rsidRPr="008D2EA0">
              <w:rPr>
                <w:lang w:val="en-GB"/>
              </w:rPr>
              <w:t xml:space="preserve">The average turnover of PMSE manufactures in Europe is around 280 </w:t>
            </w:r>
            <w:r w:rsidR="00244123" w:rsidRPr="008D2EA0">
              <w:rPr>
                <w:lang w:val="en-GB"/>
              </w:rPr>
              <w:t xml:space="preserve">M€ </w:t>
            </w:r>
            <w:r w:rsidRPr="008D2EA0">
              <w:rPr>
                <w:lang w:val="en-GB"/>
              </w:rPr>
              <w:t xml:space="preserve">p.a. The new market for HD-sound microphones (when using the L-band) can be estimated to be about equivalent to the current turnover for PMSE manufacturers (280 M€ p.a.). </w:t>
            </w:r>
          </w:p>
          <w:p w:rsidR="00100C51" w:rsidRPr="008D2EA0" w:rsidRDefault="00100C51" w:rsidP="00A953FD">
            <w:pPr>
              <w:rPr>
                <w:lang w:val="en-GB"/>
              </w:rPr>
            </w:pPr>
            <w:r w:rsidRPr="008D2EA0">
              <w:rPr>
                <w:lang w:val="en-GB"/>
              </w:rPr>
              <w:t>Based on this estimation the 10 year NPV is: 1.9 b€</w:t>
            </w:r>
          </w:p>
        </w:tc>
      </w:tr>
    </w:tbl>
    <w:p w:rsidR="00100C51" w:rsidRPr="008D2EA0" w:rsidRDefault="00100C51" w:rsidP="00A953FD">
      <w:pPr>
        <w:pStyle w:val="Heading3"/>
      </w:pPr>
      <w:bookmarkStart w:id="108" w:name="_Toc349039277"/>
      <w:r w:rsidRPr="008D2EA0">
        <w:lastRenderedPageBreak/>
        <w:t>Broadband PPDR for local and temporary use</w:t>
      </w:r>
      <w:bookmarkEnd w:id="108"/>
    </w:p>
    <w:p w:rsidR="000D55A2" w:rsidRPr="008D2EA0" w:rsidRDefault="000D55A2" w:rsidP="00F21C76">
      <w:pPr>
        <w:pStyle w:val="ECCTabletitle"/>
      </w:pPr>
      <w:r w:rsidRPr="008D2EA0">
        <w:t>Criterion 3 – Broadband PPDR</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43"/>
        <w:gridCol w:w="6651"/>
      </w:tblGrid>
      <w:tr w:rsidR="00100C51" w:rsidRPr="008D2EA0" w:rsidTr="000D55A2">
        <w:trPr>
          <w:tblHeader/>
        </w:trPr>
        <w:tc>
          <w:tcPr>
            <w:tcW w:w="2243" w:type="dxa"/>
            <w:tcBorders>
              <w:right w:val="single" w:sz="8" w:space="0" w:color="FFFFFF"/>
            </w:tcBorders>
            <w:shd w:val="clear" w:color="auto" w:fill="D2232A"/>
            <w:vAlign w:val="center"/>
          </w:tcPr>
          <w:p w:rsidR="00100C51" w:rsidRPr="008D2EA0" w:rsidRDefault="00100C51" w:rsidP="00A953FD">
            <w:pPr>
              <w:keepNext/>
              <w:spacing w:line="288" w:lineRule="auto"/>
              <w:jc w:val="center"/>
              <w:rPr>
                <w:b/>
                <w:color w:val="FFFFFF"/>
                <w:lang w:val="en-GB"/>
              </w:rPr>
            </w:pPr>
          </w:p>
        </w:tc>
        <w:tc>
          <w:tcPr>
            <w:tcW w:w="6651" w:type="dxa"/>
            <w:tcBorders>
              <w:left w:val="single" w:sz="8" w:space="0" w:color="FFFFFF"/>
              <w:right w:val="single" w:sz="8" w:space="0" w:color="FFFFFF"/>
            </w:tcBorders>
            <w:shd w:val="clear" w:color="auto" w:fill="D2232A"/>
            <w:vAlign w:val="center"/>
          </w:tcPr>
          <w:p w:rsidR="00100C51" w:rsidRPr="008D2EA0" w:rsidRDefault="00100C51" w:rsidP="00A953FD">
            <w:pPr>
              <w:keepNext/>
              <w:spacing w:line="288" w:lineRule="auto"/>
              <w:jc w:val="center"/>
              <w:rPr>
                <w:b/>
                <w:color w:val="FFFFFF"/>
                <w:lang w:val="en-GB"/>
              </w:rPr>
            </w:pPr>
            <w:r w:rsidRPr="008D2EA0">
              <w:rPr>
                <w:b/>
                <w:color w:val="FFFFFF"/>
                <w:lang w:val="en-GB"/>
              </w:rPr>
              <w:t>Broadband PPDR for local and temporary use</w:t>
            </w:r>
          </w:p>
        </w:tc>
      </w:tr>
      <w:tr w:rsidR="00100C51" w:rsidRPr="008D2EA0" w:rsidTr="000D55A2">
        <w:tc>
          <w:tcPr>
            <w:tcW w:w="2243" w:type="dxa"/>
          </w:tcPr>
          <w:p w:rsidR="00100C51" w:rsidRPr="008D2EA0" w:rsidRDefault="00100C51" w:rsidP="000D55A2">
            <w:pPr>
              <w:rPr>
                <w:sz w:val="22"/>
                <w:szCs w:val="22"/>
                <w:lang w:val="en-GB"/>
              </w:rPr>
            </w:pPr>
            <w:r w:rsidRPr="008D2EA0">
              <w:rPr>
                <w:lang w:val="en-GB"/>
              </w:rPr>
              <w:t>Consumer/citizen benefits</w:t>
            </w:r>
          </w:p>
        </w:tc>
        <w:tc>
          <w:tcPr>
            <w:tcW w:w="6651" w:type="dxa"/>
          </w:tcPr>
          <w:p w:rsidR="00100C51" w:rsidRPr="008D2EA0" w:rsidRDefault="00100C51" w:rsidP="000D55A2">
            <w:pPr>
              <w:rPr>
                <w:lang w:val="en-GB"/>
              </w:rPr>
            </w:pPr>
            <w:r w:rsidRPr="008D2EA0">
              <w:rPr>
                <w:lang w:val="en-GB"/>
              </w:rPr>
              <w:t>Reduced risk of loss of life</w:t>
            </w:r>
          </w:p>
          <w:p w:rsidR="00100C51" w:rsidRPr="008D2EA0" w:rsidRDefault="00100C51" w:rsidP="00F657F3">
            <w:pPr>
              <w:tabs>
                <w:tab w:val="left" w:pos="3097"/>
              </w:tabs>
              <w:rPr>
                <w:lang w:val="en-GB"/>
              </w:rPr>
            </w:pPr>
            <w:r w:rsidRPr="008D2EA0">
              <w:rPr>
                <w:rFonts w:cs="Arial"/>
                <w:szCs w:val="20"/>
                <w:lang w:val="en-GB"/>
              </w:rPr>
              <w:t xml:space="preserve">Based on existing studies, reasoning is given that saving a life has a monetary value of at least 2 to 10 </w:t>
            </w:r>
            <w:r w:rsidR="00244123" w:rsidRPr="008D2EA0">
              <w:rPr>
                <w:rFonts w:cs="Arial"/>
                <w:szCs w:val="20"/>
                <w:lang w:val="en-GB"/>
              </w:rPr>
              <w:t>M€</w:t>
            </w:r>
            <w:r w:rsidRPr="008D2EA0">
              <w:rPr>
                <w:rFonts w:cs="Arial"/>
                <w:szCs w:val="20"/>
                <w:lang w:val="en-GB"/>
              </w:rPr>
              <w:t xml:space="preserve"> per year, aside the obvious societal benefits. Enhanced PPDR communications protect and save lives in day to day usage and in disaster situations. Publicly available statistics suggest that better disaster preparedness has played a huge role in reducing loss of life over the past century, and will presumably continue to do so. Therefore it is reasonable to assume that these savings would be real and substantial.</w:t>
            </w:r>
          </w:p>
          <w:p w:rsidR="00100C51" w:rsidRPr="008D2EA0" w:rsidRDefault="00100C51" w:rsidP="000D55A2">
            <w:pPr>
              <w:rPr>
                <w:lang w:val="en-GB"/>
              </w:rPr>
            </w:pPr>
            <w:r w:rsidRPr="008D2EA0">
              <w:rPr>
                <w:color w:val="000000"/>
                <w:lang w:val="en-GB"/>
              </w:rPr>
              <w:t xml:space="preserve">The following is an example to illustrate the consumer/citizen benefit. Case of the crash of </w:t>
            </w:r>
            <w:r w:rsidR="00F657F3" w:rsidRPr="008D2EA0">
              <w:rPr>
                <w:color w:val="000000"/>
                <w:lang w:val="en-GB"/>
              </w:rPr>
              <w:t>an aircraft</w:t>
            </w:r>
            <w:r w:rsidRPr="008D2EA0">
              <w:rPr>
                <w:color w:val="000000"/>
                <w:lang w:val="en-GB"/>
              </w:rPr>
              <w:t>, on 13 January 1982</w:t>
            </w:r>
            <w:r w:rsidRPr="008D2EA0">
              <w:rPr>
                <w:rStyle w:val="FootnoteReference"/>
                <w:color w:val="000000"/>
                <w:lang w:val="en-GB"/>
              </w:rPr>
              <w:footnoteReference w:id="32"/>
            </w:r>
            <w:r w:rsidRPr="008D2EA0">
              <w:rPr>
                <w:color w:val="000000"/>
                <w:lang w:val="en-GB"/>
              </w:rPr>
              <w:t>. The plane crashed just after take-off onto the 14th Street Bridge, which is the link between Washington, DC and the state of Virginia. The crash thus took place squarely at the point of intersection of the authority of the US government and of two US states. Attempts to rescue survivors were likely hampered by the lack of interoperable communications between the US Coast Guard, the National Park Service, and PPDR workers from Virginia and Washington, DC. Seventy-eight people died in that crash. Five people were successfully rescued, but many who otherwise might have survived the crash perished in the icy water of the Potomac River.</w:t>
            </w:r>
          </w:p>
          <w:p w:rsidR="00100C51" w:rsidRPr="008D2EA0" w:rsidRDefault="00100C51" w:rsidP="000D55A2">
            <w:pPr>
              <w:rPr>
                <w:lang w:val="en-GB"/>
              </w:rPr>
            </w:pPr>
          </w:p>
          <w:p w:rsidR="00100C51" w:rsidRPr="008D2EA0" w:rsidRDefault="00100C51" w:rsidP="000D55A2">
            <w:pPr>
              <w:rPr>
                <w:lang w:val="en-GB"/>
              </w:rPr>
            </w:pPr>
            <w:r w:rsidRPr="008D2EA0">
              <w:rPr>
                <w:lang w:val="en-GB"/>
              </w:rPr>
              <w:t>Reduced risk of loss of property</w:t>
            </w:r>
          </w:p>
          <w:p w:rsidR="00100C51" w:rsidRPr="008D2EA0" w:rsidRDefault="00100C51" w:rsidP="000D55A2">
            <w:pPr>
              <w:rPr>
                <w:rFonts w:cs="Arial"/>
                <w:szCs w:val="20"/>
                <w:lang w:val="en-GB"/>
              </w:rPr>
            </w:pPr>
            <w:r w:rsidRPr="008D2EA0">
              <w:rPr>
                <w:rFonts w:cs="Arial"/>
                <w:szCs w:val="20"/>
                <w:lang w:val="en-GB"/>
              </w:rPr>
              <w:t xml:space="preserve">Statistics show a substantial </w:t>
            </w:r>
            <w:r w:rsidRPr="008D2EA0">
              <w:rPr>
                <w:rFonts w:cs="Arial"/>
                <w:i/>
                <w:iCs/>
                <w:szCs w:val="20"/>
                <w:lang w:val="en-GB"/>
              </w:rPr>
              <w:t xml:space="preserve">increase </w:t>
            </w:r>
            <w:r w:rsidRPr="008D2EA0">
              <w:rPr>
                <w:rFonts w:cs="Arial"/>
                <w:szCs w:val="20"/>
                <w:lang w:val="en-GB"/>
              </w:rPr>
              <w:t>in property damage due to disasters throughout the past century, despite improvements in preparedness. In any case, better PPDR communications result in more effective response, and thus in reduced risk to property.</w:t>
            </w:r>
          </w:p>
          <w:p w:rsidR="00100C51" w:rsidRPr="008D2EA0" w:rsidRDefault="00100C51" w:rsidP="000D55A2">
            <w:pPr>
              <w:rPr>
                <w:lang w:val="en-GB"/>
              </w:rPr>
            </w:pPr>
          </w:p>
          <w:p w:rsidR="00100C51" w:rsidRPr="008D2EA0" w:rsidRDefault="00100C51" w:rsidP="000D55A2">
            <w:pPr>
              <w:rPr>
                <w:lang w:val="en-GB"/>
              </w:rPr>
            </w:pPr>
            <w:r w:rsidRPr="008D2EA0">
              <w:rPr>
                <w:lang w:val="en-GB"/>
              </w:rPr>
              <w:t>Productivity improvements for the PPDR activity</w:t>
            </w:r>
          </w:p>
          <w:p w:rsidR="00100C51" w:rsidRPr="008D2EA0" w:rsidRDefault="00100C51" w:rsidP="000D55A2">
            <w:pPr>
              <w:rPr>
                <w:rFonts w:cs="Arial"/>
                <w:szCs w:val="20"/>
                <w:lang w:val="en-GB"/>
              </w:rPr>
            </w:pPr>
            <w:r w:rsidRPr="008D2EA0">
              <w:rPr>
                <w:rFonts w:cs="Arial"/>
                <w:szCs w:val="20"/>
                <w:lang w:val="en-GB"/>
              </w:rPr>
              <w:t>PPDR providers should be able to achieve better protection at the same price, or comparable protection at a lower price.</w:t>
            </w:r>
          </w:p>
          <w:p w:rsidR="00100C51" w:rsidRPr="008D2EA0" w:rsidRDefault="00100C51" w:rsidP="000D55A2">
            <w:pPr>
              <w:rPr>
                <w:lang w:val="en-GB"/>
              </w:rPr>
            </w:pPr>
          </w:p>
          <w:p w:rsidR="00100C51" w:rsidRPr="008D2EA0" w:rsidRDefault="00100C51" w:rsidP="000D55A2">
            <w:pPr>
              <w:rPr>
                <w:lang w:val="en-GB"/>
              </w:rPr>
            </w:pPr>
            <w:r w:rsidRPr="008D2EA0">
              <w:rPr>
                <w:lang w:val="en-GB"/>
              </w:rPr>
              <w:t>Reduced risk of injury or death for PPDR forces</w:t>
            </w:r>
          </w:p>
          <w:p w:rsidR="00100C51" w:rsidRPr="008D2EA0" w:rsidRDefault="00100C51" w:rsidP="000D55A2">
            <w:pPr>
              <w:rPr>
                <w:rFonts w:cs="Arial"/>
                <w:szCs w:val="20"/>
                <w:lang w:val="en-GB"/>
              </w:rPr>
            </w:pPr>
            <w:r w:rsidRPr="008D2EA0">
              <w:rPr>
                <w:rFonts w:cs="Arial"/>
                <w:szCs w:val="20"/>
                <w:lang w:val="en-GB"/>
              </w:rPr>
              <w:t>Improved tools reduce the personal risk for PPDR professionals.</w:t>
            </w:r>
          </w:p>
          <w:p w:rsidR="00244123" w:rsidRPr="008D2EA0" w:rsidRDefault="00244123" w:rsidP="000D55A2">
            <w:pPr>
              <w:rPr>
                <w:lang w:val="en-GB"/>
              </w:rPr>
            </w:pPr>
          </w:p>
        </w:tc>
      </w:tr>
      <w:tr w:rsidR="00100C51" w:rsidRPr="008D2EA0" w:rsidTr="000D55A2">
        <w:tc>
          <w:tcPr>
            <w:tcW w:w="2243" w:type="dxa"/>
          </w:tcPr>
          <w:p w:rsidR="00100C51" w:rsidRPr="008D2EA0" w:rsidRDefault="00100C51" w:rsidP="000D55A2">
            <w:pPr>
              <w:rPr>
                <w:sz w:val="22"/>
                <w:szCs w:val="22"/>
                <w:lang w:val="en-GB"/>
              </w:rPr>
            </w:pPr>
            <w:r w:rsidRPr="008D2EA0">
              <w:rPr>
                <w:lang w:val="en-GB"/>
              </w:rPr>
              <w:t>Consumer surplus (quantitative)</w:t>
            </w:r>
          </w:p>
        </w:tc>
        <w:tc>
          <w:tcPr>
            <w:tcW w:w="6651" w:type="dxa"/>
          </w:tcPr>
          <w:p w:rsidR="00100C51" w:rsidRPr="008D2EA0" w:rsidRDefault="00100C51" w:rsidP="00E60485">
            <w:pPr>
              <w:spacing w:after="120"/>
              <w:rPr>
                <w:lang w:val="en-GB"/>
              </w:rPr>
            </w:pPr>
            <w:r w:rsidRPr="008D2EA0">
              <w:rPr>
                <w:lang w:val="en-GB"/>
              </w:rPr>
              <w:t>4.7 b</w:t>
            </w:r>
            <w:r w:rsidRPr="008D2EA0">
              <w:rPr>
                <w:color w:val="000000"/>
                <w:lang w:val="en-GB"/>
              </w:rPr>
              <w:t>€.</w:t>
            </w:r>
          </w:p>
          <w:p w:rsidR="00100C51" w:rsidRPr="008D2EA0" w:rsidRDefault="00100C51" w:rsidP="000D55A2">
            <w:pPr>
              <w:rPr>
                <w:color w:val="000000"/>
                <w:lang w:val="en-GB"/>
              </w:rPr>
            </w:pPr>
            <w:r w:rsidRPr="008D2EA0">
              <w:rPr>
                <w:color w:val="000000"/>
                <w:lang w:val="en-GB"/>
              </w:rPr>
              <w:t>Formally, the following analysis represents a partial cost-benefit analysis.</w:t>
            </w:r>
            <w:r w:rsidRPr="008D2EA0">
              <w:rPr>
                <w:b/>
                <w:bCs/>
                <w:color w:val="000000"/>
                <w:lang w:val="en-GB"/>
              </w:rPr>
              <w:t xml:space="preserve"> </w:t>
            </w:r>
            <w:r w:rsidRPr="008D2EA0">
              <w:rPr>
                <w:color w:val="000000"/>
                <w:lang w:val="en-GB"/>
              </w:rPr>
              <w:t>Some of the costs and benefits of the various options can be monetized, but others cannot. Consistent with standard practice for an impact analysis,</w:t>
            </w:r>
            <w:r w:rsidRPr="008D2EA0">
              <w:rPr>
                <w:b/>
                <w:bCs/>
                <w:color w:val="000000"/>
                <w:lang w:val="en-GB"/>
              </w:rPr>
              <w:t xml:space="preserve"> </w:t>
            </w:r>
            <w:r w:rsidRPr="008D2EA0">
              <w:rPr>
                <w:color w:val="000000"/>
                <w:lang w:val="en-GB"/>
              </w:rPr>
              <w:t xml:space="preserve">the benefit is justified by any combination of lives saved, property loss avoided, gains in operational efficiency, and avoidance of loss of life of PPDR personnel. </w:t>
            </w:r>
          </w:p>
          <w:p w:rsidR="00100C51" w:rsidRPr="008D2EA0" w:rsidRDefault="00100C51" w:rsidP="000D55A2">
            <w:pPr>
              <w:rPr>
                <w:color w:val="000000"/>
                <w:lang w:val="en-GB"/>
              </w:rPr>
            </w:pPr>
          </w:p>
          <w:p w:rsidR="00100C51" w:rsidRPr="008D2EA0" w:rsidRDefault="00100C51" w:rsidP="000D55A2">
            <w:pPr>
              <w:rPr>
                <w:color w:val="000000"/>
                <w:lang w:val="en-GB"/>
              </w:rPr>
            </w:pPr>
            <w:r w:rsidRPr="008D2EA0">
              <w:rPr>
                <w:color w:val="000000"/>
                <w:lang w:val="en-GB"/>
              </w:rPr>
              <w:t xml:space="preserve">In a simple calculation, the net savings is €57 million per year in Germany (see WIK-Report p. 96). Germany represents nearly 9% of the CEPT population. </w:t>
            </w:r>
          </w:p>
          <w:p w:rsidR="00100C51" w:rsidRPr="008D2EA0" w:rsidRDefault="00100C51" w:rsidP="000D55A2">
            <w:pPr>
              <w:rPr>
                <w:color w:val="000000"/>
                <w:lang w:val="en-GB"/>
              </w:rPr>
            </w:pPr>
          </w:p>
          <w:p w:rsidR="00100C51" w:rsidRPr="008D2EA0" w:rsidRDefault="00100C51" w:rsidP="000D55A2">
            <w:pPr>
              <w:rPr>
                <w:color w:val="000000"/>
                <w:lang w:val="en-GB"/>
              </w:rPr>
            </w:pPr>
            <w:r w:rsidRPr="008D2EA0">
              <w:rPr>
                <w:color w:val="000000"/>
                <w:lang w:val="en-GB"/>
              </w:rPr>
              <w:t>In a ten-year period, the net saving is 6.</w:t>
            </w:r>
            <w:r w:rsidRPr="008D2EA0">
              <w:rPr>
                <w:lang w:val="en-GB"/>
              </w:rPr>
              <w:t>3 b</w:t>
            </w:r>
            <w:r w:rsidRPr="008D2EA0">
              <w:rPr>
                <w:color w:val="000000"/>
                <w:lang w:val="en-GB"/>
              </w:rPr>
              <w:t>€ (€57,000,000 / 9 x 100 x 10 years).</w:t>
            </w:r>
          </w:p>
          <w:p w:rsidR="00100C51" w:rsidRPr="008D2EA0" w:rsidRDefault="00100C51" w:rsidP="000D55A2">
            <w:pPr>
              <w:rPr>
                <w:color w:val="000000"/>
                <w:lang w:val="en-GB"/>
              </w:rPr>
            </w:pPr>
            <w:r w:rsidRPr="008D2EA0">
              <w:rPr>
                <w:color w:val="000000"/>
                <w:lang w:val="en-GB"/>
              </w:rPr>
              <w:t xml:space="preserve">It is assumed that the population growth will be of about 5 % over the 10 </w:t>
            </w:r>
            <w:r w:rsidRPr="008D2EA0">
              <w:rPr>
                <w:color w:val="000000"/>
                <w:lang w:val="en-GB"/>
              </w:rPr>
              <w:lastRenderedPageBreak/>
              <w:t>next years.</w:t>
            </w:r>
          </w:p>
          <w:p w:rsidR="00100C51" w:rsidRPr="008D2EA0" w:rsidRDefault="00100C51" w:rsidP="000D55A2">
            <w:pPr>
              <w:rPr>
                <w:color w:val="000000"/>
                <w:lang w:val="en-GB"/>
              </w:rPr>
            </w:pPr>
            <w:r w:rsidRPr="008D2EA0">
              <w:rPr>
                <w:color w:val="000000"/>
                <w:lang w:val="en-GB"/>
              </w:rPr>
              <w:t>Applying a discount rate of 10 % over the same period, the NPV is 4.7 b€.</w:t>
            </w:r>
          </w:p>
          <w:p w:rsidR="00100C51" w:rsidRPr="008D2EA0" w:rsidRDefault="00100C51" w:rsidP="000D55A2">
            <w:pPr>
              <w:rPr>
                <w:color w:val="000000"/>
                <w:lang w:val="en-GB"/>
              </w:rPr>
            </w:pPr>
          </w:p>
          <w:p w:rsidR="00100C51" w:rsidRPr="008D2EA0" w:rsidRDefault="00100C51" w:rsidP="000D55A2">
            <w:pPr>
              <w:rPr>
                <w:color w:val="000000"/>
                <w:lang w:val="en-GB"/>
              </w:rPr>
            </w:pPr>
            <w:r w:rsidRPr="008D2EA0">
              <w:rPr>
                <w:color w:val="000000"/>
                <w:lang w:val="en-GB"/>
              </w:rPr>
              <w:t xml:space="preserve">Given the estimation of €1,500 million per year of natural disaster damages, per year on average, based on the example of Germany, a fairly modest improvement in the effectiveness of response could easily exceed this threshold. Similarly, in light of the number of crimes per year and the societal cost per crime, improved effectiveness of crime prevention and deterrence (together with similar improvements for fire and emergency medical) is likely to exceed this threshold by a substantial margin. </w:t>
            </w:r>
          </w:p>
          <w:p w:rsidR="00100C51" w:rsidRPr="008D2EA0" w:rsidRDefault="00100C51" w:rsidP="000D55A2">
            <w:pPr>
              <w:rPr>
                <w:color w:val="000000"/>
                <w:lang w:val="en-GB"/>
              </w:rPr>
            </w:pPr>
          </w:p>
        </w:tc>
      </w:tr>
      <w:tr w:rsidR="00100C51" w:rsidRPr="008D2EA0" w:rsidTr="000D55A2">
        <w:tc>
          <w:tcPr>
            <w:tcW w:w="2243" w:type="dxa"/>
          </w:tcPr>
          <w:p w:rsidR="00100C51" w:rsidRPr="008D2EA0" w:rsidRDefault="00100C51" w:rsidP="000D55A2">
            <w:pPr>
              <w:rPr>
                <w:sz w:val="22"/>
                <w:szCs w:val="22"/>
                <w:lang w:val="en-GB"/>
              </w:rPr>
            </w:pPr>
            <w:r w:rsidRPr="008D2EA0">
              <w:rPr>
                <w:lang w:val="en-GB"/>
              </w:rPr>
              <w:lastRenderedPageBreak/>
              <w:t>Producer/industry benefits</w:t>
            </w:r>
          </w:p>
        </w:tc>
        <w:tc>
          <w:tcPr>
            <w:tcW w:w="6651" w:type="dxa"/>
          </w:tcPr>
          <w:p w:rsidR="00100C51" w:rsidRPr="008D2EA0" w:rsidRDefault="00100C51" w:rsidP="000D55A2">
            <w:pPr>
              <w:rPr>
                <w:szCs w:val="20"/>
                <w:lang w:val="en-GB"/>
              </w:rPr>
            </w:pPr>
            <w:r w:rsidRPr="008D2EA0">
              <w:rPr>
                <w:szCs w:val="20"/>
                <w:lang w:val="en-GB"/>
              </w:rPr>
              <w:t>1452-1492 MHz will support for a greater number of PPDR-users (fire-brigade, police etc.) and a better possibility for ad-hoc usage during a major event like a disaster.</w:t>
            </w:r>
          </w:p>
          <w:p w:rsidR="00100C51" w:rsidRPr="008D2EA0" w:rsidRDefault="00100C51" w:rsidP="000D55A2">
            <w:pPr>
              <w:rPr>
                <w:szCs w:val="20"/>
                <w:lang w:val="en-GB"/>
              </w:rPr>
            </w:pPr>
            <w:r w:rsidRPr="008D2EA0">
              <w:rPr>
                <w:szCs w:val="20"/>
                <w:lang w:val="en-GB"/>
              </w:rPr>
              <w:t>Deploying the 1452-1492 MHz spectrum allows PPDR networks to avoid significant cost to meet rising demand for local ad-hoc usage rather than deploying additional permanent base stations. These lower costs will result in lower prices for PPDR-Organizations (public costs paid mainly by tax-income).</w:t>
            </w:r>
          </w:p>
          <w:p w:rsidR="00100C51" w:rsidRPr="008D2EA0" w:rsidRDefault="00100C51" w:rsidP="000D55A2">
            <w:pPr>
              <w:rPr>
                <w:szCs w:val="20"/>
                <w:lang w:val="en-GB"/>
              </w:rPr>
            </w:pPr>
          </w:p>
          <w:p w:rsidR="00100C51" w:rsidRPr="008D2EA0" w:rsidRDefault="00100C51" w:rsidP="000D55A2">
            <w:pPr>
              <w:rPr>
                <w:lang w:val="en-GB"/>
              </w:rPr>
            </w:pPr>
            <w:r w:rsidRPr="008D2EA0">
              <w:rPr>
                <w:lang w:val="en-GB"/>
              </w:rPr>
              <w:t>Reduced unit costs resulting from spectrum harmoni</w:t>
            </w:r>
            <w:r w:rsidR="00995D9E">
              <w:rPr>
                <w:lang w:val="en-GB"/>
              </w:rPr>
              <w:t>s</w:t>
            </w:r>
            <w:r w:rsidRPr="008D2EA0">
              <w:rPr>
                <w:lang w:val="en-GB"/>
              </w:rPr>
              <w:t xml:space="preserve">ation and technical </w:t>
            </w:r>
            <w:r w:rsidR="00995D9E" w:rsidRPr="008D2EA0">
              <w:rPr>
                <w:lang w:val="en-GB"/>
              </w:rPr>
              <w:t>standardi</w:t>
            </w:r>
            <w:r w:rsidR="00995D9E">
              <w:rPr>
                <w:lang w:val="en-GB"/>
              </w:rPr>
              <w:t>s</w:t>
            </w:r>
            <w:r w:rsidR="00995D9E" w:rsidRPr="008D2EA0">
              <w:rPr>
                <w:lang w:val="en-GB"/>
              </w:rPr>
              <w:t xml:space="preserve">ation </w:t>
            </w:r>
            <w:r w:rsidRPr="008D2EA0">
              <w:rPr>
                <w:lang w:val="en-GB"/>
              </w:rPr>
              <w:t>might mean that PPDR organi</w:t>
            </w:r>
            <w:r w:rsidR="00995D9E">
              <w:rPr>
                <w:lang w:val="en-GB"/>
              </w:rPr>
              <w:t>s</w:t>
            </w:r>
            <w:r w:rsidRPr="008D2EA0">
              <w:rPr>
                <w:lang w:val="en-GB"/>
              </w:rPr>
              <w:t xml:space="preserve">ations can afford to equip more of their respective staff with relevant equipment. </w:t>
            </w:r>
          </w:p>
          <w:p w:rsidR="00100C51" w:rsidRPr="008D2EA0" w:rsidRDefault="00100C51" w:rsidP="000D55A2">
            <w:pPr>
              <w:rPr>
                <w:szCs w:val="20"/>
                <w:lang w:val="en-GB"/>
              </w:rPr>
            </w:pPr>
          </w:p>
          <w:p w:rsidR="00100C51" w:rsidRPr="008D2EA0" w:rsidRDefault="00100C51" w:rsidP="000D55A2">
            <w:pPr>
              <w:rPr>
                <w:szCs w:val="20"/>
                <w:lang w:val="en-GB"/>
              </w:rPr>
            </w:pPr>
            <w:r w:rsidRPr="008D2EA0">
              <w:rPr>
                <w:szCs w:val="20"/>
                <w:lang w:val="en-GB"/>
              </w:rPr>
              <w:t xml:space="preserve">The development of terminal equipment operating in two frequency ranges (one for daily use the other for temporary use) on the basis of LTE represents an additional surplus for handset producers.  </w:t>
            </w:r>
          </w:p>
          <w:p w:rsidR="00100C51" w:rsidRPr="008D2EA0" w:rsidRDefault="00100C51" w:rsidP="000D55A2">
            <w:pPr>
              <w:rPr>
                <w:rFonts w:cs="Arial"/>
                <w:szCs w:val="20"/>
                <w:lang w:val="en-GB"/>
              </w:rPr>
            </w:pPr>
          </w:p>
        </w:tc>
      </w:tr>
      <w:tr w:rsidR="00100C51" w:rsidRPr="008D2EA0" w:rsidTr="000D55A2">
        <w:tc>
          <w:tcPr>
            <w:tcW w:w="2243" w:type="dxa"/>
          </w:tcPr>
          <w:p w:rsidR="00100C51" w:rsidRPr="008D2EA0" w:rsidRDefault="00100C51" w:rsidP="000D55A2">
            <w:pPr>
              <w:rPr>
                <w:lang w:val="en-GB"/>
              </w:rPr>
            </w:pPr>
            <w:r w:rsidRPr="008D2EA0">
              <w:rPr>
                <w:lang w:val="en-GB"/>
              </w:rPr>
              <w:t>Producer surplus (quantitative)</w:t>
            </w:r>
          </w:p>
        </w:tc>
        <w:tc>
          <w:tcPr>
            <w:tcW w:w="6651" w:type="dxa"/>
          </w:tcPr>
          <w:p w:rsidR="00100C51" w:rsidRPr="008D2EA0" w:rsidRDefault="00100C51" w:rsidP="000D55A2">
            <w:pPr>
              <w:rPr>
                <w:lang w:val="en-GB"/>
              </w:rPr>
            </w:pPr>
            <w:r w:rsidRPr="008D2EA0">
              <w:rPr>
                <w:lang w:val="en-GB"/>
              </w:rPr>
              <w:t>The quantitative analysis is not available</w:t>
            </w:r>
          </w:p>
          <w:p w:rsidR="00100C51" w:rsidRPr="008D2EA0" w:rsidRDefault="00100C51" w:rsidP="000D55A2">
            <w:pPr>
              <w:rPr>
                <w:rFonts w:cs="Arial"/>
                <w:szCs w:val="20"/>
                <w:lang w:val="en-GB"/>
              </w:rPr>
            </w:pPr>
          </w:p>
        </w:tc>
      </w:tr>
    </w:tbl>
    <w:p w:rsidR="00100C51" w:rsidRPr="008D2EA0" w:rsidRDefault="00100C51" w:rsidP="00100C51">
      <w:pPr>
        <w:pStyle w:val="ECCParagraph"/>
      </w:pPr>
    </w:p>
    <w:p w:rsidR="00100C51" w:rsidRPr="008D2EA0" w:rsidRDefault="00100C51" w:rsidP="00510087">
      <w:pPr>
        <w:pStyle w:val="Heading3"/>
      </w:pPr>
      <w:bookmarkStart w:id="109" w:name="_Toc349039278"/>
      <w:r w:rsidRPr="008D2EA0">
        <w:t>BDA2GC</w:t>
      </w:r>
      <w:bookmarkEnd w:id="109"/>
    </w:p>
    <w:p w:rsidR="000D55A2" w:rsidRPr="008D2EA0" w:rsidRDefault="000D55A2" w:rsidP="00F21C76">
      <w:pPr>
        <w:pStyle w:val="ECCTabletitle"/>
      </w:pPr>
      <w:r w:rsidRPr="008D2EA0">
        <w:t>Criterion 3 – BDA2GC</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40"/>
        <w:gridCol w:w="6654"/>
      </w:tblGrid>
      <w:tr w:rsidR="00100C51" w:rsidRPr="008D2EA0" w:rsidTr="000D55A2">
        <w:trPr>
          <w:tblHeader/>
        </w:trPr>
        <w:tc>
          <w:tcPr>
            <w:tcW w:w="2240" w:type="dxa"/>
            <w:tcBorders>
              <w:right w:val="single" w:sz="8" w:space="0" w:color="FFFFFF"/>
            </w:tcBorders>
            <w:shd w:val="clear" w:color="auto" w:fill="D2232A"/>
            <w:vAlign w:val="center"/>
          </w:tcPr>
          <w:p w:rsidR="00100C51" w:rsidRPr="008D2EA0" w:rsidRDefault="00100C51" w:rsidP="000D55A2">
            <w:pPr>
              <w:spacing w:line="288" w:lineRule="auto"/>
              <w:jc w:val="center"/>
              <w:rPr>
                <w:b/>
                <w:color w:val="FFFFFF"/>
                <w:lang w:val="en-GB"/>
              </w:rPr>
            </w:pPr>
          </w:p>
        </w:tc>
        <w:tc>
          <w:tcPr>
            <w:tcW w:w="6654" w:type="dxa"/>
            <w:tcBorders>
              <w:left w:val="single" w:sz="8" w:space="0" w:color="FFFFFF"/>
              <w:right w:val="single" w:sz="8" w:space="0" w:color="FFFFFF"/>
            </w:tcBorders>
            <w:shd w:val="clear" w:color="auto" w:fill="D2232A"/>
            <w:vAlign w:val="center"/>
          </w:tcPr>
          <w:p w:rsidR="00100C51" w:rsidRPr="008D2EA0" w:rsidRDefault="00100C51" w:rsidP="000D55A2">
            <w:pPr>
              <w:spacing w:line="288" w:lineRule="auto"/>
              <w:jc w:val="center"/>
              <w:rPr>
                <w:b/>
                <w:color w:val="FFFFFF"/>
                <w:lang w:val="en-GB"/>
              </w:rPr>
            </w:pPr>
            <w:r w:rsidRPr="008D2EA0">
              <w:rPr>
                <w:b/>
                <w:color w:val="FFFFFF"/>
                <w:lang w:val="en-GB"/>
              </w:rPr>
              <w:t>BDA2GC</w:t>
            </w:r>
          </w:p>
        </w:tc>
      </w:tr>
      <w:tr w:rsidR="00100C51" w:rsidRPr="008D2EA0" w:rsidTr="000D55A2">
        <w:tc>
          <w:tcPr>
            <w:tcW w:w="2240" w:type="dxa"/>
          </w:tcPr>
          <w:p w:rsidR="00100C51" w:rsidRPr="008D2EA0" w:rsidRDefault="00100C51" w:rsidP="000D55A2">
            <w:pPr>
              <w:rPr>
                <w:sz w:val="22"/>
                <w:szCs w:val="22"/>
                <w:lang w:val="en-GB"/>
              </w:rPr>
            </w:pPr>
            <w:r w:rsidRPr="008D2EA0">
              <w:rPr>
                <w:lang w:val="en-GB"/>
              </w:rPr>
              <w:t>Consumer/citizen benefits</w:t>
            </w:r>
          </w:p>
        </w:tc>
        <w:tc>
          <w:tcPr>
            <w:tcW w:w="6654" w:type="dxa"/>
          </w:tcPr>
          <w:p w:rsidR="00100C51" w:rsidRPr="008D2EA0" w:rsidRDefault="00100C51" w:rsidP="000D55A2">
            <w:pPr>
              <w:spacing w:before="120"/>
              <w:rPr>
                <w:lang w:val="en-GB"/>
              </w:rPr>
            </w:pPr>
            <w:r w:rsidRPr="008D2EA0">
              <w:rPr>
                <w:lang w:val="en-GB"/>
              </w:rPr>
              <w:t>For the purpose of this assessment users of BDA2GC are understood as flight passengers (airlines are treated in the producer subsection). Due to the facts that:</w:t>
            </w:r>
          </w:p>
          <w:p w:rsidR="00100C51" w:rsidRPr="008D2EA0" w:rsidRDefault="00100C51" w:rsidP="00290368">
            <w:pPr>
              <w:numPr>
                <w:ilvl w:val="0"/>
                <w:numId w:val="38"/>
              </w:numPr>
              <w:spacing w:before="120"/>
              <w:jc w:val="both"/>
              <w:rPr>
                <w:lang w:val="en-GB"/>
              </w:rPr>
            </w:pPr>
            <w:r w:rsidRPr="008D2EA0">
              <w:rPr>
                <w:lang w:val="en-GB"/>
              </w:rPr>
              <w:t>Passengers want to be able to use the same applications in the air as on the ground in fixed and wireless networks, and especially the upcoming generation of digital natives is accustomed to be always online in social networks.</w:t>
            </w:r>
          </w:p>
          <w:p w:rsidR="00100C51" w:rsidRPr="008D2EA0" w:rsidRDefault="00100C51" w:rsidP="00290368">
            <w:pPr>
              <w:numPr>
                <w:ilvl w:val="0"/>
                <w:numId w:val="38"/>
              </w:numPr>
              <w:spacing w:before="120"/>
              <w:jc w:val="both"/>
              <w:rPr>
                <w:lang w:val="en-GB"/>
              </w:rPr>
            </w:pPr>
            <w:r w:rsidRPr="008D2EA0">
              <w:rPr>
                <w:lang w:val="en-GB"/>
              </w:rPr>
              <w:t xml:space="preserve">Subscribing Passengers would also benefit from the provision of additional services during flight, e.g. arrival-, transfer-, and airport- related information, In-flight </w:t>
            </w:r>
            <w:r w:rsidRPr="008D2EA0">
              <w:rPr>
                <w:bCs/>
                <w:lang w:val="en-GB"/>
              </w:rPr>
              <w:t>Shopping</w:t>
            </w:r>
            <w:r w:rsidRPr="008D2EA0">
              <w:rPr>
                <w:lang w:val="en-GB"/>
              </w:rPr>
              <w:t>, destination tourist information</w:t>
            </w:r>
            <w:r w:rsidRPr="008D2EA0">
              <w:rPr>
                <w:bCs/>
                <w:lang w:val="en-GB"/>
              </w:rPr>
              <w:t>, weather forecasts, etc.</w:t>
            </w:r>
          </w:p>
          <w:p w:rsidR="00100C51" w:rsidRPr="008D2EA0" w:rsidRDefault="00100C51" w:rsidP="00290368">
            <w:pPr>
              <w:numPr>
                <w:ilvl w:val="0"/>
                <w:numId w:val="38"/>
              </w:numPr>
              <w:spacing w:before="120"/>
              <w:jc w:val="both"/>
              <w:rPr>
                <w:lang w:val="en-GB"/>
              </w:rPr>
            </w:pPr>
            <w:r w:rsidRPr="008D2EA0">
              <w:rPr>
                <w:lang w:val="en-GB"/>
              </w:rPr>
              <w:t xml:space="preserve">During their journeys business travellers require more and more to get informed by phone and/or by data exchange about relevant issues with impact to their commercial activities. </w:t>
            </w:r>
          </w:p>
          <w:p w:rsidR="00100C51" w:rsidRPr="008D2EA0" w:rsidRDefault="00100C51" w:rsidP="000D55A2">
            <w:pPr>
              <w:spacing w:before="120"/>
              <w:ind w:left="357"/>
              <w:jc w:val="both"/>
              <w:rPr>
                <w:lang w:val="en-GB"/>
              </w:rPr>
            </w:pPr>
          </w:p>
          <w:p w:rsidR="00100C51" w:rsidRPr="008D2EA0" w:rsidRDefault="00100C51" w:rsidP="000D55A2">
            <w:pPr>
              <w:jc w:val="both"/>
              <w:rPr>
                <w:rFonts w:cs="Arial"/>
                <w:lang w:val="en-GB"/>
              </w:rPr>
            </w:pPr>
            <w:r w:rsidRPr="008D2EA0">
              <w:rPr>
                <w:rFonts w:cs="Arial"/>
                <w:lang w:val="en-GB"/>
              </w:rPr>
              <w:lastRenderedPageBreak/>
              <w:t>The deployment of a pan-European DA2GC would provide the following benefits for flight passengers - in Europe:</w:t>
            </w:r>
          </w:p>
          <w:p w:rsidR="00100C51" w:rsidRPr="008D2EA0" w:rsidRDefault="00100C51" w:rsidP="00290368">
            <w:pPr>
              <w:numPr>
                <w:ilvl w:val="0"/>
                <w:numId w:val="39"/>
              </w:numPr>
              <w:spacing w:before="120"/>
              <w:jc w:val="both"/>
              <w:rPr>
                <w:lang w:val="en-GB"/>
              </w:rPr>
            </w:pPr>
            <w:r w:rsidRPr="008D2EA0">
              <w:rPr>
                <w:lang w:val="en-GB"/>
              </w:rPr>
              <w:t xml:space="preserve">As an alternative service provision to satellite based communications, DA2GC by fostering competition, might </w:t>
            </w:r>
            <w:r w:rsidR="00052F6E" w:rsidRPr="008D2EA0">
              <w:rPr>
                <w:lang w:val="en-GB"/>
              </w:rPr>
              <w:t>benefit flight</w:t>
            </w:r>
            <w:r w:rsidRPr="008D2EA0">
              <w:rPr>
                <w:lang w:val="en-GB"/>
              </w:rPr>
              <w:t xml:space="preserve"> passengers.</w:t>
            </w:r>
          </w:p>
          <w:p w:rsidR="00100C51" w:rsidRPr="008D2EA0" w:rsidRDefault="00100C51" w:rsidP="00290368">
            <w:pPr>
              <w:numPr>
                <w:ilvl w:val="0"/>
                <w:numId w:val="39"/>
              </w:numPr>
              <w:spacing w:before="120"/>
              <w:jc w:val="both"/>
              <w:rPr>
                <w:lang w:val="en-GB"/>
              </w:rPr>
            </w:pPr>
            <w:r w:rsidRPr="008D2EA0">
              <w:rPr>
                <w:lang w:val="en-GB"/>
              </w:rPr>
              <w:t>The technical implementation of DA2GC may lead to a provision of services at improved cost structures - including non-safety-relevant administrative communication services - and hence create a benefit to end customers and airlines resulting in higher and earlier service take-up.</w:t>
            </w:r>
          </w:p>
          <w:p w:rsidR="00244123" w:rsidRPr="008D2EA0" w:rsidRDefault="00100C51" w:rsidP="00290368">
            <w:pPr>
              <w:numPr>
                <w:ilvl w:val="0"/>
                <w:numId w:val="39"/>
              </w:numPr>
              <w:spacing w:before="120"/>
              <w:jc w:val="both"/>
              <w:rPr>
                <w:lang w:val="en-GB"/>
              </w:rPr>
            </w:pPr>
            <w:r w:rsidRPr="008D2EA0">
              <w:rPr>
                <w:lang w:val="en-GB"/>
              </w:rPr>
              <w:t>DA2GC avoids the round trip delay that is typical and unavoidable for geostationary satellite service provision and hence can provide low latency services.</w:t>
            </w:r>
          </w:p>
        </w:tc>
      </w:tr>
      <w:tr w:rsidR="00100C51" w:rsidRPr="008D2EA0" w:rsidTr="000D55A2">
        <w:tc>
          <w:tcPr>
            <w:tcW w:w="2240" w:type="dxa"/>
          </w:tcPr>
          <w:p w:rsidR="00100C51" w:rsidRPr="008D2EA0" w:rsidRDefault="00100C51" w:rsidP="000D55A2">
            <w:pPr>
              <w:rPr>
                <w:sz w:val="22"/>
                <w:szCs w:val="22"/>
                <w:lang w:val="en-GB"/>
              </w:rPr>
            </w:pPr>
            <w:r w:rsidRPr="008D2EA0">
              <w:rPr>
                <w:lang w:val="en-GB"/>
              </w:rPr>
              <w:lastRenderedPageBreak/>
              <w:t>Consumer surplus (quantitative)</w:t>
            </w:r>
          </w:p>
        </w:tc>
        <w:tc>
          <w:tcPr>
            <w:tcW w:w="6654" w:type="dxa"/>
          </w:tcPr>
          <w:p w:rsidR="00100C51" w:rsidRPr="008D2EA0" w:rsidRDefault="00100C51" w:rsidP="000D55A2">
            <w:pPr>
              <w:rPr>
                <w:highlight w:val="yellow"/>
                <w:lang w:val="en-GB"/>
              </w:rPr>
            </w:pPr>
            <w:r w:rsidRPr="008D2EA0">
              <w:rPr>
                <w:lang w:val="en-GB"/>
              </w:rPr>
              <w:t>The quantitative analysis is not available</w:t>
            </w:r>
          </w:p>
          <w:p w:rsidR="00100C51" w:rsidRPr="008D2EA0" w:rsidRDefault="00100C51" w:rsidP="000D55A2">
            <w:pPr>
              <w:rPr>
                <w:lang w:val="en-GB"/>
              </w:rPr>
            </w:pPr>
          </w:p>
        </w:tc>
      </w:tr>
      <w:tr w:rsidR="00100C51" w:rsidRPr="008D2EA0" w:rsidTr="000D55A2">
        <w:tc>
          <w:tcPr>
            <w:tcW w:w="2240" w:type="dxa"/>
          </w:tcPr>
          <w:p w:rsidR="00100C51" w:rsidRPr="008D2EA0" w:rsidRDefault="00100C51" w:rsidP="000D55A2">
            <w:pPr>
              <w:rPr>
                <w:sz w:val="22"/>
                <w:szCs w:val="22"/>
                <w:lang w:val="en-GB"/>
              </w:rPr>
            </w:pPr>
            <w:r w:rsidRPr="008D2EA0">
              <w:rPr>
                <w:lang w:val="en-GB"/>
              </w:rPr>
              <w:t>Producer/industry benefits</w:t>
            </w:r>
          </w:p>
        </w:tc>
        <w:tc>
          <w:tcPr>
            <w:tcW w:w="6654" w:type="dxa"/>
          </w:tcPr>
          <w:p w:rsidR="00100C51" w:rsidRPr="008D2EA0" w:rsidRDefault="00100C51" w:rsidP="000D55A2">
            <w:pPr>
              <w:rPr>
                <w:lang w:val="en-GB"/>
              </w:rPr>
            </w:pPr>
            <w:r w:rsidRPr="008D2EA0">
              <w:rPr>
                <w:lang w:val="en-GB"/>
              </w:rPr>
              <w:t xml:space="preserve">European companies represent an important force in the aeronautical market. The European aircraft industry holds about 50% of the world market for aircraft manufacturing. </w:t>
            </w:r>
          </w:p>
          <w:p w:rsidR="00100C51" w:rsidRPr="008D2EA0" w:rsidRDefault="00100C51" w:rsidP="000D55A2">
            <w:pPr>
              <w:rPr>
                <w:lang w:val="en-GB"/>
              </w:rPr>
            </w:pPr>
            <w:r w:rsidRPr="008D2EA0">
              <w:rPr>
                <w:lang w:val="en-GB"/>
              </w:rPr>
              <w:t xml:space="preserve">A timely introduction of a broadband DA2GC solution would not only increase Europe’s competitive position, but it could also bring Europe into a leading position in this market segment. </w:t>
            </w:r>
          </w:p>
          <w:p w:rsidR="00100C51" w:rsidRPr="008D2EA0" w:rsidRDefault="00100C51" w:rsidP="000D55A2">
            <w:pPr>
              <w:rPr>
                <w:rFonts w:cs="Arial"/>
                <w:lang w:val="en-GB"/>
              </w:rPr>
            </w:pPr>
          </w:p>
          <w:p w:rsidR="00100C51" w:rsidRPr="008D2EA0" w:rsidRDefault="00100C51" w:rsidP="00290368">
            <w:pPr>
              <w:pStyle w:val="ListParagraph"/>
              <w:numPr>
                <w:ilvl w:val="0"/>
                <w:numId w:val="40"/>
              </w:numPr>
              <w:rPr>
                <w:rFonts w:cs="Calibri"/>
                <w:szCs w:val="20"/>
                <w:lang w:val="en-GB"/>
              </w:rPr>
            </w:pPr>
            <w:r w:rsidRPr="008D2EA0">
              <w:rPr>
                <w:rFonts w:cs="Calibri"/>
                <w:szCs w:val="20"/>
                <w:lang w:val="en-GB"/>
              </w:rPr>
              <w:t>Producer benefits would occur for the following market players:</w:t>
            </w:r>
          </w:p>
          <w:p w:rsidR="00100C51" w:rsidRPr="008D2EA0" w:rsidRDefault="00100C51" w:rsidP="00290368">
            <w:pPr>
              <w:numPr>
                <w:ilvl w:val="0"/>
                <w:numId w:val="40"/>
              </w:numPr>
              <w:spacing w:before="120" w:after="200" w:line="276" w:lineRule="auto"/>
              <w:rPr>
                <w:rFonts w:cs="Calibri"/>
                <w:lang w:val="en-GB"/>
              </w:rPr>
            </w:pPr>
            <w:r w:rsidRPr="008D2EA0">
              <w:rPr>
                <w:rFonts w:cs="Calibri"/>
                <w:u w:val="single"/>
                <w:lang w:val="en-GB"/>
              </w:rPr>
              <w:t>Equipment manufacture</w:t>
            </w:r>
            <w:r w:rsidR="00052F6E" w:rsidRPr="008D2EA0">
              <w:rPr>
                <w:rFonts w:cs="Calibri"/>
                <w:u w:val="single"/>
                <w:lang w:val="en-GB"/>
              </w:rPr>
              <w:t>r</w:t>
            </w:r>
            <w:r w:rsidRPr="008D2EA0">
              <w:rPr>
                <w:rFonts w:cs="Calibri"/>
                <w:u w:val="single"/>
                <w:lang w:val="en-GB"/>
              </w:rPr>
              <w:t>s</w:t>
            </w:r>
            <w:r w:rsidRPr="008D2EA0">
              <w:rPr>
                <w:rFonts w:cs="Calibri"/>
                <w:lang w:val="en-GB"/>
              </w:rPr>
              <w:t xml:space="preserve"> from the sale of BDA2GC ground and aircraft equipment, additional in-flight systems and additional backhaul components.</w:t>
            </w:r>
          </w:p>
          <w:p w:rsidR="00100C51" w:rsidRPr="008D2EA0" w:rsidRDefault="00100C51" w:rsidP="00290368">
            <w:pPr>
              <w:numPr>
                <w:ilvl w:val="0"/>
                <w:numId w:val="40"/>
              </w:numPr>
              <w:spacing w:before="120" w:after="200" w:line="276" w:lineRule="auto"/>
              <w:rPr>
                <w:rFonts w:cs="Calibri"/>
                <w:lang w:val="en-GB"/>
              </w:rPr>
            </w:pPr>
            <w:r w:rsidRPr="008D2EA0">
              <w:rPr>
                <w:rFonts w:cs="Calibri"/>
                <w:u w:val="single"/>
                <w:lang w:val="en-GB"/>
              </w:rPr>
              <w:t>Aircraft manufacturers</w:t>
            </w:r>
            <w:r w:rsidRPr="008D2EA0">
              <w:rPr>
                <w:rFonts w:cs="Calibri"/>
                <w:lang w:val="en-GB"/>
              </w:rPr>
              <w:t xml:space="preserve"> from additional revenue for the installation of airborne DA2G equipment.</w:t>
            </w:r>
          </w:p>
          <w:p w:rsidR="00100C51" w:rsidRPr="008D2EA0" w:rsidRDefault="00100C51" w:rsidP="00290368">
            <w:pPr>
              <w:numPr>
                <w:ilvl w:val="0"/>
                <w:numId w:val="40"/>
              </w:numPr>
              <w:spacing w:before="120" w:after="200" w:line="276" w:lineRule="auto"/>
              <w:rPr>
                <w:rFonts w:cs="Calibri"/>
                <w:lang w:val="en-GB"/>
              </w:rPr>
            </w:pPr>
            <w:r w:rsidRPr="008D2EA0">
              <w:rPr>
                <w:rFonts w:cs="Calibri"/>
                <w:u w:val="single"/>
                <w:lang w:val="en-GB"/>
              </w:rPr>
              <w:t>Airlines</w:t>
            </w:r>
            <w:r w:rsidRPr="008D2EA0">
              <w:rPr>
                <w:rFonts w:cs="Calibri"/>
                <w:lang w:val="en-GB"/>
              </w:rPr>
              <w:t xml:space="preserve"> from additional income for in-flight services. Airlines are also expected to change their strategy particularly</w:t>
            </w:r>
            <w:r w:rsidRPr="008D2EA0">
              <w:rPr>
                <w:lang w:val="en-GB"/>
              </w:rPr>
              <w:t xml:space="preserve"> with respect to administrative services (AAC) in the future if a broadband link is available at lower cost compared to existing satellite systems for non-safety relevant applications, e.g. </w:t>
            </w:r>
            <w:r w:rsidRPr="008D2EA0">
              <w:rPr>
                <w:bCs/>
                <w:lang w:val="en-GB"/>
              </w:rPr>
              <w:t>localised real-time weather information.</w:t>
            </w:r>
            <w:r w:rsidRPr="008D2EA0">
              <w:rPr>
                <w:lang w:val="en-GB"/>
              </w:rPr>
              <w:t xml:space="preserve"> Further, the costs for aircraft installations and maintenance are a key issue for airline companies. Given the fact the DA2GC equipment can be installed overnight on a plane is seen as an advantage by airline operators. In particular with regard to the aircraft antenna, a terrestrial solution has a clear advantage compared to existing satellite usage. </w:t>
            </w:r>
            <w:r w:rsidRPr="008D2EA0">
              <w:rPr>
                <w:rFonts w:cs="Calibri"/>
                <w:lang w:val="en-GB"/>
              </w:rPr>
              <w:t xml:space="preserve">Additionally, </w:t>
            </w:r>
            <w:r w:rsidRPr="008D2EA0">
              <w:rPr>
                <w:rFonts w:cs="Calibri"/>
                <w:color w:val="000000"/>
                <w:szCs w:val="20"/>
                <w:lang w:val="en-GB"/>
              </w:rPr>
              <w:t>European airlines may choose a cheaper than satellite connectivity solution for their continental aircraft fleets.</w:t>
            </w:r>
          </w:p>
          <w:p w:rsidR="00100C51" w:rsidRPr="008D2EA0" w:rsidRDefault="00100C51" w:rsidP="00290368">
            <w:pPr>
              <w:numPr>
                <w:ilvl w:val="0"/>
                <w:numId w:val="41"/>
              </w:numPr>
              <w:spacing w:before="120" w:after="200" w:line="276" w:lineRule="auto"/>
              <w:rPr>
                <w:rFonts w:cs="Calibri"/>
                <w:lang w:val="en-GB"/>
              </w:rPr>
            </w:pPr>
            <w:r w:rsidRPr="008D2EA0">
              <w:rPr>
                <w:rFonts w:cs="Calibri"/>
                <w:u w:val="single"/>
                <w:lang w:val="en-GB"/>
              </w:rPr>
              <w:t>Content and service providers</w:t>
            </w:r>
            <w:r w:rsidRPr="008D2EA0">
              <w:rPr>
                <w:rFonts w:cs="Calibri"/>
                <w:lang w:val="en-GB"/>
              </w:rPr>
              <w:t xml:space="preserve"> from additional customer demand.</w:t>
            </w:r>
          </w:p>
          <w:p w:rsidR="00100C51" w:rsidRPr="008D2EA0" w:rsidRDefault="00100C51" w:rsidP="00290368">
            <w:pPr>
              <w:numPr>
                <w:ilvl w:val="0"/>
                <w:numId w:val="41"/>
              </w:numPr>
              <w:spacing w:before="120" w:after="200" w:line="276" w:lineRule="auto"/>
              <w:rPr>
                <w:rFonts w:cs="Calibri"/>
                <w:lang w:val="en-GB"/>
              </w:rPr>
            </w:pPr>
            <w:r w:rsidRPr="008D2EA0">
              <w:rPr>
                <w:rFonts w:cs="Calibri"/>
                <w:u w:val="single"/>
                <w:lang w:val="en-GB"/>
              </w:rPr>
              <w:t>Network operators</w:t>
            </w:r>
            <w:r w:rsidRPr="008D2EA0">
              <w:rPr>
                <w:rFonts w:cs="Calibri"/>
                <w:lang w:val="en-GB"/>
              </w:rPr>
              <w:t xml:space="preserve"> from revenues of additional telecommunications traffic.</w:t>
            </w:r>
          </w:p>
          <w:p w:rsidR="00100C51" w:rsidRPr="008D2EA0" w:rsidRDefault="00100C51" w:rsidP="000D55A2">
            <w:pPr>
              <w:jc w:val="both"/>
              <w:rPr>
                <w:rFonts w:cs="Calibri"/>
                <w:color w:val="000000"/>
                <w:szCs w:val="20"/>
                <w:lang w:val="en-GB"/>
              </w:rPr>
            </w:pPr>
            <w:r w:rsidRPr="008D2EA0">
              <w:rPr>
                <w:rFonts w:cs="Calibri"/>
                <w:color w:val="000000"/>
                <w:szCs w:val="20"/>
                <w:lang w:val="en-GB"/>
              </w:rPr>
              <w:t xml:space="preserve">Hereafter quantitative figures on air traffic increase, addressable market </w:t>
            </w:r>
            <w:r w:rsidRPr="008D2EA0">
              <w:rPr>
                <w:rFonts w:cs="Calibri"/>
                <w:color w:val="000000"/>
                <w:szCs w:val="20"/>
                <w:lang w:val="en-GB"/>
              </w:rPr>
              <w:lastRenderedPageBreak/>
              <w:t>and equipment development are given:</w:t>
            </w:r>
          </w:p>
          <w:p w:rsidR="00100C51" w:rsidRPr="008D2EA0" w:rsidRDefault="00100C51" w:rsidP="000D55A2">
            <w:pPr>
              <w:jc w:val="both"/>
              <w:rPr>
                <w:rFonts w:cs="Calibri"/>
                <w:color w:val="000000"/>
                <w:szCs w:val="20"/>
                <w:lang w:val="en-GB"/>
              </w:rPr>
            </w:pPr>
            <w:r w:rsidRPr="008D2EA0">
              <w:rPr>
                <w:rFonts w:cs="Calibri"/>
                <w:color w:val="000000"/>
                <w:szCs w:val="20"/>
                <w:lang w:val="en-GB"/>
              </w:rPr>
              <w:t>A forecast</w:t>
            </w:r>
            <w:r w:rsidRPr="008D2EA0">
              <w:rPr>
                <w:rFonts w:cs="Calibri"/>
                <w:color w:val="000000"/>
                <w:szCs w:val="20"/>
                <w:vertAlign w:val="superscript"/>
                <w:lang w:val="en-GB"/>
              </w:rPr>
              <w:footnoteReference w:id="33"/>
            </w:r>
            <w:r w:rsidRPr="008D2EA0">
              <w:rPr>
                <w:rFonts w:cs="Calibri"/>
                <w:color w:val="000000"/>
                <w:szCs w:val="20"/>
                <w:lang w:val="en-GB"/>
              </w:rPr>
              <w:t xml:space="preserve"> estimates 11.5 million movements under Instrument Flight Rules (IFR) in Europe in 2017; 21% more than in 2010.</w:t>
            </w:r>
            <w:r w:rsidRPr="008D2EA0">
              <w:rPr>
                <w:rFonts w:cs="Arial"/>
                <w:color w:val="000000"/>
                <w:szCs w:val="20"/>
                <w:lang w:val="en-GB"/>
              </w:rPr>
              <w:t xml:space="preserve"> </w:t>
            </w:r>
            <w:r w:rsidRPr="008D2EA0">
              <w:rPr>
                <w:rFonts w:cs="Calibri"/>
                <w:color w:val="000000"/>
                <w:szCs w:val="20"/>
                <w:lang w:val="en-GB"/>
              </w:rPr>
              <w:t>About 66 % of the European air traffic - i.e. the main part of the airline business - consists of domestic or continental flights. The addressable market for BDA2GC in Europe is about 160 airlines with more than 4 500 aircraft expected in 2014 (without business aviation). A strong increase in percentage of aircraft fleet equipped with internet connectivity solutions is expected during the next years; approximately 50% of the world’s fleet will have been equipped with Wi-Fi connectivity by 2020</w:t>
            </w:r>
            <w:r w:rsidRPr="008D2EA0">
              <w:rPr>
                <w:rFonts w:cs="Calibri"/>
                <w:color w:val="000000"/>
                <w:szCs w:val="20"/>
                <w:vertAlign w:val="superscript"/>
                <w:lang w:val="en-GB"/>
              </w:rPr>
              <w:footnoteReference w:id="34"/>
            </w:r>
            <w:r w:rsidRPr="008D2EA0">
              <w:rPr>
                <w:rFonts w:cs="Calibri"/>
                <w:color w:val="000000"/>
                <w:szCs w:val="20"/>
                <w:lang w:val="en-GB"/>
              </w:rPr>
              <w:t xml:space="preserve">. </w:t>
            </w:r>
          </w:p>
          <w:p w:rsidR="00100C51" w:rsidRPr="008D2EA0" w:rsidRDefault="00100C51" w:rsidP="000D55A2">
            <w:pPr>
              <w:jc w:val="both"/>
              <w:rPr>
                <w:rFonts w:cs="Calibri"/>
                <w:color w:val="000000"/>
                <w:szCs w:val="20"/>
                <w:lang w:val="en-GB"/>
              </w:rPr>
            </w:pPr>
            <w:r w:rsidRPr="008D2EA0">
              <w:rPr>
                <w:rFonts w:cs="Calibri"/>
                <w:color w:val="000000"/>
                <w:szCs w:val="20"/>
                <w:lang w:val="en-GB"/>
              </w:rPr>
              <w:t>Requested data rates per customer (here per flight passenger) is expected to increase due to changes in service usability (higher percentage of video services, larger web page sizes because of more multimedia elements …) as the equipment applied is changing from classical voice-centric mobile phones and laptops for data services to smart phones and tablet PCs, simplifying especially the use of services on</w:t>
            </w:r>
            <w:r w:rsidR="004579F0">
              <w:rPr>
                <w:rFonts w:cs="Calibri"/>
                <w:color w:val="000000"/>
                <w:szCs w:val="20"/>
                <w:lang w:val="en-GB"/>
              </w:rPr>
              <w:t>-</w:t>
            </w:r>
            <w:r w:rsidRPr="008D2EA0">
              <w:rPr>
                <w:rFonts w:cs="Calibri"/>
                <w:color w:val="000000"/>
                <w:szCs w:val="20"/>
                <w:lang w:val="en-GB"/>
              </w:rPr>
              <w:t>board aircraft in spite of limited space.</w:t>
            </w:r>
          </w:p>
          <w:p w:rsidR="00100C51" w:rsidRPr="008D2EA0" w:rsidRDefault="00100C51" w:rsidP="000D55A2">
            <w:pPr>
              <w:rPr>
                <w:rFonts w:cs="Arial"/>
                <w:szCs w:val="20"/>
                <w:lang w:val="en-GB"/>
              </w:rPr>
            </w:pPr>
            <w:r w:rsidRPr="008D2EA0">
              <w:rPr>
                <w:rFonts w:cs="Calibri"/>
                <w:lang w:val="en-GB"/>
              </w:rPr>
              <w:t>The deployment of BDA2GC in Europe is positioned to generate industrial contracts to the direct benefit of the European economy (e.g. jobs).</w:t>
            </w:r>
          </w:p>
          <w:p w:rsidR="00100C51" w:rsidRPr="008D2EA0" w:rsidRDefault="00100C51" w:rsidP="000D55A2">
            <w:pPr>
              <w:rPr>
                <w:rFonts w:cs="Arial"/>
                <w:szCs w:val="20"/>
                <w:lang w:val="en-GB"/>
              </w:rPr>
            </w:pPr>
          </w:p>
        </w:tc>
      </w:tr>
      <w:tr w:rsidR="00100C51" w:rsidRPr="008D2EA0" w:rsidTr="000D55A2">
        <w:tc>
          <w:tcPr>
            <w:tcW w:w="2240" w:type="dxa"/>
          </w:tcPr>
          <w:p w:rsidR="00100C51" w:rsidRPr="008D2EA0" w:rsidRDefault="00100C51" w:rsidP="000D55A2">
            <w:pPr>
              <w:rPr>
                <w:lang w:val="en-GB"/>
              </w:rPr>
            </w:pPr>
            <w:r w:rsidRPr="008D2EA0">
              <w:rPr>
                <w:lang w:val="en-GB"/>
              </w:rPr>
              <w:lastRenderedPageBreak/>
              <w:t>Producer surplus (quantitative)</w:t>
            </w:r>
          </w:p>
        </w:tc>
        <w:tc>
          <w:tcPr>
            <w:tcW w:w="6654" w:type="dxa"/>
          </w:tcPr>
          <w:p w:rsidR="00100C51" w:rsidRPr="008D2EA0" w:rsidRDefault="00100C51" w:rsidP="000D55A2">
            <w:pPr>
              <w:rPr>
                <w:lang w:val="en-GB"/>
              </w:rPr>
            </w:pPr>
            <w:r w:rsidRPr="008D2EA0">
              <w:rPr>
                <w:lang w:val="en-GB"/>
              </w:rPr>
              <w:t xml:space="preserve">591 million € (NPV </w:t>
            </w:r>
            <w:r w:rsidRPr="008D2EA0">
              <w:rPr>
                <w:b/>
                <w:u w:val="single"/>
                <w:lang w:val="en-GB"/>
              </w:rPr>
              <w:t>only</w:t>
            </w:r>
            <w:r w:rsidRPr="008D2EA0">
              <w:rPr>
                <w:lang w:val="en-GB"/>
              </w:rPr>
              <w:t xml:space="preserve"> for equipment costs </w:t>
            </w:r>
            <w:r w:rsidR="004579F0">
              <w:rPr>
                <w:lang w:val="en-GB"/>
              </w:rPr>
              <w:t>on-board</w:t>
            </w:r>
            <w:r w:rsidRPr="008D2EA0">
              <w:rPr>
                <w:lang w:val="en-GB"/>
              </w:rPr>
              <w:t xml:space="preserve"> aircraft, without installation, maintenance, etc. Other aspects are not covered due to lack of concrete figures.)</w:t>
            </w:r>
          </w:p>
          <w:p w:rsidR="00100C51" w:rsidRPr="008D2EA0" w:rsidRDefault="00100C51" w:rsidP="000D55A2">
            <w:pPr>
              <w:rPr>
                <w:lang w:val="en-GB"/>
              </w:rPr>
            </w:pPr>
            <w:r w:rsidRPr="008D2EA0">
              <w:rPr>
                <w:lang w:val="en-GB"/>
              </w:rPr>
              <w:t>Equipment costs (</w:t>
            </w:r>
            <w:r w:rsidR="004579F0">
              <w:rPr>
                <w:lang w:val="en-GB"/>
              </w:rPr>
              <w:t>on-board</w:t>
            </w:r>
            <w:r w:rsidRPr="008D2EA0">
              <w:rPr>
                <w:lang w:val="en-GB"/>
              </w:rPr>
              <w:t xml:space="preserve"> aircraft, without installation) would be about 1/3 to ¼ compared to a Ku band satellite solution ($ 85,000 compared to $300,000 - $ 400,000; i.e. 68 T€ compared to 240 T € - 320 T€; i.e. saving of 172 T€ - 252 T€)</w:t>
            </w:r>
            <w:r w:rsidRPr="008D2EA0">
              <w:rPr>
                <w:rStyle w:val="FootnoteReference"/>
                <w:lang w:val="en-GB"/>
              </w:rPr>
              <w:footnoteReference w:id="35"/>
            </w:r>
            <w:r w:rsidRPr="008D2EA0">
              <w:rPr>
                <w:lang w:val="en-GB"/>
              </w:rPr>
              <w:t>.</w:t>
            </w:r>
          </w:p>
          <w:p w:rsidR="00100C51" w:rsidRPr="008D2EA0" w:rsidRDefault="00100C51" w:rsidP="000D55A2">
            <w:pPr>
              <w:rPr>
                <w:lang w:val="en-GB"/>
              </w:rPr>
            </w:pPr>
            <w:r w:rsidRPr="008D2EA0">
              <w:rPr>
                <w:lang w:val="en-GB"/>
              </w:rPr>
              <w:t>Estimated number of aircraft in European continental fleets</w:t>
            </w:r>
            <w:bookmarkStart w:id="110" w:name="_Ref326066613"/>
            <w:r w:rsidRPr="008D2EA0">
              <w:rPr>
                <w:rStyle w:val="FootnoteReference"/>
                <w:lang w:val="en-GB"/>
              </w:rPr>
              <w:footnoteReference w:id="36"/>
            </w:r>
            <w:bookmarkEnd w:id="110"/>
            <w:r w:rsidRPr="008D2EA0">
              <w:rPr>
                <w:lang w:val="en-GB"/>
              </w:rPr>
              <w:t>:</w:t>
            </w:r>
          </w:p>
          <w:p w:rsidR="00100C51" w:rsidRPr="002239E6" w:rsidRDefault="00100C51" w:rsidP="002239E6">
            <w:pPr>
              <w:pStyle w:val="ListParagraph"/>
              <w:numPr>
                <w:ilvl w:val="0"/>
                <w:numId w:val="69"/>
              </w:numPr>
              <w:spacing w:line="276" w:lineRule="auto"/>
              <w:rPr>
                <w:lang w:val="en-GB"/>
              </w:rPr>
            </w:pPr>
            <w:r w:rsidRPr="002239E6">
              <w:rPr>
                <w:lang w:val="en-GB"/>
              </w:rPr>
              <w:t>2020: about 4500</w:t>
            </w:r>
          </w:p>
          <w:p w:rsidR="00100C51" w:rsidRPr="002239E6" w:rsidRDefault="00100C51" w:rsidP="002239E6">
            <w:pPr>
              <w:pStyle w:val="ListParagraph"/>
              <w:numPr>
                <w:ilvl w:val="0"/>
                <w:numId w:val="69"/>
              </w:numPr>
              <w:spacing w:after="200" w:line="276" w:lineRule="auto"/>
              <w:rPr>
                <w:lang w:val="en-GB"/>
              </w:rPr>
            </w:pPr>
            <w:r w:rsidRPr="002239E6">
              <w:rPr>
                <w:lang w:val="en-GB"/>
              </w:rPr>
              <w:t>2025: about 5100</w:t>
            </w:r>
          </w:p>
          <w:p w:rsidR="00100C51" w:rsidRPr="008D2EA0" w:rsidRDefault="00100C51" w:rsidP="000D55A2">
            <w:pPr>
              <w:rPr>
                <w:lang w:val="en-GB"/>
              </w:rPr>
            </w:pPr>
            <w:r w:rsidRPr="008D2EA0">
              <w:rPr>
                <w:lang w:val="en-GB"/>
              </w:rPr>
              <w:t xml:space="preserve">Equipped aircraft with </w:t>
            </w:r>
            <w:r w:rsidR="006C6D74" w:rsidRPr="008D2EA0">
              <w:rPr>
                <w:lang w:val="en-GB"/>
              </w:rPr>
              <w:t>B</w:t>
            </w:r>
            <w:r w:rsidRPr="008D2EA0">
              <w:rPr>
                <w:lang w:val="en-GB"/>
              </w:rPr>
              <w:t>DA2G</w:t>
            </w:r>
            <w:r w:rsidR="006C6D74" w:rsidRPr="008D2EA0">
              <w:rPr>
                <w:lang w:val="en-GB"/>
              </w:rPr>
              <w:t>C</w:t>
            </w:r>
            <w:r w:rsidR="00D5750C" w:rsidRPr="008D2EA0">
              <w:rPr>
                <w:rStyle w:val="FootnoteReference"/>
                <w:lang w:val="en-GB"/>
              </w:rPr>
              <w:t>40</w:t>
            </w:r>
            <w:r w:rsidRPr="008D2EA0">
              <w:rPr>
                <w:lang w:val="en-GB"/>
              </w:rPr>
              <w:t>:</w:t>
            </w:r>
          </w:p>
          <w:p w:rsidR="00100C51" w:rsidRPr="002239E6" w:rsidRDefault="00100C51" w:rsidP="002239E6">
            <w:pPr>
              <w:pStyle w:val="ListParagraph"/>
              <w:numPr>
                <w:ilvl w:val="0"/>
                <w:numId w:val="70"/>
              </w:numPr>
              <w:spacing w:line="276" w:lineRule="auto"/>
              <w:rPr>
                <w:lang w:val="en-GB"/>
              </w:rPr>
            </w:pPr>
            <w:r w:rsidRPr="002239E6">
              <w:rPr>
                <w:lang w:val="en-GB"/>
              </w:rPr>
              <w:t>2020: 56% --&gt; 2500</w:t>
            </w:r>
          </w:p>
          <w:p w:rsidR="00100C51" w:rsidRPr="002239E6" w:rsidRDefault="00100C51" w:rsidP="002239E6">
            <w:pPr>
              <w:pStyle w:val="ListParagraph"/>
              <w:numPr>
                <w:ilvl w:val="0"/>
                <w:numId w:val="70"/>
              </w:numPr>
              <w:spacing w:after="200" w:line="276" w:lineRule="auto"/>
              <w:rPr>
                <w:lang w:val="en-GB"/>
              </w:rPr>
            </w:pPr>
            <w:r w:rsidRPr="002239E6">
              <w:rPr>
                <w:lang w:val="en-GB"/>
              </w:rPr>
              <w:t>2025: 60% --&gt; 3000</w:t>
            </w:r>
          </w:p>
          <w:p w:rsidR="00100C51" w:rsidRPr="008D2EA0" w:rsidRDefault="00100C51" w:rsidP="000D55A2">
            <w:pPr>
              <w:rPr>
                <w:lang w:val="en-GB"/>
              </w:rPr>
            </w:pPr>
            <w:r w:rsidRPr="008D2EA0">
              <w:rPr>
                <w:lang w:val="en-GB"/>
              </w:rPr>
              <w:t>Aircraft equipment savings in:</w:t>
            </w:r>
          </w:p>
          <w:p w:rsidR="00100C51" w:rsidRPr="002239E6" w:rsidRDefault="00100C51" w:rsidP="002239E6">
            <w:pPr>
              <w:pStyle w:val="ListParagraph"/>
              <w:numPr>
                <w:ilvl w:val="0"/>
                <w:numId w:val="71"/>
              </w:numPr>
              <w:spacing w:line="276" w:lineRule="auto"/>
              <w:rPr>
                <w:lang w:val="en-GB"/>
              </w:rPr>
            </w:pPr>
            <w:r w:rsidRPr="002239E6">
              <w:rPr>
                <w:lang w:val="en-GB"/>
              </w:rPr>
              <w:t>2020: 2500 x (172 T€ - 252 T€) = 430 - 630 million €</w:t>
            </w:r>
          </w:p>
          <w:p w:rsidR="00100C51" w:rsidRPr="002239E6" w:rsidRDefault="00100C51" w:rsidP="002239E6">
            <w:pPr>
              <w:pStyle w:val="ListParagraph"/>
              <w:numPr>
                <w:ilvl w:val="0"/>
                <w:numId w:val="71"/>
              </w:numPr>
              <w:spacing w:after="200" w:line="276" w:lineRule="auto"/>
              <w:rPr>
                <w:lang w:val="en-GB"/>
              </w:rPr>
            </w:pPr>
            <w:r w:rsidRPr="002239E6">
              <w:rPr>
                <w:lang w:val="en-GB"/>
              </w:rPr>
              <w:t>2025: 3000 x (172 T€ - 252 T€) = 516 - 756 million €</w:t>
            </w:r>
          </w:p>
        </w:tc>
      </w:tr>
    </w:tbl>
    <w:p w:rsidR="00100C51" w:rsidRPr="008D2EA0" w:rsidRDefault="00100C51" w:rsidP="00100C51">
      <w:pPr>
        <w:pStyle w:val="ECCParagraph"/>
      </w:pPr>
    </w:p>
    <w:p w:rsidR="00100C51" w:rsidRPr="008D2EA0" w:rsidRDefault="00E94566" w:rsidP="00100C51">
      <w:pPr>
        <w:pStyle w:val="Heading2"/>
        <w:rPr>
          <w:lang w:val="en-GB"/>
        </w:rPr>
      </w:pPr>
      <w:bookmarkStart w:id="111" w:name="_Ref330549972"/>
      <w:bookmarkStart w:id="112" w:name="_Ref330549985"/>
      <w:bookmarkStart w:id="113" w:name="_Toc349039279"/>
      <w:r w:rsidRPr="008D2EA0">
        <w:rPr>
          <w:lang w:val="en-GB"/>
        </w:rPr>
        <w:t>C</w:t>
      </w:r>
      <w:r w:rsidR="00100C51" w:rsidRPr="008D2EA0">
        <w:rPr>
          <w:lang w:val="en-GB"/>
        </w:rPr>
        <w:t>riterion 4</w:t>
      </w:r>
      <w:bookmarkEnd w:id="111"/>
      <w:bookmarkEnd w:id="112"/>
      <w:bookmarkEnd w:id="113"/>
    </w:p>
    <w:p w:rsidR="00100C51" w:rsidRPr="008D2EA0" w:rsidRDefault="00100C51" w:rsidP="00100C51">
      <w:pPr>
        <w:rPr>
          <w:lang w:val="en-GB"/>
        </w:rPr>
      </w:pPr>
      <w:r w:rsidRPr="008D2EA0">
        <w:rPr>
          <w:lang w:val="en-GB"/>
        </w:rPr>
        <w:t xml:space="preserve">The aim of this criterion is to assess the timeframe of the availability of equipment on a large scale and the timeline for application deployment. The status of standardisation, either existing, in preparation or planned should also be assessed. </w:t>
      </w:r>
    </w:p>
    <w:p w:rsidR="00100C51" w:rsidRPr="008D2EA0" w:rsidRDefault="00100C51" w:rsidP="00A953FD">
      <w:pPr>
        <w:keepNext/>
        <w:spacing w:before="120"/>
        <w:rPr>
          <w:lang w:val="en-GB"/>
        </w:rPr>
      </w:pPr>
      <w:r w:rsidRPr="008D2EA0">
        <w:rPr>
          <w:lang w:val="en-GB"/>
        </w:rPr>
        <w:lastRenderedPageBreak/>
        <w:t>To do this the criterion has been subdivided in 6 sub</w:t>
      </w:r>
      <w:r w:rsidR="00052F6E" w:rsidRPr="008D2EA0">
        <w:rPr>
          <w:lang w:val="en-GB"/>
        </w:rPr>
        <w:t>-</w:t>
      </w:r>
      <w:r w:rsidRPr="008D2EA0">
        <w:rPr>
          <w:lang w:val="en-GB"/>
        </w:rPr>
        <w:t>criteria:</w:t>
      </w:r>
    </w:p>
    <w:p w:rsidR="00100C51" w:rsidRPr="008D2EA0" w:rsidRDefault="00100C51" w:rsidP="004579F0">
      <w:pPr>
        <w:numPr>
          <w:ilvl w:val="0"/>
          <w:numId w:val="42"/>
        </w:numPr>
        <w:spacing w:before="120"/>
        <w:ind w:left="714" w:hanging="357"/>
        <w:jc w:val="both"/>
        <w:rPr>
          <w:lang w:val="en-GB"/>
        </w:rPr>
      </w:pPr>
      <w:r w:rsidRPr="008D2EA0">
        <w:rPr>
          <w:lang w:val="en-GB"/>
        </w:rPr>
        <w:t>Band designation</w:t>
      </w:r>
      <w:r w:rsidR="00E60485">
        <w:rPr>
          <w:lang w:val="en-GB"/>
        </w:rPr>
        <w:t>;</w:t>
      </w:r>
    </w:p>
    <w:p w:rsidR="00100C51" w:rsidRPr="008D2EA0" w:rsidRDefault="00100C51" w:rsidP="004579F0">
      <w:pPr>
        <w:numPr>
          <w:ilvl w:val="0"/>
          <w:numId w:val="42"/>
        </w:numPr>
        <w:spacing w:before="120"/>
        <w:ind w:left="714" w:hanging="357"/>
        <w:jc w:val="both"/>
        <w:rPr>
          <w:lang w:val="en-GB"/>
        </w:rPr>
      </w:pPr>
      <w:r w:rsidRPr="008D2EA0">
        <w:rPr>
          <w:lang w:val="en-GB"/>
        </w:rPr>
        <w:t>Technical conditions</w:t>
      </w:r>
      <w:r w:rsidR="00E60485">
        <w:rPr>
          <w:lang w:val="en-GB"/>
        </w:rPr>
        <w:t>;</w:t>
      </w:r>
    </w:p>
    <w:p w:rsidR="00100C51" w:rsidRPr="008D2EA0" w:rsidRDefault="00100C51" w:rsidP="004579F0">
      <w:pPr>
        <w:numPr>
          <w:ilvl w:val="0"/>
          <w:numId w:val="42"/>
        </w:numPr>
        <w:spacing w:before="120"/>
        <w:ind w:left="714" w:hanging="357"/>
        <w:jc w:val="both"/>
        <w:rPr>
          <w:lang w:val="en-GB"/>
        </w:rPr>
      </w:pPr>
      <w:r w:rsidRPr="008D2EA0">
        <w:rPr>
          <w:lang w:val="en-GB"/>
        </w:rPr>
        <w:t>Licensing</w:t>
      </w:r>
      <w:r w:rsidR="00E60485">
        <w:rPr>
          <w:lang w:val="en-GB"/>
        </w:rPr>
        <w:t>;</w:t>
      </w:r>
    </w:p>
    <w:p w:rsidR="00100C51" w:rsidRPr="008D2EA0" w:rsidRDefault="00100C51" w:rsidP="004579F0">
      <w:pPr>
        <w:numPr>
          <w:ilvl w:val="0"/>
          <w:numId w:val="42"/>
        </w:numPr>
        <w:spacing w:before="120"/>
        <w:ind w:left="714" w:hanging="357"/>
        <w:jc w:val="both"/>
        <w:rPr>
          <w:lang w:val="en-GB"/>
        </w:rPr>
      </w:pPr>
      <w:r w:rsidRPr="008D2EA0">
        <w:rPr>
          <w:lang w:val="en-GB"/>
        </w:rPr>
        <w:t>Standardi</w:t>
      </w:r>
      <w:r w:rsidR="00CF3C85" w:rsidRPr="008D2EA0">
        <w:rPr>
          <w:lang w:val="en-GB"/>
        </w:rPr>
        <w:t>s</w:t>
      </w:r>
      <w:r w:rsidRPr="008D2EA0">
        <w:rPr>
          <w:lang w:val="en-GB"/>
        </w:rPr>
        <w:t>ation</w:t>
      </w:r>
      <w:r w:rsidR="00E60485">
        <w:rPr>
          <w:lang w:val="en-GB"/>
        </w:rPr>
        <w:t>;</w:t>
      </w:r>
    </w:p>
    <w:p w:rsidR="00100C51" w:rsidRPr="008D2EA0" w:rsidRDefault="00100C51" w:rsidP="004579F0">
      <w:pPr>
        <w:numPr>
          <w:ilvl w:val="0"/>
          <w:numId w:val="42"/>
        </w:numPr>
        <w:spacing w:before="120"/>
        <w:ind w:left="714" w:hanging="357"/>
        <w:jc w:val="both"/>
        <w:rPr>
          <w:lang w:val="en-GB"/>
        </w:rPr>
      </w:pPr>
      <w:r w:rsidRPr="008D2EA0">
        <w:rPr>
          <w:lang w:val="en-GB"/>
        </w:rPr>
        <w:t>Equipment availability</w:t>
      </w:r>
      <w:r w:rsidR="00E60485">
        <w:rPr>
          <w:lang w:val="en-GB"/>
        </w:rPr>
        <w:t>;</w:t>
      </w:r>
    </w:p>
    <w:p w:rsidR="00100C51" w:rsidRPr="008D2EA0" w:rsidRDefault="00100C51" w:rsidP="004579F0">
      <w:pPr>
        <w:numPr>
          <w:ilvl w:val="0"/>
          <w:numId w:val="42"/>
        </w:numPr>
        <w:spacing w:before="120"/>
        <w:ind w:left="714" w:hanging="357"/>
        <w:jc w:val="both"/>
        <w:rPr>
          <w:lang w:val="en-GB"/>
        </w:rPr>
      </w:pPr>
      <w:r w:rsidRPr="008D2EA0">
        <w:rPr>
          <w:lang w:val="en-GB"/>
        </w:rPr>
        <w:t>Operational deployment</w:t>
      </w:r>
      <w:r w:rsidR="00B45136" w:rsidRPr="008D2EA0">
        <w:rPr>
          <w:lang w:val="en-GB"/>
        </w:rPr>
        <w:t>.</w:t>
      </w:r>
    </w:p>
    <w:p w:rsidR="00B45136" w:rsidRPr="008D2EA0" w:rsidRDefault="00B45136" w:rsidP="00B45136">
      <w:pPr>
        <w:spacing w:line="276" w:lineRule="auto"/>
        <w:ind w:left="720"/>
        <w:jc w:val="both"/>
        <w:rPr>
          <w:lang w:val="en-GB"/>
        </w:rPr>
      </w:pPr>
    </w:p>
    <w:p w:rsidR="00100C51" w:rsidRPr="008D2EA0" w:rsidRDefault="00100C51" w:rsidP="00B45136">
      <w:pPr>
        <w:pStyle w:val="ECCParagraph"/>
      </w:pPr>
      <w:r w:rsidRPr="008D2EA0">
        <w:t>Band designation corresponds to the moment when the regulatory framework was made available for incumbent applications or when a decision to allocate the band to a new application is made subsequent to this impact analysis work by CEPT. The timeframe for technical conditions corresponds to the moment when CEPT will have approved a set of new technical conditions in the case of new applications.</w:t>
      </w:r>
    </w:p>
    <w:p w:rsidR="00100C51" w:rsidRPr="008D2EA0" w:rsidRDefault="00100C51" w:rsidP="00B45136">
      <w:pPr>
        <w:pStyle w:val="ECCParagraph"/>
      </w:pPr>
      <w:r w:rsidRPr="008D2EA0">
        <w:t>Licensing corresponds to the time needed for administrations to make the band available to a given application.</w:t>
      </w:r>
    </w:p>
    <w:p w:rsidR="00100C51" w:rsidRPr="008D2EA0" w:rsidRDefault="00100C51" w:rsidP="00B45136">
      <w:pPr>
        <w:pStyle w:val="ECCParagraph"/>
      </w:pPr>
      <w:r w:rsidRPr="008D2EA0">
        <w:t>The standardi</w:t>
      </w:r>
      <w:r w:rsidR="00CF3C85" w:rsidRPr="008D2EA0">
        <w:t>s</w:t>
      </w:r>
      <w:r w:rsidRPr="008D2EA0">
        <w:t>ation sub-</w:t>
      </w:r>
      <w:r w:rsidR="00052F6E" w:rsidRPr="008D2EA0">
        <w:t xml:space="preserve">criterion </w:t>
      </w:r>
      <w:r w:rsidRPr="008D2EA0">
        <w:t>gives a description of status of standardi</w:t>
      </w:r>
      <w:r w:rsidR="00CF3C85" w:rsidRPr="008D2EA0">
        <w:t>s</w:t>
      </w:r>
      <w:r w:rsidRPr="008D2EA0">
        <w:t xml:space="preserve">ation related to the application and projected efforts. </w:t>
      </w:r>
    </w:p>
    <w:p w:rsidR="00100C51" w:rsidRPr="008D2EA0" w:rsidRDefault="00100C51" w:rsidP="00B45136">
      <w:pPr>
        <w:pStyle w:val="ECCParagraph"/>
      </w:pPr>
      <w:r w:rsidRPr="008D2EA0">
        <w:t>Equipment availability provides an assessment of the timeframe of large scale equipment availability.</w:t>
      </w:r>
    </w:p>
    <w:p w:rsidR="00B45136" w:rsidRPr="008D2EA0" w:rsidRDefault="00100C51" w:rsidP="00B45136">
      <w:pPr>
        <w:pStyle w:val="ECCParagraph"/>
      </w:pPr>
      <w:r w:rsidRPr="008D2EA0">
        <w:t>Finally, operational deployment timeframe is estimated based on the previous sub-criteria.</w:t>
      </w:r>
    </w:p>
    <w:p w:rsidR="000D55A2" w:rsidRPr="008D2EA0" w:rsidRDefault="000D55A2" w:rsidP="00510087">
      <w:pPr>
        <w:pStyle w:val="Heading3"/>
      </w:pPr>
      <w:bookmarkStart w:id="114" w:name="_Ref332794793"/>
      <w:bookmarkStart w:id="115" w:name="_Toc349039280"/>
      <w:r w:rsidRPr="008D2EA0">
        <w:t>Terrestrial broadcasting</w:t>
      </w:r>
      <w:bookmarkEnd w:id="114"/>
      <w:bookmarkEnd w:id="115"/>
    </w:p>
    <w:p w:rsidR="000D55A2" w:rsidRPr="008D2EA0" w:rsidRDefault="000D55A2" w:rsidP="00F21C76">
      <w:pPr>
        <w:pStyle w:val="ECCTabletitle"/>
      </w:pPr>
      <w:r w:rsidRPr="008D2EA0">
        <w:t>Criterion 4 – Terrestrial broadcasting</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6659"/>
      </w:tblGrid>
      <w:tr w:rsidR="000D55A2" w:rsidRPr="008D2EA0" w:rsidTr="000D55A2">
        <w:trPr>
          <w:tblHeader/>
        </w:trPr>
        <w:tc>
          <w:tcPr>
            <w:tcW w:w="2235" w:type="dxa"/>
            <w:tcBorders>
              <w:right w:val="single" w:sz="8" w:space="0" w:color="FFFFFF"/>
            </w:tcBorders>
            <w:shd w:val="clear" w:color="auto" w:fill="D2232A"/>
            <w:vAlign w:val="center"/>
          </w:tcPr>
          <w:p w:rsidR="000D55A2" w:rsidRPr="008D2EA0" w:rsidRDefault="000D55A2" w:rsidP="00B45136">
            <w:pPr>
              <w:keepNext/>
              <w:spacing w:line="288" w:lineRule="auto"/>
              <w:jc w:val="center"/>
              <w:rPr>
                <w:b/>
                <w:color w:val="FFFFFF"/>
                <w:lang w:val="en-GB"/>
              </w:rPr>
            </w:pPr>
          </w:p>
        </w:tc>
        <w:tc>
          <w:tcPr>
            <w:tcW w:w="6659" w:type="dxa"/>
            <w:tcBorders>
              <w:left w:val="single" w:sz="8" w:space="0" w:color="FFFFFF"/>
              <w:right w:val="single" w:sz="8" w:space="0" w:color="FFFFFF"/>
            </w:tcBorders>
            <w:shd w:val="clear" w:color="auto" w:fill="D2232A"/>
            <w:vAlign w:val="center"/>
          </w:tcPr>
          <w:p w:rsidR="000D55A2" w:rsidRPr="008D2EA0" w:rsidRDefault="000D55A2" w:rsidP="00B45136">
            <w:pPr>
              <w:keepNext/>
              <w:spacing w:line="288" w:lineRule="auto"/>
              <w:jc w:val="center"/>
              <w:rPr>
                <w:b/>
                <w:color w:val="FFFFFF"/>
                <w:lang w:val="en-GB"/>
              </w:rPr>
            </w:pPr>
            <w:r w:rsidRPr="008D2EA0">
              <w:rPr>
                <w:b/>
                <w:color w:val="FFFFFF"/>
                <w:lang w:val="en-GB"/>
              </w:rPr>
              <w:t>Terrestrial broadcasting</w:t>
            </w:r>
          </w:p>
        </w:tc>
      </w:tr>
      <w:tr w:rsidR="000D55A2" w:rsidRPr="008D2EA0" w:rsidTr="000D55A2">
        <w:tc>
          <w:tcPr>
            <w:tcW w:w="2235" w:type="dxa"/>
          </w:tcPr>
          <w:p w:rsidR="000D55A2" w:rsidRPr="008D2EA0" w:rsidRDefault="000D55A2" w:rsidP="00B45136">
            <w:pPr>
              <w:keepNext/>
              <w:spacing w:before="40"/>
              <w:rPr>
                <w:sz w:val="22"/>
                <w:szCs w:val="22"/>
                <w:lang w:val="en-GB"/>
              </w:rPr>
            </w:pPr>
            <w:r w:rsidRPr="008D2EA0">
              <w:rPr>
                <w:lang w:val="en-GB"/>
              </w:rPr>
              <w:t>Band designation</w:t>
            </w:r>
          </w:p>
        </w:tc>
        <w:tc>
          <w:tcPr>
            <w:tcW w:w="6659" w:type="dxa"/>
          </w:tcPr>
          <w:p w:rsidR="00CF3C85" w:rsidRPr="008D2EA0" w:rsidRDefault="000D55A2" w:rsidP="00B45136">
            <w:pPr>
              <w:keepNext/>
              <w:spacing w:before="40"/>
              <w:rPr>
                <w:sz w:val="22"/>
                <w:szCs w:val="22"/>
                <w:lang w:val="en-GB"/>
              </w:rPr>
            </w:pPr>
            <w:r w:rsidRPr="008D2EA0">
              <w:rPr>
                <w:lang w:val="en-GB"/>
              </w:rPr>
              <w:t>Existing now MA02revCO07</w:t>
            </w:r>
          </w:p>
        </w:tc>
      </w:tr>
      <w:tr w:rsidR="000D55A2" w:rsidRPr="008D2EA0" w:rsidTr="000D55A2">
        <w:tc>
          <w:tcPr>
            <w:tcW w:w="2235" w:type="dxa"/>
          </w:tcPr>
          <w:p w:rsidR="000D55A2" w:rsidRPr="008D2EA0" w:rsidRDefault="000D55A2" w:rsidP="00B45136">
            <w:pPr>
              <w:spacing w:before="40"/>
              <w:rPr>
                <w:sz w:val="22"/>
                <w:szCs w:val="22"/>
                <w:lang w:val="en-GB"/>
              </w:rPr>
            </w:pPr>
            <w:r w:rsidRPr="008D2EA0">
              <w:rPr>
                <w:lang w:val="en-GB"/>
              </w:rPr>
              <w:t>Technical conditions</w:t>
            </w:r>
          </w:p>
        </w:tc>
        <w:tc>
          <w:tcPr>
            <w:tcW w:w="6659" w:type="dxa"/>
          </w:tcPr>
          <w:p w:rsidR="00CF3C85" w:rsidRPr="008D2EA0" w:rsidRDefault="000D55A2" w:rsidP="00B45136">
            <w:pPr>
              <w:spacing w:before="40"/>
              <w:rPr>
                <w:sz w:val="22"/>
                <w:szCs w:val="22"/>
                <w:lang w:val="en-GB"/>
              </w:rPr>
            </w:pPr>
            <w:r w:rsidRPr="008D2EA0">
              <w:rPr>
                <w:lang w:val="en-GB"/>
              </w:rPr>
              <w:t>Existing now MA02revCO07</w:t>
            </w:r>
          </w:p>
        </w:tc>
      </w:tr>
      <w:tr w:rsidR="000D55A2" w:rsidRPr="008D2EA0" w:rsidTr="000D55A2">
        <w:tc>
          <w:tcPr>
            <w:tcW w:w="2235" w:type="dxa"/>
          </w:tcPr>
          <w:p w:rsidR="000D55A2" w:rsidRPr="008D2EA0" w:rsidRDefault="000D55A2" w:rsidP="00B45136">
            <w:pPr>
              <w:spacing w:before="40"/>
              <w:rPr>
                <w:sz w:val="22"/>
                <w:szCs w:val="22"/>
                <w:lang w:val="en-GB"/>
              </w:rPr>
            </w:pPr>
            <w:r w:rsidRPr="008D2EA0">
              <w:rPr>
                <w:lang w:val="en-GB"/>
              </w:rPr>
              <w:t>Licensing</w:t>
            </w:r>
          </w:p>
        </w:tc>
        <w:tc>
          <w:tcPr>
            <w:tcW w:w="6659" w:type="dxa"/>
          </w:tcPr>
          <w:p w:rsidR="00CF3C85" w:rsidRPr="008D2EA0" w:rsidRDefault="000D55A2" w:rsidP="00B45136">
            <w:pPr>
              <w:spacing w:before="40"/>
              <w:rPr>
                <w:sz w:val="22"/>
                <w:szCs w:val="22"/>
                <w:lang w:val="en-GB"/>
              </w:rPr>
            </w:pPr>
            <w:bookmarkStart w:id="116" w:name="OLE_LINK1"/>
            <w:bookmarkStart w:id="117" w:name="OLE_LINK2"/>
            <w:r w:rsidRPr="008D2EA0">
              <w:rPr>
                <w:lang w:val="en-GB"/>
              </w:rPr>
              <w:t>Licensing procedure could take up to 12 month, depending on national circumstances</w:t>
            </w:r>
            <w:bookmarkEnd w:id="116"/>
            <w:bookmarkEnd w:id="117"/>
            <w:r w:rsidRPr="008D2EA0">
              <w:rPr>
                <w:lang w:val="en-GB"/>
              </w:rPr>
              <w:t>, in some countries the band is already licensed for Terrestrial broadcasting</w:t>
            </w:r>
          </w:p>
        </w:tc>
      </w:tr>
      <w:tr w:rsidR="000D55A2" w:rsidRPr="008D2EA0" w:rsidTr="000D55A2">
        <w:tc>
          <w:tcPr>
            <w:tcW w:w="2235" w:type="dxa"/>
          </w:tcPr>
          <w:p w:rsidR="000D55A2" w:rsidRPr="008D2EA0" w:rsidRDefault="000D55A2" w:rsidP="00B45136">
            <w:pPr>
              <w:spacing w:before="40"/>
              <w:rPr>
                <w:sz w:val="22"/>
                <w:szCs w:val="22"/>
                <w:lang w:val="en-GB"/>
              </w:rPr>
            </w:pPr>
            <w:r w:rsidRPr="008D2EA0">
              <w:rPr>
                <w:lang w:val="en-GB"/>
              </w:rPr>
              <w:t>Standardisation</w:t>
            </w:r>
          </w:p>
        </w:tc>
        <w:tc>
          <w:tcPr>
            <w:tcW w:w="6659" w:type="dxa"/>
          </w:tcPr>
          <w:p w:rsidR="000D55A2" w:rsidRPr="008D2EA0" w:rsidRDefault="000D55A2" w:rsidP="00B45136">
            <w:pPr>
              <w:spacing w:before="40"/>
              <w:rPr>
                <w:sz w:val="22"/>
                <w:szCs w:val="22"/>
                <w:lang w:val="en-GB"/>
              </w:rPr>
            </w:pPr>
            <w:r w:rsidRPr="008D2EA0">
              <w:rPr>
                <w:lang w:val="en-GB"/>
              </w:rPr>
              <w:t>Existing now (SDR family of standards and DAB/DAB+/DMB family of standards)</w:t>
            </w:r>
          </w:p>
          <w:p w:rsidR="000D55A2" w:rsidRPr="008D2EA0" w:rsidRDefault="000D55A2" w:rsidP="00B45136">
            <w:pPr>
              <w:spacing w:before="40"/>
              <w:rPr>
                <w:lang w:val="en-GB"/>
              </w:rPr>
            </w:pPr>
            <w:r w:rsidRPr="008D2EA0">
              <w:rPr>
                <w:lang w:val="en-GB"/>
              </w:rPr>
              <w:t>Status of DAB/DAB+/DMB</w:t>
            </w:r>
          </w:p>
          <w:p w:rsidR="000D55A2" w:rsidRPr="008D2EA0" w:rsidRDefault="000D55A2" w:rsidP="00B45136">
            <w:pPr>
              <w:spacing w:before="40"/>
              <w:rPr>
                <w:lang w:val="en-GB"/>
              </w:rPr>
            </w:pPr>
            <w:r w:rsidRPr="008D2EA0">
              <w:rPr>
                <w:lang w:val="en-GB"/>
              </w:rPr>
              <w:t>The most important ETSI specifications</w:t>
            </w:r>
            <w:r w:rsidRPr="008D2EA0">
              <w:rPr>
                <w:rStyle w:val="FootnoteReference"/>
                <w:lang w:val="en-GB"/>
              </w:rPr>
              <w:footnoteReference w:id="37"/>
            </w:r>
            <w:r w:rsidRPr="008D2EA0">
              <w:rPr>
                <w:lang w:val="en-GB"/>
              </w:rPr>
              <w:t xml:space="preserve"> are: </w:t>
            </w:r>
          </w:p>
          <w:p w:rsidR="000D55A2" w:rsidRPr="008D2EA0" w:rsidRDefault="000D55A2" w:rsidP="00B45136">
            <w:pPr>
              <w:spacing w:before="40"/>
              <w:rPr>
                <w:lang w:val="en-GB"/>
              </w:rPr>
            </w:pPr>
            <w:r w:rsidRPr="008D2EA0">
              <w:rPr>
                <w:lang w:val="en-GB"/>
              </w:rPr>
              <w:t>ETSI EN</w:t>
            </w:r>
            <w:r w:rsidR="00B45136" w:rsidRPr="008D2EA0">
              <w:rPr>
                <w:lang w:val="en-GB"/>
              </w:rPr>
              <w:t xml:space="preserve"> </w:t>
            </w:r>
            <w:r w:rsidRPr="008D2EA0">
              <w:rPr>
                <w:lang w:val="en-GB"/>
              </w:rPr>
              <w:t>300</w:t>
            </w:r>
            <w:r w:rsidR="00B45136" w:rsidRPr="008D2EA0">
              <w:rPr>
                <w:lang w:val="en-GB"/>
              </w:rPr>
              <w:t xml:space="preserve"> </w:t>
            </w:r>
            <w:r w:rsidRPr="008D2EA0">
              <w:rPr>
                <w:lang w:val="en-GB"/>
              </w:rPr>
              <w:t>401: Radio Broadcasting Systems; Digital Audio Broadcasting (DAB) to mobile, portable and fixed receivers</w:t>
            </w:r>
          </w:p>
          <w:p w:rsidR="000D55A2" w:rsidRPr="008D2EA0" w:rsidRDefault="000D55A2" w:rsidP="00B45136">
            <w:pPr>
              <w:spacing w:before="40"/>
              <w:rPr>
                <w:lang w:val="en-GB"/>
              </w:rPr>
            </w:pPr>
            <w:r w:rsidRPr="008D2EA0">
              <w:rPr>
                <w:lang w:val="en-GB"/>
              </w:rPr>
              <w:t>ETSI TS</w:t>
            </w:r>
            <w:r w:rsidR="00B45136" w:rsidRPr="008D2EA0">
              <w:rPr>
                <w:lang w:val="en-GB"/>
              </w:rPr>
              <w:t xml:space="preserve"> </w:t>
            </w:r>
            <w:r w:rsidRPr="008D2EA0">
              <w:rPr>
                <w:lang w:val="en-GB"/>
              </w:rPr>
              <w:t>102</w:t>
            </w:r>
            <w:r w:rsidR="00B45136" w:rsidRPr="008D2EA0">
              <w:rPr>
                <w:lang w:val="en-GB"/>
              </w:rPr>
              <w:t xml:space="preserve"> </w:t>
            </w:r>
            <w:r w:rsidRPr="008D2EA0">
              <w:rPr>
                <w:lang w:val="en-GB"/>
              </w:rPr>
              <w:t>428: Digital Audio Broadcasting (DAB); DMB video service; User Application Specification</w:t>
            </w:r>
          </w:p>
          <w:p w:rsidR="000D55A2" w:rsidRPr="008D2EA0" w:rsidRDefault="000D55A2" w:rsidP="00B45136">
            <w:pPr>
              <w:spacing w:before="40"/>
              <w:rPr>
                <w:lang w:val="en-GB"/>
              </w:rPr>
            </w:pPr>
            <w:r w:rsidRPr="008D2EA0">
              <w:rPr>
                <w:lang w:val="en-GB"/>
              </w:rPr>
              <w:t>ETSI TS</w:t>
            </w:r>
            <w:r w:rsidR="00B45136" w:rsidRPr="008D2EA0">
              <w:rPr>
                <w:lang w:val="en-GB"/>
              </w:rPr>
              <w:t xml:space="preserve"> </w:t>
            </w:r>
            <w:r w:rsidRPr="008D2EA0">
              <w:rPr>
                <w:lang w:val="en-GB"/>
              </w:rPr>
              <w:t>102</w:t>
            </w:r>
            <w:r w:rsidR="00B45136" w:rsidRPr="008D2EA0">
              <w:rPr>
                <w:lang w:val="en-GB"/>
              </w:rPr>
              <w:t xml:space="preserve"> </w:t>
            </w:r>
            <w:r w:rsidRPr="008D2EA0">
              <w:rPr>
                <w:lang w:val="en-GB"/>
              </w:rPr>
              <w:t>563: Digital Audio Broadcasting (DAB); Transport of Advanced Audio Coding (AAC) audio</w:t>
            </w:r>
          </w:p>
          <w:p w:rsidR="000D55A2" w:rsidRPr="008D2EA0" w:rsidRDefault="000D55A2" w:rsidP="00B45136">
            <w:pPr>
              <w:spacing w:before="40"/>
              <w:rPr>
                <w:lang w:val="en-GB"/>
              </w:rPr>
            </w:pPr>
            <w:r w:rsidRPr="008D2EA0">
              <w:rPr>
                <w:lang w:val="en-GB"/>
              </w:rPr>
              <w:t>Other technical standards are available in</w:t>
            </w:r>
            <w:r w:rsidR="00052F6E" w:rsidRPr="008D2EA0">
              <w:rPr>
                <w:lang w:val="en-GB"/>
              </w:rPr>
              <w:t xml:space="preserve"> </w:t>
            </w:r>
            <w:r w:rsidR="00052F6E" w:rsidRPr="008D2EA0">
              <w:rPr>
                <w:lang w:val="en-GB"/>
              </w:rPr>
              <w:fldChar w:fldCharType="begin"/>
            </w:r>
            <w:r w:rsidR="00052F6E" w:rsidRPr="008D2EA0">
              <w:rPr>
                <w:lang w:val="en-GB"/>
              </w:rPr>
              <w:instrText xml:space="preserve"> REF _Ref330514152 \r \h </w:instrText>
            </w:r>
            <w:r w:rsidR="00052F6E" w:rsidRPr="008D2EA0">
              <w:rPr>
                <w:lang w:val="en-GB"/>
              </w:rPr>
            </w:r>
            <w:r w:rsidR="00052F6E" w:rsidRPr="008D2EA0">
              <w:rPr>
                <w:lang w:val="en-GB"/>
              </w:rPr>
              <w:fldChar w:fldCharType="separate"/>
            </w:r>
            <w:r w:rsidR="00E73FF2">
              <w:rPr>
                <w:lang w:val="en-GB"/>
              </w:rPr>
              <w:t>ANNEX 5:</w:t>
            </w:r>
            <w:r w:rsidR="00052F6E" w:rsidRPr="008D2EA0">
              <w:rPr>
                <w:lang w:val="en-GB"/>
              </w:rPr>
              <w:fldChar w:fldCharType="end"/>
            </w:r>
            <w:r w:rsidR="0020248A" w:rsidRPr="008D2EA0">
              <w:rPr>
                <w:lang w:val="en-GB"/>
              </w:rPr>
              <w:t>.</w:t>
            </w:r>
          </w:p>
          <w:p w:rsidR="000D55A2" w:rsidRPr="008D2EA0" w:rsidRDefault="000D55A2" w:rsidP="00B45136">
            <w:pPr>
              <w:spacing w:before="40"/>
              <w:rPr>
                <w:lang w:val="en-GB"/>
              </w:rPr>
            </w:pPr>
            <w:r w:rsidRPr="008D2EA0">
              <w:rPr>
                <w:lang w:val="en-GB"/>
              </w:rPr>
              <w:t xml:space="preserve">ETSI’s SDR (Satellite Digital Radio) standard stands among the possible technologies that may be used for the deployment of subscription radio services in the L band. As designed, the SDR standard enables the deployment of autonomous terrestrial radio networks, with a view to their possible extension to reach national coverage through companion </w:t>
            </w:r>
            <w:r w:rsidRPr="008D2EA0">
              <w:rPr>
                <w:lang w:val="en-GB"/>
              </w:rPr>
              <w:lastRenderedPageBreak/>
              <w:t xml:space="preserve">satellite components. It also enables the broadcast, within a same 1.7 MHz terrestrial multiplex, of different categories of independent broadcast services, e.g. enabling a mix of linear and non-linear audio services aimed to compose an offer. </w:t>
            </w:r>
          </w:p>
          <w:p w:rsidR="000D55A2" w:rsidRPr="008D2EA0" w:rsidRDefault="000D55A2" w:rsidP="00B45136">
            <w:pPr>
              <w:spacing w:before="40"/>
              <w:rPr>
                <w:lang w:val="en-GB"/>
              </w:rPr>
            </w:pPr>
            <w:r w:rsidRPr="008D2EA0">
              <w:rPr>
                <w:lang w:val="en-GB"/>
              </w:rPr>
              <w:t>This standard is described in the following documentation:</w:t>
            </w:r>
          </w:p>
          <w:p w:rsidR="000D55A2" w:rsidRPr="008D2EA0" w:rsidRDefault="000D55A2" w:rsidP="00B45136">
            <w:pPr>
              <w:spacing w:before="40"/>
              <w:rPr>
                <w:lang w:val="en-GB"/>
              </w:rPr>
            </w:pPr>
            <w:r w:rsidRPr="008D2EA0">
              <w:rPr>
                <w:lang w:val="en-GB"/>
              </w:rPr>
              <w:t>ETSI - TR 102 525: Functionalities, architecture and technologies</w:t>
            </w:r>
          </w:p>
          <w:p w:rsidR="000D55A2" w:rsidRPr="008D2EA0" w:rsidRDefault="000D55A2" w:rsidP="00B45136">
            <w:pPr>
              <w:spacing w:before="40"/>
              <w:rPr>
                <w:lang w:val="en-GB"/>
              </w:rPr>
            </w:pPr>
            <w:r w:rsidRPr="008D2EA0">
              <w:rPr>
                <w:lang w:val="en-GB"/>
              </w:rPr>
              <w:t>ETSI - TS 102 550: Outer Physical Layer of the Radio Interface</w:t>
            </w:r>
          </w:p>
          <w:p w:rsidR="000D55A2" w:rsidRPr="008D2EA0" w:rsidRDefault="000D55A2" w:rsidP="00B45136">
            <w:pPr>
              <w:spacing w:before="40"/>
              <w:rPr>
                <w:lang w:val="en-GB"/>
              </w:rPr>
            </w:pPr>
            <w:r w:rsidRPr="008D2EA0">
              <w:rPr>
                <w:lang w:val="en-GB"/>
              </w:rPr>
              <w:t xml:space="preserve">ETSI - TS 102 551: Inner Physical Layer of the Radio </w:t>
            </w:r>
          </w:p>
          <w:p w:rsidR="000D55A2" w:rsidRPr="008D2EA0" w:rsidRDefault="000D55A2" w:rsidP="00B45136">
            <w:pPr>
              <w:spacing w:before="40"/>
              <w:rPr>
                <w:lang w:val="en-GB"/>
              </w:rPr>
            </w:pPr>
            <w:r w:rsidRPr="008D2EA0">
              <w:rPr>
                <w:lang w:val="en-GB"/>
              </w:rPr>
              <w:t>Part 1 (TS 102 551-1): Single carrier transmission</w:t>
            </w:r>
          </w:p>
          <w:p w:rsidR="000D55A2" w:rsidRPr="008D2EA0" w:rsidRDefault="000D55A2" w:rsidP="00B45136">
            <w:pPr>
              <w:spacing w:before="40"/>
              <w:rPr>
                <w:lang w:val="en-GB"/>
              </w:rPr>
            </w:pPr>
            <w:r w:rsidRPr="008D2EA0">
              <w:rPr>
                <w:lang w:val="en-GB"/>
              </w:rPr>
              <w:t>Part 2 (TS 102 551-2): Multiple carrier transmission</w:t>
            </w:r>
          </w:p>
          <w:p w:rsidR="000D55A2" w:rsidRPr="008D2EA0" w:rsidRDefault="000D55A2" w:rsidP="00B45136">
            <w:pPr>
              <w:spacing w:before="40"/>
              <w:rPr>
                <w:lang w:val="en-GB"/>
              </w:rPr>
            </w:pPr>
            <w:r w:rsidRPr="008D2EA0">
              <w:rPr>
                <w:lang w:val="en-GB"/>
              </w:rPr>
              <w:t>A number of European manufacturers have already developed broadcast and receiver equipment implementing the SDR standard, which are therefore ready for large scale production and deployment. These would include a series of digital radio receiver chipsets, as well as a range of digital radio broadcast tower transmitters.</w:t>
            </w:r>
          </w:p>
          <w:p w:rsidR="00CF3C85" w:rsidRPr="008D2EA0" w:rsidRDefault="000D55A2" w:rsidP="00B45136">
            <w:pPr>
              <w:spacing w:before="40"/>
              <w:rPr>
                <w:sz w:val="22"/>
                <w:szCs w:val="22"/>
                <w:lang w:val="en-GB"/>
              </w:rPr>
            </w:pPr>
            <w:r w:rsidRPr="008D2EA0">
              <w:rPr>
                <w:lang w:val="en-GB"/>
              </w:rPr>
              <w:t>No further standardisation work is required before implementing terrestrial broadcasting services.</w:t>
            </w:r>
          </w:p>
        </w:tc>
      </w:tr>
      <w:tr w:rsidR="000D55A2" w:rsidRPr="008D2EA0" w:rsidTr="000D55A2">
        <w:tc>
          <w:tcPr>
            <w:tcW w:w="2235" w:type="dxa"/>
          </w:tcPr>
          <w:p w:rsidR="000D55A2" w:rsidRPr="008D2EA0" w:rsidRDefault="000D55A2" w:rsidP="00B45136">
            <w:pPr>
              <w:spacing w:before="40"/>
              <w:rPr>
                <w:lang w:val="en-GB"/>
              </w:rPr>
            </w:pPr>
            <w:r w:rsidRPr="008D2EA0">
              <w:rPr>
                <w:lang w:val="en-GB"/>
              </w:rPr>
              <w:lastRenderedPageBreak/>
              <w:t>Equipment</w:t>
            </w:r>
          </w:p>
        </w:tc>
        <w:tc>
          <w:tcPr>
            <w:tcW w:w="6659" w:type="dxa"/>
          </w:tcPr>
          <w:p w:rsidR="000D55A2" w:rsidRPr="008D2EA0" w:rsidRDefault="000D55A2" w:rsidP="00B45136">
            <w:pPr>
              <w:spacing w:before="40"/>
              <w:rPr>
                <w:lang w:val="en-GB"/>
              </w:rPr>
            </w:pPr>
            <w:r w:rsidRPr="008D2EA0">
              <w:rPr>
                <w:lang w:val="en-GB"/>
              </w:rPr>
              <w:t>Existing now.</w:t>
            </w:r>
          </w:p>
          <w:p w:rsidR="00CF3C85" w:rsidRPr="008D2EA0" w:rsidRDefault="000D55A2">
            <w:pPr>
              <w:spacing w:before="40"/>
              <w:rPr>
                <w:lang w:val="en-GB"/>
              </w:rPr>
            </w:pPr>
            <w:r w:rsidRPr="008D2EA0">
              <w:rPr>
                <w:rFonts w:cs="Arial"/>
                <w:szCs w:val="20"/>
                <w:lang w:val="en-GB"/>
              </w:rPr>
              <w:t xml:space="preserve">A number of receiver models have been developed and are potentially available on any market where the services are to be implemented. The receivers normally incorporate both the </w:t>
            </w:r>
            <w:r w:rsidR="00260B55">
              <w:rPr>
                <w:rFonts w:cs="Arial"/>
                <w:szCs w:val="20"/>
                <w:lang w:val="en-GB"/>
              </w:rPr>
              <w:t>174-240 MHz band</w:t>
            </w:r>
            <w:r w:rsidRPr="008D2EA0">
              <w:rPr>
                <w:rFonts w:cs="Arial"/>
                <w:szCs w:val="20"/>
                <w:lang w:val="en-GB"/>
              </w:rPr>
              <w:t xml:space="preserve"> and the L-band.</w:t>
            </w:r>
          </w:p>
        </w:tc>
      </w:tr>
      <w:tr w:rsidR="000D55A2" w:rsidRPr="008D2EA0" w:rsidTr="000D55A2">
        <w:tc>
          <w:tcPr>
            <w:tcW w:w="2235" w:type="dxa"/>
          </w:tcPr>
          <w:p w:rsidR="000D55A2" w:rsidRPr="008D2EA0" w:rsidRDefault="000D55A2" w:rsidP="00B45136">
            <w:pPr>
              <w:spacing w:before="40"/>
              <w:rPr>
                <w:lang w:val="en-GB"/>
              </w:rPr>
            </w:pPr>
            <w:r w:rsidRPr="008D2EA0">
              <w:rPr>
                <w:lang w:val="en-GB"/>
              </w:rPr>
              <w:t>Operational deployment</w:t>
            </w:r>
          </w:p>
        </w:tc>
        <w:tc>
          <w:tcPr>
            <w:tcW w:w="6659" w:type="dxa"/>
          </w:tcPr>
          <w:p w:rsidR="000D55A2" w:rsidRPr="008D2EA0" w:rsidRDefault="000D55A2" w:rsidP="00B45136">
            <w:pPr>
              <w:spacing w:before="40"/>
              <w:rPr>
                <w:lang w:val="en-GB"/>
              </w:rPr>
            </w:pPr>
            <w:r w:rsidRPr="008D2EA0">
              <w:rPr>
                <w:lang w:val="en-GB"/>
              </w:rPr>
              <w:t>Operational deployment can start in 2013.</w:t>
            </w:r>
          </w:p>
          <w:p w:rsidR="00CF3C85" w:rsidRPr="008D2EA0" w:rsidRDefault="000D55A2" w:rsidP="0020248A">
            <w:pPr>
              <w:spacing w:before="40"/>
              <w:rPr>
                <w:lang w:val="en-GB"/>
              </w:rPr>
            </w:pPr>
            <w:r w:rsidRPr="008D2EA0">
              <w:rPr>
                <w:lang w:val="en-GB"/>
              </w:rPr>
              <w:t>Depends on commercial opportunities, may vary from country to country, few existing operational deployments even though the regulatory framework is available</w:t>
            </w:r>
            <w:r w:rsidR="0020248A" w:rsidRPr="008D2EA0">
              <w:rPr>
                <w:lang w:val="en-GB"/>
              </w:rPr>
              <w:t>.</w:t>
            </w:r>
          </w:p>
        </w:tc>
      </w:tr>
    </w:tbl>
    <w:p w:rsidR="000D55A2" w:rsidRPr="008D2EA0" w:rsidRDefault="000D55A2" w:rsidP="00B45136">
      <w:pPr>
        <w:pStyle w:val="ECCParagraph"/>
        <w:spacing w:before="40" w:after="0"/>
      </w:pPr>
    </w:p>
    <w:p w:rsidR="000D55A2" w:rsidRPr="008D2EA0" w:rsidRDefault="000D55A2" w:rsidP="00510087">
      <w:pPr>
        <w:pStyle w:val="Heading3"/>
      </w:pPr>
      <w:bookmarkStart w:id="118" w:name="_Toc349039281"/>
      <w:r w:rsidRPr="008D2EA0">
        <w:t>Mobile Broadband</w:t>
      </w:r>
      <w:bookmarkEnd w:id="118"/>
    </w:p>
    <w:p w:rsidR="000D55A2" w:rsidRPr="008D2EA0" w:rsidRDefault="000D55A2" w:rsidP="00F21C76">
      <w:pPr>
        <w:pStyle w:val="ECCTabletitle"/>
      </w:pPr>
      <w:r w:rsidRPr="008D2EA0">
        <w:t>Criterion 4 – Mobile broadband</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6658"/>
      </w:tblGrid>
      <w:tr w:rsidR="000D55A2" w:rsidRPr="008D2EA0" w:rsidTr="000D55A2">
        <w:trPr>
          <w:tblHeader/>
        </w:trPr>
        <w:tc>
          <w:tcPr>
            <w:tcW w:w="2236" w:type="dxa"/>
            <w:tcBorders>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p>
        </w:tc>
        <w:tc>
          <w:tcPr>
            <w:tcW w:w="6658" w:type="dxa"/>
            <w:tcBorders>
              <w:left w:val="single" w:sz="8" w:space="0" w:color="FFFFFF"/>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r w:rsidRPr="008D2EA0">
              <w:rPr>
                <w:b/>
                <w:color w:val="FFFFFF"/>
                <w:lang w:val="en-GB"/>
              </w:rPr>
              <w:t>Mobile Broadband</w:t>
            </w:r>
          </w:p>
        </w:tc>
      </w:tr>
      <w:tr w:rsidR="000D55A2" w:rsidRPr="008D2EA0" w:rsidTr="000D55A2">
        <w:tc>
          <w:tcPr>
            <w:tcW w:w="2236" w:type="dxa"/>
          </w:tcPr>
          <w:p w:rsidR="000D55A2" w:rsidRPr="008D2EA0" w:rsidRDefault="000D55A2" w:rsidP="000D55A2">
            <w:pPr>
              <w:rPr>
                <w:sz w:val="22"/>
                <w:szCs w:val="22"/>
                <w:lang w:val="en-GB"/>
              </w:rPr>
            </w:pPr>
            <w:r w:rsidRPr="008D2EA0">
              <w:rPr>
                <w:lang w:val="en-GB"/>
              </w:rPr>
              <w:t>Band designation</w:t>
            </w:r>
          </w:p>
        </w:tc>
        <w:tc>
          <w:tcPr>
            <w:tcW w:w="6658" w:type="dxa"/>
          </w:tcPr>
          <w:p w:rsidR="000D55A2" w:rsidRPr="008D2EA0" w:rsidRDefault="000D55A2" w:rsidP="00F77275">
            <w:pPr>
              <w:spacing w:after="120"/>
              <w:rPr>
                <w:lang w:val="en-GB"/>
              </w:rPr>
            </w:pPr>
            <w:r w:rsidRPr="008D2EA0">
              <w:rPr>
                <w:lang w:val="en-GB"/>
              </w:rPr>
              <w:t>End of 2012</w:t>
            </w:r>
            <w:r w:rsidR="00F77275">
              <w:rPr>
                <w:lang w:val="en-GB"/>
              </w:rPr>
              <w:t>.</w:t>
            </w:r>
          </w:p>
          <w:p w:rsidR="000D55A2" w:rsidRPr="008D2EA0" w:rsidRDefault="000D55A2" w:rsidP="000D55A2">
            <w:pPr>
              <w:rPr>
                <w:i/>
                <w:lang w:val="en-GB"/>
              </w:rPr>
            </w:pPr>
            <w:r w:rsidRPr="008D2EA0">
              <w:rPr>
                <w:lang w:val="en-GB"/>
              </w:rPr>
              <w:t xml:space="preserve">However, for the FDD out-band pairing option (i.e. pairing the band 1452-1492 MHz - in uplink or downlink - with 40 MHz in –uplink or downlink – in another band) this will require the designation of a new band to pair with the L-band. </w:t>
            </w:r>
            <w:r w:rsidRPr="008D2EA0">
              <w:rPr>
                <w:i/>
                <w:lang w:val="en-GB"/>
              </w:rPr>
              <w:t>(NB: FDD with out-band pairing is different than supplemental downlink)</w:t>
            </w:r>
          </w:p>
          <w:p w:rsidR="00CF3C85" w:rsidRPr="008D2EA0" w:rsidRDefault="00CF3C85" w:rsidP="000D55A2">
            <w:pPr>
              <w:rPr>
                <w:lang w:val="en-GB"/>
              </w:rPr>
            </w:pPr>
          </w:p>
        </w:tc>
      </w:tr>
      <w:tr w:rsidR="000D55A2" w:rsidRPr="008D2EA0" w:rsidTr="000D55A2">
        <w:tc>
          <w:tcPr>
            <w:tcW w:w="2236" w:type="dxa"/>
          </w:tcPr>
          <w:p w:rsidR="000D55A2" w:rsidRPr="008D2EA0" w:rsidRDefault="000D55A2" w:rsidP="000D55A2">
            <w:pPr>
              <w:rPr>
                <w:sz w:val="22"/>
                <w:szCs w:val="22"/>
                <w:lang w:val="en-GB"/>
              </w:rPr>
            </w:pPr>
            <w:r w:rsidRPr="008D2EA0">
              <w:rPr>
                <w:lang w:val="en-GB"/>
              </w:rPr>
              <w:t>Technical conditions</w:t>
            </w:r>
          </w:p>
        </w:tc>
        <w:tc>
          <w:tcPr>
            <w:tcW w:w="6658" w:type="dxa"/>
          </w:tcPr>
          <w:p w:rsidR="000D55A2" w:rsidRPr="008D2EA0" w:rsidRDefault="000D55A2" w:rsidP="0020248A">
            <w:pPr>
              <w:spacing w:after="120"/>
              <w:rPr>
                <w:lang w:val="en-GB"/>
              </w:rPr>
            </w:pPr>
            <w:r w:rsidRPr="008D2EA0">
              <w:rPr>
                <w:lang w:val="en-GB"/>
              </w:rPr>
              <w:t>In case of TDD, LRTC by the end of 2013</w:t>
            </w:r>
            <w:r w:rsidR="00E60485">
              <w:rPr>
                <w:lang w:val="en-GB"/>
              </w:rPr>
              <w:t>.</w:t>
            </w:r>
          </w:p>
          <w:p w:rsidR="000D55A2" w:rsidRPr="008D2EA0" w:rsidRDefault="000D55A2" w:rsidP="0020248A">
            <w:pPr>
              <w:spacing w:after="120"/>
              <w:rPr>
                <w:lang w:val="en-GB"/>
              </w:rPr>
            </w:pPr>
            <w:r w:rsidRPr="008D2EA0">
              <w:rPr>
                <w:lang w:val="en-GB"/>
              </w:rPr>
              <w:t>In the case of FDD in-band pairing, it has been concluded that the maximum of 40 MHz potentially available in the L-band is considered not to be sufficient for a viable eco-system for in-band pairing (see section</w:t>
            </w:r>
            <w:r w:rsidR="00631F3F" w:rsidRPr="008D2EA0">
              <w:rPr>
                <w:lang w:val="en-GB"/>
              </w:rPr>
              <w:t xml:space="preserve"> </w:t>
            </w:r>
            <w:r w:rsidR="00631F3F" w:rsidRPr="008D2EA0">
              <w:rPr>
                <w:highlight w:val="green"/>
                <w:lang w:val="en-GB"/>
              </w:rPr>
              <w:fldChar w:fldCharType="begin"/>
            </w:r>
            <w:r w:rsidR="00631F3F" w:rsidRPr="008D2EA0">
              <w:rPr>
                <w:lang w:val="en-GB"/>
              </w:rPr>
              <w:instrText xml:space="preserve"> REF _Ref332796633 \r \h </w:instrText>
            </w:r>
            <w:r w:rsidR="00631F3F" w:rsidRPr="008D2EA0">
              <w:rPr>
                <w:highlight w:val="green"/>
                <w:lang w:val="en-GB"/>
              </w:rPr>
            </w:r>
            <w:r w:rsidR="00631F3F" w:rsidRPr="008D2EA0">
              <w:rPr>
                <w:highlight w:val="green"/>
                <w:lang w:val="en-GB"/>
              </w:rPr>
              <w:fldChar w:fldCharType="separate"/>
            </w:r>
            <w:r w:rsidR="00E73FF2">
              <w:rPr>
                <w:lang w:val="en-GB"/>
              </w:rPr>
              <w:t>4.2.1</w:t>
            </w:r>
            <w:r w:rsidR="00631F3F" w:rsidRPr="008D2EA0">
              <w:rPr>
                <w:highlight w:val="green"/>
                <w:lang w:val="en-GB"/>
              </w:rPr>
              <w:fldChar w:fldCharType="end"/>
            </w:r>
            <w:r w:rsidRPr="008D2EA0">
              <w:rPr>
                <w:lang w:val="en-GB"/>
              </w:rPr>
              <w:t>)</w:t>
            </w:r>
          </w:p>
          <w:p w:rsidR="00CF3C85" w:rsidRPr="008D2EA0" w:rsidRDefault="000D55A2" w:rsidP="0020248A">
            <w:pPr>
              <w:rPr>
                <w:sz w:val="22"/>
                <w:szCs w:val="22"/>
                <w:lang w:val="en-GB"/>
              </w:rPr>
            </w:pPr>
            <w:r w:rsidRPr="008D2EA0">
              <w:rPr>
                <w:lang w:val="en-GB"/>
              </w:rPr>
              <w:t>In case of FDD out-band pairing (i.e. pairing the band 1452-1492 MHz - in uplink or downlink - with 40 MHz in – uplink or downlink – in another band), the technical conditions development timeline will depend on the designation of 40 MHz in another band to pair with the L-band in an FDD mode. This is not foreseen to take place in CEPT under a realistic timeframe.</w:t>
            </w:r>
          </w:p>
        </w:tc>
      </w:tr>
      <w:tr w:rsidR="000D55A2" w:rsidRPr="008D2EA0" w:rsidTr="000D55A2">
        <w:tc>
          <w:tcPr>
            <w:tcW w:w="2236" w:type="dxa"/>
          </w:tcPr>
          <w:p w:rsidR="000D55A2" w:rsidRPr="008D2EA0" w:rsidRDefault="000D55A2" w:rsidP="000D55A2">
            <w:pPr>
              <w:rPr>
                <w:sz w:val="22"/>
                <w:szCs w:val="22"/>
                <w:lang w:val="en-GB"/>
              </w:rPr>
            </w:pPr>
            <w:r w:rsidRPr="008D2EA0">
              <w:rPr>
                <w:lang w:val="en-GB"/>
              </w:rPr>
              <w:t>Licensing</w:t>
            </w:r>
          </w:p>
        </w:tc>
        <w:tc>
          <w:tcPr>
            <w:tcW w:w="6658" w:type="dxa"/>
          </w:tcPr>
          <w:p w:rsidR="000D55A2" w:rsidRPr="008D2EA0" w:rsidRDefault="000D55A2" w:rsidP="000D55A2">
            <w:pPr>
              <w:rPr>
                <w:lang w:val="en-GB"/>
              </w:rPr>
            </w:pPr>
            <w:r w:rsidRPr="008D2EA0">
              <w:rPr>
                <w:lang w:val="en-GB"/>
              </w:rPr>
              <w:t>Licensing procedure could take up to 24 months</w:t>
            </w:r>
            <w:r w:rsidRPr="008D2EA0" w:rsidDel="007954FA">
              <w:rPr>
                <w:lang w:val="en-GB"/>
              </w:rPr>
              <w:t xml:space="preserve"> </w:t>
            </w:r>
            <w:r w:rsidRPr="008D2EA0">
              <w:rPr>
                <w:lang w:val="en-GB"/>
              </w:rPr>
              <w:t xml:space="preserve">after band designation, depending on national circumstances (taking into account existing </w:t>
            </w:r>
            <w:r w:rsidRPr="008D2EA0">
              <w:rPr>
                <w:lang w:val="en-GB"/>
              </w:rPr>
              <w:lastRenderedPageBreak/>
              <w:t>licenses)</w:t>
            </w:r>
          </w:p>
          <w:p w:rsidR="00CF3C85" w:rsidRPr="008D2EA0" w:rsidRDefault="000D55A2" w:rsidP="0020248A">
            <w:pPr>
              <w:rPr>
                <w:lang w:val="en-GB"/>
              </w:rPr>
            </w:pPr>
            <w:r w:rsidRPr="008D2EA0">
              <w:rPr>
                <w:rFonts w:cs="Arial"/>
                <w:lang w:val="en-GB"/>
              </w:rPr>
              <w:t>Taking into account that the band is already available in a number of countries, administrations can start licensing the band for mobile use as soon as the ECC Decision on LRTC is adopted and subject to their national market demand.</w:t>
            </w:r>
          </w:p>
        </w:tc>
      </w:tr>
      <w:tr w:rsidR="000D55A2" w:rsidRPr="008D2EA0" w:rsidTr="000D55A2">
        <w:tc>
          <w:tcPr>
            <w:tcW w:w="2236" w:type="dxa"/>
          </w:tcPr>
          <w:p w:rsidR="000D55A2" w:rsidRPr="008D2EA0" w:rsidRDefault="000D55A2" w:rsidP="000D55A2">
            <w:pPr>
              <w:rPr>
                <w:sz w:val="22"/>
                <w:szCs w:val="22"/>
                <w:lang w:val="en-GB"/>
              </w:rPr>
            </w:pPr>
            <w:r w:rsidRPr="008D2EA0">
              <w:rPr>
                <w:lang w:val="en-GB"/>
              </w:rPr>
              <w:lastRenderedPageBreak/>
              <w:t>Standardisation</w:t>
            </w:r>
          </w:p>
        </w:tc>
        <w:tc>
          <w:tcPr>
            <w:tcW w:w="6658" w:type="dxa"/>
          </w:tcPr>
          <w:p w:rsidR="00CF3C85" w:rsidRPr="008D2EA0" w:rsidRDefault="000D55A2" w:rsidP="0078409E">
            <w:pPr>
              <w:rPr>
                <w:lang w:val="en-GB"/>
              </w:rPr>
            </w:pPr>
            <w:r w:rsidRPr="008D2EA0">
              <w:rPr>
                <w:lang w:val="en-GB"/>
              </w:rPr>
              <w:t xml:space="preserve">3GPP will have to develop LTE TDD standard specifications in the band 1452-1492 MHz as this band is today not specified for LTE TDD. This specification work by 3GPP can take approximately one year after a proposal is made by the industry to 3GPP. In the context of </w:t>
            </w:r>
            <w:r w:rsidR="00CF3C85" w:rsidRPr="008D2EA0">
              <w:rPr>
                <w:lang w:val="en-GB"/>
              </w:rPr>
              <w:t>this study</w:t>
            </w:r>
            <w:r w:rsidR="00BC050E" w:rsidRPr="008D2EA0">
              <w:rPr>
                <w:lang w:val="en-GB"/>
              </w:rPr>
              <w:t>, the industry hasn’t made such</w:t>
            </w:r>
            <w:r w:rsidR="00770411" w:rsidRPr="008D2EA0">
              <w:rPr>
                <w:lang w:val="en-GB"/>
              </w:rPr>
              <w:t xml:space="preserve"> </w:t>
            </w:r>
            <w:r w:rsidR="00995D9E">
              <w:rPr>
                <w:lang w:val="en-GB"/>
              </w:rPr>
              <w:t xml:space="preserve">a </w:t>
            </w:r>
            <w:r w:rsidR="00995D9E" w:rsidRPr="008D2EA0">
              <w:rPr>
                <w:lang w:val="en-GB"/>
              </w:rPr>
              <w:t>proposal;</w:t>
            </w:r>
            <w:r w:rsidRPr="008D2EA0">
              <w:rPr>
                <w:lang w:val="en-GB"/>
              </w:rPr>
              <w:t xml:space="preserve"> this would suggest that the standard in the </w:t>
            </w:r>
            <w:r w:rsidR="0078409E">
              <w:rPr>
                <w:lang w:val="en-GB"/>
              </w:rPr>
              <w:t>L-band</w:t>
            </w:r>
            <w:r w:rsidRPr="008D2EA0">
              <w:rPr>
                <w:lang w:val="en-GB"/>
              </w:rPr>
              <w:t xml:space="preserve"> might be completed in 2014 at the earliest.</w:t>
            </w:r>
          </w:p>
        </w:tc>
      </w:tr>
      <w:tr w:rsidR="000D55A2" w:rsidRPr="008D2EA0" w:rsidTr="000D55A2">
        <w:tc>
          <w:tcPr>
            <w:tcW w:w="2236" w:type="dxa"/>
          </w:tcPr>
          <w:p w:rsidR="000D55A2" w:rsidRPr="008D2EA0" w:rsidRDefault="000D55A2" w:rsidP="000D55A2">
            <w:pPr>
              <w:rPr>
                <w:lang w:val="en-GB"/>
              </w:rPr>
            </w:pPr>
            <w:r w:rsidRPr="008D2EA0">
              <w:rPr>
                <w:lang w:val="en-GB"/>
              </w:rPr>
              <w:t>Equipment</w:t>
            </w:r>
          </w:p>
        </w:tc>
        <w:tc>
          <w:tcPr>
            <w:tcW w:w="6658" w:type="dxa"/>
          </w:tcPr>
          <w:p w:rsidR="000D55A2" w:rsidRPr="008D2EA0" w:rsidRDefault="000D55A2" w:rsidP="0078409E">
            <w:pPr>
              <w:rPr>
                <w:lang w:val="en-GB"/>
              </w:rPr>
            </w:pPr>
            <w:r w:rsidRPr="008D2EA0">
              <w:rPr>
                <w:lang w:val="en-GB"/>
              </w:rPr>
              <w:t xml:space="preserve">After the completion of the </w:t>
            </w:r>
            <w:r w:rsidR="0078409E">
              <w:rPr>
                <w:lang w:val="en-GB"/>
              </w:rPr>
              <w:t xml:space="preserve">L-band </w:t>
            </w:r>
            <w:r w:rsidRPr="008D2EA0">
              <w:rPr>
                <w:lang w:val="en-GB"/>
              </w:rPr>
              <w:t xml:space="preserve">LTE TDD standard, it would take a year or two to make the equipment available as industry interest hasn’t been expressed in the context of </w:t>
            </w:r>
            <w:r w:rsidR="00CF3C85" w:rsidRPr="008D2EA0">
              <w:rPr>
                <w:lang w:val="en-GB"/>
              </w:rPr>
              <w:t>this</w:t>
            </w:r>
            <w:r w:rsidRPr="008D2EA0">
              <w:rPr>
                <w:lang w:val="en-GB"/>
              </w:rPr>
              <w:t xml:space="preserve"> work. This would suggest equipment availability in 2015/2016.</w:t>
            </w:r>
          </w:p>
        </w:tc>
      </w:tr>
      <w:tr w:rsidR="000D55A2" w:rsidRPr="008D2EA0" w:rsidTr="000D55A2">
        <w:tc>
          <w:tcPr>
            <w:tcW w:w="2236" w:type="dxa"/>
          </w:tcPr>
          <w:p w:rsidR="000D55A2" w:rsidRPr="008D2EA0" w:rsidRDefault="000D55A2" w:rsidP="000D55A2">
            <w:pPr>
              <w:rPr>
                <w:lang w:val="en-GB"/>
              </w:rPr>
            </w:pPr>
            <w:r w:rsidRPr="008D2EA0">
              <w:rPr>
                <w:lang w:val="en-GB"/>
              </w:rPr>
              <w:t>Operational deployment</w:t>
            </w:r>
          </w:p>
        </w:tc>
        <w:tc>
          <w:tcPr>
            <w:tcW w:w="6658" w:type="dxa"/>
          </w:tcPr>
          <w:p w:rsidR="000D55A2" w:rsidRPr="008D2EA0" w:rsidRDefault="000D55A2" w:rsidP="000D55A2">
            <w:pPr>
              <w:rPr>
                <w:lang w:val="en-GB"/>
              </w:rPr>
            </w:pPr>
            <w:r w:rsidRPr="008D2EA0">
              <w:rPr>
                <w:lang w:val="en-GB"/>
              </w:rPr>
              <w:t>Operational deployment may start in 2015/2016.</w:t>
            </w:r>
          </w:p>
        </w:tc>
      </w:tr>
    </w:tbl>
    <w:p w:rsidR="000D55A2" w:rsidRPr="008D2EA0" w:rsidRDefault="000D55A2" w:rsidP="000D55A2">
      <w:pPr>
        <w:pStyle w:val="ECCParagraph"/>
      </w:pPr>
    </w:p>
    <w:p w:rsidR="000D55A2" w:rsidRPr="008D2EA0" w:rsidRDefault="000D55A2" w:rsidP="00510087">
      <w:pPr>
        <w:pStyle w:val="Heading3"/>
      </w:pPr>
      <w:bookmarkStart w:id="119" w:name="_Toc349039282"/>
      <w:r w:rsidRPr="008D2EA0">
        <w:t>Mobile SDL</w:t>
      </w:r>
      <w:bookmarkEnd w:id="119"/>
    </w:p>
    <w:p w:rsidR="00D40519" w:rsidRPr="008D2EA0" w:rsidRDefault="00D40519" w:rsidP="00F21C76">
      <w:pPr>
        <w:pStyle w:val="ECCTabletitle"/>
      </w:pPr>
      <w:r w:rsidRPr="008D2EA0">
        <w:t>Criterion 4 – Mobile SDL</w:t>
      </w:r>
    </w:p>
    <w:tbl>
      <w:tblPr>
        <w:tblW w:w="9001" w:type="dxa"/>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40"/>
        <w:gridCol w:w="7361"/>
      </w:tblGrid>
      <w:tr w:rsidR="000D55A2" w:rsidRPr="008D2EA0" w:rsidTr="00BC050E">
        <w:trPr>
          <w:tblHeader/>
        </w:trPr>
        <w:tc>
          <w:tcPr>
            <w:tcW w:w="1701" w:type="dxa"/>
            <w:tcBorders>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p>
        </w:tc>
        <w:tc>
          <w:tcPr>
            <w:tcW w:w="7300" w:type="dxa"/>
            <w:tcBorders>
              <w:left w:val="single" w:sz="8" w:space="0" w:color="FFFFFF"/>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r w:rsidRPr="008D2EA0">
              <w:rPr>
                <w:b/>
                <w:color w:val="FFFFFF"/>
                <w:lang w:val="en-GB"/>
              </w:rPr>
              <w:t>Mobile SDL</w:t>
            </w:r>
          </w:p>
        </w:tc>
      </w:tr>
      <w:tr w:rsidR="000D55A2" w:rsidRPr="008D2EA0" w:rsidTr="00BC050E">
        <w:tc>
          <w:tcPr>
            <w:tcW w:w="1701" w:type="dxa"/>
          </w:tcPr>
          <w:p w:rsidR="000D55A2" w:rsidRPr="008D2EA0" w:rsidRDefault="000D55A2" w:rsidP="000D55A2">
            <w:pPr>
              <w:rPr>
                <w:sz w:val="22"/>
                <w:szCs w:val="22"/>
                <w:lang w:val="en-GB"/>
              </w:rPr>
            </w:pPr>
            <w:r w:rsidRPr="008D2EA0">
              <w:rPr>
                <w:lang w:val="en-GB"/>
              </w:rPr>
              <w:t>Band designation</w:t>
            </w:r>
          </w:p>
        </w:tc>
        <w:tc>
          <w:tcPr>
            <w:tcW w:w="7300" w:type="dxa"/>
          </w:tcPr>
          <w:p w:rsidR="000D55A2" w:rsidRPr="008D2EA0" w:rsidRDefault="000D55A2" w:rsidP="000D55A2">
            <w:pPr>
              <w:rPr>
                <w:lang w:val="en-GB"/>
              </w:rPr>
            </w:pPr>
            <w:r w:rsidRPr="008D2EA0">
              <w:rPr>
                <w:lang w:val="en-GB"/>
              </w:rPr>
              <w:t>End of 2012</w:t>
            </w:r>
          </w:p>
          <w:p w:rsidR="000D55A2" w:rsidRPr="008D2EA0" w:rsidRDefault="000D55A2" w:rsidP="000D55A2">
            <w:pPr>
              <w:rPr>
                <w:lang w:val="en-GB"/>
              </w:rPr>
            </w:pPr>
          </w:p>
        </w:tc>
      </w:tr>
      <w:tr w:rsidR="000D55A2" w:rsidRPr="008D2EA0" w:rsidTr="00BC050E">
        <w:tc>
          <w:tcPr>
            <w:tcW w:w="1701" w:type="dxa"/>
          </w:tcPr>
          <w:p w:rsidR="000D55A2" w:rsidRPr="008D2EA0" w:rsidRDefault="000D55A2" w:rsidP="000D55A2">
            <w:pPr>
              <w:rPr>
                <w:sz w:val="22"/>
                <w:szCs w:val="22"/>
                <w:lang w:val="en-GB"/>
              </w:rPr>
            </w:pPr>
            <w:r w:rsidRPr="008D2EA0">
              <w:rPr>
                <w:lang w:val="en-GB"/>
              </w:rPr>
              <w:t>Technical conditions</w:t>
            </w:r>
          </w:p>
        </w:tc>
        <w:tc>
          <w:tcPr>
            <w:tcW w:w="7300" w:type="dxa"/>
          </w:tcPr>
          <w:p w:rsidR="000D55A2" w:rsidRPr="008D2EA0" w:rsidRDefault="000D55A2" w:rsidP="000D55A2">
            <w:pPr>
              <w:rPr>
                <w:lang w:val="en-GB"/>
              </w:rPr>
            </w:pPr>
            <w:r w:rsidRPr="008D2EA0">
              <w:rPr>
                <w:lang w:val="en-GB"/>
              </w:rPr>
              <w:t>LRTC by the end of 2013</w:t>
            </w:r>
          </w:p>
          <w:p w:rsidR="000D55A2" w:rsidRPr="008D2EA0" w:rsidRDefault="000D55A2" w:rsidP="000D55A2">
            <w:pPr>
              <w:rPr>
                <w:lang w:val="en-GB"/>
              </w:rPr>
            </w:pPr>
            <w:r w:rsidRPr="008D2EA0">
              <w:rPr>
                <w:lang w:val="en-GB"/>
              </w:rPr>
              <w:t>This requires a Decision by the ECC defining the LRTC for the band 1452-1492 MHz, based on a harmonised band plan of 8 blocks of 5 MHz each with associated Block Edge Mask (BEM).</w:t>
            </w:r>
          </w:p>
          <w:p w:rsidR="00CF3C85" w:rsidRPr="008D2EA0" w:rsidRDefault="00CF3C85" w:rsidP="000D55A2">
            <w:pPr>
              <w:rPr>
                <w:lang w:val="en-GB"/>
              </w:rPr>
            </w:pPr>
          </w:p>
        </w:tc>
      </w:tr>
      <w:tr w:rsidR="000D55A2" w:rsidRPr="008D2EA0" w:rsidTr="00BC050E">
        <w:tc>
          <w:tcPr>
            <w:tcW w:w="1701" w:type="dxa"/>
          </w:tcPr>
          <w:p w:rsidR="000D55A2" w:rsidRPr="008D2EA0" w:rsidRDefault="000D55A2" w:rsidP="000D55A2">
            <w:pPr>
              <w:rPr>
                <w:sz w:val="22"/>
                <w:szCs w:val="22"/>
                <w:lang w:val="en-GB"/>
              </w:rPr>
            </w:pPr>
            <w:r w:rsidRPr="008D2EA0">
              <w:rPr>
                <w:lang w:val="en-GB"/>
              </w:rPr>
              <w:t>Licensing</w:t>
            </w:r>
          </w:p>
        </w:tc>
        <w:tc>
          <w:tcPr>
            <w:tcW w:w="7300" w:type="dxa"/>
          </w:tcPr>
          <w:p w:rsidR="000D55A2" w:rsidRPr="008D2EA0" w:rsidRDefault="000D55A2" w:rsidP="000D55A2">
            <w:pPr>
              <w:rPr>
                <w:lang w:val="en-GB"/>
              </w:rPr>
            </w:pPr>
            <w:r w:rsidRPr="008D2EA0">
              <w:rPr>
                <w:lang w:val="en-GB"/>
              </w:rPr>
              <w:t>Licensing procedure could take up to 24 months</w:t>
            </w:r>
            <w:r w:rsidRPr="008D2EA0" w:rsidDel="007954FA">
              <w:rPr>
                <w:lang w:val="en-GB"/>
              </w:rPr>
              <w:t xml:space="preserve"> </w:t>
            </w:r>
            <w:r w:rsidRPr="008D2EA0">
              <w:rPr>
                <w:lang w:val="en-GB"/>
              </w:rPr>
              <w:t>after band designation, depending on national circumstances (taking into account existing licenses)</w:t>
            </w:r>
            <w:r w:rsidR="00CF3C85" w:rsidRPr="008D2EA0">
              <w:rPr>
                <w:lang w:val="en-GB"/>
              </w:rPr>
              <w:t>.</w:t>
            </w:r>
          </w:p>
          <w:p w:rsidR="000D55A2" w:rsidRPr="008D2EA0" w:rsidRDefault="000D55A2" w:rsidP="000D55A2">
            <w:pPr>
              <w:rPr>
                <w:rFonts w:cs="Arial"/>
                <w:lang w:val="en-GB"/>
              </w:rPr>
            </w:pPr>
            <w:r w:rsidRPr="008D2EA0">
              <w:rPr>
                <w:rFonts w:cs="Arial"/>
                <w:lang w:val="en-GB"/>
              </w:rPr>
              <w:t xml:space="preserve">Taking into account that the band is already available in a number of countries, administrations can start licensing the band for mobile use as soon as the ECC Decision on LRTC is adopted and subject to their national market demand.  </w:t>
            </w:r>
          </w:p>
          <w:p w:rsidR="000D55A2" w:rsidRPr="008D2EA0" w:rsidRDefault="000D55A2" w:rsidP="000D55A2">
            <w:pPr>
              <w:rPr>
                <w:lang w:val="en-GB"/>
              </w:rPr>
            </w:pPr>
          </w:p>
        </w:tc>
      </w:tr>
      <w:tr w:rsidR="000D55A2" w:rsidRPr="008D2EA0" w:rsidTr="00BC050E">
        <w:tc>
          <w:tcPr>
            <w:tcW w:w="1701" w:type="dxa"/>
          </w:tcPr>
          <w:p w:rsidR="000D55A2" w:rsidRPr="008D2EA0" w:rsidRDefault="000D55A2" w:rsidP="000D55A2">
            <w:pPr>
              <w:rPr>
                <w:sz w:val="22"/>
                <w:szCs w:val="22"/>
                <w:lang w:val="en-GB"/>
              </w:rPr>
            </w:pPr>
            <w:r w:rsidRPr="008D2EA0">
              <w:rPr>
                <w:lang w:val="en-GB"/>
              </w:rPr>
              <w:t>Standardisation</w:t>
            </w:r>
          </w:p>
        </w:tc>
        <w:tc>
          <w:tcPr>
            <w:tcW w:w="7300" w:type="dxa"/>
          </w:tcPr>
          <w:p w:rsidR="000D55A2" w:rsidRPr="008D2EA0" w:rsidRDefault="000D55A2" w:rsidP="00E60485">
            <w:pPr>
              <w:spacing w:after="120"/>
              <w:rPr>
                <w:lang w:val="en-GB"/>
              </w:rPr>
            </w:pPr>
            <w:r w:rsidRPr="008D2EA0">
              <w:rPr>
                <w:lang w:val="en-GB"/>
              </w:rPr>
              <w:t>3 GPP standardi</w:t>
            </w:r>
            <w:r w:rsidR="00CF3C85" w:rsidRPr="008D2EA0">
              <w:rPr>
                <w:lang w:val="en-GB"/>
              </w:rPr>
              <w:t>s</w:t>
            </w:r>
            <w:r w:rsidRPr="008D2EA0">
              <w:rPr>
                <w:lang w:val="en-GB"/>
              </w:rPr>
              <w:t>ation for the band is expected to be completed by the end of 2013.</w:t>
            </w:r>
          </w:p>
          <w:p w:rsidR="000D55A2" w:rsidRPr="008D2EA0" w:rsidRDefault="000D55A2" w:rsidP="000D55A2">
            <w:pPr>
              <w:rPr>
                <w:lang w:val="en-GB"/>
              </w:rPr>
            </w:pPr>
            <w:r w:rsidRPr="008D2EA0">
              <w:rPr>
                <w:rFonts w:cs="Calibri"/>
                <w:lang w:val="en-GB"/>
              </w:rPr>
              <w:t>The 3GPP specifications already contain almost all the capability that would be required to combine operation on the current European mobile paired FDD band with a SDL at 1452-1492 MHz. The key things those specifications would need to cover are the capability to aggregate downlink channels across bands (to create greater bandwidth). This is already supported in standards for UMTS from Release 9 (HSPA+) and for LTE from Release 10 (LTE-Advanced). Each specific band combination would be defined in 3GPP. Likewise channel management, power control, quality management and handover are all within the capability of the existing standards specifications. The Work Items (WI) for similar arrangements in the 700 MHz band in the USA have already been approved in the 3GPP (see RP-110435). The work on this WI is already on</w:t>
            </w:r>
            <w:r w:rsidR="0053426A" w:rsidRPr="008D2EA0">
              <w:rPr>
                <w:rFonts w:cs="Calibri"/>
                <w:lang w:val="en-GB"/>
              </w:rPr>
              <w:t>-</w:t>
            </w:r>
            <w:r w:rsidRPr="008D2EA0">
              <w:rPr>
                <w:rFonts w:cs="Calibri"/>
                <w:lang w:val="en-GB"/>
              </w:rPr>
              <w:t xml:space="preserve">going and is planned to be completed in September 2012. A new Work </w:t>
            </w:r>
            <w:r w:rsidR="00782AB3" w:rsidRPr="008D2EA0">
              <w:rPr>
                <w:rFonts w:cs="Calibri"/>
                <w:lang w:val="en-GB"/>
              </w:rPr>
              <w:t>I</w:t>
            </w:r>
            <w:r w:rsidRPr="008D2EA0">
              <w:rPr>
                <w:rFonts w:cs="Calibri"/>
                <w:lang w:val="en-GB"/>
              </w:rPr>
              <w:t>tem in 3G</w:t>
            </w:r>
            <w:r w:rsidR="0003313A" w:rsidRPr="008D2EA0">
              <w:rPr>
                <w:rFonts w:cs="Calibri"/>
                <w:lang w:val="en-GB"/>
              </w:rPr>
              <w:t>PP would be required for a 1452-</w:t>
            </w:r>
            <w:r w:rsidRPr="008D2EA0">
              <w:rPr>
                <w:rFonts w:cs="Calibri"/>
                <w:lang w:val="en-GB"/>
              </w:rPr>
              <w:t>1492 MHz SDL. However the current AT&amp;T will cover the technical issues that will need to be addressed. Once a decision on the harmonised use of the band is taken by the CEPT/ECC end of 2012, a request can be made to 3GPP to undertake the necessary work to include the 1452</w:t>
            </w:r>
            <w:r w:rsidR="0003313A" w:rsidRPr="008D2EA0">
              <w:rPr>
                <w:rFonts w:cs="Calibri"/>
                <w:lang w:val="en-GB"/>
              </w:rPr>
              <w:t>-</w:t>
            </w:r>
            <w:r w:rsidRPr="008D2EA0">
              <w:rPr>
                <w:rFonts w:cs="Calibri"/>
                <w:lang w:val="en-GB"/>
              </w:rPr>
              <w:t xml:space="preserve">1492 MHz SDL in the specifications for HSPA+ from Release 9, as well as </w:t>
            </w:r>
            <w:r w:rsidRPr="008D2EA0">
              <w:rPr>
                <w:rFonts w:cs="Calibri"/>
                <w:lang w:val="en-GB"/>
              </w:rPr>
              <w:lastRenderedPageBreak/>
              <w:t>for LTE from Release 10, i.e. the first LTE release which supports multiple carrier aggregation capabilities. This work will be undertaken in parallel to the development of the harmoni</w:t>
            </w:r>
            <w:r w:rsidR="00782AB3" w:rsidRPr="008D2EA0">
              <w:rPr>
                <w:rFonts w:cs="Calibri"/>
                <w:lang w:val="en-GB"/>
              </w:rPr>
              <w:t>s</w:t>
            </w:r>
            <w:r w:rsidRPr="008D2EA0">
              <w:rPr>
                <w:rFonts w:cs="Calibri"/>
                <w:lang w:val="en-GB"/>
              </w:rPr>
              <w:t>ed LRTC by the ECC similar to previous work undertaken (e.g. UMTS900, 3.4 GHz). Based on experience with progressing specifications in 3GPP for AT&amp;T’s WI, the 1452</w:t>
            </w:r>
            <w:r w:rsidR="0003313A" w:rsidRPr="008D2EA0">
              <w:rPr>
                <w:rFonts w:cs="Calibri"/>
                <w:lang w:val="en-GB"/>
              </w:rPr>
              <w:t>-</w:t>
            </w:r>
            <w:r w:rsidRPr="008D2EA0">
              <w:rPr>
                <w:rFonts w:cs="Calibri"/>
                <w:lang w:val="en-GB"/>
              </w:rPr>
              <w:t>1492 MHz WI could be completed by the end of 2013 in 3GPP.</w:t>
            </w:r>
          </w:p>
          <w:p w:rsidR="000D55A2" w:rsidRPr="008D2EA0" w:rsidRDefault="000D55A2" w:rsidP="000D55A2">
            <w:pPr>
              <w:rPr>
                <w:lang w:val="en-GB"/>
              </w:rPr>
            </w:pPr>
          </w:p>
        </w:tc>
      </w:tr>
      <w:tr w:rsidR="000D55A2" w:rsidRPr="008D2EA0" w:rsidTr="00BC050E">
        <w:tc>
          <w:tcPr>
            <w:tcW w:w="1701" w:type="dxa"/>
          </w:tcPr>
          <w:p w:rsidR="000D55A2" w:rsidRPr="008D2EA0" w:rsidRDefault="000D55A2" w:rsidP="000D55A2">
            <w:pPr>
              <w:rPr>
                <w:lang w:val="en-GB"/>
              </w:rPr>
            </w:pPr>
            <w:r w:rsidRPr="008D2EA0">
              <w:rPr>
                <w:lang w:val="en-GB"/>
              </w:rPr>
              <w:lastRenderedPageBreak/>
              <w:t>Equipment</w:t>
            </w:r>
          </w:p>
        </w:tc>
        <w:tc>
          <w:tcPr>
            <w:tcW w:w="7300" w:type="dxa"/>
          </w:tcPr>
          <w:p w:rsidR="000D55A2" w:rsidRPr="008D2EA0" w:rsidRDefault="000D55A2" w:rsidP="00F77275">
            <w:pPr>
              <w:spacing w:after="120"/>
              <w:rPr>
                <w:rFonts w:cs="Calibri"/>
                <w:lang w:val="en-GB"/>
              </w:rPr>
            </w:pPr>
            <w:r w:rsidRPr="008D2EA0">
              <w:rPr>
                <w:lang w:val="en-GB"/>
              </w:rPr>
              <w:t>Chipsets are planned to become available in 2013</w:t>
            </w:r>
            <w:r w:rsidRPr="008D2EA0">
              <w:rPr>
                <w:rFonts w:cs="Calibri"/>
                <w:lang w:val="en-GB"/>
              </w:rPr>
              <w:t xml:space="preserve"> to enable commercial devices in 2014. Base stations </w:t>
            </w:r>
            <w:r w:rsidRPr="008D2EA0">
              <w:rPr>
                <w:rFonts w:cs="Calibri"/>
                <w:bCs/>
                <w:iCs/>
                <w:lang w:val="en-GB"/>
              </w:rPr>
              <w:t>are planned to be available in 2014.</w:t>
            </w:r>
            <w:r w:rsidRPr="008D2EA0">
              <w:rPr>
                <w:rFonts w:cs="Calibri"/>
                <w:lang w:val="en-GB"/>
              </w:rPr>
              <w:t xml:space="preserve"> </w:t>
            </w:r>
          </w:p>
          <w:p w:rsidR="000D55A2" w:rsidRPr="008D2EA0" w:rsidRDefault="000D55A2" w:rsidP="000D55A2">
            <w:pPr>
              <w:rPr>
                <w:rFonts w:cs="Calibri"/>
                <w:lang w:val="en-GB"/>
              </w:rPr>
            </w:pPr>
            <w:r w:rsidRPr="008D2EA0">
              <w:rPr>
                <w:rFonts w:cs="Arial"/>
                <w:lang w:val="en-GB"/>
              </w:rPr>
              <w:t xml:space="preserve">HSPA+ Release 9 (capable of supporting dual band and dual carrier) and LTE Release 10 (capable of supporting carrier aggregation) chipset solutions are already in the planning stage within the mobile broadband industry. Those chipsets are planned to become available in 2013 </w:t>
            </w:r>
            <w:r w:rsidRPr="008D2EA0">
              <w:rPr>
                <w:rFonts w:cs="Arial"/>
                <w:iCs/>
                <w:lang w:val="en-GB"/>
              </w:rPr>
              <w:t xml:space="preserve">to enable commercial devices in </w:t>
            </w:r>
            <w:r w:rsidRPr="008D2EA0">
              <w:rPr>
                <w:rFonts w:cs="Arial"/>
                <w:bCs/>
                <w:iCs/>
                <w:lang w:val="en-GB"/>
              </w:rPr>
              <w:t>2014</w:t>
            </w:r>
            <w:r w:rsidRPr="008D2EA0">
              <w:rPr>
                <w:rFonts w:cs="Arial"/>
                <w:lang w:val="en-GB"/>
              </w:rPr>
              <w:t xml:space="preserve">. This development would happen in parallel with the work in 3GPP. Adding requirements for an SDL </w:t>
            </w:r>
            <w:r w:rsidR="0003313A" w:rsidRPr="008D2EA0">
              <w:rPr>
                <w:rFonts w:cs="Arial"/>
                <w:lang w:val="en-GB"/>
              </w:rPr>
              <w:t>in the band 1452-1</w:t>
            </w:r>
            <w:r w:rsidRPr="008D2EA0">
              <w:rPr>
                <w:rFonts w:cs="Arial"/>
                <w:lang w:val="en-GB"/>
              </w:rPr>
              <w:t xml:space="preserve">492 MHz does not impact the timeline for availability of those Release 9 HSPA+ and Release 10 LTE capable chipsets </w:t>
            </w:r>
            <w:r w:rsidRPr="008D2EA0">
              <w:rPr>
                <w:lang w:val="en-GB"/>
              </w:rPr>
              <w:t>since a solution of the former entirely leverages the architecture of the latter</w:t>
            </w:r>
            <w:r w:rsidRPr="008D2EA0">
              <w:rPr>
                <w:rFonts w:cs="Arial"/>
                <w:lang w:val="en-GB"/>
              </w:rPr>
              <w:t>. RF band support is a Release-independent feature in 3GPP, hence the 1452</w:t>
            </w:r>
            <w:r w:rsidR="0003313A" w:rsidRPr="008D2EA0">
              <w:rPr>
                <w:rFonts w:cs="Arial"/>
                <w:lang w:val="en-GB"/>
              </w:rPr>
              <w:t>-</w:t>
            </w:r>
            <w:r w:rsidRPr="008D2EA0">
              <w:rPr>
                <w:rFonts w:cs="Arial"/>
                <w:lang w:val="en-GB"/>
              </w:rPr>
              <w:t>1492 MHz band can be supported by Release 9 HSPA+ and Release 10 LTE devices although the band 1452</w:t>
            </w:r>
            <w:r w:rsidR="0003313A" w:rsidRPr="008D2EA0">
              <w:rPr>
                <w:rFonts w:cs="Arial"/>
                <w:lang w:val="en-GB"/>
              </w:rPr>
              <w:t>-</w:t>
            </w:r>
            <w:r w:rsidRPr="008D2EA0">
              <w:rPr>
                <w:rFonts w:cs="Arial"/>
                <w:lang w:val="en-GB"/>
              </w:rPr>
              <w:t>1492 MHz numerology and conformance test specifications will be part of a later 3GPP release. In summary, the timeline for availability of chipsets with a 1452</w:t>
            </w:r>
            <w:r w:rsidR="0003313A" w:rsidRPr="008D2EA0">
              <w:rPr>
                <w:rFonts w:cs="Arial"/>
                <w:lang w:val="en-GB"/>
              </w:rPr>
              <w:t>-</w:t>
            </w:r>
            <w:r w:rsidRPr="008D2EA0">
              <w:rPr>
                <w:rFonts w:cs="Arial"/>
                <w:lang w:val="en-GB"/>
              </w:rPr>
              <w:t xml:space="preserve">1492 MHz SDL capability will depend primarily on the timeline for adoption by the ECC of the LRTC in the band.  </w:t>
            </w:r>
            <w:r w:rsidRPr="008D2EA0">
              <w:rPr>
                <w:lang w:val="en-GB"/>
              </w:rPr>
              <w:t>This would enable commercial devices in 2014, subject to the adoption by the ECC of the harmonized LRTC in the band in 2013.</w:t>
            </w:r>
            <w:r w:rsidRPr="008D2EA0">
              <w:rPr>
                <w:rFonts w:cs="Calibri"/>
                <w:lang w:val="en-GB"/>
              </w:rPr>
              <w:t>Manufacturers will design, test and build Base Stations and other network equipment supporting the 1452</w:t>
            </w:r>
            <w:r w:rsidR="0003313A" w:rsidRPr="008D2EA0">
              <w:rPr>
                <w:rFonts w:cs="Calibri"/>
                <w:lang w:val="en-GB"/>
              </w:rPr>
              <w:t>-</w:t>
            </w:r>
            <w:r w:rsidRPr="008D2EA0">
              <w:rPr>
                <w:rFonts w:cs="Calibri"/>
                <w:lang w:val="en-GB"/>
              </w:rPr>
              <w:t xml:space="preserve">1492 MHz band. It is expected that this process will take 12 months leading to availability of equipment in 2014, subject to the adoption by the ECC of the harmonized LRTC in the band in 2013. </w:t>
            </w:r>
          </w:p>
          <w:p w:rsidR="000D55A2" w:rsidRPr="008D2EA0" w:rsidRDefault="000D55A2" w:rsidP="000D55A2">
            <w:pPr>
              <w:rPr>
                <w:lang w:val="en-GB"/>
              </w:rPr>
            </w:pPr>
          </w:p>
        </w:tc>
      </w:tr>
      <w:tr w:rsidR="000D55A2" w:rsidRPr="008D2EA0" w:rsidTr="00BC050E">
        <w:tc>
          <w:tcPr>
            <w:tcW w:w="1701" w:type="dxa"/>
          </w:tcPr>
          <w:p w:rsidR="000D55A2" w:rsidRPr="008D2EA0" w:rsidRDefault="000D55A2" w:rsidP="000D55A2">
            <w:pPr>
              <w:rPr>
                <w:lang w:val="en-GB"/>
              </w:rPr>
            </w:pPr>
            <w:r w:rsidRPr="008D2EA0">
              <w:rPr>
                <w:lang w:val="en-GB"/>
              </w:rPr>
              <w:t>Operational deployment</w:t>
            </w:r>
          </w:p>
        </w:tc>
        <w:tc>
          <w:tcPr>
            <w:tcW w:w="7300" w:type="dxa"/>
          </w:tcPr>
          <w:p w:rsidR="000D55A2" w:rsidRPr="008D2EA0" w:rsidRDefault="000D55A2" w:rsidP="000D55A2">
            <w:pPr>
              <w:rPr>
                <w:lang w:val="en-GB"/>
              </w:rPr>
            </w:pPr>
            <w:r w:rsidRPr="008D2EA0">
              <w:rPr>
                <w:lang w:val="en-GB"/>
              </w:rPr>
              <w:t>Operational deployment can start in 2014</w:t>
            </w:r>
            <w:r w:rsidR="00F77275">
              <w:rPr>
                <w:lang w:val="en-GB"/>
              </w:rPr>
              <w:t>.</w:t>
            </w:r>
          </w:p>
          <w:p w:rsidR="000D55A2" w:rsidRPr="008D2EA0" w:rsidRDefault="000D55A2" w:rsidP="000D55A2">
            <w:pPr>
              <w:pStyle w:val="BulletList1"/>
              <w:numPr>
                <w:ilvl w:val="0"/>
                <w:numId w:val="0"/>
              </w:numPr>
              <w:spacing w:line="276" w:lineRule="auto"/>
              <w:rPr>
                <w:rFonts w:cs="Arial"/>
                <w:noProof/>
                <w:sz w:val="20"/>
                <w:lang w:eastAsia="fr-FR"/>
              </w:rPr>
            </w:pPr>
            <w:r w:rsidRPr="008D2EA0">
              <w:rPr>
                <w:rFonts w:cs="Arial"/>
                <w:sz w:val="20"/>
              </w:rPr>
              <w:t>The time</w:t>
            </w:r>
            <w:r w:rsidR="00770411" w:rsidRPr="008D2EA0">
              <w:rPr>
                <w:rFonts w:cs="Arial"/>
                <w:sz w:val="20"/>
              </w:rPr>
              <w:t>line shown below highlights the</w:t>
            </w:r>
            <w:r w:rsidRPr="008D2EA0">
              <w:rPr>
                <w:rFonts w:cs="Arial"/>
                <w:sz w:val="20"/>
              </w:rPr>
              <w:t xml:space="preserve"> various interrelated regulatory and market steps for the deployment of Mobile SDL in the 1452-1492 MHz band starting in 2014 in Europe</w:t>
            </w:r>
            <w:r w:rsidRPr="008D2EA0">
              <w:rPr>
                <w:rFonts w:cs="Arial"/>
                <w:noProof/>
                <w:sz w:val="20"/>
                <w:lang w:eastAsia="fr-FR"/>
              </w:rPr>
              <w:t>.</w:t>
            </w:r>
          </w:p>
          <w:p w:rsidR="00D40519" w:rsidRPr="008D2EA0" w:rsidRDefault="00D40519" w:rsidP="000D55A2">
            <w:pPr>
              <w:pStyle w:val="BulletList1"/>
              <w:numPr>
                <w:ilvl w:val="0"/>
                <w:numId w:val="0"/>
              </w:numPr>
              <w:spacing w:line="276" w:lineRule="auto"/>
              <w:rPr>
                <w:rFonts w:cs="Arial"/>
                <w:sz w:val="20"/>
              </w:rPr>
            </w:pPr>
            <w:r w:rsidRPr="008D2EA0">
              <w:rPr>
                <w:noProof/>
                <w:lang w:val="da-DK" w:eastAsia="da-DK"/>
              </w:rPr>
              <w:drawing>
                <wp:inline distT="0" distB="0" distL="0" distR="0" wp14:anchorId="153AAC2A" wp14:editId="06EB8860">
                  <wp:extent cx="4537495" cy="1312498"/>
                  <wp:effectExtent l="0" t="0" r="0" b="254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9314" cy="1313024"/>
                          </a:xfrm>
                          <a:prstGeom prst="rect">
                            <a:avLst/>
                          </a:prstGeom>
                          <a:noFill/>
                          <a:ln>
                            <a:noFill/>
                          </a:ln>
                        </pic:spPr>
                      </pic:pic>
                    </a:graphicData>
                  </a:graphic>
                </wp:inline>
              </w:drawing>
            </w:r>
          </w:p>
        </w:tc>
      </w:tr>
    </w:tbl>
    <w:p w:rsidR="000D55A2" w:rsidRPr="008D2EA0" w:rsidRDefault="000D55A2" w:rsidP="000D55A2">
      <w:pPr>
        <w:pStyle w:val="ECCParagraph"/>
      </w:pPr>
    </w:p>
    <w:p w:rsidR="000D55A2" w:rsidRPr="008D2EA0" w:rsidRDefault="000D55A2" w:rsidP="00F21C76">
      <w:pPr>
        <w:pStyle w:val="Heading3"/>
      </w:pPr>
      <w:bookmarkStart w:id="120" w:name="_Toc349039283"/>
      <w:r w:rsidRPr="008D2EA0">
        <w:lastRenderedPageBreak/>
        <w:t>S-DAB</w:t>
      </w:r>
      <w:bookmarkEnd w:id="120"/>
    </w:p>
    <w:p w:rsidR="00D40519" w:rsidRPr="008D2EA0" w:rsidRDefault="00D40519" w:rsidP="00F21C76">
      <w:pPr>
        <w:pStyle w:val="ECCTabletitle"/>
      </w:pPr>
      <w:r w:rsidRPr="008D2EA0">
        <w:t>Criterion 4 – S-DAB</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6658"/>
      </w:tblGrid>
      <w:tr w:rsidR="000D55A2" w:rsidRPr="008D2EA0" w:rsidTr="00D40519">
        <w:trPr>
          <w:tblHeader/>
        </w:trPr>
        <w:tc>
          <w:tcPr>
            <w:tcW w:w="2236" w:type="dxa"/>
            <w:tcBorders>
              <w:right w:val="single" w:sz="8" w:space="0" w:color="FFFFFF"/>
            </w:tcBorders>
            <w:shd w:val="clear" w:color="auto" w:fill="D2232A"/>
            <w:vAlign w:val="center"/>
          </w:tcPr>
          <w:p w:rsidR="000D55A2" w:rsidRPr="008D2EA0" w:rsidRDefault="000D55A2" w:rsidP="00E60485">
            <w:pPr>
              <w:keepNext/>
              <w:spacing w:line="288" w:lineRule="auto"/>
              <w:jc w:val="center"/>
              <w:rPr>
                <w:b/>
                <w:color w:val="FFFFFF"/>
                <w:lang w:val="en-GB"/>
              </w:rPr>
            </w:pPr>
          </w:p>
        </w:tc>
        <w:tc>
          <w:tcPr>
            <w:tcW w:w="6658" w:type="dxa"/>
            <w:tcBorders>
              <w:left w:val="single" w:sz="8" w:space="0" w:color="FFFFFF"/>
              <w:right w:val="single" w:sz="8" w:space="0" w:color="FFFFFF"/>
            </w:tcBorders>
            <w:shd w:val="clear" w:color="auto" w:fill="D2232A"/>
            <w:vAlign w:val="center"/>
          </w:tcPr>
          <w:p w:rsidR="000D55A2" w:rsidRPr="008D2EA0" w:rsidRDefault="000D55A2" w:rsidP="00E60485">
            <w:pPr>
              <w:keepNext/>
              <w:spacing w:line="288" w:lineRule="auto"/>
              <w:jc w:val="center"/>
              <w:rPr>
                <w:b/>
                <w:color w:val="FFFFFF"/>
                <w:lang w:val="en-GB"/>
              </w:rPr>
            </w:pPr>
            <w:r w:rsidRPr="008D2EA0">
              <w:rPr>
                <w:b/>
                <w:color w:val="FFFFFF"/>
                <w:lang w:val="en-GB"/>
              </w:rPr>
              <w:t>S-DAB</w:t>
            </w:r>
          </w:p>
        </w:tc>
      </w:tr>
      <w:tr w:rsidR="000D55A2" w:rsidRPr="008D2EA0" w:rsidTr="00D40519">
        <w:tc>
          <w:tcPr>
            <w:tcW w:w="2236" w:type="dxa"/>
          </w:tcPr>
          <w:p w:rsidR="000D55A2" w:rsidRPr="008D2EA0" w:rsidRDefault="000D55A2" w:rsidP="00E60485">
            <w:pPr>
              <w:keepNext/>
              <w:rPr>
                <w:sz w:val="22"/>
                <w:szCs w:val="22"/>
                <w:lang w:val="en-GB"/>
              </w:rPr>
            </w:pPr>
            <w:r w:rsidRPr="008D2EA0">
              <w:rPr>
                <w:lang w:val="en-GB"/>
              </w:rPr>
              <w:t>Band designation</w:t>
            </w:r>
          </w:p>
        </w:tc>
        <w:tc>
          <w:tcPr>
            <w:tcW w:w="6658" w:type="dxa"/>
          </w:tcPr>
          <w:p w:rsidR="000D55A2" w:rsidRPr="008D2EA0" w:rsidRDefault="000D55A2" w:rsidP="00E60485">
            <w:pPr>
              <w:keepNext/>
              <w:rPr>
                <w:lang w:val="en-GB"/>
              </w:rPr>
            </w:pPr>
            <w:r w:rsidRPr="008D2EA0">
              <w:rPr>
                <w:lang w:val="en-GB"/>
              </w:rPr>
              <w:t>Existing for satellite audio broadcasting within 1479.5-1492 MHz, ECC</w:t>
            </w:r>
            <w:r w:rsidR="00782AB3" w:rsidRPr="008D2EA0">
              <w:rPr>
                <w:lang w:val="en-GB"/>
              </w:rPr>
              <w:t>/</w:t>
            </w:r>
            <w:r w:rsidRPr="008D2EA0">
              <w:rPr>
                <w:lang w:val="en-GB"/>
              </w:rPr>
              <w:t>DEC</w:t>
            </w:r>
            <w:r w:rsidR="00782AB3" w:rsidRPr="008D2EA0">
              <w:rPr>
                <w:lang w:val="en-GB"/>
              </w:rPr>
              <w:t>/</w:t>
            </w:r>
            <w:r w:rsidRPr="008D2EA0">
              <w:rPr>
                <w:lang w:val="en-GB"/>
              </w:rPr>
              <w:t>(03)02</w:t>
            </w:r>
            <w:r w:rsidR="00770411" w:rsidRPr="008D2EA0">
              <w:rPr>
                <w:lang w:val="en-GB"/>
              </w:rPr>
              <w:t xml:space="preserve"> </w:t>
            </w:r>
            <w:r w:rsidR="00770411" w:rsidRPr="008D2EA0">
              <w:rPr>
                <w:lang w:val="en-GB"/>
              </w:rPr>
              <w:fldChar w:fldCharType="begin"/>
            </w:r>
            <w:r w:rsidR="00770411" w:rsidRPr="008D2EA0">
              <w:rPr>
                <w:lang w:val="en-GB"/>
              </w:rPr>
              <w:instrText xml:space="preserve"> REF _Ref330503966 \r \h </w:instrText>
            </w:r>
            <w:r w:rsidR="0053426A" w:rsidRPr="008D2EA0">
              <w:rPr>
                <w:lang w:val="en-GB"/>
              </w:rPr>
              <w:instrText xml:space="preserve"> \* MERGEFORMAT </w:instrText>
            </w:r>
            <w:r w:rsidR="00770411" w:rsidRPr="008D2EA0">
              <w:rPr>
                <w:lang w:val="en-GB"/>
              </w:rPr>
            </w:r>
            <w:r w:rsidR="00770411" w:rsidRPr="008D2EA0">
              <w:rPr>
                <w:lang w:val="en-GB"/>
              </w:rPr>
              <w:fldChar w:fldCharType="separate"/>
            </w:r>
            <w:r w:rsidR="00E73FF2">
              <w:rPr>
                <w:lang w:val="en-GB"/>
              </w:rPr>
              <w:t>[2]</w:t>
            </w:r>
            <w:r w:rsidR="00770411" w:rsidRPr="008D2EA0">
              <w:rPr>
                <w:lang w:val="en-GB"/>
              </w:rPr>
              <w:fldChar w:fldCharType="end"/>
            </w:r>
            <w:r w:rsidRPr="008D2EA0">
              <w:rPr>
                <w:lang w:val="en-GB"/>
              </w:rPr>
              <w:t xml:space="preserve">. </w:t>
            </w:r>
            <w:r w:rsidRPr="008D2EA0">
              <w:rPr>
                <w:lang w:val="en-GB"/>
              </w:rPr>
              <w:br/>
              <w:t>Alternatively within the option of using the whole 1467-1492 MHz band the timeframe depends on the establishment of a poss</w:t>
            </w:r>
            <w:r w:rsidR="00770411" w:rsidRPr="008D2EA0">
              <w:rPr>
                <w:lang w:val="en-GB"/>
              </w:rPr>
              <w:t>ible new ECC Decision including</w:t>
            </w:r>
            <w:r w:rsidRPr="008D2EA0">
              <w:rPr>
                <w:lang w:val="en-GB"/>
              </w:rPr>
              <w:t> a new regulatory framework enabling satellite audio broadcasting. It is possible that this process will be completed by the end of 2012.</w:t>
            </w:r>
          </w:p>
          <w:p w:rsidR="000D55A2" w:rsidRPr="008D2EA0" w:rsidRDefault="000D55A2" w:rsidP="00E60485">
            <w:pPr>
              <w:keepNext/>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Technical conditions</w:t>
            </w:r>
          </w:p>
        </w:tc>
        <w:tc>
          <w:tcPr>
            <w:tcW w:w="6658" w:type="dxa"/>
          </w:tcPr>
          <w:p w:rsidR="000D55A2" w:rsidRPr="008D2EA0" w:rsidRDefault="000D55A2" w:rsidP="000D55A2">
            <w:pPr>
              <w:rPr>
                <w:lang w:val="en-GB"/>
              </w:rPr>
            </w:pPr>
            <w:r w:rsidRPr="008D2EA0">
              <w:rPr>
                <w:lang w:val="en-GB"/>
              </w:rPr>
              <w:t xml:space="preserve">Assuming that S-DAB would be deployed under the existing framework there is no need for new technical conditions, </w:t>
            </w:r>
            <w:r w:rsidRPr="008D2EA0">
              <w:rPr>
                <w:lang w:val="en-GB"/>
              </w:rPr>
              <w:br/>
              <w:t>If S-DAB want to use the whole 1467-1492 MHz band then the associated technical specifications and regulations would be available by the end of 2013.</w:t>
            </w:r>
          </w:p>
          <w:p w:rsidR="000D55A2" w:rsidRPr="008D2EA0" w:rsidRDefault="000D55A2" w:rsidP="000D55A2">
            <w:pPr>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Licensing</w:t>
            </w:r>
          </w:p>
        </w:tc>
        <w:tc>
          <w:tcPr>
            <w:tcW w:w="6658" w:type="dxa"/>
          </w:tcPr>
          <w:p w:rsidR="000D55A2" w:rsidRPr="008D2EA0" w:rsidRDefault="000D55A2" w:rsidP="000D55A2">
            <w:pPr>
              <w:rPr>
                <w:lang w:val="en-GB"/>
              </w:rPr>
            </w:pPr>
            <w:r w:rsidRPr="008D2EA0">
              <w:rPr>
                <w:lang w:val="en-GB"/>
              </w:rPr>
              <w:t xml:space="preserve">Satellite component is not subject to national licenses. However, operation of the satellite is subject to ITU filings. </w:t>
            </w:r>
          </w:p>
          <w:p w:rsidR="000D55A2" w:rsidRPr="008D2EA0" w:rsidRDefault="000D55A2" w:rsidP="000D55A2">
            <w:pPr>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Standardisation</w:t>
            </w:r>
          </w:p>
        </w:tc>
        <w:tc>
          <w:tcPr>
            <w:tcW w:w="6658" w:type="dxa"/>
          </w:tcPr>
          <w:p w:rsidR="000D55A2" w:rsidRPr="008D2EA0" w:rsidRDefault="000D55A2" w:rsidP="000D55A2">
            <w:pPr>
              <w:rPr>
                <w:rFonts w:cs="Arial"/>
                <w:szCs w:val="20"/>
                <w:lang w:val="en-GB"/>
              </w:rPr>
            </w:pPr>
            <w:r w:rsidRPr="008D2EA0">
              <w:rPr>
                <w:rFonts w:cs="Arial"/>
                <w:szCs w:val="20"/>
                <w:lang w:val="en-GB"/>
              </w:rPr>
              <w:t xml:space="preserve">Existing SDR or DVB-SH. </w:t>
            </w:r>
          </w:p>
          <w:p w:rsidR="000D55A2" w:rsidRPr="008D2EA0" w:rsidRDefault="000D55A2" w:rsidP="000D55A2">
            <w:pPr>
              <w:rPr>
                <w:lang w:val="en-GB"/>
              </w:rPr>
            </w:pPr>
          </w:p>
        </w:tc>
      </w:tr>
      <w:tr w:rsidR="000D55A2" w:rsidRPr="008D2EA0" w:rsidTr="00D40519">
        <w:tc>
          <w:tcPr>
            <w:tcW w:w="2236" w:type="dxa"/>
          </w:tcPr>
          <w:p w:rsidR="000D55A2" w:rsidRPr="008D2EA0" w:rsidRDefault="000D55A2" w:rsidP="000D55A2">
            <w:pPr>
              <w:rPr>
                <w:lang w:val="en-GB"/>
              </w:rPr>
            </w:pPr>
            <w:r w:rsidRPr="008D2EA0">
              <w:rPr>
                <w:lang w:val="en-GB"/>
              </w:rPr>
              <w:t>Equipment</w:t>
            </w:r>
          </w:p>
        </w:tc>
        <w:tc>
          <w:tcPr>
            <w:tcW w:w="6658" w:type="dxa"/>
          </w:tcPr>
          <w:p w:rsidR="000D55A2" w:rsidRPr="008D2EA0" w:rsidRDefault="000D55A2" w:rsidP="000D55A2">
            <w:pPr>
              <w:rPr>
                <w:rFonts w:cs="Arial"/>
                <w:szCs w:val="20"/>
                <w:lang w:val="en-GB"/>
              </w:rPr>
            </w:pPr>
            <w:r w:rsidRPr="008D2EA0">
              <w:rPr>
                <w:rFonts w:cs="Arial"/>
                <w:szCs w:val="20"/>
                <w:lang w:val="en-GB"/>
              </w:rPr>
              <w:t>A number of European manufacturers have already developed broadcast and receiver equipment using the SDR standard for the Terrestrial Broadcasting application which also support</w:t>
            </w:r>
            <w:r w:rsidR="0053426A" w:rsidRPr="008D2EA0">
              <w:rPr>
                <w:rFonts w:cs="Arial"/>
                <w:szCs w:val="20"/>
                <w:lang w:val="en-GB"/>
              </w:rPr>
              <w:t>s</w:t>
            </w:r>
            <w:r w:rsidRPr="008D2EA0">
              <w:rPr>
                <w:rFonts w:cs="Arial"/>
                <w:szCs w:val="20"/>
                <w:lang w:val="en-GB"/>
              </w:rPr>
              <w:t xml:space="preserve"> the S-DAB application. For large scale S-DAB deployment, equipment supplies would have to be confirmed and ramped up.  It is expected that this process will take at least 12 – 18 months.</w:t>
            </w:r>
          </w:p>
          <w:p w:rsidR="00782AB3" w:rsidRPr="008D2EA0" w:rsidRDefault="00782AB3" w:rsidP="000D55A2">
            <w:pPr>
              <w:rPr>
                <w:lang w:val="en-GB"/>
              </w:rPr>
            </w:pPr>
          </w:p>
        </w:tc>
      </w:tr>
      <w:tr w:rsidR="000D55A2" w:rsidRPr="008D2EA0" w:rsidTr="00D40519">
        <w:tc>
          <w:tcPr>
            <w:tcW w:w="2236" w:type="dxa"/>
          </w:tcPr>
          <w:p w:rsidR="000D55A2" w:rsidRPr="008D2EA0" w:rsidRDefault="000D55A2" w:rsidP="000D55A2">
            <w:pPr>
              <w:rPr>
                <w:lang w:val="en-GB"/>
              </w:rPr>
            </w:pPr>
            <w:r w:rsidRPr="008D2EA0">
              <w:rPr>
                <w:lang w:val="en-GB"/>
              </w:rPr>
              <w:t>Operational deployment</w:t>
            </w:r>
          </w:p>
        </w:tc>
        <w:tc>
          <w:tcPr>
            <w:tcW w:w="6658" w:type="dxa"/>
          </w:tcPr>
          <w:p w:rsidR="000D55A2" w:rsidRPr="008D2EA0" w:rsidRDefault="000D55A2" w:rsidP="000D55A2">
            <w:pPr>
              <w:rPr>
                <w:rFonts w:cs="Arial"/>
                <w:szCs w:val="20"/>
                <w:lang w:val="en-GB"/>
              </w:rPr>
            </w:pPr>
            <w:r w:rsidRPr="008D2EA0">
              <w:rPr>
                <w:rFonts w:cs="Arial"/>
                <w:szCs w:val="20"/>
                <w:lang w:val="en-GB"/>
              </w:rPr>
              <w:t xml:space="preserve">The existing AFRISTAR satellite (operating under the AFRIBSS satellite filing) is understood to have a projected end of life in 2014 that could be extended. Operational deployment of a new service before 2015 using the AFRISTAR satellite would require agreement with AFRISTAR operator. </w:t>
            </w:r>
          </w:p>
          <w:p w:rsidR="000D55A2" w:rsidRPr="008D2EA0" w:rsidRDefault="000D55A2" w:rsidP="000D55A2">
            <w:pPr>
              <w:rPr>
                <w:rFonts w:cs="Arial"/>
                <w:szCs w:val="20"/>
                <w:lang w:val="en-GB"/>
              </w:rPr>
            </w:pPr>
            <w:r w:rsidRPr="008D2EA0">
              <w:rPr>
                <w:rFonts w:cs="Arial"/>
                <w:szCs w:val="20"/>
                <w:lang w:val="en-GB"/>
              </w:rPr>
              <w:t xml:space="preserve"> </w:t>
            </w:r>
          </w:p>
          <w:p w:rsidR="000D55A2" w:rsidRPr="008D2EA0" w:rsidRDefault="000D55A2" w:rsidP="000D55A2">
            <w:pPr>
              <w:rPr>
                <w:rFonts w:cs="Arial"/>
                <w:szCs w:val="20"/>
                <w:lang w:val="en-GB"/>
              </w:rPr>
            </w:pPr>
            <w:r w:rsidRPr="008D2EA0">
              <w:rPr>
                <w:rFonts w:cs="Arial"/>
                <w:szCs w:val="20"/>
                <w:lang w:val="en-GB"/>
              </w:rPr>
              <w:t>In terms of capacity, the technical assessment for a new satellite assumes 1.88 Mbps in 3.4 MHz (for 50 audio channels at 32 kbps, plus overhead) with a minimum EIRP of 62 dBW edge-of-coverage (ie, 65 dBW at the center of the beam), for reception under line-of-sight conditions. Assuming availability of up to 25 MHz of spectrum across Europe (i</w:t>
            </w:r>
            <w:r w:rsidR="00770411" w:rsidRPr="008D2EA0">
              <w:rPr>
                <w:rFonts w:cs="Arial"/>
                <w:szCs w:val="20"/>
                <w:lang w:val="en-GB"/>
              </w:rPr>
              <w:t>.</w:t>
            </w:r>
            <w:r w:rsidRPr="008D2EA0">
              <w:rPr>
                <w:rFonts w:cs="Arial"/>
                <w:szCs w:val="20"/>
                <w:lang w:val="en-GB"/>
              </w:rPr>
              <w:t>e, 1,467 – 1,492 MHz) an L-band satellite (with a multi-beam antenna) could cover at least 8 - 10 different markets with dedicated packages (with some markets covering multiple countries).</w:t>
            </w:r>
          </w:p>
          <w:p w:rsidR="000D55A2" w:rsidRPr="008D2EA0" w:rsidRDefault="000D55A2" w:rsidP="000D55A2">
            <w:pPr>
              <w:rPr>
                <w:rFonts w:cs="Arial"/>
                <w:szCs w:val="20"/>
                <w:lang w:val="en-GB"/>
              </w:rPr>
            </w:pPr>
          </w:p>
          <w:p w:rsidR="000D55A2" w:rsidRPr="008D2EA0" w:rsidRDefault="000D55A2" w:rsidP="000D55A2">
            <w:pPr>
              <w:rPr>
                <w:rFonts w:cs="Arial"/>
                <w:szCs w:val="20"/>
                <w:lang w:val="en-GB"/>
              </w:rPr>
            </w:pPr>
            <w:r w:rsidRPr="008D2EA0">
              <w:rPr>
                <w:rFonts w:cs="Arial"/>
                <w:szCs w:val="20"/>
                <w:lang w:val="en-GB"/>
              </w:rPr>
              <w:t xml:space="preserve">A new satellite supporting the 1467-1492 MHz band can be deployed and in commercial operation within approx. 28 – 32 months from order, i.e. in the second or third quarter of 2015 assuming a decision towards the end of 2012. </w:t>
            </w:r>
          </w:p>
          <w:p w:rsidR="00782AB3" w:rsidRPr="008D2EA0" w:rsidRDefault="00782AB3" w:rsidP="000D55A2">
            <w:pPr>
              <w:rPr>
                <w:rFonts w:cs="Arial"/>
                <w:szCs w:val="20"/>
                <w:lang w:val="en-GB"/>
              </w:rPr>
            </w:pPr>
          </w:p>
        </w:tc>
      </w:tr>
    </w:tbl>
    <w:p w:rsidR="000D55A2" w:rsidRPr="008D2EA0" w:rsidRDefault="000D55A2" w:rsidP="000D55A2">
      <w:pPr>
        <w:pStyle w:val="ECCParagraph"/>
      </w:pPr>
    </w:p>
    <w:p w:rsidR="000D55A2" w:rsidRPr="008D2EA0" w:rsidRDefault="000D55A2" w:rsidP="00F21C76">
      <w:pPr>
        <w:pStyle w:val="Heading3"/>
      </w:pPr>
      <w:bookmarkStart w:id="121" w:name="_Toc349039284"/>
      <w:r w:rsidRPr="008D2EA0">
        <w:lastRenderedPageBreak/>
        <w:t>PMSE</w:t>
      </w:r>
      <w:bookmarkEnd w:id="121"/>
    </w:p>
    <w:p w:rsidR="00D40519" w:rsidRPr="008D2EA0" w:rsidRDefault="00D40519" w:rsidP="00F21C76">
      <w:pPr>
        <w:pStyle w:val="ECCTabletitle"/>
      </w:pPr>
      <w:r w:rsidRPr="008D2EA0">
        <w:t>Criterion 4 – PMSE</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6658"/>
      </w:tblGrid>
      <w:tr w:rsidR="000D55A2" w:rsidRPr="008D2EA0" w:rsidTr="00D40519">
        <w:trPr>
          <w:tblHeader/>
        </w:trPr>
        <w:tc>
          <w:tcPr>
            <w:tcW w:w="2236" w:type="dxa"/>
            <w:tcBorders>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p>
        </w:tc>
        <w:tc>
          <w:tcPr>
            <w:tcW w:w="6658" w:type="dxa"/>
            <w:tcBorders>
              <w:left w:val="single" w:sz="8" w:space="0" w:color="FFFFFF"/>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r w:rsidRPr="008D2EA0">
              <w:rPr>
                <w:b/>
                <w:color w:val="FFFFFF"/>
                <w:lang w:val="en-GB"/>
              </w:rPr>
              <w:t>PMSE</w:t>
            </w: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Band designation</w:t>
            </w:r>
          </w:p>
        </w:tc>
        <w:tc>
          <w:tcPr>
            <w:tcW w:w="6658" w:type="dxa"/>
          </w:tcPr>
          <w:p w:rsidR="000D55A2" w:rsidRPr="008D2EA0" w:rsidRDefault="000D55A2" w:rsidP="000D55A2">
            <w:pPr>
              <w:rPr>
                <w:lang w:val="en-GB"/>
              </w:rPr>
            </w:pPr>
            <w:r w:rsidRPr="008D2EA0">
              <w:rPr>
                <w:lang w:val="en-GB"/>
              </w:rPr>
              <w:t>End of 2012</w:t>
            </w:r>
          </w:p>
          <w:p w:rsidR="00782AB3" w:rsidRPr="008D2EA0" w:rsidRDefault="00782AB3" w:rsidP="000D55A2">
            <w:pPr>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Technical conditions</w:t>
            </w:r>
          </w:p>
        </w:tc>
        <w:tc>
          <w:tcPr>
            <w:tcW w:w="6658" w:type="dxa"/>
          </w:tcPr>
          <w:p w:rsidR="000D55A2" w:rsidRPr="008D2EA0" w:rsidRDefault="000D55A2" w:rsidP="000D55A2">
            <w:pPr>
              <w:rPr>
                <w:lang w:val="en-GB"/>
              </w:rPr>
            </w:pPr>
            <w:r w:rsidRPr="008D2EA0">
              <w:rPr>
                <w:lang w:val="en-GB"/>
              </w:rPr>
              <w:t>LRTC by the end of 2013</w:t>
            </w:r>
          </w:p>
          <w:p w:rsidR="00782AB3" w:rsidRPr="008D2EA0" w:rsidRDefault="00782AB3" w:rsidP="000D55A2">
            <w:pPr>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Licensing</w:t>
            </w:r>
          </w:p>
        </w:tc>
        <w:tc>
          <w:tcPr>
            <w:tcW w:w="6658" w:type="dxa"/>
          </w:tcPr>
          <w:p w:rsidR="000D55A2" w:rsidRPr="008D2EA0" w:rsidRDefault="000D55A2" w:rsidP="000D55A2">
            <w:pPr>
              <w:rPr>
                <w:rFonts w:cs="Arial"/>
                <w:szCs w:val="20"/>
                <w:lang w:val="en-GB"/>
              </w:rPr>
            </w:pPr>
            <w:r w:rsidRPr="008D2EA0">
              <w:rPr>
                <w:lang w:val="en-GB"/>
              </w:rPr>
              <w:t>Up to 6 months after technical conditions are available, depending on national circumstances (</w:t>
            </w:r>
            <w:r w:rsidRPr="008D2EA0">
              <w:rPr>
                <w:rFonts w:cs="Arial"/>
                <w:szCs w:val="20"/>
                <w:lang w:val="en-GB"/>
              </w:rPr>
              <w:t>some administrations have allocated PMSE on a secondary basis in parts of the 1452-1492 MHz band according to their national frequency allocation table)</w:t>
            </w:r>
          </w:p>
          <w:p w:rsidR="00782AB3" w:rsidRPr="008D2EA0" w:rsidRDefault="00782AB3" w:rsidP="000D55A2">
            <w:pPr>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Standardisation</w:t>
            </w:r>
          </w:p>
        </w:tc>
        <w:tc>
          <w:tcPr>
            <w:tcW w:w="6658" w:type="dxa"/>
          </w:tcPr>
          <w:p w:rsidR="000D55A2" w:rsidRPr="008D2EA0" w:rsidRDefault="000D55A2" w:rsidP="00F77275">
            <w:pPr>
              <w:spacing w:after="120"/>
              <w:rPr>
                <w:rFonts w:cs="Arial"/>
                <w:szCs w:val="20"/>
                <w:lang w:val="en-GB"/>
              </w:rPr>
            </w:pPr>
            <w:r w:rsidRPr="008D2EA0">
              <w:rPr>
                <w:rFonts w:cs="Arial"/>
                <w:szCs w:val="20"/>
                <w:lang w:val="en-GB"/>
              </w:rPr>
              <w:t xml:space="preserve">The ETSI Standard EN 300 422 </w:t>
            </w:r>
            <w:r w:rsidR="00530F73" w:rsidRPr="008D2EA0">
              <w:rPr>
                <w:rFonts w:cs="Arial"/>
                <w:szCs w:val="20"/>
                <w:lang w:val="en-GB"/>
              </w:rPr>
              <w:fldChar w:fldCharType="begin"/>
            </w:r>
            <w:r w:rsidR="00530F73" w:rsidRPr="008D2EA0">
              <w:rPr>
                <w:rFonts w:cs="Arial"/>
                <w:szCs w:val="20"/>
                <w:lang w:val="en-GB"/>
              </w:rPr>
              <w:instrText xml:space="preserve"> REF _Ref330511420 \r \h </w:instrText>
            </w:r>
            <w:r w:rsidR="00530F73" w:rsidRPr="008D2EA0">
              <w:rPr>
                <w:rFonts w:cs="Arial"/>
                <w:szCs w:val="20"/>
                <w:lang w:val="en-GB"/>
              </w:rPr>
            </w:r>
            <w:r w:rsidR="00530F73" w:rsidRPr="008D2EA0">
              <w:rPr>
                <w:rFonts w:cs="Arial"/>
                <w:szCs w:val="20"/>
                <w:lang w:val="en-GB"/>
              </w:rPr>
              <w:fldChar w:fldCharType="separate"/>
            </w:r>
            <w:r w:rsidR="00E73FF2">
              <w:rPr>
                <w:rFonts w:cs="Arial"/>
                <w:szCs w:val="20"/>
                <w:lang w:val="en-GB"/>
              </w:rPr>
              <w:t>[13]</w:t>
            </w:r>
            <w:r w:rsidR="00530F73" w:rsidRPr="008D2EA0">
              <w:rPr>
                <w:rFonts w:cs="Arial"/>
                <w:szCs w:val="20"/>
                <w:lang w:val="en-GB"/>
              </w:rPr>
              <w:fldChar w:fldCharType="end"/>
            </w:r>
            <w:r w:rsidR="00770411" w:rsidRPr="008D2EA0">
              <w:rPr>
                <w:rFonts w:cs="Arial"/>
                <w:szCs w:val="20"/>
                <w:lang w:val="en-GB"/>
              </w:rPr>
              <w:t xml:space="preserve"> </w:t>
            </w:r>
            <w:r w:rsidRPr="008D2EA0">
              <w:rPr>
                <w:rFonts w:cs="Arial"/>
                <w:szCs w:val="20"/>
                <w:lang w:val="en-GB"/>
              </w:rPr>
              <w:t xml:space="preserve">for wireless microphones was published in 2008. </w:t>
            </w:r>
          </w:p>
          <w:p w:rsidR="000D55A2" w:rsidRPr="008D2EA0" w:rsidRDefault="000D55A2" w:rsidP="000D55A2">
            <w:pPr>
              <w:rPr>
                <w:rFonts w:cs="Arial"/>
                <w:szCs w:val="20"/>
                <w:lang w:val="en-GB"/>
              </w:rPr>
            </w:pPr>
            <w:r w:rsidRPr="008D2EA0">
              <w:rPr>
                <w:rFonts w:cs="Arial"/>
                <w:szCs w:val="20"/>
                <w:lang w:val="en-GB"/>
              </w:rPr>
              <w:t xml:space="preserve">For applications not included in EN 300 422 </w:t>
            </w:r>
            <w:r w:rsidR="00530F73" w:rsidRPr="008D2EA0">
              <w:rPr>
                <w:rFonts w:cs="Arial"/>
                <w:szCs w:val="20"/>
                <w:lang w:val="en-GB"/>
              </w:rPr>
              <w:fldChar w:fldCharType="begin"/>
            </w:r>
            <w:r w:rsidR="00530F73" w:rsidRPr="008D2EA0">
              <w:rPr>
                <w:rFonts w:cs="Arial"/>
                <w:szCs w:val="20"/>
                <w:lang w:val="en-GB"/>
              </w:rPr>
              <w:instrText xml:space="preserve"> REF _Ref330511420 \r \h </w:instrText>
            </w:r>
            <w:r w:rsidR="00530F73" w:rsidRPr="008D2EA0">
              <w:rPr>
                <w:rFonts w:cs="Arial"/>
                <w:szCs w:val="20"/>
                <w:lang w:val="en-GB"/>
              </w:rPr>
            </w:r>
            <w:r w:rsidR="00530F73" w:rsidRPr="008D2EA0">
              <w:rPr>
                <w:rFonts w:cs="Arial"/>
                <w:szCs w:val="20"/>
                <w:lang w:val="en-GB"/>
              </w:rPr>
              <w:fldChar w:fldCharType="separate"/>
            </w:r>
            <w:r w:rsidR="00E73FF2">
              <w:rPr>
                <w:rFonts w:cs="Arial"/>
                <w:szCs w:val="20"/>
                <w:lang w:val="en-GB"/>
              </w:rPr>
              <w:t>[13]</w:t>
            </w:r>
            <w:r w:rsidR="00530F73" w:rsidRPr="008D2EA0">
              <w:rPr>
                <w:rFonts w:cs="Arial"/>
                <w:szCs w:val="20"/>
                <w:lang w:val="en-GB"/>
              </w:rPr>
              <w:fldChar w:fldCharType="end"/>
            </w:r>
            <w:r w:rsidR="00530F73" w:rsidRPr="008D2EA0">
              <w:rPr>
                <w:rFonts w:cs="Arial"/>
                <w:szCs w:val="20"/>
                <w:lang w:val="en-GB"/>
              </w:rPr>
              <w:t xml:space="preserve"> </w:t>
            </w:r>
            <w:r w:rsidRPr="008D2EA0">
              <w:rPr>
                <w:rFonts w:cs="Arial"/>
                <w:szCs w:val="20"/>
                <w:lang w:val="en-GB"/>
              </w:rPr>
              <w:t>such as audio conference systems (see section</w:t>
            </w:r>
            <w:r w:rsidR="00770411" w:rsidRPr="008D2EA0">
              <w:rPr>
                <w:rFonts w:cs="Arial"/>
                <w:szCs w:val="20"/>
                <w:lang w:val="en-GB"/>
              </w:rPr>
              <w:t xml:space="preserve"> </w:t>
            </w:r>
            <w:r w:rsidR="00770411" w:rsidRPr="008D2EA0">
              <w:rPr>
                <w:rFonts w:cs="Arial"/>
                <w:szCs w:val="20"/>
                <w:lang w:val="en-GB"/>
              </w:rPr>
              <w:fldChar w:fldCharType="begin"/>
            </w:r>
            <w:r w:rsidR="00770411" w:rsidRPr="008D2EA0">
              <w:rPr>
                <w:rFonts w:cs="Arial"/>
                <w:szCs w:val="20"/>
                <w:lang w:val="en-GB"/>
              </w:rPr>
              <w:instrText xml:space="preserve"> REF _Ref330514512 \r \h </w:instrText>
            </w:r>
            <w:r w:rsidR="00770411" w:rsidRPr="008D2EA0">
              <w:rPr>
                <w:rFonts w:cs="Arial"/>
                <w:szCs w:val="20"/>
                <w:lang w:val="en-GB"/>
              </w:rPr>
            </w:r>
            <w:r w:rsidR="00770411" w:rsidRPr="008D2EA0">
              <w:rPr>
                <w:rFonts w:cs="Arial"/>
                <w:szCs w:val="20"/>
                <w:lang w:val="en-GB"/>
              </w:rPr>
              <w:fldChar w:fldCharType="separate"/>
            </w:r>
            <w:r w:rsidR="00E73FF2">
              <w:rPr>
                <w:rFonts w:cs="Arial"/>
                <w:szCs w:val="20"/>
                <w:lang w:val="en-GB"/>
              </w:rPr>
              <w:t>4.5</w:t>
            </w:r>
            <w:r w:rsidR="00770411" w:rsidRPr="008D2EA0">
              <w:rPr>
                <w:rFonts w:cs="Arial"/>
                <w:szCs w:val="20"/>
                <w:lang w:val="en-GB"/>
              </w:rPr>
              <w:fldChar w:fldCharType="end"/>
            </w:r>
            <w:r w:rsidRPr="008D2EA0">
              <w:rPr>
                <w:rFonts w:cs="Arial"/>
                <w:szCs w:val="20"/>
                <w:lang w:val="en-GB"/>
              </w:rPr>
              <w:t>) standardi</w:t>
            </w:r>
            <w:r w:rsidR="00995D9E">
              <w:rPr>
                <w:rFonts w:cs="Arial"/>
                <w:szCs w:val="20"/>
                <w:lang w:val="en-GB"/>
              </w:rPr>
              <w:t>s</w:t>
            </w:r>
            <w:r w:rsidRPr="008D2EA0">
              <w:rPr>
                <w:rFonts w:cs="Arial"/>
                <w:szCs w:val="20"/>
                <w:lang w:val="en-GB"/>
              </w:rPr>
              <w:t xml:space="preserve">ation work would be required and could take approximately one year. </w:t>
            </w:r>
          </w:p>
          <w:p w:rsidR="000D55A2" w:rsidRPr="008D2EA0" w:rsidRDefault="000D55A2" w:rsidP="000D55A2">
            <w:pPr>
              <w:rPr>
                <w:rFonts w:cs="Arial"/>
                <w:szCs w:val="20"/>
                <w:lang w:val="en-GB"/>
              </w:rPr>
            </w:pPr>
          </w:p>
          <w:p w:rsidR="000D55A2" w:rsidRPr="008D2EA0" w:rsidRDefault="000D55A2" w:rsidP="000D55A2">
            <w:pPr>
              <w:rPr>
                <w:rFonts w:cs="Arial"/>
                <w:szCs w:val="20"/>
                <w:lang w:val="en-GB"/>
              </w:rPr>
            </w:pPr>
            <w:r w:rsidRPr="008D2EA0">
              <w:rPr>
                <w:rFonts w:cs="Arial"/>
                <w:szCs w:val="20"/>
                <w:lang w:val="en-GB"/>
              </w:rPr>
              <w:t>For the existing standard to comply with the new LRTC, standardi</w:t>
            </w:r>
            <w:r w:rsidR="0053426A" w:rsidRPr="008D2EA0">
              <w:rPr>
                <w:rFonts w:cs="Arial"/>
                <w:szCs w:val="20"/>
                <w:lang w:val="en-GB"/>
              </w:rPr>
              <w:t>s</w:t>
            </w:r>
            <w:r w:rsidRPr="008D2EA0">
              <w:rPr>
                <w:rFonts w:cs="Arial"/>
                <w:szCs w:val="20"/>
                <w:lang w:val="en-GB"/>
              </w:rPr>
              <w:t>ation work could be required and could take approximately one year after the completion of the new LRTC.</w:t>
            </w:r>
          </w:p>
          <w:p w:rsidR="00782AB3" w:rsidRPr="008D2EA0" w:rsidRDefault="00782AB3" w:rsidP="000D55A2">
            <w:pPr>
              <w:rPr>
                <w:lang w:val="en-GB"/>
              </w:rPr>
            </w:pPr>
          </w:p>
        </w:tc>
      </w:tr>
      <w:tr w:rsidR="000D55A2" w:rsidRPr="008D2EA0" w:rsidTr="00D40519">
        <w:tc>
          <w:tcPr>
            <w:tcW w:w="2236" w:type="dxa"/>
          </w:tcPr>
          <w:p w:rsidR="000D55A2" w:rsidRPr="008D2EA0" w:rsidRDefault="000D55A2" w:rsidP="000D55A2">
            <w:pPr>
              <w:rPr>
                <w:lang w:val="en-GB"/>
              </w:rPr>
            </w:pPr>
            <w:r w:rsidRPr="008D2EA0">
              <w:rPr>
                <w:lang w:val="en-GB"/>
              </w:rPr>
              <w:t>Equipment</w:t>
            </w:r>
          </w:p>
        </w:tc>
        <w:tc>
          <w:tcPr>
            <w:tcW w:w="6658" w:type="dxa"/>
          </w:tcPr>
          <w:p w:rsidR="000D55A2" w:rsidRPr="008D2EA0" w:rsidRDefault="000D55A2" w:rsidP="000D55A2">
            <w:pPr>
              <w:rPr>
                <w:lang w:val="en-GB"/>
              </w:rPr>
            </w:pPr>
          </w:p>
          <w:p w:rsidR="000D55A2" w:rsidRPr="008D2EA0" w:rsidRDefault="000D55A2" w:rsidP="000D55A2">
            <w:pPr>
              <w:rPr>
                <w:rFonts w:cs="Arial"/>
                <w:szCs w:val="20"/>
                <w:lang w:val="en-GB"/>
              </w:rPr>
            </w:pPr>
            <w:r w:rsidRPr="008D2EA0">
              <w:rPr>
                <w:rFonts w:cs="Arial"/>
                <w:szCs w:val="20"/>
                <w:lang w:val="en-GB"/>
              </w:rPr>
              <w:t>PMSE wireless microphones devices for operation in the L-Band will be available 6 month</w:t>
            </w:r>
            <w:r w:rsidR="0053426A" w:rsidRPr="008D2EA0">
              <w:rPr>
                <w:rFonts w:cs="Arial"/>
                <w:szCs w:val="20"/>
                <w:lang w:val="en-GB"/>
              </w:rPr>
              <w:t>s</w:t>
            </w:r>
            <w:r w:rsidRPr="008D2EA0">
              <w:rPr>
                <w:rFonts w:cs="Arial"/>
                <w:szCs w:val="20"/>
                <w:lang w:val="en-GB"/>
              </w:rPr>
              <w:t xml:space="preserve"> after band licensing (if EN 300 422 does not need to be revised to take into account new LRTC).</w:t>
            </w:r>
          </w:p>
          <w:p w:rsidR="000D55A2" w:rsidRPr="008D2EA0" w:rsidRDefault="000D55A2" w:rsidP="000D55A2">
            <w:pPr>
              <w:rPr>
                <w:rFonts w:cs="Arial"/>
                <w:szCs w:val="20"/>
                <w:lang w:val="en-GB"/>
              </w:rPr>
            </w:pPr>
          </w:p>
          <w:p w:rsidR="000D55A2" w:rsidRPr="008D2EA0" w:rsidRDefault="000D55A2" w:rsidP="000D55A2">
            <w:pPr>
              <w:rPr>
                <w:rFonts w:cs="Arial"/>
                <w:szCs w:val="20"/>
                <w:lang w:val="en-GB"/>
              </w:rPr>
            </w:pPr>
            <w:r w:rsidRPr="008D2EA0">
              <w:rPr>
                <w:rFonts w:cs="Arial"/>
                <w:szCs w:val="20"/>
                <w:lang w:val="en-GB"/>
              </w:rPr>
              <w:t>Research and development was done for the 1.8</w:t>
            </w:r>
            <w:r w:rsidR="0096096C" w:rsidRPr="008D2EA0">
              <w:rPr>
                <w:rFonts w:cs="Arial"/>
                <w:szCs w:val="20"/>
                <w:lang w:val="en-GB"/>
              </w:rPr>
              <w:t xml:space="preserve"> </w:t>
            </w:r>
            <w:r w:rsidRPr="008D2EA0">
              <w:rPr>
                <w:rFonts w:cs="Arial"/>
                <w:szCs w:val="20"/>
                <w:lang w:val="en-GB"/>
              </w:rPr>
              <w:t>GHz spectrum and devices are on the market. PMSE manufacturers have invested into the development of equipment noting that in some countries parts of the 1452-1492 MHz band have been authori</w:t>
            </w:r>
            <w:r w:rsidR="00995D9E">
              <w:rPr>
                <w:rFonts w:cs="Arial"/>
                <w:szCs w:val="20"/>
                <w:lang w:val="en-GB"/>
              </w:rPr>
              <w:t>s</w:t>
            </w:r>
            <w:r w:rsidRPr="008D2EA0">
              <w:rPr>
                <w:rFonts w:cs="Arial"/>
                <w:szCs w:val="20"/>
                <w:lang w:val="en-GB"/>
              </w:rPr>
              <w:t>ed for PMSE on a secondary basis according to their national frequency allocation table. There is an existing SRDoc since Jan 2007 (TR 102546</w:t>
            </w:r>
            <w:r w:rsidR="00530F73" w:rsidRPr="008D2EA0">
              <w:rPr>
                <w:rFonts w:cs="Arial"/>
                <w:szCs w:val="20"/>
                <w:lang w:val="en-GB"/>
              </w:rPr>
              <w:t xml:space="preserve"> </w:t>
            </w:r>
            <w:r w:rsidR="00530F73" w:rsidRPr="008D2EA0">
              <w:rPr>
                <w:rFonts w:cs="Arial"/>
                <w:szCs w:val="20"/>
                <w:lang w:val="en-GB"/>
              </w:rPr>
              <w:fldChar w:fldCharType="begin"/>
            </w:r>
            <w:r w:rsidR="00530F73" w:rsidRPr="008D2EA0">
              <w:rPr>
                <w:rFonts w:cs="Arial"/>
                <w:szCs w:val="20"/>
                <w:lang w:val="en-GB"/>
              </w:rPr>
              <w:instrText xml:space="preserve"> REF _Ref330511343 \r \h </w:instrText>
            </w:r>
            <w:r w:rsidR="00530F73" w:rsidRPr="008D2EA0">
              <w:rPr>
                <w:rFonts w:cs="Arial"/>
                <w:szCs w:val="20"/>
                <w:lang w:val="en-GB"/>
              </w:rPr>
            </w:r>
            <w:r w:rsidR="00530F73" w:rsidRPr="008D2EA0">
              <w:rPr>
                <w:rFonts w:cs="Arial"/>
                <w:szCs w:val="20"/>
                <w:lang w:val="en-GB"/>
              </w:rPr>
              <w:fldChar w:fldCharType="separate"/>
            </w:r>
            <w:r w:rsidR="00E73FF2">
              <w:rPr>
                <w:rFonts w:cs="Arial"/>
                <w:szCs w:val="20"/>
                <w:lang w:val="en-GB"/>
              </w:rPr>
              <w:t>[15]</w:t>
            </w:r>
            <w:r w:rsidR="00530F73" w:rsidRPr="008D2EA0">
              <w:rPr>
                <w:rFonts w:cs="Arial"/>
                <w:szCs w:val="20"/>
                <w:lang w:val="en-GB"/>
              </w:rPr>
              <w:fldChar w:fldCharType="end"/>
            </w:r>
            <w:r w:rsidRPr="008D2EA0">
              <w:rPr>
                <w:rFonts w:cs="Arial"/>
                <w:szCs w:val="20"/>
                <w:lang w:val="en-GB"/>
              </w:rPr>
              <w:t>) requesting spectrum for PMSE.</w:t>
            </w:r>
          </w:p>
          <w:p w:rsidR="000D55A2" w:rsidRPr="008D2EA0" w:rsidRDefault="000D55A2" w:rsidP="000D55A2">
            <w:pPr>
              <w:rPr>
                <w:lang w:val="en-GB"/>
              </w:rPr>
            </w:pPr>
          </w:p>
        </w:tc>
      </w:tr>
      <w:tr w:rsidR="000D55A2" w:rsidRPr="008D2EA0" w:rsidTr="00D40519">
        <w:tc>
          <w:tcPr>
            <w:tcW w:w="2236" w:type="dxa"/>
          </w:tcPr>
          <w:p w:rsidR="000D55A2" w:rsidRPr="008D2EA0" w:rsidRDefault="000D55A2" w:rsidP="000D55A2">
            <w:pPr>
              <w:rPr>
                <w:lang w:val="en-GB"/>
              </w:rPr>
            </w:pPr>
            <w:r w:rsidRPr="008D2EA0">
              <w:rPr>
                <w:lang w:val="en-GB"/>
              </w:rPr>
              <w:t>Operational deployment</w:t>
            </w:r>
          </w:p>
        </w:tc>
        <w:tc>
          <w:tcPr>
            <w:tcW w:w="6658" w:type="dxa"/>
          </w:tcPr>
          <w:p w:rsidR="000D55A2" w:rsidRPr="008D2EA0" w:rsidRDefault="000D55A2" w:rsidP="000D55A2">
            <w:pPr>
              <w:rPr>
                <w:lang w:val="en-GB"/>
              </w:rPr>
            </w:pPr>
            <w:r w:rsidRPr="008D2EA0">
              <w:rPr>
                <w:lang w:val="en-GB"/>
              </w:rPr>
              <w:t>Operational deployment can start in 2014</w:t>
            </w:r>
          </w:p>
          <w:p w:rsidR="000D55A2" w:rsidRPr="008D2EA0" w:rsidRDefault="000D55A2" w:rsidP="000D55A2">
            <w:pPr>
              <w:rPr>
                <w:lang w:val="en-GB"/>
              </w:rPr>
            </w:pPr>
          </w:p>
        </w:tc>
      </w:tr>
    </w:tbl>
    <w:p w:rsidR="000D55A2" w:rsidRPr="008D2EA0" w:rsidRDefault="000D55A2" w:rsidP="000D55A2">
      <w:pPr>
        <w:pStyle w:val="ECCParagraph"/>
      </w:pPr>
    </w:p>
    <w:p w:rsidR="000D55A2" w:rsidRPr="008D2EA0" w:rsidRDefault="000D55A2" w:rsidP="00510087">
      <w:pPr>
        <w:pStyle w:val="Heading3"/>
      </w:pPr>
      <w:bookmarkStart w:id="122" w:name="_Toc349039285"/>
      <w:r w:rsidRPr="008D2EA0">
        <w:t>Broadband PPDR for local and temporary use</w:t>
      </w:r>
      <w:bookmarkEnd w:id="122"/>
    </w:p>
    <w:p w:rsidR="00D40519" w:rsidRPr="008D2EA0" w:rsidRDefault="00D40519" w:rsidP="00F21C76">
      <w:pPr>
        <w:pStyle w:val="ECCTabletitle"/>
      </w:pPr>
      <w:r w:rsidRPr="008D2EA0">
        <w:t>Criterion 4 –Broadband PPDR</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6658"/>
      </w:tblGrid>
      <w:tr w:rsidR="000D55A2" w:rsidRPr="008D2EA0" w:rsidTr="00D40519">
        <w:trPr>
          <w:tblHeader/>
        </w:trPr>
        <w:tc>
          <w:tcPr>
            <w:tcW w:w="2236" w:type="dxa"/>
            <w:tcBorders>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p>
        </w:tc>
        <w:tc>
          <w:tcPr>
            <w:tcW w:w="6658" w:type="dxa"/>
            <w:tcBorders>
              <w:left w:val="single" w:sz="8" w:space="0" w:color="FFFFFF"/>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r w:rsidRPr="008D2EA0">
              <w:rPr>
                <w:b/>
                <w:color w:val="FFFFFF"/>
                <w:lang w:val="en-GB"/>
              </w:rPr>
              <w:t>Broadband PPDR for local and temporary use</w:t>
            </w: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Band designation</w:t>
            </w:r>
          </w:p>
        </w:tc>
        <w:tc>
          <w:tcPr>
            <w:tcW w:w="6658" w:type="dxa"/>
          </w:tcPr>
          <w:p w:rsidR="000D55A2" w:rsidRPr="008D2EA0" w:rsidRDefault="000D55A2" w:rsidP="000D55A2">
            <w:pPr>
              <w:rPr>
                <w:lang w:val="en-GB"/>
              </w:rPr>
            </w:pPr>
            <w:r w:rsidRPr="008D2EA0">
              <w:rPr>
                <w:lang w:val="en-GB"/>
              </w:rPr>
              <w:t>End of 2012</w:t>
            </w:r>
          </w:p>
          <w:p w:rsidR="0096096C" w:rsidRPr="008D2EA0" w:rsidRDefault="0096096C" w:rsidP="000D55A2">
            <w:pPr>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Technical conditions</w:t>
            </w:r>
          </w:p>
        </w:tc>
        <w:tc>
          <w:tcPr>
            <w:tcW w:w="6658" w:type="dxa"/>
          </w:tcPr>
          <w:p w:rsidR="000D55A2" w:rsidRPr="008D2EA0" w:rsidRDefault="000D55A2" w:rsidP="000D55A2">
            <w:pPr>
              <w:rPr>
                <w:lang w:val="en-GB"/>
              </w:rPr>
            </w:pPr>
            <w:r w:rsidRPr="008D2EA0">
              <w:rPr>
                <w:lang w:val="en-GB"/>
              </w:rPr>
              <w:t>LRTC by the end of 2013</w:t>
            </w:r>
          </w:p>
          <w:p w:rsidR="0096096C" w:rsidRPr="008D2EA0" w:rsidRDefault="0096096C" w:rsidP="000D55A2">
            <w:pPr>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Licensing</w:t>
            </w:r>
          </w:p>
        </w:tc>
        <w:tc>
          <w:tcPr>
            <w:tcW w:w="6658" w:type="dxa"/>
          </w:tcPr>
          <w:p w:rsidR="000D55A2" w:rsidRPr="008D2EA0" w:rsidRDefault="000D55A2" w:rsidP="000D55A2">
            <w:pPr>
              <w:rPr>
                <w:lang w:val="en-GB"/>
              </w:rPr>
            </w:pPr>
            <w:r w:rsidRPr="008D2EA0">
              <w:rPr>
                <w:lang w:val="en-GB"/>
              </w:rPr>
              <w:t>Up to six month after LRTC are available, depending on national circumstances</w:t>
            </w:r>
            <w:r w:rsidRPr="008D2EA0" w:rsidDel="003A0436">
              <w:rPr>
                <w:lang w:val="en-GB"/>
              </w:rPr>
              <w:t xml:space="preserve"> </w:t>
            </w:r>
          </w:p>
          <w:p w:rsidR="0096096C" w:rsidRPr="008D2EA0" w:rsidRDefault="0096096C" w:rsidP="000D55A2">
            <w:pPr>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Standardisation</w:t>
            </w:r>
          </w:p>
        </w:tc>
        <w:tc>
          <w:tcPr>
            <w:tcW w:w="6658" w:type="dxa"/>
          </w:tcPr>
          <w:p w:rsidR="000D55A2" w:rsidRPr="008D2EA0" w:rsidRDefault="000D55A2" w:rsidP="00F77275">
            <w:pPr>
              <w:spacing w:after="120"/>
              <w:rPr>
                <w:lang w:val="en-GB"/>
              </w:rPr>
            </w:pPr>
            <w:r w:rsidRPr="008D2EA0">
              <w:rPr>
                <w:lang w:val="en-GB"/>
              </w:rPr>
              <w:t xml:space="preserve">Approximately by the end of 2013. </w:t>
            </w:r>
          </w:p>
          <w:p w:rsidR="000D55A2" w:rsidRPr="008D2EA0" w:rsidRDefault="000D55A2" w:rsidP="000D55A2">
            <w:pPr>
              <w:rPr>
                <w:lang w:val="en-GB"/>
              </w:rPr>
            </w:pPr>
            <w:r w:rsidRPr="008D2EA0">
              <w:rPr>
                <w:lang w:val="en-GB"/>
              </w:rPr>
              <w:t xml:space="preserve">Usually, if broadly supported by stakeholders, standardisation can take </w:t>
            </w:r>
            <w:r w:rsidRPr="008D2EA0">
              <w:rPr>
                <w:lang w:val="en-GB"/>
              </w:rPr>
              <w:lastRenderedPageBreak/>
              <w:t>24 to 36 month. Under the assumption that LTE technology will be used by PPDR for temporary and local use the basic technology is available already today. The on-going standardisation activities would be limited to the additional development of the PPDR safety requirements. This includes the adoption of already existing requirements (e.g. from TETRA standard) and its implementation into the existing LTE standard. Assuming an overall support by the parties concerned, this will take only a few months.</w:t>
            </w:r>
          </w:p>
          <w:p w:rsidR="000D55A2" w:rsidRPr="008D2EA0" w:rsidRDefault="000D55A2" w:rsidP="000D55A2">
            <w:pPr>
              <w:rPr>
                <w:lang w:val="en-GB"/>
              </w:rPr>
            </w:pPr>
            <w:r w:rsidRPr="008D2EA0">
              <w:rPr>
                <w:lang w:val="en-GB"/>
              </w:rPr>
              <w:t xml:space="preserve">3GPP Group SA (Service Aspects) is currently discussing a proposal issued by the US and Canada to consider the implementation of PPDR requirements into a LTE standard. There seems consensus on the possibility but the focus of the discussions is on the direct mode and its impact to the public availability of mass market </w:t>
            </w:r>
            <w:r w:rsidR="00BA359F">
              <w:rPr>
                <w:lang w:val="en-GB"/>
              </w:rPr>
              <w:t>terminal equipment</w:t>
            </w:r>
            <w:r w:rsidRPr="008D2EA0">
              <w:rPr>
                <w:lang w:val="en-GB"/>
              </w:rPr>
              <w:t xml:space="preserve">. The usage needs to be limited to PPDR forces only, since otherwise public </w:t>
            </w:r>
            <w:r w:rsidR="00BA359F">
              <w:rPr>
                <w:lang w:val="en-GB"/>
              </w:rPr>
              <w:t>terminal equipment</w:t>
            </w:r>
            <w:r w:rsidRPr="008D2EA0">
              <w:rPr>
                <w:lang w:val="en-GB"/>
              </w:rPr>
              <w:t xml:space="preserve">, equipped with the same chipset, would be able to listen to the </w:t>
            </w:r>
            <w:r w:rsidR="00BA359F">
              <w:rPr>
                <w:lang w:val="en-GB"/>
              </w:rPr>
              <w:t xml:space="preserve">direct mode </w:t>
            </w:r>
            <w:r w:rsidRPr="008D2EA0">
              <w:rPr>
                <w:lang w:val="en-GB"/>
              </w:rPr>
              <w:t>transmissions in the related local area.</w:t>
            </w:r>
          </w:p>
          <w:p w:rsidR="000D55A2" w:rsidRPr="008D2EA0" w:rsidRDefault="000D55A2" w:rsidP="000D55A2">
            <w:pPr>
              <w:rPr>
                <w:lang w:val="en-GB"/>
              </w:rPr>
            </w:pPr>
          </w:p>
        </w:tc>
      </w:tr>
      <w:tr w:rsidR="000D55A2" w:rsidRPr="008D2EA0" w:rsidTr="00D40519">
        <w:tc>
          <w:tcPr>
            <w:tcW w:w="2236" w:type="dxa"/>
          </w:tcPr>
          <w:p w:rsidR="000D55A2" w:rsidRPr="008D2EA0" w:rsidRDefault="000D55A2" w:rsidP="000D55A2">
            <w:pPr>
              <w:rPr>
                <w:lang w:val="en-GB"/>
              </w:rPr>
            </w:pPr>
            <w:r w:rsidRPr="008D2EA0">
              <w:rPr>
                <w:lang w:val="en-GB"/>
              </w:rPr>
              <w:lastRenderedPageBreak/>
              <w:t>Equipment</w:t>
            </w:r>
          </w:p>
        </w:tc>
        <w:tc>
          <w:tcPr>
            <w:tcW w:w="6658" w:type="dxa"/>
          </w:tcPr>
          <w:p w:rsidR="000D55A2" w:rsidRPr="008D2EA0" w:rsidRDefault="000D55A2" w:rsidP="000D55A2">
            <w:pPr>
              <w:rPr>
                <w:lang w:val="en-GB"/>
              </w:rPr>
            </w:pPr>
            <w:r w:rsidRPr="008D2EA0">
              <w:rPr>
                <w:lang w:val="en-GB"/>
              </w:rPr>
              <w:t>Would be available shortly after standardi</w:t>
            </w:r>
            <w:r w:rsidR="00995D9E">
              <w:rPr>
                <w:lang w:val="en-GB"/>
              </w:rPr>
              <w:t>s</w:t>
            </w:r>
            <w:r w:rsidRPr="008D2EA0">
              <w:rPr>
                <w:lang w:val="en-GB"/>
              </w:rPr>
              <w:t xml:space="preserve">ation process. </w:t>
            </w:r>
          </w:p>
          <w:p w:rsidR="000D55A2" w:rsidRPr="008D2EA0" w:rsidRDefault="000D55A2" w:rsidP="000D55A2">
            <w:pPr>
              <w:rPr>
                <w:lang w:val="en-GB"/>
              </w:rPr>
            </w:pPr>
            <w:r w:rsidRPr="008D2EA0">
              <w:rPr>
                <w:lang w:val="en-GB"/>
              </w:rPr>
              <w:t>Once standardisation activities are completed, network and user equipment will have to be developed and deployed. The needed time will vary on the intention of the Administrations, their considerations on urgency and available money. A dedicated estimation is therefore hardly possible.</w:t>
            </w:r>
          </w:p>
          <w:p w:rsidR="000D55A2" w:rsidRPr="008D2EA0" w:rsidRDefault="000D55A2" w:rsidP="000D55A2">
            <w:pPr>
              <w:rPr>
                <w:lang w:val="en-GB"/>
              </w:rPr>
            </w:pPr>
            <w:r w:rsidRPr="008D2EA0">
              <w:rPr>
                <w:lang w:val="en-GB"/>
              </w:rPr>
              <w:t>The time until related terminal equipment and infrastructure is available, depends on the willingness of CEPT Administrations and industry to agree on an appropriate standardisation measure (e.g. within ETSI) and the time needed by stakeholders and industry to adopt the related measure. The choice of standardised equipment will enhance its availability from every manufacturer throughout Europe and minimise therefore time for deployment and provision. However, as of today, there is no agreement between CEPT administrations and in the industry on a standardi</w:t>
            </w:r>
            <w:r w:rsidR="00995D9E">
              <w:rPr>
                <w:lang w:val="en-GB"/>
              </w:rPr>
              <w:t>s</w:t>
            </w:r>
            <w:r w:rsidRPr="008D2EA0">
              <w:rPr>
                <w:lang w:val="en-GB"/>
              </w:rPr>
              <w:t>ation measure, thus it is not possible to estimate when related equipment could be made available.</w:t>
            </w:r>
          </w:p>
          <w:p w:rsidR="0096096C" w:rsidRPr="008D2EA0" w:rsidRDefault="0096096C" w:rsidP="000D55A2">
            <w:pPr>
              <w:rPr>
                <w:lang w:val="en-GB"/>
              </w:rPr>
            </w:pPr>
          </w:p>
        </w:tc>
      </w:tr>
      <w:tr w:rsidR="000D55A2" w:rsidRPr="008D2EA0" w:rsidTr="00D40519">
        <w:tc>
          <w:tcPr>
            <w:tcW w:w="2236" w:type="dxa"/>
          </w:tcPr>
          <w:p w:rsidR="000D55A2" w:rsidRPr="008D2EA0" w:rsidRDefault="000D55A2" w:rsidP="000D55A2">
            <w:pPr>
              <w:rPr>
                <w:lang w:val="en-GB"/>
              </w:rPr>
            </w:pPr>
            <w:r w:rsidRPr="008D2EA0">
              <w:rPr>
                <w:lang w:val="en-GB"/>
              </w:rPr>
              <w:t>Operational deployment</w:t>
            </w:r>
          </w:p>
        </w:tc>
        <w:tc>
          <w:tcPr>
            <w:tcW w:w="6658" w:type="dxa"/>
          </w:tcPr>
          <w:p w:rsidR="000D55A2" w:rsidRPr="008D2EA0" w:rsidRDefault="000D55A2" w:rsidP="000D55A2">
            <w:pPr>
              <w:rPr>
                <w:lang w:val="en-GB"/>
              </w:rPr>
            </w:pPr>
            <w:r w:rsidRPr="008D2EA0">
              <w:rPr>
                <w:lang w:val="en-GB"/>
              </w:rPr>
              <w:t>Operational deployment can start in 2014.</w:t>
            </w:r>
          </w:p>
          <w:p w:rsidR="000D55A2" w:rsidRPr="008D2EA0" w:rsidRDefault="000D55A2" w:rsidP="000D55A2">
            <w:pPr>
              <w:rPr>
                <w:lang w:val="en-GB"/>
              </w:rPr>
            </w:pPr>
            <w:r w:rsidRPr="008D2EA0">
              <w:rPr>
                <w:lang w:val="en-GB"/>
              </w:rPr>
              <w:t>The operational availability of broadband ad hoc/temporary networks depends on national needs and public finance constraints.</w:t>
            </w:r>
          </w:p>
          <w:p w:rsidR="0096096C" w:rsidRPr="008D2EA0" w:rsidRDefault="0096096C" w:rsidP="000D55A2">
            <w:pPr>
              <w:rPr>
                <w:lang w:val="en-GB"/>
              </w:rPr>
            </w:pPr>
          </w:p>
        </w:tc>
      </w:tr>
    </w:tbl>
    <w:p w:rsidR="000D55A2" w:rsidRPr="008D2EA0" w:rsidRDefault="000D55A2" w:rsidP="000D55A2">
      <w:pPr>
        <w:pStyle w:val="ECCParagraph"/>
      </w:pPr>
    </w:p>
    <w:p w:rsidR="000D55A2" w:rsidRPr="008D2EA0" w:rsidRDefault="000D55A2" w:rsidP="00510087">
      <w:pPr>
        <w:pStyle w:val="Heading3"/>
      </w:pPr>
      <w:bookmarkStart w:id="123" w:name="_Toc349039286"/>
      <w:r w:rsidRPr="008D2EA0">
        <w:t>BDA2GC</w:t>
      </w:r>
      <w:bookmarkEnd w:id="123"/>
    </w:p>
    <w:p w:rsidR="00D40519" w:rsidRPr="008D2EA0" w:rsidRDefault="00D40519" w:rsidP="00F21C76">
      <w:pPr>
        <w:pStyle w:val="ECCTabletitle"/>
      </w:pPr>
      <w:r w:rsidRPr="008D2EA0">
        <w:t>Criterion 4 – BDA2GC</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6658"/>
      </w:tblGrid>
      <w:tr w:rsidR="000D55A2" w:rsidRPr="008D2EA0" w:rsidTr="00D40519">
        <w:trPr>
          <w:tblHeader/>
        </w:trPr>
        <w:tc>
          <w:tcPr>
            <w:tcW w:w="2236" w:type="dxa"/>
            <w:tcBorders>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p>
        </w:tc>
        <w:tc>
          <w:tcPr>
            <w:tcW w:w="6658" w:type="dxa"/>
            <w:tcBorders>
              <w:left w:val="single" w:sz="8" w:space="0" w:color="FFFFFF"/>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r w:rsidRPr="008D2EA0">
              <w:rPr>
                <w:b/>
                <w:color w:val="FFFFFF"/>
                <w:lang w:val="en-GB"/>
              </w:rPr>
              <w:t>BDA2GC</w:t>
            </w: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Band designation</w:t>
            </w:r>
          </w:p>
        </w:tc>
        <w:tc>
          <w:tcPr>
            <w:tcW w:w="6658" w:type="dxa"/>
          </w:tcPr>
          <w:p w:rsidR="000D55A2" w:rsidRPr="008D2EA0" w:rsidRDefault="000D55A2" w:rsidP="000D55A2">
            <w:pPr>
              <w:rPr>
                <w:lang w:val="en-GB"/>
              </w:rPr>
            </w:pPr>
            <w:r w:rsidRPr="008D2EA0">
              <w:rPr>
                <w:lang w:val="en-GB"/>
              </w:rPr>
              <w:t>After the conclusion of FM50 work and a decision by the ECC about the most appropriate future use of the band 1452-1492 MHz which is expected to happen in October 2012,</w:t>
            </w:r>
            <w:r w:rsidRPr="008D2EA0" w:rsidDel="006570C3">
              <w:rPr>
                <w:lang w:val="en-GB"/>
              </w:rPr>
              <w:t xml:space="preserve"> </w:t>
            </w:r>
            <w:r w:rsidRPr="008D2EA0">
              <w:rPr>
                <w:lang w:val="en-GB"/>
              </w:rPr>
              <w:t>at least one WRC (WRC 15) would be needed to change the Radio Regulations (suppression of “except aeronautical mobile”).</w:t>
            </w:r>
          </w:p>
          <w:p w:rsidR="0096096C" w:rsidRPr="008D2EA0" w:rsidRDefault="0096096C" w:rsidP="000D55A2">
            <w:pPr>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Technical conditions</w:t>
            </w:r>
          </w:p>
        </w:tc>
        <w:tc>
          <w:tcPr>
            <w:tcW w:w="6658" w:type="dxa"/>
          </w:tcPr>
          <w:p w:rsidR="000D55A2" w:rsidRPr="008D2EA0" w:rsidRDefault="000D55A2" w:rsidP="000D55A2">
            <w:pPr>
              <w:rPr>
                <w:lang w:val="en-GB"/>
              </w:rPr>
            </w:pPr>
            <w:r w:rsidRPr="008D2EA0">
              <w:rPr>
                <w:lang w:val="en-GB"/>
              </w:rPr>
              <w:t xml:space="preserve">LRTC by the end of 2013 </w:t>
            </w:r>
          </w:p>
          <w:p w:rsidR="0096096C" w:rsidRPr="008D2EA0" w:rsidRDefault="0096096C" w:rsidP="000D55A2">
            <w:pPr>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t>Licensing</w:t>
            </w:r>
          </w:p>
        </w:tc>
        <w:tc>
          <w:tcPr>
            <w:tcW w:w="6658" w:type="dxa"/>
          </w:tcPr>
          <w:p w:rsidR="000D55A2" w:rsidRPr="008D2EA0" w:rsidRDefault="000D55A2" w:rsidP="000D55A2">
            <w:pPr>
              <w:rPr>
                <w:lang w:val="en-GB"/>
              </w:rPr>
            </w:pPr>
            <w:r w:rsidRPr="008D2EA0">
              <w:rPr>
                <w:lang w:val="en-GB"/>
              </w:rPr>
              <w:t>Licensing procedure could take up to 24 month after band designation taking into account that a pan-European authori</w:t>
            </w:r>
            <w:r w:rsidR="00995D9E">
              <w:rPr>
                <w:lang w:val="en-GB"/>
              </w:rPr>
              <w:t>s</w:t>
            </w:r>
            <w:r w:rsidRPr="008D2EA0">
              <w:rPr>
                <w:lang w:val="en-GB"/>
              </w:rPr>
              <w:t>ation is needed.</w:t>
            </w:r>
          </w:p>
          <w:p w:rsidR="000D55A2" w:rsidRPr="008D2EA0" w:rsidRDefault="000D55A2" w:rsidP="000D55A2">
            <w:pPr>
              <w:rPr>
                <w:lang w:val="en-GB"/>
              </w:rPr>
            </w:pPr>
          </w:p>
        </w:tc>
      </w:tr>
      <w:tr w:rsidR="000D55A2" w:rsidRPr="008D2EA0" w:rsidTr="00D40519">
        <w:tc>
          <w:tcPr>
            <w:tcW w:w="2236" w:type="dxa"/>
          </w:tcPr>
          <w:p w:rsidR="000D55A2" w:rsidRPr="008D2EA0" w:rsidRDefault="000D55A2" w:rsidP="000D55A2">
            <w:pPr>
              <w:rPr>
                <w:sz w:val="22"/>
                <w:szCs w:val="22"/>
                <w:lang w:val="en-GB"/>
              </w:rPr>
            </w:pPr>
            <w:r w:rsidRPr="008D2EA0">
              <w:rPr>
                <w:lang w:val="en-GB"/>
              </w:rPr>
              <w:lastRenderedPageBreak/>
              <w:t>Standardisation</w:t>
            </w:r>
          </w:p>
        </w:tc>
        <w:tc>
          <w:tcPr>
            <w:tcW w:w="6658" w:type="dxa"/>
          </w:tcPr>
          <w:p w:rsidR="000D55A2" w:rsidRPr="008D2EA0" w:rsidRDefault="005B4DA4" w:rsidP="000D55A2">
            <w:pPr>
              <w:rPr>
                <w:lang w:val="en-GB"/>
              </w:rPr>
            </w:pPr>
            <w:r w:rsidRPr="008D2EA0">
              <w:rPr>
                <w:lang w:val="en-GB"/>
              </w:rPr>
              <w:t>B</w:t>
            </w:r>
            <w:r w:rsidR="000D55A2" w:rsidRPr="008D2EA0">
              <w:rPr>
                <w:lang w:val="en-GB"/>
              </w:rPr>
              <w:t>ased on 3GPP LTE standard:</w:t>
            </w:r>
          </w:p>
          <w:p w:rsidR="000D55A2" w:rsidRPr="008D2EA0" w:rsidRDefault="000D55A2" w:rsidP="00290368">
            <w:pPr>
              <w:numPr>
                <w:ilvl w:val="0"/>
                <w:numId w:val="43"/>
              </w:numPr>
              <w:rPr>
                <w:lang w:val="en-GB"/>
              </w:rPr>
            </w:pPr>
            <w:r w:rsidRPr="008D2EA0">
              <w:rPr>
                <w:lang w:val="en-GB"/>
              </w:rPr>
              <w:t xml:space="preserve">Ground Station (GS) corresponds to eNodeB in 3GPP LTE specifications. </w:t>
            </w:r>
          </w:p>
          <w:p w:rsidR="000D55A2" w:rsidRPr="008D2EA0" w:rsidRDefault="000D55A2" w:rsidP="00290368">
            <w:pPr>
              <w:numPr>
                <w:ilvl w:val="0"/>
                <w:numId w:val="43"/>
              </w:numPr>
              <w:rPr>
                <w:lang w:val="en-GB"/>
              </w:rPr>
            </w:pPr>
            <w:r w:rsidRPr="008D2EA0">
              <w:rPr>
                <w:lang w:val="en-GB"/>
              </w:rPr>
              <w:t>Aircraft Station (AS) corresponds to UE in 3GPP LTE specifications, with BDA2GC specific enhancements (increased power, Doppler shift compensation, etc.).</w:t>
            </w:r>
          </w:p>
          <w:p w:rsidR="000D55A2" w:rsidRPr="008D2EA0" w:rsidRDefault="000D55A2" w:rsidP="00290368">
            <w:pPr>
              <w:numPr>
                <w:ilvl w:val="0"/>
                <w:numId w:val="43"/>
              </w:numPr>
              <w:rPr>
                <w:lang w:val="en-GB"/>
              </w:rPr>
            </w:pPr>
            <w:r w:rsidRPr="008D2EA0">
              <w:rPr>
                <w:lang w:val="en-GB"/>
              </w:rPr>
              <w:t xml:space="preserve">No </w:t>
            </w:r>
            <w:r w:rsidR="0003313A" w:rsidRPr="008D2EA0">
              <w:rPr>
                <w:lang w:val="en-GB"/>
              </w:rPr>
              <w:t>need to develop a harmonis</w:t>
            </w:r>
            <w:r w:rsidRPr="008D2EA0">
              <w:rPr>
                <w:lang w:val="en-GB"/>
              </w:rPr>
              <w:t>ed standard.</w:t>
            </w:r>
          </w:p>
          <w:p w:rsidR="000D55A2" w:rsidRPr="008D2EA0" w:rsidRDefault="000D55A2" w:rsidP="00F77275">
            <w:pPr>
              <w:spacing w:before="120"/>
              <w:rPr>
                <w:lang w:val="en-GB"/>
              </w:rPr>
            </w:pPr>
            <w:r w:rsidRPr="008D2EA0">
              <w:rPr>
                <w:rFonts w:cs="Arial"/>
                <w:szCs w:val="20"/>
                <w:lang w:val="en-GB"/>
              </w:rPr>
              <w:t>The access network of the BDA2GC system consists of a terrestrial mobile radio access network. The baseline access technology is the 3GPP evolved packet system (E-UTRAN+EPC) that is already commercially available (Release 8, known as LTE), and higher releases, i.e. the ground station equipment is in conformity with 3GPP specifications. The RF unit would need to be adapted to the operational frequency. BDA2GC specific enhancements required correspond mainly to operational aspects, e.g. antenna up-tilt at the Ground Station (Base Station), and network management issues. These modifications of ground stations do not require standardisation efforts.</w:t>
            </w:r>
          </w:p>
          <w:p w:rsidR="000D55A2" w:rsidRPr="008D2EA0" w:rsidRDefault="000D55A2" w:rsidP="000D55A2">
            <w:pPr>
              <w:rPr>
                <w:rFonts w:cs="Arial"/>
                <w:szCs w:val="20"/>
                <w:lang w:val="en-GB"/>
              </w:rPr>
            </w:pPr>
            <w:r w:rsidRPr="008D2EA0">
              <w:rPr>
                <w:rFonts w:cs="Arial"/>
                <w:szCs w:val="20"/>
                <w:lang w:val="en-GB"/>
              </w:rPr>
              <w:t>The rollout of BDA2GC will start with about 200 to 250 ground stations, covering of the European area with higher density air traffic, followed by a successively development to enlarge coverage and density in very high traffic areas. In the final state, the ground network covering Europe will encompass 400 to 500 ground stations. The addressable market in Europe for the on-board unit is about 4500 commercial aircraft, and about the same number of business aircraft. For this number of aircraft stations no 3GPP standardisation activities are expected to take place.</w:t>
            </w:r>
          </w:p>
          <w:p w:rsidR="0096096C" w:rsidRPr="008D2EA0" w:rsidRDefault="0096096C" w:rsidP="000D55A2">
            <w:pPr>
              <w:rPr>
                <w:lang w:val="en-GB"/>
              </w:rPr>
            </w:pPr>
          </w:p>
        </w:tc>
      </w:tr>
      <w:tr w:rsidR="000D55A2" w:rsidRPr="008D2EA0" w:rsidTr="00D40519">
        <w:tc>
          <w:tcPr>
            <w:tcW w:w="2236" w:type="dxa"/>
          </w:tcPr>
          <w:p w:rsidR="000D55A2" w:rsidRPr="008D2EA0" w:rsidRDefault="000D55A2" w:rsidP="000D55A2">
            <w:pPr>
              <w:rPr>
                <w:lang w:val="en-GB"/>
              </w:rPr>
            </w:pPr>
            <w:r w:rsidRPr="008D2EA0">
              <w:rPr>
                <w:lang w:val="en-GB"/>
              </w:rPr>
              <w:t>Equipment</w:t>
            </w:r>
          </w:p>
        </w:tc>
        <w:tc>
          <w:tcPr>
            <w:tcW w:w="6658" w:type="dxa"/>
          </w:tcPr>
          <w:p w:rsidR="000D55A2" w:rsidRPr="008D2EA0" w:rsidRDefault="000D55A2" w:rsidP="000D55A2">
            <w:pPr>
              <w:rPr>
                <w:rFonts w:cs="Arial"/>
                <w:szCs w:val="20"/>
                <w:lang w:val="en-GB"/>
              </w:rPr>
            </w:pPr>
            <w:r w:rsidRPr="008D2EA0">
              <w:rPr>
                <w:rFonts w:cs="Arial"/>
                <w:szCs w:val="20"/>
                <w:lang w:val="en-GB"/>
              </w:rPr>
              <w:t xml:space="preserve">Adaptations of the ground components are expected to be completed ten months after spectrum licensing. </w:t>
            </w:r>
          </w:p>
          <w:p w:rsidR="000D55A2" w:rsidRPr="008D2EA0" w:rsidRDefault="000D55A2" w:rsidP="000D55A2">
            <w:pPr>
              <w:rPr>
                <w:rFonts w:cs="Arial"/>
                <w:szCs w:val="20"/>
                <w:lang w:val="en-GB"/>
              </w:rPr>
            </w:pPr>
            <w:r w:rsidRPr="008D2EA0">
              <w:rPr>
                <w:rFonts w:cs="Arial"/>
                <w:szCs w:val="20"/>
                <w:lang w:val="en-GB"/>
              </w:rPr>
              <w:t>The aircraft station acts as a mobile station (MS) in the BDA2GC system. Compared to a MS used in a usual mobile network, increased output power is required due to the higher path loss (larger cell sizes) in the BDA2GC network. Also improved synchronization features, e.g. to compensate the high Doppler shift, will be implemented. Time necessary for manufacturing the specific aircraft installation kits and for the corresponding type approval at aviation authorities is estimated to be about one and a half year. Aircraft assembly will take place during maintenance or overnight stop.</w:t>
            </w:r>
          </w:p>
          <w:p w:rsidR="0096096C" w:rsidRPr="008D2EA0" w:rsidRDefault="0096096C" w:rsidP="000D55A2">
            <w:pPr>
              <w:rPr>
                <w:lang w:val="en-GB"/>
              </w:rPr>
            </w:pPr>
          </w:p>
        </w:tc>
      </w:tr>
      <w:tr w:rsidR="000D55A2" w:rsidRPr="008D2EA0" w:rsidTr="00D40519">
        <w:tc>
          <w:tcPr>
            <w:tcW w:w="2236" w:type="dxa"/>
          </w:tcPr>
          <w:p w:rsidR="000D55A2" w:rsidRPr="008D2EA0" w:rsidRDefault="000D55A2" w:rsidP="000D55A2">
            <w:pPr>
              <w:rPr>
                <w:lang w:val="en-GB"/>
              </w:rPr>
            </w:pPr>
            <w:r w:rsidRPr="008D2EA0">
              <w:rPr>
                <w:lang w:val="en-GB"/>
              </w:rPr>
              <w:t>Operational deployment</w:t>
            </w:r>
          </w:p>
        </w:tc>
        <w:tc>
          <w:tcPr>
            <w:tcW w:w="6658" w:type="dxa"/>
          </w:tcPr>
          <w:p w:rsidR="000D55A2" w:rsidRPr="008D2EA0" w:rsidRDefault="000D55A2" w:rsidP="00F77275">
            <w:pPr>
              <w:spacing w:after="120"/>
              <w:rPr>
                <w:rFonts w:cs="Arial"/>
                <w:szCs w:val="20"/>
                <w:lang w:val="en-GB"/>
              </w:rPr>
            </w:pPr>
            <w:r w:rsidRPr="008D2EA0">
              <w:rPr>
                <w:rFonts w:cs="Arial"/>
                <w:szCs w:val="20"/>
                <w:lang w:val="en-GB"/>
              </w:rPr>
              <w:t>Operational deployment can start in 2018.</w:t>
            </w:r>
          </w:p>
          <w:p w:rsidR="000D55A2" w:rsidRPr="008D2EA0" w:rsidRDefault="000D55A2" w:rsidP="000D55A2">
            <w:pPr>
              <w:rPr>
                <w:lang w:val="en-GB"/>
              </w:rPr>
            </w:pPr>
            <w:r w:rsidRPr="008D2EA0">
              <w:rPr>
                <w:rFonts w:cs="Arial"/>
                <w:szCs w:val="20"/>
                <w:lang w:val="en-GB"/>
              </w:rPr>
              <w:t xml:space="preserve">The build-up of the ground network is assumed to last about one year, but backhaul and site preparations could be started in parallel with the adaptations of the ground components. </w:t>
            </w:r>
            <w:r w:rsidRPr="008D2EA0">
              <w:rPr>
                <w:lang w:val="en-GB"/>
              </w:rPr>
              <w:t>The service rollout with first aircraft can be expected about 18 months after spectrum licensing.</w:t>
            </w:r>
          </w:p>
          <w:p w:rsidR="000D55A2" w:rsidRPr="008D2EA0" w:rsidRDefault="000D55A2" w:rsidP="000D55A2">
            <w:pPr>
              <w:rPr>
                <w:lang w:val="en-GB"/>
              </w:rPr>
            </w:pPr>
          </w:p>
        </w:tc>
      </w:tr>
    </w:tbl>
    <w:p w:rsidR="000D55A2" w:rsidRPr="008D2EA0" w:rsidRDefault="000D55A2" w:rsidP="000D55A2">
      <w:pPr>
        <w:pStyle w:val="ECCParagraph"/>
      </w:pPr>
    </w:p>
    <w:p w:rsidR="000D55A2" w:rsidRPr="008D2EA0" w:rsidRDefault="00E94566" w:rsidP="000D55A2">
      <w:pPr>
        <w:pStyle w:val="Heading2"/>
        <w:rPr>
          <w:lang w:val="en-GB"/>
        </w:rPr>
      </w:pPr>
      <w:bookmarkStart w:id="124" w:name="_Toc349039287"/>
      <w:r w:rsidRPr="008D2EA0">
        <w:rPr>
          <w:lang w:val="en-GB"/>
        </w:rPr>
        <w:t>C</w:t>
      </w:r>
      <w:r w:rsidR="000D55A2" w:rsidRPr="008D2EA0">
        <w:rPr>
          <w:lang w:val="en-GB"/>
        </w:rPr>
        <w:t>riterion 5</w:t>
      </w:r>
      <w:bookmarkEnd w:id="124"/>
    </w:p>
    <w:p w:rsidR="000D55A2" w:rsidRPr="008D2EA0" w:rsidRDefault="000D55A2" w:rsidP="0003313A">
      <w:pPr>
        <w:pStyle w:val="ECCParagraph"/>
      </w:pPr>
      <w:r w:rsidRPr="008D2EA0">
        <w:t>This criterion aims at assessing the potential for economy of scale of an application based on the need and potential within CEPT and the potential for take up outside CEPT. The following sub</w:t>
      </w:r>
      <w:r w:rsidR="00770411" w:rsidRPr="008D2EA0">
        <w:t>-</w:t>
      </w:r>
      <w:r w:rsidRPr="008D2EA0">
        <w:t>criteria have accordingly been chosen:</w:t>
      </w:r>
    </w:p>
    <w:p w:rsidR="000D55A2" w:rsidRPr="008D2EA0" w:rsidRDefault="000D55A2" w:rsidP="00290368">
      <w:pPr>
        <w:pStyle w:val="ListParagraph"/>
        <w:numPr>
          <w:ilvl w:val="0"/>
          <w:numId w:val="44"/>
        </w:numPr>
        <w:spacing w:before="120"/>
        <w:ind w:left="714" w:hanging="357"/>
        <w:contextualSpacing w:val="0"/>
        <w:rPr>
          <w:rFonts w:cs="Arial"/>
          <w:szCs w:val="20"/>
          <w:lang w:val="en-GB"/>
        </w:rPr>
      </w:pPr>
      <w:r w:rsidRPr="008D2EA0">
        <w:rPr>
          <w:rFonts w:cs="Arial"/>
          <w:szCs w:val="20"/>
          <w:lang w:val="en-GB"/>
        </w:rPr>
        <w:t>Need for CEPT harmonisation</w:t>
      </w:r>
      <w:r w:rsidR="00F77275">
        <w:rPr>
          <w:rFonts w:cs="Arial"/>
          <w:szCs w:val="20"/>
          <w:lang w:val="en-GB"/>
        </w:rPr>
        <w:t>;</w:t>
      </w:r>
    </w:p>
    <w:p w:rsidR="000D55A2" w:rsidRPr="008D2EA0" w:rsidRDefault="000D55A2" w:rsidP="00290368">
      <w:pPr>
        <w:pStyle w:val="ListParagraph"/>
        <w:numPr>
          <w:ilvl w:val="0"/>
          <w:numId w:val="44"/>
        </w:numPr>
        <w:spacing w:before="120"/>
        <w:ind w:left="714" w:hanging="357"/>
        <w:contextualSpacing w:val="0"/>
        <w:rPr>
          <w:rFonts w:cs="Arial"/>
          <w:szCs w:val="20"/>
          <w:lang w:val="en-GB"/>
        </w:rPr>
      </w:pPr>
      <w:r w:rsidRPr="008D2EA0">
        <w:rPr>
          <w:rFonts w:cs="Arial"/>
          <w:szCs w:val="20"/>
          <w:lang w:val="en-GB"/>
        </w:rPr>
        <w:t>Potential for CEPT harmonisation</w:t>
      </w:r>
      <w:r w:rsidR="00F77275">
        <w:rPr>
          <w:rFonts w:cs="Arial"/>
          <w:szCs w:val="20"/>
          <w:lang w:val="en-GB"/>
        </w:rPr>
        <w:t>;</w:t>
      </w:r>
    </w:p>
    <w:p w:rsidR="000D55A2" w:rsidRPr="008D2EA0" w:rsidRDefault="000D55A2" w:rsidP="00290368">
      <w:pPr>
        <w:pStyle w:val="ListParagraph"/>
        <w:numPr>
          <w:ilvl w:val="0"/>
          <w:numId w:val="44"/>
        </w:numPr>
        <w:spacing w:before="120"/>
        <w:ind w:left="714" w:hanging="357"/>
        <w:contextualSpacing w:val="0"/>
        <w:rPr>
          <w:rFonts w:cs="Arial"/>
          <w:szCs w:val="20"/>
          <w:lang w:val="en-GB"/>
        </w:rPr>
      </w:pPr>
      <w:r w:rsidRPr="008D2EA0">
        <w:rPr>
          <w:rFonts w:cs="Arial"/>
          <w:szCs w:val="20"/>
          <w:lang w:val="en-GB"/>
        </w:rPr>
        <w:t>Potential for take up outside CEPT</w:t>
      </w:r>
      <w:r w:rsidR="00F77275">
        <w:rPr>
          <w:rFonts w:cs="Arial"/>
          <w:szCs w:val="20"/>
          <w:lang w:val="en-GB"/>
        </w:rPr>
        <w:t>.</w:t>
      </w:r>
    </w:p>
    <w:p w:rsidR="0003313A" w:rsidRPr="008D2EA0" w:rsidRDefault="0003313A" w:rsidP="00A953FD">
      <w:pPr>
        <w:pStyle w:val="ListParagraph"/>
        <w:ind w:left="0"/>
        <w:contextualSpacing w:val="0"/>
        <w:rPr>
          <w:rFonts w:cs="Arial"/>
          <w:szCs w:val="20"/>
          <w:lang w:val="en-GB"/>
        </w:rPr>
      </w:pPr>
    </w:p>
    <w:p w:rsidR="000D55A2" w:rsidRPr="008D2EA0" w:rsidRDefault="000D55A2" w:rsidP="0003313A">
      <w:pPr>
        <w:pStyle w:val="ECCParagraph"/>
      </w:pPr>
      <w:r w:rsidRPr="008D2EA0">
        <w:t>The sub</w:t>
      </w:r>
      <w:r w:rsidR="00770411" w:rsidRPr="008D2EA0">
        <w:t>-</w:t>
      </w:r>
      <w:r w:rsidRPr="008D2EA0">
        <w:t>criterion “need for harmoni</w:t>
      </w:r>
      <w:r w:rsidR="0096096C" w:rsidRPr="008D2EA0">
        <w:t>s</w:t>
      </w:r>
      <w:r w:rsidRPr="008D2EA0">
        <w:t>ation” within CEPT assesses whether an application needs to be implemented throughout the CEPT to be successful. However this sub</w:t>
      </w:r>
      <w:r w:rsidR="00770411" w:rsidRPr="008D2EA0">
        <w:t>-</w:t>
      </w:r>
      <w:r w:rsidRPr="008D2EA0">
        <w:t>criterion has not been graded as it is not felt to be either an advantage or a disadvantage to need harmoni</w:t>
      </w:r>
      <w:r w:rsidR="0096096C" w:rsidRPr="008D2EA0">
        <w:t>s</w:t>
      </w:r>
      <w:r w:rsidRPr="008D2EA0">
        <w:t>ation within a band that has a strong theoretical potential for harmoni</w:t>
      </w:r>
      <w:r w:rsidR="0096096C" w:rsidRPr="008D2EA0">
        <w:t>s</w:t>
      </w:r>
      <w:r w:rsidRPr="008D2EA0">
        <w:t>ation.</w:t>
      </w:r>
    </w:p>
    <w:p w:rsidR="000D55A2" w:rsidRPr="008D2EA0" w:rsidRDefault="000D55A2" w:rsidP="0003313A">
      <w:pPr>
        <w:pStyle w:val="ECCParagraph"/>
      </w:pPr>
      <w:r w:rsidRPr="008D2EA0">
        <w:t>The next sub</w:t>
      </w:r>
      <w:r w:rsidR="00770411" w:rsidRPr="008D2EA0">
        <w:t>-</w:t>
      </w:r>
      <w:r w:rsidRPr="008D2EA0">
        <w:t>criteri</w:t>
      </w:r>
      <w:r w:rsidR="00B64140" w:rsidRPr="008D2EA0">
        <w:t>on, “potential for CEPT harmonis</w:t>
      </w:r>
      <w:r w:rsidRPr="008D2EA0">
        <w:t>ation” has been graded as low, medium and high. The grade low has been reserved f</w:t>
      </w:r>
      <w:r w:rsidR="00B64140" w:rsidRPr="008D2EA0">
        <w:t>or applications needing harmonis</w:t>
      </w:r>
      <w:r w:rsidRPr="008D2EA0">
        <w:t>ation within CEPT while the ac</w:t>
      </w:r>
      <w:r w:rsidR="00B64140" w:rsidRPr="008D2EA0">
        <w:t>tual prospects for such harmonis</w:t>
      </w:r>
      <w:r w:rsidRPr="008D2EA0">
        <w:t>ation (basically the support from administrations) are low. The grade high has been reserved for the application showing the most potential for CEPT harmoni</w:t>
      </w:r>
      <w:r w:rsidR="0096096C" w:rsidRPr="008D2EA0">
        <w:t>s</w:t>
      </w:r>
      <w:r w:rsidRPr="008D2EA0">
        <w:t>ation. All other applications have received the grade “medium” (as an application that does not need harmoni</w:t>
      </w:r>
      <w:r w:rsidR="0096096C" w:rsidRPr="008D2EA0">
        <w:t>s</w:t>
      </w:r>
      <w:r w:rsidRPr="008D2EA0">
        <w:t>ation for successful implementation should not be heavily penalized if it has only modest prospects for harmoni</w:t>
      </w:r>
      <w:r w:rsidR="0096096C" w:rsidRPr="008D2EA0">
        <w:t>s</w:t>
      </w:r>
      <w:r w:rsidRPr="008D2EA0">
        <w:t xml:space="preserve">ation).  </w:t>
      </w:r>
    </w:p>
    <w:p w:rsidR="000D55A2" w:rsidRPr="008D2EA0" w:rsidRDefault="000D55A2" w:rsidP="0003313A">
      <w:pPr>
        <w:pStyle w:val="ECCParagraph"/>
      </w:pPr>
      <w:r w:rsidRPr="008D2EA0">
        <w:t>The sub</w:t>
      </w:r>
      <w:r w:rsidR="00770411" w:rsidRPr="008D2EA0">
        <w:t>-</w:t>
      </w:r>
      <w:r w:rsidRPr="008D2EA0">
        <w:t>criterion “Potential for take up outside CEPT” assesses the prospects that the application (within the 1452-1492 MHz band) may be successful outside of CEPT. These prospects have been graded as low, medium and high.</w:t>
      </w:r>
    </w:p>
    <w:p w:rsidR="000D55A2" w:rsidRPr="008D2EA0" w:rsidRDefault="000D55A2" w:rsidP="00F21C76">
      <w:pPr>
        <w:pStyle w:val="Heading3"/>
      </w:pPr>
      <w:bookmarkStart w:id="125" w:name="_Toc349039288"/>
      <w:r w:rsidRPr="008D2EA0">
        <w:t>Terrestrial broadcasting</w:t>
      </w:r>
      <w:bookmarkEnd w:id="125"/>
    </w:p>
    <w:p w:rsidR="00D40519" w:rsidRPr="008D2EA0" w:rsidRDefault="00D40519" w:rsidP="00F21C76">
      <w:pPr>
        <w:pStyle w:val="ECCTabletitle"/>
      </w:pPr>
      <w:r w:rsidRPr="008D2EA0">
        <w:t>Criterion 5 – Terrestrial broadcasting</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1"/>
        <w:gridCol w:w="6663"/>
      </w:tblGrid>
      <w:tr w:rsidR="000D55A2" w:rsidRPr="008D2EA0" w:rsidTr="000D55A2">
        <w:trPr>
          <w:tblHeader/>
        </w:trPr>
        <w:tc>
          <w:tcPr>
            <w:tcW w:w="2268" w:type="dxa"/>
            <w:tcBorders>
              <w:right w:val="single" w:sz="8" w:space="0" w:color="FFFFFF"/>
            </w:tcBorders>
            <w:shd w:val="clear" w:color="auto" w:fill="D2232A"/>
            <w:vAlign w:val="center"/>
          </w:tcPr>
          <w:p w:rsidR="000D55A2" w:rsidRPr="008D2EA0" w:rsidRDefault="000D55A2" w:rsidP="001E74AC">
            <w:pPr>
              <w:keepNext/>
              <w:spacing w:line="288" w:lineRule="auto"/>
              <w:jc w:val="center"/>
              <w:rPr>
                <w:b/>
                <w:color w:val="FFFFFF"/>
                <w:lang w:val="en-GB"/>
              </w:rPr>
            </w:pPr>
            <w:r w:rsidRPr="008D2EA0">
              <w:rPr>
                <w:b/>
                <w:color w:val="FFFFFF"/>
                <w:lang w:val="en-GB"/>
              </w:rPr>
              <w:t xml:space="preserve"> </w:t>
            </w:r>
          </w:p>
        </w:tc>
        <w:tc>
          <w:tcPr>
            <w:tcW w:w="6916" w:type="dxa"/>
            <w:tcBorders>
              <w:left w:val="single" w:sz="8" w:space="0" w:color="FFFFFF"/>
              <w:right w:val="single" w:sz="8" w:space="0" w:color="FFFFFF"/>
            </w:tcBorders>
            <w:shd w:val="clear" w:color="auto" w:fill="D2232A"/>
            <w:vAlign w:val="center"/>
          </w:tcPr>
          <w:p w:rsidR="000D55A2" w:rsidRPr="008D2EA0" w:rsidRDefault="000D55A2" w:rsidP="001E74AC">
            <w:pPr>
              <w:keepNext/>
              <w:spacing w:line="288" w:lineRule="auto"/>
              <w:jc w:val="center"/>
              <w:rPr>
                <w:b/>
                <w:color w:val="FFFFFF"/>
                <w:lang w:val="en-GB"/>
              </w:rPr>
            </w:pPr>
            <w:r w:rsidRPr="008D2EA0">
              <w:rPr>
                <w:b/>
                <w:color w:val="FFFFFF"/>
                <w:lang w:val="en-GB"/>
              </w:rPr>
              <w:t>Terrestrial broadcasting</w:t>
            </w:r>
          </w:p>
        </w:tc>
      </w:tr>
      <w:tr w:rsidR="000D55A2" w:rsidRPr="008D2EA0" w:rsidTr="000D55A2">
        <w:tc>
          <w:tcPr>
            <w:tcW w:w="2268" w:type="dxa"/>
          </w:tcPr>
          <w:p w:rsidR="000D55A2" w:rsidRPr="008D2EA0" w:rsidRDefault="000D55A2" w:rsidP="001E74AC">
            <w:pPr>
              <w:keepNext/>
              <w:rPr>
                <w:sz w:val="22"/>
                <w:szCs w:val="22"/>
                <w:lang w:val="en-GB"/>
              </w:rPr>
            </w:pPr>
            <w:r w:rsidRPr="008D2EA0">
              <w:rPr>
                <w:lang w:val="en-GB"/>
              </w:rPr>
              <w:t>Need for CEPT harmoni</w:t>
            </w:r>
            <w:r w:rsidR="0096096C" w:rsidRPr="008D2EA0">
              <w:rPr>
                <w:lang w:val="en-GB"/>
              </w:rPr>
              <w:t>s</w:t>
            </w:r>
            <w:r w:rsidRPr="008D2EA0">
              <w:rPr>
                <w:lang w:val="en-GB"/>
              </w:rPr>
              <w:t>ation</w:t>
            </w:r>
          </w:p>
        </w:tc>
        <w:tc>
          <w:tcPr>
            <w:tcW w:w="6916" w:type="dxa"/>
          </w:tcPr>
          <w:p w:rsidR="000D55A2" w:rsidRPr="008D2EA0" w:rsidRDefault="000D55A2" w:rsidP="001E74AC">
            <w:pPr>
              <w:keepNext/>
              <w:rPr>
                <w:sz w:val="22"/>
                <w:szCs w:val="22"/>
                <w:lang w:val="en-GB"/>
              </w:rPr>
            </w:pPr>
            <w:r w:rsidRPr="008D2EA0">
              <w:rPr>
                <w:lang w:val="en-GB"/>
              </w:rPr>
              <w:t>No</w:t>
            </w:r>
          </w:p>
          <w:p w:rsidR="000D55A2" w:rsidRPr="008D2EA0" w:rsidRDefault="000D55A2" w:rsidP="001E74AC">
            <w:pPr>
              <w:keepNext/>
              <w:rPr>
                <w:lang w:val="en-GB"/>
              </w:rPr>
            </w:pPr>
            <w:r w:rsidRPr="008D2EA0">
              <w:rPr>
                <w:lang w:val="en-GB"/>
              </w:rPr>
              <w:t>The viability of subscription radio can today be contemplated in one country, however the current level of harmonisation in the L band provides clear paths for further economies of scales along with other possible service rollouts in Europe.</w:t>
            </w:r>
          </w:p>
          <w:p w:rsidR="0096096C" w:rsidRPr="008D2EA0" w:rsidRDefault="0096096C" w:rsidP="001E74AC">
            <w:pPr>
              <w:keepNext/>
              <w:rPr>
                <w:sz w:val="22"/>
                <w:szCs w:val="22"/>
                <w:lang w:val="en-GB"/>
              </w:rPr>
            </w:pPr>
          </w:p>
        </w:tc>
      </w:tr>
      <w:tr w:rsidR="000D55A2" w:rsidRPr="008D2EA0" w:rsidTr="000D55A2">
        <w:tc>
          <w:tcPr>
            <w:tcW w:w="2268" w:type="dxa"/>
          </w:tcPr>
          <w:p w:rsidR="000D55A2" w:rsidRPr="008D2EA0" w:rsidRDefault="000D55A2" w:rsidP="000D55A2">
            <w:pPr>
              <w:rPr>
                <w:sz w:val="22"/>
                <w:szCs w:val="22"/>
                <w:lang w:val="en-GB"/>
              </w:rPr>
            </w:pPr>
            <w:r w:rsidRPr="008D2EA0">
              <w:rPr>
                <w:lang w:val="en-GB"/>
              </w:rPr>
              <w:t>Potential for CEPT harmoni</w:t>
            </w:r>
            <w:r w:rsidR="0096096C" w:rsidRPr="008D2EA0">
              <w:rPr>
                <w:lang w:val="en-GB"/>
              </w:rPr>
              <w:t>s</w:t>
            </w:r>
            <w:r w:rsidRPr="008D2EA0">
              <w:rPr>
                <w:lang w:val="en-GB"/>
              </w:rPr>
              <w:t>ation</w:t>
            </w:r>
          </w:p>
        </w:tc>
        <w:tc>
          <w:tcPr>
            <w:tcW w:w="6916" w:type="dxa"/>
          </w:tcPr>
          <w:p w:rsidR="000D55A2" w:rsidRPr="008D2EA0" w:rsidRDefault="000D55A2" w:rsidP="000D55A2">
            <w:pPr>
              <w:rPr>
                <w:sz w:val="22"/>
                <w:szCs w:val="22"/>
                <w:lang w:val="en-GB"/>
              </w:rPr>
            </w:pPr>
            <w:r w:rsidRPr="008D2EA0">
              <w:rPr>
                <w:lang w:val="en-GB"/>
              </w:rPr>
              <w:t>Medium</w:t>
            </w:r>
          </w:p>
          <w:p w:rsidR="000D55A2" w:rsidRPr="008D2EA0" w:rsidRDefault="000D55A2" w:rsidP="000D55A2">
            <w:pPr>
              <w:rPr>
                <w:lang w:val="en-GB"/>
              </w:rPr>
            </w:pPr>
            <w:r w:rsidRPr="008D2EA0">
              <w:rPr>
                <w:lang w:val="en-GB"/>
              </w:rPr>
              <w:t>Two countries have deployed this application although the possibility for CEPT wide harmonization already exists (another country is in the process of granting a subscription radio license).</w:t>
            </w:r>
          </w:p>
          <w:p w:rsidR="000D55A2" w:rsidRPr="008D2EA0" w:rsidRDefault="000D55A2" w:rsidP="000D55A2">
            <w:pPr>
              <w:rPr>
                <w:lang w:val="en-GB"/>
              </w:rPr>
            </w:pPr>
            <w:r w:rsidRPr="008D2EA0">
              <w:rPr>
                <w:lang w:val="en-GB"/>
              </w:rPr>
              <w:t>The existence of between one to three national coverage</w:t>
            </w:r>
            <w:r w:rsidR="0096096C" w:rsidRPr="008D2EA0">
              <w:rPr>
                <w:lang w:val="en-GB"/>
              </w:rPr>
              <w:t>(s)</w:t>
            </w:r>
            <w:r w:rsidRPr="008D2EA0">
              <w:rPr>
                <w:lang w:val="en-GB"/>
              </w:rPr>
              <w:t xml:space="preserve"> per country in the MA02revCO07 Plan warrants an option for a country to deploy terrestrial digital radio according to individual needs, if and when required, thereby providing scope for harmoni</w:t>
            </w:r>
            <w:r w:rsidR="0096096C" w:rsidRPr="008D2EA0">
              <w:rPr>
                <w:lang w:val="en-GB"/>
              </w:rPr>
              <w:t>s</w:t>
            </w:r>
            <w:r w:rsidRPr="008D2EA0">
              <w:rPr>
                <w:lang w:val="en-GB"/>
              </w:rPr>
              <w:t>ation in CEPT.</w:t>
            </w:r>
          </w:p>
          <w:p w:rsidR="0096096C" w:rsidRPr="008D2EA0" w:rsidRDefault="0096096C" w:rsidP="000D55A2">
            <w:pPr>
              <w:rPr>
                <w:sz w:val="22"/>
                <w:szCs w:val="22"/>
                <w:lang w:val="en-GB"/>
              </w:rPr>
            </w:pPr>
          </w:p>
        </w:tc>
      </w:tr>
      <w:tr w:rsidR="000D55A2" w:rsidRPr="008D2EA0" w:rsidTr="000D55A2">
        <w:tc>
          <w:tcPr>
            <w:tcW w:w="2268" w:type="dxa"/>
          </w:tcPr>
          <w:p w:rsidR="000D55A2" w:rsidRPr="008D2EA0" w:rsidRDefault="000D55A2" w:rsidP="000D55A2">
            <w:pPr>
              <w:rPr>
                <w:sz w:val="22"/>
                <w:szCs w:val="22"/>
                <w:lang w:val="en-GB"/>
              </w:rPr>
            </w:pPr>
            <w:r w:rsidRPr="008D2EA0">
              <w:rPr>
                <w:lang w:val="en-GB"/>
              </w:rPr>
              <w:t>Potential for take up outside CEPT</w:t>
            </w:r>
          </w:p>
        </w:tc>
        <w:tc>
          <w:tcPr>
            <w:tcW w:w="6916" w:type="dxa"/>
          </w:tcPr>
          <w:p w:rsidR="000D55A2" w:rsidRPr="008D2EA0" w:rsidRDefault="000D55A2" w:rsidP="000D55A2">
            <w:pPr>
              <w:rPr>
                <w:sz w:val="22"/>
                <w:szCs w:val="22"/>
                <w:lang w:val="en-GB"/>
              </w:rPr>
            </w:pPr>
            <w:r w:rsidRPr="008D2EA0">
              <w:rPr>
                <w:lang w:val="en-GB"/>
              </w:rPr>
              <w:t>Low</w:t>
            </w:r>
          </w:p>
          <w:p w:rsidR="000D55A2" w:rsidRPr="008D2EA0" w:rsidRDefault="000D55A2" w:rsidP="000D55A2">
            <w:pPr>
              <w:rPr>
                <w:lang w:val="en-GB"/>
              </w:rPr>
            </w:pPr>
            <w:r w:rsidRPr="008D2EA0">
              <w:rPr>
                <w:rFonts w:cs="Arial"/>
                <w:szCs w:val="20"/>
                <w:lang w:val="en-GB"/>
              </w:rPr>
              <w:t xml:space="preserve">The </w:t>
            </w:r>
            <w:r w:rsidR="00BA359F">
              <w:rPr>
                <w:rFonts w:cs="Arial"/>
                <w:szCs w:val="20"/>
                <w:lang w:val="en-GB"/>
              </w:rPr>
              <w:t>L-</w:t>
            </w:r>
            <w:r w:rsidRPr="008D2EA0">
              <w:rPr>
                <w:rFonts w:cs="Arial"/>
                <w:szCs w:val="20"/>
                <w:lang w:val="en-GB"/>
              </w:rPr>
              <w:t xml:space="preserve">band has been allocated to DAB services in numerous countries outside Europe and, as in Europe, DAB services have not been implemented in this band. </w:t>
            </w:r>
          </w:p>
          <w:p w:rsidR="000D55A2" w:rsidRPr="008D2EA0" w:rsidRDefault="000D55A2" w:rsidP="00770411">
            <w:pPr>
              <w:rPr>
                <w:lang w:val="en-GB"/>
              </w:rPr>
            </w:pPr>
            <w:r w:rsidRPr="008D2EA0">
              <w:rPr>
                <w:lang w:val="en-GB"/>
              </w:rPr>
              <w:t>Many countries (see section</w:t>
            </w:r>
            <w:r w:rsidR="00770411" w:rsidRPr="008D2EA0">
              <w:rPr>
                <w:lang w:val="en-GB"/>
              </w:rPr>
              <w:t xml:space="preserve"> </w:t>
            </w:r>
            <w:r w:rsidR="00770411" w:rsidRPr="008D2EA0">
              <w:rPr>
                <w:lang w:val="en-GB"/>
              </w:rPr>
              <w:fldChar w:fldCharType="begin"/>
            </w:r>
            <w:r w:rsidR="00770411" w:rsidRPr="008D2EA0">
              <w:rPr>
                <w:lang w:val="en-GB"/>
              </w:rPr>
              <w:instrText xml:space="preserve"> REF _Ref330514714 \r \h </w:instrText>
            </w:r>
            <w:r w:rsidR="005B4DA4" w:rsidRPr="008D2EA0">
              <w:rPr>
                <w:lang w:val="en-GB"/>
              </w:rPr>
              <w:instrText xml:space="preserve"> \* MERGEFORMAT </w:instrText>
            </w:r>
            <w:r w:rsidR="00770411" w:rsidRPr="008D2EA0">
              <w:rPr>
                <w:lang w:val="en-GB"/>
              </w:rPr>
            </w:r>
            <w:r w:rsidR="00770411" w:rsidRPr="008D2EA0">
              <w:rPr>
                <w:lang w:val="en-GB"/>
              </w:rPr>
              <w:fldChar w:fldCharType="separate"/>
            </w:r>
            <w:r w:rsidR="00E73FF2">
              <w:rPr>
                <w:lang w:val="en-GB"/>
              </w:rPr>
              <w:t>2</w:t>
            </w:r>
            <w:r w:rsidR="00770411" w:rsidRPr="008D2EA0">
              <w:rPr>
                <w:lang w:val="en-GB"/>
              </w:rPr>
              <w:fldChar w:fldCharType="end"/>
            </w:r>
            <w:r w:rsidRPr="008D2EA0">
              <w:rPr>
                <w:lang w:val="en-GB"/>
              </w:rPr>
              <w:t>), are reconsidering the use of the L-band, which was originally set aside for terrestrial radio broadcasting.</w:t>
            </w:r>
          </w:p>
          <w:p w:rsidR="0096096C" w:rsidRPr="008D2EA0" w:rsidRDefault="0096096C" w:rsidP="00770411">
            <w:pPr>
              <w:rPr>
                <w:sz w:val="22"/>
                <w:szCs w:val="22"/>
                <w:lang w:val="en-GB"/>
              </w:rPr>
            </w:pPr>
          </w:p>
        </w:tc>
      </w:tr>
    </w:tbl>
    <w:p w:rsidR="000D55A2" w:rsidRPr="008D2EA0" w:rsidRDefault="000D55A2" w:rsidP="000D55A2">
      <w:pPr>
        <w:pStyle w:val="ECCParagraph"/>
      </w:pPr>
    </w:p>
    <w:p w:rsidR="000D55A2" w:rsidRPr="008D2EA0" w:rsidRDefault="000D55A2" w:rsidP="00510087">
      <w:pPr>
        <w:pStyle w:val="Heading3"/>
      </w:pPr>
      <w:bookmarkStart w:id="126" w:name="_Toc349039289"/>
      <w:r w:rsidRPr="008D2EA0">
        <w:t>Mobile broadband</w:t>
      </w:r>
      <w:bookmarkEnd w:id="126"/>
    </w:p>
    <w:p w:rsidR="00D40519" w:rsidRPr="008D2EA0" w:rsidRDefault="00D40519" w:rsidP="00F21C76">
      <w:pPr>
        <w:pStyle w:val="ECCTabletitle"/>
      </w:pPr>
      <w:r w:rsidRPr="008D2EA0">
        <w:t>Criterion 5 – Mobile broadband</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0"/>
        <w:gridCol w:w="6664"/>
      </w:tblGrid>
      <w:tr w:rsidR="000D55A2" w:rsidRPr="008D2EA0" w:rsidTr="000D55A2">
        <w:trPr>
          <w:tblHeader/>
        </w:trPr>
        <w:tc>
          <w:tcPr>
            <w:tcW w:w="2268" w:type="dxa"/>
            <w:tcBorders>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r w:rsidRPr="008D2EA0">
              <w:rPr>
                <w:b/>
                <w:color w:val="FFFFFF"/>
                <w:lang w:val="en-GB"/>
              </w:rPr>
              <w:t xml:space="preserve"> </w:t>
            </w:r>
          </w:p>
        </w:tc>
        <w:tc>
          <w:tcPr>
            <w:tcW w:w="6916" w:type="dxa"/>
            <w:tcBorders>
              <w:left w:val="single" w:sz="8" w:space="0" w:color="FFFFFF"/>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r w:rsidRPr="008D2EA0">
              <w:rPr>
                <w:b/>
                <w:color w:val="FFFFFF"/>
                <w:lang w:val="en-GB"/>
              </w:rPr>
              <w:t>Mobile broadband</w:t>
            </w:r>
          </w:p>
        </w:tc>
      </w:tr>
      <w:tr w:rsidR="000D55A2" w:rsidRPr="008D2EA0" w:rsidTr="000D55A2">
        <w:tc>
          <w:tcPr>
            <w:tcW w:w="2268" w:type="dxa"/>
          </w:tcPr>
          <w:p w:rsidR="000D55A2" w:rsidRPr="008D2EA0" w:rsidRDefault="000D55A2" w:rsidP="000D55A2">
            <w:pPr>
              <w:rPr>
                <w:sz w:val="22"/>
                <w:szCs w:val="22"/>
                <w:lang w:val="en-GB"/>
              </w:rPr>
            </w:pPr>
            <w:r w:rsidRPr="008D2EA0">
              <w:rPr>
                <w:lang w:val="en-GB"/>
              </w:rPr>
              <w:t>Need for CEPT harmoni</w:t>
            </w:r>
            <w:r w:rsidR="0096096C" w:rsidRPr="008D2EA0">
              <w:rPr>
                <w:lang w:val="en-GB"/>
              </w:rPr>
              <w:t>s</w:t>
            </w:r>
            <w:r w:rsidRPr="008D2EA0">
              <w:rPr>
                <w:lang w:val="en-GB"/>
              </w:rPr>
              <w:t>ation</w:t>
            </w:r>
          </w:p>
        </w:tc>
        <w:tc>
          <w:tcPr>
            <w:tcW w:w="6916" w:type="dxa"/>
          </w:tcPr>
          <w:p w:rsidR="000D55A2" w:rsidRPr="008D2EA0" w:rsidRDefault="000D55A2" w:rsidP="000D55A2">
            <w:pPr>
              <w:rPr>
                <w:lang w:val="en-GB"/>
              </w:rPr>
            </w:pPr>
            <w:r w:rsidRPr="008D2EA0">
              <w:rPr>
                <w:lang w:val="en-GB"/>
              </w:rPr>
              <w:t>Yes</w:t>
            </w:r>
          </w:p>
          <w:p w:rsidR="000D55A2" w:rsidRPr="008D2EA0" w:rsidRDefault="000D55A2" w:rsidP="000D55A2">
            <w:pPr>
              <w:rPr>
                <w:rFonts w:cs="Arial"/>
                <w:szCs w:val="20"/>
                <w:lang w:val="en-GB"/>
              </w:rPr>
            </w:pPr>
            <w:r w:rsidRPr="008D2EA0">
              <w:rPr>
                <w:rFonts w:cs="Arial"/>
                <w:szCs w:val="20"/>
                <w:lang w:val="en-GB"/>
              </w:rPr>
              <w:t xml:space="preserve">It is important to harmonise a band plan with associated least restrictive technical conditions based on blocks of 5 MHz in order to enable the deployment and development of Mobile Broadband for CEPT. For the </w:t>
            </w:r>
            <w:r w:rsidRPr="008D2EA0">
              <w:rPr>
                <w:rFonts w:cs="Arial"/>
                <w:szCs w:val="20"/>
                <w:lang w:val="en-GB"/>
              </w:rPr>
              <w:lastRenderedPageBreak/>
              <w:t>success of Mobile Broadband, it is important that these harmonised technical conditions would be adopted in large geographic area/population in Europe so that economies of scale in consumer devices and infrastructure equipment production can be realised.</w:t>
            </w:r>
          </w:p>
          <w:p w:rsidR="0096096C" w:rsidRPr="008D2EA0" w:rsidRDefault="0096096C" w:rsidP="000D55A2">
            <w:pPr>
              <w:rPr>
                <w:sz w:val="22"/>
                <w:szCs w:val="22"/>
                <w:lang w:val="en-GB"/>
              </w:rPr>
            </w:pPr>
          </w:p>
        </w:tc>
      </w:tr>
      <w:tr w:rsidR="000D55A2" w:rsidRPr="008D2EA0" w:rsidTr="000D55A2">
        <w:tc>
          <w:tcPr>
            <w:tcW w:w="2268" w:type="dxa"/>
          </w:tcPr>
          <w:p w:rsidR="000D55A2" w:rsidRPr="008D2EA0" w:rsidRDefault="000D55A2" w:rsidP="000D55A2">
            <w:pPr>
              <w:rPr>
                <w:sz w:val="22"/>
                <w:szCs w:val="22"/>
                <w:lang w:val="en-GB"/>
              </w:rPr>
            </w:pPr>
            <w:r w:rsidRPr="008D2EA0">
              <w:rPr>
                <w:lang w:val="en-GB"/>
              </w:rPr>
              <w:lastRenderedPageBreak/>
              <w:t>Potential for CEPT harmoni</w:t>
            </w:r>
            <w:r w:rsidR="0096096C" w:rsidRPr="008D2EA0">
              <w:rPr>
                <w:lang w:val="en-GB"/>
              </w:rPr>
              <w:t>s</w:t>
            </w:r>
            <w:r w:rsidRPr="008D2EA0">
              <w:rPr>
                <w:lang w:val="en-GB"/>
              </w:rPr>
              <w:t>ation</w:t>
            </w:r>
          </w:p>
        </w:tc>
        <w:tc>
          <w:tcPr>
            <w:tcW w:w="6916" w:type="dxa"/>
          </w:tcPr>
          <w:p w:rsidR="000D55A2" w:rsidRPr="008D2EA0" w:rsidRDefault="000D55A2" w:rsidP="000D55A2">
            <w:pPr>
              <w:rPr>
                <w:sz w:val="22"/>
                <w:szCs w:val="22"/>
                <w:lang w:val="en-GB"/>
              </w:rPr>
            </w:pPr>
            <w:r w:rsidRPr="008D2EA0">
              <w:rPr>
                <w:lang w:val="en-GB"/>
              </w:rPr>
              <w:t>Medium</w:t>
            </w:r>
          </w:p>
          <w:p w:rsidR="000D55A2" w:rsidRPr="008D2EA0" w:rsidRDefault="000D55A2" w:rsidP="000D55A2">
            <w:pPr>
              <w:rPr>
                <w:rFonts w:cs="Calibri"/>
                <w:lang w:val="en-GB"/>
              </w:rPr>
            </w:pPr>
            <w:r w:rsidRPr="008D2EA0">
              <w:rPr>
                <w:lang w:val="en-GB"/>
              </w:rPr>
              <w:t>T</w:t>
            </w:r>
            <w:r w:rsidRPr="008D2EA0">
              <w:rPr>
                <w:rFonts w:cs="Calibri"/>
                <w:lang w:val="en-GB"/>
              </w:rPr>
              <w:t>he significant and growing market demand for Mobile Broadband lead to a strong potential for Mobile Broadband harmoni</w:t>
            </w:r>
            <w:r w:rsidR="0096096C" w:rsidRPr="008D2EA0">
              <w:rPr>
                <w:rFonts w:cs="Calibri"/>
                <w:lang w:val="en-GB"/>
              </w:rPr>
              <w:t>s</w:t>
            </w:r>
            <w:r w:rsidRPr="008D2EA0">
              <w:rPr>
                <w:rFonts w:cs="Calibri"/>
                <w:lang w:val="en-GB"/>
              </w:rPr>
              <w:t>ation and economies of scale to be realized in CEPT</w:t>
            </w:r>
          </w:p>
          <w:p w:rsidR="0096096C" w:rsidRPr="008D2EA0" w:rsidRDefault="0096096C" w:rsidP="000D55A2">
            <w:pPr>
              <w:rPr>
                <w:sz w:val="22"/>
                <w:szCs w:val="22"/>
                <w:lang w:val="en-GB"/>
              </w:rPr>
            </w:pPr>
          </w:p>
        </w:tc>
      </w:tr>
      <w:tr w:rsidR="000D55A2" w:rsidRPr="008D2EA0" w:rsidTr="000D55A2">
        <w:tc>
          <w:tcPr>
            <w:tcW w:w="2268" w:type="dxa"/>
          </w:tcPr>
          <w:p w:rsidR="000D55A2" w:rsidRPr="008D2EA0" w:rsidRDefault="000D55A2" w:rsidP="000D55A2">
            <w:pPr>
              <w:rPr>
                <w:sz w:val="22"/>
                <w:szCs w:val="22"/>
                <w:lang w:val="en-GB"/>
              </w:rPr>
            </w:pPr>
            <w:r w:rsidRPr="008D2EA0">
              <w:rPr>
                <w:lang w:val="en-GB"/>
              </w:rPr>
              <w:t>Potential for take up outside CEPT</w:t>
            </w:r>
          </w:p>
        </w:tc>
        <w:tc>
          <w:tcPr>
            <w:tcW w:w="6916" w:type="dxa"/>
          </w:tcPr>
          <w:p w:rsidR="000D55A2" w:rsidRPr="008D2EA0" w:rsidRDefault="000D55A2" w:rsidP="000D55A2">
            <w:pPr>
              <w:rPr>
                <w:rFonts w:cs="Arial"/>
                <w:sz w:val="22"/>
                <w:szCs w:val="20"/>
                <w:lang w:val="en-GB"/>
              </w:rPr>
            </w:pPr>
            <w:r w:rsidRPr="008D2EA0">
              <w:rPr>
                <w:rFonts w:cs="Arial"/>
                <w:szCs w:val="20"/>
                <w:lang w:val="en-GB"/>
              </w:rPr>
              <w:t>High</w:t>
            </w:r>
          </w:p>
          <w:p w:rsidR="0096096C" w:rsidRPr="008D2EA0" w:rsidRDefault="000D55A2" w:rsidP="001E74AC">
            <w:pPr>
              <w:rPr>
                <w:sz w:val="22"/>
                <w:szCs w:val="22"/>
                <w:lang w:val="en-GB"/>
              </w:rPr>
            </w:pPr>
            <w:r w:rsidRPr="008D2EA0">
              <w:rPr>
                <w:rFonts w:cs="Arial"/>
                <w:szCs w:val="20"/>
                <w:lang w:val="en-GB"/>
              </w:rPr>
              <w:t xml:space="preserve">Taking into account that mobile data services in general are a high priority of administrations worldwide, as demonstrated by the numerous ‘national broadband plans’, some countries globally are currently considering the future use of the 1452-1492 MHz band for mobile broadband to </w:t>
            </w:r>
            <w:r w:rsidR="00995D9E" w:rsidRPr="008D2EA0">
              <w:rPr>
                <w:rFonts w:cs="Arial"/>
                <w:szCs w:val="20"/>
                <w:lang w:val="en-GB"/>
              </w:rPr>
              <w:t>fulfil</w:t>
            </w:r>
            <w:r w:rsidRPr="008D2EA0">
              <w:rPr>
                <w:rFonts w:cs="Arial"/>
                <w:szCs w:val="20"/>
                <w:lang w:val="en-GB"/>
              </w:rPr>
              <w:t xml:space="preserve"> their broadband objectives and looking at Europe current activity.  Hence if a European allocation for Mobile Broadband is adopted, there is the potential for this allocation to be taken up in these other countries.</w:t>
            </w:r>
          </w:p>
        </w:tc>
      </w:tr>
    </w:tbl>
    <w:p w:rsidR="000D55A2" w:rsidRPr="008D2EA0" w:rsidRDefault="000D55A2" w:rsidP="000D55A2">
      <w:pPr>
        <w:pStyle w:val="ECCParagraph"/>
      </w:pPr>
    </w:p>
    <w:p w:rsidR="000D55A2" w:rsidRPr="008D2EA0" w:rsidRDefault="000D55A2" w:rsidP="00510087">
      <w:pPr>
        <w:pStyle w:val="Heading3"/>
      </w:pPr>
      <w:bookmarkStart w:id="127" w:name="_Toc349039290"/>
      <w:r w:rsidRPr="008D2EA0">
        <w:t>Mobile-SDL</w:t>
      </w:r>
      <w:bookmarkEnd w:id="127"/>
    </w:p>
    <w:p w:rsidR="00D40519" w:rsidRPr="008D2EA0" w:rsidRDefault="00D40519" w:rsidP="00F21C76">
      <w:pPr>
        <w:pStyle w:val="ECCTabletitle"/>
      </w:pPr>
      <w:r w:rsidRPr="008D2EA0">
        <w:t>Criterion 5 – Mobile SDL</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0"/>
        <w:gridCol w:w="6664"/>
      </w:tblGrid>
      <w:tr w:rsidR="000D55A2" w:rsidRPr="008D2EA0" w:rsidTr="000D55A2">
        <w:trPr>
          <w:tblHeader/>
        </w:trPr>
        <w:tc>
          <w:tcPr>
            <w:tcW w:w="2268" w:type="dxa"/>
            <w:tcBorders>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r w:rsidRPr="008D2EA0">
              <w:rPr>
                <w:b/>
                <w:color w:val="FFFFFF"/>
                <w:lang w:val="en-GB"/>
              </w:rPr>
              <w:t xml:space="preserve"> </w:t>
            </w:r>
          </w:p>
        </w:tc>
        <w:tc>
          <w:tcPr>
            <w:tcW w:w="6916" w:type="dxa"/>
            <w:tcBorders>
              <w:left w:val="single" w:sz="8" w:space="0" w:color="FFFFFF"/>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r w:rsidRPr="008D2EA0">
              <w:rPr>
                <w:b/>
                <w:color w:val="FFFFFF"/>
                <w:lang w:val="en-GB"/>
              </w:rPr>
              <w:t>Mobile SDL</w:t>
            </w:r>
          </w:p>
        </w:tc>
      </w:tr>
      <w:tr w:rsidR="000D55A2" w:rsidRPr="008D2EA0" w:rsidTr="000D55A2">
        <w:tc>
          <w:tcPr>
            <w:tcW w:w="2268" w:type="dxa"/>
          </w:tcPr>
          <w:p w:rsidR="000D55A2" w:rsidRPr="008D2EA0" w:rsidRDefault="000D55A2" w:rsidP="0096096C">
            <w:pPr>
              <w:rPr>
                <w:sz w:val="22"/>
                <w:szCs w:val="22"/>
                <w:lang w:val="en-GB"/>
              </w:rPr>
            </w:pPr>
            <w:r w:rsidRPr="008D2EA0">
              <w:rPr>
                <w:lang w:val="en-GB"/>
              </w:rPr>
              <w:t>Need for CEPT harmoni</w:t>
            </w:r>
            <w:r w:rsidR="0096096C" w:rsidRPr="008D2EA0">
              <w:rPr>
                <w:lang w:val="en-GB"/>
              </w:rPr>
              <w:t>s</w:t>
            </w:r>
            <w:r w:rsidRPr="008D2EA0">
              <w:rPr>
                <w:lang w:val="en-GB"/>
              </w:rPr>
              <w:t>ation</w:t>
            </w:r>
          </w:p>
        </w:tc>
        <w:tc>
          <w:tcPr>
            <w:tcW w:w="6916" w:type="dxa"/>
          </w:tcPr>
          <w:p w:rsidR="005A734E" w:rsidRPr="008D2EA0" w:rsidRDefault="000D55A2" w:rsidP="000D55A2">
            <w:pPr>
              <w:rPr>
                <w:lang w:val="en-GB"/>
              </w:rPr>
            </w:pPr>
            <w:r w:rsidRPr="008D2EA0">
              <w:rPr>
                <w:lang w:val="en-GB"/>
              </w:rPr>
              <w:t>Yes</w:t>
            </w:r>
          </w:p>
          <w:p w:rsidR="000D55A2" w:rsidRPr="008D2EA0" w:rsidRDefault="000D55A2" w:rsidP="000D55A2">
            <w:pPr>
              <w:rPr>
                <w:rFonts w:cs="Arial"/>
                <w:szCs w:val="20"/>
                <w:lang w:val="en-GB"/>
              </w:rPr>
            </w:pPr>
            <w:r w:rsidRPr="008D2EA0">
              <w:rPr>
                <w:rFonts w:cs="Arial"/>
                <w:szCs w:val="20"/>
                <w:lang w:val="en-GB"/>
              </w:rPr>
              <w:t>It is important to harmonise a band plan with associated least restrictive technical conditions based on blocks of 5 MHz (i.e. 8 blocks of 5 MHz) for downlink use i.e. base station transmission towards mobile in order to enable the deployment and development of Mobile SDL for CEPT. For the success of Mobile SDL, it is important that these harmonised technical conditions would be adopted in large geographic area/population in Europe so that economies of scale in consumer devices and infrastructure equipment production can be realised.</w:t>
            </w:r>
          </w:p>
          <w:p w:rsidR="0096096C" w:rsidRPr="008D2EA0" w:rsidRDefault="0096096C" w:rsidP="000D55A2">
            <w:pPr>
              <w:rPr>
                <w:sz w:val="22"/>
                <w:szCs w:val="22"/>
                <w:lang w:val="en-GB"/>
              </w:rPr>
            </w:pPr>
          </w:p>
        </w:tc>
      </w:tr>
      <w:tr w:rsidR="000D55A2" w:rsidRPr="008D2EA0" w:rsidTr="000D55A2">
        <w:tc>
          <w:tcPr>
            <w:tcW w:w="2268" w:type="dxa"/>
          </w:tcPr>
          <w:p w:rsidR="000D55A2" w:rsidRPr="008D2EA0" w:rsidRDefault="000D55A2" w:rsidP="000D55A2">
            <w:pPr>
              <w:rPr>
                <w:sz w:val="22"/>
                <w:szCs w:val="22"/>
                <w:lang w:val="en-GB"/>
              </w:rPr>
            </w:pPr>
            <w:r w:rsidRPr="008D2EA0">
              <w:rPr>
                <w:lang w:val="en-GB"/>
              </w:rPr>
              <w:t>Potential for CEPT harmoni</w:t>
            </w:r>
            <w:r w:rsidR="0096096C" w:rsidRPr="008D2EA0">
              <w:rPr>
                <w:lang w:val="en-GB"/>
              </w:rPr>
              <w:t>s</w:t>
            </w:r>
            <w:r w:rsidRPr="008D2EA0">
              <w:rPr>
                <w:lang w:val="en-GB"/>
              </w:rPr>
              <w:t>ation</w:t>
            </w:r>
          </w:p>
        </w:tc>
        <w:tc>
          <w:tcPr>
            <w:tcW w:w="6916" w:type="dxa"/>
          </w:tcPr>
          <w:p w:rsidR="000D55A2" w:rsidRPr="008D2EA0" w:rsidRDefault="000D55A2" w:rsidP="000D55A2">
            <w:pPr>
              <w:rPr>
                <w:lang w:val="en-GB"/>
              </w:rPr>
            </w:pPr>
            <w:r w:rsidRPr="008D2EA0">
              <w:rPr>
                <w:lang w:val="en-GB"/>
              </w:rPr>
              <w:t>High</w:t>
            </w:r>
          </w:p>
          <w:p w:rsidR="005A734E" w:rsidRPr="008D2EA0" w:rsidRDefault="000D55A2" w:rsidP="000D55A2">
            <w:pPr>
              <w:rPr>
                <w:rFonts w:cs="Calibri"/>
                <w:lang w:val="en-GB"/>
              </w:rPr>
            </w:pPr>
            <w:r w:rsidRPr="008D2EA0">
              <w:rPr>
                <w:lang w:val="en-GB"/>
              </w:rPr>
              <w:t>T</w:t>
            </w:r>
            <w:r w:rsidRPr="008D2EA0">
              <w:rPr>
                <w:rFonts w:cs="Calibri"/>
                <w:lang w:val="en-GB"/>
              </w:rPr>
              <w:t>he significant and growing market demand for mobile Broadband coupled with the highly asymmetric nature of the mobile traffic lead to a strong potential for Mobile SDL harmoni</w:t>
            </w:r>
            <w:r w:rsidR="0096096C" w:rsidRPr="008D2EA0">
              <w:rPr>
                <w:rFonts w:cs="Calibri"/>
                <w:lang w:val="en-GB"/>
              </w:rPr>
              <w:t>s</w:t>
            </w:r>
            <w:r w:rsidRPr="008D2EA0">
              <w:rPr>
                <w:rFonts w:cs="Calibri"/>
                <w:lang w:val="en-GB"/>
              </w:rPr>
              <w:t>ation and economies of scale to be reali</w:t>
            </w:r>
            <w:r w:rsidR="0096096C" w:rsidRPr="008D2EA0">
              <w:rPr>
                <w:rFonts w:cs="Calibri"/>
                <w:lang w:val="en-GB"/>
              </w:rPr>
              <w:t>s</w:t>
            </w:r>
            <w:r w:rsidRPr="008D2EA0">
              <w:rPr>
                <w:rFonts w:cs="Calibri"/>
                <w:lang w:val="en-GB"/>
              </w:rPr>
              <w:t>ed in CEPT</w:t>
            </w:r>
          </w:p>
          <w:p w:rsidR="0096096C" w:rsidRPr="008D2EA0" w:rsidRDefault="0096096C" w:rsidP="000D55A2">
            <w:pPr>
              <w:rPr>
                <w:sz w:val="22"/>
                <w:szCs w:val="22"/>
                <w:lang w:val="en-GB"/>
              </w:rPr>
            </w:pPr>
          </w:p>
        </w:tc>
      </w:tr>
      <w:tr w:rsidR="000D55A2" w:rsidRPr="008D2EA0" w:rsidTr="000D55A2">
        <w:tc>
          <w:tcPr>
            <w:tcW w:w="2268" w:type="dxa"/>
          </w:tcPr>
          <w:p w:rsidR="000D55A2" w:rsidRPr="008D2EA0" w:rsidRDefault="000D55A2" w:rsidP="000D55A2">
            <w:pPr>
              <w:rPr>
                <w:sz w:val="22"/>
                <w:szCs w:val="22"/>
                <w:lang w:val="en-GB"/>
              </w:rPr>
            </w:pPr>
            <w:r w:rsidRPr="008D2EA0">
              <w:rPr>
                <w:lang w:val="en-GB"/>
              </w:rPr>
              <w:t>Potential for take up outside CEPT</w:t>
            </w:r>
          </w:p>
        </w:tc>
        <w:tc>
          <w:tcPr>
            <w:tcW w:w="6916" w:type="dxa"/>
          </w:tcPr>
          <w:p w:rsidR="000D55A2" w:rsidRPr="008D2EA0" w:rsidRDefault="000D55A2" w:rsidP="000D55A2">
            <w:pPr>
              <w:rPr>
                <w:lang w:val="en-GB"/>
              </w:rPr>
            </w:pPr>
            <w:r w:rsidRPr="008D2EA0">
              <w:rPr>
                <w:lang w:val="en-GB"/>
              </w:rPr>
              <w:t>High</w:t>
            </w:r>
          </w:p>
          <w:p w:rsidR="000D55A2" w:rsidRPr="008D2EA0" w:rsidRDefault="000D55A2" w:rsidP="000D55A2">
            <w:pPr>
              <w:rPr>
                <w:rFonts w:cs="Arial"/>
                <w:szCs w:val="20"/>
                <w:lang w:val="en-GB"/>
              </w:rPr>
            </w:pPr>
            <w:r w:rsidRPr="008D2EA0">
              <w:rPr>
                <w:rFonts w:cs="Arial"/>
                <w:szCs w:val="20"/>
                <w:lang w:val="en-GB"/>
              </w:rPr>
              <w:t xml:space="preserve">Taking into account that mobile data services in general are a high priority of administrations worldwide, as demonstrated by the numerous ‘national broadband plans’, some countries globally are currently considering the future use of the 1452-1492 MHz band for mobile broadband to </w:t>
            </w:r>
            <w:r w:rsidR="00B64140" w:rsidRPr="008D2EA0">
              <w:rPr>
                <w:rFonts w:cs="Arial"/>
                <w:szCs w:val="20"/>
                <w:lang w:val="en-GB"/>
              </w:rPr>
              <w:t>fulfil</w:t>
            </w:r>
            <w:r w:rsidRPr="008D2EA0">
              <w:rPr>
                <w:rFonts w:cs="Arial"/>
                <w:szCs w:val="20"/>
                <w:lang w:val="en-GB"/>
              </w:rPr>
              <w:t xml:space="preserve"> their broadband objectives and looking at Europe current acti</w:t>
            </w:r>
            <w:r w:rsidR="00B64140" w:rsidRPr="008D2EA0">
              <w:rPr>
                <w:rFonts w:cs="Arial"/>
                <w:szCs w:val="20"/>
                <w:lang w:val="en-GB"/>
              </w:rPr>
              <w:t xml:space="preserve">vity. </w:t>
            </w:r>
            <w:r w:rsidRPr="008D2EA0">
              <w:rPr>
                <w:rFonts w:cs="Arial"/>
                <w:szCs w:val="20"/>
                <w:lang w:val="en-GB"/>
              </w:rPr>
              <w:t>Hence if a European allocation for Mobile SDL is adopted, there is the potential for this allocation to be taken up in these other countries.</w:t>
            </w:r>
          </w:p>
          <w:p w:rsidR="0096096C" w:rsidRPr="008D2EA0" w:rsidRDefault="0096096C" w:rsidP="000D55A2">
            <w:pPr>
              <w:rPr>
                <w:sz w:val="22"/>
                <w:szCs w:val="22"/>
                <w:lang w:val="en-GB"/>
              </w:rPr>
            </w:pPr>
          </w:p>
        </w:tc>
      </w:tr>
    </w:tbl>
    <w:p w:rsidR="000D55A2" w:rsidRPr="008D2EA0" w:rsidRDefault="000D55A2" w:rsidP="000D55A2">
      <w:pPr>
        <w:pStyle w:val="ECCParagraph"/>
      </w:pPr>
    </w:p>
    <w:p w:rsidR="000D55A2" w:rsidRPr="008D2EA0" w:rsidRDefault="000D55A2" w:rsidP="00510087">
      <w:pPr>
        <w:pStyle w:val="Heading3"/>
      </w:pPr>
      <w:bookmarkStart w:id="128" w:name="_Toc349039291"/>
      <w:r w:rsidRPr="008D2EA0">
        <w:lastRenderedPageBreak/>
        <w:t>S-DAB</w:t>
      </w:r>
      <w:bookmarkEnd w:id="128"/>
    </w:p>
    <w:p w:rsidR="00D40519" w:rsidRPr="008D2EA0" w:rsidRDefault="00D40519" w:rsidP="00F21C76">
      <w:pPr>
        <w:pStyle w:val="ECCTabletitle"/>
      </w:pPr>
      <w:r w:rsidRPr="008D2EA0">
        <w:t>Criterion 5 – S-DAB</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1"/>
        <w:gridCol w:w="6663"/>
      </w:tblGrid>
      <w:tr w:rsidR="000D55A2" w:rsidRPr="008D2EA0" w:rsidTr="00D40519">
        <w:trPr>
          <w:tblHeader/>
        </w:trPr>
        <w:tc>
          <w:tcPr>
            <w:tcW w:w="2231" w:type="dxa"/>
            <w:tcBorders>
              <w:right w:val="single" w:sz="8" w:space="0" w:color="FFFFFF"/>
            </w:tcBorders>
            <w:shd w:val="clear" w:color="auto" w:fill="D2232A"/>
            <w:vAlign w:val="center"/>
          </w:tcPr>
          <w:p w:rsidR="000D55A2" w:rsidRPr="008D2EA0" w:rsidRDefault="000D55A2" w:rsidP="00F77275">
            <w:pPr>
              <w:keepNext/>
              <w:spacing w:line="288" w:lineRule="auto"/>
              <w:jc w:val="center"/>
              <w:rPr>
                <w:b/>
                <w:color w:val="FFFFFF"/>
                <w:lang w:val="en-GB"/>
              </w:rPr>
            </w:pPr>
          </w:p>
        </w:tc>
        <w:tc>
          <w:tcPr>
            <w:tcW w:w="6663" w:type="dxa"/>
            <w:tcBorders>
              <w:left w:val="single" w:sz="8" w:space="0" w:color="FFFFFF"/>
              <w:right w:val="single" w:sz="8" w:space="0" w:color="FFFFFF"/>
            </w:tcBorders>
            <w:shd w:val="clear" w:color="auto" w:fill="D2232A"/>
            <w:vAlign w:val="center"/>
          </w:tcPr>
          <w:p w:rsidR="000D55A2" w:rsidRPr="008D2EA0" w:rsidRDefault="000D55A2" w:rsidP="00F77275">
            <w:pPr>
              <w:keepNext/>
              <w:spacing w:line="288" w:lineRule="auto"/>
              <w:jc w:val="center"/>
              <w:rPr>
                <w:b/>
                <w:color w:val="FFFFFF"/>
                <w:lang w:val="en-GB"/>
              </w:rPr>
            </w:pPr>
            <w:r w:rsidRPr="008D2EA0">
              <w:rPr>
                <w:b/>
                <w:color w:val="FFFFFF"/>
                <w:lang w:val="en-GB"/>
              </w:rPr>
              <w:t>S-DAB</w:t>
            </w:r>
          </w:p>
        </w:tc>
      </w:tr>
      <w:tr w:rsidR="000D55A2" w:rsidRPr="008D2EA0" w:rsidTr="00D40519">
        <w:tc>
          <w:tcPr>
            <w:tcW w:w="2231" w:type="dxa"/>
          </w:tcPr>
          <w:p w:rsidR="000D55A2" w:rsidRPr="008D2EA0" w:rsidRDefault="000D55A2" w:rsidP="00F77275">
            <w:pPr>
              <w:keepNext/>
              <w:rPr>
                <w:sz w:val="22"/>
                <w:szCs w:val="22"/>
                <w:lang w:val="en-GB"/>
              </w:rPr>
            </w:pPr>
            <w:r w:rsidRPr="008D2EA0">
              <w:rPr>
                <w:lang w:val="en-GB"/>
              </w:rPr>
              <w:t>Need for CEPT harmoni</w:t>
            </w:r>
            <w:r w:rsidR="0018654D" w:rsidRPr="008D2EA0">
              <w:rPr>
                <w:lang w:val="en-GB"/>
              </w:rPr>
              <w:t>s</w:t>
            </w:r>
            <w:r w:rsidRPr="008D2EA0">
              <w:rPr>
                <w:lang w:val="en-GB"/>
              </w:rPr>
              <w:t>ation</w:t>
            </w:r>
          </w:p>
        </w:tc>
        <w:tc>
          <w:tcPr>
            <w:tcW w:w="6663" w:type="dxa"/>
          </w:tcPr>
          <w:p w:rsidR="000D55A2" w:rsidRPr="008D2EA0" w:rsidRDefault="000D55A2" w:rsidP="00F77275">
            <w:pPr>
              <w:keepNext/>
              <w:rPr>
                <w:lang w:val="en-GB"/>
              </w:rPr>
            </w:pPr>
            <w:r w:rsidRPr="008D2EA0">
              <w:rPr>
                <w:lang w:val="en-GB"/>
              </w:rPr>
              <w:t>Yes</w:t>
            </w:r>
          </w:p>
          <w:p w:rsidR="000D55A2" w:rsidRPr="008D2EA0" w:rsidRDefault="000D55A2" w:rsidP="00F77275">
            <w:pPr>
              <w:keepNext/>
              <w:rPr>
                <w:sz w:val="22"/>
                <w:szCs w:val="22"/>
                <w:lang w:val="en-GB"/>
              </w:rPr>
            </w:pPr>
          </w:p>
        </w:tc>
      </w:tr>
      <w:tr w:rsidR="000D55A2" w:rsidRPr="008D2EA0" w:rsidTr="00D40519">
        <w:tc>
          <w:tcPr>
            <w:tcW w:w="2231" w:type="dxa"/>
          </w:tcPr>
          <w:p w:rsidR="000D55A2" w:rsidRPr="008D2EA0" w:rsidRDefault="000D55A2" w:rsidP="0096096C">
            <w:pPr>
              <w:rPr>
                <w:sz w:val="22"/>
                <w:szCs w:val="22"/>
                <w:lang w:val="en-GB"/>
              </w:rPr>
            </w:pPr>
            <w:r w:rsidRPr="008D2EA0">
              <w:rPr>
                <w:lang w:val="en-GB"/>
              </w:rPr>
              <w:t>Potential for CEPT harmoni</w:t>
            </w:r>
            <w:r w:rsidR="0096096C" w:rsidRPr="008D2EA0">
              <w:rPr>
                <w:lang w:val="en-GB"/>
              </w:rPr>
              <w:t>s</w:t>
            </w:r>
            <w:r w:rsidRPr="008D2EA0">
              <w:rPr>
                <w:lang w:val="en-GB"/>
              </w:rPr>
              <w:t>ation</w:t>
            </w:r>
          </w:p>
        </w:tc>
        <w:tc>
          <w:tcPr>
            <w:tcW w:w="6663" w:type="dxa"/>
          </w:tcPr>
          <w:p w:rsidR="000D55A2" w:rsidRPr="008D2EA0" w:rsidRDefault="000D55A2" w:rsidP="000D55A2">
            <w:pPr>
              <w:rPr>
                <w:lang w:val="en-GB"/>
              </w:rPr>
            </w:pPr>
            <w:r w:rsidRPr="008D2EA0">
              <w:rPr>
                <w:lang w:val="en-GB"/>
              </w:rPr>
              <w:t>Low</w:t>
            </w:r>
          </w:p>
          <w:p w:rsidR="000D55A2" w:rsidRPr="008D2EA0" w:rsidRDefault="000D55A2" w:rsidP="000D55A2">
            <w:pPr>
              <w:rPr>
                <w:lang w:val="en-GB"/>
              </w:rPr>
            </w:pPr>
            <w:r w:rsidRPr="008D2EA0">
              <w:rPr>
                <w:lang w:val="en-GB"/>
              </w:rPr>
              <w:t>The band 1479.5-1492 MHz has been harmoni</w:t>
            </w:r>
            <w:r w:rsidR="0096096C" w:rsidRPr="008D2EA0">
              <w:rPr>
                <w:lang w:val="en-GB"/>
              </w:rPr>
              <w:t>s</w:t>
            </w:r>
            <w:r w:rsidRPr="008D2EA0">
              <w:rPr>
                <w:lang w:val="en-GB"/>
              </w:rPr>
              <w:t xml:space="preserve">ed in CEPT for the last 10 years (ECC DEC (03) 02) with no commercial services successfully emerging. </w:t>
            </w:r>
          </w:p>
          <w:p w:rsidR="000D55A2" w:rsidRPr="008D2EA0" w:rsidRDefault="000D55A2" w:rsidP="000D55A2">
            <w:pPr>
              <w:rPr>
                <w:lang w:val="en-GB"/>
              </w:rPr>
            </w:pPr>
            <w:r w:rsidRPr="008D2EA0">
              <w:rPr>
                <w:lang w:val="en-GB"/>
              </w:rPr>
              <w:t>However, interest from two CEPT administrations has been expressed to be able to implement such services (on a different regulatory basis so as not to block other uses in other countries) within CEPT.</w:t>
            </w:r>
          </w:p>
          <w:p w:rsidR="0096096C" w:rsidRPr="008D2EA0" w:rsidRDefault="0096096C" w:rsidP="000D55A2">
            <w:pPr>
              <w:rPr>
                <w:sz w:val="22"/>
                <w:szCs w:val="22"/>
                <w:lang w:val="en-GB"/>
              </w:rPr>
            </w:pPr>
          </w:p>
        </w:tc>
      </w:tr>
      <w:tr w:rsidR="000D55A2" w:rsidRPr="008D2EA0" w:rsidTr="00D40519">
        <w:tc>
          <w:tcPr>
            <w:tcW w:w="2231" w:type="dxa"/>
          </w:tcPr>
          <w:p w:rsidR="000D55A2" w:rsidRPr="008D2EA0" w:rsidRDefault="000D55A2" w:rsidP="000D55A2">
            <w:pPr>
              <w:rPr>
                <w:sz w:val="22"/>
                <w:szCs w:val="22"/>
                <w:lang w:val="en-GB"/>
              </w:rPr>
            </w:pPr>
            <w:r w:rsidRPr="008D2EA0">
              <w:rPr>
                <w:lang w:val="en-GB"/>
              </w:rPr>
              <w:t>Potential for take up outside CEPT</w:t>
            </w:r>
          </w:p>
        </w:tc>
        <w:tc>
          <w:tcPr>
            <w:tcW w:w="6663" w:type="dxa"/>
          </w:tcPr>
          <w:p w:rsidR="000D55A2" w:rsidRPr="008D2EA0" w:rsidRDefault="000D55A2" w:rsidP="000D55A2">
            <w:pPr>
              <w:rPr>
                <w:lang w:val="en-GB"/>
              </w:rPr>
            </w:pPr>
            <w:r w:rsidRPr="008D2EA0">
              <w:rPr>
                <w:lang w:val="en-GB"/>
              </w:rPr>
              <w:t>Low</w:t>
            </w:r>
          </w:p>
          <w:p w:rsidR="000D55A2" w:rsidRPr="008D2EA0" w:rsidRDefault="00BC050E" w:rsidP="000D55A2">
            <w:pPr>
              <w:rPr>
                <w:lang w:val="en-GB"/>
              </w:rPr>
            </w:pPr>
            <w:r w:rsidRPr="008D2EA0">
              <w:rPr>
                <w:lang w:val="en-GB"/>
              </w:rPr>
              <w:t>The 1452-1</w:t>
            </w:r>
            <w:r w:rsidR="000D55A2" w:rsidRPr="008D2EA0">
              <w:rPr>
                <w:lang w:val="en-GB"/>
              </w:rPr>
              <w:t>492 MHz L-Band is allocated to the Broadcasting-Satellite Service on a co-primary basis across the globe (with the exception of the US).</w:t>
            </w:r>
          </w:p>
          <w:p w:rsidR="000D55A2" w:rsidRPr="008D2EA0" w:rsidRDefault="000D55A2" w:rsidP="000D55A2">
            <w:pPr>
              <w:rPr>
                <w:lang w:val="en-GB"/>
              </w:rPr>
            </w:pPr>
            <w:r w:rsidRPr="008D2EA0">
              <w:rPr>
                <w:lang w:val="en-GB"/>
              </w:rPr>
              <w:t>However, the potential of the band for satellite audio broadcasting  service has been tested with no commercial success recorded, desp</w:t>
            </w:r>
            <w:r w:rsidR="00BC050E" w:rsidRPr="008D2EA0">
              <w:rPr>
                <w:lang w:val="en-GB"/>
              </w:rPr>
              <w:t>ite the fact that the 1452-1</w:t>
            </w:r>
            <w:r w:rsidRPr="008D2EA0">
              <w:rPr>
                <w:lang w:val="en-GB"/>
              </w:rPr>
              <w:t>492 MHz L-Band has been harmoni</w:t>
            </w:r>
            <w:r w:rsidR="00995D9E">
              <w:rPr>
                <w:lang w:val="en-GB"/>
              </w:rPr>
              <w:t>s</w:t>
            </w:r>
            <w:r w:rsidRPr="008D2EA0">
              <w:rPr>
                <w:lang w:val="en-GB"/>
              </w:rPr>
              <w:t>ed by the ITU for satellite audio broadcast for the past 20 years.</w:t>
            </w:r>
          </w:p>
          <w:p w:rsidR="000D55A2" w:rsidRPr="008D2EA0" w:rsidRDefault="000D55A2" w:rsidP="000D55A2">
            <w:pPr>
              <w:rPr>
                <w:lang w:val="en-GB"/>
              </w:rPr>
            </w:pPr>
            <w:r w:rsidRPr="008D2EA0">
              <w:rPr>
                <w:lang w:val="en-GB"/>
              </w:rPr>
              <w:t>As far as CEPT is aware, there is no new satellite project beyond the filings stage outside of CEPT.</w:t>
            </w:r>
          </w:p>
          <w:p w:rsidR="0018654D" w:rsidRPr="008D2EA0" w:rsidRDefault="0018654D" w:rsidP="000D55A2">
            <w:pPr>
              <w:rPr>
                <w:sz w:val="22"/>
                <w:szCs w:val="22"/>
                <w:lang w:val="en-GB"/>
              </w:rPr>
            </w:pPr>
          </w:p>
        </w:tc>
      </w:tr>
    </w:tbl>
    <w:p w:rsidR="000D55A2" w:rsidRPr="008D2EA0" w:rsidRDefault="000D55A2" w:rsidP="000D55A2">
      <w:pPr>
        <w:pStyle w:val="ECCParagraph"/>
      </w:pPr>
    </w:p>
    <w:p w:rsidR="000D55A2" w:rsidRPr="008D2EA0" w:rsidRDefault="000D55A2" w:rsidP="00510087">
      <w:pPr>
        <w:pStyle w:val="Heading3"/>
      </w:pPr>
      <w:bookmarkStart w:id="129" w:name="_Toc349039292"/>
      <w:r w:rsidRPr="008D2EA0">
        <w:t>PMSE</w:t>
      </w:r>
      <w:bookmarkEnd w:id="129"/>
    </w:p>
    <w:p w:rsidR="00D40519" w:rsidRPr="008D2EA0" w:rsidRDefault="00D40519" w:rsidP="00F21C76">
      <w:pPr>
        <w:pStyle w:val="ECCTabletitle"/>
      </w:pPr>
      <w:r w:rsidRPr="008D2EA0">
        <w:t>Criterion 5 – PMSE</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1"/>
        <w:gridCol w:w="6663"/>
      </w:tblGrid>
      <w:tr w:rsidR="000D55A2" w:rsidRPr="008D2EA0" w:rsidTr="00D40519">
        <w:trPr>
          <w:tblHeader/>
        </w:trPr>
        <w:tc>
          <w:tcPr>
            <w:tcW w:w="2231" w:type="dxa"/>
            <w:tcBorders>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p>
        </w:tc>
        <w:tc>
          <w:tcPr>
            <w:tcW w:w="6663" w:type="dxa"/>
            <w:tcBorders>
              <w:left w:val="single" w:sz="8" w:space="0" w:color="FFFFFF"/>
              <w:right w:val="single" w:sz="8" w:space="0" w:color="FFFFFF"/>
            </w:tcBorders>
            <w:shd w:val="clear" w:color="auto" w:fill="D2232A"/>
            <w:vAlign w:val="center"/>
          </w:tcPr>
          <w:p w:rsidR="000D55A2" w:rsidRPr="008D2EA0" w:rsidRDefault="000D55A2" w:rsidP="000D55A2">
            <w:pPr>
              <w:spacing w:line="288" w:lineRule="auto"/>
              <w:jc w:val="center"/>
              <w:rPr>
                <w:b/>
                <w:color w:val="FFFFFF"/>
                <w:lang w:val="en-GB"/>
              </w:rPr>
            </w:pPr>
            <w:r w:rsidRPr="008D2EA0">
              <w:rPr>
                <w:b/>
                <w:color w:val="FFFFFF"/>
                <w:lang w:val="en-GB"/>
              </w:rPr>
              <w:t>PMSE</w:t>
            </w:r>
          </w:p>
        </w:tc>
      </w:tr>
      <w:tr w:rsidR="000D55A2" w:rsidRPr="008D2EA0" w:rsidTr="00D40519">
        <w:tc>
          <w:tcPr>
            <w:tcW w:w="2231" w:type="dxa"/>
          </w:tcPr>
          <w:p w:rsidR="000D55A2" w:rsidRPr="008D2EA0" w:rsidRDefault="000D55A2" w:rsidP="000D55A2">
            <w:pPr>
              <w:rPr>
                <w:sz w:val="22"/>
                <w:szCs w:val="22"/>
                <w:lang w:val="en-GB"/>
              </w:rPr>
            </w:pPr>
            <w:r w:rsidRPr="008D2EA0">
              <w:rPr>
                <w:lang w:val="en-GB"/>
              </w:rPr>
              <w:t>Need for CEPT harmoni</w:t>
            </w:r>
            <w:r w:rsidR="0018654D" w:rsidRPr="008D2EA0">
              <w:rPr>
                <w:lang w:val="en-GB"/>
              </w:rPr>
              <w:t>s</w:t>
            </w:r>
            <w:r w:rsidRPr="008D2EA0">
              <w:rPr>
                <w:lang w:val="en-GB"/>
              </w:rPr>
              <w:t>ation</w:t>
            </w:r>
          </w:p>
        </w:tc>
        <w:tc>
          <w:tcPr>
            <w:tcW w:w="6663" w:type="dxa"/>
          </w:tcPr>
          <w:p w:rsidR="000D55A2" w:rsidRPr="008D2EA0" w:rsidRDefault="000D55A2" w:rsidP="000D55A2">
            <w:pPr>
              <w:rPr>
                <w:lang w:val="en-GB"/>
              </w:rPr>
            </w:pPr>
            <w:r w:rsidRPr="008D2EA0">
              <w:rPr>
                <w:lang w:val="en-GB"/>
              </w:rPr>
              <w:t>No</w:t>
            </w:r>
          </w:p>
          <w:p w:rsidR="000D55A2" w:rsidRPr="008D2EA0" w:rsidRDefault="000D55A2" w:rsidP="000D55A2">
            <w:pPr>
              <w:rPr>
                <w:rFonts w:cs="Arial"/>
                <w:szCs w:val="20"/>
                <w:lang w:val="en-GB"/>
              </w:rPr>
            </w:pPr>
            <w:r w:rsidRPr="008D2EA0">
              <w:rPr>
                <w:rFonts w:cs="Arial"/>
                <w:szCs w:val="20"/>
                <w:lang w:val="en-GB"/>
              </w:rPr>
              <w:t>However, for the success of PMSE, it is important that the band be allocated in a large number of countries in Europe so that economies of scale in devices can be realised.</w:t>
            </w:r>
          </w:p>
          <w:p w:rsidR="0018654D" w:rsidRPr="008D2EA0" w:rsidRDefault="0018654D" w:rsidP="000D55A2">
            <w:pPr>
              <w:rPr>
                <w:sz w:val="22"/>
                <w:szCs w:val="22"/>
                <w:lang w:val="en-GB"/>
              </w:rPr>
            </w:pPr>
          </w:p>
        </w:tc>
      </w:tr>
      <w:tr w:rsidR="000D55A2" w:rsidRPr="008D2EA0" w:rsidTr="00D40519">
        <w:tc>
          <w:tcPr>
            <w:tcW w:w="2231" w:type="dxa"/>
          </w:tcPr>
          <w:p w:rsidR="000D55A2" w:rsidRPr="008D2EA0" w:rsidRDefault="000D55A2" w:rsidP="000D55A2">
            <w:pPr>
              <w:rPr>
                <w:sz w:val="22"/>
                <w:szCs w:val="22"/>
                <w:lang w:val="en-GB"/>
              </w:rPr>
            </w:pPr>
            <w:r w:rsidRPr="008D2EA0">
              <w:rPr>
                <w:lang w:val="en-GB"/>
              </w:rPr>
              <w:t>Potential for CEPT harmoni</w:t>
            </w:r>
            <w:r w:rsidR="0018654D" w:rsidRPr="008D2EA0">
              <w:rPr>
                <w:lang w:val="en-GB"/>
              </w:rPr>
              <w:t>s</w:t>
            </w:r>
            <w:r w:rsidRPr="008D2EA0">
              <w:rPr>
                <w:lang w:val="en-GB"/>
              </w:rPr>
              <w:t>ation</w:t>
            </w:r>
          </w:p>
        </w:tc>
        <w:tc>
          <w:tcPr>
            <w:tcW w:w="6663" w:type="dxa"/>
          </w:tcPr>
          <w:p w:rsidR="000D55A2" w:rsidRPr="008D2EA0" w:rsidRDefault="000D55A2" w:rsidP="000D55A2">
            <w:pPr>
              <w:rPr>
                <w:sz w:val="22"/>
                <w:szCs w:val="22"/>
                <w:lang w:val="en-GB"/>
              </w:rPr>
            </w:pPr>
            <w:r w:rsidRPr="008D2EA0">
              <w:rPr>
                <w:lang w:val="en-GB"/>
              </w:rPr>
              <w:t>Medium</w:t>
            </w:r>
          </w:p>
        </w:tc>
      </w:tr>
      <w:tr w:rsidR="000D55A2" w:rsidRPr="008D2EA0" w:rsidTr="00D40519">
        <w:tc>
          <w:tcPr>
            <w:tcW w:w="2231" w:type="dxa"/>
          </w:tcPr>
          <w:p w:rsidR="000D55A2" w:rsidRPr="008D2EA0" w:rsidRDefault="000D55A2" w:rsidP="000D55A2">
            <w:pPr>
              <w:rPr>
                <w:sz w:val="22"/>
                <w:szCs w:val="22"/>
                <w:lang w:val="en-GB"/>
              </w:rPr>
            </w:pPr>
            <w:r w:rsidRPr="008D2EA0">
              <w:rPr>
                <w:lang w:val="en-GB"/>
              </w:rPr>
              <w:t>Potential for take up outside CEPT</w:t>
            </w:r>
          </w:p>
        </w:tc>
        <w:tc>
          <w:tcPr>
            <w:tcW w:w="6663" w:type="dxa"/>
          </w:tcPr>
          <w:p w:rsidR="000D55A2" w:rsidRPr="008D2EA0" w:rsidRDefault="000D55A2" w:rsidP="000D55A2">
            <w:pPr>
              <w:rPr>
                <w:lang w:val="en-GB"/>
              </w:rPr>
            </w:pPr>
            <w:r w:rsidRPr="008D2EA0">
              <w:rPr>
                <w:lang w:val="en-GB"/>
              </w:rPr>
              <w:t>Low</w:t>
            </w:r>
          </w:p>
          <w:p w:rsidR="000D55A2" w:rsidRPr="008D2EA0" w:rsidRDefault="000D55A2" w:rsidP="000D55A2">
            <w:pPr>
              <w:rPr>
                <w:lang w:val="en-GB"/>
              </w:rPr>
            </w:pPr>
            <w:r w:rsidRPr="008D2EA0">
              <w:rPr>
                <w:lang w:val="en-GB"/>
              </w:rPr>
              <w:t>At this time, limited likelihood of countries of other regions implementing this application.</w:t>
            </w:r>
          </w:p>
          <w:p w:rsidR="0018654D" w:rsidRPr="008D2EA0" w:rsidRDefault="0018654D" w:rsidP="000D55A2">
            <w:pPr>
              <w:rPr>
                <w:sz w:val="22"/>
                <w:szCs w:val="22"/>
                <w:lang w:val="en-GB"/>
              </w:rPr>
            </w:pPr>
          </w:p>
        </w:tc>
      </w:tr>
    </w:tbl>
    <w:p w:rsidR="000D55A2" w:rsidRPr="008D2EA0" w:rsidRDefault="000D55A2" w:rsidP="000D55A2">
      <w:pPr>
        <w:pStyle w:val="ECCParagraph"/>
      </w:pPr>
    </w:p>
    <w:p w:rsidR="000D55A2" w:rsidRPr="008D2EA0" w:rsidRDefault="000D55A2" w:rsidP="00F21C76">
      <w:pPr>
        <w:pStyle w:val="Heading3"/>
      </w:pPr>
      <w:bookmarkStart w:id="130" w:name="_Toc349039293"/>
      <w:r w:rsidRPr="008D2EA0">
        <w:lastRenderedPageBreak/>
        <w:t>Broadband PPDR for local and temporary use</w:t>
      </w:r>
      <w:bookmarkEnd w:id="130"/>
    </w:p>
    <w:p w:rsidR="00D40519" w:rsidRPr="008D2EA0" w:rsidRDefault="00D40519" w:rsidP="00F21C76">
      <w:pPr>
        <w:pStyle w:val="ECCTabletitle"/>
      </w:pPr>
      <w:r w:rsidRPr="008D2EA0">
        <w:t>Criterion 5 – Broadband PPDR</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1"/>
        <w:gridCol w:w="6663"/>
      </w:tblGrid>
      <w:tr w:rsidR="000D55A2" w:rsidRPr="008D2EA0" w:rsidTr="00D40519">
        <w:trPr>
          <w:tblHeader/>
        </w:trPr>
        <w:tc>
          <w:tcPr>
            <w:tcW w:w="2231" w:type="dxa"/>
            <w:tcBorders>
              <w:right w:val="single" w:sz="8" w:space="0" w:color="FFFFFF"/>
            </w:tcBorders>
            <w:shd w:val="clear" w:color="auto" w:fill="D2232A"/>
            <w:vAlign w:val="center"/>
          </w:tcPr>
          <w:p w:rsidR="000D55A2" w:rsidRPr="008D2EA0" w:rsidRDefault="000D55A2" w:rsidP="00F77275">
            <w:pPr>
              <w:keepNext/>
              <w:spacing w:line="288" w:lineRule="auto"/>
              <w:jc w:val="center"/>
              <w:rPr>
                <w:b/>
                <w:color w:val="FFFFFF"/>
                <w:lang w:val="en-GB"/>
              </w:rPr>
            </w:pPr>
          </w:p>
        </w:tc>
        <w:tc>
          <w:tcPr>
            <w:tcW w:w="6663" w:type="dxa"/>
            <w:tcBorders>
              <w:left w:val="single" w:sz="8" w:space="0" w:color="FFFFFF"/>
              <w:right w:val="single" w:sz="8" w:space="0" w:color="FFFFFF"/>
            </w:tcBorders>
            <w:shd w:val="clear" w:color="auto" w:fill="D2232A"/>
            <w:vAlign w:val="center"/>
          </w:tcPr>
          <w:p w:rsidR="000D55A2" w:rsidRPr="008D2EA0" w:rsidRDefault="000D55A2" w:rsidP="00F77275">
            <w:pPr>
              <w:keepNext/>
              <w:spacing w:line="288" w:lineRule="auto"/>
              <w:jc w:val="center"/>
              <w:rPr>
                <w:b/>
                <w:color w:val="FFFFFF"/>
                <w:lang w:val="en-GB"/>
              </w:rPr>
            </w:pPr>
            <w:r w:rsidRPr="008D2EA0">
              <w:rPr>
                <w:b/>
                <w:color w:val="FFFFFF"/>
                <w:lang w:val="en-GB"/>
              </w:rPr>
              <w:t>Broadband PPDR for local and temporary use</w:t>
            </w:r>
          </w:p>
        </w:tc>
      </w:tr>
      <w:tr w:rsidR="000D55A2" w:rsidRPr="008D2EA0" w:rsidTr="00D40519">
        <w:tc>
          <w:tcPr>
            <w:tcW w:w="2231" w:type="dxa"/>
          </w:tcPr>
          <w:p w:rsidR="000D55A2" w:rsidRPr="008D2EA0" w:rsidRDefault="000D55A2" w:rsidP="00F77275">
            <w:pPr>
              <w:keepNext/>
              <w:rPr>
                <w:sz w:val="22"/>
                <w:szCs w:val="22"/>
                <w:lang w:val="en-GB"/>
              </w:rPr>
            </w:pPr>
            <w:r w:rsidRPr="008D2EA0">
              <w:rPr>
                <w:lang w:val="en-GB"/>
              </w:rPr>
              <w:t>Need for CEPT harmoni</w:t>
            </w:r>
            <w:r w:rsidR="0018654D" w:rsidRPr="008D2EA0">
              <w:rPr>
                <w:lang w:val="en-GB"/>
              </w:rPr>
              <w:t>s</w:t>
            </w:r>
            <w:r w:rsidRPr="008D2EA0">
              <w:rPr>
                <w:lang w:val="en-GB"/>
              </w:rPr>
              <w:t>ation</w:t>
            </w:r>
          </w:p>
        </w:tc>
        <w:tc>
          <w:tcPr>
            <w:tcW w:w="6663" w:type="dxa"/>
          </w:tcPr>
          <w:p w:rsidR="000D55A2" w:rsidRPr="008D2EA0" w:rsidRDefault="000D55A2" w:rsidP="00F77275">
            <w:pPr>
              <w:keepNext/>
              <w:rPr>
                <w:lang w:val="en-GB"/>
              </w:rPr>
            </w:pPr>
            <w:r w:rsidRPr="008D2EA0">
              <w:rPr>
                <w:lang w:val="en-GB"/>
              </w:rPr>
              <w:t>No.</w:t>
            </w:r>
          </w:p>
          <w:p w:rsidR="000D55A2" w:rsidRPr="008D2EA0" w:rsidRDefault="000D55A2" w:rsidP="00F77275">
            <w:pPr>
              <w:keepNext/>
              <w:rPr>
                <w:lang w:val="en-GB"/>
              </w:rPr>
            </w:pPr>
            <w:r w:rsidRPr="008D2EA0">
              <w:rPr>
                <w:lang w:val="en-GB"/>
              </w:rPr>
              <w:t>However large take up of this application would facilitate interoperability of European PPDR networks. It would also assist the economies of scale and therefore the cost of equipment.</w:t>
            </w:r>
          </w:p>
          <w:p w:rsidR="0018654D" w:rsidRPr="008D2EA0" w:rsidRDefault="0018654D" w:rsidP="00F77275">
            <w:pPr>
              <w:keepNext/>
              <w:rPr>
                <w:sz w:val="22"/>
                <w:szCs w:val="22"/>
                <w:lang w:val="en-GB"/>
              </w:rPr>
            </w:pPr>
          </w:p>
        </w:tc>
      </w:tr>
      <w:tr w:rsidR="000D55A2" w:rsidRPr="008D2EA0" w:rsidTr="00D40519">
        <w:tc>
          <w:tcPr>
            <w:tcW w:w="2231" w:type="dxa"/>
          </w:tcPr>
          <w:p w:rsidR="000D55A2" w:rsidRPr="008D2EA0" w:rsidRDefault="000D55A2" w:rsidP="000D55A2">
            <w:pPr>
              <w:rPr>
                <w:sz w:val="22"/>
                <w:szCs w:val="22"/>
                <w:lang w:val="en-GB"/>
              </w:rPr>
            </w:pPr>
            <w:r w:rsidRPr="008D2EA0">
              <w:rPr>
                <w:lang w:val="en-GB"/>
              </w:rPr>
              <w:t>Potential for CEPT harmoni</w:t>
            </w:r>
            <w:r w:rsidR="0018654D" w:rsidRPr="008D2EA0">
              <w:rPr>
                <w:lang w:val="en-GB"/>
              </w:rPr>
              <w:t>s</w:t>
            </w:r>
            <w:r w:rsidRPr="008D2EA0">
              <w:rPr>
                <w:lang w:val="en-GB"/>
              </w:rPr>
              <w:t>ation</w:t>
            </w:r>
          </w:p>
        </w:tc>
        <w:tc>
          <w:tcPr>
            <w:tcW w:w="6663" w:type="dxa"/>
          </w:tcPr>
          <w:p w:rsidR="000D55A2" w:rsidRPr="008D2EA0" w:rsidRDefault="000D55A2" w:rsidP="000D55A2">
            <w:pPr>
              <w:rPr>
                <w:sz w:val="22"/>
                <w:szCs w:val="22"/>
                <w:lang w:val="en-GB"/>
              </w:rPr>
            </w:pPr>
            <w:r w:rsidRPr="008D2EA0">
              <w:rPr>
                <w:lang w:val="en-GB"/>
              </w:rPr>
              <w:t>Medium</w:t>
            </w:r>
          </w:p>
        </w:tc>
      </w:tr>
      <w:tr w:rsidR="000D55A2" w:rsidRPr="008D2EA0" w:rsidTr="00D40519">
        <w:tc>
          <w:tcPr>
            <w:tcW w:w="2231" w:type="dxa"/>
          </w:tcPr>
          <w:p w:rsidR="000D55A2" w:rsidRPr="008D2EA0" w:rsidRDefault="000D55A2" w:rsidP="000D55A2">
            <w:pPr>
              <w:rPr>
                <w:sz w:val="22"/>
                <w:szCs w:val="22"/>
                <w:lang w:val="en-GB"/>
              </w:rPr>
            </w:pPr>
            <w:r w:rsidRPr="008D2EA0">
              <w:rPr>
                <w:lang w:val="en-GB"/>
              </w:rPr>
              <w:t>Potential for take up outside CEPT</w:t>
            </w:r>
          </w:p>
        </w:tc>
        <w:tc>
          <w:tcPr>
            <w:tcW w:w="6663" w:type="dxa"/>
          </w:tcPr>
          <w:p w:rsidR="000D55A2" w:rsidRPr="008D2EA0" w:rsidRDefault="000D55A2" w:rsidP="000D55A2">
            <w:pPr>
              <w:rPr>
                <w:sz w:val="22"/>
                <w:szCs w:val="22"/>
                <w:lang w:val="en-GB"/>
              </w:rPr>
            </w:pPr>
            <w:r w:rsidRPr="008D2EA0">
              <w:rPr>
                <w:lang w:val="en-GB"/>
              </w:rPr>
              <w:t>Low</w:t>
            </w:r>
          </w:p>
          <w:p w:rsidR="000D55A2" w:rsidRPr="008D2EA0" w:rsidRDefault="000D55A2" w:rsidP="000D55A2">
            <w:pPr>
              <w:rPr>
                <w:lang w:val="en-GB"/>
              </w:rPr>
            </w:pPr>
            <w:r w:rsidRPr="008D2EA0">
              <w:rPr>
                <w:lang w:val="en-GB"/>
              </w:rPr>
              <w:t>E.g. in the US, the focus for PPDR spectrum is on the UHF bands.</w:t>
            </w:r>
          </w:p>
          <w:p w:rsidR="0018654D" w:rsidRPr="008D2EA0" w:rsidRDefault="0018654D" w:rsidP="000D55A2">
            <w:pPr>
              <w:rPr>
                <w:sz w:val="22"/>
                <w:szCs w:val="22"/>
                <w:lang w:val="en-GB"/>
              </w:rPr>
            </w:pPr>
          </w:p>
        </w:tc>
      </w:tr>
    </w:tbl>
    <w:p w:rsidR="000D55A2" w:rsidRPr="008D2EA0" w:rsidRDefault="000D55A2" w:rsidP="000D55A2">
      <w:pPr>
        <w:pStyle w:val="ECCParagraph"/>
      </w:pPr>
    </w:p>
    <w:p w:rsidR="000D55A2" w:rsidRPr="008D2EA0" w:rsidRDefault="000D55A2" w:rsidP="00F21C76">
      <w:pPr>
        <w:pStyle w:val="Heading3"/>
      </w:pPr>
      <w:bookmarkStart w:id="131" w:name="_Toc349039294"/>
      <w:r w:rsidRPr="008D2EA0">
        <w:t>BDA2GC</w:t>
      </w:r>
      <w:bookmarkEnd w:id="131"/>
    </w:p>
    <w:p w:rsidR="00D40519" w:rsidRPr="008D2EA0" w:rsidRDefault="00D40519" w:rsidP="00F21C76">
      <w:pPr>
        <w:pStyle w:val="ECCTabletitle"/>
      </w:pPr>
      <w:r w:rsidRPr="008D2EA0">
        <w:t>Criterion 5 – BDA2GC</w:t>
      </w:r>
    </w:p>
    <w:tbl>
      <w:tblPr>
        <w:tblW w:w="0" w:type="auto"/>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1"/>
        <w:gridCol w:w="6663"/>
      </w:tblGrid>
      <w:tr w:rsidR="000D55A2" w:rsidRPr="008D2EA0" w:rsidTr="00D40519">
        <w:trPr>
          <w:tblHeader/>
        </w:trPr>
        <w:tc>
          <w:tcPr>
            <w:tcW w:w="2231" w:type="dxa"/>
            <w:tcBorders>
              <w:right w:val="single" w:sz="8" w:space="0" w:color="FFFFFF"/>
            </w:tcBorders>
            <w:shd w:val="clear" w:color="auto" w:fill="D2232A"/>
            <w:vAlign w:val="center"/>
          </w:tcPr>
          <w:p w:rsidR="000D55A2" w:rsidRPr="008D2EA0" w:rsidRDefault="000D55A2" w:rsidP="001E74AC">
            <w:pPr>
              <w:keepNext/>
              <w:spacing w:line="288" w:lineRule="auto"/>
              <w:jc w:val="center"/>
              <w:rPr>
                <w:b/>
                <w:color w:val="FFFFFF"/>
                <w:lang w:val="en-GB"/>
              </w:rPr>
            </w:pPr>
          </w:p>
        </w:tc>
        <w:tc>
          <w:tcPr>
            <w:tcW w:w="6663" w:type="dxa"/>
            <w:tcBorders>
              <w:left w:val="single" w:sz="8" w:space="0" w:color="FFFFFF"/>
              <w:right w:val="single" w:sz="8" w:space="0" w:color="FFFFFF"/>
            </w:tcBorders>
            <w:shd w:val="clear" w:color="auto" w:fill="D2232A"/>
            <w:vAlign w:val="center"/>
          </w:tcPr>
          <w:p w:rsidR="000D55A2" w:rsidRPr="008D2EA0" w:rsidRDefault="000D55A2" w:rsidP="001E74AC">
            <w:pPr>
              <w:keepNext/>
              <w:spacing w:line="288" w:lineRule="auto"/>
              <w:jc w:val="center"/>
              <w:rPr>
                <w:b/>
                <w:color w:val="FFFFFF"/>
                <w:lang w:val="en-GB"/>
              </w:rPr>
            </w:pPr>
            <w:r w:rsidRPr="008D2EA0">
              <w:rPr>
                <w:b/>
                <w:color w:val="FFFFFF"/>
                <w:lang w:val="en-GB"/>
              </w:rPr>
              <w:t>BDA2GC</w:t>
            </w:r>
          </w:p>
        </w:tc>
      </w:tr>
      <w:tr w:rsidR="000D55A2" w:rsidRPr="008D2EA0" w:rsidTr="00D40519">
        <w:tc>
          <w:tcPr>
            <w:tcW w:w="2231" w:type="dxa"/>
          </w:tcPr>
          <w:p w:rsidR="000D55A2" w:rsidRPr="008D2EA0" w:rsidRDefault="000D55A2" w:rsidP="001E74AC">
            <w:pPr>
              <w:keepNext/>
              <w:rPr>
                <w:sz w:val="22"/>
                <w:szCs w:val="22"/>
                <w:lang w:val="en-GB"/>
              </w:rPr>
            </w:pPr>
            <w:r w:rsidRPr="008D2EA0">
              <w:rPr>
                <w:lang w:val="en-GB"/>
              </w:rPr>
              <w:t>Need for CEPT harmoni</w:t>
            </w:r>
            <w:r w:rsidR="0018654D" w:rsidRPr="008D2EA0">
              <w:rPr>
                <w:lang w:val="en-GB"/>
              </w:rPr>
              <w:t>s</w:t>
            </w:r>
            <w:r w:rsidRPr="008D2EA0">
              <w:rPr>
                <w:lang w:val="en-GB"/>
              </w:rPr>
              <w:t>ation</w:t>
            </w:r>
          </w:p>
        </w:tc>
        <w:tc>
          <w:tcPr>
            <w:tcW w:w="6663" w:type="dxa"/>
          </w:tcPr>
          <w:p w:rsidR="000D55A2" w:rsidRPr="008D2EA0" w:rsidRDefault="000D55A2" w:rsidP="001E74AC">
            <w:pPr>
              <w:keepNext/>
              <w:rPr>
                <w:sz w:val="22"/>
                <w:szCs w:val="22"/>
                <w:lang w:val="en-GB"/>
              </w:rPr>
            </w:pPr>
            <w:r w:rsidRPr="008D2EA0">
              <w:rPr>
                <w:lang w:val="en-GB"/>
              </w:rPr>
              <w:t>Yes</w:t>
            </w:r>
          </w:p>
          <w:p w:rsidR="000D55A2" w:rsidRPr="008D2EA0" w:rsidRDefault="000D55A2" w:rsidP="001E74AC">
            <w:pPr>
              <w:keepNext/>
              <w:spacing w:after="200" w:line="276" w:lineRule="auto"/>
              <w:rPr>
                <w:sz w:val="22"/>
                <w:szCs w:val="22"/>
                <w:lang w:val="en-GB"/>
              </w:rPr>
            </w:pPr>
            <w:r w:rsidRPr="008D2EA0">
              <w:rPr>
                <w:rFonts w:cs="Arial"/>
                <w:szCs w:val="20"/>
                <w:lang w:val="en-GB"/>
              </w:rPr>
              <w:t>Network investment and deployment costs as well as aircraft equipment are high for BDA2GC, and the associated high technological and financial risks require economies of scale for such a system in the form of pan-European geographic coverage (which is a possibility within the L-band), so that they remain economically viable. In order to achieve a continental-wide coverage, a harmonised radio spectrum allocation is essential. In addition, a European harmonised authorisation is considered necessary to provide the regulatory certainty that network operators and airlines require to invest in a BDA2GC system.</w:t>
            </w:r>
          </w:p>
        </w:tc>
      </w:tr>
      <w:tr w:rsidR="000D55A2" w:rsidRPr="008D2EA0" w:rsidTr="00D40519">
        <w:tc>
          <w:tcPr>
            <w:tcW w:w="2231" w:type="dxa"/>
          </w:tcPr>
          <w:p w:rsidR="000D55A2" w:rsidRPr="008D2EA0" w:rsidRDefault="000D55A2" w:rsidP="0018654D">
            <w:pPr>
              <w:rPr>
                <w:sz w:val="22"/>
                <w:szCs w:val="22"/>
                <w:lang w:val="en-GB"/>
              </w:rPr>
            </w:pPr>
            <w:r w:rsidRPr="008D2EA0">
              <w:rPr>
                <w:lang w:val="en-GB"/>
              </w:rPr>
              <w:t>Potential for CEPT harmoni</w:t>
            </w:r>
            <w:r w:rsidR="0018654D" w:rsidRPr="008D2EA0">
              <w:rPr>
                <w:lang w:val="en-GB"/>
              </w:rPr>
              <w:t>s</w:t>
            </w:r>
            <w:r w:rsidRPr="008D2EA0">
              <w:rPr>
                <w:lang w:val="en-GB"/>
              </w:rPr>
              <w:t>ation</w:t>
            </w:r>
          </w:p>
        </w:tc>
        <w:tc>
          <w:tcPr>
            <w:tcW w:w="6663" w:type="dxa"/>
          </w:tcPr>
          <w:p w:rsidR="000D55A2" w:rsidRPr="008D2EA0" w:rsidRDefault="000D55A2" w:rsidP="000D55A2">
            <w:pPr>
              <w:rPr>
                <w:rFonts w:cs="Arial"/>
                <w:sz w:val="22"/>
                <w:szCs w:val="20"/>
                <w:lang w:val="en-GB"/>
              </w:rPr>
            </w:pPr>
            <w:r w:rsidRPr="008D2EA0">
              <w:rPr>
                <w:rFonts w:cs="Arial"/>
                <w:szCs w:val="20"/>
                <w:lang w:val="en-GB"/>
              </w:rPr>
              <w:t>Low</w:t>
            </w:r>
          </w:p>
          <w:p w:rsidR="000D55A2" w:rsidRPr="008D2EA0" w:rsidRDefault="000D55A2" w:rsidP="000D55A2">
            <w:pPr>
              <w:spacing w:after="200" w:line="276" w:lineRule="auto"/>
              <w:rPr>
                <w:sz w:val="22"/>
                <w:szCs w:val="22"/>
                <w:lang w:val="en-GB"/>
              </w:rPr>
            </w:pPr>
            <w:r w:rsidRPr="008D2EA0">
              <w:rPr>
                <w:lang w:val="en-GB"/>
              </w:rPr>
              <w:t>This ranking is specific to the band 1452-1492 MHz.</w:t>
            </w:r>
          </w:p>
        </w:tc>
      </w:tr>
      <w:tr w:rsidR="000D55A2" w:rsidRPr="008D2EA0" w:rsidTr="00D40519">
        <w:tc>
          <w:tcPr>
            <w:tcW w:w="2231" w:type="dxa"/>
          </w:tcPr>
          <w:p w:rsidR="000D55A2" w:rsidRPr="008D2EA0" w:rsidRDefault="000D55A2" w:rsidP="000D55A2">
            <w:pPr>
              <w:rPr>
                <w:sz w:val="22"/>
                <w:szCs w:val="22"/>
                <w:lang w:val="en-GB"/>
              </w:rPr>
            </w:pPr>
            <w:r w:rsidRPr="008D2EA0">
              <w:rPr>
                <w:lang w:val="en-GB"/>
              </w:rPr>
              <w:t>Potential for take up outside CEPT</w:t>
            </w:r>
          </w:p>
        </w:tc>
        <w:tc>
          <w:tcPr>
            <w:tcW w:w="6663" w:type="dxa"/>
          </w:tcPr>
          <w:p w:rsidR="000D55A2" w:rsidRPr="008D2EA0" w:rsidRDefault="000D55A2" w:rsidP="000D55A2">
            <w:pPr>
              <w:rPr>
                <w:sz w:val="22"/>
                <w:szCs w:val="22"/>
                <w:lang w:val="en-GB"/>
              </w:rPr>
            </w:pPr>
            <w:r w:rsidRPr="008D2EA0">
              <w:rPr>
                <w:lang w:val="en-GB"/>
              </w:rPr>
              <w:t>Low</w:t>
            </w:r>
          </w:p>
          <w:p w:rsidR="000D55A2" w:rsidRPr="008D2EA0" w:rsidRDefault="000D55A2" w:rsidP="000D55A2">
            <w:pPr>
              <w:rPr>
                <w:lang w:val="en-GB"/>
              </w:rPr>
            </w:pPr>
            <w:r w:rsidRPr="008D2EA0">
              <w:rPr>
                <w:lang w:val="en-GB"/>
              </w:rPr>
              <w:t>As the potential for CEPT harmonisation in the band 1452-1492 MHz is low, this band might not be chosen for BDA2GC elsewhere due to low economies of scale.</w:t>
            </w:r>
          </w:p>
          <w:p w:rsidR="000D55A2" w:rsidRPr="008D2EA0" w:rsidRDefault="000D55A2" w:rsidP="000D55A2">
            <w:pPr>
              <w:rPr>
                <w:lang w:val="en-GB"/>
              </w:rPr>
            </w:pPr>
            <w:r w:rsidRPr="008D2EA0">
              <w:rPr>
                <w:lang w:val="en-GB"/>
              </w:rPr>
              <w:t>BDA2GC is by its nature a solution for flight routes over land mass, i.e. coverage above ocean is very limited. A covered extension to Middle-East and North Africa could be considered, provided the same spectrum as in CEPT could be made available there.</w:t>
            </w:r>
          </w:p>
          <w:p w:rsidR="000D55A2" w:rsidRPr="008D2EA0" w:rsidRDefault="000D55A2" w:rsidP="000D55A2">
            <w:pPr>
              <w:rPr>
                <w:lang w:val="en-GB"/>
              </w:rPr>
            </w:pPr>
            <w:r w:rsidRPr="008D2EA0">
              <w:rPr>
                <w:lang w:val="en-GB"/>
              </w:rPr>
              <w:t>Deployment of BDA2GC also in other regions (in particular Asia with its high grow potential) within the same frequency band as in Europe would enable increased economies of scale for industries involved.</w:t>
            </w:r>
          </w:p>
          <w:p w:rsidR="000D55A2" w:rsidRPr="008D2EA0" w:rsidRDefault="000D55A2" w:rsidP="000D55A2">
            <w:pPr>
              <w:spacing w:after="200" w:line="276" w:lineRule="auto"/>
              <w:jc w:val="both"/>
              <w:rPr>
                <w:sz w:val="22"/>
                <w:szCs w:val="22"/>
                <w:lang w:val="en-GB"/>
              </w:rPr>
            </w:pPr>
            <w:r w:rsidRPr="008D2EA0">
              <w:rPr>
                <w:lang w:val="en-GB"/>
              </w:rPr>
              <w:t>In North America a DA2GC solution has already been deployed using spectrum in the 800 MHz range.</w:t>
            </w:r>
          </w:p>
        </w:tc>
      </w:tr>
    </w:tbl>
    <w:p w:rsidR="000D55A2" w:rsidRPr="008D2EA0" w:rsidRDefault="000D55A2" w:rsidP="000D55A2">
      <w:pPr>
        <w:pStyle w:val="ECCParagraph"/>
      </w:pPr>
    </w:p>
    <w:p w:rsidR="00E41E35" w:rsidRPr="008D2EA0" w:rsidRDefault="00E41E35" w:rsidP="006731B4">
      <w:pPr>
        <w:pStyle w:val="Heading1"/>
      </w:pPr>
      <w:bookmarkStart w:id="132" w:name="_Ref330539873"/>
      <w:bookmarkStart w:id="133" w:name="_Toc349039295"/>
      <w:r w:rsidRPr="008D2EA0">
        <w:lastRenderedPageBreak/>
        <w:t>Regulatory options</w:t>
      </w:r>
      <w:bookmarkEnd w:id="132"/>
      <w:bookmarkEnd w:id="133"/>
    </w:p>
    <w:p w:rsidR="0097553F" w:rsidRPr="008D2EA0" w:rsidRDefault="0097553F" w:rsidP="0097553F">
      <w:pPr>
        <w:rPr>
          <w:lang w:val="en-GB"/>
        </w:rPr>
      </w:pPr>
      <w:r w:rsidRPr="008D2EA0">
        <w:rPr>
          <w:lang w:val="en-GB"/>
        </w:rPr>
        <w:t xml:space="preserve">This section provides considerations on the regulatory framework for the possible development of the applications described in section 3. </w:t>
      </w:r>
    </w:p>
    <w:p w:rsidR="00E41E35" w:rsidRPr="008D2EA0" w:rsidRDefault="00E41E35" w:rsidP="00E41E35">
      <w:pPr>
        <w:pStyle w:val="Heading2"/>
        <w:rPr>
          <w:lang w:val="en-GB"/>
        </w:rPr>
      </w:pPr>
      <w:bookmarkStart w:id="134" w:name="_Toc349039296"/>
      <w:r w:rsidRPr="008D2EA0">
        <w:rPr>
          <w:lang w:val="en-GB"/>
        </w:rPr>
        <w:t>Least Restrictive Technical Conditions</w:t>
      </w:r>
      <w:bookmarkEnd w:id="134"/>
      <w:r w:rsidRPr="008D2EA0">
        <w:rPr>
          <w:lang w:val="en-GB"/>
        </w:rPr>
        <w:t xml:space="preserve"> </w:t>
      </w:r>
    </w:p>
    <w:p w:rsidR="00E41E35" w:rsidRPr="008D2EA0" w:rsidRDefault="00E41E35" w:rsidP="00E41E35">
      <w:pPr>
        <w:pStyle w:val="ECCParagraph"/>
      </w:pPr>
      <w:r w:rsidRPr="008D2EA0">
        <w:t>A technology and service neutral regulatory framework is implemented through the definition of Least Restrictive Technical Conditions (LRTCs) applicable to a band. The definition of LRTC allows to harmonise the technical conditions applicable to a band (and potentially enables equipment to benefit from economies of scale) while allowing flexibility at national level, as it is being done for instance for the 800 MHz spectrum (Digital Dividend).</w:t>
      </w:r>
    </w:p>
    <w:p w:rsidR="00E41E35" w:rsidRPr="008D2EA0" w:rsidRDefault="00E41E35" w:rsidP="00F21C76">
      <w:pPr>
        <w:pStyle w:val="ECCParagraph"/>
        <w:keepNext/>
      </w:pPr>
      <w:r w:rsidRPr="008D2EA0">
        <w:t>The definition of LRTCs is based on the principle that they solely address the technical compatibility issues:</w:t>
      </w:r>
    </w:p>
    <w:p w:rsidR="00E41E35" w:rsidRPr="008D2EA0" w:rsidRDefault="00E41E35" w:rsidP="000F6780">
      <w:pPr>
        <w:pStyle w:val="ECCParBulleted"/>
        <w:numPr>
          <w:ilvl w:val="0"/>
          <w:numId w:val="18"/>
        </w:numPr>
      </w:pPr>
      <w:r w:rsidRPr="008D2EA0">
        <w:t>Case of adjacent frequency interference within a given geographical area of operation (in band and out-of-band interference)</w:t>
      </w:r>
      <w:r w:rsidR="0097553F" w:rsidRPr="008D2EA0">
        <w:rPr>
          <w:rStyle w:val="FootnoteReference"/>
        </w:rPr>
        <w:t xml:space="preserve"> </w:t>
      </w:r>
      <w:r w:rsidR="0097553F" w:rsidRPr="008D2EA0">
        <w:rPr>
          <w:rStyle w:val="FootnoteReference"/>
        </w:rPr>
        <w:footnoteReference w:id="38"/>
      </w:r>
    </w:p>
    <w:p w:rsidR="00E41E35" w:rsidRPr="008D2EA0" w:rsidRDefault="00E41E35" w:rsidP="000F6780">
      <w:pPr>
        <w:pStyle w:val="ECCParBulleted"/>
        <w:numPr>
          <w:ilvl w:val="0"/>
          <w:numId w:val="18"/>
        </w:numPr>
      </w:pPr>
      <w:r w:rsidRPr="008D2EA0">
        <w:t>Case of co-frequency interference in adjacent geographical areas of operation</w:t>
      </w:r>
    </w:p>
    <w:p w:rsidR="00E41E35" w:rsidRPr="008D2EA0" w:rsidRDefault="00E41E35" w:rsidP="00E41E35">
      <w:pPr>
        <w:pStyle w:val="ECCParagraph"/>
      </w:pPr>
    </w:p>
    <w:p w:rsidR="00E41E35" w:rsidRPr="008D2EA0" w:rsidRDefault="00E41E35" w:rsidP="00E41E35">
      <w:pPr>
        <w:pStyle w:val="ECCParagraph"/>
      </w:pPr>
      <w:r w:rsidRPr="008D2EA0">
        <w:t>The development of LRTCs should consider, where necessary, existing international and/or regional agreements. The LRTC developed in CEPT were based so far on the consideration of the compatibility of adjacent frequency interference within a given geographical area of operation.</w:t>
      </w:r>
    </w:p>
    <w:p w:rsidR="00E41E35" w:rsidRPr="008D2EA0" w:rsidRDefault="00E41E35" w:rsidP="00E41E35">
      <w:pPr>
        <w:pStyle w:val="ECCParagraph"/>
      </w:pPr>
      <w:r w:rsidRPr="008D2EA0">
        <w:t xml:space="preserve">LRTC enables authorised users of the band to deploy any application, provided such deployment respects the technical conditions set out in the LRTC. This kind of regulatory regime provides clear conditions of co-existence for users of other frequency blocks in the same band as well as users in adjacent frequency bands. The emissions allowed at block/band edges are stable and well known over time. Operators and regulators also benefit from the maximum possible flexibility to determine the use(s) of the band. </w:t>
      </w:r>
    </w:p>
    <w:p w:rsidR="00E41E35" w:rsidRPr="008D2EA0" w:rsidRDefault="00E41E35" w:rsidP="00510087">
      <w:pPr>
        <w:pStyle w:val="Heading3"/>
      </w:pPr>
      <w:bookmarkStart w:id="135" w:name="_Toc349039297"/>
      <w:r w:rsidRPr="008D2EA0">
        <w:t>ECC experience with LRTCs</w:t>
      </w:r>
      <w:bookmarkEnd w:id="135"/>
    </w:p>
    <w:p w:rsidR="00E41E35" w:rsidRPr="008D2EA0" w:rsidRDefault="00E41E35" w:rsidP="00E41E35">
      <w:pPr>
        <w:pStyle w:val="ECCParagraph"/>
      </w:pPr>
      <w:r w:rsidRPr="008D2EA0">
        <w:t>The ECC has a significant experience in the development of LRTCs. LRTCs have been developed for several applications in several bands.</w:t>
      </w:r>
    </w:p>
    <w:p w:rsidR="00E41E35" w:rsidRPr="008D2EA0" w:rsidRDefault="00E41E35" w:rsidP="00E41E35">
      <w:pPr>
        <w:pStyle w:val="ECCParagraph"/>
      </w:pPr>
      <w:r w:rsidRPr="008D2EA0">
        <w:t>The CEPT Report 19</w:t>
      </w:r>
      <w:r w:rsidR="005A734E" w:rsidRPr="008D2EA0">
        <w:t xml:space="preserve"> </w:t>
      </w:r>
      <w:r w:rsidR="005A734E" w:rsidRPr="008D2EA0">
        <w:fldChar w:fldCharType="begin"/>
      </w:r>
      <w:r w:rsidR="005A734E" w:rsidRPr="008D2EA0">
        <w:instrText xml:space="preserve"> REF _Ref332817883 \r \h </w:instrText>
      </w:r>
      <w:r w:rsidR="005A734E" w:rsidRPr="008D2EA0">
        <w:fldChar w:fldCharType="separate"/>
      </w:r>
      <w:r w:rsidR="00E73FF2">
        <w:t>[20]</w:t>
      </w:r>
      <w:r w:rsidR="005A734E" w:rsidRPr="008D2EA0">
        <w:fldChar w:fldCharType="end"/>
      </w:r>
      <w:r w:rsidRPr="008D2EA0">
        <w:t xml:space="preserve"> studied the applicability of LRTCs and developed LRTCs applicable to frequency bands addressed in the context of WAPECS in a number of bands (in particular 3.4-3.8 GHz and 2500-2690 MHz). The report notes, inter alia, that coexistence between two WAPECS blocks using the same frequency in geographically separated areas can for instance be determined by the use of field strength, and that a frequency separation of 5 MHz is needed between an FDD uplink block or unsynchronised TDD block with another TDD block operating in the same geographical area.</w:t>
      </w:r>
    </w:p>
    <w:p w:rsidR="00E41E35" w:rsidRPr="008D2EA0" w:rsidRDefault="005A734E" w:rsidP="00E41E35">
      <w:pPr>
        <w:pStyle w:val="ECCParagraph"/>
      </w:pPr>
      <w:r w:rsidRPr="008D2EA0">
        <w:t xml:space="preserve">The CEPT Report 30 </w:t>
      </w:r>
      <w:r w:rsidRPr="008D2EA0">
        <w:fldChar w:fldCharType="begin"/>
      </w:r>
      <w:r w:rsidRPr="008D2EA0">
        <w:instrText xml:space="preserve"> REF _Ref332817926 \r \h </w:instrText>
      </w:r>
      <w:r w:rsidRPr="008D2EA0">
        <w:fldChar w:fldCharType="separate"/>
      </w:r>
      <w:r w:rsidR="00E73FF2">
        <w:t>[21]</w:t>
      </w:r>
      <w:r w:rsidRPr="008D2EA0">
        <w:fldChar w:fldCharType="end"/>
      </w:r>
      <w:r w:rsidR="00E41E35" w:rsidRPr="008D2EA0">
        <w:t xml:space="preserve"> developed LRTCs for both Electronic Communication networks (ECNs), PMSE applications and low power applications in the band 790-862 MHz. It should be noted that the CEPT Report 30 </w:t>
      </w:r>
      <w:r w:rsidR="00530F73" w:rsidRPr="008D2EA0">
        <w:fldChar w:fldCharType="begin"/>
      </w:r>
      <w:r w:rsidR="00530F73" w:rsidRPr="008D2EA0">
        <w:instrText xml:space="preserve"> REF _Ref330515177 \r \h </w:instrText>
      </w:r>
      <w:r w:rsidR="00530F73" w:rsidRPr="008D2EA0">
        <w:fldChar w:fldCharType="separate"/>
      </w:r>
      <w:r w:rsidR="00E73FF2">
        <w:t>[21]</w:t>
      </w:r>
      <w:r w:rsidR="00530F73" w:rsidRPr="008D2EA0">
        <w:fldChar w:fldCharType="end"/>
      </w:r>
      <w:r w:rsidR="00E41E35" w:rsidRPr="008D2EA0">
        <w:t xml:space="preserve"> relied on studies and conclusions from the CEPT Report 23 </w:t>
      </w:r>
      <w:r w:rsidR="00530F73" w:rsidRPr="008D2EA0">
        <w:fldChar w:fldCharType="begin"/>
      </w:r>
      <w:r w:rsidR="00530F73" w:rsidRPr="008D2EA0">
        <w:instrText xml:space="preserve"> REF _Ref330515293 \r \h </w:instrText>
      </w:r>
      <w:r w:rsidR="00530F73" w:rsidRPr="008D2EA0">
        <w:fldChar w:fldCharType="separate"/>
      </w:r>
      <w:r w:rsidR="00E73FF2">
        <w:t>[22]</w:t>
      </w:r>
      <w:r w:rsidR="00530F73" w:rsidRPr="008D2EA0">
        <w:fldChar w:fldCharType="end"/>
      </w:r>
      <w:r w:rsidR="00E41E35" w:rsidRPr="008D2EA0">
        <w:t xml:space="preserve"> and CEPT Report 29 </w:t>
      </w:r>
      <w:r w:rsidR="00530F73" w:rsidRPr="008D2EA0">
        <w:fldChar w:fldCharType="begin"/>
      </w:r>
      <w:r w:rsidR="00530F73" w:rsidRPr="008D2EA0">
        <w:instrText xml:space="preserve"> REF _Ref330515403 \r \h </w:instrText>
      </w:r>
      <w:r w:rsidR="00530F73" w:rsidRPr="008D2EA0">
        <w:fldChar w:fldCharType="separate"/>
      </w:r>
      <w:r w:rsidR="00E73FF2">
        <w:t>[23]</w:t>
      </w:r>
      <w:r w:rsidR="00530F73" w:rsidRPr="008D2EA0">
        <w:fldChar w:fldCharType="end"/>
      </w:r>
      <w:r w:rsidR="00E41E35" w:rsidRPr="008D2EA0">
        <w:t xml:space="preserve"> which were studying the general coexistence issues in the band 470-862 MHz. </w:t>
      </w:r>
    </w:p>
    <w:p w:rsidR="00E41E35" w:rsidRPr="008D2EA0" w:rsidRDefault="005A734E" w:rsidP="00E41E35">
      <w:pPr>
        <w:pStyle w:val="ECCParagraph"/>
      </w:pPr>
      <w:r w:rsidRPr="008D2EA0">
        <w:t xml:space="preserve">The CEPT Report 39 </w:t>
      </w:r>
      <w:r w:rsidRPr="008D2EA0">
        <w:fldChar w:fldCharType="begin"/>
      </w:r>
      <w:r w:rsidRPr="008D2EA0">
        <w:instrText xml:space="preserve"> REF _Ref332818057 \r \h </w:instrText>
      </w:r>
      <w:r w:rsidRPr="008D2EA0">
        <w:fldChar w:fldCharType="separate"/>
      </w:r>
      <w:r w:rsidR="00E73FF2">
        <w:t>[24]</w:t>
      </w:r>
      <w:r w:rsidRPr="008D2EA0">
        <w:fldChar w:fldCharType="end"/>
      </w:r>
      <w:r w:rsidR="00E41E35" w:rsidRPr="008D2EA0">
        <w:t xml:space="preserve"> developed LRTCs for Electronic Communication networks (ECNs) and low power applications in the 2 GHz bands (i.e. in the bands 1920-1980 MHz paired with 2110-2170 MHz as well as in the bands 1900-1920 MHz and 2010-2025 MHz).</w:t>
      </w:r>
    </w:p>
    <w:p w:rsidR="00E41E35" w:rsidRPr="008D2EA0" w:rsidRDefault="00E41E35" w:rsidP="00E41E35">
      <w:pPr>
        <w:rPr>
          <w:rFonts w:cs="Arial"/>
          <w:szCs w:val="22"/>
          <w:lang w:val="en-GB"/>
        </w:rPr>
      </w:pPr>
      <w:r w:rsidRPr="008D2EA0">
        <w:rPr>
          <w:rFonts w:cs="Arial"/>
          <w:szCs w:val="22"/>
          <w:lang w:val="en-GB"/>
        </w:rPr>
        <w:t xml:space="preserve">The ECC Report 131 </w:t>
      </w:r>
      <w:r w:rsidR="001A06AC" w:rsidRPr="008D2EA0">
        <w:rPr>
          <w:rFonts w:cs="Arial"/>
          <w:szCs w:val="22"/>
          <w:lang w:val="en-GB"/>
        </w:rPr>
        <w:fldChar w:fldCharType="begin"/>
      </w:r>
      <w:r w:rsidR="001A06AC" w:rsidRPr="008D2EA0">
        <w:rPr>
          <w:rFonts w:cs="Arial"/>
          <w:szCs w:val="22"/>
          <w:lang w:val="en-GB"/>
        </w:rPr>
        <w:instrText xml:space="preserve"> REF _Ref330514912 \r \h </w:instrText>
      </w:r>
      <w:r w:rsidR="001A06AC" w:rsidRPr="008D2EA0">
        <w:rPr>
          <w:rFonts w:cs="Arial"/>
          <w:szCs w:val="22"/>
          <w:lang w:val="en-GB"/>
        </w:rPr>
      </w:r>
      <w:r w:rsidR="001A06AC" w:rsidRPr="008D2EA0">
        <w:rPr>
          <w:rFonts w:cs="Arial"/>
          <w:szCs w:val="22"/>
          <w:lang w:val="en-GB"/>
        </w:rPr>
        <w:fldChar w:fldCharType="separate"/>
      </w:r>
      <w:r w:rsidR="00E73FF2">
        <w:rPr>
          <w:rFonts w:cs="Arial"/>
          <w:szCs w:val="22"/>
          <w:lang w:val="en-GB"/>
        </w:rPr>
        <w:t>[25]</w:t>
      </w:r>
      <w:r w:rsidR="001A06AC" w:rsidRPr="008D2EA0">
        <w:rPr>
          <w:rFonts w:cs="Arial"/>
          <w:szCs w:val="22"/>
          <w:lang w:val="en-GB"/>
        </w:rPr>
        <w:fldChar w:fldCharType="end"/>
      </w:r>
      <w:r w:rsidRPr="008D2EA0">
        <w:rPr>
          <w:rFonts w:cs="Arial"/>
          <w:szCs w:val="22"/>
          <w:lang w:val="en-GB"/>
        </w:rPr>
        <w:t xml:space="preserve"> studied the coexistence issues between terminals deployed under LRTCs in the band 2500-2690 MHz. </w:t>
      </w:r>
    </w:p>
    <w:p w:rsidR="00E41E35" w:rsidRPr="008D2EA0" w:rsidRDefault="00E41E35" w:rsidP="00E41E35">
      <w:pPr>
        <w:rPr>
          <w:rFonts w:cs="Arial"/>
          <w:szCs w:val="22"/>
          <w:lang w:val="en-GB"/>
        </w:rPr>
      </w:pPr>
    </w:p>
    <w:p w:rsidR="00E41E35" w:rsidRPr="008D2EA0" w:rsidRDefault="00E41E35" w:rsidP="00E41E35">
      <w:pPr>
        <w:spacing w:after="60"/>
        <w:rPr>
          <w:rFonts w:cs="Arial"/>
          <w:szCs w:val="22"/>
          <w:lang w:val="en-GB"/>
        </w:rPr>
      </w:pPr>
      <w:r w:rsidRPr="008D2EA0">
        <w:rPr>
          <w:rFonts w:cs="Arial"/>
          <w:szCs w:val="22"/>
          <w:lang w:val="en-GB"/>
        </w:rPr>
        <w:t>From the above Reports, it can be noted that:</w:t>
      </w:r>
    </w:p>
    <w:p w:rsidR="00E41E35" w:rsidRPr="008D2EA0" w:rsidRDefault="00E41E35" w:rsidP="000F6780">
      <w:pPr>
        <w:pStyle w:val="ECCParBulleted"/>
        <w:numPr>
          <w:ilvl w:val="0"/>
          <w:numId w:val="18"/>
        </w:numPr>
      </w:pPr>
      <w:r w:rsidRPr="008D2EA0">
        <w:t>Block Edge Masks (BEMs) combined with a harmonised band plan are the preferred option, and the only option selected so far, to implement LRTCs, i.e. to control adjacent frequency interference (both within the band and at the edge of the band);</w:t>
      </w:r>
    </w:p>
    <w:p w:rsidR="00E41E35" w:rsidRPr="008D2EA0" w:rsidRDefault="00E41E35" w:rsidP="000F6780">
      <w:pPr>
        <w:pStyle w:val="ECCParBulleted"/>
        <w:numPr>
          <w:ilvl w:val="0"/>
          <w:numId w:val="18"/>
        </w:numPr>
      </w:pPr>
      <w:r w:rsidRPr="008D2EA0">
        <w:t xml:space="preserve">CEPT Report 19 </w:t>
      </w:r>
      <w:r w:rsidR="001A06AC" w:rsidRPr="008D2EA0">
        <w:fldChar w:fldCharType="begin"/>
      </w:r>
      <w:r w:rsidR="001A06AC" w:rsidRPr="008D2EA0">
        <w:instrText xml:space="preserve"> REF _Ref330514924 \r \h </w:instrText>
      </w:r>
      <w:r w:rsidR="001A06AC" w:rsidRPr="008D2EA0">
        <w:fldChar w:fldCharType="separate"/>
      </w:r>
      <w:r w:rsidR="00E73FF2">
        <w:t>[20]</w:t>
      </w:r>
      <w:r w:rsidR="001A06AC" w:rsidRPr="008D2EA0">
        <w:fldChar w:fldCharType="end"/>
      </w:r>
      <w:r w:rsidR="001A06AC" w:rsidRPr="008D2EA0">
        <w:t xml:space="preserve"> </w:t>
      </w:r>
      <w:r w:rsidRPr="008D2EA0">
        <w:t xml:space="preserve">indicated that the aggregate PFD model or field strength is suitable to address scenarios related to co-frequency compatibility in geographically different service areas. However, this </w:t>
      </w:r>
      <w:r w:rsidR="00875301">
        <w:t>has</w:t>
      </w:r>
      <w:r w:rsidRPr="008D2EA0">
        <w:t xml:space="preserve"> not </w:t>
      </w:r>
      <w:r w:rsidR="00676E37">
        <w:t xml:space="preserve">been </w:t>
      </w:r>
      <w:r w:rsidRPr="008D2EA0">
        <w:t>implemented up to now.</w:t>
      </w:r>
    </w:p>
    <w:p w:rsidR="00E41E35" w:rsidRPr="008D2EA0" w:rsidRDefault="00E41E35" w:rsidP="000F6780">
      <w:pPr>
        <w:pStyle w:val="ECCParBulleted"/>
        <w:numPr>
          <w:ilvl w:val="0"/>
          <w:numId w:val="18"/>
        </w:numPr>
      </w:pPr>
      <w:r w:rsidRPr="008D2EA0">
        <w:t>Establishing LRTCs rel</w:t>
      </w:r>
      <w:r w:rsidR="003B7DCB" w:rsidRPr="008D2EA0">
        <w:t>ies</w:t>
      </w:r>
      <w:r w:rsidRPr="008D2EA0">
        <w:t xml:space="preserve"> on the selection of a reference system (network scenario, receiver performance, etc). However, BEMs have been developed for high level groups gathering a large number of applications. It is likely that LRTCs for co-frequency sharing can be developed for such high level groups. This is detailed in the following section.</w:t>
      </w:r>
    </w:p>
    <w:p w:rsidR="00E41E35" w:rsidRPr="008D2EA0" w:rsidRDefault="00E41E35" w:rsidP="00E41E35">
      <w:pPr>
        <w:rPr>
          <w:rFonts w:cs="Arial"/>
          <w:szCs w:val="22"/>
          <w:lang w:val="en-GB"/>
        </w:rPr>
      </w:pPr>
      <w:r w:rsidRPr="008D2EA0">
        <w:rPr>
          <w:rFonts w:cs="Arial"/>
          <w:szCs w:val="22"/>
          <w:lang w:val="en-GB"/>
        </w:rPr>
        <w:t xml:space="preserve">  </w:t>
      </w:r>
    </w:p>
    <w:p w:rsidR="00E41E35" w:rsidRPr="008D2EA0" w:rsidRDefault="00E41E35" w:rsidP="00E41E35">
      <w:pPr>
        <w:rPr>
          <w:rFonts w:cs="Arial"/>
          <w:szCs w:val="22"/>
          <w:lang w:val="en-GB"/>
        </w:rPr>
      </w:pPr>
      <w:r w:rsidRPr="008D2EA0">
        <w:rPr>
          <w:rFonts w:cs="Arial"/>
          <w:szCs w:val="22"/>
          <w:lang w:val="en-GB"/>
        </w:rPr>
        <w:t>It is not the purpose of this Report to establish the technical detail</w:t>
      </w:r>
      <w:r w:rsidR="00676E37">
        <w:rPr>
          <w:rFonts w:cs="Arial"/>
          <w:szCs w:val="22"/>
          <w:lang w:val="en-GB"/>
        </w:rPr>
        <w:t>s</w:t>
      </w:r>
      <w:r w:rsidRPr="008D2EA0">
        <w:rPr>
          <w:rFonts w:cs="Arial"/>
          <w:szCs w:val="22"/>
          <w:lang w:val="en-GB"/>
        </w:rPr>
        <w:t xml:space="preserve"> of appropriate LRTCs</w:t>
      </w:r>
      <w:r w:rsidR="00676E37">
        <w:rPr>
          <w:rFonts w:cs="Arial"/>
          <w:szCs w:val="22"/>
          <w:lang w:val="en-GB"/>
        </w:rPr>
        <w:t>,</w:t>
      </w:r>
      <w:r w:rsidRPr="008D2EA0">
        <w:rPr>
          <w:rFonts w:cs="Arial"/>
          <w:szCs w:val="22"/>
          <w:lang w:val="en-GB"/>
        </w:rPr>
        <w:t xml:space="preserve"> however a general LRTC framework can be derived from past CEPT experience in developing BEMs.</w:t>
      </w:r>
    </w:p>
    <w:p w:rsidR="00E41E35" w:rsidRPr="008D2EA0" w:rsidRDefault="00E41E35" w:rsidP="00E41E35">
      <w:pPr>
        <w:rPr>
          <w:rFonts w:cs="Arial"/>
          <w:szCs w:val="22"/>
          <w:lang w:val="en-GB"/>
        </w:rPr>
      </w:pPr>
    </w:p>
    <w:p w:rsidR="00E41E35" w:rsidRPr="008D2EA0" w:rsidRDefault="00E41E35" w:rsidP="00E41E35">
      <w:pPr>
        <w:jc w:val="both"/>
        <w:rPr>
          <w:rFonts w:cs="Arial"/>
          <w:szCs w:val="22"/>
          <w:lang w:val="en-GB"/>
        </w:rPr>
      </w:pPr>
      <w:r w:rsidRPr="008D2EA0">
        <w:rPr>
          <w:rFonts w:cs="Arial"/>
          <w:szCs w:val="22"/>
          <w:lang w:val="en-GB"/>
        </w:rPr>
        <w:t>CEPT has some experience in developing BEM, however, the practical experience relating to the implementation of this concept is still limited.</w:t>
      </w:r>
      <w:r w:rsidR="003B7DCB" w:rsidRPr="008D2EA0">
        <w:rPr>
          <w:rFonts w:cs="Arial"/>
          <w:szCs w:val="22"/>
          <w:lang w:val="en-GB"/>
        </w:rPr>
        <w:t xml:space="preserve"> </w:t>
      </w:r>
    </w:p>
    <w:p w:rsidR="00E41E35" w:rsidRPr="008D2EA0" w:rsidRDefault="007E42E6" w:rsidP="00F21C76">
      <w:pPr>
        <w:pStyle w:val="Heading3"/>
      </w:pPr>
      <w:bookmarkStart w:id="136" w:name="_Toc349039298"/>
      <w:r w:rsidRPr="008D2EA0">
        <w:t>Po</w:t>
      </w:r>
      <w:r w:rsidR="00E41E35" w:rsidRPr="008D2EA0">
        <w:t>ssible sets of LRTC to be developed</w:t>
      </w:r>
      <w:bookmarkEnd w:id="136"/>
    </w:p>
    <w:p w:rsidR="00E41E35" w:rsidRPr="008D2EA0" w:rsidRDefault="00E41E35" w:rsidP="00F21C76">
      <w:pPr>
        <w:pStyle w:val="ECCParagraph"/>
        <w:keepNext/>
      </w:pPr>
      <w:r w:rsidRPr="008D2EA0">
        <w:t>By reviewing the applications under consideration, it can be established that the platforms that deliver those applications are satellite-based, terrestrial-based or airborne-based.</w:t>
      </w:r>
    </w:p>
    <w:p w:rsidR="00E41E35" w:rsidRPr="008D2EA0" w:rsidRDefault="00E41E35" w:rsidP="00F21C76">
      <w:pPr>
        <w:pStyle w:val="ECCTabletitle"/>
      </w:pPr>
      <w:r w:rsidRPr="008D2EA0">
        <w:t>Platform to deliver the applications under consideration</w:t>
      </w:r>
    </w:p>
    <w:tbl>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786"/>
        <w:gridCol w:w="1701"/>
        <w:gridCol w:w="1559"/>
        <w:gridCol w:w="1418"/>
      </w:tblGrid>
      <w:tr w:rsidR="00E41E35" w:rsidRPr="008D2EA0" w:rsidTr="00E41E35">
        <w:trPr>
          <w:tblHeader/>
        </w:trPr>
        <w:tc>
          <w:tcPr>
            <w:tcW w:w="4786"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E41E35" w:rsidRPr="008D2EA0" w:rsidRDefault="00E41E35">
            <w:pPr>
              <w:spacing w:line="288" w:lineRule="auto"/>
              <w:jc w:val="center"/>
              <w:rPr>
                <w:b/>
                <w:color w:val="FFFFFF"/>
                <w:lang w:val="en-GB"/>
              </w:rPr>
            </w:pPr>
            <w:r w:rsidRPr="008D2EA0">
              <w:rPr>
                <w:b/>
                <w:color w:val="FFFFFF"/>
                <w:lang w:val="en-GB"/>
              </w:rPr>
              <w:t>Candidate Application</w:t>
            </w:r>
          </w:p>
        </w:tc>
        <w:tc>
          <w:tcPr>
            <w:tcW w:w="1701"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E41E35" w:rsidRPr="008D2EA0" w:rsidRDefault="00E41E35">
            <w:pPr>
              <w:spacing w:line="288" w:lineRule="auto"/>
              <w:jc w:val="center"/>
              <w:rPr>
                <w:b/>
                <w:color w:val="FFFFFF"/>
                <w:lang w:val="en-GB"/>
              </w:rPr>
            </w:pPr>
            <w:r w:rsidRPr="008D2EA0">
              <w:rPr>
                <w:b/>
                <w:color w:val="FFFFFF"/>
                <w:lang w:val="en-GB"/>
              </w:rPr>
              <w:t>Satellite (inc. Terrestrial Component)</w:t>
            </w:r>
          </w:p>
        </w:tc>
        <w:tc>
          <w:tcPr>
            <w:tcW w:w="1559"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E41E35" w:rsidRPr="008D2EA0" w:rsidRDefault="00E41E35">
            <w:pPr>
              <w:spacing w:line="288" w:lineRule="auto"/>
              <w:jc w:val="center"/>
              <w:rPr>
                <w:b/>
                <w:color w:val="FFFFFF"/>
                <w:lang w:val="en-GB"/>
              </w:rPr>
            </w:pPr>
            <w:r w:rsidRPr="008D2EA0">
              <w:rPr>
                <w:b/>
                <w:color w:val="FFFFFF"/>
                <w:lang w:val="en-GB"/>
              </w:rPr>
              <w:t>Terrestrial</w:t>
            </w:r>
          </w:p>
        </w:tc>
        <w:tc>
          <w:tcPr>
            <w:tcW w:w="1418"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E41E35" w:rsidRPr="008D2EA0" w:rsidRDefault="00E41E35">
            <w:pPr>
              <w:spacing w:line="288" w:lineRule="auto"/>
              <w:jc w:val="center"/>
              <w:rPr>
                <w:b/>
                <w:color w:val="FFFFFF"/>
                <w:lang w:val="en-GB"/>
              </w:rPr>
            </w:pPr>
            <w:r w:rsidRPr="008D2EA0">
              <w:rPr>
                <w:b/>
                <w:color w:val="FFFFFF"/>
                <w:lang w:val="en-GB"/>
              </w:rPr>
              <w:t>Airborne</w:t>
            </w:r>
          </w:p>
        </w:tc>
      </w:tr>
      <w:tr w:rsidR="00E41E35" w:rsidRPr="008D2EA0" w:rsidTr="00574632">
        <w:tc>
          <w:tcPr>
            <w:tcW w:w="4786" w:type="dxa"/>
            <w:tcBorders>
              <w:top w:val="single" w:sz="4" w:space="0" w:color="D2232A"/>
              <w:left w:val="single" w:sz="4" w:space="0" w:color="D2232A"/>
              <w:bottom w:val="single" w:sz="4" w:space="0" w:color="D2232A"/>
              <w:right w:val="single" w:sz="4" w:space="0" w:color="D2232A"/>
            </w:tcBorders>
            <w:hideMark/>
          </w:tcPr>
          <w:p w:rsidR="00E41E35" w:rsidRPr="008D2EA0" w:rsidRDefault="00E41E35">
            <w:pPr>
              <w:spacing w:line="276" w:lineRule="auto"/>
              <w:rPr>
                <w:lang w:val="en-GB"/>
              </w:rPr>
            </w:pPr>
            <w:r w:rsidRPr="008D2EA0">
              <w:rPr>
                <w:lang w:val="en-GB"/>
              </w:rPr>
              <w:t>Terrestrial Broadcasting</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rsidR="00E41E35" w:rsidRPr="00574632" w:rsidRDefault="00E41E35">
            <w:pPr>
              <w:spacing w:line="276" w:lineRule="auto"/>
              <w:jc w:val="center"/>
              <w:rPr>
                <w:lang w:val="en-GB"/>
              </w:rPr>
            </w:pPr>
          </w:p>
        </w:tc>
        <w:tc>
          <w:tcPr>
            <w:tcW w:w="1559" w:type="dxa"/>
            <w:tcBorders>
              <w:top w:val="single" w:sz="4" w:space="0" w:color="D2232A"/>
              <w:left w:val="single" w:sz="4" w:space="0" w:color="D2232A"/>
              <w:bottom w:val="single" w:sz="4" w:space="0" w:color="D2232A"/>
              <w:right w:val="single" w:sz="4" w:space="0" w:color="D2232A"/>
            </w:tcBorders>
            <w:shd w:val="clear" w:color="auto" w:fill="auto"/>
            <w:hideMark/>
          </w:tcPr>
          <w:p w:rsidR="00E41E35" w:rsidRPr="00574632" w:rsidRDefault="00E41E35">
            <w:pPr>
              <w:autoSpaceDE w:val="0"/>
              <w:snapToGrid w:val="0"/>
              <w:spacing w:line="276" w:lineRule="auto"/>
              <w:jc w:val="center"/>
              <w:rPr>
                <w:rFonts w:cs="Arial"/>
                <w:sz w:val="22"/>
                <w:lang w:val="en-GB" w:eastAsia="de-DE"/>
              </w:rPr>
            </w:pPr>
            <w:r w:rsidRPr="00574632">
              <w:rPr>
                <w:rFonts w:cs="Arial"/>
                <w:sz w:val="26"/>
                <w:szCs w:val="26"/>
                <w:lang w:val="en-GB" w:eastAsia="ar-SA"/>
              </w:rPr>
              <w:t>■</w:t>
            </w:r>
          </w:p>
        </w:tc>
        <w:tc>
          <w:tcPr>
            <w:tcW w:w="1418" w:type="dxa"/>
            <w:tcBorders>
              <w:top w:val="single" w:sz="4" w:space="0" w:color="D2232A"/>
              <w:left w:val="single" w:sz="4" w:space="0" w:color="D2232A"/>
              <w:bottom w:val="single" w:sz="4" w:space="0" w:color="D2232A"/>
              <w:right w:val="single" w:sz="4" w:space="0" w:color="D2232A"/>
            </w:tcBorders>
            <w:shd w:val="clear" w:color="auto" w:fill="auto"/>
            <w:vAlign w:val="center"/>
          </w:tcPr>
          <w:p w:rsidR="00E41E35" w:rsidRPr="00574632" w:rsidRDefault="00E41E35">
            <w:pPr>
              <w:spacing w:line="288" w:lineRule="auto"/>
              <w:rPr>
                <w:lang w:val="en-GB"/>
              </w:rPr>
            </w:pPr>
          </w:p>
        </w:tc>
      </w:tr>
      <w:tr w:rsidR="00E41E35" w:rsidRPr="008D2EA0" w:rsidTr="00574632">
        <w:tc>
          <w:tcPr>
            <w:tcW w:w="4786" w:type="dxa"/>
            <w:tcBorders>
              <w:top w:val="single" w:sz="4" w:space="0" w:color="D2232A"/>
              <w:left w:val="single" w:sz="4" w:space="0" w:color="D2232A"/>
              <w:bottom w:val="single" w:sz="4" w:space="0" w:color="D2232A"/>
              <w:right w:val="single" w:sz="4" w:space="0" w:color="D2232A"/>
            </w:tcBorders>
            <w:hideMark/>
          </w:tcPr>
          <w:p w:rsidR="00E41E35" w:rsidRPr="008D2EA0" w:rsidRDefault="00E41E35">
            <w:pPr>
              <w:spacing w:line="276" w:lineRule="auto"/>
              <w:rPr>
                <w:lang w:val="en-GB"/>
              </w:rPr>
            </w:pPr>
            <w:r w:rsidRPr="008D2EA0">
              <w:rPr>
                <w:lang w:val="en-GB"/>
              </w:rPr>
              <w:t>Mobile Broadband</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rsidR="00E41E35" w:rsidRPr="00574632" w:rsidRDefault="00E41E35">
            <w:pPr>
              <w:spacing w:line="276" w:lineRule="auto"/>
              <w:jc w:val="center"/>
              <w:rPr>
                <w:lang w:val="en-GB"/>
              </w:rPr>
            </w:pPr>
          </w:p>
        </w:tc>
        <w:tc>
          <w:tcPr>
            <w:tcW w:w="1559" w:type="dxa"/>
            <w:tcBorders>
              <w:top w:val="single" w:sz="4" w:space="0" w:color="D2232A"/>
              <w:left w:val="single" w:sz="4" w:space="0" w:color="D2232A"/>
              <w:bottom w:val="single" w:sz="4" w:space="0" w:color="D2232A"/>
              <w:right w:val="single" w:sz="4" w:space="0" w:color="D2232A"/>
            </w:tcBorders>
            <w:shd w:val="clear" w:color="auto" w:fill="auto"/>
            <w:hideMark/>
          </w:tcPr>
          <w:p w:rsidR="00E41E35" w:rsidRPr="00574632" w:rsidRDefault="00E41E35">
            <w:pPr>
              <w:pStyle w:val="TableContents"/>
              <w:snapToGrid w:val="0"/>
              <w:spacing w:line="276" w:lineRule="auto"/>
              <w:jc w:val="center"/>
              <w:rPr>
                <w:rFonts w:ascii="Arial" w:hAnsi="Arial" w:cs="Arial"/>
                <w:sz w:val="22"/>
              </w:rPr>
            </w:pPr>
            <w:r w:rsidRPr="00574632">
              <w:rPr>
                <w:rFonts w:ascii="Arial" w:hAnsi="Arial" w:cs="Arial"/>
                <w:sz w:val="26"/>
                <w:szCs w:val="26"/>
                <w:lang w:eastAsia="ar-SA" w:bidi="ar-SA"/>
              </w:rPr>
              <w:t>■</w:t>
            </w:r>
          </w:p>
        </w:tc>
        <w:tc>
          <w:tcPr>
            <w:tcW w:w="1418" w:type="dxa"/>
            <w:tcBorders>
              <w:top w:val="single" w:sz="4" w:space="0" w:color="D2232A"/>
              <w:left w:val="single" w:sz="4" w:space="0" w:color="D2232A"/>
              <w:bottom w:val="single" w:sz="4" w:space="0" w:color="D2232A"/>
              <w:right w:val="single" w:sz="4" w:space="0" w:color="D2232A"/>
            </w:tcBorders>
            <w:shd w:val="clear" w:color="auto" w:fill="auto"/>
            <w:vAlign w:val="center"/>
          </w:tcPr>
          <w:p w:rsidR="00E41E35" w:rsidRPr="00574632" w:rsidRDefault="00E41E35">
            <w:pPr>
              <w:spacing w:line="288" w:lineRule="auto"/>
              <w:rPr>
                <w:lang w:val="en-GB"/>
              </w:rPr>
            </w:pPr>
          </w:p>
        </w:tc>
      </w:tr>
      <w:tr w:rsidR="00E41E35" w:rsidRPr="008D2EA0" w:rsidTr="00574632">
        <w:tc>
          <w:tcPr>
            <w:tcW w:w="4786" w:type="dxa"/>
            <w:tcBorders>
              <w:top w:val="single" w:sz="4" w:space="0" w:color="D2232A"/>
              <w:left w:val="single" w:sz="4" w:space="0" w:color="D2232A"/>
              <w:bottom w:val="single" w:sz="4" w:space="0" w:color="D2232A"/>
              <w:right w:val="single" w:sz="4" w:space="0" w:color="D2232A"/>
            </w:tcBorders>
            <w:hideMark/>
          </w:tcPr>
          <w:p w:rsidR="00E41E35" w:rsidRPr="008D2EA0" w:rsidRDefault="00E41E35">
            <w:pPr>
              <w:spacing w:line="276" w:lineRule="auto"/>
              <w:rPr>
                <w:lang w:val="en-GB"/>
              </w:rPr>
            </w:pPr>
            <w:r w:rsidRPr="008D2EA0">
              <w:rPr>
                <w:lang w:val="en-GB"/>
              </w:rPr>
              <w:t>Mobile SDL</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rsidR="00E41E35" w:rsidRPr="00574632" w:rsidRDefault="00E41E35">
            <w:pPr>
              <w:spacing w:line="276" w:lineRule="auto"/>
              <w:jc w:val="center"/>
              <w:rPr>
                <w:lang w:val="en-GB"/>
              </w:rPr>
            </w:pPr>
          </w:p>
        </w:tc>
        <w:tc>
          <w:tcPr>
            <w:tcW w:w="1559" w:type="dxa"/>
            <w:tcBorders>
              <w:top w:val="single" w:sz="4" w:space="0" w:color="D2232A"/>
              <w:left w:val="single" w:sz="4" w:space="0" w:color="D2232A"/>
              <w:bottom w:val="single" w:sz="4" w:space="0" w:color="D2232A"/>
              <w:right w:val="single" w:sz="4" w:space="0" w:color="D2232A"/>
            </w:tcBorders>
            <w:shd w:val="clear" w:color="auto" w:fill="auto"/>
            <w:hideMark/>
          </w:tcPr>
          <w:p w:rsidR="00E41E35" w:rsidRPr="00574632" w:rsidRDefault="00E41E35">
            <w:pPr>
              <w:pStyle w:val="TableContents"/>
              <w:snapToGrid w:val="0"/>
              <w:spacing w:line="276" w:lineRule="auto"/>
              <w:jc w:val="center"/>
              <w:rPr>
                <w:rFonts w:ascii="Arial" w:hAnsi="Arial" w:cs="Arial"/>
                <w:sz w:val="22"/>
              </w:rPr>
            </w:pPr>
            <w:r w:rsidRPr="00574632">
              <w:rPr>
                <w:rFonts w:ascii="Arial" w:hAnsi="Arial" w:cs="Arial"/>
                <w:sz w:val="26"/>
                <w:szCs w:val="26"/>
                <w:lang w:eastAsia="ar-SA" w:bidi="ar-SA"/>
              </w:rPr>
              <w:t>■</w:t>
            </w:r>
          </w:p>
        </w:tc>
        <w:tc>
          <w:tcPr>
            <w:tcW w:w="1418" w:type="dxa"/>
            <w:tcBorders>
              <w:top w:val="single" w:sz="4" w:space="0" w:color="D2232A"/>
              <w:left w:val="single" w:sz="4" w:space="0" w:color="D2232A"/>
              <w:bottom w:val="single" w:sz="4" w:space="0" w:color="D2232A"/>
              <w:right w:val="single" w:sz="4" w:space="0" w:color="D2232A"/>
            </w:tcBorders>
            <w:shd w:val="clear" w:color="auto" w:fill="auto"/>
            <w:vAlign w:val="center"/>
          </w:tcPr>
          <w:p w:rsidR="00E41E35" w:rsidRPr="00574632" w:rsidRDefault="00E41E35">
            <w:pPr>
              <w:spacing w:line="288" w:lineRule="auto"/>
              <w:rPr>
                <w:lang w:val="en-GB"/>
              </w:rPr>
            </w:pPr>
          </w:p>
        </w:tc>
      </w:tr>
      <w:tr w:rsidR="00E41E35" w:rsidRPr="008D2EA0" w:rsidTr="00574632">
        <w:tc>
          <w:tcPr>
            <w:tcW w:w="4786" w:type="dxa"/>
            <w:tcBorders>
              <w:top w:val="single" w:sz="4" w:space="0" w:color="D2232A"/>
              <w:left w:val="single" w:sz="4" w:space="0" w:color="D2232A"/>
              <w:bottom w:val="single" w:sz="4" w:space="0" w:color="D2232A"/>
              <w:right w:val="single" w:sz="4" w:space="0" w:color="D2232A"/>
            </w:tcBorders>
            <w:hideMark/>
          </w:tcPr>
          <w:p w:rsidR="00E41E35" w:rsidRPr="008D2EA0" w:rsidRDefault="00E41E35">
            <w:pPr>
              <w:spacing w:line="276" w:lineRule="auto"/>
              <w:rPr>
                <w:lang w:val="en-GB"/>
              </w:rPr>
            </w:pPr>
            <w:r w:rsidRPr="008D2EA0">
              <w:rPr>
                <w:lang w:val="en-GB"/>
              </w:rPr>
              <w:t xml:space="preserve">Satellite Digital Audio Broadcasting </w:t>
            </w:r>
          </w:p>
        </w:tc>
        <w:tc>
          <w:tcPr>
            <w:tcW w:w="1701" w:type="dxa"/>
            <w:tcBorders>
              <w:top w:val="single" w:sz="4" w:space="0" w:color="D2232A"/>
              <w:left w:val="single" w:sz="4" w:space="0" w:color="D2232A"/>
              <w:bottom w:val="single" w:sz="4" w:space="0" w:color="D2232A"/>
              <w:right w:val="single" w:sz="4" w:space="0" w:color="D2232A"/>
            </w:tcBorders>
            <w:shd w:val="clear" w:color="auto" w:fill="auto"/>
            <w:hideMark/>
          </w:tcPr>
          <w:p w:rsidR="00E41E35" w:rsidRPr="00574632" w:rsidRDefault="00E41E35">
            <w:pPr>
              <w:pStyle w:val="TableContents"/>
              <w:snapToGrid w:val="0"/>
              <w:spacing w:line="276" w:lineRule="auto"/>
              <w:jc w:val="center"/>
              <w:rPr>
                <w:rFonts w:ascii="Arial" w:hAnsi="Arial" w:cs="Arial"/>
                <w:sz w:val="22"/>
              </w:rPr>
            </w:pPr>
            <w:r w:rsidRPr="00574632">
              <w:rPr>
                <w:rFonts w:ascii="Arial" w:hAnsi="Arial" w:cs="Arial"/>
                <w:sz w:val="26"/>
                <w:szCs w:val="26"/>
                <w:lang w:eastAsia="ar-SA" w:bidi="ar-SA"/>
              </w:rPr>
              <w:t>■</w:t>
            </w:r>
          </w:p>
        </w:tc>
        <w:tc>
          <w:tcPr>
            <w:tcW w:w="1559" w:type="dxa"/>
            <w:tcBorders>
              <w:top w:val="single" w:sz="4" w:space="0" w:color="D2232A"/>
              <w:left w:val="single" w:sz="4" w:space="0" w:color="D2232A"/>
              <w:bottom w:val="single" w:sz="4" w:space="0" w:color="D2232A"/>
              <w:right w:val="single" w:sz="4" w:space="0" w:color="D2232A"/>
            </w:tcBorders>
            <w:shd w:val="clear" w:color="auto" w:fill="auto"/>
          </w:tcPr>
          <w:p w:rsidR="00E41E35" w:rsidRPr="00574632" w:rsidRDefault="00E41E35">
            <w:pPr>
              <w:pStyle w:val="TableContents"/>
              <w:snapToGrid w:val="0"/>
              <w:spacing w:line="276" w:lineRule="auto"/>
              <w:jc w:val="center"/>
              <w:rPr>
                <w:rFonts w:ascii="Arial" w:hAnsi="Arial" w:cs="Arial"/>
                <w:sz w:val="22"/>
              </w:rPr>
            </w:pPr>
          </w:p>
        </w:tc>
        <w:tc>
          <w:tcPr>
            <w:tcW w:w="1418" w:type="dxa"/>
            <w:tcBorders>
              <w:top w:val="single" w:sz="4" w:space="0" w:color="D2232A"/>
              <w:left w:val="single" w:sz="4" w:space="0" w:color="D2232A"/>
              <w:bottom w:val="single" w:sz="4" w:space="0" w:color="D2232A"/>
              <w:right w:val="single" w:sz="4" w:space="0" w:color="D2232A"/>
            </w:tcBorders>
            <w:shd w:val="clear" w:color="auto" w:fill="auto"/>
            <w:vAlign w:val="center"/>
          </w:tcPr>
          <w:p w:rsidR="00E41E35" w:rsidRPr="00574632" w:rsidRDefault="00E41E35">
            <w:pPr>
              <w:spacing w:line="288" w:lineRule="auto"/>
              <w:rPr>
                <w:lang w:val="en-GB"/>
              </w:rPr>
            </w:pPr>
          </w:p>
        </w:tc>
      </w:tr>
      <w:tr w:rsidR="00E41E35" w:rsidRPr="008D2EA0" w:rsidTr="00574632">
        <w:tc>
          <w:tcPr>
            <w:tcW w:w="4786" w:type="dxa"/>
            <w:tcBorders>
              <w:top w:val="single" w:sz="4" w:space="0" w:color="D2232A"/>
              <w:left w:val="single" w:sz="4" w:space="0" w:color="D2232A"/>
              <w:bottom w:val="single" w:sz="4" w:space="0" w:color="D2232A"/>
              <w:right w:val="single" w:sz="4" w:space="0" w:color="D2232A"/>
            </w:tcBorders>
            <w:hideMark/>
          </w:tcPr>
          <w:p w:rsidR="00E41E35" w:rsidRPr="008D2EA0" w:rsidRDefault="00E41E35">
            <w:pPr>
              <w:spacing w:line="276" w:lineRule="auto"/>
              <w:rPr>
                <w:lang w:val="en-GB"/>
              </w:rPr>
            </w:pPr>
            <w:r w:rsidRPr="008D2EA0">
              <w:rPr>
                <w:lang w:val="en-GB"/>
              </w:rPr>
              <w:t>Programme Making and Special Events (PMSE)</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rsidR="00E41E35" w:rsidRPr="00574632" w:rsidRDefault="00E41E35">
            <w:pPr>
              <w:pStyle w:val="TableContents"/>
              <w:snapToGrid w:val="0"/>
              <w:spacing w:line="276" w:lineRule="auto"/>
              <w:jc w:val="center"/>
              <w:rPr>
                <w:rFonts w:ascii="Arial" w:hAnsi="Arial" w:cs="Arial"/>
                <w:sz w:val="22"/>
              </w:rPr>
            </w:pPr>
          </w:p>
        </w:tc>
        <w:tc>
          <w:tcPr>
            <w:tcW w:w="1559" w:type="dxa"/>
            <w:tcBorders>
              <w:top w:val="single" w:sz="4" w:space="0" w:color="D2232A"/>
              <w:left w:val="single" w:sz="4" w:space="0" w:color="D2232A"/>
              <w:bottom w:val="single" w:sz="4" w:space="0" w:color="D2232A"/>
              <w:right w:val="single" w:sz="4" w:space="0" w:color="D2232A"/>
            </w:tcBorders>
            <w:shd w:val="clear" w:color="auto" w:fill="auto"/>
            <w:hideMark/>
          </w:tcPr>
          <w:p w:rsidR="00E41E35" w:rsidRPr="00574632" w:rsidRDefault="00E41E35">
            <w:pPr>
              <w:pStyle w:val="TableContents"/>
              <w:snapToGrid w:val="0"/>
              <w:spacing w:line="276" w:lineRule="auto"/>
              <w:jc w:val="center"/>
              <w:rPr>
                <w:rFonts w:ascii="Arial" w:hAnsi="Arial" w:cs="Arial"/>
                <w:sz w:val="22"/>
              </w:rPr>
            </w:pPr>
            <w:r w:rsidRPr="00574632">
              <w:rPr>
                <w:rFonts w:ascii="Arial" w:hAnsi="Arial" w:cs="Arial"/>
                <w:sz w:val="26"/>
                <w:szCs w:val="26"/>
                <w:lang w:eastAsia="ar-SA" w:bidi="ar-SA"/>
              </w:rPr>
              <w:t xml:space="preserve">■ </w:t>
            </w:r>
          </w:p>
        </w:tc>
        <w:tc>
          <w:tcPr>
            <w:tcW w:w="1418" w:type="dxa"/>
            <w:tcBorders>
              <w:top w:val="single" w:sz="4" w:space="0" w:color="D2232A"/>
              <w:left w:val="single" w:sz="4" w:space="0" w:color="D2232A"/>
              <w:bottom w:val="single" w:sz="4" w:space="0" w:color="D2232A"/>
              <w:right w:val="single" w:sz="4" w:space="0" w:color="D2232A"/>
            </w:tcBorders>
            <w:shd w:val="clear" w:color="auto" w:fill="auto"/>
          </w:tcPr>
          <w:p w:rsidR="00E41E35" w:rsidRPr="00574632" w:rsidRDefault="00E41E35">
            <w:pPr>
              <w:pStyle w:val="TableContents"/>
              <w:snapToGrid w:val="0"/>
              <w:spacing w:line="276" w:lineRule="auto"/>
              <w:jc w:val="center"/>
              <w:rPr>
                <w:rFonts w:ascii="Arial" w:hAnsi="Arial" w:cs="Arial"/>
                <w:sz w:val="26"/>
                <w:szCs w:val="26"/>
                <w:lang w:eastAsia="ar-SA" w:bidi="ar-SA"/>
              </w:rPr>
            </w:pPr>
          </w:p>
        </w:tc>
      </w:tr>
      <w:tr w:rsidR="00E41E35" w:rsidRPr="008D2EA0" w:rsidTr="00574632">
        <w:tc>
          <w:tcPr>
            <w:tcW w:w="4786" w:type="dxa"/>
            <w:tcBorders>
              <w:top w:val="single" w:sz="4" w:space="0" w:color="D2232A"/>
              <w:left w:val="single" w:sz="4" w:space="0" w:color="D2232A"/>
              <w:bottom w:val="single" w:sz="4" w:space="0" w:color="D2232A"/>
              <w:right w:val="single" w:sz="4" w:space="0" w:color="D2232A"/>
            </w:tcBorders>
            <w:hideMark/>
          </w:tcPr>
          <w:p w:rsidR="00E41E35" w:rsidRPr="008D2EA0" w:rsidRDefault="00676E37">
            <w:pPr>
              <w:spacing w:line="276" w:lineRule="auto"/>
              <w:rPr>
                <w:lang w:val="en-GB"/>
              </w:rPr>
            </w:pPr>
            <w:r>
              <w:rPr>
                <w:lang w:val="en-GB"/>
              </w:rPr>
              <w:t xml:space="preserve">Broadband </w:t>
            </w:r>
            <w:r w:rsidR="00E41E35" w:rsidRPr="008D2EA0">
              <w:rPr>
                <w:lang w:val="en-GB"/>
              </w:rPr>
              <w:t>Public Protection and Disaster Relief (</w:t>
            </w:r>
            <w:r>
              <w:rPr>
                <w:lang w:val="en-GB"/>
              </w:rPr>
              <w:t>B</w:t>
            </w:r>
            <w:r w:rsidR="00E41E35" w:rsidRPr="008D2EA0">
              <w:rPr>
                <w:lang w:val="en-GB"/>
              </w:rPr>
              <w:t>PPDR)</w:t>
            </w:r>
            <w:r>
              <w:rPr>
                <w:lang w:val="en-GB"/>
              </w:rPr>
              <w:t xml:space="preserve"> for temporary and local use </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rsidR="00E41E35" w:rsidRPr="00574632" w:rsidRDefault="00E41E35">
            <w:pPr>
              <w:pStyle w:val="TableContents"/>
              <w:snapToGrid w:val="0"/>
              <w:spacing w:line="276" w:lineRule="auto"/>
              <w:jc w:val="center"/>
              <w:rPr>
                <w:rFonts w:ascii="Arial" w:hAnsi="Arial" w:cs="Arial"/>
                <w:sz w:val="22"/>
              </w:rPr>
            </w:pPr>
          </w:p>
        </w:tc>
        <w:tc>
          <w:tcPr>
            <w:tcW w:w="1559" w:type="dxa"/>
            <w:tcBorders>
              <w:top w:val="single" w:sz="4" w:space="0" w:color="D2232A"/>
              <w:left w:val="single" w:sz="4" w:space="0" w:color="D2232A"/>
              <w:bottom w:val="single" w:sz="4" w:space="0" w:color="D2232A"/>
              <w:right w:val="single" w:sz="4" w:space="0" w:color="D2232A"/>
            </w:tcBorders>
            <w:shd w:val="clear" w:color="auto" w:fill="auto"/>
            <w:hideMark/>
          </w:tcPr>
          <w:p w:rsidR="00E41E35" w:rsidRPr="00574632" w:rsidRDefault="00E41E35">
            <w:pPr>
              <w:pStyle w:val="TableContents"/>
              <w:snapToGrid w:val="0"/>
              <w:spacing w:line="276" w:lineRule="auto"/>
              <w:jc w:val="center"/>
              <w:rPr>
                <w:rFonts w:ascii="Arial" w:hAnsi="Arial" w:cs="Arial"/>
                <w:sz w:val="22"/>
              </w:rPr>
            </w:pPr>
            <w:r w:rsidRPr="00574632">
              <w:rPr>
                <w:rFonts w:ascii="Arial" w:hAnsi="Arial" w:cs="Arial"/>
                <w:sz w:val="26"/>
                <w:szCs w:val="26"/>
                <w:lang w:eastAsia="ar-SA" w:bidi="ar-SA"/>
              </w:rPr>
              <w:t>■</w:t>
            </w:r>
          </w:p>
        </w:tc>
        <w:tc>
          <w:tcPr>
            <w:tcW w:w="1418" w:type="dxa"/>
            <w:tcBorders>
              <w:top w:val="single" w:sz="4" w:space="0" w:color="D2232A"/>
              <w:left w:val="single" w:sz="4" w:space="0" w:color="D2232A"/>
              <w:bottom w:val="single" w:sz="4" w:space="0" w:color="D2232A"/>
              <w:right w:val="single" w:sz="4" w:space="0" w:color="D2232A"/>
            </w:tcBorders>
            <w:shd w:val="clear" w:color="auto" w:fill="auto"/>
          </w:tcPr>
          <w:p w:rsidR="00E41E35" w:rsidRPr="00574632" w:rsidRDefault="00E41E35">
            <w:pPr>
              <w:pStyle w:val="TableContents"/>
              <w:snapToGrid w:val="0"/>
              <w:spacing w:line="276" w:lineRule="auto"/>
              <w:jc w:val="center"/>
              <w:rPr>
                <w:rFonts w:ascii="Arial" w:hAnsi="Arial" w:cs="Arial"/>
                <w:sz w:val="26"/>
                <w:szCs w:val="26"/>
                <w:lang w:eastAsia="ar-SA" w:bidi="ar-SA"/>
              </w:rPr>
            </w:pPr>
          </w:p>
        </w:tc>
      </w:tr>
      <w:tr w:rsidR="00E41E35" w:rsidRPr="008D2EA0" w:rsidTr="00574632">
        <w:tc>
          <w:tcPr>
            <w:tcW w:w="4786" w:type="dxa"/>
            <w:tcBorders>
              <w:top w:val="single" w:sz="4" w:space="0" w:color="D2232A"/>
              <w:left w:val="single" w:sz="4" w:space="0" w:color="D2232A"/>
              <w:bottom w:val="single" w:sz="4" w:space="0" w:color="D2232A"/>
              <w:right w:val="single" w:sz="4" w:space="0" w:color="D2232A"/>
            </w:tcBorders>
            <w:hideMark/>
          </w:tcPr>
          <w:p w:rsidR="00E41E35" w:rsidRPr="008D2EA0" w:rsidRDefault="00E41E35">
            <w:pPr>
              <w:spacing w:line="276" w:lineRule="auto"/>
              <w:rPr>
                <w:lang w:val="en-GB"/>
              </w:rPr>
            </w:pPr>
            <w:r w:rsidRPr="008D2EA0">
              <w:rPr>
                <w:lang w:val="en-GB"/>
              </w:rPr>
              <w:t>Broadband Direct-Air-to-Ground Communications</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rsidR="00E41E35" w:rsidRPr="00574632" w:rsidRDefault="00E41E35">
            <w:pPr>
              <w:pStyle w:val="TableContents"/>
              <w:snapToGrid w:val="0"/>
              <w:spacing w:line="276" w:lineRule="auto"/>
              <w:jc w:val="center"/>
              <w:rPr>
                <w:rFonts w:ascii="Arial" w:hAnsi="Arial" w:cs="Arial"/>
                <w:sz w:val="22"/>
              </w:rPr>
            </w:pPr>
          </w:p>
        </w:tc>
        <w:tc>
          <w:tcPr>
            <w:tcW w:w="1559" w:type="dxa"/>
            <w:tcBorders>
              <w:top w:val="single" w:sz="4" w:space="0" w:color="D2232A"/>
              <w:left w:val="single" w:sz="4" w:space="0" w:color="D2232A"/>
              <w:bottom w:val="single" w:sz="4" w:space="0" w:color="D2232A"/>
              <w:right w:val="single" w:sz="4" w:space="0" w:color="D2232A"/>
            </w:tcBorders>
            <w:shd w:val="clear" w:color="auto" w:fill="auto"/>
          </w:tcPr>
          <w:p w:rsidR="00E41E35" w:rsidRPr="00574632" w:rsidRDefault="00E41E35">
            <w:pPr>
              <w:pStyle w:val="TableContents"/>
              <w:snapToGrid w:val="0"/>
              <w:spacing w:line="276" w:lineRule="auto"/>
              <w:jc w:val="center"/>
              <w:rPr>
                <w:sz w:val="22"/>
              </w:rPr>
            </w:pPr>
          </w:p>
        </w:tc>
        <w:tc>
          <w:tcPr>
            <w:tcW w:w="1418" w:type="dxa"/>
            <w:tcBorders>
              <w:top w:val="single" w:sz="4" w:space="0" w:color="D2232A"/>
              <w:left w:val="single" w:sz="4" w:space="0" w:color="D2232A"/>
              <w:bottom w:val="single" w:sz="4" w:space="0" w:color="D2232A"/>
              <w:right w:val="single" w:sz="4" w:space="0" w:color="D2232A"/>
            </w:tcBorders>
            <w:shd w:val="clear" w:color="auto" w:fill="auto"/>
            <w:hideMark/>
          </w:tcPr>
          <w:p w:rsidR="00E41E35" w:rsidRPr="00574632" w:rsidRDefault="00E41E35">
            <w:pPr>
              <w:pStyle w:val="TableContents"/>
              <w:snapToGrid w:val="0"/>
              <w:spacing w:line="276" w:lineRule="auto"/>
              <w:jc w:val="center"/>
              <w:rPr>
                <w:rFonts w:ascii="Arial" w:hAnsi="Arial" w:cs="Arial"/>
                <w:sz w:val="22"/>
                <w:lang w:eastAsia="ar-SA" w:bidi="ar-SA"/>
              </w:rPr>
            </w:pPr>
            <w:r w:rsidRPr="00574632">
              <w:rPr>
                <w:rFonts w:ascii="Arial" w:hAnsi="Arial" w:cs="Arial"/>
                <w:sz w:val="26"/>
                <w:szCs w:val="26"/>
                <w:lang w:eastAsia="ar-SA" w:bidi="ar-SA"/>
              </w:rPr>
              <w:t>■</w:t>
            </w:r>
          </w:p>
        </w:tc>
      </w:tr>
    </w:tbl>
    <w:p w:rsidR="00E41E35" w:rsidRPr="008D2EA0" w:rsidRDefault="00E41E35" w:rsidP="00E41E35">
      <w:pPr>
        <w:rPr>
          <w:lang w:val="en-GB"/>
        </w:rPr>
      </w:pPr>
    </w:p>
    <w:p w:rsidR="00E41E35" w:rsidRPr="008D2EA0" w:rsidRDefault="00E41E35" w:rsidP="007E42E6">
      <w:pPr>
        <w:pStyle w:val="ECCParagraph"/>
      </w:pPr>
      <w:r w:rsidRPr="008D2EA0">
        <w:t xml:space="preserve">The following sections provide an overview of the LRTCs to be considered in order to cover the applications under consideration in the framework of </w:t>
      </w:r>
      <w:r w:rsidR="001A06AC" w:rsidRPr="008D2EA0">
        <w:t>this Report</w:t>
      </w:r>
      <w:r w:rsidRPr="008D2EA0">
        <w:t xml:space="preserve">. The merging of some of these LRTCs should be considered when practicable (for example the LRTC for the forward link of BDA2GC could be similar to the LRTC for one of the terrestrial applications). </w:t>
      </w:r>
    </w:p>
    <w:p w:rsidR="00E41E35" w:rsidRPr="008D2EA0" w:rsidRDefault="00E41E35" w:rsidP="000F6780">
      <w:pPr>
        <w:pStyle w:val="Heading4"/>
        <w:rPr>
          <w:color w:val="C00000"/>
          <w:lang w:val="en-GB"/>
        </w:rPr>
      </w:pPr>
      <w:bookmarkStart w:id="137" w:name="_Toc349039299"/>
      <w:r w:rsidRPr="008D2EA0">
        <w:rPr>
          <w:lang w:val="en-GB"/>
        </w:rPr>
        <w:t>Terrestrial Systems</w:t>
      </w:r>
      <w:bookmarkEnd w:id="137"/>
      <w:r w:rsidRPr="008D2EA0">
        <w:rPr>
          <w:lang w:val="en-GB"/>
        </w:rPr>
        <w:t xml:space="preserve"> </w:t>
      </w:r>
    </w:p>
    <w:p w:rsidR="00E41E35" w:rsidRPr="008D2EA0" w:rsidRDefault="00E41E35" w:rsidP="00E41E35">
      <w:pPr>
        <w:pStyle w:val="ECCParagraph"/>
        <w:rPr>
          <w:lang w:eastAsia="de-DE"/>
        </w:rPr>
      </w:pPr>
      <w:r w:rsidRPr="008D2EA0">
        <w:t xml:space="preserve">The past CEPT studies on LRTCs have identified a number of cases where the development of BEMs is straightforward, while on the contrary identifying a number of cases that would require specific measures (e.g. restricted blocks, stringent BEMs). Such cases are in particular related to the adjacent frequency operation of FDD and TDD networks within the same geographical area. </w:t>
      </w:r>
    </w:p>
    <w:p w:rsidR="00E41E35" w:rsidRPr="008D2EA0" w:rsidRDefault="00E41E35" w:rsidP="004579F0">
      <w:pPr>
        <w:pStyle w:val="ECCParagraph"/>
        <w:keepNext/>
        <w:spacing w:after="120"/>
      </w:pPr>
      <w:r w:rsidRPr="008D2EA0">
        <w:lastRenderedPageBreak/>
        <w:t>This has led to the following classification of applications</w:t>
      </w:r>
      <w:r w:rsidRPr="008D2EA0">
        <w:rPr>
          <w:rStyle w:val="FootnoteReference"/>
          <w:rFonts w:cs="Arial"/>
          <w:szCs w:val="22"/>
        </w:rPr>
        <w:footnoteReference w:id="39"/>
      </w:r>
      <w:r w:rsidRPr="008D2EA0">
        <w:t>:</w:t>
      </w:r>
    </w:p>
    <w:p w:rsidR="00E41E35" w:rsidRPr="008D2EA0" w:rsidRDefault="00E41E35" w:rsidP="00290368">
      <w:pPr>
        <w:pStyle w:val="ECCParagraph"/>
        <w:numPr>
          <w:ilvl w:val="0"/>
          <w:numId w:val="23"/>
        </w:numPr>
      </w:pPr>
      <w:r w:rsidRPr="008D2EA0">
        <w:t xml:space="preserve">ECN’s DL (including broadcast) to receivers with high directionality and/or high gain (e.g. fixed). For such applications, the corresponding target received field strength is low. None of the applications studied in this report are targeting this kind of deployment scenario. </w:t>
      </w:r>
    </w:p>
    <w:p w:rsidR="00E41E35" w:rsidRPr="008D2EA0" w:rsidRDefault="00E41E35" w:rsidP="00290368">
      <w:pPr>
        <w:pStyle w:val="ECCParagraph"/>
        <w:numPr>
          <w:ilvl w:val="0"/>
          <w:numId w:val="23"/>
        </w:numPr>
      </w:pPr>
      <w:r w:rsidRPr="008D2EA0">
        <w:t>ECN’s DL (including broadcast) to mobile receivers with low directionality and/or low gain (e.g. vehicular or handheld devices for on-the-move, nomadic or stationary use). For such applications, the corresponding target received field strength is high enough to enable reception at ground level to receivers with low gain antennas. This category includes terrestrial broadcasting, downlink of Mobile broadband, Mobile Supplemental Downlink and downlink of Public Protection and Disaster Relief.</w:t>
      </w:r>
    </w:p>
    <w:p w:rsidR="00E41E35" w:rsidRPr="008D2EA0" w:rsidRDefault="00E41E35" w:rsidP="00290368">
      <w:pPr>
        <w:pStyle w:val="ECCParagraph"/>
        <w:numPr>
          <w:ilvl w:val="0"/>
          <w:numId w:val="23"/>
        </w:numPr>
      </w:pPr>
      <w:r w:rsidRPr="008D2EA0">
        <w:t>ECN’s UL and low power applications (e.g. handheld devices for on-the-move, nomadic or stationary use). This category includes uplink of mobile broadband (if applicable), Programme Making and Special Events and uplink of Public Protection and Disaster Relief.</w:t>
      </w:r>
    </w:p>
    <w:p w:rsidR="00E41E35" w:rsidRPr="008D2EA0" w:rsidRDefault="00E41E35" w:rsidP="00E41E35">
      <w:pPr>
        <w:pStyle w:val="ECCParagraph"/>
      </w:pPr>
      <w:r w:rsidRPr="008D2EA0">
        <w:t xml:space="preserve">At this stage, only the second case and third case described above seem to be relevant for the studies undertaken in the framework of </w:t>
      </w:r>
      <w:r w:rsidR="00EA126F" w:rsidRPr="008D2EA0">
        <w:t>this Report</w:t>
      </w:r>
      <w:r w:rsidRPr="008D2EA0">
        <w:t>.</w:t>
      </w:r>
    </w:p>
    <w:p w:rsidR="00E41E35" w:rsidRPr="008D2EA0" w:rsidRDefault="00E41E35" w:rsidP="00E41E35">
      <w:pPr>
        <w:pStyle w:val="Listenabsatz"/>
        <w:ind w:left="0"/>
        <w:jc w:val="center"/>
        <w:rPr>
          <w:rFonts w:ascii="Arial" w:hAnsi="Arial" w:cs="Arial"/>
        </w:rPr>
      </w:pPr>
      <w:r w:rsidRPr="008D2EA0">
        <w:rPr>
          <w:rFonts w:ascii="Arial" w:hAnsi="Arial" w:cs="Arial"/>
          <w:noProof/>
          <w:lang w:val="da-DK" w:eastAsia="da-DK"/>
        </w:rPr>
        <w:drawing>
          <wp:inline distT="0" distB="0" distL="0" distR="0" wp14:anchorId="11306C17" wp14:editId="09AF6B33">
            <wp:extent cx="2286000" cy="1362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l="57478" t="19762" r="13803" b="54556"/>
                    <a:stretch>
                      <a:fillRect/>
                    </a:stretch>
                  </pic:blipFill>
                  <pic:spPr bwMode="auto">
                    <a:xfrm>
                      <a:off x="0" y="0"/>
                      <a:ext cx="2286000" cy="1362075"/>
                    </a:xfrm>
                    <a:prstGeom prst="rect">
                      <a:avLst/>
                    </a:prstGeom>
                    <a:noFill/>
                    <a:ln>
                      <a:noFill/>
                    </a:ln>
                  </pic:spPr>
                </pic:pic>
              </a:graphicData>
            </a:graphic>
          </wp:inline>
        </w:drawing>
      </w:r>
      <w:r w:rsidRPr="008D2EA0">
        <w:rPr>
          <w:rFonts w:ascii="Arial" w:hAnsi="Arial" w:cs="Arial"/>
          <w:noProof/>
          <w:lang w:val="da-DK" w:eastAsia="da-DK"/>
        </w:rPr>
        <w:drawing>
          <wp:inline distT="0" distB="0" distL="0" distR="0" wp14:anchorId="29B049E3" wp14:editId="6B0F5271">
            <wp:extent cx="2695575" cy="1295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l="25258" t="27036" r="30670" b="35393"/>
                    <a:stretch>
                      <a:fillRect/>
                    </a:stretch>
                  </pic:blipFill>
                  <pic:spPr bwMode="auto">
                    <a:xfrm>
                      <a:off x="0" y="0"/>
                      <a:ext cx="2695575" cy="1295400"/>
                    </a:xfrm>
                    <a:prstGeom prst="rect">
                      <a:avLst/>
                    </a:prstGeom>
                    <a:noFill/>
                    <a:ln>
                      <a:noFill/>
                    </a:ln>
                  </pic:spPr>
                </pic:pic>
              </a:graphicData>
            </a:graphic>
          </wp:inline>
        </w:drawing>
      </w:r>
    </w:p>
    <w:p w:rsidR="00E41E35" w:rsidRPr="008D2EA0" w:rsidRDefault="00E41E35" w:rsidP="00AC460F">
      <w:pPr>
        <w:pStyle w:val="ECCFiguretitle"/>
      </w:pPr>
      <w:r w:rsidRPr="008D2EA0">
        <w:t>ECN’s DL (including broadcast) to mobile receivers</w:t>
      </w:r>
    </w:p>
    <w:p w:rsidR="00E41E35" w:rsidRPr="008D2EA0" w:rsidRDefault="00E41E35" w:rsidP="00E41E35">
      <w:pPr>
        <w:jc w:val="center"/>
        <w:rPr>
          <w:rFonts w:cs="Arial"/>
          <w:szCs w:val="22"/>
          <w:lang w:val="en-GB"/>
        </w:rPr>
      </w:pPr>
      <w:r w:rsidRPr="008D2EA0">
        <w:rPr>
          <w:noProof/>
          <w:lang w:val="da-DK" w:eastAsia="da-DK"/>
        </w:rPr>
        <w:drawing>
          <wp:inline distT="0" distB="0" distL="0" distR="0" wp14:anchorId="45DAB61B" wp14:editId="728909CA">
            <wp:extent cx="5238750" cy="1390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l="26984" t="52066" r="20547" b="25616"/>
                    <a:stretch>
                      <a:fillRect/>
                    </a:stretch>
                  </pic:blipFill>
                  <pic:spPr bwMode="auto">
                    <a:xfrm>
                      <a:off x="0" y="0"/>
                      <a:ext cx="5238750" cy="1390650"/>
                    </a:xfrm>
                    <a:prstGeom prst="rect">
                      <a:avLst/>
                    </a:prstGeom>
                    <a:noFill/>
                    <a:ln>
                      <a:noFill/>
                    </a:ln>
                  </pic:spPr>
                </pic:pic>
              </a:graphicData>
            </a:graphic>
          </wp:inline>
        </w:drawing>
      </w:r>
    </w:p>
    <w:p w:rsidR="007E42E6" w:rsidRPr="008D2EA0" w:rsidRDefault="007E42E6" w:rsidP="00AC460F">
      <w:pPr>
        <w:pStyle w:val="ECCFiguretitle"/>
      </w:pPr>
      <w:r w:rsidRPr="008D2EA0">
        <w:t>Duplex communications</w:t>
      </w:r>
    </w:p>
    <w:p w:rsidR="00E41E35" w:rsidRPr="008D2EA0" w:rsidRDefault="00E41E35" w:rsidP="0003313A">
      <w:pPr>
        <w:pStyle w:val="ECCParagraph"/>
        <w:spacing w:after="120"/>
      </w:pPr>
      <w:r w:rsidRPr="008D2EA0">
        <w:t xml:space="preserve">In case of duplex communications, two sets of LRTCs are required: </w:t>
      </w:r>
    </w:p>
    <w:p w:rsidR="00E41E35" w:rsidRPr="008D2EA0" w:rsidRDefault="00E41E35" w:rsidP="000F6780">
      <w:pPr>
        <w:pStyle w:val="ECCParBulleted"/>
        <w:numPr>
          <w:ilvl w:val="0"/>
          <w:numId w:val="18"/>
        </w:numPr>
      </w:pPr>
      <w:r w:rsidRPr="008D2EA0">
        <w:t>one for the DL and</w:t>
      </w:r>
      <w:r w:rsidR="00F77275">
        <w:t>;</w:t>
      </w:r>
    </w:p>
    <w:p w:rsidR="00E41E35" w:rsidRPr="008D2EA0" w:rsidRDefault="00E41E35" w:rsidP="000F6780">
      <w:pPr>
        <w:pStyle w:val="ECCParBulleted"/>
        <w:numPr>
          <w:ilvl w:val="0"/>
          <w:numId w:val="18"/>
        </w:numPr>
      </w:pPr>
      <w:r w:rsidRPr="008D2EA0">
        <w:t>one for the UL</w:t>
      </w:r>
      <w:r w:rsidR="00F77275">
        <w:t>.</w:t>
      </w:r>
    </w:p>
    <w:p w:rsidR="00E41E35" w:rsidRPr="008D2EA0" w:rsidRDefault="00E41E35" w:rsidP="004579F0">
      <w:pPr>
        <w:pStyle w:val="Heading4"/>
        <w:keepNext/>
        <w:ind w:left="862" w:hanging="862"/>
        <w:rPr>
          <w:lang w:val="en-GB"/>
        </w:rPr>
      </w:pPr>
      <w:bookmarkStart w:id="138" w:name="_Toc349039300"/>
      <w:r w:rsidRPr="008D2EA0">
        <w:rPr>
          <w:lang w:val="en-GB"/>
        </w:rPr>
        <w:lastRenderedPageBreak/>
        <w:t>Satellite Digital Audio Broadcasting – (including terrestrial component)</w:t>
      </w:r>
      <w:bookmarkEnd w:id="138"/>
    </w:p>
    <w:p w:rsidR="00E41E35" w:rsidRPr="008D2EA0" w:rsidRDefault="00E41E35" w:rsidP="00E41E35">
      <w:pPr>
        <w:pStyle w:val="ECCParagraph"/>
      </w:pPr>
      <w:r w:rsidRPr="008D2EA0">
        <w:t>Unlike some bands identified for satellite use, which are shared with other services, the band 1452 – 1492 MHz is not subject to any in-band pfd limits. In addition a CEPT Decision exists, at a purely regulatory level, that limits the use of satellite (in the ECC Decision ECC/DEC/(03)02)</w:t>
      </w:r>
      <w:r w:rsidR="001A06AC" w:rsidRPr="008D2EA0">
        <w:t xml:space="preserve"> </w:t>
      </w:r>
      <w:r w:rsidR="001A06AC" w:rsidRPr="008D2EA0">
        <w:fldChar w:fldCharType="begin"/>
      </w:r>
      <w:r w:rsidR="001A06AC" w:rsidRPr="008D2EA0">
        <w:instrText xml:space="preserve"> REF _Ref330503966 \r \h </w:instrText>
      </w:r>
      <w:r w:rsidR="005B4DA4" w:rsidRPr="008D2EA0">
        <w:instrText xml:space="preserve"> \* MERGEFORMAT </w:instrText>
      </w:r>
      <w:r w:rsidR="001A06AC" w:rsidRPr="008D2EA0">
        <w:fldChar w:fldCharType="separate"/>
      </w:r>
      <w:r w:rsidR="00E73FF2">
        <w:t>[2]</w:t>
      </w:r>
      <w:r w:rsidR="001A06AC" w:rsidRPr="008D2EA0">
        <w:fldChar w:fldCharType="end"/>
      </w:r>
      <w:r w:rsidRPr="008D2EA0">
        <w:t xml:space="preserve">. </w:t>
      </w:r>
    </w:p>
    <w:p w:rsidR="00E41E35" w:rsidRPr="008D2EA0" w:rsidRDefault="00E41E35" w:rsidP="00E41E35">
      <w:pPr>
        <w:pStyle w:val="ECCParagraph"/>
      </w:pPr>
      <w:r w:rsidRPr="008D2EA0">
        <w:t>Satellite Digital Audio Broadcasting systems are referred to the band 1467-1492 MHz. If in-band pfd limits were applicable, these would be reflected in ITU-R RR Article 21, which is not the case today. However satellite use in the band 1452</w:t>
      </w:r>
      <w:r w:rsidR="0003313A" w:rsidRPr="008D2EA0">
        <w:t>-</w:t>
      </w:r>
      <w:r w:rsidRPr="008D2EA0">
        <w:t>1492 MHz is subject to out-of-band pfd limits. Here the limits, for emissions into adjacent bands from in-band emissions in 1452</w:t>
      </w:r>
      <w:r w:rsidR="0003313A" w:rsidRPr="008D2EA0">
        <w:t>-</w:t>
      </w:r>
      <w:r w:rsidRPr="008D2EA0">
        <w:t>1492 MHz, are detailed in Resolution 739</w:t>
      </w:r>
      <w:r w:rsidR="001A06AC" w:rsidRPr="008D2EA0">
        <w:t xml:space="preserve"> (</w:t>
      </w:r>
      <w:r w:rsidR="00530F73" w:rsidRPr="008D2EA0">
        <w:t>Rev.WRC-07</w:t>
      </w:r>
      <w:r w:rsidR="001A06AC" w:rsidRPr="008D2EA0">
        <w:t>)</w:t>
      </w:r>
      <w:r w:rsidR="005A734E" w:rsidRPr="008D2EA0">
        <w:t xml:space="preserve"> </w:t>
      </w:r>
      <w:r w:rsidR="005A734E" w:rsidRPr="008D2EA0">
        <w:fldChar w:fldCharType="begin"/>
      </w:r>
      <w:r w:rsidR="005A734E" w:rsidRPr="008D2EA0">
        <w:instrText xml:space="preserve"> REF _Ref332810663 \r \h </w:instrText>
      </w:r>
      <w:r w:rsidR="005A734E" w:rsidRPr="008D2EA0">
        <w:fldChar w:fldCharType="separate"/>
      </w:r>
      <w:r w:rsidR="00E73FF2">
        <w:t>[4]</w:t>
      </w:r>
      <w:r w:rsidR="005A734E" w:rsidRPr="008D2EA0">
        <w:fldChar w:fldCharType="end"/>
      </w:r>
      <w:r w:rsidRPr="008D2EA0">
        <w:t>.</w:t>
      </w:r>
    </w:p>
    <w:p w:rsidR="00E41E35" w:rsidRPr="008D2EA0" w:rsidRDefault="00E41E35" w:rsidP="00E41E35">
      <w:pPr>
        <w:pStyle w:val="ECCParagraph"/>
      </w:pPr>
      <w:r w:rsidRPr="008D2EA0">
        <w:t>Previous study work, in CEPT, had been carried out to address compatibility between S-DAB and T-DAB in adjacent bands</w:t>
      </w:r>
      <w:r w:rsidR="005A734E" w:rsidRPr="008D2EA0">
        <w:t xml:space="preserve"> (see ECC Report 161 </w:t>
      </w:r>
      <w:r w:rsidR="005A734E" w:rsidRPr="008D2EA0">
        <w:fldChar w:fldCharType="begin"/>
      </w:r>
      <w:r w:rsidR="005A734E" w:rsidRPr="008D2EA0">
        <w:instrText xml:space="preserve"> REF _Ref332806644 \r \h </w:instrText>
      </w:r>
      <w:r w:rsidR="005A734E" w:rsidRPr="008D2EA0">
        <w:fldChar w:fldCharType="separate"/>
      </w:r>
      <w:r w:rsidR="00E73FF2">
        <w:t>[26]</w:t>
      </w:r>
      <w:r w:rsidR="005A734E" w:rsidRPr="008D2EA0">
        <w:fldChar w:fldCharType="end"/>
      </w:r>
      <w:r w:rsidR="005A734E" w:rsidRPr="008D2EA0">
        <w:t xml:space="preserve">) </w:t>
      </w:r>
      <w:r w:rsidRPr="008D2EA0">
        <w:t>and between S-DAB and PMSE</w:t>
      </w:r>
      <w:r w:rsidR="005A734E" w:rsidRPr="008D2EA0">
        <w:t xml:space="preserve"> (see ECC Report 121 </w:t>
      </w:r>
      <w:r w:rsidR="005A734E" w:rsidRPr="008D2EA0">
        <w:fldChar w:fldCharType="begin"/>
      </w:r>
      <w:r w:rsidR="005A734E" w:rsidRPr="008D2EA0">
        <w:instrText xml:space="preserve"> REF _Ref332806668 \r \h </w:instrText>
      </w:r>
      <w:r w:rsidR="005A734E" w:rsidRPr="008D2EA0">
        <w:fldChar w:fldCharType="separate"/>
      </w:r>
      <w:r w:rsidR="00E73FF2">
        <w:t>[27]</w:t>
      </w:r>
      <w:r w:rsidR="005A734E" w:rsidRPr="008D2EA0">
        <w:fldChar w:fldCharType="end"/>
      </w:r>
      <w:r w:rsidR="005A734E" w:rsidRPr="008D2EA0">
        <w:t>)</w:t>
      </w:r>
      <w:r w:rsidRPr="008D2EA0">
        <w:t xml:space="preserve">. New compatibility studies may have to be carried out depending on the outcome of </w:t>
      </w:r>
      <w:r w:rsidR="005A734E" w:rsidRPr="008D2EA0">
        <w:t xml:space="preserve">the ECC </w:t>
      </w:r>
      <w:r w:rsidRPr="008D2EA0">
        <w:t xml:space="preserve">work </w:t>
      </w:r>
      <w:r w:rsidR="005A734E" w:rsidRPr="008D2EA0">
        <w:t xml:space="preserve">on the L-band </w:t>
      </w:r>
      <w:r w:rsidRPr="008D2EA0">
        <w:t xml:space="preserve">and considering the information given in section 3. </w:t>
      </w:r>
    </w:p>
    <w:p w:rsidR="00E41E35" w:rsidRPr="008D2EA0" w:rsidRDefault="00E41E35" w:rsidP="00E41E35">
      <w:pPr>
        <w:pStyle w:val="ECCParagraph"/>
      </w:pPr>
      <w:r w:rsidRPr="008D2EA0">
        <w:t>In the development of the LRTC for the terrestrial component, similar approach as for the Terrestrial Systems should be considered, as appropriate.</w:t>
      </w:r>
    </w:p>
    <w:p w:rsidR="00E41E35" w:rsidRPr="008D2EA0" w:rsidRDefault="00E41E35" w:rsidP="00E41E35">
      <w:pPr>
        <w:pStyle w:val="ECCParagraph"/>
      </w:pPr>
      <w:r w:rsidRPr="008D2EA0">
        <w:t>One option would be to adopt the same channel raster as in the existing regulations (1.7 MHz).</w:t>
      </w:r>
    </w:p>
    <w:p w:rsidR="007E42E6" w:rsidRPr="008D2EA0" w:rsidRDefault="007E42E6" w:rsidP="000F6780">
      <w:pPr>
        <w:pStyle w:val="Heading4"/>
        <w:rPr>
          <w:color w:val="C00000"/>
          <w:lang w:val="en-GB"/>
        </w:rPr>
      </w:pPr>
      <w:bookmarkStart w:id="139" w:name="_Toc349039301"/>
      <w:r w:rsidRPr="008D2EA0">
        <w:rPr>
          <w:lang w:val="en-GB"/>
        </w:rPr>
        <w:t>BDA2GC</w:t>
      </w:r>
      <w:bookmarkEnd w:id="139"/>
    </w:p>
    <w:p w:rsidR="00E41E35" w:rsidRPr="008D2EA0" w:rsidRDefault="00E41E35" w:rsidP="00E41E35">
      <w:pPr>
        <w:pStyle w:val="ECCParagraph"/>
      </w:pPr>
      <w:r w:rsidRPr="008D2EA0">
        <w:t xml:space="preserve">Compatibility studies between a BDA2GC system and a terrestrial cellular mobile system, both based on LTE technology, were performed for the band 3400-3600 MHz. The evaluations results state that in principle a LTE-based BDA2GC system can co-exist with a terrestrial mobile radio system with similar characteristics in the adjacent channel, in particular if FDD mode operations are considered for both systems. No additional guard band between the channel block edges is required in that case. </w:t>
      </w:r>
    </w:p>
    <w:p w:rsidR="00E41E35" w:rsidRPr="008D2EA0" w:rsidRDefault="00E41E35" w:rsidP="00E41E35">
      <w:pPr>
        <w:pStyle w:val="ECCParagraph"/>
      </w:pPr>
      <w:r w:rsidRPr="008D2EA0">
        <w:t xml:space="preserve">For TDD or mixed FDD/TDD mode operations the main problem to be solved is the decoupling of the antennas of the BDA2GC </w:t>
      </w:r>
      <w:r w:rsidR="00676E37">
        <w:t xml:space="preserve">ground station </w:t>
      </w:r>
      <w:r w:rsidRPr="008D2EA0">
        <w:t xml:space="preserve">and the terrestrial cellular mobile </w:t>
      </w:r>
      <w:r w:rsidR="00676E37">
        <w:t>base station</w:t>
      </w:r>
      <w:r w:rsidR="00676E37" w:rsidRPr="008D2EA0">
        <w:t xml:space="preserve"> </w:t>
      </w:r>
      <w:r w:rsidRPr="008D2EA0">
        <w:t>(eNodeB) which requires sufficient isolation in space and/or frequency. Therefore, it was concluded that frequency guard bands of about 5 MHz would be required when operating in different transmit directions in adjacent channels, as it applies also for the operation of different terrestrial cellular mobile networks within the same geographical area.</w:t>
      </w:r>
    </w:p>
    <w:p w:rsidR="00E41E35" w:rsidRPr="008D2EA0" w:rsidRDefault="00E41E35" w:rsidP="00E41E35">
      <w:pPr>
        <w:pStyle w:val="ECCParagraph"/>
        <w:rPr>
          <w:rFonts w:cs="Arial"/>
        </w:rPr>
      </w:pPr>
      <w:r w:rsidRPr="008D2EA0">
        <w:rPr>
          <w:rFonts w:cs="Arial"/>
        </w:rPr>
        <w:t xml:space="preserve">The conclusions drawn for the band 3400-3600 MHz would similarly apply also for the operation of BDA2GC adjacent to terrestrial cellular mobile networks the band 1452-1492 MHz. </w:t>
      </w:r>
    </w:p>
    <w:p w:rsidR="00E41E35" w:rsidRPr="008D2EA0" w:rsidRDefault="00E41E35" w:rsidP="0003313A">
      <w:pPr>
        <w:pStyle w:val="ECCParagraph"/>
        <w:spacing w:after="120"/>
        <w:rPr>
          <w:rFonts w:cs="Arial"/>
        </w:rPr>
      </w:pPr>
      <w:r w:rsidRPr="008D2EA0">
        <w:rPr>
          <w:rFonts w:cs="Arial"/>
        </w:rPr>
        <w:t>Further compatibility studies may have to be carried out depending on the outcome of FM50 work with a view to developing LRTCs for BDA2GC if relevant, while noting the following:</w:t>
      </w:r>
    </w:p>
    <w:p w:rsidR="00E41E35" w:rsidRPr="008D2EA0" w:rsidRDefault="00E41E35" w:rsidP="000F6780">
      <w:pPr>
        <w:pStyle w:val="ECCParBulleted"/>
        <w:numPr>
          <w:ilvl w:val="0"/>
          <w:numId w:val="18"/>
        </w:numPr>
      </w:pPr>
      <w:r w:rsidRPr="008D2EA0">
        <w:t>The BDA2GC reverse link (transmission from airplane, reception at ground station) requires higher transmission power than the uplink in terrestrial mobile systems, which indicates that BDA2GC LRTC would be different than for terrestrial systems LRTC which are typically based on an in-band power limitation</w:t>
      </w:r>
      <w:r w:rsidR="0097553F" w:rsidRPr="008D2EA0">
        <w:t xml:space="preserve">. The maximum transmitter power for the BDA2GC-AS </w:t>
      </w:r>
      <w:r w:rsidR="001766D2" w:rsidRPr="008D2EA0">
        <w:t xml:space="preserve">is </w:t>
      </w:r>
      <w:r w:rsidR="0097553F" w:rsidRPr="008D2EA0">
        <w:t xml:space="preserve">40 dBm TRP. </w:t>
      </w:r>
    </w:p>
    <w:p w:rsidR="00E41E35" w:rsidRPr="008D2EA0" w:rsidRDefault="00E41E35" w:rsidP="000F6780">
      <w:pPr>
        <w:pStyle w:val="ECCParBulleted"/>
        <w:numPr>
          <w:ilvl w:val="0"/>
          <w:numId w:val="18"/>
        </w:numPr>
      </w:pPr>
      <w:r w:rsidRPr="008D2EA0">
        <w:t>The LRTC for the BDA2GC forward link have to be studied, taking into account that LRTC previously derived for the downlink of terrestrial systems all assume antenna down</w:t>
      </w:r>
      <w:r w:rsidR="001A06AC" w:rsidRPr="008D2EA0">
        <w:t>-</w:t>
      </w:r>
      <w:r w:rsidRPr="008D2EA0">
        <w:t xml:space="preserve">tilt, whereas the BDA2GC forward link </w:t>
      </w:r>
      <w:r w:rsidR="001A06AC" w:rsidRPr="008D2EA0">
        <w:t>re</w:t>
      </w:r>
      <w:r w:rsidRPr="008D2EA0">
        <w:t>lies on the ground station antenna characteristic with special emphasis on the antenna up</w:t>
      </w:r>
      <w:r w:rsidR="001A06AC" w:rsidRPr="008D2EA0">
        <w:t>-</w:t>
      </w:r>
      <w:r w:rsidRPr="008D2EA0">
        <w:t xml:space="preserve">tilt </w:t>
      </w:r>
      <w:r w:rsidRPr="008D2EA0">
        <w:rPr>
          <w:rFonts w:eastAsia="MS Mincho" w:cs="Arial"/>
          <w:szCs w:val="20"/>
          <w:lang w:eastAsia="ja-JP"/>
        </w:rPr>
        <w:t>to achieve sky coverage.</w:t>
      </w:r>
      <w:r w:rsidRPr="008D2EA0">
        <w:rPr>
          <w:i/>
          <w:color w:val="FF0000"/>
        </w:rPr>
        <w:t xml:space="preserve"> </w:t>
      </w:r>
    </w:p>
    <w:p w:rsidR="00E41E35" w:rsidRPr="008D2EA0" w:rsidRDefault="00E41E35" w:rsidP="00E41E35">
      <w:pPr>
        <w:pStyle w:val="ECCParagraph"/>
        <w:rPr>
          <w:rFonts w:cs="Arial"/>
        </w:rPr>
      </w:pPr>
    </w:p>
    <w:p w:rsidR="00E41E35" w:rsidRPr="008D2EA0" w:rsidRDefault="00E41E35" w:rsidP="00E41E35">
      <w:pPr>
        <w:pStyle w:val="ECCParagraph"/>
        <w:jc w:val="center"/>
        <w:rPr>
          <w:rFonts w:cs="Arial"/>
        </w:rPr>
      </w:pPr>
      <w:r w:rsidRPr="008D2EA0">
        <w:rPr>
          <w:noProof/>
          <w:lang w:val="da-DK" w:eastAsia="da-DK"/>
        </w:rPr>
        <w:lastRenderedPageBreak/>
        <w:drawing>
          <wp:inline distT="0" distB="0" distL="0" distR="0" wp14:anchorId="0E497E60" wp14:editId="3481E33F">
            <wp:extent cx="2819400" cy="2305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l="44896" t="20667" r="6026" b="15375"/>
                    <a:stretch>
                      <a:fillRect/>
                    </a:stretch>
                  </pic:blipFill>
                  <pic:spPr bwMode="auto">
                    <a:xfrm>
                      <a:off x="0" y="0"/>
                      <a:ext cx="2819400" cy="2305050"/>
                    </a:xfrm>
                    <a:prstGeom prst="rect">
                      <a:avLst/>
                    </a:prstGeom>
                    <a:noFill/>
                    <a:ln>
                      <a:noFill/>
                    </a:ln>
                  </pic:spPr>
                </pic:pic>
              </a:graphicData>
            </a:graphic>
          </wp:inline>
        </w:drawing>
      </w:r>
    </w:p>
    <w:p w:rsidR="00E41E35" w:rsidRPr="008D2EA0" w:rsidRDefault="00E41E35" w:rsidP="00AC460F">
      <w:pPr>
        <w:pStyle w:val="ECCFiguretitle"/>
      </w:pPr>
      <w:r w:rsidRPr="008D2EA0">
        <w:t xml:space="preserve">DA2GC </w:t>
      </w:r>
    </w:p>
    <w:p w:rsidR="00E41E35" w:rsidRPr="008D2EA0" w:rsidRDefault="00E41E35" w:rsidP="00E41E35">
      <w:pPr>
        <w:pStyle w:val="ECCParagraph"/>
      </w:pPr>
      <w:r w:rsidRPr="008D2EA0">
        <w:t>BDA2GC would require two sets of LRTCs, one for forward link (Ground-to-Air) and one for the reverse link (Air-to-Ground)</w:t>
      </w:r>
    </w:p>
    <w:p w:rsidR="00E41E35" w:rsidRPr="008D2EA0" w:rsidRDefault="00E41E35" w:rsidP="00510087">
      <w:pPr>
        <w:pStyle w:val="Heading3"/>
      </w:pPr>
      <w:bookmarkStart w:id="140" w:name="_Toc349039302"/>
      <w:r w:rsidRPr="008D2EA0">
        <w:t>Reference systems</w:t>
      </w:r>
      <w:bookmarkEnd w:id="140"/>
    </w:p>
    <w:p w:rsidR="00E41E35" w:rsidRPr="008D2EA0" w:rsidRDefault="00E41E35" w:rsidP="00E41E35">
      <w:pPr>
        <w:pStyle w:val="ECCParagraph"/>
      </w:pPr>
      <w:r w:rsidRPr="008D2EA0">
        <w:t>In order to establish compatibility criteria for systems operating in the band, it may be necessary to make some assumptions about likely systems in the band. The expression of minimum technical restrictions will be linked to a given set of assumptions generally identified through a market analysis.</w:t>
      </w:r>
    </w:p>
    <w:p w:rsidR="00E41E35" w:rsidRPr="008D2EA0" w:rsidRDefault="00E41E35" w:rsidP="00E41E35">
      <w:pPr>
        <w:pStyle w:val="ECCParagraph"/>
      </w:pPr>
      <w:r w:rsidRPr="008D2EA0">
        <w:t xml:space="preserve">For each band (or sub-band) one or more reference systems can be identified, based on the market analysis of most likely systems for that band (typically through research and consultation with interested parties). </w:t>
      </w:r>
    </w:p>
    <w:p w:rsidR="00E41E35" w:rsidRPr="008D2EA0" w:rsidRDefault="00E41E35" w:rsidP="00F21C76">
      <w:pPr>
        <w:pStyle w:val="ECCParagraph"/>
        <w:keepNext/>
        <w:spacing w:after="120"/>
      </w:pPr>
      <w:r w:rsidRPr="008D2EA0">
        <w:t>LRTCs to date have consisted of the combination of:</w:t>
      </w:r>
    </w:p>
    <w:p w:rsidR="00E41E35" w:rsidRPr="002B55CA" w:rsidRDefault="00F77275" w:rsidP="002B55CA">
      <w:pPr>
        <w:pStyle w:val="ListParagraph"/>
        <w:numPr>
          <w:ilvl w:val="0"/>
          <w:numId w:val="72"/>
        </w:numPr>
        <w:jc w:val="both"/>
        <w:rPr>
          <w:rFonts w:cs="Arial"/>
          <w:szCs w:val="22"/>
          <w:lang w:val="en-GB"/>
        </w:rPr>
      </w:pPr>
      <w:r w:rsidRPr="002B55CA">
        <w:rPr>
          <w:rFonts w:cs="Arial"/>
          <w:szCs w:val="22"/>
          <w:lang w:val="en-GB"/>
        </w:rPr>
        <w:t>A harmonised band plan;</w:t>
      </w:r>
    </w:p>
    <w:p w:rsidR="00E41E35" w:rsidRPr="002B55CA" w:rsidRDefault="00E41E35" w:rsidP="002B55CA">
      <w:pPr>
        <w:pStyle w:val="ListParagraph"/>
        <w:numPr>
          <w:ilvl w:val="0"/>
          <w:numId w:val="72"/>
        </w:numPr>
        <w:jc w:val="both"/>
        <w:rPr>
          <w:rFonts w:cs="Arial"/>
          <w:szCs w:val="22"/>
          <w:lang w:val="en-GB"/>
        </w:rPr>
      </w:pPr>
      <w:r w:rsidRPr="002B55CA">
        <w:rPr>
          <w:rFonts w:cs="Arial"/>
          <w:szCs w:val="22"/>
          <w:lang w:val="en-GB"/>
        </w:rPr>
        <w:t>Generic Block Edge Masks for adjacent frequency use (both within the band and at the band edges), enabling co-existence within a group of applications dep</w:t>
      </w:r>
      <w:r w:rsidR="00F77275" w:rsidRPr="002B55CA">
        <w:rPr>
          <w:rFonts w:cs="Arial"/>
          <w:szCs w:val="22"/>
          <w:lang w:val="en-GB"/>
        </w:rPr>
        <w:t>loyed in the same service area;</w:t>
      </w:r>
    </w:p>
    <w:p w:rsidR="00E41E35" w:rsidRPr="002B55CA" w:rsidRDefault="00E41E35" w:rsidP="002B55CA">
      <w:pPr>
        <w:pStyle w:val="ListParagraph"/>
        <w:numPr>
          <w:ilvl w:val="0"/>
          <w:numId w:val="72"/>
        </w:numPr>
        <w:jc w:val="both"/>
        <w:rPr>
          <w:rFonts w:cs="Arial"/>
          <w:szCs w:val="22"/>
          <w:lang w:val="en-GB"/>
        </w:rPr>
      </w:pPr>
      <w:r w:rsidRPr="002B55CA">
        <w:rPr>
          <w:rFonts w:cs="Arial"/>
          <w:szCs w:val="22"/>
          <w:lang w:val="en-GB"/>
        </w:rPr>
        <w:t>Restricted Block Edge Masks for co-existence between groups of applications.</w:t>
      </w:r>
    </w:p>
    <w:p w:rsidR="00E41E35" w:rsidRPr="008D2EA0" w:rsidRDefault="00E41E35" w:rsidP="00510087">
      <w:pPr>
        <w:pStyle w:val="Heading3"/>
      </w:pPr>
      <w:bookmarkStart w:id="141" w:name="_Toc349039303"/>
      <w:r w:rsidRPr="008D2EA0">
        <w:t xml:space="preserve">Initial </w:t>
      </w:r>
      <w:r w:rsidR="00676E37">
        <w:t>c</w:t>
      </w:r>
      <w:r w:rsidRPr="008D2EA0">
        <w:t>onsiderations on LRTC for Terrestrial system</w:t>
      </w:r>
      <w:bookmarkEnd w:id="141"/>
    </w:p>
    <w:p w:rsidR="00E41E35" w:rsidRPr="008D2EA0" w:rsidRDefault="00E41E35" w:rsidP="000F6780">
      <w:pPr>
        <w:pStyle w:val="Heading4"/>
        <w:rPr>
          <w:lang w:val="en-GB"/>
        </w:rPr>
      </w:pPr>
      <w:bookmarkStart w:id="142" w:name="_Toc349039304"/>
      <w:r w:rsidRPr="008D2EA0">
        <w:rPr>
          <w:lang w:val="en-GB"/>
        </w:rPr>
        <w:t>Possible Band plan(s)</w:t>
      </w:r>
      <w:bookmarkEnd w:id="142"/>
    </w:p>
    <w:p w:rsidR="00E41E35" w:rsidRPr="008D2EA0" w:rsidRDefault="00E41E35" w:rsidP="00E41E35">
      <w:pPr>
        <w:pStyle w:val="ECCParagraph"/>
      </w:pPr>
      <w:r w:rsidRPr="008D2EA0">
        <w:t>It will be up to ECC to decide to retain parallel band plans or to select a preferred band plan and abrogate the MA02revCO07</w:t>
      </w:r>
      <w:r w:rsidR="005D1E13" w:rsidRPr="008D2EA0">
        <w:t xml:space="preserve"> </w:t>
      </w:r>
      <w:r w:rsidR="005D1E13" w:rsidRPr="008D2EA0">
        <w:fldChar w:fldCharType="begin"/>
      </w:r>
      <w:r w:rsidR="005D1E13" w:rsidRPr="008D2EA0">
        <w:instrText xml:space="preserve"> REF _Ref330503918 \n \h </w:instrText>
      </w:r>
      <w:r w:rsidR="005D1E13" w:rsidRPr="008D2EA0">
        <w:fldChar w:fldCharType="separate"/>
      </w:r>
      <w:r w:rsidR="00E73FF2">
        <w:t>[1]</w:t>
      </w:r>
      <w:r w:rsidR="005D1E13" w:rsidRPr="008D2EA0">
        <w:fldChar w:fldCharType="end"/>
      </w:r>
      <w:r w:rsidRPr="008D2EA0">
        <w:t xml:space="preserve"> band plan. In the previous studies on the 800 MHz band, the preferred band plan was adopted </w:t>
      </w:r>
      <w:r w:rsidRPr="008D2EA0">
        <w:rPr>
          <w:rFonts w:cs="Arial"/>
          <w:szCs w:val="20"/>
        </w:rPr>
        <w:t xml:space="preserve">in </w:t>
      </w:r>
      <w:r w:rsidRPr="008D2EA0">
        <w:rPr>
          <w:rFonts w:cs="Arial"/>
          <w:bCs/>
          <w:szCs w:val="20"/>
        </w:rPr>
        <w:t xml:space="preserve">ECC/DEC/(09)03 </w:t>
      </w:r>
      <w:r w:rsidR="001A06AC" w:rsidRPr="008D2EA0">
        <w:rPr>
          <w:rFonts w:cs="Arial"/>
          <w:bCs/>
          <w:szCs w:val="20"/>
        </w:rPr>
        <w:fldChar w:fldCharType="begin"/>
      </w:r>
      <w:r w:rsidR="001A06AC" w:rsidRPr="008D2EA0">
        <w:rPr>
          <w:rFonts w:cs="Arial"/>
          <w:bCs/>
          <w:szCs w:val="20"/>
        </w:rPr>
        <w:instrText xml:space="preserve"> REF _Ref330503966 \r \h </w:instrText>
      </w:r>
      <w:r w:rsidR="001A06AC" w:rsidRPr="008D2EA0">
        <w:rPr>
          <w:rFonts w:cs="Arial"/>
          <w:bCs/>
          <w:szCs w:val="20"/>
        </w:rPr>
      </w:r>
      <w:r w:rsidR="001A06AC" w:rsidRPr="008D2EA0">
        <w:rPr>
          <w:rFonts w:cs="Arial"/>
          <w:bCs/>
          <w:szCs w:val="20"/>
        </w:rPr>
        <w:fldChar w:fldCharType="separate"/>
      </w:r>
      <w:r w:rsidR="00E73FF2">
        <w:rPr>
          <w:rFonts w:cs="Arial"/>
          <w:bCs/>
          <w:szCs w:val="20"/>
        </w:rPr>
        <w:t>[2]</w:t>
      </w:r>
      <w:r w:rsidR="001A06AC" w:rsidRPr="008D2EA0">
        <w:rPr>
          <w:rFonts w:cs="Arial"/>
          <w:bCs/>
          <w:szCs w:val="20"/>
        </w:rPr>
        <w:fldChar w:fldCharType="end"/>
      </w:r>
      <w:r w:rsidR="001A06AC" w:rsidRPr="008D2EA0">
        <w:rPr>
          <w:rFonts w:cs="Arial"/>
          <w:bCs/>
          <w:szCs w:val="20"/>
        </w:rPr>
        <w:t xml:space="preserve"> </w:t>
      </w:r>
      <w:r w:rsidRPr="008D2EA0">
        <w:rPr>
          <w:rFonts w:cs="Arial"/>
          <w:szCs w:val="20"/>
        </w:rPr>
        <w:t>while the channelling</w:t>
      </w:r>
      <w:r w:rsidRPr="008D2EA0">
        <w:t xml:space="preserve"> arrangement from GE06 was maintained.</w:t>
      </w:r>
    </w:p>
    <w:p w:rsidR="00E41E35" w:rsidRPr="008D2EA0" w:rsidRDefault="00E41E35" w:rsidP="00E41E35">
      <w:pPr>
        <w:pStyle w:val="ECCParagraph"/>
        <w:rPr>
          <w:b/>
          <w:bCs/>
        </w:rPr>
      </w:pPr>
      <w:r w:rsidRPr="008D2EA0">
        <w:t>The adoption of 5 MHz block size has been used for the development of LRTCs in other bands. The 5 MHz band plan option is optimal for most terrestrial applications under consideration in 1452-1492 MHz. A 5 MHz plan uses efficiently the entire 40 MHz bandwidth and thus maximi</w:t>
      </w:r>
      <w:r w:rsidR="00676E37">
        <w:t>s</w:t>
      </w:r>
      <w:r w:rsidRPr="008D2EA0">
        <w:t xml:space="preserve">es spectrum availability. </w:t>
      </w:r>
    </w:p>
    <w:p w:rsidR="00E41E35" w:rsidRPr="008D2EA0" w:rsidRDefault="00E41E35" w:rsidP="00E41E35">
      <w:pPr>
        <w:pStyle w:val="ECCParagraph"/>
      </w:pPr>
      <w:r w:rsidRPr="008D2EA0">
        <w:t xml:space="preserve">A 1.7 MHz band plan based on MA02revCO07 </w:t>
      </w:r>
      <w:r w:rsidR="005D1E13" w:rsidRPr="008D2EA0">
        <w:fldChar w:fldCharType="begin"/>
      </w:r>
      <w:r w:rsidR="005D1E13" w:rsidRPr="008D2EA0">
        <w:instrText xml:space="preserve"> REF _Ref330503918 \n \h </w:instrText>
      </w:r>
      <w:r w:rsidR="005D1E13" w:rsidRPr="008D2EA0">
        <w:fldChar w:fldCharType="separate"/>
      </w:r>
      <w:r w:rsidR="00E73FF2">
        <w:t>[1]</w:t>
      </w:r>
      <w:r w:rsidR="005D1E13" w:rsidRPr="008D2EA0">
        <w:fldChar w:fldCharType="end"/>
      </w:r>
      <w:r w:rsidR="005D1E13" w:rsidRPr="008D2EA0">
        <w:t xml:space="preserve"> </w:t>
      </w:r>
      <w:r w:rsidRPr="008D2EA0">
        <w:t>is optimal for T-DAB technologies. A 1.7 MHz plan uses a total bandwidth of 39.1 MHz. There is 0.9MHz unused and cannot accommodate most of applications based on broadband technologies.</w:t>
      </w:r>
    </w:p>
    <w:p w:rsidR="00E41E35" w:rsidRPr="008D2EA0" w:rsidRDefault="00E41E35" w:rsidP="00E41E35">
      <w:pPr>
        <w:pStyle w:val="ECCParagraph"/>
        <w:rPr>
          <w:b/>
          <w:bCs/>
        </w:rPr>
      </w:pPr>
      <w:r w:rsidRPr="008D2EA0">
        <w:lastRenderedPageBreak/>
        <w:t>A channel raster of 5.1 MHz (3x1.7 MHz) is considered in CEPT Report 18</w:t>
      </w:r>
      <w:r w:rsidR="00530F73" w:rsidRPr="008D2EA0">
        <w:t xml:space="preserve"> </w:t>
      </w:r>
      <w:r w:rsidR="00530F73" w:rsidRPr="008D2EA0">
        <w:fldChar w:fldCharType="begin"/>
      </w:r>
      <w:r w:rsidR="00530F73" w:rsidRPr="008D2EA0">
        <w:instrText xml:space="preserve"> REF _Ref330504932 \r \h </w:instrText>
      </w:r>
      <w:r w:rsidR="00530F73" w:rsidRPr="008D2EA0">
        <w:fldChar w:fldCharType="separate"/>
      </w:r>
      <w:r w:rsidR="00E73FF2">
        <w:t>[5]</w:t>
      </w:r>
      <w:r w:rsidR="00530F73" w:rsidRPr="008D2EA0">
        <w:fldChar w:fldCharType="end"/>
      </w:r>
      <w:r w:rsidRPr="008D2EA0">
        <w:t>. However, it does not seem to be optimal for most of the applications under consideration.</w:t>
      </w:r>
      <w:r w:rsidR="00EA126F" w:rsidRPr="008D2EA0">
        <w:t xml:space="preserve"> </w:t>
      </w:r>
      <w:r w:rsidRPr="008D2EA0">
        <w:t xml:space="preserve">In addition, a band plan based on 5.1 MHz blocks will use a total of 35.7 MHz resulting in 4.3 MHz unused in the band 1452-1492 MHz. </w:t>
      </w:r>
    </w:p>
    <w:p w:rsidR="00E41E35" w:rsidRPr="008D2EA0" w:rsidRDefault="00E41E35" w:rsidP="00E41E35">
      <w:pPr>
        <w:pStyle w:val="ECCParagraph"/>
      </w:pPr>
      <w:r w:rsidRPr="008D2EA0">
        <w:t>Although, two candidate band plans are still under consideration, the final aim is to identify a single band plan in order to achieve harmonisation in CEPT to the maximum extent possible.</w:t>
      </w:r>
    </w:p>
    <w:p w:rsidR="00E41E35" w:rsidRPr="008D2EA0" w:rsidRDefault="00E41E35" w:rsidP="00E41E35">
      <w:pPr>
        <w:pStyle w:val="ECCParagraph"/>
      </w:pPr>
      <w:r w:rsidRPr="008D2EA0">
        <w:t xml:space="preserve">The band plan options for 1452-1492 MHz are illustrated in the figures below: </w:t>
      </w:r>
    </w:p>
    <w:p w:rsidR="00E41E35" w:rsidRPr="008D2EA0" w:rsidRDefault="00E41E35" w:rsidP="00E41E35">
      <w:pPr>
        <w:pStyle w:val="ECCParagraph"/>
        <w:spacing w:after="0"/>
        <w:jc w:val="center"/>
      </w:pPr>
      <w:r w:rsidRPr="008D2EA0">
        <w:rPr>
          <w:noProof/>
          <w:lang w:val="da-DK" w:eastAsia="da-DK"/>
        </w:rPr>
        <w:drawing>
          <wp:inline distT="0" distB="0" distL="0" distR="0" wp14:anchorId="75F7AE77" wp14:editId="39ED0F7B">
            <wp:extent cx="5543550" cy="866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b="45087"/>
                    <a:stretch>
                      <a:fillRect/>
                    </a:stretch>
                  </pic:blipFill>
                  <pic:spPr bwMode="auto">
                    <a:xfrm>
                      <a:off x="0" y="0"/>
                      <a:ext cx="5543550" cy="866775"/>
                    </a:xfrm>
                    <a:prstGeom prst="rect">
                      <a:avLst/>
                    </a:prstGeom>
                    <a:noFill/>
                    <a:ln>
                      <a:noFill/>
                    </a:ln>
                  </pic:spPr>
                </pic:pic>
              </a:graphicData>
            </a:graphic>
          </wp:inline>
        </w:drawing>
      </w:r>
    </w:p>
    <w:p w:rsidR="00E41E35" w:rsidRPr="008D2EA0" w:rsidRDefault="00E41E35" w:rsidP="00AC460F">
      <w:pPr>
        <w:pStyle w:val="ECCFiguretitle"/>
      </w:pPr>
      <w:r w:rsidRPr="008D2EA0">
        <w:t>Band plan option A for 1452-1492 MHz band based on 1.7 MHz block size</w:t>
      </w:r>
    </w:p>
    <w:p w:rsidR="00E41E35" w:rsidRPr="008D2EA0" w:rsidRDefault="00E41E35" w:rsidP="00E41E35">
      <w:pPr>
        <w:pStyle w:val="ECCParagraph"/>
        <w:jc w:val="center"/>
      </w:pPr>
      <w:r w:rsidRPr="008D2EA0">
        <w:rPr>
          <w:noProof/>
          <w:lang w:val="da-DK" w:eastAsia="da-DK"/>
        </w:rPr>
        <w:drawing>
          <wp:inline distT="0" distB="0" distL="0" distR="0" wp14:anchorId="5677AC16" wp14:editId="4811AFFE">
            <wp:extent cx="5124450" cy="666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666750"/>
                    </a:xfrm>
                    <a:prstGeom prst="rect">
                      <a:avLst/>
                    </a:prstGeom>
                    <a:noFill/>
                    <a:ln>
                      <a:noFill/>
                    </a:ln>
                  </pic:spPr>
                </pic:pic>
              </a:graphicData>
            </a:graphic>
          </wp:inline>
        </w:drawing>
      </w:r>
    </w:p>
    <w:p w:rsidR="00E41E35" w:rsidRPr="008D2EA0" w:rsidRDefault="00E41E35" w:rsidP="00AC460F">
      <w:pPr>
        <w:pStyle w:val="ECCFiguretitle"/>
      </w:pPr>
      <w:r w:rsidRPr="008D2EA0">
        <w:t>Band plan option B for 1452-1492 MHz band based on 5 MHz block size</w:t>
      </w:r>
    </w:p>
    <w:p w:rsidR="00E41E35" w:rsidRPr="008D2EA0" w:rsidRDefault="00E41E35" w:rsidP="000F6780">
      <w:pPr>
        <w:pStyle w:val="Heading4"/>
        <w:rPr>
          <w:lang w:val="en-GB"/>
        </w:rPr>
      </w:pPr>
      <w:bookmarkStart w:id="143" w:name="_Toc349039305"/>
      <w:r w:rsidRPr="008D2EA0">
        <w:rPr>
          <w:lang w:val="en-GB"/>
        </w:rPr>
        <w:t>Generic BEM</w:t>
      </w:r>
      <w:bookmarkEnd w:id="143"/>
      <w:r w:rsidRPr="008D2EA0">
        <w:rPr>
          <w:lang w:val="en-GB"/>
        </w:rPr>
        <w:t xml:space="preserve"> </w:t>
      </w:r>
    </w:p>
    <w:p w:rsidR="00E41E35" w:rsidRPr="008D2EA0" w:rsidRDefault="00E41E35" w:rsidP="00E41E35">
      <w:pPr>
        <w:pStyle w:val="ECCParagraph"/>
      </w:pPr>
      <w:r w:rsidRPr="008D2EA0">
        <w:t xml:space="preserve">A generic BEM ensures coexistence between applications belonging to the same group of applications, i.e. ECNs DL vs ECNs DL and ECNs UL vs ECNs UL. In previous CEPT studies, such a generic BEM was typically derived from considerations of the Spectrum Emission Masks of the reference system for the group of applications. </w:t>
      </w:r>
    </w:p>
    <w:p w:rsidR="00E41E35" w:rsidRPr="008D2EA0" w:rsidRDefault="00E41E35" w:rsidP="00AC460F">
      <w:pPr>
        <w:pStyle w:val="ECCFiguretitle"/>
        <w:numPr>
          <w:ilvl w:val="0"/>
          <w:numId w:val="0"/>
        </w:numPr>
      </w:pPr>
    </w:p>
    <w:p w:rsidR="00E41E35" w:rsidRPr="008D2EA0" w:rsidRDefault="00E41E35" w:rsidP="00E41E35">
      <w:pPr>
        <w:pStyle w:val="ECCParagraph"/>
        <w:jc w:val="center"/>
      </w:pPr>
      <w:r w:rsidRPr="008D2EA0">
        <w:rPr>
          <w:noProof/>
          <w:lang w:val="da-DK" w:eastAsia="da-DK"/>
        </w:rPr>
        <w:drawing>
          <wp:inline distT="0" distB="0" distL="0" distR="0" wp14:anchorId="6999819B" wp14:editId="410E0B73">
            <wp:extent cx="5210175" cy="676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676275"/>
                    </a:xfrm>
                    <a:prstGeom prst="rect">
                      <a:avLst/>
                    </a:prstGeom>
                    <a:noFill/>
                    <a:ln>
                      <a:noFill/>
                    </a:ln>
                  </pic:spPr>
                </pic:pic>
              </a:graphicData>
            </a:graphic>
          </wp:inline>
        </w:drawing>
      </w:r>
    </w:p>
    <w:p w:rsidR="00E41E35" w:rsidRPr="008D2EA0" w:rsidRDefault="00E41E35" w:rsidP="00AC460F">
      <w:pPr>
        <w:pStyle w:val="ECCFiguretitle"/>
      </w:pPr>
      <w:r w:rsidRPr="008D2EA0">
        <w:t xml:space="preserve">Example of mixed allocations between Mobile SDL and Broadcast (BC) </w:t>
      </w:r>
      <w:r w:rsidR="0003313A" w:rsidRPr="008D2EA0">
        <w:br/>
      </w:r>
      <w:r w:rsidRPr="008D2EA0">
        <w:t>at national level</w:t>
      </w:r>
    </w:p>
    <w:p w:rsidR="00E41E35" w:rsidRPr="008D2EA0" w:rsidRDefault="00E41E35" w:rsidP="00E41E35">
      <w:pPr>
        <w:pStyle w:val="ECCParagraph"/>
      </w:pPr>
      <w:r w:rsidRPr="008D2EA0">
        <w:t xml:space="preserve">In previous CEPT studies on the generic BEM for ECNs UL and low power applications, were implying a maximum in-band power, with no further constraints applied. </w:t>
      </w:r>
    </w:p>
    <w:p w:rsidR="00E41E35" w:rsidRPr="008D2EA0" w:rsidRDefault="00E41E35" w:rsidP="00E41E35">
      <w:pPr>
        <w:pStyle w:val="ECCParagraph"/>
      </w:pPr>
      <w:r w:rsidRPr="008D2EA0">
        <w:t>Appropriate CEPT reviews may be needed to verify these initial (as well as additional) considerations about the suitability of these candidate Generic BEMs.</w:t>
      </w:r>
    </w:p>
    <w:p w:rsidR="00E41E35" w:rsidRPr="008D2EA0" w:rsidRDefault="00E41E35" w:rsidP="00F77275">
      <w:pPr>
        <w:pStyle w:val="Heading4"/>
        <w:keepNext/>
        <w:rPr>
          <w:lang w:val="en-GB"/>
        </w:rPr>
      </w:pPr>
      <w:bookmarkStart w:id="144" w:name="_Toc349039306"/>
      <w:r w:rsidRPr="008D2EA0">
        <w:rPr>
          <w:lang w:val="en-GB"/>
        </w:rPr>
        <w:lastRenderedPageBreak/>
        <w:t>Restricted BEM</w:t>
      </w:r>
      <w:bookmarkEnd w:id="144"/>
    </w:p>
    <w:p w:rsidR="00E41E35" w:rsidRPr="008D2EA0" w:rsidRDefault="00E41E35" w:rsidP="00F77275">
      <w:pPr>
        <w:pStyle w:val="ECCParagraph"/>
        <w:keepNext/>
      </w:pPr>
      <w:r w:rsidRPr="008D2EA0">
        <w:t xml:space="preserve">The coexistence of ECNs DL and ECNs UL usually require the adoption of restricted blocks, on which restricted BEMs apply, as illustrated in </w:t>
      </w:r>
      <w:r w:rsidR="00530F73" w:rsidRPr="008D2EA0">
        <w:fldChar w:fldCharType="begin"/>
      </w:r>
      <w:r w:rsidR="00530F73" w:rsidRPr="008D2EA0">
        <w:instrText xml:space="preserve"> REF _Ref330547894 \r \h </w:instrText>
      </w:r>
      <w:r w:rsidR="00530F73" w:rsidRPr="008D2EA0">
        <w:fldChar w:fldCharType="separate"/>
      </w:r>
      <w:r w:rsidR="00E73FF2">
        <w:t>Figure 9:</w:t>
      </w:r>
      <w:r w:rsidR="00530F73" w:rsidRPr="008D2EA0">
        <w:fldChar w:fldCharType="end"/>
      </w:r>
      <w:r w:rsidR="00530F73" w:rsidRPr="008D2EA0">
        <w:t xml:space="preserve"> </w:t>
      </w:r>
      <w:r w:rsidRPr="008D2EA0">
        <w:t>below.</w:t>
      </w:r>
    </w:p>
    <w:p w:rsidR="00E41E35" w:rsidRPr="008D2EA0" w:rsidRDefault="00E41E35" w:rsidP="00AC460F">
      <w:pPr>
        <w:pStyle w:val="ECCFiguretitle"/>
        <w:numPr>
          <w:ilvl w:val="0"/>
          <w:numId w:val="0"/>
        </w:numPr>
        <w:ind w:left="357"/>
        <w:rPr>
          <w:highlight w:val="yellow"/>
        </w:rPr>
      </w:pPr>
      <w:r w:rsidRPr="008D2EA0">
        <w:rPr>
          <w:noProof/>
          <w:lang w:val="da-DK" w:eastAsia="da-DK"/>
        </w:rPr>
        <w:drawing>
          <wp:inline distT="0" distB="0" distL="0" distR="0" wp14:anchorId="52DA0315" wp14:editId="10B52156">
            <wp:extent cx="4210050" cy="2085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l="15639" t="36719" r="20189" b="20322"/>
                    <a:stretch>
                      <a:fillRect/>
                    </a:stretch>
                  </pic:blipFill>
                  <pic:spPr bwMode="auto">
                    <a:xfrm>
                      <a:off x="0" y="0"/>
                      <a:ext cx="4210050" cy="2085975"/>
                    </a:xfrm>
                    <a:prstGeom prst="rect">
                      <a:avLst/>
                    </a:prstGeom>
                    <a:noFill/>
                    <a:ln>
                      <a:noFill/>
                    </a:ln>
                  </pic:spPr>
                </pic:pic>
              </a:graphicData>
            </a:graphic>
          </wp:inline>
        </w:drawing>
      </w:r>
    </w:p>
    <w:p w:rsidR="00E41E35" w:rsidRPr="008D2EA0" w:rsidRDefault="00E41E35" w:rsidP="00AC460F">
      <w:pPr>
        <w:pStyle w:val="ECCFiguretitle"/>
      </w:pPr>
      <w:bookmarkStart w:id="145" w:name="_Ref330547894"/>
      <w:r w:rsidRPr="008D2EA0">
        <w:t xml:space="preserve">Example of mixed allocations between DL and DL/UL blocks, </w:t>
      </w:r>
      <w:r w:rsidR="0003313A" w:rsidRPr="008D2EA0">
        <w:br/>
      </w:r>
      <w:r w:rsidRPr="008D2EA0">
        <w:t>including resulting restricted blocks</w:t>
      </w:r>
      <w:bookmarkEnd w:id="145"/>
    </w:p>
    <w:p w:rsidR="00E41E35" w:rsidRPr="008D2EA0" w:rsidRDefault="001A06AC" w:rsidP="00E41E35">
      <w:pPr>
        <w:pStyle w:val="ECCParagraph"/>
      </w:pPr>
      <w:r w:rsidRPr="008D2EA0">
        <w:t>This figure depicts</w:t>
      </w:r>
      <w:r w:rsidR="00E41E35" w:rsidRPr="008D2EA0">
        <w:t xml:space="preserve"> illustrative examples.</w:t>
      </w:r>
      <w:r w:rsidR="00E41E35" w:rsidRPr="008D2EA0">
        <w:rPr>
          <w:rStyle w:val="apple-converted-space"/>
          <w:rFonts w:ascii="Arial" w:hAnsi="Arial"/>
        </w:rPr>
        <w:t> </w:t>
      </w:r>
      <w:r w:rsidR="00E41E35" w:rsidRPr="008D2EA0">
        <w:t>Requirements for restricted blocks have to be assessed on a case by case basis.</w:t>
      </w:r>
    </w:p>
    <w:p w:rsidR="00E41E35" w:rsidRPr="008D2EA0" w:rsidRDefault="00E41E35" w:rsidP="00E41E35">
      <w:pPr>
        <w:pStyle w:val="ECCParagraph"/>
      </w:pPr>
      <w:r w:rsidRPr="008D2EA0">
        <w:t>In such restricted blocks, the maximum in-band power is limited and the reception sensitivity may be degraded due to interference from adjacent DL blocks. The CEPT Report</w:t>
      </w:r>
      <w:r w:rsidR="00AC460F" w:rsidRPr="008D2EA0">
        <w:t>s</w:t>
      </w:r>
      <w:r w:rsidRPr="008D2EA0">
        <w:t xml:space="preserve"> 19</w:t>
      </w:r>
      <w:r w:rsidR="001A06AC" w:rsidRPr="008D2EA0">
        <w:t xml:space="preserve"> </w:t>
      </w:r>
      <w:r w:rsidR="001A06AC" w:rsidRPr="008D2EA0">
        <w:fldChar w:fldCharType="begin"/>
      </w:r>
      <w:r w:rsidR="001A06AC" w:rsidRPr="008D2EA0">
        <w:instrText xml:space="preserve"> REF _Ref330514924 \r \h </w:instrText>
      </w:r>
      <w:r w:rsidR="001A06AC" w:rsidRPr="008D2EA0">
        <w:fldChar w:fldCharType="separate"/>
      </w:r>
      <w:r w:rsidR="00E73FF2">
        <w:t>[20]</w:t>
      </w:r>
      <w:r w:rsidR="001A06AC" w:rsidRPr="008D2EA0">
        <w:fldChar w:fldCharType="end"/>
      </w:r>
      <w:r w:rsidRPr="008D2EA0">
        <w:t xml:space="preserve">, 39 </w:t>
      </w:r>
      <w:r w:rsidR="001A06AC" w:rsidRPr="008D2EA0">
        <w:fldChar w:fldCharType="begin"/>
      </w:r>
      <w:r w:rsidR="001A06AC" w:rsidRPr="008D2EA0">
        <w:instrText xml:space="preserve"> REF _Ref330515778 \r \h </w:instrText>
      </w:r>
      <w:r w:rsidR="001A06AC" w:rsidRPr="008D2EA0">
        <w:fldChar w:fldCharType="separate"/>
      </w:r>
      <w:r w:rsidR="00E73FF2">
        <w:t>[24]</w:t>
      </w:r>
      <w:r w:rsidR="001A06AC" w:rsidRPr="008D2EA0">
        <w:fldChar w:fldCharType="end"/>
      </w:r>
      <w:r w:rsidR="001A06AC" w:rsidRPr="008D2EA0">
        <w:t xml:space="preserve"> </w:t>
      </w:r>
      <w:r w:rsidRPr="008D2EA0">
        <w:t xml:space="preserve">and ECC Report 131 </w:t>
      </w:r>
      <w:r w:rsidR="001A06AC" w:rsidRPr="008D2EA0">
        <w:fldChar w:fldCharType="begin"/>
      </w:r>
      <w:r w:rsidR="001A06AC" w:rsidRPr="008D2EA0">
        <w:instrText xml:space="preserve"> REF _Ref330514912 \r \h </w:instrText>
      </w:r>
      <w:r w:rsidR="001A06AC" w:rsidRPr="008D2EA0">
        <w:fldChar w:fldCharType="separate"/>
      </w:r>
      <w:r w:rsidR="00E73FF2">
        <w:t>[25]</w:t>
      </w:r>
      <w:r w:rsidR="001A06AC" w:rsidRPr="008D2EA0">
        <w:fldChar w:fldCharType="end"/>
      </w:r>
      <w:r w:rsidR="001A06AC" w:rsidRPr="008D2EA0">
        <w:t xml:space="preserve"> </w:t>
      </w:r>
      <w:r w:rsidRPr="008D2EA0">
        <w:t xml:space="preserve">have studied extensively these restricted blocks and provide an adequate corresponding regulatory framework.  </w:t>
      </w:r>
    </w:p>
    <w:p w:rsidR="00E41E35" w:rsidRPr="008D2EA0" w:rsidRDefault="00E41E35" w:rsidP="000F6780">
      <w:pPr>
        <w:pStyle w:val="Heading2"/>
        <w:rPr>
          <w:lang w:val="en-GB"/>
        </w:rPr>
      </w:pPr>
      <w:bookmarkStart w:id="146" w:name="_Toc349039307"/>
      <w:r w:rsidRPr="008D2EA0">
        <w:rPr>
          <w:lang w:val="en-GB"/>
        </w:rPr>
        <w:t>Pan-european vs National coverage</w:t>
      </w:r>
      <w:bookmarkEnd w:id="146"/>
    </w:p>
    <w:p w:rsidR="00E41E35" w:rsidRPr="008D2EA0" w:rsidRDefault="00E41E35" w:rsidP="0003313A">
      <w:pPr>
        <w:pStyle w:val="ECCParagraph"/>
        <w:spacing w:after="120"/>
      </w:pPr>
      <w:r w:rsidRPr="008D2EA0">
        <w:t>The candidate applications can be classified based on their technical and regulatory requirement in two groups:</w:t>
      </w:r>
    </w:p>
    <w:p w:rsidR="00E41E35" w:rsidRPr="008D2EA0" w:rsidRDefault="00E41E35" w:rsidP="00290368">
      <w:pPr>
        <w:pStyle w:val="ECCParagraph"/>
        <w:numPr>
          <w:ilvl w:val="0"/>
          <w:numId w:val="45"/>
        </w:numPr>
        <w:spacing w:after="120"/>
      </w:pPr>
      <w:r w:rsidRPr="008D2EA0">
        <w:t>Applications requiring the harmonisation and identification of spectrum for CEPT-wide use/coverage</w:t>
      </w:r>
      <w:r w:rsidR="00F77275">
        <w:t>;</w:t>
      </w:r>
    </w:p>
    <w:p w:rsidR="00E41E35" w:rsidRPr="008D2EA0" w:rsidRDefault="00E41E35" w:rsidP="00290368">
      <w:pPr>
        <w:pStyle w:val="ECCParagraph"/>
        <w:numPr>
          <w:ilvl w:val="0"/>
          <w:numId w:val="45"/>
        </w:numPr>
      </w:pPr>
      <w:r w:rsidRPr="008D2EA0">
        <w:t>Applications requiring the harmonisation and identification of spectrum for deployment at national level</w:t>
      </w:r>
      <w:r w:rsidR="00F77275">
        <w:t>.</w:t>
      </w:r>
    </w:p>
    <w:p w:rsidR="00E41E35" w:rsidRPr="008D2EA0" w:rsidRDefault="00E41E35" w:rsidP="00510087">
      <w:pPr>
        <w:pStyle w:val="Heading3"/>
      </w:pPr>
      <w:bookmarkStart w:id="147" w:name="_Toc349039308"/>
      <w:r w:rsidRPr="008D2EA0">
        <w:t>Applications requiring the harmonisation and identification of spectrum for CEPT-wide use/coverage</w:t>
      </w:r>
      <w:bookmarkEnd w:id="147"/>
    </w:p>
    <w:p w:rsidR="00E41E35" w:rsidRPr="008D2EA0" w:rsidRDefault="00E41E35" w:rsidP="00E41E35">
      <w:pPr>
        <w:pStyle w:val="ECCParagraph"/>
      </w:pPr>
      <w:r w:rsidRPr="008D2EA0">
        <w:t>In general, the applications in this section either require the allocation of the band (or a sub-band) due to the service requirement, or will impact use of the band (or a sub-band) due to the inherent nature of their deployment which cannot be restricted to a single country.</w:t>
      </w:r>
    </w:p>
    <w:p w:rsidR="00E41E35" w:rsidRPr="008D2EA0" w:rsidRDefault="00E41E35" w:rsidP="000F6780">
      <w:pPr>
        <w:pStyle w:val="Heading4"/>
        <w:rPr>
          <w:lang w:val="en-GB"/>
        </w:rPr>
      </w:pPr>
      <w:bookmarkStart w:id="148" w:name="_Toc319487810"/>
      <w:bookmarkStart w:id="149" w:name="_Toc319487809"/>
      <w:bookmarkStart w:id="150" w:name="_Toc349039309"/>
      <w:r w:rsidRPr="008D2EA0">
        <w:rPr>
          <w:lang w:val="en-GB"/>
        </w:rPr>
        <w:t>Satellite Digital Audio Broadcasting– (including terrestrial component)</w:t>
      </w:r>
      <w:bookmarkEnd w:id="150"/>
    </w:p>
    <w:bookmarkEnd w:id="148"/>
    <w:p w:rsidR="00E41E35" w:rsidRPr="008D2EA0" w:rsidRDefault="00E41E35" w:rsidP="00E41E35">
      <w:pPr>
        <w:pStyle w:val="ECCParagraph"/>
      </w:pPr>
      <w:r w:rsidRPr="008D2EA0">
        <w:t>Satellite Digital Audio Broadcasting– (including terrestrial component) re</w:t>
      </w:r>
      <w:r w:rsidR="00205552" w:rsidRPr="008D2EA0">
        <w:t>lies</w:t>
      </w:r>
      <w:r w:rsidRPr="008D2EA0">
        <w:t xml:space="preserve"> on a satellite component. Such satellite service provides naturally a Europe wide coverage in 1467-1492 MHz, i.e. the satellite beam cannot be shaped to cover a single country but covers multiple CEPT countries. </w:t>
      </w:r>
    </w:p>
    <w:p w:rsidR="00E41E35" w:rsidRPr="008D2EA0" w:rsidRDefault="00E41E35" w:rsidP="00E41E35">
      <w:pPr>
        <w:pStyle w:val="ECCParagraph"/>
      </w:pPr>
      <w:r w:rsidRPr="008D2EA0">
        <w:t xml:space="preserve">As a result, the decision from a CEPT country to allow satellite digital audio broadcasting– (including terrestrial component) within its border will directly result in signal covering also its </w:t>
      </w:r>
      <w:r w:rsidR="002B55CA" w:rsidRPr="008D2EA0">
        <w:t>neighbouring</w:t>
      </w:r>
      <w:r w:rsidRPr="008D2EA0">
        <w:t xml:space="preserve"> countries. In countries which decide not to protect on their territory the satellite broadcasting reception </w:t>
      </w:r>
      <w:r w:rsidRPr="008D2EA0">
        <w:lastRenderedPageBreak/>
        <w:t xml:space="preserve">this signal is to be considered as interference. </w:t>
      </w:r>
      <w:r w:rsidR="00676E37" w:rsidRPr="008D2EA0">
        <w:t>The terrestrial component can be deployed at national level.</w:t>
      </w:r>
    </w:p>
    <w:p w:rsidR="00E41E35" w:rsidRPr="008D2EA0" w:rsidRDefault="00E41E35" w:rsidP="000F6780">
      <w:pPr>
        <w:pStyle w:val="Heading4"/>
        <w:rPr>
          <w:lang w:val="en-GB"/>
        </w:rPr>
      </w:pPr>
      <w:bookmarkStart w:id="151" w:name="_Toc349039310"/>
      <w:r w:rsidRPr="008D2EA0">
        <w:rPr>
          <w:lang w:val="en-GB"/>
        </w:rPr>
        <w:t>BDA2GC</w:t>
      </w:r>
      <w:bookmarkEnd w:id="149"/>
      <w:bookmarkEnd w:id="151"/>
    </w:p>
    <w:p w:rsidR="00E41E35" w:rsidRPr="008D2EA0" w:rsidRDefault="00E41E35" w:rsidP="00E41E35">
      <w:pPr>
        <w:pStyle w:val="ECCParagraph"/>
      </w:pPr>
      <w:r w:rsidRPr="008D2EA0">
        <w:t>The objective of BDA2GC is to provide access to broadband communication services for air passengers during continental flights on a Europe-wide basis.</w:t>
      </w:r>
    </w:p>
    <w:p w:rsidR="00E41E35" w:rsidRPr="008D2EA0" w:rsidRDefault="00E41E35" w:rsidP="00E41E35">
      <w:pPr>
        <w:pStyle w:val="ECCParagraph"/>
      </w:pPr>
      <w:r w:rsidRPr="008D2EA0">
        <w:t>As such the implementation of BDA2GC in the band 1452-1492 MHz requires the harmonisation and identification of two 10 MHz FDD blocks or one 20 MHz TDD block within this band by ECC for pan-European use.</w:t>
      </w:r>
    </w:p>
    <w:p w:rsidR="00E41E35" w:rsidRPr="008D2EA0" w:rsidRDefault="00E41E35" w:rsidP="00510087">
      <w:pPr>
        <w:pStyle w:val="Heading3"/>
      </w:pPr>
      <w:bookmarkStart w:id="152" w:name="_Toc349039311"/>
      <w:r w:rsidRPr="008D2EA0">
        <w:t>Applications requiring the harmonisation and identification of spectrum for deployment at national level</w:t>
      </w:r>
      <w:bookmarkEnd w:id="152"/>
    </w:p>
    <w:p w:rsidR="00E41E35" w:rsidRPr="008D2EA0" w:rsidRDefault="00E41E35" w:rsidP="00E41E35">
      <w:pPr>
        <w:pStyle w:val="ECCParagraph"/>
      </w:pPr>
      <w:r w:rsidRPr="008D2EA0">
        <w:t xml:space="preserve">All terrestrial candidate applications can be deployed on a national basis, including Terrestrial Broadcasting, Mobile Broadband, Mobile SDL, </w:t>
      </w:r>
      <w:r w:rsidR="00676E37">
        <w:t>B</w:t>
      </w:r>
      <w:r w:rsidRPr="008D2EA0">
        <w:t xml:space="preserve">PPDR and PMSE. Fundamentally, this is due to the fact that the service area of a single base station (respectively access point) is much smaller than a country. </w:t>
      </w:r>
    </w:p>
    <w:p w:rsidR="00E41E35" w:rsidRPr="008D2EA0" w:rsidRDefault="00E41E35" w:rsidP="00E41E35">
      <w:pPr>
        <w:pStyle w:val="ECCParagraph"/>
      </w:pPr>
      <w:r w:rsidRPr="008D2EA0">
        <w:t>Issues that may arise at borders of countries which allocate a given sub-band to two different systems are solved through cross-border coordination between the involved countries; usually using ECC agreed recommendations and methodologies.</w:t>
      </w:r>
    </w:p>
    <w:p w:rsidR="00E41E35" w:rsidRPr="008D2EA0" w:rsidRDefault="00E41E35" w:rsidP="00E41E35">
      <w:pPr>
        <w:pStyle w:val="ECCParagraph"/>
      </w:pPr>
      <w:r w:rsidRPr="008D2EA0">
        <w:t>Despite the possibility to deploy the service on a national basis most of these systems require harmonisation at CEPT level, in particular of the band plan and the least restrictive technical conditions, in order to achieve economies of scale, ensure the availability of equipment, interoperability and roaming across CEPT countries. This is usually achieved through ECC Decision which harmonise the spectrum and in particular the band plan while maintaining the possibility to adapt to national requirements and needs. One typical example is the bands harmonised for the mobile services within CEPT, for which many countries may licence the whole band and some of them just a sub-band to take into account national requirements.</w:t>
      </w:r>
    </w:p>
    <w:p w:rsidR="00E41E35" w:rsidRPr="008D2EA0" w:rsidRDefault="00E41E35" w:rsidP="000F6780">
      <w:pPr>
        <w:pStyle w:val="Heading2"/>
        <w:rPr>
          <w:lang w:val="en-GB"/>
        </w:rPr>
      </w:pPr>
      <w:bookmarkStart w:id="153" w:name="_Ref330516006"/>
      <w:bookmarkStart w:id="154" w:name="_Ref330516198"/>
      <w:bookmarkStart w:id="155" w:name="_Ref330548152"/>
      <w:bookmarkStart w:id="156" w:name="_Ref330548644"/>
      <w:bookmarkStart w:id="157" w:name="_Toc349039312"/>
      <w:r w:rsidRPr="008D2EA0">
        <w:rPr>
          <w:lang w:val="en-GB"/>
        </w:rPr>
        <w:t>Regulatory options considered</w:t>
      </w:r>
      <w:bookmarkEnd w:id="153"/>
      <w:bookmarkEnd w:id="154"/>
      <w:bookmarkEnd w:id="155"/>
      <w:bookmarkEnd w:id="156"/>
      <w:bookmarkEnd w:id="157"/>
    </w:p>
    <w:p w:rsidR="005926B1" w:rsidRPr="008D2EA0" w:rsidRDefault="00BF697E" w:rsidP="005926B1">
      <w:pPr>
        <w:rPr>
          <w:lang w:val="en-GB"/>
        </w:rPr>
      </w:pPr>
      <w:r w:rsidRPr="008D2EA0">
        <w:rPr>
          <w:lang w:val="en-GB"/>
        </w:rPr>
        <w:t>T</w:t>
      </w:r>
      <w:r w:rsidR="00E41E35" w:rsidRPr="008D2EA0">
        <w:rPr>
          <w:lang w:val="en-GB"/>
        </w:rPr>
        <w:t xml:space="preserve">he following </w:t>
      </w:r>
      <w:r w:rsidR="005926B1" w:rsidRPr="008D2EA0">
        <w:rPr>
          <w:lang w:val="en-GB"/>
        </w:rPr>
        <w:t xml:space="preserve">three </w:t>
      </w:r>
      <w:r w:rsidR="00E41E35" w:rsidRPr="008D2EA0">
        <w:rPr>
          <w:lang w:val="en-GB"/>
        </w:rPr>
        <w:t xml:space="preserve">regulatory options </w:t>
      </w:r>
      <w:r w:rsidRPr="008D2EA0">
        <w:rPr>
          <w:lang w:val="en-GB"/>
        </w:rPr>
        <w:t xml:space="preserve">are considered </w:t>
      </w:r>
      <w:r w:rsidR="00E41E35" w:rsidRPr="008D2EA0">
        <w:rPr>
          <w:lang w:val="en-GB"/>
        </w:rPr>
        <w:t>based on the technical, spectrum and regulatory requirements of the candidate applications</w:t>
      </w:r>
      <w:r w:rsidR="00205552" w:rsidRPr="008D2EA0">
        <w:rPr>
          <w:lang w:val="en-GB"/>
        </w:rPr>
        <w:t>.</w:t>
      </w:r>
    </w:p>
    <w:p w:rsidR="00E41E35" w:rsidRPr="008D2EA0" w:rsidRDefault="00E41E35" w:rsidP="00E41E35">
      <w:pPr>
        <w:pStyle w:val="ECCParagraph"/>
      </w:pPr>
    </w:p>
    <w:p w:rsidR="00E41E35" w:rsidRPr="008D2EA0" w:rsidRDefault="00E41E35" w:rsidP="00E41E35">
      <w:pPr>
        <w:pStyle w:val="ECCParagraph"/>
      </w:pPr>
      <w:r w:rsidRPr="008D2EA0">
        <w:rPr>
          <w:b/>
        </w:rPr>
        <w:t>Regulatory Option 1</w:t>
      </w:r>
      <w:r w:rsidR="00C24E24" w:rsidRPr="008D2EA0">
        <w:rPr>
          <w:rStyle w:val="FootnoteReference"/>
          <w:b/>
        </w:rPr>
        <w:footnoteReference w:id="40"/>
      </w:r>
      <w:r w:rsidRPr="008D2EA0">
        <w:rPr>
          <w:b/>
        </w:rPr>
        <w:t xml:space="preserve"> (No Change – baseline for the impact assessment):</w:t>
      </w:r>
      <w:r w:rsidRPr="008D2EA0">
        <w:t xml:space="preserve"> This option corresponds to the harmonised use of the band 1452-1492 MHz for terrestrial broadcasting</w:t>
      </w:r>
      <w:r w:rsidR="00676E37">
        <w:t xml:space="preserve"> (limited to 1452-1479,5 MHz)</w:t>
      </w:r>
      <w:r w:rsidR="0003313A" w:rsidRPr="008D2EA0">
        <w:t xml:space="preserve"> and S-DAB (limited to 1479.5-</w:t>
      </w:r>
      <w:r w:rsidRPr="008D2EA0">
        <w:t xml:space="preserve">1492 MHz) in CEPT. </w:t>
      </w:r>
    </w:p>
    <w:p w:rsidR="00E41E35" w:rsidRPr="008D2EA0" w:rsidRDefault="00E41E35" w:rsidP="00290368">
      <w:pPr>
        <w:pStyle w:val="ECCParagraph"/>
        <w:numPr>
          <w:ilvl w:val="0"/>
          <w:numId w:val="25"/>
        </w:numPr>
        <w:rPr>
          <w:rFonts w:cs="Arial"/>
          <w:szCs w:val="20"/>
        </w:rPr>
      </w:pPr>
      <w:r w:rsidRPr="008D2EA0">
        <w:rPr>
          <w:rFonts w:cs="Arial"/>
          <w:bCs/>
          <w:szCs w:val="20"/>
        </w:rPr>
        <w:t>The ECC will then</w:t>
      </w:r>
      <w:r w:rsidRPr="008D2EA0">
        <w:rPr>
          <w:rFonts w:cs="Arial"/>
          <w:szCs w:val="20"/>
        </w:rPr>
        <w:t xml:space="preserve"> maintain the harmonised band plan for the sub-band 1452-1479.5 MHz based on 1.7 MHz blocks and the MA02revCO07 Plan</w:t>
      </w:r>
      <w:r w:rsidR="005D1E13" w:rsidRPr="008D2EA0">
        <w:rPr>
          <w:rFonts w:cs="Arial"/>
          <w:szCs w:val="20"/>
        </w:rPr>
        <w:t xml:space="preserve"> </w:t>
      </w:r>
      <w:r w:rsidR="005D1E13" w:rsidRPr="008D2EA0">
        <w:rPr>
          <w:rFonts w:cs="Arial"/>
          <w:szCs w:val="20"/>
        </w:rPr>
        <w:fldChar w:fldCharType="begin"/>
      </w:r>
      <w:r w:rsidR="005D1E13" w:rsidRPr="008D2EA0">
        <w:rPr>
          <w:rFonts w:cs="Arial"/>
          <w:szCs w:val="20"/>
        </w:rPr>
        <w:instrText xml:space="preserve"> REF _Ref330503918 \n \h </w:instrText>
      </w:r>
      <w:r w:rsidR="005D1E13" w:rsidRPr="008D2EA0">
        <w:rPr>
          <w:rFonts w:cs="Arial"/>
          <w:szCs w:val="20"/>
        </w:rPr>
      </w:r>
      <w:r w:rsidR="005D1E13" w:rsidRPr="008D2EA0">
        <w:rPr>
          <w:rFonts w:cs="Arial"/>
          <w:szCs w:val="20"/>
        </w:rPr>
        <w:fldChar w:fldCharType="separate"/>
      </w:r>
      <w:r w:rsidR="00E73FF2">
        <w:rPr>
          <w:rFonts w:cs="Arial"/>
          <w:szCs w:val="20"/>
        </w:rPr>
        <w:t>[1]</w:t>
      </w:r>
      <w:r w:rsidR="005D1E13" w:rsidRPr="008D2EA0">
        <w:rPr>
          <w:rFonts w:cs="Arial"/>
          <w:szCs w:val="20"/>
        </w:rPr>
        <w:fldChar w:fldCharType="end"/>
      </w:r>
      <w:r w:rsidRPr="008D2EA0">
        <w:rPr>
          <w:rFonts w:cs="Arial"/>
          <w:szCs w:val="20"/>
        </w:rPr>
        <w:t>, optimi</w:t>
      </w:r>
      <w:r w:rsidR="00676E37">
        <w:rPr>
          <w:rFonts w:cs="Arial"/>
          <w:szCs w:val="20"/>
        </w:rPr>
        <w:t>s</w:t>
      </w:r>
      <w:r w:rsidRPr="008D2EA0">
        <w:rPr>
          <w:rFonts w:cs="Arial"/>
          <w:szCs w:val="20"/>
        </w:rPr>
        <w:t xml:space="preserve">ing the use of the spectrum for terrestrial broadcasting in CEPT. PMSE can use this sub-band on a secondary basis. </w:t>
      </w:r>
    </w:p>
    <w:p w:rsidR="00E41E35" w:rsidRPr="008D2EA0" w:rsidRDefault="00E41E35" w:rsidP="00290368">
      <w:pPr>
        <w:pStyle w:val="ECCParagraph"/>
        <w:numPr>
          <w:ilvl w:val="0"/>
          <w:numId w:val="25"/>
        </w:numPr>
        <w:rPr>
          <w:rFonts w:cs="Arial"/>
          <w:szCs w:val="20"/>
        </w:rPr>
      </w:pPr>
      <w:r w:rsidRPr="008D2EA0">
        <w:rPr>
          <w:rFonts w:cs="Arial"/>
          <w:szCs w:val="20"/>
        </w:rPr>
        <w:t>The ECC will also maintain the harmonisation of the band 1479.5-1492 MHz for S-DAB as per ECC/DEC/(03)02 Decision.</w:t>
      </w:r>
    </w:p>
    <w:p w:rsidR="00E41E35" w:rsidRDefault="00E41E35" w:rsidP="00E41E35">
      <w:pPr>
        <w:pStyle w:val="ECCParagraph"/>
        <w:spacing w:after="0"/>
        <w:jc w:val="center"/>
        <w:rPr>
          <w:rFonts w:cs="Arial"/>
          <w:szCs w:val="20"/>
        </w:rPr>
      </w:pPr>
    </w:p>
    <w:p w:rsidR="00A452C1" w:rsidRPr="008D2EA0" w:rsidRDefault="00A452C1" w:rsidP="00E41E35">
      <w:pPr>
        <w:pStyle w:val="ECCParagraph"/>
        <w:spacing w:after="0"/>
        <w:jc w:val="center"/>
        <w:rPr>
          <w:rFonts w:cs="Arial"/>
          <w:szCs w:val="20"/>
        </w:rPr>
      </w:pPr>
      <w:r w:rsidRPr="008D2EA0">
        <w:rPr>
          <w:noProof/>
          <w:lang w:val="da-DK" w:eastAsia="da-DK"/>
        </w:rPr>
        <w:lastRenderedPageBreak/>
        <w:drawing>
          <wp:inline distT="0" distB="0" distL="0" distR="0" wp14:anchorId="0FCC9884" wp14:editId="3703C33D">
            <wp:extent cx="5543550" cy="866775"/>
            <wp:effectExtent l="0" t="0" r="0" b="9525"/>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b="45087"/>
                    <a:stretch>
                      <a:fillRect/>
                    </a:stretch>
                  </pic:blipFill>
                  <pic:spPr bwMode="auto">
                    <a:xfrm>
                      <a:off x="0" y="0"/>
                      <a:ext cx="5543550" cy="866775"/>
                    </a:xfrm>
                    <a:prstGeom prst="rect">
                      <a:avLst/>
                    </a:prstGeom>
                    <a:noFill/>
                    <a:ln>
                      <a:noFill/>
                    </a:ln>
                  </pic:spPr>
                </pic:pic>
              </a:graphicData>
            </a:graphic>
          </wp:inline>
        </w:drawing>
      </w:r>
    </w:p>
    <w:p w:rsidR="00E41E35" w:rsidRPr="008D2EA0" w:rsidRDefault="00E41E35" w:rsidP="00AC460F">
      <w:pPr>
        <w:pStyle w:val="ECCFiguretitle"/>
      </w:pPr>
      <w:r w:rsidRPr="008D2EA0">
        <w:t xml:space="preserve">1452-1479.5 MHz for terrestrial broadcasting and 1479.5-1492 MHz </w:t>
      </w:r>
      <w:r w:rsidR="0003313A" w:rsidRPr="008D2EA0">
        <w:br/>
      </w:r>
      <w:r w:rsidRPr="008D2EA0">
        <w:t xml:space="preserve">for satellite </w:t>
      </w:r>
      <w:r w:rsidR="00A452C1">
        <w:t xml:space="preserve">digital audio </w:t>
      </w:r>
      <w:r w:rsidRPr="008D2EA0">
        <w:t>broadcasting</w:t>
      </w:r>
    </w:p>
    <w:p w:rsidR="00E41E35" w:rsidRPr="008D2EA0" w:rsidRDefault="00E41E35" w:rsidP="00E41E35">
      <w:pPr>
        <w:pStyle w:val="ECCParagraph"/>
      </w:pPr>
      <w:r w:rsidRPr="008D2EA0">
        <w:rPr>
          <w:b/>
        </w:rPr>
        <w:t>Regulatory Option 2:</w:t>
      </w:r>
      <w:r w:rsidRPr="008D2EA0">
        <w:t xml:space="preserve"> This option corresponds to the harmonised use of the band 1452-1492 MHz for Mobile Broadband / Mobile SDL in CEPT </w:t>
      </w:r>
      <w:r w:rsidRPr="008D2EA0">
        <w:rPr>
          <w:rFonts w:cs="Arial"/>
          <w:szCs w:val="20"/>
        </w:rPr>
        <w:t xml:space="preserve">while allowing at the same time individual countries to adapt to national circumstances in part of the band for other terrestrial applications i.e. Terrestrial Broadcasting, </w:t>
      </w:r>
      <w:r w:rsidRPr="008D2EA0">
        <w:t>PPDR (</w:t>
      </w:r>
      <w:r w:rsidRPr="008D2EA0">
        <w:rPr>
          <w:szCs w:val="22"/>
        </w:rPr>
        <w:t xml:space="preserve">Broadband </w:t>
      </w:r>
      <w:r w:rsidRPr="008D2EA0">
        <w:t xml:space="preserve">PPDR for temporary and local use) and PMSE (secondary basis). </w:t>
      </w:r>
    </w:p>
    <w:p w:rsidR="00E41E35" w:rsidRPr="008D2EA0" w:rsidRDefault="00E41E35" w:rsidP="00290368">
      <w:pPr>
        <w:pStyle w:val="ECCParagraph"/>
        <w:numPr>
          <w:ilvl w:val="0"/>
          <w:numId w:val="25"/>
        </w:numPr>
        <w:spacing w:after="120"/>
        <w:rPr>
          <w:rFonts w:cs="Arial"/>
          <w:szCs w:val="20"/>
        </w:rPr>
      </w:pPr>
      <w:r w:rsidRPr="008D2EA0">
        <w:t xml:space="preserve">The ECC will adopt an ECC Decision designating the band for </w:t>
      </w:r>
      <w:r w:rsidR="001766D2" w:rsidRPr="008D2EA0">
        <w:t xml:space="preserve">Mobile/Fixed Communication Networks (MFCN) </w:t>
      </w:r>
      <w:r w:rsidRPr="008D2EA0">
        <w:t xml:space="preserve"> and defining the Least Restrictive Technical Conditions with a</w:t>
      </w:r>
      <w:r w:rsidRPr="008D2EA0">
        <w:rPr>
          <w:rFonts w:cs="Arial"/>
          <w:szCs w:val="20"/>
        </w:rPr>
        <w:t xml:space="preserve"> harmonised band plan for the 1452-1492 MHz band, based on 8 blocks of 5 MHz with associated generic BEM and restricted BEM (for coexistence between uplink and downlink blocks). </w:t>
      </w:r>
    </w:p>
    <w:p w:rsidR="00E41E35" w:rsidRPr="008D2EA0" w:rsidRDefault="00E41E35" w:rsidP="00290368">
      <w:pPr>
        <w:pStyle w:val="ECCParagraph"/>
        <w:numPr>
          <w:ilvl w:val="0"/>
          <w:numId w:val="25"/>
        </w:numPr>
        <w:spacing w:after="120"/>
        <w:rPr>
          <w:rFonts w:cs="Arial"/>
          <w:szCs w:val="20"/>
        </w:rPr>
      </w:pPr>
      <w:r w:rsidRPr="008D2EA0">
        <w:rPr>
          <w:rFonts w:cs="Arial"/>
          <w:szCs w:val="20"/>
        </w:rPr>
        <w:t xml:space="preserve">The MA02revCO07 </w:t>
      </w:r>
      <w:r w:rsidR="005D1E13" w:rsidRPr="008D2EA0">
        <w:rPr>
          <w:rFonts w:cs="Arial"/>
          <w:szCs w:val="20"/>
        </w:rPr>
        <w:fldChar w:fldCharType="begin"/>
      </w:r>
      <w:r w:rsidR="005D1E13" w:rsidRPr="008D2EA0">
        <w:rPr>
          <w:rFonts w:cs="Arial"/>
          <w:szCs w:val="20"/>
        </w:rPr>
        <w:instrText xml:space="preserve"> REF _Ref330503918 \n \h </w:instrText>
      </w:r>
      <w:r w:rsidR="005D1E13" w:rsidRPr="008D2EA0">
        <w:rPr>
          <w:rFonts w:cs="Arial"/>
          <w:szCs w:val="20"/>
        </w:rPr>
      </w:r>
      <w:r w:rsidR="005D1E13" w:rsidRPr="008D2EA0">
        <w:rPr>
          <w:rFonts w:cs="Arial"/>
          <w:szCs w:val="20"/>
        </w:rPr>
        <w:fldChar w:fldCharType="separate"/>
      </w:r>
      <w:r w:rsidR="00E73FF2">
        <w:rPr>
          <w:rFonts w:cs="Arial"/>
          <w:szCs w:val="20"/>
        </w:rPr>
        <w:t>[1]</w:t>
      </w:r>
      <w:r w:rsidR="005D1E13" w:rsidRPr="008D2EA0">
        <w:rPr>
          <w:rFonts w:cs="Arial"/>
          <w:szCs w:val="20"/>
        </w:rPr>
        <w:fldChar w:fldCharType="end"/>
      </w:r>
      <w:r w:rsidR="005D1E13" w:rsidRPr="008D2EA0">
        <w:rPr>
          <w:rFonts w:cs="Arial"/>
          <w:szCs w:val="20"/>
        </w:rPr>
        <w:t xml:space="preserve"> </w:t>
      </w:r>
      <w:r w:rsidR="00150637">
        <w:t xml:space="preserve">Special </w:t>
      </w:r>
      <w:r w:rsidR="00150637" w:rsidRPr="008D2EA0">
        <w:t xml:space="preserve">Arrangement </w:t>
      </w:r>
      <w:r w:rsidR="001766D2" w:rsidRPr="008D2EA0">
        <w:rPr>
          <w:rFonts w:cs="Arial"/>
          <w:szCs w:val="20"/>
        </w:rPr>
        <w:t>should</w:t>
      </w:r>
      <w:r w:rsidRPr="008D2EA0">
        <w:rPr>
          <w:rFonts w:cs="Arial"/>
          <w:szCs w:val="20"/>
        </w:rPr>
        <w:t xml:space="preserve"> be retained for cross-border coordination bilateral agreements in the sub-band 1452-1479.5 MHz, between Terrestrial Broadcasting (for countries wishing to deploy terrestrial broadcasting in part of the band) and mobile</w:t>
      </w:r>
      <w:r w:rsidR="001766D2" w:rsidRPr="008D2EA0">
        <w:rPr>
          <w:rFonts w:cs="Arial"/>
          <w:szCs w:val="20"/>
        </w:rPr>
        <w:t xml:space="preserve"> services similar to </w:t>
      </w:r>
      <w:r w:rsidR="001766D2" w:rsidRPr="008D2EA0">
        <w:t xml:space="preserve">the framework </w:t>
      </w:r>
      <w:r w:rsidR="001766D2" w:rsidRPr="008D2EA0">
        <w:rPr>
          <w:rFonts w:cs="Arial"/>
          <w:szCs w:val="20"/>
        </w:rPr>
        <w:t>developed by CEPT for the 800 MHz band with GE06 and ECC/DEC(09)03</w:t>
      </w:r>
      <w:r w:rsidR="005D1E13" w:rsidRPr="008D2EA0">
        <w:rPr>
          <w:rFonts w:cs="Arial"/>
          <w:szCs w:val="20"/>
        </w:rPr>
        <w:t xml:space="preserve"> </w:t>
      </w:r>
      <w:r w:rsidR="005D1E13" w:rsidRPr="008D2EA0">
        <w:rPr>
          <w:rFonts w:cs="Arial"/>
          <w:szCs w:val="20"/>
        </w:rPr>
        <w:fldChar w:fldCharType="begin"/>
      </w:r>
      <w:r w:rsidR="005D1E13" w:rsidRPr="008D2EA0">
        <w:rPr>
          <w:rFonts w:cs="Arial"/>
          <w:szCs w:val="20"/>
        </w:rPr>
        <w:instrText xml:space="preserve"> REF _Ref330504302 \n \h </w:instrText>
      </w:r>
      <w:r w:rsidR="005D1E13" w:rsidRPr="008D2EA0">
        <w:rPr>
          <w:rFonts w:cs="Arial"/>
          <w:szCs w:val="20"/>
        </w:rPr>
      </w:r>
      <w:r w:rsidR="005D1E13" w:rsidRPr="008D2EA0">
        <w:rPr>
          <w:rFonts w:cs="Arial"/>
          <w:szCs w:val="20"/>
        </w:rPr>
        <w:fldChar w:fldCharType="separate"/>
      </w:r>
      <w:r w:rsidR="00E73FF2">
        <w:rPr>
          <w:rFonts w:cs="Arial"/>
          <w:szCs w:val="20"/>
        </w:rPr>
        <w:t>[3]</w:t>
      </w:r>
      <w:r w:rsidR="005D1E13" w:rsidRPr="008D2EA0">
        <w:rPr>
          <w:rFonts w:cs="Arial"/>
          <w:szCs w:val="20"/>
        </w:rPr>
        <w:fldChar w:fldCharType="end"/>
      </w:r>
      <w:r w:rsidR="001766D2" w:rsidRPr="008D2EA0">
        <w:rPr>
          <w:rFonts w:cs="Arial"/>
          <w:szCs w:val="20"/>
        </w:rPr>
        <w:t>.</w:t>
      </w:r>
    </w:p>
    <w:p w:rsidR="001766D2" w:rsidRPr="008D2EA0" w:rsidRDefault="001766D2" w:rsidP="00290368">
      <w:pPr>
        <w:numPr>
          <w:ilvl w:val="0"/>
          <w:numId w:val="25"/>
        </w:numPr>
        <w:spacing w:after="120"/>
        <w:jc w:val="both"/>
        <w:rPr>
          <w:lang w:val="en-GB"/>
        </w:rPr>
      </w:pPr>
      <w:r w:rsidRPr="008D2EA0">
        <w:rPr>
          <w:lang w:val="en-GB"/>
        </w:rPr>
        <w:t xml:space="preserve">An administration wishing to implement terrestrial digital sound broadcasting networks in part of the 1452-1492 MHz may choose to do so using the MA02revCO07 </w:t>
      </w:r>
      <w:r w:rsidR="00150637">
        <w:rPr>
          <w:lang w:val="en-GB"/>
        </w:rPr>
        <w:t xml:space="preserve">Special </w:t>
      </w:r>
      <w:r w:rsidRPr="008D2EA0">
        <w:rPr>
          <w:lang w:val="en-GB"/>
        </w:rPr>
        <w:t xml:space="preserve">Arrangement and </w:t>
      </w:r>
      <w:r w:rsidR="00CA16D5" w:rsidRPr="008D2EA0">
        <w:rPr>
          <w:lang w:val="en-GB"/>
        </w:rPr>
        <w:t>its possible Plan modifications.</w:t>
      </w:r>
    </w:p>
    <w:p w:rsidR="00E41E35" w:rsidRPr="008D2EA0" w:rsidRDefault="00E41E35" w:rsidP="00290368">
      <w:pPr>
        <w:pStyle w:val="ECCParagraph"/>
        <w:numPr>
          <w:ilvl w:val="0"/>
          <w:numId w:val="25"/>
        </w:numPr>
        <w:spacing w:after="120"/>
        <w:rPr>
          <w:rFonts w:cs="Arial"/>
          <w:szCs w:val="20"/>
        </w:rPr>
      </w:pPr>
      <w:r w:rsidRPr="008D2EA0">
        <w:rPr>
          <w:rFonts w:cs="Arial"/>
          <w:szCs w:val="20"/>
        </w:rPr>
        <w:t>Mobile to mobile cross-border coordination in the band 1452</w:t>
      </w:r>
      <w:r w:rsidR="005D1E13" w:rsidRPr="008D2EA0">
        <w:rPr>
          <w:rFonts w:cs="Arial"/>
          <w:szCs w:val="20"/>
        </w:rPr>
        <w:t>-</w:t>
      </w:r>
      <w:r w:rsidRPr="008D2EA0">
        <w:rPr>
          <w:rFonts w:cs="Arial"/>
          <w:szCs w:val="20"/>
        </w:rPr>
        <w:t xml:space="preserve">1492 MHz will be subject to an ECC Recommendation for bilateral agreements </w:t>
      </w:r>
      <w:r w:rsidR="001766D2" w:rsidRPr="008D2EA0">
        <w:t xml:space="preserve">as for other mobile to mobile cross-border coordination in other bands. </w:t>
      </w:r>
      <w:r w:rsidR="001766D2" w:rsidRPr="008D2EA0">
        <w:rPr>
          <w:rFonts w:cs="Arial"/>
          <w:szCs w:val="20"/>
        </w:rPr>
        <w:t xml:space="preserve"> .</w:t>
      </w:r>
    </w:p>
    <w:p w:rsidR="00E41E35" w:rsidRPr="008D2EA0" w:rsidRDefault="00E41E35" w:rsidP="00290368">
      <w:pPr>
        <w:pStyle w:val="ECCParagraph"/>
        <w:numPr>
          <w:ilvl w:val="0"/>
          <w:numId w:val="25"/>
        </w:numPr>
        <w:spacing w:after="120"/>
      </w:pPr>
      <w:r w:rsidRPr="008D2EA0">
        <w:rPr>
          <w:rFonts w:cs="Arial"/>
          <w:szCs w:val="20"/>
        </w:rPr>
        <w:t xml:space="preserve">The ECC/DEC/(03)02 Decision </w:t>
      </w:r>
      <w:r w:rsidR="001A06AC" w:rsidRPr="008D2EA0">
        <w:rPr>
          <w:rFonts w:cs="Arial"/>
          <w:szCs w:val="20"/>
        </w:rPr>
        <w:fldChar w:fldCharType="begin"/>
      </w:r>
      <w:r w:rsidR="001A06AC" w:rsidRPr="008D2EA0">
        <w:rPr>
          <w:rFonts w:cs="Arial"/>
          <w:szCs w:val="20"/>
        </w:rPr>
        <w:instrText xml:space="preserve"> REF _Ref330503966 \r \h </w:instrText>
      </w:r>
      <w:r w:rsidR="001A06AC" w:rsidRPr="008D2EA0">
        <w:rPr>
          <w:rFonts w:cs="Arial"/>
          <w:szCs w:val="20"/>
        </w:rPr>
      </w:r>
      <w:r w:rsidR="001A06AC" w:rsidRPr="008D2EA0">
        <w:rPr>
          <w:rFonts w:cs="Arial"/>
          <w:szCs w:val="20"/>
        </w:rPr>
        <w:fldChar w:fldCharType="separate"/>
      </w:r>
      <w:r w:rsidR="00E73FF2">
        <w:rPr>
          <w:rFonts w:cs="Arial"/>
          <w:szCs w:val="20"/>
        </w:rPr>
        <w:t>[2]</w:t>
      </w:r>
      <w:r w:rsidR="001A06AC" w:rsidRPr="008D2EA0">
        <w:rPr>
          <w:rFonts w:cs="Arial"/>
          <w:szCs w:val="20"/>
        </w:rPr>
        <w:fldChar w:fldCharType="end"/>
      </w:r>
      <w:r w:rsidR="007B6309" w:rsidRPr="008D2EA0">
        <w:rPr>
          <w:rFonts w:cs="Arial"/>
          <w:szCs w:val="20"/>
        </w:rPr>
        <w:t xml:space="preserve"> </w:t>
      </w:r>
      <w:r w:rsidRPr="008D2EA0">
        <w:rPr>
          <w:rFonts w:cs="Arial"/>
          <w:szCs w:val="20"/>
        </w:rPr>
        <w:t>will need to be suppressed.</w:t>
      </w:r>
    </w:p>
    <w:p w:rsidR="001766D2" w:rsidRPr="008D2EA0" w:rsidRDefault="001766D2" w:rsidP="00290368">
      <w:pPr>
        <w:pStyle w:val="ECCParagraph"/>
        <w:numPr>
          <w:ilvl w:val="0"/>
          <w:numId w:val="25"/>
        </w:numPr>
        <w:spacing w:after="120"/>
      </w:pPr>
      <w:r w:rsidRPr="008D2EA0">
        <w:rPr>
          <w:rFonts w:cs="Arial"/>
          <w:szCs w:val="20"/>
        </w:rPr>
        <w:t>An agenda item to introduce pfd limits to be included in Article 21 of the RR should be submitted at the next WRC. The objective is to protect MFCN use within CEPT from harmful interference from satellite use outside CEPT</w:t>
      </w:r>
      <w:r w:rsidR="00D670DD">
        <w:rPr>
          <w:rStyle w:val="FootnoteReference"/>
          <w:rFonts w:cs="Arial"/>
          <w:szCs w:val="20"/>
        </w:rPr>
        <w:footnoteReference w:id="41"/>
      </w:r>
      <w:r w:rsidRPr="008D2EA0">
        <w:t>;</w:t>
      </w:r>
    </w:p>
    <w:p w:rsidR="00E41E35" w:rsidRPr="008D2EA0" w:rsidRDefault="00E41E35" w:rsidP="00E41E35">
      <w:pPr>
        <w:rPr>
          <w:rFonts w:cs="Arial"/>
          <w:szCs w:val="20"/>
          <w:lang w:val="en-GB"/>
        </w:rPr>
      </w:pPr>
    </w:p>
    <w:p w:rsidR="00E41E35" w:rsidRPr="008D2EA0" w:rsidRDefault="00E41E35" w:rsidP="00E41E35">
      <w:pPr>
        <w:jc w:val="center"/>
        <w:rPr>
          <w:rFonts w:cs="Arial"/>
          <w:szCs w:val="20"/>
          <w:lang w:val="en-GB"/>
        </w:rPr>
      </w:pPr>
    </w:p>
    <w:p w:rsidR="00E41E35" w:rsidRPr="008D2EA0" w:rsidRDefault="00E41E35" w:rsidP="00E41E35">
      <w:pPr>
        <w:jc w:val="center"/>
        <w:rPr>
          <w:rFonts w:cs="Arial"/>
          <w:szCs w:val="20"/>
          <w:lang w:val="en-GB"/>
        </w:rPr>
      </w:pPr>
      <w:r w:rsidRPr="008D2EA0">
        <w:rPr>
          <w:rFonts w:cs="Arial"/>
          <w:noProof/>
          <w:szCs w:val="20"/>
          <w:lang w:val="da-DK" w:eastAsia="da-DK"/>
        </w:rPr>
        <w:drawing>
          <wp:inline distT="0" distB="0" distL="0" distR="0" wp14:anchorId="2665D959" wp14:editId="2C4FEB2C">
            <wp:extent cx="5305425" cy="695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695325"/>
                    </a:xfrm>
                    <a:prstGeom prst="rect">
                      <a:avLst/>
                    </a:prstGeom>
                    <a:noFill/>
                    <a:ln>
                      <a:noFill/>
                    </a:ln>
                  </pic:spPr>
                </pic:pic>
              </a:graphicData>
            </a:graphic>
          </wp:inline>
        </w:drawing>
      </w:r>
    </w:p>
    <w:p w:rsidR="00E41E35" w:rsidRPr="008D2EA0" w:rsidRDefault="00E41E35" w:rsidP="00AC460F">
      <w:pPr>
        <w:pStyle w:val="ECCFiguretitle"/>
      </w:pPr>
      <w:r w:rsidRPr="008D2EA0">
        <w:t xml:space="preserve">Harmonisation of 1452-1492 MHz for </w:t>
      </w:r>
      <w:r w:rsidR="001766D2" w:rsidRPr="008D2EA0">
        <w:t>MFCN</w:t>
      </w:r>
      <w:r w:rsidRPr="008D2EA0">
        <w:t xml:space="preserve"> based on 5 MHz block size </w:t>
      </w:r>
    </w:p>
    <w:p w:rsidR="00E41E35" w:rsidRPr="008D2EA0" w:rsidRDefault="00E41E35" w:rsidP="00E41E35">
      <w:pPr>
        <w:pStyle w:val="ECCParagraph"/>
      </w:pPr>
      <w:r w:rsidRPr="008D2EA0">
        <w:rPr>
          <w:b/>
        </w:rPr>
        <w:t>Regulatory Option 3:</w:t>
      </w:r>
      <w:r w:rsidRPr="008D2EA0">
        <w:t xml:space="preserve"> This option corresponds to the harmonised use of 20 MH</w:t>
      </w:r>
      <w:r w:rsidR="000F6780" w:rsidRPr="008D2EA0">
        <w:t>z in the band 1452-1492 MHz for</w:t>
      </w:r>
      <w:r w:rsidRPr="008D2EA0">
        <w:t xml:space="preserve"> Broadband Direct-Air-to-Ground Communication in CEPT </w:t>
      </w:r>
      <w:r w:rsidRPr="008D2EA0">
        <w:rPr>
          <w:rFonts w:cs="Arial"/>
          <w:szCs w:val="20"/>
        </w:rPr>
        <w:t>while allowing individual countries to implement - according to national needs – other applications, if the spectrum requirements of those applications are satisfied in the remaining up to 20 MHz, subject to the necessary guard bands</w:t>
      </w:r>
      <w:r w:rsidRPr="008D2EA0">
        <w:t xml:space="preserve">. </w:t>
      </w:r>
    </w:p>
    <w:p w:rsidR="00E41E35" w:rsidRPr="008D2EA0" w:rsidRDefault="00E41E35" w:rsidP="00290368">
      <w:pPr>
        <w:pStyle w:val="ECCParagraph"/>
        <w:numPr>
          <w:ilvl w:val="0"/>
          <w:numId w:val="26"/>
        </w:numPr>
        <w:rPr>
          <w:rFonts w:cs="Arial"/>
          <w:szCs w:val="20"/>
        </w:rPr>
      </w:pPr>
      <w:r w:rsidRPr="008D2EA0">
        <w:t>The ECC will adopt an ECC Decision designating two 10 MHz FDD blocks or one 20 MHz TDD block for BDA2GC as illustrated in the following figures.</w:t>
      </w:r>
    </w:p>
    <w:p w:rsidR="00E41E35" w:rsidRPr="008D2EA0" w:rsidRDefault="00E41E35" w:rsidP="00E41E35">
      <w:pPr>
        <w:jc w:val="center"/>
        <w:rPr>
          <w:rFonts w:cs="Arial"/>
          <w:szCs w:val="20"/>
          <w:lang w:val="en-GB"/>
        </w:rPr>
      </w:pPr>
      <w:r w:rsidRPr="008D2EA0">
        <w:rPr>
          <w:noProof/>
          <w:lang w:val="da-DK" w:eastAsia="da-DK"/>
        </w:rPr>
        <w:lastRenderedPageBreak/>
        <w:drawing>
          <wp:inline distT="0" distB="0" distL="0" distR="0" wp14:anchorId="10FDC789" wp14:editId="72DC905C">
            <wp:extent cx="4619625" cy="981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8913" t="33900" r="35777" b="45270"/>
                    <a:stretch>
                      <a:fillRect/>
                    </a:stretch>
                  </pic:blipFill>
                  <pic:spPr bwMode="auto">
                    <a:xfrm>
                      <a:off x="0" y="0"/>
                      <a:ext cx="4619625" cy="981075"/>
                    </a:xfrm>
                    <a:prstGeom prst="rect">
                      <a:avLst/>
                    </a:prstGeom>
                    <a:noFill/>
                    <a:ln>
                      <a:noFill/>
                    </a:ln>
                  </pic:spPr>
                </pic:pic>
              </a:graphicData>
            </a:graphic>
          </wp:inline>
        </w:drawing>
      </w:r>
    </w:p>
    <w:p w:rsidR="00E41E35" w:rsidRPr="008D2EA0" w:rsidRDefault="00E41E35" w:rsidP="00AC460F">
      <w:pPr>
        <w:pStyle w:val="ECCFiguretitle"/>
      </w:pPr>
      <w:r w:rsidRPr="008D2EA0">
        <w:t>Harmonisation and designation of two 10 MHz FDD blocks to BDA2GC</w:t>
      </w:r>
    </w:p>
    <w:p w:rsidR="00E41E35" w:rsidRPr="008D2EA0" w:rsidRDefault="00E41E35" w:rsidP="00E41E35">
      <w:pPr>
        <w:pStyle w:val="ECCParagraph"/>
        <w:jc w:val="center"/>
      </w:pPr>
      <w:r w:rsidRPr="008D2EA0">
        <w:rPr>
          <w:noProof/>
          <w:lang w:val="da-DK" w:eastAsia="da-DK"/>
        </w:rPr>
        <w:drawing>
          <wp:inline distT="0" distB="0" distL="0" distR="0" wp14:anchorId="129AFF1A" wp14:editId="5F394EA7">
            <wp:extent cx="4848225" cy="771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8887" t="40723" r="35825" b="43631"/>
                    <a:stretch>
                      <a:fillRect/>
                    </a:stretch>
                  </pic:blipFill>
                  <pic:spPr bwMode="auto">
                    <a:xfrm>
                      <a:off x="0" y="0"/>
                      <a:ext cx="4848225" cy="771525"/>
                    </a:xfrm>
                    <a:prstGeom prst="rect">
                      <a:avLst/>
                    </a:prstGeom>
                    <a:noFill/>
                    <a:ln>
                      <a:noFill/>
                    </a:ln>
                  </pic:spPr>
                </pic:pic>
              </a:graphicData>
            </a:graphic>
          </wp:inline>
        </w:drawing>
      </w:r>
    </w:p>
    <w:p w:rsidR="00E41E35" w:rsidRPr="008D2EA0" w:rsidRDefault="00E41E35" w:rsidP="00AC460F">
      <w:pPr>
        <w:pStyle w:val="ECCFiguretitle"/>
      </w:pPr>
      <w:r w:rsidRPr="008D2EA0">
        <w:t>Example for harmonisation and designation of one 20 MHz TDD block to BDA2GC</w:t>
      </w:r>
    </w:p>
    <w:p w:rsidR="00E41E35" w:rsidRPr="008D2EA0" w:rsidRDefault="00E41E35" w:rsidP="00290368">
      <w:pPr>
        <w:pStyle w:val="ECCParagraph"/>
        <w:numPr>
          <w:ilvl w:val="0"/>
          <w:numId w:val="27"/>
        </w:numPr>
        <w:spacing w:after="120"/>
      </w:pPr>
      <w:r w:rsidRPr="008D2EA0">
        <w:t xml:space="preserve">The </w:t>
      </w:r>
      <w:r w:rsidRPr="008D2EA0">
        <w:rPr>
          <w:rFonts w:cs="Arial"/>
          <w:szCs w:val="20"/>
        </w:rPr>
        <w:t xml:space="preserve">ECC/DEC/(03)02 Decision </w:t>
      </w:r>
      <w:r w:rsidR="001A06AC" w:rsidRPr="008D2EA0">
        <w:rPr>
          <w:rFonts w:cs="Arial"/>
          <w:szCs w:val="20"/>
        </w:rPr>
        <w:fldChar w:fldCharType="begin"/>
      </w:r>
      <w:r w:rsidR="001A06AC" w:rsidRPr="008D2EA0">
        <w:rPr>
          <w:rFonts w:cs="Arial"/>
          <w:szCs w:val="20"/>
        </w:rPr>
        <w:instrText xml:space="preserve"> REF _Ref330503966 \r \h </w:instrText>
      </w:r>
      <w:r w:rsidR="001A06AC" w:rsidRPr="008D2EA0">
        <w:rPr>
          <w:rFonts w:cs="Arial"/>
          <w:szCs w:val="20"/>
        </w:rPr>
      </w:r>
      <w:r w:rsidR="001A06AC" w:rsidRPr="008D2EA0">
        <w:rPr>
          <w:rFonts w:cs="Arial"/>
          <w:szCs w:val="20"/>
        </w:rPr>
        <w:fldChar w:fldCharType="separate"/>
      </w:r>
      <w:r w:rsidR="00E73FF2">
        <w:rPr>
          <w:rFonts w:cs="Arial"/>
          <w:szCs w:val="20"/>
        </w:rPr>
        <w:t>[2]</w:t>
      </w:r>
      <w:r w:rsidR="001A06AC" w:rsidRPr="008D2EA0">
        <w:rPr>
          <w:rFonts w:cs="Arial"/>
          <w:szCs w:val="20"/>
        </w:rPr>
        <w:fldChar w:fldCharType="end"/>
      </w:r>
      <w:r w:rsidR="001A06AC" w:rsidRPr="008D2EA0">
        <w:rPr>
          <w:rFonts w:cs="Arial"/>
          <w:szCs w:val="20"/>
        </w:rPr>
        <w:t xml:space="preserve"> </w:t>
      </w:r>
      <w:r w:rsidRPr="008D2EA0">
        <w:rPr>
          <w:rFonts w:cs="Arial"/>
          <w:szCs w:val="20"/>
        </w:rPr>
        <w:t>will need to be suppressed.</w:t>
      </w:r>
    </w:p>
    <w:p w:rsidR="00E41E35" w:rsidRPr="008D2EA0" w:rsidRDefault="00E41E35" w:rsidP="00290368">
      <w:pPr>
        <w:pStyle w:val="ECCParagraph"/>
        <w:numPr>
          <w:ilvl w:val="0"/>
          <w:numId w:val="27"/>
        </w:numPr>
        <w:spacing w:after="120"/>
      </w:pPr>
      <w:r w:rsidRPr="008D2EA0">
        <w:t xml:space="preserve">The harmonisation on a European basis for BDA2GC may lead to a revision of the MA02revCO07 </w:t>
      </w:r>
      <w:r w:rsidR="00235EEF">
        <w:t xml:space="preserve">Special </w:t>
      </w:r>
      <w:r w:rsidRPr="008D2EA0">
        <w:t>Arrangement in order to consider the stations already deployed or the entries in the frequency</w:t>
      </w:r>
      <w:r w:rsidR="00F77275">
        <w:t xml:space="preserve"> ranges designated for BDA2GC.</w:t>
      </w:r>
    </w:p>
    <w:p w:rsidR="00E41E35" w:rsidRPr="008D2EA0" w:rsidRDefault="00E41E35" w:rsidP="00290368">
      <w:pPr>
        <w:pStyle w:val="ECCParagraph"/>
        <w:numPr>
          <w:ilvl w:val="0"/>
          <w:numId w:val="27"/>
        </w:numPr>
        <w:spacing w:after="120"/>
      </w:pPr>
      <w:r w:rsidRPr="008D2EA0">
        <w:t>Pursue the suppression in the RR of the exemption of Aeronautical M</w:t>
      </w:r>
      <w:r w:rsidR="0003313A" w:rsidRPr="008D2EA0">
        <w:t>obile Service in the band 1452-</w:t>
      </w:r>
      <w:r w:rsidRPr="008D2EA0">
        <w:t>1492 MHz.</w:t>
      </w:r>
    </w:p>
    <w:p w:rsidR="00E41E35" w:rsidRPr="008D2EA0" w:rsidRDefault="00E41E35" w:rsidP="00290368">
      <w:pPr>
        <w:pStyle w:val="ECCParagraph"/>
        <w:numPr>
          <w:ilvl w:val="0"/>
          <w:numId w:val="27"/>
        </w:numPr>
        <w:spacing w:after="120"/>
      </w:pPr>
      <w:r w:rsidRPr="008D2EA0">
        <w:rPr>
          <w:rFonts w:cs="Arial"/>
          <w:szCs w:val="20"/>
        </w:rPr>
        <w:t xml:space="preserve">Define the pfd limits to be included in Article 21 of the RR at the next WRC to protect </w:t>
      </w:r>
      <w:r w:rsidRPr="008D2EA0">
        <w:t>BDA2GC</w:t>
      </w:r>
      <w:r w:rsidRPr="008D2EA0">
        <w:rPr>
          <w:rFonts w:cs="Arial"/>
          <w:szCs w:val="20"/>
        </w:rPr>
        <w:t xml:space="preserve"> use within CEPT from harmful interference from satellite use outside CEPT</w:t>
      </w:r>
      <w:r w:rsidRPr="008D2EA0">
        <w:t>.</w:t>
      </w:r>
    </w:p>
    <w:p w:rsidR="00AC460F" w:rsidRPr="008D2EA0" w:rsidRDefault="00AC460F" w:rsidP="006731B4">
      <w:pPr>
        <w:pStyle w:val="Heading1"/>
      </w:pPr>
      <w:bookmarkStart w:id="158" w:name="_Ref330539896"/>
      <w:bookmarkStart w:id="159" w:name="_Toc349039313"/>
      <w:r w:rsidRPr="008D2EA0">
        <w:t>Impact aNALYSIS of the regulatory options</w:t>
      </w:r>
      <w:bookmarkEnd w:id="158"/>
      <w:bookmarkEnd w:id="159"/>
      <w:r w:rsidRPr="008D2EA0">
        <w:t xml:space="preserve"> </w:t>
      </w:r>
    </w:p>
    <w:p w:rsidR="00AC460F" w:rsidRPr="008D2EA0" w:rsidRDefault="00AC460F" w:rsidP="00AC460F">
      <w:pPr>
        <w:pStyle w:val="ECCParagraph"/>
      </w:pPr>
      <w:r w:rsidRPr="008D2EA0">
        <w:t>This section considers the regulatory options for the future use of the band 1452-1492 MHz in CEPT as defined</w:t>
      </w:r>
      <w:r w:rsidR="00CC4BB4" w:rsidRPr="008D2EA0">
        <w:t xml:space="preserve"> in section </w:t>
      </w:r>
      <w:r w:rsidR="001A06AC" w:rsidRPr="008D2EA0">
        <w:fldChar w:fldCharType="begin"/>
      </w:r>
      <w:r w:rsidR="001A06AC" w:rsidRPr="008D2EA0">
        <w:instrText xml:space="preserve"> REF _Ref330516006 \r \h </w:instrText>
      </w:r>
      <w:r w:rsidR="001A06AC" w:rsidRPr="008D2EA0">
        <w:fldChar w:fldCharType="separate"/>
      </w:r>
      <w:r w:rsidR="00E73FF2">
        <w:t>6.3</w:t>
      </w:r>
      <w:r w:rsidR="001A06AC" w:rsidRPr="008D2EA0">
        <w:fldChar w:fldCharType="end"/>
      </w:r>
      <w:r w:rsidR="001A06AC" w:rsidRPr="008D2EA0">
        <w:t xml:space="preserve"> </w:t>
      </w:r>
      <w:r w:rsidRPr="008D2EA0">
        <w:t xml:space="preserve">to assess their benefits based on the criteria </w:t>
      </w:r>
      <w:r w:rsidR="00CC4BB4" w:rsidRPr="008D2EA0">
        <w:t xml:space="preserve">defined in section </w:t>
      </w:r>
      <w:r w:rsidR="001A06AC" w:rsidRPr="008D2EA0">
        <w:fldChar w:fldCharType="begin"/>
      </w:r>
      <w:r w:rsidR="001A06AC" w:rsidRPr="008D2EA0">
        <w:instrText xml:space="preserve"> REF _Ref330516059 \r \h </w:instrText>
      </w:r>
      <w:r w:rsidR="001A06AC" w:rsidRPr="008D2EA0">
        <w:fldChar w:fldCharType="separate"/>
      </w:r>
      <w:r w:rsidR="00E73FF2">
        <w:t>3</w:t>
      </w:r>
      <w:r w:rsidR="001A06AC" w:rsidRPr="008D2EA0">
        <w:fldChar w:fldCharType="end"/>
      </w:r>
      <w:r w:rsidR="00CC4BB4" w:rsidRPr="008D2EA0">
        <w:t xml:space="preserve"> </w:t>
      </w:r>
      <w:r w:rsidRPr="008D2EA0">
        <w:t xml:space="preserve">and the analysis </w:t>
      </w:r>
      <w:r w:rsidR="00CC4BB4" w:rsidRPr="008D2EA0">
        <w:t>conducted</w:t>
      </w:r>
      <w:r w:rsidRPr="008D2EA0">
        <w:t xml:space="preserve"> </w:t>
      </w:r>
      <w:r w:rsidR="00CC4BB4" w:rsidRPr="008D2EA0">
        <w:t>in section 5</w:t>
      </w:r>
      <w:r w:rsidRPr="008D2EA0">
        <w:t>. The aim of the impact analysis is to assess which regulatory option should be selected by CEPT for the future use of the 1452-1492 MHz band.</w:t>
      </w:r>
    </w:p>
    <w:p w:rsidR="00AC460F" w:rsidRPr="008D2EA0" w:rsidRDefault="00AC460F" w:rsidP="00AC460F">
      <w:pPr>
        <w:pStyle w:val="Heading2"/>
        <w:tabs>
          <w:tab w:val="clear" w:pos="576"/>
        </w:tabs>
        <w:rPr>
          <w:lang w:val="en-GB"/>
        </w:rPr>
      </w:pPr>
      <w:bookmarkStart w:id="160" w:name="_Toc349039314"/>
      <w:r w:rsidRPr="008D2EA0">
        <w:rPr>
          <w:lang w:val="en-GB"/>
        </w:rPr>
        <w:t>Methodology</w:t>
      </w:r>
      <w:bookmarkEnd w:id="160"/>
      <w:r w:rsidRPr="008D2EA0">
        <w:rPr>
          <w:lang w:val="en-GB"/>
        </w:rPr>
        <w:t xml:space="preserve"> </w:t>
      </w:r>
    </w:p>
    <w:p w:rsidR="00AC460F" w:rsidRPr="008D2EA0" w:rsidRDefault="00AC460F" w:rsidP="0003313A">
      <w:pPr>
        <w:pStyle w:val="ECCParagraph"/>
        <w:spacing w:after="120"/>
      </w:pPr>
      <w:r w:rsidRPr="008D2EA0">
        <w:t>The five criteria for the impact analysis are described and discussed f</w:t>
      </w:r>
      <w:r w:rsidR="00CC4BB4" w:rsidRPr="008D2EA0">
        <w:t>or each application in Section</w:t>
      </w:r>
      <w:r w:rsidR="00573404" w:rsidRPr="008D2EA0">
        <w:t xml:space="preserve"> </w:t>
      </w:r>
      <w:r w:rsidR="00530F73" w:rsidRPr="008D2EA0">
        <w:rPr>
          <w:highlight w:val="yellow"/>
        </w:rPr>
        <w:fldChar w:fldCharType="begin"/>
      </w:r>
      <w:r w:rsidR="00530F73" w:rsidRPr="008D2EA0">
        <w:instrText xml:space="preserve"> REF _Ref330548046 \r \h </w:instrText>
      </w:r>
      <w:r w:rsidR="00530F73" w:rsidRPr="008D2EA0">
        <w:rPr>
          <w:highlight w:val="yellow"/>
        </w:rPr>
      </w:r>
      <w:r w:rsidR="00530F73" w:rsidRPr="008D2EA0">
        <w:rPr>
          <w:highlight w:val="yellow"/>
        </w:rPr>
        <w:fldChar w:fldCharType="separate"/>
      </w:r>
      <w:r w:rsidR="00E73FF2">
        <w:t>5</w:t>
      </w:r>
      <w:r w:rsidR="00530F73" w:rsidRPr="008D2EA0">
        <w:rPr>
          <w:highlight w:val="yellow"/>
        </w:rPr>
        <w:fldChar w:fldCharType="end"/>
      </w:r>
      <w:r w:rsidRPr="008D2EA0">
        <w:t xml:space="preserve">. The way, in which the </w:t>
      </w:r>
      <w:r w:rsidR="0097042E" w:rsidRPr="008D2EA0">
        <w:t>contributions from individual applications</w:t>
      </w:r>
      <w:r w:rsidRPr="008D2EA0">
        <w:t xml:space="preserve"> are combined into a single assessment of a regulatory option, differ from one criterion to another as detailed in the methodology provided below: </w:t>
      </w:r>
    </w:p>
    <w:p w:rsidR="00AC460F" w:rsidRPr="008D2EA0" w:rsidRDefault="00AC460F" w:rsidP="00AC460F">
      <w:pPr>
        <w:pStyle w:val="ECCParBulleted"/>
      </w:pPr>
      <w:r w:rsidRPr="008D2EA0">
        <w:t>Criteria 1 and 2 award points directly for the regulatory options (not for individual applications as supp</w:t>
      </w:r>
      <w:r w:rsidR="00F77275">
        <w:t>orted by the regulatory option);</w:t>
      </w:r>
    </w:p>
    <w:p w:rsidR="00AC460F" w:rsidRPr="008D2EA0" w:rsidRDefault="00AC460F" w:rsidP="00AC460F">
      <w:pPr>
        <w:pStyle w:val="ECCParBulleted"/>
      </w:pPr>
      <w:r w:rsidRPr="008D2EA0">
        <w:t>Criterion 3 awards points for individual applications, which are summed appro</w:t>
      </w:r>
      <w:r w:rsidR="00F77275">
        <w:t>priately for regulatory options;</w:t>
      </w:r>
    </w:p>
    <w:p w:rsidR="00AC460F" w:rsidRPr="008D2EA0" w:rsidRDefault="00AC460F" w:rsidP="00AC460F">
      <w:pPr>
        <w:pStyle w:val="ECCParBulleted"/>
      </w:pPr>
      <w:r w:rsidRPr="008D2EA0">
        <w:t xml:space="preserve">Criteria 4 and 5 award points for individual applications and the contributions to the regulatory option is the weighted sum of marks of each individual application. </w:t>
      </w:r>
    </w:p>
    <w:p w:rsidR="0097042E" w:rsidRPr="008D2EA0" w:rsidRDefault="0097042E" w:rsidP="0097042E">
      <w:pPr>
        <w:pStyle w:val="ECCParBulleted"/>
        <w:numPr>
          <w:ilvl w:val="0"/>
          <w:numId w:val="0"/>
        </w:numPr>
        <w:ind w:left="340"/>
      </w:pPr>
    </w:p>
    <w:p w:rsidR="00AC460F" w:rsidRPr="008D2EA0" w:rsidRDefault="00AC460F" w:rsidP="00F21C76">
      <w:pPr>
        <w:pStyle w:val="ECCTabletitle"/>
      </w:pPr>
      <w:r w:rsidRPr="008D2EA0">
        <w:lastRenderedPageBreak/>
        <w:t>Reference Analysis Table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959"/>
        <w:gridCol w:w="1276"/>
        <w:gridCol w:w="708"/>
        <w:gridCol w:w="4061"/>
        <w:gridCol w:w="1430"/>
        <w:gridCol w:w="1420"/>
      </w:tblGrid>
      <w:tr w:rsidR="00AC460F" w:rsidRPr="008D2EA0" w:rsidTr="001F0F23">
        <w:trPr>
          <w:tblHeader/>
        </w:trPr>
        <w:tc>
          <w:tcPr>
            <w:tcW w:w="959"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AC460F" w:rsidRPr="008D2EA0" w:rsidRDefault="00AC460F" w:rsidP="00F77275">
            <w:pPr>
              <w:keepNext/>
              <w:spacing w:line="288" w:lineRule="auto"/>
              <w:jc w:val="center"/>
              <w:rPr>
                <w:rFonts w:cs="Arial"/>
                <w:b/>
                <w:color w:val="FFFFFF"/>
                <w:lang w:val="en-GB"/>
              </w:rPr>
            </w:pPr>
            <w:r w:rsidRPr="008D2EA0">
              <w:rPr>
                <w:rFonts w:cs="Arial"/>
                <w:b/>
                <w:color w:val="FFFFFF"/>
                <w:lang w:val="en-GB"/>
              </w:rPr>
              <w:t xml:space="preserve">Priority </w:t>
            </w:r>
          </w:p>
        </w:tc>
        <w:tc>
          <w:tcPr>
            <w:tcW w:w="1276"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F77275">
            <w:pPr>
              <w:keepNext/>
              <w:spacing w:line="288" w:lineRule="auto"/>
              <w:jc w:val="center"/>
              <w:rPr>
                <w:rFonts w:cs="Arial"/>
                <w:b/>
                <w:color w:val="FFFFFF"/>
                <w:lang w:val="en-GB"/>
              </w:rPr>
            </w:pPr>
            <w:r w:rsidRPr="008D2EA0">
              <w:rPr>
                <w:rFonts w:cs="Arial"/>
                <w:b/>
                <w:color w:val="FFFFFF"/>
                <w:lang w:val="en-GB"/>
              </w:rPr>
              <w:t>Maximum Points</w:t>
            </w:r>
          </w:p>
        </w:tc>
        <w:tc>
          <w:tcPr>
            <w:tcW w:w="708" w:type="dxa"/>
            <w:tcBorders>
              <w:top w:val="single" w:sz="4" w:space="0" w:color="D2232A"/>
              <w:left w:val="single" w:sz="8" w:space="0" w:color="FFFFFF"/>
              <w:bottom w:val="single" w:sz="4" w:space="0" w:color="D2232A"/>
              <w:right w:val="single" w:sz="8" w:space="0" w:color="FFFFFF"/>
            </w:tcBorders>
            <w:shd w:val="clear" w:color="auto" w:fill="D2232A"/>
            <w:hideMark/>
          </w:tcPr>
          <w:p w:rsidR="00AC460F" w:rsidRPr="008D2EA0" w:rsidRDefault="00AC460F" w:rsidP="00F77275">
            <w:pPr>
              <w:keepNext/>
              <w:spacing w:line="288" w:lineRule="auto"/>
              <w:jc w:val="center"/>
              <w:rPr>
                <w:rFonts w:cs="Arial"/>
                <w:b/>
                <w:color w:val="FFFFFF"/>
                <w:lang w:val="en-GB"/>
              </w:rPr>
            </w:pPr>
            <w:r w:rsidRPr="008D2EA0">
              <w:rPr>
                <w:rFonts w:cs="Arial"/>
                <w:b/>
                <w:color w:val="FFFFFF"/>
                <w:lang w:val="en-GB"/>
              </w:rPr>
              <w:t>No</w:t>
            </w:r>
          </w:p>
        </w:tc>
        <w:tc>
          <w:tcPr>
            <w:tcW w:w="4061"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F77275">
            <w:pPr>
              <w:keepNext/>
              <w:spacing w:line="288" w:lineRule="auto"/>
              <w:jc w:val="center"/>
              <w:rPr>
                <w:rFonts w:cs="Arial"/>
                <w:b/>
                <w:color w:val="FFFFFF"/>
                <w:lang w:val="en-GB"/>
              </w:rPr>
            </w:pPr>
            <w:r w:rsidRPr="008D2EA0">
              <w:rPr>
                <w:rFonts w:cs="Arial"/>
                <w:b/>
                <w:color w:val="FFFFFF"/>
                <w:lang w:val="en-GB"/>
              </w:rPr>
              <w:t>Criterion</w:t>
            </w:r>
          </w:p>
        </w:tc>
        <w:tc>
          <w:tcPr>
            <w:tcW w:w="1430" w:type="dxa"/>
            <w:tcBorders>
              <w:top w:val="single" w:sz="4" w:space="0" w:color="D2232A"/>
              <w:left w:val="single" w:sz="8" w:space="0" w:color="FFFFFF"/>
              <w:bottom w:val="single" w:sz="4" w:space="0" w:color="D2232A"/>
              <w:right w:val="single" w:sz="8" w:space="0" w:color="FFFFFF"/>
            </w:tcBorders>
            <w:shd w:val="clear" w:color="auto" w:fill="D2232A"/>
            <w:hideMark/>
          </w:tcPr>
          <w:p w:rsidR="00AC460F" w:rsidRPr="008D2EA0" w:rsidRDefault="00AC460F" w:rsidP="00F77275">
            <w:pPr>
              <w:keepNext/>
              <w:spacing w:line="288" w:lineRule="auto"/>
              <w:jc w:val="center"/>
              <w:rPr>
                <w:rFonts w:cs="Arial"/>
                <w:b/>
                <w:color w:val="FFFFFF"/>
                <w:lang w:val="en-GB"/>
              </w:rPr>
            </w:pPr>
            <w:r w:rsidRPr="008D2EA0">
              <w:rPr>
                <w:rFonts w:cs="Arial"/>
                <w:b/>
                <w:color w:val="FFFFFF"/>
                <w:lang w:val="en-GB"/>
              </w:rPr>
              <w:t>Result of the analysis</w:t>
            </w:r>
          </w:p>
        </w:tc>
        <w:tc>
          <w:tcPr>
            <w:tcW w:w="1420" w:type="dxa"/>
            <w:tcBorders>
              <w:top w:val="single" w:sz="4" w:space="0" w:color="D2232A"/>
              <w:left w:val="single" w:sz="8" w:space="0" w:color="FFFFFF"/>
              <w:bottom w:val="single" w:sz="4" w:space="0" w:color="D2232A"/>
              <w:right w:val="single" w:sz="4" w:space="0" w:color="D2232A"/>
            </w:tcBorders>
            <w:shd w:val="clear" w:color="auto" w:fill="D2232A"/>
            <w:hideMark/>
          </w:tcPr>
          <w:p w:rsidR="00AC460F" w:rsidRPr="008D2EA0" w:rsidRDefault="00AC460F" w:rsidP="00F77275">
            <w:pPr>
              <w:keepNext/>
              <w:spacing w:line="288" w:lineRule="auto"/>
              <w:jc w:val="center"/>
              <w:rPr>
                <w:rFonts w:cs="Arial"/>
                <w:b/>
                <w:color w:val="FFFFFF"/>
                <w:lang w:val="en-GB"/>
              </w:rPr>
            </w:pPr>
            <w:r w:rsidRPr="008D2EA0">
              <w:rPr>
                <w:rFonts w:cs="Arial"/>
                <w:b/>
                <w:color w:val="FFFFFF"/>
                <w:lang w:val="en-GB"/>
              </w:rPr>
              <w:t>Points</w:t>
            </w:r>
          </w:p>
        </w:tc>
      </w:tr>
      <w:tr w:rsidR="00AC460F" w:rsidRPr="008D2EA0" w:rsidTr="001F0F23">
        <w:tc>
          <w:tcPr>
            <w:tcW w:w="959" w:type="dxa"/>
            <w:vMerge w:val="restart"/>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High</w:t>
            </w:r>
          </w:p>
        </w:tc>
        <w:tc>
          <w:tcPr>
            <w:tcW w:w="1276"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w:t>
            </w:r>
          </w:p>
        </w:tc>
        <w:tc>
          <w:tcPr>
            <w:tcW w:w="70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3a</w:t>
            </w:r>
          </w:p>
        </w:tc>
        <w:tc>
          <w:tcPr>
            <w:tcW w:w="406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Consumer surplus</w:t>
            </w:r>
          </w:p>
        </w:tc>
        <w:tc>
          <w:tcPr>
            <w:tcW w:w="143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c>
          <w:tcPr>
            <w:tcW w:w="142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r>
      <w:tr w:rsidR="00AC460F" w:rsidRPr="008D2EA0" w:rsidTr="001F0F23">
        <w:tc>
          <w:tcPr>
            <w:tcW w:w="959" w:type="dxa"/>
            <w:vMerge/>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rPr>
                <w:lang w:val="en-GB"/>
              </w:rPr>
            </w:pPr>
          </w:p>
        </w:tc>
        <w:tc>
          <w:tcPr>
            <w:tcW w:w="1276"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w:t>
            </w:r>
          </w:p>
        </w:tc>
        <w:tc>
          <w:tcPr>
            <w:tcW w:w="70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3b</w:t>
            </w:r>
          </w:p>
        </w:tc>
        <w:tc>
          <w:tcPr>
            <w:tcW w:w="406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Citizen/consumer benefits</w:t>
            </w:r>
          </w:p>
        </w:tc>
        <w:tc>
          <w:tcPr>
            <w:tcW w:w="143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c>
          <w:tcPr>
            <w:tcW w:w="142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r>
      <w:tr w:rsidR="00AC460F" w:rsidRPr="008D2EA0" w:rsidTr="001F0F23">
        <w:tc>
          <w:tcPr>
            <w:tcW w:w="959" w:type="dxa"/>
            <w:vMerge/>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rPr>
                <w:lang w:val="en-GB"/>
              </w:rPr>
            </w:pPr>
          </w:p>
        </w:tc>
        <w:tc>
          <w:tcPr>
            <w:tcW w:w="1276"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2</w:t>
            </w:r>
          </w:p>
        </w:tc>
        <w:tc>
          <w:tcPr>
            <w:tcW w:w="70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3c</w:t>
            </w:r>
          </w:p>
        </w:tc>
        <w:tc>
          <w:tcPr>
            <w:tcW w:w="406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Producer surplus</w:t>
            </w:r>
          </w:p>
        </w:tc>
        <w:tc>
          <w:tcPr>
            <w:tcW w:w="143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c>
          <w:tcPr>
            <w:tcW w:w="142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r>
      <w:tr w:rsidR="00AC460F" w:rsidRPr="008D2EA0" w:rsidTr="001F0F23">
        <w:tc>
          <w:tcPr>
            <w:tcW w:w="959" w:type="dxa"/>
            <w:vMerge/>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rPr>
                <w:lang w:val="en-GB"/>
              </w:rPr>
            </w:pPr>
          </w:p>
        </w:tc>
        <w:tc>
          <w:tcPr>
            <w:tcW w:w="1276"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1</w:t>
            </w:r>
          </w:p>
        </w:tc>
        <w:tc>
          <w:tcPr>
            <w:tcW w:w="70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3d</w:t>
            </w:r>
          </w:p>
        </w:tc>
        <w:tc>
          <w:tcPr>
            <w:tcW w:w="406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Producer/industry benefits</w:t>
            </w:r>
          </w:p>
        </w:tc>
        <w:tc>
          <w:tcPr>
            <w:tcW w:w="143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c>
          <w:tcPr>
            <w:tcW w:w="142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r>
      <w:tr w:rsidR="00AC460F" w:rsidRPr="008D2EA0" w:rsidTr="001F0F23">
        <w:tc>
          <w:tcPr>
            <w:tcW w:w="959" w:type="dxa"/>
            <w:vMerge/>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rPr>
                <w:lang w:val="en-GB"/>
              </w:rPr>
            </w:pPr>
          </w:p>
        </w:tc>
        <w:tc>
          <w:tcPr>
            <w:tcW w:w="1276"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9</w:t>
            </w:r>
          </w:p>
        </w:tc>
        <w:tc>
          <w:tcPr>
            <w:tcW w:w="708"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4</w:t>
            </w:r>
          </w:p>
        </w:tc>
        <w:tc>
          <w:tcPr>
            <w:tcW w:w="4061"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Timeframe for availability of equipment on a large scale and for application deployment - status of standardisation</w:t>
            </w:r>
          </w:p>
        </w:tc>
        <w:tc>
          <w:tcPr>
            <w:tcW w:w="143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c>
          <w:tcPr>
            <w:tcW w:w="142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r>
      <w:tr w:rsidR="00AC460F" w:rsidRPr="008D2EA0" w:rsidTr="001F0F23">
        <w:tc>
          <w:tcPr>
            <w:tcW w:w="959" w:type="dxa"/>
            <w:vMerge/>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rPr>
                <w:lang w:val="en-GB"/>
              </w:rPr>
            </w:pPr>
          </w:p>
        </w:tc>
        <w:tc>
          <w:tcPr>
            <w:tcW w:w="1276"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6</w:t>
            </w:r>
          </w:p>
        </w:tc>
        <w:tc>
          <w:tcPr>
            <w:tcW w:w="70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5a</w:t>
            </w:r>
          </w:p>
        </w:tc>
        <w:tc>
          <w:tcPr>
            <w:tcW w:w="406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Potential for CEPT harmonisation</w:t>
            </w:r>
          </w:p>
        </w:tc>
        <w:tc>
          <w:tcPr>
            <w:tcW w:w="143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c>
          <w:tcPr>
            <w:tcW w:w="142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r>
      <w:tr w:rsidR="00AC460F" w:rsidRPr="008D2EA0" w:rsidTr="001F0F23">
        <w:tc>
          <w:tcPr>
            <w:tcW w:w="959" w:type="dxa"/>
            <w:vMerge/>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rPr>
                <w:lang w:val="en-GB"/>
              </w:rPr>
            </w:pPr>
          </w:p>
        </w:tc>
        <w:tc>
          <w:tcPr>
            <w:tcW w:w="1276"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5</w:t>
            </w:r>
          </w:p>
        </w:tc>
        <w:tc>
          <w:tcPr>
            <w:tcW w:w="70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5b</w:t>
            </w:r>
          </w:p>
        </w:tc>
        <w:tc>
          <w:tcPr>
            <w:tcW w:w="406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Potential for take-up of application outside CEPT</w:t>
            </w:r>
          </w:p>
        </w:tc>
        <w:tc>
          <w:tcPr>
            <w:tcW w:w="143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c>
          <w:tcPr>
            <w:tcW w:w="142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r>
      <w:tr w:rsidR="00AC460F" w:rsidRPr="008D2EA0" w:rsidTr="001F0F23">
        <w:tc>
          <w:tcPr>
            <w:tcW w:w="959" w:type="dxa"/>
            <w:vMerge w:val="restart"/>
            <w:tcBorders>
              <w:top w:val="single" w:sz="4" w:space="0" w:color="D2232A"/>
              <w:left w:val="single" w:sz="4" w:space="0" w:color="D2232A"/>
              <w:right w:val="single" w:sz="4" w:space="0" w:color="D2232A"/>
            </w:tcBorders>
            <w:vAlign w:val="center"/>
          </w:tcPr>
          <w:p w:rsidR="00AC460F" w:rsidRPr="008D2EA0" w:rsidRDefault="00AC460F" w:rsidP="001F0F23">
            <w:pPr>
              <w:rPr>
                <w:lang w:val="en-GB"/>
              </w:rPr>
            </w:pPr>
            <w:r w:rsidRPr="008D2EA0">
              <w:rPr>
                <w:lang w:val="en-GB"/>
              </w:rPr>
              <w:t>Medium</w:t>
            </w:r>
          </w:p>
        </w:tc>
        <w:tc>
          <w:tcPr>
            <w:tcW w:w="1276"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rPr>
                <w:lang w:val="en-GB"/>
              </w:rPr>
            </w:pPr>
            <w:r w:rsidRPr="008D2EA0">
              <w:rPr>
                <w:lang w:val="en-GB"/>
              </w:rPr>
              <w:t>6</w:t>
            </w:r>
          </w:p>
        </w:tc>
        <w:tc>
          <w:tcPr>
            <w:tcW w:w="708"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rPr>
                <w:lang w:val="en-GB"/>
              </w:rPr>
            </w:pPr>
            <w:r w:rsidRPr="008D2EA0">
              <w:rPr>
                <w:lang w:val="en-GB"/>
              </w:rPr>
              <w:t>2</w:t>
            </w:r>
          </w:p>
        </w:tc>
        <w:tc>
          <w:tcPr>
            <w:tcW w:w="4061"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rPr>
                <w:lang w:val="en-GB"/>
              </w:rPr>
            </w:pPr>
            <w:r w:rsidRPr="008D2EA0">
              <w:rPr>
                <w:lang w:val="en-GB"/>
              </w:rPr>
              <w:t>Possibility to share with other applications/uses (frequency, spatial, time and/or signal separation)</w:t>
            </w:r>
          </w:p>
        </w:tc>
        <w:tc>
          <w:tcPr>
            <w:tcW w:w="143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c>
          <w:tcPr>
            <w:tcW w:w="142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r>
      <w:tr w:rsidR="00AC460F" w:rsidRPr="008D2EA0" w:rsidTr="001F0F23">
        <w:tc>
          <w:tcPr>
            <w:tcW w:w="959" w:type="dxa"/>
            <w:vMerge/>
            <w:tcBorders>
              <w:left w:val="single" w:sz="4" w:space="0" w:color="D2232A"/>
              <w:right w:val="single" w:sz="4" w:space="0" w:color="D2232A"/>
            </w:tcBorders>
            <w:vAlign w:val="center"/>
            <w:hideMark/>
          </w:tcPr>
          <w:p w:rsidR="00AC460F" w:rsidRPr="008D2EA0" w:rsidRDefault="00AC460F" w:rsidP="001F0F23">
            <w:pPr>
              <w:rPr>
                <w:lang w:val="en-GB"/>
              </w:rPr>
            </w:pPr>
          </w:p>
        </w:tc>
        <w:tc>
          <w:tcPr>
            <w:tcW w:w="1276"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2</w:t>
            </w:r>
          </w:p>
        </w:tc>
        <w:tc>
          <w:tcPr>
            <w:tcW w:w="70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1a</w:t>
            </w:r>
          </w:p>
        </w:tc>
        <w:tc>
          <w:tcPr>
            <w:tcW w:w="406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Compatibility with the Radio Regulations (Article 5)</w:t>
            </w:r>
          </w:p>
        </w:tc>
        <w:tc>
          <w:tcPr>
            <w:tcW w:w="143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c>
          <w:tcPr>
            <w:tcW w:w="142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r>
      <w:tr w:rsidR="00AC460F" w:rsidRPr="008D2EA0" w:rsidTr="001F0F23">
        <w:tc>
          <w:tcPr>
            <w:tcW w:w="959" w:type="dxa"/>
            <w:vMerge/>
            <w:tcBorders>
              <w:left w:val="single" w:sz="4" w:space="0" w:color="D2232A"/>
              <w:bottom w:val="single" w:sz="4" w:space="0" w:color="D2232A"/>
              <w:right w:val="single" w:sz="4" w:space="0" w:color="D2232A"/>
            </w:tcBorders>
            <w:vAlign w:val="center"/>
            <w:hideMark/>
          </w:tcPr>
          <w:p w:rsidR="00AC460F" w:rsidRPr="008D2EA0" w:rsidRDefault="00AC460F" w:rsidP="001F0F23">
            <w:pPr>
              <w:rPr>
                <w:lang w:val="en-GB"/>
              </w:rPr>
            </w:pPr>
          </w:p>
        </w:tc>
        <w:tc>
          <w:tcPr>
            <w:tcW w:w="1276"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2</w:t>
            </w:r>
          </w:p>
        </w:tc>
        <w:tc>
          <w:tcPr>
            <w:tcW w:w="70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1b</w:t>
            </w:r>
          </w:p>
        </w:tc>
        <w:tc>
          <w:tcPr>
            <w:tcW w:w="406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Compatibility with MA02revCO07</w:t>
            </w:r>
          </w:p>
        </w:tc>
        <w:tc>
          <w:tcPr>
            <w:tcW w:w="143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c>
          <w:tcPr>
            <w:tcW w:w="142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r>
      <w:tr w:rsidR="00AC460F" w:rsidRPr="008D2EA0" w:rsidTr="001F0F23">
        <w:tc>
          <w:tcPr>
            <w:tcW w:w="959"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Low</w:t>
            </w:r>
          </w:p>
        </w:tc>
        <w:tc>
          <w:tcPr>
            <w:tcW w:w="1276"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1</w:t>
            </w:r>
          </w:p>
        </w:tc>
        <w:tc>
          <w:tcPr>
            <w:tcW w:w="70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1c</w:t>
            </w:r>
          </w:p>
        </w:tc>
        <w:tc>
          <w:tcPr>
            <w:tcW w:w="406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Compatibility with ECC/DEC/(03)/02</w:t>
            </w:r>
          </w:p>
        </w:tc>
        <w:tc>
          <w:tcPr>
            <w:tcW w:w="143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c>
          <w:tcPr>
            <w:tcW w:w="1420"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rFonts w:cs="Arial"/>
                <w:szCs w:val="20"/>
                <w:lang w:val="en-GB"/>
              </w:rPr>
            </w:pPr>
          </w:p>
        </w:tc>
      </w:tr>
    </w:tbl>
    <w:p w:rsidR="00AC460F" w:rsidRPr="008D2EA0" w:rsidRDefault="00AC460F" w:rsidP="00AC460F">
      <w:pPr>
        <w:rPr>
          <w:rFonts w:cs="Arial"/>
          <w:szCs w:val="20"/>
          <w:lang w:val="en-GB" w:eastAsia="fr-FR"/>
        </w:rPr>
      </w:pPr>
    </w:p>
    <w:p w:rsidR="00AC460F" w:rsidRPr="008D2EA0" w:rsidRDefault="00AC460F" w:rsidP="00AC460F">
      <w:pPr>
        <w:rPr>
          <w:rFonts w:cs="Arial"/>
          <w:szCs w:val="20"/>
          <w:lang w:val="en-GB"/>
        </w:rPr>
      </w:pPr>
      <w:r w:rsidRPr="008D2EA0">
        <w:rPr>
          <w:rFonts w:cs="Arial"/>
          <w:szCs w:val="20"/>
          <w:lang w:val="en-GB"/>
        </w:rPr>
        <w:t xml:space="preserve">For the purpose of this impact analysis, the term main application is used to describe the most appropriate use of the L band for each regulatory option as described in </w:t>
      </w:r>
      <w:r w:rsidR="00CC4BB4" w:rsidRPr="008D2EA0">
        <w:rPr>
          <w:rFonts w:cs="Arial"/>
          <w:szCs w:val="20"/>
          <w:lang w:val="en-GB"/>
        </w:rPr>
        <w:t>section</w:t>
      </w:r>
      <w:r w:rsidR="00530F73" w:rsidRPr="008D2EA0">
        <w:rPr>
          <w:rFonts w:cs="Arial"/>
          <w:szCs w:val="20"/>
          <w:lang w:val="en-GB"/>
        </w:rPr>
        <w:t xml:space="preserve"> </w:t>
      </w:r>
      <w:r w:rsidR="00530F73" w:rsidRPr="008D2EA0">
        <w:rPr>
          <w:rFonts w:cs="Arial"/>
          <w:szCs w:val="20"/>
          <w:lang w:val="en-GB"/>
        </w:rPr>
        <w:fldChar w:fldCharType="begin"/>
      </w:r>
      <w:r w:rsidR="00530F73" w:rsidRPr="008D2EA0">
        <w:rPr>
          <w:rFonts w:cs="Arial"/>
          <w:szCs w:val="20"/>
          <w:lang w:val="en-GB"/>
        </w:rPr>
        <w:instrText xml:space="preserve"> REF _Ref330548152 \r \h </w:instrText>
      </w:r>
      <w:r w:rsidR="00530F73" w:rsidRPr="008D2EA0">
        <w:rPr>
          <w:rFonts w:cs="Arial"/>
          <w:szCs w:val="20"/>
          <w:lang w:val="en-GB"/>
        </w:rPr>
      </w:r>
      <w:r w:rsidR="00530F73" w:rsidRPr="008D2EA0">
        <w:rPr>
          <w:rFonts w:cs="Arial"/>
          <w:szCs w:val="20"/>
          <w:lang w:val="en-GB"/>
        </w:rPr>
        <w:fldChar w:fldCharType="separate"/>
      </w:r>
      <w:r w:rsidR="00E73FF2">
        <w:rPr>
          <w:rFonts w:cs="Arial"/>
          <w:szCs w:val="20"/>
          <w:lang w:val="en-GB"/>
        </w:rPr>
        <w:t>6.3</w:t>
      </w:r>
      <w:r w:rsidR="00530F73" w:rsidRPr="008D2EA0">
        <w:rPr>
          <w:rFonts w:cs="Arial"/>
          <w:szCs w:val="20"/>
          <w:lang w:val="en-GB"/>
        </w:rPr>
        <w:fldChar w:fldCharType="end"/>
      </w:r>
      <w:r w:rsidRPr="008D2EA0">
        <w:rPr>
          <w:rFonts w:cs="Arial"/>
          <w:szCs w:val="20"/>
          <w:lang w:val="en-GB"/>
        </w:rPr>
        <w:t>.</w:t>
      </w:r>
    </w:p>
    <w:p w:rsidR="00AC460F" w:rsidRPr="008D2EA0" w:rsidRDefault="00AC460F" w:rsidP="00AC460F">
      <w:pPr>
        <w:rPr>
          <w:rFonts w:cs="Arial"/>
          <w:szCs w:val="20"/>
          <w:lang w:val="en-GB"/>
        </w:rPr>
      </w:pPr>
    </w:p>
    <w:p w:rsidR="00AC460F" w:rsidRPr="008D2EA0" w:rsidRDefault="00AC460F" w:rsidP="00AC460F">
      <w:pPr>
        <w:pStyle w:val="ECCParBulleted"/>
      </w:pPr>
      <w:r w:rsidRPr="008D2EA0">
        <w:t xml:space="preserve">For regulatory option 2, the analysis will have to be carried out </w:t>
      </w:r>
      <w:r w:rsidR="00CC4BB4" w:rsidRPr="008D2EA0">
        <w:t>separately for</w:t>
      </w:r>
      <w:r w:rsidRPr="008D2EA0">
        <w:t xml:space="preserve"> mobile supplemental downlink (SDL) (scenario 2-A) and mobile broadband (MBB) (scenario 2-B). This will result in two different scenarios under regulatory option 2.</w:t>
      </w:r>
    </w:p>
    <w:p w:rsidR="00AC460F" w:rsidRPr="008D2EA0" w:rsidRDefault="00AC460F" w:rsidP="00AC460F">
      <w:pPr>
        <w:pStyle w:val="ECCParBulleted"/>
      </w:pPr>
      <w:r w:rsidRPr="008D2EA0">
        <w:t xml:space="preserve">With regard to regulatory option 3, the analysis will have to be carried out </w:t>
      </w:r>
      <w:r w:rsidR="00CC4BB4" w:rsidRPr="008D2EA0">
        <w:t xml:space="preserve">separately </w:t>
      </w:r>
      <w:r w:rsidRPr="008D2EA0">
        <w:t xml:space="preserve">for </w:t>
      </w:r>
      <w:r w:rsidR="00CC4BB4" w:rsidRPr="008D2EA0">
        <w:t>the scenarios</w:t>
      </w:r>
      <w:r w:rsidRPr="008D2EA0">
        <w:t xml:space="preserve"> where </w:t>
      </w:r>
      <w:r w:rsidR="00CC4BB4" w:rsidRPr="008D2EA0">
        <w:t xml:space="preserve">either </w:t>
      </w:r>
      <w:r w:rsidRPr="008D2EA0">
        <w:t>broadband PPDR (scenario 3-A) or PMSE</w:t>
      </w:r>
      <w:r w:rsidR="005A734E" w:rsidRPr="008D2EA0">
        <w:t xml:space="preserve"> </w:t>
      </w:r>
      <w:r w:rsidRPr="008D2EA0">
        <w:t>(scenario 3-B)</w:t>
      </w:r>
      <w:r w:rsidR="00CC4BB4" w:rsidRPr="008D2EA0">
        <w:t xml:space="preserve"> is </w:t>
      </w:r>
      <w:r w:rsidRPr="008D2EA0">
        <w:t xml:space="preserve">considered in the remaining part of the band, </w:t>
      </w:r>
      <w:r w:rsidR="00CC4BB4" w:rsidRPr="008D2EA0">
        <w:t xml:space="preserve">i.e. </w:t>
      </w:r>
      <w:r w:rsidRPr="008D2EA0">
        <w:t>outside the spectrum identified for BDA2GC. This will result in two different scenarios under regulatory option 3.</w:t>
      </w:r>
    </w:p>
    <w:p w:rsidR="00AC460F" w:rsidRPr="008D2EA0" w:rsidRDefault="00AC460F" w:rsidP="00AC460F">
      <w:pPr>
        <w:pStyle w:val="ECCParBulleted"/>
        <w:numPr>
          <w:ilvl w:val="0"/>
          <w:numId w:val="0"/>
        </w:numPr>
        <w:ind w:left="340"/>
      </w:pPr>
    </w:p>
    <w:p w:rsidR="00E41E35" w:rsidRPr="008D2EA0" w:rsidRDefault="00AC460F" w:rsidP="00AC460F">
      <w:pPr>
        <w:pStyle w:val="ECCParagraph"/>
        <w:rPr>
          <w:b/>
        </w:rPr>
      </w:pPr>
      <w:r w:rsidRPr="008D2EA0">
        <w:t xml:space="preserve">It is important to note that the </w:t>
      </w:r>
      <w:r w:rsidR="00CC4BB4" w:rsidRPr="008D2EA0">
        <w:t>scenarios described above</w:t>
      </w:r>
      <w:r w:rsidRPr="008D2EA0">
        <w:t xml:space="preserve"> correspond to a simplification for the purpose of the impact analysis of the full regulatory options as described in </w:t>
      </w:r>
      <w:r w:rsidR="00CC4BB4" w:rsidRPr="008D2EA0">
        <w:t>Section</w:t>
      </w:r>
      <w:r w:rsidR="00AA7CEA" w:rsidRPr="008D2EA0">
        <w:t xml:space="preserve"> </w:t>
      </w:r>
      <w:r w:rsidR="00AA7CEA" w:rsidRPr="008D2EA0">
        <w:fldChar w:fldCharType="begin"/>
      </w:r>
      <w:r w:rsidR="00AA7CEA" w:rsidRPr="008D2EA0">
        <w:instrText xml:space="preserve"> REF _Ref330548644 \r \h </w:instrText>
      </w:r>
      <w:r w:rsidR="00AA7CEA" w:rsidRPr="008D2EA0">
        <w:fldChar w:fldCharType="separate"/>
      </w:r>
      <w:r w:rsidR="00E73FF2">
        <w:t>6.3</w:t>
      </w:r>
      <w:r w:rsidR="00AA7CEA" w:rsidRPr="008D2EA0">
        <w:fldChar w:fldCharType="end"/>
      </w:r>
      <w:r w:rsidRPr="008D2EA0">
        <w:t>.</w:t>
      </w:r>
    </w:p>
    <w:p w:rsidR="00AC460F" w:rsidRPr="008D2EA0" w:rsidRDefault="00AC460F" w:rsidP="0097042E">
      <w:pPr>
        <w:pStyle w:val="Heading2"/>
        <w:tabs>
          <w:tab w:val="clear" w:pos="576"/>
        </w:tabs>
        <w:rPr>
          <w:lang w:val="en-GB"/>
        </w:rPr>
      </w:pPr>
      <w:bookmarkStart w:id="161" w:name="_Ref330550174"/>
      <w:bookmarkStart w:id="162" w:name="_Toc349039315"/>
      <w:r w:rsidRPr="008D2EA0">
        <w:rPr>
          <w:lang w:val="en-GB"/>
        </w:rPr>
        <w:t>Application of the criteria</w:t>
      </w:r>
      <w:bookmarkEnd w:id="161"/>
      <w:bookmarkEnd w:id="162"/>
      <w:r w:rsidRPr="008D2EA0">
        <w:rPr>
          <w:lang w:val="en-GB"/>
        </w:rPr>
        <w:t xml:space="preserve"> </w:t>
      </w:r>
    </w:p>
    <w:p w:rsidR="00AC460F" w:rsidRPr="008D2EA0" w:rsidRDefault="00AC460F" w:rsidP="00510087">
      <w:pPr>
        <w:pStyle w:val="Heading3"/>
      </w:pPr>
      <w:bookmarkStart w:id="163" w:name="_Toc349039316"/>
      <w:r w:rsidRPr="008D2EA0">
        <w:t>Criterion 1 - Compatibility with regulatory framework</w:t>
      </w:r>
      <w:bookmarkEnd w:id="163"/>
    </w:p>
    <w:p w:rsidR="00AC460F" w:rsidRPr="008D2EA0" w:rsidRDefault="00AC460F" w:rsidP="00AC460F">
      <w:pPr>
        <w:rPr>
          <w:rFonts w:cs="Arial"/>
          <w:szCs w:val="20"/>
          <w:lang w:val="en-GB"/>
        </w:rPr>
      </w:pPr>
      <w:r w:rsidRPr="008D2EA0">
        <w:rPr>
          <w:rFonts w:cs="Arial"/>
          <w:szCs w:val="20"/>
          <w:lang w:val="en-GB"/>
        </w:rPr>
        <w:t xml:space="preserve">This criterion awards points to regulatory options and scenarios (if more than one scenario is identified under a regulatory option).  </w:t>
      </w:r>
    </w:p>
    <w:p w:rsidR="00AC460F" w:rsidRPr="008D2EA0" w:rsidRDefault="00AC460F" w:rsidP="00AC460F">
      <w:pPr>
        <w:rPr>
          <w:rFonts w:cs="Arial"/>
          <w:szCs w:val="20"/>
          <w:lang w:val="en-GB"/>
        </w:rPr>
      </w:pPr>
    </w:p>
    <w:p w:rsidR="00AC460F" w:rsidRPr="008D2EA0" w:rsidRDefault="00AC460F" w:rsidP="00AC460F">
      <w:pPr>
        <w:rPr>
          <w:rFonts w:cs="Arial"/>
          <w:szCs w:val="20"/>
          <w:lang w:val="en-GB"/>
        </w:rPr>
      </w:pPr>
      <w:r w:rsidRPr="008D2EA0">
        <w:rPr>
          <w:rFonts w:cs="Arial"/>
          <w:szCs w:val="20"/>
          <w:lang w:val="en-GB"/>
        </w:rPr>
        <w:t>Assessing criterion 1 for each application is not appropriate because some applications may be incompatible when combined in a specific regulatory option. For example:</w:t>
      </w:r>
    </w:p>
    <w:p w:rsidR="00AC460F" w:rsidRPr="008D2EA0" w:rsidRDefault="00235EEF" w:rsidP="00290368">
      <w:pPr>
        <w:pStyle w:val="ListParagraph"/>
        <w:numPr>
          <w:ilvl w:val="0"/>
          <w:numId w:val="46"/>
        </w:numPr>
        <w:spacing w:before="120" w:after="240"/>
        <w:ind w:left="714" w:hanging="357"/>
        <w:rPr>
          <w:rFonts w:cs="Arial"/>
          <w:szCs w:val="20"/>
          <w:lang w:val="en-GB"/>
        </w:rPr>
      </w:pPr>
      <w:r>
        <w:rPr>
          <w:rFonts w:cs="Arial"/>
          <w:szCs w:val="20"/>
          <w:lang w:val="en-GB"/>
        </w:rPr>
        <w:t>Terrestrial broadcasting</w:t>
      </w:r>
      <w:r w:rsidR="00AC460F" w:rsidRPr="008D2EA0">
        <w:rPr>
          <w:rFonts w:cs="Arial"/>
          <w:szCs w:val="20"/>
          <w:lang w:val="en-GB"/>
        </w:rPr>
        <w:t xml:space="preserve"> is on its own compatible with ECC/DEC/(03)02 </w:t>
      </w:r>
      <w:r w:rsidR="002E3DC7" w:rsidRPr="008D2EA0">
        <w:rPr>
          <w:rFonts w:cs="Arial"/>
          <w:szCs w:val="20"/>
          <w:lang w:val="en-GB"/>
        </w:rPr>
        <w:fldChar w:fldCharType="begin"/>
      </w:r>
      <w:r w:rsidR="002E3DC7" w:rsidRPr="008D2EA0">
        <w:rPr>
          <w:rFonts w:cs="Arial"/>
          <w:szCs w:val="20"/>
          <w:lang w:val="en-GB"/>
        </w:rPr>
        <w:instrText xml:space="preserve"> REF _Ref330503966 \r \h </w:instrText>
      </w:r>
      <w:r w:rsidR="002E3DC7" w:rsidRPr="008D2EA0">
        <w:rPr>
          <w:rFonts w:cs="Arial"/>
          <w:szCs w:val="20"/>
          <w:lang w:val="en-GB"/>
        </w:rPr>
      </w:r>
      <w:r w:rsidR="002E3DC7" w:rsidRPr="008D2EA0">
        <w:rPr>
          <w:rFonts w:cs="Arial"/>
          <w:szCs w:val="20"/>
          <w:lang w:val="en-GB"/>
        </w:rPr>
        <w:fldChar w:fldCharType="separate"/>
      </w:r>
      <w:r w:rsidR="00E73FF2">
        <w:rPr>
          <w:rFonts w:cs="Arial"/>
          <w:szCs w:val="20"/>
          <w:lang w:val="en-GB"/>
        </w:rPr>
        <w:t>[2]</w:t>
      </w:r>
      <w:r w:rsidR="002E3DC7" w:rsidRPr="008D2EA0">
        <w:rPr>
          <w:rFonts w:cs="Arial"/>
          <w:szCs w:val="20"/>
          <w:lang w:val="en-GB"/>
        </w:rPr>
        <w:fldChar w:fldCharType="end"/>
      </w:r>
      <w:r w:rsidR="002E3DC7" w:rsidRPr="008D2EA0">
        <w:rPr>
          <w:rFonts w:cs="Arial"/>
          <w:szCs w:val="20"/>
          <w:lang w:val="en-GB"/>
        </w:rPr>
        <w:t xml:space="preserve"> </w:t>
      </w:r>
      <w:r w:rsidR="00AC460F" w:rsidRPr="008D2EA0">
        <w:rPr>
          <w:rFonts w:cs="Arial"/>
          <w:szCs w:val="20"/>
          <w:lang w:val="en-GB"/>
        </w:rPr>
        <w:t xml:space="preserve">when using the lower part of the band, while also </w:t>
      </w:r>
    </w:p>
    <w:p w:rsidR="00AC460F" w:rsidRPr="008D2EA0" w:rsidRDefault="00AC460F" w:rsidP="00290368">
      <w:pPr>
        <w:pStyle w:val="ListParagraph"/>
        <w:numPr>
          <w:ilvl w:val="0"/>
          <w:numId w:val="46"/>
        </w:numPr>
        <w:spacing w:before="120" w:after="240"/>
        <w:ind w:left="714" w:hanging="357"/>
        <w:rPr>
          <w:rFonts w:cs="Arial"/>
          <w:szCs w:val="20"/>
          <w:lang w:val="en-GB"/>
        </w:rPr>
      </w:pPr>
      <w:r w:rsidRPr="008D2EA0">
        <w:rPr>
          <w:rFonts w:cs="Arial"/>
          <w:szCs w:val="20"/>
          <w:lang w:val="en-GB"/>
        </w:rPr>
        <w:t xml:space="preserve">BDA2GC is compatible with ECC/DEC/(03)02 </w:t>
      </w:r>
      <w:r w:rsidR="0051112C" w:rsidRPr="008D2EA0">
        <w:rPr>
          <w:rFonts w:cs="Arial"/>
          <w:szCs w:val="20"/>
          <w:lang w:val="en-GB"/>
        </w:rPr>
        <w:fldChar w:fldCharType="begin"/>
      </w:r>
      <w:r w:rsidR="0051112C" w:rsidRPr="008D2EA0">
        <w:rPr>
          <w:rFonts w:cs="Arial"/>
          <w:szCs w:val="20"/>
          <w:lang w:val="en-GB"/>
        </w:rPr>
        <w:instrText xml:space="preserve"> REF _Ref330503966 \r \h </w:instrText>
      </w:r>
      <w:r w:rsidR="0051112C" w:rsidRPr="008D2EA0">
        <w:rPr>
          <w:rFonts w:cs="Arial"/>
          <w:szCs w:val="20"/>
          <w:lang w:val="en-GB"/>
        </w:rPr>
      </w:r>
      <w:r w:rsidR="0051112C" w:rsidRPr="008D2EA0">
        <w:rPr>
          <w:rFonts w:cs="Arial"/>
          <w:szCs w:val="20"/>
          <w:lang w:val="en-GB"/>
        </w:rPr>
        <w:fldChar w:fldCharType="separate"/>
      </w:r>
      <w:r w:rsidR="00E73FF2">
        <w:rPr>
          <w:rFonts w:cs="Arial"/>
          <w:szCs w:val="20"/>
          <w:lang w:val="en-GB"/>
        </w:rPr>
        <w:t>[2]</w:t>
      </w:r>
      <w:r w:rsidR="0051112C" w:rsidRPr="008D2EA0">
        <w:rPr>
          <w:rFonts w:cs="Arial"/>
          <w:szCs w:val="20"/>
          <w:lang w:val="en-GB"/>
        </w:rPr>
        <w:fldChar w:fldCharType="end"/>
      </w:r>
      <w:r w:rsidR="0051112C" w:rsidRPr="008D2EA0">
        <w:rPr>
          <w:rFonts w:cs="Arial"/>
          <w:szCs w:val="20"/>
          <w:lang w:val="en-GB"/>
        </w:rPr>
        <w:t xml:space="preserve"> </w:t>
      </w:r>
      <w:r w:rsidRPr="008D2EA0">
        <w:rPr>
          <w:rFonts w:cs="Arial"/>
          <w:szCs w:val="20"/>
          <w:lang w:val="en-GB"/>
        </w:rPr>
        <w:t xml:space="preserve">when using the lower part of the band. </w:t>
      </w:r>
    </w:p>
    <w:p w:rsidR="00AC460F" w:rsidRPr="008D2EA0" w:rsidRDefault="00AC460F" w:rsidP="00290368">
      <w:pPr>
        <w:pStyle w:val="ListParagraph"/>
        <w:numPr>
          <w:ilvl w:val="0"/>
          <w:numId w:val="46"/>
        </w:numPr>
        <w:spacing w:before="120" w:after="240"/>
        <w:ind w:left="714" w:hanging="357"/>
        <w:rPr>
          <w:rFonts w:cs="Arial"/>
          <w:szCs w:val="20"/>
          <w:lang w:val="en-GB"/>
        </w:rPr>
      </w:pPr>
      <w:r w:rsidRPr="008D2EA0">
        <w:rPr>
          <w:rFonts w:cs="Arial"/>
          <w:szCs w:val="20"/>
          <w:lang w:val="en-GB"/>
        </w:rPr>
        <w:t xml:space="preserve">However, </w:t>
      </w:r>
      <w:r w:rsidR="00235EEF">
        <w:rPr>
          <w:rFonts w:cs="Arial"/>
          <w:szCs w:val="20"/>
          <w:lang w:val="en-GB"/>
        </w:rPr>
        <w:t>Terrestrial broadcasting</w:t>
      </w:r>
      <w:r w:rsidRPr="008D2EA0">
        <w:rPr>
          <w:rFonts w:cs="Arial"/>
          <w:szCs w:val="20"/>
          <w:lang w:val="en-GB"/>
        </w:rPr>
        <w:t xml:space="preserve"> and BDA2GC </w:t>
      </w:r>
      <w:r w:rsidR="0003313A" w:rsidRPr="008D2EA0">
        <w:rPr>
          <w:rFonts w:cs="Arial"/>
          <w:szCs w:val="20"/>
          <w:lang w:val="en-GB"/>
        </w:rPr>
        <w:t>can</w:t>
      </w:r>
      <w:r w:rsidRPr="008D2EA0">
        <w:rPr>
          <w:rFonts w:cs="Arial"/>
          <w:szCs w:val="20"/>
          <w:lang w:val="en-GB"/>
        </w:rPr>
        <w:t>not be simultaneously compatible with ECC/DEC/(03)02</w:t>
      </w:r>
      <w:r w:rsidR="0051112C" w:rsidRPr="008D2EA0">
        <w:rPr>
          <w:rFonts w:cs="Arial"/>
          <w:szCs w:val="20"/>
          <w:lang w:val="en-GB"/>
        </w:rPr>
        <w:t xml:space="preserve"> </w:t>
      </w:r>
      <w:r w:rsidR="0051112C" w:rsidRPr="008D2EA0">
        <w:rPr>
          <w:rFonts w:cs="Arial"/>
          <w:szCs w:val="20"/>
          <w:lang w:val="en-GB"/>
        </w:rPr>
        <w:fldChar w:fldCharType="begin"/>
      </w:r>
      <w:r w:rsidR="0051112C" w:rsidRPr="008D2EA0">
        <w:rPr>
          <w:rFonts w:cs="Arial"/>
          <w:szCs w:val="20"/>
          <w:lang w:val="en-GB"/>
        </w:rPr>
        <w:instrText xml:space="preserve"> REF _Ref330503966 \r \h </w:instrText>
      </w:r>
      <w:r w:rsidR="0051112C" w:rsidRPr="008D2EA0">
        <w:rPr>
          <w:rFonts w:cs="Arial"/>
          <w:szCs w:val="20"/>
          <w:lang w:val="en-GB"/>
        </w:rPr>
      </w:r>
      <w:r w:rsidR="0051112C" w:rsidRPr="008D2EA0">
        <w:rPr>
          <w:rFonts w:cs="Arial"/>
          <w:szCs w:val="20"/>
          <w:lang w:val="en-GB"/>
        </w:rPr>
        <w:fldChar w:fldCharType="separate"/>
      </w:r>
      <w:r w:rsidR="00E73FF2">
        <w:rPr>
          <w:rFonts w:cs="Arial"/>
          <w:szCs w:val="20"/>
          <w:lang w:val="en-GB"/>
        </w:rPr>
        <w:t>[2]</w:t>
      </w:r>
      <w:r w:rsidR="0051112C" w:rsidRPr="008D2EA0">
        <w:rPr>
          <w:rFonts w:cs="Arial"/>
          <w:szCs w:val="20"/>
          <w:lang w:val="en-GB"/>
        </w:rPr>
        <w:fldChar w:fldCharType="end"/>
      </w:r>
      <w:r w:rsidRPr="008D2EA0">
        <w:rPr>
          <w:rFonts w:cs="Arial"/>
          <w:szCs w:val="20"/>
          <w:lang w:val="en-GB"/>
        </w:rPr>
        <w:t>.</w:t>
      </w:r>
    </w:p>
    <w:p w:rsidR="00AC460F" w:rsidRDefault="00AC460F" w:rsidP="00F77275">
      <w:pPr>
        <w:jc w:val="both"/>
        <w:rPr>
          <w:rFonts w:cs="Arial"/>
          <w:szCs w:val="20"/>
          <w:lang w:val="en-GB"/>
        </w:rPr>
      </w:pPr>
      <w:r w:rsidRPr="008D2EA0">
        <w:rPr>
          <w:rFonts w:cs="Arial"/>
          <w:szCs w:val="20"/>
          <w:lang w:val="en-GB"/>
        </w:rPr>
        <w:t>The impact of the exact positioning of application with regards to the entire band explains why the compatibility of an application with given regulatory regime can only be judged in the context of a complete regulatory option.</w:t>
      </w:r>
    </w:p>
    <w:p w:rsidR="00F77275" w:rsidRPr="008D2EA0" w:rsidRDefault="00F77275" w:rsidP="00F77275">
      <w:pPr>
        <w:jc w:val="both"/>
        <w:rPr>
          <w:rFonts w:cs="Arial"/>
          <w:i/>
          <w:szCs w:val="20"/>
          <w:lang w:val="en-GB"/>
        </w:rPr>
      </w:pPr>
    </w:p>
    <w:p w:rsidR="00AC460F" w:rsidRPr="008D2EA0" w:rsidRDefault="00AC460F" w:rsidP="00F77275">
      <w:pPr>
        <w:keepNext/>
        <w:rPr>
          <w:rFonts w:cs="Arial"/>
          <w:i/>
          <w:color w:val="000000"/>
          <w:szCs w:val="20"/>
          <w:lang w:val="en-GB" w:eastAsia="sv-SE"/>
        </w:rPr>
      </w:pPr>
      <w:r w:rsidRPr="008D2EA0">
        <w:rPr>
          <w:rFonts w:cs="Arial"/>
          <w:i/>
          <w:szCs w:val="20"/>
          <w:lang w:val="en-GB"/>
        </w:rPr>
        <w:t>Sub-criterion 1a: C</w:t>
      </w:r>
      <w:r w:rsidRPr="008D2EA0">
        <w:rPr>
          <w:rFonts w:cs="Arial"/>
          <w:i/>
          <w:color w:val="000000"/>
          <w:szCs w:val="20"/>
          <w:lang w:val="en-GB" w:eastAsia="sv-SE"/>
        </w:rPr>
        <w:t>ompatibility with the Radio Regulations (Article 5)</w:t>
      </w:r>
      <w:r w:rsidR="002E3DC7" w:rsidRPr="008D2EA0">
        <w:rPr>
          <w:rFonts w:cs="Arial"/>
          <w:i/>
          <w:color w:val="000000"/>
          <w:szCs w:val="20"/>
          <w:lang w:val="en-GB" w:eastAsia="sv-SE"/>
        </w:rPr>
        <w:t xml:space="preserve"> </w:t>
      </w:r>
      <w:r w:rsidR="005A734E" w:rsidRPr="008D2EA0">
        <w:rPr>
          <w:rFonts w:cs="Arial"/>
          <w:i/>
          <w:color w:val="000000"/>
          <w:szCs w:val="20"/>
          <w:lang w:val="en-GB" w:eastAsia="sv-SE"/>
        </w:rPr>
        <w:fldChar w:fldCharType="begin"/>
      </w:r>
      <w:r w:rsidR="005A734E" w:rsidRPr="008D2EA0">
        <w:rPr>
          <w:rFonts w:cs="Arial"/>
          <w:i/>
          <w:color w:val="000000"/>
          <w:szCs w:val="20"/>
          <w:lang w:val="en-GB" w:eastAsia="sv-SE"/>
        </w:rPr>
        <w:instrText xml:space="preserve"> REF _Ref332810663 \r \h </w:instrText>
      </w:r>
      <w:r w:rsidR="005A734E" w:rsidRPr="008D2EA0">
        <w:rPr>
          <w:rFonts w:cs="Arial"/>
          <w:i/>
          <w:color w:val="000000"/>
          <w:szCs w:val="20"/>
          <w:lang w:val="en-GB" w:eastAsia="sv-SE"/>
        </w:rPr>
      </w:r>
      <w:r w:rsidR="005A734E" w:rsidRPr="008D2EA0">
        <w:rPr>
          <w:rFonts w:cs="Arial"/>
          <w:i/>
          <w:color w:val="000000"/>
          <w:szCs w:val="20"/>
          <w:lang w:val="en-GB" w:eastAsia="sv-SE"/>
        </w:rPr>
        <w:fldChar w:fldCharType="separate"/>
      </w:r>
      <w:r w:rsidR="00E73FF2">
        <w:rPr>
          <w:rFonts w:cs="Arial"/>
          <w:i/>
          <w:color w:val="000000"/>
          <w:szCs w:val="20"/>
          <w:lang w:val="en-GB" w:eastAsia="sv-SE"/>
        </w:rPr>
        <w:t>[4]</w:t>
      </w:r>
      <w:r w:rsidR="005A734E" w:rsidRPr="008D2EA0">
        <w:rPr>
          <w:rFonts w:cs="Arial"/>
          <w:i/>
          <w:color w:val="000000"/>
          <w:szCs w:val="20"/>
          <w:lang w:val="en-GB" w:eastAsia="sv-SE"/>
        </w:rPr>
        <w:fldChar w:fldCharType="end"/>
      </w:r>
    </w:p>
    <w:p w:rsidR="00AC460F" w:rsidRPr="008D2EA0" w:rsidRDefault="00AC460F" w:rsidP="00F77275">
      <w:pPr>
        <w:keepNext/>
        <w:rPr>
          <w:rFonts w:cs="Arial"/>
          <w:color w:val="000000"/>
          <w:szCs w:val="20"/>
          <w:lang w:val="en-GB" w:eastAsia="sv-SE"/>
        </w:rPr>
      </w:pPr>
      <w:r w:rsidRPr="008D2EA0">
        <w:rPr>
          <w:rFonts w:cs="Arial"/>
          <w:color w:val="000000"/>
          <w:szCs w:val="20"/>
          <w:lang w:val="en-GB" w:eastAsia="sv-SE"/>
        </w:rPr>
        <w:t>This sub-criterion awards a maximum of 2 points.</w:t>
      </w:r>
    </w:p>
    <w:p w:rsidR="00AC460F" w:rsidRPr="008D2EA0" w:rsidRDefault="00AC460F" w:rsidP="00F77275">
      <w:pPr>
        <w:keepNext/>
        <w:rPr>
          <w:rFonts w:cs="Arial"/>
          <w:color w:val="000000"/>
          <w:szCs w:val="20"/>
          <w:lang w:val="en-GB" w:eastAsia="sv-SE"/>
        </w:rPr>
      </w:pPr>
      <w:r w:rsidRPr="008D2EA0">
        <w:rPr>
          <w:rFonts w:cs="Arial"/>
          <w:color w:val="000000"/>
          <w:szCs w:val="20"/>
          <w:lang w:val="en-GB" w:eastAsia="sv-SE"/>
        </w:rPr>
        <w:t>2 points are awarded if the Regulatory Option is compatible with the Radio Regulations (Article 5).</w:t>
      </w:r>
    </w:p>
    <w:p w:rsidR="00AC460F" w:rsidRPr="008D2EA0" w:rsidRDefault="00AC460F" w:rsidP="00F77275">
      <w:pPr>
        <w:keepNext/>
        <w:rPr>
          <w:rFonts w:cs="Arial"/>
          <w:color w:val="000000"/>
          <w:szCs w:val="20"/>
          <w:lang w:val="en-GB" w:eastAsia="sv-SE"/>
        </w:rPr>
      </w:pPr>
      <w:r w:rsidRPr="008D2EA0">
        <w:rPr>
          <w:rFonts w:cs="Arial"/>
          <w:color w:val="000000"/>
          <w:szCs w:val="20"/>
          <w:lang w:val="en-GB" w:eastAsia="sv-SE"/>
        </w:rPr>
        <w:t>0 point is awarded if the Regulatory Option is not compatible with the Radio Regulations (Article 5).</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i/>
          <w:color w:val="000000"/>
          <w:szCs w:val="20"/>
          <w:lang w:val="en-GB" w:eastAsia="sv-SE"/>
        </w:rPr>
      </w:pPr>
      <w:r w:rsidRPr="008D2EA0">
        <w:rPr>
          <w:rFonts w:cs="Arial"/>
          <w:i/>
          <w:szCs w:val="20"/>
          <w:lang w:val="en-GB"/>
        </w:rPr>
        <w:t xml:space="preserve">Sub-criterion 1b: </w:t>
      </w:r>
      <w:r w:rsidRPr="008D2EA0">
        <w:rPr>
          <w:rFonts w:cs="Arial"/>
          <w:i/>
          <w:color w:val="000000"/>
          <w:szCs w:val="20"/>
          <w:lang w:val="en-GB" w:eastAsia="sv-SE"/>
        </w:rPr>
        <w:t>Compatibility with MA02revCO07</w:t>
      </w:r>
      <w:r w:rsidR="002E3DC7" w:rsidRPr="008D2EA0">
        <w:rPr>
          <w:rFonts w:cs="Arial"/>
          <w:i/>
          <w:color w:val="000000"/>
          <w:szCs w:val="20"/>
          <w:lang w:val="en-GB" w:eastAsia="sv-SE"/>
        </w:rPr>
        <w:t xml:space="preserve"> </w:t>
      </w:r>
      <w:r w:rsidR="002E3DC7" w:rsidRPr="008D2EA0">
        <w:rPr>
          <w:rFonts w:cs="Arial"/>
          <w:i/>
          <w:color w:val="000000"/>
          <w:szCs w:val="20"/>
          <w:lang w:val="en-GB" w:eastAsia="sv-SE"/>
        </w:rPr>
        <w:fldChar w:fldCharType="begin"/>
      </w:r>
      <w:r w:rsidR="002E3DC7" w:rsidRPr="008D2EA0">
        <w:rPr>
          <w:rFonts w:cs="Arial"/>
          <w:i/>
          <w:color w:val="000000"/>
          <w:szCs w:val="20"/>
          <w:lang w:val="en-GB" w:eastAsia="sv-SE"/>
        </w:rPr>
        <w:instrText xml:space="preserve"> REF _Ref330503918 \r \h </w:instrText>
      </w:r>
      <w:r w:rsidR="002E3DC7" w:rsidRPr="008D2EA0">
        <w:rPr>
          <w:rFonts w:cs="Arial"/>
          <w:i/>
          <w:color w:val="000000"/>
          <w:szCs w:val="20"/>
          <w:lang w:val="en-GB" w:eastAsia="sv-SE"/>
        </w:rPr>
      </w:r>
      <w:r w:rsidR="002E3DC7" w:rsidRPr="008D2EA0">
        <w:rPr>
          <w:rFonts w:cs="Arial"/>
          <w:i/>
          <w:color w:val="000000"/>
          <w:szCs w:val="20"/>
          <w:lang w:val="en-GB" w:eastAsia="sv-SE"/>
        </w:rPr>
        <w:fldChar w:fldCharType="separate"/>
      </w:r>
      <w:r w:rsidR="00E73FF2">
        <w:rPr>
          <w:rFonts w:cs="Arial"/>
          <w:i/>
          <w:color w:val="000000"/>
          <w:szCs w:val="20"/>
          <w:lang w:val="en-GB" w:eastAsia="sv-SE"/>
        </w:rPr>
        <w:t>[1]</w:t>
      </w:r>
      <w:r w:rsidR="002E3DC7" w:rsidRPr="008D2EA0">
        <w:rPr>
          <w:rFonts w:cs="Arial"/>
          <w:i/>
          <w:color w:val="000000"/>
          <w:szCs w:val="20"/>
          <w:lang w:val="en-GB" w:eastAsia="sv-SE"/>
        </w:rPr>
        <w:fldChar w:fldCharType="end"/>
      </w: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This sub-criterion awards a maximum of 2 points.</w:t>
      </w: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2 points are awarded if the Regulatory Option is compatible with MA02revCO07.</w:t>
      </w: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0 point is awarded if the Regulatory Option is not compatible with MA02revCO07.</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i/>
          <w:color w:val="000000"/>
          <w:szCs w:val="20"/>
          <w:lang w:val="en-GB" w:eastAsia="sv-SE"/>
        </w:rPr>
      </w:pPr>
      <w:r w:rsidRPr="008D2EA0">
        <w:rPr>
          <w:rFonts w:cs="Arial"/>
          <w:i/>
          <w:szCs w:val="20"/>
          <w:lang w:val="en-GB"/>
        </w:rPr>
        <w:t xml:space="preserve">Sub-criterion 1c: </w:t>
      </w:r>
      <w:r w:rsidRPr="008D2EA0">
        <w:rPr>
          <w:rFonts w:cs="Arial"/>
          <w:i/>
          <w:color w:val="000000"/>
          <w:szCs w:val="20"/>
          <w:lang w:val="en-GB" w:eastAsia="sv-SE"/>
        </w:rPr>
        <w:t>Compatibility with ECC/DEC/(03)/02</w:t>
      </w:r>
      <w:r w:rsidR="002E3DC7" w:rsidRPr="008D2EA0">
        <w:rPr>
          <w:rFonts w:cs="Arial"/>
          <w:i/>
          <w:color w:val="000000"/>
          <w:szCs w:val="20"/>
          <w:lang w:val="en-GB" w:eastAsia="sv-SE"/>
        </w:rPr>
        <w:t xml:space="preserve"> </w:t>
      </w:r>
      <w:r w:rsidR="002E3DC7" w:rsidRPr="008D2EA0">
        <w:rPr>
          <w:rFonts w:cs="Arial"/>
          <w:i/>
          <w:color w:val="000000"/>
          <w:szCs w:val="20"/>
          <w:lang w:val="en-GB" w:eastAsia="sv-SE"/>
        </w:rPr>
        <w:fldChar w:fldCharType="begin"/>
      </w:r>
      <w:r w:rsidR="002E3DC7" w:rsidRPr="008D2EA0">
        <w:rPr>
          <w:rFonts w:cs="Arial"/>
          <w:i/>
          <w:color w:val="000000"/>
          <w:szCs w:val="20"/>
          <w:lang w:val="en-GB" w:eastAsia="sv-SE"/>
        </w:rPr>
        <w:instrText xml:space="preserve"> REF _Ref330503966 \r \h </w:instrText>
      </w:r>
      <w:r w:rsidR="002E3DC7" w:rsidRPr="008D2EA0">
        <w:rPr>
          <w:rFonts w:cs="Arial"/>
          <w:i/>
          <w:color w:val="000000"/>
          <w:szCs w:val="20"/>
          <w:lang w:val="en-GB" w:eastAsia="sv-SE"/>
        </w:rPr>
      </w:r>
      <w:r w:rsidR="002E3DC7" w:rsidRPr="008D2EA0">
        <w:rPr>
          <w:rFonts w:cs="Arial"/>
          <w:i/>
          <w:color w:val="000000"/>
          <w:szCs w:val="20"/>
          <w:lang w:val="en-GB" w:eastAsia="sv-SE"/>
        </w:rPr>
        <w:fldChar w:fldCharType="separate"/>
      </w:r>
      <w:r w:rsidR="00E73FF2">
        <w:rPr>
          <w:rFonts w:cs="Arial"/>
          <w:i/>
          <w:color w:val="000000"/>
          <w:szCs w:val="20"/>
          <w:lang w:val="en-GB" w:eastAsia="sv-SE"/>
        </w:rPr>
        <w:t>[2]</w:t>
      </w:r>
      <w:r w:rsidR="002E3DC7" w:rsidRPr="008D2EA0">
        <w:rPr>
          <w:rFonts w:cs="Arial"/>
          <w:i/>
          <w:color w:val="000000"/>
          <w:szCs w:val="20"/>
          <w:lang w:val="en-GB" w:eastAsia="sv-SE"/>
        </w:rPr>
        <w:fldChar w:fldCharType="end"/>
      </w: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This sub-criterion awards a maximum of 1 point.</w:t>
      </w: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1 point is awarded if the Regulatory Option is compatible with ECC/DEC/(03)/02.</w:t>
      </w: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0 point is awarded if the Regulatory Option is not compatible with ECC/DEC/(03)/02.</w:t>
      </w:r>
    </w:p>
    <w:p w:rsidR="00AC460F" w:rsidRPr="008D2EA0" w:rsidRDefault="001F0F23" w:rsidP="00F21C76">
      <w:pPr>
        <w:pStyle w:val="ECCTabletitle"/>
      </w:pPr>
      <w:r w:rsidRPr="008D2EA0">
        <w:rPr>
          <w:rFonts w:cs="Arial"/>
        </w:rPr>
        <w:t xml:space="preserve"> </w:t>
      </w:r>
      <w:r w:rsidR="00AC460F" w:rsidRPr="008D2EA0">
        <w:t>Assessment of Criterion 1 for each Regulatory Option / Scenario</w:t>
      </w:r>
    </w:p>
    <w:tbl>
      <w:tblPr>
        <w:tblW w:w="0" w:type="auto"/>
        <w:jc w:val="center"/>
        <w:tblInd w:w="-5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01"/>
        <w:gridCol w:w="1743"/>
        <w:gridCol w:w="1955"/>
        <w:gridCol w:w="1743"/>
      </w:tblGrid>
      <w:tr w:rsidR="00AC460F" w:rsidRPr="008D2EA0" w:rsidTr="001F0F23">
        <w:trPr>
          <w:tblHeader/>
          <w:jc w:val="center"/>
        </w:trPr>
        <w:tc>
          <w:tcPr>
            <w:tcW w:w="3201"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Regulatory Option / Scenario</w:t>
            </w:r>
          </w:p>
        </w:tc>
        <w:tc>
          <w:tcPr>
            <w:tcW w:w="1743"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AC460F" w:rsidRPr="008D2EA0" w:rsidRDefault="00AC460F" w:rsidP="001F0F23">
            <w:pPr>
              <w:spacing w:line="288" w:lineRule="auto"/>
              <w:jc w:val="center"/>
              <w:rPr>
                <w:b/>
                <w:color w:val="FFFFFF"/>
                <w:lang w:val="en-GB"/>
              </w:rPr>
            </w:pPr>
            <w:r w:rsidRPr="008D2EA0">
              <w:rPr>
                <w:b/>
                <w:color w:val="FFFFFF"/>
                <w:lang w:val="en-GB"/>
              </w:rPr>
              <w:t>Sub-criterion 1a</w:t>
            </w:r>
          </w:p>
        </w:tc>
        <w:tc>
          <w:tcPr>
            <w:tcW w:w="1955"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AC460F" w:rsidRPr="008D2EA0" w:rsidRDefault="00AC460F" w:rsidP="001F0F23">
            <w:pPr>
              <w:spacing w:line="288" w:lineRule="auto"/>
              <w:jc w:val="center"/>
              <w:rPr>
                <w:b/>
                <w:color w:val="FFFFFF"/>
                <w:lang w:val="en-GB"/>
              </w:rPr>
            </w:pPr>
            <w:r w:rsidRPr="008D2EA0">
              <w:rPr>
                <w:b/>
                <w:color w:val="FFFFFF"/>
                <w:lang w:val="en-GB"/>
              </w:rPr>
              <w:t>Sub-criterion 1b</w:t>
            </w:r>
          </w:p>
        </w:tc>
        <w:tc>
          <w:tcPr>
            <w:tcW w:w="1743"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AC460F" w:rsidRPr="008D2EA0" w:rsidRDefault="00AC460F" w:rsidP="001F0F23">
            <w:pPr>
              <w:spacing w:line="288" w:lineRule="auto"/>
              <w:jc w:val="center"/>
              <w:rPr>
                <w:b/>
                <w:color w:val="FFFFFF"/>
                <w:lang w:val="en-GB"/>
              </w:rPr>
            </w:pPr>
            <w:r w:rsidRPr="008D2EA0">
              <w:rPr>
                <w:b/>
                <w:color w:val="FFFFFF"/>
                <w:lang w:val="en-GB"/>
              </w:rPr>
              <w:t>Sub-criterion 1c</w:t>
            </w:r>
          </w:p>
        </w:tc>
      </w:tr>
      <w:tr w:rsidR="00AC460F" w:rsidRPr="008D2EA0" w:rsidTr="001F0F23">
        <w:trPr>
          <w:jc w:val="center"/>
        </w:trPr>
        <w:tc>
          <w:tcPr>
            <w:tcW w:w="320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Regulatory Option 1</w:t>
            </w:r>
          </w:p>
        </w:tc>
        <w:tc>
          <w:tcPr>
            <w:tcW w:w="174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2</w:t>
            </w:r>
          </w:p>
        </w:tc>
        <w:tc>
          <w:tcPr>
            <w:tcW w:w="1955"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2</w:t>
            </w:r>
          </w:p>
        </w:tc>
        <w:tc>
          <w:tcPr>
            <w:tcW w:w="174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1</w:t>
            </w:r>
          </w:p>
        </w:tc>
      </w:tr>
      <w:tr w:rsidR="00AC460F" w:rsidRPr="008D2EA0" w:rsidTr="001F0F23">
        <w:trPr>
          <w:jc w:val="center"/>
        </w:trPr>
        <w:tc>
          <w:tcPr>
            <w:tcW w:w="320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Regulatory Option 2 / Scenario A</w:t>
            </w:r>
          </w:p>
        </w:tc>
        <w:tc>
          <w:tcPr>
            <w:tcW w:w="174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2</w:t>
            </w:r>
          </w:p>
        </w:tc>
        <w:tc>
          <w:tcPr>
            <w:tcW w:w="1955"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2</w:t>
            </w:r>
          </w:p>
        </w:tc>
        <w:tc>
          <w:tcPr>
            <w:tcW w:w="174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0</w:t>
            </w:r>
          </w:p>
        </w:tc>
      </w:tr>
      <w:tr w:rsidR="00AC460F" w:rsidRPr="008D2EA0" w:rsidTr="001F0F23">
        <w:trPr>
          <w:jc w:val="center"/>
        </w:trPr>
        <w:tc>
          <w:tcPr>
            <w:tcW w:w="3201"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2 / Scenario B</w:t>
            </w:r>
          </w:p>
        </w:tc>
        <w:tc>
          <w:tcPr>
            <w:tcW w:w="174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2</w:t>
            </w:r>
          </w:p>
        </w:tc>
        <w:tc>
          <w:tcPr>
            <w:tcW w:w="1955"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2</w:t>
            </w:r>
          </w:p>
        </w:tc>
        <w:tc>
          <w:tcPr>
            <w:tcW w:w="174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0</w:t>
            </w:r>
          </w:p>
        </w:tc>
      </w:tr>
      <w:tr w:rsidR="00AC460F" w:rsidRPr="008D2EA0" w:rsidTr="001F0F23">
        <w:trPr>
          <w:jc w:val="center"/>
        </w:trPr>
        <w:tc>
          <w:tcPr>
            <w:tcW w:w="3201"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A</w:t>
            </w:r>
          </w:p>
        </w:tc>
        <w:tc>
          <w:tcPr>
            <w:tcW w:w="174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0</w:t>
            </w:r>
          </w:p>
        </w:tc>
        <w:tc>
          <w:tcPr>
            <w:tcW w:w="1955"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0</w:t>
            </w:r>
          </w:p>
        </w:tc>
        <w:tc>
          <w:tcPr>
            <w:tcW w:w="174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0</w:t>
            </w:r>
          </w:p>
        </w:tc>
      </w:tr>
      <w:tr w:rsidR="00AC460F" w:rsidRPr="008D2EA0" w:rsidTr="001F0F23">
        <w:trPr>
          <w:jc w:val="center"/>
        </w:trPr>
        <w:tc>
          <w:tcPr>
            <w:tcW w:w="3201"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B</w:t>
            </w:r>
          </w:p>
        </w:tc>
        <w:tc>
          <w:tcPr>
            <w:tcW w:w="174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0</w:t>
            </w:r>
          </w:p>
        </w:tc>
        <w:tc>
          <w:tcPr>
            <w:tcW w:w="1955"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0</w:t>
            </w:r>
          </w:p>
        </w:tc>
        <w:tc>
          <w:tcPr>
            <w:tcW w:w="174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spacing w:line="288" w:lineRule="auto"/>
              <w:rPr>
                <w:lang w:val="en-GB"/>
              </w:rPr>
            </w:pPr>
            <w:r w:rsidRPr="008D2EA0">
              <w:rPr>
                <w:lang w:val="en-GB"/>
              </w:rPr>
              <w:t>0</w:t>
            </w:r>
          </w:p>
        </w:tc>
      </w:tr>
    </w:tbl>
    <w:p w:rsidR="00AC460F" w:rsidRPr="008D2EA0" w:rsidRDefault="00AC460F" w:rsidP="00510087">
      <w:pPr>
        <w:pStyle w:val="Heading3"/>
        <w:rPr>
          <w:lang w:eastAsia="fr-FR"/>
        </w:rPr>
      </w:pPr>
      <w:bookmarkStart w:id="164" w:name="_Toc349039317"/>
      <w:r w:rsidRPr="008D2EA0">
        <w:t>Criterion 2 - Possibility to share with other applications/uses (frequency, spatial, time and/or signal separation)</w:t>
      </w:r>
      <w:bookmarkEnd w:id="164"/>
    </w:p>
    <w:p w:rsidR="00AC460F" w:rsidRPr="008D2EA0" w:rsidRDefault="00AC460F" w:rsidP="00AC460F">
      <w:pPr>
        <w:rPr>
          <w:rFonts w:cs="Arial"/>
          <w:szCs w:val="20"/>
          <w:lang w:val="en-GB"/>
        </w:rPr>
      </w:pPr>
      <w:r w:rsidRPr="008D2EA0">
        <w:rPr>
          <w:rFonts w:cs="Arial"/>
          <w:szCs w:val="20"/>
          <w:lang w:val="en-GB"/>
        </w:rPr>
        <w:t>This criterion awards points to regulatory options and scenarios (if more than one scenario is identified under a regulatory option).</w:t>
      </w:r>
    </w:p>
    <w:p w:rsidR="00AC460F" w:rsidRPr="008D2EA0" w:rsidRDefault="00AC460F" w:rsidP="00AC460F">
      <w:pPr>
        <w:rPr>
          <w:rFonts w:cs="Arial"/>
          <w:szCs w:val="20"/>
          <w:lang w:val="en-GB"/>
        </w:rPr>
      </w:pPr>
    </w:p>
    <w:p w:rsidR="00AC460F" w:rsidRPr="008D2EA0" w:rsidRDefault="00AC460F" w:rsidP="00F77275">
      <w:pPr>
        <w:jc w:val="both"/>
        <w:rPr>
          <w:rFonts w:cs="Arial"/>
          <w:szCs w:val="20"/>
          <w:lang w:val="en-GB"/>
        </w:rPr>
      </w:pPr>
      <w:r w:rsidRPr="008D2EA0">
        <w:rPr>
          <w:rFonts w:cs="Arial"/>
          <w:szCs w:val="20"/>
          <w:lang w:val="en-GB"/>
        </w:rPr>
        <w:t>This criterion provides a measure of how much flexibility is available to a country on a national basis while achieving harmonisation through the regulatory option or scenario, if more than one case is identified under a regulatory option.  This means it measures the number of applications among the 7 applications under consideration that are not considered as a main application, but can be deployed on a national basis.</w:t>
      </w:r>
    </w:p>
    <w:p w:rsidR="00AC460F" w:rsidRPr="008D2EA0" w:rsidRDefault="00AC460F" w:rsidP="00AC460F">
      <w:pPr>
        <w:rPr>
          <w:rFonts w:cs="Arial"/>
          <w:szCs w:val="20"/>
          <w:lang w:val="en-GB"/>
        </w:rPr>
      </w:pPr>
    </w:p>
    <w:p w:rsidR="00AC460F" w:rsidRPr="008D2EA0" w:rsidRDefault="00AC460F" w:rsidP="00AC460F">
      <w:pPr>
        <w:rPr>
          <w:rFonts w:cs="Arial"/>
          <w:szCs w:val="20"/>
          <w:lang w:val="en-GB"/>
        </w:rPr>
      </w:pPr>
      <w:r w:rsidRPr="008D2EA0">
        <w:rPr>
          <w:rFonts w:cs="Arial"/>
          <w:color w:val="000000"/>
          <w:szCs w:val="20"/>
          <w:lang w:val="en-GB" w:eastAsia="sv-SE"/>
        </w:rPr>
        <w:t xml:space="preserve">This criterion awards a maximum of </w:t>
      </w:r>
      <w:r w:rsidRPr="008D2EA0">
        <w:rPr>
          <w:rFonts w:cs="Arial"/>
          <w:szCs w:val="20"/>
          <w:lang w:val="en-GB"/>
        </w:rPr>
        <w:t>6 points.</w:t>
      </w:r>
    </w:p>
    <w:p w:rsidR="00AC460F" w:rsidRPr="008D2EA0" w:rsidRDefault="00AC460F" w:rsidP="00AC460F">
      <w:pPr>
        <w:rPr>
          <w:rFonts w:cs="Arial"/>
          <w:szCs w:val="20"/>
          <w:lang w:val="en-GB"/>
        </w:rPr>
      </w:pPr>
    </w:p>
    <w:p w:rsidR="00AC460F" w:rsidRPr="008D2EA0" w:rsidRDefault="00AC460F" w:rsidP="00F77275">
      <w:pPr>
        <w:jc w:val="both"/>
        <w:rPr>
          <w:rFonts w:cs="Arial"/>
          <w:szCs w:val="20"/>
          <w:lang w:val="en-GB"/>
        </w:rPr>
      </w:pPr>
      <w:r w:rsidRPr="008D2EA0">
        <w:rPr>
          <w:rFonts w:cs="Arial"/>
          <w:szCs w:val="20"/>
          <w:lang w:val="en-GB"/>
        </w:rPr>
        <w:t>For Na applications that are not considered as main applications, Ns applications can be introduced on a national basis (only applications considered in the draft ECC Report should be taken into account).</w:t>
      </w:r>
    </w:p>
    <w:p w:rsidR="00AC460F" w:rsidRPr="008D2EA0" w:rsidRDefault="00AC460F" w:rsidP="00AC460F">
      <w:pPr>
        <w:rPr>
          <w:rFonts w:cs="Arial"/>
          <w:szCs w:val="20"/>
          <w:lang w:val="en-GB"/>
        </w:rPr>
      </w:pPr>
      <w:r w:rsidRPr="008D2EA0">
        <w:rPr>
          <w:rFonts w:cs="Arial"/>
          <w:szCs w:val="20"/>
          <w:lang w:val="en-GB"/>
        </w:rPr>
        <w:t>The points awarded to each regulatory option are derived from the following formula:</w:t>
      </w:r>
    </w:p>
    <w:p w:rsidR="00AC460F" w:rsidRPr="008D2EA0" w:rsidRDefault="00AC460F" w:rsidP="00F77275">
      <w:pPr>
        <w:spacing w:before="120"/>
        <w:jc w:val="center"/>
        <w:rPr>
          <w:rFonts w:cs="Arial"/>
          <w:szCs w:val="20"/>
          <w:lang w:val="en-GB"/>
        </w:rPr>
      </w:pPr>
      <w:r w:rsidRPr="008D2EA0">
        <w:rPr>
          <w:rFonts w:cs="Arial"/>
          <w:szCs w:val="20"/>
          <w:lang w:val="en-GB"/>
        </w:rPr>
        <w:t>Awarded Points = 6 x Ns / Na</w:t>
      </w:r>
    </w:p>
    <w:p w:rsidR="00AC460F" w:rsidRPr="008D2EA0" w:rsidRDefault="00AC460F" w:rsidP="00AC460F">
      <w:pPr>
        <w:rPr>
          <w:rFonts w:cs="Arial"/>
          <w:szCs w:val="20"/>
          <w:lang w:val="en-GB"/>
        </w:rPr>
      </w:pPr>
    </w:p>
    <w:p w:rsidR="00AC460F" w:rsidRPr="008D2EA0" w:rsidRDefault="00AC460F" w:rsidP="00F77275">
      <w:pPr>
        <w:keepNext/>
        <w:rPr>
          <w:rFonts w:cs="Arial"/>
          <w:szCs w:val="20"/>
          <w:lang w:val="en-GB"/>
        </w:rPr>
      </w:pPr>
      <w:r w:rsidRPr="008D2EA0">
        <w:rPr>
          <w:rFonts w:cs="Arial"/>
          <w:szCs w:val="20"/>
          <w:lang w:val="en-GB"/>
        </w:rPr>
        <w:lastRenderedPageBreak/>
        <w:t>Ns, Na as well as the points awarded to each regulatory option / scenario are detailed in</w:t>
      </w:r>
      <w:r w:rsidR="002E3DC7" w:rsidRPr="008D2EA0">
        <w:rPr>
          <w:rFonts w:cs="Arial"/>
          <w:szCs w:val="20"/>
          <w:lang w:val="en-GB"/>
        </w:rPr>
        <w:t xml:space="preserve"> </w:t>
      </w:r>
      <w:r w:rsidR="002E3DC7" w:rsidRPr="008D2EA0">
        <w:rPr>
          <w:rFonts w:cs="Arial"/>
          <w:szCs w:val="20"/>
          <w:lang w:val="en-GB"/>
        </w:rPr>
        <w:fldChar w:fldCharType="begin"/>
      </w:r>
      <w:r w:rsidR="002E3DC7" w:rsidRPr="008D2EA0">
        <w:rPr>
          <w:rFonts w:cs="Arial"/>
          <w:szCs w:val="20"/>
          <w:lang w:val="en-GB"/>
        </w:rPr>
        <w:instrText xml:space="preserve"> REF _Ref330549607 \r \h </w:instrText>
      </w:r>
      <w:r w:rsidR="002E3DC7" w:rsidRPr="008D2EA0">
        <w:rPr>
          <w:rFonts w:cs="Arial"/>
          <w:szCs w:val="20"/>
          <w:lang w:val="en-GB"/>
        </w:rPr>
      </w:r>
      <w:r w:rsidR="002E3DC7" w:rsidRPr="008D2EA0">
        <w:rPr>
          <w:rFonts w:cs="Arial"/>
          <w:szCs w:val="20"/>
          <w:lang w:val="en-GB"/>
        </w:rPr>
        <w:fldChar w:fldCharType="separate"/>
      </w:r>
      <w:r w:rsidR="00E73FF2">
        <w:rPr>
          <w:rFonts w:cs="Arial"/>
          <w:szCs w:val="20"/>
          <w:lang w:val="en-GB"/>
        </w:rPr>
        <w:t>Table 37:</w:t>
      </w:r>
      <w:r w:rsidR="002E3DC7" w:rsidRPr="008D2EA0">
        <w:rPr>
          <w:rFonts w:cs="Arial"/>
          <w:szCs w:val="20"/>
          <w:lang w:val="en-GB"/>
        </w:rPr>
        <w:fldChar w:fldCharType="end"/>
      </w:r>
      <w:r w:rsidRPr="008D2EA0">
        <w:rPr>
          <w:rFonts w:cs="Arial"/>
          <w:szCs w:val="20"/>
          <w:lang w:val="en-GB"/>
        </w:rPr>
        <w:t>.</w:t>
      </w:r>
    </w:p>
    <w:p w:rsidR="00AC460F" w:rsidRPr="008D2EA0" w:rsidRDefault="00AC460F" w:rsidP="00F21C76">
      <w:pPr>
        <w:pStyle w:val="ECCTabletitle"/>
      </w:pPr>
      <w:r w:rsidRPr="008D2EA0">
        <w:t xml:space="preserve"> </w:t>
      </w:r>
      <w:bookmarkStart w:id="165" w:name="_Ref330549607"/>
      <w:r w:rsidRPr="008D2EA0">
        <w:t xml:space="preserve">Main Applications and Applications on a National Basis for each </w:t>
      </w:r>
      <w:r w:rsidR="00F77275">
        <w:br/>
      </w:r>
      <w:r w:rsidRPr="008D2EA0">
        <w:t>Regulatory Option / Scenario</w:t>
      </w:r>
      <w:bookmarkEnd w:id="165"/>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81"/>
        <w:gridCol w:w="1613"/>
        <w:gridCol w:w="1559"/>
        <w:gridCol w:w="567"/>
        <w:gridCol w:w="1648"/>
        <w:gridCol w:w="709"/>
        <w:gridCol w:w="903"/>
      </w:tblGrid>
      <w:tr w:rsidR="00AC460F" w:rsidRPr="008D2EA0" w:rsidTr="008455E3">
        <w:trPr>
          <w:tblHeader/>
          <w:jc w:val="center"/>
        </w:trPr>
        <w:tc>
          <w:tcPr>
            <w:tcW w:w="2181"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AC460F" w:rsidRPr="008D2EA0" w:rsidRDefault="00AC460F" w:rsidP="00F77275">
            <w:pPr>
              <w:keepNext/>
              <w:spacing w:line="288" w:lineRule="auto"/>
              <w:jc w:val="center"/>
              <w:rPr>
                <w:b/>
                <w:color w:val="FFFFFF"/>
                <w:lang w:val="en-GB"/>
              </w:rPr>
            </w:pPr>
            <w:r w:rsidRPr="008D2EA0">
              <w:rPr>
                <w:b/>
                <w:color w:val="FFFFFF"/>
                <w:lang w:val="en-GB"/>
              </w:rPr>
              <w:t>Regulatory Option</w:t>
            </w:r>
          </w:p>
          <w:p w:rsidR="00AC460F" w:rsidRPr="008D2EA0" w:rsidRDefault="00AC460F" w:rsidP="00F77275">
            <w:pPr>
              <w:keepNext/>
              <w:spacing w:line="288" w:lineRule="auto"/>
              <w:jc w:val="center"/>
              <w:rPr>
                <w:b/>
                <w:color w:val="FFFFFF"/>
                <w:lang w:val="en-GB"/>
              </w:rPr>
            </w:pPr>
            <w:r w:rsidRPr="008D2EA0">
              <w:rPr>
                <w:b/>
                <w:color w:val="FFFFFF"/>
                <w:lang w:val="en-GB"/>
              </w:rPr>
              <w:t>/ Scenario</w:t>
            </w:r>
          </w:p>
        </w:tc>
        <w:tc>
          <w:tcPr>
            <w:tcW w:w="1613"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F77275">
            <w:pPr>
              <w:keepNext/>
              <w:spacing w:line="288" w:lineRule="auto"/>
              <w:jc w:val="center"/>
              <w:rPr>
                <w:b/>
                <w:color w:val="FFFFFF"/>
                <w:lang w:val="en-GB"/>
              </w:rPr>
            </w:pPr>
            <w:r w:rsidRPr="008D2EA0">
              <w:rPr>
                <w:b/>
                <w:color w:val="FFFFFF"/>
                <w:lang w:val="en-GB"/>
              </w:rPr>
              <w:t>Main (harmonized) applications</w:t>
            </w:r>
          </w:p>
        </w:tc>
        <w:tc>
          <w:tcPr>
            <w:tcW w:w="1559"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F77275">
            <w:pPr>
              <w:keepNext/>
              <w:spacing w:line="288" w:lineRule="auto"/>
              <w:jc w:val="center"/>
              <w:rPr>
                <w:b/>
                <w:color w:val="FFFFFF"/>
                <w:lang w:val="en-GB"/>
              </w:rPr>
            </w:pPr>
            <w:r w:rsidRPr="008D2EA0">
              <w:rPr>
                <w:b/>
                <w:color w:val="FFFFFF"/>
                <w:lang w:val="en-GB"/>
              </w:rPr>
              <w:t>Other applications</w:t>
            </w:r>
          </w:p>
        </w:tc>
        <w:tc>
          <w:tcPr>
            <w:tcW w:w="56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AC460F" w:rsidRPr="008D2EA0" w:rsidRDefault="00AC460F" w:rsidP="00F77275">
            <w:pPr>
              <w:keepNext/>
              <w:spacing w:line="288" w:lineRule="auto"/>
              <w:jc w:val="center"/>
              <w:rPr>
                <w:b/>
                <w:color w:val="FFFFFF"/>
                <w:lang w:val="en-GB"/>
              </w:rPr>
            </w:pPr>
            <w:r w:rsidRPr="008D2EA0">
              <w:rPr>
                <w:b/>
                <w:color w:val="FFFFFF"/>
                <w:lang w:val="en-GB"/>
              </w:rPr>
              <w:t>Na</w:t>
            </w:r>
          </w:p>
        </w:tc>
        <w:tc>
          <w:tcPr>
            <w:tcW w:w="1648"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AC460F" w:rsidRPr="008D2EA0" w:rsidRDefault="00AC460F" w:rsidP="00F77275">
            <w:pPr>
              <w:keepNext/>
              <w:spacing w:line="288" w:lineRule="auto"/>
              <w:jc w:val="center"/>
              <w:rPr>
                <w:b/>
                <w:color w:val="FFFFFF"/>
                <w:lang w:val="en-GB"/>
              </w:rPr>
            </w:pPr>
            <w:r w:rsidRPr="008D2EA0">
              <w:rPr>
                <w:b/>
                <w:color w:val="FFFFFF"/>
                <w:lang w:val="en-GB"/>
              </w:rPr>
              <w:t>Applications on national basis</w:t>
            </w:r>
          </w:p>
        </w:tc>
        <w:tc>
          <w:tcPr>
            <w:tcW w:w="709"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AC460F" w:rsidRPr="008D2EA0" w:rsidRDefault="00AC460F" w:rsidP="00F77275">
            <w:pPr>
              <w:keepNext/>
              <w:spacing w:line="288" w:lineRule="auto"/>
              <w:jc w:val="center"/>
              <w:rPr>
                <w:b/>
                <w:color w:val="FFFFFF"/>
                <w:lang w:val="en-GB"/>
              </w:rPr>
            </w:pPr>
            <w:r w:rsidRPr="008D2EA0">
              <w:rPr>
                <w:b/>
                <w:color w:val="FFFFFF"/>
                <w:lang w:val="en-GB"/>
              </w:rPr>
              <w:t>Ns</w:t>
            </w:r>
          </w:p>
        </w:tc>
        <w:tc>
          <w:tcPr>
            <w:tcW w:w="903"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AC460F" w:rsidRPr="008D2EA0" w:rsidRDefault="00AC460F" w:rsidP="00F77275">
            <w:pPr>
              <w:keepNext/>
              <w:spacing w:line="288" w:lineRule="auto"/>
              <w:jc w:val="center"/>
              <w:rPr>
                <w:b/>
                <w:color w:val="FFFFFF"/>
                <w:lang w:val="en-GB"/>
              </w:rPr>
            </w:pPr>
            <w:r w:rsidRPr="008D2EA0">
              <w:rPr>
                <w:b/>
                <w:color w:val="FFFFFF"/>
                <w:lang w:val="en-GB"/>
              </w:rPr>
              <w:t>Points</w:t>
            </w:r>
          </w:p>
        </w:tc>
      </w:tr>
      <w:tr w:rsidR="00AC460F" w:rsidRPr="008D2EA0" w:rsidTr="008455E3">
        <w:trPr>
          <w:jc w:val="center"/>
        </w:trPr>
        <w:tc>
          <w:tcPr>
            <w:tcW w:w="218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F77275">
            <w:pPr>
              <w:keepNext/>
              <w:spacing w:line="288" w:lineRule="auto"/>
              <w:rPr>
                <w:lang w:val="en-GB"/>
              </w:rPr>
            </w:pPr>
            <w:r w:rsidRPr="008D2EA0">
              <w:rPr>
                <w:lang w:val="en-GB"/>
              </w:rPr>
              <w:t>Regulatory Option 1</w:t>
            </w:r>
          </w:p>
        </w:tc>
        <w:tc>
          <w:tcPr>
            <w:tcW w:w="1613" w:type="dxa"/>
            <w:tcBorders>
              <w:top w:val="single" w:sz="4" w:space="0" w:color="D2232A"/>
              <w:left w:val="single" w:sz="4" w:space="0" w:color="D2232A"/>
              <w:bottom w:val="single" w:sz="4" w:space="0" w:color="D2232A"/>
              <w:right w:val="single" w:sz="4" w:space="0" w:color="D2232A"/>
            </w:tcBorders>
            <w:hideMark/>
          </w:tcPr>
          <w:p w:rsidR="00AC460F" w:rsidRPr="008D2EA0" w:rsidRDefault="00AC460F" w:rsidP="00F77275">
            <w:pPr>
              <w:keepNext/>
              <w:rPr>
                <w:rFonts w:eastAsia="Calibri" w:cs="Arial"/>
                <w:szCs w:val="20"/>
                <w:lang w:val="en-GB"/>
              </w:rPr>
            </w:pPr>
            <w:r w:rsidRPr="008D2EA0">
              <w:rPr>
                <w:rFonts w:eastAsia="Calibri" w:cs="Arial"/>
                <w:szCs w:val="20"/>
                <w:lang w:val="en-GB"/>
              </w:rPr>
              <w:t>TB</w:t>
            </w:r>
          </w:p>
          <w:p w:rsidR="00AC460F" w:rsidRPr="008D2EA0" w:rsidRDefault="00AC460F" w:rsidP="00F77275">
            <w:pPr>
              <w:keepNext/>
              <w:spacing w:line="288" w:lineRule="auto"/>
              <w:rPr>
                <w:lang w:val="en-GB"/>
              </w:rPr>
            </w:pPr>
            <w:r w:rsidRPr="008D2EA0">
              <w:rPr>
                <w:rFonts w:eastAsia="Calibri" w:cs="Arial"/>
                <w:szCs w:val="20"/>
                <w:lang w:val="en-GB"/>
              </w:rPr>
              <w:t>S-DAB</w:t>
            </w:r>
          </w:p>
        </w:tc>
        <w:tc>
          <w:tcPr>
            <w:tcW w:w="1559" w:type="dxa"/>
            <w:tcBorders>
              <w:top w:val="single" w:sz="4" w:space="0" w:color="D2232A"/>
              <w:left w:val="single" w:sz="4" w:space="0" w:color="D2232A"/>
              <w:bottom w:val="single" w:sz="4" w:space="0" w:color="D2232A"/>
              <w:right w:val="single" w:sz="4" w:space="0" w:color="D2232A"/>
            </w:tcBorders>
            <w:hideMark/>
          </w:tcPr>
          <w:p w:rsidR="00AC460F" w:rsidRPr="008D2EA0" w:rsidRDefault="00AC460F" w:rsidP="00F77275">
            <w:pPr>
              <w:keepNext/>
              <w:rPr>
                <w:rFonts w:eastAsia="Calibri" w:cs="Arial"/>
                <w:szCs w:val="20"/>
                <w:lang w:val="en-GB"/>
              </w:rPr>
            </w:pPr>
            <w:r w:rsidRPr="008D2EA0">
              <w:rPr>
                <w:rFonts w:eastAsia="Calibri" w:cs="Arial"/>
                <w:szCs w:val="20"/>
                <w:lang w:val="en-GB"/>
              </w:rPr>
              <w:t>MBB</w:t>
            </w:r>
          </w:p>
          <w:p w:rsidR="00AC460F" w:rsidRPr="008D2EA0" w:rsidRDefault="00AC460F" w:rsidP="00F77275">
            <w:pPr>
              <w:keepNext/>
              <w:rPr>
                <w:rFonts w:eastAsia="Calibri" w:cs="Arial"/>
                <w:szCs w:val="20"/>
                <w:lang w:val="en-GB"/>
              </w:rPr>
            </w:pPr>
            <w:r w:rsidRPr="008D2EA0">
              <w:rPr>
                <w:rFonts w:eastAsia="Calibri" w:cs="Arial"/>
                <w:szCs w:val="20"/>
                <w:lang w:val="en-GB"/>
              </w:rPr>
              <w:t>SDL</w:t>
            </w:r>
          </w:p>
          <w:p w:rsidR="00AC460F" w:rsidRPr="008D2EA0" w:rsidRDefault="00AC460F" w:rsidP="00F77275">
            <w:pPr>
              <w:keepNext/>
              <w:rPr>
                <w:rFonts w:eastAsia="Calibri" w:cs="Arial"/>
                <w:szCs w:val="20"/>
                <w:lang w:val="en-GB"/>
              </w:rPr>
            </w:pPr>
            <w:r w:rsidRPr="008D2EA0">
              <w:rPr>
                <w:rFonts w:eastAsia="Calibri" w:cs="Arial"/>
                <w:szCs w:val="20"/>
                <w:lang w:val="en-GB"/>
              </w:rPr>
              <w:t>PMSE</w:t>
            </w:r>
          </w:p>
          <w:p w:rsidR="00AC460F" w:rsidRPr="008D2EA0" w:rsidRDefault="00AC460F" w:rsidP="00F77275">
            <w:pPr>
              <w:keepNext/>
              <w:rPr>
                <w:rFonts w:eastAsia="Calibri" w:cs="Arial"/>
                <w:szCs w:val="20"/>
                <w:lang w:val="en-GB"/>
              </w:rPr>
            </w:pPr>
            <w:r w:rsidRPr="008D2EA0">
              <w:rPr>
                <w:rFonts w:eastAsia="Calibri" w:cs="Arial"/>
                <w:szCs w:val="20"/>
                <w:lang w:val="en-GB"/>
              </w:rPr>
              <w:t>PPDR</w:t>
            </w:r>
          </w:p>
          <w:p w:rsidR="00AC460F" w:rsidRPr="008D2EA0" w:rsidRDefault="00AC460F" w:rsidP="00F77275">
            <w:pPr>
              <w:keepNext/>
              <w:spacing w:line="288" w:lineRule="auto"/>
              <w:rPr>
                <w:lang w:val="en-GB"/>
              </w:rPr>
            </w:pPr>
            <w:r w:rsidRPr="008D2EA0">
              <w:rPr>
                <w:rFonts w:eastAsia="Calibri" w:cs="Arial"/>
                <w:szCs w:val="20"/>
                <w:lang w:val="en-GB"/>
              </w:rPr>
              <w:t>BDA2GC</w:t>
            </w:r>
          </w:p>
        </w:tc>
        <w:tc>
          <w:tcPr>
            <w:tcW w:w="567"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keepNext/>
              <w:spacing w:line="288" w:lineRule="auto"/>
              <w:rPr>
                <w:lang w:val="en-GB"/>
              </w:rPr>
            </w:pPr>
            <w:r w:rsidRPr="008D2EA0">
              <w:rPr>
                <w:rFonts w:eastAsia="Calibri" w:cs="Arial"/>
                <w:szCs w:val="20"/>
                <w:lang w:val="en-GB"/>
              </w:rPr>
              <w:t>5</w:t>
            </w:r>
          </w:p>
        </w:tc>
        <w:tc>
          <w:tcPr>
            <w:tcW w:w="1648"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keepNext/>
              <w:spacing w:line="288" w:lineRule="auto"/>
              <w:rPr>
                <w:lang w:val="en-GB"/>
              </w:rPr>
            </w:pPr>
            <w:r w:rsidRPr="008D2EA0">
              <w:rPr>
                <w:rFonts w:eastAsia="Calibri" w:cs="Arial"/>
                <w:szCs w:val="20"/>
                <w:lang w:val="en-GB"/>
              </w:rPr>
              <w:t>PMSE</w:t>
            </w:r>
          </w:p>
        </w:tc>
        <w:tc>
          <w:tcPr>
            <w:tcW w:w="709"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keepNext/>
              <w:spacing w:line="288" w:lineRule="auto"/>
              <w:rPr>
                <w:lang w:val="en-GB"/>
              </w:rPr>
            </w:pPr>
            <w:r w:rsidRPr="008D2EA0">
              <w:rPr>
                <w:lang w:val="en-GB"/>
              </w:rPr>
              <w:t>1</w:t>
            </w:r>
          </w:p>
        </w:tc>
        <w:tc>
          <w:tcPr>
            <w:tcW w:w="90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keepNext/>
              <w:spacing w:line="288" w:lineRule="auto"/>
              <w:rPr>
                <w:lang w:val="en-GB"/>
              </w:rPr>
            </w:pPr>
            <w:r w:rsidRPr="008D2EA0">
              <w:rPr>
                <w:lang w:val="en-GB"/>
              </w:rPr>
              <w:t>1.2</w:t>
            </w:r>
          </w:p>
        </w:tc>
      </w:tr>
      <w:tr w:rsidR="00AC460F" w:rsidRPr="008D2EA0" w:rsidTr="008455E3">
        <w:trPr>
          <w:jc w:val="center"/>
        </w:trPr>
        <w:tc>
          <w:tcPr>
            <w:tcW w:w="218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Regulatory Option 2 / Scenario A</w:t>
            </w:r>
          </w:p>
        </w:tc>
        <w:tc>
          <w:tcPr>
            <w:tcW w:w="1613" w:type="dxa"/>
            <w:tcBorders>
              <w:top w:val="single" w:sz="4" w:space="0" w:color="D2232A"/>
              <w:left w:val="single" w:sz="4" w:space="0" w:color="D2232A"/>
              <w:bottom w:val="single" w:sz="4" w:space="0" w:color="D2232A"/>
              <w:right w:val="single" w:sz="4" w:space="0" w:color="D2232A"/>
            </w:tcBorders>
            <w:hideMark/>
          </w:tcPr>
          <w:p w:rsidR="00AC460F" w:rsidRPr="008D2EA0" w:rsidRDefault="00AC460F" w:rsidP="001F0F23">
            <w:pPr>
              <w:spacing w:line="288" w:lineRule="auto"/>
              <w:rPr>
                <w:lang w:val="en-GB"/>
              </w:rPr>
            </w:pPr>
            <w:r w:rsidRPr="008D2EA0">
              <w:rPr>
                <w:rFonts w:eastAsia="Calibri" w:cs="Arial"/>
                <w:szCs w:val="20"/>
                <w:lang w:val="en-GB"/>
              </w:rPr>
              <w:t>SDL</w:t>
            </w:r>
          </w:p>
        </w:tc>
        <w:tc>
          <w:tcPr>
            <w:tcW w:w="1559" w:type="dxa"/>
            <w:tcBorders>
              <w:top w:val="single" w:sz="4" w:space="0" w:color="D2232A"/>
              <w:left w:val="single" w:sz="4" w:space="0" w:color="D2232A"/>
              <w:bottom w:val="single" w:sz="4" w:space="0" w:color="D2232A"/>
              <w:right w:val="single" w:sz="4" w:space="0" w:color="D2232A"/>
            </w:tcBorders>
            <w:hideMark/>
          </w:tcPr>
          <w:p w:rsidR="00AC460F" w:rsidRPr="008D2EA0" w:rsidRDefault="00AC460F" w:rsidP="001F0F23">
            <w:pPr>
              <w:rPr>
                <w:rFonts w:eastAsia="Calibri" w:cs="Arial"/>
                <w:szCs w:val="20"/>
                <w:lang w:val="en-GB"/>
              </w:rPr>
            </w:pPr>
            <w:r w:rsidRPr="008D2EA0">
              <w:rPr>
                <w:rFonts w:eastAsia="Calibri" w:cs="Arial"/>
                <w:szCs w:val="20"/>
                <w:lang w:val="en-GB"/>
              </w:rPr>
              <w:t>TB</w:t>
            </w:r>
          </w:p>
          <w:p w:rsidR="00AC460F" w:rsidRPr="008D2EA0" w:rsidRDefault="00AC460F" w:rsidP="001F0F23">
            <w:pPr>
              <w:rPr>
                <w:rFonts w:eastAsia="Calibri" w:cs="Arial"/>
                <w:szCs w:val="20"/>
                <w:lang w:val="en-GB"/>
              </w:rPr>
            </w:pPr>
            <w:r w:rsidRPr="008D2EA0">
              <w:rPr>
                <w:rFonts w:eastAsia="Calibri" w:cs="Arial"/>
                <w:szCs w:val="20"/>
                <w:lang w:val="en-GB"/>
              </w:rPr>
              <w:t>S-DAB</w:t>
            </w:r>
          </w:p>
          <w:p w:rsidR="00AC460F" w:rsidRPr="008D2EA0" w:rsidRDefault="00AC460F" w:rsidP="001F0F23">
            <w:pPr>
              <w:rPr>
                <w:rFonts w:eastAsia="Calibri" w:cs="Arial"/>
                <w:szCs w:val="20"/>
                <w:lang w:val="en-GB"/>
              </w:rPr>
            </w:pPr>
            <w:r w:rsidRPr="008D2EA0">
              <w:rPr>
                <w:rFonts w:eastAsia="Calibri" w:cs="Arial"/>
                <w:szCs w:val="20"/>
                <w:lang w:val="en-GB"/>
              </w:rPr>
              <w:t>MBB</w:t>
            </w:r>
          </w:p>
          <w:p w:rsidR="00AC460F" w:rsidRPr="008D2EA0" w:rsidRDefault="00AC460F" w:rsidP="001F0F23">
            <w:pPr>
              <w:rPr>
                <w:rFonts w:eastAsia="Calibri" w:cs="Arial"/>
                <w:szCs w:val="20"/>
                <w:lang w:val="en-GB"/>
              </w:rPr>
            </w:pPr>
            <w:r w:rsidRPr="008D2EA0">
              <w:rPr>
                <w:rFonts w:eastAsia="Calibri" w:cs="Arial"/>
                <w:szCs w:val="20"/>
                <w:lang w:val="en-GB"/>
              </w:rPr>
              <w:t>PMSE</w:t>
            </w:r>
          </w:p>
          <w:p w:rsidR="00AC460F" w:rsidRPr="008D2EA0" w:rsidRDefault="00AC460F" w:rsidP="001F0F23">
            <w:pPr>
              <w:rPr>
                <w:rFonts w:eastAsia="Calibri" w:cs="Arial"/>
                <w:szCs w:val="20"/>
                <w:lang w:val="en-GB"/>
              </w:rPr>
            </w:pPr>
            <w:r w:rsidRPr="008D2EA0">
              <w:rPr>
                <w:rFonts w:eastAsia="Calibri" w:cs="Arial"/>
                <w:szCs w:val="20"/>
                <w:lang w:val="en-GB"/>
              </w:rPr>
              <w:t>PPDR</w:t>
            </w:r>
          </w:p>
          <w:p w:rsidR="00AC460F" w:rsidRPr="008D2EA0" w:rsidRDefault="00AC460F" w:rsidP="001F0F23">
            <w:pPr>
              <w:spacing w:line="288" w:lineRule="auto"/>
              <w:rPr>
                <w:lang w:val="en-GB"/>
              </w:rPr>
            </w:pPr>
            <w:r w:rsidRPr="008D2EA0">
              <w:rPr>
                <w:rFonts w:eastAsia="Calibri" w:cs="Arial"/>
                <w:szCs w:val="20"/>
                <w:lang w:val="en-GB"/>
              </w:rPr>
              <w:t>BDA2GC</w:t>
            </w:r>
          </w:p>
        </w:tc>
        <w:tc>
          <w:tcPr>
            <w:tcW w:w="56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eastAsia="Calibri" w:cs="Arial"/>
                <w:szCs w:val="20"/>
                <w:lang w:val="en-GB"/>
              </w:rPr>
              <w:t>6</w:t>
            </w:r>
          </w:p>
        </w:tc>
        <w:tc>
          <w:tcPr>
            <w:tcW w:w="1648"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rPr>
                <w:rFonts w:eastAsia="Calibri" w:cs="Arial"/>
                <w:szCs w:val="20"/>
                <w:lang w:val="en-GB"/>
              </w:rPr>
            </w:pPr>
            <w:r w:rsidRPr="008D2EA0">
              <w:rPr>
                <w:rFonts w:eastAsia="Calibri" w:cs="Arial"/>
                <w:szCs w:val="20"/>
                <w:lang w:val="en-GB"/>
              </w:rPr>
              <w:t>TB</w:t>
            </w:r>
          </w:p>
          <w:p w:rsidR="00AC460F" w:rsidRPr="008D2EA0" w:rsidRDefault="00AC460F" w:rsidP="001F0F23">
            <w:pPr>
              <w:rPr>
                <w:rFonts w:eastAsia="Calibri" w:cs="Arial"/>
                <w:szCs w:val="20"/>
                <w:lang w:val="en-GB"/>
              </w:rPr>
            </w:pPr>
            <w:r w:rsidRPr="008D2EA0">
              <w:rPr>
                <w:rFonts w:eastAsia="Calibri" w:cs="Arial"/>
                <w:szCs w:val="20"/>
                <w:lang w:val="en-GB"/>
              </w:rPr>
              <w:t>PMSE</w:t>
            </w:r>
          </w:p>
          <w:p w:rsidR="00AC460F" w:rsidRPr="008D2EA0" w:rsidRDefault="00AC460F" w:rsidP="001F0F23">
            <w:pPr>
              <w:spacing w:line="288" w:lineRule="auto"/>
              <w:rPr>
                <w:lang w:val="en-GB"/>
              </w:rPr>
            </w:pPr>
            <w:r w:rsidRPr="008D2EA0">
              <w:rPr>
                <w:rFonts w:eastAsia="Calibri" w:cs="Arial"/>
                <w:szCs w:val="20"/>
                <w:lang w:val="en-GB"/>
              </w:rPr>
              <w:t>PPDR</w:t>
            </w:r>
          </w:p>
        </w:tc>
        <w:tc>
          <w:tcPr>
            <w:tcW w:w="709"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3</w:t>
            </w:r>
          </w:p>
        </w:tc>
        <w:tc>
          <w:tcPr>
            <w:tcW w:w="90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3</w:t>
            </w:r>
          </w:p>
        </w:tc>
      </w:tr>
      <w:tr w:rsidR="00AC460F" w:rsidRPr="008D2EA0" w:rsidTr="008455E3">
        <w:trPr>
          <w:jc w:val="center"/>
        </w:trPr>
        <w:tc>
          <w:tcPr>
            <w:tcW w:w="2181"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highlight w:val="yellow"/>
                <w:lang w:val="en-GB"/>
              </w:rPr>
            </w:pPr>
            <w:r w:rsidRPr="008D2EA0">
              <w:rPr>
                <w:lang w:val="en-GB"/>
              </w:rPr>
              <w:t>Regulatory Option 2 / Scenario B</w:t>
            </w:r>
          </w:p>
        </w:tc>
        <w:tc>
          <w:tcPr>
            <w:tcW w:w="1613" w:type="dxa"/>
            <w:tcBorders>
              <w:top w:val="single" w:sz="4" w:space="0" w:color="D2232A"/>
              <w:left w:val="single" w:sz="4" w:space="0" w:color="D2232A"/>
              <w:bottom w:val="single" w:sz="4" w:space="0" w:color="D2232A"/>
              <w:right w:val="single" w:sz="4" w:space="0" w:color="D2232A"/>
            </w:tcBorders>
            <w:hideMark/>
          </w:tcPr>
          <w:p w:rsidR="00AC460F" w:rsidRPr="008D2EA0" w:rsidRDefault="00AC460F" w:rsidP="001F0F23">
            <w:pPr>
              <w:spacing w:line="288" w:lineRule="auto"/>
              <w:rPr>
                <w:highlight w:val="yellow"/>
                <w:lang w:val="en-GB"/>
              </w:rPr>
            </w:pPr>
            <w:r w:rsidRPr="008D2EA0">
              <w:rPr>
                <w:rFonts w:eastAsia="Calibri" w:cs="Arial"/>
                <w:szCs w:val="20"/>
                <w:lang w:val="en-GB"/>
              </w:rPr>
              <w:t>MBB</w:t>
            </w:r>
          </w:p>
        </w:tc>
        <w:tc>
          <w:tcPr>
            <w:tcW w:w="1559" w:type="dxa"/>
            <w:tcBorders>
              <w:top w:val="single" w:sz="4" w:space="0" w:color="D2232A"/>
              <w:left w:val="single" w:sz="4" w:space="0" w:color="D2232A"/>
              <w:bottom w:val="single" w:sz="4" w:space="0" w:color="D2232A"/>
              <w:right w:val="single" w:sz="4" w:space="0" w:color="D2232A"/>
            </w:tcBorders>
            <w:hideMark/>
          </w:tcPr>
          <w:p w:rsidR="00AC460F" w:rsidRPr="008D2EA0" w:rsidRDefault="00AC460F" w:rsidP="001F0F23">
            <w:pPr>
              <w:rPr>
                <w:rFonts w:eastAsia="Calibri" w:cs="Arial"/>
                <w:szCs w:val="20"/>
                <w:lang w:val="en-GB"/>
              </w:rPr>
            </w:pPr>
            <w:r w:rsidRPr="008D2EA0">
              <w:rPr>
                <w:rFonts w:eastAsia="Calibri" w:cs="Arial"/>
                <w:szCs w:val="20"/>
                <w:lang w:val="en-GB"/>
              </w:rPr>
              <w:t>TB</w:t>
            </w:r>
          </w:p>
          <w:p w:rsidR="00AC460F" w:rsidRPr="008D2EA0" w:rsidRDefault="00AC460F" w:rsidP="001F0F23">
            <w:pPr>
              <w:rPr>
                <w:rFonts w:eastAsia="Calibri" w:cs="Arial"/>
                <w:szCs w:val="20"/>
                <w:lang w:val="en-GB"/>
              </w:rPr>
            </w:pPr>
            <w:r w:rsidRPr="008D2EA0">
              <w:rPr>
                <w:rFonts w:eastAsia="Calibri" w:cs="Arial"/>
                <w:szCs w:val="20"/>
                <w:lang w:val="en-GB"/>
              </w:rPr>
              <w:t>S-DAB</w:t>
            </w:r>
          </w:p>
          <w:p w:rsidR="00AC460F" w:rsidRPr="008D2EA0" w:rsidRDefault="00AC460F" w:rsidP="001F0F23">
            <w:pPr>
              <w:rPr>
                <w:rFonts w:eastAsia="Calibri" w:cs="Arial"/>
                <w:szCs w:val="20"/>
                <w:lang w:val="en-GB"/>
              </w:rPr>
            </w:pPr>
            <w:r w:rsidRPr="008D2EA0">
              <w:rPr>
                <w:rFonts w:eastAsia="Calibri" w:cs="Arial"/>
                <w:szCs w:val="20"/>
                <w:lang w:val="en-GB"/>
              </w:rPr>
              <w:t>SDL</w:t>
            </w:r>
          </w:p>
          <w:p w:rsidR="00AC460F" w:rsidRPr="008D2EA0" w:rsidRDefault="00AC460F" w:rsidP="001F0F23">
            <w:pPr>
              <w:rPr>
                <w:rFonts w:eastAsia="Calibri" w:cs="Arial"/>
                <w:szCs w:val="20"/>
                <w:lang w:val="en-GB"/>
              </w:rPr>
            </w:pPr>
            <w:r w:rsidRPr="008D2EA0">
              <w:rPr>
                <w:rFonts w:eastAsia="Calibri" w:cs="Arial"/>
                <w:szCs w:val="20"/>
                <w:lang w:val="en-GB"/>
              </w:rPr>
              <w:t>PMSE</w:t>
            </w:r>
          </w:p>
          <w:p w:rsidR="00AC460F" w:rsidRPr="008D2EA0" w:rsidRDefault="00AC460F" w:rsidP="001F0F23">
            <w:pPr>
              <w:rPr>
                <w:rFonts w:eastAsia="Calibri" w:cs="Arial"/>
                <w:szCs w:val="20"/>
                <w:lang w:val="en-GB"/>
              </w:rPr>
            </w:pPr>
            <w:r w:rsidRPr="008D2EA0">
              <w:rPr>
                <w:rFonts w:eastAsia="Calibri" w:cs="Arial"/>
                <w:szCs w:val="20"/>
                <w:lang w:val="en-GB"/>
              </w:rPr>
              <w:t>PPDR</w:t>
            </w:r>
          </w:p>
          <w:p w:rsidR="00AC460F" w:rsidRPr="008D2EA0" w:rsidRDefault="00AC460F" w:rsidP="001F0F23">
            <w:pPr>
              <w:spacing w:line="288" w:lineRule="auto"/>
              <w:rPr>
                <w:highlight w:val="yellow"/>
                <w:lang w:val="en-GB"/>
              </w:rPr>
            </w:pPr>
            <w:r w:rsidRPr="008D2EA0">
              <w:rPr>
                <w:rFonts w:eastAsia="Calibri" w:cs="Arial"/>
                <w:szCs w:val="20"/>
                <w:lang w:val="en-GB"/>
              </w:rPr>
              <w:t>BDA2GC</w:t>
            </w:r>
          </w:p>
        </w:tc>
        <w:tc>
          <w:tcPr>
            <w:tcW w:w="56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highlight w:val="yellow"/>
                <w:lang w:val="en-GB"/>
              </w:rPr>
            </w:pPr>
            <w:r w:rsidRPr="008D2EA0">
              <w:rPr>
                <w:rFonts w:eastAsia="Calibri" w:cs="Arial"/>
                <w:szCs w:val="20"/>
                <w:lang w:val="en-GB"/>
              </w:rPr>
              <w:t>6</w:t>
            </w:r>
          </w:p>
        </w:tc>
        <w:tc>
          <w:tcPr>
            <w:tcW w:w="1648"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rPr>
                <w:rFonts w:eastAsia="Calibri" w:cs="Arial"/>
                <w:szCs w:val="20"/>
                <w:lang w:val="en-GB"/>
              </w:rPr>
            </w:pPr>
            <w:r w:rsidRPr="008D2EA0">
              <w:rPr>
                <w:rFonts w:eastAsia="Calibri" w:cs="Arial"/>
                <w:szCs w:val="20"/>
                <w:lang w:val="en-GB"/>
              </w:rPr>
              <w:t xml:space="preserve">TB </w:t>
            </w:r>
          </w:p>
          <w:p w:rsidR="00AC460F" w:rsidRPr="008D2EA0" w:rsidRDefault="00AC460F" w:rsidP="001F0F23">
            <w:pPr>
              <w:rPr>
                <w:rFonts w:eastAsia="Calibri" w:cs="Arial"/>
                <w:szCs w:val="20"/>
                <w:lang w:val="en-GB"/>
              </w:rPr>
            </w:pPr>
            <w:r w:rsidRPr="008D2EA0">
              <w:rPr>
                <w:rFonts w:eastAsia="Calibri" w:cs="Arial"/>
                <w:szCs w:val="20"/>
                <w:lang w:val="en-GB"/>
              </w:rPr>
              <w:t>PMSE</w:t>
            </w:r>
          </w:p>
          <w:p w:rsidR="00AC460F" w:rsidRPr="008D2EA0" w:rsidRDefault="00AC460F" w:rsidP="001F0F23">
            <w:pPr>
              <w:spacing w:line="288" w:lineRule="auto"/>
              <w:rPr>
                <w:highlight w:val="yellow"/>
                <w:lang w:val="en-GB"/>
              </w:rPr>
            </w:pPr>
            <w:r w:rsidRPr="008D2EA0">
              <w:rPr>
                <w:rFonts w:eastAsia="Calibri" w:cs="Arial"/>
                <w:szCs w:val="20"/>
                <w:lang w:val="en-GB"/>
              </w:rPr>
              <w:t>PPDR</w:t>
            </w:r>
          </w:p>
        </w:tc>
        <w:tc>
          <w:tcPr>
            <w:tcW w:w="709"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highlight w:val="yellow"/>
                <w:lang w:val="en-GB"/>
              </w:rPr>
            </w:pPr>
            <w:r w:rsidRPr="008D2EA0">
              <w:rPr>
                <w:lang w:val="en-GB"/>
              </w:rPr>
              <w:t>3</w:t>
            </w:r>
          </w:p>
        </w:tc>
        <w:tc>
          <w:tcPr>
            <w:tcW w:w="90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highlight w:val="yellow"/>
                <w:lang w:val="en-GB"/>
              </w:rPr>
            </w:pPr>
            <w:r w:rsidRPr="008D2EA0">
              <w:rPr>
                <w:lang w:val="en-GB"/>
              </w:rPr>
              <w:t>3</w:t>
            </w:r>
          </w:p>
        </w:tc>
      </w:tr>
      <w:tr w:rsidR="00AC460F" w:rsidRPr="008D2EA0" w:rsidTr="008455E3">
        <w:trPr>
          <w:jc w:val="center"/>
        </w:trPr>
        <w:tc>
          <w:tcPr>
            <w:tcW w:w="2181"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highlight w:val="yellow"/>
                <w:lang w:val="en-GB"/>
              </w:rPr>
            </w:pPr>
            <w:r w:rsidRPr="008D2EA0">
              <w:rPr>
                <w:lang w:val="en-GB"/>
              </w:rPr>
              <w:t>Regulatory Option 3 / Scenario A</w:t>
            </w:r>
          </w:p>
        </w:tc>
        <w:tc>
          <w:tcPr>
            <w:tcW w:w="161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rPr>
                <w:rFonts w:eastAsia="Calibri" w:cs="Arial"/>
                <w:szCs w:val="20"/>
                <w:lang w:val="en-GB"/>
              </w:rPr>
            </w:pPr>
            <w:r w:rsidRPr="008D2EA0">
              <w:rPr>
                <w:rFonts w:eastAsia="Calibri" w:cs="Arial"/>
                <w:szCs w:val="20"/>
                <w:lang w:val="en-GB"/>
              </w:rPr>
              <w:t>BDA2GC</w:t>
            </w:r>
          </w:p>
          <w:p w:rsidR="00AC460F" w:rsidRPr="008D2EA0" w:rsidRDefault="00AC460F" w:rsidP="001F0F23">
            <w:pPr>
              <w:spacing w:line="288" w:lineRule="auto"/>
              <w:rPr>
                <w:highlight w:val="yellow"/>
                <w:lang w:val="en-GB"/>
              </w:rPr>
            </w:pPr>
            <w:r w:rsidRPr="008D2EA0">
              <w:rPr>
                <w:rFonts w:eastAsia="Calibri" w:cs="Arial"/>
                <w:szCs w:val="20"/>
                <w:lang w:val="en-GB"/>
              </w:rPr>
              <w:t>PPDR</w:t>
            </w:r>
          </w:p>
        </w:tc>
        <w:tc>
          <w:tcPr>
            <w:tcW w:w="1559"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rPr>
                <w:rFonts w:eastAsia="Calibri" w:cs="Arial"/>
                <w:szCs w:val="20"/>
                <w:lang w:val="en-GB"/>
              </w:rPr>
            </w:pPr>
            <w:r w:rsidRPr="008D2EA0">
              <w:rPr>
                <w:rFonts w:eastAsia="Calibri" w:cs="Arial"/>
                <w:szCs w:val="20"/>
                <w:lang w:val="en-GB"/>
              </w:rPr>
              <w:t>TB</w:t>
            </w:r>
          </w:p>
          <w:p w:rsidR="00AC460F" w:rsidRPr="008D2EA0" w:rsidRDefault="00AC460F" w:rsidP="001F0F23">
            <w:pPr>
              <w:rPr>
                <w:rFonts w:eastAsia="Calibri" w:cs="Arial"/>
                <w:szCs w:val="20"/>
                <w:lang w:val="en-GB"/>
              </w:rPr>
            </w:pPr>
            <w:r w:rsidRPr="008D2EA0">
              <w:rPr>
                <w:rFonts w:eastAsia="Calibri" w:cs="Arial"/>
                <w:szCs w:val="20"/>
                <w:lang w:val="en-GB"/>
              </w:rPr>
              <w:t>S-DAB</w:t>
            </w:r>
          </w:p>
          <w:p w:rsidR="00AC460F" w:rsidRPr="008D2EA0" w:rsidRDefault="00AC460F" w:rsidP="001F0F23">
            <w:pPr>
              <w:rPr>
                <w:rFonts w:eastAsia="Calibri" w:cs="Arial"/>
                <w:szCs w:val="20"/>
                <w:lang w:val="en-GB"/>
              </w:rPr>
            </w:pPr>
            <w:r w:rsidRPr="008D2EA0">
              <w:rPr>
                <w:rFonts w:eastAsia="Calibri" w:cs="Arial"/>
                <w:szCs w:val="20"/>
                <w:lang w:val="en-GB"/>
              </w:rPr>
              <w:t>MBB</w:t>
            </w:r>
          </w:p>
          <w:p w:rsidR="00AC460F" w:rsidRPr="008D2EA0" w:rsidRDefault="00AC460F" w:rsidP="001F0F23">
            <w:pPr>
              <w:rPr>
                <w:rFonts w:eastAsia="Calibri" w:cs="Arial"/>
                <w:szCs w:val="20"/>
                <w:lang w:val="en-GB"/>
              </w:rPr>
            </w:pPr>
            <w:r w:rsidRPr="008D2EA0">
              <w:rPr>
                <w:rFonts w:eastAsia="Calibri" w:cs="Arial"/>
                <w:szCs w:val="20"/>
                <w:lang w:val="en-GB"/>
              </w:rPr>
              <w:t>SDL</w:t>
            </w:r>
          </w:p>
          <w:p w:rsidR="00AC460F" w:rsidRPr="008D2EA0" w:rsidRDefault="00AC460F" w:rsidP="001F0F23">
            <w:pPr>
              <w:spacing w:line="288" w:lineRule="auto"/>
              <w:rPr>
                <w:highlight w:val="yellow"/>
                <w:lang w:val="en-GB"/>
              </w:rPr>
            </w:pPr>
            <w:r w:rsidRPr="008D2EA0">
              <w:rPr>
                <w:rFonts w:eastAsia="Calibri" w:cs="Arial"/>
                <w:szCs w:val="20"/>
                <w:lang w:val="en-GB"/>
              </w:rPr>
              <w:t>PMSE</w:t>
            </w:r>
          </w:p>
        </w:tc>
        <w:tc>
          <w:tcPr>
            <w:tcW w:w="56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highlight w:val="yellow"/>
                <w:lang w:val="en-GB"/>
              </w:rPr>
            </w:pPr>
            <w:r w:rsidRPr="008D2EA0">
              <w:rPr>
                <w:rFonts w:eastAsia="Calibri" w:cs="Arial"/>
                <w:szCs w:val="20"/>
                <w:lang w:val="en-GB"/>
              </w:rPr>
              <w:t>5</w:t>
            </w:r>
          </w:p>
        </w:tc>
        <w:tc>
          <w:tcPr>
            <w:tcW w:w="1648" w:type="dxa"/>
            <w:tcBorders>
              <w:top w:val="single" w:sz="4" w:space="0" w:color="D2232A"/>
              <w:left w:val="single" w:sz="4" w:space="0" w:color="D2232A"/>
              <w:bottom w:val="single" w:sz="4" w:space="0" w:color="D2232A"/>
              <w:right w:val="single" w:sz="4" w:space="0" w:color="D2232A"/>
            </w:tcBorders>
          </w:tcPr>
          <w:p w:rsidR="00DE08E8" w:rsidRPr="008D2EA0" w:rsidRDefault="00AC460F" w:rsidP="001F0F23">
            <w:pPr>
              <w:spacing w:line="288" w:lineRule="auto"/>
              <w:rPr>
                <w:rFonts w:eastAsia="Calibri" w:cs="Arial"/>
                <w:szCs w:val="20"/>
                <w:lang w:val="en-GB"/>
              </w:rPr>
            </w:pPr>
            <w:r w:rsidRPr="008D2EA0">
              <w:rPr>
                <w:rFonts w:eastAsia="Calibri" w:cs="Arial"/>
                <w:szCs w:val="20"/>
                <w:lang w:val="en-GB"/>
              </w:rPr>
              <w:t>PMSE</w:t>
            </w:r>
          </w:p>
          <w:p w:rsidR="00AC460F" w:rsidRPr="008D2EA0" w:rsidRDefault="00AC460F" w:rsidP="001F0F23">
            <w:pPr>
              <w:spacing w:line="288" w:lineRule="auto"/>
              <w:rPr>
                <w:highlight w:val="yellow"/>
                <w:lang w:val="en-GB"/>
              </w:rPr>
            </w:pPr>
            <w:r w:rsidRPr="008D2EA0">
              <w:rPr>
                <w:rFonts w:eastAsia="Calibri" w:cs="Arial"/>
                <w:szCs w:val="20"/>
                <w:lang w:val="en-GB"/>
              </w:rPr>
              <w:t>TB (see Note 1)</w:t>
            </w:r>
          </w:p>
        </w:tc>
        <w:tc>
          <w:tcPr>
            <w:tcW w:w="709"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highlight w:val="yellow"/>
                <w:lang w:val="en-GB"/>
              </w:rPr>
            </w:pPr>
            <w:r w:rsidRPr="008D2EA0">
              <w:rPr>
                <w:lang w:val="en-GB"/>
              </w:rPr>
              <w:t>2</w:t>
            </w:r>
          </w:p>
        </w:tc>
        <w:tc>
          <w:tcPr>
            <w:tcW w:w="90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highlight w:val="yellow"/>
                <w:lang w:val="en-GB"/>
              </w:rPr>
            </w:pPr>
            <w:r w:rsidRPr="008D2EA0">
              <w:rPr>
                <w:lang w:val="en-GB"/>
              </w:rPr>
              <w:t>2.4</w:t>
            </w:r>
          </w:p>
        </w:tc>
      </w:tr>
      <w:tr w:rsidR="00AC460F" w:rsidRPr="008D2EA0" w:rsidTr="008455E3">
        <w:trPr>
          <w:jc w:val="center"/>
        </w:trPr>
        <w:tc>
          <w:tcPr>
            <w:tcW w:w="2181"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highlight w:val="yellow"/>
                <w:lang w:val="en-GB"/>
              </w:rPr>
            </w:pPr>
            <w:r w:rsidRPr="008D2EA0">
              <w:rPr>
                <w:lang w:val="en-GB"/>
              </w:rPr>
              <w:t>Regulatory Option 3 / Scenario B</w:t>
            </w:r>
          </w:p>
        </w:tc>
        <w:tc>
          <w:tcPr>
            <w:tcW w:w="161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rPr>
                <w:rFonts w:eastAsia="Calibri" w:cs="Arial"/>
                <w:szCs w:val="20"/>
                <w:lang w:val="en-GB"/>
              </w:rPr>
            </w:pPr>
            <w:r w:rsidRPr="008D2EA0">
              <w:rPr>
                <w:rFonts w:eastAsia="Calibri" w:cs="Arial"/>
                <w:szCs w:val="20"/>
                <w:lang w:val="en-GB"/>
              </w:rPr>
              <w:t>BDA2GC</w:t>
            </w:r>
          </w:p>
          <w:p w:rsidR="00AC460F" w:rsidRPr="008D2EA0" w:rsidRDefault="00AC460F" w:rsidP="001F0F23">
            <w:pPr>
              <w:spacing w:line="288" w:lineRule="auto"/>
              <w:rPr>
                <w:highlight w:val="yellow"/>
                <w:lang w:val="en-GB"/>
              </w:rPr>
            </w:pPr>
            <w:r w:rsidRPr="008D2EA0">
              <w:rPr>
                <w:rFonts w:eastAsia="Calibri" w:cs="Arial"/>
                <w:szCs w:val="20"/>
                <w:lang w:val="en-GB"/>
              </w:rPr>
              <w:t>PMSE</w:t>
            </w:r>
          </w:p>
        </w:tc>
        <w:tc>
          <w:tcPr>
            <w:tcW w:w="1559"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rPr>
                <w:rFonts w:eastAsia="Calibri" w:cs="Arial"/>
                <w:szCs w:val="20"/>
                <w:lang w:val="en-GB"/>
              </w:rPr>
            </w:pPr>
            <w:r w:rsidRPr="008D2EA0">
              <w:rPr>
                <w:rFonts w:eastAsia="Calibri" w:cs="Arial"/>
                <w:szCs w:val="20"/>
                <w:lang w:val="en-GB"/>
              </w:rPr>
              <w:t>TB</w:t>
            </w:r>
          </w:p>
          <w:p w:rsidR="00AC460F" w:rsidRPr="008D2EA0" w:rsidRDefault="00AC460F" w:rsidP="001F0F23">
            <w:pPr>
              <w:rPr>
                <w:rFonts w:eastAsia="Calibri" w:cs="Arial"/>
                <w:szCs w:val="20"/>
                <w:lang w:val="en-GB"/>
              </w:rPr>
            </w:pPr>
            <w:r w:rsidRPr="008D2EA0">
              <w:rPr>
                <w:rFonts w:eastAsia="Calibri" w:cs="Arial"/>
                <w:szCs w:val="20"/>
                <w:lang w:val="en-GB"/>
              </w:rPr>
              <w:t>S-DAB</w:t>
            </w:r>
          </w:p>
          <w:p w:rsidR="00AC460F" w:rsidRPr="008D2EA0" w:rsidRDefault="00AC460F" w:rsidP="001F0F23">
            <w:pPr>
              <w:rPr>
                <w:rFonts w:eastAsia="Calibri" w:cs="Arial"/>
                <w:szCs w:val="20"/>
                <w:lang w:val="en-GB"/>
              </w:rPr>
            </w:pPr>
            <w:r w:rsidRPr="008D2EA0">
              <w:rPr>
                <w:rFonts w:eastAsia="Calibri" w:cs="Arial"/>
                <w:szCs w:val="20"/>
                <w:lang w:val="en-GB"/>
              </w:rPr>
              <w:t>MBB</w:t>
            </w:r>
          </w:p>
          <w:p w:rsidR="00AC460F" w:rsidRPr="008D2EA0" w:rsidRDefault="00AC460F" w:rsidP="001F0F23">
            <w:pPr>
              <w:rPr>
                <w:rFonts w:eastAsia="Calibri" w:cs="Arial"/>
                <w:szCs w:val="20"/>
                <w:lang w:val="en-GB"/>
              </w:rPr>
            </w:pPr>
            <w:r w:rsidRPr="008D2EA0">
              <w:rPr>
                <w:rFonts w:eastAsia="Calibri" w:cs="Arial"/>
                <w:szCs w:val="20"/>
                <w:lang w:val="en-GB"/>
              </w:rPr>
              <w:t>SDL</w:t>
            </w:r>
          </w:p>
          <w:p w:rsidR="00AC460F" w:rsidRPr="008D2EA0" w:rsidRDefault="00AC460F" w:rsidP="001F0F23">
            <w:pPr>
              <w:spacing w:line="288" w:lineRule="auto"/>
              <w:rPr>
                <w:highlight w:val="yellow"/>
                <w:lang w:val="en-GB"/>
              </w:rPr>
            </w:pPr>
            <w:r w:rsidRPr="008D2EA0">
              <w:rPr>
                <w:rFonts w:eastAsia="Calibri" w:cs="Arial"/>
                <w:szCs w:val="20"/>
                <w:lang w:val="en-GB"/>
              </w:rPr>
              <w:t>PPDR</w:t>
            </w:r>
          </w:p>
        </w:tc>
        <w:tc>
          <w:tcPr>
            <w:tcW w:w="56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highlight w:val="yellow"/>
                <w:lang w:val="en-GB"/>
              </w:rPr>
            </w:pPr>
            <w:r w:rsidRPr="008D2EA0">
              <w:rPr>
                <w:rFonts w:eastAsia="Calibri" w:cs="Arial"/>
                <w:szCs w:val="20"/>
                <w:lang w:val="en-GB"/>
              </w:rPr>
              <w:t>5</w:t>
            </w:r>
          </w:p>
        </w:tc>
        <w:tc>
          <w:tcPr>
            <w:tcW w:w="1648" w:type="dxa"/>
            <w:tcBorders>
              <w:top w:val="single" w:sz="4" w:space="0" w:color="D2232A"/>
              <w:left w:val="single" w:sz="4" w:space="0" w:color="D2232A"/>
              <w:bottom w:val="single" w:sz="4" w:space="0" w:color="D2232A"/>
              <w:right w:val="single" w:sz="4" w:space="0" w:color="D2232A"/>
            </w:tcBorders>
          </w:tcPr>
          <w:p w:rsidR="00DE08E8" w:rsidRPr="008D2EA0" w:rsidRDefault="00AC460F" w:rsidP="001F0F23">
            <w:pPr>
              <w:spacing w:line="288" w:lineRule="auto"/>
              <w:rPr>
                <w:rFonts w:eastAsia="Calibri" w:cs="Arial"/>
                <w:szCs w:val="20"/>
                <w:lang w:val="en-GB"/>
              </w:rPr>
            </w:pPr>
            <w:r w:rsidRPr="008D2EA0">
              <w:rPr>
                <w:rFonts w:eastAsia="Calibri" w:cs="Arial"/>
                <w:szCs w:val="20"/>
                <w:lang w:val="en-GB"/>
              </w:rPr>
              <w:t>PPDR</w:t>
            </w:r>
          </w:p>
          <w:p w:rsidR="00AC460F" w:rsidRPr="008D2EA0" w:rsidRDefault="00AC460F" w:rsidP="001F0F23">
            <w:pPr>
              <w:spacing w:line="288" w:lineRule="auto"/>
              <w:rPr>
                <w:highlight w:val="yellow"/>
                <w:lang w:val="en-GB"/>
              </w:rPr>
            </w:pPr>
            <w:r w:rsidRPr="008D2EA0">
              <w:rPr>
                <w:rFonts w:eastAsia="Calibri" w:cs="Arial"/>
                <w:szCs w:val="20"/>
                <w:lang w:val="en-GB"/>
              </w:rPr>
              <w:t>TB (see Note 1)</w:t>
            </w:r>
          </w:p>
        </w:tc>
        <w:tc>
          <w:tcPr>
            <w:tcW w:w="709"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highlight w:val="yellow"/>
                <w:lang w:val="en-GB"/>
              </w:rPr>
            </w:pPr>
            <w:r w:rsidRPr="008D2EA0">
              <w:rPr>
                <w:lang w:val="en-GB"/>
              </w:rPr>
              <w:t>2</w:t>
            </w:r>
          </w:p>
        </w:tc>
        <w:tc>
          <w:tcPr>
            <w:tcW w:w="90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2.4</w:t>
            </w:r>
          </w:p>
        </w:tc>
      </w:tr>
    </w:tbl>
    <w:p w:rsidR="00AC460F" w:rsidRPr="008D2EA0" w:rsidRDefault="00AC460F" w:rsidP="00AC460F">
      <w:pPr>
        <w:rPr>
          <w:rFonts w:cs="Arial"/>
          <w:szCs w:val="20"/>
          <w:lang w:val="en-GB"/>
        </w:rPr>
      </w:pPr>
    </w:p>
    <w:p w:rsidR="00AC460F" w:rsidRPr="008D2EA0" w:rsidRDefault="00AC460F" w:rsidP="00AC460F">
      <w:pPr>
        <w:rPr>
          <w:rFonts w:cs="Arial"/>
          <w:szCs w:val="20"/>
          <w:lang w:val="en-GB"/>
        </w:rPr>
      </w:pPr>
      <w:r w:rsidRPr="008D2EA0">
        <w:rPr>
          <w:rFonts w:cs="Arial"/>
          <w:szCs w:val="20"/>
          <w:lang w:val="en-GB"/>
        </w:rPr>
        <w:t xml:space="preserve">Note 1: it is assumed that the deployment of TB on a national basis could be accommodated in the spectrum not identified for BDA2GC (20 MHz). </w:t>
      </w:r>
    </w:p>
    <w:p w:rsidR="00AC460F" w:rsidRPr="008D2EA0" w:rsidRDefault="00AC460F" w:rsidP="00510087">
      <w:pPr>
        <w:pStyle w:val="Heading3"/>
      </w:pPr>
      <w:bookmarkStart w:id="166" w:name="_Toc349039318"/>
      <w:r w:rsidRPr="008D2EA0">
        <w:t xml:space="preserve">Criterion 3 - </w:t>
      </w:r>
      <w:r w:rsidRPr="008D2EA0">
        <w:rPr>
          <w:lang w:eastAsia="sv-SE"/>
        </w:rPr>
        <w:t>Extent (maximisation) of social and economic benefits</w:t>
      </w:r>
      <w:bookmarkEnd w:id="166"/>
    </w:p>
    <w:p w:rsidR="00AC460F" w:rsidRPr="008D2EA0" w:rsidRDefault="00AC460F" w:rsidP="00AC460F">
      <w:pPr>
        <w:rPr>
          <w:rFonts w:cs="Arial"/>
          <w:szCs w:val="20"/>
          <w:lang w:val="en-GB"/>
        </w:rPr>
      </w:pPr>
      <w:r w:rsidRPr="008D2EA0">
        <w:rPr>
          <w:rFonts w:cs="Arial"/>
          <w:szCs w:val="20"/>
          <w:lang w:val="en-GB"/>
        </w:rPr>
        <w:t>This criterion awards points to candidate applications (only to main applications).</w:t>
      </w:r>
    </w:p>
    <w:p w:rsidR="00AC460F" w:rsidRPr="008D2EA0" w:rsidRDefault="00AC460F" w:rsidP="00AC460F">
      <w:pPr>
        <w:rPr>
          <w:rFonts w:cs="Arial"/>
          <w:i/>
          <w:szCs w:val="20"/>
          <w:lang w:val="en-GB"/>
        </w:rPr>
      </w:pPr>
    </w:p>
    <w:p w:rsidR="00AC460F" w:rsidRPr="008D2EA0" w:rsidRDefault="00AC460F" w:rsidP="00AC460F">
      <w:pPr>
        <w:rPr>
          <w:rFonts w:cs="Arial"/>
          <w:i/>
          <w:szCs w:val="20"/>
          <w:lang w:val="en-GB"/>
        </w:rPr>
      </w:pPr>
      <w:r w:rsidRPr="008D2EA0">
        <w:rPr>
          <w:rFonts w:cs="Arial"/>
          <w:i/>
          <w:szCs w:val="20"/>
          <w:lang w:val="en-GB"/>
        </w:rPr>
        <w:t>Sub-criterion 3a: Consumer surplus</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This sub-criterion awards a maximum of 3 points.</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szCs w:val="20"/>
          <w:lang w:val="en-GB"/>
        </w:rPr>
      </w:pPr>
      <w:r w:rsidRPr="008D2EA0">
        <w:rPr>
          <w:rFonts w:cs="Arial"/>
          <w:szCs w:val="20"/>
          <w:lang w:val="en-GB"/>
        </w:rPr>
        <w:t>The points awarded to each application are derived from the following formula:</w:t>
      </w:r>
    </w:p>
    <w:p w:rsidR="00AC460F" w:rsidRPr="008D2EA0" w:rsidRDefault="00AC460F" w:rsidP="00F77275">
      <w:pPr>
        <w:spacing w:before="120" w:after="120"/>
        <w:jc w:val="center"/>
        <w:rPr>
          <w:rFonts w:cs="Arial"/>
          <w:color w:val="000000"/>
          <w:szCs w:val="20"/>
          <w:lang w:val="en-GB" w:eastAsia="sv-SE"/>
        </w:rPr>
      </w:pPr>
      <w:r w:rsidRPr="008D2EA0">
        <w:rPr>
          <w:rFonts w:cs="Arial"/>
          <w:color w:val="000000"/>
          <w:szCs w:val="20"/>
          <w:lang w:val="en-GB" w:eastAsia="sv-SE"/>
        </w:rPr>
        <w:t>Awarded Points = 3 x CS / CSmax</w:t>
      </w: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 xml:space="preserve">where CS is the consumer surplus of the specific application and CSmax is the maximum among the consumer surplus of all applications. </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0 point is awarded to an application when no consumer surplus information is available.</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szCs w:val="20"/>
          <w:lang w:val="en-GB"/>
        </w:rPr>
      </w:pPr>
      <w:r w:rsidRPr="008D2EA0">
        <w:rPr>
          <w:rFonts w:cs="Arial"/>
          <w:szCs w:val="20"/>
          <w:lang w:val="en-GB"/>
        </w:rPr>
        <w:t>The following table provides an overview of the results for the applications under consideration.</w:t>
      </w:r>
    </w:p>
    <w:p w:rsidR="00AC460F" w:rsidRPr="008D2EA0" w:rsidRDefault="00AC460F" w:rsidP="00F21C76">
      <w:pPr>
        <w:pStyle w:val="ECCTabletitle"/>
      </w:pPr>
      <w:r w:rsidRPr="008D2EA0">
        <w:lastRenderedPageBreak/>
        <w:t xml:space="preserve"> </w:t>
      </w:r>
      <w:bookmarkStart w:id="167" w:name="_Ref330549739"/>
      <w:r w:rsidRPr="008D2EA0">
        <w:t>Consumer Surplus of Candidate Applications</w:t>
      </w:r>
      <w:bookmarkEnd w:id="167"/>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2977"/>
        <w:gridCol w:w="1843"/>
      </w:tblGrid>
      <w:tr w:rsidR="00AC460F" w:rsidRPr="008D2EA0" w:rsidTr="001F0F23">
        <w:trPr>
          <w:tblHeader/>
          <w:jc w:val="center"/>
        </w:trPr>
        <w:tc>
          <w:tcPr>
            <w:tcW w:w="1809"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AC460F" w:rsidRPr="008D2EA0" w:rsidRDefault="00AC460F" w:rsidP="00F77275">
            <w:pPr>
              <w:keepNext/>
              <w:spacing w:line="288" w:lineRule="auto"/>
              <w:jc w:val="center"/>
              <w:rPr>
                <w:b/>
                <w:color w:val="FFFFFF"/>
                <w:lang w:val="en-GB"/>
              </w:rPr>
            </w:pPr>
            <w:r w:rsidRPr="008D2EA0">
              <w:rPr>
                <w:b/>
                <w:color w:val="FFFFFF"/>
                <w:lang w:val="en-GB"/>
              </w:rPr>
              <w:t xml:space="preserve">Application </w:t>
            </w:r>
          </w:p>
        </w:tc>
        <w:tc>
          <w:tcPr>
            <w:tcW w:w="2977"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F77275">
            <w:pPr>
              <w:keepNext/>
              <w:spacing w:line="288" w:lineRule="auto"/>
              <w:jc w:val="center"/>
              <w:rPr>
                <w:b/>
                <w:color w:val="FFFFFF"/>
                <w:lang w:val="en-GB"/>
              </w:rPr>
            </w:pPr>
            <w:r w:rsidRPr="008D2EA0">
              <w:rPr>
                <w:b/>
                <w:color w:val="FFFFFF"/>
                <w:lang w:val="en-GB"/>
              </w:rPr>
              <w:t>Consumer Surplus</w:t>
            </w:r>
          </w:p>
        </w:tc>
        <w:tc>
          <w:tcPr>
            <w:tcW w:w="1843"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F77275">
            <w:pPr>
              <w:keepNext/>
              <w:spacing w:line="288" w:lineRule="auto"/>
              <w:jc w:val="center"/>
              <w:rPr>
                <w:b/>
                <w:color w:val="FFFFFF"/>
                <w:lang w:val="en-GB"/>
              </w:rPr>
            </w:pPr>
            <w:r w:rsidRPr="008D2EA0">
              <w:rPr>
                <w:b/>
                <w:color w:val="FFFFFF"/>
                <w:lang w:val="en-GB"/>
              </w:rPr>
              <w:t>Points</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F77275">
            <w:pPr>
              <w:keepNext/>
              <w:spacing w:line="288" w:lineRule="auto"/>
              <w:rPr>
                <w:lang w:val="en-GB"/>
              </w:rPr>
            </w:pPr>
            <w:r w:rsidRPr="008D2EA0">
              <w:rPr>
                <w:lang w:val="en-GB"/>
              </w:rPr>
              <w:t>TB + S-DAB</w:t>
            </w:r>
          </w:p>
        </w:tc>
        <w:tc>
          <w:tcPr>
            <w:tcW w:w="297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F77275">
            <w:pPr>
              <w:keepNext/>
              <w:spacing w:line="288" w:lineRule="auto"/>
              <w:rPr>
                <w:lang w:val="en-GB"/>
              </w:rPr>
            </w:pPr>
            <w:r w:rsidRPr="008D2EA0">
              <w:rPr>
                <w:lang w:val="en-GB"/>
              </w:rPr>
              <w:t>8.6 b€</w:t>
            </w:r>
          </w:p>
        </w:tc>
        <w:tc>
          <w:tcPr>
            <w:tcW w:w="1843"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DE08E8" w:rsidP="00F77275">
            <w:pPr>
              <w:keepNext/>
              <w:spacing w:line="288" w:lineRule="auto"/>
              <w:rPr>
                <w:lang w:val="en-GB"/>
              </w:rPr>
            </w:pPr>
            <w:r w:rsidRPr="008D2EA0">
              <w:rPr>
                <w:lang w:val="en-GB"/>
              </w:rPr>
              <w:t>0.9</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77275">
            <w:pPr>
              <w:keepNext/>
              <w:spacing w:line="288" w:lineRule="auto"/>
              <w:rPr>
                <w:lang w:val="en-GB"/>
              </w:rPr>
            </w:pPr>
            <w:r w:rsidRPr="008D2EA0">
              <w:rPr>
                <w:lang w:val="en-GB"/>
              </w:rPr>
              <w:t>MBB</w:t>
            </w:r>
          </w:p>
        </w:tc>
        <w:tc>
          <w:tcPr>
            <w:tcW w:w="297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77275">
            <w:pPr>
              <w:keepNext/>
              <w:spacing w:line="288" w:lineRule="auto"/>
              <w:rPr>
                <w:lang w:val="en-GB"/>
              </w:rPr>
            </w:pPr>
            <w:r w:rsidRPr="008D2EA0">
              <w:rPr>
                <w:lang w:val="en-GB"/>
              </w:rPr>
              <w:t>N/A</w:t>
            </w:r>
          </w:p>
        </w:tc>
        <w:tc>
          <w:tcPr>
            <w:tcW w:w="1843"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77275">
            <w:pPr>
              <w:keepNext/>
              <w:spacing w:line="288" w:lineRule="auto"/>
              <w:rPr>
                <w:lang w:val="en-GB"/>
              </w:rPr>
            </w:pPr>
            <w:r w:rsidRPr="008D2EA0">
              <w:rPr>
                <w:lang w:val="en-GB"/>
              </w:rPr>
              <w:t>0</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SDL</w:t>
            </w:r>
          </w:p>
        </w:tc>
        <w:tc>
          <w:tcPr>
            <w:tcW w:w="297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28 b€</w:t>
            </w:r>
          </w:p>
        </w:tc>
        <w:tc>
          <w:tcPr>
            <w:tcW w:w="1843"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3</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PMSE</w:t>
            </w:r>
          </w:p>
        </w:tc>
        <w:tc>
          <w:tcPr>
            <w:tcW w:w="297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N/A</w:t>
            </w:r>
          </w:p>
        </w:tc>
        <w:tc>
          <w:tcPr>
            <w:tcW w:w="1843"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0</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PPDR</w:t>
            </w:r>
          </w:p>
        </w:tc>
        <w:tc>
          <w:tcPr>
            <w:tcW w:w="297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4.7 b€</w:t>
            </w:r>
          </w:p>
        </w:tc>
        <w:tc>
          <w:tcPr>
            <w:tcW w:w="1843"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0.5</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BDA2GC</w:t>
            </w:r>
          </w:p>
        </w:tc>
        <w:tc>
          <w:tcPr>
            <w:tcW w:w="297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N/A</w:t>
            </w:r>
          </w:p>
        </w:tc>
        <w:tc>
          <w:tcPr>
            <w:tcW w:w="1843"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0</w:t>
            </w:r>
          </w:p>
        </w:tc>
      </w:tr>
    </w:tbl>
    <w:p w:rsidR="00AC460F" w:rsidRPr="008D2EA0" w:rsidRDefault="00AC460F" w:rsidP="00922F46">
      <w:pPr>
        <w:pStyle w:val="ECCTablenote"/>
      </w:pP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As can be seen from</w:t>
      </w:r>
      <w:r w:rsidR="002E3DC7" w:rsidRPr="008D2EA0">
        <w:rPr>
          <w:rFonts w:cs="Arial"/>
          <w:color w:val="000000"/>
          <w:szCs w:val="20"/>
          <w:lang w:val="en-GB" w:eastAsia="sv-SE"/>
        </w:rPr>
        <w:t xml:space="preserve"> </w:t>
      </w:r>
      <w:r w:rsidR="002E3DC7" w:rsidRPr="008D2EA0">
        <w:rPr>
          <w:rFonts w:cs="Arial"/>
          <w:color w:val="000000"/>
          <w:szCs w:val="20"/>
          <w:lang w:val="en-GB" w:eastAsia="sv-SE"/>
        </w:rPr>
        <w:fldChar w:fldCharType="begin"/>
      </w:r>
      <w:r w:rsidR="002E3DC7" w:rsidRPr="008D2EA0">
        <w:rPr>
          <w:rFonts w:cs="Arial"/>
          <w:color w:val="000000"/>
          <w:szCs w:val="20"/>
          <w:lang w:val="en-GB" w:eastAsia="sv-SE"/>
        </w:rPr>
        <w:instrText xml:space="preserve"> REF _Ref330549739 \r \h </w:instrText>
      </w:r>
      <w:r w:rsidR="002E3DC7" w:rsidRPr="008D2EA0">
        <w:rPr>
          <w:rFonts w:cs="Arial"/>
          <w:color w:val="000000"/>
          <w:szCs w:val="20"/>
          <w:lang w:val="en-GB" w:eastAsia="sv-SE"/>
        </w:rPr>
      </w:r>
      <w:r w:rsidR="002E3DC7" w:rsidRPr="008D2EA0">
        <w:rPr>
          <w:rFonts w:cs="Arial"/>
          <w:color w:val="000000"/>
          <w:szCs w:val="20"/>
          <w:lang w:val="en-GB" w:eastAsia="sv-SE"/>
        </w:rPr>
        <w:fldChar w:fldCharType="separate"/>
      </w:r>
      <w:r w:rsidR="00E73FF2">
        <w:rPr>
          <w:rFonts w:cs="Arial"/>
          <w:color w:val="000000"/>
          <w:szCs w:val="20"/>
          <w:lang w:val="en-GB" w:eastAsia="sv-SE"/>
        </w:rPr>
        <w:t>Table 38:</w:t>
      </w:r>
      <w:r w:rsidR="002E3DC7" w:rsidRPr="008D2EA0">
        <w:rPr>
          <w:rFonts w:cs="Arial"/>
          <w:color w:val="000000"/>
          <w:szCs w:val="20"/>
          <w:lang w:val="en-GB" w:eastAsia="sv-SE"/>
        </w:rPr>
        <w:fldChar w:fldCharType="end"/>
      </w:r>
      <w:r w:rsidRPr="008D2EA0">
        <w:rPr>
          <w:rFonts w:cs="Arial"/>
          <w:color w:val="000000"/>
          <w:szCs w:val="20"/>
          <w:lang w:val="en-GB" w:eastAsia="sv-SE"/>
        </w:rPr>
        <w:t>, CSmax = 28 b€.</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The points awarded to each regulatory options / scenario are derived from the following formula:</w:t>
      </w:r>
    </w:p>
    <w:p w:rsidR="00AC460F" w:rsidRPr="008D2EA0" w:rsidRDefault="00F21C76" w:rsidP="00AC460F">
      <w:pPr>
        <w:rPr>
          <w:rFonts w:cs="Arial"/>
          <w:color w:val="000000"/>
          <w:szCs w:val="20"/>
          <w:lang w:val="en-GB" w:eastAsia="sv-SE"/>
        </w:rPr>
      </w:pPr>
      <m:oMathPara>
        <m:oMathParaPr>
          <m:jc m:val="center"/>
        </m:oMathParaPr>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Regulatory Option</m:t>
              </m:r>
            </m:sub>
          </m:sSub>
          <m:r>
            <w:rPr>
              <w:rFonts w:ascii="Cambria Math" w:hAnsi="Cambria Math" w:cs="Arial"/>
              <w:color w:val="000000"/>
              <w:szCs w:val="20"/>
              <w:lang w:val="en-GB" w:eastAsia="sv-SE"/>
            </w:rPr>
            <m:t>=</m:t>
          </m:r>
          <m:nary>
            <m:naryPr>
              <m:chr m:val="∑"/>
              <m:limLoc m:val="undOvr"/>
              <m:ctrlPr>
                <w:rPr>
                  <w:rFonts w:ascii="Cambria Math" w:hAnsi="Cambria Math" w:cs="Arial"/>
                  <w:i/>
                  <w:color w:val="000000"/>
                  <w:szCs w:val="20"/>
                  <w:lang w:val="en-GB" w:eastAsia="sv-SE"/>
                </w:rPr>
              </m:ctrlPr>
            </m:naryPr>
            <m:sub>
              <m:r>
                <w:rPr>
                  <w:rFonts w:ascii="Cambria Math" w:hAnsi="Cambria Math" w:cs="Arial"/>
                  <w:color w:val="000000"/>
                  <w:szCs w:val="20"/>
                  <w:lang w:val="en-GB" w:eastAsia="sv-SE"/>
                </w:rPr>
                <m:t>a=1</m:t>
              </m:r>
            </m:sub>
            <m:sup>
              <m:r>
                <w:rPr>
                  <w:rFonts w:ascii="Cambria Math" w:hAnsi="Cambria Math" w:cs="Arial"/>
                  <w:color w:val="000000"/>
                  <w:szCs w:val="20"/>
                  <w:lang w:val="en-GB" w:eastAsia="sv-SE"/>
                </w:rPr>
                <m:t>nb_app</m:t>
              </m:r>
              <m:r>
                <w:rPr>
                  <w:rFonts w:ascii="Cambria Math" w:hAnsi="Cambria Math" w:cs="Arial"/>
                  <w:color w:val="000000"/>
                  <w:szCs w:val="20"/>
                  <w:lang w:val="en-GB" w:eastAsia="sv-SE"/>
                </w:rPr>
                <m:t>lications</m:t>
              </m:r>
            </m:sup>
            <m:e>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Application a</m:t>
                  </m:r>
                </m:sub>
              </m:sSub>
            </m:e>
          </m:nary>
        </m:oMath>
      </m:oMathPara>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 xml:space="preserve">where </w:t>
      </w:r>
      <m:oMath>
        <m:r>
          <w:rPr>
            <w:rFonts w:ascii="Cambria Math" w:hAnsi="Cambria Math" w:cs="Arial"/>
            <w:color w:val="000000"/>
            <w:szCs w:val="20"/>
            <w:lang w:val="en-GB" w:eastAsia="sv-SE"/>
          </w:rPr>
          <m:t>nb_applications</m:t>
        </m:r>
      </m:oMath>
      <w:r w:rsidRPr="008D2EA0">
        <w:rPr>
          <w:rFonts w:cs="Arial"/>
          <w:color w:val="000000"/>
          <w:szCs w:val="20"/>
          <w:lang w:val="en-GB" w:eastAsia="sv-SE"/>
        </w:rPr>
        <w:t xml:space="preserve"> is the number of main applications for a specific regulatory option / </w:t>
      </w:r>
      <w:r w:rsidRPr="008D2EA0">
        <w:rPr>
          <w:rFonts w:cs="Arial"/>
          <w:szCs w:val="20"/>
          <w:lang w:val="en-GB"/>
        </w:rPr>
        <w:t>scenario.</w:t>
      </w:r>
    </w:p>
    <w:p w:rsidR="00AC460F" w:rsidRPr="008D2EA0" w:rsidRDefault="00AC460F" w:rsidP="00F21C76">
      <w:pPr>
        <w:pStyle w:val="ECCTabletitle"/>
      </w:pPr>
      <w:r w:rsidRPr="008D2EA0">
        <w:t xml:space="preserve"> Assessment of Criterion 3a for each Regulatory Option / Scenario</w:t>
      </w:r>
    </w:p>
    <w:tbl>
      <w:tblPr>
        <w:tblW w:w="0" w:type="auto"/>
        <w:jc w:val="center"/>
        <w:tblInd w:w="-5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07"/>
        <w:gridCol w:w="1337"/>
      </w:tblGrid>
      <w:tr w:rsidR="00AC460F" w:rsidRPr="008D2EA0" w:rsidTr="009A4015">
        <w:trPr>
          <w:tblHeader/>
          <w:jc w:val="center"/>
        </w:trPr>
        <w:tc>
          <w:tcPr>
            <w:tcW w:w="3607"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Regulatory Option / Scenario</w:t>
            </w:r>
          </w:p>
        </w:tc>
        <w:tc>
          <w:tcPr>
            <w:tcW w:w="1337"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9A4015">
        <w:trPr>
          <w:jc w:val="center"/>
        </w:trPr>
        <w:tc>
          <w:tcPr>
            <w:tcW w:w="360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Regulatory Option 1</w:t>
            </w:r>
          </w:p>
        </w:tc>
        <w:tc>
          <w:tcPr>
            <w:tcW w:w="1337" w:type="dxa"/>
            <w:tcBorders>
              <w:top w:val="single" w:sz="4" w:space="0" w:color="D2232A"/>
              <w:left w:val="single" w:sz="4" w:space="0" w:color="D2232A"/>
              <w:bottom w:val="single" w:sz="4" w:space="0" w:color="D2232A"/>
              <w:right w:val="single" w:sz="4" w:space="0" w:color="D2232A"/>
            </w:tcBorders>
          </w:tcPr>
          <w:p w:rsidR="00AC460F" w:rsidRPr="008D2EA0" w:rsidRDefault="00DE08E8" w:rsidP="009A4015">
            <w:pPr>
              <w:spacing w:line="288" w:lineRule="auto"/>
              <w:rPr>
                <w:lang w:val="en-GB"/>
              </w:rPr>
            </w:pPr>
            <w:r w:rsidRPr="008D2EA0">
              <w:rPr>
                <w:lang w:val="en-GB"/>
              </w:rPr>
              <w:t>0.9</w:t>
            </w:r>
          </w:p>
        </w:tc>
      </w:tr>
      <w:tr w:rsidR="00AC460F" w:rsidRPr="008D2EA0" w:rsidTr="009A4015">
        <w:trPr>
          <w:jc w:val="center"/>
        </w:trPr>
        <w:tc>
          <w:tcPr>
            <w:tcW w:w="360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Regulatory Option 2 / Scenario A</w:t>
            </w:r>
          </w:p>
        </w:tc>
        <w:tc>
          <w:tcPr>
            <w:tcW w:w="1337"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3</w:t>
            </w:r>
          </w:p>
        </w:tc>
      </w:tr>
      <w:tr w:rsidR="00AC460F" w:rsidRPr="008D2EA0" w:rsidTr="009A4015">
        <w:trPr>
          <w:jc w:val="center"/>
        </w:trPr>
        <w:tc>
          <w:tcPr>
            <w:tcW w:w="360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2 / Scenario B</w:t>
            </w:r>
          </w:p>
        </w:tc>
        <w:tc>
          <w:tcPr>
            <w:tcW w:w="1337"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0</w:t>
            </w:r>
          </w:p>
        </w:tc>
      </w:tr>
      <w:tr w:rsidR="00AC460F" w:rsidRPr="008D2EA0" w:rsidTr="009A4015">
        <w:trPr>
          <w:jc w:val="center"/>
        </w:trPr>
        <w:tc>
          <w:tcPr>
            <w:tcW w:w="360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A</w:t>
            </w:r>
          </w:p>
        </w:tc>
        <w:tc>
          <w:tcPr>
            <w:tcW w:w="1337"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0.5</w:t>
            </w:r>
          </w:p>
        </w:tc>
      </w:tr>
      <w:tr w:rsidR="00AC460F" w:rsidRPr="008D2EA0" w:rsidTr="009A4015">
        <w:trPr>
          <w:jc w:val="center"/>
        </w:trPr>
        <w:tc>
          <w:tcPr>
            <w:tcW w:w="360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B</w:t>
            </w:r>
          </w:p>
        </w:tc>
        <w:tc>
          <w:tcPr>
            <w:tcW w:w="1337"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0</w:t>
            </w:r>
          </w:p>
        </w:tc>
      </w:tr>
    </w:tbl>
    <w:p w:rsidR="00AC460F" w:rsidRPr="008D2EA0" w:rsidRDefault="00AC460F" w:rsidP="00AC460F">
      <w:pPr>
        <w:rPr>
          <w:rFonts w:cs="Arial"/>
          <w:color w:val="000000"/>
          <w:szCs w:val="20"/>
          <w:lang w:val="en-GB" w:eastAsia="sv-SE"/>
        </w:rPr>
      </w:pPr>
    </w:p>
    <w:p w:rsidR="00AC460F" w:rsidRPr="008D2EA0" w:rsidRDefault="00AC460F" w:rsidP="00AC460F">
      <w:pPr>
        <w:rPr>
          <w:rFonts w:cs="Arial"/>
          <w:i/>
          <w:szCs w:val="20"/>
          <w:lang w:val="en-GB" w:eastAsia="fr-FR"/>
        </w:rPr>
      </w:pPr>
    </w:p>
    <w:p w:rsidR="00AC460F" w:rsidRPr="008D2EA0" w:rsidRDefault="00AC460F" w:rsidP="00AC460F">
      <w:pPr>
        <w:rPr>
          <w:rFonts w:cs="Arial"/>
          <w:i/>
          <w:szCs w:val="20"/>
          <w:lang w:val="en-GB"/>
        </w:rPr>
      </w:pPr>
      <w:r w:rsidRPr="008D2EA0">
        <w:rPr>
          <w:rFonts w:cs="Arial"/>
          <w:i/>
          <w:szCs w:val="20"/>
          <w:lang w:val="en-GB"/>
        </w:rPr>
        <w:t>Sub-criterion 3b: Citizen/consumer benefits</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This sub-criterion awards a maximum of 3 points.</w:t>
      </w: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 xml:space="preserve">Each application is awarded a grade, </w:t>
      </w:r>
      <w:r w:rsidR="00235EEF">
        <w:rPr>
          <w:rFonts w:cs="Arial"/>
          <w:color w:val="000000"/>
          <w:szCs w:val="20"/>
          <w:lang w:val="en-GB" w:eastAsia="sv-SE"/>
        </w:rPr>
        <w:t xml:space="preserve">based on </w:t>
      </w:r>
      <w:r w:rsidRPr="008D2EA0">
        <w:rPr>
          <w:rFonts w:cs="Arial"/>
          <w:color w:val="000000"/>
          <w:szCs w:val="20"/>
          <w:lang w:val="en-GB" w:eastAsia="sv-SE"/>
        </w:rPr>
        <w:t xml:space="preserve">the analysis carried out in Section </w:t>
      </w:r>
      <w:r w:rsidR="00235EEF">
        <w:rPr>
          <w:rFonts w:cs="Arial"/>
          <w:color w:val="000000"/>
          <w:szCs w:val="20"/>
          <w:lang w:val="en-GB" w:eastAsia="sv-SE"/>
        </w:rPr>
        <w:t>5</w:t>
      </w:r>
      <w:r w:rsidRPr="008D2EA0">
        <w:rPr>
          <w:rFonts w:cs="Arial"/>
          <w:color w:val="000000"/>
          <w:szCs w:val="20"/>
          <w:lang w:val="en-GB" w:eastAsia="sv-SE"/>
        </w:rPr>
        <w:t>. Each grade awards a specific number of points:</w:t>
      </w:r>
    </w:p>
    <w:p w:rsidR="00AC460F" w:rsidRPr="008D2EA0" w:rsidRDefault="00AC460F" w:rsidP="00EA689C">
      <w:pPr>
        <w:pStyle w:val="ECCParBulleted"/>
        <w:spacing w:before="120"/>
        <w:rPr>
          <w:lang w:eastAsia="sv-SE"/>
        </w:rPr>
      </w:pPr>
      <w:r w:rsidRPr="008D2EA0">
        <w:rPr>
          <w:lang w:eastAsia="sv-SE"/>
        </w:rPr>
        <w:t xml:space="preserve">Very High (3 points) </w:t>
      </w:r>
    </w:p>
    <w:p w:rsidR="00AC460F" w:rsidRPr="008D2EA0" w:rsidRDefault="00AC460F" w:rsidP="00EA689C">
      <w:pPr>
        <w:pStyle w:val="ECCParBulleted"/>
        <w:spacing w:before="120"/>
        <w:rPr>
          <w:lang w:eastAsia="sv-SE"/>
        </w:rPr>
      </w:pPr>
      <w:r w:rsidRPr="008D2EA0">
        <w:rPr>
          <w:lang w:eastAsia="sv-SE"/>
        </w:rPr>
        <w:t>High (2 points)</w:t>
      </w:r>
    </w:p>
    <w:p w:rsidR="00AC460F" w:rsidRPr="008D2EA0" w:rsidRDefault="00AC460F" w:rsidP="00EA689C">
      <w:pPr>
        <w:pStyle w:val="ECCParBulleted"/>
        <w:spacing w:before="120"/>
        <w:rPr>
          <w:lang w:eastAsia="sv-SE"/>
        </w:rPr>
      </w:pPr>
      <w:r w:rsidRPr="008D2EA0">
        <w:rPr>
          <w:lang w:eastAsia="sv-SE"/>
        </w:rPr>
        <w:t>Medium (1 point)</w:t>
      </w:r>
    </w:p>
    <w:p w:rsidR="00AC460F" w:rsidRPr="008D2EA0" w:rsidRDefault="00AC460F" w:rsidP="00EA689C">
      <w:pPr>
        <w:pStyle w:val="ECCParBulleted"/>
        <w:spacing w:before="120"/>
        <w:rPr>
          <w:lang w:eastAsia="sv-SE"/>
        </w:rPr>
      </w:pPr>
      <w:r w:rsidRPr="008D2EA0">
        <w:rPr>
          <w:lang w:eastAsia="sv-SE"/>
        </w:rPr>
        <w:t>Low (0 point)</w:t>
      </w:r>
    </w:p>
    <w:p w:rsidR="00AC460F" w:rsidRPr="008D2EA0" w:rsidRDefault="00AC460F" w:rsidP="00AC460F">
      <w:pPr>
        <w:rPr>
          <w:rFonts w:cs="Arial"/>
          <w:color w:val="000000"/>
          <w:szCs w:val="20"/>
          <w:lang w:val="en-GB" w:eastAsia="sv-SE"/>
        </w:rPr>
      </w:pPr>
    </w:p>
    <w:p w:rsidR="00AC460F" w:rsidRPr="008D2EA0" w:rsidRDefault="00AC460F" w:rsidP="001E74AC">
      <w:pPr>
        <w:keepNext/>
        <w:rPr>
          <w:lang w:val="en-GB"/>
        </w:rPr>
      </w:pPr>
      <w:r w:rsidRPr="008D2EA0">
        <w:rPr>
          <w:rFonts w:cs="Arial"/>
          <w:szCs w:val="20"/>
          <w:lang w:val="en-GB"/>
        </w:rPr>
        <w:t>The following table provides an overview of the results for the applications under consideration.</w:t>
      </w:r>
    </w:p>
    <w:p w:rsidR="00AC460F" w:rsidRPr="008D2EA0" w:rsidRDefault="00AC460F" w:rsidP="00F21C76">
      <w:pPr>
        <w:pStyle w:val="ECCTabletitle"/>
      </w:pPr>
      <w:r w:rsidRPr="008D2EA0">
        <w:t xml:space="preserve"> Citizen/Consumer Benefits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2074"/>
        <w:gridCol w:w="1134"/>
      </w:tblGrid>
      <w:tr w:rsidR="00AC460F" w:rsidRPr="008D2EA0" w:rsidTr="001F0F23">
        <w:trPr>
          <w:tblHeader/>
          <w:jc w:val="center"/>
        </w:trPr>
        <w:tc>
          <w:tcPr>
            <w:tcW w:w="1809"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AC460F" w:rsidRPr="008D2EA0" w:rsidRDefault="00AC460F" w:rsidP="001E74AC">
            <w:pPr>
              <w:keepNext/>
              <w:spacing w:line="288" w:lineRule="auto"/>
              <w:jc w:val="center"/>
              <w:rPr>
                <w:b/>
                <w:color w:val="FFFFFF"/>
                <w:lang w:val="en-GB"/>
              </w:rPr>
            </w:pPr>
            <w:r w:rsidRPr="008D2EA0">
              <w:rPr>
                <w:b/>
                <w:color w:val="FFFFFF"/>
                <w:lang w:val="en-GB"/>
              </w:rPr>
              <w:t xml:space="preserve">Application </w:t>
            </w:r>
          </w:p>
        </w:tc>
        <w:tc>
          <w:tcPr>
            <w:tcW w:w="2074"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E74AC">
            <w:pPr>
              <w:keepNext/>
              <w:spacing w:line="288" w:lineRule="auto"/>
              <w:jc w:val="center"/>
              <w:rPr>
                <w:b/>
                <w:color w:val="FFFFFF"/>
                <w:lang w:val="en-GB"/>
              </w:rPr>
            </w:pPr>
            <w:r w:rsidRPr="008D2EA0">
              <w:rPr>
                <w:b/>
                <w:color w:val="FFFFFF"/>
                <w:lang w:val="en-GB"/>
              </w:rPr>
              <w:t>Grade</w:t>
            </w:r>
          </w:p>
        </w:tc>
        <w:tc>
          <w:tcPr>
            <w:tcW w:w="1134"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AC460F" w:rsidRPr="008D2EA0" w:rsidRDefault="00AC460F" w:rsidP="001E74AC">
            <w:pPr>
              <w:keepNext/>
              <w:spacing w:line="288" w:lineRule="auto"/>
              <w:jc w:val="center"/>
              <w:rPr>
                <w:b/>
                <w:color w:val="FFFFFF"/>
                <w:lang w:val="en-GB"/>
              </w:rPr>
            </w:pPr>
            <w:r w:rsidRPr="008D2EA0">
              <w:rPr>
                <w:b/>
                <w:color w:val="FFFFFF"/>
                <w:lang w:val="en-GB"/>
              </w:rPr>
              <w:t>Points</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E74AC">
            <w:pPr>
              <w:keepNext/>
              <w:spacing w:line="288" w:lineRule="auto"/>
              <w:rPr>
                <w:lang w:val="en-GB"/>
              </w:rPr>
            </w:pPr>
            <w:r w:rsidRPr="008D2EA0">
              <w:rPr>
                <w:lang w:val="en-GB"/>
              </w:rPr>
              <w:t>TB</w:t>
            </w:r>
          </w:p>
        </w:tc>
        <w:tc>
          <w:tcPr>
            <w:tcW w:w="2074"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E74AC">
            <w:pPr>
              <w:keepNext/>
              <w:spacing w:line="288" w:lineRule="auto"/>
              <w:jc w:val="center"/>
              <w:rPr>
                <w:lang w:val="en-GB"/>
              </w:rPr>
            </w:pPr>
            <w:r w:rsidRPr="008D2EA0">
              <w:rPr>
                <w:lang w:val="en-GB"/>
              </w:rPr>
              <w:t>Medium</w:t>
            </w:r>
          </w:p>
        </w:tc>
        <w:tc>
          <w:tcPr>
            <w:tcW w:w="1134"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E74AC">
            <w:pPr>
              <w:keepNext/>
              <w:spacing w:line="288" w:lineRule="auto"/>
              <w:jc w:val="center"/>
              <w:rPr>
                <w:lang w:val="en-GB"/>
              </w:rPr>
            </w:pPr>
            <w:r w:rsidRPr="008D2EA0">
              <w:rPr>
                <w:lang w:val="en-GB"/>
              </w:rPr>
              <w:t>1</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E74AC">
            <w:pPr>
              <w:keepNext/>
              <w:spacing w:line="288" w:lineRule="auto"/>
              <w:rPr>
                <w:lang w:val="en-GB"/>
              </w:rPr>
            </w:pPr>
            <w:r w:rsidRPr="008D2EA0">
              <w:rPr>
                <w:lang w:val="en-GB"/>
              </w:rPr>
              <w:t>MBB</w:t>
            </w:r>
          </w:p>
        </w:tc>
        <w:tc>
          <w:tcPr>
            <w:tcW w:w="2074"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E74AC">
            <w:pPr>
              <w:keepNext/>
              <w:spacing w:line="288" w:lineRule="auto"/>
              <w:jc w:val="center"/>
              <w:rPr>
                <w:lang w:val="en-GB"/>
              </w:rPr>
            </w:pPr>
            <w:r w:rsidRPr="008D2EA0">
              <w:rPr>
                <w:lang w:val="en-GB"/>
              </w:rPr>
              <w:t>High</w:t>
            </w:r>
          </w:p>
        </w:tc>
        <w:tc>
          <w:tcPr>
            <w:tcW w:w="1134"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E74AC">
            <w:pPr>
              <w:keepNext/>
              <w:spacing w:line="288" w:lineRule="auto"/>
              <w:jc w:val="center"/>
              <w:rPr>
                <w:lang w:val="en-GB"/>
              </w:rPr>
            </w:pPr>
            <w:r w:rsidRPr="008D2EA0">
              <w:rPr>
                <w:lang w:val="en-GB"/>
              </w:rPr>
              <w:t>2</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tcPr>
          <w:p w:rsidR="00AC460F" w:rsidRPr="008D2EA0" w:rsidRDefault="00AC460F" w:rsidP="001E74AC">
            <w:pPr>
              <w:keepNext/>
              <w:spacing w:line="288" w:lineRule="auto"/>
              <w:rPr>
                <w:lang w:val="en-GB"/>
              </w:rPr>
            </w:pPr>
            <w:r w:rsidRPr="008D2EA0">
              <w:rPr>
                <w:rFonts w:eastAsia="Calibri" w:cs="Arial"/>
                <w:color w:val="000000"/>
                <w:szCs w:val="20"/>
                <w:lang w:val="en-GB" w:eastAsia="sv-SE"/>
              </w:rPr>
              <w:t>SDL</w:t>
            </w:r>
          </w:p>
        </w:tc>
        <w:tc>
          <w:tcPr>
            <w:tcW w:w="2074" w:type="dxa"/>
            <w:tcBorders>
              <w:top w:val="single" w:sz="4" w:space="0" w:color="D2232A"/>
              <w:left w:val="single" w:sz="4" w:space="0" w:color="D2232A"/>
              <w:bottom w:val="single" w:sz="4" w:space="0" w:color="D2232A"/>
              <w:right w:val="single" w:sz="4" w:space="0" w:color="D2232A"/>
            </w:tcBorders>
          </w:tcPr>
          <w:p w:rsidR="00AC460F" w:rsidRPr="008D2EA0" w:rsidRDefault="00AC460F" w:rsidP="001E74AC">
            <w:pPr>
              <w:keepNext/>
              <w:spacing w:line="288" w:lineRule="auto"/>
              <w:jc w:val="center"/>
              <w:rPr>
                <w:rFonts w:eastAsia="Calibri" w:cs="Arial"/>
                <w:color w:val="000000"/>
                <w:szCs w:val="20"/>
                <w:lang w:val="en-GB" w:eastAsia="sv-SE"/>
              </w:rPr>
            </w:pPr>
            <w:r w:rsidRPr="008D2EA0">
              <w:rPr>
                <w:rFonts w:eastAsia="Calibri" w:cs="Arial"/>
                <w:color w:val="000000"/>
                <w:szCs w:val="20"/>
                <w:lang w:val="en-GB" w:eastAsia="sv-SE"/>
              </w:rPr>
              <w:t>Very High</w:t>
            </w:r>
          </w:p>
        </w:tc>
        <w:tc>
          <w:tcPr>
            <w:tcW w:w="1134" w:type="dxa"/>
            <w:tcBorders>
              <w:top w:val="single" w:sz="4" w:space="0" w:color="D2232A"/>
              <w:left w:val="single" w:sz="4" w:space="0" w:color="D2232A"/>
              <w:bottom w:val="single" w:sz="4" w:space="0" w:color="D2232A"/>
              <w:right w:val="single" w:sz="4" w:space="0" w:color="D2232A"/>
            </w:tcBorders>
          </w:tcPr>
          <w:p w:rsidR="00AC460F" w:rsidRPr="008D2EA0" w:rsidRDefault="00AC460F" w:rsidP="001E74AC">
            <w:pPr>
              <w:keepNext/>
              <w:spacing w:line="288" w:lineRule="auto"/>
              <w:jc w:val="center"/>
              <w:rPr>
                <w:rFonts w:eastAsia="Calibri" w:cs="Arial"/>
                <w:color w:val="000000"/>
                <w:szCs w:val="20"/>
                <w:lang w:val="en-GB" w:eastAsia="sv-SE"/>
              </w:rPr>
            </w:pPr>
            <w:r w:rsidRPr="008D2EA0">
              <w:rPr>
                <w:rFonts w:eastAsia="Calibri" w:cs="Arial"/>
                <w:color w:val="000000"/>
                <w:szCs w:val="20"/>
                <w:lang w:val="en-GB" w:eastAsia="sv-SE"/>
              </w:rPr>
              <w:t>3</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rFonts w:eastAsia="Calibri" w:cs="Arial"/>
                <w:color w:val="000000"/>
                <w:szCs w:val="20"/>
                <w:lang w:val="en-GB" w:eastAsia="sv-SE"/>
              </w:rPr>
              <w:t>S-DAB</w:t>
            </w:r>
          </w:p>
        </w:tc>
        <w:tc>
          <w:tcPr>
            <w:tcW w:w="2074"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jc w:val="center"/>
              <w:rPr>
                <w:lang w:val="en-GB"/>
              </w:rPr>
            </w:pPr>
            <w:r w:rsidRPr="008D2EA0">
              <w:rPr>
                <w:rFonts w:eastAsia="Calibri" w:cs="Arial"/>
                <w:color w:val="000000"/>
                <w:szCs w:val="20"/>
                <w:lang w:val="en-GB" w:eastAsia="sv-SE"/>
              </w:rPr>
              <w:t>Low</w:t>
            </w:r>
          </w:p>
        </w:tc>
        <w:tc>
          <w:tcPr>
            <w:tcW w:w="1134"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jc w:val="center"/>
              <w:rPr>
                <w:rFonts w:eastAsia="Calibri" w:cs="Arial"/>
                <w:color w:val="000000"/>
                <w:szCs w:val="20"/>
                <w:lang w:val="en-GB" w:eastAsia="sv-SE"/>
              </w:rPr>
            </w:pPr>
            <w:r w:rsidRPr="008D2EA0">
              <w:rPr>
                <w:rFonts w:eastAsia="Calibri" w:cs="Arial"/>
                <w:color w:val="000000"/>
                <w:szCs w:val="20"/>
                <w:lang w:val="en-GB" w:eastAsia="sv-SE"/>
              </w:rPr>
              <w:t>0</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eastAsia="Calibri" w:cs="Arial"/>
                <w:color w:val="000000"/>
                <w:szCs w:val="20"/>
                <w:lang w:val="en-GB" w:eastAsia="sv-SE"/>
              </w:rPr>
              <w:t>PMSE</w:t>
            </w:r>
          </w:p>
        </w:tc>
        <w:tc>
          <w:tcPr>
            <w:tcW w:w="2074"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jc w:val="center"/>
              <w:rPr>
                <w:lang w:val="en-GB"/>
              </w:rPr>
            </w:pPr>
            <w:r w:rsidRPr="008D2EA0">
              <w:rPr>
                <w:lang w:val="en-GB"/>
              </w:rPr>
              <w:t>Medium</w:t>
            </w:r>
          </w:p>
        </w:tc>
        <w:tc>
          <w:tcPr>
            <w:tcW w:w="1134"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jc w:val="center"/>
              <w:rPr>
                <w:rFonts w:eastAsia="Calibri" w:cs="Arial"/>
                <w:color w:val="000000"/>
                <w:szCs w:val="20"/>
                <w:lang w:val="en-GB" w:eastAsia="sv-SE"/>
              </w:rPr>
            </w:pPr>
            <w:r w:rsidRPr="008D2EA0">
              <w:rPr>
                <w:rFonts w:eastAsia="Calibri" w:cs="Arial"/>
                <w:color w:val="000000"/>
                <w:szCs w:val="20"/>
                <w:lang w:val="en-GB" w:eastAsia="sv-SE"/>
              </w:rPr>
              <w:t>1</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highlight w:val="yellow"/>
                <w:lang w:val="en-GB"/>
              </w:rPr>
            </w:pPr>
            <w:r w:rsidRPr="008D2EA0">
              <w:rPr>
                <w:rFonts w:eastAsia="Calibri" w:cs="Arial"/>
                <w:color w:val="000000"/>
                <w:szCs w:val="20"/>
                <w:lang w:val="en-GB" w:eastAsia="sv-SE"/>
              </w:rPr>
              <w:t>PPDR</w:t>
            </w:r>
          </w:p>
        </w:tc>
        <w:tc>
          <w:tcPr>
            <w:tcW w:w="2074"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jc w:val="center"/>
              <w:rPr>
                <w:highlight w:val="yellow"/>
                <w:lang w:val="en-GB"/>
              </w:rPr>
            </w:pPr>
            <w:r w:rsidRPr="008D2EA0">
              <w:rPr>
                <w:rFonts w:eastAsia="Calibri" w:cs="Arial"/>
                <w:color w:val="000000"/>
                <w:szCs w:val="20"/>
                <w:lang w:val="en-GB" w:eastAsia="sv-SE"/>
              </w:rPr>
              <w:t>Very High</w:t>
            </w:r>
          </w:p>
        </w:tc>
        <w:tc>
          <w:tcPr>
            <w:tcW w:w="1134"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jc w:val="center"/>
              <w:rPr>
                <w:rFonts w:eastAsia="Calibri" w:cs="Arial"/>
                <w:color w:val="000000"/>
                <w:szCs w:val="20"/>
                <w:lang w:val="en-GB" w:eastAsia="sv-SE"/>
              </w:rPr>
            </w:pPr>
            <w:r w:rsidRPr="008D2EA0">
              <w:rPr>
                <w:rFonts w:eastAsia="Calibri" w:cs="Arial"/>
                <w:color w:val="000000"/>
                <w:szCs w:val="20"/>
                <w:lang w:val="en-GB" w:eastAsia="sv-SE"/>
              </w:rPr>
              <w:t>3</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highlight w:val="yellow"/>
                <w:lang w:val="en-GB"/>
              </w:rPr>
            </w:pPr>
            <w:r w:rsidRPr="008D2EA0">
              <w:rPr>
                <w:rFonts w:eastAsia="Calibri" w:cs="Arial"/>
                <w:color w:val="000000"/>
                <w:szCs w:val="20"/>
                <w:lang w:val="en-GB" w:eastAsia="sv-SE"/>
              </w:rPr>
              <w:t>BDA2GC</w:t>
            </w:r>
          </w:p>
        </w:tc>
        <w:tc>
          <w:tcPr>
            <w:tcW w:w="2074"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jc w:val="center"/>
              <w:rPr>
                <w:highlight w:val="yellow"/>
                <w:lang w:val="en-GB"/>
              </w:rPr>
            </w:pPr>
            <w:r w:rsidRPr="008D2EA0">
              <w:rPr>
                <w:rFonts w:eastAsia="Calibri" w:cs="Arial"/>
                <w:color w:val="000000"/>
                <w:szCs w:val="20"/>
                <w:lang w:val="en-GB" w:eastAsia="sv-SE"/>
              </w:rPr>
              <w:t>Medium</w:t>
            </w:r>
          </w:p>
        </w:tc>
        <w:tc>
          <w:tcPr>
            <w:tcW w:w="1134"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jc w:val="center"/>
              <w:rPr>
                <w:rFonts w:eastAsia="Calibri" w:cs="Arial"/>
                <w:color w:val="000000"/>
                <w:szCs w:val="20"/>
                <w:lang w:val="en-GB" w:eastAsia="sv-SE"/>
              </w:rPr>
            </w:pPr>
            <w:r w:rsidRPr="008D2EA0">
              <w:rPr>
                <w:rFonts w:eastAsia="Calibri" w:cs="Arial"/>
                <w:color w:val="000000"/>
                <w:szCs w:val="20"/>
                <w:lang w:val="en-GB" w:eastAsia="sv-SE"/>
              </w:rPr>
              <w:t>1</w:t>
            </w:r>
          </w:p>
        </w:tc>
      </w:tr>
    </w:tbl>
    <w:p w:rsidR="00AC460F" w:rsidRPr="008D2EA0" w:rsidRDefault="00AC460F" w:rsidP="00AC460F">
      <w:pPr>
        <w:rPr>
          <w:rFonts w:cs="Arial"/>
          <w:i/>
          <w:szCs w:val="20"/>
          <w:lang w:val="en-GB"/>
        </w:rPr>
      </w:pPr>
    </w:p>
    <w:p w:rsidR="00AC460F" w:rsidRPr="008D2EA0" w:rsidRDefault="00AC460F" w:rsidP="00F77275">
      <w:pPr>
        <w:spacing w:after="120"/>
        <w:rPr>
          <w:rFonts w:cs="Arial"/>
          <w:color w:val="000000"/>
          <w:szCs w:val="20"/>
          <w:lang w:val="en-GB" w:eastAsia="sv-SE"/>
        </w:rPr>
      </w:pPr>
      <w:r w:rsidRPr="008D2EA0">
        <w:rPr>
          <w:rFonts w:cs="Arial"/>
          <w:color w:val="000000"/>
          <w:szCs w:val="20"/>
          <w:lang w:val="en-GB" w:eastAsia="sv-SE"/>
        </w:rPr>
        <w:t>The points awarded to each regulatory options / scenario are derived from the following formula:</w:t>
      </w:r>
    </w:p>
    <w:p w:rsidR="00AC460F" w:rsidRPr="008D2EA0" w:rsidRDefault="00F21C76" w:rsidP="00AC460F">
      <w:pPr>
        <w:rPr>
          <w:rFonts w:ascii="Times New Roman" w:hAnsi="Times New Roman"/>
          <w:color w:val="000000"/>
          <w:szCs w:val="20"/>
          <w:lang w:val="en-GB" w:eastAsia="sv-SE"/>
        </w:rPr>
      </w:pPr>
      <m:oMathPara>
        <m:oMathParaPr>
          <m:jc m:val="center"/>
        </m:oMathParaPr>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Regulatory Option</m:t>
              </m:r>
            </m:sub>
          </m:sSub>
          <m:r>
            <w:rPr>
              <w:rFonts w:ascii="Cambria Math" w:hAnsi="Cambria Math" w:cs="Arial"/>
              <w:color w:val="000000"/>
              <w:szCs w:val="20"/>
              <w:lang w:val="en-GB" w:eastAsia="sv-SE"/>
            </w:rPr>
            <m:t>=</m:t>
          </m:r>
          <m:nary>
            <m:naryPr>
              <m:chr m:val="∑"/>
              <m:limLoc m:val="undOvr"/>
              <m:ctrlPr>
                <w:rPr>
                  <w:rFonts w:ascii="Cambria Math" w:hAnsi="Cambria Math" w:cs="Arial"/>
                  <w:i/>
                  <w:color w:val="000000"/>
                  <w:szCs w:val="20"/>
                  <w:lang w:val="en-GB" w:eastAsia="sv-SE"/>
                </w:rPr>
              </m:ctrlPr>
            </m:naryPr>
            <m:sub>
              <m:r>
                <w:rPr>
                  <w:rFonts w:ascii="Cambria Math" w:hAnsi="Cambria Math" w:cs="Arial"/>
                  <w:color w:val="000000"/>
                  <w:szCs w:val="20"/>
                  <w:lang w:val="en-GB" w:eastAsia="sv-SE"/>
                </w:rPr>
                <m:t>a=1</m:t>
              </m:r>
            </m:sub>
            <m:sup>
              <m:r>
                <w:rPr>
                  <w:rFonts w:ascii="Cambria Math" w:hAnsi="Cambria Math" w:cs="Arial"/>
                  <w:color w:val="000000"/>
                  <w:szCs w:val="20"/>
                  <w:lang w:val="en-GB" w:eastAsia="sv-SE"/>
                </w:rPr>
                <m:t>nb_applications</m:t>
              </m:r>
            </m:sup>
            <m:e>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Application a</m:t>
                  </m:r>
                </m:sub>
              </m:sSub>
            </m:e>
          </m:nary>
          <m:r>
            <w:rPr>
              <w:rFonts w:ascii="Cambria Math" w:hAnsi="Cambria Math" w:cs="Arial"/>
              <w:color w:val="000000"/>
              <w:szCs w:val="20"/>
              <w:lang w:val="en-GB" w:eastAsia="sv-SE"/>
            </w:rPr>
            <m:t>×</m:t>
          </m:r>
          <m:f>
            <m:fPr>
              <m:ctrlPr>
                <w:rPr>
                  <w:rFonts w:ascii="Cambria Math" w:hAnsi="Cambria Math" w:cs="Arial"/>
                  <w:i/>
                  <w:color w:val="000000"/>
                  <w:szCs w:val="20"/>
                  <w:lang w:val="en-GB" w:eastAsia="sv-SE"/>
                </w:rPr>
              </m:ctrlPr>
            </m:fPr>
            <m:num>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BW</m:t>
                  </m:r>
                </m:e>
                <m:sub>
                  <m:r>
                    <w:rPr>
                      <w:rFonts w:ascii="Cambria Math" w:hAnsi="Cambria Math" w:cs="Arial"/>
                      <w:color w:val="000000"/>
                      <w:szCs w:val="20"/>
                      <w:lang w:val="en-GB" w:eastAsia="sv-SE"/>
                    </w:rPr>
                    <m:t>a</m:t>
                  </m:r>
                </m:sub>
              </m:sSub>
            </m:num>
            <m:den>
              <m:r>
                <w:rPr>
                  <w:rFonts w:ascii="Cambria Math" w:hAnsi="Cambria Math" w:cs="Arial"/>
                  <w:color w:val="000000"/>
                  <w:szCs w:val="20"/>
                  <w:lang w:val="en-GB" w:eastAsia="sv-SE"/>
                </w:rPr>
                <m:t>40 M</m:t>
              </m:r>
              <m:r>
                <w:rPr>
                  <w:rFonts w:ascii="Cambria Math" w:hAnsi="Cambria Math" w:cs="Arial"/>
                  <w:color w:val="000000"/>
                  <w:szCs w:val="20"/>
                  <w:lang w:val="en-GB" w:eastAsia="sv-SE"/>
                </w:rPr>
                <m:t>Hz</m:t>
              </m:r>
            </m:den>
          </m:f>
        </m:oMath>
      </m:oMathPara>
    </w:p>
    <w:p w:rsidR="00AC460F" w:rsidRPr="008D2EA0" w:rsidRDefault="00AC460F" w:rsidP="00F77275">
      <w:pPr>
        <w:spacing w:before="120"/>
        <w:rPr>
          <w:rFonts w:cs="Arial"/>
          <w:szCs w:val="20"/>
          <w:lang w:val="en-GB"/>
        </w:rPr>
      </w:pPr>
      <w:r w:rsidRPr="008D2EA0">
        <w:rPr>
          <w:rFonts w:cs="Arial"/>
          <w:color w:val="000000"/>
          <w:szCs w:val="20"/>
          <w:lang w:val="en-GB" w:eastAsia="sv-SE"/>
        </w:rPr>
        <w:t xml:space="preserve">where </w:t>
      </w:r>
      <m:oMath>
        <m:r>
          <w:rPr>
            <w:rFonts w:ascii="Cambria Math" w:hAnsi="Cambria Math" w:cs="Arial"/>
            <w:color w:val="000000"/>
            <w:szCs w:val="20"/>
            <w:lang w:val="en-GB" w:eastAsia="sv-SE"/>
          </w:rPr>
          <m:t>nb_applications</m:t>
        </m:r>
      </m:oMath>
      <w:r w:rsidRPr="008D2EA0">
        <w:rPr>
          <w:rFonts w:cs="Arial"/>
          <w:color w:val="000000"/>
          <w:szCs w:val="20"/>
          <w:lang w:val="en-GB" w:eastAsia="sv-SE"/>
        </w:rPr>
        <w:t xml:space="preserve"> is the number of main applications for a specific regulatory option / </w:t>
      </w:r>
      <w:r w:rsidRPr="008D2EA0">
        <w:rPr>
          <w:rFonts w:cs="Arial"/>
          <w:szCs w:val="20"/>
          <w:lang w:val="en-GB"/>
        </w:rPr>
        <w:t xml:space="preserve">scenario and </w:t>
      </w:r>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BW</m:t>
            </m:r>
          </m:e>
          <m:sub>
            <m:r>
              <w:rPr>
                <w:rFonts w:ascii="Cambria Math" w:hAnsi="Cambria Math" w:cs="Arial"/>
                <w:color w:val="000000"/>
                <w:szCs w:val="20"/>
                <w:lang w:val="en-GB" w:eastAsia="sv-SE"/>
              </w:rPr>
              <m:t>a</m:t>
            </m:r>
          </m:sub>
        </m:sSub>
      </m:oMath>
      <w:r w:rsidRPr="008D2EA0">
        <w:rPr>
          <w:rFonts w:cs="Arial"/>
          <w:color w:val="000000"/>
          <w:szCs w:val="20"/>
          <w:lang w:val="en-GB" w:eastAsia="sv-SE"/>
        </w:rPr>
        <w:t xml:space="preserve"> is the bandwidth allocated to application a</w:t>
      </w:r>
      <w:r w:rsidRPr="008D2EA0">
        <w:rPr>
          <w:rFonts w:cs="Arial"/>
          <w:szCs w:val="20"/>
          <w:lang w:val="en-GB"/>
        </w:rPr>
        <w:t>.</w:t>
      </w:r>
    </w:p>
    <w:p w:rsidR="00AC460F" w:rsidRPr="008D2EA0" w:rsidRDefault="00AC460F" w:rsidP="00F21C76">
      <w:pPr>
        <w:pStyle w:val="ECCTabletitle"/>
      </w:pPr>
      <w:r w:rsidRPr="008D2EA0">
        <w:t xml:space="preserve"> Assessment of Criterion 3b for each Regulatory Option / Scenario</w:t>
      </w:r>
    </w:p>
    <w:tbl>
      <w:tblPr>
        <w:tblW w:w="0" w:type="auto"/>
        <w:jc w:val="center"/>
        <w:tblInd w:w="-5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07"/>
        <w:gridCol w:w="1337"/>
      </w:tblGrid>
      <w:tr w:rsidR="00AC460F" w:rsidRPr="008D2EA0" w:rsidTr="009A4015">
        <w:trPr>
          <w:tblHeader/>
          <w:jc w:val="center"/>
        </w:trPr>
        <w:tc>
          <w:tcPr>
            <w:tcW w:w="3607"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Regulatory Option / Scenario</w:t>
            </w:r>
          </w:p>
        </w:tc>
        <w:tc>
          <w:tcPr>
            <w:tcW w:w="1337"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9A4015">
        <w:trPr>
          <w:jc w:val="center"/>
        </w:trPr>
        <w:tc>
          <w:tcPr>
            <w:tcW w:w="360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Regulatory Option 1</w:t>
            </w:r>
          </w:p>
        </w:tc>
        <w:tc>
          <w:tcPr>
            <w:tcW w:w="1337"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0.7</w:t>
            </w:r>
          </w:p>
        </w:tc>
      </w:tr>
      <w:tr w:rsidR="00AC460F" w:rsidRPr="008D2EA0" w:rsidTr="009A4015">
        <w:trPr>
          <w:jc w:val="center"/>
        </w:trPr>
        <w:tc>
          <w:tcPr>
            <w:tcW w:w="360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Regulatory Option 2 / Scenario A</w:t>
            </w:r>
          </w:p>
        </w:tc>
        <w:tc>
          <w:tcPr>
            <w:tcW w:w="1337"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3</w:t>
            </w:r>
          </w:p>
        </w:tc>
      </w:tr>
      <w:tr w:rsidR="00AC460F" w:rsidRPr="008D2EA0" w:rsidTr="009A4015">
        <w:trPr>
          <w:jc w:val="center"/>
        </w:trPr>
        <w:tc>
          <w:tcPr>
            <w:tcW w:w="360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2 / Scenario B</w:t>
            </w:r>
          </w:p>
        </w:tc>
        <w:tc>
          <w:tcPr>
            <w:tcW w:w="1337"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2</w:t>
            </w:r>
          </w:p>
        </w:tc>
      </w:tr>
      <w:tr w:rsidR="00AC460F" w:rsidRPr="008D2EA0" w:rsidTr="009A4015">
        <w:trPr>
          <w:jc w:val="center"/>
        </w:trPr>
        <w:tc>
          <w:tcPr>
            <w:tcW w:w="360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A</w:t>
            </w:r>
          </w:p>
        </w:tc>
        <w:tc>
          <w:tcPr>
            <w:tcW w:w="1337"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2</w:t>
            </w:r>
          </w:p>
        </w:tc>
      </w:tr>
      <w:tr w:rsidR="00AC460F" w:rsidRPr="008D2EA0" w:rsidTr="009A4015">
        <w:trPr>
          <w:jc w:val="center"/>
        </w:trPr>
        <w:tc>
          <w:tcPr>
            <w:tcW w:w="360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B</w:t>
            </w:r>
          </w:p>
        </w:tc>
        <w:tc>
          <w:tcPr>
            <w:tcW w:w="1337"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1</w:t>
            </w:r>
          </w:p>
        </w:tc>
      </w:tr>
    </w:tbl>
    <w:p w:rsidR="00AC460F" w:rsidRPr="008D2EA0" w:rsidRDefault="00AC460F" w:rsidP="00AC460F">
      <w:pPr>
        <w:rPr>
          <w:rFonts w:cs="Arial"/>
          <w:i/>
          <w:szCs w:val="20"/>
          <w:lang w:val="en-GB"/>
        </w:rPr>
      </w:pPr>
    </w:p>
    <w:p w:rsidR="00AC460F" w:rsidRPr="008D2EA0" w:rsidRDefault="00AC460F" w:rsidP="00AC460F">
      <w:pPr>
        <w:rPr>
          <w:rFonts w:cs="Arial"/>
          <w:i/>
          <w:color w:val="000000"/>
          <w:szCs w:val="20"/>
          <w:lang w:val="en-GB" w:eastAsia="sv-SE"/>
        </w:rPr>
      </w:pPr>
      <w:r w:rsidRPr="008D2EA0">
        <w:rPr>
          <w:rFonts w:cs="Arial"/>
          <w:i/>
          <w:szCs w:val="20"/>
          <w:lang w:val="en-GB"/>
        </w:rPr>
        <w:t>Sub-criterion 3c: Producer surplus</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This sub-criterion awards a maximum of 2 points.</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szCs w:val="20"/>
          <w:lang w:val="en-GB"/>
        </w:rPr>
      </w:pPr>
      <w:r w:rsidRPr="008D2EA0">
        <w:rPr>
          <w:rFonts w:cs="Arial"/>
          <w:szCs w:val="20"/>
          <w:lang w:val="en-GB"/>
        </w:rPr>
        <w:t>The points awarded to each application are derived from the following formula:</w:t>
      </w:r>
    </w:p>
    <w:p w:rsidR="00AC460F" w:rsidRPr="008D2EA0" w:rsidRDefault="00AC460F" w:rsidP="00F77275">
      <w:pPr>
        <w:spacing w:before="120" w:after="120"/>
        <w:jc w:val="center"/>
        <w:rPr>
          <w:rFonts w:cs="Arial"/>
          <w:color w:val="000000"/>
          <w:szCs w:val="20"/>
          <w:lang w:val="en-GB" w:eastAsia="sv-SE"/>
        </w:rPr>
      </w:pPr>
      <w:r w:rsidRPr="008D2EA0">
        <w:rPr>
          <w:rFonts w:cs="Arial"/>
          <w:color w:val="000000"/>
          <w:szCs w:val="20"/>
          <w:lang w:val="en-GB" w:eastAsia="sv-SE"/>
        </w:rPr>
        <w:t>Awarded Points = 2 x PS / PSmax</w:t>
      </w: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 xml:space="preserve">where PS is the producer surplus of the specific application and PSmax is the maximum among the producer surplus of all applications. </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0 point is awarded to an application when no producer surplus information is available.</w:t>
      </w:r>
    </w:p>
    <w:p w:rsidR="00AC460F" w:rsidRPr="008D2EA0" w:rsidRDefault="00AC460F" w:rsidP="00AC460F">
      <w:pPr>
        <w:rPr>
          <w:rFonts w:cs="Arial"/>
          <w:color w:val="000000"/>
          <w:szCs w:val="20"/>
          <w:lang w:val="en-GB" w:eastAsia="sv-SE"/>
        </w:rPr>
      </w:pPr>
    </w:p>
    <w:p w:rsidR="00AC460F" w:rsidRPr="008D2EA0" w:rsidRDefault="00AC460F" w:rsidP="00AC460F">
      <w:pPr>
        <w:rPr>
          <w:rFonts w:cs="Arial"/>
          <w:szCs w:val="20"/>
          <w:lang w:val="en-GB"/>
        </w:rPr>
      </w:pPr>
      <w:r w:rsidRPr="008D2EA0">
        <w:rPr>
          <w:rFonts w:cs="Arial"/>
          <w:szCs w:val="20"/>
          <w:lang w:val="en-GB"/>
        </w:rPr>
        <w:t>The following table provides an overview of the results for the applications under consideration.</w:t>
      </w:r>
    </w:p>
    <w:p w:rsidR="00AC460F" w:rsidRPr="008D2EA0" w:rsidRDefault="00AC460F" w:rsidP="00F21C76">
      <w:pPr>
        <w:pStyle w:val="ECCTabletitle"/>
      </w:pPr>
      <w:r w:rsidRPr="008D2EA0">
        <w:t xml:space="preserve"> </w:t>
      </w:r>
      <w:bookmarkStart w:id="168" w:name="_Ref330549780"/>
      <w:r w:rsidRPr="008D2EA0">
        <w:t>Producer Surplus of Candidate Applications</w:t>
      </w:r>
      <w:bookmarkEnd w:id="168"/>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2216"/>
        <w:gridCol w:w="1417"/>
      </w:tblGrid>
      <w:tr w:rsidR="00AC460F" w:rsidRPr="008D2EA0" w:rsidTr="001F0F23">
        <w:trPr>
          <w:tblHeader/>
          <w:jc w:val="center"/>
        </w:trPr>
        <w:tc>
          <w:tcPr>
            <w:tcW w:w="1809"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 xml:space="preserve">Application </w:t>
            </w:r>
          </w:p>
        </w:tc>
        <w:tc>
          <w:tcPr>
            <w:tcW w:w="2216"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Producer Surplus</w:t>
            </w:r>
          </w:p>
        </w:tc>
        <w:tc>
          <w:tcPr>
            <w:tcW w:w="141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TB + S-DAB</w:t>
            </w:r>
          </w:p>
        </w:tc>
        <w:tc>
          <w:tcPr>
            <w:tcW w:w="2216"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1.6 b€</w:t>
            </w:r>
          </w:p>
        </w:tc>
        <w:tc>
          <w:tcPr>
            <w:tcW w:w="141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0.1</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MBB</w:t>
            </w:r>
          </w:p>
        </w:tc>
        <w:tc>
          <w:tcPr>
            <w:tcW w:w="2216"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N/A</w:t>
            </w:r>
          </w:p>
        </w:tc>
        <w:tc>
          <w:tcPr>
            <w:tcW w:w="141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0</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SDL</w:t>
            </w:r>
          </w:p>
        </w:tc>
        <w:tc>
          <w:tcPr>
            <w:tcW w:w="2216"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26 b€</w:t>
            </w:r>
          </w:p>
        </w:tc>
        <w:tc>
          <w:tcPr>
            <w:tcW w:w="141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2</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PMSE</w:t>
            </w:r>
          </w:p>
        </w:tc>
        <w:tc>
          <w:tcPr>
            <w:tcW w:w="2216"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1.9 b€</w:t>
            </w:r>
          </w:p>
        </w:tc>
        <w:tc>
          <w:tcPr>
            <w:tcW w:w="141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0.1 (0.15)</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PPDR</w:t>
            </w:r>
          </w:p>
        </w:tc>
        <w:tc>
          <w:tcPr>
            <w:tcW w:w="2216"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N/A</w:t>
            </w:r>
          </w:p>
        </w:tc>
        <w:tc>
          <w:tcPr>
            <w:tcW w:w="141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0</w:t>
            </w:r>
          </w:p>
        </w:tc>
      </w:tr>
      <w:tr w:rsidR="00AC460F" w:rsidRPr="008D2EA0" w:rsidTr="001F0F23">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BDA2GC</w:t>
            </w:r>
          </w:p>
        </w:tc>
        <w:tc>
          <w:tcPr>
            <w:tcW w:w="2216"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0.591 b€</w:t>
            </w:r>
          </w:p>
        </w:tc>
        <w:tc>
          <w:tcPr>
            <w:tcW w:w="141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0 (0.05)</w:t>
            </w:r>
          </w:p>
        </w:tc>
      </w:tr>
    </w:tbl>
    <w:p w:rsidR="00AC460F" w:rsidRPr="008D2EA0" w:rsidRDefault="00AC460F" w:rsidP="00922F46">
      <w:pPr>
        <w:pStyle w:val="ECCTablenote"/>
      </w:pP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As can be seen from the</w:t>
      </w:r>
      <w:r w:rsidR="002E3DC7" w:rsidRPr="008D2EA0">
        <w:rPr>
          <w:rFonts w:cs="Arial"/>
          <w:color w:val="000000"/>
          <w:szCs w:val="20"/>
          <w:lang w:val="en-GB" w:eastAsia="sv-SE"/>
        </w:rPr>
        <w:t xml:space="preserve"> </w:t>
      </w:r>
      <w:r w:rsidR="002E3DC7" w:rsidRPr="008D2EA0">
        <w:rPr>
          <w:rFonts w:cs="Arial"/>
          <w:color w:val="000000"/>
          <w:szCs w:val="20"/>
          <w:lang w:val="en-GB" w:eastAsia="sv-SE"/>
        </w:rPr>
        <w:fldChar w:fldCharType="begin"/>
      </w:r>
      <w:r w:rsidR="002E3DC7" w:rsidRPr="008D2EA0">
        <w:rPr>
          <w:rFonts w:cs="Arial"/>
          <w:color w:val="000000"/>
          <w:szCs w:val="20"/>
          <w:lang w:val="en-GB" w:eastAsia="sv-SE"/>
        </w:rPr>
        <w:instrText xml:space="preserve"> REF _Ref330549780 \r \h </w:instrText>
      </w:r>
      <w:r w:rsidR="002E3DC7" w:rsidRPr="008D2EA0">
        <w:rPr>
          <w:rFonts w:cs="Arial"/>
          <w:color w:val="000000"/>
          <w:szCs w:val="20"/>
          <w:lang w:val="en-GB" w:eastAsia="sv-SE"/>
        </w:rPr>
      </w:r>
      <w:r w:rsidR="002E3DC7" w:rsidRPr="008D2EA0">
        <w:rPr>
          <w:rFonts w:cs="Arial"/>
          <w:color w:val="000000"/>
          <w:szCs w:val="20"/>
          <w:lang w:val="en-GB" w:eastAsia="sv-SE"/>
        </w:rPr>
        <w:fldChar w:fldCharType="separate"/>
      </w:r>
      <w:r w:rsidR="00E73FF2">
        <w:rPr>
          <w:rFonts w:cs="Arial"/>
          <w:color w:val="000000"/>
          <w:szCs w:val="20"/>
          <w:lang w:val="en-GB" w:eastAsia="sv-SE"/>
        </w:rPr>
        <w:t>Table 42:</w:t>
      </w:r>
      <w:r w:rsidR="002E3DC7" w:rsidRPr="008D2EA0">
        <w:rPr>
          <w:rFonts w:cs="Arial"/>
          <w:color w:val="000000"/>
          <w:szCs w:val="20"/>
          <w:lang w:val="en-GB" w:eastAsia="sv-SE"/>
        </w:rPr>
        <w:fldChar w:fldCharType="end"/>
      </w:r>
      <w:r w:rsidRPr="008D2EA0">
        <w:rPr>
          <w:rFonts w:cs="Arial"/>
          <w:color w:val="000000"/>
          <w:szCs w:val="20"/>
          <w:lang w:val="en-GB" w:eastAsia="sv-SE"/>
        </w:rPr>
        <w:t>, PSmax =  26 b€.</w:t>
      </w:r>
    </w:p>
    <w:p w:rsidR="00AC460F" w:rsidRPr="008D2EA0" w:rsidRDefault="00AC460F" w:rsidP="00AC460F">
      <w:pPr>
        <w:rPr>
          <w:rFonts w:cs="Arial"/>
          <w:szCs w:val="20"/>
          <w:lang w:val="en-GB" w:eastAsia="fr-FR"/>
        </w:rPr>
      </w:pPr>
    </w:p>
    <w:p w:rsidR="00AC460F" w:rsidRPr="008D2EA0" w:rsidRDefault="00AC460F" w:rsidP="00F77275">
      <w:pPr>
        <w:spacing w:after="120"/>
        <w:rPr>
          <w:rFonts w:cs="Arial"/>
          <w:color w:val="000000"/>
          <w:szCs w:val="20"/>
          <w:lang w:val="en-GB" w:eastAsia="sv-SE"/>
        </w:rPr>
      </w:pPr>
      <w:r w:rsidRPr="008D2EA0">
        <w:rPr>
          <w:rFonts w:cs="Arial"/>
          <w:color w:val="000000"/>
          <w:szCs w:val="20"/>
          <w:lang w:val="en-GB" w:eastAsia="sv-SE"/>
        </w:rPr>
        <w:t>The points awarded to each regulatory options / scenario are derived from the following formula:</w:t>
      </w:r>
    </w:p>
    <w:p w:rsidR="00AC460F" w:rsidRPr="008D2EA0" w:rsidRDefault="00F21C76" w:rsidP="00AC460F">
      <w:pPr>
        <w:rPr>
          <w:rFonts w:cs="Arial"/>
          <w:color w:val="000000"/>
          <w:szCs w:val="20"/>
          <w:lang w:val="en-GB" w:eastAsia="sv-SE"/>
        </w:rPr>
      </w:pPr>
      <m:oMathPara>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Regulatory Option</m:t>
              </m:r>
            </m:sub>
          </m:sSub>
          <m:r>
            <w:rPr>
              <w:rFonts w:ascii="Cambria Math" w:hAnsi="Cambria Math" w:cs="Arial"/>
              <w:color w:val="000000"/>
              <w:szCs w:val="20"/>
              <w:lang w:val="en-GB" w:eastAsia="sv-SE"/>
            </w:rPr>
            <m:t>=</m:t>
          </m:r>
          <m:nary>
            <m:naryPr>
              <m:chr m:val="∑"/>
              <m:limLoc m:val="undOvr"/>
              <m:ctrlPr>
                <w:rPr>
                  <w:rFonts w:ascii="Cambria Math" w:hAnsi="Cambria Math" w:cs="Arial"/>
                  <w:i/>
                  <w:color w:val="000000"/>
                  <w:szCs w:val="20"/>
                  <w:lang w:val="en-GB" w:eastAsia="sv-SE"/>
                </w:rPr>
              </m:ctrlPr>
            </m:naryPr>
            <m:sub>
              <m:r>
                <w:rPr>
                  <w:rFonts w:ascii="Cambria Math" w:hAnsi="Cambria Math" w:cs="Arial"/>
                  <w:color w:val="000000"/>
                  <w:szCs w:val="20"/>
                  <w:lang w:val="en-GB" w:eastAsia="sv-SE"/>
                </w:rPr>
                <m:t>a=1</m:t>
              </m:r>
            </m:sub>
            <m:sup>
              <m:r>
                <w:rPr>
                  <w:rFonts w:ascii="Cambria Math" w:hAnsi="Cambria Math" w:cs="Arial"/>
                  <w:color w:val="000000"/>
                  <w:szCs w:val="20"/>
                  <w:lang w:val="en-GB" w:eastAsia="sv-SE"/>
                </w:rPr>
                <m:t>nb_applications</m:t>
              </m:r>
            </m:sup>
            <m:e>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Application a</m:t>
                  </m:r>
                </m:sub>
              </m:sSub>
            </m:e>
          </m:nary>
        </m:oMath>
      </m:oMathPara>
    </w:p>
    <w:p w:rsidR="00AC460F" w:rsidRPr="008D2EA0" w:rsidRDefault="00AC460F" w:rsidP="00F77275">
      <w:pPr>
        <w:spacing w:before="120"/>
        <w:rPr>
          <w:rFonts w:cs="Arial"/>
          <w:color w:val="000000"/>
          <w:szCs w:val="20"/>
          <w:lang w:val="en-GB" w:eastAsia="sv-SE"/>
        </w:rPr>
      </w:pPr>
      <w:r w:rsidRPr="008D2EA0">
        <w:rPr>
          <w:rFonts w:cs="Arial"/>
          <w:color w:val="000000"/>
          <w:szCs w:val="20"/>
          <w:lang w:val="en-GB" w:eastAsia="sv-SE"/>
        </w:rPr>
        <w:t xml:space="preserve">where </w:t>
      </w:r>
      <m:oMath>
        <m:r>
          <w:rPr>
            <w:rFonts w:ascii="Cambria Math" w:hAnsi="Cambria Math" w:cs="Arial"/>
            <w:color w:val="000000"/>
            <w:szCs w:val="20"/>
            <w:lang w:val="en-GB" w:eastAsia="sv-SE"/>
          </w:rPr>
          <m:t>nb_applications</m:t>
        </m:r>
      </m:oMath>
      <w:r w:rsidRPr="008D2EA0">
        <w:rPr>
          <w:rFonts w:cs="Arial"/>
          <w:color w:val="000000"/>
          <w:szCs w:val="20"/>
          <w:lang w:val="en-GB" w:eastAsia="sv-SE"/>
        </w:rPr>
        <w:t xml:space="preserve"> is the number of main applications for a specific regulatory option / </w:t>
      </w:r>
      <w:r w:rsidRPr="008D2EA0">
        <w:rPr>
          <w:rFonts w:cs="Arial"/>
          <w:szCs w:val="20"/>
          <w:lang w:val="en-GB"/>
        </w:rPr>
        <w:t>scenario.</w:t>
      </w:r>
    </w:p>
    <w:p w:rsidR="00AC460F" w:rsidRPr="008D2EA0" w:rsidRDefault="00AC460F" w:rsidP="00AC460F">
      <w:pPr>
        <w:rPr>
          <w:rFonts w:cs="Arial"/>
          <w:szCs w:val="20"/>
          <w:lang w:val="en-GB" w:eastAsia="fr-FR"/>
        </w:rPr>
      </w:pPr>
    </w:p>
    <w:p w:rsidR="00AC460F" w:rsidRPr="008D2EA0" w:rsidRDefault="00AC460F" w:rsidP="00F21C76">
      <w:pPr>
        <w:pStyle w:val="ECCTabletitle"/>
      </w:pPr>
      <w:r w:rsidRPr="008D2EA0">
        <w:lastRenderedPageBreak/>
        <w:t xml:space="preserve"> Assessment of Criterion 3c for each Regulatory Option / Scenario</w:t>
      </w:r>
    </w:p>
    <w:tbl>
      <w:tblPr>
        <w:tblW w:w="0" w:type="auto"/>
        <w:jc w:val="center"/>
        <w:tblInd w:w="-42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57"/>
        <w:gridCol w:w="1487"/>
      </w:tblGrid>
      <w:tr w:rsidR="00AC460F" w:rsidRPr="008D2EA0" w:rsidTr="00F77275">
        <w:trPr>
          <w:tblHeader/>
          <w:jc w:val="center"/>
        </w:trPr>
        <w:tc>
          <w:tcPr>
            <w:tcW w:w="3757"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Regulatory Option / Scenario</w:t>
            </w:r>
          </w:p>
        </w:tc>
        <w:tc>
          <w:tcPr>
            <w:tcW w:w="148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F7727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1</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77275">
            <w:pPr>
              <w:spacing w:line="288" w:lineRule="auto"/>
              <w:rPr>
                <w:lang w:val="en-GB"/>
              </w:rPr>
            </w:pPr>
            <w:r w:rsidRPr="008D2EA0">
              <w:rPr>
                <w:lang w:val="en-GB"/>
              </w:rPr>
              <w:t>0.1</w:t>
            </w:r>
          </w:p>
        </w:tc>
      </w:tr>
      <w:tr w:rsidR="00AC460F" w:rsidRPr="008D2EA0" w:rsidTr="00F7727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2 / Scenario A</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77275">
            <w:pPr>
              <w:spacing w:line="288" w:lineRule="auto"/>
              <w:rPr>
                <w:lang w:val="en-GB"/>
              </w:rPr>
            </w:pPr>
            <w:r w:rsidRPr="008D2EA0">
              <w:rPr>
                <w:lang w:val="en-GB"/>
              </w:rPr>
              <w:t>2</w:t>
            </w:r>
          </w:p>
        </w:tc>
      </w:tr>
      <w:tr w:rsidR="00AC460F" w:rsidRPr="008D2EA0" w:rsidTr="00F7727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2 / Scenario B</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77275">
            <w:pPr>
              <w:spacing w:line="288" w:lineRule="auto"/>
              <w:rPr>
                <w:lang w:val="en-GB"/>
              </w:rPr>
            </w:pPr>
            <w:r w:rsidRPr="008D2EA0">
              <w:rPr>
                <w:lang w:val="en-GB"/>
              </w:rPr>
              <w:t>0</w:t>
            </w:r>
          </w:p>
        </w:tc>
      </w:tr>
      <w:tr w:rsidR="00AC460F" w:rsidRPr="008D2EA0" w:rsidTr="00F7727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A</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77275">
            <w:pPr>
              <w:spacing w:line="288" w:lineRule="auto"/>
              <w:rPr>
                <w:lang w:val="en-GB"/>
              </w:rPr>
            </w:pPr>
            <w:r w:rsidRPr="008D2EA0">
              <w:rPr>
                <w:lang w:val="en-GB"/>
              </w:rPr>
              <w:t>0</w:t>
            </w:r>
          </w:p>
        </w:tc>
      </w:tr>
      <w:tr w:rsidR="00AC460F" w:rsidRPr="008D2EA0" w:rsidTr="00F7727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B</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77275">
            <w:pPr>
              <w:spacing w:line="288" w:lineRule="auto"/>
              <w:rPr>
                <w:lang w:val="en-GB"/>
              </w:rPr>
            </w:pPr>
            <w:r w:rsidRPr="008D2EA0">
              <w:rPr>
                <w:lang w:val="en-GB"/>
              </w:rPr>
              <w:t>0.2</w:t>
            </w:r>
          </w:p>
        </w:tc>
      </w:tr>
    </w:tbl>
    <w:p w:rsidR="00AC460F" w:rsidRPr="008D2EA0" w:rsidRDefault="00AC460F" w:rsidP="00AC460F">
      <w:pPr>
        <w:rPr>
          <w:rFonts w:cs="Arial"/>
          <w:szCs w:val="20"/>
          <w:lang w:val="en-GB" w:eastAsia="fr-FR"/>
        </w:rPr>
      </w:pPr>
    </w:p>
    <w:p w:rsidR="00AC460F" w:rsidRPr="008D2EA0" w:rsidRDefault="00AC460F" w:rsidP="00AC460F">
      <w:pPr>
        <w:rPr>
          <w:rFonts w:cs="Arial"/>
          <w:i/>
          <w:szCs w:val="20"/>
          <w:lang w:val="en-GB"/>
        </w:rPr>
      </w:pPr>
      <w:r w:rsidRPr="008D2EA0">
        <w:rPr>
          <w:rFonts w:cs="Arial"/>
          <w:i/>
          <w:szCs w:val="20"/>
          <w:lang w:val="en-GB"/>
        </w:rPr>
        <w:t>Sub-criterion 3d: Producer/industry benefits</w:t>
      </w:r>
    </w:p>
    <w:p w:rsidR="00AC460F" w:rsidRPr="008D2EA0" w:rsidRDefault="00AC460F" w:rsidP="00AC460F">
      <w:pPr>
        <w:rPr>
          <w:rFonts w:cs="Arial"/>
          <w:color w:val="000000"/>
          <w:szCs w:val="20"/>
          <w:lang w:val="en-GB" w:eastAsia="sv-SE"/>
        </w:rPr>
      </w:pPr>
    </w:p>
    <w:p w:rsidR="00AC460F" w:rsidRPr="008D2EA0" w:rsidRDefault="00AC460F" w:rsidP="00691AA5">
      <w:pPr>
        <w:pStyle w:val="ECCParagraph"/>
        <w:rPr>
          <w:lang w:eastAsia="sv-SE"/>
        </w:rPr>
      </w:pPr>
      <w:r w:rsidRPr="008D2EA0">
        <w:rPr>
          <w:lang w:eastAsia="sv-SE"/>
        </w:rPr>
        <w:t>This sub-criterion awards a maximum of 1 point.</w:t>
      </w:r>
    </w:p>
    <w:p w:rsidR="00AC460F" w:rsidRPr="008D2EA0" w:rsidRDefault="00AC460F" w:rsidP="00691AA5">
      <w:pPr>
        <w:pStyle w:val="ECCParagraph"/>
        <w:rPr>
          <w:lang w:eastAsia="sv-SE"/>
        </w:rPr>
      </w:pPr>
      <w:r w:rsidRPr="008D2EA0">
        <w:rPr>
          <w:lang w:eastAsia="sv-SE"/>
        </w:rPr>
        <w:t xml:space="preserve">Each application is awarded a grade, </w:t>
      </w:r>
      <w:r w:rsidR="00485626">
        <w:rPr>
          <w:lang w:eastAsia="sv-SE"/>
        </w:rPr>
        <w:t xml:space="preserve">based on </w:t>
      </w:r>
      <w:r w:rsidRPr="008D2EA0">
        <w:rPr>
          <w:lang w:eastAsia="sv-SE"/>
        </w:rPr>
        <w:t>the analysis carried out in Section</w:t>
      </w:r>
      <w:r w:rsidR="002E3DC7" w:rsidRPr="008D2EA0">
        <w:rPr>
          <w:lang w:eastAsia="sv-SE"/>
        </w:rPr>
        <w:t xml:space="preserve"> </w:t>
      </w:r>
      <w:r w:rsidR="002E3DC7" w:rsidRPr="008D2EA0">
        <w:rPr>
          <w:lang w:eastAsia="sv-SE"/>
        </w:rPr>
        <w:fldChar w:fldCharType="begin"/>
      </w:r>
      <w:r w:rsidR="002E3DC7" w:rsidRPr="008D2EA0">
        <w:rPr>
          <w:lang w:eastAsia="sv-SE"/>
        </w:rPr>
        <w:instrText xml:space="preserve"> REF _Ref330549813 \r \h  \* MERGEFORMAT </w:instrText>
      </w:r>
      <w:r w:rsidR="002E3DC7" w:rsidRPr="008D2EA0">
        <w:rPr>
          <w:lang w:eastAsia="sv-SE"/>
        </w:rPr>
      </w:r>
      <w:r w:rsidR="002E3DC7" w:rsidRPr="008D2EA0">
        <w:rPr>
          <w:lang w:eastAsia="sv-SE"/>
        </w:rPr>
        <w:fldChar w:fldCharType="separate"/>
      </w:r>
      <w:r w:rsidR="00E73FF2">
        <w:rPr>
          <w:lang w:eastAsia="sv-SE"/>
        </w:rPr>
        <w:t>5</w:t>
      </w:r>
      <w:r w:rsidR="002E3DC7" w:rsidRPr="008D2EA0">
        <w:rPr>
          <w:lang w:eastAsia="sv-SE"/>
        </w:rPr>
        <w:fldChar w:fldCharType="end"/>
      </w:r>
      <w:r w:rsidRPr="008D2EA0">
        <w:rPr>
          <w:lang w:eastAsia="sv-SE"/>
        </w:rPr>
        <w:t>. Each grade awards a specific number of points:</w:t>
      </w:r>
    </w:p>
    <w:p w:rsidR="00AC460F" w:rsidRPr="008D2EA0" w:rsidRDefault="00AC460F" w:rsidP="00EA689C">
      <w:pPr>
        <w:pStyle w:val="ECCParBulleted"/>
        <w:spacing w:before="120"/>
        <w:rPr>
          <w:lang w:eastAsia="sv-SE"/>
        </w:rPr>
      </w:pPr>
      <w:r w:rsidRPr="008D2EA0">
        <w:rPr>
          <w:lang w:eastAsia="sv-SE"/>
        </w:rPr>
        <w:t>High (1 point)</w:t>
      </w:r>
    </w:p>
    <w:p w:rsidR="00AC460F" w:rsidRPr="008D2EA0" w:rsidRDefault="00AC460F" w:rsidP="00EA689C">
      <w:pPr>
        <w:pStyle w:val="ECCParBulleted"/>
        <w:spacing w:before="120"/>
        <w:rPr>
          <w:lang w:eastAsia="sv-SE"/>
        </w:rPr>
      </w:pPr>
      <w:r w:rsidRPr="008D2EA0">
        <w:rPr>
          <w:lang w:eastAsia="sv-SE"/>
        </w:rPr>
        <w:t>Low (0 point)</w:t>
      </w:r>
    </w:p>
    <w:p w:rsidR="00AC460F" w:rsidRPr="008D2EA0" w:rsidRDefault="00AC460F" w:rsidP="00AC460F">
      <w:pPr>
        <w:rPr>
          <w:szCs w:val="20"/>
          <w:lang w:val="en-GB"/>
        </w:rPr>
      </w:pPr>
    </w:p>
    <w:p w:rsidR="00AC460F" w:rsidRPr="008D2EA0" w:rsidRDefault="00AC460F" w:rsidP="00691AA5">
      <w:pPr>
        <w:pStyle w:val="ECCParagraph"/>
      </w:pPr>
      <w:r w:rsidRPr="008D2EA0">
        <w:rPr>
          <w:lang w:eastAsia="sv-SE"/>
        </w:rPr>
        <w:t>The grades awarded to each application are provided in</w:t>
      </w:r>
      <w:r w:rsidR="00691AA5">
        <w:rPr>
          <w:lang w:eastAsia="sv-SE"/>
        </w:rPr>
        <w:t xml:space="preserve"> the table below</w:t>
      </w:r>
      <w:r w:rsidRPr="008D2EA0">
        <w:rPr>
          <w:lang w:eastAsia="sv-SE"/>
        </w:rPr>
        <w:t>.</w:t>
      </w:r>
    </w:p>
    <w:p w:rsidR="00AC460F" w:rsidRPr="008D2EA0" w:rsidRDefault="00AC460F" w:rsidP="00F21C76">
      <w:pPr>
        <w:pStyle w:val="ECCTabletitle"/>
      </w:pPr>
      <w:r w:rsidRPr="008D2EA0">
        <w:t xml:space="preserve"> </w:t>
      </w:r>
      <w:bookmarkStart w:id="169" w:name="_Ref330549860"/>
      <w:r w:rsidRPr="008D2EA0">
        <w:t>Producer/Industry Benefits</w:t>
      </w:r>
      <w:bookmarkEnd w:id="169"/>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97"/>
        <w:gridCol w:w="1728"/>
        <w:gridCol w:w="1417"/>
      </w:tblGrid>
      <w:tr w:rsidR="00AC460F" w:rsidRPr="008D2EA0" w:rsidTr="001F0F23">
        <w:trPr>
          <w:tblHeader/>
          <w:jc w:val="center"/>
        </w:trPr>
        <w:tc>
          <w:tcPr>
            <w:tcW w:w="2297"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 xml:space="preserve">Application </w:t>
            </w:r>
          </w:p>
        </w:tc>
        <w:tc>
          <w:tcPr>
            <w:tcW w:w="1728"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Grade</w:t>
            </w:r>
          </w:p>
        </w:tc>
        <w:tc>
          <w:tcPr>
            <w:tcW w:w="141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1F0F23">
        <w:trPr>
          <w:jc w:val="center"/>
        </w:trPr>
        <w:tc>
          <w:tcPr>
            <w:tcW w:w="229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 xml:space="preserve">TB </w:t>
            </w:r>
          </w:p>
        </w:tc>
        <w:tc>
          <w:tcPr>
            <w:tcW w:w="172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High</w:t>
            </w:r>
          </w:p>
        </w:tc>
        <w:tc>
          <w:tcPr>
            <w:tcW w:w="141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1</w:t>
            </w:r>
          </w:p>
        </w:tc>
      </w:tr>
      <w:tr w:rsidR="00AC460F" w:rsidRPr="008D2EA0" w:rsidTr="001F0F23">
        <w:trPr>
          <w:jc w:val="center"/>
        </w:trPr>
        <w:tc>
          <w:tcPr>
            <w:tcW w:w="229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MBB</w:t>
            </w:r>
          </w:p>
        </w:tc>
        <w:tc>
          <w:tcPr>
            <w:tcW w:w="172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Low</w:t>
            </w:r>
          </w:p>
        </w:tc>
        <w:tc>
          <w:tcPr>
            <w:tcW w:w="141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0</w:t>
            </w:r>
          </w:p>
        </w:tc>
      </w:tr>
      <w:tr w:rsidR="00AC460F" w:rsidRPr="008D2EA0" w:rsidTr="001F0F23">
        <w:trPr>
          <w:jc w:val="center"/>
        </w:trPr>
        <w:tc>
          <w:tcPr>
            <w:tcW w:w="229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SDL</w:t>
            </w:r>
          </w:p>
        </w:tc>
        <w:tc>
          <w:tcPr>
            <w:tcW w:w="172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High</w:t>
            </w:r>
          </w:p>
        </w:tc>
        <w:tc>
          <w:tcPr>
            <w:tcW w:w="141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1</w:t>
            </w:r>
          </w:p>
        </w:tc>
      </w:tr>
      <w:tr w:rsidR="00AC460F" w:rsidRPr="008D2EA0" w:rsidTr="001F0F23">
        <w:trPr>
          <w:jc w:val="center"/>
        </w:trPr>
        <w:tc>
          <w:tcPr>
            <w:tcW w:w="229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S-DAB</w:t>
            </w:r>
          </w:p>
        </w:tc>
        <w:tc>
          <w:tcPr>
            <w:tcW w:w="172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High</w:t>
            </w:r>
          </w:p>
        </w:tc>
        <w:tc>
          <w:tcPr>
            <w:tcW w:w="141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r w:rsidR="00AC460F" w:rsidRPr="008D2EA0" w:rsidTr="001F0F23">
        <w:trPr>
          <w:jc w:val="center"/>
        </w:trPr>
        <w:tc>
          <w:tcPr>
            <w:tcW w:w="229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PMSE</w:t>
            </w:r>
          </w:p>
        </w:tc>
        <w:tc>
          <w:tcPr>
            <w:tcW w:w="172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High</w:t>
            </w:r>
          </w:p>
        </w:tc>
        <w:tc>
          <w:tcPr>
            <w:tcW w:w="141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r w:rsidR="00AC460F" w:rsidRPr="008D2EA0" w:rsidTr="001F0F23">
        <w:trPr>
          <w:jc w:val="center"/>
        </w:trPr>
        <w:tc>
          <w:tcPr>
            <w:tcW w:w="229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PPDR</w:t>
            </w:r>
          </w:p>
        </w:tc>
        <w:tc>
          <w:tcPr>
            <w:tcW w:w="172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High</w:t>
            </w:r>
          </w:p>
        </w:tc>
        <w:tc>
          <w:tcPr>
            <w:tcW w:w="141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r w:rsidR="00AC460F" w:rsidRPr="008D2EA0" w:rsidTr="001F0F23">
        <w:trPr>
          <w:jc w:val="center"/>
        </w:trPr>
        <w:tc>
          <w:tcPr>
            <w:tcW w:w="229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BDA2GC</w:t>
            </w:r>
          </w:p>
        </w:tc>
        <w:tc>
          <w:tcPr>
            <w:tcW w:w="172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High</w:t>
            </w:r>
          </w:p>
        </w:tc>
        <w:tc>
          <w:tcPr>
            <w:tcW w:w="141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bl>
    <w:p w:rsidR="00AC460F" w:rsidRPr="008D2EA0" w:rsidRDefault="00AC460F" w:rsidP="00AC460F">
      <w:pPr>
        <w:rPr>
          <w:rFonts w:cs="Arial"/>
          <w:color w:val="000000"/>
          <w:szCs w:val="20"/>
          <w:lang w:val="en-GB" w:eastAsia="sv-SE"/>
        </w:rPr>
      </w:pPr>
    </w:p>
    <w:p w:rsidR="00AC460F" w:rsidRPr="008D2EA0" w:rsidRDefault="00AC460F" w:rsidP="00F77275">
      <w:pPr>
        <w:spacing w:after="120"/>
        <w:rPr>
          <w:rFonts w:cs="Arial"/>
          <w:color w:val="000000"/>
          <w:szCs w:val="20"/>
          <w:lang w:val="en-GB" w:eastAsia="sv-SE"/>
        </w:rPr>
      </w:pPr>
      <w:r w:rsidRPr="008D2EA0">
        <w:rPr>
          <w:rFonts w:cs="Arial"/>
          <w:color w:val="000000"/>
          <w:szCs w:val="20"/>
          <w:lang w:val="en-GB" w:eastAsia="sv-SE"/>
        </w:rPr>
        <w:t>The points awarded to each regulatory options / scenario are derived from the following formula:</w:t>
      </w:r>
    </w:p>
    <w:p w:rsidR="00AC460F" w:rsidRPr="008D2EA0" w:rsidRDefault="00F21C76" w:rsidP="00AC460F">
      <w:pPr>
        <w:rPr>
          <w:rFonts w:ascii="Times New Roman" w:hAnsi="Times New Roman"/>
          <w:color w:val="000000"/>
          <w:szCs w:val="20"/>
          <w:lang w:val="en-GB" w:eastAsia="sv-SE"/>
        </w:rPr>
      </w:pPr>
      <m:oMathPara>
        <m:oMathParaPr>
          <m:jc m:val="center"/>
        </m:oMathParaPr>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Regulatory Option</m:t>
              </m:r>
            </m:sub>
          </m:sSub>
          <m:r>
            <w:rPr>
              <w:rFonts w:ascii="Cambria Math" w:hAnsi="Cambria Math" w:cs="Arial"/>
              <w:color w:val="000000"/>
              <w:szCs w:val="20"/>
              <w:lang w:val="en-GB" w:eastAsia="sv-SE"/>
            </w:rPr>
            <m:t>=</m:t>
          </m:r>
          <m:nary>
            <m:naryPr>
              <m:chr m:val="∑"/>
              <m:limLoc m:val="undOvr"/>
              <m:ctrlPr>
                <w:rPr>
                  <w:rFonts w:ascii="Cambria Math" w:hAnsi="Cambria Math" w:cs="Arial"/>
                  <w:i/>
                  <w:color w:val="000000"/>
                  <w:szCs w:val="20"/>
                  <w:lang w:val="en-GB" w:eastAsia="sv-SE"/>
                </w:rPr>
              </m:ctrlPr>
            </m:naryPr>
            <m:sub>
              <m:r>
                <w:rPr>
                  <w:rFonts w:ascii="Cambria Math" w:hAnsi="Cambria Math" w:cs="Arial"/>
                  <w:color w:val="000000"/>
                  <w:szCs w:val="20"/>
                  <w:lang w:val="en-GB" w:eastAsia="sv-SE"/>
                </w:rPr>
                <m:t>a=1</m:t>
              </m:r>
            </m:sub>
            <m:sup>
              <m:r>
                <w:rPr>
                  <w:rFonts w:ascii="Cambria Math" w:hAnsi="Cambria Math" w:cs="Arial"/>
                  <w:color w:val="000000"/>
                  <w:szCs w:val="20"/>
                  <w:lang w:val="en-GB" w:eastAsia="sv-SE"/>
                </w:rPr>
                <m:t>nb_applications</m:t>
              </m:r>
            </m:sup>
            <m:e>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Application a</m:t>
                  </m:r>
                </m:sub>
              </m:sSub>
            </m:e>
          </m:nary>
          <m:r>
            <w:rPr>
              <w:rFonts w:ascii="Cambria Math" w:hAnsi="Cambria Math" w:cs="Arial"/>
              <w:color w:val="000000"/>
              <w:szCs w:val="20"/>
              <w:lang w:val="en-GB" w:eastAsia="sv-SE"/>
            </w:rPr>
            <m:t>×</m:t>
          </m:r>
          <m:f>
            <m:fPr>
              <m:ctrlPr>
                <w:rPr>
                  <w:rFonts w:ascii="Cambria Math" w:hAnsi="Cambria Math" w:cs="Arial"/>
                  <w:i/>
                  <w:color w:val="000000"/>
                  <w:szCs w:val="20"/>
                  <w:lang w:val="en-GB" w:eastAsia="sv-SE"/>
                </w:rPr>
              </m:ctrlPr>
            </m:fPr>
            <m:num>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BW</m:t>
                  </m:r>
                </m:e>
                <m:sub>
                  <m:r>
                    <w:rPr>
                      <w:rFonts w:ascii="Cambria Math" w:hAnsi="Cambria Math" w:cs="Arial"/>
                      <w:color w:val="000000"/>
                      <w:szCs w:val="20"/>
                      <w:lang w:val="en-GB" w:eastAsia="sv-SE"/>
                    </w:rPr>
                    <m:t>a</m:t>
                  </m:r>
                </m:sub>
              </m:sSub>
            </m:num>
            <m:den>
              <m:r>
                <w:rPr>
                  <w:rFonts w:ascii="Cambria Math" w:hAnsi="Cambria Math" w:cs="Arial"/>
                  <w:color w:val="000000"/>
                  <w:szCs w:val="20"/>
                  <w:lang w:val="en-GB" w:eastAsia="sv-SE"/>
                </w:rPr>
                <m:t>40 MHz</m:t>
              </m:r>
            </m:den>
          </m:f>
        </m:oMath>
      </m:oMathPara>
    </w:p>
    <w:p w:rsidR="00AC460F" w:rsidRPr="008D2EA0" w:rsidRDefault="00AC460F" w:rsidP="00F77275">
      <w:pPr>
        <w:spacing w:before="120"/>
        <w:rPr>
          <w:rFonts w:cs="Arial"/>
          <w:szCs w:val="20"/>
          <w:lang w:val="en-GB"/>
        </w:rPr>
      </w:pPr>
      <w:r w:rsidRPr="008D2EA0">
        <w:rPr>
          <w:rFonts w:cs="Arial"/>
          <w:color w:val="000000"/>
          <w:szCs w:val="20"/>
          <w:lang w:val="en-GB" w:eastAsia="sv-SE"/>
        </w:rPr>
        <w:t xml:space="preserve">where </w:t>
      </w:r>
      <m:oMath>
        <m:r>
          <w:rPr>
            <w:rFonts w:ascii="Cambria Math" w:hAnsi="Cambria Math" w:cs="Arial"/>
            <w:color w:val="000000"/>
            <w:szCs w:val="20"/>
            <w:lang w:val="en-GB" w:eastAsia="sv-SE"/>
          </w:rPr>
          <m:t>nb_applications</m:t>
        </m:r>
      </m:oMath>
      <w:r w:rsidRPr="008D2EA0">
        <w:rPr>
          <w:rFonts w:cs="Arial"/>
          <w:color w:val="000000"/>
          <w:szCs w:val="20"/>
          <w:lang w:val="en-GB" w:eastAsia="sv-SE"/>
        </w:rPr>
        <w:t xml:space="preserve"> is the number of main applications for a specific regulatory option / </w:t>
      </w:r>
      <w:r w:rsidRPr="008D2EA0">
        <w:rPr>
          <w:rFonts w:cs="Arial"/>
          <w:szCs w:val="20"/>
          <w:lang w:val="en-GB"/>
        </w:rPr>
        <w:t xml:space="preserve">scenario and </w:t>
      </w:r>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BW</m:t>
            </m:r>
          </m:e>
          <m:sub>
            <m:r>
              <w:rPr>
                <w:rFonts w:ascii="Cambria Math" w:hAnsi="Cambria Math" w:cs="Arial"/>
                <w:color w:val="000000"/>
                <w:szCs w:val="20"/>
                <w:lang w:val="en-GB" w:eastAsia="sv-SE"/>
              </w:rPr>
              <m:t>a</m:t>
            </m:r>
          </m:sub>
        </m:sSub>
      </m:oMath>
      <w:r w:rsidRPr="008D2EA0">
        <w:rPr>
          <w:rFonts w:cs="Arial"/>
          <w:color w:val="000000"/>
          <w:szCs w:val="20"/>
          <w:lang w:val="en-GB" w:eastAsia="sv-SE"/>
        </w:rPr>
        <w:t xml:space="preserve"> is the bandwidth allocated to application a</w:t>
      </w:r>
      <w:r w:rsidRPr="008D2EA0">
        <w:rPr>
          <w:rFonts w:cs="Arial"/>
          <w:szCs w:val="20"/>
          <w:lang w:val="en-GB"/>
        </w:rPr>
        <w:t>.</w:t>
      </w:r>
    </w:p>
    <w:p w:rsidR="00AC460F" w:rsidRPr="008D2EA0" w:rsidRDefault="00AC460F" w:rsidP="00F21C76">
      <w:pPr>
        <w:pStyle w:val="ECCTabletitle"/>
      </w:pPr>
      <w:r w:rsidRPr="008D2EA0">
        <w:t xml:space="preserve"> Assessment of criterion 3d for each Regulatory Option / Scenario</w:t>
      </w:r>
    </w:p>
    <w:tbl>
      <w:tblPr>
        <w:tblW w:w="0" w:type="auto"/>
        <w:jc w:val="center"/>
        <w:tblInd w:w="-42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57"/>
        <w:gridCol w:w="1487"/>
      </w:tblGrid>
      <w:tr w:rsidR="00AC460F" w:rsidRPr="008D2EA0" w:rsidTr="009A4015">
        <w:trPr>
          <w:tblHeader/>
          <w:jc w:val="center"/>
        </w:trPr>
        <w:tc>
          <w:tcPr>
            <w:tcW w:w="3757"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E74AC">
            <w:pPr>
              <w:keepNext/>
              <w:spacing w:line="288" w:lineRule="auto"/>
              <w:jc w:val="center"/>
              <w:rPr>
                <w:b/>
                <w:color w:val="FFFFFF"/>
                <w:lang w:val="en-GB"/>
              </w:rPr>
            </w:pPr>
            <w:r w:rsidRPr="008D2EA0">
              <w:rPr>
                <w:b/>
                <w:color w:val="FFFFFF"/>
                <w:lang w:val="en-GB"/>
              </w:rPr>
              <w:t>Regulatory Option / Scenario</w:t>
            </w:r>
          </w:p>
        </w:tc>
        <w:tc>
          <w:tcPr>
            <w:tcW w:w="148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1E74AC">
            <w:pPr>
              <w:keepNext/>
              <w:spacing w:line="288" w:lineRule="auto"/>
              <w:jc w:val="center"/>
              <w:rPr>
                <w:b/>
                <w:color w:val="FFFFFF"/>
                <w:lang w:val="en-GB"/>
              </w:rPr>
            </w:pPr>
            <w:r w:rsidRPr="008D2EA0">
              <w:rPr>
                <w:b/>
                <w:color w:val="FFFFFF"/>
                <w:lang w:val="en-GB"/>
              </w:rPr>
              <w:t>Points</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E74AC">
            <w:pPr>
              <w:keepNext/>
              <w:spacing w:line="288" w:lineRule="auto"/>
              <w:rPr>
                <w:lang w:val="en-GB"/>
              </w:rPr>
            </w:pPr>
            <w:r w:rsidRPr="008D2EA0">
              <w:rPr>
                <w:lang w:val="en-GB"/>
              </w:rPr>
              <w:t>Regulatory Option 1</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keepNext/>
              <w:spacing w:line="288" w:lineRule="auto"/>
              <w:rPr>
                <w:lang w:val="en-GB"/>
              </w:rPr>
            </w:pPr>
            <w:r w:rsidRPr="008D2EA0">
              <w:rPr>
                <w:lang w:val="en-GB"/>
              </w:rPr>
              <w:t>1</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E74AC">
            <w:pPr>
              <w:keepNext/>
              <w:spacing w:line="288" w:lineRule="auto"/>
              <w:rPr>
                <w:lang w:val="en-GB"/>
              </w:rPr>
            </w:pPr>
            <w:r w:rsidRPr="008D2EA0">
              <w:rPr>
                <w:lang w:val="en-GB"/>
              </w:rPr>
              <w:t>Regulatory Option 2 / Scenario A</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keepNext/>
              <w:spacing w:line="288" w:lineRule="auto"/>
              <w:rPr>
                <w:lang w:val="en-GB"/>
              </w:rPr>
            </w:pPr>
            <w:r w:rsidRPr="008D2EA0">
              <w:rPr>
                <w:lang w:val="en-GB"/>
              </w:rPr>
              <w:t>1</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2 / Scenario B</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0</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A</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B</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bl>
    <w:p w:rsidR="00AC460F" w:rsidRPr="008D2EA0" w:rsidRDefault="00AC460F" w:rsidP="00510087">
      <w:pPr>
        <w:pStyle w:val="Heading3"/>
      </w:pPr>
      <w:bookmarkStart w:id="170" w:name="_Toc349039319"/>
      <w:r w:rsidRPr="008D2EA0">
        <w:lastRenderedPageBreak/>
        <w:t xml:space="preserve">Criterion 4 - </w:t>
      </w:r>
      <w:r w:rsidRPr="008D2EA0">
        <w:rPr>
          <w:lang w:eastAsia="sv-SE"/>
        </w:rPr>
        <w:t>Timeframe for availability of equipment on a large scale and for application deployment - status of standardisation</w:t>
      </w:r>
      <w:bookmarkEnd w:id="170"/>
    </w:p>
    <w:p w:rsidR="00AC460F" w:rsidRPr="008D2EA0" w:rsidRDefault="00AC460F" w:rsidP="00691AA5">
      <w:pPr>
        <w:pStyle w:val="ECCParagraph"/>
      </w:pPr>
      <w:r w:rsidRPr="008D2EA0">
        <w:t>This criterion award points to candidate applications (only to main applications).</w:t>
      </w:r>
    </w:p>
    <w:p w:rsidR="00AC460F" w:rsidRPr="008D2EA0" w:rsidRDefault="00AC460F" w:rsidP="00AC460F">
      <w:pPr>
        <w:rPr>
          <w:rFonts w:cs="Arial"/>
          <w:szCs w:val="20"/>
          <w:lang w:val="en-GB"/>
        </w:rPr>
      </w:pPr>
      <w:r w:rsidRPr="008D2EA0">
        <w:rPr>
          <w:rFonts w:cs="Arial"/>
          <w:color w:val="000000"/>
          <w:szCs w:val="20"/>
          <w:lang w:val="en-GB" w:eastAsia="sv-SE"/>
        </w:rPr>
        <w:t xml:space="preserve">This criterion awards a maximum of </w:t>
      </w:r>
      <w:r w:rsidRPr="008D2EA0">
        <w:rPr>
          <w:rFonts w:cs="Arial"/>
          <w:szCs w:val="20"/>
          <w:lang w:val="en-GB"/>
        </w:rPr>
        <w:t>9 points.</w:t>
      </w:r>
    </w:p>
    <w:p w:rsidR="00AC460F" w:rsidRPr="008D2EA0" w:rsidRDefault="00AC460F" w:rsidP="00AC460F">
      <w:pPr>
        <w:rPr>
          <w:rFonts w:cs="Arial"/>
          <w:szCs w:val="20"/>
          <w:lang w:val="en-GB"/>
        </w:rPr>
      </w:pPr>
    </w:p>
    <w:p w:rsidR="00AC460F" w:rsidRPr="008D2EA0" w:rsidRDefault="00AC460F" w:rsidP="00691AA5">
      <w:pPr>
        <w:pStyle w:val="ECCParagraph"/>
      </w:pPr>
      <w:r w:rsidRPr="008D2EA0">
        <w:t>The points awarded to each application are derived from the following formula:</w:t>
      </w:r>
    </w:p>
    <w:p w:rsidR="00AC460F" w:rsidRPr="008D2EA0" w:rsidRDefault="00F21C76" w:rsidP="00AC460F">
      <w:pPr>
        <w:rPr>
          <w:rFonts w:cs="Arial"/>
          <w:szCs w:val="20"/>
          <w:lang w:val="en-GB"/>
        </w:rPr>
      </w:pPr>
      <m:oMathPara>
        <m:oMathParaPr>
          <m:jc m:val="center"/>
        </m:oMathParaPr>
        <m:oMath>
          <m:sSub>
            <m:sSubPr>
              <m:ctrlPr>
                <w:rPr>
                  <w:rFonts w:ascii="Cambria Math" w:hAnsi="Cambria Math" w:cs="Arial"/>
                  <w:i/>
                  <w:szCs w:val="20"/>
                  <w:lang w:val="en-GB"/>
                </w:rPr>
              </m:ctrlPr>
            </m:sSubPr>
            <m:e>
              <m:r>
                <w:rPr>
                  <w:rFonts w:ascii="Cambria Math" w:hAnsi="Cambria Math" w:cs="Arial"/>
                  <w:szCs w:val="20"/>
                  <w:lang w:val="en-GB"/>
                </w:rPr>
                <m:t>Awarded Points</m:t>
              </m:r>
            </m:e>
            <m:sub>
              <m:r>
                <w:rPr>
                  <w:rFonts w:ascii="Cambria Math" w:hAnsi="Cambria Math" w:cs="Arial"/>
                  <w:szCs w:val="20"/>
                  <w:lang w:val="en-GB"/>
                </w:rPr>
                <m:t>application a</m:t>
              </m:r>
            </m:sub>
          </m:sSub>
          <m:r>
            <w:rPr>
              <w:rFonts w:ascii="Cambria Math" w:hAnsi="Cambria Math" w:cs="Arial"/>
              <w:szCs w:val="20"/>
              <w:lang w:val="en-GB"/>
            </w:rPr>
            <m:t>=9×</m:t>
          </m:r>
          <m:d>
            <m:dPr>
              <m:ctrlPr>
                <w:rPr>
                  <w:rFonts w:ascii="Cambria Math" w:hAnsi="Cambria Math" w:cs="Arial"/>
                  <w:i/>
                  <w:szCs w:val="20"/>
                  <w:lang w:val="en-GB"/>
                </w:rPr>
              </m:ctrlPr>
            </m:dPr>
            <m:e>
              <m:r>
                <w:rPr>
                  <w:rFonts w:ascii="Cambria Math" w:hAnsi="Cambria Math" w:cs="Arial"/>
                  <w:szCs w:val="20"/>
                  <w:lang w:val="en-GB"/>
                </w:rPr>
                <m:t>1-</m:t>
              </m:r>
              <m:f>
                <m:fPr>
                  <m:ctrlPr>
                    <w:rPr>
                      <w:rFonts w:ascii="Cambria Math" w:hAnsi="Cambria Math" w:cs="Arial"/>
                      <w:i/>
                      <w:szCs w:val="20"/>
                      <w:lang w:val="en-GB"/>
                    </w:rPr>
                  </m:ctrlPr>
                </m:fPr>
                <m:num>
                  <m:sSub>
                    <m:sSubPr>
                      <m:ctrlPr>
                        <w:rPr>
                          <w:rFonts w:ascii="Cambria Math" w:hAnsi="Cambria Math" w:cs="Arial"/>
                          <w:i/>
                          <w:szCs w:val="20"/>
                          <w:lang w:val="en-GB"/>
                        </w:rPr>
                      </m:ctrlPr>
                    </m:sSubPr>
                    <m:e>
                      <m:r>
                        <w:rPr>
                          <w:rFonts w:ascii="Cambria Math" w:hAnsi="Cambria Math" w:cs="Arial"/>
                          <w:szCs w:val="20"/>
                          <w:lang w:val="en-GB"/>
                        </w:rPr>
                        <m:t>ΔT</m:t>
                      </m:r>
                    </m:e>
                    <m:sub>
                      <m:r>
                        <w:rPr>
                          <w:rFonts w:ascii="Cambria Math" w:hAnsi="Cambria Math" w:cs="Arial"/>
                          <w:szCs w:val="20"/>
                          <w:lang w:val="en-GB"/>
                        </w:rPr>
                        <m:t>application a</m:t>
                      </m:r>
                    </m:sub>
                  </m:sSub>
                </m:num>
                <m:den>
                  <m:r>
                    <w:rPr>
                      <w:rFonts w:ascii="Cambria Math" w:hAnsi="Cambria Math" w:cs="Arial"/>
                      <w:szCs w:val="20"/>
                      <w:lang w:val="en-GB"/>
                    </w:rPr>
                    <m:t>Max(ΔT)</m:t>
                  </m:r>
                </m:den>
              </m:f>
            </m:e>
          </m:d>
        </m:oMath>
      </m:oMathPara>
    </w:p>
    <w:p w:rsidR="00AC460F" w:rsidRPr="008D2EA0" w:rsidRDefault="00F77275" w:rsidP="00F77275">
      <w:pPr>
        <w:spacing w:before="120" w:after="120"/>
        <w:rPr>
          <w:rFonts w:cs="Arial"/>
          <w:szCs w:val="20"/>
          <w:lang w:val="en-GB"/>
        </w:rPr>
      </w:pPr>
      <w:r>
        <w:rPr>
          <w:rFonts w:cs="Arial"/>
          <w:szCs w:val="20"/>
          <w:lang w:val="en-GB"/>
        </w:rPr>
        <w:t>where</w:t>
      </w:r>
    </w:p>
    <w:p w:rsidR="00AC460F" w:rsidRPr="008D2EA0" w:rsidRDefault="00F21C76" w:rsidP="00AC460F">
      <w:pPr>
        <w:pStyle w:val="ECCParBulleted"/>
      </w:pPr>
      <m:oMath>
        <m:sSub>
          <m:sSubPr>
            <m:ctrlPr>
              <w:rPr>
                <w:rFonts w:ascii="Cambria Math" w:hAnsi="Cambria Math"/>
                <w:color w:val="000000"/>
                <w:lang w:eastAsia="sv-SE"/>
              </w:rPr>
            </m:ctrlPr>
          </m:sSubPr>
          <m:e>
            <m:r>
              <m:rPr>
                <m:sty m:val="p"/>
              </m:rPr>
              <w:rPr>
                <w:rFonts w:ascii="Cambria Math" w:hAnsi="Cambria Math"/>
                <w:color w:val="000000"/>
                <w:lang w:eastAsia="sv-SE"/>
              </w:rPr>
              <m:t>ΔT</m:t>
            </m:r>
          </m:e>
          <m:sub>
            <m:r>
              <m:rPr>
                <m:sty m:val="p"/>
              </m:rPr>
              <w:rPr>
                <w:rFonts w:ascii="Cambria Math" w:hAnsi="Cambria Math"/>
                <w:color w:val="000000"/>
                <w:lang w:eastAsia="sv-SE"/>
              </w:rPr>
              <m:t>application a</m:t>
            </m:r>
          </m:sub>
        </m:sSub>
      </m:oMath>
      <w:r w:rsidR="00AC460F" w:rsidRPr="008D2EA0">
        <w:rPr>
          <w:position w:val="-8"/>
        </w:rPr>
        <w:t xml:space="preserve"> </w:t>
      </w:r>
      <w:r w:rsidR="00AC460F" w:rsidRPr="008D2EA0">
        <w:t xml:space="preserve">is the number of months between the date of operational deployment </w:t>
      </w:r>
      <w:r w:rsidR="00AC460F" w:rsidRPr="008D2EA0">
        <w:rPr>
          <w:color w:val="000000"/>
          <w:lang w:eastAsia="sv-SE"/>
        </w:rPr>
        <w:t>of application a</w:t>
      </w:r>
      <w:r w:rsidR="00AC460F" w:rsidRPr="008D2EA0">
        <w:t xml:space="preserve"> and T</w:t>
      </w:r>
      <w:r w:rsidR="00AC460F" w:rsidRPr="008D2EA0">
        <w:rPr>
          <w:vertAlign w:val="subscript"/>
        </w:rPr>
        <w:t>0</w:t>
      </w:r>
      <w:r w:rsidR="00AC460F" w:rsidRPr="008D2EA0">
        <w:t>.</w:t>
      </w:r>
    </w:p>
    <w:p w:rsidR="00AC460F" w:rsidRPr="008D2EA0" w:rsidRDefault="00AC460F" w:rsidP="00AC460F">
      <w:pPr>
        <w:pStyle w:val="ECCParBulleted"/>
      </w:pPr>
      <m:oMath>
        <m:r>
          <w:rPr>
            <w:rFonts w:ascii="Cambria Math" w:hAnsi="Cambria Math"/>
          </w:rPr>
          <m:t>Max</m:t>
        </m:r>
        <m:d>
          <m:dPr>
            <m:ctrlPr>
              <w:rPr>
                <w:rFonts w:ascii="Cambria Math" w:hAnsi="Cambria Math"/>
                <w:i/>
              </w:rPr>
            </m:ctrlPr>
          </m:dPr>
          <m:e>
            <m:r>
              <w:rPr>
                <w:rFonts w:ascii="Cambria Math" w:hAnsi="Cambria Math"/>
              </w:rPr>
              <m:t>∆T</m:t>
            </m:r>
          </m:e>
        </m:d>
      </m:oMath>
      <w:r w:rsidRPr="008D2EA0">
        <w:t xml:space="preserve"> is the number of months between the latest date of operational deployment among all applications and T</w:t>
      </w:r>
      <w:r w:rsidRPr="008D2EA0">
        <w:rPr>
          <w:vertAlign w:val="subscript"/>
        </w:rPr>
        <w:t>0</w:t>
      </w:r>
      <w:r w:rsidRPr="008D2EA0">
        <w:t xml:space="preserve">. </w:t>
      </w:r>
    </w:p>
    <w:p w:rsidR="00AC460F" w:rsidRPr="008D2EA0" w:rsidRDefault="00AC460F" w:rsidP="00AC460F">
      <w:pPr>
        <w:pStyle w:val="ECCParBulleted"/>
        <w:rPr>
          <w:lang w:eastAsia="sv-SE"/>
        </w:rPr>
      </w:pPr>
      <w:r w:rsidRPr="008D2EA0">
        <w:rPr>
          <w:lang w:eastAsia="sv-SE"/>
        </w:rPr>
        <w:t>T</w:t>
      </w:r>
      <w:r w:rsidRPr="008D2EA0">
        <w:rPr>
          <w:vertAlign w:val="subscript"/>
          <w:lang w:eastAsia="sv-SE"/>
        </w:rPr>
        <w:t>0</w:t>
      </w:r>
      <w:r w:rsidRPr="008D2EA0">
        <w:rPr>
          <w:lang w:eastAsia="sv-SE"/>
        </w:rPr>
        <w:t xml:space="preserve"> is the date of “band designation” as defined in section </w:t>
      </w:r>
      <w:r w:rsidR="002E3DC7" w:rsidRPr="008D2EA0">
        <w:rPr>
          <w:lang w:eastAsia="sv-SE"/>
        </w:rPr>
        <w:fldChar w:fldCharType="begin"/>
      </w:r>
      <w:r w:rsidR="002E3DC7" w:rsidRPr="008D2EA0">
        <w:rPr>
          <w:lang w:eastAsia="sv-SE"/>
        </w:rPr>
        <w:instrText xml:space="preserve"> REF _Ref330549972 \r \h </w:instrText>
      </w:r>
      <w:r w:rsidR="002E3DC7" w:rsidRPr="008D2EA0">
        <w:rPr>
          <w:lang w:eastAsia="sv-SE"/>
        </w:rPr>
      </w:r>
      <w:r w:rsidR="002E3DC7" w:rsidRPr="008D2EA0">
        <w:rPr>
          <w:lang w:eastAsia="sv-SE"/>
        </w:rPr>
        <w:fldChar w:fldCharType="separate"/>
      </w:r>
      <w:r w:rsidR="00E73FF2">
        <w:rPr>
          <w:lang w:eastAsia="sv-SE"/>
        </w:rPr>
        <w:t>5.4</w:t>
      </w:r>
      <w:r w:rsidR="002E3DC7" w:rsidRPr="008D2EA0">
        <w:rPr>
          <w:lang w:eastAsia="sv-SE"/>
        </w:rPr>
        <w:fldChar w:fldCharType="end"/>
      </w:r>
      <w:r w:rsidRPr="008D2EA0">
        <w:rPr>
          <w:lang w:eastAsia="sv-SE"/>
        </w:rPr>
        <w:t xml:space="preserve"> for the applications under consideration.</w:t>
      </w:r>
    </w:p>
    <w:p w:rsidR="00AC460F" w:rsidRPr="008D2EA0" w:rsidRDefault="00AC460F" w:rsidP="00AC460F">
      <w:pPr>
        <w:rPr>
          <w:rFonts w:cs="Arial"/>
          <w:color w:val="000000"/>
          <w:szCs w:val="20"/>
          <w:lang w:val="en-GB" w:eastAsia="sv-SE"/>
        </w:rPr>
      </w:pPr>
    </w:p>
    <w:p w:rsidR="00AC460F" w:rsidRPr="008D2EA0" w:rsidRDefault="00AC460F" w:rsidP="00F21C76">
      <w:pPr>
        <w:pStyle w:val="ECCTabletitle"/>
      </w:pPr>
      <w:r w:rsidRPr="008D2EA0">
        <w:t xml:space="preserve"> Assessment of criterion 4 for each application</w:t>
      </w:r>
    </w:p>
    <w:tbl>
      <w:tblPr>
        <w:tblW w:w="9200"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1427"/>
        <w:gridCol w:w="2826"/>
        <w:gridCol w:w="1844"/>
        <w:gridCol w:w="1294"/>
      </w:tblGrid>
      <w:tr w:rsidR="00AC460F" w:rsidRPr="008D2EA0" w:rsidTr="009A4015">
        <w:trPr>
          <w:tblHeader/>
          <w:jc w:val="center"/>
        </w:trPr>
        <w:tc>
          <w:tcPr>
            <w:tcW w:w="1809"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 xml:space="preserve">Application </w:t>
            </w:r>
          </w:p>
        </w:tc>
        <w:tc>
          <w:tcPr>
            <w:tcW w:w="1427"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T0</w:t>
            </w:r>
          </w:p>
        </w:tc>
        <w:tc>
          <w:tcPr>
            <w:tcW w:w="2826"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Date of Operational deployment (see section 4)</w:t>
            </w:r>
          </w:p>
        </w:tc>
        <w:tc>
          <w:tcPr>
            <w:tcW w:w="1844" w:type="dxa"/>
            <w:tcBorders>
              <w:top w:val="single" w:sz="4" w:space="0" w:color="D2232A"/>
              <w:left w:val="single" w:sz="8" w:space="0" w:color="FFFFFF"/>
              <w:bottom w:val="single" w:sz="4" w:space="0" w:color="D2232A"/>
              <w:right w:val="single" w:sz="4" w:space="0" w:color="D2232A"/>
            </w:tcBorders>
            <w:shd w:val="clear" w:color="auto" w:fill="D2232A"/>
          </w:tcPr>
          <w:p w:rsidR="00AC460F" w:rsidRPr="008D2EA0" w:rsidRDefault="00AC460F" w:rsidP="00DE08E8">
            <w:pPr>
              <w:spacing w:line="288" w:lineRule="auto"/>
              <w:jc w:val="center"/>
              <w:rPr>
                <w:b/>
                <w:color w:val="FFFFFF"/>
                <w:lang w:val="en-GB"/>
              </w:rPr>
            </w:pPr>
            <w:r w:rsidRPr="008D2EA0">
              <w:rPr>
                <w:rFonts w:cs="Arial"/>
                <w:b/>
                <w:color w:val="FFFFFF"/>
                <w:lang w:val="en-GB"/>
              </w:rPr>
              <w:t>Δ</w:t>
            </w:r>
            <w:r w:rsidRPr="008D2EA0">
              <w:rPr>
                <w:b/>
                <w:color w:val="FFFFFF"/>
                <w:lang w:val="en-GB"/>
              </w:rPr>
              <w:t>T (months)</w:t>
            </w:r>
          </w:p>
        </w:tc>
        <w:tc>
          <w:tcPr>
            <w:tcW w:w="1294" w:type="dxa"/>
            <w:tcBorders>
              <w:top w:val="single" w:sz="4" w:space="0" w:color="D2232A"/>
              <w:left w:val="single" w:sz="8" w:space="0" w:color="FFFFFF"/>
              <w:bottom w:val="single" w:sz="4" w:space="0" w:color="D2232A"/>
              <w:right w:val="single" w:sz="4" w:space="0" w:color="D2232A"/>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 xml:space="preserve">TB </w:t>
            </w:r>
          </w:p>
        </w:tc>
        <w:tc>
          <w:tcPr>
            <w:tcW w:w="1427" w:type="dxa"/>
            <w:tcBorders>
              <w:top w:val="single" w:sz="4" w:space="0" w:color="D2232A"/>
              <w:left w:val="single" w:sz="4" w:space="0" w:color="D2232A"/>
              <w:bottom w:val="single" w:sz="4" w:space="0" w:color="D2232A"/>
              <w:right w:val="single" w:sz="4" w:space="0" w:color="D2232A"/>
            </w:tcBorders>
            <w:hideMark/>
          </w:tcPr>
          <w:p w:rsidR="00AC460F" w:rsidRPr="008D2EA0" w:rsidRDefault="00AC460F" w:rsidP="001F0F23">
            <w:pPr>
              <w:spacing w:line="288" w:lineRule="auto"/>
              <w:rPr>
                <w:lang w:val="en-GB"/>
              </w:rPr>
            </w:pPr>
            <w:r w:rsidRPr="008D2EA0">
              <w:rPr>
                <w:rFonts w:eastAsia="Calibri" w:cs="Arial"/>
                <w:szCs w:val="20"/>
                <w:lang w:val="en-GB"/>
              </w:rPr>
              <w:t xml:space="preserve">Mid 2002 </w:t>
            </w:r>
          </w:p>
        </w:tc>
        <w:tc>
          <w:tcPr>
            <w:tcW w:w="2826" w:type="dxa"/>
            <w:tcBorders>
              <w:top w:val="single" w:sz="4" w:space="0" w:color="D2232A"/>
              <w:left w:val="single" w:sz="4" w:space="0" w:color="D2232A"/>
              <w:bottom w:val="single" w:sz="4" w:space="0" w:color="D2232A"/>
              <w:right w:val="single" w:sz="4" w:space="0" w:color="D2232A"/>
            </w:tcBorders>
            <w:hideMark/>
          </w:tcPr>
          <w:p w:rsidR="00AC460F" w:rsidRPr="008D2EA0" w:rsidRDefault="00AC460F" w:rsidP="009A4015">
            <w:pPr>
              <w:spacing w:line="288" w:lineRule="auto"/>
              <w:rPr>
                <w:lang w:val="en-GB"/>
              </w:rPr>
            </w:pPr>
            <w:r w:rsidRPr="008D2EA0">
              <w:rPr>
                <w:rFonts w:eastAsia="Calibri" w:cs="Arial"/>
                <w:szCs w:val="20"/>
                <w:lang w:val="en-GB"/>
              </w:rPr>
              <w:t>2013</w:t>
            </w:r>
          </w:p>
        </w:tc>
        <w:tc>
          <w:tcPr>
            <w:tcW w:w="184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126</w:t>
            </w:r>
          </w:p>
        </w:tc>
        <w:tc>
          <w:tcPr>
            <w:tcW w:w="129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1</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MBB</w:t>
            </w:r>
          </w:p>
        </w:tc>
        <w:tc>
          <w:tcPr>
            <w:tcW w:w="142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eastAsia="Calibri" w:cs="Arial"/>
                <w:szCs w:val="20"/>
                <w:lang w:val="en-GB"/>
              </w:rPr>
              <w:t>End of 2012</w:t>
            </w:r>
          </w:p>
        </w:tc>
        <w:tc>
          <w:tcPr>
            <w:tcW w:w="2826"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2015-2016</w:t>
            </w:r>
          </w:p>
        </w:tc>
        <w:tc>
          <w:tcPr>
            <w:tcW w:w="184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30</w:t>
            </w:r>
          </w:p>
        </w:tc>
        <w:tc>
          <w:tcPr>
            <w:tcW w:w="129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7.1</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SDL</w:t>
            </w:r>
          </w:p>
        </w:tc>
        <w:tc>
          <w:tcPr>
            <w:tcW w:w="1427" w:type="dxa"/>
            <w:tcBorders>
              <w:top w:val="single" w:sz="4" w:space="0" w:color="D2232A"/>
              <w:left w:val="single" w:sz="4" w:space="0" w:color="D2232A"/>
              <w:bottom w:val="single" w:sz="4" w:space="0" w:color="D2232A"/>
              <w:right w:val="single" w:sz="4" w:space="0" w:color="D2232A"/>
            </w:tcBorders>
            <w:hideMark/>
          </w:tcPr>
          <w:p w:rsidR="00AC460F" w:rsidRPr="008D2EA0" w:rsidRDefault="00AC460F" w:rsidP="001F0F23">
            <w:pPr>
              <w:spacing w:line="288" w:lineRule="auto"/>
              <w:rPr>
                <w:lang w:val="en-GB"/>
              </w:rPr>
            </w:pPr>
            <w:r w:rsidRPr="008D2EA0">
              <w:rPr>
                <w:rFonts w:eastAsia="Calibri" w:cs="Arial"/>
                <w:szCs w:val="20"/>
                <w:lang w:val="en-GB"/>
              </w:rPr>
              <w:t>End of 2012</w:t>
            </w:r>
          </w:p>
        </w:tc>
        <w:tc>
          <w:tcPr>
            <w:tcW w:w="2826" w:type="dxa"/>
            <w:tcBorders>
              <w:top w:val="single" w:sz="4" w:space="0" w:color="D2232A"/>
              <w:left w:val="single" w:sz="4" w:space="0" w:color="D2232A"/>
              <w:bottom w:val="single" w:sz="4" w:space="0" w:color="D2232A"/>
              <w:right w:val="single" w:sz="4" w:space="0" w:color="D2232A"/>
            </w:tcBorders>
            <w:hideMark/>
          </w:tcPr>
          <w:p w:rsidR="00AC460F" w:rsidRPr="008D2EA0" w:rsidRDefault="00AC460F" w:rsidP="009A4015">
            <w:pPr>
              <w:spacing w:line="288" w:lineRule="auto"/>
              <w:rPr>
                <w:lang w:val="en-GB"/>
              </w:rPr>
            </w:pPr>
            <w:r w:rsidRPr="008D2EA0">
              <w:rPr>
                <w:rFonts w:eastAsia="Calibri" w:cs="Arial"/>
                <w:szCs w:val="20"/>
                <w:lang w:val="en-GB"/>
              </w:rPr>
              <w:t>2014</w:t>
            </w:r>
          </w:p>
        </w:tc>
        <w:tc>
          <w:tcPr>
            <w:tcW w:w="184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18</w:t>
            </w:r>
          </w:p>
        </w:tc>
        <w:tc>
          <w:tcPr>
            <w:tcW w:w="129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7.9</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S-DAB</w:t>
            </w:r>
          </w:p>
        </w:tc>
        <w:tc>
          <w:tcPr>
            <w:tcW w:w="142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eastAsia="Calibri" w:cs="Arial"/>
                <w:szCs w:val="20"/>
                <w:lang w:val="en-GB"/>
              </w:rPr>
              <w:t xml:space="preserve">2003 </w:t>
            </w:r>
          </w:p>
        </w:tc>
        <w:tc>
          <w:tcPr>
            <w:tcW w:w="2826"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Q3 2015</w:t>
            </w:r>
          </w:p>
        </w:tc>
        <w:tc>
          <w:tcPr>
            <w:tcW w:w="184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141</w:t>
            </w:r>
          </w:p>
        </w:tc>
        <w:tc>
          <w:tcPr>
            <w:tcW w:w="129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0</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PMSE</w:t>
            </w:r>
          </w:p>
        </w:tc>
        <w:tc>
          <w:tcPr>
            <w:tcW w:w="142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eastAsia="Calibri" w:cs="Arial"/>
                <w:szCs w:val="20"/>
                <w:lang w:val="en-GB"/>
              </w:rPr>
              <w:t>End of 2012</w:t>
            </w:r>
          </w:p>
        </w:tc>
        <w:tc>
          <w:tcPr>
            <w:tcW w:w="2826"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2014</w:t>
            </w:r>
          </w:p>
        </w:tc>
        <w:tc>
          <w:tcPr>
            <w:tcW w:w="184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18</w:t>
            </w:r>
          </w:p>
        </w:tc>
        <w:tc>
          <w:tcPr>
            <w:tcW w:w="129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7.9</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PPDR</w:t>
            </w:r>
          </w:p>
        </w:tc>
        <w:tc>
          <w:tcPr>
            <w:tcW w:w="142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eastAsia="Calibri" w:cs="Arial"/>
                <w:szCs w:val="20"/>
                <w:lang w:val="en-GB"/>
              </w:rPr>
              <w:t>End of 2012</w:t>
            </w:r>
          </w:p>
        </w:tc>
        <w:tc>
          <w:tcPr>
            <w:tcW w:w="2826"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2014</w:t>
            </w:r>
          </w:p>
        </w:tc>
        <w:tc>
          <w:tcPr>
            <w:tcW w:w="184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18</w:t>
            </w:r>
          </w:p>
        </w:tc>
        <w:tc>
          <w:tcPr>
            <w:tcW w:w="129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7.9</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BDA2GC</w:t>
            </w:r>
          </w:p>
        </w:tc>
        <w:tc>
          <w:tcPr>
            <w:tcW w:w="142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eastAsia="Calibri" w:cs="Arial"/>
                <w:szCs w:val="20"/>
                <w:lang w:val="en-GB"/>
              </w:rPr>
              <w:t>End of 2015</w:t>
            </w:r>
          </w:p>
        </w:tc>
        <w:tc>
          <w:tcPr>
            <w:tcW w:w="2826"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Q3 2017</w:t>
            </w:r>
          </w:p>
        </w:tc>
        <w:tc>
          <w:tcPr>
            <w:tcW w:w="184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rFonts w:eastAsia="Calibri" w:cs="Arial"/>
                <w:szCs w:val="20"/>
                <w:lang w:val="en-GB"/>
              </w:rPr>
              <w:t>18</w:t>
            </w:r>
          </w:p>
        </w:tc>
        <w:tc>
          <w:tcPr>
            <w:tcW w:w="1294"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7.9</w:t>
            </w:r>
          </w:p>
        </w:tc>
      </w:tr>
    </w:tbl>
    <w:p w:rsidR="00AC460F" w:rsidRPr="008D2EA0" w:rsidRDefault="00AC460F" w:rsidP="00AC460F">
      <w:pPr>
        <w:rPr>
          <w:rFonts w:cs="Arial"/>
          <w:color w:val="000000"/>
          <w:szCs w:val="20"/>
          <w:lang w:val="en-GB" w:eastAsia="sv-SE"/>
        </w:rPr>
      </w:pPr>
    </w:p>
    <w:p w:rsidR="00AC460F" w:rsidRPr="008D2EA0" w:rsidRDefault="00AC460F" w:rsidP="00AC460F">
      <w:pPr>
        <w:rPr>
          <w:lang w:val="en-GB"/>
        </w:rPr>
      </w:pPr>
      <w:r w:rsidRPr="008D2EA0">
        <w:rPr>
          <w:lang w:val="en-GB"/>
        </w:rPr>
        <w:t>This also indicates that</w:t>
      </w:r>
    </w:p>
    <w:p w:rsidR="00AC460F" w:rsidRPr="008D2EA0" w:rsidRDefault="00AC460F" w:rsidP="00AC460F">
      <w:pPr>
        <w:rPr>
          <w:lang w:val="en-GB"/>
        </w:rPr>
      </w:pPr>
      <m:oMathPara>
        <m:oMath>
          <m:r>
            <w:rPr>
              <w:rFonts w:ascii="Cambria Math" w:hAnsi="Cambria Math"/>
              <w:lang w:val="en-GB"/>
            </w:rPr>
            <m:t>Max</m:t>
          </m:r>
          <m:d>
            <m:dPr>
              <m:ctrlPr>
                <w:rPr>
                  <w:rFonts w:ascii="Cambria Math" w:hAnsi="Cambria Math"/>
                  <w:i/>
                  <w:lang w:val="en-GB"/>
                </w:rPr>
              </m:ctrlPr>
            </m:dPr>
            <m:e>
              <m:r>
                <w:rPr>
                  <w:rFonts w:ascii="Cambria Math" w:hAnsi="Cambria Math"/>
                  <w:lang w:val="en-GB"/>
                </w:rPr>
                <m:t>ΔT</m:t>
              </m:r>
            </m:e>
          </m:d>
          <m:r>
            <w:rPr>
              <w:rFonts w:ascii="Cambria Math" w:hAnsi="Cambria Math"/>
              <w:lang w:val="en-GB"/>
            </w:rPr>
            <m:t>=141</m:t>
          </m:r>
        </m:oMath>
      </m:oMathPara>
    </w:p>
    <w:p w:rsidR="00AC460F" w:rsidRPr="008D2EA0" w:rsidRDefault="00AC460F" w:rsidP="00AC460F">
      <w:pPr>
        <w:rPr>
          <w:color w:val="000000"/>
          <w:szCs w:val="20"/>
          <w:lang w:val="en-GB" w:eastAsia="sv-SE"/>
        </w:rPr>
      </w:pPr>
    </w:p>
    <w:p w:rsidR="00AC460F" w:rsidRPr="008D2EA0" w:rsidRDefault="00AC460F" w:rsidP="00F77275">
      <w:pPr>
        <w:spacing w:after="120"/>
        <w:rPr>
          <w:rFonts w:cs="Arial"/>
          <w:color w:val="000000"/>
          <w:szCs w:val="20"/>
          <w:lang w:val="en-GB" w:eastAsia="sv-SE"/>
        </w:rPr>
      </w:pPr>
      <w:r w:rsidRPr="008D2EA0">
        <w:rPr>
          <w:rFonts w:cs="Arial"/>
          <w:color w:val="000000"/>
          <w:szCs w:val="20"/>
          <w:lang w:val="en-GB" w:eastAsia="sv-SE"/>
        </w:rPr>
        <w:t>The points awarded to each regulatory options / scenario are derived from the following formula:</w:t>
      </w:r>
    </w:p>
    <w:p w:rsidR="00AC460F" w:rsidRPr="008D2EA0" w:rsidRDefault="00F21C76" w:rsidP="00AC460F">
      <w:pPr>
        <w:rPr>
          <w:rFonts w:ascii="Times New Roman" w:hAnsi="Times New Roman"/>
          <w:color w:val="000000"/>
          <w:szCs w:val="20"/>
          <w:lang w:val="en-GB" w:eastAsia="sv-SE"/>
        </w:rPr>
      </w:pPr>
      <m:oMathPara>
        <m:oMathParaPr>
          <m:jc m:val="center"/>
        </m:oMathParaPr>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Regulatory Option</m:t>
              </m:r>
            </m:sub>
          </m:sSub>
          <m:r>
            <w:rPr>
              <w:rFonts w:ascii="Cambria Math" w:hAnsi="Cambria Math" w:cs="Arial"/>
              <w:color w:val="000000"/>
              <w:szCs w:val="20"/>
              <w:lang w:val="en-GB" w:eastAsia="sv-SE"/>
            </w:rPr>
            <m:t>=</m:t>
          </m:r>
          <m:nary>
            <m:naryPr>
              <m:chr m:val="∑"/>
              <m:limLoc m:val="undOvr"/>
              <m:ctrlPr>
                <w:rPr>
                  <w:rFonts w:ascii="Cambria Math" w:hAnsi="Cambria Math" w:cs="Arial"/>
                  <w:i/>
                  <w:color w:val="000000"/>
                  <w:szCs w:val="20"/>
                  <w:lang w:val="en-GB" w:eastAsia="sv-SE"/>
                </w:rPr>
              </m:ctrlPr>
            </m:naryPr>
            <m:sub>
              <m:r>
                <w:rPr>
                  <w:rFonts w:ascii="Cambria Math" w:hAnsi="Cambria Math" w:cs="Arial"/>
                  <w:color w:val="000000"/>
                  <w:szCs w:val="20"/>
                  <w:lang w:val="en-GB" w:eastAsia="sv-SE"/>
                </w:rPr>
                <m:t>a=1</m:t>
              </m:r>
            </m:sub>
            <m:sup>
              <m:r>
                <w:rPr>
                  <w:rFonts w:ascii="Cambria Math" w:hAnsi="Cambria Math" w:cs="Arial"/>
                  <w:color w:val="000000"/>
                  <w:szCs w:val="20"/>
                  <w:lang w:val="en-GB" w:eastAsia="sv-SE"/>
                </w:rPr>
                <m:t>nb_applications</m:t>
              </m:r>
            </m:sup>
            <m:e>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Application a</m:t>
                  </m:r>
                </m:sub>
              </m:sSub>
            </m:e>
          </m:nary>
          <m:r>
            <w:rPr>
              <w:rFonts w:ascii="Cambria Math" w:hAnsi="Cambria Math" w:cs="Arial"/>
              <w:color w:val="000000"/>
              <w:szCs w:val="20"/>
              <w:lang w:val="en-GB" w:eastAsia="sv-SE"/>
            </w:rPr>
            <m:t>×</m:t>
          </m:r>
          <m:f>
            <m:fPr>
              <m:ctrlPr>
                <w:rPr>
                  <w:rFonts w:ascii="Cambria Math" w:hAnsi="Cambria Math" w:cs="Arial"/>
                  <w:i/>
                  <w:color w:val="000000"/>
                  <w:szCs w:val="20"/>
                  <w:lang w:val="en-GB" w:eastAsia="sv-SE"/>
                </w:rPr>
              </m:ctrlPr>
            </m:fPr>
            <m:num>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BW</m:t>
                  </m:r>
                </m:e>
                <m:sub>
                  <m:r>
                    <w:rPr>
                      <w:rFonts w:ascii="Cambria Math" w:hAnsi="Cambria Math" w:cs="Arial"/>
                      <w:color w:val="000000"/>
                      <w:szCs w:val="20"/>
                      <w:lang w:val="en-GB" w:eastAsia="sv-SE"/>
                    </w:rPr>
                    <m:t>a</m:t>
                  </m:r>
                </m:sub>
              </m:sSub>
            </m:num>
            <m:den>
              <m:r>
                <w:rPr>
                  <w:rFonts w:ascii="Cambria Math" w:hAnsi="Cambria Math" w:cs="Arial"/>
                  <w:color w:val="000000"/>
                  <w:szCs w:val="20"/>
                  <w:lang w:val="en-GB" w:eastAsia="sv-SE"/>
                </w:rPr>
                <m:t>40 MHz</m:t>
              </m:r>
            </m:den>
          </m:f>
        </m:oMath>
      </m:oMathPara>
    </w:p>
    <w:p w:rsidR="00AC460F" w:rsidRPr="008D2EA0" w:rsidRDefault="00AC460F" w:rsidP="00F77275">
      <w:pPr>
        <w:spacing w:before="120" w:after="120"/>
        <w:rPr>
          <w:rFonts w:cs="Arial"/>
          <w:szCs w:val="20"/>
          <w:lang w:val="en-GB"/>
        </w:rPr>
      </w:pPr>
      <w:r w:rsidRPr="008D2EA0">
        <w:rPr>
          <w:rFonts w:cs="Arial"/>
          <w:color w:val="000000"/>
          <w:szCs w:val="20"/>
          <w:lang w:val="en-GB" w:eastAsia="sv-SE"/>
        </w:rPr>
        <w:t xml:space="preserve">where </w:t>
      </w:r>
      <m:oMath>
        <m:r>
          <w:rPr>
            <w:rFonts w:ascii="Cambria Math" w:hAnsi="Cambria Math" w:cs="Arial"/>
            <w:color w:val="000000"/>
            <w:szCs w:val="20"/>
            <w:lang w:val="en-GB" w:eastAsia="sv-SE"/>
          </w:rPr>
          <m:t>nb_applications</m:t>
        </m:r>
      </m:oMath>
      <w:r w:rsidRPr="008D2EA0">
        <w:rPr>
          <w:rFonts w:cs="Arial"/>
          <w:color w:val="000000"/>
          <w:szCs w:val="20"/>
          <w:lang w:val="en-GB" w:eastAsia="sv-SE"/>
        </w:rPr>
        <w:t xml:space="preserve"> is the number of main applications for a specific regulatory option / </w:t>
      </w:r>
      <w:r w:rsidRPr="008D2EA0">
        <w:rPr>
          <w:rFonts w:cs="Arial"/>
          <w:szCs w:val="20"/>
          <w:lang w:val="en-GB"/>
        </w:rPr>
        <w:t xml:space="preserve">scenario and </w:t>
      </w:r>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BW</m:t>
            </m:r>
          </m:e>
          <m:sub>
            <m:r>
              <w:rPr>
                <w:rFonts w:ascii="Cambria Math" w:hAnsi="Cambria Math" w:cs="Arial"/>
                <w:color w:val="000000"/>
                <w:szCs w:val="20"/>
                <w:lang w:val="en-GB" w:eastAsia="sv-SE"/>
              </w:rPr>
              <m:t>a</m:t>
            </m:r>
          </m:sub>
        </m:sSub>
      </m:oMath>
      <w:r w:rsidRPr="008D2EA0">
        <w:rPr>
          <w:rFonts w:cs="Arial"/>
          <w:color w:val="000000"/>
          <w:szCs w:val="20"/>
          <w:lang w:val="en-GB" w:eastAsia="sv-SE"/>
        </w:rPr>
        <w:t xml:space="preserve"> is the bandwidth allocated to application a</w:t>
      </w:r>
      <w:r w:rsidRPr="008D2EA0">
        <w:rPr>
          <w:rFonts w:cs="Arial"/>
          <w:szCs w:val="20"/>
          <w:lang w:val="en-GB"/>
        </w:rPr>
        <w:t>.</w:t>
      </w:r>
    </w:p>
    <w:p w:rsidR="00AC460F" w:rsidRPr="008D2EA0" w:rsidRDefault="00AC460F" w:rsidP="00F21C76">
      <w:pPr>
        <w:pStyle w:val="ECCTabletitle"/>
      </w:pPr>
      <w:r w:rsidRPr="008D2EA0">
        <w:t xml:space="preserve"> Assessment of Criterion 4 for each Regulatory Option / Scenario</w:t>
      </w:r>
    </w:p>
    <w:tbl>
      <w:tblPr>
        <w:tblW w:w="0" w:type="auto"/>
        <w:jc w:val="center"/>
        <w:tblInd w:w="-42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57"/>
        <w:gridCol w:w="1487"/>
      </w:tblGrid>
      <w:tr w:rsidR="00AC460F" w:rsidRPr="008D2EA0" w:rsidTr="009A4015">
        <w:trPr>
          <w:tblHeader/>
          <w:jc w:val="center"/>
        </w:trPr>
        <w:tc>
          <w:tcPr>
            <w:tcW w:w="3757"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F21C76">
            <w:pPr>
              <w:keepNext/>
              <w:spacing w:line="288" w:lineRule="auto"/>
              <w:jc w:val="center"/>
              <w:rPr>
                <w:b/>
                <w:color w:val="FFFFFF"/>
                <w:lang w:val="en-GB"/>
              </w:rPr>
            </w:pPr>
            <w:r w:rsidRPr="008D2EA0">
              <w:rPr>
                <w:b/>
                <w:color w:val="FFFFFF"/>
                <w:lang w:val="en-GB"/>
              </w:rPr>
              <w:t>Regulatory Option / Scenario</w:t>
            </w:r>
          </w:p>
        </w:tc>
        <w:tc>
          <w:tcPr>
            <w:tcW w:w="148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F21C76">
            <w:pPr>
              <w:keepNext/>
              <w:spacing w:line="288" w:lineRule="auto"/>
              <w:jc w:val="center"/>
              <w:rPr>
                <w:b/>
                <w:color w:val="FFFFFF"/>
                <w:lang w:val="en-GB"/>
              </w:rPr>
            </w:pPr>
            <w:r w:rsidRPr="008D2EA0">
              <w:rPr>
                <w:b/>
                <w:color w:val="FFFFFF"/>
                <w:lang w:val="en-GB"/>
              </w:rPr>
              <w:t>Points</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E74AC">
            <w:pPr>
              <w:keepNext/>
              <w:spacing w:line="288" w:lineRule="auto"/>
              <w:rPr>
                <w:lang w:val="en-GB"/>
              </w:rPr>
            </w:pPr>
            <w:r w:rsidRPr="008D2EA0">
              <w:rPr>
                <w:lang w:val="en-GB"/>
              </w:rPr>
              <w:t>Regulatory Option 1</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keepNext/>
              <w:spacing w:line="288" w:lineRule="auto"/>
              <w:rPr>
                <w:lang w:val="en-GB"/>
              </w:rPr>
            </w:pPr>
            <w:r w:rsidRPr="008D2EA0">
              <w:rPr>
                <w:lang w:val="en-GB"/>
              </w:rPr>
              <w:t>0.7</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2 / Scenario A</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7.9</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2 / Scenario B</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7.1</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A</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7.9</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B</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7.9</w:t>
            </w:r>
          </w:p>
        </w:tc>
      </w:tr>
    </w:tbl>
    <w:p w:rsidR="00AC460F" w:rsidRPr="008D2EA0" w:rsidRDefault="00AC460F" w:rsidP="00510087">
      <w:pPr>
        <w:pStyle w:val="Heading3"/>
        <w:rPr>
          <w:lang w:eastAsia="fr-FR"/>
        </w:rPr>
      </w:pPr>
      <w:bookmarkStart w:id="171" w:name="_Toc349039320"/>
      <w:r w:rsidRPr="008D2EA0">
        <w:lastRenderedPageBreak/>
        <w:t xml:space="preserve">Criterion 5 - </w:t>
      </w:r>
      <w:r w:rsidRPr="008D2EA0">
        <w:rPr>
          <w:lang w:eastAsia="sv-SE"/>
        </w:rPr>
        <w:t>Potential for harmonisation within and outside CEPT</w:t>
      </w:r>
      <w:bookmarkEnd w:id="171"/>
    </w:p>
    <w:p w:rsidR="00AC460F" w:rsidRPr="008D2EA0" w:rsidRDefault="00AC460F" w:rsidP="00AC460F">
      <w:pPr>
        <w:rPr>
          <w:rFonts w:cs="Arial"/>
          <w:szCs w:val="20"/>
          <w:lang w:val="en-GB"/>
        </w:rPr>
      </w:pPr>
      <w:r w:rsidRPr="008D2EA0">
        <w:rPr>
          <w:rFonts w:cs="Arial"/>
          <w:szCs w:val="20"/>
          <w:lang w:val="en-GB"/>
        </w:rPr>
        <w:t>This criterion awards points to candidate applications (only to main applications).</w:t>
      </w:r>
    </w:p>
    <w:p w:rsidR="00AC460F" w:rsidRPr="008D2EA0" w:rsidRDefault="00AC460F" w:rsidP="00AC460F">
      <w:pPr>
        <w:rPr>
          <w:rFonts w:cs="Arial"/>
          <w:szCs w:val="20"/>
          <w:lang w:val="en-GB"/>
        </w:rPr>
      </w:pPr>
    </w:p>
    <w:p w:rsidR="00AC460F" w:rsidRPr="008D2EA0" w:rsidRDefault="00AC460F" w:rsidP="00AC460F">
      <w:pPr>
        <w:rPr>
          <w:rFonts w:cs="Arial"/>
          <w:i/>
          <w:szCs w:val="20"/>
          <w:lang w:val="en-GB"/>
        </w:rPr>
      </w:pPr>
      <w:r w:rsidRPr="008D2EA0">
        <w:rPr>
          <w:rFonts w:cs="Arial"/>
          <w:i/>
          <w:szCs w:val="20"/>
          <w:lang w:val="en-GB"/>
        </w:rPr>
        <w:t>Sub-criterion 5a:</w:t>
      </w:r>
      <w:r w:rsidRPr="008D2EA0">
        <w:rPr>
          <w:rFonts w:cs="Arial"/>
          <w:szCs w:val="20"/>
          <w:lang w:val="en-GB"/>
        </w:rPr>
        <w:t xml:space="preserve"> </w:t>
      </w:r>
      <w:r w:rsidRPr="008D2EA0">
        <w:rPr>
          <w:rFonts w:eastAsia="Calibri" w:cs="Arial"/>
          <w:i/>
          <w:szCs w:val="20"/>
          <w:lang w:val="en-GB"/>
        </w:rPr>
        <w:t>Potential for CEPT harmonisation</w:t>
      </w:r>
    </w:p>
    <w:p w:rsidR="00AC460F" w:rsidRPr="008D2EA0" w:rsidRDefault="00AC460F" w:rsidP="00EA689C">
      <w:pPr>
        <w:pStyle w:val="ECCParagraph"/>
      </w:pPr>
      <w:r w:rsidRPr="008D2EA0">
        <w:rPr>
          <w:color w:val="000000"/>
          <w:lang w:eastAsia="sv-SE"/>
        </w:rPr>
        <w:t xml:space="preserve">This sub-criterion awards a maximum of </w:t>
      </w:r>
      <w:r w:rsidRPr="008D2EA0">
        <w:t xml:space="preserve">6 points, with the difference between maximum and minimum grade being 5 points. </w:t>
      </w:r>
    </w:p>
    <w:p w:rsidR="00AC460F" w:rsidRPr="008D2EA0" w:rsidRDefault="00AC460F" w:rsidP="00AC460F">
      <w:pPr>
        <w:rPr>
          <w:rFonts w:cs="Arial"/>
          <w:color w:val="000000"/>
          <w:szCs w:val="20"/>
          <w:lang w:val="en-GB" w:eastAsia="sv-SE"/>
        </w:rPr>
      </w:pPr>
      <w:r w:rsidRPr="008D2EA0">
        <w:rPr>
          <w:rFonts w:cs="Arial"/>
          <w:color w:val="000000"/>
          <w:szCs w:val="20"/>
          <w:lang w:val="en-GB" w:eastAsia="sv-SE"/>
        </w:rPr>
        <w:t>Each application is awarded a grade, corresponding to the analysis carried out in Section</w:t>
      </w:r>
      <w:r w:rsidR="002E3DC7" w:rsidRPr="008D2EA0">
        <w:rPr>
          <w:rFonts w:cs="Arial"/>
          <w:color w:val="000000"/>
          <w:szCs w:val="20"/>
          <w:lang w:val="en-GB" w:eastAsia="sv-SE"/>
        </w:rPr>
        <w:t xml:space="preserve"> </w:t>
      </w:r>
      <w:r w:rsidR="002E3DC7" w:rsidRPr="008D2EA0">
        <w:rPr>
          <w:rFonts w:cs="Arial"/>
          <w:color w:val="000000"/>
          <w:szCs w:val="20"/>
          <w:lang w:val="en-GB" w:eastAsia="sv-SE"/>
        </w:rPr>
        <w:fldChar w:fldCharType="begin"/>
      </w:r>
      <w:r w:rsidR="002E3DC7" w:rsidRPr="008D2EA0">
        <w:rPr>
          <w:rFonts w:cs="Arial"/>
          <w:color w:val="000000"/>
          <w:szCs w:val="20"/>
          <w:lang w:val="en-GB" w:eastAsia="sv-SE"/>
        </w:rPr>
        <w:instrText xml:space="preserve"> REF _Ref330550031 \r \h </w:instrText>
      </w:r>
      <w:r w:rsidR="002E3DC7" w:rsidRPr="008D2EA0">
        <w:rPr>
          <w:rFonts w:cs="Arial"/>
          <w:color w:val="000000"/>
          <w:szCs w:val="20"/>
          <w:lang w:val="en-GB" w:eastAsia="sv-SE"/>
        </w:rPr>
      </w:r>
      <w:r w:rsidR="002E3DC7" w:rsidRPr="008D2EA0">
        <w:rPr>
          <w:rFonts w:cs="Arial"/>
          <w:color w:val="000000"/>
          <w:szCs w:val="20"/>
          <w:lang w:val="en-GB" w:eastAsia="sv-SE"/>
        </w:rPr>
        <w:fldChar w:fldCharType="separate"/>
      </w:r>
      <w:r w:rsidR="00E73FF2">
        <w:rPr>
          <w:rFonts w:cs="Arial"/>
          <w:color w:val="000000"/>
          <w:szCs w:val="20"/>
          <w:lang w:val="en-GB" w:eastAsia="sv-SE"/>
        </w:rPr>
        <w:t>5</w:t>
      </w:r>
      <w:r w:rsidR="002E3DC7" w:rsidRPr="008D2EA0">
        <w:rPr>
          <w:rFonts w:cs="Arial"/>
          <w:color w:val="000000"/>
          <w:szCs w:val="20"/>
          <w:lang w:val="en-GB" w:eastAsia="sv-SE"/>
        </w:rPr>
        <w:fldChar w:fldCharType="end"/>
      </w:r>
      <w:r w:rsidRPr="008D2EA0">
        <w:rPr>
          <w:rFonts w:cs="Arial"/>
          <w:color w:val="000000"/>
          <w:szCs w:val="20"/>
          <w:lang w:val="en-GB" w:eastAsia="sv-SE"/>
        </w:rPr>
        <w:t>. Each grade awards a specific number of points:</w:t>
      </w:r>
    </w:p>
    <w:p w:rsidR="00AC460F" w:rsidRPr="008D2EA0" w:rsidRDefault="00AC460F" w:rsidP="00EA689C">
      <w:pPr>
        <w:pStyle w:val="ECCParBulleted"/>
        <w:spacing w:before="120"/>
        <w:rPr>
          <w:lang w:eastAsia="sv-SE"/>
        </w:rPr>
      </w:pPr>
      <w:r w:rsidRPr="008D2EA0">
        <w:rPr>
          <w:lang w:eastAsia="sv-SE"/>
        </w:rPr>
        <w:t>High (6 points)</w:t>
      </w:r>
    </w:p>
    <w:p w:rsidR="00AC460F" w:rsidRPr="008D2EA0" w:rsidRDefault="00AC460F" w:rsidP="00EA689C">
      <w:pPr>
        <w:pStyle w:val="ECCParBulleted"/>
        <w:spacing w:before="120"/>
        <w:rPr>
          <w:lang w:eastAsia="sv-SE"/>
        </w:rPr>
      </w:pPr>
      <w:r w:rsidRPr="008D2EA0">
        <w:rPr>
          <w:lang w:eastAsia="sv-SE"/>
        </w:rPr>
        <w:t>Medium (4 point)</w:t>
      </w:r>
    </w:p>
    <w:p w:rsidR="00AC460F" w:rsidRPr="008D2EA0" w:rsidRDefault="00AC460F" w:rsidP="00EA689C">
      <w:pPr>
        <w:pStyle w:val="ECCParBulleted"/>
        <w:spacing w:before="120"/>
        <w:rPr>
          <w:lang w:eastAsia="sv-SE"/>
        </w:rPr>
      </w:pPr>
      <w:r w:rsidRPr="008D2EA0">
        <w:rPr>
          <w:lang w:eastAsia="sv-SE"/>
        </w:rPr>
        <w:t>Low (1 point)</w:t>
      </w:r>
      <w:r w:rsidR="00EA689C" w:rsidRPr="008D2EA0">
        <w:rPr>
          <w:lang w:eastAsia="sv-SE"/>
        </w:rPr>
        <w:t>.</w:t>
      </w:r>
    </w:p>
    <w:p w:rsidR="00AC460F" w:rsidRPr="008D2EA0" w:rsidRDefault="00AC460F" w:rsidP="00AC460F">
      <w:pPr>
        <w:jc w:val="center"/>
        <w:rPr>
          <w:rFonts w:cs="Arial"/>
          <w:szCs w:val="20"/>
          <w:lang w:val="en-GB"/>
        </w:rPr>
      </w:pPr>
      <w:r w:rsidRPr="008D2EA0" w:rsidDel="00612D86">
        <w:rPr>
          <w:rFonts w:cs="Arial"/>
          <w:szCs w:val="20"/>
          <w:lang w:val="en-GB"/>
        </w:rPr>
        <w:t xml:space="preserve"> </w:t>
      </w:r>
    </w:p>
    <w:p w:rsidR="00AC460F" w:rsidRPr="008D2EA0" w:rsidRDefault="00AC460F" w:rsidP="009A4015">
      <w:pPr>
        <w:keepNext/>
        <w:rPr>
          <w:rFonts w:cs="Arial"/>
          <w:color w:val="000000"/>
          <w:szCs w:val="20"/>
          <w:lang w:val="en-GB" w:eastAsia="sv-SE"/>
        </w:rPr>
      </w:pPr>
      <w:r w:rsidRPr="008D2EA0">
        <w:rPr>
          <w:rFonts w:cs="Arial"/>
          <w:color w:val="000000"/>
          <w:szCs w:val="20"/>
          <w:lang w:val="en-GB" w:eastAsia="sv-SE"/>
        </w:rPr>
        <w:t>The grades for each application are provided in</w:t>
      </w:r>
      <w:r w:rsidR="002E3DC7" w:rsidRPr="008D2EA0">
        <w:rPr>
          <w:rFonts w:cs="Arial"/>
          <w:color w:val="000000"/>
          <w:szCs w:val="20"/>
          <w:lang w:val="en-GB" w:eastAsia="sv-SE"/>
        </w:rPr>
        <w:t xml:space="preserve"> </w:t>
      </w:r>
      <w:r w:rsidR="002E3DC7" w:rsidRPr="008D2EA0">
        <w:rPr>
          <w:rFonts w:cs="Arial"/>
          <w:color w:val="000000"/>
          <w:szCs w:val="20"/>
          <w:lang w:val="en-GB" w:eastAsia="sv-SE"/>
        </w:rPr>
        <w:fldChar w:fldCharType="begin"/>
      </w:r>
      <w:r w:rsidR="002E3DC7" w:rsidRPr="008D2EA0">
        <w:rPr>
          <w:rFonts w:cs="Arial"/>
          <w:color w:val="000000"/>
          <w:szCs w:val="20"/>
          <w:lang w:val="en-GB" w:eastAsia="sv-SE"/>
        </w:rPr>
        <w:instrText xml:space="preserve"> REF _Ref330550077 \r \h </w:instrText>
      </w:r>
      <w:r w:rsidR="002E3DC7" w:rsidRPr="008D2EA0">
        <w:rPr>
          <w:rFonts w:cs="Arial"/>
          <w:color w:val="000000"/>
          <w:szCs w:val="20"/>
          <w:lang w:val="en-GB" w:eastAsia="sv-SE"/>
        </w:rPr>
      </w:r>
      <w:r w:rsidR="002E3DC7" w:rsidRPr="008D2EA0">
        <w:rPr>
          <w:rFonts w:cs="Arial"/>
          <w:color w:val="000000"/>
          <w:szCs w:val="20"/>
          <w:lang w:val="en-GB" w:eastAsia="sv-SE"/>
        </w:rPr>
        <w:fldChar w:fldCharType="separate"/>
      </w:r>
      <w:r w:rsidR="00E73FF2">
        <w:rPr>
          <w:rFonts w:cs="Arial"/>
          <w:color w:val="000000"/>
          <w:szCs w:val="20"/>
          <w:lang w:val="en-GB" w:eastAsia="sv-SE"/>
        </w:rPr>
        <w:t>Table 48:</w:t>
      </w:r>
      <w:r w:rsidR="002E3DC7" w:rsidRPr="008D2EA0">
        <w:rPr>
          <w:rFonts w:cs="Arial"/>
          <w:color w:val="000000"/>
          <w:szCs w:val="20"/>
          <w:lang w:val="en-GB" w:eastAsia="sv-SE"/>
        </w:rPr>
        <w:fldChar w:fldCharType="end"/>
      </w:r>
      <w:r w:rsidRPr="008D2EA0">
        <w:rPr>
          <w:rFonts w:cs="Arial"/>
          <w:color w:val="000000"/>
          <w:szCs w:val="20"/>
          <w:lang w:val="en-GB" w:eastAsia="sv-SE"/>
        </w:rPr>
        <w:t>.</w:t>
      </w:r>
    </w:p>
    <w:p w:rsidR="00AC460F" w:rsidRPr="008D2EA0" w:rsidRDefault="001F0F23" w:rsidP="00F21C76">
      <w:pPr>
        <w:pStyle w:val="ECCTabletitle"/>
      </w:pPr>
      <w:r w:rsidRPr="008D2EA0">
        <w:t xml:space="preserve"> </w:t>
      </w:r>
      <w:bookmarkStart w:id="172" w:name="_Ref330550077"/>
      <w:r w:rsidR="00AC460F" w:rsidRPr="008D2EA0">
        <w:t xml:space="preserve">Potential for CEPT </w:t>
      </w:r>
      <w:r w:rsidR="00856DA4">
        <w:t>h</w:t>
      </w:r>
      <w:r w:rsidR="00AC460F" w:rsidRPr="008D2EA0">
        <w:t>armonisation</w:t>
      </w:r>
      <w:bookmarkEnd w:id="172"/>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538"/>
        <w:gridCol w:w="1418"/>
      </w:tblGrid>
      <w:tr w:rsidR="00AC460F" w:rsidRPr="008D2EA0" w:rsidTr="009A4015">
        <w:trPr>
          <w:tblHeader/>
          <w:jc w:val="center"/>
        </w:trPr>
        <w:tc>
          <w:tcPr>
            <w:tcW w:w="1809"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AC460F" w:rsidRPr="008D2EA0" w:rsidRDefault="00AC460F" w:rsidP="009A4015">
            <w:pPr>
              <w:keepNext/>
              <w:spacing w:line="288" w:lineRule="auto"/>
              <w:jc w:val="center"/>
              <w:rPr>
                <w:b/>
                <w:color w:val="FFFFFF"/>
                <w:lang w:val="en-GB"/>
              </w:rPr>
            </w:pPr>
            <w:r w:rsidRPr="008D2EA0">
              <w:rPr>
                <w:b/>
                <w:color w:val="FFFFFF"/>
                <w:lang w:val="en-GB"/>
              </w:rPr>
              <w:t xml:space="preserve">Application </w:t>
            </w:r>
          </w:p>
        </w:tc>
        <w:tc>
          <w:tcPr>
            <w:tcW w:w="1538"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9A4015">
            <w:pPr>
              <w:keepNext/>
              <w:spacing w:line="288" w:lineRule="auto"/>
              <w:jc w:val="center"/>
              <w:rPr>
                <w:b/>
                <w:color w:val="FFFFFF"/>
                <w:lang w:val="en-GB"/>
              </w:rPr>
            </w:pPr>
            <w:r w:rsidRPr="008D2EA0">
              <w:rPr>
                <w:b/>
                <w:color w:val="FFFFFF"/>
                <w:lang w:val="en-GB"/>
              </w:rPr>
              <w:t>Grade</w:t>
            </w:r>
          </w:p>
        </w:tc>
        <w:tc>
          <w:tcPr>
            <w:tcW w:w="1418"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9A4015">
            <w:pPr>
              <w:keepNext/>
              <w:spacing w:line="288" w:lineRule="auto"/>
              <w:jc w:val="center"/>
              <w:rPr>
                <w:b/>
                <w:color w:val="FFFFFF"/>
                <w:lang w:val="en-GB"/>
              </w:rPr>
            </w:pPr>
            <w:r w:rsidRPr="008D2EA0">
              <w:rPr>
                <w:b/>
                <w:color w:val="FFFFFF"/>
                <w:lang w:val="en-GB"/>
              </w:rPr>
              <w:t>Points</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keepNext/>
              <w:spacing w:line="288" w:lineRule="auto"/>
              <w:rPr>
                <w:lang w:val="en-GB"/>
              </w:rPr>
            </w:pPr>
            <w:r w:rsidRPr="008D2EA0">
              <w:rPr>
                <w:lang w:val="en-GB"/>
              </w:rPr>
              <w:t xml:space="preserve">TB </w:t>
            </w:r>
          </w:p>
        </w:tc>
        <w:tc>
          <w:tcPr>
            <w:tcW w:w="153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keepNext/>
              <w:spacing w:line="288" w:lineRule="auto"/>
              <w:rPr>
                <w:lang w:val="en-GB"/>
              </w:rPr>
            </w:pPr>
            <w:r w:rsidRPr="008D2EA0">
              <w:rPr>
                <w:lang w:val="en-GB"/>
              </w:rPr>
              <w:t>Medium</w:t>
            </w:r>
          </w:p>
        </w:tc>
        <w:tc>
          <w:tcPr>
            <w:tcW w:w="141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keepNext/>
              <w:spacing w:line="288" w:lineRule="auto"/>
              <w:rPr>
                <w:lang w:val="en-GB"/>
              </w:rPr>
            </w:pPr>
            <w:r w:rsidRPr="008D2EA0">
              <w:rPr>
                <w:lang w:val="en-GB"/>
              </w:rPr>
              <w:t>4</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MBB</w:t>
            </w:r>
          </w:p>
        </w:tc>
        <w:tc>
          <w:tcPr>
            <w:tcW w:w="153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Medium</w:t>
            </w:r>
          </w:p>
        </w:tc>
        <w:tc>
          <w:tcPr>
            <w:tcW w:w="141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4</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SDL</w:t>
            </w:r>
          </w:p>
        </w:tc>
        <w:tc>
          <w:tcPr>
            <w:tcW w:w="153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High</w:t>
            </w:r>
          </w:p>
        </w:tc>
        <w:tc>
          <w:tcPr>
            <w:tcW w:w="1418"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6</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S-DAB</w:t>
            </w:r>
          </w:p>
        </w:tc>
        <w:tc>
          <w:tcPr>
            <w:tcW w:w="153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Low</w:t>
            </w:r>
          </w:p>
        </w:tc>
        <w:tc>
          <w:tcPr>
            <w:tcW w:w="141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PMSE</w:t>
            </w:r>
          </w:p>
        </w:tc>
        <w:tc>
          <w:tcPr>
            <w:tcW w:w="153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Medium</w:t>
            </w:r>
          </w:p>
        </w:tc>
        <w:tc>
          <w:tcPr>
            <w:tcW w:w="141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4</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PPDR</w:t>
            </w:r>
          </w:p>
        </w:tc>
        <w:tc>
          <w:tcPr>
            <w:tcW w:w="153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Medium</w:t>
            </w:r>
          </w:p>
        </w:tc>
        <w:tc>
          <w:tcPr>
            <w:tcW w:w="141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4</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BDA2GC</w:t>
            </w:r>
          </w:p>
        </w:tc>
        <w:tc>
          <w:tcPr>
            <w:tcW w:w="153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Low</w:t>
            </w:r>
          </w:p>
        </w:tc>
        <w:tc>
          <w:tcPr>
            <w:tcW w:w="1418"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bl>
    <w:p w:rsidR="00AC460F" w:rsidRPr="008D2EA0" w:rsidRDefault="00AC460F" w:rsidP="00AC460F">
      <w:pPr>
        <w:rPr>
          <w:lang w:val="en-GB"/>
        </w:rPr>
      </w:pPr>
    </w:p>
    <w:p w:rsidR="00AC460F" w:rsidRPr="008D2EA0" w:rsidRDefault="00AC460F" w:rsidP="00F77275">
      <w:pPr>
        <w:spacing w:after="120"/>
        <w:rPr>
          <w:rFonts w:cs="Arial"/>
          <w:color w:val="000000"/>
          <w:szCs w:val="20"/>
          <w:lang w:val="en-GB" w:eastAsia="sv-SE"/>
        </w:rPr>
      </w:pPr>
      <w:r w:rsidRPr="008D2EA0">
        <w:rPr>
          <w:rFonts w:cs="Arial"/>
          <w:color w:val="000000"/>
          <w:szCs w:val="20"/>
          <w:lang w:val="en-GB" w:eastAsia="sv-SE"/>
        </w:rPr>
        <w:t>The points awarded to each regulatory options / scenario are derived from the following formula:</w:t>
      </w:r>
    </w:p>
    <w:p w:rsidR="00AC460F" w:rsidRPr="008D2EA0" w:rsidRDefault="00F21C76" w:rsidP="00AC460F">
      <w:pPr>
        <w:rPr>
          <w:rFonts w:ascii="Times New Roman" w:hAnsi="Times New Roman"/>
          <w:color w:val="000000"/>
          <w:szCs w:val="20"/>
          <w:lang w:val="en-GB" w:eastAsia="sv-SE"/>
        </w:rPr>
      </w:pPr>
      <m:oMathPara>
        <m:oMathParaPr>
          <m:jc m:val="center"/>
        </m:oMathParaPr>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Regulatory Option</m:t>
              </m:r>
            </m:sub>
          </m:sSub>
          <m:r>
            <w:rPr>
              <w:rFonts w:ascii="Cambria Math" w:hAnsi="Cambria Math" w:cs="Arial"/>
              <w:color w:val="000000"/>
              <w:szCs w:val="20"/>
              <w:lang w:val="en-GB" w:eastAsia="sv-SE"/>
            </w:rPr>
            <m:t>=</m:t>
          </m:r>
          <m:nary>
            <m:naryPr>
              <m:chr m:val="∑"/>
              <m:limLoc m:val="undOvr"/>
              <m:ctrlPr>
                <w:rPr>
                  <w:rFonts w:ascii="Cambria Math" w:hAnsi="Cambria Math" w:cs="Arial"/>
                  <w:i/>
                  <w:color w:val="000000"/>
                  <w:szCs w:val="20"/>
                  <w:lang w:val="en-GB" w:eastAsia="sv-SE"/>
                </w:rPr>
              </m:ctrlPr>
            </m:naryPr>
            <m:sub>
              <m:r>
                <w:rPr>
                  <w:rFonts w:ascii="Cambria Math" w:hAnsi="Cambria Math" w:cs="Arial"/>
                  <w:color w:val="000000"/>
                  <w:szCs w:val="20"/>
                  <w:lang w:val="en-GB" w:eastAsia="sv-SE"/>
                </w:rPr>
                <m:t>a=1</m:t>
              </m:r>
            </m:sub>
            <m:sup>
              <m:r>
                <w:rPr>
                  <w:rFonts w:ascii="Cambria Math" w:hAnsi="Cambria Math" w:cs="Arial"/>
                  <w:color w:val="000000"/>
                  <w:szCs w:val="20"/>
                  <w:lang w:val="en-GB" w:eastAsia="sv-SE"/>
                </w:rPr>
                <m:t>nb_applications</m:t>
              </m:r>
            </m:sup>
            <m:e>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Application a</m:t>
                  </m:r>
                </m:sub>
              </m:sSub>
            </m:e>
          </m:nary>
          <m:r>
            <w:rPr>
              <w:rFonts w:ascii="Cambria Math" w:hAnsi="Cambria Math" w:cs="Arial"/>
              <w:color w:val="000000"/>
              <w:szCs w:val="20"/>
              <w:lang w:val="en-GB" w:eastAsia="sv-SE"/>
            </w:rPr>
            <m:t>×</m:t>
          </m:r>
          <m:f>
            <m:fPr>
              <m:ctrlPr>
                <w:rPr>
                  <w:rFonts w:ascii="Cambria Math" w:hAnsi="Cambria Math" w:cs="Arial"/>
                  <w:i/>
                  <w:color w:val="000000"/>
                  <w:szCs w:val="20"/>
                  <w:lang w:val="en-GB" w:eastAsia="sv-SE"/>
                </w:rPr>
              </m:ctrlPr>
            </m:fPr>
            <m:num>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BW</m:t>
                  </m:r>
                </m:e>
                <m:sub>
                  <m:r>
                    <w:rPr>
                      <w:rFonts w:ascii="Cambria Math" w:hAnsi="Cambria Math" w:cs="Arial"/>
                      <w:color w:val="000000"/>
                      <w:szCs w:val="20"/>
                      <w:lang w:val="en-GB" w:eastAsia="sv-SE"/>
                    </w:rPr>
                    <m:t>a</m:t>
                  </m:r>
                </m:sub>
              </m:sSub>
            </m:num>
            <m:den>
              <m:r>
                <w:rPr>
                  <w:rFonts w:ascii="Cambria Math" w:hAnsi="Cambria Math" w:cs="Arial"/>
                  <w:color w:val="000000"/>
                  <w:szCs w:val="20"/>
                  <w:lang w:val="en-GB" w:eastAsia="sv-SE"/>
                </w:rPr>
                <m:t>40 MHz</m:t>
              </m:r>
            </m:den>
          </m:f>
        </m:oMath>
      </m:oMathPara>
    </w:p>
    <w:p w:rsidR="00AC460F" w:rsidRPr="008D2EA0" w:rsidRDefault="00AC460F" w:rsidP="00F77275">
      <w:pPr>
        <w:spacing w:before="120" w:after="120"/>
        <w:rPr>
          <w:rFonts w:cs="Arial"/>
          <w:szCs w:val="20"/>
          <w:lang w:val="en-GB"/>
        </w:rPr>
      </w:pPr>
      <w:r w:rsidRPr="008D2EA0">
        <w:rPr>
          <w:rFonts w:cs="Arial"/>
          <w:color w:val="000000"/>
          <w:szCs w:val="20"/>
          <w:lang w:val="en-GB" w:eastAsia="sv-SE"/>
        </w:rPr>
        <w:t xml:space="preserve">where </w:t>
      </w:r>
      <m:oMath>
        <m:r>
          <w:rPr>
            <w:rFonts w:ascii="Cambria Math" w:hAnsi="Cambria Math" w:cs="Arial"/>
            <w:color w:val="000000"/>
            <w:szCs w:val="20"/>
            <w:lang w:val="en-GB" w:eastAsia="sv-SE"/>
          </w:rPr>
          <m:t>nb_applications</m:t>
        </m:r>
      </m:oMath>
      <w:r w:rsidRPr="008D2EA0">
        <w:rPr>
          <w:rFonts w:cs="Arial"/>
          <w:color w:val="000000"/>
          <w:szCs w:val="20"/>
          <w:lang w:val="en-GB" w:eastAsia="sv-SE"/>
        </w:rPr>
        <w:t xml:space="preserve"> is the number of main applications for a specific regulatory option / </w:t>
      </w:r>
      <w:r w:rsidRPr="008D2EA0">
        <w:rPr>
          <w:rFonts w:cs="Arial"/>
          <w:szCs w:val="20"/>
          <w:lang w:val="en-GB"/>
        </w:rPr>
        <w:t xml:space="preserve">scenario and </w:t>
      </w:r>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BW</m:t>
            </m:r>
          </m:e>
          <m:sub>
            <m:r>
              <w:rPr>
                <w:rFonts w:ascii="Cambria Math" w:hAnsi="Cambria Math" w:cs="Arial"/>
                <w:color w:val="000000"/>
                <w:szCs w:val="20"/>
                <w:lang w:val="en-GB" w:eastAsia="sv-SE"/>
              </w:rPr>
              <m:t>a</m:t>
            </m:r>
          </m:sub>
        </m:sSub>
      </m:oMath>
      <w:r w:rsidRPr="008D2EA0">
        <w:rPr>
          <w:rFonts w:cs="Arial"/>
          <w:color w:val="000000"/>
          <w:szCs w:val="20"/>
          <w:lang w:val="en-GB" w:eastAsia="sv-SE"/>
        </w:rPr>
        <w:t xml:space="preserve"> is the bandwidth allocated to application a</w:t>
      </w:r>
      <w:r w:rsidRPr="008D2EA0">
        <w:rPr>
          <w:rFonts w:cs="Arial"/>
          <w:szCs w:val="20"/>
          <w:lang w:val="en-GB"/>
        </w:rPr>
        <w:t>.</w:t>
      </w:r>
    </w:p>
    <w:p w:rsidR="00AC460F" w:rsidRPr="008D2EA0" w:rsidRDefault="00AC460F" w:rsidP="00F21C76">
      <w:pPr>
        <w:pStyle w:val="ECCTabletitle"/>
      </w:pPr>
      <w:r w:rsidRPr="008D2EA0">
        <w:t>Assessment of Criterion 5a for each Regulatory Option / Scenario</w:t>
      </w:r>
    </w:p>
    <w:tbl>
      <w:tblPr>
        <w:tblW w:w="0" w:type="auto"/>
        <w:jc w:val="center"/>
        <w:tblInd w:w="-42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57"/>
        <w:gridCol w:w="1487"/>
      </w:tblGrid>
      <w:tr w:rsidR="00AC460F" w:rsidRPr="008D2EA0" w:rsidTr="009A4015">
        <w:trPr>
          <w:tblHeader/>
          <w:jc w:val="center"/>
        </w:trPr>
        <w:tc>
          <w:tcPr>
            <w:tcW w:w="3757"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F21C76">
            <w:pPr>
              <w:keepNext/>
              <w:spacing w:line="288" w:lineRule="auto"/>
              <w:jc w:val="center"/>
              <w:rPr>
                <w:b/>
                <w:color w:val="FFFFFF"/>
                <w:lang w:val="en-GB"/>
              </w:rPr>
            </w:pPr>
            <w:r w:rsidRPr="008D2EA0">
              <w:rPr>
                <w:b/>
                <w:color w:val="FFFFFF"/>
                <w:lang w:val="en-GB"/>
              </w:rPr>
              <w:t>Regulatory Option / Scenario</w:t>
            </w:r>
          </w:p>
        </w:tc>
        <w:tc>
          <w:tcPr>
            <w:tcW w:w="148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F21C76">
            <w:pPr>
              <w:keepNext/>
              <w:spacing w:line="288" w:lineRule="auto"/>
              <w:jc w:val="center"/>
              <w:rPr>
                <w:b/>
                <w:color w:val="FFFFFF"/>
                <w:lang w:val="en-GB"/>
              </w:rPr>
            </w:pPr>
            <w:r w:rsidRPr="008D2EA0">
              <w:rPr>
                <w:b/>
                <w:color w:val="FFFFFF"/>
                <w:lang w:val="en-GB"/>
              </w:rPr>
              <w:t>Points</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21C76">
            <w:pPr>
              <w:keepNext/>
              <w:spacing w:line="288" w:lineRule="auto"/>
              <w:rPr>
                <w:lang w:val="en-GB"/>
              </w:rPr>
            </w:pPr>
            <w:r w:rsidRPr="008D2EA0">
              <w:rPr>
                <w:lang w:val="en-GB"/>
              </w:rPr>
              <w:t>Regulatory Option 1</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21C76">
            <w:pPr>
              <w:keepNext/>
              <w:spacing w:line="288" w:lineRule="auto"/>
              <w:rPr>
                <w:lang w:val="en-GB"/>
              </w:rPr>
            </w:pPr>
            <w:r w:rsidRPr="008D2EA0">
              <w:rPr>
                <w:lang w:val="en-GB"/>
              </w:rPr>
              <w:t>3.1</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21C76">
            <w:pPr>
              <w:keepNext/>
              <w:spacing w:line="288" w:lineRule="auto"/>
              <w:rPr>
                <w:lang w:val="en-GB"/>
              </w:rPr>
            </w:pPr>
            <w:r w:rsidRPr="008D2EA0">
              <w:rPr>
                <w:lang w:val="en-GB"/>
              </w:rPr>
              <w:t>Regulatory Option 2 / Scenario A</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21C76">
            <w:pPr>
              <w:keepNext/>
              <w:spacing w:line="288" w:lineRule="auto"/>
              <w:rPr>
                <w:lang w:val="en-GB"/>
              </w:rPr>
            </w:pPr>
            <w:r w:rsidRPr="008D2EA0">
              <w:rPr>
                <w:lang w:val="en-GB"/>
              </w:rPr>
              <w:t>6</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21C76">
            <w:pPr>
              <w:keepNext/>
              <w:spacing w:line="288" w:lineRule="auto"/>
              <w:rPr>
                <w:lang w:val="en-GB"/>
              </w:rPr>
            </w:pPr>
            <w:r w:rsidRPr="008D2EA0">
              <w:rPr>
                <w:lang w:val="en-GB"/>
              </w:rPr>
              <w:t>Regulatory Option 2 / Scenario B</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21C76">
            <w:pPr>
              <w:keepNext/>
              <w:spacing w:line="288" w:lineRule="auto"/>
              <w:rPr>
                <w:lang w:val="en-GB"/>
              </w:rPr>
            </w:pPr>
            <w:r w:rsidRPr="008D2EA0">
              <w:rPr>
                <w:lang w:val="en-GB"/>
              </w:rPr>
              <w:t>4</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21C76">
            <w:pPr>
              <w:keepNext/>
              <w:spacing w:line="288" w:lineRule="auto"/>
              <w:rPr>
                <w:lang w:val="en-GB"/>
              </w:rPr>
            </w:pPr>
            <w:r w:rsidRPr="008D2EA0">
              <w:rPr>
                <w:lang w:val="en-GB"/>
              </w:rPr>
              <w:t>Regulatory Option 3 / Scenario A</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21C76">
            <w:pPr>
              <w:keepNext/>
              <w:spacing w:line="288" w:lineRule="auto"/>
              <w:rPr>
                <w:lang w:val="en-GB"/>
              </w:rPr>
            </w:pPr>
            <w:r w:rsidRPr="008D2EA0">
              <w:rPr>
                <w:lang w:val="en-GB"/>
              </w:rPr>
              <w:t>2.5</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B</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2.5</w:t>
            </w:r>
          </w:p>
        </w:tc>
      </w:tr>
    </w:tbl>
    <w:p w:rsidR="00AC460F" w:rsidRPr="008D2EA0" w:rsidRDefault="00AC460F" w:rsidP="00AC460F">
      <w:pPr>
        <w:rPr>
          <w:rFonts w:cs="Arial"/>
          <w:i/>
          <w:szCs w:val="20"/>
          <w:lang w:val="en-GB"/>
        </w:rPr>
      </w:pPr>
    </w:p>
    <w:p w:rsidR="00AC460F" w:rsidRPr="008D2EA0" w:rsidRDefault="00AC460F" w:rsidP="00AC460F">
      <w:pPr>
        <w:rPr>
          <w:rFonts w:cs="Arial"/>
          <w:i/>
          <w:szCs w:val="20"/>
          <w:lang w:val="en-GB"/>
        </w:rPr>
      </w:pPr>
      <w:r w:rsidRPr="008D2EA0">
        <w:rPr>
          <w:rFonts w:cs="Arial"/>
          <w:i/>
          <w:szCs w:val="20"/>
          <w:lang w:val="en-GB"/>
        </w:rPr>
        <w:t>Sub-criterion 5b:</w:t>
      </w:r>
      <w:r w:rsidRPr="008D2EA0">
        <w:rPr>
          <w:rFonts w:cs="Arial"/>
          <w:szCs w:val="20"/>
          <w:lang w:val="en-GB"/>
        </w:rPr>
        <w:t xml:space="preserve"> </w:t>
      </w:r>
      <w:r w:rsidRPr="008D2EA0">
        <w:rPr>
          <w:rFonts w:eastAsia="Calibri" w:cs="Arial"/>
          <w:i/>
          <w:szCs w:val="20"/>
          <w:lang w:val="en-GB"/>
        </w:rPr>
        <w:t>Potential for take-up of application outside CEPT</w:t>
      </w:r>
    </w:p>
    <w:p w:rsidR="00AC460F" w:rsidRPr="008D2EA0" w:rsidRDefault="00AC460F" w:rsidP="00AC460F">
      <w:pPr>
        <w:rPr>
          <w:rFonts w:cs="Arial"/>
          <w:szCs w:val="20"/>
          <w:lang w:val="en-GB"/>
        </w:rPr>
      </w:pPr>
    </w:p>
    <w:p w:rsidR="00AC460F" w:rsidRPr="008D2EA0" w:rsidRDefault="00AC460F" w:rsidP="00F77275">
      <w:pPr>
        <w:pStyle w:val="ECCParagraph"/>
        <w:spacing w:after="0"/>
      </w:pPr>
      <w:r w:rsidRPr="008D2EA0">
        <w:rPr>
          <w:color w:val="000000"/>
          <w:lang w:eastAsia="sv-SE"/>
        </w:rPr>
        <w:t xml:space="preserve">This sub-criterion awards a maximum of </w:t>
      </w:r>
      <w:r w:rsidRPr="008D2EA0">
        <w:t>5 points, with the difference between maximum and minimum grade being 4 points.</w:t>
      </w:r>
    </w:p>
    <w:p w:rsidR="00AC460F" w:rsidRPr="008D2EA0" w:rsidRDefault="00AC460F" w:rsidP="00AC460F">
      <w:pPr>
        <w:rPr>
          <w:rFonts w:cs="Arial"/>
          <w:szCs w:val="20"/>
          <w:lang w:val="en-GB"/>
        </w:rPr>
      </w:pPr>
    </w:p>
    <w:p w:rsidR="00AC460F" w:rsidRPr="008D2EA0" w:rsidRDefault="00AC460F" w:rsidP="00F77275">
      <w:pPr>
        <w:pStyle w:val="ECCParagraph"/>
        <w:keepNext/>
        <w:rPr>
          <w:lang w:eastAsia="sv-SE"/>
        </w:rPr>
      </w:pPr>
      <w:r w:rsidRPr="008D2EA0">
        <w:rPr>
          <w:lang w:eastAsia="sv-SE"/>
        </w:rPr>
        <w:lastRenderedPageBreak/>
        <w:t>Each application is awarded a grade, corresponding to the analysis carried out in Section</w:t>
      </w:r>
      <w:r w:rsidR="002E3DC7" w:rsidRPr="008D2EA0">
        <w:rPr>
          <w:lang w:eastAsia="sv-SE"/>
        </w:rPr>
        <w:t xml:space="preserve"> </w:t>
      </w:r>
      <w:r w:rsidR="002E3DC7" w:rsidRPr="008D2EA0">
        <w:rPr>
          <w:lang w:eastAsia="sv-SE"/>
        </w:rPr>
        <w:fldChar w:fldCharType="begin"/>
      </w:r>
      <w:r w:rsidR="002E3DC7" w:rsidRPr="008D2EA0">
        <w:rPr>
          <w:lang w:eastAsia="sv-SE"/>
        </w:rPr>
        <w:instrText xml:space="preserve"> REF _Ref330550111 \r \h </w:instrText>
      </w:r>
      <w:r w:rsidR="002E3DC7" w:rsidRPr="008D2EA0">
        <w:rPr>
          <w:lang w:eastAsia="sv-SE"/>
        </w:rPr>
      </w:r>
      <w:r w:rsidR="002E3DC7" w:rsidRPr="008D2EA0">
        <w:rPr>
          <w:lang w:eastAsia="sv-SE"/>
        </w:rPr>
        <w:fldChar w:fldCharType="separate"/>
      </w:r>
      <w:r w:rsidR="00E73FF2">
        <w:rPr>
          <w:lang w:eastAsia="sv-SE"/>
        </w:rPr>
        <w:t>5</w:t>
      </w:r>
      <w:r w:rsidR="002E3DC7" w:rsidRPr="008D2EA0">
        <w:rPr>
          <w:lang w:eastAsia="sv-SE"/>
        </w:rPr>
        <w:fldChar w:fldCharType="end"/>
      </w:r>
      <w:r w:rsidRPr="008D2EA0">
        <w:rPr>
          <w:lang w:eastAsia="sv-SE"/>
        </w:rPr>
        <w:t>. Each grade awards a specific number of points:</w:t>
      </w:r>
    </w:p>
    <w:p w:rsidR="00AC460F" w:rsidRPr="008D2EA0" w:rsidRDefault="00AC460F" w:rsidP="00F77275">
      <w:pPr>
        <w:pStyle w:val="ECCParBulleted"/>
        <w:keepNext/>
        <w:spacing w:before="120"/>
        <w:rPr>
          <w:lang w:eastAsia="sv-SE"/>
        </w:rPr>
      </w:pPr>
      <w:r w:rsidRPr="008D2EA0">
        <w:rPr>
          <w:lang w:eastAsia="sv-SE"/>
        </w:rPr>
        <w:t>High (5 points)</w:t>
      </w:r>
    </w:p>
    <w:p w:rsidR="00AC460F" w:rsidRPr="008D2EA0" w:rsidRDefault="00AC460F" w:rsidP="00EA689C">
      <w:pPr>
        <w:pStyle w:val="ECCParBulleted"/>
        <w:spacing w:before="120"/>
        <w:rPr>
          <w:lang w:eastAsia="sv-SE"/>
        </w:rPr>
      </w:pPr>
      <w:r w:rsidRPr="008D2EA0">
        <w:rPr>
          <w:lang w:eastAsia="sv-SE"/>
        </w:rPr>
        <w:t>Medium (3 point)</w:t>
      </w:r>
    </w:p>
    <w:p w:rsidR="00AC460F" w:rsidRPr="008D2EA0" w:rsidRDefault="00AC460F" w:rsidP="00EA689C">
      <w:pPr>
        <w:pStyle w:val="ECCParBulleted"/>
        <w:spacing w:before="120"/>
        <w:rPr>
          <w:lang w:eastAsia="sv-SE"/>
        </w:rPr>
      </w:pPr>
      <w:r w:rsidRPr="008D2EA0">
        <w:rPr>
          <w:lang w:eastAsia="sv-SE"/>
        </w:rPr>
        <w:t>Low (1 point)</w:t>
      </w:r>
      <w:r w:rsidR="00EA689C" w:rsidRPr="008D2EA0">
        <w:rPr>
          <w:lang w:eastAsia="sv-SE"/>
        </w:rPr>
        <w:t>.</w:t>
      </w:r>
    </w:p>
    <w:p w:rsidR="00AC460F" w:rsidRPr="008D2EA0" w:rsidRDefault="00AC460F" w:rsidP="00F21C76">
      <w:pPr>
        <w:pStyle w:val="ECCTabletitle"/>
      </w:pPr>
      <w:r w:rsidRPr="008D2EA0">
        <w:t xml:space="preserve"> Potential for Take-up of Application Outside CEPT</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480"/>
        <w:gridCol w:w="1560"/>
      </w:tblGrid>
      <w:tr w:rsidR="00AC460F" w:rsidRPr="008D2EA0" w:rsidTr="009A4015">
        <w:trPr>
          <w:tblHeader/>
          <w:jc w:val="center"/>
        </w:trPr>
        <w:tc>
          <w:tcPr>
            <w:tcW w:w="1809"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 xml:space="preserve">Application </w:t>
            </w:r>
          </w:p>
        </w:tc>
        <w:tc>
          <w:tcPr>
            <w:tcW w:w="1480"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Grade</w:t>
            </w:r>
          </w:p>
        </w:tc>
        <w:tc>
          <w:tcPr>
            <w:tcW w:w="1560"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 xml:space="preserve">TB </w:t>
            </w:r>
          </w:p>
        </w:tc>
        <w:tc>
          <w:tcPr>
            <w:tcW w:w="1480"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Low</w:t>
            </w:r>
          </w:p>
        </w:tc>
        <w:tc>
          <w:tcPr>
            <w:tcW w:w="1560"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1</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MBB</w:t>
            </w:r>
          </w:p>
        </w:tc>
        <w:tc>
          <w:tcPr>
            <w:tcW w:w="1480"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High</w:t>
            </w:r>
          </w:p>
        </w:tc>
        <w:tc>
          <w:tcPr>
            <w:tcW w:w="1560"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5</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SDL</w:t>
            </w:r>
          </w:p>
        </w:tc>
        <w:tc>
          <w:tcPr>
            <w:tcW w:w="1480"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High</w:t>
            </w:r>
          </w:p>
        </w:tc>
        <w:tc>
          <w:tcPr>
            <w:tcW w:w="1560"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9A4015">
            <w:pPr>
              <w:spacing w:line="288" w:lineRule="auto"/>
              <w:rPr>
                <w:lang w:val="en-GB"/>
              </w:rPr>
            </w:pPr>
            <w:r w:rsidRPr="008D2EA0">
              <w:rPr>
                <w:lang w:val="en-GB"/>
              </w:rPr>
              <w:t>5</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S-DAB</w:t>
            </w:r>
          </w:p>
        </w:tc>
        <w:tc>
          <w:tcPr>
            <w:tcW w:w="1480"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Low</w:t>
            </w:r>
          </w:p>
        </w:tc>
        <w:tc>
          <w:tcPr>
            <w:tcW w:w="1560"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PMSE</w:t>
            </w:r>
          </w:p>
        </w:tc>
        <w:tc>
          <w:tcPr>
            <w:tcW w:w="1480"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Low</w:t>
            </w:r>
          </w:p>
        </w:tc>
        <w:tc>
          <w:tcPr>
            <w:tcW w:w="1560"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PPDR</w:t>
            </w:r>
          </w:p>
        </w:tc>
        <w:tc>
          <w:tcPr>
            <w:tcW w:w="1480"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Low</w:t>
            </w:r>
          </w:p>
        </w:tc>
        <w:tc>
          <w:tcPr>
            <w:tcW w:w="1560"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r w:rsidR="00AC460F" w:rsidRPr="008D2EA0" w:rsidTr="009A4015">
        <w:trPr>
          <w:jc w:val="center"/>
        </w:trPr>
        <w:tc>
          <w:tcPr>
            <w:tcW w:w="180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BDA2GC</w:t>
            </w:r>
          </w:p>
        </w:tc>
        <w:tc>
          <w:tcPr>
            <w:tcW w:w="1480"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Low</w:t>
            </w:r>
          </w:p>
        </w:tc>
        <w:tc>
          <w:tcPr>
            <w:tcW w:w="1560"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9A4015">
            <w:pPr>
              <w:spacing w:line="288" w:lineRule="auto"/>
              <w:rPr>
                <w:lang w:val="en-GB"/>
              </w:rPr>
            </w:pPr>
            <w:r w:rsidRPr="008D2EA0">
              <w:rPr>
                <w:lang w:val="en-GB"/>
              </w:rPr>
              <w:t>1</w:t>
            </w:r>
          </w:p>
        </w:tc>
      </w:tr>
    </w:tbl>
    <w:p w:rsidR="00AC460F" w:rsidRPr="008D2EA0" w:rsidRDefault="00AC460F" w:rsidP="00AC460F">
      <w:pPr>
        <w:rPr>
          <w:lang w:val="en-GB"/>
        </w:rPr>
      </w:pPr>
    </w:p>
    <w:p w:rsidR="00AC460F" w:rsidRPr="008D2EA0" w:rsidRDefault="00AC460F" w:rsidP="00F77275">
      <w:pPr>
        <w:spacing w:after="120"/>
        <w:rPr>
          <w:rFonts w:cs="Arial"/>
          <w:color w:val="000000"/>
          <w:szCs w:val="20"/>
          <w:lang w:val="en-GB" w:eastAsia="sv-SE"/>
        </w:rPr>
      </w:pPr>
      <w:r w:rsidRPr="008D2EA0">
        <w:rPr>
          <w:rFonts w:cs="Arial"/>
          <w:color w:val="000000"/>
          <w:szCs w:val="20"/>
          <w:lang w:val="en-GB" w:eastAsia="sv-SE"/>
        </w:rPr>
        <w:t>The points awarded to each regulatory options / scenario are derived from the following formula:</w:t>
      </w:r>
    </w:p>
    <w:p w:rsidR="00AC460F" w:rsidRPr="008D2EA0" w:rsidRDefault="00F21C76" w:rsidP="00AC460F">
      <w:pPr>
        <w:rPr>
          <w:rFonts w:ascii="Times New Roman" w:hAnsi="Times New Roman"/>
          <w:color w:val="000000"/>
          <w:szCs w:val="20"/>
          <w:lang w:val="en-GB" w:eastAsia="sv-SE"/>
        </w:rPr>
      </w:pPr>
      <m:oMathPara>
        <m:oMathParaPr>
          <m:jc m:val="center"/>
        </m:oMathParaPr>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Regulatory Option</m:t>
              </m:r>
            </m:sub>
          </m:sSub>
          <m:r>
            <w:rPr>
              <w:rFonts w:ascii="Cambria Math" w:hAnsi="Cambria Math" w:cs="Arial"/>
              <w:color w:val="000000"/>
              <w:szCs w:val="20"/>
              <w:lang w:val="en-GB" w:eastAsia="sv-SE"/>
            </w:rPr>
            <m:t>=</m:t>
          </m:r>
          <m:nary>
            <m:naryPr>
              <m:chr m:val="∑"/>
              <m:limLoc m:val="undOvr"/>
              <m:ctrlPr>
                <w:rPr>
                  <w:rFonts w:ascii="Cambria Math" w:hAnsi="Cambria Math" w:cs="Arial"/>
                  <w:i/>
                  <w:color w:val="000000"/>
                  <w:szCs w:val="20"/>
                  <w:lang w:val="en-GB" w:eastAsia="sv-SE"/>
                </w:rPr>
              </m:ctrlPr>
            </m:naryPr>
            <m:sub>
              <m:r>
                <w:rPr>
                  <w:rFonts w:ascii="Cambria Math" w:hAnsi="Cambria Math" w:cs="Arial"/>
                  <w:color w:val="000000"/>
                  <w:szCs w:val="20"/>
                  <w:lang w:val="en-GB" w:eastAsia="sv-SE"/>
                </w:rPr>
                <m:t>a=1</m:t>
              </m:r>
            </m:sub>
            <m:sup>
              <m:r>
                <w:rPr>
                  <w:rFonts w:ascii="Cambria Math" w:hAnsi="Cambria Math" w:cs="Arial"/>
                  <w:color w:val="000000"/>
                  <w:szCs w:val="20"/>
                  <w:lang w:val="en-GB" w:eastAsia="sv-SE"/>
                </w:rPr>
                <m:t>nb_applications</m:t>
              </m:r>
            </m:sup>
            <m:e>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Awarded Points</m:t>
                  </m:r>
                </m:e>
                <m:sub>
                  <m:r>
                    <w:rPr>
                      <w:rFonts w:ascii="Cambria Math" w:hAnsi="Cambria Math" w:cs="Arial"/>
                      <w:color w:val="000000"/>
                      <w:szCs w:val="20"/>
                      <w:lang w:val="en-GB" w:eastAsia="sv-SE"/>
                    </w:rPr>
                    <m:t>Application a</m:t>
                  </m:r>
                </m:sub>
              </m:sSub>
            </m:e>
          </m:nary>
          <m:r>
            <w:rPr>
              <w:rFonts w:ascii="Cambria Math" w:hAnsi="Cambria Math" w:cs="Arial"/>
              <w:color w:val="000000"/>
              <w:szCs w:val="20"/>
              <w:lang w:val="en-GB" w:eastAsia="sv-SE"/>
            </w:rPr>
            <m:t>×</m:t>
          </m:r>
          <m:f>
            <m:fPr>
              <m:ctrlPr>
                <w:rPr>
                  <w:rFonts w:ascii="Cambria Math" w:hAnsi="Cambria Math" w:cs="Arial"/>
                  <w:i/>
                  <w:color w:val="000000"/>
                  <w:szCs w:val="20"/>
                  <w:lang w:val="en-GB" w:eastAsia="sv-SE"/>
                </w:rPr>
              </m:ctrlPr>
            </m:fPr>
            <m:num>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BW</m:t>
                  </m:r>
                </m:e>
                <m:sub>
                  <m:r>
                    <w:rPr>
                      <w:rFonts w:ascii="Cambria Math" w:hAnsi="Cambria Math" w:cs="Arial"/>
                      <w:color w:val="000000"/>
                      <w:szCs w:val="20"/>
                      <w:lang w:val="en-GB" w:eastAsia="sv-SE"/>
                    </w:rPr>
                    <m:t>a</m:t>
                  </m:r>
                </m:sub>
              </m:sSub>
            </m:num>
            <m:den>
              <m:r>
                <w:rPr>
                  <w:rFonts w:ascii="Cambria Math" w:hAnsi="Cambria Math" w:cs="Arial"/>
                  <w:color w:val="000000"/>
                  <w:szCs w:val="20"/>
                  <w:lang w:val="en-GB" w:eastAsia="sv-SE"/>
                </w:rPr>
                <m:t>40 MHz</m:t>
              </m:r>
            </m:den>
          </m:f>
        </m:oMath>
      </m:oMathPara>
    </w:p>
    <w:p w:rsidR="00AC460F" w:rsidRPr="008D2EA0" w:rsidRDefault="00AC460F" w:rsidP="00F77275">
      <w:pPr>
        <w:spacing w:before="120"/>
        <w:rPr>
          <w:rFonts w:cs="Arial"/>
          <w:color w:val="000000"/>
          <w:szCs w:val="20"/>
          <w:lang w:val="en-GB" w:eastAsia="sv-SE"/>
        </w:rPr>
      </w:pPr>
      <w:r w:rsidRPr="008D2EA0">
        <w:rPr>
          <w:rFonts w:cs="Arial"/>
          <w:color w:val="000000"/>
          <w:szCs w:val="20"/>
          <w:lang w:val="en-GB" w:eastAsia="sv-SE"/>
        </w:rPr>
        <w:t xml:space="preserve">where </w:t>
      </w:r>
      <m:oMath>
        <m:r>
          <w:rPr>
            <w:rFonts w:ascii="Cambria Math" w:hAnsi="Cambria Math" w:cs="Arial"/>
            <w:color w:val="000000"/>
            <w:szCs w:val="20"/>
            <w:lang w:val="en-GB" w:eastAsia="sv-SE"/>
          </w:rPr>
          <m:t>nb_applications</m:t>
        </m:r>
      </m:oMath>
      <w:r w:rsidRPr="008D2EA0">
        <w:rPr>
          <w:rFonts w:cs="Arial"/>
          <w:color w:val="000000"/>
          <w:szCs w:val="20"/>
          <w:lang w:val="en-GB" w:eastAsia="sv-SE"/>
        </w:rPr>
        <w:t xml:space="preserve"> is the number of main applications for a specific regulatory option / </w:t>
      </w:r>
      <w:r w:rsidRPr="008D2EA0">
        <w:rPr>
          <w:rFonts w:cs="Arial"/>
          <w:szCs w:val="20"/>
          <w:lang w:val="en-GB"/>
        </w:rPr>
        <w:t xml:space="preserve">scenario and </w:t>
      </w:r>
      <m:oMath>
        <m:sSub>
          <m:sSubPr>
            <m:ctrlPr>
              <w:rPr>
                <w:rFonts w:ascii="Cambria Math" w:hAnsi="Cambria Math" w:cs="Arial"/>
                <w:i/>
                <w:color w:val="000000"/>
                <w:szCs w:val="20"/>
                <w:lang w:val="en-GB" w:eastAsia="sv-SE"/>
              </w:rPr>
            </m:ctrlPr>
          </m:sSubPr>
          <m:e>
            <m:r>
              <w:rPr>
                <w:rFonts w:ascii="Cambria Math" w:hAnsi="Cambria Math" w:cs="Arial"/>
                <w:color w:val="000000"/>
                <w:szCs w:val="20"/>
                <w:lang w:val="en-GB" w:eastAsia="sv-SE"/>
              </w:rPr>
              <m:t>BW</m:t>
            </m:r>
          </m:e>
          <m:sub>
            <m:r>
              <w:rPr>
                <w:rFonts w:ascii="Cambria Math" w:hAnsi="Cambria Math" w:cs="Arial"/>
                <w:color w:val="000000"/>
                <w:szCs w:val="20"/>
                <w:lang w:val="en-GB" w:eastAsia="sv-SE"/>
              </w:rPr>
              <m:t>a</m:t>
            </m:r>
          </m:sub>
        </m:sSub>
      </m:oMath>
      <w:r w:rsidRPr="008D2EA0">
        <w:rPr>
          <w:rFonts w:cs="Arial"/>
          <w:color w:val="000000"/>
          <w:szCs w:val="20"/>
          <w:lang w:val="en-GB" w:eastAsia="sv-SE"/>
        </w:rPr>
        <w:t xml:space="preserve"> is the bandwidth allocated to application a</w:t>
      </w:r>
      <w:r w:rsidRPr="008D2EA0">
        <w:rPr>
          <w:rFonts w:cs="Arial"/>
          <w:szCs w:val="20"/>
          <w:lang w:val="en-GB"/>
        </w:rPr>
        <w:t>.</w:t>
      </w:r>
    </w:p>
    <w:p w:rsidR="00AC460F" w:rsidRPr="008D2EA0" w:rsidRDefault="00AC460F" w:rsidP="00AC460F">
      <w:pPr>
        <w:jc w:val="center"/>
        <w:rPr>
          <w:lang w:val="en-GB"/>
        </w:rPr>
      </w:pPr>
    </w:p>
    <w:p w:rsidR="00AC460F" w:rsidRPr="008D2EA0" w:rsidRDefault="00AC460F" w:rsidP="00F21C76">
      <w:pPr>
        <w:pStyle w:val="ECCTabletitle"/>
      </w:pPr>
      <w:r w:rsidRPr="008D2EA0">
        <w:t xml:space="preserve"> Assessment of Criterion 5b for each Regulatory Option / Scenario</w:t>
      </w:r>
    </w:p>
    <w:tbl>
      <w:tblPr>
        <w:tblW w:w="0" w:type="auto"/>
        <w:jc w:val="center"/>
        <w:tblInd w:w="-42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57"/>
        <w:gridCol w:w="1487"/>
      </w:tblGrid>
      <w:tr w:rsidR="00AC460F" w:rsidRPr="008D2EA0" w:rsidTr="009A4015">
        <w:trPr>
          <w:tblHeader/>
          <w:jc w:val="center"/>
        </w:trPr>
        <w:tc>
          <w:tcPr>
            <w:tcW w:w="3757"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Regulatory Option / Scenario</w:t>
            </w:r>
          </w:p>
        </w:tc>
        <w:tc>
          <w:tcPr>
            <w:tcW w:w="148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1</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jc w:val="center"/>
              <w:rPr>
                <w:lang w:val="en-GB"/>
              </w:rPr>
            </w:pPr>
            <w:r w:rsidRPr="008D2EA0">
              <w:rPr>
                <w:lang w:val="en-GB"/>
              </w:rPr>
              <w:t>1</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2 / Scenario A</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jc w:val="center"/>
              <w:rPr>
                <w:lang w:val="en-GB"/>
              </w:rPr>
            </w:pPr>
            <w:r w:rsidRPr="008D2EA0">
              <w:rPr>
                <w:lang w:val="en-GB"/>
              </w:rPr>
              <w:t>5</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2 / Scenario B</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jc w:val="center"/>
              <w:rPr>
                <w:lang w:val="en-GB"/>
              </w:rPr>
            </w:pPr>
            <w:r w:rsidRPr="008D2EA0">
              <w:rPr>
                <w:lang w:val="en-GB"/>
              </w:rPr>
              <w:t>5</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A</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jc w:val="center"/>
              <w:rPr>
                <w:lang w:val="en-GB"/>
              </w:rPr>
            </w:pPr>
            <w:r w:rsidRPr="008D2EA0">
              <w:rPr>
                <w:lang w:val="en-GB"/>
              </w:rPr>
              <w:t>1</w:t>
            </w:r>
          </w:p>
        </w:tc>
      </w:tr>
      <w:tr w:rsidR="00AC460F" w:rsidRPr="008D2EA0" w:rsidTr="009A4015">
        <w:trPr>
          <w:jc w:val="center"/>
        </w:trPr>
        <w:tc>
          <w:tcPr>
            <w:tcW w:w="375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Regulatory Option 3 / Scenario B</w:t>
            </w:r>
          </w:p>
        </w:tc>
        <w:tc>
          <w:tcPr>
            <w:tcW w:w="148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jc w:val="center"/>
              <w:rPr>
                <w:lang w:val="en-GB"/>
              </w:rPr>
            </w:pPr>
            <w:r w:rsidRPr="008D2EA0">
              <w:rPr>
                <w:lang w:val="en-GB"/>
              </w:rPr>
              <w:t>1</w:t>
            </w:r>
          </w:p>
        </w:tc>
      </w:tr>
    </w:tbl>
    <w:p w:rsidR="00AC460F" w:rsidRPr="008D2EA0" w:rsidRDefault="00AC460F" w:rsidP="00AC460F">
      <w:pPr>
        <w:jc w:val="center"/>
        <w:rPr>
          <w:lang w:val="en-GB"/>
        </w:rPr>
      </w:pPr>
    </w:p>
    <w:p w:rsidR="00AC460F" w:rsidRPr="008D2EA0" w:rsidRDefault="00AC460F" w:rsidP="00F21C76">
      <w:pPr>
        <w:pStyle w:val="Heading2"/>
        <w:tabs>
          <w:tab w:val="clear" w:pos="576"/>
        </w:tabs>
        <w:rPr>
          <w:lang w:val="en-GB"/>
        </w:rPr>
      </w:pPr>
      <w:bookmarkStart w:id="173" w:name="_Toc349039321"/>
      <w:r w:rsidRPr="008D2EA0">
        <w:rPr>
          <w:lang w:val="en-GB"/>
        </w:rPr>
        <w:t>Detailed regulatory option (including scenarios) assessment</w:t>
      </w:r>
      <w:bookmarkEnd w:id="173"/>
    </w:p>
    <w:p w:rsidR="00AC460F" w:rsidRPr="008D2EA0" w:rsidRDefault="00AC460F" w:rsidP="00F21C76">
      <w:pPr>
        <w:keepNext/>
        <w:rPr>
          <w:lang w:val="en-GB"/>
        </w:rPr>
      </w:pPr>
      <w:r w:rsidRPr="008D2EA0">
        <w:rPr>
          <w:lang w:val="en-GB"/>
        </w:rPr>
        <w:t xml:space="preserve">This section provides an overview of the results based on the analyses given in section </w:t>
      </w:r>
      <w:r w:rsidR="002E3DC7" w:rsidRPr="008D2EA0">
        <w:rPr>
          <w:lang w:val="en-GB"/>
        </w:rPr>
        <w:fldChar w:fldCharType="begin"/>
      </w:r>
      <w:r w:rsidR="002E3DC7" w:rsidRPr="008D2EA0">
        <w:rPr>
          <w:lang w:val="en-GB"/>
        </w:rPr>
        <w:instrText xml:space="preserve"> REF _Ref330550174 \r \h </w:instrText>
      </w:r>
      <w:r w:rsidR="002E3DC7" w:rsidRPr="008D2EA0">
        <w:rPr>
          <w:lang w:val="en-GB"/>
        </w:rPr>
      </w:r>
      <w:r w:rsidR="002E3DC7" w:rsidRPr="008D2EA0">
        <w:rPr>
          <w:lang w:val="en-GB"/>
        </w:rPr>
        <w:fldChar w:fldCharType="separate"/>
      </w:r>
      <w:r w:rsidR="00E73FF2">
        <w:rPr>
          <w:lang w:val="en-GB"/>
        </w:rPr>
        <w:t>7.2</w:t>
      </w:r>
      <w:r w:rsidR="002E3DC7" w:rsidRPr="008D2EA0">
        <w:rPr>
          <w:lang w:val="en-GB"/>
        </w:rPr>
        <w:fldChar w:fldCharType="end"/>
      </w:r>
      <w:r w:rsidR="002E3DC7" w:rsidRPr="008D2EA0">
        <w:rPr>
          <w:lang w:val="en-GB"/>
        </w:rPr>
        <w:t>.</w:t>
      </w:r>
    </w:p>
    <w:p w:rsidR="00AC460F" w:rsidRPr="008D2EA0" w:rsidRDefault="00AC460F" w:rsidP="00F21C76">
      <w:pPr>
        <w:pStyle w:val="Heading3"/>
      </w:pPr>
      <w:bookmarkStart w:id="174" w:name="_Toc349039322"/>
      <w:r w:rsidRPr="008D2EA0">
        <w:t>Regulatory option 1: T-DAB in 1452-1479.5 MHz and S-DAB in 1479.5-1492 MHz</w:t>
      </w:r>
      <w:bookmarkEnd w:id="174"/>
    </w:p>
    <w:p w:rsidR="00AC460F" w:rsidRPr="008D2EA0" w:rsidRDefault="00AC460F" w:rsidP="00F21C76">
      <w:pPr>
        <w:pStyle w:val="ECCTabletitle"/>
      </w:pPr>
      <w:r w:rsidRPr="008D2EA0">
        <w:t xml:space="preserve"> Assessment of Regulatory Option 1</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62"/>
        <w:gridCol w:w="567"/>
        <w:gridCol w:w="3827"/>
        <w:gridCol w:w="2693"/>
        <w:gridCol w:w="957"/>
      </w:tblGrid>
      <w:tr w:rsidR="00AC460F" w:rsidRPr="008D2EA0" w:rsidTr="001F0F23">
        <w:trPr>
          <w:tblHeader/>
          <w:jc w:val="center"/>
        </w:trPr>
        <w:tc>
          <w:tcPr>
            <w:tcW w:w="1162"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F77275">
            <w:pPr>
              <w:keepNext/>
              <w:spacing w:line="288" w:lineRule="auto"/>
              <w:jc w:val="center"/>
              <w:rPr>
                <w:b/>
                <w:color w:val="FFFFFF"/>
                <w:lang w:val="en-GB"/>
              </w:rPr>
            </w:pPr>
            <w:r w:rsidRPr="008D2EA0">
              <w:rPr>
                <w:b/>
                <w:color w:val="FFFFFF"/>
                <w:lang w:val="en-GB"/>
              </w:rPr>
              <w:t>Maximum Points</w:t>
            </w:r>
          </w:p>
        </w:tc>
        <w:tc>
          <w:tcPr>
            <w:tcW w:w="567" w:type="dxa"/>
            <w:tcBorders>
              <w:top w:val="single" w:sz="4" w:space="0" w:color="D2232A"/>
              <w:left w:val="single" w:sz="8" w:space="0" w:color="FFFFFF"/>
              <w:bottom w:val="single" w:sz="4" w:space="0" w:color="D2232A"/>
              <w:right w:val="single" w:sz="8" w:space="0" w:color="FFFFFF"/>
            </w:tcBorders>
            <w:shd w:val="clear" w:color="auto" w:fill="D2232A"/>
          </w:tcPr>
          <w:p w:rsidR="00AC460F" w:rsidRPr="008D2EA0" w:rsidRDefault="00AC460F" w:rsidP="00F77275">
            <w:pPr>
              <w:keepNext/>
              <w:spacing w:line="288" w:lineRule="auto"/>
              <w:jc w:val="center"/>
              <w:rPr>
                <w:b/>
                <w:color w:val="FFFFFF"/>
                <w:lang w:val="en-GB"/>
              </w:rPr>
            </w:pPr>
            <w:r w:rsidRPr="008D2EA0">
              <w:rPr>
                <w:b/>
                <w:color w:val="FFFFFF"/>
                <w:lang w:val="en-GB"/>
              </w:rPr>
              <w:t>No</w:t>
            </w:r>
          </w:p>
        </w:tc>
        <w:tc>
          <w:tcPr>
            <w:tcW w:w="382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F77275">
            <w:pPr>
              <w:keepNext/>
              <w:spacing w:line="288" w:lineRule="auto"/>
              <w:jc w:val="center"/>
              <w:rPr>
                <w:b/>
                <w:color w:val="FFFFFF"/>
                <w:lang w:val="en-GB"/>
              </w:rPr>
            </w:pPr>
            <w:r w:rsidRPr="008D2EA0">
              <w:rPr>
                <w:b/>
                <w:color w:val="FFFFFF"/>
                <w:lang w:val="en-GB"/>
              </w:rPr>
              <w:t>Criterion</w:t>
            </w:r>
          </w:p>
        </w:tc>
        <w:tc>
          <w:tcPr>
            <w:tcW w:w="2693" w:type="dxa"/>
            <w:tcBorders>
              <w:top w:val="single" w:sz="4" w:space="0" w:color="D2232A"/>
              <w:left w:val="single" w:sz="8" w:space="0" w:color="FFFFFF"/>
              <w:bottom w:val="single" w:sz="4" w:space="0" w:color="D2232A"/>
              <w:right w:val="single" w:sz="8" w:space="0" w:color="FFFFFF"/>
            </w:tcBorders>
            <w:shd w:val="clear" w:color="auto" w:fill="D2232A"/>
          </w:tcPr>
          <w:p w:rsidR="00AC460F" w:rsidRPr="008D2EA0" w:rsidRDefault="00AC460F" w:rsidP="00F77275">
            <w:pPr>
              <w:keepNext/>
              <w:spacing w:line="288" w:lineRule="auto"/>
              <w:jc w:val="center"/>
              <w:rPr>
                <w:b/>
                <w:color w:val="FFFFFF"/>
                <w:lang w:val="en-GB"/>
              </w:rPr>
            </w:pPr>
            <w:r w:rsidRPr="008D2EA0">
              <w:rPr>
                <w:b/>
                <w:color w:val="FFFFFF"/>
                <w:lang w:val="en-GB"/>
              </w:rPr>
              <w:t>Result of the assessment</w:t>
            </w:r>
          </w:p>
        </w:tc>
        <w:tc>
          <w:tcPr>
            <w:tcW w:w="957" w:type="dxa"/>
            <w:tcBorders>
              <w:top w:val="single" w:sz="4" w:space="0" w:color="D2232A"/>
              <w:left w:val="single" w:sz="8" w:space="0" w:color="FFFFFF"/>
              <w:bottom w:val="single" w:sz="4" w:space="0" w:color="D2232A"/>
              <w:right w:val="single" w:sz="4" w:space="0" w:color="D2232A"/>
            </w:tcBorders>
            <w:shd w:val="clear" w:color="auto" w:fill="D2232A"/>
          </w:tcPr>
          <w:p w:rsidR="00AC460F" w:rsidRPr="008D2EA0" w:rsidRDefault="00AC460F" w:rsidP="00F77275">
            <w:pPr>
              <w:keepNext/>
              <w:spacing w:line="288" w:lineRule="auto"/>
              <w:jc w:val="center"/>
              <w:rPr>
                <w:b/>
                <w:color w:val="FFFFFF"/>
                <w:lang w:val="en-GB"/>
              </w:rPr>
            </w:pPr>
            <w:r w:rsidRPr="008D2EA0">
              <w:rPr>
                <w:b/>
                <w:color w:val="FFFFFF"/>
                <w:lang w:val="en-GB"/>
              </w:rPr>
              <w:t>Points</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F77275">
            <w:pPr>
              <w:keepNext/>
              <w:spacing w:line="288" w:lineRule="auto"/>
              <w:rPr>
                <w:lang w:val="en-GB"/>
              </w:rPr>
            </w:pPr>
            <w:r w:rsidRPr="008D2EA0">
              <w:rPr>
                <w:lang w:val="en-GB"/>
              </w:rPr>
              <w:t>3</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77275">
            <w:pPr>
              <w:keepNext/>
              <w:spacing w:line="288" w:lineRule="auto"/>
              <w:rPr>
                <w:lang w:val="en-GB"/>
              </w:rPr>
            </w:pPr>
            <w:r w:rsidRPr="008D2EA0">
              <w:rPr>
                <w:lang w:val="en-GB"/>
              </w:rPr>
              <w:t>3a</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F77275">
            <w:pPr>
              <w:keepNext/>
              <w:spacing w:line="288" w:lineRule="auto"/>
              <w:rPr>
                <w:lang w:val="en-GB"/>
              </w:rPr>
            </w:pPr>
            <w:r w:rsidRPr="008D2EA0">
              <w:rPr>
                <w:lang w:val="en-GB"/>
              </w:rPr>
              <w:t>Consumer surplus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keepNext/>
              <w:spacing w:line="288" w:lineRule="auto"/>
              <w:rPr>
                <w:lang w:val="en-GB"/>
              </w:rPr>
            </w:pPr>
            <w:r w:rsidRPr="008D2EA0">
              <w:rPr>
                <w:rFonts w:cs="Arial"/>
                <w:szCs w:val="20"/>
                <w:lang w:val="en-GB"/>
              </w:rPr>
              <w:t>8.6 b€</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keepNext/>
              <w:spacing w:line="288" w:lineRule="auto"/>
              <w:rPr>
                <w:lang w:val="en-GB"/>
              </w:rPr>
            </w:pPr>
            <w:r w:rsidRPr="008D2EA0">
              <w:rPr>
                <w:lang w:val="en-GB"/>
              </w:rPr>
              <w:t>0.9</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3b</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Citizen/consumer benefits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Medium (TB)</w:t>
            </w:r>
          </w:p>
          <w:p w:rsidR="00AC460F" w:rsidRPr="008D2EA0" w:rsidRDefault="00AC460F" w:rsidP="001F0F23">
            <w:pPr>
              <w:spacing w:line="288" w:lineRule="auto"/>
              <w:rPr>
                <w:lang w:val="en-GB"/>
              </w:rPr>
            </w:pPr>
            <w:r w:rsidRPr="008D2EA0">
              <w:rPr>
                <w:lang w:val="en-GB"/>
              </w:rPr>
              <w:lastRenderedPageBreak/>
              <w:t>Low (S-DAB)</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lastRenderedPageBreak/>
              <w:t>0.7</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lastRenderedPageBreak/>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3c</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Producer surplus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cs="Arial"/>
                <w:szCs w:val="20"/>
                <w:lang w:val="en-GB"/>
              </w:rPr>
              <w:t>1.6 b€</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0.1</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3d</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Producer/industry benefits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 xml:space="preserve">High (TB) </w:t>
            </w:r>
          </w:p>
          <w:p w:rsidR="00AC460F" w:rsidRPr="008D2EA0" w:rsidRDefault="00AC460F" w:rsidP="001F0F23">
            <w:pPr>
              <w:spacing w:line="288" w:lineRule="auto"/>
              <w:rPr>
                <w:lang w:val="en-GB"/>
              </w:rPr>
            </w:pPr>
            <w:r w:rsidRPr="008D2EA0">
              <w:rPr>
                <w:lang w:val="en-GB"/>
              </w:rPr>
              <w:t>High (S-DAB)</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1</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9</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4</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Timeframe for availability of equipment on a large scale and for application deployment - status of standardisation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∆T=126 months (TB)</w:t>
            </w:r>
          </w:p>
          <w:p w:rsidR="00AC460F" w:rsidRPr="008D2EA0" w:rsidRDefault="00AC460F" w:rsidP="001F0F23">
            <w:pPr>
              <w:spacing w:line="288" w:lineRule="auto"/>
              <w:rPr>
                <w:lang w:val="en-GB"/>
              </w:rPr>
            </w:pPr>
            <w:r w:rsidRPr="008D2EA0">
              <w:rPr>
                <w:lang w:val="en-GB"/>
              </w:rPr>
              <w:t>∆T=141 months (S-DAB)</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0.7</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6</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5a</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Potential for CEPT harmonisation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Medium (TB)</w:t>
            </w:r>
          </w:p>
          <w:p w:rsidR="00AC460F" w:rsidRPr="008D2EA0" w:rsidRDefault="00AC460F" w:rsidP="001F0F23">
            <w:pPr>
              <w:spacing w:line="288" w:lineRule="auto"/>
              <w:rPr>
                <w:lang w:val="en-GB"/>
              </w:rPr>
            </w:pPr>
            <w:r w:rsidRPr="008D2EA0">
              <w:rPr>
                <w:lang w:val="en-GB"/>
              </w:rPr>
              <w:t>Low (S-DAB)</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3.1</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5b</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Potential for take-up of application outside CEPT</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Low (TB)</w:t>
            </w:r>
          </w:p>
          <w:p w:rsidR="00AC460F" w:rsidRPr="008D2EA0" w:rsidRDefault="00AC460F" w:rsidP="001F0F23">
            <w:pPr>
              <w:spacing w:line="288" w:lineRule="auto"/>
              <w:rPr>
                <w:lang w:val="en-GB"/>
              </w:rPr>
            </w:pPr>
            <w:r w:rsidRPr="008D2EA0">
              <w:rPr>
                <w:lang w:val="en-GB"/>
              </w:rPr>
              <w:t>Low (S-DAB)</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1</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6</w:t>
            </w:r>
          </w:p>
        </w:tc>
        <w:tc>
          <w:tcPr>
            <w:tcW w:w="56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c>
          <w:tcPr>
            <w:tcW w:w="382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Possibility to share with other applications/uses (frequency, spatial, time and/or signal separation)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PMSE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1.2</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1a</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the Radio Regulations (Article 5)</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1b</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MA02revCO07</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1c</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ECC/DEC/(03)/02</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1</w:t>
            </w:r>
          </w:p>
        </w:tc>
      </w:tr>
    </w:tbl>
    <w:p w:rsidR="00AC460F" w:rsidRPr="008D2EA0" w:rsidRDefault="00AC460F" w:rsidP="00510087">
      <w:pPr>
        <w:pStyle w:val="Heading3"/>
      </w:pPr>
      <w:bookmarkStart w:id="175" w:name="_Toc349039323"/>
      <w:r w:rsidRPr="008D2EA0">
        <w:t xml:space="preserve">Scenario </w:t>
      </w:r>
      <w:r w:rsidR="002E3DC7" w:rsidRPr="008D2EA0">
        <w:t>2-</w:t>
      </w:r>
      <w:r w:rsidRPr="008D2EA0">
        <w:t>A under regulatory option 2: Mobile supplemental downlink in 1452-1492 MHz</w:t>
      </w:r>
      <w:bookmarkEnd w:id="175"/>
    </w:p>
    <w:p w:rsidR="00AC460F" w:rsidRPr="008D2EA0" w:rsidRDefault="00AC460F" w:rsidP="00F21C76">
      <w:pPr>
        <w:pStyle w:val="ECCTabletitle"/>
        <w:rPr>
          <w:lang w:eastAsia="fr-FR"/>
        </w:rPr>
      </w:pPr>
      <w:r w:rsidRPr="008D2EA0">
        <w:t xml:space="preserve"> Assessment of Regulatory Option 2 - Scenario </w:t>
      </w:r>
      <w:r w:rsidR="002E3DC7" w:rsidRPr="008D2EA0">
        <w:t>2-</w:t>
      </w:r>
      <w:r w:rsidRPr="008D2EA0">
        <w:t>A</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62"/>
        <w:gridCol w:w="567"/>
        <w:gridCol w:w="3827"/>
        <w:gridCol w:w="2693"/>
        <w:gridCol w:w="957"/>
      </w:tblGrid>
      <w:tr w:rsidR="00AC460F" w:rsidRPr="008D2EA0" w:rsidTr="001F0F23">
        <w:trPr>
          <w:tblHeader/>
          <w:jc w:val="center"/>
        </w:trPr>
        <w:tc>
          <w:tcPr>
            <w:tcW w:w="1162"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Maximum Points</w:t>
            </w:r>
          </w:p>
        </w:tc>
        <w:tc>
          <w:tcPr>
            <w:tcW w:w="567" w:type="dxa"/>
            <w:tcBorders>
              <w:top w:val="single" w:sz="4" w:space="0" w:color="D2232A"/>
              <w:left w:val="single" w:sz="8" w:space="0" w:color="FFFFFF"/>
              <w:bottom w:val="single" w:sz="4" w:space="0" w:color="D2232A"/>
              <w:right w:val="single" w:sz="8" w:space="0" w:color="FFFFFF"/>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No</w:t>
            </w:r>
          </w:p>
        </w:tc>
        <w:tc>
          <w:tcPr>
            <w:tcW w:w="382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Criterion</w:t>
            </w:r>
          </w:p>
        </w:tc>
        <w:tc>
          <w:tcPr>
            <w:tcW w:w="2693" w:type="dxa"/>
            <w:tcBorders>
              <w:top w:val="single" w:sz="4" w:space="0" w:color="D2232A"/>
              <w:left w:val="single" w:sz="8" w:space="0" w:color="FFFFFF"/>
              <w:bottom w:val="single" w:sz="4" w:space="0" w:color="D2232A"/>
              <w:right w:val="single" w:sz="8" w:space="0" w:color="FFFFFF"/>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Result of the assessment</w:t>
            </w:r>
          </w:p>
        </w:tc>
        <w:tc>
          <w:tcPr>
            <w:tcW w:w="957" w:type="dxa"/>
            <w:tcBorders>
              <w:top w:val="single" w:sz="4" w:space="0" w:color="D2232A"/>
              <w:left w:val="single" w:sz="8" w:space="0" w:color="FFFFFF"/>
              <w:bottom w:val="single" w:sz="4" w:space="0" w:color="D2232A"/>
              <w:right w:val="single" w:sz="4" w:space="0" w:color="D2232A"/>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3a</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Consumer surplus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cs="Arial"/>
                <w:szCs w:val="20"/>
                <w:lang w:val="en-GB"/>
              </w:rPr>
              <w:t>28 b€</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3</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3b</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Citizen/consumer benefits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Very High</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3</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3c</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Producer surplus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cs="Arial"/>
                <w:szCs w:val="20"/>
                <w:lang w:val="en-GB"/>
              </w:rPr>
              <w:t>26 b€</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3d</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Producer/industry benefits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High</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1</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9</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4</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Timeframe for availability of equipment on a large scale and for application deployment - status of standardisation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 xml:space="preserve">∆T=18 months </w:t>
            </w:r>
          </w:p>
          <w:p w:rsidR="00AC460F" w:rsidRPr="008D2EA0" w:rsidRDefault="00AC460F" w:rsidP="001F0F23">
            <w:pPr>
              <w:spacing w:line="288" w:lineRule="auto"/>
              <w:rPr>
                <w:lang w:val="en-GB"/>
              </w:rPr>
            </w:pP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7.9</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6</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5a</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Potential for CEPT harmonisation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High</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6</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5b</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Potential for take-up of application outside CEPT</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High</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5</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6</w:t>
            </w:r>
          </w:p>
        </w:tc>
        <w:tc>
          <w:tcPr>
            <w:tcW w:w="56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c>
          <w:tcPr>
            <w:tcW w:w="382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Possibility to share with other applications/uses (frequency, spatial, time and/or signal separation)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TB, PMSE and PPDR</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3</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1a</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the Radio Regulations (Article 5)</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1b</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MA02revCO07</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1c</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ECC/DEC/(03)/02</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Not 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bl>
    <w:p w:rsidR="00AC460F" w:rsidRPr="008D2EA0" w:rsidRDefault="00AC460F" w:rsidP="00510087">
      <w:pPr>
        <w:pStyle w:val="Heading3"/>
      </w:pPr>
      <w:bookmarkStart w:id="176" w:name="_Toc349039324"/>
      <w:r w:rsidRPr="008D2EA0">
        <w:lastRenderedPageBreak/>
        <w:t xml:space="preserve">Scenario </w:t>
      </w:r>
      <w:r w:rsidR="002E3DC7" w:rsidRPr="008D2EA0">
        <w:t>2-</w:t>
      </w:r>
      <w:r w:rsidRPr="008D2EA0">
        <w:t>B under regulatory option 2: Mobile broadband in 1452-1492 MHz</w:t>
      </w:r>
      <w:bookmarkEnd w:id="176"/>
    </w:p>
    <w:p w:rsidR="00AC460F" w:rsidRPr="008D2EA0" w:rsidRDefault="00AC460F" w:rsidP="00F21C76">
      <w:pPr>
        <w:pStyle w:val="ECCTabletitle"/>
        <w:rPr>
          <w:lang w:eastAsia="fr-FR"/>
        </w:rPr>
      </w:pPr>
      <w:r w:rsidRPr="008D2EA0">
        <w:t xml:space="preserve"> Assessment of Regulatory Option 2 - Scenario </w:t>
      </w:r>
      <w:r w:rsidR="002E3DC7" w:rsidRPr="008D2EA0">
        <w:t>2-</w:t>
      </w:r>
      <w:r w:rsidRPr="008D2EA0">
        <w:t>B</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62"/>
        <w:gridCol w:w="567"/>
        <w:gridCol w:w="3827"/>
        <w:gridCol w:w="2693"/>
        <w:gridCol w:w="957"/>
      </w:tblGrid>
      <w:tr w:rsidR="00AC460F" w:rsidRPr="008D2EA0" w:rsidTr="001F0F23">
        <w:trPr>
          <w:tblHeader/>
          <w:jc w:val="center"/>
        </w:trPr>
        <w:tc>
          <w:tcPr>
            <w:tcW w:w="1162"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Maximum Points</w:t>
            </w:r>
          </w:p>
        </w:tc>
        <w:tc>
          <w:tcPr>
            <w:tcW w:w="567" w:type="dxa"/>
            <w:tcBorders>
              <w:top w:val="single" w:sz="4" w:space="0" w:color="D2232A"/>
              <w:left w:val="single" w:sz="8" w:space="0" w:color="FFFFFF"/>
              <w:bottom w:val="single" w:sz="4" w:space="0" w:color="D2232A"/>
              <w:right w:val="single" w:sz="8" w:space="0" w:color="FFFFFF"/>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No</w:t>
            </w:r>
          </w:p>
        </w:tc>
        <w:tc>
          <w:tcPr>
            <w:tcW w:w="382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Criterion</w:t>
            </w:r>
          </w:p>
        </w:tc>
        <w:tc>
          <w:tcPr>
            <w:tcW w:w="2693" w:type="dxa"/>
            <w:tcBorders>
              <w:top w:val="single" w:sz="4" w:space="0" w:color="D2232A"/>
              <w:left w:val="single" w:sz="8" w:space="0" w:color="FFFFFF"/>
              <w:bottom w:val="single" w:sz="4" w:space="0" w:color="D2232A"/>
              <w:right w:val="single" w:sz="8" w:space="0" w:color="FFFFFF"/>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Result of the assessment</w:t>
            </w:r>
          </w:p>
        </w:tc>
        <w:tc>
          <w:tcPr>
            <w:tcW w:w="957" w:type="dxa"/>
            <w:tcBorders>
              <w:top w:val="single" w:sz="4" w:space="0" w:color="D2232A"/>
              <w:left w:val="single" w:sz="8" w:space="0" w:color="FFFFFF"/>
              <w:bottom w:val="single" w:sz="4" w:space="0" w:color="D2232A"/>
              <w:right w:val="single" w:sz="4" w:space="0" w:color="D2232A"/>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3a</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Consumer surplus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N/A</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3b</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Citizen/consumer benefits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High</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3c</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Producer surplus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N/A</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3d</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Producer/industry benefits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Low</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9</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4</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Timeframe for availability of equipment on a large scale and for application deployment - status of standardisation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 xml:space="preserve">∆T=30 months </w:t>
            </w:r>
          </w:p>
          <w:p w:rsidR="00AC460F" w:rsidRPr="008D2EA0" w:rsidRDefault="00AC460F" w:rsidP="001F0F23">
            <w:pPr>
              <w:spacing w:line="288" w:lineRule="auto"/>
              <w:rPr>
                <w:lang w:val="en-GB"/>
              </w:rPr>
            </w:pP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7.1</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6</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5a</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Potential for CEPT harmonisation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Medium</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4</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5b</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Potential for take-up of application outside CEPT</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High</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5</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6</w:t>
            </w:r>
          </w:p>
        </w:tc>
        <w:tc>
          <w:tcPr>
            <w:tcW w:w="56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c>
          <w:tcPr>
            <w:tcW w:w="382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Possibility to share with other applications/uses (frequency, spatial, time and/or signal separation)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TB, PMSE and PPDR</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3</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1a</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the Radio Regulations (Article 5)</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1b</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MA02revCO07</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1c</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ECC/DEC/(03)/02</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Not 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bl>
    <w:p w:rsidR="00AC460F" w:rsidRPr="008D2EA0" w:rsidRDefault="00AC460F" w:rsidP="00510087">
      <w:pPr>
        <w:pStyle w:val="Heading3"/>
      </w:pPr>
      <w:bookmarkStart w:id="177" w:name="_Toc349039325"/>
      <w:r w:rsidRPr="008D2EA0">
        <w:t xml:space="preserve">Scenario </w:t>
      </w:r>
      <w:r w:rsidR="002E3DC7" w:rsidRPr="008D2EA0">
        <w:t>3-</w:t>
      </w:r>
      <w:r w:rsidRPr="008D2EA0">
        <w:t>A under regulatory option 3: BDA2GC in 1452-1472 MHz and PPDR in 1472-1492 MHz</w:t>
      </w:r>
      <w:bookmarkEnd w:id="177"/>
      <w:r w:rsidRPr="008D2EA0">
        <w:t xml:space="preserve"> </w:t>
      </w:r>
    </w:p>
    <w:p w:rsidR="00AC460F" w:rsidRPr="008D2EA0" w:rsidRDefault="001F0F23" w:rsidP="00F21C76">
      <w:pPr>
        <w:pStyle w:val="ECCTabletitle"/>
      </w:pPr>
      <w:r w:rsidRPr="008D2EA0">
        <w:t xml:space="preserve"> </w:t>
      </w:r>
      <w:r w:rsidR="00AC460F" w:rsidRPr="008D2EA0">
        <w:t xml:space="preserve">Assessment of Regulatory Option 3 - Scenario </w:t>
      </w:r>
      <w:r w:rsidR="002E3DC7" w:rsidRPr="008D2EA0">
        <w:t>3-</w:t>
      </w:r>
      <w:r w:rsidR="00AC460F" w:rsidRPr="008D2EA0">
        <w:t>A</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62"/>
        <w:gridCol w:w="567"/>
        <w:gridCol w:w="3827"/>
        <w:gridCol w:w="2693"/>
        <w:gridCol w:w="957"/>
      </w:tblGrid>
      <w:tr w:rsidR="00AC460F" w:rsidRPr="008D2EA0" w:rsidTr="001F0F23">
        <w:trPr>
          <w:tblHeader/>
          <w:jc w:val="center"/>
        </w:trPr>
        <w:tc>
          <w:tcPr>
            <w:tcW w:w="1162"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Maximum Points</w:t>
            </w:r>
          </w:p>
        </w:tc>
        <w:tc>
          <w:tcPr>
            <w:tcW w:w="567" w:type="dxa"/>
            <w:tcBorders>
              <w:top w:val="single" w:sz="4" w:space="0" w:color="D2232A"/>
              <w:left w:val="single" w:sz="8" w:space="0" w:color="FFFFFF"/>
              <w:bottom w:val="single" w:sz="4" w:space="0" w:color="D2232A"/>
              <w:right w:val="single" w:sz="8" w:space="0" w:color="FFFFFF"/>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No</w:t>
            </w:r>
          </w:p>
        </w:tc>
        <w:tc>
          <w:tcPr>
            <w:tcW w:w="382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Criterion</w:t>
            </w:r>
          </w:p>
        </w:tc>
        <w:tc>
          <w:tcPr>
            <w:tcW w:w="2693" w:type="dxa"/>
            <w:tcBorders>
              <w:top w:val="single" w:sz="4" w:space="0" w:color="D2232A"/>
              <w:left w:val="single" w:sz="8" w:space="0" w:color="FFFFFF"/>
              <w:bottom w:val="single" w:sz="4" w:space="0" w:color="D2232A"/>
              <w:right w:val="single" w:sz="8" w:space="0" w:color="FFFFFF"/>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Result of the assessment</w:t>
            </w:r>
          </w:p>
        </w:tc>
        <w:tc>
          <w:tcPr>
            <w:tcW w:w="957" w:type="dxa"/>
            <w:tcBorders>
              <w:top w:val="single" w:sz="4" w:space="0" w:color="D2232A"/>
              <w:left w:val="single" w:sz="8" w:space="0" w:color="FFFFFF"/>
              <w:bottom w:val="single" w:sz="4" w:space="0" w:color="D2232A"/>
              <w:right w:val="single" w:sz="4" w:space="0" w:color="D2232A"/>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3a</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Consumer surplus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N/A (BDA2GC)</w:t>
            </w:r>
          </w:p>
          <w:p w:rsidR="00AC460F" w:rsidRPr="008D2EA0" w:rsidRDefault="00AC460F" w:rsidP="001F0F23">
            <w:pPr>
              <w:spacing w:line="288" w:lineRule="auto"/>
              <w:rPr>
                <w:lang w:val="en-GB"/>
              </w:rPr>
            </w:pPr>
            <w:r w:rsidRPr="008D2EA0">
              <w:rPr>
                <w:rFonts w:cs="Arial"/>
                <w:szCs w:val="20"/>
                <w:lang w:val="en-GB"/>
              </w:rPr>
              <w:t>4.7 b€</w:t>
            </w:r>
            <w:r w:rsidRPr="008D2EA0">
              <w:rPr>
                <w:lang w:val="en-GB"/>
              </w:rPr>
              <w:t xml:space="preserve"> (PPDR)</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0.5</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3b</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Citizen/consumer benefits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Medium (BDA2GC)</w:t>
            </w:r>
          </w:p>
          <w:p w:rsidR="00AC460F" w:rsidRPr="008D2EA0" w:rsidRDefault="00AC460F" w:rsidP="001F0F23">
            <w:pPr>
              <w:spacing w:line="288" w:lineRule="auto"/>
              <w:rPr>
                <w:lang w:val="en-GB"/>
              </w:rPr>
            </w:pPr>
            <w:r w:rsidRPr="008D2EA0">
              <w:rPr>
                <w:lang w:val="en-GB"/>
              </w:rPr>
              <w:t>Very High (PPDR)</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3c</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Producer surplus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cs="Arial"/>
                <w:szCs w:val="20"/>
                <w:lang w:val="en-GB"/>
              </w:rPr>
              <w:t>0.59 b€</w:t>
            </w:r>
            <w:r w:rsidRPr="008D2EA0">
              <w:rPr>
                <w:lang w:val="en-GB"/>
              </w:rPr>
              <w:t xml:space="preserve">  (BDA2GC)</w:t>
            </w:r>
          </w:p>
          <w:p w:rsidR="00AC460F" w:rsidRPr="008D2EA0" w:rsidRDefault="00AC460F" w:rsidP="001F0F23">
            <w:pPr>
              <w:spacing w:line="288" w:lineRule="auto"/>
              <w:rPr>
                <w:lang w:val="en-GB"/>
              </w:rPr>
            </w:pPr>
            <w:r w:rsidRPr="008D2EA0">
              <w:rPr>
                <w:lang w:val="en-GB"/>
              </w:rPr>
              <w:t>N/A (PPDR)</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 (0.05)</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3d</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Producer/industry benefits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High (BDA2GC)</w:t>
            </w:r>
          </w:p>
          <w:p w:rsidR="00AC460F" w:rsidRPr="008D2EA0" w:rsidRDefault="00AC460F" w:rsidP="001F0F23">
            <w:pPr>
              <w:spacing w:line="288" w:lineRule="auto"/>
              <w:rPr>
                <w:lang w:val="en-GB"/>
              </w:rPr>
            </w:pPr>
            <w:r w:rsidRPr="008D2EA0">
              <w:rPr>
                <w:lang w:val="en-GB"/>
              </w:rPr>
              <w:t>High (PPDR)</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1</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9</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4</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Timeframe for availability of equipment on a large scale and for application deployment - status of standardisation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∆T=18 months  (BDA2GC)</w:t>
            </w:r>
          </w:p>
          <w:p w:rsidR="00AC460F" w:rsidRPr="008D2EA0" w:rsidRDefault="00AC460F" w:rsidP="001F0F23">
            <w:pPr>
              <w:spacing w:line="288" w:lineRule="auto"/>
              <w:rPr>
                <w:lang w:val="en-GB"/>
              </w:rPr>
            </w:pPr>
            <w:r w:rsidRPr="008D2EA0">
              <w:rPr>
                <w:lang w:val="en-GB"/>
              </w:rPr>
              <w:t>∆T=18 months  (PPDR)</w:t>
            </w:r>
          </w:p>
          <w:p w:rsidR="00AC460F" w:rsidRPr="008D2EA0" w:rsidRDefault="00AC460F" w:rsidP="001F0F23">
            <w:pPr>
              <w:spacing w:line="288" w:lineRule="auto"/>
              <w:rPr>
                <w:lang w:val="en-GB"/>
              </w:rPr>
            </w:pP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7.9</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6</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5a</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Potential for CEPT harmonisation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Low (BDA2GC)</w:t>
            </w:r>
          </w:p>
          <w:p w:rsidR="00AC460F" w:rsidRPr="008D2EA0" w:rsidRDefault="00AC460F" w:rsidP="001F0F23">
            <w:pPr>
              <w:spacing w:line="288" w:lineRule="auto"/>
              <w:rPr>
                <w:lang w:val="en-GB"/>
              </w:rPr>
            </w:pPr>
            <w:r w:rsidRPr="008D2EA0">
              <w:rPr>
                <w:lang w:val="en-GB"/>
              </w:rPr>
              <w:t>Medium (PPDR)</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2.5</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5b</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Potential for take-up of application outside CEPT</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Low (BDA2GC)</w:t>
            </w:r>
          </w:p>
          <w:p w:rsidR="00AC460F" w:rsidRPr="008D2EA0" w:rsidRDefault="00AC460F" w:rsidP="0097042E">
            <w:pPr>
              <w:spacing w:line="288" w:lineRule="auto"/>
              <w:rPr>
                <w:lang w:val="en-GB"/>
              </w:rPr>
            </w:pPr>
            <w:r w:rsidRPr="008D2EA0">
              <w:rPr>
                <w:lang w:val="en-GB"/>
              </w:rPr>
              <w:t>Low (</w:t>
            </w:r>
            <w:r w:rsidR="0097042E" w:rsidRPr="008D2EA0">
              <w:rPr>
                <w:lang w:val="en-GB"/>
              </w:rPr>
              <w:t>PMSE</w:t>
            </w:r>
            <w:r w:rsidRPr="008D2EA0">
              <w:rPr>
                <w:lang w:val="en-GB"/>
              </w:rPr>
              <w:t>)</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1</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6</w:t>
            </w:r>
          </w:p>
        </w:tc>
        <w:tc>
          <w:tcPr>
            <w:tcW w:w="56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c>
          <w:tcPr>
            <w:tcW w:w="382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 xml:space="preserve">Possibility to share with other applications/uses (frequency, spatial, </w:t>
            </w:r>
            <w:r w:rsidRPr="008D2EA0">
              <w:rPr>
                <w:lang w:val="en-GB"/>
              </w:rPr>
              <w:lastRenderedPageBreak/>
              <w:t>time and/or signal separation)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lastRenderedPageBreak/>
              <w:t>PMSE and TB</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2.4</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lastRenderedPageBreak/>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1a</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the Radio Regulations (Article 5)</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Not 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1b</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MA02revCO07</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Not 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1c</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ECC/DEC/(03)/02</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Not 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bl>
    <w:p w:rsidR="00AC460F" w:rsidRPr="008D2EA0" w:rsidRDefault="00AC460F" w:rsidP="00510087">
      <w:pPr>
        <w:pStyle w:val="Heading3"/>
      </w:pPr>
      <w:bookmarkStart w:id="178" w:name="_Toc349039326"/>
      <w:r w:rsidRPr="008D2EA0">
        <w:t xml:space="preserve">Scenario </w:t>
      </w:r>
      <w:r w:rsidR="002E3DC7" w:rsidRPr="008D2EA0">
        <w:t>3-</w:t>
      </w:r>
      <w:r w:rsidRPr="008D2EA0">
        <w:t>B under regulatory option 3: BDA2GC in 1452-1472 MHz and PMSE in 1472-1492 MHz</w:t>
      </w:r>
      <w:bookmarkEnd w:id="178"/>
    </w:p>
    <w:p w:rsidR="00AC460F" w:rsidRPr="008D2EA0" w:rsidRDefault="00AC460F" w:rsidP="00F21C76">
      <w:pPr>
        <w:pStyle w:val="ECCTabletitle"/>
      </w:pPr>
      <w:r w:rsidRPr="008D2EA0">
        <w:t xml:space="preserve"> Assessment of Regulatory Option 3 - Scenario </w:t>
      </w:r>
      <w:r w:rsidR="002E3DC7" w:rsidRPr="008D2EA0">
        <w:t>3-</w:t>
      </w:r>
      <w:r w:rsidRPr="008D2EA0">
        <w:t>B</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62"/>
        <w:gridCol w:w="567"/>
        <w:gridCol w:w="3827"/>
        <w:gridCol w:w="2693"/>
        <w:gridCol w:w="957"/>
      </w:tblGrid>
      <w:tr w:rsidR="00AC460F" w:rsidRPr="008D2EA0" w:rsidTr="001F0F23">
        <w:trPr>
          <w:tblHeader/>
          <w:jc w:val="center"/>
        </w:trPr>
        <w:tc>
          <w:tcPr>
            <w:tcW w:w="1162"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Maximum Points</w:t>
            </w:r>
          </w:p>
        </w:tc>
        <w:tc>
          <w:tcPr>
            <w:tcW w:w="567" w:type="dxa"/>
            <w:tcBorders>
              <w:top w:val="single" w:sz="4" w:space="0" w:color="D2232A"/>
              <w:left w:val="single" w:sz="8" w:space="0" w:color="FFFFFF"/>
              <w:bottom w:val="single" w:sz="4" w:space="0" w:color="D2232A"/>
              <w:right w:val="single" w:sz="8" w:space="0" w:color="FFFFFF"/>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No</w:t>
            </w:r>
          </w:p>
        </w:tc>
        <w:tc>
          <w:tcPr>
            <w:tcW w:w="382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1F0F23">
            <w:pPr>
              <w:spacing w:line="288" w:lineRule="auto"/>
              <w:jc w:val="center"/>
              <w:rPr>
                <w:b/>
                <w:color w:val="FFFFFF"/>
                <w:lang w:val="en-GB"/>
              </w:rPr>
            </w:pPr>
            <w:r w:rsidRPr="008D2EA0">
              <w:rPr>
                <w:b/>
                <w:color w:val="FFFFFF"/>
                <w:lang w:val="en-GB"/>
              </w:rPr>
              <w:t>Criterion</w:t>
            </w:r>
          </w:p>
        </w:tc>
        <w:tc>
          <w:tcPr>
            <w:tcW w:w="2693" w:type="dxa"/>
            <w:tcBorders>
              <w:top w:val="single" w:sz="4" w:space="0" w:color="D2232A"/>
              <w:left w:val="single" w:sz="8" w:space="0" w:color="FFFFFF"/>
              <w:bottom w:val="single" w:sz="4" w:space="0" w:color="D2232A"/>
              <w:right w:val="single" w:sz="8" w:space="0" w:color="FFFFFF"/>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Result of the assessment</w:t>
            </w:r>
          </w:p>
        </w:tc>
        <w:tc>
          <w:tcPr>
            <w:tcW w:w="957" w:type="dxa"/>
            <w:tcBorders>
              <w:top w:val="single" w:sz="4" w:space="0" w:color="D2232A"/>
              <w:left w:val="single" w:sz="8" w:space="0" w:color="FFFFFF"/>
              <w:bottom w:val="single" w:sz="4" w:space="0" w:color="D2232A"/>
              <w:right w:val="single" w:sz="4" w:space="0" w:color="D2232A"/>
            </w:tcBorders>
            <w:shd w:val="clear" w:color="auto" w:fill="D2232A"/>
          </w:tcPr>
          <w:p w:rsidR="00AC460F" w:rsidRPr="008D2EA0" w:rsidRDefault="00AC460F" w:rsidP="001F0F23">
            <w:pPr>
              <w:spacing w:line="288" w:lineRule="auto"/>
              <w:jc w:val="center"/>
              <w:rPr>
                <w:b/>
                <w:color w:val="FFFFFF"/>
                <w:lang w:val="en-GB"/>
              </w:rPr>
            </w:pPr>
            <w:r w:rsidRPr="008D2EA0">
              <w:rPr>
                <w:b/>
                <w:color w:val="FFFFFF"/>
                <w:lang w:val="en-GB"/>
              </w:rPr>
              <w:t>Points</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3a</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Consumer surplus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N/A (BDA2GC)</w:t>
            </w:r>
          </w:p>
          <w:p w:rsidR="00AC460F" w:rsidRPr="008D2EA0" w:rsidRDefault="00AC460F" w:rsidP="001F0F23">
            <w:pPr>
              <w:spacing w:line="288" w:lineRule="auto"/>
              <w:rPr>
                <w:lang w:val="en-GB"/>
              </w:rPr>
            </w:pPr>
            <w:r w:rsidRPr="008D2EA0">
              <w:rPr>
                <w:rFonts w:cs="Arial"/>
                <w:szCs w:val="20"/>
                <w:lang w:val="en-GB"/>
              </w:rPr>
              <w:t>N/A</w:t>
            </w:r>
            <w:r w:rsidRPr="008D2EA0">
              <w:rPr>
                <w:lang w:val="en-GB"/>
              </w:rPr>
              <w:t xml:space="preserve"> (PMSE)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3</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3b</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Citizen/consumer benefits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Medium (BDA2GC)</w:t>
            </w:r>
          </w:p>
          <w:p w:rsidR="00AC460F" w:rsidRPr="008D2EA0" w:rsidRDefault="00AC460F" w:rsidP="001F0F23">
            <w:pPr>
              <w:spacing w:line="288" w:lineRule="auto"/>
              <w:rPr>
                <w:lang w:val="en-GB"/>
              </w:rPr>
            </w:pPr>
            <w:r w:rsidRPr="008D2EA0">
              <w:rPr>
                <w:lang w:val="en-GB"/>
              </w:rPr>
              <w:t>Medium (PMSE)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1</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3c</w:t>
            </w:r>
          </w:p>
        </w:tc>
        <w:tc>
          <w:tcPr>
            <w:tcW w:w="3827" w:type="dxa"/>
            <w:tcBorders>
              <w:top w:val="single" w:sz="4" w:space="0" w:color="D2232A"/>
              <w:left w:val="single" w:sz="4" w:space="0" w:color="D2232A"/>
              <w:bottom w:val="single" w:sz="4" w:space="0" w:color="D2232A"/>
              <w:right w:val="single" w:sz="4" w:space="0" w:color="D2232A"/>
            </w:tcBorders>
            <w:vAlign w:val="center"/>
            <w:hideMark/>
          </w:tcPr>
          <w:p w:rsidR="00AC460F" w:rsidRPr="008D2EA0" w:rsidRDefault="00AC460F" w:rsidP="001F0F23">
            <w:pPr>
              <w:spacing w:line="288" w:lineRule="auto"/>
              <w:rPr>
                <w:lang w:val="en-GB"/>
              </w:rPr>
            </w:pPr>
            <w:r w:rsidRPr="008D2EA0">
              <w:rPr>
                <w:lang w:val="en-GB"/>
              </w:rPr>
              <w:t>Producer surplus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rFonts w:cs="Arial"/>
                <w:szCs w:val="20"/>
                <w:lang w:val="en-GB"/>
              </w:rPr>
              <w:t>0.59 b€</w:t>
            </w:r>
            <w:r w:rsidRPr="008D2EA0">
              <w:rPr>
                <w:lang w:val="en-GB"/>
              </w:rPr>
              <w:t xml:space="preserve">  (BDA2GC)</w:t>
            </w:r>
          </w:p>
          <w:p w:rsidR="00AC460F" w:rsidRPr="008D2EA0" w:rsidRDefault="00AC460F" w:rsidP="001F0F23">
            <w:pPr>
              <w:spacing w:line="288" w:lineRule="auto"/>
              <w:rPr>
                <w:lang w:val="en-GB"/>
              </w:rPr>
            </w:pPr>
            <w:r w:rsidRPr="008D2EA0">
              <w:rPr>
                <w:lang w:val="en-GB"/>
              </w:rPr>
              <w:t>1.</w:t>
            </w:r>
            <w:r w:rsidRPr="008D2EA0">
              <w:rPr>
                <w:rFonts w:cs="Arial"/>
                <w:szCs w:val="20"/>
                <w:lang w:val="en-GB"/>
              </w:rPr>
              <w:t>9 b€</w:t>
            </w:r>
            <w:r w:rsidRPr="008D2EA0">
              <w:rPr>
                <w:lang w:val="en-GB"/>
              </w:rPr>
              <w:t xml:space="preserve">  (PMSE)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0.2</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3d</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Producer/industry benefits</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High (BDA2GC)</w:t>
            </w:r>
          </w:p>
          <w:p w:rsidR="00AC460F" w:rsidRPr="008D2EA0" w:rsidRDefault="00AC460F" w:rsidP="001F0F23">
            <w:pPr>
              <w:spacing w:line="288" w:lineRule="auto"/>
              <w:rPr>
                <w:lang w:val="en-GB"/>
              </w:rPr>
            </w:pPr>
            <w:r w:rsidRPr="008D2EA0">
              <w:rPr>
                <w:lang w:val="en-GB"/>
              </w:rPr>
              <w:t>High (PMSE)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1</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9</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4</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Timeframe for availability of equipment on a large scale and for application deployment - status of standardisation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∆T=18 months  (BDA2GC)</w:t>
            </w:r>
          </w:p>
          <w:p w:rsidR="00AC460F" w:rsidRPr="008D2EA0" w:rsidRDefault="00AC460F" w:rsidP="001F0F23">
            <w:pPr>
              <w:spacing w:line="288" w:lineRule="auto"/>
              <w:rPr>
                <w:lang w:val="en-GB"/>
              </w:rPr>
            </w:pPr>
            <w:r w:rsidRPr="008D2EA0">
              <w:rPr>
                <w:lang w:val="en-GB"/>
              </w:rPr>
              <w:t>∆T=18 months  (PMSE)</w:t>
            </w:r>
          </w:p>
          <w:p w:rsidR="00AC460F" w:rsidRPr="008D2EA0" w:rsidRDefault="00AC460F" w:rsidP="001F0F23">
            <w:pPr>
              <w:spacing w:line="288" w:lineRule="auto"/>
              <w:rPr>
                <w:lang w:val="en-GB"/>
              </w:rPr>
            </w:pP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7.9</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6</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5a</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Potential for CEPT harmonisation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Low (BDA2GC)</w:t>
            </w:r>
          </w:p>
          <w:p w:rsidR="00AC460F" w:rsidRPr="008D2EA0" w:rsidRDefault="00AC460F" w:rsidP="001F0F23">
            <w:pPr>
              <w:spacing w:line="288" w:lineRule="auto"/>
              <w:rPr>
                <w:lang w:val="en-GB"/>
              </w:rPr>
            </w:pPr>
            <w:r w:rsidRPr="008D2EA0">
              <w:rPr>
                <w:lang w:val="en-GB"/>
              </w:rPr>
              <w:t>Medium (PMSE)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2.5</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5b</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Potential for take-up of application outside CEPT</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Low (BDA2GC)</w:t>
            </w:r>
          </w:p>
          <w:p w:rsidR="00AC460F" w:rsidRPr="008D2EA0" w:rsidRDefault="00AC460F" w:rsidP="001F0F23">
            <w:pPr>
              <w:spacing w:line="288" w:lineRule="auto"/>
              <w:rPr>
                <w:lang w:val="en-GB"/>
              </w:rPr>
            </w:pPr>
            <w:r w:rsidRPr="008D2EA0">
              <w:rPr>
                <w:lang w:val="en-GB"/>
              </w:rPr>
              <w:t>Low PPDR)</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1</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6</w:t>
            </w:r>
          </w:p>
        </w:tc>
        <w:tc>
          <w:tcPr>
            <w:tcW w:w="56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w:t>
            </w:r>
          </w:p>
        </w:tc>
        <w:tc>
          <w:tcPr>
            <w:tcW w:w="382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Possibility to share with other applications/uses (frequency, spatial, time and/or signal separation)</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PPDR and TB</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2.4</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1a</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the Radio Regulations (Article 5)</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Not 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2</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1b</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MA02revCO07</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Not 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r w:rsidR="00AC460F" w:rsidRPr="008D2EA0" w:rsidTr="001F0F23">
        <w:trPr>
          <w:jc w:val="center"/>
        </w:trPr>
        <w:tc>
          <w:tcPr>
            <w:tcW w:w="1162"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w:t>
            </w:r>
          </w:p>
        </w:tc>
        <w:tc>
          <w:tcPr>
            <w:tcW w:w="56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1c</w:t>
            </w:r>
          </w:p>
        </w:tc>
        <w:tc>
          <w:tcPr>
            <w:tcW w:w="3827"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Compatibility with ECC/DEC/(03)/02</w:t>
            </w:r>
          </w:p>
        </w:tc>
        <w:tc>
          <w:tcPr>
            <w:tcW w:w="2693"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Not compatible</w:t>
            </w:r>
          </w:p>
        </w:tc>
        <w:tc>
          <w:tcPr>
            <w:tcW w:w="957" w:type="dxa"/>
            <w:tcBorders>
              <w:top w:val="single" w:sz="4" w:space="0" w:color="D2232A"/>
              <w:left w:val="single" w:sz="4" w:space="0" w:color="D2232A"/>
              <w:bottom w:val="single" w:sz="4" w:space="0" w:color="D2232A"/>
              <w:right w:val="single" w:sz="4" w:space="0" w:color="D2232A"/>
            </w:tcBorders>
          </w:tcPr>
          <w:p w:rsidR="00AC460F" w:rsidRPr="008D2EA0" w:rsidRDefault="00AC460F" w:rsidP="001F0F23">
            <w:pPr>
              <w:spacing w:line="288" w:lineRule="auto"/>
              <w:rPr>
                <w:lang w:val="en-GB"/>
              </w:rPr>
            </w:pPr>
            <w:r w:rsidRPr="008D2EA0">
              <w:rPr>
                <w:lang w:val="en-GB"/>
              </w:rPr>
              <w:t>0</w:t>
            </w:r>
          </w:p>
        </w:tc>
      </w:tr>
    </w:tbl>
    <w:p w:rsidR="00AC460F" w:rsidRPr="008D2EA0" w:rsidRDefault="00AC460F" w:rsidP="00510087">
      <w:pPr>
        <w:pStyle w:val="Heading3"/>
      </w:pPr>
      <w:bookmarkStart w:id="179" w:name="_Toc349039327"/>
      <w:r w:rsidRPr="008D2EA0">
        <w:lastRenderedPageBreak/>
        <w:t>Summary</w:t>
      </w:r>
      <w:bookmarkEnd w:id="179"/>
    </w:p>
    <w:p w:rsidR="00AC460F" w:rsidRPr="008D2EA0" w:rsidRDefault="00AC460F" w:rsidP="00F77275">
      <w:pPr>
        <w:pStyle w:val="ECCParagraph"/>
        <w:keepNext/>
      </w:pPr>
      <w:r w:rsidRPr="008D2EA0">
        <w:t xml:space="preserve">The impact analysis provides clear insights about the classification of each regulatory option and identifies the most </w:t>
      </w:r>
      <w:r w:rsidR="001A0ECA" w:rsidRPr="008D2EA0">
        <w:t>favourable</w:t>
      </w:r>
      <w:r w:rsidRPr="008D2EA0">
        <w:t xml:space="preserve"> regulatory option for the future harmonised use of the band 1452-1492 MHz in CEPT.</w:t>
      </w:r>
    </w:p>
    <w:p w:rsidR="00AC460F" w:rsidRPr="008D2EA0" w:rsidRDefault="00AC460F" w:rsidP="00F21C76">
      <w:pPr>
        <w:pStyle w:val="ECCTabletitle"/>
      </w:pPr>
      <w:r w:rsidRPr="008D2EA0">
        <w:t xml:space="preserve"> Overview of the results</w:t>
      </w:r>
    </w:p>
    <w:tbl>
      <w:tblPr>
        <w:tblW w:w="0" w:type="auto"/>
        <w:jc w:val="center"/>
        <w:tblInd w:w="-42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99"/>
        <w:gridCol w:w="1345"/>
      </w:tblGrid>
      <w:tr w:rsidR="00AC460F" w:rsidRPr="008D2EA0" w:rsidTr="009A4015">
        <w:trPr>
          <w:tblHeader/>
          <w:jc w:val="center"/>
        </w:trPr>
        <w:tc>
          <w:tcPr>
            <w:tcW w:w="3899"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AC460F" w:rsidRPr="008D2EA0" w:rsidRDefault="00AC460F" w:rsidP="00F77275">
            <w:pPr>
              <w:keepNext/>
              <w:spacing w:line="288" w:lineRule="auto"/>
              <w:jc w:val="center"/>
              <w:rPr>
                <w:b/>
                <w:color w:val="FFFFFF"/>
                <w:lang w:val="en-GB"/>
              </w:rPr>
            </w:pPr>
            <w:r w:rsidRPr="008D2EA0">
              <w:rPr>
                <w:b/>
                <w:color w:val="FFFFFF"/>
                <w:lang w:val="en-GB"/>
              </w:rPr>
              <w:t>Regulatory Option / Scenario</w:t>
            </w:r>
          </w:p>
        </w:tc>
        <w:tc>
          <w:tcPr>
            <w:tcW w:w="1345"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C460F" w:rsidRPr="008D2EA0" w:rsidRDefault="00AC460F" w:rsidP="00F77275">
            <w:pPr>
              <w:keepNext/>
              <w:spacing w:line="288" w:lineRule="auto"/>
              <w:jc w:val="center"/>
              <w:rPr>
                <w:b/>
                <w:color w:val="FFFFFF"/>
                <w:lang w:val="en-GB"/>
              </w:rPr>
            </w:pPr>
            <w:r w:rsidRPr="008D2EA0">
              <w:rPr>
                <w:b/>
                <w:color w:val="FFFFFF"/>
                <w:lang w:val="en-GB"/>
              </w:rPr>
              <w:t>Points</w:t>
            </w:r>
          </w:p>
        </w:tc>
      </w:tr>
      <w:tr w:rsidR="00AC460F" w:rsidRPr="008D2EA0" w:rsidTr="009A4015">
        <w:trPr>
          <w:jc w:val="center"/>
        </w:trPr>
        <w:tc>
          <w:tcPr>
            <w:tcW w:w="389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77275">
            <w:pPr>
              <w:keepNext/>
              <w:spacing w:line="288" w:lineRule="auto"/>
              <w:rPr>
                <w:lang w:val="en-GB"/>
              </w:rPr>
            </w:pPr>
            <w:r w:rsidRPr="008D2EA0">
              <w:rPr>
                <w:lang w:val="en-GB"/>
              </w:rPr>
              <w:t>Regulatory Option 1</w:t>
            </w:r>
          </w:p>
        </w:tc>
        <w:tc>
          <w:tcPr>
            <w:tcW w:w="1345"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keepNext/>
              <w:spacing w:line="288" w:lineRule="auto"/>
              <w:rPr>
                <w:lang w:val="en-GB"/>
              </w:rPr>
            </w:pPr>
            <w:r w:rsidRPr="008D2EA0">
              <w:rPr>
                <w:lang w:val="en-GB"/>
              </w:rPr>
              <w:t>13.7</w:t>
            </w:r>
          </w:p>
        </w:tc>
      </w:tr>
      <w:tr w:rsidR="00AC460F" w:rsidRPr="008D2EA0" w:rsidTr="009A4015">
        <w:trPr>
          <w:jc w:val="center"/>
        </w:trPr>
        <w:tc>
          <w:tcPr>
            <w:tcW w:w="389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F77275">
            <w:pPr>
              <w:keepNext/>
              <w:spacing w:line="288" w:lineRule="auto"/>
              <w:rPr>
                <w:lang w:val="en-GB"/>
              </w:rPr>
            </w:pPr>
            <w:r w:rsidRPr="008D2EA0">
              <w:rPr>
                <w:lang w:val="en-GB"/>
              </w:rPr>
              <w:t xml:space="preserve">Regulatory Option 2 / Scenario </w:t>
            </w:r>
            <w:r w:rsidR="002E3DC7" w:rsidRPr="008D2EA0">
              <w:rPr>
                <w:lang w:val="en-GB"/>
              </w:rPr>
              <w:t>2-</w:t>
            </w:r>
            <w:r w:rsidRPr="008D2EA0">
              <w:rPr>
                <w:lang w:val="en-GB"/>
              </w:rPr>
              <w:t>A</w:t>
            </w:r>
          </w:p>
        </w:tc>
        <w:tc>
          <w:tcPr>
            <w:tcW w:w="1345" w:type="dxa"/>
            <w:tcBorders>
              <w:top w:val="single" w:sz="4" w:space="0" w:color="D2232A"/>
              <w:left w:val="single" w:sz="4" w:space="0" w:color="D2232A"/>
              <w:bottom w:val="single" w:sz="4" w:space="0" w:color="D2232A"/>
              <w:right w:val="single" w:sz="4" w:space="0" w:color="D2232A"/>
            </w:tcBorders>
          </w:tcPr>
          <w:p w:rsidR="00AC460F" w:rsidRPr="008D2EA0" w:rsidRDefault="00AC460F" w:rsidP="00F77275">
            <w:pPr>
              <w:keepNext/>
              <w:spacing w:line="288" w:lineRule="auto"/>
              <w:rPr>
                <w:lang w:val="en-GB"/>
              </w:rPr>
            </w:pPr>
            <w:r w:rsidRPr="008D2EA0">
              <w:rPr>
                <w:lang w:val="en-GB"/>
              </w:rPr>
              <w:t>34.9</w:t>
            </w:r>
          </w:p>
        </w:tc>
      </w:tr>
      <w:tr w:rsidR="00AC460F" w:rsidRPr="008D2EA0" w:rsidTr="009A4015">
        <w:trPr>
          <w:jc w:val="center"/>
        </w:trPr>
        <w:tc>
          <w:tcPr>
            <w:tcW w:w="389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 xml:space="preserve">Regulatory Option 2 / Scenario </w:t>
            </w:r>
            <w:r w:rsidR="002E3DC7" w:rsidRPr="008D2EA0">
              <w:rPr>
                <w:lang w:val="en-GB"/>
              </w:rPr>
              <w:t>2-</w:t>
            </w:r>
            <w:r w:rsidRPr="008D2EA0">
              <w:rPr>
                <w:lang w:val="en-GB"/>
              </w:rPr>
              <w:t>B</w:t>
            </w:r>
          </w:p>
        </w:tc>
        <w:tc>
          <w:tcPr>
            <w:tcW w:w="1345"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25.1</w:t>
            </w:r>
          </w:p>
        </w:tc>
      </w:tr>
      <w:tr w:rsidR="00AC460F" w:rsidRPr="008D2EA0" w:rsidTr="009A4015">
        <w:trPr>
          <w:jc w:val="center"/>
        </w:trPr>
        <w:tc>
          <w:tcPr>
            <w:tcW w:w="389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 xml:space="preserve">Regulatory Option 3 / Scenario </w:t>
            </w:r>
            <w:r w:rsidR="002E3DC7" w:rsidRPr="008D2EA0">
              <w:rPr>
                <w:lang w:val="en-GB"/>
              </w:rPr>
              <w:t>3-</w:t>
            </w:r>
            <w:r w:rsidRPr="008D2EA0">
              <w:rPr>
                <w:lang w:val="en-GB"/>
              </w:rPr>
              <w:t>A</w:t>
            </w:r>
          </w:p>
        </w:tc>
        <w:tc>
          <w:tcPr>
            <w:tcW w:w="1345"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17.3</w:t>
            </w:r>
          </w:p>
        </w:tc>
      </w:tr>
      <w:tr w:rsidR="00AC460F" w:rsidRPr="008D2EA0" w:rsidTr="009A4015">
        <w:trPr>
          <w:jc w:val="center"/>
        </w:trPr>
        <w:tc>
          <w:tcPr>
            <w:tcW w:w="3899" w:type="dxa"/>
            <w:tcBorders>
              <w:top w:val="single" w:sz="4" w:space="0" w:color="D2232A"/>
              <w:left w:val="single" w:sz="4" w:space="0" w:color="D2232A"/>
              <w:bottom w:val="single" w:sz="4" w:space="0" w:color="D2232A"/>
              <w:right w:val="single" w:sz="4" w:space="0" w:color="D2232A"/>
            </w:tcBorders>
            <w:vAlign w:val="center"/>
          </w:tcPr>
          <w:p w:rsidR="00AC460F" w:rsidRPr="008D2EA0" w:rsidRDefault="00AC460F" w:rsidP="001F0F23">
            <w:pPr>
              <w:spacing w:line="288" w:lineRule="auto"/>
              <w:rPr>
                <w:lang w:val="en-GB"/>
              </w:rPr>
            </w:pPr>
            <w:r w:rsidRPr="008D2EA0">
              <w:rPr>
                <w:lang w:val="en-GB"/>
              </w:rPr>
              <w:t xml:space="preserve">Regulatory Option 3 / Scenario </w:t>
            </w:r>
            <w:r w:rsidR="002E3DC7" w:rsidRPr="008D2EA0">
              <w:rPr>
                <w:lang w:val="en-GB"/>
              </w:rPr>
              <w:t>3-</w:t>
            </w:r>
            <w:r w:rsidRPr="008D2EA0">
              <w:rPr>
                <w:lang w:val="en-GB"/>
              </w:rPr>
              <w:t>B</w:t>
            </w:r>
          </w:p>
        </w:tc>
        <w:tc>
          <w:tcPr>
            <w:tcW w:w="1345" w:type="dxa"/>
            <w:tcBorders>
              <w:top w:val="single" w:sz="4" w:space="0" w:color="D2232A"/>
              <w:left w:val="single" w:sz="4" w:space="0" w:color="D2232A"/>
              <w:bottom w:val="single" w:sz="4" w:space="0" w:color="D2232A"/>
              <w:right w:val="single" w:sz="4" w:space="0" w:color="D2232A"/>
            </w:tcBorders>
          </w:tcPr>
          <w:p w:rsidR="00AC460F" w:rsidRPr="008D2EA0" w:rsidRDefault="00AC460F" w:rsidP="009A4015">
            <w:pPr>
              <w:spacing w:line="288" w:lineRule="auto"/>
              <w:rPr>
                <w:lang w:val="en-GB"/>
              </w:rPr>
            </w:pPr>
            <w:r w:rsidRPr="008D2EA0">
              <w:rPr>
                <w:lang w:val="en-GB"/>
              </w:rPr>
              <w:t>16</w:t>
            </w:r>
          </w:p>
        </w:tc>
      </w:tr>
    </w:tbl>
    <w:p w:rsidR="00AC460F" w:rsidRPr="008D2EA0" w:rsidRDefault="00AC460F" w:rsidP="00AC460F">
      <w:pPr>
        <w:rPr>
          <w:rFonts w:cs="Arial"/>
          <w:sz w:val="22"/>
          <w:szCs w:val="22"/>
          <w:lang w:val="en-GB" w:eastAsia="fr-FR"/>
        </w:rPr>
      </w:pPr>
    </w:p>
    <w:p w:rsidR="00AC460F" w:rsidRPr="008D2EA0" w:rsidRDefault="00AC460F" w:rsidP="00626DC6">
      <w:pPr>
        <w:pStyle w:val="Heading4"/>
        <w:rPr>
          <w:b/>
          <w:szCs w:val="20"/>
          <w:lang w:val="en-GB" w:eastAsia="fr-FR"/>
        </w:rPr>
      </w:pPr>
      <w:bookmarkStart w:id="180" w:name="_Toc349039328"/>
      <w:r w:rsidRPr="008D2EA0">
        <w:rPr>
          <w:b/>
          <w:szCs w:val="20"/>
          <w:lang w:val="en-GB" w:eastAsia="fr-FR"/>
        </w:rPr>
        <w:t>Comparative analysis of the scenarios under regulatory options 2 and 3</w:t>
      </w:r>
      <w:bookmarkEnd w:id="180"/>
      <w:r w:rsidRPr="008D2EA0">
        <w:rPr>
          <w:b/>
          <w:szCs w:val="20"/>
          <w:lang w:val="en-GB" w:eastAsia="fr-FR"/>
        </w:rPr>
        <w:t xml:space="preserve"> </w:t>
      </w:r>
    </w:p>
    <w:p w:rsidR="00AC460F" w:rsidRPr="008D2EA0" w:rsidRDefault="00AC460F" w:rsidP="00AC460F">
      <w:pPr>
        <w:rPr>
          <w:rFonts w:cs="Arial"/>
          <w:szCs w:val="20"/>
          <w:lang w:val="en-GB" w:eastAsia="fr-FR"/>
        </w:rPr>
      </w:pPr>
    </w:p>
    <w:p w:rsidR="00AC460F" w:rsidRPr="008D2EA0" w:rsidRDefault="00AC460F" w:rsidP="00691AA5">
      <w:pPr>
        <w:pStyle w:val="ECCParagraph"/>
        <w:rPr>
          <w:lang w:eastAsia="fr-FR"/>
        </w:rPr>
      </w:pPr>
      <w:r w:rsidRPr="008D2EA0">
        <w:rPr>
          <w:lang w:eastAsia="fr-FR"/>
        </w:rPr>
        <w:t xml:space="preserve">The comparative analysis of scenarios </w:t>
      </w:r>
      <w:r w:rsidR="00DE08E8" w:rsidRPr="008D2EA0">
        <w:rPr>
          <w:lang w:eastAsia="fr-FR"/>
        </w:rPr>
        <w:t>2</w:t>
      </w:r>
      <w:r w:rsidR="002E3DC7" w:rsidRPr="008D2EA0">
        <w:rPr>
          <w:lang w:eastAsia="fr-FR"/>
        </w:rPr>
        <w:t>-</w:t>
      </w:r>
      <w:r w:rsidRPr="008D2EA0">
        <w:rPr>
          <w:lang w:eastAsia="fr-FR"/>
        </w:rPr>
        <w:t xml:space="preserve">A and </w:t>
      </w:r>
      <w:r w:rsidR="00DE08E8" w:rsidRPr="008D2EA0">
        <w:rPr>
          <w:lang w:eastAsia="fr-FR"/>
        </w:rPr>
        <w:t>2</w:t>
      </w:r>
      <w:r w:rsidR="002E3DC7" w:rsidRPr="008D2EA0">
        <w:rPr>
          <w:lang w:eastAsia="fr-FR"/>
        </w:rPr>
        <w:t>-</w:t>
      </w:r>
      <w:r w:rsidRPr="008D2EA0">
        <w:rPr>
          <w:lang w:eastAsia="fr-FR"/>
        </w:rPr>
        <w:t xml:space="preserve">B under regulatory option 2 indicates that mobile supplemental downlink is a more appropriate use than mobile broadband. </w:t>
      </w:r>
    </w:p>
    <w:p w:rsidR="00AC460F" w:rsidRPr="008D2EA0" w:rsidRDefault="00AC460F" w:rsidP="00691AA5">
      <w:pPr>
        <w:pStyle w:val="ECCParagraph"/>
        <w:rPr>
          <w:lang w:eastAsia="fr-FR"/>
        </w:rPr>
      </w:pPr>
      <w:r w:rsidRPr="008D2EA0">
        <w:rPr>
          <w:lang w:eastAsia="fr-FR"/>
        </w:rPr>
        <w:t xml:space="preserve">The comparative analysis of scenarios </w:t>
      </w:r>
      <w:r w:rsidR="00DE08E8" w:rsidRPr="008D2EA0">
        <w:rPr>
          <w:lang w:eastAsia="fr-FR"/>
        </w:rPr>
        <w:t>3</w:t>
      </w:r>
      <w:r w:rsidR="002E3DC7" w:rsidRPr="008D2EA0">
        <w:rPr>
          <w:lang w:eastAsia="fr-FR"/>
        </w:rPr>
        <w:t>-</w:t>
      </w:r>
      <w:r w:rsidRPr="008D2EA0">
        <w:rPr>
          <w:lang w:eastAsia="fr-FR"/>
        </w:rPr>
        <w:t xml:space="preserve">A and </w:t>
      </w:r>
      <w:r w:rsidR="00DE08E8" w:rsidRPr="008D2EA0">
        <w:rPr>
          <w:lang w:eastAsia="fr-FR"/>
        </w:rPr>
        <w:t>3</w:t>
      </w:r>
      <w:r w:rsidR="002E3DC7" w:rsidRPr="008D2EA0">
        <w:rPr>
          <w:lang w:eastAsia="fr-FR"/>
        </w:rPr>
        <w:t>-</w:t>
      </w:r>
      <w:r w:rsidRPr="008D2EA0">
        <w:rPr>
          <w:lang w:eastAsia="fr-FR"/>
        </w:rPr>
        <w:t>B under regulatory option 3 with BDA2GC as the harmonized application, indicates that PPDR is a more appropriate use than PMSE as the complementing application.</w:t>
      </w:r>
    </w:p>
    <w:p w:rsidR="00AC460F" w:rsidRPr="008D2EA0" w:rsidRDefault="00AC460F" w:rsidP="00626DC6">
      <w:pPr>
        <w:pStyle w:val="Heading4"/>
        <w:rPr>
          <w:b/>
          <w:szCs w:val="20"/>
          <w:lang w:val="en-GB"/>
        </w:rPr>
      </w:pPr>
      <w:bookmarkStart w:id="181" w:name="_Toc349039329"/>
      <w:r w:rsidRPr="008D2EA0">
        <w:rPr>
          <w:b/>
          <w:szCs w:val="20"/>
          <w:lang w:val="en-GB"/>
        </w:rPr>
        <w:t>Overall conclusion on the impact analysis of the regulatory options</w:t>
      </w:r>
      <w:bookmarkEnd w:id="181"/>
    </w:p>
    <w:p w:rsidR="00AC460F" w:rsidRPr="008D2EA0" w:rsidRDefault="00AC460F" w:rsidP="00691AA5">
      <w:pPr>
        <w:pStyle w:val="ECCParagraph"/>
      </w:pPr>
      <w:r w:rsidRPr="008D2EA0">
        <w:t xml:space="preserve">The comparative analysis of all the regulatory options indicates that regulatory option 2 (see section </w:t>
      </w:r>
      <w:r w:rsidR="00DE08E8" w:rsidRPr="008D2EA0">
        <w:t>6</w:t>
      </w:r>
      <w:r w:rsidRPr="008D2EA0">
        <w:t xml:space="preserve">.3), based on Mobile SDL (scenario </w:t>
      </w:r>
      <w:r w:rsidR="00DE08E8" w:rsidRPr="008D2EA0">
        <w:t>2</w:t>
      </w:r>
      <w:r w:rsidR="002E3DC7" w:rsidRPr="008D2EA0">
        <w:t>-</w:t>
      </w:r>
      <w:r w:rsidRPr="008D2EA0">
        <w:t xml:space="preserve">A - see section </w:t>
      </w:r>
      <w:r w:rsidR="00DE08E8" w:rsidRPr="008D2EA0">
        <w:t>7</w:t>
      </w:r>
      <w:r w:rsidRPr="008D2EA0">
        <w:t xml:space="preserve">.1) is the most appropriate for CEPT. </w:t>
      </w:r>
    </w:p>
    <w:p w:rsidR="00AC460F" w:rsidRPr="008D2EA0" w:rsidRDefault="00AC460F" w:rsidP="00AC460F">
      <w:pPr>
        <w:rPr>
          <w:highlight w:val="yellow"/>
          <w:lang w:val="en-GB"/>
        </w:rPr>
      </w:pPr>
      <w:r w:rsidRPr="008D2EA0">
        <w:rPr>
          <w:sz w:val="28"/>
          <w:szCs w:val="28"/>
          <w:lang w:val="en-GB"/>
        </w:rPr>
        <w:t xml:space="preserve"> </w:t>
      </w:r>
    </w:p>
    <w:p w:rsidR="0001358C" w:rsidRPr="008D2EA0" w:rsidRDefault="0001358C">
      <w:pPr>
        <w:rPr>
          <w:lang w:val="en-GB"/>
        </w:rPr>
      </w:pPr>
      <w:r w:rsidRPr="008D2EA0">
        <w:rPr>
          <w:lang w:val="en-GB"/>
        </w:rPr>
        <w:br w:type="page"/>
      </w:r>
    </w:p>
    <w:p w:rsidR="0001358C" w:rsidRPr="008D2EA0" w:rsidRDefault="0001358C" w:rsidP="006731B4">
      <w:pPr>
        <w:pStyle w:val="Heading1"/>
      </w:pPr>
      <w:bookmarkStart w:id="182" w:name="_Toc349039330"/>
      <w:r w:rsidRPr="008D2EA0">
        <w:lastRenderedPageBreak/>
        <w:t>conclusion</w:t>
      </w:r>
      <w:bookmarkEnd w:id="182"/>
    </w:p>
    <w:p w:rsidR="0001358C" w:rsidRPr="008D2EA0" w:rsidRDefault="0001358C" w:rsidP="0001358C">
      <w:pPr>
        <w:pStyle w:val="ECCParagraph"/>
      </w:pPr>
      <w:r w:rsidRPr="008D2EA0">
        <w:t>The band 1452-1492 MHz has remained unused in most European countries for the past decade. CEPT therefore decided late 2010 to undertake a review of this band with the aim to use those 40 MHz of prime spectrum to enable the development of new services and applications which could bring substantial social and economic benefits for Europe. In order to achieve this objective, this ECC Report determines, with the support of an impact analysis, the most appropriate future harmoni</w:t>
      </w:r>
      <w:r w:rsidR="003148BA">
        <w:t>s</w:t>
      </w:r>
      <w:r w:rsidRPr="008D2EA0">
        <w:t>ed use of the band 1452-1492 MHz</w:t>
      </w:r>
      <w:r w:rsidR="00EA689C" w:rsidRPr="008D2EA0">
        <w:t>.</w:t>
      </w:r>
    </w:p>
    <w:p w:rsidR="00F77275" w:rsidRDefault="0001358C" w:rsidP="00F77275">
      <w:pPr>
        <w:pStyle w:val="ECCParagraph"/>
        <w:spacing w:after="120"/>
      </w:pPr>
      <w:r w:rsidRPr="008D2EA0">
        <w:t xml:space="preserve">A number of criteria have been defined to execute the impact analysis. </w:t>
      </w:r>
    </w:p>
    <w:p w:rsidR="00F77275" w:rsidRDefault="0001358C" w:rsidP="00F77275">
      <w:pPr>
        <w:pStyle w:val="ECCParagraph"/>
        <w:spacing w:after="120"/>
      </w:pPr>
      <w:r w:rsidRPr="008D2EA0">
        <w:t xml:space="preserve">Those criteria are: </w:t>
      </w:r>
    </w:p>
    <w:p w:rsidR="00F77275" w:rsidRDefault="0001358C" w:rsidP="00F21C76">
      <w:pPr>
        <w:pStyle w:val="ECCParagraph"/>
        <w:numPr>
          <w:ilvl w:val="0"/>
          <w:numId w:val="74"/>
        </w:numPr>
        <w:spacing w:after="120"/>
      </w:pPr>
      <w:r w:rsidRPr="008D2EA0">
        <w:t xml:space="preserve">compatibility with the </w:t>
      </w:r>
      <w:r w:rsidR="00856DA4">
        <w:t xml:space="preserve">current </w:t>
      </w:r>
      <w:r w:rsidRPr="008D2EA0">
        <w:t>regulatory framework</w:t>
      </w:r>
      <w:r w:rsidR="00F77275">
        <w:t>;</w:t>
      </w:r>
    </w:p>
    <w:p w:rsidR="00F77275" w:rsidRDefault="0001358C" w:rsidP="00F21C76">
      <w:pPr>
        <w:pStyle w:val="ECCParagraph"/>
        <w:numPr>
          <w:ilvl w:val="0"/>
          <w:numId w:val="74"/>
        </w:numPr>
        <w:spacing w:after="120"/>
      </w:pPr>
      <w:r w:rsidRPr="008D2EA0">
        <w:t>possibility to share with other applications/uses</w:t>
      </w:r>
      <w:r w:rsidR="00F77275">
        <w:t>;</w:t>
      </w:r>
      <w:r w:rsidRPr="008D2EA0">
        <w:t xml:space="preserve"> </w:t>
      </w:r>
    </w:p>
    <w:p w:rsidR="00F77275" w:rsidRDefault="0001358C" w:rsidP="00F21C76">
      <w:pPr>
        <w:pStyle w:val="ECCParagraph"/>
        <w:numPr>
          <w:ilvl w:val="0"/>
          <w:numId w:val="74"/>
        </w:numPr>
        <w:spacing w:after="120"/>
      </w:pPr>
      <w:r w:rsidRPr="008D2EA0">
        <w:t>extent (maximisation) of social and economic benefits</w:t>
      </w:r>
      <w:r w:rsidR="00F77275">
        <w:t>;</w:t>
      </w:r>
    </w:p>
    <w:p w:rsidR="00F77275" w:rsidRDefault="0001358C" w:rsidP="00F21C76">
      <w:pPr>
        <w:pStyle w:val="ECCParagraph"/>
        <w:numPr>
          <w:ilvl w:val="0"/>
          <w:numId w:val="74"/>
        </w:numPr>
        <w:spacing w:after="120"/>
      </w:pPr>
      <w:r w:rsidRPr="008D2EA0">
        <w:t>timeframe for availability of equipment on a large scale and</w:t>
      </w:r>
      <w:r w:rsidR="00F77275">
        <w:t xml:space="preserve"> for application deployment</w:t>
      </w:r>
      <w:r w:rsidR="00E14E50">
        <w:t xml:space="preserve"> - </w:t>
      </w:r>
      <w:r w:rsidR="00E14E50" w:rsidRPr="008D2EA0">
        <w:t>status of standardisation</w:t>
      </w:r>
      <w:r w:rsidR="00F77275">
        <w:t>;</w:t>
      </w:r>
    </w:p>
    <w:p w:rsidR="00E14E50" w:rsidRPr="008D2EA0" w:rsidRDefault="00E14E50" w:rsidP="00F21C76">
      <w:pPr>
        <w:pStyle w:val="ECCParagraph"/>
        <w:numPr>
          <w:ilvl w:val="0"/>
          <w:numId w:val="74"/>
        </w:numPr>
      </w:pPr>
      <w:r>
        <w:t>p</w:t>
      </w:r>
      <w:r w:rsidRPr="008D2EA0">
        <w:t>otential for economy of scale (need and potential for harmonisation within and outside CEPT)</w:t>
      </w:r>
      <w:r w:rsidR="0001358C" w:rsidRPr="008D2EA0">
        <w:t>.</w:t>
      </w:r>
    </w:p>
    <w:p w:rsidR="0001358C" w:rsidRPr="008D2EA0" w:rsidRDefault="0001358C" w:rsidP="0001358C">
      <w:pPr>
        <w:pStyle w:val="ECCParagraph"/>
      </w:pPr>
      <w:r w:rsidRPr="008D2EA0">
        <w:t xml:space="preserve">The various candidate applications for the future use of the band 1452-1492 MHz in CEPT were identified based on the outcome of an ECC questionnaire that was submitted to CEPT administrations and to the industry before the start of the impact analysis. Those applications are: 1) Terrestrial Broadcasting, 2) Mobile Broadband, 3) Mobile Supplemental Downlink, 4) Satellite Digital Audio Broadcasting, 5) Program Making and Special Events, 6) </w:t>
      </w:r>
      <w:r w:rsidR="00856DA4">
        <w:t xml:space="preserve">Broadband </w:t>
      </w:r>
      <w:r w:rsidRPr="008D2EA0">
        <w:t xml:space="preserve">Public Protection Disaster Relief </w:t>
      </w:r>
      <w:r w:rsidR="00856DA4">
        <w:t xml:space="preserve">for temporary and local use </w:t>
      </w:r>
      <w:r w:rsidRPr="008D2EA0">
        <w:t>and 7) Broadband Direct Air to Ground Communication. The spectrum requirement of each application was also defined.</w:t>
      </w:r>
    </w:p>
    <w:p w:rsidR="0001358C" w:rsidRPr="008D2EA0" w:rsidRDefault="0001358C" w:rsidP="0001358C">
      <w:pPr>
        <w:pStyle w:val="ECCParagraph"/>
      </w:pPr>
      <w:r w:rsidRPr="008D2EA0">
        <w:t>The next step was the analysis of all candidate applications against the above mentioned criteria. This was followed by the description of the regulatory options which were used for further assessment. A detailed methodology to conduct the impact analysis was then developed and the last step consisted in conducting the impact analysis</w:t>
      </w:r>
      <w:r w:rsidRPr="008D2EA0" w:rsidDel="00D30CB8">
        <w:t xml:space="preserve"> </w:t>
      </w:r>
      <w:r w:rsidRPr="008D2EA0">
        <w:t>per se with the aim to determine the most appropriate regulatory option.</w:t>
      </w:r>
    </w:p>
    <w:p w:rsidR="0001358C" w:rsidRPr="008D2EA0" w:rsidRDefault="0001358C" w:rsidP="0001358C">
      <w:pPr>
        <w:pStyle w:val="ECCParagraph"/>
      </w:pPr>
      <w:r w:rsidRPr="008D2EA0">
        <w:t>Based on this work and the analysis of the three regulatory options, it is concluded that the most appropriate regulatory framework is the harmonisation of the band 1452-1492 MHz for mobile broadband / mobile supplemental downlink in CEPT, while allowing individual countries to adapt to specific national circumstances in part of the band for terrestrial broadcasting and other terrestrial applications. This regulatory framework will bring the highest benefits for CEPT, with those benefits being maximised when mobile supplemental downlink is deployed under this framework. The implementation of this regulatory framework would consist of the following:</w:t>
      </w:r>
    </w:p>
    <w:p w:rsidR="0001358C" w:rsidRPr="008D2EA0" w:rsidRDefault="0001358C" w:rsidP="00290368">
      <w:pPr>
        <w:pStyle w:val="ECCParagraph"/>
        <w:numPr>
          <w:ilvl w:val="0"/>
          <w:numId w:val="47"/>
        </w:numPr>
      </w:pPr>
      <w:r w:rsidRPr="008D2EA0">
        <w:t xml:space="preserve">The ECC will adopt an ECC Decision designating the band for Mobile/Fixed Communication Networks (MFCN) supplemental downlink and defining the Least Restrictive Technical Conditions with a harmonised band plan for the 1452-1492 MHz band, based on 8 blocks of 5 MHz with associated generic BEM and restricted BEM (for coexistence between uplink and downlink blocks). </w:t>
      </w:r>
    </w:p>
    <w:p w:rsidR="0001358C" w:rsidRPr="008D2EA0" w:rsidRDefault="0001358C" w:rsidP="00290368">
      <w:pPr>
        <w:pStyle w:val="ECCParagraph"/>
        <w:numPr>
          <w:ilvl w:val="0"/>
          <w:numId w:val="47"/>
        </w:numPr>
      </w:pPr>
      <w:r w:rsidRPr="008D2EA0">
        <w:t>The ECC/DEC/(03)02 Decision</w:t>
      </w:r>
      <w:r w:rsidR="002E3DC7" w:rsidRPr="008D2EA0">
        <w:t xml:space="preserve"> </w:t>
      </w:r>
      <w:r w:rsidR="002E3DC7" w:rsidRPr="008D2EA0">
        <w:fldChar w:fldCharType="begin"/>
      </w:r>
      <w:r w:rsidR="002E3DC7" w:rsidRPr="008D2EA0">
        <w:instrText xml:space="preserve"> REF _Ref330503966 \r \h </w:instrText>
      </w:r>
      <w:r w:rsidR="002E3DC7" w:rsidRPr="008D2EA0">
        <w:fldChar w:fldCharType="separate"/>
      </w:r>
      <w:r w:rsidR="00E73FF2">
        <w:t>[2]</w:t>
      </w:r>
      <w:r w:rsidR="002E3DC7" w:rsidRPr="008D2EA0">
        <w:fldChar w:fldCharType="end"/>
      </w:r>
      <w:r w:rsidRPr="008D2EA0">
        <w:t>, which currently harmonises the sub-band 1479.5-1492 MHz for Satellite Digital Audio Broadcasting within CEPT, will be suppressed.</w:t>
      </w:r>
    </w:p>
    <w:p w:rsidR="0001358C" w:rsidRPr="008D2EA0" w:rsidRDefault="0001358C" w:rsidP="00290368">
      <w:pPr>
        <w:pStyle w:val="ECCParagraph"/>
        <w:numPr>
          <w:ilvl w:val="0"/>
          <w:numId w:val="47"/>
        </w:numPr>
      </w:pPr>
      <w:r w:rsidRPr="008D2EA0">
        <w:t xml:space="preserve">An administration wishing to implement terrestrial digital sound broadcasting networks in part of the 1452-1492 MHz may choose to do so using the MA02revCO07 </w:t>
      </w:r>
      <w:r w:rsidR="00396792">
        <w:t xml:space="preserve">Special </w:t>
      </w:r>
      <w:r w:rsidRPr="008D2EA0">
        <w:t>Arrangement</w:t>
      </w:r>
      <w:r w:rsidR="005D1E13" w:rsidRPr="008D2EA0">
        <w:t xml:space="preserve"> </w:t>
      </w:r>
      <w:r w:rsidR="005D1E13" w:rsidRPr="008D2EA0">
        <w:fldChar w:fldCharType="begin"/>
      </w:r>
      <w:r w:rsidR="005D1E13" w:rsidRPr="008D2EA0">
        <w:instrText xml:space="preserve"> REF _Ref330503918 \n \h </w:instrText>
      </w:r>
      <w:r w:rsidR="005D1E13" w:rsidRPr="008D2EA0">
        <w:fldChar w:fldCharType="separate"/>
      </w:r>
      <w:r w:rsidR="00E73FF2">
        <w:t>[1]</w:t>
      </w:r>
      <w:r w:rsidR="005D1E13" w:rsidRPr="008D2EA0">
        <w:fldChar w:fldCharType="end"/>
      </w:r>
      <w:r w:rsidRPr="008D2EA0">
        <w:t xml:space="preserve"> and its possible Plan modifications.</w:t>
      </w:r>
    </w:p>
    <w:p w:rsidR="0001358C" w:rsidRPr="008D2EA0" w:rsidRDefault="0001358C" w:rsidP="00290368">
      <w:pPr>
        <w:pStyle w:val="ECCParagraph"/>
        <w:numPr>
          <w:ilvl w:val="0"/>
          <w:numId w:val="47"/>
        </w:numPr>
      </w:pPr>
      <w:r w:rsidRPr="008D2EA0">
        <w:t xml:space="preserve">The MA02revCO07 </w:t>
      </w:r>
      <w:r w:rsidR="00396792">
        <w:t>Special arrangement</w:t>
      </w:r>
      <w:r w:rsidR="002E3DC7" w:rsidRPr="008D2EA0">
        <w:fldChar w:fldCharType="begin"/>
      </w:r>
      <w:r w:rsidR="002E3DC7" w:rsidRPr="008D2EA0">
        <w:instrText xml:space="preserve"> REF _Ref330503918 \r \h </w:instrText>
      </w:r>
      <w:r w:rsidR="002E3DC7" w:rsidRPr="008D2EA0">
        <w:fldChar w:fldCharType="separate"/>
      </w:r>
      <w:r w:rsidR="00E73FF2">
        <w:t>[1]</w:t>
      </w:r>
      <w:r w:rsidR="002E3DC7" w:rsidRPr="008D2EA0">
        <w:fldChar w:fldCharType="end"/>
      </w:r>
      <w:r w:rsidR="002E3DC7" w:rsidRPr="008D2EA0">
        <w:t xml:space="preserve"> </w:t>
      </w:r>
      <w:r w:rsidRPr="008D2EA0">
        <w:t xml:space="preserve">will be retained for cross-border coordination bilateral agreements in the sub-band 1452-1479.5 MHz, between Terrestrial Broadcasting and </w:t>
      </w:r>
      <w:r w:rsidRPr="008D2EA0">
        <w:lastRenderedPageBreak/>
        <w:t>mobile services similar to the framework developed by CEPT for the 800 MHz band with GE06 and ECC/DEC(09)03</w:t>
      </w:r>
      <w:r w:rsidR="005D1E13" w:rsidRPr="008D2EA0">
        <w:t xml:space="preserve"> </w:t>
      </w:r>
      <w:r w:rsidR="005D1E13" w:rsidRPr="008D2EA0">
        <w:fldChar w:fldCharType="begin"/>
      </w:r>
      <w:r w:rsidR="005D1E13" w:rsidRPr="008D2EA0">
        <w:instrText xml:space="preserve"> REF _Ref330504302 \n \h </w:instrText>
      </w:r>
      <w:r w:rsidR="005D1E13" w:rsidRPr="008D2EA0">
        <w:fldChar w:fldCharType="separate"/>
      </w:r>
      <w:r w:rsidR="00E73FF2">
        <w:t>[3]</w:t>
      </w:r>
      <w:r w:rsidR="005D1E13" w:rsidRPr="008D2EA0">
        <w:fldChar w:fldCharType="end"/>
      </w:r>
      <w:r w:rsidRPr="008D2EA0">
        <w:t>.</w:t>
      </w:r>
    </w:p>
    <w:p w:rsidR="0001358C" w:rsidRPr="0011502A" w:rsidRDefault="00BE5472" w:rsidP="00290368">
      <w:pPr>
        <w:pStyle w:val="ECCParagraph"/>
        <w:numPr>
          <w:ilvl w:val="0"/>
          <w:numId w:val="47"/>
        </w:numPr>
      </w:pPr>
      <w:r w:rsidRPr="007F09BF">
        <w:t>CEPT should consider to propose a</w:t>
      </w:r>
      <w:r w:rsidR="0001358C" w:rsidRPr="007F09BF">
        <w:t xml:space="preserve">n agenda item </w:t>
      </w:r>
      <w:r w:rsidRPr="007F09BF">
        <w:t xml:space="preserve">at the next WRC </w:t>
      </w:r>
      <w:r w:rsidR="0001358C" w:rsidRPr="007F09BF">
        <w:t>to introduce pfd limits to be included in Article 21 of the RR. The objective is to protect MFCN use within CEPT from harmful interference from satellite use outside CEPT</w:t>
      </w:r>
      <w:r w:rsidR="0001358C" w:rsidRPr="007F09BF">
        <w:rPr>
          <w:rStyle w:val="FootnoteReference"/>
        </w:rPr>
        <w:footnoteReference w:id="42"/>
      </w:r>
      <w:r w:rsidR="0001358C" w:rsidRPr="007F09BF">
        <w:t>;</w:t>
      </w:r>
    </w:p>
    <w:p w:rsidR="00E41E35" w:rsidRPr="008D2EA0" w:rsidRDefault="0001358C" w:rsidP="00290368">
      <w:pPr>
        <w:pStyle w:val="ECCParagraph"/>
        <w:numPr>
          <w:ilvl w:val="0"/>
          <w:numId w:val="47"/>
        </w:numPr>
      </w:pPr>
      <w:r w:rsidRPr="008D2EA0">
        <w:t xml:space="preserve">Mobile to mobile cross-border </w:t>
      </w:r>
      <w:r w:rsidR="00EA689C" w:rsidRPr="008D2EA0">
        <w:t>coordination in the band 1452-</w:t>
      </w:r>
      <w:r w:rsidRPr="008D2EA0">
        <w:t>1492 MHz will be subject to an ECC Recommendation for bilateral agreements as for other mobile to mobile cross-border coordination in other bands.</w:t>
      </w:r>
    </w:p>
    <w:p w:rsidR="00EA689C" w:rsidRPr="008D2EA0" w:rsidRDefault="00EA689C">
      <w:pPr>
        <w:rPr>
          <w:rFonts w:cs="Arial"/>
          <w:b/>
          <w:caps/>
          <w:color w:val="D2232A"/>
          <w:kern w:val="32"/>
          <w:szCs w:val="32"/>
          <w:lang w:val="en-GB"/>
        </w:rPr>
      </w:pPr>
      <w:bookmarkStart w:id="183" w:name="_Ref330540023"/>
      <w:r w:rsidRPr="008D2EA0">
        <w:rPr>
          <w:lang w:val="en-GB"/>
        </w:rPr>
        <w:br w:type="page"/>
      </w:r>
    </w:p>
    <w:p w:rsidR="008A54FC" w:rsidRPr="008D2EA0" w:rsidRDefault="00026A63" w:rsidP="006731B4">
      <w:pPr>
        <w:pStyle w:val="ECCAnnexheading1"/>
      </w:pPr>
      <w:bookmarkStart w:id="184" w:name="_Toc349039331"/>
      <w:r w:rsidRPr="008D2EA0">
        <w:lastRenderedPageBreak/>
        <w:t>Extract of the Radio Regulations Article 5 for 1452-1492 MH</w:t>
      </w:r>
      <w:r w:rsidRPr="00691AA5">
        <w:rPr>
          <w:sz w:val="16"/>
        </w:rPr>
        <w:t>z</w:t>
      </w:r>
      <w:bookmarkEnd w:id="183"/>
      <w:bookmarkEnd w:id="184"/>
    </w:p>
    <w:tbl>
      <w:tblPr>
        <w:tblW w:w="1003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786"/>
        <w:gridCol w:w="2162"/>
        <w:gridCol w:w="3083"/>
      </w:tblGrid>
      <w:tr w:rsidR="00026A63" w:rsidRPr="008D2EA0" w:rsidTr="00413A48">
        <w:trPr>
          <w:trHeight w:val="180"/>
          <w:tblHeader/>
        </w:trPr>
        <w:tc>
          <w:tcPr>
            <w:tcW w:w="10031" w:type="dxa"/>
            <w:gridSpan w:val="3"/>
            <w:tcBorders>
              <w:left w:val="single" w:sz="8" w:space="0" w:color="FFFFFF"/>
              <w:bottom w:val="single" w:sz="8" w:space="0" w:color="FFFFFF"/>
            </w:tcBorders>
            <w:shd w:val="clear" w:color="auto" w:fill="D2232A"/>
            <w:vAlign w:val="center"/>
          </w:tcPr>
          <w:p w:rsidR="00026A63" w:rsidRPr="008D2EA0" w:rsidRDefault="00026A63" w:rsidP="00026A63">
            <w:pPr>
              <w:spacing w:line="288" w:lineRule="auto"/>
              <w:jc w:val="center"/>
              <w:rPr>
                <w:b/>
                <w:color w:val="FFFFFF"/>
                <w:lang w:val="en-GB"/>
              </w:rPr>
            </w:pPr>
            <w:r w:rsidRPr="008D2EA0">
              <w:rPr>
                <w:b/>
                <w:color w:val="FFFFFF"/>
                <w:lang w:val="en-GB"/>
              </w:rPr>
              <w:t>Allocation to services</w:t>
            </w:r>
          </w:p>
        </w:tc>
      </w:tr>
      <w:tr w:rsidR="00026A63" w:rsidRPr="008D2EA0" w:rsidTr="00413A48">
        <w:trPr>
          <w:trHeight w:val="180"/>
          <w:tblHeader/>
        </w:trPr>
        <w:tc>
          <w:tcPr>
            <w:tcW w:w="4786" w:type="dxa"/>
            <w:tcBorders>
              <w:top w:val="single" w:sz="8" w:space="0" w:color="FFFFFF"/>
              <w:left w:val="single" w:sz="8" w:space="0" w:color="FFFFFF"/>
              <w:right w:val="single" w:sz="8" w:space="0" w:color="FFFFFF"/>
            </w:tcBorders>
            <w:shd w:val="clear" w:color="auto" w:fill="D2232A"/>
            <w:vAlign w:val="center"/>
          </w:tcPr>
          <w:p w:rsidR="00026A63" w:rsidRPr="008D2EA0" w:rsidRDefault="00026A63" w:rsidP="00026A63">
            <w:pPr>
              <w:spacing w:line="288" w:lineRule="auto"/>
              <w:jc w:val="center"/>
              <w:rPr>
                <w:b/>
                <w:color w:val="FFFFFF"/>
                <w:lang w:val="en-GB"/>
              </w:rPr>
            </w:pPr>
            <w:r w:rsidRPr="008D2EA0">
              <w:rPr>
                <w:b/>
                <w:color w:val="FFFFFF"/>
                <w:lang w:val="en-GB"/>
              </w:rPr>
              <w:t>Region 1</w:t>
            </w:r>
          </w:p>
        </w:tc>
        <w:tc>
          <w:tcPr>
            <w:tcW w:w="2162" w:type="dxa"/>
            <w:tcBorders>
              <w:top w:val="single" w:sz="8" w:space="0" w:color="FFFFFF"/>
              <w:left w:val="single" w:sz="8" w:space="0" w:color="FFFFFF"/>
              <w:right w:val="single" w:sz="8" w:space="0" w:color="FFFFFF"/>
            </w:tcBorders>
            <w:shd w:val="clear" w:color="auto" w:fill="D2232A"/>
            <w:vAlign w:val="center"/>
          </w:tcPr>
          <w:p w:rsidR="00026A63" w:rsidRPr="008D2EA0" w:rsidRDefault="00026A63" w:rsidP="00026A63">
            <w:pPr>
              <w:spacing w:line="288" w:lineRule="auto"/>
              <w:jc w:val="center"/>
              <w:rPr>
                <w:b/>
                <w:color w:val="FFFFFF"/>
                <w:lang w:val="en-GB"/>
              </w:rPr>
            </w:pPr>
            <w:r w:rsidRPr="008D2EA0">
              <w:rPr>
                <w:b/>
                <w:color w:val="FFFFFF"/>
                <w:lang w:val="en-GB"/>
              </w:rPr>
              <w:t>Region 2</w:t>
            </w:r>
          </w:p>
        </w:tc>
        <w:tc>
          <w:tcPr>
            <w:tcW w:w="3083" w:type="dxa"/>
            <w:tcBorders>
              <w:top w:val="single" w:sz="8" w:space="0" w:color="FFFFFF"/>
              <w:left w:val="single" w:sz="8" w:space="0" w:color="FFFFFF"/>
            </w:tcBorders>
            <w:shd w:val="clear" w:color="auto" w:fill="D2232A"/>
            <w:vAlign w:val="center"/>
          </w:tcPr>
          <w:p w:rsidR="00026A63" w:rsidRPr="008D2EA0" w:rsidRDefault="00026A63" w:rsidP="00026A63">
            <w:pPr>
              <w:spacing w:line="288" w:lineRule="auto"/>
              <w:jc w:val="center"/>
              <w:rPr>
                <w:b/>
                <w:color w:val="FFFFFF"/>
                <w:lang w:val="en-GB"/>
              </w:rPr>
            </w:pPr>
            <w:r w:rsidRPr="008D2EA0">
              <w:rPr>
                <w:b/>
                <w:color w:val="FFFFFF"/>
                <w:lang w:val="en-GB"/>
              </w:rPr>
              <w:t>Region 3</w:t>
            </w:r>
          </w:p>
        </w:tc>
      </w:tr>
      <w:tr w:rsidR="00413A48" w:rsidRPr="008D2EA0" w:rsidTr="00413A48">
        <w:trPr>
          <w:trHeight w:val="584"/>
        </w:trPr>
        <w:tc>
          <w:tcPr>
            <w:tcW w:w="4786" w:type="dxa"/>
            <w:vAlign w:val="center"/>
          </w:tcPr>
          <w:p w:rsidR="00413A48" w:rsidRPr="008D2EA0" w:rsidRDefault="00413A48" w:rsidP="00413A48">
            <w:pPr>
              <w:pStyle w:val="TableTextS5"/>
              <w:spacing w:line="220" w:lineRule="exact"/>
              <w:rPr>
                <w:rFonts w:ascii="Arial" w:hAnsi="Arial" w:cs="Arial"/>
                <w:color w:val="000000"/>
                <w:sz w:val="22"/>
                <w:szCs w:val="22"/>
                <w:lang w:val="en-GB"/>
              </w:rPr>
            </w:pPr>
            <w:r w:rsidRPr="008D2EA0">
              <w:rPr>
                <w:rStyle w:val="Tablefreq"/>
                <w:color w:val="000000"/>
                <w:sz w:val="22"/>
                <w:szCs w:val="22"/>
                <w:lang w:val="en-GB"/>
              </w:rPr>
              <w:t>1 452-1 492</w:t>
            </w:r>
          </w:p>
          <w:p w:rsidR="00413A48" w:rsidRPr="008D2EA0" w:rsidRDefault="00413A48" w:rsidP="00413A48">
            <w:pPr>
              <w:pStyle w:val="TableTextS5"/>
              <w:spacing w:line="220" w:lineRule="exact"/>
              <w:rPr>
                <w:rFonts w:ascii="Arial" w:hAnsi="Arial" w:cs="Arial"/>
                <w:color w:val="000000"/>
                <w:sz w:val="22"/>
                <w:szCs w:val="22"/>
                <w:lang w:val="en-GB"/>
              </w:rPr>
            </w:pPr>
            <w:r w:rsidRPr="008D2EA0">
              <w:rPr>
                <w:rFonts w:ascii="Arial" w:hAnsi="Arial" w:cs="Arial"/>
                <w:color w:val="000000"/>
                <w:sz w:val="22"/>
                <w:szCs w:val="22"/>
                <w:lang w:val="en-GB"/>
              </w:rPr>
              <w:t>FIXED</w:t>
            </w:r>
          </w:p>
          <w:p w:rsidR="00413A48" w:rsidRPr="008D2EA0" w:rsidRDefault="00413A48" w:rsidP="00413A48">
            <w:pPr>
              <w:pStyle w:val="TableTextS5"/>
              <w:spacing w:line="220" w:lineRule="exact"/>
              <w:ind w:left="170" w:hanging="170"/>
              <w:rPr>
                <w:rFonts w:ascii="Arial" w:hAnsi="Arial" w:cs="Arial"/>
                <w:color w:val="000000"/>
                <w:sz w:val="22"/>
                <w:szCs w:val="22"/>
                <w:lang w:val="en-GB"/>
              </w:rPr>
            </w:pPr>
            <w:r w:rsidRPr="008D2EA0">
              <w:rPr>
                <w:rFonts w:ascii="Arial" w:hAnsi="Arial" w:cs="Arial"/>
                <w:color w:val="000000"/>
                <w:sz w:val="22"/>
                <w:szCs w:val="22"/>
                <w:lang w:val="en-GB"/>
              </w:rPr>
              <w:t>MOBILE except aeronautical mobile</w:t>
            </w:r>
          </w:p>
          <w:p w:rsidR="00413A48" w:rsidRPr="008D2EA0" w:rsidRDefault="00413A48" w:rsidP="00413A48">
            <w:pPr>
              <w:pStyle w:val="TableTextS5"/>
              <w:spacing w:line="220" w:lineRule="exact"/>
              <w:ind w:left="170" w:hanging="170"/>
              <w:rPr>
                <w:rFonts w:ascii="Arial" w:hAnsi="Arial" w:cs="Arial"/>
                <w:color w:val="000000"/>
                <w:sz w:val="22"/>
                <w:szCs w:val="22"/>
                <w:lang w:val="en-GB"/>
              </w:rPr>
            </w:pPr>
            <w:r w:rsidRPr="008D2EA0">
              <w:rPr>
                <w:rFonts w:ascii="Arial" w:hAnsi="Arial" w:cs="Arial"/>
                <w:color w:val="000000"/>
                <w:sz w:val="22"/>
                <w:szCs w:val="22"/>
                <w:lang w:val="en-GB"/>
              </w:rPr>
              <w:t xml:space="preserve">BROADCASTING  </w:t>
            </w:r>
            <w:r w:rsidRPr="008D2EA0">
              <w:rPr>
                <w:rStyle w:val="Artref"/>
                <w:rFonts w:ascii="Arial" w:hAnsi="Arial" w:cs="Arial"/>
                <w:color w:val="000000"/>
                <w:sz w:val="22"/>
                <w:szCs w:val="22"/>
                <w:lang w:val="en-GB"/>
              </w:rPr>
              <w:t>5.345</w:t>
            </w:r>
          </w:p>
          <w:p w:rsidR="00413A48" w:rsidRPr="008D2EA0" w:rsidRDefault="00413A48" w:rsidP="00413A48">
            <w:pPr>
              <w:pStyle w:val="TableTextS5"/>
              <w:tabs>
                <w:tab w:val="clear" w:pos="170"/>
                <w:tab w:val="clear" w:pos="567"/>
                <w:tab w:val="left" w:pos="-142"/>
                <w:tab w:val="left" w:pos="0"/>
              </w:tabs>
              <w:spacing w:line="220" w:lineRule="exact"/>
              <w:rPr>
                <w:rFonts w:ascii="Arial" w:hAnsi="Arial" w:cs="Arial"/>
                <w:color w:val="000000"/>
                <w:sz w:val="22"/>
                <w:szCs w:val="22"/>
                <w:lang w:val="en-GB"/>
              </w:rPr>
            </w:pPr>
            <w:r w:rsidRPr="008D2EA0">
              <w:rPr>
                <w:rFonts w:ascii="Arial" w:hAnsi="Arial" w:cs="Arial"/>
                <w:color w:val="000000"/>
                <w:sz w:val="22"/>
                <w:szCs w:val="22"/>
                <w:lang w:val="en-GB"/>
              </w:rPr>
              <w:t xml:space="preserve">BROADCASTING-SATELLITE </w:t>
            </w:r>
            <w:r w:rsidRPr="008D2EA0">
              <w:rPr>
                <w:rStyle w:val="Artref"/>
                <w:rFonts w:ascii="Arial" w:hAnsi="Arial" w:cs="Arial"/>
                <w:color w:val="000000"/>
                <w:sz w:val="22"/>
                <w:szCs w:val="22"/>
                <w:lang w:val="en-GB"/>
              </w:rPr>
              <w:t>5.208B  5.345</w:t>
            </w:r>
            <w:r w:rsidRPr="008D2EA0">
              <w:rPr>
                <w:rStyle w:val="Artref"/>
                <w:rFonts w:ascii="Arial" w:hAnsi="Arial" w:cs="Arial"/>
                <w:color w:val="000000"/>
                <w:sz w:val="22"/>
                <w:szCs w:val="22"/>
                <w:lang w:val="en-GB"/>
              </w:rPr>
              <w:br/>
            </w:r>
          </w:p>
          <w:p w:rsidR="00413A48" w:rsidRPr="008D2EA0" w:rsidRDefault="00413A48" w:rsidP="00413A48">
            <w:pPr>
              <w:spacing w:line="288" w:lineRule="auto"/>
              <w:rPr>
                <w:lang w:val="en-GB"/>
              </w:rPr>
            </w:pPr>
            <w:r w:rsidRPr="008D2EA0">
              <w:rPr>
                <w:rStyle w:val="Artref"/>
                <w:rFonts w:cs="Arial"/>
                <w:color w:val="000000"/>
                <w:sz w:val="22"/>
                <w:szCs w:val="22"/>
                <w:lang w:val="en-GB"/>
              </w:rPr>
              <w:t>5.341</w:t>
            </w:r>
            <w:r w:rsidRPr="008D2EA0">
              <w:rPr>
                <w:rFonts w:cs="Arial"/>
                <w:sz w:val="22"/>
                <w:szCs w:val="22"/>
                <w:lang w:val="en-GB"/>
              </w:rPr>
              <w:t xml:space="preserve">  </w:t>
            </w:r>
            <w:r w:rsidRPr="008D2EA0">
              <w:rPr>
                <w:rStyle w:val="Artref"/>
                <w:rFonts w:cs="Arial"/>
                <w:color w:val="000000"/>
                <w:sz w:val="22"/>
                <w:szCs w:val="22"/>
                <w:lang w:val="en-GB"/>
              </w:rPr>
              <w:t>5.342</w:t>
            </w:r>
          </w:p>
        </w:tc>
        <w:tc>
          <w:tcPr>
            <w:tcW w:w="5245" w:type="dxa"/>
            <w:gridSpan w:val="2"/>
            <w:vAlign w:val="center"/>
          </w:tcPr>
          <w:p w:rsidR="00413A48" w:rsidRPr="008D2EA0" w:rsidRDefault="00413A48" w:rsidP="00413A48">
            <w:pPr>
              <w:pStyle w:val="TableTextS5"/>
              <w:spacing w:line="220" w:lineRule="exact"/>
              <w:rPr>
                <w:rFonts w:ascii="Arial" w:hAnsi="Arial" w:cs="Arial"/>
                <w:color w:val="000000"/>
                <w:sz w:val="22"/>
                <w:szCs w:val="22"/>
                <w:lang w:val="en-GB"/>
              </w:rPr>
            </w:pPr>
            <w:r w:rsidRPr="008D2EA0">
              <w:rPr>
                <w:rStyle w:val="Tablefreq"/>
                <w:color w:val="000000"/>
                <w:sz w:val="22"/>
                <w:szCs w:val="22"/>
                <w:lang w:val="en-GB"/>
              </w:rPr>
              <w:t>1 452-1 492</w:t>
            </w:r>
          </w:p>
          <w:p w:rsidR="00413A48" w:rsidRPr="008D2EA0" w:rsidRDefault="00413A48" w:rsidP="00413A48">
            <w:pPr>
              <w:pStyle w:val="TableTextS5"/>
              <w:spacing w:line="220" w:lineRule="exact"/>
              <w:ind w:left="907" w:hanging="448"/>
              <w:rPr>
                <w:rFonts w:ascii="Arial" w:hAnsi="Arial" w:cs="Arial"/>
                <w:color w:val="000000"/>
                <w:sz w:val="22"/>
                <w:szCs w:val="22"/>
                <w:lang w:val="en-GB"/>
              </w:rPr>
            </w:pPr>
            <w:r w:rsidRPr="008D2EA0">
              <w:rPr>
                <w:rFonts w:ascii="Arial" w:hAnsi="Arial" w:cs="Arial"/>
                <w:color w:val="000000"/>
                <w:sz w:val="22"/>
                <w:szCs w:val="22"/>
                <w:lang w:val="en-GB"/>
              </w:rPr>
              <w:t>FIXED</w:t>
            </w:r>
          </w:p>
          <w:p w:rsidR="00413A48" w:rsidRPr="008D2EA0" w:rsidRDefault="00413A48" w:rsidP="00413A48">
            <w:pPr>
              <w:pStyle w:val="TableTextS5"/>
              <w:spacing w:line="220" w:lineRule="exact"/>
              <w:ind w:left="907" w:hanging="448"/>
              <w:rPr>
                <w:rFonts w:ascii="Arial" w:hAnsi="Arial" w:cs="Arial"/>
                <w:color w:val="000000"/>
                <w:sz w:val="22"/>
                <w:szCs w:val="22"/>
                <w:lang w:val="en-GB"/>
              </w:rPr>
            </w:pPr>
            <w:r w:rsidRPr="008D2EA0">
              <w:rPr>
                <w:rFonts w:ascii="Arial" w:hAnsi="Arial" w:cs="Arial"/>
                <w:color w:val="000000"/>
                <w:sz w:val="22"/>
                <w:szCs w:val="22"/>
                <w:lang w:val="en-GB"/>
              </w:rPr>
              <w:t xml:space="preserve">MOBILE  </w:t>
            </w:r>
            <w:r w:rsidRPr="008D2EA0">
              <w:rPr>
                <w:rStyle w:val="Artref"/>
                <w:rFonts w:ascii="Arial" w:hAnsi="Arial" w:cs="Arial"/>
                <w:color w:val="000000"/>
                <w:sz w:val="22"/>
                <w:szCs w:val="22"/>
                <w:lang w:val="en-GB"/>
              </w:rPr>
              <w:t>5.343</w:t>
            </w:r>
          </w:p>
          <w:p w:rsidR="00413A48" w:rsidRPr="008D2EA0" w:rsidRDefault="00413A48" w:rsidP="00413A48">
            <w:pPr>
              <w:pStyle w:val="TableTextS5"/>
              <w:spacing w:line="220" w:lineRule="exact"/>
              <w:ind w:left="907" w:hanging="448"/>
              <w:rPr>
                <w:rFonts w:ascii="Arial" w:hAnsi="Arial" w:cs="Arial"/>
                <w:color w:val="000000"/>
                <w:sz w:val="22"/>
                <w:szCs w:val="22"/>
                <w:lang w:val="en-GB"/>
              </w:rPr>
            </w:pPr>
            <w:r w:rsidRPr="008D2EA0">
              <w:rPr>
                <w:rFonts w:ascii="Arial" w:hAnsi="Arial" w:cs="Arial"/>
                <w:color w:val="000000"/>
                <w:sz w:val="22"/>
                <w:szCs w:val="22"/>
                <w:lang w:val="en-GB"/>
              </w:rPr>
              <w:t xml:space="preserve">BROADCASTING  </w:t>
            </w:r>
            <w:r w:rsidRPr="008D2EA0">
              <w:rPr>
                <w:rStyle w:val="Artref"/>
                <w:rFonts w:ascii="Arial" w:hAnsi="Arial" w:cs="Arial"/>
                <w:color w:val="000000"/>
                <w:sz w:val="22"/>
                <w:szCs w:val="22"/>
                <w:lang w:val="en-GB"/>
              </w:rPr>
              <w:t>5.345</w:t>
            </w:r>
          </w:p>
          <w:p w:rsidR="00413A48" w:rsidRPr="008D2EA0" w:rsidRDefault="00413A48" w:rsidP="00413A48">
            <w:pPr>
              <w:pStyle w:val="TableTextS5"/>
              <w:spacing w:line="220" w:lineRule="exact"/>
              <w:ind w:left="907" w:hanging="448"/>
              <w:rPr>
                <w:rFonts w:ascii="Arial" w:hAnsi="Arial" w:cs="Arial"/>
                <w:color w:val="000000"/>
                <w:sz w:val="22"/>
                <w:szCs w:val="22"/>
                <w:lang w:val="en-GB"/>
              </w:rPr>
            </w:pPr>
            <w:r w:rsidRPr="008D2EA0">
              <w:rPr>
                <w:rFonts w:ascii="Arial" w:hAnsi="Arial" w:cs="Arial"/>
                <w:color w:val="000000"/>
                <w:sz w:val="22"/>
                <w:szCs w:val="22"/>
                <w:lang w:val="en-GB"/>
              </w:rPr>
              <w:t xml:space="preserve">BROADCASTING-SATELLITE  5.208B  </w:t>
            </w:r>
            <w:r w:rsidRPr="008D2EA0">
              <w:rPr>
                <w:rStyle w:val="Artref"/>
                <w:rFonts w:ascii="Arial" w:hAnsi="Arial" w:cs="Arial"/>
                <w:color w:val="000000"/>
                <w:sz w:val="22"/>
                <w:szCs w:val="22"/>
                <w:lang w:val="en-GB"/>
              </w:rPr>
              <w:t>5.345</w:t>
            </w:r>
          </w:p>
          <w:p w:rsidR="00413A48" w:rsidRPr="008D2EA0" w:rsidRDefault="00413A48" w:rsidP="00413A48">
            <w:pPr>
              <w:spacing w:line="288" w:lineRule="auto"/>
              <w:rPr>
                <w:lang w:val="en-GB"/>
              </w:rPr>
            </w:pPr>
            <w:r w:rsidRPr="008D2EA0">
              <w:rPr>
                <w:rStyle w:val="Artref"/>
                <w:rFonts w:cs="Arial"/>
                <w:color w:val="000000"/>
                <w:sz w:val="22"/>
                <w:szCs w:val="22"/>
                <w:lang w:val="en-GB"/>
              </w:rPr>
              <w:br/>
              <w:t>5.341</w:t>
            </w:r>
            <w:r w:rsidRPr="008D2EA0">
              <w:rPr>
                <w:rFonts w:cs="Arial"/>
                <w:color w:val="000000"/>
                <w:sz w:val="22"/>
                <w:szCs w:val="22"/>
                <w:lang w:val="en-GB"/>
              </w:rPr>
              <w:t xml:space="preserve">  </w:t>
            </w:r>
            <w:r w:rsidRPr="008D2EA0">
              <w:rPr>
                <w:rStyle w:val="Artref"/>
                <w:rFonts w:cs="Arial"/>
                <w:color w:val="000000"/>
                <w:sz w:val="22"/>
                <w:szCs w:val="22"/>
                <w:lang w:val="en-GB"/>
              </w:rPr>
              <w:t>5.344</w:t>
            </w:r>
          </w:p>
        </w:tc>
      </w:tr>
    </w:tbl>
    <w:p w:rsidR="008A54FC" w:rsidRPr="008D2EA0" w:rsidRDefault="008A54FC" w:rsidP="008A54FC">
      <w:pPr>
        <w:rPr>
          <w:lang w:val="en-GB"/>
        </w:rPr>
      </w:pPr>
    </w:p>
    <w:p w:rsidR="00413A48" w:rsidRPr="008D2EA0" w:rsidRDefault="00413A48" w:rsidP="00413A48">
      <w:pPr>
        <w:pStyle w:val="Note"/>
        <w:tabs>
          <w:tab w:val="left" w:pos="-360"/>
        </w:tabs>
        <w:rPr>
          <w:rFonts w:ascii="Arial" w:hAnsi="Arial" w:cs="Arial"/>
          <w:color w:val="000000"/>
          <w:lang w:val="en-GB"/>
        </w:rPr>
      </w:pPr>
      <w:r w:rsidRPr="008D2EA0">
        <w:rPr>
          <w:rStyle w:val="Artdef"/>
          <w:rFonts w:ascii="Arial" w:hAnsi="Arial" w:cs="Arial"/>
          <w:color w:val="000000"/>
          <w:lang w:val="en-GB"/>
        </w:rPr>
        <w:t>5.208B</w:t>
      </w:r>
      <w:r w:rsidR="00580C79" w:rsidRPr="008D2EA0">
        <w:rPr>
          <w:rStyle w:val="FootnoteReference"/>
          <w:rFonts w:ascii="Arial" w:hAnsi="Arial" w:cs="Arial"/>
          <w:b/>
          <w:bCs/>
          <w:color w:val="000000"/>
          <w:lang w:val="en-GB"/>
        </w:rPr>
        <w:footnoteReference w:id="43"/>
      </w:r>
      <w:r w:rsidRPr="008D2EA0">
        <w:rPr>
          <w:rFonts w:ascii="Arial" w:hAnsi="Arial" w:cs="Arial"/>
          <w:color w:val="000000"/>
          <w:lang w:val="en-GB"/>
        </w:rPr>
        <w:tab/>
        <w:t>In the bands:</w:t>
      </w:r>
    </w:p>
    <w:p w:rsidR="00413A48" w:rsidRPr="008D2EA0" w:rsidRDefault="00413A48" w:rsidP="00413A48">
      <w:pPr>
        <w:pStyle w:val="Note"/>
        <w:tabs>
          <w:tab w:val="clear" w:pos="284"/>
          <w:tab w:val="left" w:pos="-360"/>
        </w:tabs>
        <w:jc w:val="left"/>
        <w:rPr>
          <w:rFonts w:ascii="Arial" w:hAnsi="Arial" w:cs="Arial"/>
          <w:color w:val="000000"/>
          <w:lang w:val="en-GB"/>
        </w:rPr>
      </w:pPr>
      <w:r w:rsidRPr="008D2EA0">
        <w:rPr>
          <w:rFonts w:ascii="Arial" w:hAnsi="Arial" w:cs="Arial"/>
          <w:color w:val="000000"/>
          <w:lang w:val="en-GB"/>
        </w:rPr>
        <w:tab/>
        <w:t>137-138 MHz,</w:t>
      </w:r>
      <w:r w:rsidRPr="008D2EA0">
        <w:rPr>
          <w:rFonts w:ascii="Arial" w:hAnsi="Arial" w:cs="Arial"/>
          <w:color w:val="000000"/>
          <w:lang w:val="en-GB"/>
        </w:rPr>
        <w:br/>
      </w:r>
      <w:r w:rsidRPr="008D2EA0">
        <w:rPr>
          <w:rFonts w:ascii="Arial" w:hAnsi="Arial" w:cs="Arial"/>
          <w:color w:val="000000"/>
          <w:lang w:val="en-GB"/>
        </w:rPr>
        <w:tab/>
        <w:t>387-390 MHz,</w:t>
      </w:r>
      <w:r w:rsidRPr="008D2EA0">
        <w:rPr>
          <w:rFonts w:ascii="Arial" w:hAnsi="Arial" w:cs="Arial"/>
          <w:color w:val="000000"/>
          <w:lang w:val="en-GB"/>
        </w:rPr>
        <w:br/>
      </w:r>
      <w:r w:rsidRPr="008D2EA0">
        <w:rPr>
          <w:rFonts w:ascii="Arial" w:hAnsi="Arial" w:cs="Arial"/>
          <w:color w:val="000000"/>
          <w:lang w:val="en-GB"/>
        </w:rPr>
        <w:tab/>
        <w:t>400.15-401 MHz,</w:t>
      </w:r>
      <w:r w:rsidRPr="008D2EA0">
        <w:rPr>
          <w:rFonts w:ascii="Arial" w:hAnsi="Arial" w:cs="Arial"/>
          <w:color w:val="000000"/>
          <w:lang w:val="en-GB"/>
        </w:rPr>
        <w:br/>
      </w:r>
      <w:r w:rsidRPr="008D2EA0">
        <w:rPr>
          <w:rFonts w:ascii="Arial" w:hAnsi="Arial" w:cs="Arial"/>
          <w:color w:val="000000"/>
          <w:lang w:val="en-GB"/>
        </w:rPr>
        <w:tab/>
        <w:t>1 452-1 492 MHz,</w:t>
      </w:r>
      <w:r w:rsidRPr="008D2EA0">
        <w:rPr>
          <w:rFonts w:ascii="Arial" w:hAnsi="Arial" w:cs="Arial"/>
          <w:color w:val="000000"/>
          <w:lang w:val="en-GB"/>
        </w:rPr>
        <w:br/>
      </w:r>
      <w:r w:rsidRPr="008D2EA0">
        <w:rPr>
          <w:rFonts w:ascii="Arial" w:hAnsi="Arial" w:cs="Arial"/>
          <w:color w:val="000000"/>
          <w:lang w:val="en-GB"/>
        </w:rPr>
        <w:tab/>
        <w:t>1 525-1 610 MHz,</w:t>
      </w:r>
      <w:r w:rsidRPr="008D2EA0">
        <w:rPr>
          <w:rFonts w:ascii="Arial" w:hAnsi="Arial" w:cs="Arial"/>
          <w:color w:val="000000"/>
          <w:lang w:val="en-GB"/>
        </w:rPr>
        <w:br/>
      </w:r>
      <w:r w:rsidRPr="008D2EA0">
        <w:rPr>
          <w:rFonts w:ascii="Arial" w:hAnsi="Arial" w:cs="Arial"/>
          <w:color w:val="000000"/>
          <w:lang w:val="en-GB"/>
        </w:rPr>
        <w:tab/>
        <w:t>1 613.8-1 626.5 MHz,</w:t>
      </w:r>
      <w:r w:rsidRPr="008D2EA0">
        <w:rPr>
          <w:rFonts w:ascii="Arial" w:hAnsi="Arial" w:cs="Arial"/>
          <w:color w:val="000000"/>
          <w:lang w:val="en-GB"/>
        </w:rPr>
        <w:br/>
      </w:r>
      <w:r w:rsidRPr="008D2EA0">
        <w:rPr>
          <w:rFonts w:ascii="Arial" w:hAnsi="Arial" w:cs="Arial"/>
          <w:color w:val="000000"/>
          <w:lang w:val="en-GB"/>
        </w:rPr>
        <w:tab/>
        <w:t>2 655-2 690 MHz,</w:t>
      </w:r>
      <w:r w:rsidRPr="008D2EA0">
        <w:rPr>
          <w:rFonts w:ascii="Arial" w:hAnsi="Arial" w:cs="Arial"/>
          <w:color w:val="000000"/>
          <w:lang w:val="en-GB"/>
        </w:rPr>
        <w:br/>
      </w:r>
      <w:r w:rsidRPr="008D2EA0">
        <w:rPr>
          <w:rFonts w:ascii="Arial" w:hAnsi="Arial" w:cs="Arial"/>
          <w:color w:val="000000"/>
          <w:lang w:val="en-GB"/>
        </w:rPr>
        <w:tab/>
        <w:t>21.4-22 GHz,</w:t>
      </w:r>
    </w:p>
    <w:p w:rsidR="00413A48" w:rsidRPr="008D2EA0" w:rsidRDefault="00413A48" w:rsidP="00413A48">
      <w:pPr>
        <w:pStyle w:val="ECCParagraph"/>
        <w:rPr>
          <w:szCs w:val="20"/>
        </w:rPr>
      </w:pPr>
      <w:r w:rsidRPr="008D2EA0">
        <w:rPr>
          <w:szCs w:val="20"/>
        </w:rPr>
        <w:t xml:space="preserve">Resolution </w:t>
      </w:r>
      <w:r w:rsidRPr="008D2EA0">
        <w:rPr>
          <w:b/>
          <w:bCs/>
          <w:szCs w:val="20"/>
        </w:rPr>
        <w:t>739</w:t>
      </w:r>
      <w:r w:rsidRPr="008D2EA0">
        <w:rPr>
          <w:szCs w:val="20"/>
        </w:rPr>
        <w:t xml:space="preserve"> </w:t>
      </w:r>
      <w:r w:rsidRPr="008D2EA0">
        <w:rPr>
          <w:b/>
          <w:bCs/>
          <w:szCs w:val="20"/>
        </w:rPr>
        <w:t>(Rev.WRC-07)</w:t>
      </w:r>
      <w:r w:rsidRPr="008D2EA0">
        <w:rPr>
          <w:szCs w:val="20"/>
        </w:rPr>
        <w:t xml:space="preserve"> applies.     (WRC-07)</w:t>
      </w:r>
    </w:p>
    <w:p w:rsidR="00413A48" w:rsidRPr="008D2EA0" w:rsidRDefault="00413A48" w:rsidP="00413A48">
      <w:pPr>
        <w:pStyle w:val="ECCParagraph"/>
        <w:rPr>
          <w:color w:val="000000"/>
        </w:rPr>
      </w:pPr>
      <w:r w:rsidRPr="008D2EA0">
        <w:rPr>
          <w:rStyle w:val="Artdef"/>
          <w:rFonts w:cs="Arial"/>
          <w:color w:val="000000"/>
          <w:sz w:val="22"/>
          <w:szCs w:val="22"/>
        </w:rPr>
        <w:t>5.341</w:t>
      </w:r>
      <w:r w:rsidRPr="008D2EA0">
        <w:rPr>
          <w:rStyle w:val="Artdef"/>
          <w:rFonts w:cs="Arial"/>
          <w:color w:val="000000"/>
          <w:sz w:val="22"/>
          <w:szCs w:val="22"/>
        </w:rPr>
        <w:tab/>
      </w:r>
      <w:r w:rsidRPr="008D2EA0">
        <w:rPr>
          <w:color w:val="000000"/>
        </w:rPr>
        <w:t xml:space="preserve">In the bands 1400-1727 MHz, 101-120 GHz and 197-220 GHz, passive research is being conducted by some countries in a programme for the search for intentional emissions of </w:t>
      </w:r>
      <w:r w:rsidR="00A953FD" w:rsidRPr="008D2EA0">
        <w:rPr>
          <w:color w:val="000000"/>
        </w:rPr>
        <w:t>extra-terrestrial</w:t>
      </w:r>
      <w:r w:rsidRPr="008D2EA0">
        <w:rPr>
          <w:color w:val="000000"/>
        </w:rPr>
        <w:t xml:space="preserve"> origin.</w:t>
      </w:r>
    </w:p>
    <w:p w:rsidR="00413A48" w:rsidRDefault="00413A48" w:rsidP="00413A48">
      <w:pPr>
        <w:pStyle w:val="ECCParagraph"/>
        <w:rPr>
          <w:color w:val="000000"/>
        </w:rPr>
      </w:pPr>
      <w:r w:rsidRPr="008D2EA0">
        <w:rPr>
          <w:rStyle w:val="Artdef"/>
          <w:rFonts w:cs="Arial"/>
          <w:color w:val="000000"/>
          <w:sz w:val="22"/>
          <w:szCs w:val="22"/>
        </w:rPr>
        <w:t>5.342</w:t>
      </w:r>
      <w:r w:rsidRPr="008D2EA0">
        <w:rPr>
          <w:rStyle w:val="Artdef"/>
          <w:rFonts w:cs="Arial"/>
          <w:color w:val="000000"/>
          <w:sz w:val="22"/>
          <w:szCs w:val="22"/>
        </w:rPr>
        <w:tab/>
      </w:r>
      <w:r w:rsidRPr="008D2EA0">
        <w:rPr>
          <w:i/>
          <w:iCs/>
          <w:color w:val="000000"/>
        </w:rPr>
        <w:t>Additional allocation:  </w:t>
      </w:r>
      <w:r w:rsidR="001D2B36" w:rsidRPr="001E74AC">
        <w:rPr>
          <w:color w:val="000000"/>
          <w:lang w:val="en-US"/>
        </w:rPr>
        <w:t>in Armenia, Azerbaijan, Belarus, the Russian Federation,</w:t>
      </w:r>
      <w:r w:rsidR="001D2B36">
        <w:rPr>
          <w:color w:val="000000"/>
          <w:lang w:val="en-US"/>
        </w:rPr>
        <w:t xml:space="preserve"> </w:t>
      </w:r>
      <w:r w:rsidR="001D2B36" w:rsidRPr="001E74AC">
        <w:rPr>
          <w:color w:val="000000"/>
          <w:lang w:val="en-US"/>
        </w:rPr>
        <w:t>Uzbekistan, Kyrgyzstan and Ukraine, the band 1 429-1 535 MHz, and in Bulgaria the band 1 525-1 535 MHz, are also allocated to the aeronautical mobile service on a primary basis exclusively for</w:t>
      </w:r>
      <w:r w:rsidR="001D2B36">
        <w:rPr>
          <w:color w:val="000000"/>
          <w:lang w:val="en-US"/>
        </w:rPr>
        <w:t xml:space="preserve"> </w:t>
      </w:r>
      <w:r w:rsidR="001D2B36" w:rsidRPr="001E74AC">
        <w:rPr>
          <w:color w:val="000000"/>
          <w:lang w:val="en-US"/>
        </w:rPr>
        <w:t>the purposes of aeronautical telemetry within the national territory.</w:t>
      </w:r>
      <w:r w:rsidRPr="008D2EA0">
        <w:rPr>
          <w:color w:val="000000"/>
        </w:rPr>
        <w:t xml:space="preserve"> As of 1 April 2007, the use of the band 1452-1492 MHz is subject to agreement between the admi</w:t>
      </w:r>
      <w:r w:rsidR="001D2B36">
        <w:rPr>
          <w:color w:val="000000"/>
        </w:rPr>
        <w:t>nistrations concerned. (WRC</w:t>
      </w:r>
      <w:r w:rsidR="001D2B36">
        <w:rPr>
          <w:color w:val="000000"/>
        </w:rPr>
        <w:noBreakHyphen/>
        <w:t>12</w:t>
      </w:r>
      <w:r w:rsidRPr="008D2EA0">
        <w:rPr>
          <w:color w:val="000000"/>
        </w:rPr>
        <w:t>)</w:t>
      </w:r>
    </w:p>
    <w:p w:rsidR="00413A48" w:rsidRPr="008D2EA0" w:rsidRDefault="00413A48" w:rsidP="00413A48">
      <w:pPr>
        <w:pStyle w:val="ECCParagraph"/>
        <w:rPr>
          <w:color w:val="000000"/>
        </w:rPr>
      </w:pPr>
      <w:r w:rsidRPr="008D2EA0">
        <w:rPr>
          <w:rStyle w:val="Artdef"/>
          <w:rFonts w:cs="Arial"/>
          <w:color w:val="000000"/>
          <w:sz w:val="22"/>
          <w:szCs w:val="22"/>
        </w:rPr>
        <w:t>5.343</w:t>
      </w:r>
      <w:r w:rsidRPr="008D2EA0">
        <w:rPr>
          <w:rStyle w:val="Artdef"/>
          <w:rFonts w:cs="Arial"/>
          <w:color w:val="000000"/>
          <w:sz w:val="22"/>
          <w:szCs w:val="22"/>
        </w:rPr>
        <w:tab/>
      </w:r>
      <w:r w:rsidRPr="008D2EA0">
        <w:rPr>
          <w:color w:val="000000"/>
        </w:rPr>
        <w:t>In Region</w:t>
      </w:r>
      <w:r w:rsidR="00EA689C" w:rsidRPr="008D2EA0">
        <w:rPr>
          <w:color w:val="000000"/>
        </w:rPr>
        <w:t xml:space="preserve"> 2, the use of the band 1435-1</w:t>
      </w:r>
      <w:r w:rsidRPr="008D2EA0">
        <w:rPr>
          <w:color w:val="000000"/>
        </w:rPr>
        <w:t>535 MHz by the aeronautical mobile service for telemetry has priority over other uses by the mobile service.</w:t>
      </w:r>
    </w:p>
    <w:p w:rsidR="00413A48" w:rsidRPr="008D2EA0" w:rsidRDefault="00413A48" w:rsidP="00413A48">
      <w:pPr>
        <w:pStyle w:val="ECCParagraph"/>
        <w:rPr>
          <w:color w:val="000000"/>
        </w:rPr>
      </w:pPr>
      <w:r w:rsidRPr="008D2EA0">
        <w:rPr>
          <w:rStyle w:val="Artdef"/>
          <w:rFonts w:cs="Arial"/>
          <w:color w:val="000000"/>
          <w:sz w:val="22"/>
          <w:szCs w:val="22"/>
        </w:rPr>
        <w:t>5.344</w:t>
      </w:r>
      <w:r w:rsidRPr="008D2EA0">
        <w:rPr>
          <w:rStyle w:val="Artdef"/>
          <w:rFonts w:cs="Arial"/>
          <w:color w:val="000000"/>
          <w:sz w:val="22"/>
          <w:szCs w:val="22"/>
        </w:rPr>
        <w:tab/>
      </w:r>
      <w:r w:rsidRPr="008D2EA0">
        <w:rPr>
          <w:i/>
          <w:iCs/>
          <w:color w:val="000000"/>
        </w:rPr>
        <w:t>Alternative allocation:  </w:t>
      </w:r>
      <w:r w:rsidRPr="008D2EA0">
        <w:rPr>
          <w:color w:val="000000"/>
        </w:rPr>
        <w:t>i</w:t>
      </w:r>
      <w:r w:rsidR="00EA689C" w:rsidRPr="008D2EA0">
        <w:rPr>
          <w:color w:val="000000"/>
        </w:rPr>
        <w:t>n the United States, the band 1</w:t>
      </w:r>
      <w:r w:rsidRPr="008D2EA0">
        <w:rPr>
          <w:color w:val="000000"/>
        </w:rPr>
        <w:t>452-1525 MHz is allocated to the fixed and mobile services on a primary basis (see also No. </w:t>
      </w:r>
      <w:r w:rsidRPr="008D2EA0">
        <w:rPr>
          <w:rStyle w:val="Artref"/>
          <w:rFonts w:cs="Arial"/>
          <w:color w:val="000000"/>
          <w:sz w:val="22"/>
          <w:szCs w:val="22"/>
        </w:rPr>
        <w:t>5.343</w:t>
      </w:r>
      <w:r w:rsidRPr="008D2EA0">
        <w:rPr>
          <w:color w:val="000000"/>
        </w:rPr>
        <w:t>).</w:t>
      </w:r>
    </w:p>
    <w:p w:rsidR="00413A48" w:rsidRPr="008D2EA0" w:rsidRDefault="00413A48" w:rsidP="00413A48">
      <w:pPr>
        <w:pStyle w:val="ECCParagraph"/>
        <w:rPr>
          <w:color w:val="000000"/>
        </w:rPr>
      </w:pPr>
      <w:r w:rsidRPr="008D2EA0">
        <w:rPr>
          <w:rStyle w:val="Artdef"/>
          <w:rFonts w:cs="Arial"/>
          <w:color w:val="000000"/>
          <w:sz w:val="22"/>
          <w:szCs w:val="22"/>
        </w:rPr>
        <w:t>5.345</w:t>
      </w:r>
      <w:r w:rsidRPr="008D2EA0">
        <w:rPr>
          <w:rStyle w:val="Artdef"/>
          <w:rFonts w:cs="Arial"/>
          <w:color w:val="000000"/>
          <w:sz w:val="22"/>
          <w:szCs w:val="22"/>
        </w:rPr>
        <w:tab/>
      </w:r>
      <w:r w:rsidR="00EA689C" w:rsidRPr="008D2EA0">
        <w:rPr>
          <w:color w:val="000000"/>
        </w:rPr>
        <w:t>Use of the band 1452-1</w:t>
      </w:r>
      <w:r w:rsidRPr="008D2EA0">
        <w:rPr>
          <w:color w:val="000000"/>
        </w:rPr>
        <w:t>492 MHz by the broadcasting-satellite service, and by the broadcasting service, is limited to digital audio broadcasting and is subject to the provisions of Resolution </w:t>
      </w:r>
      <w:r w:rsidRPr="008D2EA0">
        <w:rPr>
          <w:rStyle w:val="Resref"/>
          <w:rFonts w:cs="Arial"/>
          <w:b/>
          <w:bCs/>
          <w:color w:val="000000"/>
          <w:sz w:val="22"/>
          <w:szCs w:val="22"/>
        </w:rPr>
        <w:t>528</w:t>
      </w:r>
      <w:r w:rsidRPr="008D2EA0">
        <w:rPr>
          <w:b/>
          <w:bCs/>
          <w:color w:val="000000"/>
        </w:rPr>
        <w:t xml:space="preserve"> (WARC</w:t>
      </w:r>
      <w:r w:rsidRPr="008D2EA0">
        <w:rPr>
          <w:b/>
          <w:bCs/>
          <w:color w:val="000000"/>
        </w:rPr>
        <w:noBreakHyphen/>
        <w:t>92)</w:t>
      </w:r>
      <w:r w:rsidRPr="008D2EA0">
        <w:rPr>
          <w:rStyle w:val="Heading9Char"/>
          <w:b/>
          <w:bCs/>
          <w:color w:val="000000"/>
          <w:lang w:val="en-GB"/>
        </w:rPr>
        <w:t xml:space="preserve"> </w:t>
      </w:r>
      <w:r w:rsidR="00580C79" w:rsidRPr="008D2EA0">
        <w:rPr>
          <w:rStyle w:val="FootnoteReference"/>
          <w:rFonts w:cs="Arial"/>
          <w:b/>
          <w:bCs/>
          <w:color w:val="000000"/>
          <w:sz w:val="22"/>
          <w:szCs w:val="22"/>
        </w:rPr>
        <w:footnoteReference w:id="44"/>
      </w:r>
    </w:p>
    <w:p w:rsidR="00413A48" w:rsidRPr="008D2EA0" w:rsidRDefault="00413A48" w:rsidP="00413A48">
      <w:pPr>
        <w:pStyle w:val="ECCParagraph"/>
        <w:jc w:val="left"/>
        <w:rPr>
          <w:color w:val="000000"/>
        </w:rPr>
      </w:pPr>
    </w:p>
    <w:p w:rsidR="00413A48" w:rsidRPr="008D2EA0" w:rsidRDefault="00413A48" w:rsidP="00413A48">
      <w:pPr>
        <w:pStyle w:val="ECCParagraph"/>
        <w:jc w:val="left"/>
        <w:rPr>
          <w:color w:val="000000"/>
        </w:rPr>
        <w:sectPr w:rsidR="00413A48" w:rsidRPr="008D2EA0" w:rsidSect="00413A48">
          <w:headerReference w:type="even" r:id="rId25"/>
          <w:headerReference w:type="default" r:id="rId26"/>
          <w:footerReference w:type="default" r:id="rId27"/>
          <w:headerReference w:type="first" r:id="rId28"/>
          <w:pgSz w:w="11906" w:h="16838"/>
          <w:pgMar w:top="1418" w:right="1418" w:bottom="1418" w:left="1418" w:header="709" w:footer="709" w:gutter="0"/>
          <w:cols w:space="708"/>
          <w:docGrid w:linePitch="360"/>
        </w:sectPr>
      </w:pPr>
    </w:p>
    <w:p w:rsidR="00026A63" w:rsidRPr="008D2EA0" w:rsidRDefault="00413A48" w:rsidP="006731B4">
      <w:pPr>
        <w:pStyle w:val="ECCAnnexheading1"/>
      </w:pPr>
      <w:bookmarkStart w:id="185" w:name="_Ref330505100"/>
      <w:bookmarkStart w:id="186" w:name="_Toc349039332"/>
      <w:r w:rsidRPr="008D2EA0">
        <w:lastRenderedPageBreak/>
        <w:t>Flexibility in MA02revCO07 Special Arrangement (1452-1479.5 MH</w:t>
      </w:r>
      <w:r w:rsidR="0051112C" w:rsidRPr="008D2EA0">
        <w:rPr>
          <w:caps w:val="0"/>
        </w:rPr>
        <w:t>z</w:t>
      </w:r>
      <w:r w:rsidRPr="008D2EA0">
        <w:t>)</w:t>
      </w:r>
      <w:bookmarkEnd w:id="185"/>
      <w:bookmarkEnd w:id="186"/>
    </w:p>
    <w:p w:rsidR="00413A48" w:rsidRPr="008D2EA0" w:rsidRDefault="00413A48" w:rsidP="00413A48">
      <w:pPr>
        <w:pStyle w:val="ECCAnnexheading2"/>
        <w:rPr>
          <w:lang w:val="en-GB"/>
        </w:rPr>
      </w:pPr>
      <w:r w:rsidRPr="008D2EA0">
        <w:rPr>
          <w:lang w:val="en-GB"/>
        </w:rPr>
        <w:t>Introduction</w:t>
      </w:r>
    </w:p>
    <w:p w:rsidR="00413A48" w:rsidRPr="008D2EA0" w:rsidRDefault="00413A48" w:rsidP="00413A48">
      <w:pPr>
        <w:pStyle w:val="ECCParagraph"/>
      </w:pPr>
      <w:r w:rsidRPr="008D2EA0">
        <w:t>MA02 Special Arrangement was reviewed in 2007 in order to allow for more flexibility and to allow the deployment of terrestrial mobile multimedia in the framework of MA02revCO07</w:t>
      </w:r>
      <w:r w:rsidR="0051112C" w:rsidRPr="008D2EA0">
        <w:fldChar w:fldCharType="begin"/>
      </w:r>
      <w:r w:rsidR="0051112C" w:rsidRPr="008D2EA0">
        <w:instrText xml:space="preserve"> REF _Ref330503918 \r \h </w:instrText>
      </w:r>
      <w:r w:rsidR="0051112C" w:rsidRPr="008D2EA0">
        <w:fldChar w:fldCharType="separate"/>
      </w:r>
      <w:r w:rsidR="00E73FF2">
        <w:t>[1]</w:t>
      </w:r>
      <w:r w:rsidR="0051112C" w:rsidRPr="008D2EA0">
        <w:fldChar w:fldCharType="end"/>
      </w:r>
      <w:r w:rsidRPr="008D2EA0">
        <w:t>.</w:t>
      </w:r>
    </w:p>
    <w:p w:rsidR="00413A48" w:rsidRPr="008D2EA0" w:rsidRDefault="00413A48" w:rsidP="00413A48">
      <w:pPr>
        <w:pStyle w:val="ECCParagraph"/>
      </w:pPr>
      <w:r w:rsidRPr="008D2EA0">
        <w:t>Flexibility built-in in MA02revCO07 enables the national administrations to take the approach that best suits their national requirements. The range of possibilities includes the introduction of:</w:t>
      </w:r>
    </w:p>
    <w:p w:rsidR="00413A48" w:rsidRPr="008D2EA0" w:rsidRDefault="00413A48" w:rsidP="000F6780">
      <w:pPr>
        <w:pStyle w:val="ECCParagraph"/>
        <w:numPr>
          <w:ilvl w:val="0"/>
          <w:numId w:val="10"/>
        </w:numPr>
      </w:pPr>
      <w:r w:rsidRPr="008D2EA0">
        <w:t>T-DAB or enhanced radio services in accordance with the Ma02revCO07 Plan,</w:t>
      </w:r>
    </w:p>
    <w:p w:rsidR="00413A48" w:rsidRPr="008D2EA0" w:rsidRDefault="00413A48" w:rsidP="000F6780">
      <w:pPr>
        <w:pStyle w:val="ECCParagraph"/>
        <w:numPr>
          <w:ilvl w:val="0"/>
          <w:numId w:val="10"/>
        </w:numPr>
      </w:pPr>
      <w:r w:rsidRPr="008D2EA0">
        <w:t>other terrestrial mobile multimedia systems that are compatible with the Plan by application of the envelope concept,</w:t>
      </w:r>
    </w:p>
    <w:p w:rsidR="00413A48" w:rsidRPr="008D2EA0" w:rsidRDefault="00413A48" w:rsidP="000F6780">
      <w:pPr>
        <w:pStyle w:val="ECCParagraph"/>
        <w:numPr>
          <w:ilvl w:val="0"/>
          <w:numId w:val="10"/>
        </w:numPr>
      </w:pPr>
      <w:r w:rsidRPr="008D2EA0">
        <w:t>terrestrial mobile multimedia systems that require larger bandwidth than 1.7 MHz (e.g. 5 MHz) by aggregating T-DAB frequency blocks,</w:t>
      </w:r>
    </w:p>
    <w:p w:rsidR="00413A48" w:rsidRPr="008D2EA0" w:rsidRDefault="00413A48" w:rsidP="000F6780">
      <w:pPr>
        <w:pStyle w:val="ECCParagraph"/>
        <w:numPr>
          <w:ilvl w:val="0"/>
          <w:numId w:val="10"/>
        </w:numPr>
      </w:pPr>
      <w:r w:rsidRPr="008D2EA0">
        <w:t>any combination of the above.</w:t>
      </w:r>
    </w:p>
    <w:p w:rsidR="00413A48" w:rsidRPr="008D2EA0" w:rsidRDefault="00413A48" w:rsidP="00413A48">
      <w:pPr>
        <w:pStyle w:val="ECCAnnexheading2"/>
        <w:rPr>
          <w:bCs/>
          <w:lang w:val="en-GB"/>
        </w:rPr>
      </w:pPr>
      <w:r w:rsidRPr="008D2EA0">
        <w:rPr>
          <w:bCs/>
          <w:lang w:val="en-GB"/>
        </w:rPr>
        <w:t>Channel Raster and Bandwidth</w:t>
      </w:r>
    </w:p>
    <w:p w:rsidR="00413A48" w:rsidRPr="008D2EA0" w:rsidRDefault="00413A48" w:rsidP="00413A48">
      <w:pPr>
        <w:pStyle w:val="ECCParagraph"/>
      </w:pPr>
      <w:r w:rsidRPr="008D2EA0">
        <w:t>The associated frequency plan to the MA02revCO07 Arrangement</w:t>
      </w:r>
      <w:r w:rsidR="005D1E13" w:rsidRPr="008D2EA0">
        <w:t xml:space="preserve"> </w:t>
      </w:r>
      <w:r w:rsidR="005D1E13" w:rsidRPr="008D2EA0">
        <w:fldChar w:fldCharType="begin"/>
      </w:r>
      <w:r w:rsidR="005D1E13" w:rsidRPr="008D2EA0">
        <w:instrText xml:space="preserve"> REF _Ref330503918 \n \h </w:instrText>
      </w:r>
      <w:r w:rsidR="005D1E13" w:rsidRPr="008D2EA0">
        <w:fldChar w:fldCharType="separate"/>
      </w:r>
      <w:r w:rsidR="00E73FF2">
        <w:t>[1]</w:t>
      </w:r>
      <w:r w:rsidR="005D1E13" w:rsidRPr="008D2EA0">
        <w:fldChar w:fldCharType="end"/>
      </w:r>
      <w:r w:rsidRPr="008D2EA0">
        <w:t xml:space="preserve"> contains 16 x 1.7 MHz T-DAB blocks. The following table provides the list of T-DAB blocks included in the Plan.</w:t>
      </w:r>
    </w:p>
    <w:p w:rsidR="00DC4FFC" w:rsidRPr="008D2EA0" w:rsidRDefault="00DC4FFC" w:rsidP="00F21C76">
      <w:pPr>
        <w:pStyle w:val="ECCTabletitle"/>
      </w:pPr>
      <w:r w:rsidRPr="008D2EA0">
        <w:t>List of T-DAB blocks in MA02revCO07 Special Arrangement</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51"/>
        <w:gridCol w:w="2835"/>
        <w:gridCol w:w="2835"/>
      </w:tblGrid>
      <w:tr w:rsidR="00413A48" w:rsidRPr="008D2EA0" w:rsidTr="009A4015">
        <w:trPr>
          <w:tblHeader/>
        </w:trPr>
        <w:tc>
          <w:tcPr>
            <w:tcW w:w="2551" w:type="dxa"/>
            <w:tcBorders>
              <w:right w:val="single" w:sz="8" w:space="0" w:color="FFFFFF"/>
            </w:tcBorders>
            <w:shd w:val="clear" w:color="auto" w:fill="D2232A"/>
            <w:vAlign w:val="center"/>
          </w:tcPr>
          <w:p w:rsidR="00413A48" w:rsidRPr="008D2EA0" w:rsidRDefault="00413A48" w:rsidP="00413A48">
            <w:pPr>
              <w:spacing w:line="288" w:lineRule="auto"/>
              <w:jc w:val="center"/>
              <w:rPr>
                <w:b/>
                <w:color w:val="FFFFFF"/>
                <w:lang w:val="en-GB"/>
              </w:rPr>
            </w:pPr>
            <w:r w:rsidRPr="008D2EA0">
              <w:rPr>
                <w:b/>
                <w:color w:val="FFFFFF"/>
                <w:lang w:val="en-GB"/>
              </w:rPr>
              <w:t xml:space="preserve">T-DAB block number </w:t>
            </w:r>
          </w:p>
        </w:tc>
        <w:tc>
          <w:tcPr>
            <w:tcW w:w="2835" w:type="dxa"/>
            <w:tcBorders>
              <w:left w:val="single" w:sz="8" w:space="0" w:color="FFFFFF"/>
              <w:right w:val="single" w:sz="8" w:space="0" w:color="FFFFFF"/>
            </w:tcBorders>
            <w:shd w:val="clear" w:color="auto" w:fill="D2232A"/>
            <w:vAlign w:val="center"/>
          </w:tcPr>
          <w:p w:rsidR="00413A48" w:rsidRPr="008D2EA0" w:rsidRDefault="00413A48" w:rsidP="00413A48">
            <w:pPr>
              <w:spacing w:line="288" w:lineRule="auto"/>
              <w:jc w:val="center"/>
              <w:rPr>
                <w:b/>
                <w:color w:val="FFFFFF"/>
                <w:lang w:val="en-GB"/>
              </w:rPr>
            </w:pPr>
            <w:r w:rsidRPr="008D2EA0">
              <w:rPr>
                <w:b/>
                <w:color w:val="FFFFFF"/>
                <w:lang w:val="en-GB"/>
              </w:rPr>
              <w:t>Centre frequency (MHz)</w:t>
            </w:r>
          </w:p>
        </w:tc>
        <w:tc>
          <w:tcPr>
            <w:tcW w:w="2835" w:type="dxa"/>
            <w:tcBorders>
              <w:left w:val="single" w:sz="8" w:space="0" w:color="FFFFFF"/>
            </w:tcBorders>
            <w:shd w:val="clear" w:color="auto" w:fill="D2232A"/>
            <w:vAlign w:val="center"/>
          </w:tcPr>
          <w:p w:rsidR="00413A48" w:rsidRPr="008D2EA0" w:rsidRDefault="00413A48" w:rsidP="00413A48">
            <w:pPr>
              <w:spacing w:line="288" w:lineRule="auto"/>
              <w:jc w:val="center"/>
              <w:rPr>
                <w:b/>
                <w:color w:val="FFFFFF"/>
                <w:lang w:val="en-GB"/>
              </w:rPr>
            </w:pPr>
            <w:r w:rsidRPr="008D2EA0">
              <w:rPr>
                <w:b/>
                <w:color w:val="FFFFFF"/>
                <w:lang w:val="en-GB"/>
              </w:rPr>
              <w:t>Frequency range (MHz)</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LA</w:t>
            </w:r>
          </w:p>
        </w:tc>
        <w:tc>
          <w:tcPr>
            <w:tcW w:w="2835" w:type="dxa"/>
          </w:tcPr>
          <w:p w:rsidR="00413A48" w:rsidRPr="008D2EA0" w:rsidRDefault="00413A48" w:rsidP="009A4015">
            <w:pPr>
              <w:pStyle w:val="TAC"/>
              <w:jc w:val="left"/>
              <w:rPr>
                <w:lang w:val="en-GB"/>
              </w:rPr>
            </w:pPr>
            <w:r w:rsidRPr="008D2EA0">
              <w:rPr>
                <w:lang w:val="en-GB"/>
              </w:rPr>
              <w:t>1452.960</w:t>
            </w:r>
          </w:p>
        </w:tc>
        <w:tc>
          <w:tcPr>
            <w:tcW w:w="2835" w:type="dxa"/>
          </w:tcPr>
          <w:p w:rsidR="00413A48" w:rsidRPr="008D2EA0" w:rsidRDefault="00413A48" w:rsidP="009A4015">
            <w:pPr>
              <w:pStyle w:val="TAD"/>
              <w:tabs>
                <w:tab w:val="clear" w:pos="567"/>
              </w:tabs>
              <w:rPr>
                <w:lang w:val="en-GB"/>
              </w:rPr>
            </w:pPr>
            <w:r w:rsidRPr="008D2EA0">
              <w:rPr>
                <w:lang w:val="en-GB"/>
              </w:rPr>
              <w:t>1452.192 - 1453.728</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LB</w:t>
            </w:r>
          </w:p>
        </w:tc>
        <w:tc>
          <w:tcPr>
            <w:tcW w:w="2835" w:type="dxa"/>
          </w:tcPr>
          <w:p w:rsidR="00413A48" w:rsidRPr="008D2EA0" w:rsidRDefault="00413A48" w:rsidP="009A4015">
            <w:pPr>
              <w:pStyle w:val="TAC"/>
              <w:jc w:val="left"/>
              <w:rPr>
                <w:lang w:val="en-GB"/>
              </w:rPr>
            </w:pPr>
            <w:r w:rsidRPr="008D2EA0">
              <w:rPr>
                <w:lang w:val="en-GB"/>
              </w:rPr>
              <w:t>1454.672</w:t>
            </w:r>
          </w:p>
        </w:tc>
        <w:tc>
          <w:tcPr>
            <w:tcW w:w="2835" w:type="dxa"/>
          </w:tcPr>
          <w:p w:rsidR="00413A48" w:rsidRPr="008D2EA0" w:rsidRDefault="00413A48" w:rsidP="009A4015">
            <w:pPr>
              <w:pStyle w:val="TAD"/>
              <w:tabs>
                <w:tab w:val="clear" w:pos="567"/>
              </w:tabs>
              <w:rPr>
                <w:lang w:val="en-GB"/>
              </w:rPr>
            </w:pPr>
            <w:r w:rsidRPr="008D2EA0">
              <w:rPr>
                <w:lang w:val="en-GB"/>
              </w:rPr>
              <w:t>1453.904 - 1455.440</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LC</w:t>
            </w:r>
          </w:p>
        </w:tc>
        <w:tc>
          <w:tcPr>
            <w:tcW w:w="2835" w:type="dxa"/>
          </w:tcPr>
          <w:p w:rsidR="00413A48" w:rsidRPr="008D2EA0" w:rsidRDefault="00413A48" w:rsidP="009A4015">
            <w:pPr>
              <w:pStyle w:val="TAC"/>
              <w:jc w:val="left"/>
              <w:rPr>
                <w:lang w:val="en-GB"/>
              </w:rPr>
            </w:pPr>
            <w:r w:rsidRPr="008D2EA0">
              <w:rPr>
                <w:lang w:val="en-GB"/>
              </w:rPr>
              <w:t>1456.384</w:t>
            </w:r>
          </w:p>
        </w:tc>
        <w:tc>
          <w:tcPr>
            <w:tcW w:w="2835" w:type="dxa"/>
          </w:tcPr>
          <w:p w:rsidR="00413A48" w:rsidRPr="008D2EA0" w:rsidRDefault="00413A48" w:rsidP="009A4015">
            <w:pPr>
              <w:pStyle w:val="TAD"/>
              <w:tabs>
                <w:tab w:val="clear" w:pos="567"/>
              </w:tabs>
              <w:rPr>
                <w:lang w:val="en-GB"/>
              </w:rPr>
            </w:pPr>
            <w:r w:rsidRPr="008D2EA0">
              <w:rPr>
                <w:lang w:val="en-GB"/>
              </w:rPr>
              <w:t>1455.616 - 1457.152</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LD</w:t>
            </w:r>
          </w:p>
        </w:tc>
        <w:tc>
          <w:tcPr>
            <w:tcW w:w="2835" w:type="dxa"/>
          </w:tcPr>
          <w:p w:rsidR="00413A48" w:rsidRPr="008D2EA0" w:rsidRDefault="00413A48" w:rsidP="009A4015">
            <w:pPr>
              <w:pStyle w:val="TAC"/>
              <w:jc w:val="left"/>
              <w:rPr>
                <w:lang w:val="en-GB"/>
              </w:rPr>
            </w:pPr>
            <w:r w:rsidRPr="008D2EA0">
              <w:rPr>
                <w:lang w:val="en-GB"/>
              </w:rPr>
              <w:t>1458.096</w:t>
            </w:r>
          </w:p>
        </w:tc>
        <w:tc>
          <w:tcPr>
            <w:tcW w:w="2835" w:type="dxa"/>
          </w:tcPr>
          <w:p w:rsidR="00413A48" w:rsidRPr="008D2EA0" w:rsidRDefault="00413A48" w:rsidP="009A4015">
            <w:pPr>
              <w:pStyle w:val="TAD"/>
              <w:tabs>
                <w:tab w:val="clear" w:pos="567"/>
              </w:tabs>
              <w:rPr>
                <w:lang w:val="en-GB"/>
              </w:rPr>
            </w:pPr>
            <w:r w:rsidRPr="008D2EA0">
              <w:rPr>
                <w:lang w:val="en-GB"/>
              </w:rPr>
              <w:t>1457.328 - 1458.864</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LE</w:t>
            </w:r>
          </w:p>
        </w:tc>
        <w:tc>
          <w:tcPr>
            <w:tcW w:w="2835" w:type="dxa"/>
          </w:tcPr>
          <w:p w:rsidR="00413A48" w:rsidRPr="008D2EA0" w:rsidRDefault="00413A48" w:rsidP="009A4015">
            <w:pPr>
              <w:pStyle w:val="TAC"/>
              <w:jc w:val="left"/>
              <w:rPr>
                <w:lang w:val="en-GB"/>
              </w:rPr>
            </w:pPr>
            <w:r w:rsidRPr="008D2EA0">
              <w:rPr>
                <w:lang w:val="en-GB"/>
              </w:rPr>
              <w:t>1459.808</w:t>
            </w:r>
          </w:p>
        </w:tc>
        <w:tc>
          <w:tcPr>
            <w:tcW w:w="2835" w:type="dxa"/>
          </w:tcPr>
          <w:p w:rsidR="00413A48" w:rsidRPr="008D2EA0" w:rsidRDefault="00413A48" w:rsidP="009A4015">
            <w:pPr>
              <w:pStyle w:val="TAD"/>
              <w:tabs>
                <w:tab w:val="clear" w:pos="567"/>
              </w:tabs>
              <w:rPr>
                <w:lang w:val="en-GB"/>
              </w:rPr>
            </w:pPr>
            <w:r w:rsidRPr="008D2EA0">
              <w:rPr>
                <w:lang w:val="en-GB"/>
              </w:rPr>
              <w:t>1459.040 - 1460.576</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LF</w:t>
            </w:r>
          </w:p>
        </w:tc>
        <w:tc>
          <w:tcPr>
            <w:tcW w:w="2835" w:type="dxa"/>
          </w:tcPr>
          <w:p w:rsidR="00413A48" w:rsidRPr="008D2EA0" w:rsidRDefault="00413A48" w:rsidP="009A4015">
            <w:pPr>
              <w:pStyle w:val="TAC"/>
              <w:jc w:val="left"/>
              <w:rPr>
                <w:lang w:val="en-GB"/>
              </w:rPr>
            </w:pPr>
            <w:r w:rsidRPr="008D2EA0">
              <w:rPr>
                <w:lang w:val="en-GB"/>
              </w:rPr>
              <w:t>1461.520</w:t>
            </w:r>
          </w:p>
        </w:tc>
        <w:tc>
          <w:tcPr>
            <w:tcW w:w="2835" w:type="dxa"/>
          </w:tcPr>
          <w:p w:rsidR="00413A48" w:rsidRPr="008D2EA0" w:rsidRDefault="00413A48" w:rsidP="009A4015">
            <w:pPr>
              <w:pStyle w:val="TAD"/>
              <w:tabs>
                <w:tab w:val="clear" w:pos="567"/>
              </w:tabs>
              <w:rPr>
                <w:lang w:val="en-GB"/>
              </w:rPr>
            </w:pPr>
            <w:r w:rsidRPr="008D2EA0">
              <w:rPr>
                <w:lang w:val="en-GB"/>
              </w:rPr>
              <w:t>1460.752 - 1462.288</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LG</w:t>
            </w:r>
          </w:p>
        </w:tc>
        <w:tc>
          <w:tcPr>
            <w:tcW w:w="2835" w:type="dxa"/>
          </w:tcPr>
          <w:p w:rsidR="00413A48" w:rsidRPr="008D2EA0" w:rsidRDefault="00413A48" w:rsidP="009A4015">
            <w:pPr>
              <w:pStyle w:val="TAC"/>
              <w:jc w:val="left"/>
              <w:rPr>
                <w:lang w:val="en-GB"/>
              </w:rPr>
            </w:pPr>
            <w:r w:rsidRPr="008D2EA0">
              <w:rPr>
                <w:lang w:val="en-GB"/>
              </w:rPr>
              <w:t>1463.232</w:t>
            </w:r>
          </w:p>
        </w:tc>
        <w:tc>
          <w:tcPr>
            <w:tcW w:w="2835" w:type="dxa"/>
          </w:tcPr>
          <w:p w:rsidR="00413A48" w:rsidRPr="008D2EA0" w:rsidRDefault="00413A48" w:rsidP="009A4015">
            <w:pPr>
              <w:pStyle w:val="TAD"/>
              <w:tabs>
                <w:tab w:val="clear" w:pos="567"/>
              </w:tabs>
              <w:rPr>
                <w:lang w:val="en-GB"/>
              </w:rPr>
            </w:pPr>
            <w:r w:rsidRPr="008D2EA0">
              <w:rPr>
                <w:lang w:val="en-GB"/>
              </w:rPr>
              <w:t>1462.464 - 1464.000</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LH</w:t>
            </w:r>
          </w:p>
        </w:tc>
        <w:tc>
          <w:tcPr>
            <w:tcW w:w="2835" w:type="dxa"/>
          </w:tcPr>
          <w:p w:rsidR="00413A48" w:rsidRPr="008D2EA0" w:rsidRDefault="00413A48" w:rsidP="009A4015">
            <w:pPr>
              <w:pStyle w:val="TAC"/>
              <w:jc w:val="left"/>
              <w:rPr>
                <w:lang w:val="en-GB"/>
              </w:rPr>
            </w:pPr>
            <w:r w:rsidRPr="008D2EA0">
              <w:rPr>
                <w:lang w:val="en-GB"/>
              </w:rPr>
              <w:t>1464.944</w:t>
            </w:r>
          </w:p>
        </w:tc>
        <w:tc>
          <w:tcPr>
            <w:tcW w:w="2835" w:type="dxa"/>
          </w:tcPr>
          <w:p w:rsidR="00413A48" w:rsidRPr="008D2EA0" w:rsidRDefault="00413A48" w:rsidP="009A4015">
            <w:pPr>
              <w:pStyle w:val="TAD"/>
              <w:tabs>
                <w:tab w:val="clear" w:pos="567"/>
              </w:tabs>
              <w:rPr>
                <w:lang w:val="en-GB"/>
              </w:rPr>
            </w:pPr>
            <w:r w:rsidRPr="008D2EA0">
              <w:rPr>
                <w:lang w:val="en-GB"/>
              </w:rPr>
              <w:t>1464.176 - 1465.712</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LI</w:t>
            </w:r>
          </w:p>
        </w:tc>
        <w:tc>
          <w:tcPr>
            <w:tcW w:w="2835" w:type="dxa"/>
          </w:tcPr>
          <w:p w:rsidR="00413A48" w:rsidRPr="008D2EA0" w:rsidRDefault="00413A48" w:rsidP="009A4015">
            <w:pPr>
              <w:pStyle w:val="TAC"/>
              <w:jc w:val="left"/>
              <w:rPr>
                <w:lang w:val="en-GB"/>
              </w:rPr>
            </w:pPr>
            <w:r w:rsidRPr="008D2EA0">
              <w:rPr>
                <w:lang w:val="en-GB"/>
              </w:rPr>
              <w:t>1466.656</w:t>
            </w:r>
          </w:p>
        </w:tc>
        <w:tc>
          <w:tcPr>
            <w:tcW w:w="2835" w:type="dxa"/>
          </w:tcPr>
          <w:p w:rsidR="00413A48" w:rsidRPr="008D2EA0" w:rsidRDefault="00413A48" w:rsidP="009A4015">
            <w:pPr>
              <w:pStyle w:val="TAD"/>
              <w:tabs>
                <w:tab w:val="clear" w:pos="567"/>
              </w:tabs>
              <w:rPr>
                <w:lang w:val="en-GB"/>
              </w:rPr>
            </w:pPr>
            <w:r w:rsidRPr="008D2EA0">
              <w:rPr>
                <w:lang w:val="en-GB"/>
              </w:rPr>
              <w:t>1465.888 - 1467.424</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LJ</w:t>
            </w:r>
          </w:p>
        </w:tc>
        <w:tc>
          <w:tcPr>
            <w:tcW w:w="2835" w:type="dxa"/>
          </w:tcPr>
          <w:p w:rsidR="00413A48" w:rsidRPr="008D2EA0" w:rsidRDefault="00413A48" w:rsidP="009A4015">
            <w:pPr>
              <w:pStyle w:val="TAC"/>
              <w:jc w:val="left"/>
              <w:rPr>
                <w:lang w:val="en-GB"/>
              </w:rPr>
            </w:pPr>
            <w:r w:rsidRPr="008D2EA0">
              <w:rPr>
                <w:lang w:val="en-GB"/>
              </w:rPr>
              <w:t>1468.368</w:t>
            </w:r>
          </w:p>
        </w:tc>
        <w:tc>
          <w:tcPr>
            <w:tcW w:w="2835" w:type="dxa"/>
          </w:tcPr>
          <w:p w:rsidR="00413A48" w:rsidRPr="008D2EA0" w:rsidRDefault="00413A48" w:rsidP="009A4015">
            <w:pPr>
              <w:pStyle w:val="TAD"/>
              <w:tabs>
                <w:tab w:val="clear" w:pos="567"/>
              </w:tabs>
              <w:rPr>
                <w:lang w:val="en-GB"/>
              </w:rPr>
            </w:pPr>
            <w:r w:rsidRPr="008D2EA0">
              <w:rPr>
                <w:lang w:val="en-GB"/>
              </w:rPr>
              <w:t>1467.600 - 1469.136</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LK</w:t>
            </w:r>
          </w:p>
        </w:tc>
        <w:tc>
          <w:tcPr>
            <w:tcW w:w="2835" w:type="dxa"/>
          </w:tcPr>
          <w:p w:rsidR="00413A48" w:rsidRPr="008D2EA0" w:rsidRDefault="00413A48" w:rsidP="009A4015">
            <w:pPr>
              <w:pStyle w:val="TAC"/>
              <w:jc w:val="left"/>
              <w:rPr>
                <w:lang w:val="en-GB"/>
              </w:rPr>
            </w:pPr>
            <w:r w:rsidRPr="008D2EA0">
              <w:rPr>
                <w:lang w:val="en-GB"/>
              </w:rPr>
              <w:t>1470.080</w:t>
            </w:r>
          </w:p>
        </w:tc>
        <w:tc>
          <w:tcPr>
            <w:tcW w:w="2835" w:type="dxa"/>
          </w:tcPr>
          <w:p w:rsidR="00413A48" w:rsidRPr="008D2EA0" w:rsidRDefault="00413A48" w:rsidP="009A4015">
            <w:pPr>
              <w:pStyle w:val="TAD"/>
              <w:tabs>
                <w:tab w:val="clear" w:pos="567"/>
              </w:tabs>
              <w:rPr>
                <w:lang w:val="en-GB"/>
              </w:rPr>
            </w:pPr>
            <w:r w:rsidRPr="008D2EA0">
              <w:rPr>
                <w:lang w:val="en-GB"/>
              </w:rPr>
              <w:t>1469.312 - 1470.848</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LL</w:t>
            </w:r>
          </w:p>
        </w:tc>
        <w:tc>
          <w:tcPr>
            <w:tcW w:w="2835" w:type="dxa"/>
          </w:tcPr>
          <w:p w:rsidR="00413A48" w:rsidRPr="008D2EA0" w:rsidRDefault="00413A48" w:rsidP="009A4015">
            <w:pPr>
              <w:pStyle w:val="TAC"/>
              <w:jc w:val="left"/>
              <w:rPr>
                <w:lang w:val="en-GB"/>
              </w:rPr>
            </w:pPr>
            <w:r w:rsidRPr="008D2EA0">
              <w:rPr>
                <w:lang w:val="en-GB"/>
              </w:rPr>
              <w:t>1471.792</w:t>
            </w:r>
          </w:p>
        </w:tc>
        <w:tc>
          <w:tcPr>
            <w:tcW w:w="2835" w:type="dxa"/>
          </w:tcPr>
          <w:p w:rsidR="00413A48" w:rsidRPr="008D2EA0" w:rsidRDefault="00413A48" w:rsidP="009A4015">
            <w:pPr>
              <w:pStyle w:val="TAD"/>
              <w:tabs>
                <w:tab w:val="clear" w:pos="567"/>
              </w:tabs>
              <w:rPr>
                <w:lang w:val="en-GB"/>
              </w:rPr>
            </w:pPr>
            <w:r w:rsidRPr="008D2EA0">
              <w:rPr>
                <w:lang w:val="en-GB"/>
              </w:rPr>
              <w:t>1471.024 - 1472.560</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LM</w:t>
            </w:r>
          </w:p>
        </w:tc>
        <w:tc>
          <w:tcPr>
            <w:tcW w:w="2835" w:type="dxa"/>
          </w:tcPr>
          <w:p w:rsidR="00413A48" w:rsidRPr="008D2EA0" w:rsidRDefault="00413A48" w:rsidP="009A4015">
            <w:pPr>
              <w:pStyle w:val="TAC"/>
              <w:jc w:val="left"/>
              <w:rPr>
                <w:lang w:val="en-GB"/>
              </w:rPr>
            </w:pPr>
            <w:r w:rsidRPr="008D2EA0">
              <w:rPr>
                <w:lang w:val="en-GB"/>
              </w:rPr>
              <w:t>1473.504</w:t>
            </w:r>
          </w:p>
        </w:tc>
        <w:tc>
          <w:tcPr>
            <w:tcW w:w="2835" w:type="dxa"/>
          </w:tcPr>
          <w:p w:rsidR="00413A48" w:rsidRPr="008D2EA0" w:rsidRDefault="00413A48" w:rsidP="009A4015">
            <w:pPr>
              <w:pStyle w:val="TAD"/>
              <w:tabs>
                <w:tab w:val="clear" w:pos="567"/>
              </w:tabs>
              <w:rPr>
                <w:lang w:val="en-GB"/>
              </w:rPr>
            </w:pPr>
            <w:r w:rsidRPr="008D2EA0">
              <w:rPr>
                <w:lang w:val="en-GB"/>
              </w:rPr>
              <w:t>1472.736 - 1474.272</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LN</w:t>
            </w:r>
          </w:p>
        </w:tc>
        <w:tc>
          <w:tcPr>
            <w:tcW w:w="2835" w:type="dxa"/>
          </w:tcPr>
          <w:p w:rsidR="00413A48" w:rsidRPr="008D2EA0" w:rsidRDefault="00413A48" w:rsidP="009A4015">
            <w:pPr>
              <w:pStyle w:val="TAC"/>
              <w:jc w:val="left"/>
              <w:rPr>
                <w:lang w:val="en-GB"/>
              </w:rPr>
            </w:pPr>
            <w:r w:rsidRPr="008D2EA0">
              <w:rPr>
                <w:lang w:val="en-GB"/>
              </w:rPr>
              <w:t>1475.216</w:t>
            </w:r>
          </w:p>
        </w:tc>
        <w:tc>
          <w:tcPr>
            <w:tcW w:w="2835" w:type="dxa"/>
          </w:tcPr>
          <w:p w:rsidR="00413A48" w:rsidRPr="008D2EA0" w:rsidRDefault="00413A48" w:rsidP="009A4015">
            <w:pPr>
              <w:pStyle w:val="TAD"/>
              <w:tabs>
                <w:tab w:val="clear" w:pos="567"/>
              </w:tabs>
              <w:rPr>
                <w:lang w:val="en-GB"/>
              </w:rPr>
            </w:pPr>
            <w:r w:rsidRPr="008D2EA0">
              <w:rPr>
                <w:lang w:val="en-GB"/>
              </w:rPr>
              <w:t>1474.448 - 1475.984</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LO</w:t>
            </w:r>
          </w:p>
        </w:tc>
        <w:tc>
          <w:tcPr>
            <w:tcW w:w="2835" w:type="dxa"/>
          </w:tcPr>
          <w:p w:rsidR="00413A48" w:rsidRPr="008D2EA0" w:rsidRDefault="00413A48" w:rsidP="009A4015">
            <w:pPr>
              <w:pStyle w:val="TAC"/>
              <w:jc w:val="left"/>
              <w:rPr>
                <w:lang w:val="en-GB"/>
              </w:rPr>
            </w:pPr>
            <w:r w:rsidRPr="008D2EA0">
              <w:rPr>
                <w:lang w:val="en-GB"/>
              </w:rPr>
              <w:t>1476.928</w:t>
            </w:r>
          </w:p>
        </w:tc>
        <w:tc>
          <w:tcPr>
            <w:tcW w:w="2835" w:type="dxa"/>
          </w:tcPr>
          <w:p w:rsidR="00413A48" w:rsidRPr="008D2EA0" w:rsidRDefault="00413A48" w:rsidP="009A4015">
            <w:pPr>
              <w:pStyle w:val="TAD"/>
              <w:tabs>
                <w:tab w:val="clear" w:pos="567"/>
              </w:tabs>
              <w:rPr>
                <w:lang w:val="en-GB"/>
              </w:rPr>
            </w:pPr>
            <w:r w:rsidRPr="008D2EA0">
              <w:rPr>
                <w:lang w:val="en-GB"/>
              </w:rPr>
              <w:t>1476.160 - 1477.696</w:t>
            </w:r>
          </w:p>
        </w:tc>
      </w:tr>
      <w:tr w:rsidR="00413A48" w:rsidRPr="008D2EA0" w:rsidTr="009A4015">
        <w:tc>
          <w:tcPr>
            <w:tcW w:w="2551" w:type="dxa"/>
          </w:tcPr>
          <w:p w:rsidR="00413A48" w:rsidRPr="008D2EA0" w:rsidRDefault="00413A48" w:rsidP="009A4015">
            <w:pPr>
              <w:pStyle w:val="TAC"/>
              <w:jc w:val="left"/>
              <w:rPr>
                <w:lang w:val="en-GB"/>
              </w:rPr>
            </w:pPr>
            <w:r w:rsidRPr="008D2EA0">
              <w:rPr>
                <w:lang w:val="en-GB"/>
              </w:rPr>
              <w:t>LP</w:t>
            </w:r>
          </w:p>
        </w:tc>
        <w:tc>
          <w:tcPr>
            <w:tcW w:w="2835" w:type="dxa"/>
          </w:tcPr>
          <w:p w:rsidR="00413A48" w:rsidRPr="008D2EA0" w:rsidRDefault="00413A48" w:rsidP="009A4015">
            <w:pPr>
              <w:pStyle w:val="TAC"/>
              <w:jc w:val="left"/>
              <w:rPr>
                <w:lang w:val="en-GB"/>
              </w:rPr>
            </w:pPr>
            <w:r w:rsidRPr="008D2EA0">
              <w:rPr>
                <w:lang w:val="en-GB"/>
              </w:rPr>
              <w:t>1478.640</w:t>
            </w:r>
          </w:p>
        </w:tc>
        <w:tc>
          <w:tcPr>
            <w:tcW w:w="2835" w:type="dxa"/>
          </w:tcPr>
          <w:p w:rsidR="00413A48" w:rsidRPr="008D2EA0" w:rsidRDefault="00413A48" w:rsidP="009A4015">
            <w:pPr>
              <w:pStyle w:val="TAD"/>
              <w:tabs>
                <w:tab w:val="clear" w:pos="567"/>
              </w:tabs>
              <w:rPr>
                <w:lang w:val="en-GB"/>
              </w:rPr>
            </w:pPr>
            <w:r w:rsidRPr="008D2EA0">
              <w:rPr>
                <w:lang w:val="en-GB"/>
              </w:rPr>
              <w:t>1477.872 - 1479.408</w:t>
            </w:r>
          </w:p>
        </w:tc>
      </w:tr>
    </w:tbl>
    <w:p w:rsidR="00413A48" w:rsidRPr="008D2EA0" w:rsidRDefault="00DC4FFC" w:rsidP="00DC4FFC">
      <w:pPr>
        <w:pStyle w:val="ECCAnnexheading2"/>
        <w:rPr>
          <w:lang w:val="en-GB"/>
        </w:rPr>
      </w:pPr>
      <w:r w:rsidRPr="008D2EA0">
        <w:rPr>
          <w:lang w:val="en-GB"/>
        </w:rPr>
        <w:t>Envelop concept</w:t>
      </w:r>
    </w:p>
    <w:p w:rsidR="00DC4FFC" w:rsidRPr="008D2EA0" w:rsidRDefault="00DC4FFC" w:rsidP="00DC4FFC">
      <w:pPr>
        <w:pStyle w:val="ECCParagraph"/>
      </w:pPr>
      <w:r w:rsidRPr="008D2EA0">
        <w:t>The envelop concept and the possibility to use T-DAB Plan entries for terrestrial mobile multimedia was introduced in the MA02revCO07 through Article 2.4:</w:t>
      </w:r>
    </w:p>
    <w:p w:rsidR="00DC4FFC" w:rsidRPr="008D2EA0" w:rsidRDefault="00DC4FFC" w:rsidP="00DC4FFC">
      <w:pPr>
        <w:pStyle w:val="ECCParagraph"/>
      </w:pPr>
      <w:r w:rsidRPr="008D2EA0">
        <w:t>“</w:t>
      </w:r>
    </w:p>
    <w:p w:rsidR="00DC4FFC" w:rsidRPr="008D2EA0" w:rsidRDefault="00DC4FFC" w:rsidP="00DC4FFC">
      <w:pPr>
        <w:pStyle w:val="ECCParagraph"/>
      </w:pPr>
      <w:r w:rsidRPr="008D2EA0">
        <w:rPr>
          <w:b/>
          <w:bCs/>
        </w:rPr>
        <w:lastRenderedPageBreak/>
        <w:t>2.4</w:t>
      </w:r>
      <w:r w:rsidRPr="008D2EA0">
        <w:tab/>
        <w:t>The T-DAB Plan entries may be used for terrestrial mobile multimedia services with characteristics that may be different from those appearing in the Plan but within the envelope of their T-DAB Plan entry or aggregate entries under the provisions of the Special Arrangement, and that their administrations agree that any such use will be afforded protection to the levels defined by the interfering field strengths as arising from their Plan entries, taking into account any relevant bilateral agreements.</w:t>
      </w:r>
    </w:p>
    <w:p w:rsidR="00DC4FFC" w:rsidRPr="008D2EA0" w:rsidRDefault="00DC4FFC" w:rsidP="00DC4FFC">
      <w:pPr>
        <w:pStyle w:val="ECCParagraph"/>
        <w:rPr>
          <w:rFonts w:ascii="TimesNewRomanPSMT" w:hAnsi="TimesNewRomanPSMT" w:cs="TimesNewRomanPSMT"/>
          <w:sz w:val="23"/>
          <w:szCs w:val="23"/>
        </w:rPr>
      </w:pPr>
      <w:r w:rsidRPr="008D2EA0">
        <w:rPr>
          <w:rFonts w:ascii="TimesNewRomanPSMT" w:hAnsi="TimesNewRomanPSMT" w:cs="TimesNewRomanPSMT"/>
          <w:sz w:val="23"/>
          <w:szCs w:val="23"/>
        </w:rPr>
        <w:t>”</w:t>
      </w:r>
    </w:p>
    <w:p w:rsidR="00DC4FFC" w:rsidRPr="008D2EA0" w:rsidRDefault="00DC4FFC" w:rsidP="00DC4FFC">
      <w:pPr>
        <w:pStyle w:val="ECCAnnexheading2"/>
        <w:rPr>
          <w:bCs/>
          <w:lang w:val="en-GB"/>
        </w:rPr>
      </w:pPr>
      <w:r w:rsidRPr="008D2EA0">
        <w:rPr>
          <w:bCs/>
          <w:lang w:val="en-GB"/>
        </w:rPr>
        <w:t>Aggregation of T-DAB blocks</w:t>
      </w:r>
    </w:p>
    <w:p w:rsidR="00DC4FFC" w:rsidRPr="008D2EA0" w:rsidRDefault="00DC4FFC" w:rsidP="00DC4FFC">
      <w:pPr>
        <w:pStyle w:val="ECCParagraph"/>
      </w:pPr>
      <w:r w:rsidRPr="008D2EA0">
        <w:t xml:space="preserve">Beyond the envelop concept, MA02revCO07 also includes regulatory provisions to add flexibility to the Plan to allow a different uses of T-DAB plan entries and the possibilities to operate systems requiring a bandwidth larger than 1.7 MHz. The possibility to aggregate T-DAB blocks is reflected in a number of sections of the Arrangement which mentions the aggregated case and in particular in Annex 2 – section 5.3 which provides a spectrum mask for two aggregated T-DAB frequency blocks. </w:t>
      </w:r>
    </w:p>
    <w:p w:rsidR="00DC4FFC" w:rsidRPr="008D2EA0" w:rsidRDefault="00DC4FFC" w:rsidP="00DC4FFC">
      <w:pPr>
        <w:pStyle w:val="ECCParagraph"/>
      </w:pPr>
    </w:p>
    <w:p w:rsidR="00DC4FFC" w:rsidRPr="008D2EA0" w:rsidRDefault="00DC4FFC" w:rsidP="00DC4FFC">
      <w:pPr>
        <w:pStyle w:val="ECCParagraph"/>
        <w:jc w:val="center"/>
      </w:pPr>
      <w:r w:rsidRPr="008D2EA0">
        <w:rPr>
          <w:noProof/>
          <w:lang w:val="da-DK" w:eastAsia="da-DK"/>
        </w:rPr>
        <w:drawing>
          <wp:inline distT="0" distB="0" distL="0" distR="0" wp14:anchorId="109E08A5" wp14:editId="19BE6C46">
            <wp:extent cx="3357880" cy="3240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27695" t="23624" r="30621" b="21510"/>
                    <a:stretch>
                      <a:fillRect/>
                    </a:stretch>
                  </pic:blipFill>
                  <pic:spPr bwMode="auto">
                    <a:xfrm>
                      <a:off x="0" y="0"/>
                      <a:ext cx="3357880" cy="3240405"/>
                    </a:xfrm>
                    <a:prstGeom prst="rect">
                      <a:avLst/>
                    </a:prstGeom>
                    <a:noFill/>
                    <a:ln>
                      <a:noFill/>
                    </a:ln>
                  </pic:spPr>
                </pic:pic>
              </a:graphicData>
            </a:graphic>
          </wp:inline>
        </w:drawing>
      </w:r>
    </w:p>
    <w:p w:rsidR="00DC4FFC" w:rsidRPr="008D2EA0" w:rsidRDefault="00DC4FFC" w:rsidP="00AC460F">
      <w:pPr>
        <w:pStyle w:val="ECCFiguretitle"/>
      </w:pPr>
      <w:r w:rsidRPr="008D2EA0">
        <w:t>Example of Aggregation of 2 x 1.7 MHz T-DAB blocks</w:t>
      </w:r>
    </w:p>
    <w:p w:rsidR="00DC4FFC" w:rsidRPr="008D2EA0" w:rsidRDefault="00DC4FFC" w:rsidP="00DC4FFC">
      <w:pPr>
        <w:pStyle w:val="ECCParagraph"/>
      </w:pPr>
      <w:r w:rsidRPr="008D2EA0">
        <w:t>The Arrangement further enables the aggregation of any number of contiguous 1.7 MHz blocks over a given area. In order to introduce terrestrial mobile multimedia services according to paragraph 2.4 of the Special Arrangement, the following provisions apply:</w:t>
      </w:r>
    </w:p>
    <w:p w:rsidR="00DC4FFC" w:rsidRPr="008D2EA0" w:rsidRDefault="00DC4FFC" w:rsidP="00DC4FFC">
      <w:pPr>
        <w:rPr>
          <w:lang w:val="en-GB"/>
        </w:rPr>
      </w:pPr>
      <w:r w:rsidRPr="008D2EA0">
        <w:rPr>
          <w:lang w:val="en-GB"/>
        </w:rPr>
        <w:t xml:space="preserve">Paragraph 6.1.2 </w:t>
      </w:r>
    </w:p>
    <w:p w:rsidR="00DC4FFC" w:rsidRPr="008D2EA0" w:rsidRDefault="00DC4FFC" w:rsidP="00DC4FFC">
      <w:pPr>
        <w:rPr>
          <w:lang w:val="en-GB"/>
        </w:rPr>
      </w:pPr>
      <w:r w:rsidRPr="008D2EA0">
        <w:rPr>
          <w:lang w:val="en-GB"/>
        </w:rPr>
        <w:t>“</w:t>
      </w:r>
    </w:p>
    <w:p w:rsidR="00DC4FFC" w:rsidRPr="008D2EA0" w:rsidRDefault="00DC4FFC" w:rsidP="00F77275">
      <w:pPr>
        <w:jc w:val="both"/>
        <w:rPr>
          <w:lang w:val="en-GB"/>
        </w:rPr>
      </w:pPr>
      <w:r w:rsidRPr="008D2EA0">
        <w:rPr>
          <w:lang w:val="en-GB"/>
        </w:rPr>
        <w:t>6.1.2 Services brought into use under the terms of paragraph 2.4 shall not cause more interference nor claim more protection than the relevant T-DAB allotments in the Plan. Systems with a bandwidth greater than one single T-DAB frequency block may be brought into operation by aggregating contiguous T-DAB frequency blocks which appear in the Plan under the conditions given in Annex 2.</w:t>
      </w:r>
    </w:p>
    <w:p w:rsidR="00DC4FFC" w:rsidRPr="008D2EA0" w:rsidRDefault="00DC4FFC" w:rsidP="00DC4FFC">
      <w:pPr>
        <w:rPr>
          <w:lang w:val="en-GB"/>
        </w:rPr>
      </w:pPr>
      <w:r w:rsidRPr="008D2EA0">
        <w:rPr>
          <w:lang w:val="en-GB"/>
        </w:rPr>
        <w:t>“</w:t>
      </w:r>
    </w:p>
    <w:p w:rsidR="00DC4FFC" w:rsidRPr="008D2EA0" w:rsidRDefault="00DC4FFC" w:rsidP="00DC4FFC">
      <w:pPr>
        <w:rPr>
          <w:lang w:val="en-GB"/>
        </w:rPr>
      </w:pPr>
    </w:p>
    <w:p w:rsidR="00DC4FFC" w:rsidRPr="008D2EA0" w:rsidRDefault="00DC4FFC" w:rsidP="00A953FD">
      <w:pPr>
        <w:keepNext/>
        <w:rPr>
          <w:lang w:val="en-GB"/>
        </w:rPr>
      </w:pPr>
      <w:r w:rsidRPr="008D2EA0">
        <w:rPr>
          <w:lang w:val="en-GB"/>
        </w:rPr>
        <w:lastRenderedPageBreak/>
        <w:t>Annex 2, Section 2.3.3:</w:t>
      </w:r>
    </w:p>
    <w:p w:rsidR="00DC4FFC" w:rsidRPr="008D2EA0" w:rsidRDefault="00DC4FFC" w:rsidP="00A953FD">
      <w:pPr>
        <w:keepNext/>
        <w:rPr>
          <w:lang w:val="en-GB"/>
        </w:rPr>
      </w:pPr>
      <w:r w:rsidRPr="008D2EA0">
        <w:rPr>
          <w:lang w:val="en-GB"/>
        </w:rPr>
        <w:t>“</w:t>
      </w:r>
    </w:p>
    <w:p w:rsidR="00DC4FFC" w:rsidRPr="008D2EA0" w:rsidRDefault="00DC4FFC" w:rsidP="00F77275">
      <w:pPr>
        <w:jc w:val="both"/>
        <w:rPr>
          <w:lang w:val="en-GB"/>
        </w:rPr>
      </w:pPr>
      <w:r w:rsidRPr="008D2EA0">
        <w:rPr>
          <w:lang w:val="en-GB"/>
        </w:rPr>
        <w:t>If a system is to be brought into operation in accordance with paragraph 6.1.2 the radiated signal between the edges shall not exceed the limit as defined by the blue line in Figure 3 (example of two aggregated T-DAB frequency blocks). Case 1 or Case 2 masks may be applied independently at either band edge of aggregated T-DAB frequency blocks.</w:t>
      </w:r>
    </w:p>
    <w:p w:rsidR="00DC4FFC" w:rsidRPr="008D2EA0" w:rsidRDefault="00DC4FFC" w:rsidP="00DC4FFC">
      <w:pPr>
        <w:rPr>
          <w:lang w:val="en-GB"/>
        </w:rPr>
      </w:pPr>
      <w:r w:rsidRPr="008D2EA0">
        <w:rPr>
          <w:lang w:val="en-GB"/>
        </w:rPr>
        <w:t>”</w:t>
      </w:r>
    </w:p>
    <w:p w:rsidR="00DC4FFC" w:rsidRPr="008D2EA0" w:rsidRDefault="00DC4FFC" w:rsidP="00DC4FFC">
      <w:pPr>
        <w:spacing w:before="60"/>
        <w:rPr>
          <w:b/>
          <w:bCs/>
          <w:lang w:val="en-GB"/>
        </w:rPr>
      </w:pPr>
    </w:p>
    <w:p w:rsidR="00DC4FFC" w:rsidRPr="008D2EA0" w:rsidRDefault="00691AA5" w:rsidP="00F77275">
      <w:pPr>
        <w:jc w:val="both"/>
        <w:rPr>
          <w:lang w:val="en-GB"/>
        </w:rPr>
      </w:pPr>
      <w:r>
        <w:rPr>
          <w:lang w:val="en-GB"/>
        </w:rPr>
        <w:t xml:space="preserve">The figure </w:t>
      </w:r>
      <w:r w:rsidR="001355E5" w:rsidRPr="008D2EA0">
        <w:rPr>
          <w:lang w:val="en-GB"/>
        </w:rPr>
        <w:fldChar w:fldCharType="begin"/>
      </w:r>
      <w:r w:rsidR="001355E5" w:rsidRPr="008D2EA0">
        <w:rPr>
          <w:lang w:val="en-GB"/>
        </w:rPr>
        <w:instrText xml:space="preserve"> REF _Ref319333791 \r \h </w:instrText>
      </w:r>
      <w:r w:rsidR="001355E5" w:rsidRPr="008D2EA0">
        <w:rPr>
          <w:lang w:val="en-GB"/>
        </w:rPr>
      </w:r>
      <w:r w:rsidR="001355E5" w:rsidRPr="008D2EA0">
        <w:rPr>
          <w:lang w:val="en-GB"/>
        </w:rPr>
        <w:fldChar w:fldCharType="separate"/>
      </w:r>
      <w:r w:rsidR="00E73FF2">
        <w:rPr>
          <w:lang w:val="en-GB"/>
        </w:rPr>
        <w:t>Figure 15:</w:t>
      </w:r>
      <w:r w:rsidR="001355E5" w:rsidRPr="008D2EA0">
        <w:rPr>
          <w:lang w:val="en-GB"/>
        </w:rPr>
        <w:fldChar w:fldCharType="end"/>
      </w:r>
      <w:r w:rsidR="00DC4FFC" w:rsidRPr="008D2EA0">
        <w:rPr>
          <w:lang w:val="en-GB"/>
        </w:rPr>
        <w:t>below shows an example of how 3 x 1.7 MHz blocks could be aggregated into a 5.1 MHz block allowing for 5 MHz based technology to be deployed.</w:t>
      </w:r>
    </w:p>
    <w:p w:rsidR="00DC4FFC" w:rsidRPr="008D2EA0" w:rsidRDefault="00CA16D5" w:rsidP="00342C50">
      <w:pPr>
        <w:jc w:val="center"/>
        <w:rPr>
          <w:lang w:val="en-GB"/>
        </w:rPr>
      </w:pPr>
      <w:r w:rsidRPr="008D2EA0">
        <w:rPr>
          <w:noProof/>
          <w:lang w:val="da-DK" w:eastAsia="da-DK"/>
        </w:rPr>
        <w:drawing>
          <wp:inline distT="0" distB="0" distL="0" distR="0" wp14:anchorId="394C7419" wp14:editId="450EC58A">
            <wp:extent cx="4638040" cy="2428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8040" cy="2428875"/>
                    </a:xfrm>
                    <a:prstGeom prst="rect">
                      <a:avLst/>
                    </a:prstGeom>
                    <a:noFill/>
                    <a:ln>
                      <a:noFill/>
                    </a:ln>
                  </pic:spPr>
                </pic:pic>
              </a:graphicData>
            </a:graphic>
          </wp:inline>
        </w:drawing>
      </w:r>
    </w:p>
    <w:p w:rsidR="00DC4FFC" w:rsidRPr="008D2EA0" w:rsidRDefault="00DC4FFC" w:rsidP="00AC460F">
      <w:pPr>
        <w:pStyle w:val="ECCFiguretitle"/>
      </w:pPr>
      <w:bookmarkStart w:id="187" w:name="_Ref319333791"/>
      <w:r w:rsidRPr="008D2EA0">
        <w:t xml:space="preserve">Example of aggregation of 3 T-DAB blocks aggregated into a 5.1MHz block </w:t>
      </w:r>
      <w:r w:rsidRPr="008D2EA0">
        <w:br/>
        <w:t>(from CEPT Report 18)</w:t>
      </w:r>
      <w:bookmarkEnd w:id="187"/>
    </w:p>
    <w:p w:rsidR="00DC4FFC" w:rsidRPr="008D2EA0" w:rsidRDefault="00DC4FFC" w:rsidP="00DC4FFC">
      <w:pPr>
        <w:pStyle w:val="ECCParagraph"/>
      </w:pPr>
      <w:r w:rsidRPr="008D2EA0">
        <w:t>The following figure indicates an example on how the 1.7 MHz blocks could be aggregated into 5.1 MHz blocks allowing the deployment of 5 MHz based technology.</w:t>
      </w:r>
    </w:p>
    <w:p w:rsidR="00DC4FFC" w:rsidRPr="008D2EA0" w:rsidRDefault="00CA16D5" w:rsidP="00342C50">
      <w:pPr>
        <w:pStyle w:val="ECCParagraph"/>
        <w:jc w:val="center"/>
      </w:pPr>
      <w:r w:rsidRPr="008D2EA0">
        <w:rPr>
          <w:noProof/>
          <w:lang w:val="da-DK" w:eastAsia="da-DK"/>
        </w:rPr>
        <w:drawing>
          <wp:inline distT="0" distB="0" distL="0" distR="0" wp14:anchorId="62BD0C88" wp14:editId="0996AF9A">
            <wp:extent cx="5486400" cy="15798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b="40044"/>
                    <a:stretch>
                      <a:fillRect/>
                    </a:stretch>
                  </pic:blipFill>
                  <pic:spPr bwMode="auto">
                    <a:xfrm>
                      <a:off x="0" y="0"/>
                      <a:ext cx="5486400" cy="1579880"/>
                    </a:xfrm>
                    <a:prstGeom prst="rect">
                      <a:avLst/>
                    </a:prstGeom>
                    <a:noFill/>
                    <a:ln>
                      <a:noFill/>
                    </a:ln>
                  </pic:spPr>
                </pic:pic>
              </a:graphicData>
            </a:graphic>
          </wp:inline>
        </w:drawing>
      </w:r>
    </w:p>
    <w:p w:rsidR="00DC4FFC" w:rsidRPr="008D2EA0" w:rsidRDefault="00DC4FFC" w:rsidP="00AC460F">
      <w:pPr>
        <w:pStyle w:val="ECCFiguretitle"/>
      </w:pPr>
      <w:r w:rsidRPr="008D2EA0">
        <w:t>One potential Frequency raster for bloc</w:t>
      </w:r>
      <w:r w:rsidR="005D1E13" w:rsidRPr="008D2EA0">
        <w:t>k aggregation in the band 1452-</w:t>
      </w:r>
      <w:r w:rsidRPr="008D2EA0">
        <w:t xml:space="preserve">1479.5 MHz, </w:t>
      </w:r>
      <w:r w:rsidRPr="008D2EA0">
        <w:br/>
        <w:t>as depicted in CEPT Report 18</w:t>
      </w:r>
    </w:p>
    <w:p w:rsidR="00DC4FFC" w:rsidRPr="008D2EA0" w:rsidRDefault="00DC4FFC" w:rsidP="00DC4FFC">
      <w:pPr>
        <w:pStyle w:val="ECCParagraph"/>
      </w:pPr>
      <w:r w:rsidRPr="008D2EA0">
        <w:t>Systems with a bandwidth greater than one single T-DAB frequency block may be brought into operation by aggregating contiguous T-DAB frequency blocks which appear in the Plan under the conditions given in Annex 2 to the Special Arrangement. The Special Arrangement also allows for the aggregation of contiguous blocks operated toward the same area.</w:t>
      </w:r>
    </w:p>
    <w:p w:rsidR="00DC4FFC" w:rsidRPr="008D2EA0" w:rsidRDefault="00DC4FFC" w:rsidP="00A953FD">
      <w:pPr>
        <w:pStyle w:val="ECCAnnexheading2"/>
        <w:keepNext/>
        <w:ind w:left="578" w:hanging="578"/>
        <w:rPr>
          <w:bCs/>
          <w:lang w:val="en-GB"/>
        </w:rPr>
      </w:pPr>
      <w:r w:rsidRPr="008D2EA0">
        <w:rPr>
          <w:bCs/>
          <w:lang w:val="en-GB"/>
        </w:rPr>
        <w:lastRenderedPageBreak/>
        <w:t>Existence of contiguous frequency blocks over a given area in the Plan</w:t>
      </w:r>
    </w:p>
    <w:p w:rsidR="00DC4FFC" w:rsidRPr="008D2EA0" w:rsidRDefault="00DC4FFC" w:rsidP="00DC4FFC">
      <w:pPr>
        <w:pStyle w:val="ECCParagraph"/>
      </w:pPr>
      <w:r w:rsidRPr="008D2EA0">
        <w:t>Administrations may choose to aggregate over a given area contiguous blocks in order to allow for the deployment of systems with a bandwidth greater than one single T-DAB frequency block in this area. The following table provides an overview of the number of Allotments per country (August 2011).</w:t>
      </w:r>
    </w:p>
    <w:p w:rsidR="00596D5D" w:rsidRPr="008D2EA0" w:rsidRDefault="00596D5D" w:rsidP="00F21C76">
      <w:pPr>
        <w:pStyle w:val="ECCTabletitle"/>
      </w:pPr>
      <w:r w:rsidRPr="008D2EA0">
        <w:t>Overview of the allotments in the Plan (August 2011)</w:t>
      </w:r>
    </w:p>
    <w:tbl>
      <w:tblPr>
        <w:tblW w:w="0" w:type="auto"/>
        <w:tblBorders>
          <w:top w:val="single" w:sz="4" w:space="0" w:color="D2232A"/>
          <w:left w:val="single" w:sz="4" w:space="0" w:color="D2232A"/>
          <w:bottom w:val="single" w:sz="4" w:space="0" w:color="D2232A"/>
          <w:right w:val="single" w:sz="4" w:space="0" w:color="D2232A"/>
          <w:insideH w:val="single" w:sz="6" w:space="0" w:color="D2232A"/>
          <w:insideV w:val="single" w:sz="6" w:space="0" w:color="D2232A"/>
        </w:tblBorders>
        <w:tblCellMar>
          <w:top w:w="11" w:type="dxa"/>
          <w:bottom w:w="11" w:type="dxa"/>
        </w:tblCellMar>
        <w:tblLook w:val="01E0" w:firstRow="1" w:lastRow="1" w:firstColumn="1" w:lastColumn="1" w:noHBand="0" w:noVBand="0"/>
      </w:tblPr>
      <w:tblGrid>
        <w:gridCol w:w="3085"/>
        <w:gridCol w:w="1900"/>
        <w:gridCol w:w="44"/>
        <w:gridCol w:w="1742"/>
        <w:gridCol w:w="2126"/>
        <w:gridCol w:w="958"/>
      </w:tblGrid>
      <w:tr w:rsidR="00C76E5B" w:rsidRPr="008D2EA0" w:rsidTr="00596D5D">
        <w:trPr>
          <w:tblHeader/>
        </w:trPr>
        <w:tc>
          <w:tcPr>
            <w:tcW w:w="3085" w:type="dxa"/>
            <w:tcBorders>
              <w:top w:val="single" w:sz="4" w:space="0" w:color="D2232A"/>
              <w:bottom w:val="single" w:sz="6" w:space="0" w:color="D2232A"/>
              <w:right w:val="single" w:sz="6" w:space="0" w:color="FFFFFF" w:themeColor="background1"/>
            </w:tcBorders>
            <w:shd w:val="clear" w:color="auto" w:fill="D2232A"/>
            <w:vAlign w:val="center"/>
          </w:tcPr>
          <w:p w:rsidR="00C76E5B" w:rsidRPr="008D2EA0" w:rsidRDefault="00C76E5B" w:rsidP="00C76E5B">
            <w:pPr>
              <w:spacing w:line="288" w:lineRule="auto"/>
              <w:jc w:val="center"/>
              <w:rPr>
                <w:b/>
                <w:color w:val="FFFFFF" w:themeColor="background1"/>
                <w:lang w:val="en-GB"/>
              </w:rPr>
            </w:pPr>
            <w:r w:rsidRPr="008D2EA0">
              <w:rPr>
                <w:b/>
                <w:color w:val="FFFFFF"/>
                <w:lang w:val="en-GB"/>
              </w:rPr>
              <w:t xml:space="preserve">Country </w:t>
            </w:r>
          </w:p>
        </w:tc>
        <w:tc>
          <w:tcPr>
            <w:tcW w:w="1944" w:type="dxa"/>
            <w:gridSpan w:val="2"/>
            <w:tcBorders>
              <w:top w:val="single" w:sz="4" w:space="0" w:color="D2232A"/>
              <w:left w:val="single" w:sz="6" w:space="0" w:color="FFFFFF" w:themeColor="background1"/>
              <w:bottom w:val="single" w:sz="6" w:space="0" w:color="D2232A"/>
              <w:right w:val="single" w:sz="6" w:space="0" w:color="FFFFFF" w:themeColor="background1"/>
            </w:tcBorders>
            <w:shd w:val="clear" w:color="auto" w:fill="D2232A"/>
            <w:vAlign w:val="center"/>
          </w:tcPr>
          <w:p w:rsidR="00C76E5B" w:rsidRPr="008D2EA0" w:rsidRDefault="00C76E5B" w:rsidP="00A81711">
            <w:pPr>
              <w:spacing w:line="288" w:lineRule="auto"/>
              <w:jc w:val="center"/>
              <w:rPr>
                <w:b/>
                <w:color w:val="FFFFFF" w:themeColor="background1"/>
                <w:lang w:val="en-GB"/>
              </w:rPr>
            </w:pPr>
            <w:r w:rsidRPr="008D2EA0">
              <w:rPr>
                <w:b/>
                <w:bCs/>
                <w:color w:val="FFFFFF" w:themeColor="background1"/>
                <w:lang w:val="en-GB" w:eastAsia="da-DK"/>
              </w:rPr>
              <w:t xml:space="preserve">Allotment in </w:t>
            </w:r>
            <w:r w:rsidR="00596D5D" w:rsidRPr="008D2EA0">
              <w:rPr>
                <w:b/>
                <w:bCs/>
                <w:color w:val="FFFFFF" w:themeColor="background1"/>
                <w:lang w:val="en-GB" w:eastAsia="da-DK"/>
              </w:rPr>
              <w:br/>
            </w:r>
            <w:r w:rsidRPr="008D2EA0">
              <w:rPr>
                <w:b/>
                <w:bCs/>
                <w:color w:val="FFFFFF" w:themeColor="background1"/>
                <w:lang w:val="en-GB" w:eastAsia="da-DK"/>
              </w:rPr>
              <w:t>Part 1</w:t>
            </w:r>
            <w:r w:rsidRPr="008D2EA0">
              <w:rPr>
                <w:rStyle w:val="FootnoteReference"/>
                <w:b/>
                <w:bCs/>
                <w:color w:val="FFFFFF" w:themeColor="background1"/>
                <w:lang w:val="en-GB" w:eastAsia="da-DK"/>
              </w:rPr>
              <w:footnoteReference w:id="45"/>
            </w:r>
          </w:p>
        </w:tc>
        <w:tc>
          <w:tcPr>
            <w:tcW w:w="1742" w:type="dxa"/>
            <w:tcBorders>
              <w:top w:val="single" w:sz="4" w:space="0" w:color="D2232A"/>
              <w:left w:val="single" w:sz="6" w:space="0" w:color="FFFFFF" w:themeColor="background1"/>
              <w:bottom w:val="single" w:sz="6" w:space="0" w:color="D2232A"/>
              <w:right w:val="single" w:sz="6" w:space="0" w:color="FFFFFF" w:themeColor="background1"/>
            </w:tcBorders>
            <w:shd w:val="clear" w:color="auto" w:fill="D2232A"/>
            <w:vAlign w:val="center"/>
          </w:tcPr>
          <w:p w:rsidR="00C76E5B" w:rsidRPr="008D2EA0" w:rsidRDefault="00C76E5B" w:rsidP="00A81711">
            <w:pPr>
              <w:spacing w:line="288" w:lineRule="auto"/>
              <w:jc w:val="center"/>
              <w:rPr>
                <w:b/>
                <w:color w:val="FFFFFF" w:themeColor="background1"/>
                <w:lang w:val="en-GB"/>
              </w:rPr>
            </w:pPr>
            <w:r w:rsidRPr="008D2EA0">
              <w:rPr>
                <w:b/>
                <w:bCs/>
                <w:color w:val="FFFFFF" w:themeColor="background1"/>
                <w:lang w:val="en-GB" w:eastAsia="da-DK"/>
              </w:rPr>
              <w:t>Allotment in Part 2</w:t>
            </w:r>
            <w:r w:rsidRPr="008D2EA0">
              <w:rPr>
                <w:rStyle w:val="FootnoteReference"/>
                <w:b/>
                <w:bCs/>
                <w:color w:val="FFFFFF" w:themeColor="background1"/>
                <w:lang w:val="en-GB" w:eastAsia="da-DK"/>
              </w:rPr>
              <w:footnoteReference w:id="46"/>
            </w:r>
          </w:p>
        </w:tc>
        <w:tc>
          <w:tcPr>
            <w:tcW w:w="2126" w:type="dxa"/>
            <w:tcBorders>
              <w:top w:val="single" w:sz="4" w:space="0" w:color="D2232A"/>
              <w:left w:val="single" w:sz="6" w:space="0" w:color="FFFFFF" w:themeColor="background1"/>
              <w:bottom w:val="single" w:sz="6" w:space="0" w:color="D2232A"/>
              <w:right w:val="single" w:sz="6" w:space="0" w:color="FFFFFF" w:themeColor="background1"/>
            </w:tcBorders>
            <w:shd w:val="clear" w:color="auto" w:fill="D2232A"/>
            <w:vAlign w:val="center"/>
          </w:tcPr>
          <w:p w:rsidR="00C76E5B" w:rsidRPr="008D2EA0" w:rsidRDefault="00C76E5B" w:rsidP="00A81711">
            <w:pPr>
              <w:spacing w:line="288" w:lineRule="auto"/>
              <w:jc w:val="center"/>
              <w:rPr>
                <w:b/>
                <w:color w:val="FFFFFF"/>
                <w:lang w:val="en-GB"/>
              </w:rPr>
            </w:pPr>
            <w:r w:rsidRPr="008D2EA0">
              <w:rPr>
                <w:b/>
                <w:color w:val="FFFFFF"/>
                <w:lang w:val="en-GB"/>
              </w:rPr>
              <w:t xml:space="preserve">Allotment in </w:t>
            </w:r>
            <w:r w:rsidR="00596D5D" w:rsidRPr="008D2EA0">
              <w:rPr>
                <w:b/>
                <w:color w:val="FFFFFF"/>
                <w:lang w:val="en-GB"/>
              </w:rPr>
              <w:br/>
            </w:r>
            <w:r w:rsidRPr="008D2EA0">
              <w:rPr>
                <w:b/>
                <w:color w:val="FFFFFF"/>
                <w:lang w:val="en-GB"/>
              </w:rPr>
              <w:t xml:space="preserve">Part </w:t>
            </w:r>
            <w:r w:rsidRPr="008D2EA0">
              <w:rPr>
                <w:b/>
                <w:bCs/>
                <w:color w:val="FFFFFF" w:themeColor="background1"/>
                <w:lang w:val="en-GB" w:eastAsia="da-DK"/>
              </w:rPr>
              <w:t>2sup</w:t>
            </w:r>
            <w:r w:rsidRPr="008D2EA0">
              <w:rPr>
                <w:rStyle w:val="FootnoteReference"/>
                <w:b/>
                <w:bCs/>
                <w:color w:val="FFFFFF" w:themeColor="background1"/>
                <w:lang w:val="en-GB" w:eastAsia="da-DK"/>
              </w:rPr>
              <w:footnoteReference w:id="47"/>
            </w:r>
          </w:p>
        </w:tc>
        <w:tc>
          <w:tcPr>
            <w:tcW w:w="958" w:type="dxa"/>
            <w:tcBorders>
              <w:top w:val="single" w:sz="4" w:space="0" w:color="D2232A"/>
              <w:left w:val="single" w:sz="6" w:space="0" w:color="FFFFFF" w:themeColor="background1"/>
              <w:bottom w:val="single" w:sz="6" w:space="0" w:color="D2232A"/>
            </w:tcBorders>
            <w:shd w:val="clear" w:color="auto" w:fill="D2232A"/>
            <w:vAlign w:val="center"/>
          </w:tcPr>
          <w:p w:rsidR="00C76E5B" w:rsidRPr="008D2EA0" w:rsidRDefault="00C76E5B" w:rsidP="00A81711">
            <w:pPr>
              <w:spacing w:line="288" w:lineRule="auto"/>
              <w:jc w:val="center"/>
              <w:rPr>
                <w:b/>
                <w:color w:val="FFFFFF"/>
                <w:lang w:val="en-GB"/>
              </w:rPr>
            </w:pPr>
            <w:r w:rsidRPr="008D2EA0">
              <w:rPr>
                <w:b/>
                <w:color w:val="FFFFFF"/>
                <w:lang w:val="en-GB"/>
              </w:rPr>
              <w:t>Total</w:t>
            </w:r>
          </w:p>
        </w:tc>
      </w:tr>
      <w:tr w:rsidR="00A07910" w:rsidRPr="008D2EA0" w:rsidTr="00596D5D">
        <w:trPr>
          <w:trHeight w:val="180"/>
        </w:trPr>
        <w:tc>
          <w:tcPr>
            <w:tcW w:w="3085" w:type="dxa"/>
            <w:tcBorders>
              <w:top w:val="single" w:sz="6" w:space="0" w:color="D2232A"/>
            </w:tcBorders>
          </w:tcPr>
          <w:p w:rsidR="00A07910" w:rsidRPr="00AD5DA1" w:rsidRDefault="00F21C76" w:rsidP="00A953FD">
            <w:pPr>
              <w:spacing w:before="40" w:after="40"/>
              <w:rPr>
                <w:lang w:val="en-GB" w:eastAsia="da-DK"/>
              </w:rPr>
            </w:pPr>
            <w:hyperlink r:id="rId32" w:tooltip="MA02revCO07 Plan - extract for Albania" w:history="1">
              <w:r w:rsidR="00A07910" w:rsidRPr="00AD5DA1">
                <w:rPr>
                  <w:rFonts w:cs="Arial"/>
                  <w:szCs w:val="20"/>
                  <w:lang w:val="en-GB" w:eastAsia="da-DK"/>
                </w:rPr>
                <w:t>Albania</w:t>
              </w:r>
            </w:hyperlink>
          </w:p>
        </w:tc>
        <w:tc>
          <w:tcPr>
            <w:tcW w:w="1900" w:type="dxa"/>
            <w:tcBorders>
              <w:top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1786" w:type="dxa"/>
            <w:gridSpan w:val="2"/>
            <w:tcBorders>
              <w:top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w:t>
            </w:r>
          </w:p>
        </w:tc>
        <w:tc>
          <w:tcPr>
            <w:tcW w:w="2126" w:type="dxa"/>
            <w:tcBorders>
              <w:top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w:t>
            </w:r>
          </w:p>
        </w:tc>
      </w:tr>
      <w:tr w:rsidR="00A07910" w:rsidRPr="008D2EA0" w:rsidTr="00596D5D">
        <w:trPr>
          <w:trHeight w:val="180"/>
        </w:trPr>
        <w:tc>
          <w:tcPr>
            <w:tcW w:w="3085" w:type="dxa"/>
          </w:tcPr>
          <w:p w:rsidR="00A07910" w:rsidRPr="00AD5DA1" w:rsidRDefault="00F21C76" w:rsidP="00A953FD">
            <w:pPr>
              <w:spacing w:before="40" w:after="40"/>
              <w:rPr>
                <w:lang w:val="en-GB"/>
              </w:rPr>
            </w:pPr>
            <w:hyperlink r:id="rId33" w:tgtFrame="_blank" w:tooltip="MA02revCO07 Plan - extract for Austria" w:history="1">
              <w:r w:rsidR="00A07910" w:rsidRPr="00AD5DA1">
                <w:rPr>
                  <w:lang w:val="en-GB" w:eastAsia="da-DK"/>
                </w:rPr>
                <w:t>Austria</w:t>
              </w:r>
            </w:hyperlink>
            <w:r w:rsidR="00A07910" w:rsidRPr="00AD5DA1">
              <w:rPr>
                <w:lang w:val="en-GB" w:eastAsia="da-DK"/>
              </w:rPr>
              <w:t xml:space="preserve"> </w:t>
            </w:r>
          </w:p>
        </w:tc>
        <w:tc>
          <w:tcPr>
            <w:tcW w:w="1900" w:type="dxa"/>
          </w:tcPr>
          <w:p w:rsidR="00A07910" w:rsidRPr="008D2EA0" w:rsidRDefault="00A07910" w:rsidP="00A953FD">
            <w:pPr>
              <w:spacing w:before="40" w:after="40"/>
              <w:rPr>
                <w:color w:val="000000"/>
                <w:lang w:val="en-GB" w:eastAsia="da-DK"/>
              </w:rPr>
            </w:pPr>
            <w:r w:rsidRPr="008D2EA0">
              <w:rPr>
                <w:color w:val="000000"/>
                <w:lang w:val="en-GB" w:eastAsia="da-DK"/>
              </w:rPr>
              <w:t>11</w:t>
            </w:r>
          </w:p>
        </w:tc>
        <w:tc>
          <w:tcPr>
            <w:tcW w:w="1786" w:type="dxa"/>
            <w:gridSpan w:val="2"/>
          </w:tcPr>
          <w:p w:rsidR="00A07910" w:rsidRPr="008D2EA0" w:rsidRDefault="00A07910" w:rsidP="00A953FD">
            <w:pPr>
              <w:spacing w:before="40" w:after="40"/>
              <w:rPr>
                <w:color w:val="000000"/>
                <w:lang w:val="en-GB" w:eastAsia="da-DK"/>
              </w:rPr>
            </w:pPr>
            <w:r w:rsidRPr="008D2EA0">
              <w:rPr>
                <w:color w:val="000000"/>
                <w:lang w:val="en-GB" w:eastAsia="da-DK"/>
              </w:rPr>
              <w:t>43</w:t>
            </w:r>
          </w:p>
        </w:tc>
        <w:tc>
          <w:tcPr>
            <w:tcW w:w="2126"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Pr>
          <w:p w:rsidR="00A07910" w:rsidRPr="008D2EA0" w:rsidRDefault="00A07910" w:rsidP="00A953FD">
            <w:pPr>
              <w:spacing w:before="40" w:after="40"/>
              <w:rPr>
                <w:color w:val="000000"/>
                <w:lang w:val="en-GB" w:eastAsia="da-DK"/>
              </w:rPr>
            </w:pPr>
            <w:r w:rsidRPr="008D2EA0">
              <w:rPr>
                <w:color w:val="000000"/>
                <w:lang w:val="en-GB" w:eastAsia="da-DK"/>
              </w:rPr>
              <w:t>54</w:t>
            </w:r>
          </w:p>
        </w:tc>
      </w:tr>
      <w:tr w:rsidR="00A07910" w:rsidRPr="008D2EA0" w:rsidTr="00AD5DA1">
        <w:trPr>
          <w:trHeight w:val="253"/>
        </w:trPr>
        <w:tc>
          <w:tcPr>
            <w:tcW w:w="3085" w:type="dxa"/>
            <w:vAlign w:val="center"/>
          </w:tcPr>
          <w:p w:rsidR="00A07910" w:rsidRPr="00AD5DA1" w:rsidRDefault="00F21C76" w:rsidP="00A953FD">
            <w:pPr>
              <w:spacing w:before="40" w:after="40"/>
              <w:rPr>
                <w:lang w:val="en-GB"/>
              </w:rPr>
            </w:pPr>
            <w:hyperlink r:id="rId34" w:tgtFrame="_blank" w:tooltip="MA02revCO07 Plan - extract for Belgium" w:history="1">
              <w:r w:rsidR="00A07910" w:rsidRPr="00AD5DA1">
                <w:rPr>
                  <w:lang w:val="en-GB" w:eastAsia="da-DK"/>
                </w:rPr>
                <w:t>Belgium</w:t>
              </w:r>
            </w:hyperlink>
          </w:p>
        </w:tc>
        <w:tc>
          <w:tcPr>
            <w:tcW w:w="1900" w:type="dxa"/>
          </w:tcPr>
          <w:p w:rsidR="00A07910" w:rsidRPr="008D2EA0" w:rsidRDefault="00A07910" w:rsidP="00A953FD">
            <w:pPr>
              <w:spacing w:before="40" w:after="40"/>
              <w:rPr>
                <w:color w:val="000000"/>
                <w:lang w:val="en-GB" w:eastAsia="da-DK"/>
              </w:rPr>
            </w:pPr>
            <w:r w:rsidRPr="008D2EA0">
              <w:rPr>
                <w:color w:val="000000"/>
                <w:lang w:val="en-GB" w:eastAsia="da-DK"/>
              </w:rPr>
              <w:t>6</w:t>
            </w:r>
          </w:p>
        </w:tc>
        <w:tc>
          <w:tcPr>
            <w:tcW w:w="1786" w:type="dxa"/>
            <w:gridSpan w:val="2"/>
          </w:tcPr>
          <w:p w:rsidR="00A07910" w:rsidRPr="008D2EA0" w:rsidRDefault="00A07910" w:rsidP="00A953FD">
            <w:pPr>
              <w:spacing w:before="40" w:after="40"/>
              <w:rPr>
                <w:color w:val="000000"/>
                <w:lang w:val="en-GB" w:eastAsia="da-DK"/>
              </w:rPr>
            </w:pPr>
            <w:r w:rsidRPr="008D2EA0">
              <w:rPr>
                <w:color w:val="000000"/>
                <w:lang w:val="en-GB" w:eastAsia="da-DK"/>
              </w:rPr>
              <w:t>11</w:t>
            </w:r>
          </w:p>
        </w:tc>
        <w:tc>
          <w:tcPr>
            <w:tcW w:w="2126"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Pr>
          <w:p w:rsidR="00A07910" w:rsidRPr="008D2EA0" w:rsidRDefault="00A07910" w:rsidP="00A953FD">
            <w:pPr>
              <w:spacing w:before="40" w:after="40"/>
              <w:rPr>
                <w:color w:val="000000"/>
                <w:lang w:val="en-GB" w:eastAsia="da-DK"/>
              </w:rPr>
            </w:pPr>
            <w:r w:rsidRPr="008D2EA0">
              <w:rPr>
                <w:color w:val="000000"/>
                <w:lang w:val="en-GB" w:eastAsia="da-DK"/>
              </w:rPr>
              <w:t>17</w:t>
            </w:r>
          </w:p>
        </w:tc>
      </w:tr>
      <w:tr w:rsidR="00A07910" w:rsidRPr="008D2EA0" w:rsidTr="00596D5D">
        <w:trPr>
          <w:trHeight w:val="180"/>
        </w:trPr>
        <w:tc>
          <w:tcPr>
            <w:tcW w:w="3085" w:type="dxa"/>
            <w:vAlign w:val="center"/>
          </w:tcPr>
          <w:p w:rsidR="00A07910" w:rsidRPr="00AD5DA1" w:rsidRDefault="00F21C76" w:rsidP="00A953FD">
            <w:pPr>
              <w:spacing w:before="40" w:after="40"/>
              <w:rPr>
                <w:lang w:val="en-GB"/>
              </w:rPr>
            </w:pPr>
            <w:hyperlink r:id="rId35" w:tgtFrame="_blank" w:tooltip="MA02revCO07 Plan - extract for Bosnia &amp; Herzegovina" w:history="1">
              <w:r w:rsidR="00A07910" w:rsidRPr="00AD5DA1">
                <w:rPr>
                  <w:lang w:val="en-GB" w:eastAsia="da-DK"/>
                </w:rPr>
                <w:t>Bosnia &amp; Herzegovina</w:t>
              </w:r>
            </w:hyperlink>
          </w:p>
        </w:tc>
        <w:tc>
          <w:tcPr>
            <w:tcW w:w="1900"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1786" w:type="dxa"/>
            <w:gridSpan w:val="2"/>
          </w:tcPr>
          <w:p w:rsidR="00A07910" w:rsidRPr="008D2EA0" w:rsidRDefault="00A07910" w:rsidP="00A953FD">
            <w:pPr>
              <w:spacing w:before="40" w:after="40"/>
              <w:rPr>
                <w:color w:val="000000"/>
                <w:lang w:val="en-GB" w:eastAsia="da-DK"/>
              </w:rPr>
            </w:pPr>
            <w:r w:rsidRPr="008D2EA0">
              <w:rPr>
                <w:color w:val="000000"/>
                <w:lang w:val="en-GB" w:eastAsia="da-DK"/>
              </w:rPr>
              <w:t>2</w:t>
            </w:r>
          </w:p>
        </w:tc>
        <w:tc>
          <w:tcPr>
            <w:tcW w:w="2126"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Pr>
          <w:p w:rsidR="00A07910" w:rsidRPr="008D2EA0" w:rsidRDefault="00A07910" w:rsidP="00A953FD">
            <w:pPr>
              <w:spacing w:before="40" w:after="40"/>
              <w:rPr>
                <w:color w:val="000000"/>
                <w:lang w:val="en-GB" w:eastAsia="da-DK"/>
              </w:rPr>
            </w:pPr>
            <w:r w:rsidRPr="008D2EA0">
              <w:rPr>
                <w:color w:val="000000"/>
                <w:lang w:val="en-GB" w:eastAsia="da-DK"/>
              </w:rPr>
              <w:t>2</w:t>
            </w:r>
          </w:p>
        </w:tc>
      </w:tr>
      <w:tr w:rsidR="00A07910" w:rsidRPr="008D2EA0" w:rsidTr="00596D5D">
        <w:trPr>
          <w:trHeight w:val="180"/>
        </w:trPr>
        <w:tc>
          <w:tcPr>
            <w:tcW w:w="3085" w:type="dxa"/>
            <w:vAlign w:val="center"/>
          </w:tcPr>
          <w:p w:rsidR="00A07910" w:rsidRPr="00AD5DA1" w:rsidRDefault="00F21C76" w:rsidP="00A953FD">
            <w:pPr>
              <w:spacing w:before="40" w:after="40"/>
              <w:rPr>
                <w:lang w:val="en-GB"/>
              </w:rPr>
            </w:pPr>
            <w:hyperlink r:id="rId36" w:tgtFrame="_blank" w:tooltip="MA02revCO07 Plan - extract for Bulgaria" w:history="1">
              <w:r w:rsidR="00A07910" w:rsidRPr="00AD5DA1">
                <w:rPr>
                  <w:lang w:val="en-GB" w:eastAsia="da-DK"/>
                </w:rPr>
                <w:t>Bulgaria</w:t>
              </w:r>
            </w:hyperlink>
          </w:p>
        </w:tc>
        <w:tc>
          <w:tcPr>
            <w:tcW w:w="1900" w:type="dxa"/>
          </w:tcPr>
          <w:p w:rsidR="00A07910" w:rsidRPr="008D2EA0" w:rsidRDefault="00A07910" w:rsidP="00A953FD">
            <w:pPr>
              <w:spacing w:before="40" w:after="40"/>
              <w:rPr>
                <w:color w:val="000000"/>
                <w:lang w:val="en-GB" w:eastAsia="da-DK"/>
              </w:rPr>
            </w:pPr>
            <w:r w:rsidRPr="008D2EA0">
              <w:rPr>
                <w:color w:val="000000"/>
                <w:lang w:val="en-GB" w:eastAsia="da-DK"/>
              </w:rPr>
              <w:t>8</w:t>
            </w:r>
          </w:p>
        </w:tc>
        <w:tc>
          <w:tcPr>
            <w:tcW w:w="1786" w:type="dxa"/>
            <w:gridSpan w:val="2"/>
          </w:tcPr>
          <w:p w:rsidR="00A07910" w:rsidRPr="008D2EA0" w:rsidRDefault="00A07910" w:rsidP="00A953FD">
            <w:pPr>
              <w:spacing w:before="40" w:after="40"/>
              <w:rPr>
                <w:color w:val="000000"/>
                <w:lang w:val="en-GB" w:eastAsia="da-DK"/>
              </w:rPr>
            </w:pPr>
            <w:r w:rsidRPr="008D2EA0">
              <w:rPr>
                <w:color w:val="000000"/>
                <w:lang w:val="en-GB" w:eastAsia="da-DK"/>
              </w:rPr>
              <w:t>14</w:t>
            </w:r>
          </w:p>
        </w:tc>
        <w:tc>
          <w:tcPr>
            <w:tcW w:w="2126"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Pr>
          <w:p w:rsidR="00A07910" w:rsidRPr="008D2EA0" w:rsidRDefault="00A07910" w:rsidP="00A953FD">
            <w:pPr>
              <w:spacing w:before="40" w:after="40"/>
              <w:rPr>
                <w:color w:val="000000"/>
                <w:lang w:val="en-GB" w:eastAsia="da-DK"/>
              </w:rPr>
            </w:pPr>
            <w:r w:rsidRPr="008D2EA0">
              <w:rPr>
                <w:color w:val="000000"/>
                <w:lang w:val="en-GB" w:eastAsia="da-DK"/>
              </w:rPr>
              <w:t>22</w:t>
            </w:r>
          </w:p>
        </w:tc>
      </w:tr>
      <w:tr w:rsidR="00A07910" w:rsidRPr="008D2EA0" w:rsidTr="00AD5DA1">
        <w:trPr>
          <w:trHeight w:val="267"/>
        </w:trPr>
        <w:tc>
          <w:tcPr>
            <w:tcW w:w="3085" w:type="dxa"/>
            <w:vAlign w:val="center"/>
          </w:tcPr>
          <w:p w:rsidR="00A07910" w:rsidRPr="00AD5DA1" w:rsidRDefault="00F21C76" w:rsidP="00A953FD">
            <w:pPr>
              <w:spacing w:before="40" w:after="40"/>
              <w:rPr>
                <w:lang w:val="en-GB"/>
              </w:rPr>
            </w:pPr>
            <w:hyperlink r:id="rId37" w:tgtFrame="_blank" w:tooltip="MA02revCO07 Plan - extract for Croatia" w:history="1">
              <w:r w:rsidR="00A07910" w:rsidRPr="00AD5DA1">
                <w:rPr>
                  <w:lang w:val="en-GB" w:eastAsia="da-DK"/>
                </w:rPr>
                <w:t>Croatia</w:t>
              </w:r>
            </w:hyperlink>
          </w:p>
        </w:tc>
        <w:tc>
          <w:tcPr>
            <w:tcW w:w="1900" w:type="dxa"/>
          </w:tcPr>
          <w:p w:rsidR="00A07910" w:rsidRPr="008D2EA0" w:rsidRDefault="00A07910" w:rsidP="00A953FD">
            <w:pPr>
              <w:spacing w:before="40" w:after="40"/>
              <w:rPr>
                <w:color w:val="000000"/>
                <w:lang w:val="en-GB" w:eastAsia="da-DK"/>
              </w:rPr>
            </w:pPr>
            <w:r w:rsidRPr="008D2EA0">
              <w:rPr>
                <w:color w:val="000000"/>
                <w:lang w:val="en-GB" w:eastAsia="da-DK"/>
              </w:rPr>
              <w:t>11</w:t>
            </w:r>
          </w:p>
        </w:tc>
        <w:tc>
          <w:tcPr>
            <w:tcW w:w="1786" w:type="dxa"/>
            <w:gridSpan w:val="2"/>
          </w:tcPr>
          <w:p w:rsidR="00A07910" w:rsidRPr="008D2EA0" w:rsidRDefault="00A07910" w:rsidP="00A953FD">
            <w:pPr>
              <w:spacing w:before="40" w:after="40"/>
              <w:rPr>
                <w:color w:val="000000"/>
                <w:lang w:val="en-GB" w:eastAsia="da-DK"/>
              </w:rPr>
            </w:pPr>
            <w:r w:rsidRPr="008D2EA0">
              <w:rPr>
                <w:color w:val="000000"/>
                <w:lang w:val="en-GB" w:eastAsia="da-DK"/>
              </w:rPr>
              <w:t>22</w:t>
            </w:r>
          </w:p>
        </w:tc>
        <w:tc>
          <w:tcPr>
            <w:tcW w:w="2126"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Pr>
          <w:p w:rsidR="00A07910" w:rsidRPr="008D2EA0" w:rsidRDefault="00A07910" w:rsidP="00A953FD">
            <w:pPr>
              <w:spacing w:before="40" w:after="40"/>
              <w:rPr>
                <w:color w:val="000000"/>
                <w:lang w:val="en-GB" w:eastAsia="da-DK"/>
              </w:rPr>
            </w:pPr>
            <w:r w:rsidRPr="008D2EA0">
              <w:rPr>
                <w:color w:val="000000"/>
                <w:lang w:val="en-GB" w:eastAsia="da-DK"/>
              </w:rPr>
              <w:t>33</w:t>
            </w:r>
          </w:p>
        </w:tc>
      </w:tr>
      <w:tr w:rsidR="00A07910" w:rsidRPr="008D2EA0" w:rsidTr="00A953FD">
        <w:trPr>
          <w:trHeight w:val="315"/>
        </w:trPr>
        <w:tc>
          <w:tcPr>
            <w:tcW w:w="3085" w:type="dxa"/>
            <w:vAlign w:val="center"/>
          </w:tcPr>
          <w:p w:rsidR="00A07910" w:rsidRPr="00AD5DA1" w:rsidRDefault="00F21C76" w:rsidP="00A953FD">
            <w:pPr>
              <w:spacing w:before="40" w:after="40"/>
              <w:rPr>
                <w:lang w:val="en-GB"/>
              </w:rPr>
            </w:pPr>
            <w:hyperlink r:id="rId38" w:tgtFrame="_blank" w:tooltip="MA02revCO07 Plan - extract for Czech Republic" w:history="1">
              <w:r w:rsidR="00A07910" w:rsidRPr="00AD5DA1">
                <w:rPr>
                  <w:lang w:val="en-GB" w:eastAsia="da-DK"/>
                </w:rPr>
                <w:t>Czech Republic</w:t>
              </w:r>
            </w:hyperlink>
          </w:p>
        </w:tc>
        <w:tc>
          <w:tcPr>
            <w:tcW w:w="1900" w:type="dxa"/>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1786" w:type="dxa"/>
            <w:gridSpan w:val="2"/>
          </w:tcPr>
          <w:p w:rsidR="00A07910" w:rsidRPr="008D2EA0" w:rsidRDefault="00A07910" w:rsidP="00A953FD">
            <w:pPr>
              <w:spacing w:before="40" w:after="40"/>
              <w:rPr>
                <w:color w:val="000000"/>
                <w:lang w:val="en-GB" w:eastAsia="da-DK"/>
              </w:rPr>
            </w:pPr>
            <w:r w:rsidRPr="008D2EA0">
              <w:rPr>
                <w:color w:val="000000"/>
                <w:lang w:val="en-GB" w:eastAsia="da-DK"/>
              </w:rPr>
              <w:t>26</w:t>
            </w:r>
          </w:p>
        </w:tc>
        <w:tc>
          <w:tcPr>
            <w:tcW w:w="2126" w:type="dxa"/>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958" w:type="dxa"/>
          </w:tcPr>
          <w:p w:rsidR="00A07910" w:rsidRPr="008D2EA0" w:rsidRDefault="00A07910" w:rsidP="00A953FD">
            <w:pPr>
              <w:spacing w:before="40" w:after="40"/>
              <w:rPr>
                <w:color w:val="000000"/>
                <w:lang w:val="en-GB" w:eastAsia="da-DK"/>
              </w:rPr>
            </w:pPr>
            <w:r w:rsidRPr="008D2EA0">
              <w:rPr>
                <w:color w:val="000000"/>
                <w:lang w:val="en-GB" w:eastAsia="da-DK"/>
              </w:rPr>
              <w:t>28</w:t>
            </w:r>
          </w:p>
        </w:tc>
      </w:tr>
      <w:tr w:rsidR="00A07910" w:rsidRPr="008D2EA0" w:rsidTr="00691AA5">
        <w:trPr>
          <w:trHeight w:val="347"/>
        </w:trPr>
        <w:tc>
          <w:tcPr>
            <w:tcW w:w="3085" w:type="dxa"/>
            <w:vAlign w:val="center"/>
          </w:tcPr>
          <w:p w:rsidR="00A07910" w:rsidRPr="00AD5DA1" w:rsidRDefault="00F21C76" w:rsidP="00A953FD">
            <w:pPr>
              <w:spacing w:before="40" w:after="40"/>
              <w:rPr>
                <w:lang w:val="en-GB"/>
              </w:rPr>
            </w:pPr>
            <w:hyperlink r:id="rId39" w:tgtFrame="_blank" w:tooltip="MA02revCO07 Plan - extract for Denmark" w:history="1">
              <w:r w:rsidR="00691AA5" w:rsidRPr="00AD5DA1">
                <w:rPr>
                  <w:lang w:val="en-GB" w:eastAsia="da-DK"/>
                </w:rPr>
                <w:t>Denmark</w:t>
              </w:r>
            </w:hyperlink>
          </w:p>
        </w:tc>
        <w:tc>
          <w:tcPr>
            <w:tcW w:w="1900"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1786" w:type="dxa"/>
            <w:gridSpan w:val="2"/>
          </w:tcPr>
          <w:p w:rsidR="00A07910" w:rsidRPr="008D2EA0" w:rsidRDefault="00A07910" w:rsidP="00A953FD">
            <w:pPr>
              <w:spacing w:before="40" w:after="40"/>
              <w:rPr>
                <w:color w:val="000000"/>
                <w:lang w:val="en-GB" w:eastAsia="da-DK"/>
              </w:rPr>
            </w:pPr>
            <w:r w:rsidRPr="008D2EA0">
              <w:rPr>
                <w:color w:val="000000"/>
                <w:lang w:val="en-GB" w:eastAsia="da-DK"/>
              </w:rPr>
              <w:t>41</w:t>
            </w:r>
          </w:p>
        </w:tc>
        <w:tc>
          <w:tcPr>
            <w:tcW w:w="2126"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Pr>
          <w:p w:rsidR="00A07910" w:rsidRPr="008D2EA0" w:rsidRDefault="00A07910" w:rsidP="00A953FD">
            <w:pPr>
              <w:spacing w:before="40" w:after="40"/>
              <w:rPr>
                <w:color w:val="000000"/>
                <w:lang w:val="en-GB" w:eastAsia="da-DK"/>
              </w:rPr>
            </w:pPr>
            <w:r w:rsidRPr="008D2EA0">
              <w:rPr>
                <w:color w:val="000000"/>
                <w:lang w:val="en-GB" w:eastAsia="da-DK"/>
              </w:rPr>
              <w:t>41</w:t>
            </w:r>
          </w:p>
        </w:tc>
      </w:tr>
      <w:tr w:rsidR="00A07910" w:rsidRPr="008D2EA0" w:rsidTr="00596D5D">
        <w:trPr>
          <w:trHeight w:val="180"/>
        </w:trPr>
        <w:tc>
          <w:tcPr>
            <w:tcW w:w="3085" w:type="dxa"/>
            <w:vAlign w:val="center"/>
          </w:tcPr>
          <w:p w:rsidR="00A07910" w:rsidRPr="00AD5DA1" w:rsidRDefault="00F21C76" w:rsidP="00A953FD">
            <w:pPr>
              <w:spacing w:before="40" w:after="40"/>
              <w:rPr>
                <w:lang w:val="en-GB"/>
              </w:rPr>
            </w:pPr>
            <w:hyperlink r:id="rId40" w:tgtFrame="_blank" w:tooltip="MA02revCO07 Plan - extract for Estonia" w:history="1">
              <w:r w:rsidR="00A07910" w:rsidRPr="00AD5DA1">
                <w:rPr>
                  <w:lang w:val="en-GB" w:eastAsia="da-DK"/>
                </w:rPr>
                <w:t>Estonia</w:t>
              </w:r>
            </w:hyperlink>
          </w:p>
        </w:tc>
        <w:tc>
          <w:tcPr>
            <w:tcW w:w="1900" w:type="dxa"/>
          </w:tcPr>
          <w:p w:rsidR="00A07910" w:rsidRPr="008D2EA0" w:rsidRDefault="00A07910" w:rsidP="00A953FD">
            <w:pPr>
              <w:spacing w:before="40" w:after="40"/>
              <w:rPr>
                <w:color w:val="000000"/>
                <w:lang w:val="en-GB" w:eastAsia="da-DK"/>
              </w:rPr>
            </w:pPr>
            <w:r w:rsidRPr="008D2EA0">
              <w:rPr>
                <w:color w:val="000000"/>
                <w:lang w:val="en-GB" w:eastAsia="da-DK"/>
              </w:rPr>
              <w:t>4</w:t>
            </w:r>
          </w:p>
        </w:tc>
        <w:tc>
          <w:tcPr>
            <w:tcW w:w="1786" w:type="dxa"/>
            <w:gridSpan w:val="2"/>
          </w:tcPr>
          <w:p w:rsidR="00A07910" w:rsidRPr="008D2EA0" w:rsidRDefault="00A07910" w:rsidP="00A953FD">
            <w:pPr>
              <w:spacing w:before="40" w:after="40"/>
              <w:rPr>
                <w:color w:val="000000"/>
                <w:lang w:val="en-GB" w:eastAsia="da-DK"/>
              </w:rPr>
            </w:pPr>
            <w:r w:rsidRPr="008D2EA0">
              <w:rPr>
                <w:color w:val="000000"/>
                <w:lang w:val="en-GB" w:eastAsia="da-DK"/>
              </w:rPr>
              <w:t>4</w:t>
            </w:r>
          </w:p>
        </w:tc>
        <w:tc>
          <w:tcPr>
            <w:tcW w:w="2126"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Pr>
          <w:p w:rsidR="00A07910" w:rsidRPr="008D2EA0" w:rsidRDefault="00A07910" w:rsidP="00A953FD">
            <w:pPr>
              <w:spacing w:before="40" w:after="40"/>
              <w:rPr>
                <w:color w:val="000000"/>
                <w:lang w:val="en-GB" w:eastAsia="da-DK"/>
              </w:rPr>
            </w:pPr>
            <w:r w:rsidRPr="008D2EA0">
              <w:rPr>
                <w:color w:val="000000"/>
                <w:lang w:val="en-GB" w:eastAsia="da-DK"/>
              </w:rPr>
              <w:t>8</w:t>
            </w:r>
          </w:p>
        </w:tc>
      </w:tr>
      <w:tr w:rsidR="00A07910" w:rsidRPr="008D2EA0" w:rsidTr="00596D5D">
        <w:trPr>
          <w:trHeight w:val="180"/>
        </w:trPr>
        <w:tc>
          <w:tcPr>
            <w:tcW w:w="3085" w:type="dxa"/>
            <w:vAlign w:val="center"/>
          </w:tcPr>
          <w:p w:rsidR="00A07910" w:rsidRPr="00AD5DA1" w:rsidRDefault="00F21C76" w:rsidP="00A953FD">
            <w:pPr>
              <w:spacing w:before="40" w:after="40"/>
              <w:rPr>
                <w:lang w:val="en-GB"/>
              </w:rPr>
            </w:pPr>
            <w:hyperlink r:id="rId41" w:tgtFrame="_blank" w:tooltip="MA02revCO07 Plan - extract for Finland" w:history="1">
              <w:r w:rsidR="00A07910" w:rsidRPr="00AD5DA1">
                <w:rPr>
                  <w:lang w:val="en-GB" w:eastAsia="da-DK"/>
                </w:rPr>
                <w:t>Finland</w:t>
              </w:r>
            </w:hyperlink>
          </w:p>
        </w:tc>
        <w:tc>
          <w:tcPr>
            <w:tcW w:w="1900"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1786" w:type="dxa"/>
            <w:gridSpan w:val="2"/>
          </w:tcPr>
          <w:p w:rsidR="00A07910" w:rsidRPr="008D2EA0" w:rsidRDefault="00A07910" w:rsidP="00A953FD">
            <w:pPr>
              <w:spacing w:before="40" w:after="40"/>
              <w:rPr>
                <w:color w:val="000000"/>
                <w:lang w:val="en-GB" w:eastAsia="da-DK"/>
              </w:rPr>
            </w:pPr>
            <w:r w:rsidRPr="008D2EA0">
              <w:rPr>
                <w:color w:val="000000"/>
                <w:lang w:val="en-GB" w:eastAsia="da-DK"/>
              </w:rPr>
              <w:t>21</w:t>
            </w:r>
          </w:p>
        </w:tc>
        <w:tc>
          <w:tcPr>
            <w:tcW w:w="2126"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Pr>
          <w:p w:rsidR="00A07910" w:rsidRPr="008D2EA0" w:rsidRDefault="00A07910" w:rsidP="00A953FD">
            <w:pPr>
              <w:spacing w:before="40" w:after="40"/>
              <w:rPr>
                <w:color w:val="000000"/>
                <w:lang w:val="en-GB" w:eastAsia="da-DK"/>
              </w:rPr>
            </w:pPr>
            <w:r w:rsidRPr="008D2EA0">
              <w:rPr>
                <w:color w:val="000000"/>
                <w:lang w:val="en-GB" w:eastAsia="da-DK"/>
              </w:rPr>
              <w:t>21</w:t>
            </w:r>
          </w:p>
        </w:tc>
      </w:tr>
      <w:tr w:rsidR="00A07910" w:rsidRPr="008D2EA0" w:rsidTr="00596D5D">
        <w:trPr>
          <w:trHeight w:val="180"/>
        </w:trPr>
        <w:tc>
          <w:tcPr>
            <w:tcW w:w="3085" w:type="dxa"/>
            <w:vAlign w:val="center"/>
          </w:tcPr>
          <w:p w:rsidR="00A07910" w:rsidRPr="00AD5DA1" w:rsidRDefault="00F21C76" w:rsidP="00A953FD">
            <w:pPr>
              <w:spacing w:before="40" w:after="40"/>
              <w:rPr>
                <w:lang w:val="en-GB"/>
              </w:rPr>
            </w:pPr>
            <w:hyperlink r:id="rId42" w:tgtFrame="_blank" w:tooltip="MA02revCO07 Plan - extract for France" w:history="1">
              <w:r w:rsidR="00A07910" w:rsidRPr="00AD5DA1">
                <w:rPr>
                  <w:lang w:val="en-GB" w:eastAsia="da-DK"/>
                </w:rPr>
                <w:t>France</w:t>
              </w:r>
            </w:hyperlink>
          </w:p>
        </w:tc>
        <w:tc>
          <w:tcPr>
            <w:tcW w:w="1900" w:type="dxa"/>
          </w:tcPr>
          <w:p w:rsidR="00A07910" w:rsidRPr="008D2EA0" w:rsidRDefault="00A07910" w:rsidP="00A953FD">
            <w:pPr>
              <w:spacing w:before="40" w:after="40"/>
              <w:rPr>
                <w:color w:val="000000"/>
                <w:lang w:val="en-GB" w:eastAsia="da-DK"/>
              </w:rPr>
            </w:pPr>
            <w:r w:rsidRPr="008D2EA0">
              <w:rPr>
                <w:color w:val="000000"/>
                <w:lang w:val="en-GB" w:eastAsia="da-DK"/>
              </w:rPr>
              <w:t>134</w:t>
            </w:r>
          </w:p>
        </w:tc>
        <w:tc>
          <w:tcPr>
            <w:tcW w:w="1786" w:type="dxa"/>
            <w:gridSpan w:val="2"/>
          </w:tcPr>
          <w:p w:rsidR="00A07910" w:rsidRPr="008D2EA0" w:rsidRDefault="00A07910" w:rsidP="00A953FD">
            <w:pPr>
              <w:spacing w:before="40" w:after="40"/>
              <w:rPr>
                <w:color w:val="000000"/>
                <w:lang w:val="en-GB" w:eastAsia="da-DK"/>
              </w:rPr>
            </w:pPr>
            <w:r w:rsidRPr="008D2EA0">
              <w:rPr>
                <w:color w:val="000000"/>
                <w:lang w:val="en-GB" w:eastAsia="da-DK"/>
              </w:rPr>
              <w:t>67</w:t>
            </w:r>
          </w:p>
        </w:tc>
        <w:tc>
          <w:tcPr>
            <w:tcW w:w="2126"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Pr>
          <w:p w:rsidR="00A07910" w:rsidRPr="008D2EA0" w:rsidRDefault="00A07910" w:rsidP="00A953FD">
            <w:pPr>
              <w:spacing w:before="40" w:after="40"/>
              <w:rPr>
                <w:color w:val="000000"/>
                <w:lang w:val="en-GB" w:eastAsia="da-DK"/>
              </w:rPr>
            </w:pPr>
            <w:r w:rsidRPr="008D2EA0">
              <w:rPr>
                <w:color w:val="000000"/>
                <w:lang w:val="en-GB" w:eastAsia="da-DK"/>
              </w:rPr>
              <w:t>201</w:t>
            </w:r>
          </w:p>
        </w:tc>
      </w:tr>
      <w:tr w:rsidR="00A07910" w:rsidRPr="008D2EA0" w:rsidTr="00596D5D">
        <w:trPr>
          <w:trHeight w:val="180"/>
        </w:trPr>
        <w:tc>
          <w:tcPr>
            <w:tcW w:w="3085" w:type="dxa"/>
            <w:vAlign w:val="center"/>
          </w:tcPr>
          <w:p w:rsidR="00A07910" w:rsidRPr="00AD5DA1" w:rsidRDefault="00F21C76" w:rsidP="00A953FD">
            <w:pPr>
              <w:spacing w:before="40" w:after="40"/>
              <w:rPr>
                <w:lang w:val="en-GB"/>
              </w:rPr>
            </w:pPr>
            <w:hyperlink r:id="rId43" w:tgtFrame="_blank" w:tooltip="MA02revCO07 Plan - extract for germany" w:history="1">
              <w:r w:rsidR="00A07910" w:rsidRPr="00AD5DA1">
                <w:rPr>
                  <w:lang w:val="en-GB" w:eastAsia="da-DK"/>
                </w:rPr>
                <w:t>Germany</w:t>
              </w:r>
            </w:hyperlink>
          </w:p>
        </w:tc>
        <w:tc>
          <w:tcPr>
            <w:tcW w:w="1900" w:type="dxa"/>
          </w:tcPr>
          <w:p w:rsidR="00A07910" w:rsidRPr="008D2EA0" w:rsidRDefault="00A07910" w:rsidP="00A953FD">
            <w:pPr>
              <w:spacing w:before="40" w:after="40"/>
              <w:rPr>
                <w:color w:val="000000"/>
                <w:lang w:val="en-GB" w:eastAsia="da-DK"/>
              </w:rPr>
            </w:pPr>
            <w:r w:rsidRPr="008D2EA0">
              <w:rPr>
                <w:color w:val="000000"/>
                <w:lang w:val="en-GB" w:eastAsia="da-DK"/>
              </w:rPr>
              <w:t>108</w:t>
            </w:r>
          </w:p>
        </w:tc>
        <w:tc>
          <w:tcPr>
            <w:tcW w:w="1786" w:type="dxa"/>
            <w:gridSpan w:val="2"/>
          </w:tcPr>
          <w:p w:rsidR="00A07910" w:rsidRPr="008D2EA0" w:rsidRDefault="00A07910" w:rsidP="00A953FD">
            <w:pPr>
              <w:spacing w:before="40" w:after="40"/>
              <w:rPr>
                <w:color w:val="000000"/>
                <w:lang w:val="en-GB" w:eastAsia="da-DK"/>
              </w:rPr>
            </w:pPr>
            <w:r w:rsidRPr="008D2EA0">
              <w:rPr>
                <w:color w:val="000000"/>
                <w:lang w:val="en-GB" w:eastAsia="da-DK"/>
              </w:rPr>
              <w:t>112</w:t>
            </w:r>
          </w:p>
        </w:tc>
        <w:tc>
          <w:tcPr>
            <w:tcW w:w="2126" w:type="dxa"/>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Pr>
          <w:p w:rsidR="00A07910" w:rsidRPr="008D2EA0" w:rsidRDefault="00A07910" w:rsidP="00A953FD">
            <w:pPr>
              <w:spacing w:before="40" w:after="40"/>
              <w:rPr>
                <w:color w:val="000000"/>
                <w:lang w:val="en-GB" w:eastAsia="da-DK"/>
              </w:rPr>
            </w:pPr>
            <w:r w:rsidRPr="008D2EA0">
              <w:rPr>
                <w:color w:val="000000"/>
                <w:lang w:val="en-GB" w:eastAsia="da-DK"/>
              </w:rPr>
              <w:t>220</w:t>
            </w:r>
          </w:p>
        </w:tc>
      </w:tr>
      <w:tr w:rsidR="00A07910" w:rsidRPr="008D2EA0" w:rsidTr="00596D5D">
        <w:trPr>
          <w:trHeight w:val="180"/>
        </w:trPr>
        <w:tc>
          <w:tcPr>
            <w:tcW w:w="3085" w:type="dxa"/>
            <w:tcBorders>
              <w:top w:val="single" w:sz="6" w:space="0" w:color="D2232A"/>
              <w:left w:val="single" w:sz="4" w:space="0" w:color="D2232A"/>
              <w:bottom w:val="single" w:sz="6" w:space="0" w:color="D2232A"/>
              <w:right w:val="single" w:sz="6" w:space="0" w:color="D2232A"/>
            </w:tcBorders>
            <w:vAlign w:val="center"/>
          </w:tcPr>
          <w:p w:rsidR="00A07910" w:rsidRPr="00AD5DA1" w:rsidRDefault="00F21C76" w:rsidP="00A953FD">
            <w:pPr>
              <w:spacing w:before="40" w:after="40"/>
              <w:rPr>
                <w:lang w:val="en-GB"/>
              </w:rPr>
            </w:pPr>
            <w:hyperlink r:id="rId44" w:tgtFrame="_blank" w:tooltip="MA02revCO07 Plan - extract for Greece" w:history="1">
              <w:r w:rsidR="00A07910" w:rsidRPr="00AD5DA1">
                <w:rPr>
                  <w:lang w:val="en-GB" w:eastAsia="da-DK"/>
                </w:rPr>
                <w:t>Greece</w:t>
              </w:r>
            </w:hyperlink>
          </w:p>
        </w:tc>
        <w:tc>
          <w:tcPr>
            <w:tcW w:w="1900"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4</w:t>
            </w:r>
          </w:p>
        </w:tc>
        <w:tc>
          <w:tcPr>
            <w:tcW w:w="1786" w:type="dxa"/>
            <w:gridSpan w:val="2"/>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60</w:t>
            </w:r>
          </w:p>
        </w:tc>
        <w:tc>
          <w:tcPr>
            <w:tcW w:w="2126"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6"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64</w:t>
            </w:r>
          </w:p>
        </w:tc>
      </w:tr>
      <w:tr w:rsidR="00A07910" w:rsidRPr="008D2EA0" w:rsidTr="00596D5D">
        <w:trPr>
          <w:trHeight w:val="180"/>
        </w:trPr>
        <w:tc>
          <w:tcPr>
            <w:tcW w:w="3085" w:type="dxa"/>
            <w:tcBorders>
              <w:top w:val="single" w:sz="6" w:space="0" w:color="D2232A"/>
              <w:left w:val="single" w:sz="4" w:space="0" w:color="D2232A"/>
              <w:bottom w:val="single" w:sz="6" w:space="0" w:color="D2232A"/>
              <w:right w:val="single" w:sz="6" w:space="0" w:color="D2232A"/>
            </w:tcBorders>
            <w:vAlign w:val="center"/>
          </w:tcPr>
          <w:p w:rsidR="00A07910" w:rsidRPr="00AD5DA1" w:rsidRDefault="00F21C76" w:rsidP="00A953FD">
            <w:pPr>
              <w:spacing w:before="40" w:after="40"/>
              <w:rPr>
                <w:lang w:val="en-GB"/>
              </w:rPr>
            </w:pPr>
            <w:hyperlink r:id="rId45" w:tgtFrame="_blank" w:tooltip="MA02revCO07 Plan - extract for Hungary" w:history="1">
              <w:r w:rsidR="00A07910" w:rsidRPr="00AD5DA1">
                <w:rPr>
                  <w:lang w:val="en-GB" w:eastAsia="da-DK"/>
                </w:rPr>
                <w:t>Hungary</w:t>
              </w:r>
            </w:hyperlink>
          </w:p>
        </w:tc>
        <w:tc>
          <w:tcPr>
            <w:tcW w:w="1900"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8</w:t>
            </w:r>
          </w:p>
        </w:tc>
        <w:tc>
          <w:tcPr>
            <w:tcW w:w="1786" w:type="dxa"/>
            <w:gridSpan w:val="2"/>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22</w:t>
            </w:r>
          </w:p>
        </w:tc>
        <w:tc>
          <w:tcPr>
            <w:tcW w:w="2126"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6"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30</w:t>
            </w:r>
          </w:p>
        </w:tc>
      </w:tr>
      <w:tr w:rsidR="00A07910" w:rsidRPr="008D2EA0" w:rsidTr="00596D5D">
        <w:trPr>
          <w:trHeight w:val="180"/>
        </w:trPr>
        <w:tc>
          <w:tcPr>
            <w:tcW w:w="3085" w:type="dxa"/>
            <w:tcBorders>
              <w:top w:val="single" w:sz="6" w:space="0" w:color="D2232A"/>
              <w:left w:val="single" w:sz="4" w:space="0" w:color="D2232A"/>
              <w:bottom w:val="single" w:sz="6" w:space="0" w:color="D2232A"/>
              <w:right w:val="single" w:sz="6" w:space="0" w:color="D2232A"/>
            </w:tcBorders>
            <w:vAlign w:val="center"/>
          </w:tcPr>
          <w:p w:rsidR="00A07910" w:rsidRPr="00AD5DA1" w:rsidRDefault="00F21C76" w:rsidP="00A953FD">
            <w:pPr>
              <w:spacing w:before="40" w:after="40"/>
              <w:rPr>
                <w:vanish/>
                <w:lang w:val="en-GB" w:eastAsia="da-DK"/>
              </w:rPr>
            </w:pPr>
            <w:hyperlink r:id="rId46" w:tgtFrame="_blank" w:tooltip="MA02revCO07 Plan - extract for Ireland" w:history="1">
              <w:r w:rsidR="00A07910" w:rsidRPr="00AD5DA1">
                <w:rPr>
                  <w:lang w:val="en-GB" w:eastAsia="da-DK"/>
                </w:rPr>
                <w:t>Ireland</w:t>
              </w:r>
            </w:hyperlink>
          </w:p>
        </w:tc>
        <w:tc>
          <w:tcPr>
            <w:tcW w:w="1900"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1786" w:type="dxa"/>
            <w:gridSpan w:val="2"/>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31</w:t>
            </w:r>
          </w:p>
        </w:tc>
        <w:tc>
          <w:tcPr>
            <w:tcW w:w="2126"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6"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31</w:t>
            </w:r>
          </w:p>
        </w:tc>
      </w:tr>
      <w:tr w:rsidR="00A07910" w:rsidRPr="008D2EA0" w:rsidTr="00596D5D">
        <w:trPr>
          <w:trHeight w:val="180"/>
        </w:trPr>
        <w:tc>
          <w:tcPr>
            <w:tcW w:w="3085" w:type="dxa"/>
            <w:tcBorders>
              <w:top w:val="single" w:sz="6" w:space="0" w:color="D2232A"/>
              <w:left w:val="single" w:sz="4" w:space="0" w:color="D2232A"/>
              <w:bottom w:val="single" w:sz="6" w:space="0" w:color="D2232A"/>
              <w:right w:val="single" w:sz="6" w:space="0" w:color="D2232A"/>
            </w:tcBorders>
            <w:vAlign w:val="center"/>
          </w:tcPr>
          <w:p w:rsidR="00A07910" w:rsidRPr="00AD5DA1" w:rsidRDefault="00F21C76" w:rsidP="00A953FD">
            <w:pPr>
              <w:spacing w:before="40" w:after="40"/>
              <w:rPr>
                <w:vanish/>
                <w:lang w:val="en-GB" w:eastAsia="da-DK"/>
              </w:rPr>
            </w:pPr>
            <w:hyperlink r:id="rId47" w:tgtFrame="_blank" w:tooltip="MA02revCO07 Plan - extract for Italy" w:history="1">
              <w:r w:rsidR="00A07910" w:rsidRPr="00AD5DA1">
                <w:rPr>
                  <w:lang w:val="en-GB" w:eastAsia="da-DK"/>
                </w:rPr>
                <w:t>Italy</w:t>
              </w:r>
            </w:hyperlink>
          </w:p>
        </w:tc>
        <w:tc>
          <w:tcPr>
            <w:tcW w:w="1900"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21</w:t>
            </w:r>
          </w:p>
        </w:tc>
        <w:tc>
          <w:tcPr>
            <w:tcW w:w="1786" w:type="dxa"/>
            <w:gridSpan w:val="2"/>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193</w:t>
            </w:r>
          </w:p>
        </w:tc>
        <w:tc>
          <w:tcPr>
            <w:tcW w:w="2126"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6"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214</w:t>
            </w:r>
          </w:p>
        </w:tc>
      </w:tr>
      <w:tr w:rsidR="00A07910" w:rsidRPr="008D2EA0" w:rsidTr="00596D5D">
        <w:trPr>
          <w:trHeight w:val="180"/>
        </w:trPr>
        <w:tc>
          <w:tcPr>
            <w:tcW w:w="3085" w:type="dxa"/>
            <w:tcBorders>
              <w:top w:val="single" w:sz="6" w:space="0" w:color="D2232A"/>
              <w:left w:val="single" w:sz="4" w:space="0" w:color="D2232A"/>
              <w:bottom w:val="single" w:sz="6" w:space="0" w:color="D2232A"/>
              <w:right w:val="single" w:sz="6" w:space="0" w:color="D2232A"/>
            </w:tcBorders>
            <w:vAlign w:val="center"/>
          </w:tcPr>
          <w:p w:rsidR="00A07910" w:rsidRPr="00AD5DA1" w:rsidRDefault="00F21C76" w:rsidP="00A953FD">
            <w:pPr>
              <w:spacing w:before="40" w:after="40"/>
              <w:rPr>
                <w:vanish/>
                <w:lang w:val="en-GB" w:eastAsia="da-DK"/>
              </w:rPr>
            </w:pPr>
            <w:hyperlink r:id="rId48" w:tgtFrame="_blank" w:tooltip="MA02revCO07 Plan - extract for Latvia" w:history="1">
              <w:r w:rsidR="00A07910" w:rsidRPr="00AD5DA1">
                <w:rPr>
                  <w:lang w:val="en-GB" w:eastAsia="da-DK"/>
                </w:rPr>
                <w:t>Latvia</w:t>
              </w:r>
            </w:hyperlink>
          </w:p>
        </w:tc>
        <w:tc>
          <w:tcPr>
            <w:tcW w:w="1900"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4</w:t>
            </w:r>
          </w:p>
        </w:tc>
        <w:tc>
          <w:tcPr>
            <w:tcW w:w="1786" w:type="dxa"/>
            <w:gridSpan w:val="2"/>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7</w:t>
            </w:r>
          </w:p>
        </w:tc>
        <w:tc>
          <w:tcPr>
            <w:tcW w:w="2126"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6"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11</w:t>
            </w:r>
          </w:p>
        </w:tc>
      </w:tr>
      <w:tr w:rsidR="00A07910" w:rsidRPr="008D2EA0" w:rsidTr="00596D5D">
        <w:trPr>
          <w:trHeight w:val="180"/>
        </w:trPr>
        <w:tc>
          <w:tcPr>
            <w:tcW w:w="3085" w:type="dxa"/>
            <w:tcBorders>
              <w:top w:val="single" w:sz="6" w:space="0" w:color="D2232A"/>
              <w:left w:val="single" w:sz="4" w:space="0" w:color="D2232A"/>
              <w:bottom w:val="single" w:sz="6" w:space="0" w:color="D2232A"/>
              <w:right w:val="single" w:sz="6" w:space="0" w:color="D2232A"/>
            </w:tcBorders>
            <w:vAlign w:val="center"/>
          </w:tcPr>
          <w:p w:rsidR="00A07910" w:rsidRPr="00AD5DA1" w:rsidRDefault="00F21C76" w:rsidP="00A953FD">
            <w:pPr>
              <w:spacing w:before="40" w:after="40"/>
              <w:rPr>
                <w:vanish/>
                <w:lang w:val="en-GB" w:eastAsia="da-DK"/>
              </w:rPr>
            </w:pPr>
            <w:hyperlink r:id="rId49" w:tgtFrame="_blank" w:tooltip="MA02revCO07 Plan - extract for Liechtenstein" w:history="1">
              <w:r w:rsidR="00A07910" w:rsidRPr="00AD5DA1">
                <w:rPr>
                  <w:lang w:val="en-GB" w:eastAsia="da-DK"/>
                </w:rPr>
                <w:t>Liechtenstein</w:t>
              </w:r>
            </w:hyperlink>
          </w:p>
        </w:tc>
        <w:tc>
          <w:tcPr>
            <w:tcW w:w="1900"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w:t>
            </w:r>
          </w:p>
        </w:tc>
        <w:tc>
          <w:tcPr>
            <w:tcW w:w="1786" w:type="dxa"/>
            <w:gridSpan w:val="2"/>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2126"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6"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3</w:t>
            </w:r>
          </w:p>
        </w:tc>
      </w:tr>
      <w:tr w:rsidR="00A07910" w:rsidRPr="008D2EA0" w:rsidTr="00596D5D">
        <w:trPr>
          <w:trHeight w:val="180"/>
        </w:trPr>
        <w:tc>
          <w:tcPr>
            <w:tcW w:w="3085" w:type="dxa"/>
            <w:tcBorders>
              <w:top w:val="single" w:sz="6" w:space="0" w:color="D2232A"/>
              <w:left w:val="single" w:sz="4" w:space="0" w:color="D2232A"/>
              <w:bottom w:val="single" w:sz="6" w:space="0" w:color="D2232A"/>
              <w:right w:val="single" w:sz="6" w:space="0" w:color="D2232A"/>
            </w:tcBorders>
            <w:vAlign w:val="center"/>
          </w:tcPr>
          <w:p w:rsidR="00A07910" w:rsidRPr="00AD5DA1" w:rsidRDefault="00F21C76" w:rsidP="00A953FD">
            <w:pPr>
              <w:spacing w:before="40" w:after="40"/>
              <w:rPr>
                <w:vanish/>
                <w:lang w:val="en-GB" w:eastAsia="da-DK"/>
              </w:rPr>
            </w:pPr>
            <w:hyperlink r:id="rId50" w:tgtFrame="_blank" w:tooltip="MA02revCO07 Plan - extract for Lithuania" w:history="1">
              <w:r w:rsidR="00A07910" w:rsidRPr="00AD5DA1">
                <w:rPr>
                  <w:lang w:val="en-GB" w:eastAsia="da-DK"/>
                </w:rPr>
                <w:t>Lithuania</w:t>
              </w:r>
            </w:hyperlink>
          </w:p>
        </w:tc>
        <w:tc>
          <w:tcPr>
            <w:tcW w:w="1900"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5</w:t>
            </w:r>
          </w:p>
        </w:tc>
        <w:tc>
          <w:tcPr>
            <w:tcW w:w="1786" w:type="dxa"/>
            <w:gridSpan w:val="2"/>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40</w:t>
            </w:r>
          </w:p>
        </w:tc>
        <w:tc>
          <w:tcPr>
            <w:tcW w:w="2126"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6"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45</w:t>
            </w:r>
          </w:p>
        </w:tc>
      </w:tr>
      <w:tr w:rsidR="00A07910" w:rsidRPr="008D2EA0" w:rsidTr="00596D5D">
        <w:trPr>
          <w:trHeight w:val="180"/>
        </w:trPr>
        <w:tc>
          <w:tcPr>
            <w:tcW w:w="3085" w:type="dxa"/>
            <w:tcBorders>
              <w:top w:val="single" w:sz="6" w:space="0" w:color="D2232A"/>
              <w:left w:val="single" w:sz="4" w:space="0" w:color="D2232A"/>
              <w:bottom w:val="single" w:sz="6" w:space="0" w:color="D2232A"/>
              <w:right w:val="single" w:sz="6" w:space="0" w:color="D2232A"/>
            </w:tcBorders>
            <w:vAlign w:val="center"/>
          </w:tcPr>
          <w:p w:rsidR="00A07910" w:rsidRPr="00AD5DA1" w:rsidRDefault="00F21C76" w:rsidP="00A953FD">
            <w:pPr>
              <w:spacing w:before="40" w:after="40"/>
              <w:rPr>
                <w:vanish/>
                <w:lang w:val="en-GB" w:eastAsia="da-DK"/>
              </w:rPr>
            </w:pPr>
            <w:hyperlink r:id="rId51" w:tgtFrame="_blank" w:tooltip="MA02revCO07 Plan - extract for Luxembourg" w:history="1">
              <w:r w:rsidR="00A07910" w:rsidRPr="00AD5DA1">
                <w:rPr>
                  <w:lang w:val="en-GB" w:eastAsia="da-DK"/>
                </w:rPr>
                <w:t>Luxemburg</w:t>
              </w:r>
            </w:hyperlink>
          </w:p>
        </w:tc>
        <w:tc>
          <w:tcPr>
            <w:tcW w:w="1900"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1786" w:type="dxa"/>
            <w:gridSpan w:val="2"/>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2126"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6"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w:t>
            </w:r>
          </w:p>
        </w:tc>
      </w:tr>
      <w:tr w:rsidR="00A07910" w:rsidRPr="008D2EA0" w:rsidTr="00596D5D">
        <w:trPr>
          <w:trHeight w:val="180"/>
        </w:trPr>
        <w:tc>
          <w:tcPr>
            <w:tcW w:w="3085" w:type="dxa"/>
            <w:tcBorders>
              <w:top w:val="single" w:sz="6" w:space="0" w:color="D2232A"/>
              <w:left w:val="single" w:sz="4" w:space="0" w:color="D2232A"/>
              <w:bottom w:val="single" w:sz="6" w:space="0" w:color="D2232A"/>
              <w:right w:val="single" w:sz="6" w:space="0" w:color="D2232A"/>
            </w:tcBorders>
            <w:vAlign w:val="center"/>
          </w:tcPr>
          <w:p w:rsidR="00A07910" w:rsidRPr="00AD5DA1" w:rsidRDefault="00F21C76" w:rsidP="00A953FD">
            <w:pPr>
              <w:spacing w:before="40" w:after="40"/>
              <w:rPr>
                <w:vanish/>
                <w:lang w:val="en-GB" w:eastAsia="da-DK"/>
              </w:rPr>
            </w:pPr>
            <w:hyperlink r:id="rId52" w:tgtFrame="_blank" w:tooltip="MA02revCO07 Plan - extract for FYR of Macedonia" w:history="1">
              <w:r w:rsidR="00A07910" w:rsidRPr="00AD5DA1">
                <w:rPr>
                  <w:lang w:val="en-GB" w:eastAsia="da-DK"/>
                </w:rPr>
                <w:t>FYR of Macedonia</w:t>
              </w:r>
            </w:hyperlink>
          </w:p>
        </w:tc>
        <w:tc>
          <w:tcPr>
            <w:tcW w:w="1900"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1786" w:type="dxa"/>
            <w:gridSpan w:val="2"/>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w:t>
            </w:r>
          </w:p>
        </w:tc>
        <w:tc>
          <w:tcPr>
            <w:tcW w:w="2126"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6"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w:t>
            </w:r>
          </w:p>
        </w:tc>
      </w:tr>
      <w:tr w:rsidR="00A07910" w:rsidRPr="008D2EA0" w:rsidTr="00596D5D">
        <w:trPr>
          <w:trHeight w:val="180"/>
        </w:trPr>
        <w:tc>
          <w:tcPr>
            <w:tcW w:w="3085" w:type="dxa"/>
            <w:tcBorders>
              <w:top w:val="single" w:sz="6" w:space="0" w:color="D2232A"/>
              <w:left w:val="single" w:sz="4" w:space="0" w:color="D2232A"/>
              <w:bottom w:val="single" w:sz="6" w:space="0" w:color="D2232A"/>
              <w:right w:val="single" w:sz="6" w:space="0" w:color="D2232A"/>
            </w:tcBorders>
            <w:vAlign w:val="center"/>
          </w:tcPr>
          <w:p w:rsidR="00A07910" w:rsidRPr="00AD5DA1" w:rsidRDefault="00F21C76" w:rsidP="00A953FD">
            <w:pPr>
              <w:spacing w:before="40" w:after="40"/>
              <w:rPr>
                <w:vanish/>
                <w:lang w:val="en-GB" w:eastAsia="da-DK"/>
              </w:rPr>
            </w:pPr>
            <w:hyperlink r:id="rId53" w:tgtFrame="_blank" w:tooltip="MA02revCO07 Plan - extract for Malta" w:history="1">
              <w:r w:rsidR="00A07910" w:rsidRPr="00AD5DA1">
                <w:rPr>
                  <w:lang w:val="en-GB" w:eastAsia="da-DK"/>
                </w:rPr>
                <w:t>Malta</w:t>
              </w:r>
            </w:hyperlink>
          </w:p>
        </w:tc>
        <w:tc>
          <w:tcPr>
            <w:tcW w:w="1900"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1786" w:type="dxa"/>
            <w:gridSpan w:val="2"/>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2126" w:type="dxa"/>
            <w:tcBorders>
              <w:top w:val="single" w:sz="6" w:space="0" w:color="D2232A"/>
              <w:left w:val="single" w:sz="6" w:space="0" w:color="D2232A"/>
              <w:bottom w:val="single" w:sz="6"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6"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54" w:tgtFrame="_blank" w:tooltip="MA02revCO07 Plan - extract for Moldova" w:history="1">
              <w:r w:rsidR="00A07910" w:rsidRPr="00AD5DA1">
                <w:rPr>
                  <w:lang w:val="en-GB" w:eastAsia="da-DK"/>
                </w:rPr>
                <w:t>Moldova</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26</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26</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55" w:tgtFrame="_blank" w:tooltip="MA02revCO07 Plan - extract for Monaco" w:history="1">
              <w:r w:rsidR="00A07910" w:rsidRPr="00AD5DA1">
                <w:rPr>
                  <w:lang w:val="en-GB" w:eastAsia="da-DK"/>
                </w:rPr>
                <w:t>Monaco</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56" w:tgtFrame="_blank" w:tooltip="MA02revCO07 Plan - extract for The Netherlands" w:history="1">
              <w:r w:rsidR="00A07910" w:rsidRPr="00AD5DA1">
                <w:rPr>
                  <w:lang w:val="en-GB" w:eastAsia="da-DK"/>
                </w:rPr>
                <w:t>The Netherlands</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141</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142</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57" w:tgtFrame="_blank" w:tooltip="MA02revCO07 Plan - extract for Norway" w:history="1">
              <w:r w:rsidR="00A07910" w:rsidRPr="00AD5DA1">
                <w:rPr>
                  <w:lang w:val="en-GB" w:eastAsia="da-DK"/>
                </w:rPr>
                <w:t>Norway</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83</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84</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58" w:tgtFrame="_blank" w:tooltip="MA02revCO07 Plan - extract for Poland" w:history="1">
              <w:r w:rsidR="00A07910" w:rsidRPr="00AD5DA1">
                <w:rPr>
                  <w:lang w:val="en-GB" w:eastAsia="da-DK"/>
                </w:rPr>
                <w:t>Poland</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49</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16</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65</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59" w:tgtFrame="_blank" w:tooltip="MA02revCO07 Plan - extract for Portugal" w:history="1">
              <w:r w:rsidR="00A07910" w:rsidRPr="00AD5DA1">
                <w:rPr>
                  <w:lang w:val="en-GB" w:eastAsia="da-DK"/>
                </w:rPr>
                <w:t>Portugal</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14</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60</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74</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60" w:tgtFrame="_blank" w:tooltip="MA02revCO07 Plan - extract for Romania" w:history="1">
              <w:r w:rsidR="00A07910" w:rsidRPr="00AD5DA1">
                <w:rPr>
                  <w:lang w:val="en-GB" w:eastAsia="da-DK"/>
                </w:rPr>
                <w:t>Romania</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11</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48</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59</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61" w:tgtFrame="_blank" w:tooltip="MA02revCO07 Plan - extract for San Marino" w:history="1">
              <w:r w:rsidR="00A07910" w:rsidRPr="00AD5DA1">
                <w:rPr>
                  <w:lang w:val="en-GB" w:eastAsia="da-DK"/>
                </w:rPr>
                <w:t>San Marino</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62" w:tgtFrame="_blank" w:tooltip="MA02revCO07 Plan - extract for Slovak Republic" w:history="1">
              <w:r w:rsidR="00A07910" w:rsidRPr="00AD5DA1">
                <w:rPr>
                  <w:lang w:val="en-GB" w:eastAsia="da-DK"/>
                </w:rPr>
                <w:t>Slovak Republic</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16</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12</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29</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63" w:tgtFrame="_blank" w:tooltip="MA02revCO07 Plan - extract for Slovenia" w:history="1">
              <w:r w:rsidR="00A07910" w:rsidRPr="00AD5DA1">
                <w:rPr>
                  <w:lang w:val="en-GB" w:eastAsia="da-DK"/>
                </w:rPr>
                <w:t>Slovenia</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8</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9</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17</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64" w:tgtFrame="_blank" w:tooltip="MA02revCO07 Plan - extract for Spain" w:history="1">
              <w:r w:rsidR="00A07910" w:rsidRPr="00AD5DA1">
                <w:rPr>
                  <w:lang w:val="en-GB" w:eastAsia="da-DK"/>
                </w:rPr>
                <w:t>Spain</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19</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342</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361</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65" w:tgtFrame="_blank" w:tooltip="MA02revCO07 Plan - extract for Sweden" w:history="1">
              <w:r w:rsidR="00A07910" w:rsidRPr="00AD5DA1">
                <w:rPr>
                  <w:lang w:val="en-GB" w:eastAsia="da-DK"/>
                </w:rPr>
                <w:t>Sweden</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93</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93</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66" w:tgtFrame="_blank" w:tooltip="MA02revCO07 Plan - extract for Switzerland" w:history="1">
              <w:r w:rsidR="00A07910" w:rsidRPr="00AD5DA1">
                <w:rPr>
                  <w:lang w:val="en-GB" w:eastAsia="da-DK"/>
                </w:rPr>
                <w:t>Switzerland</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33</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17</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50</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67" w:tgtFrame="_blank" w:tooltip="MA02revCO07 Plan - extract for Turkey" w:history="1">
              <w:r w:rsidR="00A07910" w:rsidRPr="00AD5DA1">
                <w:rPr>
                  <w:lang w:val="en-GB" w:eastAsia="da-DK"/>
                </w:rPr>
                <w:t>Turkey</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6</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5</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11</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68" w:tgtFrame="_blank" w:tooltip="MA02revCO07 Plan - extract for Ukraine" w:history="1">
              <w:r w:rsidR="00A07910" w:rsidRPr="00AD5DA1">
                <w:rPr>
                  <w:lang w:val="en-GB" w:eastAsia="da-DK"/>
                </w:rPr>
                <w:t>Ukraine</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25</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58</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83</w:t>
            </w:r>
          </w:p>
        </w:tc>
      </w:tr>
      <w:tr w:rsidR="00A07910" w:rsidRPr="008D2EA0" w:rsidTr="00596D5D">
        <w:trPr>
          <w:trHeight w:val="180"/>
        </w:trPr>
        <w:tc>
          <w:tcPr>
            <w:tcW w:w="3085" w:type="dxa"/>
            <w:tcBorders>
              <w:top w:val="single" w:sz="6" w:space="0" w:color="D2232A"/>
              <w:left w:val="single" w:sz="4" w:space="0" w:color="D2232A"/>
              <w:bottom w:val="single" w:sz="4" w:space="0" w:color="D2232A"/>
              <w:right w:val="single" w:sz="6" w:space="0" w:color="D2232A"/>
            </w:tcBorders>
            <w:vAlign w:val="center"/>
          </w:tcPr>
          <w:p w:rsidR="00A07910" w:rsidRPr="00AD5DA1" w:rsidRDefault="00F21C76" w:rsidP="00A953FD">
            <w:pPr>
              <w:spacing w:before="40" w:after="40"/>
              <w:rPr>
                <w:vanish/>
                <w:lang w:val="en-GB" w:eastAsia="da-DK"/>
              </w:rPr>
            </w:pPr>
            <w:hyperlink r:id="rId69" w:tgtFrame="_blank" w:tooltip="MA02revCO07 Plan - extract for United Kingdom" w:history="1">
              <w:r w:rsidR="00A07910" w:rsidRPr="00AD5DA1">
                <w:rPr>
                  <w:lang w:val="en-GB" w:eastAsia="da-DK"/>
                </w:rPr>
                <w:t>United Kingdom</w:t>
              </w:r>
            </w:hyperlink>
          </w:p>
        </w:tc>
        <w:tc>
          <w:tcPr>
            <w:tcW w:w="1900"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1</w:t>
            </w:r>
          </w:p>
        </w:tc>
        <w:tc>
          <w:tcPr>
            <w:tcW w:w="1786" w:type="dxa"/>
            <w:gridSpan w:val="2"/>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276</w:t>
            </w:r>
          </w:p>
        </w:tc>
        <w:tc>
          <w:tcPr>
            <w:tcW w:w="2126" w:type="dxa"/>
            <w:tcBorders>
              <w:top w:val="single" w:sz="6" w:space="0" w:color="D2232A"/>
              <w:left w:val="single" w:sz="6" w:space="0" w:color="D2232A"/>
              <w:bottom w:val="single" w:sz="4" w:space="0" w:color="D2232A"/>
              <w:right w:val="single" w:sz="6"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0</w:t>
            </w:r>
          </w:p>
        </w:tc>
        <w:tc>
          <w:tcPr>
            <w:tcW w:w="958" w:type="dxa"/>
            <w:tcBorders>
              <w:top w:val="single" w:sz="6" w:space="0" w:color="D2232A"/>
              <w:left w:val="single" w:sz="6" w:space="0" w:color="D2232A"/>
              <w:bottom w:val="single" w:sz="4" w:space="0" w:color="D2232A"/>
              <w:right w:val="single" w:sz="4" w:space="0" w:color="D2232A"/>
            </w:tcBorders>
          </w:tcPr>
          <w:p w:rsidR="00A07910" w:rsidRPr="008D2EA0" w:rsidRDefault="00A07910" w:rsidP="00A953FD">
            <w:pPr>
              <w:spacing w:before="40" w:after="40"/>
              <w:rPr>
                <w:color w:val="000000"/>
                <w:lang w:val="en-GB" w:eastAsia="da-DK"/>
              </w:rPr>
            </w:pPr>
            <w:r w:rsidRPr="008D2EA0">
              <w:rPr>
                <w:color w:val="000000"/>
                <w:lang w:val="en-GB" w:eastAsia="da-DK"/>
              </w:rPr>
              <w:t>277</w:t>
            </w:r>
          </w:p>
        </w:tc>
      </w:tr>
    </w:tbl>
    <w:p w:rsidR="00596D5D" w:rsidRPr="008D2EA0" w:rsidRDefault="00596D5D" w:rsidP="007C3130">
      <w:pPr>
        <w:pStyle w:val="ECCParagraph"/>
        <w:spacing w:before="120"/>
      </w:pPr>
      <w:r w:rsidRPr="008D2EA0">
        <w:t xml:space="preserve">Administrations that would choose this aggregation method would need to introduce new entries in the Plan as there are very few locations with three frequency adjacent blocks in a given area within the Plan as of August 2011 according to the assessment below. </w:t>
      </w:r>
    </w:p>
    <w:p w:rsidR="00596D5D" w:rsidRPr="008D2EA0" w:rsidRDefault="00596D5D" w:rsidP="00596D5D">
      <w:pPr>
        <w:pStyle w:val="ECCParagraph"/>
        <w:rPr>
          <w:b/>
          <w:bCs/>
        </w:rPr>
      </w:pPr>
      <w:r w:rsidRPr="008D2EA0">
        <w:t>Analysis of the MA02 revCO07 Plan shows that there are very few geographical areas with two or three contiguous T-DAB blocks. This outcome results from the fact that only a few countries currently possess in total three layers of Plan entries, neither national nor regional (i.e. within certain geographical areas).</w:t>
      </w:r>
    </w:p>
    <w:p w:rsidR="00596D5D" w:rsidRPr="008D2EA0" w:rsidRDefault="00596D5D" w:rsidP="007C3130">
      <w:pPr>
        <w:pStyle w:val="ECCParagraph"/>
        <w:spacing w:after="120"/>
      </w:pPr>
      <w:r w:rsidRPr="008D2EA0">
        <w:t xml:space="preserve">The Plan was originally established in 1995 at Wiesbaden (WI95) and provided two T-DAB layers on the basis of national requirements either in the 1452-1467 MHz band (see </w:t>
      </w:r>
      <w:r w:rsidR="00A81711" w:rsidRPr="008D2EA0">
        <w:fldChar w:fldCharType="begin"/>
      </w:r>
      <w:r w:rsidR="00A81711" w:rsidRPr="008D2EA0">
        <w:instrText xml:space="preserve"> REF _Ref319331365 \n \h </w:instrText>
      </w:r>
      <w:r w:rsidR="00A81711" w:rsidRPr="008D2EA0">
        <w:fldChar w:fldCharType="separate"/>
      </w:r>
      <w:r w:rsidR="00E73FF2">
        <w:t>Figure 17:</w:t>
      </w:r>
      <w:r w:rsidR="00A81711" w:rsidRPr="008D2EA0">
        <w:fldChar w:fldCharType="end"/>
      </w:r>
      <w:r w:rsidR="00A81711" w:rsidRPr="008D2EA0">
        <w:t xml:space="preserve">and </w:t>
      </w:r>
      <w:r w:rsidR="00A81711" w:rsidRPr="008D2EA0">
        <w:fldChar w:fldCharType="begin"/>
      </w:r>
      <w:r w:rsidR="00A81711" w:rsidRPr="008D2EA0">
        <w:instrText xml:space="preserve"> REF _Ref319331452 \n \h </w:instrText>
      </w:r>
      <w:r w:rsidR="00A81711" w:rsidRPr="008D2EA0">
        <w:fldChar w:fldCharType="separate"/>
      </w:r>
      <w:r w:rsidR="00E73FF2">
        <w:t>Figure 18:</w:t>
      </w:r>
      <w:r w:rsidR="00A81711" w:rsidRPr="008D2EA0">
        <w:fldChar w:fldCharType="end"/>
      </w:r>
      <w:r w:rsidR="00A81711" w:rsidRPr="008D2EA0">
        <w:t xml:space="preserve"> </w:t>
      </w:r>
      <w:r w:rsidRPr="008D2EA0">
        <w:t xml:space="preserve">and/or VHF. At Maastricht 2002 one additional T-DAB layer was planned in the 1452-1479.5 MHz band (see </w:t>
      </w:r>
      <w:r w:rsidR="00A81711" w:rsidRPr="008D2EA0">
        <w:fldChar w:fldCharType="begin"/>
      </w:r>
      <w:r w:rsidR="00A81711" w:rsidRPr="008D2EA0">
        <w:instrText xml:space="preserve"> REF _Ref319331464 \n \h </w:instrText>
      </w:r>
      <w:r w:rsidR="00A81711" w:rsidRPr="008D2EA0">
        <w:fldChar w:fldCharType="separate"/>
      </w:r>
      <w:r w:rsidR="00E73FF2">
        <w:t>Figure 19:</w:t>
      </w:r>
      <w:r w:rsidR="00A81711" w:rsidRPr="008D2EA0">
        <w:fldChar w:fldCharType="end"/>
      </w:r>
      <w:r w:rsidRPr="008D2EA0">
        <w:t>). Furthermore, a new Special Arrangement was established, namely the MA02 Special Arrangement. Following the two planning conferences WI95 and MA02:</w:t>
      </w:r>
    </w:p>
    <w:p w:rsidR="00596D5D" w:rsidRPr="008D2EA0" w:rsidRDefault="00596D5D" w:rsidP="000F6780">
      <w:pPr>
        <w:pStyle w:val="ECCParagraph"/>
        <w:numPr>
          <w:ilvl w:val="0"/>
          <w:numId w:val="11"/>
        </w:numPr>
        <w:spacing w:after="120"/>
      </w:pPr>
      <w:r w:rsidRPr="008D2EA0">
        <w:t>a few countries have three T-DAB layers in the 1.5 GHz band and no T-DAB in VHF</w:t>
      </w:r>
      <w:r w:rsidR="00F77275">
        <w:t>;</w:t>
      </w:r>
      <w:r w:rsidRPr="008D2EA0">
        <w:t xml:space="preserve"> </w:t>
      </w:r>
    </w:p>
    <w:p w:rsidR="00596D5D" w:rsidRPr="008D2EA0" w:rsidRDefault="00596D5D" w:rsidP="000F6780">
      <w:pPr>
        <w:pStyle w:val="ECCParagraph"/>
        <w:numPr>
          <w:ilvl w:val="0"/>
          <w:numId w:val="11"/>
        </w:numPr>
        <w:spacing w:after="120"/>
        <w:ind w:left="714" w:hanging="357"/>
      </w:pPr>
      <w:r w:rsidRPr="008D2EA0">
        <w:t>most countries have two T-DAB layers in the 1.5 GHz band and one VHF layer</w:t>
      </w:r>
      <w:r w:rsidR="00F77275">
        <w:t>;</w:t>
      </w:r>
      <w:r w:rsidRPr="008D2EA0">
        <w:t xml:space="preserve"> </w:t>
      </w:r>
    </w:p>
    <w:p w:rsidR="00DC4FFC" w:rsidRPr="008D2EA0" w:rsidRDefault="00596D5D" w:rsidP="000F6780">
      <w:pPr>
        <w:pStyle w:val="ECCParagraph"/>
        <w:numPr>
          <w:ilvl w:val="0"/>
          <w:numId w:val="11"/>
        </w:numPr>
      </w:pPr>
      <w:r w:rsidRPr="008D2EA0">
        <w:t>only some countries have one T-DAB layer in the 1.5 GHz band and two VHF layers.</w:t>
      </w:r>
    </w:p>
    <w:p w:rsidR="007C3130" w:rsidRPr="008D2EA0" w:rsidRDefault="00CA16D5" w:rsidP="00342C50">
      <w:pPr>
        <w:pStyle w:val="ECCParagraph"/>
        <w:jc w:val="center"/>
      </w:pPr>
      <w:r w:rsidRPr="008D2EA0">
        <w:rPr>
          <w:noProof/>
          <w:lang w:val="da-DK" w:eastAsia="da-DK"/>
        </w:rPr>
        <w:drawing>
          <wp:inline distT="0" distB="0" distL="0" distR="0" wp14:anchorId="6259DF09" wp14:editId="2CCE4FBC">
            <wp:extent cx="5640070" cy="3394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40070" cy="3394075"/>
                    </a:xfrm>
                    <a:prstGeom prst="rect">
                      <a:avLst/>
                    </a:prstGeom>
                    <a:noFill/>
                    <a:ln>
                      <a:noFill/>
                    </a:ln>
                  </pic:spPr>
                </pic:pic>
              </a:graphicData>
            </a:graphic>
          </wp:inline>
        </w:drawing>
      </w:r>
    </w:p>
    <w:p w:rsidR="00026A63" w:rsidRPr="008D2EA0" w:rsidRDefault="00596D5D" w:rsidP="00AC460F">
      <w:pPr>
        <w:pStyle w:val="ECCFiguretitle"/>
      </w:pPr>
      <w:bookmarkStart w:id="188" w:name="_Ref319331365"/>
      <w:r w:rsidRPr="008D2EA0">
        <w:t>T-DAB layer 1 in the 1.5 GHz band originating from WI95 (2007)</w:t>
      </w:r>
      <w:bookmarkEnd w:id="188"/>
    </w:p>
    <w:p w:rsidR="00596D5D" w:rsidRPr="008D2EA0" w:rsidRDefault="00596D5D" w:rsidP="00DC4FFC">
      <w:pPr>
        <w:rPr>
          <w:lang w:val="en-GB"/>
        </w:rPr>
      </w:pPr>
    </w:p>
    <w:p w:rsidR="00596D5D" w:rsidRPr="008D2EA0" w:rsidRDefault="00596D5D" w:rsidP="007C3130">
      <w:pPr>
        <w:jc w:val="center"/>
        <w:rPr>
          <w:lang w:val="en-GB"/>
        </w:rPr>
      </w:pPr>
    </w:p>
    <w:p w:rsidR="00026A63" w:rsidRPr="008D2EA0" w:rsidRDefault="00CA16D5" w:rsidP="00342C50">
      <w:pPr>
        <w:jc w:val="center"/>
        <w:rPr>
          <w:lang w:val="en-GB"/>
        </w:rPr>
      </w:pPr>
      <w:r w:rsidRPr="008D2EA0">
        <w:rPr>
          <w:noProof/>
          <w:lang w:val="da-DK" w:eastAsia="da-DK"/>
        </w:rPr>
        <w:drawing>
          <wp:inline distT="0" distB="0" distL="0" distR="0" wp14:anchorId="01D5B59E" wp14:editId="7EA52B76">
            <wp:extent cx="5640070" cy="3394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40070" cy="3394075"/>
                    </a:xfrm>
                    <a:prstGeom prst="rect">
                      <a:avLst/>
                    </a:prstGeom>
                    <a:noFill/>
                    <a:ln>
                      <a:noFill/>
                    </a:ln>
                  </pic:spPr>
                </pic:pic>
              </a:graphicData>
            </a:graphic>
          </wp:inline>
        </w:drawing>
      </w:r>
    </w:p>
    <w:p w:rsidR="008A54FC" w:rsidRPr="008D2EA0" w:rsidRDefault="00596D5D" w:rsidP="00AC460F">
      <w:pPr>
        <w:pStyle w:val="ECCFiguretitle"/>
      </w:pPr>
      <w:bookmarkStart w:id="189" w:name="_Ref319331452"/>
      <w:r w:rsidRPr="008D2EA0">
        <w:t>T-DAB layer 2 in the 1.5 GHz band originating from WI95 (2007)</w:t>
      </w:r>
      <w:bookmarkEnd w:id="189"/>
    </w:p>
    <w:p w:rsidR="00596D5D" w:rsidRPr="008D2EA0" w:rsidRDefault="00596D5D" w:rsidP="007C3130">
      <w:pPr>
        <w:pStyle w:val="ECCParagraph"/>
        <w:jc w:val="center"/>
      </w:pPr>
    </w:p>
    <w:p w:rsidR="00596D5D" w:rsidRPr="008D2EA0" w:rsidRDefault="00CA16D5" w:rsidP="00342C50">
      <w:pPr>
        <w:pStyle w:val="ECCParagraph"/>
        <w:jc w:val="center"/>
      </w:pPr>
      <w:r w:rsidRPr="008D2EA0">
        <w:rPr>
          <w:noProof/>
          <w:lang w:val="da-DK" w:eastAsia="da-DK"/>
        </w:rPr>
        <w:drawing>
          <wp:inline distT="0" distB="0" distL="0" distR="0" wp14:anchorId="21814F7F" wp14:editId="78D38EAE">
            <wp:extent cx="5640070" cy="3394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40070" cy="3394075"/>
                    </a:xfrm>
                    <a:prstGeom prst="rect">
                      <a:avLst/>
                    </a:prstGeom>
                    <a:noFill/>
                    <a:ln>
                      <a:noFill/>
                    </a:ln>
                  </pic:spPr>
                </pic:pic>
              </a:graphicData>
            </a:graphic>
          </wp:inline>
        </w:drawing>
      </w:r>
    </w:p>
    <w:p w:rsidR="00596D5D" w:rsidRPr="008D2EA0" w:rsidRDefault="00596D5D" w:rsidP="00AC460F">
      <w:pPr>
        <w:pStyle w:val="ECCFiguretitle"/>
      </w:pPr>
      <w:bookmarkStart w:id="190" w:name="_Ref319331464"/>
      <w:r w:rsidRPr="008D2EA0">
        <w:t>T-DAB layer 3 in the 1.5 GHz band originating from MA02revCO07 (2007)</w:t>
      </w:r>
      <w:bookmarkEnd w:id="190"/>
    </w:p>
    <w:p w:rsidR="00A81711" w:rsidRPr="008D2EA0" w:rsidRDefault="00A81711" w:rsidP="00A81711">
      <w:pPr>
        <w:pStyle w:val="ECCAnnexheading2"/>
        <w:rPr>
          <w:bCs/>
          <w:lang w:val="en-GB"/>
        </w:rPr>
      </w:pPr>
      <w:r w:rsidRPr="008D2EA0">
        <w:rPr>
          <w:bCs/>
          <w:lang w:val="en-GB"/>
        </w:rPr>
        <w:t>Potential addition of contiguous blocks in a given area</w:t>
      </w:r>
    </w:p>
    <w:p w:rsidR="00A81711" w:rsidRPr="008D2EA0" w:rsidRDefault="00A81711" w:rsidP="00F77275">
      <w:pPr>
        <w:pStyle w:val="ECCParagraph"/>
        <w:spacing w:after="120"/>
      </w:pPr>
      <w:r w:rsidRPr="008D2EA0">
        <w:lastRenderedPageBreak/>
        <w:t xml:space="preserve">The </w:t>
      </w:r>
      <w:r w:rsidRPr="008D2EA0">
        <w:rPr>
          <w:rFonts w:cs="Arial"/>
          <w:szCs w:val="20"/>
        </w:rPr>
        <w:t>MA02revCO07</w:t>
      </w:r>
      <w:r w:rsidRPr="008D2EA0">
        <w:t xml:space="preserve"> contains procedures for the addition or modification of an allotment (Annex 4, section 3 of the </w:t>
      </w:r>
      <w:r w:rsidRPr="008D2EA0">
        <w:rPr>
          <w:rFonts w:cs="Arial"/>
          <w:szCs w:val="20"/>
        </w:rPr>
        <w:t>MA02revCO07</w:t>
      </w:r>
      <w:r w:rsidRPr="008D2EA0">
        <w:t>) which enables addition of new contiguous blocks in a given area. Co-ordination is necessary if a new allotment would:</w:t>
      </w:r>
    </w:p>
    <w:p w:rsidR="00A81711" w:rsidRPr="008D2EA0" w:rsidRDefault="00A81711" w:rsidP="000F6780">
      <w:pPr>
        <w:numPr>
          <w:ilvl w:val="0"/>
          <w:numId w:val="12"/>
        </w:numPr>
        <w:autoSpaceDE w:val="0"/>
        <w:autoSpaceDN w:val="0"/>
        <w:adjustRightInd w:val="0"/>
        <w:rPr>
          <w:lang w:val="en-GB"/>
        </w:rPr>
      </w:pPr>
      <w:r w:rsidRPr="008D2EA0">
        <w:rPr>
          <w:lang w:val="en-GB"/>
        </w:rPr>
        <w:t xml:space="preserve">cause field strengths greater than or equal to 38 dB(μV/m) at the boundary of any other administration; or, </w:t>
      </w:r>
    </w:p>
    <w:p w:rsidR="00A81711" w:rsidRPr="008D2EA0" w:rsidRDefault="00A81711" w:rsidP="000F6780">
      <w:pPr>
        <w:numPr>
          <w:ilvl w:val="0"/>
          <w:numId w:val="12"/>
        </w:numPr>
        <w:autoSpaceDE w:val="0"/>
        <w:autoSpaceDN w:val="0"/>
        <w:adjustRightInd w:val="0"/>
        <w:rPr>
          <w:lang w:val="en-GB"/>
        </w:rPr>
      </w:pPr>
      <w:r w:rsidRPr="008D2EA0">
        <w:rPr>
          <w:lang w:val="en-GB"/>
        </w:rPr>
        <w:t>with regard to any other services, cause field strengths greater than or equal to the maximum allowable interfering field strengths at the boundary of any other administration.</w:t>
      </w:r>
    </w:p>
    <w:p w:rsidR="00A81711" w:rsidRPr="008D2EA0" w:rsidRDefault="00A81711" w:rsidP="00A81711">
      <w:pPr>
        <w:autoSpaceDE w:val="0"/>
        <w:autoSpaceDN w:val="0"/>
        <w:adjustRightInd w:val="0"/>
        <w:rPr>
          <w:lang w:val="en-GB"/>
        </w:rPr>
      </w:pPr>
    </w:p>
    <w:p w:rsidR="00A81711" w:rsidRPr="008D2EA0" w:rsidRDefault="00A81711" w:rsidP="00AD5DA1">
      <w:pPr>
        <w:pStyle w:val="ECCParagraph"/>
      </w:pPr>
      <w:r w:rsidRPr="008D2EA0">
        <w:t>No coordination is required where the above limits are not exceeded. In practice, this corresponds to those parts of a country which are separated from the boundary of each neighbouring administration by a certain distance. This distance depends on:</w:t>
      </w:r>
    </w:p>
    <w:p w:rsidR="00A81711" w:rsidRPr="008D2EA0" w:rsidRDefault="00A81711" w:rsidP="000F6780">
      <w:pPr>
        <w:numPr>
          <w:ilvl w:val="0"/>
          <w:numId w:val="13"/>
        </w:numPr>
        <w:rPr>
          <w:lang w:val="en-GB"/>
        </w:rPr>
      </w:pPr>
      <w:r w:rsidRPr="008D2EA0">
        <w:rPr>
          <w:lang w:val="en-GB"/>
        </w:rPr>
        <w:t>the reference network (see section 5 – Annex 2 - of the Special Arrangement) associated with a particular allotment;</w:t>
      </w:r>
    </w:p>
    <w:p w:rsidR="00A81711" w:rsidRPr="008D2EA0" w:rsidRDefault="00A81711" w:rsidP="000F6780">
      <w:pPr>
        <w:numPr>
          <w:ilvl w:val="0"/>
          <w:numId w:val="13"/>
        </w:numPr>
        <w:autoSpaceDE w:val="0"/>
        <w:autoSpaceDN w:val="0"/>
        <w:adjustRightInd w:val="0"/>
        <w:rPr>
          <w:rFonts w:eastAsia="SymbolMT"/>
          <w:lang w:val="en-GB"/>
        </w:rPr>
      </w:pPr>
      <w:r w:rsidRPr="008D2EA0">
        <w:rPr>
          <w:rFonts w:eastAsia="SymbolMT"/>
          <w:lang w:val="en-GB"/>
        </w:rPr>
        <w:t>the type of service to be provided;</w:t>
      </w:r>
    </w:p>
    <w:p w:rsidR="00A81711" w:rsidRPr="008D2EA0" w:rsidRDefault="00A81711" w:rsidP="000F6780">
      <w:pPr>
        <w:numPr>
          <w:ilvl w:val="0"/>
          <w:numId w:val="13"/>
        </w:numPr>
        <w:autoSpaceDE w:val="0"/>
        <w:autoSpaceDN w:val="0"/>
        <w:adjustRightInd w:val="0"/>
        <w:rPr>
          <w:rFonts w:eastAsia="SymbolMT"/>
          <w:lang w:val="en-GB"/>
        </w:rPr>
      </w:pPr>
      <w:r w:rsidRPr="008D2EA0">
        <w:rPr>
          <w:rFonts w:eastAsia="SymbolMT"/>
          <w:lang w:val="en-GB"/>
        </w:rPr>
        <w:t>the existence of other services in the neighbouring administration and</w:t>
      </w:r>
    </w:p>
    <w:p w:rsidR="00A81711" w:rsidRPr="008D2EA0" w:rsidRDefault="00A81711" w:rsidP="000F6780">
      <w:pPr>
        <w:pStyle w:val="ECCParagraph"/>
        <w:numPr>
          <w:ilvl w:val="0"/>
          <w:numId w:val="14"/>
        </w:numPr>
      </w:pPr>
      <w:r w:rsidRPr="008D2EA0">
        <w:rPr>
          <w:rFonts w:eastAsia="SymbolMT"/>
        </w:rPr>
        <w:t>the type of propagation path (Land, Cold Sea, Warm Sea or mixed) between the boundary of the new allotment and the boundary of each neighbouring administration</w:t>
      </w:r>
    </w:p>
    <w:p w:rsidR="00A81711" w:rsidRPr="008D2EA0" w:rsidRDefault="00A81711">
      <w:pPr>
        <w:rPr>
          <w:lang w:val="en-GB"/>
        </w:rPr>
      </w:pPr>
      <w:r w:rsidRPr="008D2EA0">
        <w:rPr>
          <w:lang w:val="en-GB"/>
        </w:rPr>
        <w:br w:type="page"/>
      </w:r>
    </w:p>
    <w:p w:rsidR="00A81711" w:rsidRPr="008D2EA0" w:rsidRDefault="00A81711" w:rsidP="00F21C76">
      <w:pPr>
        <w:pStyle w:val="ECCTabletitle"/>
      </w:pPr>
      <w:r w:rsidRPr="008D2EA0">
        <w:rPr>
          <w:rFonts w:eastAsia="SymbolMT"/>
        </w:rPr>
        <w:lastRenderedPageBreak/>
        <w:t>Typical reference network separation distances used when developing the Plan (based on Recommendation ITU-R P.370-7) for compatibility between T-DAB allotments operating on the same block</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4"/>
        <w:gridCol w:w="1386"/>
        <w:gridCol w:w="2088"/>
        <w:gridCol w:w="2165"/>
        <w:gridCol w:w="2092"/>
      </w:tblGrid>
      <w:tr w:rsidR="00A81711" w:rsidRPr="008D2EA0" w:rsidTr="00A81711">
        <w:trPr>
          <w:tblHeader/>
        </w:trPr>
        <w:tc>
          <w:tcPr>
            <w:tcW w:w="3510" w:type="dxa"/>
            <w:gridSpan w:val="2"/>
            <w:tcBorders>
              <w:right w:val="single" w:sz="8" w:space="0" w:color="FFFFFF"/>
            </w:tcBorders>
            <w:shd w:val="clear" w:color="auto" w:fill="D2232A"/>
            <w:vAlign w:val="center"/>
          </w:tcPr>
          <w:p w:rsidR="00A81711" w:rsidRPr="008D2EA0" w:rsidRDefault="00A81711" w:rsidP="00A81711">
            <w:pPr>
              <w:spacing w:line="288" w:lineRule="auto"/>
              <w:jc w:val="center"/>
              <w:rPr>
                <w:b/>
                <w:color w:val="FFFFFF" w:themeColor="background1"/>
                <w:sz w:val="18"/>
                <w:szCs w:val="18"/>
                <w:lang w:val="en-GB"/>
              </w:rPr>
            </w:pPr>
          </w:p>
        </w:tc>
        <w:tc>
          <w:tcPr>
            <w:tcW w:w="2088" w:type="dxa"/>
            <w:tcBorders>
              <w:left w:val="single" w:sz="8" w:space="0" w:color="FFFFFF"/>
              <w:right w:val="single" w:sz="8" w:space="0" w:color="FFFFFF"/>
            </w:tcBorders>
            <w:shd w:val="clear" w:color="auto" w:fill="D2232A"/>
            <w:vAlign w:val="center"/>
          </w:tcPr>
          <w:p w:rsidR="00A81711" w:rsidRPr="008D2EA0" w:rsidRDefault="00A81711" w:rsidP="00A81711">
            <w:pPr>
              <w:jc w:val="center"/>
              <w:rPr>
                <w:b/>
                <w:bCs/>
                <w:color w:val="FFFFFF" w:themeColor="background1"/>
                <w:sz w:val="18"/>
                <w:szCs w:val="18"/>
                <w:lang w:val="en-GB"/>
              </w:rPr>
            </w:pPr>
            <w:r w:rsidRPr="008D2EA0">
              <w:rPr>
                <w:b/>
                <w:bCs/>
                <w:color w:val="FFFFFF" w:themeColor="background1"/>
                <w:sz w:val="18"/>
                <w:szCs w:val="18"/>
                <w:lang w:val="en-GB"/>
              </w:rPr>
              <w:t>Reference network 1</w:t>
            </w:r>
            <w:r w:rsidRPr="008D2EA0">
              <w:rPr>
                <w:b/>
                <w:bCs/>
                <w:color w:val="FFFFFF" w:themeColor="background1"/>
                <w:sz w:val="18"/>
                <w:szCs w:val="18"/>
                <w:lang w:val="en-GB"/>
              </w:rPr>
              <w:br/>
              <w:t xml:space="preserve"> (L-RN1)</w:t>
            </w:r>
          </w:p>
          <w:p w:rsidR="00A81711" w:rsidRPr="008D2EA0" w:rsidRDefault="00A81711" w:rsidP="00A81711">
            <w:pPr>
              <w:spacing w:line="288" w:lineRule="auto"/>
              <w:jc w:val="center"/>
              <w:rPr>
                <w:b/>
                <w:color w:val="FFFFFF" w:themeColor="background1"/>
                <w:sz w:val="18"/>
                <w:szCs w:val="18"/>
                <w:lang w:val="en-GB"/>
              </w:rPr>
            </w:pPr>
            <w:r w:rsidRPr="008D2EA0">
              <w:rPr>
                <w:b/>
                <w:bCs/>
                <w:color w:val="FFFFFF" w:themeColor="background1"/>
                <w:sz w:val="18"/>
                <w:szCs w:val="18"/>
                <w:lang w:val="en-GB"/>
              </w:rPr>
              <w:t>receiving interference</w:t>
            </w:r>
          </w:p>
        </w:tc>
        <w:tc>
          <w:tcPr>
            <w:tcW w:w="2165" w:type="dxa"/>
            <w:tcBorders>
              <w:left w:val="single" w:sz="8" w:space="0" w:color="FFFFFF"/>
              <w:right w:val="single" w:sz="8" w:space="0" w:color="FFFFFF"/>
            </w:tcBorders>
            <w:shd w:val="clear" w:color="auto" w:fill="D2232A"/>
            <w:vAlign w:val="center"/>
          </w:tcPr>
          <w:p w:rsidR="00A81711" w:rsidRPr="008D2EA0" w:rsidRDefault="00A81711" w:rsidP="00A81711">
            <w:pPr>
              <w:jc w:val="center"/>
              <w:rPr>
                <w:b/>
                <w:bCs/>
                <w:color w:val="FFFFFF" w:themeColor="background1"/>
                <w:sz w:val="18"/>
                <w:szCs w:val="18"/>
                <w:lang w:val="en-GB"/>
              </w:rPr>
            </w:pPr>
            <w:r w:rsidRPr="008D2EA0">
              <w:rPr>
                <w:b/>
                <w:bCs/>
                <w:color w:val="FFFFFF" w:themeColor="background1"/>
                <w:sz w:val="18"/>
                <w:szCs w:val="18"/>
                <w:lang w:val="en-GB"/>
              </w:rPr>
              <w:t xml:space="preserve">Reference network 2 </w:t>
            </w:r>
            <w:r w:rsidRPr="008D2EA0">
              <w:rPr>
                <w:b/>
                <w:bCs/>
                <w:color w:val="FFFFFF" w:themeColor="background1"/>
                <w:sz w:val="18"/>
                <w:szCs w:val="18"/>
                <w:lang w:val="en-GB"/>
              </w:rPr>
              <w:br/>
              <w:t>(L-RN2)</w:t>
            </w:r>
          </w:p>
          <w:p w:rsidR="00A81711" w:rsidRPr="008D2EA0" w:rsidRDefault="00A81711" w:rsidP="00A81711">
            <w:pPr>
              <w:spacing w:line="288" w:lineRule="auto"/>
              <w:jc w:val="center"/>
              <w:rPr>
                <w:b/>
                <w:color w:val="FFFFFF" w:themeColor="background1"/>
                <w:sz w:val="18"/>
                <w:szCs w:val="18"/>
                <w:lang w:val="en-GB"/>
              </w:rPr>
            </w:pPr>
            <w:r w:rsidRPr="008D2EA0">
              <w:rPr>
                <w:b/>
                <w:bCs/>
                <w:color w:val="FFFFFF" w:themeColor="background1"/>
                <w:sz w:val="18"/>
                <w:szCs w:val="18"/>
                <w:lang w:val="en-GB"/>
              </w:rPr>
              <w:t>receiving interference</w:t>
            </w:r>
          </w:p>
        </w:tc>
        <w:tc>
          <w:tcPr>
            <w:tcW w:w="2092" w:type="dxa"/>
            <w:tcBorders>
              <w:left w:val="single" w:sz="8" w:space="0" w:color="FFFFFF"/>
            </w:tcBorders>
            <w:shd w:val="clear" w:color="auto" w:fill="D2232A"/>
            <w:vAlign w:val="center"/>
          </w:tcPr>
          <w:p w:rsidR="00A81711" w:rsidRPr="008D2EA0" w:rsidRDefault="00A81711" w:rsidP="00A81711">
            <w:pPr>
              <w:jc w:val="center"/>
              <w:rPr>
                <w:b/>
                <w:color w:val="FFFFFF" w:themeColor="background1"/>
                <w:sz w:val="18"/>
                <w:szCs w:val="18"/>
                <w:lang w:val="en-GB"/>
              </w:rPr>
            </w:pPr>
            <w:r w:rsidRPr="008D2EA0">
              <w:rPr>
                <w:b/>
                <w:bCs/>
                <w:color w:val="FFFFFF" w:themeColor="background1"/>
                <w:sz w:val="18"/>
                <w:szCs w:val="18"/>
                <w:lang w:val="en-GB"/>
              </w:rPr>
              <w:t xml:space="preserve">Reference network 3 </w:t>
            </w:r>
            <w:r w:rsidRPr="008D2EA0">
              <w:rPr>
                <w:b/>
                <w:bCs/>
                <w:color w:val="FFFFFF" w:themeColor="background1"/>
                <w:sz w:val="18"/>
                <w:szCs w:val="18"/>
                <w:lang w:val="en-GB"/>
              </w:rPr>
              <w:br/>
              <w:t>(L-RN3)</w:t>
            </w:r>
            <w:r w:rsidRPr="008D2EA0">
              <w:rPr>
                <w:b/>
                <w:bCs/>
                <w:color w:val="FFFFFF" w:themeColor="background1"/>
                <w:sz w:val="18"/>
                <w:szCs w:val="18"/>
                <w:lang w:val="en-GB"/>
              </w:rPr>
              <w:br/>
              <w:t>receiving interference</w:t>
            </w:r>
            <w:r w:rsidRPr="008D2EA0">
              <w:rPr>
                <w:b/>
                <w:color w:val="FFFFFF" w:themeColor="background1"/>
                <w:sz w:val="18"/>
                <w:szCs w:val="18"/>
                <w:lang w:val="en-GB"/>
              </w:rPr>
              <w:t xml:space="preserve"> </w:t>
            </w:r>
          </w:p>
        </w:tc>
      </w:tr>
      <w:tr w:rsidR="00A81711" w:rsidRPr="008D2EA0" w:rsidTr="00A81711">
        <w:tc>
          <w:tcPr>
            <w:tcW w:w="3510" w:type="dxa"/>
            <w:gridSpan w:val="2"/>
            <w:vAlign w:val="center"/>
          </w:tcPr>
          <w:p w:rsidR="00A81711" w:rsidRPr="008D2EA0" w:rsidRDefault="00A81711" w:rsidP="00A81711">
            <w:pPr>
              <w:spacing w:line="288" w:lineRule="auto"/>
              <w:rPr>
                <w:sz w:val="18"/>
                <w:szCs w:val="18"/>
                <w:lang w:val="en-GB"/>
              </w:rPr>
            </w:pPr>
            <w:r w:rsidRPr="008D2EA0">
              <w:rPr>
                <w:sz w:val="18"/>
                <w:szCs w:val="18"/>
                <w:lang w:val="en-GB"/>
              </w:rPr>
              <w:t>Maximum permissible co-block interfering field strength (dB</w:t>
            </w:r>
            <w:r w:rsidRPr="008D2EA0">
              <w:rPr>
                <w:sz w:val="18"/>
                <w:szCs w:val="18"/>
                <w:lang w:val="en-GB"/>
              </w:rPr>
              <w:sym w:font="Symbol" w:char="F06D"/>
            </w:r>
            <w:r w:rsidRPr="008D2EA0">
              <w:rPr>
                <w:sz w:val="18"/>
                <w:szCs w:val="18"/>
                <w:lang w:val="en-GB"/>
              </w:rPr>
              <w:t>V/m)</w:t>
            </w:r>
          </w:p>
        </w:tc>
        <w:tc>
          <w:tcPr>
            <w:tcW w:w="2088" w:type="dxa"/>
            <w:vAlign w:val="center"/>
          </w:tcPr>
          <w:p w:rsidR="00A81711" w:rsidRPr="008D2EA0" w:rsidRDefault="00A81711" w:rsidP="009A4015">
            <w:pPr>
              <w:rPr>
                <w:sz w:val="18"/>
                <w:szCs w:val="18"/>
                <w:lang w:val="en-GB"/>
              </w:rPr>
            </w:pPr>
            <w:r w:rsidRPr="008D2EA0">
              <w:rPr>
                <w:sz w:val="18"/>
                <w:szCs w:val="18"/>
                <w:lang w:val="en-GB"/>
              </w:rPr>
              <w:t>41 dB</w:t>
            </w:r>
            <w:r w:rsidRPr="008D2EA0">
              <w:rPr>
                <w:sz w:val="18"/>
                <w:szCs w:val="18"/>
                <w:lang w:val="en-GB"/>
              </w:rPr>
              <w:sym w:font="Symbol" w:char="F06D"/>
            </w:r>
            <w:r w:rsidRPr="008D2EA0">
              <w:rPr>
                <w:sz w:val="18"/>
                <w:szCs w:val="18"/>
                <w:lang w:val="en-GB"/>
              </w:rPr>
              <w:t xml:space="preserve">V/m </w:t>
            </w:r>
          </w:p>
        </w:tc>
        <w:tc>
          <w:tcPr>
            <w:tcW w:w="2165" w:type="dxa"/>
            <w:vAlign w:val="center"/>
          </w:tcPr>
          <w:p w:rsidR="00A81711" w:rsidRPr="008D2EA0" w:rsidRDefault="00A81711" w:rsidP="009A4015">
            <w:pPr>
              <w:rPr>
                <w:sz w:val="18"/>
                <w:szCs w:val="18"/>
                <w:lang w:val="en-GB"/>
              </w:rPr>
            </w:pPr>
            <w:r w:rsidRPr="008D2EA0">
              <w:rPr>
                <w:sz w:val="18"/>
                <w:szCs w:val="18"/>
                <w:lang w:val="en-GB"/>
              </w:rPr>
              <w:t>43 dB</w:t>
            </w:r>
            <w:r w:rsidRPr="008D2EA0">
              <w:rPr>
                <w:sz w:val="18"/>
                <w:szCs w:val="18"/>
                <w:lang w:val="en-GB"/>
              </w:rPr>
              <w:sym w:font="Symbol" w:char="F06D"/>
            </w:r>
            <w:r w:rsidRPr="008D2EA0">
              <w:rPr>
                <w:sz w:val="18"/>
                <w:szCs w:val="18"/>
                <w:lang w:val="en-GB"/>
              </w:rPr>
              <w:t xml:space="preserve">V/m </w:t>
            </w:r>
          </w:p>
        </w:tc>
        <w:tc>
          <w:tcPr>
            <w:tcW w:w="2092" w:type="dxa"/>
            <w:vAlign w:val="center"/>
          </w:tcPr>
          <w:p w:rsidR="00A81711" w:rsidRPr="008D2EA0" w:rsidRDefault="00A81711" w:rsidP="009A4015">
            <w:pPr>
              <w:rPr>
                <w:sz w:val="18"/>
                <w:szCs w:val="18"/>
                <w:lang w:val="en-GB"/>
              </w:rPr>
            </w:pPr>
            <w:r w:rsidRPr="008D2EA0">
              <w:rPr>
                <w:sz w:val="18"/>
                <w:szCs w:val="18"/>
                <w:lang w:val="en-GB"/>
              </w:rPr>
              <w:t>45 dB</w:t>
            </w:r>
            <w:r w:rsidRPr="008D2EA0">
              <w:rPr>
                <w:sz w:val="18"/>
                <w:szCs w:val="18"/>
                <w:lang w:val="en-GB"/>
              </w:rPr>
              <w:sym w:font="Symbol" w:char="F06D"/>
            </w:r>
            <w:r w:rsidRPr="008D2EA0">
              <w:rPr>
                <w:sz w:val="18"/>
                <w:szCs w:val="18"/>
                <w:lang w:val="en-GB"/>
              </w:rPr>
              <w:t xml:space="preserve">V/m </w:t>
            </w:r>
          </w:p>
        </w:tc>
      </w:tr>
      <w:tr w:rsidR="00A81711" w:rsidRPr="008D2EA0" w:rsidTr="00A81711">
        <w:tc>
          <w:tcPr>
            <w:tcW w:w="2124" w:type="dxa"/>
            <w:vMerge w:val="restart"/>
            <w:vAlign w:val="center"/>
          </w:tcPr>
          <w:p w:rsidR="00A81711" w:rsidRPr="008D2EA0" w:rsidRDefault="00A81711" w:rsidP="00A81711">
            <w:pPr>
              <w:spacing w:line="288" w:lineRule="auto"/>
              <w:rPr>
                <w:sz w:val="18"/>
                <w:szCs w:val="18"/>
                <w:lang w:val="en-GB"/>
              </w:rPr>
            </w:pPr>
            <w:r w:rsidRPr="008D2EA0">
              <w:rPr>
                <w:b/>
                <w:bCs/>
                <w:sz w:val="18"/>
                <w:szCs w:val="18"/>
                <w:lang w:val="en-GB"/>
              </w:rPr>
              <w:t>Reference network 1 (L-RN1) as interferer</w:t>
            </w:r>
          </w:p>
        </w:tc>
        <w:tc>
          <w:tcPr>
            <w:tcW w:w="1386" w:type="dxa"/>
          </w:tcPr>
          <w:p w:rsidR="00A81711" w:rsidRPr="008D2EA0" w:rsidRDefault="00A81711" w:rsidP="00A81711">
            <w:pPr>
              <w:rPr>
                <w:sz w:val="18"/>
                <w:szCs w:val="18"/>
                <w:lang w:val="en-GB"/>
              </w:rPr>
            </w:pPr>
            <w:r w:rsidRPr="008D2EA0">
              <w:rPr>
                <w:sz w:val="18"/>
                <w:szCs w:val="18"/>
                <w:lang w:val="en-GB"/>
              </w:rPr>
              <w:t>Land</w:t>
            </w:r>
          </w:p>
        </w:tc>
        <w:tc>
          <w:tcPr>
            <w:tcW w:w="2088" w:type="dxa"/>
            <w:vAlign w:val="center"/>
          </w:tcPr>
          <w:p w:rsidR="00A81711" w:rsidRPr="008D2EA0" w:rsidRDefault="00A81711" w:rsidP="009A4015">
            <w:pPr>
              <w:rPr>
                <w:sz w:val="18"/>
                <w:szCs w:val="18"/>
                <w:lang w:val="en-GB"/>
              </w:rPr>
            </w:pPr>
            <w:r w:rsidRPr="008D2EA0">
              <w:rPr>
                <w:sz w:val="18"/>
                <w:szCs w:val="18"/>
                <w:lang w:val="en-GB"/>
              </w:rPr>
              <w:t>50 km</w:t>
            </w:r>
          </w:p>
        </w:tc>
        <w:tc>
          <w:tcPr>
            <w:tcW w:w="2165" w:type="dxa"/>
            <w:vAlign w:val="center"/>
          </w:tcPr>
          <w:p w:rsidR="00A81711" w:rsidRPr="008D2EA0" w:rsidRDefault="00A81711" w:rsidP="009A4015">
            <w:pPr>
              <w:rPr>
                <w:sz w:val="18"/>
                <w:szCs w:val="18"/>
                <w:lang w:val="en-GB"/>
              </w:rPr>
            </w:pPr>
            <w:r w:rsidRPr="008D2EA0">
              <w:rPr>
                <w:sz w:val="18"/>
                <w:szCs w:val="18"/>
                <w:lang w:val="en-GB"/>
              </w:rPr>
              <w:t>44 km</w:t>
            </w:r>
          </w:p>
        </w:tc>
        <w:tc>
          <w:tcPr>
            <w:tcW w:w="2092" w:type="dxa"/>
            <w:vAlign w:val="center"/>
          </w:tcPr>
          <w:p w:rsidR="00A81711" w:rsidRPr="008D2EA0" w:rsidRDefault="00A81711" w:rsidP="009A4015">
            <w:pPr>
              <w:rPr>
                <w:sz w:val="18"/>
                <w:szCs w:val="18"/>
                <w:lang w:val="en-GB"/>
              </w:rPr>
            </w:pPr>
            <w:r w:rsidRPr="008D2EA0">
              <w:rPr>
                <w:sz w:val="18"/>
                <w:szCs w:val="18"/>
                <w:lang w:val="en-GB"/>
              </w:rPr>
              <w:t>38 km</w:t>
            </w:r>
          </w:p>
        </w:tc>
      </w:tr>
      <w:tr w:rsidR="00A81711" w:rsidRPr="008D2EA0" w:rsidTr="00A81711">
        <w:tc>
          <w:tcPr>
            <w:tcW w:w="2124" w:type="dxa"/>
            <w:vMerge/>
            <w:vAlign w:val="center"/>
          </w:tcPr>
          <w:p w:rsidR="00A81711" w:rsidRPr="008D2EA0" w:rsidRDefault="00A81711" w:rsidP="00A81711">
            <w:pPr>
              <w:spacing w:line="288" w:lineRule="auto"/>
              <w:rPr>
                <w:sz w:val="18"/>
                <w:szCs w:val="18"/>
                <w:lang w:val="en-GB"/>
              </w:rPr>
            </w:pPr>
          </w:p>
        </w:tc>
        <w:tc>
          <w:tcPr>
            <w:tcW w:w="1386" w:type="dxa"/>
          </w:tcPr>
          <w:p w:rsidR="00A81711" w:rsidRPr="008D2EA0" w:rsidRDefault="00A81711" w:rsidP="00A81711">
            <w:pPr>
              <w:rPr>
                <w:sz w:val="18"/>
                <w:szCs w:val="18"/>
                <w:lang w:val="en-GB"/>
              </w:rPr>
            </w:pPr>
            <w:r w:rsidRPr="008D2EA0">
              <w:rPr>
                <w:sz w:val="18"/>
                <w:szCs w:val="18"/>
                <w:lang w:val="en-GB"/>
              </w:rPr>
              <w:t>Cold sea</w:t>
            </w:r>
          </w:p>
        </w:tc>
        <w:tc>
          <w:tcPr>
            <w:tcW w:w="2088" w:type="dxa"/>
            <w:vAlign w:val="center"/>
          </w:tcPr>
          <w:p w:rsidR="00A81711" w:rsidRPr="008D2EA0" w:rsidRDefault="00A81711" w:rsidP="009A4015">
            <w:pPr>
              <w:rPr>
                <w:sz w:val="18"/>
                <w:szCs w:val="18"/>
                <w:lang w:val="en-GB"/>
              </w:rPr>
            </w:pPr>
            <w:r w:rsidRPr="008D2EA0">
              <w:rPr>
                <w:sz w:val="18"/>
                <w:szCs w:val="18"/>
                <w:lang w:val="en-GB"/>
              </w:rPr>
              <w:t>314 km</w:t>
            </w:r>
          </w:p>
        </w:tc>
        <w:tc>
          <w:tcPr>
            <w:tcW w:w="2165" w:type="dxa"/>
            <w:vAlign w:val="center"/>
          </w:tcPr>
          <w:p w:rsidR="00A81711" w:rsidRPr="008D2EA0" w:rsidRDefault="00A81711" w:rsidP="009A4015">
            <w:pPr>
              <w:rPr>
                <w:sz w:val="18"/>
                <w:szCs w:val="18"/>
                <w:lang w:val="en-GB"/>
              </w:rPr>
            </w:pPr>
            <w:r w:rsidRPr="008D2EA0">
              <w:rPr>
                <w:sz w:val="18"/>
                <w:szCs w:val="18"/>
                <w:lang w:val="en-GB"/>
              </w:rPr>
              <w:t>290 km</w:t>
            </w:r>
          </w:p>
        </w:tc>
        <w:tc>
          <w:tcPr>
            <w:tcW w:w="2092" w:type="dxa"/>
            <w:vAlign w:val="center"/>
          </w:tcPr>
          <w:p w:rsidR="00A81711" w:rsidRPr="008D2EA0" w:rsidRDefault="00A81711" w:rsidP="009A4015">
            <w:pPr>
              <w:rPr>
                <w:sz w:val="18"/>
                <w:szCs w:val="18"/>
                <w:lang w:val="en-GB"/>
              </w:rPr>
            </w:pPr>
            <w:r w:rsidRPr="008D2EA0">
              <w:rPr>
                <w:sz w:val="18"/>
                <w:szCs w:val="18"/>
                <w:lang w:val="en-GB"/>
              </w:rPr>
              <w:t>269 km</w:t>
            </w:r>
          </w:p>
        </w:tc>
      </w:tr>
      <w:tr w:rsidR="00A81711" w:rsidRPr="008D2EA0" w:rsidTr="00A81711">
        <w:tc>
          <w:tcPr>
            <w:tcW w:w="2124" w:type="dxa"/>
            <w:vMerge/>
            <w:vAlign w:val="center"/>
          </w:tcPr>
          <w:p w:rsidR="00A81711" w:rsidRPr="008D2EA0" w:rsidRDefault="00A81711" w:rsidP="00A81711">
            <w:pPr>
              <w:spacing w:line="288" w:lineRule="auto"/>
              <w:rPr>
                <w:sz w:val="18"/>
                <w:szCs w:val="18"/>
                <w:lang w:val="en-GB"/>
              </w:rPr>
            </w:pPr>
          </w:p>
        </w:tc>
        <w:tc>
          <w:tcPr>
            <w:tcW w:w="1386" w:type="dxa"/>
          </w:tcPr>
          <w:p w:rsidR="00A81711" w:rsidRPr="008D2EA0" w:rsidRDefault="00A81711" w:rsidP="00A81711">
            <w:pPr>
              <w:rPr>
                <w:sz w:val="18"/>
                <w:szCs w:val="18"/>
                <w:lang w:val="en-GB"/>
              </w:rPr>
            </w:pPr>
            <w:r w:rsidRPr="008D2EA0">
              <w:rPr>
                <w:sz w:val="18"/>
                <w:szCs w:val="18"/>
                <w:lang w:val="en-GB"/>
              </w:rPr>
              <w:t>Warm sea</w:t>
            </w:r>
          </w:p>
        </w:tc>
        <w:tc>
          <w:tcPr>
            <w:tcW w:w="2088" w:type="dxa"/>
            <w:vAlign w:val="center"/>
          </w:tcPr>
          <w:p w:rsidR="00A81711" w:rsidRPr="008D2EA0" w:rsidRDefault="00A81711" w:rsidP="009A4015">
            <w:pPr>
              <w:rPr>
                <w:sz w:val="18"/>
                <w:szCs w:val="18"/>
                <w:lang w:val="en-GB"/>
              </w:rPr>
            </w:pPr>
            <w:r w:rsidRPr="008D2EA0">
              <w:rPr>
                <w:sz w:val="18"/>
                <w:szCs w:val="18"/>
                <w:lang w:val="en-GB"/>
              </w:rPr>
              <w:t>434 km</w:t>
            </w:r>
          </w:p>
        </w:tc>
        <w:tc>
          <w:tcPr>
            <w:tcW w:w="2165" w:type="dxa"/>
            <w:vAlign w:val="center"/>
          </w:tcPr>
          <w:p w:rsidR="00A81711" w:rsidRPr="008D2EA0" w:rsidRDefault="00A81711" w:rsidP="009A4015">
            <w:pPr>
              <w:rPr>
                <w:sz w:val="18"/>
                <w:szCs w:val="18"/>
                <w:lang w:val="en-GB"/>
              </w:rPr>
            </w:pPr>
            <w:r w:rsidRPr="008D2EA0">
              <w:rPr>
                <w:sz w:val="18"/>
                <w:szCs w:val="18"/>
                <w:lang w:val="en-GB"/>
              </w:rPr>
              <w:t>392 km</w:t>
            </w:r>
          </w:p>
        </w:tc>
        <w:tc>
          <w:tcPr>
            <w:tcW w:w="2092" w:type="dxa"/>
            <w:vAlign w:val="center"/>
          </w:tcPr>
          <w:p w:rsidR="00A81711" w:rsidRPr="008D2EA0" w:rsidRDefault="00A81711" w:rsidP="009A4015">
            <w:pPr>
              <w:rPr>
                <w:sz w:val="18"/>
                <w:szCs w:val="18"/>
                <w:lang w:val="en-GB"/>
              </w:rPr>
            </w:pPr>
            <w:r w:rsidRPr="008D2EA0">
              <w:rPr>
                <w:sz w:val="18"/>
                <w:szCs w:val="18"/>
                <w:lang w:val="en-GB"/>
              </w:rPr>
              <w:t>350 km</w:t>
            </w:r>
          </w:p>
        </w:tc>
      </w:tr>
      <w:tr w:rsidR="00A81711" w:rsidRPr="008D2EA0" w:rsidTr="00A81711">
        <w:tc>
          <w:tcPr>
            <w:tcW w:w="2124" w:type="dxa"/>
            <w:vMerge w:val="restart"/>
            <w:vAlign w:val="center"/>
          </w:tcPr>
          <w:p w:rsidR="00A81711" w:rsidRPr="008D2EA0" w:rsidRDefault="00A81711" w:rsidP="00A81711">
            <w:pPr>
              <w:spacing w:line="288" w:lineRule="auto"/>
              <w:rPr>
                <w:sz w:val="18"/>
                <w:szCs w:val="18"/>
                <w:lang w:val="en-GB"/>
              </w:rPr>
            </w:pPr>
            <w:r w:rsidRPr="008D2EA0">
              <w:rPr>
                <w:b/>
                <w:bCs/>
                <w:sz w:val="18"/>
                <w:szCs w:val="18"/>
                <w:lang w:val="en-GB"/>
              </w:rPr>
              <w:t>Reference network 2 (L-RN2) as interferer</w:t>
            </w:r>
          </w:p>
        </w:tc>
        <w:tc>
          <w:tcPr>
            <w:tcW w:w="1386" w:type="dxa"/>
          </w:tcPr>
          <w:p w:rsidR="00A81711" w:rsidRPr="008D2EA0" w:rsidRDefault="00A81711" w:rsidP="00A81711">
            <w:pPr>
              <w:rPr>
                <w:sz w:val="18"/>
                <w:szCs w:val="18"/>
                <w:lang w:val="en-GB"/>
              </w:rPr>
            </w:pPr>
            <w:r w:rsidRPr="008D2EA0">
              <w:rPr>
                <w:sz w:val="18"/>
                <w:szCs w:val="18"/>
                <w:lang w:val="en-GB"/>
              </w:rPr>
              <w:t>Land</w:t>
            </w:r>
          </w:p>
        </w:tc>
        <w:tc>
          <w:tcPr>
            <w:tcW w:w="2088" w:type="dxa"/>
            <w:vAlign w:val="center"/>
          </w:tcPr>
          <w:p w:rsidR="00A81711" w:rsidRPr="008D2EA0" w:rsidRDefault="00A81711" w:rsidP="009A4015">
            <w:pPr>
              <w:rPr>
                <w:sz w:val="18"/>
                <w:szCs w:val="18"/>
                <w:lang w:val="en-GB"/>
              </w:rPr>
            </w:pPr>
            <w:r w:rsidRPr="008D2EA0">
              <w:rPr>
                <w:sz w:val="18"/>
                <w:szCs w:val="18"/>
                <w:lang w:val="en-GB"/>
              </w:rPr>
              <w:t>39 km</w:t>
            </w:r>
          </w:p>
        </w:tc>
        <w:tc>
          <w:tcPr>
            <w:tcW w:w="2165" w:type="dxa"/>
            <w:vAlign w:val="center"/>
          </w:tcPr>
          <w:p w:rsidR="00A81711" w:rsidRPr="008D2EA0" w:rsidRDefault="00A81711" w:rsidP="009A4015">
            <w:pPr>
              <w:rPr>
                <w:sz w:val="18"/>
                <w:szCs w:val="18"/>
                <w:lang w:val="en-GB"/>
              </w:rPr>
            </w:pPr>
            <w:r w:rsidRPr="008D2EA0">
              <w:rPr>
                <w:sz w:val="18"/>
                <w:szCs w:val="18"/>
                <w:lang w:val="en-GB"/>
              </w:rPr>
              <w:t>34 km</w:t>
            </w:r>
          </w:p>
        </w:tc>
        <w:tc>
          <w:tcPr>
            <w:tcW w:w="2092" w:type="dxa"/>
            <w:vAlign w:val="center"/>
          </w:tcPr>
          <w:p w:rsidR="00A81711" w:rsidRPr="008D2EA0" w:rsidRDefault="00A81711" w:rsidP="009A4015">
            <w:pPr>
              <w:rPr>
                <w:sz w:val="18"/>
                <w:szCs w:val="18"/>
                <w:lang w:val="en-GB"/>
              </w:rPr>
            </w:pPr>
            <w:r w:rsidRPr="008D2EA0">
              <w:rPr>
                <w:sz w:val="18"/>
                <w:szCs w:val="18"/>
                <w:lang w:val="en-GB"/>
              </w:rPr>
              <w:t>30 km</w:t>
            </w:r>
          </w:p>
        </w:tc>
      </w:tr>
      <w:tr w:rsidR="00A81711" w:rsidRPr="008D2EA0" w:rsidTr="00A81711">
        <w:tc>
          <w:tcPr>
            <w:tcW w:w="2124" w:type="dxa"/>
            <w:vMerge/>
            <w:vAlign w:val="center"/>
          </w:tcPr>
          <w:p w:rsidR="00A81711" w:rsidRPr="008D2EA0" w:rsidRDefault="00A81711" w:rsidP="00A81711">
            <w:pPr>
              <w:spacing w:line="288" w:lineRule="auto"/>
              <w:rPr>
                <w:sz w:val="18"/>
                <w:szCs w:val="18"/>
                <w:lang w:val="en-GB"/>
              </w:rPr>
            </w:pPr>
          </w:p>
        </w:tc>
        <w:tc>
          <w:tcPr>
            <w:tcW w:w="1386" w:type="dxa"/>
          </w:tcPr>
          <w:p w:rsidR="00A81711" w:rsidRPr="008D2EA0" w:rsidRDefault="00A81711" w:rsidP="00A81711">
            <w:pPr>
              <w:rPr>
                <w:sz w:val="18"/>
                <w:szCs w:val="18"/>
                <w:lang w:val="en-GB"/>
              </w:rPr>
            </w:pPr>
            <w:r w:rsidRPr="008D2EA0">
              <w:rPr>
                <w:sz w:val="18"/>
                <w:szCs w:val="18"/>
                <w:lang w:val="en-GB"/>
              </w:rPr>
              <w:t>Cold sea</w:t>
            </w:r>
          </w:p>
        </w:tc>
        <w:tc>
          <w:tcPr>
            <w:tcW w:w="2088" w:type="dxa"/>
            <w:vAlign w:val="center"/>
          </w:tcPr>
          <w:p w:rsidR="00A81711" w:rsidRPr="008D2EA0" w:rsidRDefault="00A81711" w:rsidP="009A4015">
            <w:pPr>
              <w:rPr>
                <w:sz w:val="18"/>
                <w:szCs w:val="18"/>
                <w:lang w:val="en-GB"/>
              </w:rPr>
            </w:pPr>
            <w:r w:rsidRPr="008D2EA0">
              <w:rPr>
                <w:sz w:val="18"/>
                <w:szCs w:val="18"/>
                <w:lang w:val="en-GB"/>
              </w:rPr>
              <w:t>341 km</w:t>
            </w:r>
          </w:p>
        </w:tc>
        <w:tc>
          <w:tcPr>
            <w:tcW w:w="2165" w:type="dxa"/>
            <w:vAlign w:val="center"/>
          </w:tcPr>
          <w:p w:rsidR="00A81711" w:rsidRPr="008D2EA0" w:rsidRDefault="00A81711" w:rsidP="009A4015">
            <w:pPr>
              <w:rPr>
                <w:sz w:val="18"/>
                <w:szCs w:val="18"/>
                <w:lang w:val="en-GB"/>
              </w:rPr>
            </w:pPr>
            <w:r w:rsidRPr="008D2EA0">
              <w:rPr>
                <w:sz w:val="18"/>
                <w:szCs w:val="18"/>
                <w:lang w:val="en-GB"/>
              </w:rPr>
              <w:t>318 km</w:t>
            </w:r>
          </w:p>
        </w:tc>
        <w:tc>
          <w:tcPr>
            <w:tcW w:w="2092" w:type="dxa"/>
            <w:vAlign w:val="center"/>
          </w:tcPr>
          <w:p w:rsidR="00A81711" w:rsidRPr="008D2EA0" w:rsidRDefault="00A81711" w:rsidP="009A4015">
            <w:pPr>
              <w:rPr>
                <w:sz w:val="18"/>
                <w:szCs w:val="18"/>
                <w:lang w:val="en-GB"/>
              </w:rPr>
            </w:pPr>
            <w:r w:rsidRPr="008D2EA0">
              <w:rPr>
                <w:sz w:val="18"/>
                <w:szCs w:val="18"/>
                <w:lang w:val="en-GB"/>
              </w:rPr>
              <w:t>297 km</w:t>
            </w:r>
          </w:p>
        </w:tc>
      </w:tr>
      <w:tr w:rsidR="00A81711" w:rsidRPr="008D2EA0" w:rsidTr="00A81711">
        <w:tc>
          <w:tcPr>
            <w:tcW w:w="2124" w:type="dxa"/>
            <w:vMerge/>
            <w:vAlign w:val="center"/>
          </w:tcPr>
          <w:p w:rsidR="00A81711" w:rsidRPr="008D2EA0" w:rsidRDefault="00A81711" w:rsidP="00A81711">
            <w:pPr>
              <w:spacing w:line="288" w:lineRule="auto"/>
              <w:rPr>
                <w:sz w:val="18"/>
                <w:szCs w:val="18"/>
                <w:lang w:val="en-GB"/>
              </w:rPr>
            </w:pPr>
          </w:p>
        </w:tc>
        <w:tc>
          <w:tcPr>
            <w:tcW w:w="1386" w:type="dxa"/>
          </w:tcPr>
          <w:p w:rsidR="00A81711" w:rsidRPr="008D2EA0" w:rsidRDefault="00A81711" w:rsidP="00A81711">
            <w:pPr>
              <w:rPr>
                <w:sz w:val="18"/>
                <w:szCs w:val="18"/>
                <w:lang w:val="en-GB"/>
              </w:rPr>
            </w:pPr>
            <w:r w:rsidRPr="008D2EA0">
              <w:rPr>
                <w:sz w:val="18"/>
                <w:szCs w:val="18"/>
                <w:lang w:val="en-GB"/>
              </w:rPr>
              <w:t>Warm sea</w:t>
            </w:r>
          </w:p>
        </w:tc>
        <w:tc>
          <w:tcPr>
            <w:tcW w:w="2088" w:type="dxa"/>
            <w:vAlign w:val="center"/>
          </w:tcPr>
          <w:p w:rsidR="00A81711" w:rsidRPr="008D2EA0" w:rsidRDefault="00A81711" w:rsidP="009A4015">
            <w:pPr>
              <w:rPr>
                <w:sz w:val="18"/>
                <w:szCs w:val="18"/>
                <w:lang w:val="en-GB"/>
              </w:rPr>
            </w:pPr>
            <w:r w:rsidRPr="008D2EA0">
              <w:rPr>
                <w:sz w:val="18"/>
                <w:szCs w:val="18"/>
                <w:lang w:val="en-GB"/>
              </w:rPr>
              <w:t>466 km</w:t>
            </w:r>
          </w:p>
        </w:tc>
        <w:tc>
          <w:tcPr>
            <w:tcW w:w="2165" w:type="dxa"/>
            <w:vAlign w:val="center"/>
          </w:tcPr>
          <w:p w:rsidR="00A81711" w:rsidRPr="008D2EA0" w:rsidRDefault="00A81711" w:rsidP="009A4015">
            <w:pPr>
              <w:rPr>
                <w:sz w:val="18"/>
                <w:szCs w:val="18"/>
                <w:lang w:val="en-GB"/>
              </w:rPr>
            </w:pPr>
            <w:r w:rsidRPr="008D2EA0">
              <w:rPr>
                <w:sz w:val="18"/>
                <w:szCs w:val="18"/>
                <w:lang w:val="en-GB"/>
              </w:rPr>
              <w:t>426 km</w:t>
            </w:r>
          </w:p>
        </w:tc>
        <w:tc>
          <w:tcPr>
            <w:tcW w:w="2092" w:type="dxa"/>
            <w:vAlign w:val="center"/>
          </w:tcPr>
          <w:p w:rsidR="00A81711" w:rsidRPr="008D2EA0" w:rsidRDefault="00A81711" w:rsidP="009A4015">
            <w:pPr>
              <w:rPr>
                <w:sz w:val="18"/>
                <w:szCs w:val="18"/>
                <w:lang w:val="en-GB"/>
              </w:rPr>
            </w:pPr>
            <w:r w:rsidRPr="008D2EA0">
              <w:rPr>
                <w:sz w:val="18"/>
                <w:szCs w:val="18"/>
                <w:lang w:val="en-GB"/>
              </w:rPr>
              <w:t>386 km</w:t>
            </w:r>
          </w:p>
        </w:tc>
      </w:tr>
      <w:tr w:rsidR="00A81711" w:rsidRPr="008D2EA0" w:rsidTr="00A81711">
        <w:tc>
          <w:tcPr>
            <w:tcW w:w="2124" w:type="dxa"/>
            <w:vMerge w:val="restart"/>
            <w:vAlign w:val="center"/>
          </w:tcPr>
          <w:p w:rsidR="00A81711" w:rsidRPr="008D2EA0" w:rsidRDefault="00A81711" w:rsidP="00A81711">
            <w:pPr>
              <w:spacing w:line="288" w:lineRule="auto"/>
              <w:rPr>
                <w:sz w:val="18"/>
                <w:szCs w:val="18"/>
                <w:lang w:val="en-GB"/>
              </w:rPr>
            </w:pPr>
            <w:r w:rsidRPr="008D2EA0">
              <w:rPr>
                <w:b/>
                <w:bCs/>
                <w:sz w:val="18"/>
                <w:szCs w:val="18"/>
                <w:lang w:val="en-GB"/>
              </w:rPr>
              <w:t>Reference network 3 (L-RN3) as interferer</w:t>
            </w:r>
          </w:p>
        </w:tc>
        <w:tc>
          <w:tcPr>
            <w:tcW w:w="1386" w:type="dxa"/>
          </w:tcPr>
          <w:p w:rsidR="00A81711" w:rsidRPr="008D2EA0" w:rsidRDefault="00A81711" w:rsidP="00A81711">
            <w:pPr>
              <w:rPr>
                <w:sz w:val="18"/>
                <w:szCs w:val="18"/>
                <w:lang w:val="en-GB"/>
              </w:rPr>
            </w:pPr>
            <w:r w:rsidRPr="008D2EA0">
              <w:rPr>
                <w:sz w:val="18"/>
                <w:szCs w:val="18"/>
                <w:lang w:val="en-GB"/>
              </w:rPr>
              <w:t>Land</w:t>
            </w:r>
          </w:p>
        </w:tc>
        <w:tc>
          <w:tcPr>
            <w:tcW w:w="2088" w:type="dxa"/>
            <w:vAlign w:val="center"/>
          </w:tcPr>
          <w:p w:rsidR="00A81711" w:rsidRPr="008D2EA0" w:rsidRDefault="00A81711" w:rsidP="009A4015">
            <w:pPr>
              <w:rPr>
                <w:sz w:val="18"/>
                <w:szCs w:val="18"/>
                <w:lang w:val="en-GB"/>
              </w:rPr>
            </w:pPr>
            <w:r w:rsidRPr="008D2EA0">
              <w:rPr>
                <w:sz w:val="18"/>
                <w:szCs w:val="18"/>
                <w:lang w:val="en-GB"/>
              </w:rPr>
              <w:t>23 km</w:t>
            </w:r>
          </w:p>
        </w:tc>
        <w:tc>
          <w:tcPr>
            <w:tcW w:w="2165" w:type="dxa"/>
            <w:vAlign w:val="center"/>
          </w:tcPr>
          <w:p w:rsidR="00A81711" w:rsidRPr="008D2EA0" w:rsidRDefault="00A81711" w:rsidP="009A4015">
            <w:pPr>
              <w:rPr>
                <w:sz w:val="18"/>
                <w:szCs w:val="18"/>
                <w:lang w:val="en-GB"/>
              </w:rPr>
            </w:pPr>
            <w:r w:rsidRPr="008D2EA0">
              <w:rPr>
                <w:sz w:val="18"/>
                <w:szCs w:val="18"/>
                <w:lang w:val="en-GB"/>
              </w:rPr>
              <w:t>20 km</w:t>
            </w:r>
          </w:p>
        </w:tc>
        <w:tc>
          <w:tcPr>
            <w:tcW w:w="2092" w:type="dxa"/>
            <w:vAlign w:val="center"/>
          </w:tcPr>
          <w:p w:rsidR="00A81711" w:rsidRPr="008D2EA0" w:rsidRDefault="00A81711" w:rsidP="009A4015">
            <w:pPr>
              <w:rPr>
                <w:sz w:val="18"/>
                <w:szCs w:val="18"/>
                <w:lang w:val="en-GB"/>
              </w:rPr>
            </w:pPr>
            <w:r w:rsidRPr="008D2EA0">
              <w:rPr>
                <w:sz w:val="18"/>
                <w:szCs w:val="18"/>
                <w:lang w:val="en-GB"/>
              </w:rPr>
              <w:t>17 km</w:t>
            </w:r>
          </w:p>
        </w:tc>
      </w:tr>
      <w:tr w:rsidR="00A81711" w:rsidRPr="008D2EA0" w:rsidTr="00A81711">
        <w:tc>
          <w:tcPr>
            <w:tcW w:w="2124" w:type="dxa"/>
            <w:vMerge/>
            <w:vAlign w:val="center"/>
          </w:tcPr>
          <w:p w:rsidR="00A81711" w:rsidRPr="008D2EA0" w:rsidRDefault="00A81711" w:rsidP="00A81711">
            <w:pPr>
              <w:spacing w:line="288" w:lineRule="auto"/>
              <w:rPr>
                <w:sz w:val="18"/>
                <w:szCs w:val="18"/>
                <w:lang w:val="en-GB"/>
              </w:rPr>
            </w:pPr>
          </w:p>
        </w:tc>
        <w:tc>
          <w:tcPr>
            <w:tcW w:w="1386" w:type="dxa"/>
          </w:tcPr>
          <w:p w:rsidR="00A81711" w:rsidRPr="008D2EA0" w:rsidRDefault="00A81711" w:rsidP="00A81711">
            <w:pPr>
              <w:rPr>
                <w:sz w:val="18"/>
                <w:szCs w:val="18"/>
                <w:lang w:val="en-GB"/>
              </w:rPr>
            </w:pPr>
            <w:r w:rsidRPr="008D2EA0">
              <w:rPr>
                <w:sz w:val="18"/>
                <w:szCs w:val="18"/>
                <w:lang w:val="en-GB"/>
              </w:rPr>
              <w:t>Cold sea</w:t>
            </w:r>
          </w:p>
        </w:tc>
        <w:tc>
          <w:tcPr>
            <w:tcW w:w="2088" w:type="dxa"/>
            <w:vAlign w:val="center"/>
          </w:tcPr>
          <w:p w:rsidR="00A81711" w:rsidRPr="008D2EA0" w:rsidRDefault="00A81711" w:rsidP="009A4015">
            <w:pPr>
              <w:rPr>
                <w:sz w:val="18"/>
                <w:szCs w:val="18"/>
                <w:lang w:val="en-GB"/>
              </w:rPr>
            </w:pPr>
            <w:r w:rsidRPr="008D2EA0">
              <w:rPr>
                <w:sz w:val="18"/>
                <w:szCs w:val="18"/>
                <w:lang w:val="en-GB"/>
              </w:rPr>
              <w:t>292 km</w:t>
            </w:r>
          </w:p>
        </w:tc>
        <w:tc>
          <w:tcPr>
            <w:tcW w:w="2165" w:type="dxa"/>
            <w:vAlign w:val="center"/>
          </w:tcPr>
          <w:p w:rsidR="00A81711" w:rsidRPr="008D2EA0" w:rsidRDefault="00A81711" w:rsidP="009A4015">
            <w:pPr>
              <w:rPr>
                <w:sz w:val="18"/>
                <w:szCs w:val="18"/>
                <w:lang w:val="en-GB"/>
              </w:rPr>
            </w:pPr>
            <w:r w:rsidRPr="008D2EA0">
              <w:rPr>
                <w:sz w:val="18"/>
                <w:szCs w:val="18"/>
                <w:lang w:val="en-GB"/>
              </w:rPr>
              <w:t>272 km</w:t>
            </w:r>
          </w:p>
        </w:tc>
        <w:tc>
          <w:tcPr>
            <w:tcW w:w="2092" w:type="dxa"/>
            <w:vAlign w:val="center"/>
          </w:tcPr>
          <w:p w:rsidR="00A81711" w:rsidRPr="008D2EA0" w:rsidRDefault="00A81711" w:rsidP="009A4015">
            <w:pPr>
              <w:rPr>
                <w:sz w:val="18"/>
                <w:szCs w:val="18"/>
                <w:lang w:val="en-GB"/>
              </w:rPr>
            </w:pPr>
            <w:r w:rsidRPr="008D2EA0">
              <w:rPr>
                <w:sz w:val="18"/>
                <w:szCs w:val="18"/>
                <w:lang w:val="en-GB"/>
              </w:rPr>
              <w:t>255 km</w:t>
            </w:r>
          </w:p>
        </w:tc>
      </w:tr>
      <w:tr w:rsidR="00A81711" w:rsidRPr="008D2EA0" w:rsidTr="00A81711">
        <w:tc>
          <w:tcPr>
            <w:tcW w:w="2124" w:type="dxa"/>
            <w:vMerge/>
            <w:vAlign w:val="center"/>
          </w:tcPr>
          <w:p w:rsidR="00A81711" w:rsidRPr="008D2EA0" w:rsidRDefault="00A81711" w:rsidP="00A81711">
            <w:pPr>
              <w:spacing w:line="288" w:lineRule="auto"/>
              <w:rPr>
                <w:sz w:val="18"/>
                <w:szCs w:val="18"/>
                <w:lang w:val="en-GB"/>
              </w:rPr>
            </w:pPr>
          </w:p>
        </w:tc>
        <w:tc>
          <w:tcPr>
            <w:tcW w:w="1386" w:type="dxa"/>
          </w:tcPr>
          <w:p w:rsidR="00A81711" w:rsidRPr="008D2EA0" w:rsidRDefault="00A81711" w:rsidP="00A81711">
            <w:pPr>
              <w:rPr>
                <w:sz w:val="18"/>
                <w:szCs w:val="18"/>
                <w:lang w:val="en-GB"/>
              </w:rPr>
            </w:pPr>
            <w:r w:rsidRPr="008D2EA0">
              <w:rPr>
                <w:sz w:val="18"/>
                <w:szCs w:val="18"/>
                <w:lang w:val="en-GB"/>
              </w:rPr>
              <w:t>Warm sea</w:t>
            </w:r>
          </w:p>
        </w:tc>
        <w:tc>
          <w:tcPr>
            <w:tcW w:w="2088" w:type="dxa"/>
            <w:vAlign w:val="center"/>
          </w:tcPr>
          <w:p w:rsidR="00A81711" w:rsidRPr="008D2EA0" w:rsidRDefault="00A81711" w:rsidP="009A4015">
            <w:pPr>
              <w:rPr>
                <w:sz w:val="18"/>
                <w:szCs w:val="18"/>
                <w:lang w:val="en-GB"/>
              </w:rPr>
            </w:pPr>
            <w:r w:rsidRPr="008D2EA0">
              <w:rPr>
                <w:sz w:val="18"/>
                <w:szCs w:val="18"/>
                <w:lang w:val="en-GB"/>
              </w:rPr>
              <w:t>388 km</w:t>
            </w:r>
          </w:p>
        </w:tc>
        <w:tc>
          <w:tcPr>
            <w:tcW w:w="2165" w:type="dxa"/>
            <w:vAlign w:val="center"/>
          </w:tcPr>
          <w:p w:rsidR="00A81711" w:rsidRPr="008D2EA0" w:rsidRDefault="00A81711" w:rsidP="009A4015">
            <w:pPr>
              <w:rPr>
                <w:sz w:val="18"/>
                <w:szCs w:val="18"/>
                <w:lang w:val="en-GB"/>
              </w:rPr>
            </w:pPr>
            <w:r w:rsidRPr="008D2EA0">
              <w:rPr>
                <w:sz w:val="18"/>
                <w:szCs w:val="18"/>
                <w:lang w:val="en-GB"/>
              </w:rPr>
              <w:t>348 km</w:t>
            </w:r>
          </w:p>
        </w:tc>
        <w:tc>
          <w:tcPr>
            <w:tcW w:w="2092" w:type="dxa"/>
            <w:vAlign w:val="center"/>
          </w:tcPr>
          <w:p w:rsidR="00A81711" w:rsidRPr="008D2EA0" w:rsidRDefault="00A81711" w:rsidP="009A4015">
            <w:pPr>
              <w:rPr>
                <w:sz w:val="18"/>
                <w:szCs w:val="18"/>
                <w:lang w:val="en-GB"/>
              </w:rPr>
            </w:pPr>
            <w:r w:rsidRPr="008D2EA0">
              <w:rPr>
                <w:sz w:val="18"/>
                <w:szCs w:val="18"/>
                <w:lang w:val="en-GB"/>
              </w:rPr>
              <w:t>313 km</w:t>
            </w:r>
          </w:p>
        </w:tc>
      </w:tr>
    </w:tbl>
    <w:p w:rsidR="00A81711" w:rsidRPr="008D2EA0" w:rsidRDefault="00A81711" w:rsidP="00AD5DA1">
      <w:pPr>
        <w:pStyle w:val="ECCParagraph"/>
        <w:spacing w:before="120"/>
      </w:pPr>
      <w:r w:rsidRPr="008D2EA0">
        <w:rPr>
          <w:rFonts w:cs="Arial"/>
          <w:szCs w:val="20"/>
        </w:rPr>
        <w:t xml:space="preserve">For </w:t>
      </w:r>
      <w:r w:rsidRPr="008D2EA0">
        <w:t xml:space="preserve">the conversion of an existing allotment into one or more assignments </w:t>
      </w:r>
      <w:r w:rsidRPr="008D2EA0">
        <w:rPr>
          <w:rFonts w:cs="Arial"/>
          <w:szCs w:val="20"/>
        </w:rPr>
        <w:t>the</w:t>
      </w:r>
      <w:r w:rsidRPr="008D2EA0">
        <w:t xml:space="preserve"> co-ordination and notification</w:t>
      </w:r>
      <w:r w:rsidRPr="008D2EA0">
        <w:rPr>
          <w:rFonts w:cs="Arial"/>
          <w:szCs w:val="20"/>
        </w:rPr>
        <w:t xml:space="preserve"> procedures described </w:t>
      </w:r>
      <w:r w:rsidR="00AD5DA1">
        <w:rPr>
          <w:rFonts w:cs="Arial"/>
          <w:szCs w:val="20"/>
        </w:rPr>
        <w:t>in Article 6 are to be applied.</w:t>
      </w:r>
    </w:p>
    <w:p w:rsidR="00A81711" w:rsidRPr="008D2EA0" w:rsidRDefault="00A81711" w:rsidP="00A81711">
      <w:pPr>
        <w:pStyle w:val="ECCAnnexheading2"/>
        <w:rPr>
          <w:lang w:val="en-GB"/>
        </w:rPr>
      </w:pPr>
      <w:r w:rsidRPr="008D2EA0">
        <w:rPr>
          <w:lang w:val="en-GB"/>
        </w:rPr>
        <w:t>Request for coordination received by the eco</w:t>
      </w:r>
    </w:p>
    <w:p w:rsidR="00A81711" w:rsidRPr="008D2EA0" w:rsidRDefault="00A81711" w:rsidP="00A81711">
      <w:pPr>
        <w:pStyle w:val="ECCParagraph"/>
      </w:pPr>
      <w:r w:rsidRPr="008D2EA0">
        <w:t xml:space="preserve">The follow up of the request of coordination is available at </w:t>
      </w:r>
      <w:hyperlink r:id="rId73" w:history="1">
        <w:r w:rsidRPr="008D2EA0">
          <w:rPr>
            <w:rStyle w:val="Hyperlink"/>
          </w:rPr>
          <w:t>http://cept.org/ecc/topics/broadcasting/t-dab/ma02revco07-special-arrangement/ma02revco07-t-dab-plan-circular-letters</w:t>
        </w:r>
      </w:hyperlink>
      <w:r w:rsidRPr="008D2EA0">
        <w:t>, where the Circular Letters published by the Office are available.</w:t>
      </w:r>
    </w:p>
    <w:p w:rsidR="00A81711" w:rsidRPr="008D2EA0" w:rsidRDefault="00A81711" w:rsidP="00A81711">
      <w:pPr>
        <w:pStyle w:val="ECCParagraph"/>
      </w:pPr>
      <w:r w:rsidRPr="008D2EA0">
        <w:t xml:space="preserve">In total, seven Circular Letters have been published by the Office since May 2007. Among them, only two contained requests for new allotments.  </w:t>
      </w:r>
    </w:p>
    <w:p w:rsidR="00A81711" w:rsidRPr="008D2EA0" w:rsidRDefault="00A81711" w:rsidP="00A81711">
      <w:pPr>
        <w:pStyle w:val="ECCParagraph"/>
      </w:pPr>
      <w:r w:rsidRPr="008D2EA0">
        <w:t>In Circular Letter 013, the Slovak Republic requested the coordination of several new allotments. Among them, it can be seen that 8 sets of them were for 3 contiguous channels operated over the same area. 5 sets of 3 contiguous channels operated over the same area are contained in Part2sup.</w:t>
      </w:r>
    </w:p>
    <w:p w:rsidR="00A81711" w:rsidRPr="008D2EA0" w:rsidRDefault="00A81711" w:rsidP="00A81711">
      <w:pPr>
        <w:pStyle w:val="ECCParagraph"/>
      </w:pPr>
      <w:r w:rsidRPr="008D2EA0">
        <w:t>In Circular Letter 018, the Czech Republic requested the coordination of a new allotment. However, a brief analysis shows that this will not result in a set of 3 contiguous channels operated over the same area.</w:t>
      </w:r>
    </w:p>
    <w:p w:rsidR="00A81711" w:rsidRPr="008D2EA0" w:rsidRDefault="00A81711" w:rsidP="00A81711">
      <w:pPr>
        <w:pStyle w:val="ECCAnnexheading2"/>
        <w:rPr>
          <w:lang w:val="en-GB"/>
        </w:rPr>
      </w:pPr>
      <w:r w:rsidRPr="008D2EA0">
        <w:rPr>
          <w:lang w:val="en-GB"/>
        </w:rPr>
        <w:t>material complementing the arrangement</w:t>
      </w:r>
    </w:p>
    <w:p w:rsidR="00A81711" w:rsidRPr="008D2EA0" w:rsidRDefault="00A81711" w:rsidP="00A81711">
      <w:pPr>
        <w:pStyle w:val="ECCParagraph"/>
      </w:pPr>
      <w:r w:rsidRPr="008D2EA0">
        <w:t>MA02revCO07 was agreed in 2007 in order to provide the technical and regulatory framework to facilitate the introduction of terrestrial mobile multimedia services in the frequency band 1452</w:t>
      </w:r>
      <w:r w:rsidR="0051112C" w:rsidRPr="008D2EA0">
        <w:t>-</w:t>
      </w:r>
      <w:r w:rsidRPr="008D2EA0">
        <w:t>1479.5 MHz and to introduce more flexibility. At the time not all the information relating to possible systems to be deployed in this band was available. However the MA02revCO07</w:t>
      </w:r>
      <w:r w:rsidR="0051112C" w:rsidRPr="008D2EA0">
        <w:t xml:space="preserve"> </w:t>
      </w:r>
      <w:r w:rsidR="0051112C" w:rsidRPr="008D2EA0">
        <w:fldChar w:fldCharType="begin"/>
      </w:r>
      <w:r w:rsidR="0051112C" w:rsidRPr="008D2EA0">
        <w:instrText xml:space="preserve"> REF _Ref330503918 \r \h </w:instrText>
      </w:r>
      <w:r w:rsidR="0051112C" w:rsidRPr="008D2EA0">
        <w:fldChar w:fldCharType="separate"/>
      </w:r>
      <w:r w:rsidR="00E73FF2">
        <w:t>[1]</w:t>
      </w:r>
      <w:r w:rsidR="0051112C" w:rsidRPr="008D2EA0">
        <w:fldChar w:fldCharType="end"/>
      </w:r>
      <w:r w:rsidRPr="008D2EA0">
        <w:t xml:space="preserve"> provides the possibility to also consider other radio systems and their characteristics when addressing sharing between those and T-DAB and for coordination among administrations using complementary ECC deliverables:</w:t>
      </w:r>
    </w:p>
    <w:p w:rsidR="00653874" w:rsidRDefault="00AD5DA1" w:rsidP="00AD5DA1">
      <w:pPr>
        <w:pStyle w:val="ECCParagraph"/>
        <w:spacing w:after="120"/>
      </w:pPr>
      <w:r>
        <w:rPr>
          <w:rFonts w:cs="Arial"/>
        </w:rPr>
        <w:t>“</w:t>
      </w:r>
      <w:r w:rsidR="00A81711" w:rsidRPr="008D2EA0">
        <w:t>Where no information concerning protection ratios for other services suffering interference from T-DAB has been supplied to the Planning Meeting, the administrations concerned should develop appropriate sharing criteria by mutual agreement. When available one could use the relevant ITU-R</w:t>
      </w:r>
      <w:r w:rsidR="00C073F3">
        <w:t xml:space="preserve"> </w:t>
      </w:r>
      <w:r w:rsidR="00A81711" w:rsidRPr="008D2EA0">
        <w:t>Recommendations or ERC and ECC Decisions and Recommendations.“</w:t>
      </w:r>
    </w:p>
    <w:p w:rsidR="00A81711" w:rsidRPr="008D2EA0" w:rsidRDefault="00A81711" w:rsidP="00AD5DA1">
      <w:pPr>
        <w:pStyle w:val="ECCParagraph"/>
        <w:spacing w:after="120"/>
      </w:pPr>
      <w:r w:rsidRPr="008D2EA0">
        <w:t xml:space="preserve">and </w:t>
      </w:r>
    </w:p>
    <w:p w:rsidR="00EA689C" w:rsidRDefault="00A81711" w:rsidP="00AD5DA1">
      <w:pPr>
        <w:pStyle w:val="ECCParagraph"/>
      </w:pPr>
      <w:r w:rsidRPr="008D2EA0">
        <w:t>“</w:t>
      </w:r>
      <w:r w:rsidR="00653874">
        <w:t xml:space="preserve"> </w:t>
      </w:r>
      <w:r w:rsidRPr="008D2EA0">
        <w:t>Where no information concerning protection ratios for T-DAB suffering interference from other services has been supplied to the Planning Meeting, the administrations concerned should develop appropriate sharing criteria by mutual agreement. When available, one could use the relevant ITU-R Recommendations or ERC and ECC Decisions and Recommendations,</w:t>
      </w:r>
      <w:r w:rsidR="00653874">
        <w:t>”</w:t>
      </w:r>
      <w:bookmarkStart w:id="191" w:name="_Ref330505326"/>
      <w:bookmarkStart w:id="192" w:name="_Ref330505426"/>
      <w:bookmarkStart w:id="193" w:name="_Ref330509010"/>
      <w:r w:rsidR="00EA689C" w:rsidRPr="008D2EA0">
        <w:br w:type="page"/>
      </w:r>
    </w:p>
    <w:p w:rsidR="00A81711" w:rsidRPr="008D2EA0" w:rsidRDefault="00EA689C" w:rsidP="006731B4">
      <w:pPr>
        <w:pStyle w:val="ECCAnnexheading1"/>
      </w:pPr>
      <w:bookmarkStart w:id="194" w:name="_Ref333573796"/>
      <w:bookmarkStart w:id="195" w:name="_Toc349039333"/>
      <w:r w:rsidRPr="008D2EA0">
        <w:rPr>
          <w:szCs w:val="24"/>
        </w:rPr>
        <w:lastRenderedPageBreak/>
        <w:t xml:space="preserve">1452-1479.5 </w:t>
      </w:r>
      <w:r w:rsidR="00A81711" w:rsidRPr="008D2EA0">
        <w:rPr>
          <w:szCs w:val="24"/>
        </w:rPr>
        <w:t>MH</w:t>
      </w:r>
      <w:r w:rsidRPr="008D2EA0">
        <w:rPr>
          <w:caps w:val="0"/>
          <w:szCs w:val="24"/>
        </w:rPr>
        <w:t>z</w:t>
      </w:r>
      <w:r w:rsidR="00A81711" w:rsidRPr="008D2EA0">
        <w:rPr>
          <w:szCs w:val="24"/>
        </w:rPr>
        <w:t xml:space="preserve"> </w:t>
      </w:r>
      <w:r w:rsidR="00A81711" w:rsidRPr="008D2EA0">
        <w:t>band uti</w:t>
      </w:r>
      <w:r w:rsidR="00F77275">
        <w:t>lisation in some CEPT countries</w:t>
      </w:r>
      <w:r w:rsidR="00F77275">
        <w:br/>
      </w:r>
      <w:r w:rsidR="00A81711" w:rsidRPr="008D2EA0">
        <w:t>(updated information compared to the ECC survey conducted in December 2010 – January 2011)</w:t>
      </w:r>
      <w:bookmarkEnd w:id="191"/>
      <w:bookmarkEnd w:id="192"/>
      <w:bookmarkEnd w:id="193"/>
      <w:bookmarkEnd w:id="194"/>
      <w:bookmarkEnd w:id="195"/>
    </w:p>
    <w:p w:rsidR="00A81711" w:rsidRPr="008D2EA0" w:rsidRDefault="00A81711" w:rsidP="00A81711">
      <w:pPr>
        <w:pStyle w:val="Note"/>
        <w:rPr>
          <w:rFonts w:ascii="Arial" w:hAnsi="Arial" w:cs="Arial"/>
          <w:color w:val="000000"/>
          <w:sz w:val="22"/>
          <w:szCs w:val="22"/>
          <w:lang w:val="en-GB"/>
        </w:rPr>
      </w:pPr>
    </w:p>
    <w:p w:rsidR="00A81711" w:rsidRDefault="00CF580E" w:rsidP="00A81711">
      <w:pPr>
        <w:rPr>
          <w:rFonts w:cs="Arial"/>
          <w:b/>
          <w:bCs/>
          <w:lang w:val="en-GB"/>
        </w:rPr>
      </w:pPr>
      <w:r w:rsidRPr="008D2EA0">
        <w:rPr>
          <w:rFonts w:cs="Arial"/>
          <w:b/>
          <w:bCs/>
          <w:lang w:val="en-GB"/>
        </w:rPr>
        <w:t>Czech Republic</w:t>
      </w:r>
    </w:p>
    <w:p w:rsidR="00653874" w:rsidRPr="008D2EA0" w:rsidRDefault="00653874" w:rsidP="00A81711">
      <w:pPr>
        <w:rPr>
          <w:rFonts w:cs="Arial"/>
          <w:b/>
          <w:bCs/>
          <w:lang w:val="en-GB"/>
        </w:rPr>
      </w:pPr>
    </w:p>
    <w:p w:rsidR="00A81711" w:rsidRPr="008D2EA0" w:rsidRDefault="00A81711" w:rsidP="00A81711">
      <w:pPr>
        <w:pStyle w:val="ECCParagraph"/>
      </w:pPr>
      <w:r w:rsidRPr="008D2EA0">
        <w:t>Administration of the Czech Republic has issued, on public tender basis, a number of licences for terrestrial digital broadcasting services based on Eureka 147 technology in the 1452-1479.5 MHz</w:t>
      </w:r>
      <w:r w:rsidRPr="008D2EA0" w:rsidDel="00E5335D">
        <w:t xml:space="preserve"> </w:t>
      </w:r>
      <w:r w:rsidRPr="008D2EA0">
        <w:t>Band. Nine licences for particular regions and thirteen metropolitan licences will expire in 2021.  Four T-DAB transmitters are already in regular operation.</w:t>
      </w:r>
    </w:p>
    <w:p w:rsidR="00A81711" w:rsidRPr="008D2EA0" w:rsidRDefault="00A81711" w:rsidP="00A81711">
      <w:pPr>
        <w:rPr>
          <w:rFonts w:cs="Arial"/>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7"/>
        <w:gridCol w:w="4697"/>
      </w:tblGrid>
      <w:tr w:rsidR="00A81711" w:rsidRPr="008D2EA0" w:rsidTr="00A81711">
        <w:tc>
          <w:tcPr>
            <w:tcW w:w="4644" w:type="dxa"/>
          </w:tcPr>
          <w:p w:rsidR="00A81711" w:rsidRPr="008D2EA0" w:rsidRDefault="00A81711" w:rsidP="00A81711">
            <w:pPr>
              <w:rPr>
                <w:rFonts w:cs="Arial"/>
                <w:lang w:val="en-GB"/>
              </w:rPr>
            </w:pPr>
            <w:r w:rsidRPr="008D2EA0">
              <w:rPr>
                <w:rFonts w:cs="Arial"/>
                <w:noProof/>
                <w:lang w:val="da-DK" w:eastAsia="da-DK"/>
              </w:rPr>
              <w:drawing>
                <wp:inline distT="0" distB="0" distL="0" distR="0" wp14:anchorId="3A6E4F23" wp14:editId="34DECF60">
                  <wp:extent cx="2845435" cy="1682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45435" cy="1682750"/>
                          </a:xfrm>
                          <a:prstGeom prst="rect">
                            <a:avLst/>
                          </a:prstGeom>
                          <a:noFill/>
                          <a:ln>
                            <a:noFill/>
                          </a:ln>
                        </pic:spPr>
                      </pic:pic>
                    </a:graphicData>
                  </a:graphic>
                </wp:inline>
              </w:drawing>
            </w:r>
          </w:p>
        </w:tc>
        <w:tc>
          <w:tcPr>
            <w:tcW w:w="4644" w:type="dxa"/>
          </w:tcPr>
          <w:p w:rsidR="00A81711" w:rsidRPr="008D2EA0" w:rsidRDefault="00A81711" w:rsidP="00A81711">
            <w:pPr>
              <w:rPr>
                <w:rFonts w:cs="Arial"/>
                <w:lang w:val="en-GB"/>
              </w:rPr>
            </w:pPr>
            <w:r w:rsidRPr="008D2EA0">
              <w:rPr>
                <w:rFonts w:cs="Arial"/>
                <w:noProof/>
                <w:lang w:val="da-DK" w:eastAsia="da-DK"/>
              </w:rPr>
              <w:drawing>
                <wp:inline distT="0" distB="0" distL="0" distR="0" wp14:anchorId="62C671A9" wp14:editId="72034DC9">
                  <wp:extent cx="2845435" cy="1682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45435" cy="1682750"/>
                          </a:xfrm>
                          <a:prstGeom prst="rect">
                            <a:avLst/>
                          </a:prstGeom>
                          <a:noFill/>
                          <a:ln>
                            <a:noFill/>
                          </a:ln>
                        </pic:spPr>
                      </pic:pic>
                    </a:graphicData>
                  </a:graphic>
                </wp:inline>
              </w:drawing>
            </w:r>
          </w:p>
        </w:tc>
      </w:tr>
    </w:tbl>
    <w:p w:rsidR="00A81711" w:rsidRPr="008D2EA0" w:rsidRDefault="00CF580E" w:rsidP="00AC460F">
      <w:pPr>
        <w:pStyle w:val="ECCFiguretitle"/>
      </w:pPr>
      <w:r w:rsidRPr="008D2EA0">
        <w:t>Terrestrial Broadcasti</w:t>
      </w:r>
      <w:r w:rsidR="00F77275">
        <w:t>ng Service in the Czech Republic</w:t>
      </w:r>
    </w:p>
    <w:p w:rsidR="00A81711" w:rsidRPr="008D2EA0" w:rsidRDefault="00A81711" w:rsidP="00A81711">
      <w:pPr>
        <w:rPr>
          <w:rFonts w:cs="Arial"/>
          <w:b/>
          <w:bCs/>
          <w:lang w:val="en-GB"/>
        </w:rPr>
      </w:pPr>
      <w:r w:rsidRPr="008D2EA0">
        <w:rPr>
          <w:rFonts w:cs="Arial"/>
          <w:b/>
          <w:bCs/>
          <w:lang w:val="en-GB"/>
        </w:rPr>
        <w:t>F</w:t>
      </w:r>
      <w:r w:rsidR="00CF580E" w:rsidRPr="008D2EA0">
        <w:rPr>
          <w:rFonts w:cs="Arial"/>
          <w:b/>
          <w:bCs/>
          <w:lang w:val="en-GB"/>
        </w:rPr>
        <w:t>rance</w:t>
      </w:r>
    </w:p>
    <w:p w:rsidR="00A81711" w:rsidRPr="008D2EA0" w:rsidRDefault="00A81711" w:rsidP="00A81711">
      <w:pPr>
        <w:rPr>
          <w:rFonts w:cs="Arial"/>
          <w:b/>
          <w:bCs/>
          <w:lang w:val="en-GB"/>
        </w:rPr>
      </w:pPr>
    </w:p>
    <w:p w:rsidR="00141BC4" w:rsidRPr="00141BC4" w:rsidRDefault="00141BC4" w:rsidP="00141BC4">
      <w:pPr>
        <w:pStyle w:val="ECCParagraph"/>
        <w:spacing w:before="120"/>
        <w:rPr>
          <w:lang w:val="en-US"/>
        </w:rPr>
      </w:pPr>
      <w:r>
        <w:t xml:space="preserve">France intends to use part of the 1452-1492 MHz for terrestrial digital radio (broadcasting) in the short term, and the other part for Mobile Supplemental Downlink (SDL). </w:t>
      </w:r>
      <w:r w:rsidRPr="00DB309A">
        <w:t>The</w:t>
      </w:r>
      <w:r>
        <w:t xml:space="preserve">re is an </w:t>
      </w:r>
      <w:r w:rsidRPr="00DB309A">
        <w:t xml:space="preserve">ongoing call for tender in France for terrestrial radio services within part of the band 1452-1479.5 </w:t>
      </w:r>
      <w:r w:rsidRPr="00764F8B">
        <w:t>MHz, with rights based on the MA02revCO07 Special Arrangement.</w:t>
      </w:r>
      <w:r w:rsidRPr="00C26D2D">
        <w:rPr>
          <w:rFonts w:cs="Arial"/>
        </w:rPr>
        <w:t xml:space="preserve"> </w:t>
      </w:r>
      <w:r>
        <w:rPr>
          <w:rFonts w:cs="Arial"/>
        </w:rPr>
        <w:t xml:space="preserve">Two candidates have submitted their candidature. </w:t>
      </w:r>
      <w:r w:rsidRPr="00C26D2D">
        <w:rPr>
          <w:rFonts w:cs="Arial"/>
        </w:rPr>
        <w:t xml:space="preserve">It is expected that the process will lead to the granting of </w:t>
      </w:r>
      <w:r>
        <w:rPr>
          <w:rFonts w:cs="Arial"/>
        </w:rPr>
        <w:t xml:space="preserve">a national </w:t>
      </w:r>
      <w:r w:rsidRPr="00C26D2D">
        <w:rPr>
          <w:rFonts w:cs="Arial"/>
        </w:rPr>
        <w:t>authorisation to one digital radio distributor in 2012 with frequencies based on the existing allotments of the MA02revCO07 Plan</w:t>
      </w:r>
      <w:r>
        <w:rPr>
          <w:rFonts w:cs="Arial"/>
        </w:rPr>
        <w:t>,</w:t>
      </w:r>
      <w:r w:rsidRPr="00C26D2D">
        <w:rPr>
          <w:rFonts w:cs="Arial"/>
        </w:rPr>
        <w:t xml:space="preserve"> allowing the services to be on air by 2013 </w:t>
      </w:r>
      <w:r w:rsidR="00F77275">
        <w:rPr>
          <w:rFonts w:cs="Arial"/>
        </w:rPr>
        <w:br/>
      </w:r>
      <w:r w:rsidRPr="00C26D2D">
        <w:rPr>
          <w:rFonts w:cs="Arial"/>
        </w:rPr>
        <w:t>(67 allotments, forming 1 nationwide layer). On June 26</w:t>
      </w:r>
      <w:r w:rsidRPr="00272858">
        <w:rPr>
          <w:rFonts w:cs="Arial"/>
          <w:vertAlign w:val="superscript"/>
          <w:lang w:val="en-US"/>
        </w:rPr>
        <w:t>th</w:t>
      </w:r>
      <w:r>
        <w:rPr>
          <w:rFonts w:cs="Arial"/>
        </w:rPr>
        <w:t xml:space="preserve"> 2012</w:t>
      </w:r>
      <w:r w:rsidRPr="00C26D2D">
        <w:rPr>
          <w:rFonts w:cs="Arial"/>
        </w:rPr>
        <w:t xml:space="preserve">, </w:t>
      </w:r>
      <w:r w:rsidRPr="00272858">
        <w:rPr>
          <w:rFonts w:cs="Arial"/>
          <w:color w:val="000000"/>
          <w:szCs w:val="20"/>
          <w:lang w:val="en-US"/>
        </w:rPr>
        <w:t>ARCEP (the telecom regulator)</w:t>
      </w:r>
      <w:r>
        <w:rPr>
          <w:rFonts w:cs="Arial"/>
          <w:color w:val="000000"/>
          <w:szCs w:val="20"/>
        </w:rPr>
        <w:t xml:space="preserve"> </w:t>
      </w:r>
      <w:r w:rsidRPr="00272858">
        <w:rPr>
          <w:rFonts w:cs="Arial"/>
          <w:color w:val="000000"/>
          <w:szCs w:val="20"/>
          <w:lang w:val="en-US"/>
        </w:rPr>
        <w:t xml:space="preserve">authorised Orange France to use the </w:t>
      </w:r>
      <w:r>
        <w:rPr>
          <w:rFonts w:cs="Arial"/>
          <w:color w:val="000000"/>
          <w:szCs w:val="20"/>
        </w:rPr>
        <w:t xml:space="preserve">band </w:t>
      </w:r>
      <w:r w:rsidRPr="00272858">
        <w:rPr>
          <w:rFonts w:cs="Arial"/>
          <w:color w:val="000000"/>
          <w:szCs w:val="20"/>
          <w:lang w:val="en-US"/>
        </w:rPr>
        <w:t>14</w:t>
      </w:r>
      <w:r>
        <w:rPr>
          <w:rFonts w:cs="Arial"/>
          <w:color w:val="000000"/>
          <w:szCs w:val="20"/>
        </w:rPr>
        <w:t>84</w:t>
      </w:r>
      <w:r w:rsidRPr="00272858">
        <w:rPr>
          <w:rFonts w:cs="Arial"/>
          <w:color w:val="000000"/>
          <w:szCs w:val="20"/>
          <w:lang w:val="en-US"/>
        </w:rPr>
        <w:t xml:space="preserve">-1492 MHz to conduct </w:t>
      </w:r>
      <w:r>
        <w:rPr>
          <w:rFonts w:cs="Arial"/>
          <w:color w:val="000000"/>
          <w:szCs w:val="20"/>
        </w:rPr>
        <w:t xml:space="preserve">a 18 month SDL trial in Toulouse area (two sites), in partnership with </w:t>
      </w:r>
      <w:r w:rsidRPr="00272858">
        <w:rPr>
          <w:rFonts w:cs="Arial"/>
          <w:color w:val="000000"/>
          <w:szCs w:val="20"/>
          <w:lang w:val="en-US"/>
        </w:rPr>
        <w:t>Ericsson and Qualcomm</w:t>
      </w:r>
      <w:r>
        <w:rPr>
          <w:rFonts w:cs="Arial"/>
          <w:color w:val="000000"/>
          <w:szCs w:val="20"/>
        </w:rPr>
        <w:t>.</w:t>
      </w:r>
    </w:p>
    <w:p w:rsidR="00A81711" w:rsidRPr="00141BC4" w:rsidRDefault="00A81711" w:rsidP="00A81711">
      <w:pPr>
        <w:rPr>
          <w:rFonts w:cs="Arial"/>
          <w:b/>
          <w:bCs/>
        </w:rPr>
      </w:pPr>
    </w:p>
    <w:p w:rsidR="00A81711" w:rsidRPr="008D2EA0" w:rsidRDefault="00CF580E" w:rsidP="00A81711">
      <w:pPr>
        <w:rPr>
          <w:rFonts w:cs="Arial"/>
          <w:b/>
          <w:bCs/>
          <w:lang w:val="en-GB"/>
        </w:rPr>
      </w:pPr>
      <w:r w:rsidRPr="008D2EA0">
        <w:rPr>
          <w:rFonts w:cs="Arial"/>
          <w:b/>
          <w:bCs/>
          <w:lang w:val="en-GB"/>
        </w:rPr>
        <w:t>The Netherlands</w:t>
      </w:r>
    </w:p>
    <w:p w:rsidR="00A81711" w:rsidRPr="008D2EA0" w:rsidRDefault="00A81711" w:rsidP="00A81711">
      <w:pPr>
        <w:spacing w:before="60" w:after="60"/>
        <w:ind w:left="60"/>
        <w:rPr>
          <w:rFonts w:cs="Arial"/>
          <w:lang w:val="en-GB"/>
        </w:rPr>
      </w:pPr>
    </w:p>
    <w:p w:rsidR="00A81711" w:rsidRPr="008D2EA0" w:rsidRDefault="00A81711" w:rsidP="00720CFD">
      <w:pPr>
        <w:pStyle w:val="ECCParagraph"/>
      </w:pPr>
      <w:r w:rsidRPr="008D2EA0">
        <w:t>The Netherlands issued o</w:t>
      </w:r>
      <w:r w:rsidR="0051112C" w:rsidRPr="008D2EA0">
        <w:t>ne license within the 1452-1479.</w:t>
      </w:r>
      <w:r w:rsidRPr="008D2EA0">
        <w:t>5 MHz band. This license was awarded based on rights out of the MA02revCO07 Special Arrangement:</w:t>
      </w:r>
    </w:p>
    <w:p w:rsidR="00A81711" w:rsidRPr="008D2EA0" w:rsidRDefault="00A81711" w:rsidP="000F6780">
      <w:pPr>
        <w:pStyle w:val="ECCParagraph"/>
        <w:numPr>
          <w:ilvl w:val="0"/>
          <w:numId w:val="15"/>
        </w:numPr>
      </w:pPr>
      <w:r w:rsidRPr="008D2EA0">
        <w:t>117 area’s, containing 141 allotments, forming 1 nationwide layer;</w:t>
      </w:r>
    </w:p>
    <w:p w:rsidR="00A81711" w:rsidRPr="008D2EA0" w:rsidRDefault="00A81711" w:rsidP="000F6780">
      <w:pPr>
        <w:pStyle w:val="ECCParagraph"/>
        <w:numPr>
          <w:ilvl w:val="0"/>
          <w:numId w:val="15"/>
        </w:numPr>
      </w:pPr>
      <w:r w:rsidRPr="008D2EA0">
        <w:t>The license is technology neutral, transmissions should fit within the T-DAB spectrum mask;</w:t>
      </w:r>
    </w:p>
    <w:p w:rsidR="00A81711" w:rsidRPr="008D2EA0" w:rsidRDefault="00A81711" w:rsidP="000F6780">
      <w:pPr>
        <w:pStyle w:val="ECCParagraph"/>
        <w:numPr>
          <w:ilvl w:val="0"/>
          <w:numId w:val="15"/>
        </w:numPr>
      </w:pPr>
      <w:r w:rsidRPr="008D2EA0">
        <w:t>The license is granted on 16-02-2009 and will end on 15-02-2024;</w:t>
      </w:r>
    </w:p>
    <w:p w:rsidR="00A81711" w:rsidRPr="008D2EA0" w:rsidRDefault="00A81711" w:rsidP="000F6780">
      <w:pPr>
        <w:pStyle w:val="ECCParagraph"/>
        <w:numPr>
          <w:ilvl w:val="0"/>
          <w:numId w:val="15"/>
        </w:numPr>
      </w:pPr>
      <w:r w:rsidRPr="008D2EA0">
        <w:t>There is a roll-out obligation for 16 area’s by 16-02-2012 and 94 area’s by 16-02-2015;</w:t>
      </w:r>
    </w:p>
    <w:p w:rsidR="00A81711" w:rsidRPr="008D2EA0" w:rsidRDefault="00A81711" w:rsidP="000F6780">
      <w:pPr>
        <w:pStyle w:val="ECCParagraph"/>
        <w:numPr>
          <w:ilvl w:val="0"/>
          <w:numId w:val="15"/>
        </w:numPr>
      </w:pPr>
      <w:r w:rsidRPr="008D2EA0">
        <w:t>Not fulfilling the roll-out obligation can be a reason to withdraw the license. No roll out was reported up to now.</w:t>
      </w:r>
    </w:p>
    <w:p w:rsidR="00A81711" w:rsidRPr="008D2EA0" w:rsidRDefault="00A81711" w:rsidP="00720CFD">
      <w:pPr>
        <w:pStyle w:val="ECCParagraph"/>
      </w:pPr>
      <w:r w:rsidRPr="008D2EA0">
        <w:lastRenderedPageBreak/>
        <w:t xml:space="preserve">According to the national frequency plan of The </w:t>
      </w:r>
      <w:r w:rsidR="00720CFD" w:rsidRPr="008D2EA0">
        <w:t>Netherlands, the band 1452-1479.</w:t>
      </w:r>
      <w:r w:rsidRPr="008D2EA0">
        <w:t>5 MHz has to be used for digital broadcasting.</w:t>
      </w:r>
    </w:p>
    <w:p w:rsidR="00A81711" w:rsidRPr="008D2EA0" w:rsidRDefault="00A81711" w:rsidP="00A81711">
      <w:pPr>
        <w:spacing w:before="60" w:after="60"/>
        <w:rPr>
          <w:rFonts w:cs="Arial"/>
          <w:lang w:val="en-GB"/>
        </w:rPr>
      </w:pPr>
    </w:p>
    <w:p w:rsidR="00A81711" w:rsidRDefault="00A81711" w:rsidP="00A81711">
      <w:pPr>
        <w:spacing w:before="60" w:after="60"/>
        <w:rPr>
          <w:rFonts w:cs="Arial"/>
          <w:b/>
          <w:lang w:val="en-GB"/>
        </w:rPr>
      </w:pPr>
      <w:r w:rsidRPr="008D2EA0">
        <w:rPr>
          <w:rFonts w:cs="Arial"/>
          <w:b/>
          <w:lang w:val="en-GB"/>
        </w:rPr>
        <w:t>S</w:t>
      </w:r>
      <w:r w:rsidR="00CF580E" w:rsidRPr="008D2EA0">
        <w:rPr>
          <w:rFonts w:cs="Arial"/>
          <w:b/>
          <w:lang w:val="en-GB"/>
        </w:rPr>
        <w:t>weden</w:t>
      </w:r>
    </w:p>
    <w:p w:rsidR="00653874" w:rsidRPr="008D2EA0" w:rsidRDefault="00653874" w:rsidP="00A81711">
      <w:pPr>
        <w:spacing w:before="60" w:after="60"/>
        <w:rPr>
          <w:rFonts w:cs="Arial"/>
          <w:b/>
          <w:lang w:val="en-GB"/>
        </w:rPr>
      </w:pPr>
    </w:p>
    <w:p w:rsidR="00A81711" w:rsidRPr="008D2EA0" w:rsidRDefault="00A81711" w:rsidP="007C3130">
      <w:pPr>
        <w:pStyle w:val="ECCParagraph"/>
        <w:rPr>
          <w:rFonts w:ascii="Calibri" w:hAnsi="Calibri"/>
        </w:rPr>
      </w:pPr>
      <w:r w:rsidRPr="008D2EA0">
        <w:t>According to the national frequency plan the identified possible usage in 1452-14</w:t>
      </w:r>
      <w:r w:rsidR="0051112C" w:rsidRPr="008D2EA0">
        <w:t>79.5 MHz is T-DAB and in 1479.5</w:t>
      </w:r>
      <w:r w:rsidRPr="008D2EA0">
        <w:t>-1492 MHz is S-DAB. However, there are no licenses issued for T-DAB</w:t>
      </w:r>
      <w:r w:rsidRPr="008D2EA0">
        <w:rPr>
          <w:color w:val="1F497D"/>
        </w:rPr>
        <w:t xml:space="preserve">, </w:t>
      </w:r>
      <w:r w:rsidRPr="008D2EA0">
        <w:t>no satellite is covering Sweden (S-DAB) and the identifications are to be reviewed. The entire 1452-1492 MHz may therefore be available for new licenses for terrestrial applications under least restrictive technical conditions during 201</w:t>
      </w:r>
      <w:r w:rsidR="00BE5472">
        <w:t>3</w:t>
      </w:r>
      <w:r w:rsidRPr="008D2EA0">
        <w:t>.</w:t>
      </w:r>
    </w:p>
    <w:p w:rsidR="00A81711" w:rsidRPr="008D2EA0" w:rsidRDefault="00A81711" w:rsidP="00A81711">
      <w:pPr>
        <w:spacing w:before="60" w:after="60"/>
        <w:rPr>
          <w:rFonts w:cs="Arial"/>
          <w:lang w:val="en-GB"/>
        </w:rPr>
      </w:pPr>
    </w:p>
    <w:p w:rsidR="00A81711" w:rsidRPr="008D2EA0" w:rsidRDefault="00CF580E" w:rsidP="00A81711">
      <w:pPr>
        <w:spacing w:before="60" w:after="60"/>
        <w:rPr>
          <w:rFonts w:cs="Arial"/>
          <w:b/>
          <w:bCs/>
          <w:lang w:val="en-GB"/>
        </w:rPr>
      </w:pPr>
      <w:r w:rsidRPr="008D2EA0">
        <w:rPr>
          <w:rFonts w:cs="Arial"/>
          <w:b/>
          <w:bCs/>
          <w:lang w:val="en-GB"/>
        </w:rPr>
        <w:t>The United Kingdom</w:t>
      </w:r>
    </w:p>
    <w:p w:rsidR="00A81711" w:rsidRPr="008D2EA0" w:rsidRDefault="00A81711" w:rsidP="00A81711">
      <w:pPr>
        <w:spacing w:before="60" w:after="60"/>
        <w:rPr>
          <w:rFonts w:cs="Arial"/>
          <w:lang w:val="en-GB"/>
        </w:rPr>
      </w:pPr>
    </w:p>
    <w:p w:rsidR="00A81711" w:rsidRDefault="00A81711" w:rsidP="007C3130">
      <w:pPr>
        <w:pStyle w:val="ECCParagraph"/>
      </w:pPr>
      <w:r w:rsidRPr="008D2EA0">
        <w:t>The whole 1452-1492 MHz band is licensed until 2023 (renewable) for terrestrial applications under technology neutral technical conditions of usage.</w:t>
      </w:r>
    </w:p>
    <w:p w:rsidR="00653874" w:rsidRDefault="00653874">
      <w:pPr>
        <w:rPr>
          <w:lang w:val="en-GB"/>
        </w:rPr>
      </w:pPr>
      <w:r>
        <w:br w:type="page"/>
      </w:r>
    </w:p>
    <w:p w:rsidR="00A81711" w:rsidRPr="008D2EA0" w:rsidRDefault="00720CFD" w:rsidP="006731B4">
      <w:pPr>
        <w:pStyle w:val="ECCAnnexheading1"/>
      </w:pPr>
      <w:bookmarkStart w:id="196" w:name="_Ref330505473"/>
      <w:bookmarkStart w:id="197" w:name="_Toc349039334"/>
      <w:r w:rsidRPr="008D2EA0">
        <w:lastRenderedPageBreak/>
        <w:t>overview of the use/regulations of the band 1452-1492 MH</w:t>
      </w:r>
      <w:r w:rsidR="0051112C" w:rsidRPr="008D2EA0">
        <w:rPr>
          <w:caps w:val="0"/>
        </w:rPr>
        <w:t>z</w:t>
      </w:r>
      <w:r w:rsidR="00F24472" w:rsidRPr="008D2EA0">
        <w:t xml:space="preserve"> </w:t>
      </w:r>
      <w:r w:rsidRPr="008D2EA0">
        <w:t>in a number of countries outside from CEPT</w:t>
      </w:r>
      <w:bookmarkEnd w:id="196"/>
      <w:bookmarkEnd w:id="197"/>
    </w:p>
    <w:p w:rsidR="008A54FC" w:rsidRPr="008D2EA0" w:rsidRDefault="008A54FC" w:rsidP="00F21C76">
      <w:pPr>
        <w:pStyle w:val="ECCTabletitle"/>
      </w:pPr>
      <w:r w:rsidRPr="008D2EA0">
        <w:t xml:space="preserve"> </w:t>
      </w:r>
      <w:r w:rsidR="00F24472" w:rsidRPr="008D2EA0">
        <w:t>Use/</w:t>
      </w:r>
      <w:r w:rsidR="0051112C" w:rsidRPr="008D2EA0">
        <w:t>Regulations of the band 1452-</w:t>
      </w:r>
      <w:r w:rsidR="00F24472" w:rsidRPr="008D2EA0">
        <w:t>1492 MHz in a number of countries outside from CEPT</w:t>
      </w:r>
    </w:p>
    <w:tbl>
      <w:tblPr>
        <w:tblW w:w="98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01"/>
        <w:gridCol w:w="1984"/>
        <w:gridCol w:w="1276"/>
        <w:gridCol w:w="5494"/>
      </w:tblGrid>
      <w:tr w:rsidR="00720CFD" w:rsidRPr="008D2EA0" w:rsidTr="007C3130">
        <w:trPr>
          <w:tblHeader/>
        </w:trPr>
        <w:tc>
          <w:tcPr>
            <w:tcW w:w="1101" w:type="dxa"/>
            <w:tcBorders>
              <w:right w:val="single" w:sz="8" w:space="0" w:color="FFFFFF"/>
            </w:tcBorders>
            <w:shd w:val="clear" w:color="auto" w:fill="D2232A"/>
          </w:tcPr>
          <w:p w:rsidR="00720CFD" w:rsidRPr="008D2EA0" w:rsidRDefault="00720CFD" w:rsidP="00B055B7">
            <w:pPr>
              <w:tabs>
                <w:tab w:val="left" w:pos="1134"/>
                <w:tab w:val="left" w:pos="1871"/>
                <w:tab w:val="left" w:pos="2268"/>
              </w:tabs>
              <w:overflowPunct w:val="0"/>
              <w:autoSpaceDE w:val="0"/>
              <w:autoSpaceDN w:val="0"/>
              <w:adjustRightInd w:val="0"/>
              <w:spacing w:before="240"/>
              <w:textAlignment w:val="baseline"/>
              <w:rPr>
                <w:b/>
                <w:bCs/>
                <w:color w:val="FFFFFF" w:themeColor="background1"/>
                <w:sz w:val="18"/>
                <w:szCs w:val="18"/>
                <w:lang w:val="en-GB"/>
              </w:rPr>
            </w:pPr>
            <w:r w:rsidRPr="008D2EA0">
              <w:rPr>
                <w:b/>
                <w:bCs/>
                <w:color w:val="FFFFFF" w:themeColor="background1"/>
                <w:sz w:val="18"/>
                <w:szCs w:val="18"/>
                <w:lang w:val="en-GB"/>
              </w:rPr>
              <w:t>Country</w:t>
            </w:r>
          </w:p>
        </w:tc>
        <w:tc>
          <w:tcPr>
            <w:tcW w:w="1984" w:type="dxa"/>
            <w:tcBorders>
              <w:left w:val="single" w:sz="8" w:space="0" w:color="FFFFFF"/>
              <w:right w:val="single" w:sz="8" w:space="0" w:color="FFFFFF"/>
            </w:tcBorders>
            <w:shd w:val="clear" w:color="auto" w:fill="D2232A"/>
          </w:tcPr>
          <w:p w:rsidR="00720CFD" w:rsidRPr="008D2EA0" w:rsidRDefault="00720CFD" w:rsidP="00B055B7">
            <w:pPr>
              <w:tabs>
                <w:tab w:val="left" w:pos="1134"/>
                <w:tab w:val="left" w:pos="1871"/>
                <w:tab w:val="left" w:pos="2268"/>
              </w:tabs>
              <w:overflowPunct w:val="0"/>
              <w:autoSpaceDE w:val="0"/>
              <w:autoSpaceDN w:val="0"/>
              <w:adjustRightInd w:val="0"/>
              <w:spacing w:before="240"/>
              <w:textAlignment w:val="baseline"/>
              <w:rPr>
                <w:b/>
                <w:bCs/>
                <w:color w:val="FFFFFF" w:themeColor="background1"/>
                <w:sz w:val="18"/>
                <w:szCs w:val="18"/>
                <w:lang w:val="en-GB"/>
              </w:rPr>
            </w:pPr>
            <w:r w:rsidRPr="008D2EA0">
              <w:rPr>
                <w:b/>
                <w:bCs/>
                <w:color w:val="FFFFFF" w:themeColor="background1"/>
                <w:sz w:val="18"/>
                <w:szCs w:val="18"/>
                <w:lang w:val="en-GB"/>
              </w:rPr>
              <w:t>Primary Services</w:t>
            </w:r>
          </w:p>
        </w:tc>
        <w:tc>
          <w:tcPr>
            <w:tcW w:w="1276" w:type="dxa"/>
            <w:tcBorders>
              <w:left w:val="single" w:sz="8" w:space="0" w:color="FFFFFF"/>
              <w:right w:val="single" w:sz="8" w:space="0" w:color="FFFFFF"/>
            </w:tcBorders>
            <w:shd w:val="clear" w:color="auto" w:fill="D2232A"/>
          </w:tcPr>
          <w:p w:rsidR="00720CFD" w:rsidRPr="008D2EA0" w:rsidRDefault="00720CFD" w:rsidP="00B055B7">
            <w:pPr>
              <w:tabs>
                <w:tab w:val="left" w:pos="1134"/>
                <w:tab w:val="left" w:pos="1871"/>
                <w:tab w:val="left" w:pos="2268"/>
              </w:tabs>
              <w:overflowPunct w:val="0"/>
              <w:autoSpaceDE w:val="0"/>
              <w:autoSpaceDN w:val="0"/>
              <w:adjustRightInd w:val="0"/>
              <w:spacing w:before="240"/>
              <w:textAlignment w:val="baseline"/>
              <w:rPr>
                <w:b/>
                <w:bCs/>
                <w:color w:val="FFFFFF" w:themeColor="background1"/>
                <w:sz w:val="18"/>
                <w:szCs w:val="18"/>
                <w:lang w:val="en-GB"/>
              </w:rPr>
            </w:pPr>
            <w:r w:rsidRPr="008D2EA0">
              <w:rPr>
                <w:b/>
                <w:bCs/>
                <w:color w:val="FFFFFF" w:themeColor="background1"/>
                <w:sz w:val="18"/>
                <w:szCs w:val="18"/>
                <w:lang w:val="en-GB"/>
              </w:rPr>
              <w:t>Secondary Services</w:t>
            </w:r>
          </w:p>
        </w:tc>
        <w:tc>
          <w:tcPr>
            <w:tcW w:w="5494" w:type="dxa"/>
            <w:tcBorders>
              <w:left w:val="single" w:sz="8" w:space="0" w:color="FFFFFF"/>
            </w:tcBorders>
            <w:shd w:val="clear" w:color="auto" w:fill="D2232A"/>
          </w:tcPr>
          <w:p w:rsidR="00720CFD" w:rsidRPr="008D2EA0" w:rsidRDefault="00720CFD" w:rsidP="00B055B7">
            <w:pPr>
              <w:tabs>
                <w:tab w:val="left" w:pos="1134"/>
                <w:tab w:val="left" w:pos="1871"/>
                <w:tab w:val="left" w:pos="2268"/>
              </w:tabs>
              <w:overflowPunct w:val="0"/>
              <w:autoSpaceDE w:val="0"/>
              <w:autoSpaceDN w:val="0"/>
              <w:adjustRightInd w:val="0"/>
              <w:spacing w:before="240"/>
              <w:textAlignment w:val="baseline"/>
              <w:rPr>
                <w:b/>
                <w:bCs/>
                <w:color w:val="FFFFFF" w:themeColor="background1"/>
                <w:sz w:val="18"/>
                <w:szCs w:val="18"/>
                <w:lang w:val="en-GB"/>
              </w:rPr>
            </w:pPr>
            <w:r w:rsidRPr="008D2EA0">
              <w:rPr>
                <w:b/>
                <w:bCs/>
                <w:color w:val="FFFFFF" w:themeColor="background1"/>
                <w:sz w:val="18"/>
                <w:szCs w:val="18"/>
                <w:lang w:val="en-GB"/>
              </w:rPr>
              <w:t>Note</w:t>
            </w:r>
          </w:p>
        </w:tc>
      </w:tr>
      <w:tr w:rsidR="00720CFD" w:rsidRPr="008D2EA0" w:rsidTr="007C3130">
        <w:tc>
          <w:tcPr>
            <w:tcW w:w="1101"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Australia</w:t>
            </w:r>
          </w:p>
        </w:tc>
        <w:tc>
          <w:tcPr>
            <w:tcW w:w="198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Fixed, Mobile, Broadcasting, Broadcasting Satellite</w:t>
            </w:r>
          </w:p>
        </w:tc>
        <w:tc>
          <w:tcPr>
            <w:tcW w:w="1276"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p>
        </w:tc>
        <w:tc>
          <w:tcPr>
            <w:tcW w:w="5494" w:type="dxa"/>
          </w:tcPr>
          <w:p w:rsidR="00720CFD" w:rsidRPr="008D2EA0" w:rsidRDefault="00F21C76" w:rsidP="005D1E13">
            <w:pPr>
              <w:tabs>
                <w:tab w:val="left" w:pos="1134"/>
                <w:tab w:val="left" w:pos="1871"/>
                <w:tab w:val="left" w:pos="2268"/>
              </w:tabs>
              <w:overflowPunct w:val="0"/>
              <w:autoSpaceDE w:val="0"/>
              <w:autoSpaceDN w:val="0"/>
              <w:adjustRightInd w:val="0"/>
              <w:spacing w:before="40"/>
              <w:textAlignment w:val="baseline"/>
              <w:rPr>
                <w:szCs w:val="20"/>
                <w:lang w:val="en-GB"/>
              </w:rPr>
            </w:pPr>
            <w:hyperlink r:id="rId76" w:history="1">
              <w:r w:rsidR="00F24472" w:rsidRPr="008D2EA0">
                <w:rPr>
                  <w:rStyle w:val="Hyperlink"/>
                  <w:szCs w:val="20"/>
                  <w:lang w:val="en-GB"/>
                </w:rPr>
                <w:t>http://www.acma.gov.au/WEB/STANDARD/pc=PC_2713</w:t>
              </w:r>
            </w:hyperlink>
          </w:p>
          <w:p w:rsidR="00F24472" w:rsidRPr="008D2EA0" w:rsidRDefault="00F24472" w:rsidP="005D1E13">
            <w:pPr>
              <w:tabs>
                <w:tab w:val="left" w:pos="1134"/>
                <w:tab w:val="left" w:pos="1871"/>
                <w:tab w:val="left" w:pos="2268"/>
              </w:tabs>
              <w:overflowPunct w:val="0"/>
              <w:autoSpaceDE w:val="0"/>
              <w:autoSpaceDN w:val="0"/>
              <w:adjustRightInd w:val="0"/>
              <w:spacing w:before="40"/>
              <w:textAlignment w:val="baseline"/>
              <w:rPr>
                <w:rFonts w:cs="Arial"/>
                <w:szCs w:val="20"/>
                <w:lang w:val="en-GB"/>
              </w:rPr>
            </w:pPr>
            <w:bookmarkStart w:id="198" w:name="OLE_LINK3"/>
            <w:bookmarkStart w:id="199" w:name="OLE_LINK4"/>
            <w:bookmarkEnd w:id="198"/>
            <w:r w:rsidRPr="008D2EA0">
              <w:rPr>
                <w:rFonts w:cs="Arial"/>
                <w:szCs w:val="20"/>
                <w:lang w:val="en-GB"/>
              </w:rPr>
              <w:t>ACMA is consulting on the planning for mobile broadband within the 1.5 GHz mobile band</w:t>
            </w:r>
            <w:bookmarkEnd w:id="199"/>
            <w:r w:rsidRPr="008D2EA0">
              <w:rPr>
                <w:rFonts w:cs="Arial"/>
                <w:szCs w:val="20"/>
                <w:lang w:val="en-GB"/>
              </w:rPr>
              <w:t xml:space="preserve"> (</w:t>
            </w:r>
            <w:hyperlink r:id="rId77" w:tgtFrame="_blank" w:history="1">
              <w:r w:rsidRPr="008D2EA0">
                <w:rPr>
                  <w:rStyle w:val="Hyperlink"/>
                  <w:rFonts w:cs="Arial"/>
                  <w:szCs w:val="20"/>
                  <w:lang w:val="en-GB"/>
                </w:rPr>
                <w:t>http://www.acma.gov.au/WEB/STANDARD/pc=PC_410368</w:t>
              </w:r>
            </w:hyperlink>
            <w:r w:rsidRPr="008D2EA0">
              <w:rPr>
                <w:rFonts w:cs="Arial"/>
                <w:szCs w:val="20"/>
                <w:lang w:val="en-GB"/>
              </w:rPr>
              <w:t>).</w:t>
            </w:r>
          </w:p>
        </w:tc>
      </w:tr>
      <w:tr w:rsidR="00720CFD" w:rsidRPr="008D2EA0" w:rsidTr="007C3130">
        <w:tc>
          <w:tcPr>
            <w:tcW w:w="1101" w:type="dxa"/>
          </w:tcPr>
          <w:p w:rsidR="00720CFD" w:rsidRPr="007B55B6"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7B55B6">
              <w:rPr>
                <w:szCs w:val="20"/>
                <w:lang w:val="en-GB"/>
              </w:rPr>
              <w:t>Brazil</w:t>
            </w:r>
          </w:p>
        </w:tc>
        <w:tc>
          <w:tcPr>
            <w:tcW w:w="1984" w:type="dxa"/>
          </w:tcPr>
          <w:p w:rsidR="00720CFD" w:rsidRPr="007B55B6"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7B55B6">
              <w:rPr>
                <w:szCs w:val="20"/>
                <w:lang w:val="en-GB"/>
              </w:rPr>
              <w:t xml:space="preserve">Fixed, </w:t>
            </w:r>
            <w:r w:rsidR="00D62383" w:rsidRPr="007B55B6">
              <w:rPr>
                <w:szCs w:val="20"/>
                <w:lang w:val="en-GB"/>
              </w:rPr>
              <w:t xml:space="preserve">Mobile, </w:t>
            </w:r>
            <w:r w:rsidRPr="007B55B6">
              <w:rPr>
                <w:szCs w:val="20"/>
                <w:lang w:val="en-GB"/>
              </w:rPr>
              <w:t>Broadcasting, Broadcasting Satellite</w:t>
            </w:r>
          </w:p>
        </w:tc>
        <w:tc>
          <w:tcPr>
            <w:tcW w:w="1276" w:type="dxa"/>
          </w:tcPr>
          <w:p w:rsidR="00720CFD" w:rsidRPr="007B55B6"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p>
        </w:tc>
        <w:tc>
          <w:tcPr>
            <w:tcW w:w="5494" w:type="dxa"/>
          </w:tcPr>
          <w:p w:rsidR="00D62383" w:rsidRPr="008D2EA0" w:rsidRDefault="00F21C76" w:rsidP="005D1E13">
            <w:pPr>
              <w:tabs>
                <w:tab w:val="left" w:pos="1134"/>
                <w:tab w:val="left" w:pos="1871"/>
                <w:tab w:val="left" w:pos="2268"/>
              </w:tabs>
              <w:overflowPunct w:val="0"/>
              <w:autoSpaceDE w:val="0"/>
              <w:autoSpaceDN w:val="0"/>
              <w:adjustRightInd w:val="0"/>
              <w:spacing w:before="40"/>
              <w:textAlignment w:val="baseline"/>
              <w:rPr>
                <w:szCs w:val="20"/>
                <w:lang w:val="en-GB"/>
              </w:rPr>
            </w:pPr>
            <w:hyperlink r:id="rId78" w:history="1">
              <w:r w:rsidR="00D62383" w:rsidRPr="007B55B6">
                <w:rPr>
                  <w:rStyle w:val="Hyperlink"/>
                  <w:rFonts w:cs="Arial"/>
                  <w:szCs w:val="20"/>
                </w:rPr>
                <w:t>www.anatel.gov.br</w:t>
              </w:r>
            </w:hyperlink>
          </w:p>
        </w:tc>
      </w:tr>
      <w:tr w:rsidR="00720CFD" w:rsidRPr="008D2EA0" w:rsidTr="007C3130">
        <w:tc>
          <w:tcPr>
            <w:tcW w:w="1101"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 xml:space="preserve">Canada </w:t>
            </w:r>
          </w:p>
        </w:tc>
        <w:tc>
          <w:tcPr>
            <w:tcW w:w="198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 xml:space="preserve">Broadcast (T and S) Fixed </w:t>
            </w:r>
          </w:p>
        </w:tc>
        <w:tc>
          <w:tcPr>
            <w:tcW w:w="1276"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Mobile</w:t>
            </w:r>
          </w:p>
        </w:tc>
        <w:tc>
          <w:tcPr>
            <w:tcW w:w="5494" w:type="dxa"/>
          </w:tcPr>
          <w:p w:rsidR="00720CFD" w:rsidRPr="008D2EA0" w:rsidRDefault="00F21C76" w:rsidP="005D1E13">
            <w:pPr>
              <w:tabs>
                <w:tab w:val="left" w:pos="1134"/>
                <w:tab w:val="left" w:pos="1871"/>
                <w:tab w:val="left" w:pos="2268"/>
              </w:tabs>
              <w:overflowPunct w:val="0"/>
              <w:autoSpaceDE w:val="0"/>
              <w:autoSpaceDN w:val="0"/>
              <w:adjustRightInd w:val="0"/>
              <w:spacing w:before="40"/>
              <w:textAlignment w:val="baseline"/>
              <w:rPr>
                <w:szCs w:val="20"/>
                <w:lang w:val="en-GB"/>
              </w:rPr>
            </w:pPr>
            <w:hyperlink r:id="rId79" w:history="1">
              <w:r w:rsidR="00720CFD" w:rsidRPr="008D2EA0">
                <w:rPr>
                  <w:rStyle w:val="Hyperlink"/>
                  <w:szCs w:val="20"/>
                  <w:lang w:val="en-GB"/>
                </w:rPr>
                <w:t>http://www.ic.gc.ca/eic/site/smt-gst.nsf/vwapj/spectallocation-08.pdf/$FILE/spectallocation-08.pdf</w:t>
              </w:r>
            </w:hyperlink>
          </w:p>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Industry Canada consulted on the adoption of ‘a spectrum utilization policy allowing for flexible use of the spectrum to support a variety of services and technologies for subscription broadcasting, multimedia, fixed and mobile broadband applications.’</w:t>
            </w:r>
          </w:p>
          <w:p w:rsidR="00720CFD" w:rsidRPr="008D2EA0" w:rsidRDefault="00F21C76" w:rsidP="005D1E13">
            <w:pPr>
              <w:tabs>
                <w:tab w:val="left" w:pos="1134"/>
                <w:tab w:val="left" w:pos="1871"/>
                <w:tab w:val="left" w:pos="2268"/>
              </w:tabs>
              <w:overflowPunct w:val="0"/>
              <w:autoSpaceDE w:val="0"/>
              <w:autoSpaceDN w:val="0"/>
              <w:adjustRightInd w:val="0"/>
              <w:spacing w:before="40"/>
              <w:textAlignment w:val="baseline"/>
              <w:rPr>
                <w:szCs w:val="20"/>
                <w:lang w:val="en-GB"/>
              </w:rPr>
            </w:pPr>
            <w:hyperlink r:id="rId80" w:anchor="band1452a" w:history="1">
              <w:r w:rsidR="00720CFD" w:rsidRPr="008D2EA0">
                <w:rPr>
                  <w:rStyle w:val="Hyperlink"/>
                  <w:szCs w:val="20"/>
                  <w:lang w:val="en-GB"/>
                </w:rPr>
                <w:t>http://www.ic.gc.ca/eic/site/smt-gst.nsf/eng/sf09751.html#band1452a</w:t>
              </w:r>
            </w:hyperlink>
          </w:p>
        </w:tc>
      </w:tr>
      <w:tr w:rsidR="00720CFD" w:rsidRPr="008D2EA0" w:rsidTr="007C3130">
        <w:tc>
          <w:tcPr>
            <w:tcW w:w="1101"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China</w:t>
            </w:r>
          </w:p>
        </w:tc>
        <w:tc>
          <w:tcPr>
            <w:tcW w:w="198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Fixed, Broadcasting, Broadcasting Satellite</w:t>
            </w:r>
          </w:p>
        </w:tc>
        <w:tc>
          <w:tcPr>
            <w:tcW w:w="1276"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p>
        </w:tc>
        <w:tc>
          <w:tcPr>
            <w:tcW w:w="5494" w:type="dxa"/>
          </w:tcPr>
          <w:p w:rsidR="00720CFD" w:rsidRPr="008D2EA0" w:rsidRDefault="00F21C76" w:rsidP="005D1E13">
            <w:pPr>
              <w:tabs>
                <w:tab w:val="left" w:pos="1134"/>
                <w:tab w:val="left" w:pos="1871"/>
                <w:tab w:val="left" w:pos="2268"/>
              </w:tabs>
              <w:overflowPunct w:val="0"/>
              <w:autoSpaceDE w:val="0"/>
              <w:autoSpaceDN w:val="0"/>
              <w:adjustRightInd w:val="0"/>
              <w:spacing w:before="40"/>
              <w:textAlignment w:val="baseline"/>
              <w:rPr>
                <w:szCs w:val="20"/>
                <w:lang w:val="en-GB"/>
              </w:rPr>
            </w:pPr>
            <w:hyperlink r:id="rId81" w:history="1">
              <w:r w:rsidR="00720CFD" w:rsidRPr="008D2EA0">
                <w:rPr>
                  <w:rStyle w:val="Hyperlink"/>
                  <w:szCs w:val="20"/>
                  <w:lang w:val="en-GB"/>
                </w:rPr>
                <w:t>http://files.radioscanner.ru/bands/files/document76/castoti_kitaa_2005.pdf</w:t>
              </w:r>
            </w:hyperlink>
          </w:p>
        </w:tc>
      </w:tr>
      <w:tr w:rsidR="00720CFD" w:rsidRPr="008D2EA0" w:rsidTr="007C3130">
        <w:tc>
          <w:tcPr>
            <w:tcW w:w="1101"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Hong Kong</w:t>
            </w:r>
          </w:p>
        </w:tc>
        <w:tc>
          <w:tcPr>
            <w:tcW w:w="198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Fixed</w:t>
            </w:r>
          </w:p>
        </w:tc>
        <w:tc>
          <w:tcPr>
            <w:tcW w:w="1276"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p>
        </w:tc>
        <w:tc>
          <w:tcPr>
            <w:tcW w:w="549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http://www.ofta.gov.hk/en/freq-spec/freq-allocations.pdf</w:t>
            </w:r>
          </w:p>
        </w:tc>
      </w:tr>
      <w:tr w:rsidR="00720CFD" w:rsidRPr="008D2EA0" w:rsidTr="007C3130">
        <w:tc>
          <w:tcPr>
            <w:tcW w:w="1101"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India</w:t>
            </w:r>
          </w:p>
        </w:tc>
        <w:tc>
          <w:tcPr>
            <w:tcW w:w="198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Fixed, Mobile, Broadcasting, Broadcasting Satellite</w:t>
            </w:r>
          </w:p>
        </w:tc>
        <w:tc>
          <w:tcPr>
            <w:tcW w:w="1276"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p>
        </w:tc>
        <w:tc>
          <w:tcPr>
            <w:tcW w:w="5494" w:type="dxa"/>
          </w:tcPr>
          <w:p w:rsidR="00720CFD" w:rsidRPr="008D2EA0" w:rsidRDefault="00720CFD" w:rsidP="005D1E13">
            <w:pPr>
              <w:spacing w:before="40"/>
              <w:rPr>
                <w:color w:val="17365D"/>
                <w:szCs w:val="20"/>
                <w:lang w:val="en-GB"/>
              </w:rPr>
            </w:pPr>
            <w:r w:rsidRPr="008D2EA0">
              <w:rPr>
                <w:szCs w:val="20"/>
                <w:lang w:val="en-GB"/>
              </w:rPr>
              <w:t xml:space="preserve">NFAP 2011: </w:t>
            </w:r>
            <w:hyperlink r:id="rId82" w:history="1">
              <w:r w:rsidRPr="008D2EA0">
                <w:rPr>
                  <w:rStyle w:val="Hyperlink"/>
                  <w:szCs w:val="20"/>
                  <w:lang w:val="en-GB"/>
                </w:rPr>
                <w:t>http://210.212.79.13/nfap-2011.asp</w:t>
              </w:r>
            </w:hyperlink>
          </w:p>
          <w:p w:rsidR="00720CFD" w:rsidRPr="008D2EA0" w:rsidRDefault="00720CFD" w:rsidP="0051112C">
            <w:pPr>
              <w:tabs>
                <w:tab w:val="left" w:pos="0"/>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 xml:space="preserve">Footnote </w:t>
            </w:r>
            <w:r w:rsidRPr="008D2EA0">
              <w:rPr>
                <w:color w:val="17365D"/>
                <w:szCs w:val="20"/>
                <w:lang w:val="en-GB"/>
              </w:rPr>
              <w:t>IND 53 of the 2011 National Frequency Allocation Plan specifies that ‘The requirement of spec</w:t>
            </w:r>
            <w:r w:rsidR="0051112C" w:rsidRPr="008D2EA0">
              <w:rPr>
                <w:color w:val="17365D"/>
                <w:szCs w:val="20"/>
                <w:lang w:val="en-GB"/>
              </w:rPr>
              <w:t>trum in the frequency band 1427-</w:t>
            </w:r>
            <w:r w:rsidRPr="008D2EA0">
              <w:rPr>
                <w:color w:val="17365D"/>
                <w:szCs w:val="20"/>
                <w:lang w:val="en-GB"/>
              </w:rPr>
              <w:t>1535 MHz may be considered for experimental/ trial/ pilot-study purposes for indigenously developed technologies for point-to-point backhaul and point-to-multipoint access systems.</w:t>
            </w:r>
          </w:p>
        </w:tc>
      </w:tr>
      <w:tr w:rsidR="00720CFD" w:rsidRPr="008D2EA0" w:rsidTr="007C3130">
        <w:tc>
          <w:tcPr>
            <w:tcW w:w="1101"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Japan</w:t>
            </w:r>
          </w:p>
        </w:tc>
        <w:tc>
          <w:tcPr>
            <w:tcW w:w="198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1452-1453 MHz: Fixed and Mobile</w:t>
            </w:r>
            <w:r w:rsidR="005D1E13" w:rsidRPr="008D2EA0">
              <w:rPr>
                <w:szCs w:val="20"/>
                <w:lang w:val="en-GB"/>
              </w:rPr>
              <w:t xml:space="preserve"> </w:t>
            </w:r>
            <w:r w:rsidRPr="008D2EA0">
              <w:rPr>
                <w:szCs w:val="20"/>
                <w:lang w:val="en-GB"/>
              </w:rPr>
              <w:t>1453-1475.9 MHz: Mobile</w:t>
            </w:r>
          </w:p>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1475.9-1492 MHz: Fixed and Mobile</w:t>
            </w:r>
          </w:p>
        </w:tc>
        <w:tc>
          <w:tcPr>
            <w:tcW w:w="1276"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p>
        </w:tc>
        <w:tc>
          <w:tcPr>
            <w:tcW w:w="5494" w:type="dxa"/>
          </w:tcPr>
          <w:p w:rsidR="00720CFD" w:rsidRPr="008D2EA0" w:rsidRDefault="00F21C76" w:rsidP="005D1E13">
            <w:pPr>
              <w:tabs>
                <w:tab w:val="left" w:pos="1134"/>
                <w:tab w:val="left" w:pos="1871"/>
                <w:tab w:val="left" w:pos="2268"/>
              </w:tabs>
              <w:overflowPunct w:val="0"/>
              <w:autoSpaceDE w:val="0"/>
              <w:autoSpaceDN w:val="0"/>
              <w:adjustRightInd w:val="0"/>
              <w:spacing w:before="40"/>
              <w:textAlignment w:val="baseline"/>
              <w:rPr>
                <w:szCs w:val="20"/>
                <w:lang w:val="en-GB"/>
              </w:rPr>
            </w:pPr>
            <w:hyperlink r:id="rId83" w:history="1">
              <w:r w:rsidR="00720CFD" w:rsidRPr="008D2EA0">
                <w:rPr>
                  <w:rStyle w:val="Hyperlink"/>
                  <w:szCs w:val="20"/>
                  <w:lang w:val="en-GB"/>
                </w:rPr>
                <w:t>http://www.tele.soumu.go.jp/e/adm/freq/search/share/plan.htm</w:t>
              </w:r>
            </w:hyperlink>
          </w:p>
        </w:tc>
      </w:tr>
      <w:tr w:rsidR="00720CFD" w:rsidRPr="008D2EA0" w:rsidTr="007C3130">
        <w:tc>
          <w:tcPr>
            <w:tcW w:w="1101"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Kenya</w:t>
            </w:r>
          </w:p>
        </w:tc>
        <w:tc>
          <w:tcPr>
            <w:tcW w:w="198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Broadcasting, Broadcasting Satellite</w:t>
            </w:r>
          </w:p>
        </w:tc>
        <w:tc>
          <w:tcPr>
            <w:tcW w:w="1276"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p>
        </w:tc>
        <w:tc>
          <w:tcPr>
            <w:tcW w:w="5494" w:type="dxa"/>
          </w:tcPr>
          <w:p w:rsidR="00720CFD" w:rsidRPr="008D2EA0" w:rsidRDefault="00F21C76" w:rsidP="005D1E13">
            <w:pPr>
              <w:tabs>
                <w:tab w:val="left" w:pos="1134"/>
                <w:tab w:val="left" w:pos="1871"/>
                <w:tab w:val="left" w:pos="2268"/>
              </w:tabs>
              <w:overflowPunct w:val="0"/>
              <w:autoSpaceDE w:val="0"/>
              <w:autoSpaceDN w:val="0"/>
              <w:adjustRightInd w:val="0"/>
              <w:spacing w:before="40"/>
              <w:textAlignment w:val="baseline"/>
              <w:rPr>
                <w:szCs w:val="20"/>
                <w:lang w:val="en-GB"/>
              </w:rPr>
            </w:pPr>
            <w:hyperlink r:id="rId84" w:history="1">
              <w:r w:rsidR="00720CFD" w:rsidRPr="008D2EA0">
                <w:rPr>
                  <w:rStyle w:val="Hyperlink"/>
                  <w:szCs w:val="20"/>
                  <w:lang w:val="en-GB"/>
                </w:rPr>
                <w:t>http://www.cck.go.ke/licensing/downloads/Kenya_TOFA_2008_Edition.pdf</w:t>
              </w:r>
            </w:hyperlink>
          </w:p>
        </w:tc>
      </w:tr>
      <w:tr w:rsidR="00720CFD" w:rsidRPr="008D2EA0" w:rsidTr="007C3130">
        <w:tc>
          <w:tcPr>
            <w:tcW w:w="1101"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Pakistan</w:t>
            </w:r>
          </w:p>
        </w:tc>
        <w:tc>
          <w:tcPr>
            <w:tcW w:w="198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Fixed, Mobile, Broadcasting, Broadcasting Satellite</w:t>
            </w:r>
          </w:p>
        </w:tc>
        <w:tc>
          <w:tcPr>
            <w:tcW w:w="1276"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p>
        </w:tc>
        <w:tc>
          <w:tcPr>
            <w:tcW w:w="5494" w:type="dxa"/>
          </w:tcPr>
          <w:p w:rsidR="00720CFD" w:rsidRPr="008D2EA0" w:rsidRDefault="00F21C76" w:rsidP="005D1E13">
            <w:pPr>
              <w:tabs>
                <w:tab w:val="left" w:pos="1134"/>
                <w:tab w:val="left" w:pos="1871"/>
                <w:tab w:val="left" w:pos="2268"/>
              </w:tabs>
              <w:overflowPunct w:val="0"/>
              <w:autoSpaceDE w:val="0"/>
              <w:autoSpaceDN w:val="0"/>
              <w:adjustRightInd w:val="0"/>
              <w:spacing w:before="40"/>
              <w:textAlignment w:val="baseline"/>
              <w:rPr>
                <w:szCs w:val="20"/>
                <w:lang w:val="en-GB"/>
              </w:rPr>
            </w:pPr>
            <w:hyperlink r:id="rId85" w:history="1">
              <w:r w:rsidR="00720CFD" w:rsidRPr="008D2EA0">
                <w:rPr>
                  <w:rStyle w:val="Hyperlink"/>
                  <w:szCs w:val="20"/>
                  <w:lang w:val="en-GB"/>
                </w:rPr>
                <w:t>http://www.pta.gov.pk/media/Pakistan_Table_of_Frequency_Allocations.pdf</w:t>
              </w:r>
            </w:hyperlink>
          </w:p>
        </w:tc>
      </w:tr>
      <w:tr w:rsidR="00720CFD" w:rsidRPr="008D2EA0" w:rsidTr="007C3130">
        <w:tc>
          <w:tcPr>
            <w:tcW w:w="1101"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South Korea</w:t>
            </w:r>
          </w:p>
        </w:tc>
        <w:tc>
          <w:tcPr>
            <w:tcW w:w="198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Fixed and Mobile</w:t>
            </w:r>
          </w:p>
        </w:tc>
        <w:tc>
          <w:tcPr>
            <w:tcW w:w="1276"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p>
        </w:tc>
        <w:tc>
          <w:tcPr>
            <w:tcW w:w="5494" w:type="dxa"/>
          </w:tcPr>
          <w:p w:rsidR="00720CFD" w:rsidRPr="008D2EA0" w:rsidRDefault="00F21C76" w:rsidP="005D1E13">
            <w:pPr>
              <w:tabs>
                <w:tab w:val="left" w:pos="1134"/>
                <w:tab w:val="left" w:pos="1871"/>
                <w:tab w:val="left" w:pos="2268"/>
              </w:tabs>
              <w:overflowPunct w:val="0"/>
              <w:autoSpaceDE w:val="0"/>
              <w:autoSpaceDN w:val="0"/>
              <w:adjustRightInd w:val="0"/>
              <w:spacing w:before="40"/>
              <w:textAlignment w:val="baseline"/>
              <w:rPr>
                <w:szCs w:val="20"/>
                <w:lang w:val="en-GB"/>
              </w:rPr>
            </w:pPr>
            <w:hyperlink r:id="rId86" w:history="1">
              <w:r w:rsidR="00720CFD" w:rsidRPr="008D2EA0">
                <w:rPr>
                  <w:rStyle w:val="Hyperlink"/>
                  <w:szCs w:val="20"/>
                  <w:lang w:val="en-GB"/>
                </w:rPr>
                <w:t>http://rapa.or.kr/frequency/english/3_Korean_Allocations_Tables.pdf</w:t>
              </w:r>
            </w:hyperlink>
          </w:p>
        </w:tc>
      </w:tr>
      <w:tr w:rsidR="00720CFD" w:rsidRPr="008D2EA0" w:rsidTr="007C3130">
        <w:tc>
          <w:tcPr>
            <w:tcW w:w="1101"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lastRenderedPageBreak/>
              <w:t>United States</w:t>
            </w:r>
          </w:p>
        </w:tc>
        <w:tc>
          <w:tcPr>
            <w:tcW w:w="198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Mobile (aeronautical telemetry) - aviation</w:t>
            </w:r>
          </w:p>
        </w:tc>
        <w:tc>
          <w:tcPr>
            <w:tcW w:w="1276"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p>
        </w:tc>
        <w:tc>
          <w:tcPr>
            <w:tcW w:w="5494" w:type="dxa"/>
          </w:tcPr>
          <w:p w:rsidR="00720CFD" w:rsidRPr="008D2EA0" w:rsidRDefault="00720CFD" w:rsidP="005D1E13">
            <w:pPr>
              <w:tabs>
                <w:tab w:val="left" w:pos="1134"/>
                <w:tab w:val="left" w:pos="1871"/>
                <w:tab w:val="left" w:pos="2268"/>
              </w:tabs>
              <w:overflowPunct w:val="0"/>
              <w:autoSpaceDE w:val="0"/>
              <w:autoSpaceDN w:val="0"/>
              <w:adjustRightInd w:val="0"/>
              <w:spacing w:before="40"/>
              <w:textAlignment w:val="baseline"/>
              <w:rPr>
                <w:szCs w:val="20"/>
                <w:lang w:val="en-GB"/>
              </w:rPr>
            </w:pPr>
            <w:r w:rsidRPr="008D2EA0">
              <w:rPr>
                <w:szCs w:val="20"/>
                <w:lang w:val="en-GB"/>
              </w:rPr>
              <w:t>http://www.ntia.doc.gov/osmhome/allochrt.html</w:t>
            </w:r>
          </w:p>
        </w:tc>
      </w:tr>
    </w:tbl>
    <w:p w:rsidR="008A54FC" w:rsidRPr="008D2EA0" w:rsidRDefault="008A54FC" w:rsidP="00922F46">
      <w:pPr>
        <w:pStyle w:val="ECCTablenote"/>
      </w:pPr>
    </w:p>
    <w:p w:rsidR="007C3130" w:rsidRPr="008D2EA0" w:rsidRDefault="007C3130" w:rsidP="007C3130">
      <w:pPr>
        <w:pStyle w:val="ECCAnnexheading2"/>
        <w:rPr>
          <w:bCs/>
          <w:lang w:val="en-GB"/>
        </w:rPr>
      </w:pPr>
      <w:r w:rsidRPr="008D2EA0">
        <w:rPr>
          <w:bCs/>
          <w:lang w:val="en-GB"/>
        </w:rPr>
        <w:t>Additional information</w:t>
      </w:r>
    </w:p>
    <w:p w:rsidR="007C3130" w:rsidRPr="008D2EA0" w:rsidRDefault="007C3130" w:rsidP="000F6780">
      <w:pPr>
        <w:pStyle w:val="NormalWeb"/>
        <w:numPr>
          <w:ilvl w:val="0"/>
          <w:numId w:val="16"/>
        </w:numPr>
        <w:spacing w:line="276" w:lineRule="auto"/>
        <w:jc w:val="both"/>
        <w:rPr>
          <w:rFonts w:ascii="Arial" w:hAnsi="Arial" w:cs="Arial"/>
          <w:sz w:val="20"/>
          <w:szCs w:val="20"/>
          <w:lang w:val="en-GB"/>
        </w:rPr>
      </w:pPr>
      <w:r w:rsidRPr="008D2EA0">
        <w:rPr>
          <w:rFonts w:ascii="Arial" w:hAnsi="Arial" w:cs="Arial"/>
          <w:sz w:val="20"/>
          <w:szCs w:val="20"/>
          <w:lang w:val="en-GB"/>
        </w:rPr>
        <w:t>In Canada, Industry Canada’s ‘</w:t>
      </w:r>
      <w:r w:rsidRPr="008D2EA0">
        <w:rPr>
          <w:rFonts w:ascii="Arial" w:hAnsi="Arial" w:cs="Arial"/>
          <w:i/>
          <w:iCs/>
          <w:sz w:val="20"/>
          <w:szCs w:val="20"/>
          <w:lang w:val="en-GB"/>
        </w:rPr>
        <w:t>Consultation on the Spectrum Allocations and Spectrum Utilization Policies for the Frequency Range 1435-1525 MHz (L-Band)</w:t>
      </w:r>
      <w:r w:rsidRPr="008D2EA0">
        <w:rPr>
          <w:rFonts w:ascii="Arial" w:hAnsi="Arial" w:cs="Arial"/>
          <w:sz w:val="20"/>
          <w:szCs w:val="20"/>
          <w:lang w:val="en-GB"/>
        </w:rPr>
        <w:t>’ (</w:t>
      </w:r>
      <w:hyperlink r:id="rId87" w:history="1">
        <w:r w:rsidRPr="008D2EA0">
          <w:rPr>
            <w:rStyle w:val="Hyperlink"/>
            <w:rFonts w:ascii="Arial" w:hAnsi="Arial" w:cs="Arial"/>
            <w:sz w:val="20"/>
            <w:szCs w:val="20"/>
            <w:lang w:val="en-GB"/>
          </w:rPr>
          <w:t>http://www.ic.gc.ca/eic/site/smt-gst.nsf/eng/sf09751.html</w:t>
        </w:r>
      </w:hyperlink>
      <w:r w:rsidRPr="008D2EA0">
        <w:rPr>
          <w:rFonts w:ascii="Arial" w:hAnsi="Arial" w:cs="Arial"/>
          <w:sz w:val="20"/>
          <w:szCs w:val="20"/>
          <w:lang w:val="en-GB"/>
        </w:rPr>
        <w:t xml:space="preserve">) considered that “with the convergence of fixed, broadcasting and mobile services over digital wireless platforms, a regulatory approach promoting flexible use of spectrum is increasingly important […].  Several countries that initially considered the band </w:t>
      </w:r>
      <w:r w:rsidRPr="008D2EA0">
        <w:rPr>
          <w:rStyle w:val="nowrap"/>
          <w:rFonts w:ascii="Arial" w:hAnsi="Arial" w:cs="Arial"/>
          <w:sz w:val="20"/>
          <w:szCs w:val="20"/>
          <w:lang w:val="en-GB"/>
        </w:rPr>
        <w:t>1452-1492 </w:t>
      </w:r>
      <w:r w:rsidRPr="008D2EA0">
        <w:rPr>
          <w:rStyle w:val="HTMLAcronym"/>
          <w:rFonts w:ascii="Arial" w:hAnsi="Arial" w:cs="Arial"/>
          <w:sz w:val="20"/>
          <w:szCs w:val="20"/>
          <w:lang w:val="en-GB"/>
        </w:rPr>
        <w:t>MHz</w:t>
      </w:r>
      <w:r w:rsidRPr="008D2EA0">
        <w:rPr>
          <w:rFonts w:ascii="Arial" w:hAnsi="Arial" w:cs="Arial"/>
          <w:sz w:val="20"/>
          <w:szCs w:val="20"/>
          <w:lang w:val="en-GB"/>
        </w:rPr>
        <w:t xml:space="preserve"> for DAB services have recently begun to </w:t>
      </w:r>
      <w:r w:rsidRPr="008D2EA0">
        <w:rPr>
          <w:rStyle w:val="nowrap"/>
          <w:rFonts w:ascii="Arial" w:hAnsi="Arial" w:cs="Arial"/>
          <w:sz w:val="20"/>
          <w:szCs w:val="20"/>
          <w:lang w:val="en-GB"/>
        </w:rPr>
        <w:t>re-farm</w:t>
      </w:r>
      <w:r w:rsidRPr="008D2EA0">
        <w:rPr>
          <w:rFonts w:ascii="Arial" w:hAnsi="Arial" w:cs="Arial"/>
          <w:sz w:val="20"/>
          <w:szCs w:val="20"/>
          <w:lang w:val="en-GB"/>
        </w:rPr>
        <w:t xml:space="preserve"> the spectrum for a range of broadcasting and multimedia applications within the international regulations and allocations […]. The prospect of a wide range of services in the band 1452-1492 MHz being allowed by industrialized countries in Europe and elsewhere further underlines the risk for Canada of pursuing only the conventional DAB service in this band. Consequently, the current allotment plan developed for the DAB implementation may not be appropriate given the new technologies that could be deployed in this band. Broadband wireless technologies, which support multimedia applications, are developed based on a 5 MHz channel width”. The department proposed to “adopt a spectrum utilization policy allowing for flexible use of the spectrum to support a variety of services and technologies for subscription broadcasting, multimedia, fixed and mobile broadband applications.” […] to streamline the Canadian frequency allocations in the band </w:t>
      </w:r>
      <w:r w:rsidRPr="008D2EA0">
        <w:rPr>
          <w:rStyle w:val="nowrap"/>
          <w:rFonts w:ascii="Arial" w:hAnsi="Arial" w:cs="Arial"/>
          <w:sz w:val="20"/>
          <w:szCs w:val="20"/>
          <w:lang w:val="en-GB"/>
        </w:rPr>
        <w:t>1452-1492 </w:t>
      </w:r>
      <w:r w:rsidRPr="008D2EA0">
        <w:rPr>
          <w:rStyle w:val="HTMLAcronym"/>
          <w:rFonts w:ascii="Arial" w:hAnsi="Arial" w:cs="Arial"/>
          <w:sz w:val="20"/>
          <w:szCs w:val="20"/>
          <w:lang w:val="en-GB"/>
        </w:rPr>
        <w:t>MHz</w:t>
      </w:r>
      <w:r w:rsidRPr="008D2EA0">
        <w:rPr>
          <w:rFonts w:ascii="Arial" w:hAnsi="Arial" w:cs="Arial"/>
          <w:sz w:val="20"/>
          <w:szCs w:val="20"/>
          <w:lang w:val="en-GB"/>
        </w:rPr>
        <w:t xml:space="preserve"> and to give full flexibility and priority to terrestrial services [… and] to elevate the status of mobile service to </w:t>
      </w:r>
      <w:r w:rsidRPr="008D2EA0">
        <w:rPr>
          <w:rStyle w:val="nowrap"/>
          <w:rFonts w:ascii="Arial" w:hAnsi="Arial" w:cs="Arial"/>
          <w:sz w:val="20"/>
          <w:szCs w:val="20"/>
          <w:lang w:val="en-GB"/>
        </w:rPr>
        <w:t>co-primary</w:t>
      </w:r>
      <w:r w:rsidRPr="008D2EA0">
        <w:rPr>
          <w:rFonts w:ascii="Arial" w:hAnsi="Arial" w:cs="Arial"/>
          <w:sz w:val="20"/>
          <w:szCs w:val="20"/>
          <w:lang w:val="en-GB"/>
        </w:rPr>
        <w:t xml:space="preserve"> with broadcasting and fixed services in the band </w:t>
      </w:r>
      <w:r w:rsidRPr="008D2EA0">
        <w:rPr>
          <w:rStyle w:val="nowrap"/>
          <w:rFonts w:ascii="Arial" w:hAnsi="Arial" w:cs="Arial"/>
          <w:sz w:val="20"/>
          <w:szCs w:val="20"/>
          <w:lang w:val="en-GB"/>
        </w:rPr>
        <w:t>1452-1492 </w:t>
      </w:r>
      <w:r w:rsidRPr="008D2EA0">
        <w:rPr>
          <w:rStyle w:val="HTMLAcronym"/>
          <w:rFonts w:ascii="Arial" w:hAnsi="Arial" w:cs="Arial"/>
          <w:sz w:val="20"/>
          <w:szCs w:val="20"/>
          <w:lang w:val="en-GB"/>
        </w:rPr>
        <w:t>MHz</w:t>
      </w:r>
      <w:r w:rsidRPr="008D2EA0">
        <w:rPr>
          <w:rFonts w:ascii="Arial" w:hAnsi="Arial" w:cs="Arial"/>
          <w:sz w:val="20"/>
          <w:szCs w:val="20"/>
          <w:lang w:val="en-GB"/>
        </w:rPr>
        <w:t>”.</w:t>
      </w:r>
    </w:p>
    <w:p w:rsidR="007C3130" w:rsidRPr="008D2EA0" w:rsidRDefault="007C3130" w:rsidP="000F6780">
      <w:pPr>
        <w:pStyle w:val="ECCParagraph"/>
        <w:numPr>
          <w:ilvl w:val="0"/>
          <w:numId w:val="17"/>
        </w:numPr>
        <w:ind w:left="426" w:hanging="426"/>
        <w:rPr>
          <w:rFonts w:cs="Arial"/>
          <w:szCs w:val="20"/>
        </w:rPr>
      </w:pPr>
      <w:r w:rsidRPr="008D2EA0">
        <w:rPr>
          <w:rFonts w:cs="Arial"/>
          <w:szCs w:val="20"/>
        </w:rPr>
        <w:t xml:space="preserve">In Africa, CRASA, which groups together the 14 Southern African Development Community (SADC) countries, highlighted in its latest </w:t>
      </w:r>
      <w:r w:rsidRPr="008D2EA0">
        <w:rPr>
          <w:rFonts w:cs="Arial"/>
          <w:i/>
          <w:iCs/>
          <w:szCs w:val="20"/>
        </w:rPr>
        <w:t>Frequency Allocation Plan (FAP)</w:t>
      </w:r>
      <w:r w:rsidRPr="008D2EA0">
        <w:rPr>
          <w:rFonts w:cs="Arial"/>
          <w:szCs w:val="20"/>
        </w:rPr>
        <w:t xml:space="preserve"> (</w:t>
      </w:r>
      <w:hyperlink r:id="rId88" w:history="1">
        <w:r w:rsidRPr="008D2EA0">
          <w:rPr>
            <w:rStyle w:val="Hyperlink"/>
            <w:rFonts w:cs="Arial"/>
            <w:szCs w:val="20"/>
          </w:rPr>
          <w:t>www.crasa.org/download.php?doc=doc_pub_eng64.pdf</w:t>
        </w:r>
      </w:hyperlink>
      <w:r w:rsidRPr="008D2EA0">
        <w:rPr>
          <w:rFonts w:cs="Arial"/>
          <w:szCs w:val="20"/>
        </w:rPr>
        <w:t>), its</w:t>
      </w:r>
      <w:r w:rsidRPr="008D2EA0">
        <w:rPr>
          <w:rFonts w:cs="Arial"/>
          <w:i/>
          <w:iCs/>
          <w:szCs w:val="20"/>
        </w:rPr>
        <w:t xml:space="preserve"> </w:t>
      </w:r>
      <w:r w:rsidRPr="008D2EA0">
        <w:rPr>
          <w:rFonts w:cs="Arial"/>
          <w:szCs w:val="20"/>
        </w:rPr>
        <w:t>framework for the harmonisation across SADC on the use of the radio frequency spectrum,  that: “T-DAB in the 1452-1492 MHz to be reconsidered: whereas this band was used for testing of T-DAB it was felt by the majority that this allocation is no longer required. The use of this band in the future should be further investigated and clarified.”</w:t>
      </w:r>
    </w:p>
    <w:p w:rsidR="00DE4575" w:rsidRPr="00DE4575" w:rsidRDefault="00DE4575" w:rsidP="00DE4575">
      <w:pPr>
        <w:pStyle w:val="ECCParagraph"/>
        <w:numPr>
          <w:ilvl w:val="0"/>
          <w:numId w:val="17"/>
        </w:numPr>
        <w:ind w:left="426" w:hanging="426"/>
        <w:sectPr w:rsidR="00DE4575" w:rsidRPr="00DE4575">
          <w:headerReference w:type="first" r:id="rId89"/>
          <w:pgSz w:w="11907" w:h="16840" w:code="9"/>
          <w:pgMar w:top="1440" w:right="1134" w:bottom="1440" w:left="1134" w:header="709" w:footer="709" w:gutter="0"/>
          <w:cols w:space="708"/>
          <w:docGrid w:linePitch="360"/>
        </w:sectPr>
      </w:pPr>
      <w:r w:rsidRPr="00DE4575">
        <w:t>In Mexico, the report of a public consultation covering a wide range of issues contains a proposal to use 1452-1492 MHz for mobile broadband and make a reference to CEPT work on SDL. See section 13.8, p 78-79</w:t>
      </w:r>
      <w:r>
        <w:t xml:space="preserve"> </w:t>
      </w:r>
      <w:r w:rsidRPr="00DE4575">
        <w:t>at http://www.cft.gob.mx:8080/portal/wp-content/uploads/2012/11/Reporte-ConsultaV6.pdf</w:t>
      </w:r>
    </w:p>
    <w:p w:rsidR="00E41E35" w:rsidRPr="008D2EA0" w:rsidRDefault="00E41E35" w:rsidP="006731B4">
      <w:pPr>
        <w:pStyle w:val="ECCAnnexheading1"/>
      </w:pPr>
      <w:bookmarkStart w:id="200" w:name="_Toc321318130"/>
      <w:bookmarkStart w:id="201" w:name="_Ref330507104"/>
      <w:bookmarkStart w:id="202" w:name="_Ref330508545"/>
      <w:bookmarkStart w:id="203" w:name="_Ref330509799"/>
      <w:bookmarkStart w:id="204" w:name="_Ref330510828"/>
      <w:bookmarkStart w:id="205" w:name="_Ref330514152"/>
      <w:bookmarkStart w:id="206" w:name="_Toc349039335"/>
      <w:r w:rsidRPr="008D2EA0">
        <w:lastRenderedPageBreak/>
        <w:t>Broadcasting standards</w:t>
      </w:r>
      <w:bookmarkEnd w:id="200"/>
      <w:bookmarkEnd w:id="201"/>
      <w:bookmarkEnd w:id="202"/>
      <w:bookmarkEnd w:id="203"/>
      <w:bookmarkEnd w:id="204"/>
      <w:bookmarkEnd w:id="205"/>
      <w:bookmarkEnd w:id="206"/>
    </w:p>
    <w:p w:rsidR="00E41E35" w:rsidRPr="008D2EA0" w:rsidRDefault="00E41E35" w:rsidP="00290368">
      <w:pPr>
        <w:pStyle w:val="ECCAnnexheading2"/>
        <w:numPr>
          <w:ilvl w:val="1"/>
          <w:numId w:val="22"/>
        </w:numPr>
        <w:textAlignment w:val="auto"/>
        <w:rPr>
          <w:lang w:val="en-GB"/>
        </w:rPr>
      </w:pPr>
      <w:r w:rsidRPr="008D2EA0">
        <w:rPr>
          <w:lang w:val="en-GB"/>
        </w:rPr>
        <w:t>Terrestrial broadcasting</w:t>
      </w:r>
    </w:p>
    <w:p w:rsidR="00E41E35" w:rsidRPr="008D2EA0" w:rsidRDefault="00E41E35" w:rsidP="00E41E35">
      <w:pPr>
        <w:pStyle w:val="ECCParagraph"/>
        <w:rPr>
          <w:b/>
          <w:i/>
        </w:rPr>
      </w:pPr>
      <w:r w:rsidRPr="008D2EA0">
        <w:rPr>
          <w:b/>
          <w:i/>
        </w:rPr>
        <w:t>T-DAB / T-DMB</w:t>
      </w:r>
    </w:p>
    <w:p w:rsidR="00E41E35" w:rsidRPr="008D2EA0" w:rsidRDefault="00E41E35" w:rsidP="00E41E35">
      <w:pPr>
        <w:pStyle w:val="ECCParagraph"/>
        <w:spacing w:before="120" w:after="0"/>
      </w:pPr>
      <w:r w:rsidRPr="008D2EA0">
        <w:t>Terrestrial Broadcasting using the Eureka 147 family of standards (T-DAB)</w:t>
      </w:r>
    </w:p>
    <w:p w:rsidR="00E41E35" w:rsidRPr="008D2EA0" w:rsidRDefault="00E41E35" w:rsidP="00E41E35">
      <w:pPr>
        <w:pStyle w:val="ECCParagraph"/>
        <w:spacing w:before="120" w:after="0"/>
      </w:pPr>
      <w:r w:rsidRPr="008D2EA0">
        <w:t xml:space="preserve">The DAB system is a sound broadcasting system intended to supersede the existing analogue amplitude and frequency modulation systems. </w:t>
      </w:r>
    </w:p>
    <w:p w:rsidR="00E41E35" w:rsidRPr="008D2EA0" w:rsidRDefault="00E41E35" w:rsidP="00E41E35">
      <w:pPr>
        <w:pStyle w:val="ECCParagraph"/>
        <w:spacing w:before="120" w:after="0"/>
      </w:pPr>
      <w:r w:rsidRPr="008D2EA0">
        <w:t>It has been designed for terrestrial and satellite as well as for hybrid and mixed delivery.</w:t>
      </w:r>
    </w:p>
    <w:p w:rsidR="00E41E35" w:rsidRPr="008D2EA0" w:rsidRDefault="00E41E35" w:rsidP="00E41E35">
      <w:pPr>
        <w:pStyle w:val="ECCParagraph"/>
        <w:spacing w:before="120" w:after="0"/>
      </w:pPr>
      <w:r w:rsidRPr="008D2EA0">
        <w:t>It is now in regular service in many European countries and throughout the world.</w:t>
      </w:r>
    </w:p>
    <w:p w:rsidR="00E41E35" w:rsidRPr="008D2EA0" w:rsidRDefault="00E41E35" w:rsidP="00E41E35">
      <w:pPr>
        <w:pStyle w:val="ECCParagraph"/>
        <w:spacing w:before="120" w:after="0"/>
      </w:pPr>
      <w:r w:rsidRPr="008D2EA0">
        <w:t>DAB and DAB+ offer an identical consumer experience centred on radio, with text, slideshow, EPG and other multimedia features. DAB offers eight to ten radio services within a 1.5 MHz multiplex whilst DAB+ (using HE AACv2) can accommodate up to 20–30 radio services in the same spectrum. DMB is primarily a mobile TV platform, sharing the same multiplex and carrier structure as DAB, but it can be used for a visual radio service with similar multimedia properties to DAB and DAB+.</w:t>
      </w:r>
    </w:p>
    <w:p w:rsidR="00E41E35" w:rsidRPr="008D2EA0" w:rsidRDefault="00E41E35" w:rsidP="00E41E35">
      <w:pPr>
        <w:pStyle w:val="ECCParagraph"/>
        <w:spacing w:before="120" w:after="0"/>
      </w:pPr>
      <w:r w:rsidRPr="008D2EA0">
        <w:t>Single frequency networks are commonly built to provide wide area coverage with great spectrum efficiency. Multi-frequency networks, allowing more localised content, are also provided with comprehensive service following mechanisms to allow mobile and handheld receivers to retune automatically when travelling between coverage areas.</w:t>
      </w:r>
    </w:p>
    <w:p w:rsidR="00E41E35" w:rsidRPr="008D2EA0" w:rsidRDefault="00E41E35" w:rsidP="00E41E35">
      <w:pPr>
        <w:pStyle w:val="ECCParagraph"/>
        <w:spacing w:before="120" w:after="0"/>
      </w:pPr>
      <w:r w:rsidRPr="008D2EA0">
        <w:t>DAB, DAB+, DMB-radio and DMB-tv services may all be present in the same DAB multiplex.</w:t>
      </w:r>
    </w:p>
    <w:p w:rsidR="00E41E35" w:rsidRPr="008D2EA0" w:rsidRDefault="00E41E35" w:rsidP="00E41E35">
      <w:pPr>
        <w:pStyle w:val="ECCParagraph"/>
        <w:spacing w:before="120" w:after="0"/>
      </w:pPr>
      <w:r w:rsidRPr="008D2EA0">
        <w:t>Typical services carried by a DAB multiplex are:</w:t>
      </w:r>
    </w:p>
    <w:p w:rsidR="00E41E35" w:rsidRPr="008D2EA0" w:rsidRDefault="00E41E35" w:rsidP="00290368">
      <w:pPr>
        <w:pStyle w:val="ECCParagraph"/>
        <w:numPr>
          <w:ilvl w:val="0"/>
          <w:numId w:val="48"/>
        </w:numPr>
        <w:spacing w:before="120" w:after="0"/>
      </w:pPr>
      <w:r w:rsidRPr="008D2EA0">
        <w:t>Audio programs</w:t>
      </w:r>
    </w:p>
    <w:p w:rsidR="00E41E35" w:rsidRPr="008D2EA0" w:rsidRDefault="00E41E35" w:rsidP="00290368">
      <w:pPr>
        <w:pStyle w:val="ECCParagraph"/>
        <w:numPr>
          <w:ilvl w:val="0"/>
          <w:numId w:val="48"/>
        </w:numPr>
        <w:spacing w:after="0"/>
      </w:pPr>
      <w:r w:rsidRPr="008D2EA0">
        <w:t>Video programs</w:t>
      </w:r>
    </w:p>
    <w:p w:rsidR="00E41E35" w:rsidRPr="008D2EA0" w:rsidRDefault="00E41E35" w:rsidP="00290368">
      <w:pPr>
        <w:pStyle w:val="ECCParagraph"/>
        <w:numPr>
          <w:ilvl w:val="0"/>
          <w:numId w:val="48"/>
        </w:numPr>
        <w:spacing w:after="0"/>
      </w:pPr>
      <w:r w:rsidRPr="008D2EA0">
        <w:t>Slideshow (SL)</w:t>
      </w:r>
    </w:p>
    <w:p w:rsidR="00E41E35" w:rsidRPr="008D2EA0" w:rsidRDefault="00E41E35" w:rsidP="00290368">
      <w:pPr>
        <w:pStyle w:val="ECCParagraph"/>
        <w:numPr>
          <w:ilvl w:val="0"/>
          <w:numId w:val="48"/>
        </w:numPr>
        <w:spacing w:after="0"/>
      </w:pPr>
      <w:r w:rsidRPr="008D2EA0">
        <w:t>Dynamic text (DL)</w:t>
      </w:r>
    </w:p>
    <w:p w:rsidR="00E41E35" w:rsidRPr="008D2EA0" w:rsidRDefault="00E41E35" w:rsidP="00290368">
      <w:pPr>
        <w:pStyle w:val="ECCParagraph"/>
        <w:numPr>
          <w:ilvl w:val="0"/>
          <w:numId w:val="48"/>
        </w:numPr>
        <w:spacing w:after="0"/>
      </w:pPr>
      <w:r w:rsidRPr="008D2EA0">
        <w:t>Traffic information (TPEG)</w:t>
      </w:r>
    </w:p>
    <w:p w:rsidR="00E41E35" w:rsidRPr="008D2EA0" w:rsidRDefault="00E41E35" w:rsidP="00290368">
      <w:pPr>
        <w:pStyle w:val="ECCParagraph"/>
        <w:numPr>
          <w:ilvl w:val="0"/>
          <w:numId w:val="48"/>
        </w:numPr>
        <w:spacing w:after="0"/>
      </w:pPr>
      <w:r w:rsidRPr="008D2EA0">
        <w:t>Multimedia object delivery</w:t>
      </w:r>
    </w:p>
    <w:p w:rsidR="00E41E35" w:rsidRPr="008D2EA0" w:rsidRDefault="00E41E35" w:rsidP="00E41E35">
      <w:pPr>
        <w:pStyle w:val="ECCParagraph"/>
        <w:rPr>
          <w:b/>
          <w:i/>
        </w:rPr>
      </w:pPr>
    </w:p>
    <w:p w:rsidR="00E41E35" w:rsidRPr="008D2EA0" w:rsidRDefault="00E41E35" w:rsidP="00E41E35">
      <w:pPr>
        <w:pStyle w:val="ECCParagraph"/>
        <w:spacing w:after="120"/>
        <w:rPr>
          <w:b/>
          <w:i/>
        </w:rPr>
      </w:pPr>
      <w:r w:rsidRPr="008D2EA0">
        <w:rPr>
          <w:b/>
          <w:i/>
        </w:rPr>
        <w:t>DAB-IP</w:t>
      </w:r>
    </w:p>
    <w:p w:rsidR="00E41E35" w:rsidRPr="008D2EA0" w:rsidRDefault="00E41E35" w:rsidP="00E41E35">
      <w:pPr>
        <w:pStyle w:val="ECCParagraph"/>
        <w:spacing w:before="120" w:after="0"/>
      </w:pPr>
      <w:r w:rsidRPr="008D2EA0">
        <w:t>The use of IP tunnelling provides DAB with a mechanism for the adaptation of Internet services to DAB and is also a key component for DAB services using two-way interaction with personal DAB as specified in TS 101 736. The use of IP tunnelling enables the use of IP as a common network layer protocol, end-to-end, for DAB data services. The IP tunnelling through DAB is unidirectional. The tunnel is created from the packet mode encoder on the transmitting side, to the packet mode decoder on the receiving side, of the DAB system.</w:t>
      </w:r>
    </w:p>
    <w:p w:rsidR="00E41E35" w:rsidRPr="008D2EA0" w:rsidRDefault="00E41E35" w:rsidP="00E41E35">
      <w:pPr>
        <w:pStyle w:val="ECCParagraph"/>
        <w:spacing w:before="120" w:after="0"/>
      </w:pPr>
      <w:r w:rsidRPr="008D2EA0">
        <w:t>This system, commonly called DAB-IP, can provide data services including mobile television, to handheld devices. When coupled with a return channel it allows the downlink of multimedia services.</w:t>
      </w:r>
    </w:p>
    <w:p w:rsidR="00E41E35" w:rsidRPr="008D2EA0" w:rsidRDefault="00E41E35" w:rsidP="005D1E13">
      <w:pPr>
        <w:pStyle w:val="ECCParagraph"/>
        <w:spacing w:before="120" w:after="120"/>
      </w:pPr>
      <w:r w:rsidRPr="008D2EA0">
        <w:t>The benefits of the DAB family of standards:</w:t>
      </w:r>
    </w:p>
    <w:p w:rsidR="00E41E35" w:rsidRPr="008D2EA0" w:rsidRDefault="00E41E35" w:rsidP="00290368">
      <w:pPr>
        <w:pStyle w:val="ECCParagraph"/>
        <w:numPr>
          <w:ilvl w:val="0"/>
          <w:numId w:val="49"/>
        </w:numPr>
        <w:spacing w:after="0"/>
      </w:pPr>
      <w:r w:rsidRPr="008D2EA0">
        <w:t xml:space="preserve">Easy programme selection </w:t>
      </w:r>
    </w:p>
    <w:p w:rsidR="00E41E35" w:rsidRPr="008D2EA0" w:rsidRDefault="00E41E35" w:rsidP="00290368">
      <w:pPr>
        <w:pStyle w:val="ECCParagraph"/>
        <w:numPr>
          <w:ilvl w:val="0"/>
          <w:numId w:val="49"/>
        </w:numPr>
        <w:spacing w:after="0"/>
      </w:pPr>
      <w:r w:rsidRPr="008D2EA0">
        <w:t xml:space="preserve">Improved reception </w:t>
      </w:r>
    </w:p>
    <w:p w:rsidR="00E41E35" w:rsidRPr="008D2EA0" w:rsidRDefault="00E41E35" w:rsidP="00290368">
      <w:pPr>
        <w:pStyle w:val="ECCParagraph"/>
        <w:numPr>
          <w:ilvl w:val="0"/>
          <w:numId w:val="49"/>
        </w:numPr>
        <w:spacing w:after="0"/>
      </w:pPr>
      <w:r w:rsidRPr="008D2EA0">
        <w:t xml:space="preserve">Programme-associated data </w:t>
      </w:r>
    </w:p>
    <w:p w:rsidR="00E41E35" w:rsidRPr="008D2EA0" w:rsidRDefault="00E41E35" w:rsidP="00290368">
      <w:pPr>
        <w:pStyle w:val="ECCParagraph"/>
        <w:numPr>
          <w:ilvl w:val="0"/>
          <w:numId w:val="49"/>
        </w:numPr>
        <w:spacing w:after="0"/>
      </w:pPr>
      <w:r w:rsidRPr="008D2EA0">
        <w:t xml:space="preserve">Information services </w:t>
      </w:r>
    </w:p>
    <w:p w:rsidR="00E41E35" w:rsidRPr="008D2EA0" w:rsidRDefault="00E41E35" w:rsidP="00290368">
      <w:pPr>
        <w:pStyle w:val="ECCParagraph"/>
        <w:numPr>
          <w:ilvl w:val="0"/>
          <w:numId w:val="49"/>
        </w:numPr>
        <w:spacing w:after="0"/>
      </w:pPr>
      <w:r w:rsidRPr="008D2EA0">
        <w:t xml:space="preserve">Targeted music or data services </w:t>
      </w:r>
    </w:p>
    <w:p w:rsidR="00E41E35" w:rsidRPr="008D2EA0" w:rsidRDefault="00E41E35" w:rsidP="00290368">
      <w:pPr>
        <w:pStyle w:val="ECCParagraph"/>
        <w:numPr>
          <w:ilvl w:val="0"/>
          <w:numId w:val="49"/>
        </w:numPr>
        <w:spacing w:after="0"/>
      </w:pPr>
      <w:r w:rsidRPr="008D2EA0">
        <w:t xml:space="preserve">Wide choice of receivers </w:t>
      </w:r>
    </w:p>
    <w:p w:rsidR="00E41E35" w:rsidRPr="008D2EA0" w:rsidRDefault="00E41E35" w:rsidP="00290368">
      <w:pPr>
        <w:pStyle w:val="ECCParagraph"/>
        <w:numPr>
          <w:ilvl w:val="0"/>
          <w:numId w:val="49"/>
        </w:numPr>
        <w:spacing w:after="0"/>
      </w:pPr>
      <w:r w:rsidRPr="008D2EA0">
        <w:t xml:space="preserve">Lower transmission costs for broadcasters </w:t>
      </w:r>
    </w:p>
    <w:p w:rsidR="00E41E35" w:rsidRPr="008D2EA0" w:rsidRDefault="00E41E35" w:rsidP="00E41E35">
      <w:pPr>
        <w:pStyle w:val="ECCParagraph"/>
      </w:pPr>
    </w:p>
    <w:p w:rsidR="00E41E35" w:rsidRPr="008D2EA0" w:rsidRDefault="00E41E35" w:rsidP="00F21C76">
      <w:pPr>
        <w:pStyle w:val="ECCParagraph"/>
        <w:keepNext/>
        <w:spacing w:after="120"/>
        <w:rPr>
          <w:b/>
          <w:i/>
        </w:rPr>
      </w:pPr>
      <w:r w:rsidRPr="008D2EA0">
        <w:rPr>
          <w:b/>
          <w:i/>
        </w:rPr>
        <w:lastRenderedPageBreak/>
        <w:t>DVB-H</w:t>
      </w:r>
    </w:p>
    <w:p w:rsidR="00E41E35" w:rsidRPr="008D2EA0" w:rsidRDefault="00E41E35" w:rsidP="00E41E35">
      <w:pPr>
        <w:pStyle w:val="ECCParagraph"/>
        <w:spacing w:before="120" w:after="0"/>
      </w:pPr>
      <w:r w:rsidRPr="008D2EA0">
        <w:t xml:space="preserve">DVB-H is a technical specification for the transmission of digital TV to handheld receivers such as mobile telephones and PDAs. Published as a formal standard (EN 203 204) by ETSI in November 2004, it is a physical layer specification designed to enable the efficient delivery of IP-encapsulated data over terrestrial networks. The creation of DVB-H, which is closely related to DVB-T, also entailed modifications of some other DVB standards dealing with data broadcasting, Service Information, etc. It can be used as a bearer in conjunction with the DVB-IPDC systems layer specifications or alternatively with the OMA BCAST specifications. </w:t>
      </w:r>
    </w:p>
    <w:p w:rsidR="00E41E35" w:rsidRPr="008D2EA0" w:rsidRDefault="00E41E35" w:rsidP="00E41E35">
      <w:pPr>
        <w:pStyle w:val="ECCParagraph"/>
        <w:spacing w:before="120" w:after="0"/>
      </w:pPr>
      <w:r w:rsidRPr="008D2EA0">
        <w:t>In March 2008 the European Commission endorsed DVB-H as the recommended standard for mobile TV in Europe, recommending EU member states t</w:t>
      </w:r>
      <w:r w:rsidR="005D1E13" w:rsidRPr="008D2EA0">
        <w:t>o encourage its implementation.</w:t>
      </w:r>
      <w:r w:rsidRPr="008D2EA0">
        <w:t xml:space="preserve"> However, commercial deployment has not been successful. ..</w:t>
      </w:r>
    </w:p>
    <w:p w:rsidR="00E41E35" w:rsidRPr="008D2EA0" w:rsidRDefault="00E41E35" w:rsidP="00E41E35">
      <w:pPr>
        <w:pStyle w:val="ECCParagraph"/>
      </w:pPr>
    </w:p>
    <w:p w:rsidR="00E41E35" w:rsidRPr="008D2EA0" w:rsidRDefault="00E41E35" w:rsidP="00E41E35">
      <w:pPr>
        <w:pStyle w:val="ECCParagraph"/>
        <w:rPr>
          <w:b/>
          <w:i/>
        </w:rPr>
      </w:pPr>
      <w:r w:rsidRPr="008D2EA0">
        <w:rPr>
          <w:b/>
          <w:i/>
        </w:rPr>
        <w:t>DVB-T2 - Base</w:t>
      </w:r>
    </w:p>
    <w:p w:rsidR="00E41E35" w:rsidRPr="008D2EA0" w:rsidRDefault="00E41E35" w:rsidP="00E41E35">
      <w:pPr>
        <w:pStyle w:val="ECCParagraph"/>
        <w:spacing w:before="120" w:after="0"/>
      </w:pPr>
      <w:r w:rsidRPr="008D2EA0">
        <w:t>DVB-T2 is the follow-up system of the digital terrestrial transmission (DTT) system DVB-T. It offers higher efficiency, robustness and flexibility. It introduces the latest modulation and coding techniques to enable highly efficient use of the terrestrial spectrum for the delivery of audio, video and data services to fixed, portable and mobile devices. These new techniques make DVB-T2 much more efficient than previous DTT systems. Possible bandwidths for the DVB-T2 operation are 1.7, 5, 6, 7, 8 and 10 MHz.</w:t>
      </w:r>
    </w:p>
    <w:p w:rsidR="00E41E35" w:rsidRPr="008D2EA0" w:rsidRDefault="00E41E35" w:rsidP="00E41E35">
      <w:pPr>
        <w:pStyle w:val="ECCParagraph"/>
        <w:spacing w:before="120" w:after="0"/>
      </w:pPr>
      <w:r w:rsidRPr="008D2EA0">
        <w:t>As with its predecessor, DVB-T2 uses OFDM (orthogonal frequency division multiplex) modulation with a large number of sub-carriers delivering a robust signal. Just like DVB-T, DVB-T2 also offers a range of different modes, making it a very flexible standard. Several options are available in areas such as the number of carriers, guard interval sizes and pilot signals, so that the overheads can be optimised for any target transmission channel.</w:t>
      </w:r>
    </w:p>
    <w:p w:rsidR="00E41E35" w:rsidRPr="008D2EA0" w:rsidRDefault="00E41E35" w:rsidP="00E41E35">
      <w:pPr>
        <w:pStyle w:val="ECCParagraph"/>
        <w:spacing w:before="120" w:after="0"/>
      </w:pPr>
      <w:r w:rsidRPr="008D2EA0">
        <w:t>An important new element of DVB-T2 are Multiple Physical Layer Pipes (MPLP) which allow separate adjustment of the robustness of each delivered service within a channel to meet the required reception conditions (e.g. in-door or roof-top antenna). It also allows transmissions to be tailored such that a receiver can save power by decoding only a single service rather than the whole multiplex of services. Furthermore Future Extension Frames (FEF) allow</w:t>
      </w:r>
      <w:r w:rsidR="005D1E13" w:rsidRPr="008D2EA0">
        <w:t>s</w:t>
      </w:r>
      <w:r w:rsidRPr="008D2EA0">
        <w:t xml:space="preserve"> the standard to be compatibly enhanced in the future. FEF are basically placeholders for new services which are not supported by the already existing receiver population. An existing receiver will detect the FEF and not decode its content. New receivers may access the FEF and provide additional services. </w:t>
      </w:r>
    </w:p>
    <w:p w:rsidR="00E41E35" w:rsidRPr="008D2EA0" w:rsidRDefault="00E41E35" w:rsidP="00E41E35">
      <w:pPr>
        <w:pStyle w:val="ECCParagraph"/>
      </w:pPr>
    </w:p>
    <w:p w:rsidR="00E41E35" w:rsidRPr="008D2EA0" w:rsidRDefault="00E41E35" w:rsidP="00E41E35">
      <w:pPr>
        <w:pStyle w:val="ECCParagraph"/>
        <w:rPr>
          <w:b/>
          <w:i/>
        </w:rPr>
      </w:pPr>
      <w:r w:rsidRPr="008D2EA0">
        <w:rPr>
          <w:b/>
          <w:i/>
        </w:rPr>
        <w:t>DVB-T2-Lite</w:t>
      </w:r>
    </w:p>
    <w:p w:rsidR="00E41E35" w:rsidRPr="008D2EA0" w:rsidRDefault="00E41E35" w:rsidP="00E41E35">
      <w:pPr>
        <w:pStyle w:val="ECCParagraph"/>
        <w:spacing w:before="120" w:after="0"/>
      </w:pPr>
      <w:r w:rsidRPr="008D2EA0">
        <w:t xml:space="preserve">DVB-T2-Lite is the first additional transmission frame type making use of the FEF approach. It is an additional profile that was introduced in July 2011 to even better support mobile as well as portable TV and also to allow for cost-reduced implementation. The new profile is defined as a subset that adds two additional LDPC code rates to the main DVB-T2 specification. Since only elements relevant for mobile and portable reception have been included in the DVB-T2-Lite subset and the data rate is restricted to 4 Mbit/s per PLP, the implementation complexity has been reduced by 50%. The FEF mechanism allows that </w:t>
      </w:r>
    </w:p>
    <w:p w:rsidR="00E41E35" w:rsidRPr="008D2EA0" w:rsidRDefault="00E41E35" w:rsidP="00E41E35">
      <w:pPr>
        <w:pStyle w:val="ECCParagraph"/>
        <w:spacing w:before="120" w:after="0"/>
      </w:pPr>
      <w:r w:rsidRPr="008D2EA0">
        <w:t>DVB-T2-Lite and DVB-T2-Base can be transmitted in a same RF channel.</w:t>
      </w:r>
    </w:p>
    <w:p w:rsidR="00E41E35" w:rsidRPr="008D2EA0" w:rsidRDefault="00E41E35" w:rsidP="00E41E35">
      <w:pPr>
        <w:pStyle w:val="ECCParagraph"/>
      </w:pPr>
    </w:p>
    <w:p w:rsidR="00E41E35" w:rsidRPr="00510087" w:rsidRDefault="00E41E35" w:rsidP="00E41E35">
      <w:pPr>
        <w:pStyle w:val="ECCParagraph"/>
        <w:rPr>
          <w:b/>
          <w:i/>
        </w:rPr>
      </w:pPr>
      <w:r w:rsidRPr="00995D9E">
        <w:rPr>
          <w:b/>
          <w:i/>
        </w:rPr>
        <w:t>DVB-</w:t>
      </w:r>
      <w:r w:rsidR="00D62383" w:rsidRPr="00510087">
        <w:rPr>
          <w:b/>
          <w:i/>
        </w:rPr>
        <w:t>NGH</w:t>
      </w:r>
    </w:p>
    <w:p w:rsidR="00D62383" w:rsidRPr="00510087" w:rsidRDefault="00D62383" w:rsidP="00F21C76">
      <w:pPr>
        <w:pStyle w:val="ECCParagraph"/>
      </w:pPr>
      <w:r w:rsidRPr="00510087">
        <w:t>DVB-NGH is a successor of DVB-H and is based on DVB-T2 specification. It includes a number of additional techniques to improve mobile and portable reception of broadcast services, including Multiple-Input-Multiple-Output (MIMO) and Time frequency Slicing (TFS) with a single tuner, non-uniform constellations, extended LDPC codes for low code rates, more efficient time interleaving, and very robust signaling. It also includes a hybrid profile that enables a combination of terrestrial and satellite transmission. In addition to the latest modulation and coding techniques DVB-NGH provides additional operational flexibility where each service stream can be associated with a specific set of parameters.</w:t>
      </w:r>
    </w:p>
    <w:p w:rsidR="00E41E35" w:rsidRPr="008D2EA0" w:rsidRDefault="00E41E35" w:rsidP="00E41E35">
      <w:pPr>
        <w:pStyle w:val="ECCParagraph"/>
        <w:spacing w:before="120" w:after="0"/>
      </w:pPr>
    </w:p>
    <w:p w:rsidR="00E41E35" w:rsidRPr="008D2EA0" w:rsidRDefault="00E41E35" w:rsidP="00F77275">
      <w:pPr>
        <w:pStyle w:val="ECCAnnexheading2"/>
        <w:keepNext/>
        <w:numPr>
          <w:ilvl w:val="1"/>
          <w:numId w:val="22"/>
        </w:numPr>
        <w:ind w:left="578" w:hanging="578"/>
        <w:textAlignment w:val="auto"/>
        <w:rPr>
          <w:lang w:val="en-GB"/>
        </w:rPr>
      </w:pPr>
      <w:r w:rsidRPr="008D2EA0">
        <w:rPr>
          <w:lang w:val="en-GB"/>
        </w:rPr>
        <w:lastRenderedPageBreak/>
        <w:t>SDR</w:t>
      </w:r>
    </w:p>
    <w:p w:rsidR="00E41E35" w:rsidRPr="008D2EA0" w:rsidRDefault="00E41E35" w:rsidP="00E41E35">
      <w:pPr>
        <w:pStyle w:val="ECCParagraph"/>
        <w:spacing w:before="120" w:after="0"/>
      </w:pPr>
      <w:r w:rsidRPr="008D2EA0">
        <w:t>ETSI’s SDR standard is a transmission standard (see also section 3.5.) that has been developed for the provision of high quality and high availability digital radio and associated data services to wireless receivers. The standard foresees the deployment of terrestrial and satellite broadcast networks, which may be combined to form “hybrid” systems.</w:t>
      </w:r>
    </w:p>
    <w:p w:rsidR="00E41E35" w:rsidRPr="008D2EA0" w:rsidRDefault="00E41E35" w:rsidP="00E41E35">
      <w:pPr>
        <w:pStyle w:val="ECCParagraph"/>
        <w:spacing w:before="120" w:after="0"/>
      </w:pPr>
      <w:r w:rsidRPr="008D2EA0">
        <w:t>The standard specifies the L band as the main candidate band for its deployment. In this band, terrestrial SDR networks (1.7 MHz carrier bandwidth) can be rolled out:</w:t>
      </w:r>
    </w:p>
    <w:p w:rsidR="00E41E35" w:rsidRPr="008D2EA0" w:rsidRDefault="00E41E35" w:rsidP="00290368">
      <w:pPr>
        <w:pStyle w:val="ECCParagraph"/>
        <w:numPr>
          <w:ilvl w:val="0"/>
          <w:numId w:val="50"/>
        </w:numPr>
        <w:spacing w:before="120" w:after="0"/>
      </w:pPr>
      <w:r w:rsidRPr="008D2EA0">
        <w:t>in the 1452-1579.5 MHz sub band, in compliance with the MA02revCO07 Arrangement</w:t>
      </w:r>
      <w:r w:rsidR="0051112C" w:rsidRPr="008D2EA0">
        <w:t xml:space="preserve"> </w:t>
      </w:r>
      <w:r w:rsidR="0051112C" w:rsidRPr="008D2EA0">
        <w:fldChar w:fldCharType="begin"/>
      </w:r>
      <w:r w:rsidR="0051112C" w:rsidRPr="008D2EA0">
        <w:instrText xml:space="preserve"> REF _Ref330503918 \r \h </w:instrText>
      </w:r>
      <w:r w:rsidR="0051112C" w:rsidRPr="008D2EA0">
        <w:fldChar w:fldCharType="separate"/>
      </w:r>
      <w:r w:rsidR="00E73FF2">
        <w:t>[1]</w:t>
      </w:r>
      <w:r w:rsidR="0051112C" w:rsidRPr="008D2EA0">
        <w:fldChar w:fldCharType="end"/>
      </w:r>
      <w:r w:rsidRPr="008D2EA0">
        <w:t xml:space="preserve"> (envelope concept), and/or</w:t>
      </w:r>
    </w:p>
    <w:p w:rsidR="00E41E35" w:rsidRPr="008D2EA0" w:rsidRDefault="00E41E35" w:rsidP="00290368">
      <w:pPr>
        <w:pStyle w:val="ECCParagraph"/>
        <w:numPr>
          <w:ilvl w:val="0"/>
          <w:numId w:val="50"/>
        </w:numPr>
        <w:spacing w:before="120" w:after="0"/>
      </w:pPr>
      <w:r w:rsidRPr="008D2EA0">
        <w:t>in the 1479.5-1492 MHz sub band, in compliance with the ECC/DEC/(03)02</w:t>
      </w:r>
      <w:r w:rsidR="005D1E13" w:rsidRPr="008D2EA0">
        <w:t xml:space="preserve"> </w:t>
      </w:r>
      <w:r w:rsidR="005D1E13" w:rsidRPr="008D2EA0">
        <w:fldChar w:fldCharType="begin"/>
      </w:r>
      <w:r w:rsidR="005D1E13" w:rsidRPr="008D2EA0">
        <w:instrText xml:space="preserve"> REF _Ref330503966 \n \h </w:instrText>
      </w:r>
      <w:r w:rsidR="005D1E13" w:rsidRPr="008D2EA0">
        <w:fldChar w:fldCharType="separate"/>
      </w:r>
      <w:r w:rsidR="00E73FF2">
        <w:t>[2]</w:t>
      </w:r>
      <w:r w:rsidR="005D1E13" w:rsidRPr="008D2EA0">
        <w:fldChar w:fldCharType="end"/>
      </w:r>
      <w:r w:rsidRPr="008D2EA0">
        <w:t xml:space="preserve"> S-DAB Decision, as part of an SDR hybrid system (see also section 3.5)</w:t>
      </w:r>
    </w:p>
    <w:p w:rsidR="00E41E35" w:rsidRPr="008D2EA0" w:rsidRDefault="00E41E35" w:rsidP="00E41E35">
      <w:pPr>
        <w:pStyle w:val="ECCParagraph"/>
        <w:spacing w:before="120" w:after="0"/>
      </w:pPr>
      <w:r w:rsidRPr="008D2EA0">
        <w:t>Its flexibility enables to mix in a same carrier independent (with different QoS as necessary), linear and non-linear services and free-to-air as well as conditional access (subscription) services.</w:t>
      </w:r>
    </w:p>
    <w:p w:rsidR="00E41E35" w:rsidRPr="008D2EA0" w:rsidRDefault="00E41E35" w:rsidP="00E41E35">
      <w:pPr>
        <w:pStyle w:val="ECCParagraph"/>
        <w:spacing w:before="120" w:after="0"/>
      </w:pPr>
      <w:r w:rsidRPr="008D2EA0">
        <w:t>Today, the SDR standard is contemplated for the deployment of subscription radio services in Europe.</w:t>
      </w:r>
    </w:p>
    <w:p w:rsidR="00E41E35" w:rsidRPr="008D2EA0" w:rsidRDefault="009F6C71" w:rsidP="00290368">
      <w:pPr>
        <w:pStyle w:val="ECCAnnexheading2"/>
        <w:numPr>
          <w:ilvl w:val="1"/>
          <w:numId w:val="22"/>
        </w:numPr>
        <w:textAlignment w:val="auto"/>
        <w:rPr>
          <w:lang w:val="en-GB"/>
        </w:rPr>
      </w:pPr>
      <w:r w:rsidRPr="008D2EA0">
        <w:rPr>
          <w:lang w:val="en-GB"/>
        </w:rPr>
        <w:t>DVB-H</w:t>
      </w:r>
    </w:p>
    <w:p w:rsidR="00E41E35" w:rsidRPr="008D2EA0" w:rsidRDefault="00E41E35" w:rsidP="00E41E35">
      <w:pPr>
        <w:pStyle w:val="ECCParagraph"/>
        <w:spacing w:before="120" w:after="0"/>
      </w:pPr>
      <w:r w:rsidRPr="008D2EA0">
        <w:t>DVB-SH is a hybrid satellite/terrestrial system that allows the use of a satellite to achieve coverage of large regions or even a whole country. DVB-SH is a transmission system standard designed to deliver video, audio and data services to vehicles and handheld devices. In areas where direct reception of the satellite signal is not possible, a terrestrial gap filler can be used seamlessly to provide coverage. It is designed to use frequencies below 3 GHz. The system and waveform specifications have been published as ETSI standards (TS 102 584, TS 102 585 and EN 302 583).</w:t>
      </w:r>
    </w:p>
    <w:p w:rsidR="00E41E35" w:rsidRPr="008D2EA0" w:rsidRDefault="00E41E35" w:rsidP="00E41E35">
      <w:pPr>
        <w:pStyle w:val="ECCParagraph"/>
        <w:spacing w:before="120" w:after="0"/>
      </w:pPr>
    </w:p>
    <w:p w:rsidR="000A0CB7" w:rsidRPr="008D2EA0" w:rsidRDefault="000A0CB7" w:rsidP="00E41E35">
      <w:pPr>
        <w:pStyle w:val="ECCParagraph"/>
        <w:spacing w:before="120" w:after="0"/>
      </w:pPr>
    </w:p>
    <w:p w:rsidR="005D1E13" w:rsidRPr="008D2EA0" w:rsidRDefault="005D1E13">
      <w:pPr>
        <w:rPr>
          <w:rFonts w:cs="Arial"/>
          <w:b/>
          <w:caps/>
          <w:color w:val="D2232A"/>
          <w:kern w:val="32"/>
          <w:szCs w:val="32"/>
          <w:lang w:val="en-GB"/>
        </w:rPr>
      </w:pPr>
      <w:bookmarkStart w:id="207" w:name="_Ref330509132"/>
      <w:bookmarkStart w:id="208" w:name="_Ref330509219"/>
      <w:bookmarkStart w:id="209" w:name="_Ref330509476"/>
      <w:bookmarkStart w:id="210" w:name="_Ref330509627"/>
      <w:r w:rsidRPr="008D2EA0">
        <w:rPr>
          <w:lang w:val="en-GB"/>
        </w:rPr>
        <w:br w:type="page"/>
      </w:r>
    </w:p>
    <w:p w:rsidR="000A0CB7" w:rsidRPr="008D2EA0" w:rsidRDefault="000A0CB7" w:rsidP="006731B4">
      <w:pPr>
        <w:pStyle w:val="ECCAnnexheading1"/>
      </w:pPr>
      <w:bookmarkStart w:id="211" w:name="_Ref333573833"/>
      <w:bookmarkStart w:id="212" w:name="_Ref333573875"/>
      <w:bookmarkStart w:id="213" w:name="_Ref333573914"/>
      <w:bookmarkStart w:id="214" w:name="_Ref333573946"/>
      <w:bookmarkStart w:id="215" w:name="_Toc349039336"/>
      <w:r w:rsidRPr="008D2EA0">
        <w:lastRenderedPageBreak/>
        <w:t>MOBILE BROADBAND AND MOBILE SUPPLEMENTAL DOWNLINK STANDARDS</w:t>
      </w:r>
      <w:bookmarkEnd w:id="207"/>
      <w:bookmarkEnd w:id="208"/>
      <w:bookmarkEnd w:id="209"/>
      <w:bookmarkEnd w:id="210"/>
      <w:bookmarkEnd w:id="211"/>
      <w:bookmarkEnd w:id="212"/>
      <w:bookmarkEnd w:id="213"/>
      <w:bookmarkEnd w:id="214"/>
      <w:bookmarkEnd w:id="215"/>
    </w:p>
    <w:p w:rsidR="000A0CB7" w:rsidRPr="008D2EA0" w:rsidRDefault="000A0CB7" w:rsidP="000A0CB7">
      <w:pPr>
        <w:pStyle w:val="ECCParagraph"/>
      </w:pPr>
      <w:r w:rsidRPr="008D2EA0">
        <w:t>The 3GPP has been producing the Technical Specifications and Technical Reports for the technologies that support mobile broadband since 1998. The success of 3GPP technologies is easily understandable when acknowledging that the number of UMTS subscriptions has passed the 1 billion mark in January 2012</w:t>
      </w:r>
      <w:r w:rsidRPr="008D2EA0">
        <w:rPr>
          <w:rStyle w:val="FootnoteReference"/>
        </w:rPr>
        <w:footnoteReference w:id="48"/>
      </w:r>
      <w:r w:rsidRPr="008D2EA0">
        <w:t xml:space="preserve">. </w:t>
      </w:r>
    </w:p>
    <w:p w:rsidR="000A0CB7" w:rsidRPr="008D2EA0" w:rsidRDefault="000A0CB7" w:rsidP="000A0CB7">
      <w:pPr>
        <w:pStyle w:val="ECCParagraph"/>
      </w:pPr>
      <w:r w:rsidRPr="008D2EA0">
        <w:t>While 3GPP technologies were focusing solely on 5 MHz bandwidth until the release 8 of the 3GPP standards, the 3GPP has become the focal point for mobile systems beyond 3G by standardising technologies supporting increasing bandwidth. From 3GPP Release 10 onwards, 3GPP is compliant with the latest ITU-R requirements for IMT-Advanced ’Systems beyond 3G’. The standard now allows for operation at peak speeds of 100 Mbit/s for high mobility and 1 Gbit/s for low mobility communication.</w:t>
      </w:r>
    </w:p>
    <w:p w:rsidR="000A0CB7" w:rsidRPr="008D2EA0" w:rsidRDefault="000A0CB7" w:rsidP="000A0CB7">
      <w:pPr>
        <w:pStyle w:val="ECCParagraph"/>
      </w:pPr>
      <w:r w:rsidRPr="008D2EA0">
        <w:t>The 3GPP technologies (HSPA+ and LTE) have also evolved to support very large ba</w:t>
      </w:r>
      <w:r w:rsidR="0051112C" w:rsidRPr="008D2EA0">
        <w:t>n</w:t>
      </w:r>
      <w:r w:rsidRPr="008D2EA0">
        <w:t xml:space="preserve">dwidth through the aggregation of carriers across bands. This concurrent dual/multiple band operation is available from the release 9 of HSPA and release 10 of LTE onwards. An overview of the support of wide bandwidth and interband carrier aggregation is provided in the </w:t>
      </w:r>
      <w:r w:rsidR="002B3459" w:rsidRPr="008D2EA0">
        <w:rPr>
          <w:highlight w:val="yellow"/>
        </w:rPr>
        <w:fldChar w:fldCharType="begin"/>
      </w:r>
      <w:r w:rsidR="002B3459" w:rsidRPr="008D2EA0">
        <w:instrText xml:space="preserve"> REF _Ref330550967 \r \h </w:instrText>
      </w:r>
      <w:r w:rsidR="002B3459" w:rsidRPr="008D2EA0">
        <w:rPr>
          <w:highlight w:val="yellow"/>
        </w:rPr>
      </w:r>
      <w:r w:rsidR="002B3459" w:rsidRPr="008D2EA0">
        <w:rPr>
          <w:highlight w:val="yellow"/>
        </w:rPr>
        <w:fldChar w:fldCharType="separate"/>
      </w:r>
      <w:r w:rsidR="00E73FF2">
        <w:t>Figure 21:</w:t>
      </w:r>
      <w:r w:rsidR="002B3459" w:rsidRPr="008D2EA0">
        <w:rPr>
          <w:highlight w:val="yellow"/>
        </w:rPr>
        <w:fldChar w:fldCharType="end"/>
      </w:r>
      <w:r w:rsidR="002B3459" w:rsidRPr="008D2EA0">
        <w:t xml:space="preserve"> </w:t>
      </w:r>
      <w:r w:rsidRPr="008D2EA0">
        <w:t>below.</w:t>
      </w:r>
    </w:p>
    <w:p w:rsidR="000A0CB7" w:rsidRPr="008D2EA0" w:rsidRDefault="000A0CB7" w:rsidP="000A0CB7">
      <w:pPr>
        <w:pStyle w:val="ECCParagraph"/>
        <w:rPr>
          <w:noProof/>
          <w:lang w:eastAsia="en-GB"/>
        </w:rPr>
      </w:pPr>
      <w:r w:rsidRPr="008D2EA0">
        <w:rPr>
          <w:noProof/>
          <w:lang w:val="da-DK" w:eastAsia="da-DK"/>
        </w:rPr>
        <w:drawing>
          <wp:inline distT="0" distB="0" distL="0" distR="0" wp14:anchorId="1AC20318" wp14:editId="1FFD7435">
            <wp:extent cx="6057900" cy="3171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57900" cy="3171825"/>
                    </a:xfrm>
                    <a:prstGeom prst="rect">
                      <a:avLst/>
                    </a:prstGeom>
                    <a:noFill/>
                    <a:ln>
                      <a:noFill/>
                    </a:ln>
                  </pic:spPr>
                </pic:pic>
              </a:graphicData>
            </a:graphic>
          </wp:inline>
        </w:drawing>
      </w:r>
    </w:p>
    <w:p w:rsidR="000A0CB7" w:rsidRPr="008D2EA0" w:rsidRDefault="000A0CB7" w:rsidP="00AC460F">
      <w:pPr>
        <w:pStyle w:val="ECCFiguretitle"/>
      </w:pPr>
      <w:bookmarkStart w:id="216" w:name="_Ref330550967"/>
      <w:r w:rsidRPr="008D2EA0">
        <w:t>Support for increased bandwidth and inter-band carrier aggregation in 3GPP standards</w:t>
      </w:r>
      <w:r w:rsidRPr="008D2EA0">
        <w:rPr>
          <w:rStyle w:val="FootnoteReference"/>
        </w:rPr>
        <w:footnoteReference w:id="49"/>
      </w:r>
      <w:bookmarkEnd w:id="216"/>
    </w:p>
    <w:p w:rsidR="000A0CB7" w:rsidRPr="008D2EA0" w:rsidRDefault="000A0CB7" w:rsidP="000A0CB7">
      <w:pPr>
        <w:pStyle w:val="ECCParagraph"/>
        <w:jc w:val="center"/>
        <w:rPr>
          <w:highlight w:val="green"/>
        </w:rPr>
      </w:pPr>
      <w:r w:rsidRPr="008D2EA0">
        <w:rPr>
          <w:noProof/>
          <w:lang w:val="da-DK" w:eastAsia="da-DK"/>
        </w:rPr>
        <w:lastRenderedPageBreak/>
        <w:drawing>
          <wp:inline distT="0" distB="0" distL="0" distR="0" wp14:anchorId="595FC97A" wp14:editId="4AC13E50">
            <wp:extent cx="453390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33900" cy="3286125"/>
                    </a:xfrm>
                    <a:prstGeom prst="rect">
                      <a:avLst/>
                    </a:prstGeom>
                    <a:noFill/>
                    <a:ln>
                      <a:noFill/>
                    </a:ln>
                  </pic:spPr>
                </pic:pic>
              </a:graphicData>
            </a:graphic>
          </wp:inline>
        </w:drawing>
      </w:r>
    </w:p>
    <w:p w:rsidR="000A0CB7" w:rsidRPr="008D2EA0" w:rsidRDefault="00B02440" w:rsidP="00AC460F">
      <w:pPr>
        <w:pStyle w:val="ECCFiguretitle"/>
      </w:pPr>
      <w:r w:rsidRPr="008D2EA0">
        <w:t xml:space="preserve">Results of simulation of performance of an L-band Supplemental Downlink (SDL) for bursty applications (see </w:t>
      </w:r>
      <w:r w:rsidRPr="008D2EA0">
        <w:fldChar w:fldCharType="begin"/>
      </w:r>
      <w:r w:rsidRPr="008D2EA0">
        <w:instrText xml:space="preserve"> REF _Ref330509697 \r \h </w:instrText>
      </w:r>
      <w:r w:rsidRPr="008D2EA0">
        <w:fldChar w:fldCharType="separate"/>
      </w:r>
      <w:r w:rsidR="00E73FF2">
        <w:t>[11]</w:t>
      </w:r>
      <w:r w:rsidRPr="008D2EA0">
        <w:fldChar w:fldCharType="end"/>
      </w:r>
      <w:r w:rsidRPr="008D2EA0">
        <w:t>)</w:t>
      </w:r>
    </w:p>
    <w:p w:rsidR="000A0CB7" w:rsidRPr="008D2EA0" w:rsidRDefault="000A0CB7" w:rsidP="00E41E35">
      <w:pPr>
        <w:pStyle w:val="ECCParagraph"/>
        <w:spacing w:before="120" w:after="0"/>
      </w:pPr>
    </w:p>
    <w:p w:rsidR="0051112C" w:rsidRPr="008D2EA0" w:rsidRDefault="0051112C">
      <w:pPr>
        <w:rPr>
          <w:rFonts w:cs="Arial"/>
          <w:b/>
          <w:caps/>
          <w:color w:val="D2232A"/>
          <w:kern w:val="32"/>
          <w:szCs w:val="32"/>
          <w:lang w:val="en-GB"/>
        </w:rPr>
      </w:pPr>
      <w:bookmarkStart w:id="217" w:name="_Toc321318132"/>
      <w:bookmarkStart w:id="218" w:name="_Ref330544623"/>
      <w:r w:rsidRPr="008D2EA0">
        <w:rPr>
          <w:lang w:val="en-GB"/>
        </w:rPr>
        <w:br w:type="page"/>
      </w:r>
    </w:p>
    <w:p w:rsidR="009F6C71" w:rsidRPr="008D2EA0" w:rsidRDefault="009F6C71" w:rsidP="006731B4">
      <w:pPr>
        <w:pStyle w:val="ECCAnnexheading1"/>
      </w:pPr>
      <w:bookmarkStart w:id="219" w:name="_Ref333574020"/>
      <w:bookmarkStart w:id="220" w:name="_Toc349039337"/>
      <w:r w:rsidRPr="008D2EA0">
        <w:lastRenderedPageBreak/>
        <w:t>Technical information on PMSE</w:t>
      </w:r>
      <w:bookmarkEnd w:id="217"/>
      <w:bookmarkEnd w:id="218"/>
      <w:bookmarkEnd w:id="219"/>
      <w:bookmarkEnd w:id="220"/>
    </w:p>
    <w:p w:rsidR="009F6C71" w:rsidRPr="008D2EA0" w:rsidRDefault="009F6C71" w:rsidP="0051112C">
      <w:pPr>
        <w:pStyle w:val="ECCParagraph"/>
      </w:pPr>
      <w:r w:rsidRPr="008D2EA0">
        <w:t>The question that is asked frequently: how many links can operate in paralle</w:t>
      </w:r>
      <w:r w:rsidR="0051112C" w:rsidRPr="008D2EA0">
        <w:t>l in the L-Band, in the range 1</w:t>
      </w:r>
      <w:r w:rsidRPr="008D2EA0">
        <w:t>452</w:t>
      </w:r>
      <w:r w:rsidR="0051112C" w:rsidRPr="008D2EA0">
        <w:t>-</w:t>
      </w:r>
      <w:r w:rsidRPr="008D2EA0">
        <w:t>1492 MHz?</w:t>
      </w:r>
    </w:p>
    <w:p w:rsidR="009F6C71" w:rsidRPr="008D2EA0" w:rsidRDefault="009F6C71" w:rsidP="0051112C">
      <w:pPr>
        <w:pStyle w:val="ECCParagraph"/>
      </w:pPr>
      <w:r w:rsidRPr="008D2EA0">
        <w:t xml:space="preserve">Any production has to be free of interference to find pleased listeners. One source of interference is caused by intermodulation which is generated in any wireless system when it operates in close proximity of other systems. As intermodulation can be calculated the system design takes care of the effect and uses only reliable frequencies which guarantee no unwanted noise in the audio signal. </w:t>
      </w:r>
    </w:p>
    <w:p w:rsidR="009F6C71" w:rsidRPr="008D2EA0" w:rsidRDefault="009F6C71" w:rsidP="0051112C">
      <w:pPr>
        <w:pStyle w:val="ECCParagraph"/>
      </w:pPr>
      <w:r w:rsidRPr="008D2EA0">
        <w:t>The following graph shows a typical arrangement of carriers in a multichannel system of wireless microphones:</w:t>
      </w:r>
    </w:p>
    <w:p w:rsidR="009F6C71" w:rsidRPr="008D2EA0" w:rsidRDefault="009F6C71" w:rsidP="009F6C71">
      <w:pPr>
        <w:spacing w:after="120" w:line="276" w:lineRule="auto"/>
        <w:rPr>
          <w:rFonts w:cs="Arial"/>
          <w:szCs w:val="20"/>
          <w:lang w:val="en-GB"/>
        </w:rPr>
      </w:pPr>
      <w:r w:rsidRPr="008D2EA0">
        <w:rPr>
          <w:rFonts w:cs="Arial"/>
          <w:noProof/>
          <w:szCs w:val="20"/>
          <w:lang w:val="da-DK" w:eastAsia="da-DK"/>
        </w:rPr>
        <w:drawing>
          <wp:inline distT="0" distB="0" distL="0" distR="0" wp14:anchorId="7280599A" wp14:editId="40FA6148">
            <wp:extent cx="5972175" cy="1724025"/>
            <wp:effectExtent l="19050" t="19050" r="2857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2175" cy="1724025"/>
                    </a:xfrm>
                    <a:prstGeom prst="rect">
                      <a:avLst/>
                    </a:prstGeom>
                    <a:noFill/>
                    <a:ln w="6350" cmpd="sng">
                      <a:solidFill>
                        <a:srgbClr val="D9D9D9"/>
                      </a:solidFill>
                      <a:miter lim="800000"/>
                      <a:headEnd/>
                      <a:tailEnd/>
                    </a:ln>
                    <a:effectLst/>
                  </pic:spPr>
                </pic:pic>
              </a:graphicData>
            </a:graphic>
          </wp:inline>
        </w:drawing>
      </w:r>
    </w:p>
    <w:p w:rsidR="009F6C71" w:rsidRPr="008D2EA0" w:rsidRDefault="009F6C71" w:rsidP="00AC460F">
      <w:pPr>
        <w:pStyle w:val="ECCFiguretitle"/>
      </w:pPr>
      <w:r w:rsidRPr="008D2EA0">
        <w:t xml:space="preserve">Typical arrangement of carriers in a multichannel system of wireless microphones </w:t>
      </w:r>
    </w:p>
    <w:p w:rsidR="009F6C71" w:rsidRPr="008D2EA0" w:rsidRDefault="009F6C71" w:rsidP="009F6C71">
      <w:pPr>
        <w:spacing w:after="120" w:line="276" w:lineRule="auto"/>
        <w:rPr>
          <w:rFonts w:cs="Arial"/>
          <w:szCs w:val="20"/>
          <w:lang w:val="en-GB"/>
        </w:rPr>
      </w:pPr>
      <w:r w:rsidRPr="008D2EA0">
        <w:rPr>
          <w:rFonts w:cs="Arial"/>
          <w:szCs w:val="20"/>
          <w:lang w:val="en-GB"/>
        </w:rPr>
        <w:t xml:space="preserve">It can be seen that thirty carriers of this system are arranged in non-regular spacing. </w:t>
      </w:r>
    </w:p>
    <w:p w:rsidR="009F6C71" w:rsidRPr="008D2EA0" w:rsidRDefault="009F6C71" w:rsidP="005D1E13">
      <w:pPr>
        <w:pStyle w:val="ECCParagraph"/>
      </w:pPr>
      <w:r w:rsidRPr="008D2EA0">
        <w:t>A venue usually consists of different locations in which different events take place in parallel: in a conference centre there are different halls and rooms with different events using wireless equipment, same in hotels with their meeting facilities, in universities with their lecture halls, in entertainment centres with their various stages, also in exhibition halls with the booths of the exhibitors last not least at political and sport events where several ENG Teams operate in parallel in different areas.</w:t>
      </w:r>
    </w:p>
    <w:p w:rsidR="009F6C71" w:rsidRPr="008D2EA0" w:rsidRDefault="009F6C71" w:rsidP="005D1E13">
      <w:pPr>
        <w:pStyle w:val="ECCParagraph"/>
      </w:pPr>
      <w:r w:rsidRPr="008D2EA0">
        <w:t>All these events in one venue have one thing in common: they are separated by walls of by a certain distance. Separation by room, house walls or ceilings usually gives a signal attenuation of more than 15dB in addition to the path loss. Taking this into account the intermodulation of the system shown above will be very low in the neighbour room or neighbour venue. This allows taking the same set of frequencies for the neighbour venue, but shifting all the frequencies by the same amount. Optimi</w:t>
      </w:r>
      <w:r w:rsidR="00995D9E">
        <w:t>s</w:t>
      </w:r>
      <w:r w:rsidRPr="008D2EA0">
        <w:t>ing this process will deliver the following result and will give the answer to the above asked question “how many links can operate in parallel in the L-Band:</w:t>
      </w:r>
    </w:p>
    <w:p w:rsidR="009F6C71" w:rsidRPr="008D2EA0" w:rsidRDefault="009F6C71" w:rsidP="0051112C">
      <w:pPr>
        <w:keepNext/>
        <w:spacing w:after="120" w:line="276" w:lineRule="auto"/>
        <w:rPr>
          <w:rFonts w:cs="Arial"/>
          <w:szCs w:val="20"/>
          <w:lang w:val="en-GB"/>
        </w:rPr>
      </w:pPr>
      <w:r w:rsidRPr="008D2EA0">
        <w:rPr>
          <w:rFonts w:cs="Arial"/>
          <w:szCs w:val="20"/>
          <w:lang w:val="en-GB"/>
        </w:rPr>
        <w:lastRenderedPageBreak/>
        <w:t>224 links can operate in parallel in one venue.</w:t>
      </w:r>
    </w:p>
    <w:p w:rsidR="009F6C71" w:rsidRPr="008D2EA0" w:rsidRDefault="009F6C71" w:rsidP="0051112C">
      <w:pPr>
        <w:keepNext/>
        <w:spacing w:after="120" w:line="276" w:lineRule="auto"/>
        <w:rPr>
          <w:rFonts w:cs="Arial"/>
          <w:szCs w:val="20"/>
          <w:lang w:val="en-GB"/>
        </w:rPr>
      </w:pPr>
      <w:r w:rsidRPr="008D2EA0">
        <w:rPr>
          <w:rFonts w:cs="Arial"/>
          <w:noProof/>
          <w:szCs w:val="20"/>
          <w:lang w:val="da-DK" w:eastAsia="da-DK"/>
        </w:rPr>
        <w:drawing>
          <wp:inline distT="0" distB="0" distL="0" distR="0" wp14:anchorId="6054E6EE" wp14:editId="342C2AE1">
            <wp:extent cx="5972175" cy="1724025"/>
            <wp:effectExtent l="19050" t="19050" r="2857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2175" cy="1724025"/>
                    </a:xfrm>
                    <a:prstGeom prst="rect">
                      <a:avLst/>
                    </a:prstGeom>
                    <a:noFill/>
                    <a:ln w="6350" cmpd="sng">
                      <a:solidFill>
                        <a:srgbClr val="D9D9D9"/>
                      </a:solidFill>
                      <a:miter lim="800000"/>
                      <a:headEnd/>
                      <a:tailEnd/>
                    </a:ln>
                    <a:effectLst/>
                  </pic:spPr>
                </pic:pic>
              </a:graphicData>
            </a:graphic>
          </wp:inline>
        </w:drawing>
      </w:r>
    </w:p>
    <w:p w:rsidR="009F6C71" w:rsidRPr="008D2EA0" w:rsidRDefault="009F6C71" w:rsidP="00AC460F">
      <w:pPr>
        <w:pStyle w:val="ECCFiguretitle"/>
      </w:pPr>
      <w:r w:rsidRPr="008D2EA0">
        <w:t>L-band scenario of 224 PMSE channels in moderately shielded locations</w:t>
      </w:r>
    </w:p>
    <w:p w:rsidR="009F6C71" w:rsidRPr="008D2EA0" w:rsidRDefault="009F6C71" w:rsidP="005D1E13">
      <w:pPr>
        <w:pStyle w:val="ECCParagraph"/>
      </w:pPr>
      <w:r w:rsidRPr="008D2EA0">
        <w:t>The calculation result shown above was done for standard equipment.</w:t>
      </w:r>
    </w:p>
    <w:p w:rsidR="009F6C71" w:rsidRPr="008D2EA0" w:rsidRDefault="009F6C71" w:rsidP="005D1E13">
      <w:pPr>
        <w:pStyle w:val="ECCParagraph"/>
      </w:pPr>
      <w:r w:rsidRPr="008D2EA0">
        <w:t>As shown in the graph above these locations a named S1, S2, S3 etc. The colours assigned to these locations can be found in the graph that shows the frequencies in the L-Band from left to right. By shifting the frequencies to higher ones there will come the point where one of these frequencies exceeds the upper limit of the L-Band range. These frequencies have to be left out.</w:t>
      </w:r>
    </w:p>
    <w:p w:rsidR="009F6C71" w:rsidRPr="008D2EA0" w:rsidRDefault="009F6C71" w:rsidP="005D1E13">
      <w:pPr>
        <w:pStyle w:val="ECCParagraph"/>
      </w:pPr>
      <w:r w:rsidRPr="008D2EA0">
        <w:t>This is the reason why the 10 different venues shown on the right of the graph have a different set of frequencies for the use in that location: some venues have more, some fewer frequencies.</w:t>
      </w:r>
    </w:p>
    <w:p w:rsidR="009F6C71" w:rsidRPr="008D2EA0" w:rsidRDefault="009F6C71" w:rsidP="005D1E13">
      <w:pPr>
        <w:pStyle w:val="ECCParagraph"/>
      </w:pPr>
      <w:r w:rsidRPr="008D2EA0">
        <w:t>The carriers in the graph have different level. The one with the highest level is the venue which is the reference, from which one can look to the signals of the neighbour venues. The difference in level of the other locations indicates the attenuation the signals experience on the way to the reference location.</w:t>
      </w:r>
    </w:p>
    <w:p w:rsidR="009F6C71" w:rsidRPr="008D2EA0" w:rsidRDefault="009F6C71" w:rsidP="005D1E13">
      <w:pPr>
        <w:pStyle w:val="ECCParagraph"/>
      </w:pPr>
      <w:r w:rsidRPr="008D2EA0">
        <w:t xml:space="preserve">Each of the venues on its own have intermodulation free frequencies, but there is a risk of interference if the wanted carrier falls below the intermodulation frequency level of one of the venues. This can only happen if one of the wireless microphones leaves its venue. For high quality productions there is no alternative than intermodulation free arrangement of a set of frequencies as shown in the first graph. </w:t>
      </w:r>
    </w:p>
    <w:p w:rsidR="009F6C71" w:rsidRPr="008D2EA0" w:rsidRDefault="009F6C71" w:rsidP="005D1E13">
      <w:pPr>
        <w:pStyle w:val="ECCParagraph"/>
      </w:pPr>
      <w:r w:rsidRPr="008D2EA0">
        <w:t xml:space="preserve">It has to be mentioned that this scenario as described above will work outdoors only if the distances between the venues delivers a signal attenuation of more than 15dB. </w:t>
      </w:r>
    </w:p>
    <w:p w:rsidR="009F6C71" w:rsidRPr="008D2EA0" w:rsidRDefault="009F6C71" w:rsidP="005D1E13">
      <w:pPr>
        <w:pStyle w:val="ECCParagraph"/>
      </w:pPr>
      <w:r w:rsidRPr="008D2EA0">
        <w:t>The system as described above is proven by practical application in everyday operation in the UHF range – for the venues as named above. This is usually done by the professional frequency coordinator who takes all the important parameters into account.</w:t>
      </w:r>
    </w:p>
    <w:p w:rsidR="009F6C71" w:rsidRPr="008D2EA0" w:rsidRDefault="009F6C71" w:rsidP="005D1E13">
      <w:pPr>
        <w:pStyle w:val="ECCParagraph"/>
      </w:pPr>
      <w:r w:rsidRPr="008D2EA0">
        <w:t>It needs to be mentioned that the use of PMSE with extended bandwidth, 400</w:t>
      </w:r>
      <w:r w:rsidR="005D1E13" w:rsidRPr="008D2EA0">
        <w:t xml:space="preserve"> </w:t>
      </w:r>
      <w:r w:rsidRPr="008D2EA0">
        <w:t>kHz or 600</w:t>
      </w:r>
      <w:r w:rsidR="005D1E13" w:rsidRPr="008D2EA0">
        <w:t xml:space="preserve"> </w:t>
      </w:r>
      <w:r w:rsidRPr="008D2EA0">
        <w:t>kHz, will reduce the maximum number of wireless links that can be used in one venue and a mixed scenario.</w:t>
      </w:r>
    </w:p>
    <w:p w:rsidR="009F6C71" w:rsidRPr="008D2EA0" w:rsidRDefault="009F6C71" w:rsidP="00E41E35">
      <w:pPr>
        <w:pStyle w:val="ECCParagraph"/>
        <w:spacing w:before="120" w:after="0"/>
      </w:pPr>
    </w:p>
    <w:p w:rsidR="00E41E35" w:rsidRPr="008D2EA0" w:rsidRDefault="00E41E35" w:rsidP="00E41E35">
      <w:pPr>
        <w:pStyle w:val="ECCParagraph"/>
      </w:pPr>
      <w:r w:rsidRPr="008D2EA0">
        <w:rPr>
          <w:szCs w:val="20"/>
        </w:rPr>
        <w:br w:type="page"/>
      </w:r>
    </w:p>
    <w:p w:rsidR="008A54FC" w:rsidRPr="008D2EA0" w:rsidRDefault="008A54FC" w:rsidP="006731B4">
      <w:pPr>
        <w:pStyle w:val="ECCAnnexheading1"/>
      </w:pPr>
      <w:bookmarkStart w:id="221" w:name="_Toc349039338"/>
      <w:r w:rsidRPr="008D2EA0">
        <w:lastRenderedPageBreak/>
        <w:t>List of reference</w:t>
      </w:r>
      <w:bookmarkEnd w:id="221"/>
    </w:p>
    <w:p w:rsidR="008A54FC" w:rsidRPr="008D2EA0" w:rsidRDefault="00B055B7" w:rsidP="00C3316C">
      <w:pPr>
        <w:pStyle w:val="reference"/>
        <w:rPr>
          <w:rFonts w:cs="Arial"/>
          <w:szCs w:val="20"/>
          <w:lang w:val="en-GB"/>
        </w:rPr>
      </w:pPr>
      <w:bookmarkStart w:id="222" w:name="_Ref330503918"/>
      <w:r w:rsidRPr="008D2EA0">
        <w:rPr>
          <w:rFonts w:cs="Arial"/>
          <w:szCs w:val="20"/>
          <w:lang w:val="en-GB"/>
        </w:rPr>
        <w:t>MA02revCO07: The Maastricht, 2002, Special Arrangem</w:t>
      </w:r>
      <w:r w:rsidR="00CF580E" w:rsidRPr="008D2EA0">
        <w:rPr>
          <w:rFonts w:cs="Arial"/>
          <w:szCs w:val="20"/>
          <w:lang w:val="en-GB"/>
        </w:rPr>
        <w:t>ent, as revised in Constanţa</w:t>
      </w:r>
      <w:bookmarkEnd w:id="222"/>
    </w:p>
    <w:p w:rsidR="00C3316C" w:rsidRPr="008D2EA0" w:rsidRDefault="00CF580E" w:rsidP="00C3316C">
      <w:pPr>
        <w:pStyle w:val="reference"/>
        <w:rPr>
          <w:rFonts w:cs="Arial"/>
          <w:szCs w:val="20"/>
          <w:lang w:val="en-GB"/>
        </w:rPr>
      </w:pPr>
      <w:bookmarkStart w:id="223" w:name="_Ref330503966"/>
      <w:r w:rsidRPr="008D2EA0">
        <w:rPr>
          <w:rFonts w:cs="Arial"/>
          <w:szCs w:val="20"/>
          <w:lang w:val="en-GB"/>
        </w:rPr>
        <w:t>ECC</w:t>
      </w:r>
      <w:r w:rsidR="005D1E13" w:rsidRPr="008D2EA0">
        <w:rPr>
          <w:rFonts w:cs="Arial"/>
          <w:szCs w:val="20"/>
          <w:lang w:val="en-GB"/>
        </w:rPr>
        <w:t>/</w:t>
      </w:r>
      <w:r w:rsidRPr="008D2EA0">
        <w:rPr>
          <w:rFonts w:cs="Arial"/>
          <w:szCs w:val="20"/>
          <w:lang w:val="en-GB"/>
        </w:rPr>
        <w:t>D</w:t>
      </w:r>
      <w:r w:rsidR="005D1E13" w:rsidRPr="008D2EA0">
        <w:rPr>
          <w:rFonts w:cs="Arial"/>
          <w:szCs w:val="20"/>
          <w:lang w:val="en-GB"/>
        </w:rPr>
        <w:t>EC/</w:t>
      </w:r>
      <w:r w:rsidRPr="008D2EA0">
        <w:rPr>
          <w:rFonts w:cs="Arial"/>
          <w:szCs w:val="20"/>
          <w:lang w:val="en-GB"/>
        </w:rPr>
        <w:t>(03)02</w:t>
      </w:r>
      <w:r w:rsidR="00E97FCA">
        <w:rPr>
          <w:rFonts w:cs="Arial"/>
          <w:szCs w:val="20"/>
          <w:lang w:val="en-GB"/>
        </w:rPr>
        <w:t xml:space="preserve"> </w:t>
      </w:r>
      <w:r w:rsidRPr="008D2EA0">
        <w:rPr>
          <w:rFonts w:cs="Arial"/>
          <w:szCs w:val="20"/>
          <w:lang w:val="en-GB"/>
        </w:rPr>
        <w:t>on the designation of the frequency band 1479.5-1492 MHz for use by Satellite Digital Audio Broadcasting systems</w:t>
      </w:r>
      <w:bookmarkStart w:id="224" w:name="_Ref330504750"/>
      <w:bookmarkStart w:id="225" w:name="_Ref330506366"/>
      <w:bookmarkEnd w:id="223"/>
    </w:p>
    <w:p w:rsidR="00C3316C" w:rsidRPr="008D2EA0" w:rsidRDefault="00E97FCA" w:rsidP="00C3316C">
      <w:pPr>
        <w:pStyle w:val="reference"/>
        <w:rPr>
          <w:lang w:val="en-GB"/>
        </w:rPr>
      </w:pPr>
      <w:bookmarkStart w:id="226" w:name="_Ref330504302"/>
      <w:r>
        <w:rPr>
          <w:lang w:val="en-GB"/>
        </w:rPr>
        <w:t>ECC/DEC/(09)03</w:t>
      </w:r>
      <w:r w:rsidR="00C3316C" w:rsidRPr="008D2EA0">
        <w:rPr>
          <w:lang w:val="en-GB"/>
        </w:rPr>
        <w:t xml:space="preserve"> on harmonised conditions for Mobile/Fixed Communications Networks (MFCN)</w:t>
      </w:r>
      <w:r>
        <w:rPr>
          <w:lang w:val="en-GB"/>
        </w:rPr>
        <w:t xml:space="preserve"> </w:t>
      </w:r>
      <w:r w:rsidR="00C3316C" w:rsidRPr="008D2EA0">
        <w:rPr>
          <w:lang w:val="en-GB"/>
        </w:rPr>
        <w:t>operating in the band 790-862 MHz</w:t>
      </w:r>
      <w:bookmarkEnd w:id="226"/>
    </w:p>
    <w:p w:rsidR="00C3316C" w:rsidRPr="008D2EA0" w:rsidRDefault="00C3316C" w:rsidP="00C3316C">
      <w:pPr>
        <w:pStyle w:val="reference"/>
        <w:rPr>
          <w:rFonts w:cs="Arial"/>
          <w:szCs w:val="20"/>
          <w:lang w:val="en-GB"/>
        </w:rPr>
      </w:pPr>
      <w:bookmarkStart w:id="227" w:name="_Ref332810663"/>
      <w:r w:rsidRPr="008D2EA0">
        <w:rPr>
          <w:rFonts w:cs="Arial"/>
          <w:lang w:val="en-GB"/>
        </w:rPr>
        <w:t xml:space="preserve">RR: Radio </w:t>
      </w:r>
      <w:r w:rsidRPr="008D2EA0">
        <w:rPr>
          <w:rFonts w:cs="Arial"/>
          <w:szCs w:val="20"/>
          <w:lang w:val="en-GB"/>
        </w:rPr>
        <w:t>Regulations</w:t>
      </w:r>
      <w:bookmarkEnd w:id="224"/>
      <w:bookmarkEnd w:id="227"/>
    </w:p>
    <w:p w:rsidR="00C3316C" w:rsidRPr="008D2EA0" w:rsidRDefault="00C3316C" w:rsidP="008A54FC">
      <w:pPr>
        <w:pStyle w:val="reference"/>
        <w:rPr>
          <w:rFonts w:cs="Arial"/>
          <w:szCs w:val="20"/>
          <w:lang w:val="en-GB"/>
        </w:rPr>
      </w:pPr>
      <w:bookmarkStart w:id="228" w:name="_Ref330504932"/>
      <w:r w:rsidRPr="008D2EA0">
        <w:rPr>
          <w:rFonts w:cs="Arial"/>
          <w:szCs w:val="20"/>
          <w:lang w:val="en-GB"/>
        </w:rPr>
        <w:t>CEPT Report 18</w:t>
      </w:r>
      <w:r w:rsidRPr="008D2EA0">
        <w:rPr>
          <w:rStyle w:val="Hyperlink"/>
          <w:rFonts w:cs="Arial"/>
          <w:color w:val="auto"/>
          <w:szCs w:val="20"/>
          <w:u w:val="none"/>
          <w:lang w:val="en-GB"/>
        </w:rPr>
        <w:t xml:space="preserve">: </w:t>
      </w:r>
      <w:r w:rsidRPr="008D2EA0">
        <w:rPr>
          <w:rFonts w:cs="Arial"/>
          <w:szCs w:val="20"/>
          <w:lang w:val="en-GB"/>
        </w:rPr>
        <w:t>EU h</w:t>
      </w:r>
      <w:r w:rsidR="005D1E13" w:rsidRPr="008D2EA0">
        <w:rPr>
          <w:rFonts w:cs="Arial"/>
          <w:szCs w:val="20"/>
          <w:lang w:val="en-GB"/>
        </w:rPr>
        <w:t>armonisation of the band 1452-</w:t>
      </w:r>
      <w:r w:rsidRPr="008D2EA0">
        <w:rPr>
          <w:rFonts w:cs="Arial"/>
          <w:szCs w:val="20"/>
          <w:lang w:val="en-GB"/>
        </w:rPr>
        <w:t>1479.5 MHz (lower part of L-band) to allow flexible use by mobile multimedia technologies</w:t>
      </w:r>
      <w:bookmarkEnd w:id="228"/>
    </w:p>
    <w:p w:rsidR="006C5372" w:rsidRPr="008D2EA0" w:rsidRDefault="006C5372" w:rsidP="008A54FC">
      <w:pPr>
        <w:pStyle w:val="reference"/>
        <w:rPr>
          <w:rFonts w:cs="Arial"/>
          <w:szCs w:val="20"/>
          <w:lang w:val="en-GB"/>
        </w:rPr>
      </w:pPr>
      <w:bookmarkStart w:id="229" w:name="_Ref332810988"/>
      <w:r w:rsidRPr="008D2EA0">
        <w:rPr>
          <w:lang w:val="en-GB"/>
        </w:rPr>
        <w:t xml:space="preserve">Radio Spectrum Policy Group survey and Report on the future of digital audio broadcasting: </w:t>
      </w:r>
      <w:hyperlink r:id="rId94" w:history="1">
        <w:r w:rsidRPr="008D2EA0">
          <w:rPr>
            <w:rStyle w:val="Hyperlink"/>
            <w:lang w:val="en-GB"/>
          </w:rPr>
          <w:t>http://rspg.groups.eu.int/consultations/consultation_futradio/rspg10_349_annex.pdf</w:t>
        </w:r>
      </w:hyperlink>
      <w:bookmarkEnd w:id="229"/>
    </w:p>
    <w:p w:rsidR="00CF580E" w:rsidRPr="008D2EA0" w:rsidRDefault="00CF580E" w:rsidP="008A54FC">
      <w:pPr>
        <w:pStyle w:val="reference"/>
        <w:rPr>
          <w:rFonts w:cs="Arial"/>
          <w:szCs w:val="20"/>
          <w:lang w:val="en-GB"/>
        </w:rPr>
      </w:pPr>
      <w:bookmarkStart w:id="230" w:name="_Ref332811109"/>
      <w:r w:rsidRPr="008D2EA0">
        <w:rPr>
          <w:rFonts w:cs="Arial"/>
          <w:szCs w:val="20"/>
          <w:lang w:val="en-GB"/>
        </w:rPr>
        <w:t>ECC Report 125: Guidelines for the implementation of impact assessment in relation to spectrum matters</w:t>
      </w:r>
      <w:bookmarkEnd w:id="225"/>
      <w:bookmarkEnd w:id="230"/>
    </w:p>
    <w:p w:rsidR="00247F2A" w:rsidRPr="008D2EA0" w:rsidRDefault="00247F2A" w:rsidP="00CF580E">
      <w:pPr>
        <w:pStyle w:val="reference"/>
        <w:rPr>
          <w:rFonts w:cs="Arial"/>
          <w:szCs w:val="20"/>
          <w:lang w:val="en-GB"/>
        </w:rPr>
      </w:pPr>
      <w:bookmarkStart w:id="231" w:name="_Ref330506718"/>
      <w:r w:rsidRPr="008D2EA0">
        <w:rPr>
          <w:lang w:val="en-GB"/>
        </w:rPr>
        <w:t xml:space="preserve">Recommendation ITU-R </w:t>
      </w:r>
      <w:r w:rsidRPr="008D2EA0">
        <w:rPr>
          <w:rFonts w:cs="Arial"/>
          <w:lang w:val="en-GB"/>
        </w:rPr>
        <w:t xml:space="preserve">SM.1132-2: </w:t>
      </w:r>
      <w:bookmarkEnd w:id="231"/>
      <w:r w:rsidR="003B4E87" w:rsidRPr="008D2EA0">
        <w:rPr>
          <w:rFonts w:cs="Arial"/>
          <w:lang w:val="en-GB"/>
        </w:rPr>
        <w:t>General principles and methods for sharing between radiocommunication services or between radio stations</w:t>
      </w:r>
    </w:p>
    <w:p w:rsidR="001F7B40" w:rsidRPr="008D2EA0" w:rsidRDefault="001F7B40" w:rsidP="001F7B40">
      <w:pPr>
        <w:pStyle w:val="reference"/>
        <w:rPr>
          <w:lang w:val="en-GB"/>
        </w:rPr>
      </w:pPr>
      <w:bookmarkStart w:id="232" w:name="_Ref330509395"/>
      <w:r w:rsidRPr="008D2EA0">
        <w:rPr>
          <w:lang w:val="en-GB"/>
        </w:rPr>
        <w:t>Report ITU-R M.2243: Assessment of the global mobile broadband deployments and forecasts for International Mobile Telecommunications</w:t>
      </w:r>
      <w:bookmarkEnd w:id="232"/>
    </w:p>
    <w:p w:rsidR="00D12EE0" w:rsidRPr="008D2EA0" w:rsidRDefault="00D12EE0" w:rsidP="00D12EE0">
      <w:pPr>
        <w:pStyle w:val="reference"/>
        <w:rPr>
          <w:lang w:val="en-GB"/>
        </w:rPr>
      </w:pPr>
      <w:bookmarkStart w:id="233" w:name="_Ref330509428"/>
      <w:r w:rsidRPr="008D2EA0">
        <w:rPr>
          <w:lang w:val="en-GB"/>
        </w:rPr>
        <w:t>Document RSCom 12-06 Spectrum assignments in EU-27 as of 1 January 2012 – an overview</w:t>
      </w:r>
      <w:bookmarkEnd w:id="233"/>
    </w:p>
    <w:p w:rsidR="00D12EE0" w:rsidRPr="008D2EA0" w:rsidRDefault="00D12EE0" w:rsidP="00D12EE0">
      <w:pPr>
        <w:pStyle w:val="reference"/>
        <w:rPr>
          <w:lang w:val="en-GB"/>
        </w:rPr>
      </w:pPr>
      <w:bookmarkStart w:id="234" w:name="_Ref330509697"/>
      <w:r w:rsidRPr="008D2EA0">
        <w:rPr>
          <w:lang w:val="en-GB"/>
        </w:rPr>
        <w:t>Study on the economic benefits of an SDL in 1452-1492 MHz (</w:t>
      </w:r>
      <w:hyperlink r:id="rId95" w:history="1">
        <w:r w:rsidRPr="008D2EA0">
          <w:rPr>
            <w:rStyle w:val="Hyperlink"/>
            <w:lang w:val="en-GB"/>
          </w:rPr>
          <w:t>http://www.plumconsulting.co.uk/pdfs/Plum_June2011_Benefits_of_1.4GHz_spectrum_for_multimedia_services.pdf</w:t>
        </w:r>
      </w:hyperlink>
      <w:r w:rsidRPr="008D2EA0">
        <w:rPr>
          <w:lang w:val="en-GB"/>
        </w:rPr>
        <w:t>)</w:t>
      </w:r>
      <w:bookmarkEnd w:id="234"/>
    </w:p>
    <w:p w:rsidR="00255894" w:rsidRPr="008D2EA0" w:rsidRDefault="00255894" w:rsidP="00255894">
      <w:pPr>
        <w:pStyle w:val="reference"/>
        <w:rPr>
          <w:lang w:val="en-GB"/>
        </w:rPr>
      </w:pPr>
      <w:bookmarkStart w:id="235" w:name="_Ref330511195"/>
      <w:r w:rsidRPr="008D2EA0">
        <w:rPr>
          <w:lang w:val="en-GB"/>
        </w:rPr>
        <w:t>ECC Report 002: SAP/SAB (Incl. ENG/OB) - Spectrum use and future requirements</w:t>
      </w:r>
      <w:bookmarkEnd w:id="235"/>
    </w:p>
    <w:p w:rsidR="00255894" w:rsidRPr="008D2EA0" w:rsidRDefault="00255894" w:rsidP="00255894">
      <w:pPr>
        <w:pStyle w:val="reference"/>
        <w:rPr>
          <w:lang w:val="en-GB"/>
        </w:rPr>
      </w:pPr>
      <w:bookmarkStart w:id="236" w:name="_Ref330511420"/>
      <w:r w:rsidRPr="008D2EA0">
        <w:rPr>
          <w:lang w:val="en-GB"/>
        </w:rPr>
        <w:t>ETSI EN 300 422</w:t>
      </w:r>
      <w:bookmarkEnd w:id="236"/>
      <w:r w:rsidRPr="008D2EA0">
        <w:rPr>
          <w:lang w:val="en-GB"/>
        </w:rPr>
        <w:t xml:space="preserve">: </w:t>
      </w:r>
      <w:r w:rsidRPr="008D2EA0">
        <w:rPr>
          <w:rFonts w:cs="Arial"/>
          <w:color w:val="000000"/>
          <w:szCs w:val="20"/>
          <w:lang w:val="en-GB"/>
        </w:rPr>
        <w:t>Wireless microphones in the 25 MHz to 3 GHz frequency range</w:t>
      </w:r>
    </w:p>
    <w:p w:rsidR="00C5370E" w:rsidRPr="008D2EA0" w:rsidRDefault="00C5370E" w:rsidP="00255894">
      <w:pPr>
        <w:pStyle w:val="reference"/>
        <w:rPr>
          <w:lang w:val="en-GB"/>
        </w:rPr>
      </w:pPr>
      <w:bookmarkStart w:id="237" w:name="_Ref332816896"/>
      <w:r w:rsidRPr="008D2EA0">
        <w:rPr>
          <w:lang w:val="en-GB"/>
        </w:rPr>
        <w:t xml:space="preserve">ECC strategic plan : </w:t>
      </w:r>
      <w:hyperlink r:id="rId96" w:history="1">
        <w:r w:rsidRPr="008D2EA0">
          <w:rPr>
            <w:rStyle w:val="Hyperlink"/>
            <w:lang w:val="en-GB"/>
          </w:rPr>
          <w:t>http://www.cept.org//files/1051/ECC/About%20ECC/ECC%20Strategic%20plan/ECC%20Strategic%20Plan%20rev%204.pdf</w:t>
        </w:r>
      </w:hyperlink>
      <w:bookmarkEnd w:id="237"/>
    </w:p>
    <w:p w:rsidR="00C5370E" w:rsidRPr="008D2EA0" w:rsidRDefault="00C5370E" w:rsidP="00C5370E">
      <w:pPr>
        <w:pStyle w:val="reference"/>
        <w:rPr>
          <w:lang w:val="en-GB"/>
        </w:rPr>
      </w:pPr>
      <w:bookmarkStart w:id="238" w:name="_Ref330511343"/>
      <w:r w:rsidRPr="008D2EA0">
        <w:rPr>
          <w:lang w:val="en-GB"/>
        </w:rPr>
        <w:t>ETSI TR 102 546</w:t>
      </w:r>
      <w:bookmarkEnd w:id="238"/>
      <w:r w:rsidRPr="008D2EA0">
        <w:rPr>
          <w:lang w:val="en-GB"/>
        </w:rPr>
        <w:t xml:space="preserve">: </w:t>
      </w:r>
      <w:r w:rsidRPr="008D2EA0">
        <w:rPr>
          <w:rFonts w:cs="Arial"/>
          <w:color w:val="000000"/>
          <w:szCs w:val="20"/>
          <w:lang w:val="en-GB"/>
        </w:rPr>
        <w:t>Technical characteristics for Professional Wireless Microphone Systems (PWMS);System Reference Document</w:t>
      </w:r>
    </w:p>
    <w:p w:rsidR="00C5370E" w:rsidRPr="008D2EA0" w:rsidRDefault="00C5370E" w:rsidP="00C5370E">
      <w:pPr>
        <w:pStyle w:val="reference"/>
        <w:rPr>
          <w:lang w:val="en-GB"/>
        </w:rPr>
      </w:pPr>
      <w:bookmarkStart w:id="239" w:name="_Ref330511597"/>
      <w:r w:rsidRPr="008D2EA0">
        <w:rPr>
          <w:lang w:val="en-GB"/>
        </w:rPr>
        <w:t>ECC/DEC(08)05</w:t>
      </w:r>
      <w:bookmarkEnd w:id="239"/>
      <w:r w:rsidRPr="008D2EA0">
        <w:rPr>
          <w:lang w:val="en-GB"/>
        </w:rPr>
        <w:t>: Harmonisation of frequency bands for the implementation of digital PPDR radio applications in 380-470 MHz range</w:t>
      </w:r>
    </w:p>
    <w:p w:rsidR="00445253" w:rsidRDefault="00445253" w:rsidP="00C5370E">
      <w:pPr>
        <w:pStyle w:val="reference"/>
        <w:rPr>
          <w:lang w:val="en-GB"/>
        </w:rPr>
      </w:pPr>
      <w:bookmarkStart w:id="240" w:name="_Ref333825316"/>
      <w:bookmarkStart w:id="241" w:name="_Ref333826684"/>
      <w:bookmarkStart w:id="242" w:name="_Ref330511926"/>
      <w:r w:rsidRPr="00577110">
        <w:rPr>
          <w:color w:val="000000"/>
          <w:lang w:val="en-GB"/>
        </w:rPr>
        <w:t>WIK Consult, Study on PPDR Spectrum Harmonisation in Germany, Europe and Globally</w:t>
      </w:r>
      <w:bookmarkEnd w:id="240"/>
      <w:r>
        <w:rPr>
          <w:color w:val="000000"/>
          <w:lang w:val="en-GB"/>
        </w:rPr>
        <w:t xml:space="preserve">, </w:t>
      </w:r>
      <w:hyperlink r:id="rId97" w:history="1">
        <w:r w:rsidRPr="00A82E99">
          <w:rPr>
            <w:rStyle w:val="Hyperlink"/>
            <w:lang w:val="en-GB"/>
          </w:rPr>
          <w:t>http://www.cept.org/Documents/fm-50/3160/FM50_11_061_Annex-2_WIK_Report_PPDR_Spectrum_Harmonisation</w:t>
        </w:r>
      </w:hyperlink>
      <w:bookmarkEnd w:id="241"/>
    </w:p>
    <w:p w:rsidR="00445253" w:rsidRDefault="00445253" w:rsidP="00445253">
      <w:pPr>
        <w:pStyle w:val="reference"/>
        <w:rPr>
          <w:color w:val="000000"/>
          <w:lang w:val="en-GB"/>
        </w:rPr>
      </w:pPr>
      <w:bookmarkStart w:id="243" w:name="_Ref333825335"/>
      <w:bookmarkStart w:id="244" w:name="_Ref333832218"/>
      <w:r w:rsidRPr="00577110">
        <w:rPr>
          <w:color w:val="000000"/>
          <w:lang w:val="en-GB"/>
        </w:rPr>
        <w:t xml:space="preserve">IABG, Study of the mid- and longterm capacity requirements for wireless communication of German PPDR agencies, </w:t>
      </w:r>
      <w:bookmarkEnd w:id="243"/>
      <w:r>
        <w:rPr>
          <w:color w:val="000000"/>
          <w:lang w:val="en-GB"/>
        </w:rPr>
        <w:fldChar w:fldCharType="begin"/>
      </w:r>
      <w:r>
        <w:rPr>
          <w:color w:val="000000"/>
          <w:lang w:val="en-GB"/>
        </w:rPr>
        <w:instrText xml:space="preserve"> HYPERLINK "</w:instrText>
      </w:r>
      <w:r w:rsidRPr="001D1806">
        <w:rPr>
          <w:color w:val="000000"/>
          <w:lang w:val="en-GB"/>
        </w:rPr>
        <w:instrText>http://www.cept.org/Documents/fm-50/3159/FM50_11_061_Annex-1_IABG_Study_PPDR_capacity_requirements</w:instrText>
      </w:r>
      <w:r>
        <w:rPr>
          <w:color w:val="000000"/>
          <w:lang w:val="en-GB"/>
        </w:rPr>
        <w:instrText xml:space="preserve">" </w:instrText>
      </w:r>
      <w:r>
        <w:rPr>
          <w:color w:val="000000"/>
          <w:lang w:val="en-GB"/>
        </w:rPr>
        <w:fldChar w:fldCharType="separate"/>
      </w:r>
      <w:r w:rsidRPr="00A82E99">
        <w:rPr>
          <w:rStyle w:val="Hyperlink"/>
          <w:lang w:val="en-GB"/>
        </w:rPr>
        <w:t>http://www.cept.org/Documents/fm-50/3159/FM50_11_061_Annex-1_IABG_Study_PPDR_capacity_requirements</w:t>
      </w:r>
      <w:r>
        <w:rPr>
          <w:color w:val="000000"/>
          <w:lang w:val="en-GB"/>
        </w:rPr>
        <w:fldChar w:fldCharType="end"/>
      </w:r>
      <w:bookmarkEnd w:id="244"/>
    </w:p>
    <w:p w:rsidR="00C5370E" w:rsidRPr="008D2EA0" w:rsidRDefault="00C5370E" w:rsidP="00C5370E">
      <w:pPr>
        <w:pStyle w:val="reference"/>
        <w:rPr>
          <w:lang w:val="en-GB"/>
        </w:rPr>
      </w:pPr>
      <w:bookmarkStart w:id="245" w:name="_Ref333832497"/>
      <w:r w:rsidRPr="008D2EA0">
        <w:rPr>
          <w:lang w:val="en-GB"/>
        </w:rPr>
        <w:t>ETSI TR 103 054</w:t>
      </w:r>
      <w:bookmarkEnd w:id="242"/>
      <w:r w:rsidR="00596FA6" w:rsidRPr="008D2EA0">
        <w:rPr>
          <w:lang w:val="en-GB"/>
        </w:rPr>
        <w:t xml:space="preserve">: </w:t>
      </w:r>
      <w:r w:rsidR="00596FA6" w:rsidRPr="008D2EA0">
        <w:rPr>
          <w:rFonts w:cs="Arial"/>
          <w:color w:val="000000"/>
          <w:szCs w:val="20"/>
          <w:lang w:val="en-GB"/>
        </w:rPr>
        <w:t>System Reference Document; Broadband Direct-Air-to-Ground Communications operating in part of the frequency range from 790 MHz to 5 150 MHz</w:t>
      </w:r>
      <w:bookmarkEnd w:id="245"/>
    </w:p>
    <w:p w:rsidR="005A734E" w:rsidRPr="008D2EA0" w:rsidRDefault="005A734E" w:rsidP="005A734E">
      <w:pPr>
        <w:pStyle w:val="reference"/>
        <w:rPr>
          <w:lang w:val="en-GB"/>
        </w:rPr>
      </w:pPr>
      <w:bookmarkStart w:id="246" w:name="_Ref330514924"/>
      <w:bookmarkStart w:id="247" w:name="_Ref332817883"/>
      <w:r w:rsidRPr="008D2EA0">
        <w:rPr>
          <w:lang w:val="en-GB"/>
        </w:rPr>
        <w:t xml:space="preserve">CEPT Report 19 </w:t>
      </w:r>
      <w:bookmarkEnd w:id="246"/>
      <w:r w:rsidRPr="008D2EA0">
        <w:rPr>
          <w:lang w:val="en-GB"/>
        </w:rPr>
        <w:t>Least restrictive technical conditions for WAPECS frequency bands</w:t>
      </w:r>
      <w:bookmarkEnd w:id="247"/>
    </w:p>
    <w:p w:rsidR="005A734E" w:rsidRPr="008D2EA0" w:rsidRDefault="005A734E" w:rsidP="005A734E">
      <w:pPr>
        <w:pStyle w:val="reference"/>
        <w:rPr>
          <w:lang w:val="en-GB"/>
        </w:rPr>
      </w:pPr>
      <w:bookmarkStart w:id="248" w:name="_Ref330515177"/>
      <w:bookmarkStart w:id="249" w:name="_Ref332817926"/>
      <w:r w:rsidRPr="008D2EA0">
        <w:rPr>
          <w:lang w:val="en-GB"/>
        </w:rPr>
        <w:t>CEPT Report 30</w:t>
      </w:r>
      <w:bookmarkEnd w:id="248"/>
      <w:r w:rsidRPr="008D2EA0">
        <w:rPr>
          <w:lang w:val="en-GB"/>
        </w:rPr>
        <w:t>: The identification of common and minimal (least restrictive) technical conditions for 790 - 862 MHz for the digital dividend in the European Union.</w:t>
      </w:r>
      <w:bookmarkEnd w:id="249"/>
    </w:p>
    <w:p w:rsidR="005A734E" w:rsidRPr="008D2EA0" w:rsidRDefault="005A734E" w:rsidP="005A734E">
      <w:pPr>
        <w:pStyle w:val="reference"/>
        <w:rPr>
          <w:rFonts w:cs="Arial"/>
          <w:szCs w:val="20"/>
          <w:lang w:val="en-GB"/>
        </w:rPr>
      </w:pPr>
      <w:bookmarkStart w:id="250" w:name="_Ref330515293"/>
      <w:bookmarkStart w:id="251" w:name="_Ref332818157"/>
      <w:r w:rsidRPr="008D2EA0">
        <w:rPr>
          <w:rFonts w:cs="Arial"/>
          <w:szCs w:val="20"/>
          <w:lang w:val="en-GB"/>
        </w:rPr>
        <w:t xml:space="preserve">CEPT Report 23: </w:t>
      </w:r>
      <w:bookmarkEnd w:id="250"/>
      <w:r w:rsidRPr="008D2EA0">
        <w:rPr>
          <w:lang w:val="en-GB"/>
        </w:rPr>
        <w:t>Technical Options for the Use of a Harmonised Sub-Band in the Band 470 - 862 MHz for Fixed/Mobile Application (including Uplinks)</w:t>
      </w:r>
      <w:bookmarkEnd w:id="251"/>
    </w:p>
    <w:p w:rsidR="005A734E" w:rsidRPr="008D2EA0" w:rsidRDefault="005A734E" w:rsidP="005A734E">
      <w:pPr>
        <w:pStyle w:val="reference"/>
        <w:rPr>
          <w:lang w:val="en-GB"/>
        </w:rPr>
      </w:pPr>
      <w:bookmarkStart w:id="252" w:name="_Ref330515403"/>
      <w:bookmarkStart w:id="253" w:name="_Ref332818177"/>
      <w:r w:rsidRPr="008D2EA0">
        <w:rPr>
          <w:lang w:val="en-GB"/>
        </w:rPr>
        <w:t>CEPT Report 29</w:t>
      </w:r>
      <w:bookmarkEnd w:id="252"/>
      <w:r w:rsidRPr="008D2EA0">
        <w:rPr>
          <w:lang w:val="en-GB"/>
        </w:rPr>
        <w:t>: Guideline on cross border coordination issues between mobile services in one country and broadcasting services in another country</w:t>
      </w:r>
      <w:bookmarkEnd w:id="253"/>
    </w:p>
    <w:p w:rsidR="005A734E" w:rsidRPr="008D2EA0" w:rsidRDefault="005A734E" w:rsidP="005A734E">
      <w:pPr>
        <w:pStyle w:val="reference"/>
        <w:rPr>
          <w:lang w:val="en-GB"/>
        </w:rPr>
      </w:pPr>
      <w:bookmarkStart w:id="254" w:name="_Ref332818057"/>
      <w:bookmarkStart w:id="255" w:name="_Ref330515778"/>
      <w:r w:rsidRPr="008D2EA0">
        <w:rPr>
          <w:lang w:val="en-GB"/>
        </w:rPr>
        <w:t>CEPT Report 39: To develop least restrictive technical conditions for 2 GHz bands</w:t>
      </w:r>
      <w:bookmarkEnd w:id="254"/>
      <w:r w:rsidRPr="008D2EA0">
        <w:rPr>
          <w:lang w:val="en-GB"/>
        </w:rPr>
        <w:t xml:space="preserve"> </w:t>
      </w:r>
      <w:bookmarkEnd w:id="255"/>
    </w:p>
    <w:p w:rsidR="005A734E" w:rsidRPr="008D2EA0" w:rsidRDefault="005A734E" w:rsidP="005A734E">
      <w:pPr>
        <w:pStyle w:val="reference"/>
        <w:rPr>
          <w:lang w:val="en-GB"/>
        </w:rPr>
      </w:pPr>
      <w:bookmarkStart w:id="256" w:name="_Ref330514912"/>
      <w:r w:rsidRPr="008D2EA0">
        <w:rPr>
          <w:lang w:val="en-GB"/>
        </w:rPr>
        <w:t>ECC Report131: Derivation of a BEM for TS in 2500-2690 MHz</w:t>
      </w:r>
      <w:bookmarkEnd w:id="256"/>
    </w:p>
    <w:p w:rsidR="005A734E" w:rsidRPr="008D2EA0" w:rsidRDefault="005A734E" w:rsidP="005A734E">
      <w:pPr>
        <w:pStyle w:val="reference"/>
        <w:rPr>
          <w:lang w:val="en-GB"/>
        </w:rPr>
      </w:pPr>
      <w:bookmarkStart w:id="257" w:name="_Ref332806644"/>
      <w:r w:rsidRPr="008D2EA0">
        <w:rPr>
          <w:lang w:val="en-GB"/>
        </w:rPr>
        <w:t>ECC Report 161: Additional Considerations relating to the L-band and the MA02revCO07</w:t>
      </w:r>
      <w:bookmarkEnd w:id="257"/>
    </w:p>
    <w:p w:rsidR="005A734E" w:rsidRPr="008D2EA0" w:rsidRDefault="005A734E" w:rsidP="005A734E">
      <w:pPr>
        <w:pStyle w:val="reference"/>
        <w:rPr>
          <w:lang w:val="en-GB"/>
        </w:rPr>
      </w:pPr>
      <w:bookmarkStart w:id="258" w:name="_Ref332806668"/>
      <w:r w:rsidRPr="008D2EA0">
        <w:rPr>
          <w:lang w:val="en-GB"/>
        </w:rPr>
        <w:t xml:space="preserve">ECC Report 121: </w:t>
      </w:r>
      <w:r w:rsidRPr="008D2EA0">
        <w:rPr>
          <w:color w:val="000000"/>
          <w:lang w:val="en-GB"/>
        </w:rPr>
        <w:t>Compatibility studies between Professional Wireless Microphone Systems (PWMS) and other services/systems in the L band</w:t>
      </w:r>
      <w:bookmarkEnd w:id="258"/>
    </w:p>
    <w:p w:rsidR="008A54FC" w:rsidRPr="008D2EA0" w:rsidRDefault="008A54FC" w:rsidP="008A54FC">
      <w:pPr>
        <w:pStyle w:val="ECCParagraph"/>
      </w:pPr>
    </w:p>
    <w:sectPr w:rsidR="008A54FC" w:rsidRPr="008D2EA0" w:rsidSect="008A54FC">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456" w:rsidRDefault="00FB0456" w:rsidP="008A54FC">
      <w:r>
        <w:separator/>
      </w:r>
    </w:p>
  </w:endnote>
  <w:endnote w:type="continuationSeparator" w:id="0">
    <w:p w:rsidR="00FB0456" w:rsidRDefault="00FB0456"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Times New Roman"/>
    <w:charset w:val="59"/>
    <w:family w:val="auto"/>
    <w:pitch w:val="variable"/>
    <w:sig w:usb0="00000201" w:usb1="00000000" w:usb2="00000000" w:usb3="00000000" w:csb0="00000004"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56" w:rsidRDefault="00FB0456">
    <w:pPr>
      <w:pStyle w:val="Footer"/>
      <w:rPr>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456" w:rsidRDefault="00FB0456" w:rsidP="008A54FC">
      <w:r>
        <w:separator/>
      </w:r>
    </w:p>
  </w:footnote>
  <w:footnote w:type="continuationSeparator" w:id="0">
    <w:p w:rsidR="00FB0456" w:rsidRDefault="00FB0456" w:rsidP="008A54FC">
      <w:r>
        <w:continuationSeparator/>
      </w:r>
    </w:p>
  </w:footnote>
  <w:footnote w:id="1">
    <w:p w:rsidR="00FB0456" w:rsidRPr="008D5C8D" w:rsidRDefault="00FB0456" w:rsidP="00B66CCF">
      <w:pPr>
        <w:pStyle w:val="ECCFootnote"/>
      </w:pPr>
      <w:r>
        <w:rPr>
          <w:rStyle w:val="FootnoteReference"/>
        </w:rPr>
        <w:footnoteRef/>
      </w:r>
      <w:r>
        <w:t xml:space="preserve"> </w:t>
      </w:r>
      <w:r w:rsidRPr="00E11B33">
        <w:rPr>
          <w:iCs/>
        </w:rPr>
        <w:t>Mobile  Supplemental Downlink (Mobile SDL) is a feature</w:t>
      </w:r>
      <w:r w:rsidRPr="00E11B33">
        <w:t xml:space="preserve"> within a mobile broadband  system, which by means of base station transmitters in the network, is able to use unpaired spectrum to provide a supplemental downlink capacity to carry efficiently comprehensive text, voice, images, sound and video content in unicasting, multicasting and/or broadcasting mode to mobile devices. Mobile SDL uses a wider channel for the downlink than for the uplink, by bonding the usual downlink of the paired (FDD) mobile bands with a supplemental downlink channel(s).</w:t>
      </w:r>
    </w:p>
  </w:footnote>
  <w:footnote w:id="2">
    <w:p w:rsidR="00FB0456" w:rsidRPr="00E11B33" w:rsidRDefault="00FB0456" w:rsidP="002C6EFE">
      <w:pPr>
        <w:pStyle w:val="FootnoteText"/>
        <w:jc w:val="both"/>
        <w:rPr>
          <w:rFonts w:cs="Arial"/>
          <w:sz w:val="16"/>
          <w:szCs w:val="16"/>
        </w:rPr>
      </w:pPr>
      <w:r w:rsidRPr="00E11B33">
        <w:rPr>
          <w:rStyle w:val="FootnoteReference"/>
          <w:rFonts w:cs="Arial"/>
          <w:sz w:val="16"/>
          <w:szCs w:val="16"/>
        </w:rPr>
        <w:footnoteRef/>
      </w:r>
      <w:r w:rsidRPr="00E11B33">
        <w:rPr>
          <w:rFonts w:cs="Arial"/>
          <w:sz w:val="16"/>
          <w:szCs w:val="16"/>
        </w:rPr>
        <w:t xml:space="preserve"> In the meantime, Administrations will have the possibility to register terrestrial stations of the SDL mobile service in the MIFR in order to ensure protection of MFCN from satellite interference through the ITU coordination procedure.</w:t>
      </w:r>
    </w:p>
  </w:footnote>
  <w:footnote w:id="3">
    <w:p w:rsidR="00FB0456" w:rsidRPr="003B4E87" w:rsidRDefault="00FB0456" w:rsidP="00B66CCF">
      <w:pPr>
        <w:pStyle w:val="ECCFootnote"/>
      </w:pPr>
      <w:r w:rsidRPr="003B4E87">
        <w:rPr>
          <w:rStyle w:val="FootnoteReference"/>
        </w:rPr>
        <w:footnoteRef/>
      </w:r>
      <w:r w:rsidRPr="003B4E87">
        <w:t xml:space="preserve"> See FM(11)038 Rev2. http://www.ero.dk/764D6AAF-6354-49CD-B981-FA4B46AF493E.W5Doc?frames=no&amp;frames=0</w:t>
      </w:r>
    </w:p>
  </w:footnote>
  <w:footnote w:id="4">
    <w:p w:rsidR="00FB0456" w:rsidRDefault="00FB0456" w:rsidP="00B66CCF">
      <w:pPr>
        <w:pStyle w:val="ECCFootnote"/>
      </w:pPr>
      <w:r>
        <w:rPr>
          <w:rStyle w:val="FootnoteReference"/>
        </w:rPr>
        <w:footnoteRef/>
      </w:r>
      <w:r>
        <w:t xml:space="preserve"> See for example: </w:t>
      </w:r>
      <w:hyperlink r:id="rId1" w:history="1">
        <w:r w:rsidRPr="0057482D">
          <w:rPr>
            <w:rStyle w:val="Hyperlink"/>
          </w:rPr>
          <w:t>www.obs.coe.int/about/oea/pr/mavise_juin2011.html</w:t>
        </w:r>
      </w:hyperlink>
    </w:p>
  </w:footnote>
  <w:footnote w:id="5">
    <w:p w:rsidR="00FB0456" w:rsidRDefault="00FB0456" w:rsidP="00B66CCF">
      <w:pPr>
        <w:pStyle w:val="ECCFootnote"/>
      </w:pPr>
      <w:r>
        <w:rPr>
          <w:rStyle w:val="FootnoteReference"/>
        </w:rPr>
        <w:footnoteRef/>
      </w:r>
      <w:r>
        <w:t xml:space="preserve"> See R</w:t>
      </w:r>
      <w:r>
        <w:rPr>
          <w:lang w:val="sv-SE"/>
        </w:rPr>
        <w:t xml:space="preserve">eport ITU-R M.2243 </w:t>
      </w:r>
      <w:r>
        <w:rPr>
          <w:lang w:val="sv-SE"/>
        </w:rPr>
        <w:fldChar w:fldCharType="begin"/>
      </w:r>
      <w:r>
        <w:rPr>
          <w:lang w:val="sv-SE"/>
        </w:rPr>
        <w:instrText xml:space="preserve"> REF _Ref330509395 \r \h </w:instrText>
      </w:r>
      <w:r>
        <w:rPr>
          <w:lang w:val="sv-SE"/>
        </w:rPr>
      </w:r>
      <w:r>
        <w:rPr>
          <w:lang w:val="sv-SE"/>
        </w:rPr>
        <w:fldChar w:fldCharType="separate"/>
      </w:r>
      <w:r w:rsidR="00E73FF2">
        <w:rPr>
          <w:lang w:val="sv-SE"/>
        </w:rPr>
        <w:t>[9]</w:t>
      </w:r>
      <w:r>
        <w:rPr>
          <w:lang w:val="sv-SE"/>
        </w:rPr>
        <w:fldChar w:fldCharType="end"/>
      </w:r>
      <w:r>
        <w:rPr>
          <w:lang w:val="sv-SE"/>
        </w:rPr>
        <w:t>.</w:t>
      </w:r>
    </w:p>
  </w:footnote>
  <w:footnote w:id="6">
    <w:p w:rsidR="00FB0456" w:rsidRDefault="00FB0456" w:rsidP="006D1BB1">
      <w:pPr>
        <w:pStyle w:val="FootnoteText"/>
        <w:rPr>
          <w:sz w:val="16"/>
          <w:szCs w:val="16"/>
        </w:rPr>
      </w:pPr>
      <w:r>
        <w:rPr>
          <w:rStyle w:val="FootnoteReference"/>
          <w:sz w:val="16"/>
          <w:szCs w:val="16"/>
        </w:rPr>
        <w:footnoteRef/>
      </w:r>
      <w:r>
        <w:rPr>
          <w:sz w:val="16"/>
          <w:szCs w:val="16"/>
        </w:rPr>
        <w:t xml:space="preserve"> See Document RSCom 12-06 </w:t>
      </w:r>
      <w:r w:rsidRPr="00FE2D9C">
        <w:rPr>
          <w:sz w:val="16"/>
          <w:szCs w:val="16"/>
        </w:rPr>
        <w:t>Spectrum assignments in EU-27 as of 1 January 2012 – an overview</w:t>
      </w:r>
      <w:r>
        <w:rPr>
          <w:sz w:val="16"/>
          <w:szCs w:val="16"/>
        </w:rPr>
        <w:t xml:space="preserve"> </w:t>
      </w:r>
      <w:r>
        <w:rPr>
          <w:sz w:val="16"/>
          <w:szCs w:val="16"/>
        </w:rPr>
        <w:fldChar w:fldCharType="begin"/>
      </w:r>
      <w:r>
        <w:rPr>
          <w:sz w:val="16"/>
          <w:szCs w:val="16"/>
        </w:rPr>
        <w:instrText xml:space="preserve"> REF _Ref330509428 \r \h </w:instrText>
      </w:r>
      <w:r>
        <w:rPr>
          <w:sz w:val="16"/>
          <w:szCs w:val="16"/>
        </w:rPr>
      </w:r>
      <w:r>
        <w:rPr>
          <w:sz w:val="16"/>
          <w:szCs w:val="16"/>
        </w:rPr>
        <w:fldChar w:fldCharType="separate"/>
      </w:r>
      <w:r w:rsidR="00E73FF2">
        <w:rPr>
          <w:sz w:val="16"/>
          <w:szCs w:val="16"/>
        </w:rPr>
        <w:t>[10]</w:t>
      </w:r>
      <w:r>
        <w:rPr>
          <w:sz w:val="16"/>
          <w:szCs w:val="16"/>
        </w:rPr>
        <w:fldChar w:fldCharType="end"/>
      </w:r>
      <w:r>
        <w:rPr>
          <w:sz w:val="16"/>
          <w:szCs w:val="16"/>
        </w:rPr>
        <w:t>.</w:t>
      </w:r>
    </w:p>
  </w:footnote>
  <w:footnote w:id="7">
    <w:p w:rsidR="00FB0456" w:rsidRDefault="00FB0456" w:rsidP="006D1BB1">
      <w:pPr>
        <w:pStyle w:val="FootnoteText"/>
        <w:rPr>
          <w:lang w:val="en-GB"/>
        </w:rPr>
      </w:pPr>
      <w:r>
        <w:rPr>
          <w:rStyle w:val="FootnoteReference"/>
        </w:rPr>
        <w:footnoteRef/>
      </w:r>
      <w:r>
        <w:t xml:space="preserve"> </w:t>
      </w:r>
      <w:r w:rsidRPr="00A81E2F">
        <w:rPr>
          <w:sz w:val="16"/>
          <w:szCs w:val="16"/>
          <w:lang w:val="en-GB"/>
        </w:rPr>
        <w:t>See</w:t>
      </w:r>
      <w:r>
        <w:rPr>
          <w:sz w:val="16"/>
          <w:szCs w:val="16"/>
          <w:lang w:val="en-GB"/>
        </w:rPr>
        <w:t xml:space="preserve"> </w:t>
      </w:r>
      <w:r w:rsidRPr="00FE2D9C">
        <w:rPr>
          <w:sz w:val="16"/>
          <w:szCs w:val="16"/>
          <w:lang w:val="en-GB"/>
        </w:rPr>
        <w:t>the study on the economic benefits of an SDL in 1452-1492 MHz (</w:t>
      </w:r>
      <w:hyperlink r:id="rId2" w:history="1">
        <w:r w:rsidRPr="00D363BA">
          <w:rPr>
            <w:rStyle w:val="Hyperlink"/>
            <w:sz w:val="16"/>
            <w:szCs w:val="16"/>
            <w:lang w:val="en-GB"/>
          </w:rPr>
          <w:t>http://www.plumconsulting.co.uk/pdfs/Plum_June2011_Benefits_of_1.4GHz_spectrum_for_multimedia_services.pdf</w:t>
        </w:r>
      </w:hyperlink>
      <w:r>
        <w:rPr>
          <w:sz w:val="16"/>
          <w:szCs w:val="16"/>
          <w:lang w:val="en-GB"/>
        </w:rPr>
        <w:t xml:space="preserve"> </w:t>
      </w:r>
      <w:r>
        <w:rPr>
          <w:sz w:val="16"/>
          <w:szCs w:val="16"/>
          <w:lang w:val="en-GB"/>
        </w:rPr>
        <w:fldChar w:fldCharType="begin"/>
      </w:r>
      <w:r>
        <w:rPr>
          <w:sz w:val="16"/>
          <w:szCs w:val="16"/>
          <w:lang w:val="en-GB"/>
        </w:rPr>
        <w:instrText xml:space="preserve"> REF _Ref330509697 \r \h </w:instrText>
      </w:r>
      <w:r>
        <w:rPr>
          <w:sz w:val="16"/>
          <w:szCs w:val="16"/>
          <w:lang w:val="en-GB"/>
        </w:rPr>
      </w:r>
      <w:r>
        <w:rPr>
          <w:sz w:val="16"/>
          <w:szCs w:val="16"/>
          <w:lang w:val="en-GB"/>
        </w:rPr>
        <w:fldChar w:fldCharType="separate"/>
      </w:r>
      <w:r w:rsidR="00E73FF2">
        <w:rPr>
          <w:sz w:val="16"/>
          <w:szCs w:val="16"/>
          <w:lang w:val="en-GB"/>
        </w:rPr>
        <w:t>[11]</w:t>
      </w:r>
      <w:r>
        <w:rPr>
          <w:sz w:val="16"/>
          <w:szCs w:val="16"/>
          <w:lang w:val="en-GB"/>
        </w:rPr>
        <w:fldChar w:fldCharType="end"/>
      </w:r>
    </w:p>
  </w:footnote>
  <w:footnote w:id="8">
    <w:p w:rsidR="00FB0456" w:rsidRDefault="00FB0456" w:rsidP="00B66CCF">
      <w:pPr>
        <w:pStyle w:val="ECCFootnote"/>
      </w:pPr>
      <w:r>
        <w:rPr>
          <w:rStyle w:val="FootnoteReference"/>
        </w:rPr>
        <w:footnoteRef/>
      </w:r>
      <w:r>
        <w:t xml:space="preserve"> </w:t>
      </w:r>
      <w:r>
        <w:rPr>
          <w:i/>
          <w:lang w:val="en-GB"/>
        </w:rPr>
        <w:t>Programme</w:t>
      </w:r>
      <w:r>
        <w:rPr>
          <w:i/>
        </w:rPr>
        <w:t xml:space="preserve"> Making</w:t>
      </w:r>
      <w:r>
        <w:t xml:space="preserve"> includes the making of a </w:t>
      </w:r>
      <w:r>
        <w:rPr>
          <w:lang w:val="en-GB"/>
        </w:rPr>
        <w:t>programme</w:t>
      </w:r>
      <w:r>
        <w:t xml:space="preserve"> for broadcast, the making of a film, presentation, advertisement or audio or video recordings, and the staging or performance of an entertainment, sporting or other public event.</w:t>
      </w:r>
    </w:p>
  </w:footnote>
  <w:footnote w:id="9">
    <w:p w:rsidR="00FB0456" w:rsidRDefault="00FB0456" w:rsidP="00B66CCF">
      <w:pPr>
        <w:pStyle w:val="ECCFootnote"/>
      </w:pPr>
      <w:r>
        <w:rPr>
          <w:rStyle w:val="FootnoteReference"/>
        </w:rPr>
        <w:footnoteRef/>
      </w:r>
      <w:r>
        <w:t xml:space="preserve"> A </w:t>
      </w:r>
      <w:r>
        <w:rPr>
          <w:i/>
        </w:rPr>
        <w:t>Special Event</w:t>
      </w:r>
      <w:r>
        <w:t xml:space="preserve">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10">
    <w:p w:rsidR="00FB0456" w:rsidRDefault="00FB0456" w:rsidP="00B66CCF">
      <w:pPr>
        <w:pStyle w:val="ECCFootnote"/>
      </w:pPr>
      <w:r>
        <w:rPr>
          <w:rStyle w:val="FootnoteReference"/>
        </w:rPr>
        <w:footnoteRef/>
      </w:r>
      <w:r>
        <w:t xml:space="preserve"> For further information see the ECC Report 002 </w:t>
      </w:r>
      <w:r>
        <w:fldChar w:fldCharType="begin"/>
      </w:r>
      <w:r>
        <w:instrText xml:space="preserve"> REF _Ref330511195 \r \h </w:instrText>
      </w:r>
      <w:r>
        <w:fldChar w:fldCharType="separate"/>
      </w:r>
      <w:r w:rsidR="00E73FF2">
        <w:t>[12]</w:t>
      </w:r>
      <w:r>
        <w:fldChar w:fldCharType="end"/>
      </w:r>
    </w:p>
  </w:footnote>
  <w:footnote w:id="11">
    <w:p w:rsidR="00FB0456" w:rsidRDefault="00FB0456" w:rsidP="00B66CCF">
      <w:pPr>
        <w:pStyle w:val="ECCFootnote"/>
      </w:pPr>
      <w:r>
        <w:rPr>
          <w:rStyle w:val="FootnoteReference"/>
        </w:rPr>
        <w:footnoteRef/>
      </w:r>
      <w:r>
        <w:t xml:space="preserve"> For further information see the EN 300 422 </w:t>
      </w:r>
      <w:r>
        <w:fldChar w:fldCharType="begin"/>
      </w:r>
      <w:r>
        <w:instrText xml:space="preserve"> REF _Ref330511420 \r \h </w:instrText>
      </w:r>
      <w:r>
        <w:fldChar w:fldCharType="separate"/>
      </w:r>
      <w:r w:rsidR="00E73FF2">
        <w:t>[13]</w:t>
      </w:r>
      <w:r>
        <w:fldChar w:fldCharType="end"/>
      </w:r>
    </w:p>
  </w:footnote>
  <w:footnote w:id="12">
    <w:p w:rsidR="00FB0456" w:rsidRDefault="00FB0456" w:rsidP="006D1BB1">
      <w:pPr>
        <w:pStyle w:val="FootnoteText"/>
        <w:rPr>
          <w:sz w:val="16"/>
          <w:szCs w:val="16"/>
        </w:rPr>
      </w:pPr>
      <w:r>
        <w:rPr>
          <w:rStyle w:val="FootnoteReference"/>
          <w:sz w:val="16"/>
          <w:szCs w:val="16"/>
        </w:rPr>
        <w:footnoteRef/>
      </w:r>
      <w:r>
        <w:rPr>
          <w:sz w:val="16"/>
          <w:szCs w:val="16"/>
        </w:rPr>
        <w:t xml:space="preserve"> New audio formats require higher resolution, not compressed, from the microphones for storing the signals in highest resolution in order to be able to convert it according to the market needs. The current standard formats (mono or stereo) no longer fulfil the expectations of the listeners. Formats like 5.1 or 7.1 are common for today’s productions. They need more equipment at the production frontend and more RF spectrum to transmit the increasing amount of signals. Audio 5.1 and 7.1 are intermediate steps to a real spatial sound experience for the people at home. The next step on the audio side is as format which offers a much more authentic 3D Audio experience.</w:t>
      </w:r>
    </w:p>
  </w:footnote>
  <w:footnote w:id="13">
    <w:p w:rsidR="00FB0456" w:rsidRDefault="00FB0456" w:rsidP="00B66CCF">
      <w:pPr>
        <w:pStyle w:val="ECCFootnote"/>
      </w:pPr>
      <w:r>
        <w:rPr>
          <w:rStyle w:val="FootnoteReference"/>
        </w:rPr>
        <w:footnoteRef/>
      </w:r>
      <w:r>
        <w:t xml:space="preserve"> </w:t>
      </w:r>
      <w:r>
        <w:tab/>
        <w:t>“ECC has received several request for addressing requirement for Public Safety and Security (PSS) wireless communication systems (e.g. from ETSI and from PSCE Forum). The safety and security community needs access to wideband and broadband services such as video and has specific requirements in terms of priority, availability or security. Spectrum harmonization of PSS wireless communication systems will require a long term effort from ECC and relevant CEPT Administrations at national level, but ECC has to face this challenge of facilitating public safety and security operations in Europe. CEPT ECC shall consider future requirements for access to spectrum for PPDR, the need for harmonization of use and shall identify resources accordingly.”</w:t>
      </w:r>
    </w:p>
  </w:footnote>
  <w:footnote w:id="14">
    <w:p w:rsidR="00FB0456" w:rsidRDefault="00FB0456" w:rsidP="00B66CCF">
      <w:pPr>
        <w:pStyle w:val="ECCFootnote"/>
      </w:pPr>
      <w:r>
        <w:rPr>
          <w:rStyle w:val="FootnoteReference"/>
        </w:rPr>
        <w:footnoteRef/>
      </w:r>
      <w:r>
        <w:rPr>
          <w:rStyle w:val="FootnoteReference"/>
        </w:rPr>
        <w:t xml:space="preserve"> </w:t>
      </w:r>
      <w:r>
        <w:t xml:space="preserve">A press release on trial flight: </w:t>
      </w:r>
      <w:hyperlink r:id="rId3" w:history="1">
        <w:r>
          <w:rPr>
            <w:rStyle w:val="Hyperlink"/>
          </w:rPr>
          <w:t>http://www.telekom.com/media/company/107626</w:t>
        </w:r>
      </w:hyperlink>
      <w:r>
        <w:t xml:space="preserve"> </w:t>
      </w:r>
    </w:p>
  </w:footnote>
  <w:footnote w:id="15">
    <w:p w:rsidR="00FB0456" w:rsidRPr="00D14A19" w:rsidRDefault="00FB0456" w:rsidP="009F6C71">
      <w:pPr>
        <w:ind w:left="142" w:hanging="142"/>
      </w:pPr>
      <w:r w:rsidRPr="00D14A19">
        <w:rPr>
          <w:rStyle w:val="FootnoteReference"/>
          <w:sz w:val="16"/>
          <w:szCs w:val="16"/>
        </w:rPr>
        <w:footnoteRef/>
      </w:r>
      <w:r w:rsidRPr="00D14A19">
        <w:rPr>
          <w:sz w:val="16"/>
          <w:szCs w:val="16"/>
        </w:rPr>
        <w:t xml:space="preserve"> </w:t>
      </w:r>
      <w:hyperlink r:id="rId4" w:history="1">
        <w:r w:rsidRPr="007B2D5B">
          <w:rPr>
            <w:rStyle w:val="Hyperlink"/>
            <w:rFonts w:cs="Arial"/>
            <w:sz w:val="16"/>
            <w:szCs w:val="16"/>
          </w:rPr>
          <w:t>http://www.gogoair.com/gogo/cms/airlines.do</w:t>
        </w:r>
      </w:hyperlink>
      <w:r w:rsidRPr="00D14A19">
        <w:rPr>
          <w:rFonts w:cs="Arial"/>
          <w:sz w:val="16"/>
          <w:szCs w:val="16"/>
        </w:rPr>
        <w:t xml:space="preserve">; </w:t>
      </w:r>
      <w:r>
        <w:rPr>
          <w:rFonts w:cs="Arial"/>
          <w:sz w:val="16"/>
          <w:szCs w:val="16"/>
        </w:rPr>
        <w:br/>
      </w:r>
      <w:hyperlink r:id="rId5" w:history="1">
        <w:r w:rsidRPr="00D14A19">
          <w:rPr>
            <w:rStyle w:val="Hyperlink"/>
            <w:rFonts w:cs="Arial"/>
            <w:sz w:val="16"/>
            <w:szCs w:val="16"/>
          </w:rPr>
          <w:t>http://pr.gogoair.com/press-room/2012/03/gogo-installed-1500th-commercial-aircraft</w:t>
        </w:r>
      </w:hyperlink>
      <w:r>
        <w:rPr>
          <w:rFonts w:cs="Arial"/>
          <w:sz w:val="16"/>
          <w:szCs w:val="16"/>
        </w:rPr>
        <w:t xml:space="preserve"> </w:t>
      </w:r>
    </w:p>
  </w:footnote>
  <w:footnote w:id="16">
    <w:p w:rsidR="00FB0456" w:rsidRDefault="00FB0456" w:rsidP="00B66CCF">
      <w:pPr>
        <w:pStyle w:val="ECCFootnote"/>
      </w:pPr>
      <w:r>
        <w:rPr>
          <w:rStyle w:val="FootnoteReference"/>
          <w:szCs w:val="16"/>
        </w:rPr>
        <w:footnoteRef/>
      </w:r>
      <w:r>
        <w:t xml:space="preserve"> </w:t>
      </w:r>
      <w:r>
        <w:rPr>
          <w:rFonts w:eastAsia="MS Mincho"/>
          <w:lang w:eastAsia="ja-JP"/>
        </w:rPr>
        <w:t>http://www.eurocontrol.int/statfor/public/subsite_homepage/homepage.html</w:t>
      </w:r>
    </w:p>
  </w:footnote>
  <w:footnote w:id="17">
    <w:p w:rsidR="00FB0456" w:rsidRDefault="00FB0456" w:rsidP="00B66CCF">
      <w:pPr>
        <w:pStyle w:val="ECCFootnote"/>
      </w:pPr>
      <w:r>
        <w:rPr>
          <w:rStyle w:val="FootnoteReference"/>
        </w:rPr>
        <w:footnoteRef/>
      </w:r>
      <w:r>
        <w:rPr>
          <w:rStyle w:val="FootnoteReference"/>
        </w:rPr>
        <w:t xml:space="preserve"> </w:t>
      </w:r>
      <w:r>
        <w:t xml:space="preserve">See document FM50(12)017_Air_passenger_survey_results at </w:t>
      </w:r>
      <w:hyperlink r:id="rId6" w:history="1">
        <w:r>
          <w:rPr>
            <w:rStyle w:val="Hyperlink"/>
          </w:rPr>
          <w:t>http://www.cept.org/ecc/groups/ecc/wg-fm/fm-</w:t>
        </w:r>
        <w:r>
          <w:br/>
        </w:r>
        <w:r>
          <w:rPr>
            <w:rStyle w:val="Hyperlink"/>
          </w:rPr>
          <w:t>50/client/meeting-documents</w:t>
        </w:r>
      </w:hyperlink>
      <w:r>
        <w:t xml:space="preserve">; 2012; M5 – 6-9 March; Input documents </w:t>
      </w:r>
    </w:p>
  </w:footnote>
  <w:footnote w:id="18">
    <w:p w:rsidR="00FB0456" w:rsidRDefault="00FB0456" w:rsidP="00B66CCF">
      <w:pPr>
        <w:pStyle w:val="ECCFootnote"/>
      </w:pPr>
      <w:r>
        <w:rPr>
          <w:rStyle w:val="FootnoteReference"/>
        </w:rPr>
        <w:footnoteRef/>
      </w:r>
      <w:r>
        <w:t xml:space="preserve"> See Minutes of the 73rd WG FM Meeting, FM(11)202_Minutes of 73WGFM_Lille_2011: The amount of spectrum for this radio application is considered independent from the number of system proposals.</w:t>
      </w:r>
    </w:p>
  </w:footnote>
  <w:footnote w:id="19">
    <w:p w:rsidR="00FB0456" w:rsidRPr="00D34BD6" w:rsidRDefault="00FB0456" w:rsidP="00E709FD">
      <w:pPr>
        <w:pStyle w:val="FootnoteText"/>
        <w:rPr>
          <w:lang w:val="en-GB"/>
        </w:rPr>
      </w:pPr>
      <w:r w:rsidRPr="00D670DD">
        <w:rPr>
          <w:rStyle w:val="FootnoteReference"/>
          <w:sz w:val="16"/>
          <w:szCs w:val="24"/>
        </w:rPr>
        <w:footnoteRef/>
      </w:r>
      <w:r>
        <w:t xml:space="preserve"> </w:t>
      </w:r>
      <w:r w:rsidRPr="00D34BD6">
        <w:rPr>
          <w:sz w:val="16"/>
          <w:szCs w:val="16"/>
        </w:rPr>
        <w:t>“Administrations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footnote>
  <w:footnote w:id="20">
    <w:p w:rsidR="00FB0456" w:rsidRDefault="00FB0456" w:rsidP="00B66CCF">
      <w:pPr>
        <w:pStyle w:val="ECCFootnote"/>
        <w:rPr>
          <w:lang w:val="en-GB"/>
        </w:rPr>
      </w:pPr>
      <w:r>
        <w:rPr>
          <w:rStyle w:val="FootnoteReference"/>
        </w:rPr>
        <w:footnoteRef/>
      </w:r>
      <w:r>
        <w:t xml:space="preserve"> Conducted by IFOP-Gallup in 2002, Harris Interactive in 2005 and 2006, and by QualiQuanti in Sept 2009 – source RNP Forum</w:t>
      </w:r>
    </w:p>
  </w:footnote>
  <w:footnote w:id="21">
    <w:p w:rsidR="00FB0456" w:rsidRDefault="00FB0456" w:rsidP="00100C51">
      <w:pPr>
        <w:pStyle w:val="FootnoteText"/>
        <w:rPr>
          <w:lang w:val="en-GB"/>
        </w:rPr>
      </w:pPr>
      <w:r w:rsidRPr="00D670DD">
        <w:rPr>
          <w:rStyle w:val="FootnoteReference"/>
          <w:sz w:val="16"/>
          <w:szCs w:val="24"/>
        </w:rPr>
        <w:footnoteRef/>
      </w:r>
      <w:r>
        <w:rPr>
          <w:lang w:val="en-GB"/>
        </w:rPr>
        <w:t xml:space="preserve"> </w:t>
      </w:r>
      <w:r w:rsidRPr="00472019">
        <w:rPr>
          <w:sz w:val="16"/>
          <w:szCs w:val="16"/>
          <w:lang w:val="en-GB"/>
        </w:rPr>
        <w:t>See document FM50(12)INFO 007 for the details.</w:t>
      </w:r>
    </w:p>
  </w:footnote>
  <w:footnote w:id="22">
    <w:p w:rsidR="00FB0456" w:rsidRDefault="00FB0456" w:rsidP="00100C51">
      <w:pPr>
        <w:pStyle w:val="FootnoteText"/>
        <w:rPr>
          <w:rFonts w:cs="Arial"/>
          <w:sz w:val="16"/>
          <w:szCs w:val="16"/>
        </w:rPr>
      </w:pPr>
      <w:r>
        <w:rPr>
          <w:rStyle w:val="FootnoteReference"/>
          <w:sz w:val="16"/>
          <w:szCs w:val="16"/>
        </w:rPr>
        <w:footnoteRef/>
      </w:r>
      <w:r>
        <w:rPr>
          <w:rFonts w:cs="Arial"/>
          <w:sz w:val="16"/>
          <w:szCs w:val="16"/>
        </w:rPr>
        <w:t xml:space="preserve"> See FM50(11)52</w:t>
      </w:r>
    </w:p>
  </w:footnote>
  <w:footnote w:id="23">
    <w:p w:rsidR="00FB0456" w:rsidRDefault="00FB0456" w:rsidP="00100C51">
      <w:pPr>
        <w:pStyle w:val="FootnoteText"/>
        <w:jc w:val="both"/>
        <w:rPr>
          <w:rFonts w:cs="Arial"/>
          <w:sz w:val="16"/>
          <w:szCs w:val="16"/>
        </w:rPr>
      </w:pPr>
      <w:r>
        <w:rPr>
          <w:rStyle w:val="FootnoteReference"/>
          <w:rFonts w:cs="Arial"/>
          <w:sz w:val="16"/>
          <w:szCs w:val="16"/>
        </w:rPr>
        <w:footnoteRef/>
      </w:r>
      <w:r>
        <w:rPr>
          <w:rFonts w:cs="Arial"/>
          <w:sz w:val="16"/>
          <w:szCs w:val="16"/>
        </w:rPr>
        <w:t xml:space="preserve"> </w:t>
      </w:r>
      <w:r>
        <w:rPr>
          <w:rFonts w:cs="Arial"/>
          <w:i/>
          <w:sz w:val="16"/>
          <w:szCs w:val="16"/>
        </w:rPr>
        <w:t xml:space="preserve">Global Mobile Data Traffic Forecast update, 2011-2016, </w:t>
      </w:r>
      <w:r>
        <w:rPr>
          <w:rFonts w:cs="Arial"/>
          <w:sz w:val="16"/>
          <w:szCs w:val="16"/>
        </w:rPr>
        <w:t>Cisco, February 2012.</w:t>
      </w:r>
    </w:p>
  </w:footnote>
  <w:footnote w:id="24">
    <w:p w:rsidR="00FB0456" w:rsidRDefault="00FB0456" w:rsidP="00100C51">
      <w:pPr>
        <w:pStyle w:val="FootnoteText"/>
        <w:rPr>
          <w:rFonts w:cs="Arial"/>
          <w:sz w:val="16"/>
          <w:szCs w:val="16"/>
        </w:rPr>
      </w:pPr>
      <w:r>
        <w:rPr>
          <w:rStyle w:val="FootnoteReference"/>
          <w:rFonts w:cs="Arial"/>
          <w:sz w:val="16"/>
          <w:szCs w:val="16"/>
        </w:rPr>
        <w:footnoteRef/>
      </w:r>
      <w:r>
        <w:rPr>
          <w:rFonts w:cs="Arial"/>
          <w:sz w:val="16"/>
          <w:szCs w:val="16"/>
        </w:rPr>
        <w:t xml:space="preserve"> See FM50(11)52</w:t>
      </w:r>
    </w:p>
  </w:footnote>
  <w:footnote w:id="25">
    <w:p w:rsidR="00FB0456" w:rsidRDefault="00FB0456" w:rsidP="00100C51">
      <w:pPr>
        <w:pStyle w:val="FootnoteText"/>
        <w:rPr>
          <w:rFonts w:ascii="Calibri" w:hAnsi="Calibri"/>
        </w:rPr>
      </w:pPr>
      <w:r>
        <w:rPr>
          <w:rStyle w:val="FootnoteReference"/>
          <w:rFonts w:cs="Arial"/>
          <w:sz w:val="16"/>
          <w:szCs w:val="16"/>
        </w:rPr>
        <w:footnoteRef/>
      </w:r>
      <w:hyperlink r:id="rId7" w:history="1">
        <w:r w:rsidRPr="00784A49">
          <w:rPr>
            <w:rStyle w:val="Hyperlink"/>
            <w:rFonts w:cs="Arial"/>
            <w:sz w:val="16"/>
            <w:szCs w:val="16"/>
          </w:rPr>
          <w:t>http://www.plumconsulting.co.uk/pdfs/Plum_June2011_Benefits_of_1.4 GHz_spectrum_for_multimedia_services.pdf</w:t>
        </w:r>
      </w:hyperlink>
      <w:r>
        <w:rPr>
          <w:rFonts w:cs="Arial"/>
          <w:sz w:val="16"/>
          <w:szCs w:val="16"/>
        </w:rPr>
        <w:t xml:space="preserve"> </w:t>
      </w:r>
      <w:r>
        <w:rPr>
          <w:rFonts w:cs="Arial"/>
          <w:sz w:val="16"/>
          <w:szCs w:val="16"/>
        </w:rPr>
        <w:fldChar w:fldCharType="begin"/>
      </w:r>
      <w:r>
        <w:rPr>
          <w:rFonts w:cs="Arial"/>
          <w:sz w:val="16"/>
          <w:szCs w:val="16"/>
        </w:rPr>
        <w:instrText xml:space="preserve"> REF _Ref330509697 \r \h </w:instrText>
      </w:r>
      <w:r>
        <w:rPr>
          <w:rFonts w:cs="Arial"/>
          <w:sz w:val="16"/>
          <w:szCs w:val="16"/>
        </w:rPr>
      </w:r>
      <w:r>
        <w:rPr>
          <w:rFonts w:cs="Arial"/>
          <w:sz w:val="16"/>
          <w:szCs w:val="16"/>
        </w:rPr>
        <w:fldChar w:fldCharType="separate"/>
      </w:r>
      <w:r w:rsidR="00E73FF2">
        <w:rPr>
          <w:rFonts w:cs="Arial"/>
          <w:sz w:val="16"/>
          <w:szCs w:val="16"/>
        </w:rPr>
        <w:t>[11]</w:t>
      </w:r>
      <w:r>
        <w:rPr>
          <w:rFonts w:cs="Arial"/>
          <w:sz w:val="16"/>
          <w:szCs w:val="16"/>
        </w:rPr>
        <w:fldChar w:fldCharType="end"/>
      </w:r>
    </w:p>
  </w:footnote>
  <w:footnote w:id="26">
    <w:p w:rsidR="00FB0456" w:rsidRDefault="00FB0456" w:rsidP="00100C51">
      <w:pPr>
        <w:pStyle w:val="FootnoteText"/>
        <w:rPr>
          <w:rFonts w:cs="Arial"/>
          <w:sz w:val="16"/>
          <w:szCs w:val="16"/>
        </w:rPr>
      </w:pPr>
      <w:r>
        <w:rPr>
          <w:rStyle w:val="FootnoteReference"/>
          <w:sz w:val="16"/>
          <w:szCs w:val="16"/>
        </w:rPr>
        <w:footnoteRef/>
      </w:r>
      <w:r>
        <w:rPr>
          <w:rFonts w:cs="Arial"/>
          <w:sz w:val="16"/>
          <w:szCs w:val="16"/>
        </w:rPr>
        <w:t xml:space="preserve"> Detailed methodology and assumptions are provided in the document referenced in the previous footnote</w:t>
      </w:r>
    </w:p>
  </w:footnote>
  <w:footnote w:id="27">
    <w:p w:rsidR="00FB0456" w:rsidRDefault="00FB0456" w:rsidP="00100C51">
      <w:pPr>
        <w:pStyle w:val="FootnoteText"/>
        <w:rPr>
          <w:rFonts w:ascii="Calibri" w:hAnsi="Calibri"/>
          <w:lang w:val="en-GB"/>
        </w:rPr>
      </w:pPr>
      <w:r w:rsidRPr="00052F6E">
        <w:rPr>
          <w:rStyle w:val="FootnoteReference"/>
          <w:sz w:val="16"/>
          <w:szCs w:val="16"/>
        </w:rPr>
        <w:footnoteRef/>
      </w:r>
      <w:r>
        <w:rPr>
          <w:lang w:val="en-GB"/>
        </w:rPr>
        <w:t xml:space="preserve"> </w:t>
      </w:r>
      <w:r w:rsidRPr="00052F6E">
        <w:rPr>
          <w:rFonts w:cs="Arial"/>
          <w:sz w:val="16"/>
          <w:szCs w:val="16"/>
        </w:rPr>
        <w:t>Per person</w:t>
      </w:r>
    </w:p>
  </w:footnote>
  <w:footnote w:id="28">
    <w:p w:rsidR="00FB0456" w:rsidRPr="00EE2A1C" w:rsidRDefault="00FB0456" w:rsidP="00922F46">
      <w:pPr>
        <w:pStyle w:val="ECCTablenote"/>
        <w:rPr>
          <w:sz w:val="16"/>
          <w:szCs w:val="16"/>
        </w:rPr>
      </w:pPr>
      <w:r w:rsidRPr="00D670DD">
        <w:rPr>
          <w:rStyle w:val="FootnoteReference"/>
          <w:sz w:val="16"/>
          <w:szCs w:val="24"/>
          <w:lang w:val="en-US"/>
        </w:rPr>
        <w:footnoteRef/>
      </w:r>
      <w:r>
        <w:t xml:space="preserve"> </w:t>
      </w:r>
      <w:r w:rsidRPr="00EE2A1C">
        <w:rPr>
          <w:sz w:val="16"/>
          <w:szCs w:val="16"/>
        </w:rPr>
        <w:t xml:space="preserve">Potential markets will exist in Europe and potentially in many countries outside Europe where the 1.4 GHz band can be made available for Mobile SDL (c.f. FM50(11)19).  In addition, service providers will also have the opportunities in the US market for supplying innovative multimedia services as a Mobile SDL is planned there. </w:t>
      </w:r>
    </w:p>
  </w:footnote>
  <w:footnote w:id="29">
    <w:p w:rsidR="00FB0456" w:rsidRDefault="00FB0456" w:rsidP="00B66CCF">
      <w:pPr>
        <w:pStyle w:val="ECCFootnote"/>
      </w:pPr>
      <w:r>
        <w:rPr>
          <w:rStyle w:val="FootnoteReference"/>
        </w:rPr>
        <w:footnoteRef/>
      </w:r>
      <w:r>
        <w:t xml:space="preserve"> The avoided costs model utilised as well as its key assumptions are detailed section 5 and in “Appendix C” of  FM50(11)019.</w:t>
      </w:r>
    </w:p>
  </w:footnote>
  <w:footnote w:id="30">
    <w:p w:rsidR="00FB0456" w:rsidRPr="00A21519" w:rsidRDefault="00FB0456" w:rsidP="00100C51">
      <w:pPr>
        <w:pStyle w:val="FootnoteText"/>
      </w:pPr>
      <w:r w:rsidRPr="00D670DD">
        <w:rPr>
          <w:rStyle w:val="FootnoteReference"/>
          <w:sz w:val="16"/>
          <w:szCs w:val="24"/>
        </w:rPr>
        <w:footnoteRef/>
      </w:r>
      <w:r w:rsidRPr="00A21519">
        <w:t xml:space="preserve"> </w:t>
      </w:r>
      <w:r w:rsidRPr="00EE2A1C">
        <w:rPr>
          <w:sz w:val="16"/>
          <w:szCs w:val="16"/>
        </w:rPr>
        <w:t xml:space="preserve">ETSI SRDoc TR 102 546 </w:t>
      </w:r>
      <w:r w:rsidRPr="00EE2A1C">
        <w:rPr>
          <w:sz w:val="16"/>
          <w:szCs w:val="16"/>
        </w:rPr>
        <w:fldChar w:fldCharType="begin"/>
      </w:r>
      <w:r w:rsidRPr="00EE2A1C">
        <w:rPr>
          <w:sz w:val="16"/>
          <w:szCs w:val="16"/>
        </w:rPr>
        <w:instrText xml:space="preserve"> REF _Ref330511343 \r \h </w:instrText>
      </w:r>
      <w:r>
        <w:rPr>
          <w:sz w:val="16"/>
          <w:szCs w:val="16"/>
        </w:rPr>
        <w:instrText xml:space="preserve"> \* MERGEFORMAT </w:instrText>
      </w:r>
      <w:r w:rsidRPr="00EE2A1C">
        <w:rPr>
          <w:sz w:val="16"/>
          <w:szCs w:val="16"/>
        </w:rPr>
      </w:r>
      <w:r w:rsidRPr="00EE2A1C">
        <w:rPr>
          <w:sz w:val="16"/>
          <w:szCs w:val="16"/>
        </w:rPr>
        <w:fldChar w:fldCharType="separate"/>
      </w:r>
      <w:r w:rsidR="00E73FF2">
        <w:rPr>
          <w:sz w:val="16"/>
          <w:szCs w:val="16"/>
        </w:rPr>
        <w:t>[15]</w:t>
      </w:r>
      <w:r w:rsidRPr="00EE2A1C">
        <w:rPr>
          <w:sz w:val="16"/>
          <w:szCs w:val="16"/>
        </w:rPr>
        <w:fldChar w:fldCharType="end"/>
      </w:r>
    </w:p>
  </w:footnote>
  <w:footnote w:id="31">
    <w:p w:rsidR="00FB0456" w:rsidRPr="00767B5B" w:rsidRDefault="00FB0456" w:rsidP="00100C51">
      <w:pPr>
        <w:pStyle w:val="FootnoteText"/>
        <w:rPr>
          <w:lang w:val="en-GB"/>
        </w:rPr>
      </w:pPr>
      <w:r w:rsidRPr="00D670DD">
        <w:rPr>
          <w:rStyle w:val="FootnoteReference"/>
          <w:sz w:val="16"/>
          <w:szCs w:val="24"/>
        </w:rPr>
        <w:footnoteRef/>
      </w:r>
      <w:r w:rsidRPr="00D92527">
        <w:t xml:space="preserve"> </w:t>
      </w:r>
      <w:r w:rsidRPr="00EE2A1C">
        <w:rPr>
          <w:sz w:val="16"/>
          <w:szCs w:val="16"/>
          <w:lang w:val="en-GB"/>
        </w:rPr>
        <w:t>European Audiovisual Observatory, High Definition chann</w:t>
      </w:r>
      <w:r>
        <w:rPr>
          <w:sz w:val="16"/>
          <w:szCs w:val="16"/>
          <w:lang w:val="en-GB"/>
        </w:rPr>
        <w:t>els in Europe on the up, 2012, M</w:t>
      </w:r>
      <w:r w:rsidRPr="00EE2A1C">
        <w:rPr>
          <w:sz w:val="16"/>
          <w:szCs w:val="16"/>
          <w:lang w:val="en-GB"/>
        </w:rPr>
        <w:t>arch 29</w:t>
      </w:r>
      <w:r w:rsidRPr="00EE2A1C">
        <w:rPr>
          <w:sz w:val="16"/>
          <w:szCs w:val="16"/>
          <w:vertAlign w:val="superscript"/>
          <w:lang w:val="en-GB"/>
        </w:rPr>
        <w:t>th</w:t>
      </w:r>
      <w:r w:rsidRPr="00EE2A1C">
        <w:rPr>
          <w:sz w:val="16"/>
          <w:szCs w:val="16"/>
          <w:lang w:val="en-GB"/>
        </w:rPr>
        <w:t>,</w:t>
      </w:r>
      <w:r w:rsidRPr="00EE2A1C">
        <w:rPr>
          <w:sz w:val="16"/>
          <w:szCs w:val="16"/>
        </w:rPr>
        <w:t xml:space="preserve"> </w:t>
      </w:r>
      <w:hyperlink r:id="rId8" w:history="1">
        <w:r w:rsidRPr="007113D1">
          <w:rPr>
            <w:rStyle w:val="Hyperlink"/>
            <w:sz w:val="16"/>
            <w:szCs w:val="16"/>
            <w:lang w:val="en-GB"/>
          </w:rPr>
          <w:t>http://www.obs.coe.int/about/oea/pr/mavise-miptv2012.html</w:t>
        </w:r>
      </w:hyperlink>
      <w:r>
        <w:rPr>
          <w:sz w:val="16"/>
          <w:szCs w:val="16"/>
          <w:lang w:val="en-GB"/>
        </w:rPr>
        <w:t xml:space="preserve"> </w:t>
      </w:r>
    </w:p>
  </w:footnote>
  <w:footnote w:id="32">
    <w:p w:rsidR="00FB0456" w:rsidRPr="00EE2A1C" w:rsidRDefault="00FB0456" w:rsidP="00100C51">
      <w:pPr>
        <w:pStyle w:val="FootnoteText"/>
        <w:rPr>
          <w:sz w:val="16"/>
          <w:szCs w:val="16"/>
          <w:lang w:val="en-GB"/>
        </w:rPr>
      </w:pPr>
      <w:r w:rsidRPr="00D670DD">
        <w:rPr>
          <w:rStyle w:val="FootnoteReference"/>
          <w:sz w:val="16"/>
          <w:szCs w:val="24"/>
        </w:rPr>
        <w:footnoteRef/>
      </w:r>
      <w:r w:rsidRPr="00261979">
        <w:rPr>
          <w:lang w:val="en-GB"/>
        </w:rPr>
        <w:t xml:space="preserve"> </w:t>
      </w:r>
      <w:r w:rsidRPr="00EE2A1C">
        <w:rPr>
          <w:sz w:val="16"/>
          <w:szCs w:val="16"/>
          <w:lang w:val="en-GB"/>
        </w:rPr>
        <w:t xml:space="preserve">WIK-Report, German published version: </w:t>
      </w:r>
      <w:hyperlink r:id="rId9" w:history="1">
        <w:r w:rsidRPr="007113D1">
          <w:rPr>
            <w:rStyle w:val="Hyperlink"/>
            <w:sz w:val="16"/>
            <w:szCs w:val="16"/>
            <w:lang w:val="en-GB"/>
          </w:rPr>
          <w:t>http://www.bmwi.de/BMWi/Redaktion/PDF/Publikationen/Studien/harmonisierung-ppdr-funkfrequenzen-deutschland-europa-weltweit,property=pdf,bereich=bmwi,sprache=de,rwb=true.pdf</w:t>
        </w:r>
      </w:hyperlink>
      <w:r>
        <w:rPr>
          <w:sz w:val="16"/>
          <w:szCs w:val="16"/>
          <w:lang w:val="en-GB"/>
        </w:rPr>
        <w:t xml:space="preserve"> </w:t>
      </w:r>
    </w:p>
    <w:p w:rsidR="00FB0456" w:rsidRPr="00261979" w:rsidRDefault="00FB0456" w:rsidP="00100C51">
      <w:pPr>
        <w:pStyle w:val="FootnoteText"/>
        <w:rPr>
          <w:lang w:val="en-GB"/>
        </w:rPr>
      </w:pPr>
      <w:r>
        <w:rPr>
          <w:lang w:val="en-GB"/>
        </w:rPr>
        <w:t>.</w:t>
      </w:r>
    </w:p>
  </w:footnote>
  <w:footnote w:id="33">
    <w:p w:rsidR="00FB0456" w:rsidRPr="00D50796" w:rsidRDefault="00FB0456" w:rsidP="00100C51">
      <w:pPr>
        <w:pStyle w:val="FootnoteText"/>
        <w:rPr>
          <w:lang w:val="en-GB"/>
        </w:rPr>
      </w:pPr>
      <w:r w:rsidRPr="00661904">
        <w:rPr>
          <w:rStyle w:val="FootnoteReference"/>
          <w:sz w:val="16"/>
          <w:szCs w:val="16"/>
        </w:rPr>
        <w:footnoteRef/>
      </w:r>
      <w:r w:rsidRPr="00D50796">
        <w:rPr>
          <w:sz w:val="16"/>
          <w:szCs w:val="16"/>
          <w:lang w:val="en-GB"/>
        </w:rPr>
        <w:t xml:space="preserve"> </w:t>
      </w:r>
      <w:r w:rsidRPr="00D50796">
        <w:rPr>
          <w:rFonts w:eastAsia="MS Mincho"/>
          <w:color w:val="0000FF"/>
          <w:sz w:val="16"/>
          <w:szCs w:val="16"/>
          <w:lang w:val="en-GB" w:eastAsia="ja-JP"/>
        </w:rPr>
        <w:t>http://www.eurocontrol.int/statfor/public/subsite_homepage/homepage.html</w:t>
      </w:r>
    </w:p>
  </w:footnote>
  <w:footnote w:id="34">
    <w:p w:rsidR="00FB0456" w:rsidRPr="00066A60" w:rsidRDefault="00FB0456" w:rsidP="00100C51">
      <w:pPr>
        <w:pStyle w:val="FootnoteText"/>
      </w:pPr>
      <w:r w:rsidRPr="00707B2F">
        <w:rPr>
          <w:rStyle w:val="FootnoteReference"/>
          <w:sz w:val="16"/>
          <w:szCs w:val="16"/>
        </w:rPr>
        <w:footnoteRef/>
      </w:r>
      <w:r w:rsidRPr="00066A60">
        <w:rPr>
          <w:sz w:val="16"/>
          <w:szCs w:val="16"/>
        </w:rPr>
        <w:t xml:space="preserve"> IMS research: http://imsresearch.com/news-events/press-template.php?pr_id=1981</w:t>
      </w:r>
    </w:p>
  </w:footnote>
  <w:footnote w:id="35">
    <w:p w:rsidR="00FB0456" w:rsidRPr="00EB36C8" w:rsidRDefault="00FB0456" w:rsidP="00100C51">
      <w:pPr>
        <w:pStyle w:val="FootnoteText"/>
      </w:pPr>
      <w:r w:rsidRPr="00D670DD">
        <w:rPr>
          <w:rStyle w:val="FootnoteReference"/>
          <w:sz w:val="16"/>
          <w:szCs w:val="24"/>
        </w:rPr>
        <w:footnoteRef/>
      </w:r>
      <w:r w:rsidRPr="00EB36C8">
        <w:t xml:space="preserve"> </w:t>
      </w:r>
      <w:hyperlink r:id="rId10" w:history="1">
        <w:r w:rsidRPr="007113D1">
          <w:rPr>
            <w:rStyle w:val="Hyperlink"/>
            <w:sz w:val="16"/>
            <w:szCs w:val="16"/>
          </w:rPr>
          <w:t>http://www.aircell.com/files/brochures/GettingYourBusinessAircraftOnline.pdf</w:t>
        </w:r>
      </w:hyperlink>
      <w:r>
        <w:rPr>
          <w:sz w:val="16"/>
          <w:szCs w:val="16"/>
        </w:rPr>
        <w:t xml:space="preserve"> </w:t>
      </w:r>
    </w:p>
  </w:footnote>
  <w:footnote w:id="36">
    <w:p w:rsidR="00FB0456" w:rsidRDefault="00FB0456" w:rsidP="00100C51">
      <w:pPr>
        <w:pStyle w:val="FootnoteText"/>
        <w:rPr>
          <w:sz w:val="16"/>
          <w:szCs w:val="16"/>
          <w:lang w:val="en-GB"/>
        </w:rPr>
      </w:pPr>
      <w:r w:rsidRPr="00D670DD">
        <w:rPr>
          <w:rStyle w:val="FootnoteReference"/>
          <w:sz w:val="16"/>
          <w:szCs w:val="24"/>
        </w:rPr>
        <w:footnoteRef/>
      </w:r>
      <w:r>
        <w:t xml:space="preserve"> </w:t>
      </w:r>
      <w:r w:rsidRPr="00EB36C8">
        <w:rPr>
          <w:sz w:val="16"/>
          <w:szCs w:val="16"/>
          <w:lang w:val="en-GB"/>
        </w:rPr>
        <w:t xml:space="preserve">Estimations based on information </w:t>
      </w:r>
      <w:r>
        <w:rPr>
          <w:sz w:val="16"/>
          <w:szCs w:val="16"/>
          <w:lang w:val="en-GB"/>
        </w:rPr>
        <w:t xml:space="preserve">publicly </w:t>
      </w:r>
      <w:r w:rsidRPr="00EB36C8">
        <w:rPr>
          <w:sz w:val="16"/>
          <w:szCs w:val="16"/>
          <w:lang w:val="en-GB"/>
        </w:rPr>
        <w:t>avail</w:t>
      </w:r>
      <w:r>
        <w:rPr>
          <w:sz w:val="16"/>
          <w:szCs w:val="16"/>
          <w:lang w:val="en-GB"/>
        </w:rPr>
        <w:t>able:</w:t>
      </w:r>
    </w:p>
    <w:p w:rsidR="00FB0456" w:rsidRPr="00EB36C8" w:rsidRDefault="00FB0456" w:rsidP="00290368">
      <w:pPr>
        <w:pStyle w:val="FootnoteText"/>
        <w:numPr>
          <w:ilvl w:val="0"/>
          <w:numId w:val="29"/>
        </w:numPr>
        <w:rPr>
          <w:sz w:val="16"/>
          <w:szCs w:val="16"/>
          <w:lang w:val="en-GB"/>
        </w:rPr>
      </w:pPr>
      <w:r w:rsidRPr="00EB36C8">
        <w:rPr>
          <w:sz w:val="16"/>
          <w:szCs w:val="16"/>
          <w:lang w:val="en-GB"/>
        </w:rPr>
        <w:t>Boeing: Current Market Outlook 2011-2030</w:t>
      </w:r>
      <w:r>
        <w:rPr>
          <w:sz w:val="16"/>
          <w:szCs w:val="16"/>
          <w:lang w:val="en-GB"/>
        </w:rPr>
        <w:t xml:space="preserve">: </w:t>
      </w:r>
      <w:hyperlink r:id="rId11" w:tooltip="http://www.boeing.com/commercial/cmo/" w:history="1">
        <w:r w:rsidRPr="00EB36C8">
          <w:rPr>
            <w:rStyle w:val="Hyperlink"/>
            <w:sz w:val="16"/>
            <w:szCs w:val="16"/>
            <w:lang w:val="en-GB"/>
          </w:rPr>
          <w:t>http://www.boeing.com/commercial/cmo/</w:t>
        </w:r>
      </w:hyperlink>
    </w:p>
    <w:p w:rsidR="00FB0456" w:rsidRPr="00EB36C8" w:rsidRDefault="00FB0456" w:rsidP="00290368">
      <w:pPr>
        <w:pStyle w:val="FootnoteText"/>
        <w:numPr>
          <w:ilvl w:val="0"/>
          <w:numId w:val="29"/>
        </w:numPr>
        <w:rPr>
          <w:sz w:val="16"/>
          <w:szCs w:val="16"/>
          <w:lang w:val="en-GB"/>
        </w:rPr>
      </w:pPr>
      <w:r w:rsidRPr="00EB36C8">
        <w:rPr>
          <w:sz w:val="16"/>
          <w:szCs w:val="16"/>
          <w:lang w:val="en-GB"/>
        </w:rPr>
        <w:t>Airbus: Global Market Forecast 2011-2030</w:t>
      </w:r>
      <w:r>
        <w:rPr>
          <w:sz w:val="16"/>
          <w:szCs w:val="16"/>
          <w:lang w:val="en-GB"/>
        </w:rPr>
        <w:t xml:space="preserve">: </w:t>
      </w:r>
      <w:hyperlink r:id="rId12" w:tooltip="http://www.airbus.com/company/market/forecast/" w:history="1">
        <w:r w:rsidRPr="00EB36C8">
          <w:rPr>
            <w:rStyle w:val="Hyperlink"/>
            <w:sz w:val="16"/>
            <w:szCs w:val="16"/>
            <w:lang w:val="en-GB"/>
          </w:rPr>
          <w:t>http://www.airbus.com/company/market/forecast/</w:t>
        </w:r>
      </w:hyperlink>
    </w:p>
    <w:p w:rsidR="00FB0456" w:rsidRPr="00EB36C8" w:rsidRDefault="00FB0456" w:rsidP="00290368">
      <w:pPr>
        <w:pStyle w:val="FootnoteText"/>
        <w:numPr>
          <w:ilvl w:val="0"/>
          <w:numId w:val="29"/>
        </w:numPr>
        <w:rPr>
          <w:sz w:val="16"/>
          <w:szCs w:val="16"/>
          <w:lang w:val="en-GB"/>
        </w:rPr>
      </w:pPr>
      <w:r w:rsidRPr="00EB36C8">
        <w:rPr>
          <w:sz w:val="16"/>
          <w:szCs w:val="16"/>
          <w:lang w:val="en-GB"/>
        </w:rPr>
        <w:t>Eurocontrol: Long-term forecast - Flight movements 2010-2030:</w:t>
      </w:r>
      <w:r>
        <w:rPr>
          <w:sz w:val="16"/>
          <w:szCs w:val="16"/>
          <w:lang w:val="en-GB"/>
        </w:rPr>
        <w:t xml:space="preserve"> </w:t>
      </w:r>
      <w:hyperlink r:id="rId13" w:tooltip="http://www.eurocontrol.int/documents/eurocontrol-long-term-forecast-flight-movements-2010-2030" w:history="1">
        <w:r w:rsidRPr="00EB36C8">
          <w:rPr>
            <w:rStyle w:val="Hyperlink"/>
            <w:sz w:val="16"/>
            <w:szCs w:val="16"/>
            <w:lang w:val="en-GB"/>
          </w:rPr>
          <w:t>http://www.eurocontrol.int/documents/eurocontrol-long-term-forecast-flight-movements-2010-2030</w:t>
        </w:r>
      </w:hyperlink>
    </w:p>
    <w:p w:rsidR="00FB0456" w:rsidRPr="00EB36C8" w:rsidRDefault="00FB0456" w:rsidP="00100C51">
      <w:pPr>
        <w:pStyle w:val="FootnoteText"/>
        <w:rPr>
          <w:sz w:val="16"/>
          <w:szCs w:val="16"/>
          <w:lang w:val="en-GB"/>
        </w:rPr>
      </w:pPr>
    </w:p>
  </w:footnote>
  <w:footnote w:id="37">
    <w:p w:rsidR="00FB0456" w:rsidRPr="00EE2A1C" w:rsidRDefault="00FB0456" w:rsidP="000D55A2">
      <w:pPr>
        <w:pStyle w:val="FootnoteText"/>
        <w:rPr>
          <w:rFonts w:ascii="Times New Roman" w:hAnsi="Times New Roman"/>
          <w:sz w:val="16"/>
          <w:szCs w:val="16"/>
          <w:lang w:eastAsia="fr-CH"/>
        </w:rPr>
      </w:pPr>
      <w:r w:rsidRPr="00EE2A1C">
        <w:rPr>
          <w:rStyle w:val="FootnoteReference"/>
          <w:sz w:val="16"/>
          <w:szCs w:val="16"/>
        </w:rPr>
        <w:footnoteRef/>
      </w:r>
      <w:r w:rsidRPr="00EE2A1C">
        <w:rPr>
          <w:sz w:val="16"/>
          <w:szCs w:val="16"/>
        </w:rPr>
        <w:t xml:space="preserve"> </w:t>
      </w:r>
      <w:r w:rsidRPr="00EE2A1C">
        <w:rPr>
          <w:rFonts w:cs="Arial"/>
          <w:sz w:val="16"/>
          <w:szCs w:val="16"/>
        </w:rPr>
        <w:t>A complete set of relevant specifications is available from ETSI as well as from the WorldDMB (</w:t>
      </w:r>
      <w:hyperlink r:id="rId14" w:history="1">
        <w:r w:rsidRPr="00EE2A1C">
          <w:rPr>
            <w:rStyle w:val="Hyperlink"/>
            <w:sz w:val="16"/>
            <w:szCs w:val="16"/>
          </w:rPr>
          <w:t>http://www.worlddab.org/introduction_to_digital_broadcasting/standards_specs</w:t>
        </w:r>
      </w:hyperlink>
      <w:r w:rsidRPr="00EE2A1C">
        <w:rPr>
          <w:rFonts w:cs="Arial"/>
          <w:sz w:val="16"/>
          <w:szCs w:val="16"/>
        </w:rPr>
        <w:t>)</w:t>
      </w:r>
    </w:p>
  </w:footnote>
  <w:footnote w:id="38">
    <w:p w:rsidR="00FB0456" w:rsidRDefault="00FB0456" w:rsidP="00B66CCF">
      <w:pPr>
        <w:pStyle w:val="ECCFootnote"/>
      </w:pPr>
      <w:r>
        <w:rPr>
          <w:rStyle w:val="FootnoteReference"/>
        </w:rPr>
        <w:footnoteRef/>
      </w:r>
      <w:r>
        <w:t xml:space="preserve"> </w:t>
      </w:r>
      <w:r w:rsidRPr="00EE2A1C">
        <w:t>The conditions given by the regulatory framework for the protection of the adjacent bands (below 1452 MHz and above 1492 MHz) has to be taken into account by the future use(s) of the band 1452-1492 MHz. This should be done in the definition process of the LRTC.</w:t>
      </w:r>
    </w:p>
    <w:p w:rsidR="00FB0456" w:rsidRDefault="00FB0456" w:rsidP="00B66CCF">
      <w:pPr>
        <w:pStyle w:val="ECCFootnote"/>
      </w:pPr>
    </w:p>
  </w:footnote>
  <w:footnote w:id="39">
    <w:p w:rsidR="00FB0456" w:rsidRPr="00741CB4" w:rsidRDefault="00FB0456" w:rsidP="00B66CCF">
      <w:pPr>
        <w:pStyle w:val="ECCFootnote"/>
      </w:pPr>
      <w:r>
        <w:rPr>
          <w:rStyle w:val="FootnoteReference"/>
        </w:rPr>
        <w:footnoteRef/>
      </w:r>
      <w:r>
        <w:t xml:space="preserve"> </w:t>
      </w:r>
      <w:r w:rsidRPr="00741CB4">
        <w:t>The coexistence between high power broadcasting networks and low power ECNs has been studied in particular in the CEPT Report 23</w:t>
      </w:r>
      <w:r>
        <w:t xml:space="preserve"> </w:t>
      </w:r>
      <w:r>
        <w:fldChar w:fldCharType="begin"/>
      </w:r>
      <w:r>
        <w:instrText xml:space="preserve"> REF _Ref332818157 \r \h </w:instrText>
      </w:r>
      <w:r>
        <w:fldChar w:fldCharType="separate"/>
      </w:r>
      <w:r w:rsidR="00E73FF2">
        <w:t>[22]</w:t>
      </w:r>
      <w:r>
        <w:fldChar w:fldCharType="end"/>
      </w:r>
      <w:r>
        <w:t xml:space="preserve">, 29 </w:t>
      </w:r>
      <w:r>
        <w:fldChar w:fldCharType="begin"/>
      </w:r>
      <w:r>
        <w:instrText xml:space="preserve"> REF _Ref332818177 \r \h </w:instrText>
      </w:r>
      <w:r>
        <w:fldChar w:fldCharType="separate"/>
      </w:r>
      <w:r w:rsidR="00E73FF2">
        <w:t>[23]</w:t>
      </w:r>
      <w:r>
        <w:fldChar w:fldCharType="end"/>
      </w:r>
      <w:r>
        <w:t xml:space="preserve"> </w:t>
      </w:r>
      <w:r w:rsidRPr="00741CB4">
        <w:t>and 30</w:t>
      </w:r>
      <w:r>
        <w:t xml:space="preserve"> </w:t>
      </w:r>
      <w:r>
        <w:fldChar w:fldCharType="begin"/>
      </w:r>
      <w:r>
        <w:instrText xml:space="preserve"> REF _Ref332817926 \r \h </w:instrText>
      </w:r>
      <w:r>
        <w:fldChar w:fldCharType="separate"/>
      </w:r>
      <w:r w:rsidR="00E73FF2">
        <w:t>[21]</w:t>
      </w:r>
      <w:r>
        <w:fldChar w:fldCharType="end"/>
      </w:r>
      <w:r w:rsidRPr="00741CB4">
        <w:t>. The main conclusions are that:</w:t>
      </w:r>
    </w:p>
    <w:p w:rsidR="00FB0456" w:rsidRDefault="00FB0456" w:rsidP="00FB0456">
      <w:pPr>
        <w:pStyle w:val="ECCFootnote"/>
        <w:numPr>
          <w:ilvl w:val="0"/>
          <w:numId w:val="73"/>
        </w:numPr>
      </w:pPr>
      <w:r w:rsidRPr="00741CB4">
        <w:t xml:space="preserve">The most difficult coexistence scenario is between ECNs UL and low power applications on one hand and broadcast to fixed receivers on the other hand and </w:t>
      </w:r>
    </w:p>
    <w:p w:rsidR="00FB0456" w:rsidRDefault="00FB0456" w:rsidP="00FB0456">
      <w:pPr>
        <w:pStyle w:val="ECCFootnote"/>
        <w:numPr>
          <w:ilvl w:val="0"/>
          <w:numId w:val="73"/>
        </w:numPr>
      </w:pPr>
      <w:r w:rsidRPr="00741CB4">
        <w:t>Coexistence between low power ECNs DL and high power broadcast networks is mainly governed by the reception mode of the broadcast transmission.</w:t>
      </w:r>
    </w:p>
  </w:footnote>
  <w:footnote w:id="40">
    <w:p w:rsidR="00FB0456" w:rsidRPr="008D36D2" w:rsidRDefault="00FB0456" w:rsidP="0001358C">
      <w:pPr>
        <w:pStyle w:val="FootnoteText"/>
        <w:jc w:val="both"/>
        <w:rPr>
          <w:rFonts w:ascii="Times New Roman" w:hAnsi="Times New Roman"/>
        </w:rPr>
      </w:pPr>
      <w:r w:rsidRPr="00D670DD">
        <w:rPr>
          <w:rStyle w:val="FootnoteReference"/>
          <w:sz w:val="16"/>
          <w:szCs w:val="24"/>
        </w:rPr>
        <w:footnoteRef/>
      </w:r>
      <w:r w:rsidRPr="008D36D2">
        <w:rPr>
          <w:rFonts w:ascii="Times New Roman" w:hAnsi="Times New Roman"/>
        </w:rPr>
        <w:t xml:space="preserve"> </w:t>
      </w:r>
      <w:r w:rsidRPr="007B6309">
        <w:rPr>
          <w:sz w:val="16"/>
          <w:szCs w:val="24"/>
        </w:rPr>
        <w:t>“When identifying the possible options, ECC should generally start by considering the option of not changing the regulatory framework, either by not introducing regulation or by retaining existing regulation. This option – ‘Do Nothing’ will be the benchmark or base case against which other options will be judged even though it may not be always practical” see ECC Report 125</w:t>
      </w:r>
      <w:r>
        <w:rPr>
          <w:sz w:val="16"/>
          <w:szCs w:val="24"/>
        </w:rPr>
        <w:t xml:space="preserve"> </w:t>
      </w:r>
      <w:r>
        <w:rPr>
          <w:sz w:val="16"/>
          <w:szCs w:val="24"/>
        </w:rPr>
        <w:fldChar w:fldCharType="begin"/>
      </w:r>
      <w:r>
        <w:rPr>
          <w:sz w:val="16"/>
          <w:szCs w:val="24"/>
        </w:rPr>
        <w:instrText xml:space="preserve"> REF _Ref332811109 \r \h </w:instrText>
      </w:r>
      <w:r>
        <w:rPr>
          <w:sz w:val="16"/>
          <w:szCs w:val="24"/>
        </w:rPr>
      </w:r>
      <w:r>
        <w:rPr>
          <w:sz w:val="16"/>
          <w:szCs w:val="24"/>
        </w:rPr>
        <w:fldChar w:fldCharType="separate"/>
      </w:r>
      <w:r w:rsidR="00E73FF2">
        <w:rPr>
          <w:sz w:val="16"/>
          <w:szCs w:val="24"/>
        </w:rPr>
        <w:t>[7]</w:t>
      </w:r>
      <w:r>
        <w:rPr>
          <w:sz w:val="16"/>
          <w:szCs w:val="24"/>
        </w:rPr>
        <w:fldChar w:fldCharType="end"/>
      </w:r>
      <w:r w:rsidRPr="007B6309">
        <w:rPr>
          <w:sz w:val="16"/>
          <w:szCs w:val="24"/>
        </w:rPr>
        <w:t>.</w:t>
      </w:r>
    </w:p>
  </w:footnote>
  <w:footnote w:id="41">
    <w:p w:rsidR="00FB0456" w:rsidRPr="00D670DD" w:rsidRDefault="00FB0456" w:rsidP="00D670DD">
      <w:pPr>
        <w:pStyle w:val="FootnoteText"/>
        <w:jc w:val="both"/>
      </w:pPr>
      <w:r w:rsidRPr="00D670DD">
        <w:rPr>
          <w:rStyle w:val="FootnoteReference"/>
          <w:sz w:val="16"/>
          <w:szCs w:val="24"/>
        </w:rPr>
        <w:footnoteRef/>
      </w:r>
      <w:r>
        <w:t xml:space="preserve"> </w:t>
      </w:r>
      <w:r w:rsidRPr="00D670DD">
        <w:rPr>
          <w:sz w:val="16"/>
          <w:szCs w:val="24"/>
        </w:rPr>
        <w:t>In the meantime, Administrations will have the possibility to register terrestrial stations of the SDL mobile service in the MIFR in order to ensure protection of MFCN from satellite interference through the ITU coordination procedure.</w:t>
      </w:r>
    </w:p>
  </w:footnote>
  <w:footnote w:id="42">
    <w:p w:rsidR="00FB0456" w:rsidRDefault="00FB0456" w:rsidP="00B66CCF">
      <w:pPr>
        <w:pStyle w:val="ECCFootnote"/>
      </w:pPr>
      <w:r w:rsidRPr="008D36D2">
        <w:rPr>
          <w:rStyle w:val="FootnoteReference"/>
          <w:rFonts w:ascii="Times New Roman" w:hAnsi="Times New Roman"/>
        </w:rPr>
        <w:footnoteRef/>
      </w:r>
      <w:r w:rsidRPr="008D36D2">
        <w:rPr>
          <w:rFonts w:ascii="Times New Roman" w:hAnsi="Times New Roman"/>
        </w:rPr>
        <w:t xml:space="preserve"> </w:t>
      </w:r>
      <w:r w:rsidRPr="002E3DC7">
        <w:t>In the meantime, Administrations will have the possibility to register terrestrial stations of the SDL mobile service in the MIFR in order to ensure protection of MFCN from satellite interference through the ITU coordination procedure.</w:t>
      </w:r>
    </w:p>
  </w:footnote>
  <w:footnote w:id="43">
    <w:p w:rsidR="00FB0456" w:rsidRPr="00580C79" w:rsidRDefault="00FB0456" w:rsidP="00B66CCF">
      <w:pPr>
        <w:pStyle w:val="ECCFootnote"/>
      </w:pPr>
      <w:r>
        <w:rPr>
          <w:rStyle w:val="FootnoteReference"/>
        </w:rPr>
        <w:footnoteRef/>
      </w:r>
      <w:r>
        <w:t xml:space="preserve"> </w:t>
      </w:r>
      <w:r w:rsidRPr="004F2D3D">
        <w:t xml:space="preserve">This provision was previously numbered as No. </w:t>
      </w:r>
      <w:r w:rsidRPr="004F2D3D">
        <w:rPr>
          <w:b/>
          <w:bCs/>
        </w:rPr>
        <w:t>5.347A</w:t>
      </w:r>
      <w:r w:rsidRPr="004F2D3D">
        <w:t>. It was renumbered to preserve the sequential order.</w:t>
      </w:r>
    </w:p>
  </w:footnote>
  <w:footnote w:id="44">
    <w:p w:rsidR="00FB0456" w:rsidRPr="00580C79" w:rsidRDefault="00FB0456" w:rsidP="00B66CCF">
      <w:pPr>
        <w:pStyle w:val="ECCFootnote"/>
      </w:pPr>
      <w:r>
        <w:rPr>
          <w:rStyle w:val="FootnoteReference"/>
        </w:rPr>
        <w:footnoteRef/>
      </w:r>
      <w:r>
        <w:t xml:space="preserve"> </w:t>
      </w:r>
      <w:r>
        <w:rPr>
          <w:i/>
          <w:iCs/>
          <w:lang w:val="en-AU"/>
        </w:rPr>
        <w:t xml:space="preserve">Note by the </w:t>
      </w:r>
      <w:r w:rsidRPr="00580C79">
        <w:t>Secretariat</w:t>
      </w:r>
      <w:r>
        <w:rPr>
          <w:i/>
          <w:iCs/>
          <w:lang w:val="en-AU"/>
        </w:rPr>
        <w:t>:</w:t>
      </w:r>
      <w:r>
        <w:rPr>
          <w:lang w:val="en-AU"/>
        </w:rPr>
        <w:t>  This Resolution was revised by WRC-03.</w:t>
      </w:r>
    </w:p>
  </w:footnote>
  <w:footnote w:id="45">
    <w:p w:rsidR="00FB0456" w:rsidRDefault="00FB0456" w:rsidP="00B66CCF">
      <w:pPr>
        <w:pStyle w:val="ECCFootnote"/>
      </w:pPr>
      <w:r>
        <w:rPr>
          <w:rStyle w:val="FootnoteReference"/>
        </w:rPr>
        <w:footnoteRef/>
      </w:r>
      <w:r>
        <w:t xml:space="preserve"> </w:t>
      </w:r>
      <w:r w:rsidRPr="00DD627B">
        <w:t>Part 1 contains T-DAB allotments transferred from the original WI95 Plan in the 1.5</w:t>
      </w:r>
      <w:r>
        <w:t xml:space="preserve"> GHz band.</w:t>
      </w:r>
    </w:p>
  </w:footnote>
  <w:footnote w:id="46">
    <w:p w:rsidR="00FB0456" w:rsidRDefault="00FB0456" w:rsidP="00B66CCF">
      <w:pPr>
        <w:pStyle w:val="ECCFootnote"/>
      </w:pPr>
      <w:r>
        <w:rPr>
          <w:rStyle w:val="FootnoteReference"/>
        </w:rPr>
        <w:footnoteRef/>
      </w:r>
      <w:r>
        <w:t xml:space="preserve"> P</w:t>
      </w:r>
      <w:r w:rsidRPr="00DD627B">
        <w:t xml:space="preserve">art 2 contains the allotments originating </w:t>
      </w:r>
      <w:r>
        <w:t>at the MA02 planning conference.</w:t>
      </w:r>
    </w:p>
  </w:footnote>
  <w:footnote w:id="47">
    <w:p w:rsidR="00FB0456" w:rsidRDefault="00FB0456" w:rsidP="00B66CCF">
      <w:pPr>
        <w:pStyle w:val="ECCFootnote"/>
      </w:pPr>
      <w:r>
        <w:rPr>
          <w:rStyle w:val="FootnoteReference"/>
        </w:rPr>
        <w:footnoteRef/>
      </w:r>
      <w:r>
        <w:t xml:space="preserve"> </w:t>
      </w:r>
      <w:r w:rsidRPr="0067031C">
        <w:t xml:space="preserve">Part2sup contains the allotments for which the coordination was completed after the publication of </w:t>
      </w:r>
      <w:r w:rsidRPr="000A424B">
        <w:rPr>
          <w:rFonts w:cs="Arial"/>
          <w:szCs w:val="20"/>
        </w:rPr>
        <w:t>MA02revCO07</w:t>
      </w:r>
      <w:r>
        <w:rPr>
          <w:rFonts w:cs="Arial"/>
          <w:szCs w:val="20"/>
        </w:rPr>
        <w:t xml:space="preserve"> </w:t>
      </w:r>
      <w:r>
        <w:rPr>
          <w:rFonts w:cs="Arial"/>
          <w:szCs w:val="20"/>
        </w:rPr>
        <w:fldChar w:fldCharType="begin"/>
      </w:r>
      <w:r>
        <w:rPr>
          <w:rFonts w:cs="Arial"/>
          <w:szCs w:val="20"/>
        </w:rPr>
        <w:instrText xml:space="preserve"> REF _Ref330503918 \r \h </w:instrText>
      </w:r>
      <w:r>
        <w:rPr>
          <w:rFonts w:cs="Arial"/>
          <w:szCs w:val="20"/>
        </w:rPr>
      </w:r>
      <w:r>
        <w:rPr>
          <w:rFonts w:cs="Arial"/>
          <w:szCs w:val="20"/>
        </w:rPr>
        <w:fldChar w:fldCharType="separate"/>
      </w:r>
      <w:r w:rsidR="00E73FF2">
        <w:rPr>
          <w:rFonts w:cs="Arial"/>
          <w:szCs w:val="20"/>
        </w:rPr>
        <w:t>[1]</w:t>
      </w:r>
      <w:r>
        <w:rPr>
          <w:rFonts w:cs="Arial"/>
          <w:szCs w:val="20"/>
        </w:rPr>
        <w:fldChar w:fldCharType="end"/>
      </w:r>
      <w:r w:rsidRPr="0067031C">
        <w:t>.</w:t>
      </w:r>
    </w:p>
  </w:footnote>
  <w:footnote w:id="48">
    <w:p w:rsidR="00FB0456" w:rsidRDefault="00FB0456" w:rsidP="00B66CCF">
      <w:pPr>
        <w:pStyle w:val="ECCFootnote"/>
      </w:pPr>
      <w:r>
        <w:rPr>
          <w:rStyle w:val="FootnoteReference"/>
        </w:rPr>
        <w:footnoteRef/>
      </w:r>
      <w:r>
        <w:t xml:space="preserve"> Source: UMTS Forum</w:t>
      </w:r>
    </w:p>
  </w:footnote>
  <w:footnote w:id="49">
    <w:p w:rsidR="00FB0456" w:rsidRDefault="00FB0456" w:rsidP="00B66CCF">
      <w:pPr>
        <w:pStyle w:val="ECCFootnote"/>
      </w:pPr>
      <w:r>
        <w:rPr>
          <w:rStyle w:val="FootnoteReference"/>
        </w:rPr>
        <w:footnoteRef/>
      </w:r>
      <w:r>
        <w:t xml:space="preserve"> Source: Qualcomm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56" w:rsidRPr="007C5F95" w:rsidRDefault="00FB0456">
    <w:pPr>
      <w:pStyle w:val="Header"/>
      <w:rPr>
        <w:b w:val="0"/>
        <w:lang w:val="da-DK"/>
      </w:rPr>
    </w:pPr>
    <w:r w:rsidRPr="007C5F95">
      <w:rPr>
        <w:b w:val="0"/>
        <w:lang w:val="da-DK"/>
      </w:rPr>
      <w:t>Draft ECC REPORT XXX</w:t>
    </w:r>
  </w:p>
  <w:p w:rsidR="00FB0456" w:rsidRPr="007C5F95" w:rsidRDefault="00FB0456">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7F09BF">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56" w:rsidRPr="007C5F95" w:rsidRDefault="00FB0456" w:rsidP="008A54FC">
    <w:pPr>
      <w:pStyle w:val="Header"/>
      <w:jc w:val="right"/>
      <w:rPr>
        <w:b w:val="0"/>
        <w:lang w:val="da-DK"/>
      </w:rPr>
    </w:pPr>
    <w:r w:rsidRPr="007C5F95">
      <w:rPr>
        <w:b w:val="0"/>
        <w:lang w:val="da-DK"/>
      </w:rPr>
      <w:t>Draft ECC REPORT XXX</w:t>
    </w:r>
  </w:p>
  <w:p w:rsidR="00FB0456" w:rsidRPr="007C5F95" w:rsidRDefault="00FB0456"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7F09BF">
      <w:rPr>
        <w:noProof/>
        <w:szCs w:val="16"/>
        <w:lang w:val="da-DK"/>
      </w:rPr>
      <w:t>73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56" w:rsidRDefault="00FB0456">
    <w:pPr>
      <w:pStyle w:val="Header"/>
    </w:pPr>
    <w:r>
      <w:rPr>
        <w:noProof/>
        <w:szCs w:val="20"/>
        <w:lang w:val="da-DK" w:eastAsia="da-DK"/>
      </w:rPr>
      <w:drawing>
        <wp:anchor distT="0" distB="0" distL="114300" distR="114300" simplePos="0" relativeHeight="251658240" behindDoc="0" locked="0" layoutInCell="1" allowOverlap="1" wp14:anchorId="7A593561" wp14:editId="4B61C858">
          <wp:simplePos x="0" y="0"/>
          <wp:positionH relativeFrom="page">
            <wp:posOffset>5717540</wp:posOffset>
          </wp:positionH>
          <wp:positionV relativeFrom="page">
            <wp:posOffset>648335</wp:posOffset>
          </wp:positionV>
          <wp:extent cx="1461770" cy="546100"/>
          <wp:effectExtent l="25400" t="0" r="11430" b="0"/>
          <wp:wrapNone/>
          <wp:docPr id="1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014FA66C" wp14:editId="67B03787">
          <wp:simplePos x="0" y="0"/>
          <wp:positionH relativeFrom="page">
            <wp:posOffset>572770</wp:posOffset>
          </wp:positionH>
          <wp:positionV relativeFrom="page">
            <wp:posOffset>457200</wp:posOffset>
          </wp:positionV>
          <wp:extent cx="889000" cy="889000"/>
          <wp:effectExtent l="25400" t="0" r="0" b="0"/>
          <wp:wrapNone/>
          <wp:docPr id="1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56" w:rsidRDefault="00FB0456">
    <w:pPr>
      <w:pStyle w:val="Header"/>
    </w:pPr>
    <w:r>
      <w:rPr>
        <w:lang w:val="da-DK"/>
      </w:rPr>
      <w:t>ECC REPORT 188 -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F21C76" w:rsidRPr="00F21C76">
      <w:rPr>
        <w:noProof/>
        <w:szCs w:val="16"/>
        <w:lang w:val="da-DK"/>
      </w:rPr>
      <w:t>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56" w:rsidRDefault="00FB0456" w:rsidP="001C788C">
    <w:pPr>
      <w:pStyle w:val="Header"/>
      <w:jc w:val="right"/>
    </w:pPr>
    <w:r>
      <w:rPr>
        <w:lang w:val="da-DK"/>
      </w:rPr>
      <w:t xml:space="preserve">ECC REPORT 188 - </w:t>
    </w:r>
    <w:r>
      <w:rPr>
        <w:szCs w:val="16"/>
        <w:lang w:val="da-DK"/>
      </w:rPr>
      <w:t xml:space="preserve">Page </w:t>
    </w:r>
    <w:r>
      <w:fldChar w:fldCharType="begin"/>
    </w:r>
    <w:r>
      <w:instrText xml:space="preserve"> PAGE  \* Arabic  \* MERGEFORMAT </w:instrText>
    </w:r>
    <w:r>
      <w:fldChar w:fldCharType="separate"/>
    </w:r>
    <w:r w:rsidR="00F21C76" w:rsidRPr="00F21C76">
      <w:rPr>
        <w:noProof/>
        <w:szCs w:val="16"/>
        <w:lang w:val="da-DK"/>
      </w:rPr>
      <w:t>5</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56" w:rsidRDefault="00FB04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56" w:rsidRPr="001223D0" w:rsidRDefault="00FB0456"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200"/>
    <w:multiLevelType w:val="hybridMultilevel"/>
    <w:tmpl w:val="DA52357E"/>
    <w:lvl w:ilvl="0" w:tplc="F020C3D2">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17F0637"/>
    <w:multiLevelType w:val="hybridMultilevel"/>
    <w:tmpl w:val="3374670A"/>
    <w:lvl w:ilvl="0" w:tplc="CA7A5140">
      <w:start w:val="4"/>
      <w:numFmt w:val="bullet"/>
      <w:lvlText w:val="-"/>
      <w:lvlJc w:val="left"/>
      <w:pPr>
        <w:ind w:left="1119"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839" w:hanging="360"/>
      </w:pPr>
      <w:rPr>
        <w:rFonts w:ascii="Courier New" w:hAnsi="Courier New" w:cs="Courier New" w:hint="default"/>
      </w:rPr>
    </w:lvl>
    <w:lvl w:ilvl="2" w:tplc="04060005" w:tentative="1">
      <w:start w:val="1"/>
      <w:numFmt w:val="bullet"/>
      <w:lvlText w:val=""/>
      <w:lvlJc w:val="left"/>
      <w:pPr>
        <w:ind w:left="2559" w:hanging="360"/>
      </w:pPr>
      <w:rPr>
        <w:rFonts w:ascii="Wingdings" w:hAnsi="Wingdings" w:hint="default"/>
      </w:rPr>
    </w:lvl>
    <w:lvl w:ilvl="3" w:tplc="04060001" w:tentative="1">
      <w:start w:val="1"/>
      <w:numFmt w:val="bullet"/>
      <w:lvlText w:val=""/>
      <w:lvlJc w:val="left"/>
      <w:pPr>
        <w:ind w:left="3279" w:hanging="360"/>
      </w:pPr>
      <w:rPr>
        <w:rFonts w:ascii="Symbol" w:hAnsi="Symbol" w:hint="default"/>
      </w:rPr>
    </w:lvl>
    <w:lvl w:ilvl="4" w:tplc="04060003" w:tentative="1">
      <w:start w:val="1"/>
      <w:numFmt w:val="bullet"/>
      <w:lvlText w:val="o"/>
      <w:lvlJc w:val="left"/>
      <w:pPr>
        <w:ind w:left="3999" w:hanging="360"/>
      </w:pPr>
      <w:rPr>
        <w:rFonts w:ascii="Courier New" w:hAnsi="Courier New" w:cs="Courier New" w:hint="default"/>
      </w:rPr>
    </w:lvl>
    <w:lvl w:ilvl="5" w:tplc="04060005" w:tentative="1">
      <w:start w:val="1"/>
      <w:numFmt w:val="bullet"/>
      <w:lvlText w:val=""/>
      <w:lvlJc w:val="left"/>
      <w:pPr>
        <w:ind w:left="4719" w:hanging="360"/>
      </w:pPr>
      <w:rPr>
        <w:rFonts w:ascii="Wingdings" w:hAnsi="Wingdings" w:hint="default"/>
      </w:rPr>
    </w:lvl>
    <w:lvl w:ilvl="6" w:tplc="04060001" w:tentative="1">
      <w:start w:val="1"/>
      <w:numFmt w:val="bullet"/>
      <w:lvlText w:val=""/>
      <w:lvlJc w:val="left"/>
      <w:pPr>
        <w:ind w:left="5439" w:hanging="360"/>
      </w:pPr>
      <w:rPr>
        <w:rFonts w:ascii="Symbol" w:hAnsi="Symbol" w:hint="default"/>
      </w:rPr>
    </w:lvl>
    <w:lvl w:ilvl="7" w:tplc="04060003" w:tentative="1">
      <w:start w:val="1"/>
      <w:numFmt w:val="bullet"/>
      <w:lvlText w:val="o"/>
      <w:lvlJc w:val="left"/>
      <w:pPr>
        <w:ind w:left="6159" w:hanging="360"/>
      </w:pPr>
      <w:rPr>
        <w:rFonts w:ascii="Courier New" w:hAnsi="Courier New" w:cs="Courier New" w:hint="default"/>
      </w:rPr>
    </w:lvl>
    <w:lvl w:ilvl="8" w:tplc="04060005" w:tentative="1">
      <w:start w:val="1"/>
      <w:numFmt w:val="bullet"/>
      <w:lvlText w:val=""/>
      <w:lvlJc w:val="left"/>
      <w:pPr>
        <w:ind w:left="6879" w:hanging="360"/>
      </w:pPr>
      <w:rPr>
        <w:rFonts w:ascii="Wingdings" w:hAnsi="Wingdings" w:hint="default"/>
      </w:rPr>
    </w:lvl>
  </w:abstractNum>
  <w:abstractNum w:abstractNumId="2">
    <w:nsid w:val="05D31937"/>
    <w:multiLevelType w:val="hybridMultilevel"/>
    <w:tmpl w:val="1744D1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871190B"/>
    <w:multiLevelType w:val="hybridMultilevel"/>
    <w:tmpl w:val="8F88C0F2"/>
    <w:lvl w:ilvl="0" w:tplc="FFFFFFFF">
      <w:start w:val="1"/>
      <w:numFmt w:val="decimal"/>
      <w:pStyle w:val="BodyTextIndent2"/>
      <w:lvlText w:val="(%1)"/>
      <w:lvlJc w:val="left"/>
      <w:pPr>
        <w:tabs>
          <w:tab w:val="num" w:pos="0"/>
        </w:tabs>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val="en-GB"/>
      </w:rPr>
    </w:lvl>
    <w:lvl w:ilvl="1" w:tplc="FFFFFFFF">
      <w:start w:val="1"/>
      <w:numFmt w:val="bullet"/>
      <w:lvlText w:val="o"/>
      <w:lvlJc w:val="left"/>
      <w:pPr>
        <w:tabs>
          <w:tab w:val="num" w:pos="1440"/>
        </w:tabs>
        <w:ind w:left="1440" w:hanging="360"/>
      </w:pPr>
      <w:rPr>
        <w:rFonts w:ascii="Courier New" w:hAnsi="Courier New" w:cs="Courier New"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val="en-GB"/>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3B04D0"/>
    <w:multiLevelType w:val="hybridMultilevel"/>
    <w:tmpl w:val="79B6D3F4"/>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B4050D6"/>
    <w:multiLevelType w:val="hybridMultilevel"/>
    <w:tmpl w:val="2C06484C"/>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C78776E"/>
    <w:multiLevelType w:val="multilevel"/>
    <w:tmpl w:val="0538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9532ED"/>
    <w:multiLevelType w:val="multilevel"/>
    <w:tmpl w:val="FCEC7FBC"/>
    <w:numStyleLink w:val="ECCBullets"/>
  </w:abstractNum>
  <w:abstractNum w:abstractNumId="8">
    <w:nsid w:val="0F42182E"/>
    <w:multiLevelType w:val="hybridMultilevel"/>
    <w:tmpl w:val="187CABF4"/>
    <w:lvl w:ilvl="0" w:tplc="4C7A61A0">
      <w:start w:val="1"/>
      <w:numFmt w:val="bullet"/>
      <w:lvlText w:val=""/>
      <w:lvlJc w:val="left"/>
      <w:pPr>
        <w:ind w:left="720" w:hanging="360"/>
      </w:pPr>
      <w:rPr>
        <w:rFonts w:ascii="Wingdings" w:hAnsi="Wingdings" w:cs="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2EC25BA"/>
    <w:multiLevelType w:val="hybridMultilevel"/>
    <w:tmpl w:val="1A660A04"/>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3002C98"/>
    <w:multiLevelType w:val="hybridMultilevel"/>
    <w:tmpl w:val="E7B246B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63A6A55"/>
    <w:multiLevelType w:val="hybridMultilevel"/>
    <w:tmpl w:val="3F40DA24"/>
    <w:lvl w:ilvl="0" w:tplc="CA7A5140">
      <w:start w:val="4"/>
      <w:numFmt w:val="bullet"/>
      <w:lvlText w:val="-"/>
      <w:lvlJc w:val="left"/>
      <w:pPr>
        <w:ind w:left="1119"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839" w:hanging="360"/>
      </w:pPr>
      <w:rPr>
        <w:rFonts w:ascii="Courier New" w:hAnsi="Courier New" w:cs="Courier New" w:hint="default"/>
      </w:rPr>
    </w:lvl>
    <w:lvl w:ilvl="2" w:tplc="04060005" w:tentative="1">
      <w:start w:val="1"/>
      <w:numFmt w:val="bullet"/>
      <w:lvlText w:val=""/>
      <w:lvlJc w:val="left"/>
      <w:pPr>
        <w:ind w:left="2559" w:hanging="360"/>
      </w:pPr>
      <w:rPr>
        <w:rFonts w:ascii="Wingdings" w:hAnsi="Wingdings" w:hint="default"/>
      </w:rPr>
    </w:lvl>
    <w:lvl w:ilvl="3" w:tplc="04060001" w:tentative="1">
      <w:start w:val="1"/>
      <w:numFmt w:val="bullet"/>
      <w:lvlText w:val=""/>
      <w:lvlJc w:val="left"/>
      <w:pPr>
        <w:ind w:left="3279" w:hanging="360"/>
      </w:pPr>
      <w:rPr>
        <w:rFonts w:ascii="Symbol" w:hAnsi="Symbol" w:hint="default"/>
      </w:rPr>
    </w:lvl>
    <w:lvl w:ilvl="4" w:tplc="04060003" w:tentative="1">
      <w:start w:val="1"/>
      <w:numFmt w:val="bullet"/>
      <w:lvlText w:val="o"/>
      <w:lvlJc w:val="left"/>
      <w:pPr>
        <w:ind w:left="3999" w:hanging="360"/>
      </w:pPr>
      <w:rPr>
        <w:rFonts w:ascii="Courier New" w:hAnsi="Courier New" w:cs="Courier New" w:hint="default"/>
      </w:rPr>
    </w:lvl>
    <w:lvl w:ilvl="5" w:tplc="04060005" w:tentative="1">
      <w:start w:val="1"/>
      <w:numFmt w:val="bullet"/>
      <w:lvlText w:val=""/>
      <w:lvlJc w:val="left"/>
      <w:pPr>
        <w:ind w:left="4719" w:hanging="360"/>
      </w:pPr>
      <w:rPr>
        <w:rFonts w:ascii="Wingdings" w:hAnsi="Wingdings" w:hint="default"/>
      </w:rPr>
    </w:lvl>
    <w:lvl w:ilvl="6" w:tplc="04060001" w:tentative="1">
      <w:start w:val="1"/>
      <w:numFmt w:val="bullet"/>
      <w:lvlText w:val=""/>
      <w:lvlJc w:val="left"/>
      <w:pPr>
        <w:ind w:left="5439" w:hanging="360"/>
      </w:pPr>
      <w:rPr>
        <w:rFonts w:ascii="Symbol" w:hAnsi="Symbol" w:hint="default"/>
      </w:rPr>
    </w:lvl>
    <w:lvl w:ilvl="7" w:tplc="04060003" w:tentative="1">
      <w:start w:val="1"/>
      <w:numFmt w:val="bullet"/>
      <w:lvlText w:val="o"/>
      <w:lvlJc w:val="left"/>
      <w:pPr>
        <w:ind w:left="6159" w:hanging="360"/>
      </w:pPr>
      <w:rPr>
        <w:rFonts w:ascii="Courier New" w:hAnsi="Courier New" w:cs="Courier New" w:hint="default"/>
      </w:rPr>
    </w:lvl>
    <w:lvl w:ilvl="8" w:tplc="04060005" w:tentative="1">
      <w:start w:val="1"/>
      <w:numFmt w:val="bullet"/>
      <w:lvlText w:val=""/>
      <w:lvlJc w:val="left"/>
      <w:pPr>
        <w:ind w:left="6879" w:hanging="360"/>
      </w:pPr>
      <w:rPr>
        <w:rFonts w:ascii="Wingdings" w:hAnsi="Wingdings" w:hint="default"/>
      </w:rPr>
    </w:lvl>
  </w:abstractNum>
  <w:abstractNum w:abstractNumId="1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3">
    <w:nsid w:val="1BD43ADF"/>
    <w:multiLevelType w:val="hybridMultilevel"/>
    <w:tmpl w:val="870406B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1C367A76"/>
    <w:multiLevelType w:val="hybridMultilevel"/>
    <w:tmpl w:val="D4D232DE"/>
    <w:lvl w:ilvl="0" w:tplc="DFB6E272">
      <w:start w:val="1"/>
      <w:numFmt w:val="bullet"/>
      <w:lvlText w:val=""/>
      <w:lvlJc w:val="left"/>
      <w:pPr>
        <w:ind w:left="720" w:hanging="360"/>
      </w:pPr>
      <w:rPr>
        <w:rFonts w:ascii="Wingdings" w:hAnsi="Wingdings" w:cs="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1C7E4FA5"/>
    <w:multiLevelType w:val="hybridMultilevel"/>
    <w:tmpl w:val="854883B6"/>
    <w:lvl w:ilvl="0" w:tplc="CA7A5140">
      <w:start w:val="4"/>
      <w:numFmt w:val="bullet"/>
      <w:lvlText w:val="-"/>
      <w:lvlJc w:val="left"/>
      <w:pPr>
        <w:tabs>
          <w:tab w:val="num" w:pos="720"/>
        </w:tabs>
        <w:ind w:left="720" w:hanging="360"/>
      </w:pPr>
      <w:rPr>
        <w:rFonts w:ascii="Times New Roman" w:eastAsia="Times New Roman" w:hAnsi="Times New Roman" w:cs="Times New Roman" w:hint="default"/>
        <w:b/>
        <w:i/>
        <w:color w:val="C00000"/>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nsid w:val="1EEB67BA"/>
    <w:multiLevelType w:val="hybridMultilevel"/>
    <w:tmpl w:val="41DE35C0"/>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cs="Arial Bold"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Arial Bold"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Arial Bold"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18">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22CF21F9"/>
    <w:multiLevelType w:val="hybridMultilevel"/>
    <w:tmpl w:val="2D64CF9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24C305B6"/>
    <w:multiLevelType w:val="hybridMultilevel"/>
    <w:tmpl w:val="AA40DF44"/>
    <w:lvl w:ilvl="0" w:tplc="CA7A5140">
      <w:start w:val="4"/>
      <w:numFmt w:val="bullet"/>
      <w:lvlText w:val="-"/>
      <w:lvlJc w:val="left"/>
      <w:pPr>
        <w:ind w:left="1440"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1">
    <w:nsid w:val="27103CA4"/>
    <w:multiLevelType w:val="hybridMultilevel"/>
    <w:tmpl w:val="537C32D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271874F6"/>
    <w:multiLevelType w:val="hybridMultilevel"/>
    <w:tmpl w:val="F9C0D780"/>
    <w:lvl w:ilvl="0" w:tplc="73C4B67C">
      <w:start w:val="1"/>
      <w:numFmt w:val="bullet"/>
      <w:lvlText w:val=""/>
      <w:lvlJc w:val="left"/>
      <w:pPr>
        <w:ind w:left="360" w:hanging="360"/>
      </w:pPr>
      <w:rPr>
        <w:rFonts w:ascii="Symbol" w:hAnsi="Symbol"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3">
    <w:nsid w:val="278555E1"/>
    <w:multiLevelType w:val="hybridMultilevel"/>
    <w:tmpl w:val="9E8255B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2A34586B"/>
    <w:multiLevelType w:val="hybridMultilevel"/>
    <w:tmpl w:val="A112A48C"/>
    <w:lvl w:ilvl="0" w:tplc="195897DC">
      <w:start w:val="1"/>
      <w:numFmt w:val="bullet"/>
      <w:lvlText w:val=""/>
      <w:lvlJc w:val="left"/>
      <w:pPr>
        <w:ind w:left="782" w:hanging="360"/>
      </w:pPr>
      <w:rPr>
        <w:rFonts w:ascii="Wingdings" w:hAnsi="Wingdings" w:cs="Wingdings" w:hint="default"/>
        <w:color w:val="FF0000"/>
      </w:rPr>
    </w:lvl>
    <w:lvl w:ilvl="1" w:tplc="04060003" w:tentative="1">
      <w:start w:val="1"/>
      <w:numFmt w:val="bullet"/>
      <w:lvlText w:val="o"/>
      <w:lvlJc w:val="left"/>
      <w:pPr>
        <w:ind w:left="1502" w:hanging="360"/>
      </w:pPr>
      <w:rPr>
        <w:rFonts w:ascii="Courier New" w:hAnsi="Courier New" w:cs="Courier New" w:hint="default"/>
      </w:rPr>
    </w:lvl>
    <w:lvl w:ilvl="2" w:tplc="04060005" w:tentative="1">
      <w:start w:val="1"/>
      <w:numFmt w:val="bullet"/>
      <w:lvlText w:val=""/>
      <w:lvlJc w:val="left"/>
      <w:pPr>
        <w:ind w:left="2222" w:hanging="360"/>
      </w:pPr>
      <w:rPr>
        <w:rFonts w:ascii="Wingdings" w:hAnsi="Wingdings" w:hint="default"/>
      </w:rPr>
    </w:lvl>
    <w:lvl w:ilvl="3" w:tplc="04060001" w:tentative="1">
      <w:start w:val="1"/>
      <w:numFmt w:val="bullet"/>
      <w:lvlText w:val=""/>
      <w:lvlJc w:val="left"/>
      <w:pPr>
        <w:ind w:left="2942" w:hanging="360"/>
      </w:pPr>
      <w:rPr>
        <w:rFonts w:ascii="Symbol" w:hAnsi="Symbol" w:hint="default"/>
      </w:rPr>
    </w:lvl>
    <w:lvl w:ilvl="4" w:tplc="04060003" w:tentative="1">
      <w:start w:val="1"/>
      <w:numFmt w:val="bullet"/>
      <w:lvlText w:val="o"/>
      <w:lvlJc w:val="left"/>
      <w:pPr>
        <w:ind w:left="3662" w:hanging="360"/>
      </w:pPr>
      <w:rPr>
        <w:rFonts w:ascii="Courier New" w:hAnsi="Courier New" w:cs="Courier New" w:hint="default"/>
      </w:rPr>
    </w:lvl>
    <w:lvl w:ilvl="5" w:tplc="04060005" w:tentative="1">
      <w:start w:val="1"/>
      <w:numFmt w:val="bullet"/>
      <w:lvlText w:val=""/>
      <w:lvlJc w:val="left"/>
      <w:pPr>
        <w:ind w:left="4382" w:hanging="360"/>
      </w:pPr>
      <w:rPr>
        <w:rFonts w:ascii="Wingdings" w:hAnsi="Wingdings" w:hint="default"/>
      </w:rPr>
    </w:lvl>
    <w:lvl w:ilvl="6" w:tplc="04060001" w:tentative="1">
      <w:start w:val="1"/>
      <w:numFmt w:val="bullet"/>
      <w:lvlText w:val=""/>
      <w:lvlJc w:val="left"/>
      <w:pPr>
        <w:ind w:left="5102" w:hanging="360"/>
      </w:pPr>
      <w:rPr>
        <w:rFonts w:ascii="Symbol" w:hAnsi="Symbol" w:hint="default"/>
      </w:rPr>
    </w:lvl>
    <w:lvl w:ilvl="7" w:tplc="04060003" w:tentative="1">
      <w:start w:val="1"/>
      <w:numFmt w:val="bullet"/>
      <w:lvlText w:val="o"/>
      <w:lvlJc w:val="left"/>
      <w:pPr>
        <w:ind w:left="5822" w:hanging="360"/>
      </w:pPr>
      <w:rPr>
        <w:rFonts w:ascii="Courier New" w:hAnsi="Courier New" w:cs="Courier New" w:hint="default"/>
      </w:rPr>
    </w:lvl>
    <w:lvl w:ilvl="8" w:tplc="04060005" w:tentative="1">
      <w:start w:val="1"/>
      <w:numFmt w:val="bullet"/>
      <w:lvlText w:val=""/>
      <w:lvlJc w:val="left"/>
      <w:pPr>
        <w:ind w:left="6542" w:hanging="360"/>
      </w:pPr>
      <w:rPr>
        <w:rFonts w:ascii="Wingdings" w:hAnsi="Wingdings" w:hint="default"/>
      </w:rPr>
    </w:lvl>
  </w:abstractNum>
  <w:abstractNum w:abstractNumId="25">
    <w:nsid w:val="2B621469"/>
    <w:multiLevelType w:val="hybridMultilevel"/>
    <w:tmpl w:val="6CDE17FE"/>
    <w:lvl w:ilvl="0" w:tplc="CA7A5140">
      <w:start w:val="4"/>
      <w:numFmt w:val="bullet"/>
      <w:lvlText w:val="-"/>
      <w:lvlJc w:val="left"/>
      <w:pPr>
        <w:ind w:left="1119"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839" w:hanging="360"/>
      </w:pPr>
      <w:rPr>
        <w:rFonts w:ascii="Courier New" w:hAnsi="Courier New" w:cs="Courier New" w:hint="default"/>
      </w:rPr>
    </w:lvl>
    <w:lvl w:ilvl="2" w:tplc="04060005" w:tentative="1">
      <w:start w:val="1"/>
      <w:numFmt w:val="bullet"/>
      <w:lvlText w:val=""/>
      <w:lvlJc w:val="left"/>
      <w:pPr>
        <w:ind w:left="2559" w:hanging="360"/>
      </w:pPr>
      <w:rPr>
        <w:rFonts w:ascii="Wingdings" w:hAnsi="Wingdings" w:hint="default"/>
      </w:rPr>
    </w:lvl>
    <w:lvl w:ilvl="3" w:tplc="04060001" w:tentative="1">
      <w:start w:val="1"/>
      <w:numFmt w:val="bullet"/>
      <w:lvlText w:val=""/>
      <w:lvlJc w:val="left"/>
      <w:pPr>
        <w:ind w:left="3279" w:hanging="360"/>
      </w:pPr>
      <w:rPr>
        <w:rFonts w:ascii="Symbol" w:hAnsi="Symbol" w:hint="default"/>
      </w:rPr>
    </w:lvl>
    <w:lvl w:ilvl="4" w:tplc="04060003" w:tentative="1">
      <w:start w:val="1"/>
      <w:numFmt w:val="bullet"/>
      <w:lvlText w:val="o"/>
      <w:lvlJc w:val="left"/>
      <w:pPr>
        <w:ind w:left="3999" w:hanging="360"/>
      </w:pPr>
      <w:rPr>
        <w:rFonts w:ascii="Courier New" w:hAnsi="Courier New" w:cs="Courier New" w:hint="default"/>
      </w:rPr>
    </w:lvl>
    <w:lvl w:ilvl="5" w:tplc="04060005" w:tentative="1">
      <w:start w:val="1"/>
      <w:numFmt w:val="bullet"/>
      <w:lvlText w:val=""/>
      <w:lvlJc w:val="left"/>
      <w:pPr>
        <w:ind w:left="4719" w:hanging="360"/>
      </w:pPr>
      <w:rPr>
        <w:rFonts w:ascii="Wingdings" w:hAnsi="Wingdings" w:hint="default"/>
      </w:rPr>
    </w:lvl>
    <w:lvl w:ilvl="6" w:tplc="04060001" w:tentative="1">
      <w:start w:val="1"/>
      <w:numFmt w:val="bullet"/>
      <w:lvlText w:val=""/>
      <w:lvlJc w:val="left"/>
      <w:pPr>
        <w:ind w:left="5439" w:hanging="360"/>
      </w:pPr>
      <w:rPr>
        <w:rFonts w:ascii="Symbol" w:hAnsi="Symbol" w:hint="default"/>
      </w:rPr>
    </w:lvl>
    <w:lvl w:ilvl="7" w:tplc="04060003" w:tentative="1">
      <w:start w:val="1"/>
      <w:numFmt w:val="bullet"/>
      <w:lvlText w:val="o"/>
      <w:lvlJc w:val="left"/>
      <w:pPr>
        <w:ind w:left="6159" w:hanging="360"/>
      </w:pPr>
      <w:rPr>
        <w:rFonts w:ascii="Courier New" w:hAnsi="Courier New" w:cs="Courier New" w:hint="default"/>
      </w:rPr>
    </w:lvl>
    <w:lvl w:ilvl="8" w:tplc="04060005" w:tentative="1">
      <w:start w:val="1"/>
      <w:numFmt w:val="bullet"/>
      <w:lvlText w:val=""/>
      <w:lvlJc w:val="left"/>
      <w:pPr>
        <w:ind w:left="6879" w:hanging="360"/>
      </w:pPr>
      <w:rPr>
        <w:rFonts w:ascii="Wingdings" w:hAnsi="Wingdings" w:hint="default"/>
      </w:rPr>
    </w:lvl>
  </w:abstractNum>
  <w:abstractNum w:abstractNumId="26">
    <w:nsid w:val="2DC92909"/>
    <w:multiLevelType w:val="hybridMultilevel"/>
    <w:tmpl w:val="0F404A8C"/>
    <w:lvl w:ilvl="0" w:tplc="F020C3D2">
      <w:start w:val="1"/>
      <w:numFmt w:val="decimal"/>
      <w:lvlText w:val="%1)"/>
      <w:lvlJc w:val="left"/>
      <w:pPr>
        <w:ind w:left="780" w:hanging="360"/>
      </w:pPr>
      <w:rPr>
        <w:rFonts w:hint="default"/>
        <w:color w:val="C00000"/>
      </w:rPr>
    </w:lvl>
    <w:lvl w:ilvl="1" w:tplc="04060019" w:tentative="1">
      <w:start w:val="1"/>
      <w:numFmt w:val="lowerLetter"/>
      <w:lvlText w:val="%2."/>
      <w:lvlJc w:val="left"/>
      <w:pPr>
        <w:ind w:left="1500" w:hanging="360"/>
      </w:pPr>
    </w:lvl>
    <w:lvl w:ilvl="2" w:tplc="0406001B" w:tentative="1">
      <w:start w:val="1"/>
      <w:numFmt w:val="lowerRoman"/>
      <w:lvlText w:val="%3."/>
      <w:lvlJc w:val="right"/>
      <w:pPr>
        <w:ind w:left="2220" w:hanging="180"/>
      </w:pPr>
    </w:lvl>
    <w:lvl w:ilvl="3" w:tplc="0406000F" w:tentative="1">
      <w:start w:val="1"/>
      <w:numFmt w:val="decimal"/>
      <w:lvlText w:val="%4."/>
      <w:lvlJc w:val="left"/>
      <w:pPr>
        <w:ind w:left="2940" w:hanging="360"/>
      </w:pPr>
    </w:lvl>
    <w:lvl w:ilvl="4" w:tplc="04060019" w:tentative="1">
      <w:start w:val="1"/>
      <w:numFmt w:val="lowerLetter"/>
      <w:lvlText w:val="%5."/>
      <w:lvlJc w:val="left"/>
      <w:pPr>
        <w:ind w:left="3660" w:hanging="360"/>
      </w:pPr>
    </w:lvl>
    <w:lvl w:ilvl="5" w:tplc="0406001B" w:tentative="1">
      <w:start w:val="1"/>
      <w:numFmt w:val="lowerRoman"/>
      <w:lvlText w:val="%6."/>
      <w:lvlJc w:val="right"/>
      <w:pPr>
        <w:ind w:left="4380" w:hanging="180"/>
      </w:pPr>
    </w:lvl>
    <w:lvl w:ilvl="6" w:tplc="0406000F" w:tentative="1">
      <w:start w:val="1"/>
      <w:numFmt w:val="decimal"/>
      <w:lvlText w:val="%7."/>
      <w:lvlJc w:val="left"/>
      <w:pPr>
        <w:ind w:left="5100" w:hanging="360"/>
      </w:pPr>
    </w:lvl>
    <w:lvl w:ilvl="7" w:tplc="04060019" w:tentative="1">
      <w:start w:val="1"/>
      <w:numFmt w:val="lowerLetter"/>
      <w:lvlText w:val="%8."/>
      <w:lvlJc w:val="left"/>
      <w:pPr>
        <w:ind w:left="5820" w:hanging="360"/>
      </w:pPr>
    </w:lvl>
    <w:lvl w:ilvl="8" w:tplc="0406001B" w:tentative="1">
      <w:start w:val="1"/>
      <w:numFmt w:val="lowerRoman"/>
      <w:lvlText w:val="%9."/>
      <w:lvlJc w:val="right"/>
      <w:pPr>
        <w:ind w:left="6540" w:hanging="180"/>
      </w:pPr>
    </w:lvl>
  </w:abstractNum>
  <w:abstractNum w:abstractNumId="27">
    <w:nsid w:val="37E627CD"/>
    <w:multiLevelType w:val="hybridMultilevel"/>
    <w:tmpl w:val="5BD809A8"/>
    <w:lvl w:ilvl="0" w:tplc="CA7A5140">
      <w:start w:val="4"/>
      <w:numFmt w:val="bullet"/>
      <w:lvlText w:val="-"/>
      <w:lvlJc w:val="left"/>
      <w:pPr>
        <w:ind w:left="779"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99" w:hanging="360"/>
      </w:pPr>
      <w:rPr>
        <w:rFonts w:ascii="Courier New" w:hAnsi="Courier New" w:cs="Courier New" w:hint="default"/>
      </w:rPr>
    </w:lvl>
    <w:lvl w:ilvl="2" w:tplc="04060005" w:tentative="1">
      <w:start w:val="1"/>
      <w:numFmt w:val="bullet"/>
      <w:lvlText w:val=""/>
      <w:lvlJc w:val="left"/>
      <w:pPr>
        <w:ind w:left="2219" w:hanging="360"/>
      </w:pPr>
      <w:rPr>
        <w:rFonts w:ascii="Wingdings" w:hAnsi="Wingdings" w:hint="default"/>
      </w:rPr>
    </w:lvl>
    <w:lvl w:ilvl="3" w:tplc="04060001" w:tentative="1">
      <w:start w:val="1"/>
      <w:numFmt w:val="bullet"/>
      <w:lvlText w:val=""/>
      <w:lvlJc w:val="left"/>
      <w:pPr>
        <w:ind w:left="2939" w:hanging="360"/>
      </w:pPr>
      <w:rPr>
        <w:rFonts w:ascii="Symbol" w:hAnsi="Symbol" w:hint="default"/>
      </w:rPr>
    </w:lvl>
    <w:lvl w:ilvl="4" w:tplc="04060003" w:tentative="1">
      <w:start w:val="1"/>
      <w:numFmt w:val="bullet"/>
      <w:lvlText w:val="o"/>
      <w:lvlJc w:val="left"/>
      <w:pPr>
        <w:ind w:left="3659" w:hanging="360"/>
      </w:pPr>
      <w:rPr>
        <w:rFonts w:ascii="Courier New" w:hAnsi="Courier New" w:cs="Courier New" w:hint="default"/>
      </w:rPr>
    </w:lvl>
    <w:lvl w:ilvl="5" w:tplc="04060005" w:tentative="1">
      <w:start w:val="1"/>
      <w:numFmt w:val="bullet"/>
      <w:lvlText w:val=""/>
      <w:lvlJc w:val="left"/>
      <w:pPr>
        <w:ind w:left="4379" w:hanging="360"/>
      </w:pPr>
      <w:rPr>
        <w:rFonts w:ascii="Wingdings" w:hAnsi="Wingdings" w:hint="default"/>
      </w:rPr>
    </w:lvl>
    <w:lvl w:ilvl="6" w:tplc="04060001" w:tentative="1">
      <w:start w:val="1"/>
      <w:numFmt w:val="bullet"/>
      <w:lvlText w:val=""/>
      <w:lvlJc w:val="left"/>
      <w:pPr>
        <w:ind w:left="5099" w:hanging="360"/>
      </w:pPr>
      <w:rPr>
        <w:rFonts w:ascii="Symbol" w:hAnsi="Symbol" w:hint="default"/>
      </w:rPr>
    </w:lvl>
    <w:lvl w:ilvl="7" w:tplc="04060003" w:tentative="1">
      <w:start w:val="1"/>
      <w:numFmt w:val="bullet"/>
      <w:lvlText w:val="o"/>
      <w:lvlJc w:val="left"/>
      <w:pPr>
        <w:ind w:left="5819" w:hanging="360"/>
      </w:pPr>
      <w:rPr>
        <w:rFonts w:ascii="Courier New" w:hAnsi="Courier New" w:cs="Courier New" w:hint="default"/>
      </w:rPr>
    </w:lvl>
    <w:lvl w:ilvl="8" w:tplc="04060005" w:tentative="1">
      <w:start w:val="1"/>
      <w:numFmt w:val="bullet"/>
      <w:lvlText w:val=""/>
      <w:lvlJc w:val="left"/>
      <w:pPr>
        <w:ind w:left="6539" w:hanging="360"/>
      </w:pPr>
      <w:rPr>
        <w:rFonts w:ascii="Wingdings" w:hAnsi="Wingdings" w:hint="default"/>
      </w:rPr>
    </w:lvl>
  </w:abstractNum>
  <w:abstractNum w:abstractNumId="28">
    <w:nsid w:val="38F71F9F"/>
    <w:multiLevelType w:val="hybridMultilevel"/>
    <w:tmpl w:val="ABBA87E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3A3B3853"/>
    <w:multiLevelType w:val="hybridMultilevel"/>
    <w:tmpl w:val="124C3B9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3C4612CF"/>
    <w:multiLevelType w:val="hybridMultilevel"/>
    <w:tmpl w:val="75DABD0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3CB935AC"/>
    <w:multiLevelType w:val="hybridMultilevel"/>
    <w:tmpl w:val="71FE7F2C"/>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3D163F7A"/>
    <w:multiLevelType w:val="multilevel"/>
    <w:tmpl w:val="740EC886"/>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1004"/>
        </w:tabs>
        <w:ind w:left="1004"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40BF2882"/>
    <w:multiLevelType w:val="hybridMultilevel"/>
    <w:tmpl w:val="7DE09A50"/>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44E41499"/>
    <w:multiLevelType w:val="hybridMultilevel"/>
    <w:tmpl w:val="EA881462"/>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46E6242A"/>
    <w:multiLevelType w:val="hybridMultilevel"/>
    <w:tmpl w:val="84F42B92"/>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99B11C1"/>
    <w:multiLevelType w:val="multilevel"/>
    <w:tmpl w:val="FF3C65C2"/>
    <w:lvl w:ilvl="0">
      <w:start w:val="1"/>
      <w:numFmt w:val="decimal"/>
      <w:pStyle w:val="ECCFiguretitle"/>
      <w:suff w:val="space"/>
      <w:lvlText w:val="Figure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4B0F4024"/>
    <w:multiLevelType w:val="hybridMultilevel"/>
    <w:tmpl w:val="2CA06DEC"/>
    <w:lvl w:ilvl="0" w:tplc="CA7A5140">
      <w:start w:val="4"/>
      <w:numFmt w:val="bullet"/>
      <w:lvlText w:val="-"/>
      <w:lvlJc w:val="left"/>
      <w:pPr>
        <w:ind w:left="1119"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839" w:hanging="360"/>
      </w:pPr>
      <w:rPr>
        <w:rFonts w:ascii="Courier New" w:hAnsi="Courier New" w:cs="Courier New" w:hint="default"/>
      </w:rPr>
    </w:lvl>
    <w:lvl w:ilvl="2" w:tplc="04060005" w:tentative="1">
      <w:start w:val="1"/>
      <w:numFmt w:val="bullet"/>
      <w:lvlText w:val=""/>
      <w:lvlJc w:val="left"/>
      <w:pPr>
        <w:ind w:left="2559" w:hanging="360"/>
      </w:pPr>
      <w:rPr>
        <w:rFonts w:ascii="Wingdings" w:hAnsi="Wingdings" w:hint="default"/>
      </w:rPr>
    </w:lvl>
    <w:lvl w:ilvl="3" w:tplc="04060001" w:tentative="1">
      <w:start w:val="1"/>
      <w:numFmt w:val="bullet"/>
      <w:lvlText w:val=""/>
      <w:lvlJc w:val="left"/>
      <w:pPr>
        <w:ind w:left="3279" w:hanging="360"/>
      </w:pPr>
      <w:rPr>
        <w:rFonts w:ascii="Symbol" w:hAnsi="Symbol" w:hint="default"/>
      </w:rPr>
    </w:lvl>
    <w:lvl w:ilvl="4" w:tplc="04060003" w:tentative="1">
      <w:start w:val="1"/>
      <w:numFmt w:val="bullet"/>
      <w:lvlText w:val="o"/>
      <w:lvlJc w:val="left"/>
      <w:pPr>
        <w:ind w:left="3999" w:hanging="360"/>
      </w:pPr>
      <w:rPr>
        <w:rFonts w:ascii="Courier New" w:hAnsi="Courier New" w:cs="Courier New" w:hint="default"/>
      </w:rPr>
    </w:lvl>
    <w:lvl w:ilvl="5" w:tplc="04060005" w:tentative="1">
      <w:start w:val="1"/>
      <w:numFmt w:val="bullet"/>
      <w:lvlText w:val=""/>
      <w:lvlJc w:val="left"/>
      <w:pPr>
        <w:ind w:left="4719" w:hanging="360"/>
      </w:pPr>
      <w:rPr>
        <w:rFonts w:ascii="Wingdings" w:hAnsi="Wingdings" w:hint="default"/>
      </w:rPr>
    </w:lvl>
    <w:lvl w:ilvl="6" w:tplc="04060001" w:tentative="1">
      <w:start w:val="1"/>
      <w:numFmt w:val="bullet"/>
      <w:lvlText w:val=""/>
      <w:lvlJc w:val="left"/>
      <w:pPr>
        <w:ind w:left="5439" w:hanging="360"/>
      </w:pPr>
      <w:rPr>
        <w:rFonts w:ascii="Symbol" w:hAnsi="Symbol" w:hint="default"/>
      </w:rPr>
    </w:lvl>
    <w:lvl w:ilvl="7" w:tplc="04060003" w:tentative="1">
      <w:start w:val="1"/>
      <w:numFmt w:val="bullet"/>
      <w:lvlText w:val="o"/>
      <w:lvlJc w:val="left"/>
      <w:pPr>
        <w:ind w:left="6159" w:hanging="360"/>
      </w:pPr>
      <w:rPr>
        <w:rFonts w:ascii="Courier New" w:hAnsi="Courier New" w:cs="Courier New" w:hint="default"/>
      </w:rPr>
    </w:lvl>
    <w:lvl w:ilvl="8" w:tplc="04060005" w:tentative="1">
      <w:start w:val="1"/>
      <w:numFmt w:val="bullet"/>
      <w:lvlText w:val=""/>
      <w:lvlJc w:val="left"/>
      <w:pPr>
        <w:ind w:left="6879" w:hanging="360"/>
      </w:pPr>
      <w:rPr>
        <w:rFonts w:ascii="Wingdings" w:hAnsi="Wingdings" w:hint="default"/>
      </w:rPr>
    </w:lvl>
  </w:abstractNum>
  <w:abstractNum w:abstractNumId="38">
    <w:nsid w:val="4BE6712A"/>
    <w:multiLevelType w:val="hybridMultilevel"/>
    <w:tmpl w:val="6D8ADE02"/>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4C59319F"/>
    <w:multiLevelType w:val="hybridMultilevel"/>
    <w:tmpl w:val="CEB69CA6"/>
    <w:lvl w:ilvl="0" w:tplc="56CC27A0">
      <w:start w:val="1"/>
      <w:numFmt w:val="lowerLetter"/>
      <w:lvlText w:val="%1."/>
      <w:lvlJc w:val="left"/>
      <w:pPr>
        <w:tabs>
          <w:tab w:val="num" w:pos="720"/>
        </w:tabs>
        <w:ind w:left="720" w:hanging="360"/>
      </w:pPr>
      <w:rPr>
        <w:rFonts w:ascii="Arial" w:hAnsi="Arial" w:hint="default"/>
        <w:color w:val="C00000"/>
        <w:sz w:val="20"/>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0">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1">
    <w:nsid w:val="4E585946"/>
    <w:multiLevelType w:val="hybridMultilevel"/>
    <w:tmpl w:val="4372FEDC"/>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547B33F6"/>
    <w:multiLevelType w:val="hybridMultilevel"/>
    <w:tmpl w:val="E30E30C0"/>
    <w:lvl w:ilvl="0" w:tplc="998AE6DA">
      <w:start w:val="1"/>
      <w:numFmt w:val="bullet"/>
      <w:lvlText w:val=""/>
      <w:lvlJc w:val="left"/>
      <w:pPr>
        <w:ind w:left="720" w:hanging="360"/>
      </w:pPr>
      <w:rPr>
        <w:rFonts w:ascii="Wingdings" w:hAnsi="Wingdings" w:cs="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54947190"/>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cs="Times New Roman"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cs="Times New Roman" w:hint="default"/>
      </w:rPr>
    </w:lvl>
    <w:lvl w:ilvl="8">
      <w:start w:val="1"/>
      <w:numFmt w:val="bullet"/>
      <w:lvlText w:val=""/>
      <w:lvlJc w:val="left"/>
      <w:pPr>
        <w:tabs>
          <w:tab w:val="num" w:pos="5459"/>
        </w:tabs>
        <w:ind w:left="5459" w:hanging="360"/>
      </w:pPr>
      <w:rPr>
        <w:rFonts w:ascii="Wingdings" w:hAnsi="Wingdings" w:hint="default"/>
      </w:rPr>
    </w:lvl>
  </w:abstractNum>
  <w:abstractNum w:abstractNumId="44">
    <w:nsid w:val="55E463AA"/>
    <w:multiLevelType w:val="hybridMultilevel"/>
    <w:tmpl w:val="842E6B72"/>
    <w:lvl w:ilvl="0" w:tplc="73C4B67C">
      <w:start w:val="1"/>
      <w:numFmt w:val="bullet"/>
      <w:lvlText w:val=""/>
      <w:lvlJc w:val="left"/>
      <w:pPr>
        <w:tabs>
          <w:tab w:val="num" w:pos="720"/>
        </w:tabs>
        <w:ind w:left="720" w:hanging="360"/>
      </w:pPr>
      <w:rPr>
        <w:rFonts w:ascii="Symbol" w:hAnsi="Symbol" w:hint="default"/>
        <w:color w:val="C0000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5">
    <w:nsid w:val="572326EE"/>
    <w:multiLevelType w:val="multilevel"/>
    <w:tmpl w:val="2034D866"/>
    <w:styleLink w:val="ECCNumbers-Bullets"/>
    <w:lvl w:ilvl="0">
      <w:start w:val="1"/>
      <w:numFmt w:val="decimal"/>
      <w:pStyle w:val="ECCNumberedBullets"/>
      <w:lvlText w:val="%1."/>
      <w:lvlJc w:val="left"/>
      <w:pPr>
        <w:tabs>
          <w:tab w:val="num" w:pos="680"/>
        </w:tabs>
        <w:ind w:left="680" w:hanging="340"/>
      </w:pPr>
      <w:rPr>
        <w:rFonts w:ascii="Arial" w:hAnsi="Arial" w:hint="default"/>
        <w:b w:val="0"/>
        <w:i w:val="0"/>
        <w:color w:val="D2232A"/>
        <w:sz w:val="20"/>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decimal"/>
      <w:lvlText w:val="(%4)"/>
      <w:lvlJc w:val="left"/>
      <w:pPr>
        <w:ind w:left="1383" w:hanging="360"/>
      </w:pPr>
      <w:rPr>
        <w:rFonts w:hint="default"/>
      </w:rPr>
    </w:lvl>
    <w:lvl w:ilvl="4">
      <w:start w:val="1"/>
      <w:numFmt w:val="lowerLetter"/>
      <w:lvlText w:val="(%5)"/>
      <w:lvlJc w:val="left"/>
      <w:pPr>
        <w:ind w:left="1743" w:hanging="360"/>
      </w:pPr>
      <w:rPr>
        <w:rFonts w:hint="default"/>
      </w:rPr>
    </w:lvl>
    <w:lvl w:ilvl="5">
      <w:start w:val="1"/>
      <w:numFmt w:val="lowerRoman"/>
      <w:lvlText w:val="(%6)"/>
      <w:lvlJc w:val="left"/>
      <w:pPr>
        <w:ind w:left="2103" w:hanging="360"/>
      </w:pPr>
      <w:rPr>
        <w:rFonts w:hint="default"/>
      </w:rPr>
    </w:lvl>
    <w:lvl w:ilvl="6">
      <w:start w:val="1"/>
      <w:numFmt w:val="decimal"/>
      <w:lvlText w:val="%7."/>
      <w:lvlJc w:val="left"/>
      <w:pPr>
        <w:ind w:left="2463" w:hanging="360"/>
      </w:pPr>
      <w:rPr>
        <w:rFonts w:hint="default"/>
      </w:rPr>
    </w:lvl>
    <w:lvl w:ilvl="7">
      <w:start w:val="1"/>
      <w:numFmt w:val="lowerLetter"/>
      <w:lvlText w:val="%8."/>
      <w:lvlJc w:val="left"/>
      <w:pPr>
        <w:ind w:left="2823" w:hanging="360"/>
      </w:pPr>
      <w:rPr>
        <w:rFonts w:hint="default"/>
      </w:rPr>
    </w:lvl>
    <w:lvl w:ilvl="8">
      <w:start w:val="1"/>
      <w:numFmt w:val="lowerRoman"/>
      <w:lvlText w:val="%9."/>
      <w:lvlJc w:val="left"/>
      <w:pPr>
        <w:ind w:left="3183" w:hanging="360"/>
      </w:pPr>
      <w:rPr>
        <w:rFonts w:hint="default"/>
      </w:rPr>
    </w:lvl>
  </w:abstractNum>
  <w:abstractNum w:abstractNumId="46">
    <w:nsid w:val="57994DDD"/>
    <w:multiLevelType w:val="hybridMultilevel"/>
    <w:tmpl w:val="A3E8A0F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57EF2C2B"/>
    <w:multiLevelType w:val="hybridMultilevel"/>
    <w:tmpl w:val="576E8372"/>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nsid w:val="592E0AB4"/>
    <w:multiLevelType w:val="hybridMultilevel"/>
    <w:tmpl w:val="B446800E"/>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nsid w:val="5A52363F"/>
    <w:multiLevelType w:val="hybridMultilevel"/>
    <w:tmpl w:val="A20EA410"/>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nsid w:val="5C131CF4"/>
    <w:multiLevelType w:val="multilevel"/>
    <w:tmpl w:val="FCEC7FBC"/>
    <w:numStyleLink w:val="ECCBullets"/>
  </w:abstractNum>
  <w:abstractNum w:abstractNumId="51">
    <w:nsid w:val="5C8C20E3"/>
    <w:multiLevelType w:val="multilevel"/>
    <w:tmpl w:val="FCEC7FBC"/>
    <w:numStyleLink w:val="ECCBullets"/>
  </w:abstractNum>
  <w:abstractNum w:abstractNumId="52">
    <w:nsid w:val="5F7B4A6A"/>
    <w:multiLevelType w:val="hybridMultilevel"/>
    <w:tmpl w:val="FFA8805C"/>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nsid w:val="5FCC56F7"/>
    <w:multiLevelType w:val="hybridMultilevel"/>
    <w:tmpl w:val="015A1FF0"/>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nsid w:val="624D0188"/>
    <w:multiLevelType w:val="hybridMultilevel"/>
    <w:tmpl w:val="E6446114"/>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nsid w:val="637E2C30"/>
    <w:multiLevelType w:val="hybridMultilevel"/>
    <w:tmpl w:val="E10E6654"/>
    <w:lvl w:ilvl="0" w:tplc="CA7A5140">
      <w:start w:val="4"/>
      <w:numFmt w:val="bullet"/>
      <w:lvlText w:val="-"/>
      <w:lvlJc w:val="left"/>
      <w:pPr>
        <w:ind w:left="720"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nsid w:val="652B6753"/>
    <w:multiLevelType w:val="hybridMultilevel"/>
    <w:tmpl w:val="75D2547C"/>
    <w:lvl w:ilvl="0" w:tplc="CA7A5140">
      <w:start w:val="4"/>
      <w:numFmt w:val="bullet"/>
      <w:lvlText w:val="-"/>
      <w:lvlJc w:val="left"/>
      <w:pPr>
        <w:ind w:left="1119"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839" w:hanging="360"/>
      </w:pPr>
      <w:rPr>
        <w:rFonts w:ascii="Courier New" w:hAnsi="Courier New" w:cs="Courier New" w:hint="default"/>
      </w:rPr>
    </w:lvl>
    <w:lvl w:ilvl="2" w:tplc="04060005" w:tentative="1">
      <w:start w:val="1"/>
      <w:numFmt w:val="bullet"/>
      <w:lvlText w:val=""/>
      <w:lvlJc w:val="left"/>
      <w:pPr>
        <w:ind w:left="2559" w:hanging="360"/>
      </w:pPr>
      <w:rPr>
        <w:rFonts w:ascii="Wingdings" w:hAnsi="Wingdings" w:hint="default"/>
      </w:rPr>
    </w:lvl>
    <w:lvl w:ilvl="3" w:tplc="04060001" w:tentative="1">
      <w:start w:val="1"/>
      <w:numFmt w:val="bullet"/>
      <w:lvlText w:val=""/>
      <w:lvlJc w:val="left"/>
      <w:pPr>
        <w:ind w:left="3279" w:hanging="360"/>
      </w:pPr>
      <w:rPr>
        <w:rFonts w:ascii="Symbol" w:hAnsi="Symbol" w:hint="default"/>
      </w:rPr>
    </w:lvl>
    <w:lvl w:ilvl="4" w:tplc="04060003" w:tentative="1">
      <w:start w:val="1"/>
      <w:numFmt w:val="bullet"/>
      <w:lvlText w:val="o"/>
      <w:lvlJc w:val="left"/>
      <w:pPr>
        <w:ind w:left="3999" w:hanging="360"/>
      </w:pPr>
      <w:rPr>
        <w:rFonts w:ascii="Courier New" w:hAnsi="Courier New" w:cs="Courier New" w:hint="default"/>
      </w:rPr>
    </w:lvl>
    <w:lvl w:ilvl="5" w:tplc="04060005" w:tentative="1">
      <w:start w:val="1"/>
      <w:numFmt w:val="bullet"/>
      <w:lvlText w:val=""/>
      <w:lvlJc w:val="left"/>
      <w:pPr>
        <w:ind w:left="4719" w:hanging="360"/>
      </w:pPr>
      <w:rPr>
        <w:rFonts w:ascii="Wingdings" w:hAnsi="Wingdings" w:hint="default"/>
      </w:rPr>
    </w:lvl>
    <w:lvl w:ilvl="6" w:tplc="04060001" w:tentative="1">
      <w:start w:val="1"/>
      <w:numFmt w:val="bullet"/>
      <w:lvlText w:val=""/>
      <w:lvlJc w:val="left"/>
      <w:pPr>
        <w:ind w:left="5439" w:hanging="360"/>
      </w:pPr>
      <w:rPr>
        <w:rFonts w:ascii="Symbol" w:hAnsi="Symbol" w:hint="default"/>
      </w:rPr>
    </w:lvl>
    <w:lvl w:ilvl="7" w:tplc="04060003" w:tentative="1">
      <w:start w:val="1"/>
      <w:numFmt w:val="bullet"/>
      <w:lvlText w:val="o"/>
      <w:lvlJc w:val="left"/>
      <w:pPr>
        <w:ind w:left="6159" w:hanging="360"/>
      </w:pPr>
      <w:rPr>
        <w:rFonts w:ascii="Courier New" w:hAnsi="Courier New" w:cs="Courier New" w:hint="default"/>
      </w:rPr>
    </w:lvl>
    <w:lvl w:ilvl="8" w:tplc="04060005" w:tentative="1">
      <w:start w:val="1"/>
      <w:numFmt w:val="bullet"/>
      <w:lvlText w:val=""/>
      <w:lvlJc w:val="left"/>
      <w:pPr>
        <w:ind w:left="6879" w:hanging="360"/>
      </w:pPr>
      <w:rPr>
        <w:rFonts w:ascii="Wingdings" w:hAnsi="Wingdings" w:hint="default"/>
      </w:rPr>
    </w:lvl>
  </w:abstractNum>
  <w:abstractNum w:abstractNumId="57">
    <w:nsid w:val="66F75CA3"/>
    <w:multiLevelType w:val="multilevel"/>
    <w:tmpl w:val="FCEC7FBC"/>
    <w:numStyleLink w:val="ECCBullets"/>
  </w:abstractNum>
  <w:abstractNum w:abstractNumId="58">
    <w:nsid w:val="67086813"/>
    <w:multiLevelType w:val="hybridMultilevel"/>
    <w:tmpl w:val="C03C694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nsid w:val="681C5224"/>
    <w:multiLevelType w:val="hybridMultilevel"/>
    <w:tmpl w:val="D270A43C"/>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nsid w:val="69C7350D"/>
    <w:multiLevelType w:val="hybridMultilevel"/>
    <w:tmpl w:val="E228ACAE"/>
    <w:lvl w:ilvl="0" w:tplc="CA7A5140">
      <w:start w:val="4"/>
      <w:numFmt w:val="bullet"/>
      <w:lvlText w:val="-"/>
      <w:lvlJc w:val="left"/>
      <w:pPr>
        <w:tabs>
          <w:tab w:val="num" w:pos="720"/>
        </w:tabs>
        <w:ind w:left="720" w:hanging="360"/>
      </w:pPr>
      <w:rPr>
        <w:rFonts w:ascii="Times New Roman" w:eastAsia="Times New Roman" w:hAnsi="Times New Roman" w:cs="Times New Roman" w:hint="default"/>
        <w:b/>
        <w:i/>
        <w:color w:val="C00000"/>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1">
    <w:nsid w:val="6BDF28D2"/>
    <w:multiLevelType w:val="hybridMultilevel"/>
    <w:tmpl w:val="67B88230"/>
    <w:lvl w:ilvl="0" w:tplc="CA7A5140">
      <w:start w:val="4"/>
      <w:numFmt w:val="bullet"/>
      <w:lvlText w:val="-"/>
      <w:lvlJc w:val="left"/>
      <w:pPr>
        <w:ind w:left="779" w:hanging="360"/>
      </w:pPr>
      <w:rPr>
        <w:rFonts w:ascii="Times New Roman" w:eastAsia="Times New Roman" w:hAnsi="Times New Roman" w:cs="Times New Roman" w:hint="default"/>
        <w:b/>
        <w:i/>
        <w:color w:val="C00000"/>
      </w:rPr>
    </w:lvl>
    <w:lvl w:ilvl="1" w:tplc="04060003" w:tentative="1">
      <w:start w:val="1"/>
      <w:numFmt w:val="bullet"/>
      <w:lvlText w:val="o"/>
      <w:lvlJc w:val="left"/>
      <w:pPr>
        <w:ind w:left="1499" w:hanging="360"/>
      </w:pPr>
      <w:rPr>
        <w:rFonts w:ascii="Courier New" w:hAnsi="Courier New" w:cs="Courier New" w:hint="default"/>
      </w:rPr>
    </w:lvl>
    <w:lvl w:ilvl="2" w:tplc="04060005" w:tentative="1">
      <w:start w:val="1"/>
      <w:numFmt w:val="bullet"/>
      <w:lvlText w:val=""/>
      <w:lvlJc w:val="left"/>
      <w:pPr>
        <w:ind w:left="2219" w:hanging="360"/>
      </w:pPr>
      <w:rPr>
        <w:rFonts w:ascii="Wingdings" w:hAnsi="Wingdings" w:hint="default"/>
      </w:rPr>
    </w:lvl>
    <w:lvl w:ilvl="3" w:tplc="04060001" w:tentative="1">
      <w:start w:val="1"/>
      <w:numFmt w:val="bullet"/>
      <w:lvlText w:val=""/>
      <w:lvlJc w:val="left"/>
      <w:pPr>
        <w:ind w:left="2939" w:hanging="360"/>
      </w:pPr>
      <w:rPr>
        <w:rFonts w:ascii="Symbol" w:hAnsi="Symbol" w:hint="default"/>
      </w:rPr>
    </w:lvl>
    <w:lvl w:ilvl="4" w:tplc="04060003" w:tentative="1">
      <w:start w:val="1"/>
      <w:numFmt w:val="bullet"/>
      <w:lvlText w:val="o"/>
      <w:lvlJc w:val="left"/>
      <w:pPr>
        <w:ind w:left="3659" w:hanging="360"/>
      </w:pPr>
      <w:rPr>
        <w:rFonts w:ascii="Courier New" w:hAnsi="Courier New" w:cs="Courier New" w:hint="default"/>
      </w:rPr>
    </w:lvl>
    <w:lvl w:ilvl="5" w:tplc="04060005" w:tentative="1">
      <w:start w:val="1"/>
      <w:numFmt w:val="bullet"/>
      <w:lvlText w:val=""/>
      <w:lvlJc w:val="left"/>
      <w:pPr>
        <w:ind w:left="4379" w:hanging="360"/>
      </w:pPr>
      <w:rPr>
        <w:rFonts w:ascii="Wingdings" w:hAnsi="Wingdings" w:hint="default"/>
      </w:rPr>
    </w:lvl>
    <w:lvl w:ilvl="6" w:tplc="04060001" w:tentative="1">
      <w:start w:val="1"/>
      <w:numFmt w:val="bullet"/>
      <w:lvlText w:val=""/>
      <w:lvlJc w:val="left"/>
      <w:pPr>
        <w:ind w:left="5099" w:hanging="360"/>
      </w:pPr>
      <w:rPr>
        <w:rFonts w:ascii="Symbol" w:hAnsi="Symbol" w:hint="default"/>
      </w:rPr>
    </w:lvl>
    <w:lvl w:ilvl="7" w:tplc="04060003" w:tentative="1">
      <w:start w:val="1"/>
      <w:numFmt w:val="bullet"/>
      <w:lvlText w:val="o"/>
      <w:lvlJc w:val="left"/>
      <w:pPr>
        <w:ind w:left="5819" w:hanging="360"/>
      </w:pPr>
      <w:rPr>
        <w:rFonts w:ascii="Courier New" w:hAnsi="Courier New" w:cs="Courier New" w:hint="default"/>
      </w:rPr>
    </w:lvl>
    <w:lvl w:ilvl="8" w:tplc="04060005" w:tentative="1">
      <w:start w:val="1"/>
      <w:numFmt w:val="bullet"/>
      <w:lvlText w:val=""/>
      <w:lvlJc w:val="left"/>
      <w:pPr>
        <w:ind w:left="6539" w:hanging="360"/>
      </w:pPr>
      <w:rPr>
        <w:rFonts w:ascii="Wingdings" w:hAnsi="Wingdings" w:hint="default"/>
      </w:rPr>
    </w:lvl>
  </w:abstractNum>
  <w:abstractNum w:abstractNumId="62">
    <w:nsid w:val="6E9A6AAC"/>
    <w:multiLevelType w:val="hybridMultilevel"/>
    <w:tmpl w:val="31BEACD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3">
    <w:nsid w:val="6F100F33"/>
    <w:multiLevelType w:val="multilevel"/>
    <w:tmpl w:val="FCEC7FBC"/>
    <w:numStyleLink w:val="ECCBullets"/>
  </w:abstractNum>
  <w:abstractNum w:abstractNumId="64">
    <w:nsid w:val="71AC2E44"/>
    <w:multiLevelType w:val="hybridMultilevel"/>
    <w:tmpl w:val="29FE6F2C"/>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nsid w:val="763634C1"/>
    <w:multiLevelType w:val="hybridMultilevel"/>
    <w:tmpl w:val="33DA7C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6">
    <w:nsid w:val="799E6D60"/>
    <w:multiLevelType w:val="hybridMultilevel"/>
    <w:tmpl w:val="AF8E63D0"/>
    <w:lvl w:ilvl="0" w:tplc="73C4B67C">
      <w:start w:val="1"/>
      <w:numFmt w:val="bullet"/>
      <w:lvlText w:val=""/>
      <w:lvlJc w:val="left"/>
      <w:pPr>
        <w:ind w:left="720" w:hanging="360"/>
      </w:pPr>
      <w:rPr>
        <w:rFonts w:ascii="Symbol" w:hAnsi="Symbol" w:hint="default"/>
        <w:color w:val="C00000"/>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nsid w:val="7AD634E8"/>
    <w:multiLevelType w:val="hybridMultilevel"/>
    <w:tmpl w:val="B8DEC766"/>
    <w:lvl w:ilvl="0" w:tplc="CA7A5140">
      <w:start w:val="4"/>
      <w:numFmt w:val="bullet"/>
      <w:lvlText w:val="-"/>
      <w:lvlJc w:val="left"/>
      <w:pPr>
        <w:tabs>
          <w:tab w:val="num" w:pos="360"/>
        </w:tabs>
        <w:ind w:left="360" w:hanging="360"/>
      </w:pPr>
      <w:rPr>
        <w:rFonts w:ascii="Times New Roman" w:eastAsia="Times New Roman" w:hAnsi="Times New Roman" w:cs="Times New Roman" w:hint="default"/>
        <w:b/>
        <w:i/>
        <w:color w:val="C00000"/>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8">
    <w:nsid w:val="7B3212E4"/>
    <w:multiLevelType w:val="multilevel"/>
    <w:tmpl w:val="295ADFC4"/>
    <w:lvl w:ilvl="0">
      <w:start w:val="1"/>
      <w:numFmt w:val="decimal"/>
      <w:pStyle w:val="ECCTabletitle"/>
      <w:suff w:val="space"/>
      <w:lvlText w:val="Table %1:"/>
      <w:lvlJc w:val="left"/>
      <w:pPr>
        <w:ind w:left="192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7B9E418F"/>
    <w:multiLevelType w:val="multilevel"/>
    <w:tmpl w:val="FCEC7FBC"/>
    <w:numStyleLink w:val="ECCBullets"/>
  </w:abstractNum>
  <w:abstractNum w:abstractNumId="70">
    <w:nsid w:val="7E8172D4"/>
    <w:multiLevelType w:val="multilevel"/>
    <w:tmpl w:val="121866B2"/>
    <w:lvl w:ilvl="0">
      <w:start w:val="1"/>
      <w:numFmt w:val="decimal"/>
      <w:pStyle w:val="BulletList1"/>
      <w:lvlText w:val=""/>
      <w:lvlJc w:val="left"/>
      <w:pPr>
        <w:tabs>
          <w:tab w:val="num" w:pos="400"/>
        </w:tabs>
        <w:ind w:left="400" w:hanging="400"/>
      </w:pPr>
      <w:rPr>
        <w:rFonts w:ascii="Symbol" w:hAnsi="Symbol" w:cs="Times New Roman" w:hint="default"/>
        <w:color w:val="4F2683"/>
      </w:rPr>
    </w:lvl>
    <w:lvl w:ilvl="1">
      <w:start w:val="1"/>
      <w:numFmt w:val="lowerLetter"/>
      <w:pStyle w:val="BulletList2"/>
      <w:lvlText w:val="–"/>
      <w:lvlJc w:val="left"/>
      <w:pPr>
        <w:tabs>
          <w:tab w:val="num" w:pos="800"/>
        </w:tabs>
        <w:ind w:left="800" w:hanging="400"/>
      </w:pPr>
      <w:rPr>
        <w:rFonts w:ascii="Arial" w:hAnsi="Arial" w:cs="Arial"/>
        <w:color w:val="4F2683"/>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cs="Times New Roman" w:hint="default"/>
      </w:rPr>
    </w:lvl>
    <w:lvl w:ilvl="4">
      <w:start w:val="1"/>
      <w:numFmt w:val="lowerLetter"/>
      <w:pStyle w:val="BulletList5"/>
      <w:lvlText w:val="·"/>
      <w:lvlJc w:val="left"/>
      <w:pPr>
        <w:tabs>
          <w:tab w:val="num" w:pos="1700"/>
        </w:tabs>
        <w:ind w:left="1700" w:hanging="340"/>
      </w:pPr>
      <w:rPr>
        <w:rFonts w:ascii="Symbol" w:hAnsi="Symbol" w:cs="Times New Roman" w:hint="default"/>
      </w:rPr>
    </w:lvl>
    <w:lvl w:ilvl="5">
      <w:start w:val="1"/>
      <w:numFmt w:val="lowerRoman"/>
      <w:pStyle w:val="BulletList6"/>
      <w:lvlText w:val="·"/>
      <w:lvlJc w:val="left"/>
      <w:pPr>
        <w:tabs>
          <w:tab w:val="num" w:pos="2040"/>
        </w:tabs>
        <w:ind w:left="2040" w:hanging="340"/>
      </w:pPr>
      <w:rPr>
        <w:rFonts w:ascii="Symbol" w:hAnsi="Symbol" w:cs="Times New Roman" w:hint="default"/>
      </w:rPr>
    </w:lvl>
    <w:lvl w:ilvl="6">
      <w:start w:val="1"/>
      <w:numFmt w:val="decimal"/>
      <w:pStyle w:val="BulletList7"/>
      <w:lvlText w:val="·"/>
      <w:lvlJc w:val="left"/>
      <w:pPr>
        <w:tabs>
          <w:tab w:val="num" w:pos="2380"/>
        </w:tabs>
        <w:ind w:left="2380" w:hanging="340"/>
      </w:pPr>
      <w:rPr>
        <w:rFonts w:ascii="Symbol" w:hAnsi="Symbol" w:cs="Times New Roman" w:hint="default"/>
      </w:rPr>
    </w:lvl>
    <w:lvl w:ilvl="7">
      <w:start w:val="1"/>
      <w:numFmt w:val="lowerLetter"/>
      <w:pStyle w:val="BulletList8"/>
      <w:lvlText w:val="·"/>
      <w:lvlJc w:val="left"/>
      <w:pPr>
        <w:tabs>
          <w:tab w:val="num" w:pos="2720"/>
        </w:tabs>
        <w:ind w:left="2720" w:hanging="340"/>
      </w:pPr>
      <w:rPr>
        <w:rFonts w:ascii="Symbol" w:hAnsi="Symbol" w:cs="Times New Roman" w:hint="default"/>
      </w:rPr>
    </w:lvl>
    <w:lvl w:ilvl="8">
      <w:start w:val="1"/>
      <w:numFmt w:val="lowerRoman"/>
      <w:pStyle w:val="BulletList9"/>
      <w:lvlText w:val="·"/>
      <w:lvlJc w:val="left"/>
      <w:pPr>
        <w:tabs>
          <w:tab w:val="num" w:pos="3060"/>
        </w:tabs>
        <w:ind w:left="3060" w:hanging="340"/>
      </w:pPr>
      <w:rPr>
        <w:rFonts w:ascii="Symbol" w:hAnsi="Symbol" w:cs="Times New Roman" w:hint="default"/>
      </w:rPr>
    </w:lvl>
  </w:abstractNum>
  <w:num w:numId="1">
    <w:abstractNumId w:val="17"/>
  </w:num>
  <w:num w:numId="2">
    <w:abstractNumId w:val="32"/>
  </w:num>
  <w:num w:numId="3">
    <w:abstractNumId w:val="68"/>
  </w:num>
  <w:num w:numId="4">
    <w:abstractNumId w:val="36"/>
  </w:num>
  <w:num w:numId="5">
    <w:abstractNumId w:val="18"/>
  </w:num>
  <w:num w:numId="6">
    <w:abstractNumId w:val="35"/>
  </w:num>
  <w:num w:numId="7">
    <w:abstractNumId w:val="12"/>
  </w:num>
  <w:num w:numId="8">
    <w:abstractNumId w:val="45"/>
  </w:num>
  <w:num w:numId="9">
    <w:abstractNumId w:val="40"/>
  </w:num>
  <w:num w:numId="10">
    <w:abstractNumId w:val="53"/>
  </w:num>
  <w:num w:numId="11">
    <w:abstractNumId w:val="28"/>
  </w:num>
  <w:num w:numId="12">
    <w:abstractNumId w:val="39"/>
  </w:num>
  <w:num w:numId="13">
    <w:abstractNumId w:val="44"/>
  </w:num>
  <w:num w:numId="14">
    <w:abstractNumId w:val="58"/>
  </w:num>
  <w:num w:numId="15">
    <w:abstractNumId w:val="59"/>
  </w:num>
  <w:num w:numId="16">
    <w:abstractNumId w:val="22"/>
  </w:num>
  <w:num w:numId="17">
    <w:abstractNumId w:val="64"/>
  </w:num>
  <w:num w:numId="18">
    <w:abstractNumId w:val="17"/>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num>
  <w:num w:numId="24">
    <w:abstractNumId w:val="69"/>
  </w:num>
  <w:num w:numId="25">
    <w:abstractNumId w:val="7"/>
  </w:num>
  <w:num w:numId="26">
    <w:abstractNumId w:val="57"/>
  </w:num>
  <w:num w:numId="27">
    <w:abstractNumId w:val="50"/>
  </w:num>
  <w:num w:numId="28">
    <w:abstractNumId w:val="43"/>
  </w:num>
  <w:num w:numId="29">
    <w:abstractNumId w:val="6"/>
  </w:num>
  <w:num w:numId="30">
    <w:abstractNumId w:val="2"/>
  </w:num>
  <w:num w:numId="31">
    <w:abstractNumId w:val="65"/>
  </w:num>
  <w:num w:numId="32">
    <w:abstractNumId w:val="13"/>
  </w:num>
  <w:num w:numId="33">
    <w:abstractNumId w:val="3"/>
  </w:num>
  <w:num w:numId="3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19"/>
  </w:num>
  <w:num w:numId="37">
    <w:abstractNumId w:val="5"/>
  </w:num>
  <w:num w:numId="38">
    <w:abstractNumId w:val="15"/>
  </w:num>
  <w:num w:numId="39">
    <w:abstractNumId w:val="60"/>
  </w:num>
  <w:num w:numId="40">
    <w:abstractNumId w:val="49"/>
  </w:num>
  <w:num w:numId="41">
    <w:abstractNumId w:val="9"/>
  </w:num>
  <w:num w:numId="42">
    <w:abstractNumId w:val="16"/>
  </w:num>
  <w:num w:numId="43">
    <w:abstractNumId w:val="67"/>
  </w:num>
  <w:num w:numId="44">
    <w:abstractNumId w:val="47"/>
  </w:num>
  <w:num w:numId="45">
    <w:abstractNumId w:val="10"/>
  </w:num>
  <w:num w:numId="46">
    <w:abstractNumId w:val="66"/>
  </w:num>
  <w:num w:numId="47">
    <w:abstractNumId w:val="29"/>
  </w:num>
  <w:num w:numId="48">
    <w:abstractNumId w:val="30"/>
  </w:num>
  <w:num w:numId="49">
    <w:abstractNumId w:val="23"/>
  </w:num>
  <w:num w:numId="50">
    <w:abstractNumId w:val="46"/>
  </w:num>
  <w:num w:numId="51">
    <w:abstractNumId w:val="20"/>
  </w:num>
  <w:num w:numId="52">
    <w:abstractNumId w:val="33"/>
  </w:num>
  <w:num w:numId="53">
    <w:abstractNumId w:val="55"/>
  </w:num>
  <w:num w:numId="54">
    <w:abstractNumId w:val="61"/>
  </w:num>
  <w:num w:numId="55">
    <w:abstractNumId w:val="27"/>
  </w:num>
  <w:num w:numId="56">
    <w:abstractNumId w:val="26"/>
  </w:num>
  <w:num w:numId="57">
    <w:abstractNumId w:val="54"/>
  </w:num>
  <w:num w:numId="58">
    <w:abstractNumId w:val="38"/>
  </w:num>
  <w:num w:numId="59">
    <w:abstractNumId w:val="4"/>
  </w:num>
  <w:num w:numId="60">
    <w:abstractNumId w:val="31"/>
  </w:num>
  <w:num w:numId="61">
    <w:abstractNumId w:val="52"/>
  </w:num>
  <w:num w:numId="62">
    <w:abstractNumId w:val="25"/>
  </w:num>
  <w:num w:numId="63">
    <w:abstractNumId w:val="11"/>
  </w:num>
  <w:num w:numId="64">
    <w:abstractNumId w:val="1"/>
  </w:num>
  <w:num w:numId="65">
    <w:abstractNumId w:val="56"/>
  </w:num>
  <w:num w:numId="66">
    <w:abstractNumId w:val="37"/>
  </w:num>
  <w:num w:numId="67">
    <w:abstractNumId w:val="0"/>
  </w:num>
  <w:num w:numId="68">
    <w:abstractNumId w:val="48"/>
  </w:num>
  <w:num w:numId="69">
    <w:abstractNumId w:val="8"/>
  </w:num>
  <w:num w:numId="70">
    <w:abstractNumId w:val="42"/>
  </w:num>
  <w:num w:numId="71">
    <w:abstractNumId w:val="24"/>
  </w:num>
  <w:num w:numId="72">
    <w:abstractNumId w:val="14"/>
  </w:num>
  <w:num w:numId="73">
    <w:abstractNumId w:val="34"/>
  </w:num>
  <w:num w:numId="74">
    <w:abstractNumId w:val="21"/>
  </w:num>
  <w:num w:numId="75">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hyphenationZone w:val="425"/>
  <w:evenAndOddHeaders/>
  <w:characterSpacingControl w:val="doNotCompress"/>
  <w:hdrShapeDefaults>
    <o:shapedefaults v:ext="edit" spidmax="6145">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1264E"/>
    <w:rsid w:val="0001358C"/>
    <w:rsid w:val="00026A63"/>
    <w:rsid w:val="00030883"/>
    <w:rsid w:val="0003313A"/>
    <w:rsid w:val="00036D75"/>
    <w:rsid w:val="00052F6E"/>
    <w:rsid w:val="00067793"/>
    <w:rsid w:val="000716F6"/>
    <w:rsid w:val="00097B38"/>
    <w:rsid w:val="000A0CB7"/>
    <w:rsid w:val="000A40AC"/>
    <w:rsid w:val="000A4122"/>
    <w:rsid w:val="000A6C7D"/>
    <w:rsid w:val="000B6D89"/>
    <w:rsid w:val="000C028F"/>
    <w:rsid w:val="000D55A2"/>
    <w:rsid w:val="000E42F5"/>
    <w:rsid w:val="000F6780"/>
    <w:rsid w:val="000F732A"/>
    <w:rsid w:val="000F757C"/>
    <w:rsid w:val="00100A75"/>
    <w:rsid w:val="00100C51"/>
    <w:rsid w:val="0011502A"/>
    <w:rsid w:val="001355E5"/>
    <w:rsid w:val="00141BC4"/>
    <w:rsid w:val="00150637"/>
    <w:rsid w:val="00152EB0"/>
    <w:rsid w:val="001561DE"/>
    <w:rsid w:val="00164E22"/>
    <w:rsid w:val="00166C04"/>
    <w:rsid w:val="001766D2"/>
    <w:rsid w:val="0018654D"/>
    <w:rsid w:val="0018798B"/>
    <w:rsid w:val="001A06AC"/>
    <w:rsid w:val="001A0ECA"/>
    <w:rsid w:val="001A64FD"/>
    <w:rsid w:val="001B757B"/>
    <w:rsid w:val="001C23AD"/>
    <w:rsid w:val="001C788C"/>
    <w:rsid w:val="001D0DA1"/>
    <w:rsid w:val="001D1A55"/>
    <w:rsid w:val="001D278F"/>
    <w:rsid w:val="001D2B36"/>
    <w:rsid w:val="001D4784"/>
    <w:rsid w:val="001E05C6"/>
    <w:rsid w:val="001E5BD1"/>
    <w:rsid w:val="001E74AC"/>
    <w:rsid w:val="001F0F23"/>
    <w:rsid w:val="001F48A7"/>
    <w:rsid w:val="001F7B40"/>
    <w:rsid w:val="00200F36"/>
    <w:rsid w:val="0020248A"/>
    <w:rsid w:val="00205552"/>
    <w:rsid w:val="00205A49"/>
    <w:rsid w:val="002141A3"/>
    <w:rsid w:val="002239E6"/>
    <w:rsid w:val="00235EEF"/>
    <w:rsid w:val="0024221B"/>
    <w:rsid w:val="00244123"/>
    <w:rsid w:val="00247F2A"/>
    <w:rsid w:val="00255894"/>
    <w:rsid w:val="00260B55"/>
    <w:rsid w:val="002657A6"/>
    <w:rsid w:val="0027209E"/>
    <w:rsid w:val="00272858"/>
    <w:rsid w:val="00274F84"/>
    <w:rsid w:val="00283C01"/>
    <w:rsid w:val="00290368"/>
    <w:rsid w:val="002A2935"/>
    <w:rsid w:val="002A4295"/>
    <w:rsid w:val="002B2B80"/>
    <w:rsid w:val="002B3459"/>
    <w:rsid w:val="002B55CA"/>
    <w:rsid w:val="002C6EFE"/>
    <w:rsid w:val="002E3DC7"/>
    <w:rsid w:val="002E56DB"/>
    <w:rsid w:val="002F186F"/>
    <w:rsid w:val="00302571"/>
    <w:rsid w:val="0030462C"/>
    <w:rsid w:val="00311A4A"/>
    <w:rsid w:val="003148BA"/>
    <w:rsid w:val="00340489"/>
    <w:rsid w:val="00342C50"/>
    <w:rsid w:val="0036081F"/>
    <w:rsid w:val="00396792"/>
    <w:rsid w:val="003B4E87"/>
    <w:rsid w:val="003B7C74"/>
    <w:rsid w:val="003B7DCB"/>
    <w:rsid w:val="003D0D1C"/>
    <w:rsid w:val="003E40C0"/>
    <w:rsid w:val="003F7F3A"/>
    <w:rsid w:val="00402CB1"/>
    <w:rsid w:val="00413A48"/>
    <w:rsid w:val="00431D6D"/>
    <w:rsid w:val="00445253"/>
    <w:rsid w:val="00452AA3"/>
    <w:rsid w:val="004579F0"/>
    <w:rsid w:val="0046114A"/>
    <w:rsid w:val="004713C6"/>
    <w:rsid w:val="00472019"/>
    <w:rsid w:val="00485626"/>
    <w:rsid w:val="00487028"/>
    <w:rsid w:val="00491C0C"/>
    <w:rsid w:val="004B7C4C"/>
    <w:rsid w:val="004E366A"/>
    <w:rsid w:val="004F651C"/>
    <w:rsid w:val="004F6693"/>
    <w:rsid w:val="00510087"/>
    <w:rsid w:val="0051112C"/>
    <w:rsid w:val="005200C9"/>
    <w:rsid w:val="00530F73"/>
    <w:rsid w:val="00531207"/>
    <w:rsid w:val="0053426A"/>
    <w:rsid w:val="00536549"/>
    <w:rsid w:val="00540DF1"/>
    <w:rsid w:val="00542D00"/>
    <w:rsid w:val="00550D79"/>
    <w:rsid w:val="005512B7"/>
    <w:rsid w:val="00557B5A"/>
    <w:rsid w:val="00573404"/>
    <w:rsid w:val="00574632"/>
    <w:rsid w:val="00580C79"/>
    <w:rsid w:val="005926B1"/>
    <w:rsid w:val="00594186"/>
    <w:rsid w:val="00596D5D"/>
    <w:rsid w:val="00596FA6"/>
    <w:rsid w:val="005A734E"/>
    <w:rsid w:val="005B1DE8"/>
    <w:rsid w:val="005B4DA4"/>
    <w:rsid w:val="005C10EB"/>
    <w:rsid w:val="005D1E13"/>
    <w:rsid w:val="005D2229"/>
    <w:rsid w:val="005F2E59"/>
    <w:rsid w:val="005F5CD3"/>
    <w:rsid w:val="0061356E"/>
    <w:rsid w:val="006166AC"/>
    <w:rsid w:val="00620E99"/>
    <w:rsid w:val="00626DC6"/>
    <w:rsid w:val="00631F3F"/>
    <w:rsid w:val="00637E84"/>
    <w:rsid w:val="00642DEA"/>
    <w:rsid w:val="00653874"/>
    <w:rsid w:val="00661528"/>
    <w:rsid w:val="0066553C"/>
    <w:rsid w:val="006731B4"/>
    <w:rsid w:val="00674280"/>
    <w:rsid w:val="00676E37"/>
    <w:rsid w:val="00691AA5"/>
    <w:rsid w:val="006957A0"/>
    <w:rsid w:val="006A51F7"/>
    <w:rsid w:val="006B0A2C"/>
    <w:rsid w:val="006C5372"/>
    <w:rsid w:val="006C6D74"/>
    <w:rsid w:val="006D01BF"/>
    <w:rsid w:val="006D1BB1"/>
    <w:rsid w:val="00713147"/>
    <w:rsid w:val="00715E5F"/>
    <w:rsid w:val="00717421"/>
    <w:rsid w:val="00720CFD"/>
    <w:rsid w:val="00722D05"/>
    <w:rsid w:val="00734A4F"/>
    <w:rsid w:val="00741CB4"/>
    <w:rsid w:val="00742087"/>
    <w:rsid w:val="00763BA3"/>
    <w:rsid w:val="00767BB2"/>
    <w:rsid w:val="00770411"/>
    <w:rsid w:val="00782AB3"/>
    <w:rsid w:val="0078409E"/>
    <w:rsid w:val="00797D4C"/>
    <w:rsid w:val="007B55B6"/>
    <w:rsid w:val="007B6309"/>
    <w:rsid w:val="007C0AE4"/>
    <w:rsid w:val="007C3130"/>
    <w:rsid w:val="007D2AD2"/>
    <w:rsid w:val="007D6842"/>
    <w:rsid w:val="007E42E6"/>
    <w:rsid w:val="007F09BF"/>
    <w:rsid w:val="007F3087"/>
    <w:rsid w:val="008017B4"/>
    <w:rsid w:val="008037B4"/>
    <w:rsid w:val="0080413A"/>
    <w:rsid w:val="0082318C"/>
    <w:rsid w:val="008245D9"/>
    <w:rsid w:val="008455E3"/>
    <w:rsid w:val="00856422"/>
    <w:rsid w:val="00856DA4"/>
    <w:rsid w:val="00875301"/>
    <w:rsid w:val="008872A8"/>
    <w:rsid w:val="008A54FC"/>
    <w:rsid w:val="008B3FBD"/>
    <w:rsid w:val="008B56EB"/>
    <w:rsid w:val="008B70CD"/>
    <w:rsid w:val="008D2EA0"/>
    <w:rsid w:val="008E14F4"/>
    <w:rsid w:val="008F5C31"/>
    <w:rsid w:val="009151EF"/>
    <w:rsid w:val="00922C07"/>
    <w:rsid w:val="00922F46"/>
    <w:rsid w:val="00924142"/>
    <w:rsid w:val="0096096C"/>
    <w:rsid w:val="00965D5A"/>
    <w:rsid w:val="0097042E"/>
    <w:rsid w:val="009728AD"/>
    <w:rsid w:val="0097553F"/>
    <w:rsid w:val="00995D9E"/>
    <w:rsid w:val="009A4015"/>
    <w:rsid w:val="009C5FD6"/>
    <w:rsid w:val="009D5837"/>
    <w:rsid w:val="009E16D0"/>
    <w:rsid w:val="009E2EF3"/>
    <w:rsid w:val="009E47EB"/>
    <w:rsid w:val="009E50C1"/>
    <w:rsid w:val="009F3BBE"/>
    <w:rsid w:val="009F4322"/>
    <w:rsid w:val="009F6C71"/>
    <w:rsid w:val="00A076B5"/>
    <w:rsid w:val="00A07910"/>
    <w:rsid w:val="00A23A71"/>
    <w:rsid w:val="00A43610"/>
    <w:rsid w:val="00A452C1"/>
    <w:rsid w:val="00A720C3"/>
    <w:rsid w:val="00A73765"/>
    <w:rsid w:val="00A755E1"/>
    <w:rsid w:val="00A81711"/>
    <w:rsid w:val="00A90FDA"/>
    <w:rsid w:val="00A953FD"/>
    <w:rsid w:val="00A95AC5"/>
    <w:rsid w:val="00A95ACB"/>
    <w:rsid w:val="00AA086A"/>
    <w:rsid w:val="00AA0B55"/>
    <w:rsid w:val="00AA1738"/>
    <w:rsid w:val="00AA7CEA"/>
    <w:rsid w:val="00AB30DB"/>
    <w:rsid w:val="00AC1C74"/>
    <w:rsid w:val="00AC460F"/>
    <w:rsid w:val="00AD5DA1"/>
    <w:rsid w:val="00AE1497"/>
    <w:rsid w:val="00AE43E5"/>
    <w:rsid w:val="00AF211C"/>
    <w:rsid w:val="00B02440"/>
    <w:rsid w:val="00B055B7"/>
    <w:rsid w:val="00B074C3"/>
    <w:rsid w:val="00B128DA"/>
    <w:rsid w:val="00B27A85"/>
    <w:rsid w:val="00B30D3B"/>
    <w:rsid w:val="00B432D4"/>
    <w:rsid w:val="00B45136"/>
    <w:rsid w:val="00B64140"/>
    <w:rsid w:val="00B66CCF"/>
    <w:rsid w:val="00B70495"/>
    <w:rsid w:val="00B87C20"/>
    <w:rsid w:val="00BA359F"/>
    <w:rsid w:val="00BA3ACD"/>
    <w:rsid w:val="00BC050E"/>
    <w:rsid w:val="00BD3C18"/>
    <w:rsid w:val="00BE1668"/>
    <w:rsid w:val="00BE297F"/>
    <w:rsid w:val="00BE5472"/>
    <w:rsid w:val="00BE75E2"/>
    <w:rsid w:val="00BF2991"/>
    <w:rsid w:val="00BF697E"/>
    <w:rsid w:val="00C02C73"/>
    <w:rsid w:val="00C06365"/>
    <w:rsid w:val="00C073F3"/>
    <w:rsid w:val="00C0764C"/>
    <w:rsid w:val="00C24E24"/>
    <w:rsid w:val="00C3316C"/>
    <w:rsid w:val="00C35565"/>
    <w:rsid w:val="00C37391"/>
    <w:rsid w:val="00C5370E"/>
    <w:rsid w:val="00C65851"/>
    <w:rsid w:val="00C73C6D"/>
    <w:rsid w:val="00C76E5B"/>
    <w:rsid w:val="00C87152"/>
    <w:rsid w:val="00CA16D5"/>
    <w:rsid w:val="00CA51CC"/>
    <w:rsid w:val="00CB5C2F"/>
    <w:rsid w:val="00CC2373"/>
    <w:rsid w:val="00CC4031"/>
    <w:rsid w:val="00CC4BB4"/>
    <w:rsid w:val="00CD2DAA"/>
    <w:rsid w:val="00CE3B8E"/>
    <w:rsid w:val="00CF3C85"/>
    <w:rsid w:val="00CF56E0"/>
    <w:rsid w:val="00CF580E"/>
    <w:rsid w:val="00D006B4"/>
    <w:rsid w:val="00D03A14"/>
    <w:rsid w:val="00D11F78"/>
    <w:rsid w:val="00D12BFE"/>
    <w:rsid w:val="00D12EE0"/>
    <w:rsid w:val="00D2467F"/>
    <w:rsid w:val="00D40519"/>
    <w:rsid w:val="00D54CB5"/>
    <w:rsid w:val="00D5750C"/>
    <w:rsid w:val="00D62383"/>
    <w:rsid w:val="00D6644C"/>
    <w:rsid w:val="00D670DD"/>
    <w:rsid w:val="00D73E96"/>
    <w:rsid w:val="00D74D58"/>
    <w:rsid w:val="00D90EDA"/>
    <w:rsid w:val="00DA016B"/>
    <w:rsid w:val="00DC03F9"/>
    <w:rsid w:val="00DC4FFC"/>
    <w:rsid w:val="00DE08E8"/>
    <w:rsid w:val="00DE4575"/>
    <w:rsid w:val="00DF0B01"/>
    <w:rsid w:val="00DF2C67"/>
    <w:rsid w:val="00E11B33"/>
    <w:rsid w:val="00E14E50"/>
    <w:rsid w:val="00E40EC5"/>
    <w:rsid w:val="00E41E35"/>
    <w:rsid w:val="00E442B3"/>
    <w:rsid w:val="00E46CE1"/>
    <w:rsid w:val="00E60485"/>
    <w:rsid w:val="00E709FD"/>
    <w:rsid w:val="00E71AE7"/>
    <w:rsid w:val="00E73FF2"/>
    <w:rsid w:val="00E94566"/>
    <w:rsid w:val="00E97FCA"/>
    <w:rsid w:val="00EA126F"/>
    <w:rsid w:val="00EA3C25"/>
    <w:rsid w:val="00EA4FFC"/>
    <w:rsid w:val="00EA5C14"/>
    <w:rsid w:val="00EA6088"/>
    <w:rsid w:val="00EA689C"/>
    <w:rsid w:val="00ED237D"/>
    <w:rsid w:val="00ED68CC"/>
    <w:rsid w:val="00EE2A1C"/>
    <w:rsid w:val="00F13EE6"/>
    <w:rsid w:val="00F21C76"/>
    <w:rsid w:val="00F24472"/>
    <w:rsid w:val="00F266D8"/>
    <w:rsid w:val="00F2707C"/>
    <w:rsid w:val="00F657F3"/>
    <w:rsid w:val="00F77275"/>
    <w:rsid w:val="00F90DCB"/>
    <w:rsid w:val="00FA2FA5"/>
    <w:rsid w:val="00FB0456"/>
    <w:rsid w:val="00FC2A25"/>
    <w:rsid w:val="00FC6252"/>
    <w:rsid w:val="00FF61A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6731B4"/>
    <w:pPr>
      <w:keepNext/>
      <w:numPr>
        <w:numId w:val="2"/>
      </w:numPr>
      <w:spacing w:before="600" w:after="240"/>
      <w:ind w:left="431" w:hanging="431"/>
      <w:outlineLvl w:val="0"/>
    </w:pPr>
    <w:rPr>
      <w:rFonts w:cs="Arial"/>
      <w:b/>
      <w:caps/>
      <w:color w:val="D2232A"/>
      <w:kern w:val="32"/>
      <w:szCs w:val="32"/>
      <w:lang w:val="en-GB"/>
    </w:rPr>
  </w:style>
  <w:style w:type="paragraph" w:styleId="Heading2">
    <w:name w:val="heading 2"/>
    <w:aliases w:val="ECC Heading 2"/>
    <w:basedOn w:val="Normal"/>
    <w:next w:val="ECCParagraph"/>
    <w:link w:val="Heading2Char"/>
    <w:autoRedefine/>
    <w:qFormat/>
    <w:rsid w:val="000F6780"/>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qFormat/>
    <w:rsid w:val="00510087"/>
    <w:pPr>
      <w:keepNext/>
      <w:numPr>
        <w:ilvl w:val="2"/>
        <w:numId w:val="2"/>
      </w:numPr>
      <w:spacing w:before="360" w:after="120"/>
      <w:ind w:hanging="1004"/>
      <w:outlineLvl w:val="2"/>
    </w:pPr>
    <w:rPr>
      <w:rFonts w:cs="Arial"/>
      <w:b/>
      <w:szCs w:val="20"/>
      <w:lang w:val="en-GB"/>
    </w:rPr>
  </w:style>
  <w:style w:type="paragraph" w:styleId="Heading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link w:val="HeaderChar"/>
    <w:uiPriority w:val="99"/>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9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F21C76"/>
    <w:pPr>
      <w:keepNext/>
      <w:numPr>
        <w:numId w:val="3"/>
      </w:numPr>
      <w:spacing w:before="360" w:after="240"/>
      <w:ind w:left="357" w:hanging="357"/>
    </w:pPr>
  </w:style>
  <w:style w:type="paragraph" w:customStyle="1" w:styleId="ECCFootnote">
    <w:name w:val="ECC Footnote"/>
    <w:basedOn w:val="Normal"/>
    <w:autoRedefine/>
    <w:uiPriority w:val="99"/>
    <w:rsid w:val="00B66CCF"/>
    <w:rPr>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uiPriority w:val="99"/>
    <w:rsid w:val="008935B9"/>
    <w:rPr>
      <w:szCs w:val="20"/>
    </w:rPr>
  </w:style>
  <w:style w:type="character" w:styleId="FootnoteReference">
    <w:name w:val="footnote reference"/>
    <w:aliases w:val="Appel note de bas de p,Footnote Reference/,Footnote"/>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6"/>
      </w:numPr>
    </w:pPr>
    <w:rPr>
      <w:lang w:eastAsia="ja-JP"/>
    </w:rPr>
  </w:style>
  <w:style w:type="paragraph" w:customStyle="1" w:styleId="ECCAnnexheading2">
    <w:name w:val="ECC Annex heading2"/>
    <w:basedOn w:val="Normal"/>
    <w:next w:val="ECCParagraph"/>
    <w:uiPriority w:val="99"/>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uiPriority w:val="99"/>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8"/>
      </w:numPr>
    </w:pPr>
  </w:style>
  <w:style w:type="numbering" w:customStyle="1" w:styleId="ECCNumbers-Letters">
    <w:name w:val="ECC Numbers-Letters"/>
    <w:uiPriority w:val="99"/>
    <w:rsid w:val="00DF2C67"/>
    <w:pPr>
      <w:numPr>
        <w:numId w:val="9"/>
      </w:numPr>
    </w:pPr>
  </w:style>
  <w:style w:type="character" w:customStyle="1" w:styleId="Heading1Char">
    <w:name w:val="Heading 1 Char"/>
    <w:aliases w:val="ECC Heading 1 Char"/>
    <w:basedOn w:val="DefaultParagraphFont"/>
    <w:link w:val="Heading1"/>
    <w:locked/>
    <w:rsid w:val="006731B4"/>
    <w:rPr>
      <w:rFonts w:ascii="Arial" w:hAnsi="Arial" w:cs="Arial"/>
      <w:b/>
      <w:caps/>
      <w:color w:val="D2232A"/>
      <w:kern w:val="32"/>
      <w:szCs w:val="3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locked/>
    <w:rsid w:val="00026A63"/>
    <w:rPr>
      <w:rFonts w:ascii="Arial" w:hAnsi="Arial"/>
      <w:lang w:val="en-US"/>
    </w:rPr>
  </w:style>
  <w:style w:type="character" w:customStyle="1" w:styleId="Artdef">
    <w:name w:val="Art_def"/>
    <w:basedOn w:val="DefaultParagraphFont"/>
    <w:uiPriority w:val="99"/>
    <w:rsid w:val="00026A63"/>
    <w:rPr>
      <w:b/>
      <w:bCs/>
      <w:color w:val="auto"/>
    </w:rPr>
  </w:style>
  <w:style w:type="character" w:customStyle="1" w:styleId="Tablefreq">
    <w:name w:val="Table_freq"/>
    <w:basedOn w:val="DefaultParagraphFon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DefaultParagraphFont"/>
    <w:uiPriority w:val="99"/>
    <w:rsid w:val="00413A48"/>
    <w:rPr>
      <w:color w:val="auto"/>
    </w:rPr>
  </w:style>
  <w:style w:type="character" w:customStyle="1" w:styleId="Heading9Char">
    <w:name w:val="Heading 9 Char"/>
    <w:basedOn w:val="DefaultParagraphFont"/>
    <w:link w:val="Heading9"/>
    <w:locked/>
    <w:rsid w:val="00413A48"/>
    <w:rPr>
      <w:rFonts w:ascii="Arial" w:hAnsi="Arial" w:cs="Arial"/>
      <w:sz w:val="22"/>
      <w:szCs w:val="22"/>
      <w:lang w:val="en-US"/>
    </w:rPr>
  </w:style>
  <w:style w:type="character" w:customStyle="1" w:styleId="FooterChar">
    <w:name w:val="Footer Char"/>
    <w:basedOn w:val="DefaultParagraphFont"/>
    <w:link w:val="Footer"/>
    <w:uiPriority w:val="99"/>
    <w:locked/>
    <w:rsid w:val="00413A48"/>
    <w:rPr>
      <w:rFonts w:ascii="Arial" w:hAnsi="Arial"/>
      <w:szCs w:val="24"/>
      <w:lang w:val="en-US"/>
    </w:rPr>
  </w:style>
  <w:style w:type="character" w:styleId="PageNumber">
    <w:name w:val="page number"/>
    <w:basedOn w:val="DefaultParagraphFont"/>
    <w:uiPriority w:val="99"/>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DefaultParagraphFont"/>
    <w:link w:val="Note"/>
    <w:uiPriority w:val="99"/>
    <w:locked/>
    <w:rsid w:val="00413A48"/>
    <w:rPr>
      <w:lang w:val="fr-FR"/>
    </w:rPr>
  </w:style>
  <w:style w:type="character" w:customStyle="1" w:styleId="Resref">
    <w:name w:val="Res_ref"/>
    <w:basedOn w:val="DefaultParagraphFon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DefaultParagraphFont"/>
    <w:uiPriority w:val="99"/>
    <w:rsid w:val="007C3130"/>
  </w:style>
  <w:style w:type="character" w:styleId="HTMLAcronym">
    <w:name w:val="HTML Acronym"/>
    <w:basedOn w:val="DefaultParagraphFont"/>
    <w:uiPriority w:val="99"/>
    <w:rsid w:val="007C3130"/>
  </w:style>
  <w:style w:type="character" w:styleId="FollowedHyperlink">
    <w:name w:val="FollowedHyperlink"/>
    <w:basedOn w:val="DefaultParagraphFont"/>
    <w:uiPriority w:val="99"/>
    <w:semiHidden/>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
    <w:name w:val="Listenabsatz"/>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CommentReference">
    <w:name w:val="annotation reference"/>
    <w:uiPriority w:val="99"/>
    <w:semiHidden/>
    <w:unhideWhenUsed/>
    <w:rsid w:val="00E41E35"/>
    <w:rPr>
      <w:rFonts w:ascii="Times New Roman" w:hAnsi="Times New Roman" w:cs="Times New Roman" w:hint="default"/>
      <w:sz w:val="16"/>
      <w:szCs w:val="16"/>
    </w:rPr>
  </w:style>
  <w:style w:type="character" w:customStyle="1" w:styleId="IntensiverVerweis">
    <w:name w:val="Intensiver Verweis"/>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BookTitle">
    <w:name w:val="Book Title"/>
    <w:basedOn w:val="DefaultParagraphFont"/>
    <w:uiPriority w:val="33"/>
    <w:qFormat/>
    <w:rsid w:val="00E41E35"/>
    <w:rPr>
      <w:b/>
      <w:bCs/>
      <w:smallCaps/>
      <w:spacing w:val="5"/>
    </w:rPr>
  </w:style>
  <w:style w:type="paragraph" w:styleId="ListParagraph">
    <w:name w:val="List Paragraph"/>
    <w:basedOn w:val="Normal"/>
    <w:uiPriority w:val="34"/>
    <w:qFormat/>
    <w:rsid w:val="007E42E6"/>
    <w:pPr>
      <w:ind w:left="720"/>
      <w:contextualSpacing/>
    </w:pPr>
  </w:style>
  <w:style w:type="paragraph" w:customStyle="1" w:styleId="FigureCaption">
    <w:name w:val="Figure Caption"/>
    <w:basedOn w:val="Normal"/>
    <w:next w:val="BodyText"/>
    <w:uiPriority w:val="99"/>
    <w:rsid w:val="000A0CB7"/>
    <w:pPr>
      <w:keepNext/>
      <w:keepLines/>
      <w:spacing w:before="360" w:after="120" w:line="288" w:lineRule="auto"/>
    </w:pPr>
    <w:rPr>
      <w:b/>
      <w:color w:val="939598"/>
      <w:lang w:val="en-GB" w:eastAsia="en-GB"/>
    </w:rPr>
  </w:style>
  <w:style w:type="paragraph" w:styleId="BodyText">
    <w:name w:val="Body Text"/>
    <w:basedOn w:val="Normal"/>
    <w:link w:val="BodyTextChar"/>
    <w:uiPriority w:val="99"/>
    <w:semiHidden/>
    <w:unhideWhenUsed/>
    <w:rsid w:val="000A0CB7"/>
    <w:pPr>
      <w:spacing w:after="120"/>
    </w:pPr>
  </w:style>
  <w:style w:type="character" w:customStyle="1" w:styleId="BodyTextChar">
    <w:name w:val="Body Text Char"/>
    <w:basedOn w:val="DefaultParagraphFont"/>
    <w:link w:val="BodyText"/>
    <w:uiPriority w:val="99"/>
    <w:semiHidden/>
    <w:rsid w:val="000A0CB7"/>
    <w:rPr>
      <w:rFonts w:ascii="Arial" w:hAnsi="Arial"/>
      <w:szCs w:val="24"/>
      <w:lang w:val="en-US"/>
    </w:rPr>
  </w:style>
  <w:style w:type="paragraph" w:customStyle="1" w:styleId="Default">
    <w:name w:val="Default"/>
    <w:uiPriority w:val="99"/>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BodyTextIndent2">
    <w:name w:val="Body Text Indent 2"/>
    <w:basedOn w:val="Normal"/>
    <w:link w:val="BodyTextIndent2Char"/>
    <w:rsid w:val="00100C51"/>
    <w:pPr>
      <w:numPr>
        <w:numId w:val="33"/>
      </w:numPr>
      <w:tabs>
        <w:tab w:val="clear" w:pos="0"/>
      </w:tabs>
      <w:ind w:left="709" w:firstLine="0"/>
    </w:pPr>
    <w:rPr>
      <w:rFonts w:cs="Arial"/>
      <w:sz w:val="24"/>
      <w:szCs w:val="20"/>
      <w:lang w:val="en-GB"/>
    </w:rPr>
  </w:style>
  <w:style w:type="character" w:customStyle="1" w:styleId="BodyTextIndent2Char">
    <w:name w:val="Body Text Indent 2 Char"/>
    <w:basedOn w:val="DefaultParagraphFont"/>
    <w:link w:val="BodyTextIndent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34"/>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Heading2Char">
    <w:name w:val="Heading 2 Char"/>
    <w:aliases w:val="ECC Heading 2 Char"/>
    <w:basedOn w:val="DefaultParagraphFont"/>
    <w:link w:val="Heading2"/>
    <w:locked/>
    <w:rsid w:val="00AC460F"/>
    <w:rPr>
      <w:rFonts w:ascii="Arial" w:hAnsi="Arial" w:cs="Arial"/>
      <w:b/>
      <w:bCs/>
      <w:iCs/>
      <w:caps/>
      <w:szCs w:val="28"/>
      <w:lang w:val="en-US"/>
    </w:rPr>
  </w:style>
  <w:style w:type="character" w:customStyle="1" w:styleId="Heading3Char">
    <w:name w:val="Heading 3 Char"/>
    <w:aliases w:val="ECC Heading 3 Char"/>
    <w:basedOn w:val="DefaultParagraphFont"/>
    <w:link w:val="Heading3"/>
    <w:locked/>
    <w:rsid w:val="00510087"/>
    <w:rPr>
      <w:rFonts w:ascii="Arial" w:hAnsi="Arial" w:cs="Arial"/>
      <w:b/>
    </w:rPr>
  </w:style>
  <w:style w:type="character" w:customStyle="1" w:styleId="Heading5Char">
    <w:name w:val="Heading 5 Char"/>
    <w:basedOn w:val="DefaultParagraphFont"/>
    <w:link w:val="Heading5"/>
    <w:locked/>
    <w:rsid w:val="00AC460F"/>
    <w:rPr>
      <w:rFonts w:ascii="Arial" w:hAnsi="Arial"/>
      <w:b/>
      <w:bCs/>
      <w:i/>
      <w:iCs/>
      <w:sz w:val="26"/>
      <w:szCs w:val="26"/>
      <w:lang w:val="en-US"/>
    </w:rPr>
  </w:style>
  <w:style w:type="character" w:customStyle="1" w:styleId="Heading6Char">
    <w:name w:val="Heading 6 Char"/>
    <w:basedOn w:val="DefaultParagraphFont"/>
    <w:link w:val="Heading6"/>
    <w:locked/>
    <w:rsid w:val="00AC460F"/>
    <w:rPr>
      <w:rFonts w:ascii="Arial" w:hAnsi="Arial"/>
      <w:b/>
      <w:bCs/>
      <w:sz w:val="22"/>
      <w:szCs w:val="22"/>
      <w:lang w:val="en-US"/>
    </w:rPr>
  </w:style>
  <w:style w:type="character" w:customStyle="1" w:styleId="Heading7Char">
    <w:name w:val="Heading 7 Char"/>
    <w:basedOn w:val="DefaultParagraphFont"/>
    <w:link w:val="Heading7"/>
    <w:locked/>
    <w:rsid w:val="00AC460F"/>
    <w:rPr>
      <w:rFonts w:ascii="Arial" w:hAnsi="Arial"/>
      <w:sz w:val="24"/>
      <w:szCs w:val="24"/>
      <w:lang w:val="en-US"/>
    </w:rPr>
  </w:style>
  <w:style w:type="character" w:customStyle="1" w:styleId="Heading8Char">
    <w:name w:val="Heading 8 Char"/>
    <w:basedOn w:val="DefaultParagraphFont"/>
    <w:link w:val="Heading8"/>
    <w:locked/>
    <w:rsid w:val="00AC460F"/>
    <w:rPr>
      <w:rFonts w:ascii="Arial" w:hAnsi="Arial"/>
      <w:i/>
      <w:iCs/>
      <w:sz w:val="24"/>
      <w:szCs w:val="24"/>
      <w:lang w:val="en-US"/>
    </w:rPr>
  </w:style>
  <w:style w:type="character" w:customStyle="1" w:styleId="Heading4Char">
    <w:name w:val="Heading 4 Char"/>
    <w:aliases w:val="ECC Heading 4 Char"/>
    <w:basedOn w:val="DefaultParagraphFont"/>
    <w:uiPriority w:val="99"/>
    <w:rsid w:val="00AC460F"/>
    <w:rPr>
      <w:rFonts w:ascii="Arial" w:hAnsi="Arial" w:cs="Arial"/>
      <w:bCs/>
      <w:color w:val="C00000"/>
      <w:sz w:val="26"/>
      <w:szCs w:val="26"/>
      <w:lang w:val="en-US" w:eastAsia="x-none"/>
    </w:rPr>
  </w:style>
  <w:style w:type="paragraph" w:styleId="CommentText">
    <w:name w:val="annotation text"/>
    <w:basedOn w:val="Normal"/>
    <w:link w:val="CommentTextChar"/>
    <w:uiPriority w:val="99"/>
    <w:semiHidden/>
    <w:rsid w:val="00AC460F"/>
    <w:rPr>
      <w:szCs w:val="20"/>
    </w:rPr>
  </w:style>
  <w:style w:type="character" w:customStyle="1" w:styleId="CommentTextChar">
    <w:name w:val="Comment Text Char"/>
    <w:basedOn w:val="DefaultParagraphFont"/>
    <w:link w:val="CommentText"/>
    <w:uiPriority w:val="99"/>
    <w:semiHidden/>
    <w:rsid w:val="00AC460F"/>
    <w:rPr>
      <w:rFonts w:ascii="Arial" w:hAnsi="Arial"/>
      <w:lang w:val="en-US"/>
    </w:rPr>
  </w:style>
  <w:style w:type="character" w:customStyle="1" w:styleId="HeaderChar">
    <w:name w:val="Header Char"/>
    <w:basedOn w:val="DefaultParagraphFont"/>
    <w:link w:val="Header"/>
    <w:uiPriority w:val="99"/>
    <w:locked/>
    <w:rsid w:val="00AC460F"/>
    <w:rPr>
      <w:rFonts w:ascii="Arial" w:hAnsi="Arial"/>
      <w:b/>
      <w:sz w:val="16"/>
      <w:szCs w:val="24"/>
      <w:lang w:val="en-US"/>
    </w:rPr>
  </w:style>
  <w:style w:type="paragraph" w:styleId="CommentSubject">
    <w:name w:val="annotation subject"/>
    <w:basedOn w:val="CommentText"/>
    <w:next w:val="CommentText"/>
    <w:link w:val="CommentSubjectChar"/>
    <w:uiPriority w:val="99"/>
    <w:semiHidden/>
    <w:unhideWhenUsed/>
    <w:rsid w:val="00AC460F"/>
    <w:rPr>
      <w:b/>
      <w:bCs/>
    </w:rPr>
  </w:style>
  <w:style w:type="character" w:customStyle="1" w:styleId="CommentSubjectChar">
    <w:name w:val="Comment Subject Char"/>
    <w:basedOn w:val="CommentTextChar"/>
    <w:link w:val="CommentSubject"/>
    <w:uiPriority w:val="99"/>
    <w:semiHidden/>
    <w:rsid w:val="00AC460F"/>
    <w:rPr>
      <w:rFonts w:ascii="Arial" w:hAnsi="Arial"/>
      <w:b/>
      <w:bCs/>
      <w:lang w:val="en-US"/>
    </w:rPr>
  </w:style>
  <w:style w:type="paragraph" w:styleId="Re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OC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6731B4"/>
    <w:pPr>
      <w:keepNext/>
      <w:numPr>
        <w:numId w:val="2"/>
      </w:numPr>
      <w:spacing w:before="600" w:after="240"/>
      <w:ind w:left="431" w:hanging="431"/>
      <w:outlineLvl w:val="0"/>
    </w:pPr>
    <w:rPr>
      <w:rFonts w:cs="Arial"/>
      <w:b/>
      <w:caps/>
      <w:color w:val="D2232A"/>
      <w:kern w:val="32"/>
      <w:szCs w:val="32"/>
      <w:lang w:val="en-GB"/>
    </w:rPr>
  </w:style>
  <w:style w:type="paragraph" w:styleId="Heading2">
    <w:name w:val="heading 2"/>
    <w:aliases w:val="ECC Heading 2"/>
    <w:basedOn w:val="Normal"/>
    <w:next w:val="ECCParagraph"/>
    <w:link w:val="Heading2Char"/>
    <w:autoRedefine/>
    <w:qFormat/>
    <w:rsid w:val="000F6780"/>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qFormat/>
    <w:rsid w:val="00510087"/>
    <w:pPr>
      <w:keepNext/>
      <w:numPr>
        <w:ilvl w:val="2"/>
        <w:numId w:val="2"/>
      </w:numPr>
      <w:spacing w:before="360" w:after="120"/>
      <w:ind w:hanging="1004"/>
      <w:outlineLvl w:val="2"/>
    </w:pPr>
    <w:rPr>
      <w:rFonts w:cs="Arial"/>
      <w:b/>
      <w:szCs w:val="20"/>
      <w:lang w:val="en-GB"/>
    </w:rPr>
  </w:style>
  <w:style w:type="paragraph" w:styleId="Heading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link w:val="HeaderChar"/>
    <w:uiPriority w:val="99"/>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9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F21C76"/>
    <w:pPr>
      <w:keepNext/>
      <w:numPr>
        <w:numId w:val="3"/>
      </w:numPr>
      <w:spacing w:before="360" w:after="240"/>
      <w:ind w:left="357" w:hanging="357"/>
    </w:pPr>
  </w:style>
  <w:style w:type="paragraph" w:customStyle="1" w:styleId="ECCFootnote">
    <w:name w:val="ECC Footnote"/>
    <w:basedOn w:val="Normal"/>
    <w:autoRedefine/>
    <w:uiPriority w:val="99"/>
    <w:rsid w:val="00B66CCF"/>
    <w:rPr>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uiPriority w:val="99"/>
    <w:rsid w:val="008935B9"/>
    <w:rPr>
      <w:szCs w:val="20"/>
    </w:rPr>
  </w:style>
  <w:style w:type="character" w:styleId="FootnoteReference">
    <w:name w:val="footnote reference"/>
    <w:aliases w:val="Appel note de bas de p,Footnote Reference/,Footnote"/>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6"/>
      </w:numPr>
    </w:pPr>
    <w:rPr>
      <w:lang w:eastAsia="ja-JP"/>
    </w:rPr>
  </w:style>
  <w:style w:type="paragraph" w:customStyle="1" w:styleId="ECCAnnexheading2">
    <w:name w:val="ECC Annex heading2"/>
    <w:basedOn w:val="Normal"/>
    <w:next w:val="ECCParagraph"/>
    <w:uiPriority w:val="99"/>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uiPriority w:val="99"/>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8"/>
      </w:numPr>
    </w:pPr>
  </w:style>
  <w:style w:type="numbering" w:customStyle="1" w:styleId="ECCNumbers-Letters">
    <w:name w:val="ECC Numbers-Letters"/>
    <w:uiPriority w:val="99"/>
    <w:rsid w:val="00DF2C67"/>
    <w:pPr>
      <w:numPr>
        <w:numId w:val="9"/>
      </w:numPr>
    </w:pPr>
  </w:style>
  <w:style w:type="character" w:customStyle="1" w:styleId="Heading1Char">
    <w:name w:val="Heading 1 Char"/>
    <w:aliases w:val="ECC Heading 1 Char"/>
    <w:basedOn w:val="DefaultParagraphFont"/>
    <w:link w:val="Heading1"/>
    <w:locked/>
    <w:rsid w:val="006731B4"/>
    <w:rPr>
      <w:rFonts w:ascii="Arial" w:hAnsi="Arial" w:cs="Arial"/>
      <w:b/>
      <w:caps/>
      <w:color w:val="D2232A"/>
      <w:kern w:val="32"/>
      <w:szCs w:val="3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locked/>
    <w:rsid w:val="00026A63"/>
    <w:rPr>
      <w:rFonts w:ascii="Arial" w:hAnsi="Arial"/>
      <w:lang w:val="en-US"/>
    </w:rPr>
  </w:style>
  <w:style w:type="character" w:customStyle="1" w:styleId="Artdef">
    <w:name w:val="Art_def"/>
    <w:basedOn w:val="DefaultParagraphFont"/>
    <w:uiPriority w:val="99"/>
    <w:rsid w:val="00026A63"/>
    <w:rPr>
      <w:b/>
      <w:bCs/>
      <w:color w:val="auto"/>
    </w:rPr>
  </w:style>
  <w:style w:type="character" w:customStyle="1" w:styleId="Tablefreq">
    <w:name w:val="Table_freq"/>
    <w:basedOn w:val="DefaultParagraphFon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DefaultParagraphFont"/>
    <w:uiPriority w:val="99"/>
    <w:rsid w:val="00413A48"/>
    <w:rPr>
      <w:color w:val="auto"/>
    </w:rPr>
  </w:style>
  <w:style w:type="character" w:customStyle="1" w:styleId="Heading9Char">
    <w:name w:val="Heading 9 Char"/>
    <w:basedOn w:val="DefaultParagraphFont"/>
    <w:link w:val="Heading9"/>
    <w:locked/>
    <w:rsid w:val="00413A48"/>
    <w:rPr>
      <w:rFonts w:ascii="Arial" w:hAnsi="Arial" w:cs="Arial"/>
      <w:sz w:val="22"/>
      <w:szCs w:val="22"/>
      <w:lang w:val="en-US"/>
    </w:rPr>
  </w:style>
  <w:style w:type="character" w:customStyle="1" w:styleId="FooterChar">
    <w:name w:val="Footer Char"/>
    <w:basedOn w:val="DefaultParagraphFont"/>
    <w:link w:val="Footer"/>
    <w:uiPriority w:val="99"/>
    <w:locked/>
    <w:rsid w:val="00413A48"/>
    <w:rPr>
      <w:rFonts w:ascii="Arial" w:hAnsi="Arial"/>
      <w:szCs w:val="24"/>
      <w:lang w:val="en-US"/>
    </w:rPr>
  </w:style>
  <w:style w:type="character" w:styleId="PageNumber">
    <w:name w:val="page number"/>
    <w:basedOn w:val="DefaultParagraphFont"/>
    <w:uiPriority w:val="99"/>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DefaultParagraphFont"/>
    <w:link w:val="Note"/>
    <w:uiPriority w:val="99"/>
    <w:locked/>
    <w:rsid w:val="00413A48"/>
    <w:rPr>
      <w:lang w:val="fr-FR"/>
    </w:rPr>
  </w:style>
  <w:style w:type="character" w:customStyle="1" w:styleId="Resref">
    <w:name w:val="Res_ref"/>
    <w:basedOn w:val="DefaultParagraphFon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DefaultParagraphFont"/>
    <w:uiPriority w:val="99"/>
    <w:rsid w:val="007C3130"/>
  </w:style>
  <w:style w:type="character" w:styleId="HTMLAcronym">
    <w:name w:val="HTML Acronym"/>
    <w:basedOn w:val="DefaultParagraphFont"/>
    <w:uiPriority w:val="99"/>
    <w:rsid w:val="007C3130"/>
  </w:style>
  <w:style w:type="character" w:styleId="FollowedHyperlink">
    <w:name w:val="FollowedHyperlink"/>
    <w:basedOn w:val="DefaultParagraphFont"/>
    <w:uiPriority w:val="99"/>
    <w:semiHidden/>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
    <w:name w:val="Listenabsatz"/>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CommentReference">
    <w:name w:val="annotation reference"/>
    <w:uiPriority w:val="99"/>
    <w:semiHidden/>
    <w:unhideWhenUsed/>
    <w:rsid w:val="00E41E35"/>
    <w:rPr>
      <w:rFonts w:ascii="Times New Roman" w:hAnsi="Times New Roman" w:cs="Times New Roman" w:hint="default"/>
      <w:sz w:val="16"/>
      <w:szCs w:val="16"/>
    </w:rPr>
  </w:style>
  <w:style w:type="character" w:customStyle="1" w:styleId="IntensiverVerweis">
    <w:name w:val="Intensiver Verweis"/>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BookTitle">
    <w:name w:val="Book Title"/>
    <w:basedOn w:val="DefaultParagraphFont"/>
    <w:uiPriority w:val="33"/>
    <w:qFormat/>
    <w:rsid w:val="00E41E35"/>
    <w:rPr>
      <w:b/>
      <w:bCs/>
      <w:smallCaps/>
      <w:spacing w:val="5"/>
    </w:rPr>
  </w:style>
  <w:style w:type="paragraph" w:styleId="ListParagraph">
    <w:name w:val="List Paragraph"/>
    <w:basedOn w:val="Normal"/>
    <w:uiPriority w:val="34"/>
    <w:qFormat/>
    <w:rsid w:val="007E42E6"/>
    <w:pPr>
      <w:ind w:left="720"/>
      <w:contextualSpacing/>
    </w:pPr>
  </w:style>
  <w:style w:type="paragraph" w:customStyle="1" w:styleId="FigureCaption">
    <w:name w:val="Figure Caption"/>
    <w:basedOn w:val="Normal"/>
    <w:next w:val="BodyText"/>
    <w:uiPriority w:val="99"/>
    <w:rsid w:val="000A0CB7"/>
    <w:pPr>
      <w:keepNext/>
      <w:keepLines/>
      <w:spacing w:before="360" w:after="120" w:line="288" w:lineRule="auto"/>
    </w:pPr>
    <w:rPr>
      <w:b/>
      <w:color w:val="939598"/>
      <w:lang w:val="en-GB" w:eastAsia="en-GB"/>
    </w:rPr>
  </w:style>
  <w:style w:type="paragraph" w:styleId="BodyText">
    <w:name w:val="Body Text"/>
    <w:basedOn w:val="Normal"/>
    <w:link w:val="BodyTextChar"/>
    <w:uiPriority w:val="99"/>
    <w:semiHidden/>
    <w:unhideWhenUsed/>
    <w:rsid w:val="000A0CB7"/>
    <w:pPr>
      <w:spacing w:after="120"/>
    </w:pPr>
  </w:style>
  <w:style w:type="character" w:customStyle="1" w:styleId="BodyTextChar">
    <w:name w:val="Body Text Char"/>
    <w:basedOn w:val="DefaultParagraphFont"/>
    <w:link w:val="BodyText"/>
    <w:uiPriority w:val="99"/>
    <w:semiHidden/>
    <w:rsid w:val="000A0CB7"/>
    <w:rPr>
      <w:rFonts w:ascii="Arial" w:hAnsi="Arial"/>
      <w:szCs w:val="24"/>
      <w:lang w:val="en-US"/>
    </w:rPr>
  </w:style>
  <w:style w:type="paragraph" w:customStyle="1" w:styleId="Default">
    <w:name w:val="Default"/>
    <w:uiPriority w:val="99"/>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BodyTextIndent2">
    <w:name w:val="Body Text Indent 2"/>
    <w:basedOn w:val="Normal"/>
    <w:link w:val="BodyTextIndent2Char"/>
    <w:rsid w:val="00100C51"/>
    <w:pPr>
      <w:numPr>
        <w:numId w:val="33"/>
      </w:numPr>
      <w:tabs>
        <w:tab w:val="clear" w:pos="0"/>
      </w:tabs>
      <w:ind w:left="709" w:firstLine="0"/>
    </w:pPr>
    <w:rPr>
      <w:rFonts w:cs="Arial"/>
      <w:sz w:val="24"/>
      <w:szCs w:val="20"/>
      <w:lang w:val="en-GB"/>
    </w:rPr>
  </w:style>
  <w:style w:type="character" w:customStyle="1" w:styleId="BodyTextIndent2Char">
    <w:name w:val="Body Text Indent 2 Char"/>
    <w:basedOn w:val="DefaultParagraphFont"/>
    <w:link w:val="BodyTextIndent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34"/>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Heading2Char">
    <w:name w:val="Heading 2 Char"/>
    <w:aliases w:val="ECC Heading 2 Char"/>
    <w:basedOn w:val="DefaultParagraphFont"/>
    <w:link w:val="Heading2"/>
    <w:locked/>
    <w:rsid w:val="00AC460F"/>
    <w:rPr>
      <w:rFonts w:ascii="Arial" w:hAnsi="Arial" w:cs="Arial"/>
      <w:b/>
      <w:bCs/>
      <w:iCs/>
      <w:caps/>
      <w:szCs w:val="28"/>
      <w:lang w:val="en-US"/>
    </w:rPr>
  </w:style>
  <w:style w:type="character" w:customStyle="1" w:styleId="Heading3Char">
    <w:name w:val="Heading 3 Char"/>
    <w:aliases w:val="ECC Heading 3 Char"/>
    <w:basedOn w:val="DefaultParagraphFont"/>
    <w:link w:val="Heading3"/>
    <w:locked/>
    <w:rsid w:val="00510087"/>
    <w:rPr>
      <w:rFonts w:ascii="Arial" w:hAnsi="Arial" w:cs="Arial"/>
      <w:b/>
    </w:rPr>
  </w:style>
  <w:style w:type="character" w:customStyle="1" w:styleId="Heading5Char">
    <w:name w:val="Heading 5 Char"/>
    <w:basedOn w:val="DefaultParagraphFont"/>
    <w:link w:val="Heading5"/>
    <w:locked/>
    <w:rsid w:val="00AC460F"/>
    <w:rPr>
      <w:rFonts w:ascii="Arial" w:hAnsi="Arial"/>
      <w:b/>
      <w:bCs/>
      <w:i/>
      <w:iCs/>
      <w:sz w:val="26"/>
      <w:szCs w:val="26"/>
      <w:lang w:val="en-US"/>
    </w:rPr>
  </w:style>
  <w:style w:type="character" w:customStyle="1" w:styleId="Heading6Char">
    <w:name w:val="Heading 6 Char"/>
    <w:basedOn w:val="DefaultParagraphFont"/>
    <w:link w:val="Heading6"/>
    <w:locked/>
    <w:rsid w:val="00AC460F"/>
    <w:rPr>
      <w:rFonts w:ascii="Arial" w:hAnsi="Arial"/>
      <w:b/>
      <w:bCs/>
      <w:sz w:val="22"/>
      <w:szCs w:val="22"/>
      <w:lang w:val="en-US"/>
    </w:rPr>
  </w:style>
  <w:style w:type="character" w:customStyle="1" w:styleId="Heading7Char">
    <w:name w:val="Heading 7 Char"/>
    <w:basedOn w:val="DefaultParagraphFont"/>
    <w:link w:val="Heading7"/>
    <w:locked/>
    <w:rsid w:val="00AC460F"/>
    <w:rPr>
      <w:rFonts w:ascii="Arial" w:hAnsi="Arial"/>
      <w:sz w:val="24"/>
      <w:szCs w:val="24"/>
      <w:lang w:val="en-US"/>
    </w:rPr>
  </w:style>
  <w:style w:type="character" w:customStyle="1" w:styleId="Heading8Char">
    <w:name w:val="Heading 8 Char"/>
    <w:basedOn w:val="DefaultParagraphFont"/>
    <w:link w:val="Heading8"/>
    <w:locked/>
    <w:rsid w:val="00AC460F"/>
    <w:rPr>
      <w:rFonts w:ascii="Arial" w:hAnsi="Arial"/>
      <w:i/>
      <w:iCs/>
      <w:sz w:val="24"/>
      <w:szCs w:val="24"/>
      <w:lang w:val="en-US"/>
    </w:rPr>
  </w:style>
  <w:style w:type="character" w:customStyle="1" w:styleId="Heading4Char">
    <w:name w:val="Heading 4 Char"/>
    <w:aliases w:val="ECC Heading 4 Char"/>
    <w:basedOn w:val="DefaultParagraphFont"/>
    <w:uiPriority w:val="99"/>
    <w:rsid w:val="00AC460F"/>
    <w:rPr>
      <w:rFonts w:ascii="Arial" w:hAnsi="Arial" w:cs="Arial"/>
      <w:bCs/>
      <w:color w:val="C00000"/>
      <w:sz w:val="26"/>
      <w:szCs w:val="26"/>
      <w:lang w:val="en-US" w:eastAsia="x-none"/>
    </w:rPr>
  </w:style>
  <w:style w:type="paragraph" w:styleId="CommentText">
    <w:name w:val="annotation text"/>
    <w:basedOn w:val="Normal"/>
    <w:link w:val="CommentTextChar"/>
    <w:uiPriority w:val="99"/>
    <w:semiHidden/>
    <w:rsid w:val="00AC460F"/>
    <w:rPr>
      <w:szCs w:val="20"/>
    </w:rPr>
  </w:style>
  <w:style w:type="character" w:customStyle="1" w:styleId="CommentTextChar">
    <w:name w:val="Comment Text Char"/>
    <w:basedOn w:val="DefaultParagraphFont"/>
    <w:link w:val="CommentText"/>
    <w:uiPriority w:val="99"/>
    <w:semiHidden/>
    <w:rsid w:val="00AC460F"/>
    <w:rPr>
      <w:rFonts w:ascii="Arial" w:hAnsi="Arial"/>
      <w:lang w:val="en-US"/>
    </w:rPr>
  </w:style>
  <w:style w:type="character" w:customStyle="1" w:styleId="HeaderChar">
    <w:name w:val="Header Char"/>
    <w:basedOn w:val="DefaultParagraphFont"/>
    <w:link w:val="Header"/>
    <w:uiPriority w:val="99"/>
    <w:locked/>
    <w:rsid w:val="00AC460F"/>
    <w:rPr>
      <w:rFonts w:ascii="Arial" w:hAnsi="Arial"/>
      <w:b/>
      <w:sz w:val="16"/>
      <w:szCs w:val="24"/>
      <w:lang w:val="en-US"/>
    </w:rPr>
  </w:style>
  <w:style w:type="paragraph" w:styleId="CommentSubject">
    <w:name w:val="annotation subject"/>
    <w:basedOn w:val="CommentText"/>
    <w:next w:val="CommentText"/>
    <w:link w:val="CommentSubjectChar"/>
    <w:uiPriority w:val="99"/>
    <w:semiHidden/>
    <w:unhideWhenUsed/>
    <w:rsid w:val="00AC460F"/>
    <w:rPr>
      <w:b/>
      <w:bCs/>
    </w:rPr>
  </w:style>
  <w:style w:type="character" w:customStyle="1" w:styleId="CommentSubjectChar">
    <w:name w:val="Comment Subject Char"/>
    <w:basedOn w:val="CommentTextChar"/>
    <w:link w:val="CommentSubject"/>
    <w:uiPriority w:val="99"/>
    <w:semiHidden/>
    <w:rsid w:val="00AC460F"/>
    <w:rPr>
      <w:rFonts w:ascii="Arial" w:hAnsi="Arial"/>
      <w:b/>
      <w:bCs/>
      <w:lang w:val="en-US"/>
    </w:rPr>
  </w:style>
  <w:style w:type="paragraph" w:styleId="Re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OC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321031">
      <w:bodyDiv w:val="1"/>
      <w:marLeft w:val="0"/>
      <w:marRight w:val="0"/>
      <w:marTop w:val="0"/>
      <w:marBottom w:val="0"/>
      <w:divBdr>
        <w:top w:val="none" w:sz="0" w:space="0" w:color="auto"/>
        <w:left w:val="none" w:sz="0" w:space="0" w:color="auto"/>
        <w:bottom w:val="none" w:sz="0" w:space="0" w:color="auto"/>
        <w:right w:val="none" w:sz="0" w:space="0" w:color="auto"/>
      </w:divBdr>
    </w:div>
    <w:div w:id="1014262157">
      <w:bodyDiv w:val="1"/>
      <w:marLeft w:val="0"/>
      <w:marRight w:val="0"/>
      <w:marTop w:val="0"/>
      <w:marBottom w:val="0"/>
      <w:divBdr>
        <w:top w:val="none" w:sz="0" w:space="0" w:color="auto"/>
        <w:left w:val="none" w:sz="0" w:space="0" w:color="auto"/>
        <w:bottom w:val="none" w:sz="0" w:space="0" w:color="auto"/>
        <w:right w:val="none" w:sz="0" w:space="0" w:color="auto"/>
      </w:divBdr>
    </w:div>
    <w:div w:id="1139568888">
      <w:bodyDiv w:val="1"/>
      <w:marLeft w:val="0"/>
      <w:marRight w:val="0"/>
      <w:marTop w:val="0"/>
      <w:marBottom w:val="0"/>
      <w:divBdr>
        <w:top w:val="none" w:sz="0" w:space="0" w:color="auto"/>
        <w:left w:val="none" w:sz="0" w:space="0" w:color="auto"/>
        <w:bottom w:val="none" w:sz="0" w:space="0" w:color="auto"/>
        <w:right w:val="none" w:sz="0" w:space="0" w:color="auto"/>
      </w:divBdr>
    </w:div>
    <w:div w:id="1276522714">
      <w:bodyDiv w:val="1"/>
      <w:marLeft w:val="0"/>
      <w:marRight w:val="0"/>
      <w:marTop w:val="0"/>
      <w:marBottom w:val="0"/>
      <w:divBdr>
        <w:top w:val="none" w:sz="0" w:space="0" w:color="auto"/>
        <w:left w:val="none" w:sz="0" w:space="0" w:color="auto"/>
        <w:bottom w:val="none" w:sz="0" w:space="0" w:color="auto"/>
        <w:right w:val="none" w:sz="0" w:space="0" w:color="auto"/>
      </w:divBdr>
    </w:div>
    <w:div w:id="1346248556">
      <w:bodyDiv w:val="1"/>
      <w:marLeft w:val="0"/>
      <w:marRight w:val="0"/>
      <w:marTop w:val="0"/>
      <w:marBottom w:val="0"/>
      <w:divBdr>
        <w:top w:val="none" w:sz="0" w:space="0" w:color="auto"/>
        <w:left w:val="none" w:sz="0" w:space="0" w:color="auto"/>
        <w:bottom w:val="none" w:sz="0" w:space="0" w:color="auto"/>
        <w:right w:val="none" w:sz="0" w:space="0" w:color="auto"/>
      </w:divBdr>
    </w:div>
    <w:div w:id="2073961488">
      <w:bodyDiv w:val="1"/>
      <w:marLeft w:val="0"/>
      <w:marRight w:val="0"/>
      <w:marTop w:val="0"/>
      <w:marBottom w:val="0"/>
      <w:divBdr>
        <w:top w:val="none" w:sz="0" w:space="0" w:color="auto"/>
        <w:left w:val="none" w:sz="0" w:space="0" w:color="auto"/>
        <w:bottom w:val="none" w:sz="0" w:space="0" w:color="auto"/>
        <w:right w:val="none" w:sz="0" w:space="0" w:color="auto"/>
      </w:divBdr>
    </w:div>
    <w:div w:id="2082361061">
      <w:bodyDiv w:val="1"/>
      <w:marLeft w:val="0"/>
      <w:marRight w:val="0"/>
      <w:marTop w:val="0"/>
      <w:marBottom w:val="0"/>
      <w:divBdr>
        <w:top w:val="none" w:sz="0" w:space="0" w:color="auto"/>
        <w:left w:val="none" w:sz="0" w:space="0" w:color="auto"/>
        <w:bottom w:val="none" w:sz="0" w:space="0" w:color="auto"/>
        <w:right w:val="none" w:sz="0" w:space="0" w:color="auto"/>
      </w:divBdr>
    </w:div>
    <w:div w:id="212804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12.jpeg"/><Relationship Id="rId34" Type="http://schemas.openxmlformats.org/officeDocument/2006/relationships/hyperlink" Target="http://cept.org/files/1051/Topics/Broadcasting/T-DAB/MA02revCO07/MarevCo07/Ma02revCo07_17Jan12_BEL.zip" TargetMode="External"/><Relationship Id="rId42" Type="http://schemas.openxmlformats.org/officeDocument/2006/relationships/hyperlink" Target="http://cept.org/files/1051/Topics/Broadcasting/T-DAB/MA02revCO07/MarevCo07/Ma02revCo07_June_2012_F.zip" TargetMode="External"/><Relationship Id="rId47" Type="http://schemas.openxmlformats.org/officeDocument/2006/relationships/hyperlink" Target="http://cept.org/files/1051/Topics/Broadcasting/T-DAB/MA02revCO07/MarevCo07/Ma02revCo07_17Jan2012_I.zip" TargetMode="External"/><Relationship Id="rId50" Type="http://schemas.openxmlformats.org/officeDocument/2006/relationships/hyperlink" Target="http://cept.org/files/1051/Topics/Broadcasting/T-DAB/MA02revCO07/MarevCo07/Ma02revCo07_June_2012_LTU.zip" TargetMode="External"/><Relationship Id="rId55" Type="http://schemas.openxmlformats.org/officeDocument/2006/relationships/hyperlink" Target="http://cept.org/files/1051/Topics/Broadcasting/T-DAB/MA02revCO07/MarevCo07/Ma02revCo07_17Jan12_MCO.zip" TargetMode="External"/><Relationship Id="rId63" Type="http://schemas.openxmlformats.org/officeDocument/2006/relationships/hyperlink" Target="http://cept.org/files/1051/Topics/Broadcasting/T-DAB/MA02revCO07/MarevCo07/Ma02revCo07_17Jan12_SVN.zip" TargetMode="External"/><Relationship Id="rId68" Type="http://schemas.openxmlformats.org/officeDocument/2006/relationships/hyperlink" Target="http://cept.org/files/1051/Topics/Broadcasting/T-DAB/MA02revCO07/MarevCo07/Ma02revCo07_17Jan12_UKR.zip" TargetMode="External"/><Relationship Id="rId76" Type="http://schemas.openxmlformats.org/officeDocument/2006/relationships/hyperlink" Target="http://www.acma.gov.au/WEB/STANDARD/pc=PC_2713" TargetMode="External"/><Relationship Id="rId84" Type="http://schemas.openxmlformats.org/officeDocument/2006/relationships/hyperlink" Target="http://www.cck.go.ke/licensing/downloads/Kenya_TOFA_2008_Edition.pdf" TargetMode="External"/><Relationship Id="rId89" Type="http://schemas.openxmlformats.org/officeDocument/2006/relationships/header" Target="header7.xml"/><Relationship Id="rId97" Type="http://schemas.openxmlformats.org/officeDocument/2006/relationships/hyperlink" Target="http://www.cept.org/Documents/fm-50/3160/FM50_11_061_Annex-2_WIK_Report_PPDR_Spectrum_Harmonisation" TargetMode="External"/><Relationship Id="rId7" Type="http://schemas.openxmlformats.org/officeDocument/2006/relationships/footnotes" Target="footnotes.xml"/><Relationship Id="rId71" Type="http://schemas.openxmlformats.org/officeDocument/2006/relationships/image" Target="media/image20.emf"/><Relationship Id="rId92"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hyperlink" Target="http://cept.org/files/1051/Topics/Broadcasting/T-DAB/MA02revCO07/MarevCo07/Ma02revCo07_17Jan2012_ALB.zip" TargetMode="External"/><Relationship Id="rId37" Type="http://schemas.openxmlformats.org/officeDocument/2006/relationships/hyperlink" Target="http://cept.org/files/1051/Topics/Broadcasting/T-DAB/MA02revCO07/MarevCo07/Ma02revCo07_17Jan12_HRV.zip" TargetMode="External"/><Relationship Id="rId40" Type="http://schemas.openxmlformats.org/officeDocument/2006/relationships/hyperlink" Target="http://cept.org/files/1051/Topics/Broadcasting/T-DAB/MA02revCO07/MarevCo07/Ma02revCo07_17Jan12_EST.zip" TargetMode="External"/><Relationship Id="rId45" Type="http://schemas.openxmlformats.org/officeDocument/2006/relationships/hyperlink" Target="http://cept.org/files/1051/Topics/Broadcasting/T-DAB/MA02revCO07/MarevCo07/Ma02revCo07_17Jan12_HNG.zip" TargetMode="External"/><Relationship Id="rId53" Type="http://schemas.openxmlformats.org/officeDocument/2006/relationships/hyperlink" Target="http://cept.org/files/1051/Topics/Broadcasting/T-DAB/MA02revCO07/MarevCo07/Ma02revCo07_17Jan2012_MLT.zip" TargetMode="External"/><Relationship Id="rId58" Type="http://schemas.openxmlformats.org/officeDocument/2006/relationships/hyperlink" Target="http://cept.org/files/1051/Topics/Broadcasting/T-DAB/MA02revCO07/MarevCo07/Ma02revCo07_17Jan12_POL.zip" TargetMode="External"/><Relationship Id="rId66" Type="http://schemas.openxmlformats.org/officeDocument/2006/relationships/hyperlink" Target="http://cept.org/files/1051/Topics/Broadcasting/T-DAB/MA02revCO07/MarevCo07/Ma02revCo07_17Jan12__SUI.zip" TargetMode="External"/><Relationship Id="rId74" Type="http://schemas.openxmlformats.org/officeDocument/2006/relationships/image" Target="media/image22.png"/><Relationship Id="rId79" Type="http://schemas.openxmlformats.org/officeDocument/2006/relationships/hyperlink" Target="http://www.ic.gc.ca/eic/site/smt-gst.nsf/vwapj/spectallocation-08.pdf/$FILE/spectallocation-08.pdf" TargetMode="External"/><Relationship Id="rId87" Type="http://schemas.openxmlformats.org/officeDocument/2006/relationships/hyperlink" Target="http://www.ic.gc.ca/eic/site/smt-gst.nsf/eng/sf09751.html" TargetMode="External"/><Relationship Id="rId5" Type="http://schemas.openxmlformats.org/officeDocument/2006/relationships/settings" Target="settings.xml"/><Relationship Id="rId61" Type="http://schemas.openxmlformats.org/officeDocument/2006/relationships/hyperlink" Target="http://cept.org/files/1051/Topics/Broadcasting/T-DAB/MA02revCO07/MarevCo07/Ma02revCo07_17Jan12_SMR.zip" TargetMode="External"/><Relationship Id="rId82" Type="http://schemas.openxmlformats.org/officeDocument/2006/relationships/hyperlink" Target="http://210.212.79.13/nfap-2011.asp" TargetMode="External"/><Relationship Id="rId90" Type="http://schemas.openxmlformats.org/officeDocument/2006/relationships/image" Target="media/image24.jpeg"/><Relationship Id="rId95" Type="http://schemas.openxmlformats.org/officeDocument/2006/relationships/hyperlink" Target="http://www.plumconsulting.co.uk/pdfs/Plum_June2011_Benefits_of_1.4GHz_spectrum_for_multimedia_services.pdf"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17.emf"/><Relationship Id="rId35" Type="http://schemas.openxmlformats.org/officeDocument/2006/relationships/hyperlink" Target="http://cept.org/files/1051/Topics/Broadcasting/T-DAB/MA02revCO07/MarevCo07/Ma02revCo07_17Jan2012_BIH.zip" TargetMode="External"/><Relationship Id="rId43" Type="http://schemas.openxmlformats.org/officeDocument/2006/relationships/hyperlink" Target="http://cept.org/files/1051/Topics/Broadcasting/T-DAB/MA02revCO07/MarevCo07/Ma02revCo07_17Jan12_D.zip" TargetMode="External"/><Relationship Id="rId48" Type="http://schemas.openxmlformats.org/officeDocument/2006/relationships/hyperlink" Target="http://cept.org/files/1051/Topics/Broadcasting/T-DAB/MA02revCO07/MarevCo07/Ma02revCo07_17Jan2012_LVA.zip" TargetMode="External"/><Relationship Id="rId56" Type="http://schemas.openxmlformats.org/officeDocument/2006/relationships/hyperlink" Target="http://cept.org/files/1051/Topics/Broadcasting/T-DAB/MA02revCO07/MarevCo07/Ma02revCo07_17Jan12_HOL.zip" TargetMode="External"/><Relationship Id="rId64" Type="http://schemas.openxmlformats.org/officeDocument/2006/relationships/hyperlink" Target="http://cept.org/files/1051/Topics/Broadcasting/T-DAB/MA02revCO07/MarevCo07/Ma02revCo07_17Jan12_E.zip" TargetMode="External"/><Relationship Id="rId69" Type="http://schemas.openxmlformats.org/officeDocument/2006/relationships/hyperlink" Target="http://cept.org/files/1051/Topics/Broadcasting/T-DAB/MA02revCO07/MarevCo07/Ma02revCo07_17Jan12_G.zip" TargetMode="External"/><Relationship Id="rId77" Type="http://schemas.openxmlformats.org/officeDocument/2006/relationships/hyperlink" Target="http://194.182.137.30/exchweb/bin/redir.asp?URL=http://www.acma.gov.au/WEB/STANDARD/pc=PC_410368" TargetMode="External"/><Relationship Id="rId8" Type="http://schemas.openxmlformats.org/officeDocument/2006/relationships/endnotes" Target="endnotes.xml"/><Relationship Id="rId51" Type="http://schemas.openxmlformats.org/officeDocument/2006/relationships/hyperlink" Target="http://cept.org/files/1051/Topics/Broadcasting/T-DAB/MA02revCO07/MarevCo07/Ma02revCo07_17Jan12_LUX.zip" TargetMode="External"/><Relationship Id="rId72" Type="http://schemas.openxmlformats.org/officeDocument/2006/relationships/image" Target="media/image21.emf"/><Relationship Id="rId80" Type="http://schemas.openxmlformats.org/officeDocument/2006/relationships/hyperlink" Target="http://www.ic.gc.ca/eic/site/smt-gst.nsf/eng/sf09751.html" TargetMode="External"/><Relationship Id="rId85" Type="http://schemas.openxmlformats.org/officeDocument/2006/relationships/hyperlink" Target="http://www.pta.gov.pk/media/Pakistan_Table_of_Frequency_Allocations.pdf" TargetMode="External"/><Relationship Id="rId93" Type="http://schemas.openxmlformats.org/officeDocument/2006/relationships/image" Target="media/image27.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4.xml"/><Relationship Id="rId33" Type="http://schemas.openxmlformats.org/officeDocument/2006/relationships/hyperlink" Target="http://cept.org/files/1051/Topics/Broadcasting/T-DAB/MA02revCO07/MarevCo07/Ma02revCo07_17Jan2012_AUT.zip" TargetMode="External"/><Relationship Id="rId38" Type="http://schemas.openxmlformats.org/officeDocument/2006/relationships/hyperlink" Target="http://cept.org/files/1051/Topics/Broadcasting/T-DAB/MA02revCO07/MarevCo07/Ma02revCo07_June_2012_CZE.zip" TargetMode="External"/><Relationship Id="rId46" Type="http://schemas.openxmlformats.org/officeDocument/2006/relationships/hyperlink" Target="http://cept.org/files/1051/Topics/Broadcasting/T-DAB/MA02revCO07/MarevCo07/Ma02revCo07_17Jan2012_IRL.zip" TargetMode="External"/><Relationship Id="rId59" Type="http://schemas.openxmlformats.org/officeDocument/2006/relationships/hyperlink" Target="http://cept.org/files/1051/Topics/Broadcasting/T-DAB/MA02revCO07/MarevCo07/Ma02revCo07_17Jan12_POR.zip" TargetMode="External"/><Relationship Id="rId67" Type="http://schemas.openxmlformats.org/officeDocument/2006/relationships/hyperlink" Target="http://cept.org/files/1051/Topics/Broadcasting/T-DAB/MA02revCO07/MarevCo07/Ma02revCo07_17Jan2012_TUR.zip" TargetMode="External"/><Relationship Id="rId20" Type="http://schemas.openxmlformats.org/officeDocument/2006/relationships/image" Target="media/image11.jpeg"/><Relationship Id="rId41" Type="http://schemas.openxmlformats.org/officeDocument/2006/relationships/hyperlink" Target="http://cept.org/files/1051/Topics/Broadcasting/T-DAB/MA02revCO07/MarevCo07/Ma02revCo07_17Jan2012_FIN.zip" TargetMode="External"/><Relationship Id="rId54" Type="http://schemas.openxmlformats.org/officeDocument/2006/relationships/hyperlink" Target="http://cept.org/files/1051/Topics/Broadcasting/T-DAB/MA02revCO07/MarevCo07/Ma02revCo07_17Jan2012_MDA.zip" TargetMode="External"/><Relationship Id="rId62" Type="http://schemas.openxmlformats.org/officeDocument/2006/relationships/hyperlink" Target="http://cept.org/files/1051/Topics/Broadcasting/T-DAB/MA02revCO07/MarevCo07/Ma02revCo07_June_2012_SVK.zip" TargetMode="External"/><Relationship Id="rId70" Type="http://schemas.openxmlformats.org/officeDocument/2006/relationships/image" Target="media/image19.emf"/><Relationship Id="rId75" Type="http://schemas.openxmlformats.org/officeDocument/2006/relationships/image" Target="media/image23.png"/><Relationship Id="rId83" Type="http://schemas.openxmlformats.org/officeDocument/2006/relationships/hyperlink" Target="http://www.tele.soumu.go.jp/e/adm/freq/search/share/plan.htm" TargetMode="External"/><Relationship Id="rId88" Type="http://schemas.openxmlformats.org/officeDocument/2006/relationships/hyperlink" Target="http://www.crasa.org/download.php?doc=doc_pub_eng64.pdf" TargetMode="External"/><Relationship Id="rId91" Type="http://schemas.openxmlformats.org/officeDocument/2006/relationships/image" Target="media/image25.png"/><Relationship Id="rId96" Type="http://schemas.openxmlformats.org/officeDocument/2006/relationships/hyperlink" Target="http://www.cept.org/files/1051/ECC/About%20ECC/ECC%20Strategic%20plan/ECC%20Strategic%20Plan%20rev%204.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6.xml"/><Relationship Id="rId36" Type="http://schemas.openxmlformats.org/officeDocument/2006/relationships/hyperlink" Target="http://cept.org/files/1051/Topics/Broadcasting/T-DAB/MA02revCO07/MarevCo07/Ma02revCo07_17Jan2012_BUL.zip" TargetMode="External"/><Relationship Id="rId49" Type="http://schemas.openxmlformats.org/officeDocument/2006/relationships/hyperlink" Target="http://cept.org/files/1051/Topics/Broadcasting/T-DAB/MA02revCO07/MarevCo07/Ma02revCo07_17Jan2012_LIE.zip" TargetMode="External"/><Relationship Id="rId57" Type="http://schemas.openxmlformats.org/officeDocument/2006/relationships/hyperlink" Target="http://cept.org/files/1051/Topics/Broadcasting/T-DAB/MA02revCO07/MarevCo07/Ma02revCo07_17Jan12_NOR.zip" TargetMode="External"/><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hyperlink" Target="http://cept.org/files/1051/Topics/Broadcasting/T-DAB/MA02revCO07/MarevCo07/Ma02revCo07_17Jan12_GRC.zip" TargetMode="External"/><Relationship Id="rId52" Type="http://schemas.openxmlformats.org/officeDocument/2006/relationships/hyperlink" Target="http://cept.org/files/1051/Topics/Broadcasting/T-DAB/MA02revCO07/MarevCo07/Ma02revCo07_17Jan2012_MKD.zip" TargetMode="External"/><Relationship Id="rId60" Type="http://schemas.openxmlformats.org/officeDocument/2006/relationships/hyperlink" Target="http://cept.org/files/1051/Topics/Broadcasting/T-DAB/MA02revCO07/MarevCo07/Ma02revCo07_17Jan12_ROU.zip" TargetMode="External"/><Relationship Id="rId65" Type="http://schemas.openxmlformats.org/officeDocument/2006/relationships/hyperlink" Target="http://cept.org/files/1051/Topics/Broadcasting/T-DAB/MA02revCO07/MarevCo07/Ma02revCo07_17Jan2012_S.zip" TargetMode="External"/><Relationship Id="rId73" Type="http://schemas.openxmlformats.org/officeDocument/2006/relationships/hyperlink" Target="http://cept.org/ecc/topics/broadcasting/t-dab/ma02revco07-special-arrangement/ma02revco07-t-dab-plan-circular-letters" TargetMode="External"/><Relationship Id="rId78" Type="http://schemas.openxmlformats.org/officeDocument/2006/relationships/hyperlink" Target="http://www.anatel.gov.br" TargetMode="External"/><Relationship Id="rId81" Type="http://schemas.openxmlformats.org/officeDocument/2006/relationships/hyperlink" Target="http://files.radioscanner.ru/bands/files/document76/castoti_kitaa_2005.pdf" TargetMode="External"/><Relationship Id="rId86" Type="http://schemas.openxmlformats.org/officeDocument/2006/relationships/hyperlink" Target="http://rapa.or.kr/frequency/english/3_Korean_Allocations_Tables.pdf" TargetMode="External"/><Relationship Id="rId94" Type="http://schemas.openxmlformats.org/officeDocument/2006/relationships/hyperlink" Target="http://rspg.groups.eu.int/consultations/consultation_futradio/rspg10_349_annex.pdf"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cept.org/files/1051/Topics/Broadcasting/T-DAB/MA02revCO07/MarevCo07/Ma02revCo07_17Jan2012_DNK.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bs.coe.int/about/oea/pr/mavise-miptv2012.html" TargetMode="External"/><Relationship Id="rId13" Type="http://schemas.openxmlformats.org/officeDocument/2006/relationships/hyperlink" Target="http://www.eurocontrol.int/documents/eurocontrol-long-term-forecast-flight-movements-2010-2030" TargetMode="External"/><Relationship Id="rId3" Type="http://schemas.openxmlformats.org/officeDocument/2006/relationships/hyperlink" Target="http://www.telekom.com/media/company/107626" TargetMode="External"/><Relationship Id="rId7" Type="http://schemas.openxmlformats.org/officeDocument/2006/relationships/hyperlink" Target="http://www.plumconsulting.co.uk/pdfs/Plum_June2011_Benefits_of_1.4%20GHz_spectrum_for_multimedia_services.pdf" TargetMode="External"/><Relationship Id="rId12" Type="http://schemas.openxmlformats.org/officeDocument/2006/relationships/hyperlink" Target="http://www.airbus.com/company/market/forecast/" TargetMode="External"/><Relationship Id="rId2" Type="http://schemas.openxmlformats.org/officeDocument/2006/relationships/hyperlink" Target="http://www.plumconsulting.co.uk/pdfs/Plum_June2011_Benefits_of_1.4GHz_spectrum_for_multimedia_services.pdf" TargetMode="External"/><Relationship Id="rId1" Type="http://schemas.openxmlformats.org/officeDocument/2006/relationships/hyperlink" Target="http://www.obs.coe.int/about/oea/pr/mavise_juin2011.html" TargetMode="External"/><Relationship Id="rId6" Type="http://schemas.openxmlformats.org/officeDocument/2006/relationships/hyperlink" Target="http://www.cept.org/ecc/groups/ecc/wg-fm/fm-50/client/meeting-documents" TargetMode="External"/><Relationship Id="rId11" Type="http://schemas.openxmlformats.org/officeDocument/2006/relationships/hyperlink" Target="http://www.boeing.com/commercial/cmo/" TargetMode="External"/><Relationship Id="rId5" Type="http://schemas.openxmlformats.org/officeDocument/2006/relationships/hyperlink" Target="http://pr.gogoair.com/press-room/2012/03/gogo-installed-1500th-commercial-aircraft" TargetMode="External"/><Relationship Id="rId10" Type="http://schemas.openxmlformats.org/officeDocument/2006/relationships/hyperlink" Target="http://www.aircell.com/files/brochures/GettingYourBusinessAircraftOnline.pdf" TargetMode="External"/><Relationship Id="rId4" Type="http://schemas.openxmlformats.org/officeDocument/2006/relationships/hyperlink" Target="http://www.gogoair.com/gogo/cms/airlines.do" TargetMode="External"/><Relationship Id="rId9" Type="http://schemas.openxmlformats.org/officeDocument/2006/relationships/hyperlink" Target="http://www.bmwi.de/BMWi/Redaktion/PDF/Publikationen/Studien/harmonisierung-ppdr-funkfrequenzen-deutschland-europa-weltweit,property=pdf,bereich=bmwi,sprache=de,rwb=true.pdf" TargetMode="External"/><Relationship Id="rId14" Type="http://schemas.openxmlformats.org/officeDocument/2006/relationships/hyperlink" Target="http://www.worlddab.org/introduction_to_digital_broadcasting/standards_spec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21CF5-BA81-4994-9EB6-A282E78E6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96</Pages>
  <Words>33148</Words>
  <Characters>202206</Characters>
  <Application>Microsoft Office Word</Application>
  <DocSecurity>0</DocSecurity>
  <Lines>1685</Lines>
  <Paragraphs>469</Paragraphs>
  <ScaleCrop>false</ScaleCrop>
  <HeadingPairs>
    <vt:vector size="8" baseType="variant">
      <vt:variant>
        <vt:lpstr>Title</vt:lpstr>
      </vt:variant>
      <vt:variant>
        <vt:i4>1</vt:i4>
      </vt:variant>
      <vt:variant>
        <vt:lpstr>Titre</vt:lpstr>
      </vt:variant>
      <vt:variant>
        <vt:i4>1</vt:i4>
      </vt:variant>
      <vt:variant>
        <vt:lpstr>Rubrik</vt:lpstr>
      </vt:variant>
      <vt:variant>
        <vt:i4>1</vt:i4>
      </vt:variant>
      <vt:variant>
        <vt:lpstr>Название</vt:lpstr>
      </vt:variant>
      <vt:variant>
        <vt:i4>1</vt:i4>
      </vt:variant>
    </vt:vector>
  </HeadingPairs>
  <TitlesOfParts>
    <vt:vector size="4" baseType="lpstr">
      <vt:lpstr>New ECC Report Style</vt:lpstr>
      <vt:lpstr>New ECC Report Style</vt:lpstr>
      <vt:lpstr>New ECC Report Style</vt:lpstr>
      <vt:lpstr>New ECC Report Style</vt:lpstr>
    </vt:vector>
  </TitlesOfParts>
  <Company>ECO</Company>
  <LinksUpToDate>false</LinksUpToDate>
  <CharactersWithSpaces>234885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Bente Pedersen</cp:lastModifiedBy>
  <cp:revision>3</cp:revision>
  <cp:lastPrinted>2013-02-19T10:38:00Z</cp:lastPrinted>
  <dcterms:created xsi:type="dcterms:W3CDTF">2013-02-19T10:39:00Z</dcterms:created>
  <dcterms:modified xsi:type="dcterms:W3CDTF">2013-02-19T11:11:00Z</dcterms:modified>
</cp:coreProperties>
</file>