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96D8" w14:textId="77777777" w:rsidR="006C03D0" w:rsidRPr="00E66AEF" w:rsidRDefault="006C03D0">
      <w:pPr>
        <w:rPr>
          <w:lang w:val="en-GB"/>
        </w:rPr>
      </w:pPr>
    </w:p>
    <w:p w14:paraId="3F00D3E1" w14:textId="77777777" w:rsidR="00410B30" w:rsidRPr="00E66AEF" w:rsidRDefault="00410B30" w:rsidP="00410B30">
      <w:pPr>
        <w:jc w:val="center"/>
        <w:rPr>
          <w:lang w:val="en-GB"/>
        </w:rPr>
      </w:pPr>
    </w:p>
    <w:p w14:paraId="619F1E5D" w14:textId="77777777" w:rsidR="00410B30" w:rsidRPr="00E66AEF" w:rsidRDefault="00410B30" w:rsidP="00410B30">
      <w:pPr>
        <w:rPr>
          <w:lang w:val="en-GB"/>
        </w:rPr>
      </w:pPr>
    </w:p>
    <w:p w14:paraId="305CBBFD" w14:textId="77777777" w:rsidR="00410B30" w:rsidRPr="00E66AEF" w:rsidRDefault="00410B30" w:rsidP="00410B30">
      <w:pPr>
        <w:rPr>
          <w:lang w:val="en-GB"/>
        </w:rPr>
      </w:pPr>
    </w:p>
    <w:p w14:paraId="70A4A975" w14:textId="15BE8C2C" w:rsidR="00410B30" w:rsidRPr="00E66AEF" w:rsidRDefault="00410B30" w:rsidP="00410B30">
      <w:pPr>
        <w:jc w:val="center"/>
        <w:rPr>
          <w:b/>
          <w:sz w:val="24"/>
          <w:lang w:val="en-GB"/>
        </w:rPr>
      </w:pPr>
      <w:r w:rsidRPr="00E66AEF">
        <w:rPr>
          <w:b/>
          <w:noProof/>
          <w:sz w:val="24"/>
          <w:szCs w:val="20"/>
          <w:lang w:val="en-GB" w:eastAsia="da-DK"/>
        </w:rPr>
        <mc:AlternateContent>
          <mc:Choice Requires="wpg">
            <w:drawing>
              <wp:anchor distT="0" distB="0" distL="114300" distR="114300" simplePos="0" relativeHeight="251658240" behindDoc="0" locked="0" layoutInCell="1" allowOverlap="1" wp14:anchorId="21FE61A1" wp14:editId="2E58DA91">
                <wp:simplePos x="0" y="0"/>
                <wp:positionH relativeFrom="column">
                  <wp:posOffset>-720090</wp:posOffset>
                </wp:positionH>
                <wp:positionV relativeFrom="paragraph">
                  <wp:posOffset>69850</wp:posOffset>
                </wp:positionV>
                <wp:extent cx="7564120" cy="8268970"/>
                <wp:effectExtent l="0" t="0" r="508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E3A57" w14:textId="77777777" w:rsidR="001F27B6" w:rsidRPr="00FE1795" w:rsidRDefault="001F27B6" w:rsidP="00410B30">
                              <w:pPr>
                                <w:rPr>
                                  <w:color w:val="57433E"/>
                                  <w:sz w:val="68"/>
                                </w:rPr>
                              </w:pPr>
                              <w:r w:rsidRPr="00FE1795">
                                <w:rPr>
                                  <w:color w:val="FFFFFF"/>
                                  <w:sz w:val="68"/>
                                </w:rPr>
                                <w:t xml:space="preserve">ECC Decision </w:t>
                              </w:r>
                              <w:r w:rsidRPr="001E2FAA">
                                <w:rPr>
                                  <w:color w:val="887E6E"/>
                                  <w:sz w:val="68"/>
                                </w:rPr>
                                <w:t>(</w:t>
                              </w:r>
                              <w:r>
                                <w:rPr>
                                  <w:color w:val="887E6E"/>
                                  <w:sz w:val="68"/>
                                </w:rPr>
                                <w:t>14</w:t>
                              </w:r>
                              <w:r w:rsidRPr="001E2FAA">
                                <w:rPr>
                                  <w:color w:val="887E6E"/>
                                  <w:sz w:val="68"/>
                                </w:rPr>
                                <w:t>)</w:t>
                              </w:r>
                              <w:r>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FE61A1" id="Group 2"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28AE3A57" w14:textId="77777777" w:rsidR="001F27B6" w:rsidRPr="00FE1795" w:rsidRDefault="001F27B6" w:rsidP="00410B30">
                        <w:pPr>
                          <w:rPr>
                            <w:color w:val="57433E"/>
                            <w:sz w:val="68"/>
                          </w:rPr>
                        </w:pPr>
                        <w:r w:rsidRPr="00FE1795">
                          <w:rPr>
                            <w:color w:val="FFFFFF"/>
                            <w:sz w:val="68"/>
                          </w:rPr>
                          <w:t xml:space="preserve">ECC Decision </w:t>
                        </w:r>
                        <w:r w:rsidRPr="001E2FAA">
                          <w:rPr>
                            <w:color w:val="887E6E"/>
                            <w:sz w:val="68"/>
                          </w:rPr>
                          <w:t>(</w:t>
                        </w:r>
                        <w:r>
                          <w:rPr>
                            <w:color w:val="887E6E"/>
                            <w:sz w:val="68"/>
                          </w:rPr>
                          <w:t>14</w:t>
                        </w:r>
                        <w:r w:rsidRPr="001E2FAA">
                          <w:rPr>
                            <w:color w:val="887E6E"/>
                            <w:sz w:val="68"/>
                          </w:rPr>
                          <w:t>)</w:t>
                        </w:r>
                        <w:r>
                          <w:rPr>
                            <w:color w:val="887E6E"/>
                            <w:sz w:val="68"/>
                          </w:rPr>
                          <w:t>02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7805D175" w14:textId="21A0692B" w:rsidR="00410B30" w:rsidRPr="00E66AEF" w:rsidRDefault="00F44F2F" w:rsidP="00410B30">
      <w:pPr>
        <w:jc w:val="center"/>
        <w:rPr>
          <w:b/>
          <w:sz w:val="24"/>
          <w:lang w:val="en-GB"/>
        </w:rPr>
      </w:pPr>
      <w:r w:rsidRPr="00E66AEF">
        <w:rPr>
          <w:b/>
          <w:noProof/>
          <w:sz w:val="24"/>
          <w:szCs w:val="20"/>
          <w:lang w:val="en-GB" w:eastAsia="da-DK"/>
        </w:rPr>
        <mc:AlternateContent>
          <mc:Choice Requires="wpg">
            <w:drawing>
              <wp:anchor distT="0" distB="0" distL="114300" distR="114300" simplePos="0" relativeHeight="251658241" behindDoc="0" locked="0" layoutInCell="1" allowOverlap="1" wp14:anchorId="265E84DA" wp14:editId="63585C41">
                <wp:simplePos x="0" y="0"/>
                <wp:positionH relativeFrom="column">
                  <wp:posOffset>-716280</wp:posOffset>
                </wp:positionH>
                <wp:positionV relativeFrom="paragraph">
                  <wp:posOffset>167005</wp:posOffset>
                </wp:positionV>
                <wp:extent cx="7560310" cy="7999095"/>
                <wp:effectExtent l="0" t="228600" r="2540" b="190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99095"/>
                          <a:chOff x="6" y="3125"/>
                          <a:chExt cx="11906" cy="12597"/>
                        </a:xfrm>
                      </wpg:grpSpPr>
                      <wps:wsp>
                        <wps:cNvPr id="26"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cNvPr id="28" name="Group 26"/>
                        <wpg:cNvGrpSpPr>
                          <a:grpSpLocks/>
                        </wpg:cNvGrpSpPr>
                        <wpg:grpSpPr bwMode="auto">
                          <a:xfrm>
                            <a:off x="1739" y="3125"/>
                            <a:ext cx="1735" cy="1735"/>
                            <a:chOff x="954" y="3125"/>
                            <a:chExt cx="1735" cy="1735"/>
                          </a:xfrm>
                        </wpg:grpSpPr>
                        <wps:wsp>
                          <wps:cNvPr id="29"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0"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6532EB" id="Group 25" o:spid="_x0000_s1026" style="position:absolute;margin-left:-56.4pt;margin-top:13.15pt;width:595.3pt;height:629.85pt;z-index:251658241" coordorigin="6,3125" coordsize="11906,1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EHAMAAAkLAAAOAAAAZHJzL2Uyb0RvYy54bWzkVttu1DAQfUfiHyy/09y7TdRsVfUmpAIV&#10;hQ/wOs5FJLaxs5stX8/YzqZ7ESC1VZEgD5Enticz58wZ+/Rs3bVoxZRuBM9xcORjxDgVRcOrHH/9&#10;cv3uBCPdE16QVnCW4wem8dn87ZvTQWYsFLVoC6YQOOE6G2SO676XmedpWrOO6CMhGYfJUqiO9GCq&#10;yisUGcB713qh7x97g1CFVIIyreHrpZvEc+u/LBntP5WlZj1qcwyx9fat7Hth3t78lGSVIrJu6BgG&#10;eUIUHWk4/HRydUl6gpaqOXDVNVQJLcr+iIrOE2XZUGZzgGwCfy+bGyWW0uZSZUMlJ5gA2j2cnuyW&#10;flzdKHkv75SLHoa3gn7TgIs3yCrbnjd25RajxfBBFMAnWfbCJr4uVWdcQEpobfF9mPBl6x5R+DhL&#10;jv0oABoozM3SNPXTxDFAa6DJ7DvGCOaiIJwmrsbNQZD6MGu2wmw6Mxs9krn/2ljH2Az3UEz6ES/9&#10;PLzuayKZpUEbPO4UaoochxAMJx1g8BmqjPCqZejEBGX+Dss2mGoHKOLiooZV7FwpMdSMFBBVYJPY&#10;2WAMDXT8EWGHVJDEUeow3KC8BVR4Eu3ARDKpdH/DRIfMIMcKQrf0kdWt7h2imyWGTS3aprhu2tYa&#10;qlpctAqtCIjpMgyj8Hz0vrOs5WYxF2ab82i+AEMuMQfQQhQPkKQSTpHQQWBQC/UDowHUmGP9fUkU&#10;w6h9zwGoNIhjI19rJLEPD0bKWjNoA2AsrBEnYGJEOAVfOe43w4veaX4pVVPV8KvAZs3FOdRv2djM&#10;TYAurDFaKCET7Fj0brjFP3Q2x7+VKYJ6sOTvasZ0hJfSVDADqnflMXE+i5JRG2YEgZBs0lSaxHvb&#10;aD2p6mDjX9UU5LevqTB2uP5eVFpCJRtaX0ZnrjDDmSk035bK2NcOsfw1BROSLyi7a/v8D7J7hRYe&#10;Qas4KDernp2WDG1wv4e/VrkFYQwlbU7EOLY6INlUb4E5gexxaEau025O4U0Pf3abT2ZxFF39+/X2&#10;eIEYLz5w37L3i/FuaC5027Zd9XiDnf8EAAD//wMAUEsDBBQABgAIAAAAIQAzqu984wAAAA0BAAAP&#10;AAAAZHJzL2Rvd25yZXYueG1sTI/BasMwEETvhf6D2EJviSSHOsG1HEJoewqFJoXSm2JtbBNrZSzF&#10;dv6+yqm57c4OM2/z9WRbNmDvG0cK5FwAQyqdaahS8H14n62A+aDJ6NYRKriih3Xx+JDrzLiRvnDY&#10;h4rFEPKZVlCH0GWc+7JGq/3cdUjxdnK91SGufcVNr8cYblueCJFyqxuKDbXucFtjed5frIKPUY+b&#10;hXwbdufT9vp7ePn82UlU6vlp2rwCCziFfzPc8CM6FJHp6C5kPGsVzKRMIntQkKQLYDeHWC6jcoxT&#10;skoF8CLn918UfwAAAP//AwBQSwECLQAUAAYACAAAACEAtoM4kv4AAADhAQAAEwAAAAAAAAAAAAAA&#10;AAAAAAAAW0NvbnRlbnRfVHlwZXNdLnhtbFBLAQItABQABgAIAAAAIQA4/SH/1gAAAJQBAAALAAAA&#10;AAAAAAAAAAAAAC8BAABfcmVscy8ucmVsc1BLAQItABQABgAIAAAAIQBJ/yZEHAMAAAkLAAAOAAAA&#10;AAAAAAAAAAAAAC4CAABkcnMvZTJvRG9jLnhtbFBLAQItABQABgAIAAAAIQAzqu984wAAAA0BAAAP&#10;AAAAAAAAAAAAAAAAAHYFAABkcnMvZG93bnJldi54bWxQSwUGAAAAAAQABADzAAAAhg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NBwwAAANsAAAAPAAAAZHJzL2Rvd25yZXYueG1sRI9Bi8Iw&#10;FITvgv8hPMGLaKoLQbpGWQSxR9fuHrw9mrdt2ealNlHrvzeC4HGYmW+Y1aa3jbhS52vHGuazBARx&#10;4UzNpYaffDddgvAB2WDjmDTcycNmPRysMDXuxt90PYZSRAj7FDVUIbSplL6oyKKfuZY4en+usxii&#10;7EppOrxFuG3kIkmUtFhzXKiwpW1Fxf/xYjUs1flXZepQb/P9ZJJfQnb6sJnW41H/9QkiUB/e4Vc7&#10;MxoWCp5f4g+Q6wcAAAD//wMAUEsBAi0AFAAGAAgAAAAhANvh9svuAAAAhQEAABMAAAAAAAAAAAAA&#10;AAAAAAAAAFtDb250ZW50X1R5cGVzXS54bWxQSwECLQAUAAYACAAAACEAWvQsW78AAAAVAQAACwAA&#10;AAAAAAAAAAAAAAAfAQAAX3JlbHMvLnJlbHNQSwECLQAUAAYACAAAACEAxTYjQcMAAADbAAAADwAA&#10;AAAAAAAAAAAAAAAHAgAAZHJzL2Rvd25yZXYueG1sUEsFBgAAAAADAAMAtwAAAPcCAAAAAA==&#10;" fillcolor="#d2232a" stroked="f">
                  <v:textbox inset=",15mm,2mm"/>
                </v:rect>
                <v:group id="Group 26" o:spid="_x0000_s1028"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4" o:spid="_x0000_s1029"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65xQAAANsAAAAPAAAAZHJzL2Rvd25yZXYueG1sRI9Pa8JA&#10;FMTvBb/D8gpeSt00h2qjq4hFGsSL2j/XR/aZhGbfht2NSb99VxA8DjPzG2axGkwjLuR8bVnByyQB&#10;QVxYXXOp4PO0fZ6B8AFZY2OZFPyRh9Vy9LDATNueD3Q5hlJECPsMFVQhtJmUvqjIoJ/Yljh6Z+sM&#10;hihdKbXDPsJNI9MkeZUGa44LFba0qaj4PXZGQfKx2T3lw+z7K+87ov7A0/37j1Ljx2E9BxFoCPfw&#10;rZ1rBekbXL/EHyCX/wAAAP//AwBQSwECLQAUAAYACAAAACEA2+H2y+4AAACFAQAAEwAAAAAAAAAA&#10;AAAAAAAAAAAAW0NvbnRlbnRfVHlwZXNdLnhtbFBLAQItABQABgAIAAAAIQBa9CxbvwAAABUBAAAL&#10;AAAAAAAAAAAAAAAAAB8BAABfcmVscy8ucmVsc1BLAQItABQABgAIAAAAIQDjGN65xQAAANsAAAAP&#10;AAAAAAAAAAAAAAAAAAcCAABkcnMvZG93bnJldi54bWxQSwUGAAAAAAMAAwC3AAAA+QIAAAAA&#10;" stroked="f">
                    <o:lock v:ext="edit" aspectratio="t"/>
                    <v:textbox inset=",15mm,2mm"/>
                  </v:rect>
                  <v:rect id="Rectangle 25" o:spid="_x0000_s1030"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k0vAAAANsAAAAPAAAAZHJzL2Rvd25yZXYueG1sRE+9CsIw&#10;EN4F3yGc4CKaqihSjSKC4CZaEdyO5mxLm0ttota3N4Pg+PH9rzatqcSLGldYVjAeRSCIU6sLzhRc&#10;kv1wAcJ5ZI2VZVLwIQebdbezwljbN5/odfaZCCHsYlSQe1/HUro0J4NuZGviwN1tY9AH2GRSN/gO&#10;4aaSkyiaS4MFh4Yca9rllJbnp1FANJsukkmVIN8eg7LU18ORjFL9XrtdgvDU+r/45z5oBdOwPnwJ&#10;P0CuvwAAAP//AwBQSwECLQAUAAYACAAAACEA2+H2y+4AAACFAQAAEwAAAAAAAAAAAAAAAAAAAAAA&#10;W0NvbnRlbnRfVHlwZXNdLnhtbFBLAQItABQABgAIAAAAIQBa9CxbvwAAABUBAAALAAAAAAAAAAAA&#10;AAAAAB8BAABfcmVscy8ucmVsc1BLAQItABQABgAIAAAAIQBxZrk0vAAAANsAAAAPAAAAAAAAAAAA&#10;AAAAAAcCAABkcnMvZG93bnJldi54bWxQSwUGAAAAAAMAAwC3AAAA8AIAAAAA&#10;" fillcolor="#57433e" stroked="f">
                    <o:lock v:ext="edit" aspectratio="t"/>
                    <v:textbox inset=",15mm,2mm"/>
                  </v:rect>
                </v:group>
              </v:group>
            </w:pict>
          </mc:Fallback>
        </mc:AlternateContent>
      </w:r>
    </w:p>
    <w:p w14:paraId="12415B56" w14:textId="77777777" w:rsidR="00410B30" w:rsidRPr="00E66AEF" w:rsidRDefault="00410B30" w:rsidP="00410B30">
      <w:pPr>
        <w:jc w:val="center"/>
        <w:rPr>
          <w:b/>
          <w:sz w:val="24"/>
          <w:lang w:val="en-GB"/>
        </w:rPr>
      </w:pPr>
    </w:p>
    <w:p w14:paraId="7059A005" w14:textId="77777777" w:rsidR="00410B30" w:rsidRPr="00E66AEF" w:rsidRDefault="00410B30" w:rsidP="00410B30">
      <w:pPr>
        <w:jc w:val="center"/>
        <w:rPr>
          <w:b/>
          <w:sz w:val="24"/>
          <w:lang w:val="en-GB"/>
        </w:rPr>
      </w:pPr>
    </w:p>
    <w:p w14:paraId="395CDF58" w14:textId="77777777" w:rsidR="00410B30" w:rsidRPr="00E66AEF" w:rsidRDefault="00410B30" w:rsidP="00410B30">
      <w:pPr>
        <w:jc w:val="center"/>
        <w:rPr>
          <w:b/>
          <w:sz w:val="24"/>
          <w:lang w:val="en-GB"/>
        </w:rPr>
      </w:pPr>
    </w:p>
    <w:p w14:paraId="3AF112CD" w14:textId="77777777" w:rsidR="00410B30" w:rsidRPr="00E66AEF" w:rsidRDefault="00410B30" w:rsidP="00410B30">
      <w:pPr>
        <w:jc w:val="center"/>
        <w:rPr>
          <w:b/>
          <w:sz w:val="24"/>
          <w:lang w:val="en-GB"/>
        </w:rPr>
      </w:pPr>
    </w:p>
    <w:p w14:paraId="4D6B2886" w14:textId="77777777" w:rsidR="00410B30" w:rsidRPr="00E66AEF" w:rsidRDefault="00410B30" w:rsidP="00410B30">
      <w:pPr>
        <w:jc w:val="center"/>
        <w:rPr>
          <w:b/>
          <w:sz w:val="24"/>
          <w:lang w:val="en-GB"/>
        </w:rPr>
      </w:pPr>
    </w:p>
    <w:p w14:paraId="22FE85A8" w14:textId="77777777" w:rsidR="00410B30" w:rsidRPr="00E66AEF" w:rsidRDefault="00410B30" w:rsidP="00410B30">
      <w:pPr>
        <w:jc w:val="center"/>
        <w:rPr>
          <w:b/>
          <w:sz w:val="24"/>
          <w:lang w:val="en-GB"/>
        </w:rPr>
      </w:pPr>
    </w:p>
    <w:p w14:paraId="195A43DE" w14:textId="77777777" w:rsidR="00410B30" w:rsidRPr="00E66AEF" w:rsidRDefault="00410B30" w:rsidP="00410B30">
      <w:pPr>
        <w:jc w:val="center"/>
        <w:rPr>
          <w:b/>
          <w:sz w:val="24"/>
          <w:lang w:val="en-GB"/>
        </w:rPr>
      </w:pPr>
    </w:p>
    <w:p w14:paraId="36EA5A37" w14:textId="77777777" w:rsidR="00410B30" w:rsidRPr="00E66AEF" w:rsidRDefault="00410B30" w:rsidP="00410B30">
      <w:pPr>
        <w:jc w:val="center"/>
        <w:rPr>
          <w:b/>
          <w:sz w:val="24"/>
          <w:lang w:val="en-GB"/>
        </w:rPr>
      </w:pPr>
    </w:p>
    <w:p w14:paraId="5793BD28" w14:textId="77777777" w:rsidR="00410B30" w:rsidRPr="00E66AEF" w:rsidRDefault="00410B30" w:rsidP="00410B30">
      <w:pPr>
        <w:jc w:val="center"/>
        <w:rPr>
          <w:b/>
          <w:sz w:val="24"/>
          <w:lang w:val="en-GB"/>
        </w:rPr>
      </w:pPr>
    </w:p>
    <w:p w14:paraId="59CC84D1" w14:textId="77777777" w:rsidR="00410B30" w:rsidRPr="00E66AEF" w:rsidRDefault="00410B30" w:rsidP="00410B30">
      <w:pPr>
        <w:rPr>
          <w:b/>
          <w:sz w:val="24"/>
          <w:lang w:val="en-GB"/>
        </w:rPr>
      </w:pPr>
    </w:p>
    <w:p w14:paraId="1610253D" w14:textId="77777777" w:rsidR="00410B30" w:rsidRPr="00E66AEF" w:rsidRDefault="00410B30" w:rsidP="00410B30">
      <w:pPr>
        <w:jc w:val="center"/>
        <w:rPr>
          <w:b/>
          <w:sz w:val="24"/>
          <w:lang w:val="en-GB"/>
        </w:rPr>
      </w:pPr>
    </w:p>
    <w:bookmarkStart w:id="0" w:name="Text7"/>
    <w:p w14:paraId="04714A70" w14:textId="77777777" w:rsidR="00410B30" w:rsidRPr="00E66AEF" w:rsidRDefault="00410B30" w:rsidP="00410B30">
      <w:pPr>
        <w:pStyle w:val="Reporttitledescription"/>
        <w:rPr>
          <w:color w:val="auto"/>
          <w:lang w:val="en-GB"/>
        </w:rPr>
      </w:pPr>
      <w:r w:rsidRPr="00E66AEF">
        <w:rPr>
          <w:color w:val="auto"/>
          <w:lang w:val="en-GB"/>
        </w:rPr>
        <w:fldChar w:fldCharType="begin">
          <w:ffData>
            <w:name w:val="Text7"/>
            <w:enabled/>
            <w:calcOnExit w:val="0"/>
            <w:textInput>
              <w:default w:val="Decision title/description (Arial 12pt)"/>
            </w:textInput>
          </w:ffData>
        </w:fldChar>
      </w:r>
      <w:r w:rsidRPr="00E66AEF">
        <w:rPr>
          <w:color w:val="auto"/>
          <w:lang w:val="en-GB"/>
        </w:rPr>
        <w:instrText xml:space="preserve"> FORMTEXT </w:instrText>
      </w:r>
      <w:r w:rsidRPr="00E66AEF">
        <w:rPr>
          <w:color w:val="auto"/>
          <w:lang w:val="en-GB"/>
        </w:rPr>
      </w:r>
      <w:r w:rsidRPr="00E66AEF">
        <w:rPr>
          <w:color w:val="auto"/>
          <w:lang w:val="en-GB"/>
        </w:rPr>
        <w:fldChar w:fldCharType="separate"/>
      </w:r>
      <w:r w:rsidRPr="00E66AEF">
        <w:rPr>
          <w:color w:val="auto"/>
          <w:lang w:val="en-GB"/>
        </w:rPr>
        <w:t>Harmonised technical and regulatory conditions for the use of the band 2300-2400 MHz for Mobile/Fixed Communications Networks (MFCN)</w:t>
      </w:r>
      <w:r w:rsidRPr="00E66AEF">
        <w:rPr>
          <w:color w:val="auto"/>
          <w:lang w:val="en-GB"/>
        </w:rPr>
        <w:fldChar w:fldCharType="end"/>
      </w:r>
      <w:bookmarkEnd w:id="0"/>
      <w:r w:rsidRPr="00E66AEF">
        <w:rPr>
          <w:color w:val="auto"/>
          <w:lang w:val="en-GB"/>
        </w:rPr>
        <w:t xml:space="preserve"> </w:t>
      </w:r>
    </w:p>
    <w:p w14:paraId="094163C9" w14:textId="2443EDB2" w:rsidR="00410B30" w:rsidRPr="00E66AEF" w:rsidRDefault="00F7711F" w:rsidP="00410B30">
      <w:pPr>
        <w:pStyle w:val="Reporttitledescription"/>
        <w:rPr>
          <w:b/>
          <w:color w:val="auto"/>
          <w:sz w:val="18"/>
          <w:lang w:val="en-GB"/>
        </w:rPr>
      </w:pPr>
      <w:r>
        <w:rPr>
          <w:b/>
          <w:color w:val="auto"/>
          <w:sz w:val="18"/>
          <w:lang w:val="en-GB"/>
        </w:rPr>
        <w:fldChar w:fldCharType="begin">
          <w:ffData>
            <w:name w:val="Text8"/>
            <w:enabled/>
            <w:calcOnExit w:val="0"/>
            <w:textInput>
              <w:default w:val="approved 27 June 2014"/>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27 June 2014</w:t>
      </w:r>
      <w:r>
        <w:rPr>
          <w:b/>
          <w:color w:val="auto"/>
          <w:sz w:val="18"/>
          <w:lang w:val="en-GB"/>
        </w:rPr>
        <w:fldChar w:fldCharType="end"/>
      </w:r>
      <w:bookmarkEnd w:id="1"/>
    </w:p>
    <w:p w14:paraId="2C9DD93B" w14:textId="7CF80E47" w:rsidR="00410B30" w:rsidRPr="00E66AEF" w:rsidRDefault="00F7711F" w:rsidP="00410B30">
      <w:pPr>
        <w:pStyle w:val="Lastupdated"/>
        <w:rPr>
          <w:b/>
          <w:lang w:val="en-GB"/>
        </w:rPr>
      </w:pPr>
      <w:r>
        <w:rPr>
          <w:b/>
          <w:lang w:val="en-GB"/>
        </w:rPr>
        <w:fldChar w:fldCharType="begin">
          <w:ffData>
            <w:name w:val="Text3"/>
            <w:enabled/>
            <w:calcOnExit w:val="0"/>
            <w:textInput>
              <w:default w:val="amended 10 March 2023"/>
            </w:textInput>
          </w:ffData>
        </w:fldChar>
      </w:r>
      <w:r>
        <w:rPr>
          <w:b/>
          <w:lang w:val="en-GB"/>
        </w:rPr>
        <w:instrText xml:space="preserve"> </w:instrText>
      </w:r>
      <w:bookmarkStart w:id="2" w:name="Text3"/>
      <w:r>
        <w:rPr>
          <w:b/>
          <w:lang w:val="en-GB"/>
        </w:rPr>
        <w:instrText xml:space="preserve">FORMTEXT </w:instrText>
      </w:r>
      <w:r>
        <w:rPr>
          <w:b/>
          <w:lang w:val="en-GB"/>
        </w:rPr>
      </w:r>
      <w:r>
        <w:rPr>
          <w:b/>
          <w:lang w:val="en-GB"/>
        </w:rPr>
        <w:fldChar w:fldCharType="separate"/>
      </w:r>
      <w:r>
        <w:rPr>
          <w:b/>
          <w:noProof/>
          <w:lang w:val="en-GB"/>
        </w:rPr>
        <w:t>amended 10 March 2023</w:t>
      </w:r>
      <w:r>
        <w:rPr>
          <w:b/>
          <w:lang w:val="en-GB"/>
        </w:rPr>
        <w:fldChar w:fldCharType="end"/>
      </w:r>
      <w:bookmarkEnd w:id="2"/>
    </w:p>
    <w:p w14:paraId="3EA383A7" w14:textId="17488E1C" w:rsidR="00410B30" w:rsidRPr="00E66AEF" w:rsidRDefault="00F44F2F" w:rsidP="00410B30">
      <w:pPr>
        <w:pStyle w:val="Lastupdated"/>
        <w:rPr>
          <w:b/>
          <w:lang w:val="en-GB"/>
        </w:rPr>
      </w:pPr>
      <w:r w:rsidRPr="00E66AEF">
        <w:rPr>
          <w:b/>
          <w:noProof/>
          <w:lang w:val="en-GB"/>
        </w:rPr>
        <mc:AlternateContent>
          <mc:Choice Requires="wps">
            <w:drawing>
              <wp:anchor distT="0" distB="0" distL="114300" distR="114300" simplePos="0" relativeHeight="251658242" behindDoc="0" locked="0" layoutInCell="1" allowOverlap="1" wp14:anchorId="5580962C" wp14:editId="644E96A7">
                <wp:simplePos x="0" y="0"/>
                <wp:positionH relativeFrom="column">
                  <wp:posOffset>-713740</wp:posOffset>
                </wp:positionH>
                <wp:positionV relativeFrom="paragraph">
                  <wp:posOffset>3875405</wp:posOffset>
                </wp:positionV>
                <wp:extent cx="7560310" cy="179705"/>
                <wp:effectExtent l="0" t="0" r="254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a:graphicData>
                </a:graphic>
              </wp:anchor>
            </w:drawing>
          </mc:Choice>
          <mc:Fallback>
            <w:pict>
              <v:rect w14:anchorId="3B1EA993" id="Rectangle 32" o:spid="_x0000_s1026" style="position:absolute;margin-left:-56.2pt;margin-top:305.15pt;width:595.3pt;height:14.1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Ic7wEAALYDAAAOAAAAZHJzL2Uyb0RvYy54bWysU11v2yAUfZ+0/4B4X2ynSbNacaooUadJ&#10;3YfU7QdgjG00zGUXEif79buQj1bbW1U/IA5wD/ccjpf3h8GwvUKvwVa8mOScKSuh0bar+M8fDx8+&#10;cuaDsI0wYFXFj8rz+9X7d8vRlWoKPZhGISMS68vRVbwPwZVZ5mWvBuEn4JSlzRZwEIEgdlmDYiT2&#10;wWTTPL/NRsDGIUjlPa1uT5t8lfjbVsnwrW29CsxUnHoLacQ01nHMVktRdihcr+W5DfGKLgahLV16&#10;pdqKINgO9X9Ug5YIHtowkTBk0LZaqqSB1BT5P2qeeuFU0kLmeHe1yb8drfy6f3LfMbbu3SPIX55Z&#10;2PTCdmqNCGOvREPXFdGobHS+vBZE4KmU1eMXaOhpxS5A8uDQ4hAJSR07JKuPV6vVITBJi4v5bX5T&#10;0ItI2isWd4t8nq4Q5aXaoQ+fFAwsTiqO9JSJXewffYjdiPJyJHUPRjcP2pgEsKs3Btle0LNvp9Ob&#10;6frM7l8eMzYethDLToxxJcmMymKIfFlDcySVCKfsUNZp0gP+4Wyk3FTc/94JVJyZz5acuitmsxi0&#10;BOaznD7OMKEFBZZAncBsTpAzYSVxVTxcpptwSufOoe56uqpIqi2syd5WJ+XPbZ27pXAkQ85Bjul7&#10;idOp599t9RcAAP//AwBQSwMEFAAGAAgAAAAhAMc/pCfiAAAADQEAAA8AAABkcnMvZG93bnJldi54&#10;bWxMj8tOwzAQRfdI/IM1SGyq1nkgNwpxKlQJkSU0sOjOjYckIh6H2GnD3+OuYDkzR3fOLXaLGdgZ&#10;J9dbkhBvImBIjdU9tRLe6+d1Bsx5RVoNllDCDzrYlbc3hcq1vdAbng++ZSGEXK4kdN6POeeu6dAo&#10;t7EjUrh92skoH8ap5XpSlxBuBp5EkeBG9RQ+dGrEfYfN12E2EjLx/SEq8drv65fVqp59dUxNJeX9&#10;3fL0CMzj4v9guOoHdSiD08nOpB0bJKzjOHkIrAQRRymwKxJtswTYKazSTAAvC/6/RfkLAAD//wMA&#10;UEsBAi0AFAAGAAgAAAAhALaDOJL+AAAA4QEAABMAAAAAAAAAAAAAAAAAAAAAAFtDb250ZW50X1R5&#10;cGVzXS54bWxQSwECLQAUAAYACAAAACEAOP0h/9YAAACUAQAACwAAAAAAAAAAAAAAAAAvAQAAX3Jl&#10;bHMvLnJlbHNQSwECLQAUAAYACAAAACEAQITyHO8BAAC2AwAADgAAAAAAAAAAAAAAAAAuAgAAZHJz&#10;L2Uyb0RvYy54bWxQSwECLQAUAAYACAAAACEAxz+kJ+IAAAANAQAADwAAAAAAAAAAAAAAAABJBAAA&#10;ZHJzL2Rvd25yZXYueG1sUEsFBgAAAAAEAAQA8wAAAFgFAAAAAA==&#10;" fillcolor="#d2232a" stroked="f">
                <v:textbox inset=",15mm,2mm"/>
              </v:rect>
            </w:pict>
          </mc:Fallback>
        </mc:AlternateContent>
      </w:r>
    </w:p>
    <w:p w14:paraId="754996F1" w14:textId="77777777" w:rsidR="006C03D0" w:rsidRPr="00E66AEF" w:rsidRDefault="005F7AD5" w:rsidP="003C77A1">
      <w:pPr>
        <w:pStyle w:val="Heading1"/>
      </w:pPr>
      <w:r w:rsidRPr="00E66AEF">
        <w:lastRenderedPageBreak/>
        <w:t xml:space="preserve">explanatory memorandum </w:t>
      </w:r>
    </w:p>
    <w:p w14:paraId="754996F2" w14:textId="77777777" w:rsidR="006C03D0" w:rsidRPr="00E66AEF" w:rsidRDefault="005F7AD5" w:rsidP="00902A16">
      <w:pPr>
        <w:pStyle w:val="Heading2"/>
        <w:rPr>
          <w:lang w:val="en-GB"/>
        </w:rPr>
      </w:pPr>
      <w:r w:rsidRPr="00E66AEF">
        <w:rPr>
          <w:lang w:val="en-GB"/>
        </w:rPr>
        <w:t xml:space="preserve">INTRODUCTION </w:t>
      </w:r>
    </w:p>
    <w:p w14:paraId="7C4F1604" w14:textId="7908F75A" w:rsidR="00C9480A" w:rsidRPr="00E66AEF" w:rsidRDefault="00C9480A" w:rsidP="00F44F2F">
      <w:pPr>
        <w:pStyle w:val="ECCParagraph"/>
        <w:spacing w:before="240" w:after="60"/>
      </w:pPr>
      <w:r w:rsidRPr="00E66AEF">
        <w:t>This ECC Decision aims at harmonising implementation measures for mobile/fixed communications networks (MFCN) in the frequency band 2300-2400 MHz</w:t>
      </w:r>
      <w:r w:rsidR="004A4F5C" w:rsidRPr="00E66AEF">
        <w:t xml:space="preserve"> for </w:t>
      </w:r>
      <w:r w:rsidR="0040705A">
        <w:t>t</w:t>
      </w:r>
      <w:r w:rsidR="0040705A" w:rsidRPr="00E66AEF">
        <w:t xml:space="preserve">ime </w:t>
      </w:r>
      <w:r w:rsidR="0040705A">
        <w:t>d</w:t>
      </w:r>
      <w:r w:rsidR="0040705A" w:rsidRPr="00E66AEF">
        <w:t xml:space="preserve">ivision </w:t>
      </w:r>
      <w:r w:rsidR="0040705A">
        <w:t>d</w:t>
      </w:r>
      <w:r w:rsidR="0040705A" w:rsidRPr="00E66AEF">
        <w:t xml:space="preserve">uplex </w:t>
      </w:r>
      <w:r w:rsidR="00D42D28" w:rsidRPr="00E66AEF">
        <w:t>(</w:t>
      </w:r>
      <w:r w:rsidR="004A4F5C" w:rsidRPr="00E66AEF">
        <w:t>TDD</w:t>
      </w:r>
      <w:r w:rsidR="00D42D28" w:rsidRPr="00E66AEF">
        <w:t>)</w:t>
      </w:r>
      <w:r w:rsidR="004A4F5C" w:rsidRPr="00E66AEF">
        <w:t xml:space="preserve"> use</w:t>
      </w:r>
      <w:r w:rsidR="00D42D28" w:rsidRPr="00E66AEF">
        <w:rPr>
          <w:rStyle w:val="FootnoteReference"/>
        </w:rPr>
        <w:footnoteReference w:id="2"/>
      </w:r>
      <w:r w:rsidRPr="00E66AEF">
        <w:t xml:space="preserve">. It includes the least restrictive technical conditions (LRTC), taking into account the existing standardisation framework and activities at the worldwide level, and an appropriate frequency arrangement. </w:t>
      </w:r>
    </w:p>
    <w:p w14:paraId="010CA06D" w14:textId="548E2609" w:rsidR="00C9480A" w:rsidRPr="00E66AEF" w:rsidRDefault="00C9480A" w:rsidP="00F44F2F">
      <w:pPr>
        <w:pStyle w:val="ECCParagraph"/>
        <w:spacing w:before="240" w:after="60"/>
      </w:pPr>
      <w:r w:rsidRPr="00E66AEF">
        <w:t xml:space="preserve">For the purpose of this ECC Decision, </w:t>
      </w:r>
      <w:r w:rsidR="001A48CC">
        <w:t>l</w:t>
      </w:r>
      <w:r w:rsidR="001A48CC" w:rsidRPr="00E66AEF">
        <w:t xml:space="preserve">icensed </w:t>
      </w:r>
      <w:r w:rsidR="001A48CC">
        <w:t>s</w:t>
      </w:r>
      <w:r w:rsidR="001A48CC" w:rsidRPr="00E66AEF">
        <w:t xml:space="preserve">hared </w:t>
      </w:r>
      <w:r w:rsidR="001A48CC">
        <w:t>a</w:t>
      </w:r>
      <w:r w:rsidR="001A48CC" w:rsidRPr="00E66AEF">
        <w:t xml:space="preserve">ccess </w:t>
      </w:r>
      <w:r w:rsidRPr="00E66AEF">
        <w:t>(LSA) is the recognised approach by CEPT for administrations wishing to introduce MFCN while maintaining the current incumbent use. Regulatory provisions based on LSA can ensure long term incumbent use of the band.</w:t>
      </w:r>
    </w:p>
    <w:p w14:paraId="754996F4" w14:textId="341F48B5" w:rsidR="006F0EDF" w:rsidRPr="00E66AEF" w:rsidRDefault="00C9480A" w:rsidP="00F44F2F">
      <w:pPr>
        <w:pStyle w:val="ECCParagraph"/>
        <w:spacing w:before="240" w:after="60"/>
      </w:pPr>
      <w:r w:rsidRPr="00E66AEF">
        <w:t xml:space="preserve">ECC conducted in 2022 a review of this ECC Decision and, based on this assessment, developed harmonised LRTC suitable for 5G New Radio (NR) including </w:t>
      </w:r>
      <w:r w:rsidR="001A48CC">
        <w:t>a</w:t>
      </w:r>
      <w:r w:rsidR="001A48CC" w:rsidRPr="00E66AEF">
        <w:t xml:space="preserve">ctive </w:t>
      </w:r>
      <w:r w:rsidR="001A48CC">
        <w:t>a</w:t>
      </w:r>
      <w:r w:rsidR="001A48CC" w:rsidRPr="00E66AEF">
        <w:t xml:space="preserve">ntenna </w:t>
      </w:r>
      <w:r w:rsidR="001A48CC">
        <w:t>s</w:t>
      </w:r>
      <w:r w:rsidR="001A48CC" w:rsidRPr="00E66AEF">
        <w:t xml:space="preserve">ystems </w:t>
      </w:r>
      <w:r w:rsidRPr="00E66AEF">
        <w:t>(AAS) as well as LTE with AAS.</w:t>
      </w:r>
    </w:p>
    <w:p w14:paraId="754996F5" w14:textId="77777777" w:rsidR="00FD6D34" w:rsidRPr="00E66AEF" w:rsidRDefault="005F7AD5" w:rsidP="00902A16">
      <w:pPr>
        <w:pStyle w:val="Heading2"/>
        <w:rPr>
          <w:lang w:val="en-GB"/>
        </w:rPr>
      </w:pPr>
      <w:r w:rsidRPr="00E66AEF">
        <w:rPr>
          <w:lang w:val="en-GB"/>
        </w:rPr>
        <w:t xml:space="preserve">BACKGROUND </w:t>
      </w:r>
    </w:p>
    <w:p w14:paraId="754996F6" w14:textId="77777777" w:rsidR="00EE0F40" w:rsidRPr="00E66AEF" w:rsidRDefault="00EE0F40" w:rsidP="00F44F2F">
      <w:pPr>
        <w:pStyle w:val="ECCParagraph"/>
        <w:spacing w:before="240" w:after="60"/>
      </w:pPr>
      <w:r w:rsidRPr="00E66AEF">
        <w:t xml:space="preserve">The CEPT has recognised the importance of the availability of common and minimal (least restrictive) technical conditions </w:t>
      </w:r>
      <w:r w:rsidR="006F0EDF" w:rsidRPr="00E66AEF">
        <w:t>for the band 2300-2400 MHz as well as the need to ensure a long term possibility for incumbent usage</w:t>
      </w:r>
      <w:r w:rsidRPr="00E66AEF">
        <w:t>. These technical conditions will provide significant economies of scale and facilitate the introduction of new applications depending on national decisions.</w:t>
      </w:r>
    </w:p>
    <w:p w14:paraId="754996F7" w14:textId="77777777" w:rsidR="009B0C7C" w:rsidRPr="00E66AEF" w:rsidRDefault="009B0C7C" w:rsidP="00F44F2F">
      <w:pPr>
        <w:pStyle w:val="ECCParagraph"/>
        <w:spacing w:before="240" w:after="60"/>
      </w:pPr>
      <w:r w:rsidRPr="00E66AEF">
        <w:t>The following principles have been considered to define the frequency arrangement:</w:t>
      </w:r>
    </w:p>
    <w:p w14:paraId="754996F8" w14:textId="77777777" w:rsidR="009B0C7C" w:rsidRPr="00E66AEF" w:rsidRDefault="009B0C7C" w:rsidP="00F44F2F">
      <w:pPr>
        <w:pStyle w:val="ECCParBulleted"/>
        <w:spacing w:before="60" w:after="60"/>
      </w:pPr>
      <w:r w:rsidRPr="00E66AEF">
        <w:t xml:space="preserve">a common frequency arrangement to facilitate roaming, border coordination and to achieve economies of scale for equipment, whilst maintaining the flexibility to adapt to national </w:t>
      </w:r>
      <w:r w:rsidR="00C43953" w:rsidRPr="00E66AEF">
        <w:t>circumstances and market demand;</w:t>
      </w:r>
    </w:p>
    <w:p w14:paraId="754996F9" w14:textId="77777777" w:rsidR="009B0C7C" w:rsidRPr="00E66AEF" w:rsidRDefault="009B0C7C" w:rsidP="00F44F2F">
      <w:pPr>
        <w:pStyle w:val="ECCParBulleted"/>
        <w:spacing w:before="60" w:after="60"/>
      </w:pPr>
      <w:r w:rsidRPr="00E66AEF">
        <w:t>careful consideration on block sizes for the band plan.</w:t>
      </w:r>
    </w:p>
    <w:p w14:paraId="754996FA" w14:textId="715D760F" w:rsidR="00AB7E28" w:rsidRPr="00E66AEF" w:rsidRDefault="00AB7E28" w:rsidP="00F44F2F">
      <w:pPr>
        <w:pStyle w:val="ECCParagraph"/>
        <w:spacing w:before="240" w:after="60"/>
      </w:pPr>
      <w:r w:rsidRPr="00E66AEF">
        <w:t>It should be noted that there may be a requirement of coordination between administrations implementing national frequency arrangements (see ECC</w:t>
      </w:r>
      <w:r w:rsidR="001A180F" w:rsidRPr="00E66AEF">
        <w:t xml:space="preserve"> Recommendation </w:t>
      </w:r>
      <w:r w:rsidR="00C43953" w:rsidRPr="00E66AEF">
        <w:t>(14)04</w:t>
      </w:r>
      <w:r w:rsidRPr="00E66AEF">
        <w:t xml:space="preserve"> </w:t>
      </w:r>
      <w:r w:rsidR="00C45A1D" w:rsidRPr="00E66AEF">
        <w:fldChar w:fldCharType="begin"/>
      </w:r>
      <w:r w:rsidR="00C45A1D" w:rsidRPr="00E66AEF">
        <w:instrText xml:space="preserve"> REF _Ref373423658 \r \h </w:instrText>
      </w:r>
      <w:r w:rsidR="00614BDB" w:rsidRPr="00E66AEF">
        <w:instrText xml:space="preserve"> \* MERGEFORMAT </w:instrText>
      </w:r>
      <w:r w:rsidR="00C45A1D" w:rsidRPr="00E66AEF">
        <w:fldChar w:fldCharType="separate"/>
      </w:r>
      <w:r w:rsidR="00045EBC" w:rsidRPr="00E66AEF">
        <w:t>[1]</w:t>
      </w:r>
      <w:r w:rsidR="00C45A1D" w:rsidRPr="00E66AEF">
        <w:fldChar w:fldCharType="end"/>
      </w:r>
      <w:r w:rsidRPr="00E66AEF">
        <w:t>).</w:t>
      </w:r>
    </w:p>
    <w:p w14:paraId="754996FB" w14:textId="77777777" w:rsidR="00E972C5" w:rsidRPr="00E66AEF" w:rsidRDefault="00E972C5" w:rsidP="00F44F2F">
      <w:pPr>
        <w:pStyle w:val="ECCParagraph"/>
        <w:spacing w:before="240" w:after="60"/>
      </w:pPr>
      <w:r w:rsidRPr="00E66AEF">
        <w:t xml:space="preserve">When defining </w:t>
      </w:r>
      <w:r w:rsidR="00C5230E" w:rsidRPr="00E66AEF">
        <w:t>LRTC</w:t>
      </w:r>
      <w:r w:rsidRPr="00E66AEF">
        <w:t>, the block edge mask (BEM) concept has been developed by CEPT to facilitate implementation of spectrum rights of use which are as technology neutral as possible.</w:t>
      </w:r>
    </w:p>
    <w:p w14:paraId="754996FC" w14:textId="77777777" w:rsidR="00E972C5" w:rsidRPr="00E66AEF" w:rsidRDefault="00E972C5" w:rsidP="00F44F2F">
      <w:pPr>
        <w:pStyle w:val="ECCParagraph"/>
        <w:spacing w:before="240" w:after="60"/>
      </w:pPr>
      <w:r w:rsidRPr="00E66AEF">
        <w:t xml:space="preserve">In order to maintain the required flexibility for administrations regarding the non-mandatory introduction of </w:t>
      </w:r>
      <w:r w:rsidR="00444CDB" w:rsidRPr="00E66AEF">
        <w:t>MFCN</w:t>
      </w:r>
      <w:r w:rsidRPr="00E66AEF">
        <w:t xml:space="preserve"> in th</w:t>
      </w:r>
      <w:r w:rsidR="00444CDB" w:rsidRPr="00E66AEF">
        <w:t>is</w:t>
      </w:r>
      <w:r w:rsidRPr="00E66AEF">
        <w:t xml:space="preserve"> band, </w:t>
      </w:r>
      <w:r w:rsidR="006B031B" w:rsidRPr="00E66AEF">
        <w:t xml:space="preserve">a block edge mask has </w:t>
      </w:r>
      <w:r w:rsidRPr="00E66AEF">
        <w:t>been developed, equally applying for full or partial implementation of the harmoni</w:t>
      </w:r>
      <w:r w:rsidR="00B02BF7" w:rsidRPr="00E66AEF">
        <w:t>s</w:t>
      </w:r>
      <w:r w:rsidRPr="00E66AEF">
        <w:t>ed frequency arrangement.</w:t>
      </w:r>
    </w:p>
    <w:p w14:paraId="049F4E20" w14:textId="77777777" w:rsidR="00510572" w:rsidRPr="00E66AEF" w:rsidRDefault="00510572" w:rsidP="00F44F2F">
      <w:pPr>
        <w:spacing w:before="240" w:after="60"/>
        <w:jc w:val="both"/>
        <w:rPr>
          <w:lang w:val="en-GB"/>
        </w:rPr>
      </w:pPr>
      <w:r w:rsidRPr="00E66AEF">
        <w:rPr>
          <w:lang w:val="en-GB"/>
        </w:rPr>
        <w:t xml:space="preserve">This revision of the ECC Decision aims to reflect the development of MFCN technologies, in particular the introduction of 5G NR and AAS. </w:t>
      </w:r>
    </w:p>
    <w:p w14:paraId="6E84DB64" w14:textId="67C668E0" w:rsidR="00510572" w:rsidRPr="00E66AEF" w:rsidRDefault="00510572" w:rsidP="00F44F2F">
      <w:pPr>
        <w:spacing w:before="240" w:after="60"/>
        <w:jc w:val="both"/>
        <w:rPr>
          <w:lang w:val="en-GB"/>
        </w:rPr>
      </w:pPr>
      <w:r w:rsidRPr="00E66AEF">
        <w:rPr>
          <w:lang w:val="en-GB"/>
        </w:rPr>
        <w:t xml:space="preserve">The updated analysis presented in ECC Report 347 </w:t>
      </w:r>
      <w:r w:rsidR="00045EBC" w:rsidRPr="00E66AEF">
        <w:rPr>
          <w:lang w:val="en-GB"/>
        </w:rPr>
        <w:fldChar w:fldCharType="begin"/>
      </w:r>
      <w:r w:rsidR="00045EBC" w:rsidRPr="00E66AEF">
        <w:rPr>
          <w:lang w:val="en-GB"/>
        </w:rPr>
        <w:instrText xml:space="preserve"> REF _Ref116565103 \r \h </w:instrText>
      </w:r>
      <w:r w:rsidR="00045EBC" w:rsidRPr="00E66AEF">
        <w:rPr>
          <w:lang w:val="en-GB"/>
        </w:rPr>
      </w:r>
      <w:r w:rsidR="00045EBC" w:rsidRPr="00E66AEF">
        <w:rPr>
          <w:lang w:val="en-GB"/>
        </w:rPr>
        <w:fldChar w:fldCharType="separate"/>
      </w:r>
      <w:r w:rsidR="00045EBC" w:rsidRPr="00E66AEF">
        <w:rPr>
          <w:lang w:val="en-GB"/>
        </w:rPr>
        <w:t>[2]</w:t>
      </w:r>
      <w:r w:rsidR="00045EBC" w:rsidRPr="00E66AEF">
        <w:rPr>
          <w:lang w:val="en-GB"/>
        </w:rPr>
        <w:fldChar w:fldCharType="end"/>
      </w:r>
      <w:r w:rsidRPr="00E66AEF">
        <w:rPr>
          <w:lang w:val="en-GB"/>
        </w:rPr>
        <w:t xml:space="preserve"> confirmed that:</w:t>
      </w:r>
    </w:p>
    <w:p w14:paraId="79E18D40" w14:textId="11C434A4" w:rsidR="00510572" w:rsidRPr="00E66AEF" w:rsidRDefault="00510572">
      <w:pPr>
        <w:pStyle w:val="ListParagraph"/>
        <w:numPr>
          <w:ilvl w:val="0"/>
          <w:numId w:val="18"/>
        </w:numPr>
        <w:spacing w:before="60" w:after="60"/>
        <w:ind w:left="357" w:hanging="357"/>
        <w:jc w:val="both"/>
        <w:rPr>
          <w:rFonts w:cs="Arial"/>
          <w:szCs w:val="20"/>
          <w:lang w:val="en-GB"/>
        </w:rPr>
      </w:pPr>
      <w:r w:rsidRPr="00E66AEF">
        <w:rPr>
          <w:rFonts w:ascii="Arial" w:hAnsi="Arial" w:cs="Arial"/>
          <w:sz w:val="20"/>
          <w:szCs w:val="20"/>
          <w:lang w:val="en-GB"/>
        </w:rPr>
        <w:t>the band plan established for non</w:t>
      </w:r>
      <w:r w:rsidR="009A753D" w:rsidRPr="00E66AEF">
        <w:rPr>
          <w:rFonts w:ascii="Arial" w:hAnsi="Arial" w:cs="Arial"/>
          <w:sz w:val="20"/>
          <w:szCs w:val="20"/>
          <w:lang w:val="en-GB"/>
        </w:rPr>
        <w:t>-</w:t>
      </w:r>
      <w:r w:rsidRPr="00E66AEF">
        <w:rPr>
          <w:rFonts w:ascii="Arial" w:hAnsi="Arial" w:cs="Arial"/>
          <w:sz w:val="20"/>
          <w:szCs w:val="20"/>
          <w:lang w:val="en-GB"/>
        </w:rPr>
        <w:t>AAS MFCN is applicable also for AAS MFCN</w:t>
      </w:r>
      <w:r w:rsidR="00A35703" w:rsidRPr="00E66AEF">
        <w:rPr>
          <w:rFonts w:ascii="Arial" w:hAnsi="Arial" w:cs="Arial"/>
          <w:sz w:val="20"/>
          <w:szCs w:val="20"/>
          <w:lang w:val="en-GB"/>
        </w:rPr>
        <w:t>;</w:t>
      </w:r>
    </w:p>
    <w:p w14:paraId="5CF4CF41" w14:textId="447F7A5B" w:rsidR="00510572" w:rsidRPr="00E66AEF" w:rsidRDefault="00510572">
      <w:pPr>
        <w:pStyle w:val="ListParagraph"/>
        <w:numPr>
          <w:ilvl w:val="0"/>
          <w:numId w:val="18"/>
        </w:numPr>
        <w:spacing w:before="60" w:after="60"/>
        <w:ind w:left="357" w:hanging="357"/>
        <w:jc w:val="both"/>
        <w:rPr>
          <w:rFonts w:cs="Arial"/>
          <w:szCs w:val="20"/>
          <w:lang w:val="en-GB"/>
        </w:rPr>
      </w:pPr>
      <w:r w:rsidRPr="00E66AEF">
        <w:rPr>
          <w:rFonts w:ascii="Arial" w:hAnsi="Arial" w:cs="Arial"/>
          <w:sz w:val="20"/>
          <w:szCs w:val="20"/>
          <w:lang w:val="en-GB"/>
        </w:rPr>
        <w:t>the LRTC in terms of a BEM as contained in the previous version of this ECC Decision remains applicable for non-AAS base stations; and</w:t>
      </w:r>
    </w:p>
    <w:p w14:paraId="36BFC5F5" w14:textId="0B8CF7D8" w:rsidR="00510572" w:rsidRPr="00E66AEF" w:rsidRDefault="00510572">
      <w:pPr>
        <w:pStyle w:val="ListParagraph"/>
        <w:numPr>
          <w:ilvl w:val="0"/>
          <w:numId w:val="18"/>
        </w:numPr>
        <w:spacing w:before="60" w:after="60"/>
        <w:ind w:left="357" w:hanging="357"/>
        <w:jc w:val="both"/>
        <w:rPr>
          <w:rFonts w:cs="Arial"/>
          <w:szCs w:val="20"/>
          <w:lang w:val="en-GB"/>
        </w:rPr>
      </w:pPr>
      <w:r w:rsidRPr="00E66AEF">
        <w:rPr>
          <w:rFonts w:ascii="Arial" w:hAnsi="Arial" w:cs="Arial"/>
          <w:sz w:val="20"/>
          <w:szCs w:val="20"/>
          <w:lang w:val="en-GB"/>
        </w:rPr>
        <w:t xml:space="preserve">a new BEM is required and has been developed for AAS base stations for which </w:t>
      </w:r>
      <w:r w:rsidR="001A48CC">
        <w:rPr>
          <w:rFonts w:ascii="Arial" w:hAnsi="Arial" w:cs="Arial"/>
          <w:sz w:val="20"/>
          <w:szCs w:val="20"/>
          <w:lang w:val="en-GB"/>
        </w:rPr>
        <w:t>t</w:t>
      </w:r>
      <w:r w:rsidR="001A48CC" w:rsidRPr="00E66AEF">
        <w:rPr>
          <w:rFonts w:ascii="Arial" w:hAnsi="Arial" w:cs="Arial"/>
          <w:sz w:val="20"/>
          <w:szCs w:val="20"/>
          <w:lang w:val="en-GB"/>
        </w:rPr>
        <w:t xml:space="preserve">otal </w:t>
      </w:r>
      <w:r w:rsidR="001A48CC">
        <w:rPr>
          <w:rFonts w:ascii="Arial" w:hAnsi="Arial" w:cs="Arial"/>
          <w:sz w:val="20"/>
          <w:szCs w:val="20"/>
          <w:lang w:val="en-GB"/>
        </w:rPr>
        <w:t>r</w:t>
      </w:r>
      <w:r w:rsidR="001A48CC" w:rsidRPr="00E66AEF">
        <w:rPr>
          <w:rFonts w:ascii="Arial" w:hAnsi="Arial" w:cs="Arial"/>
          <w:sz w:val="20"/>
          <w:szCs w:val="20"/>
          <w:lang w:val="en-GB"/>
        </w:rPr>
        <w:t xml:space="preserve">adiated </w:t>
      </w:r>
      <w:r w:rsidR="001A48CC">
        <w:rPr>
          <w:rFonts w:ascii="Arial" w:hAnsi="Arial" w:cs="Arial"/>
          <w:sz w:val="20"/>
          <w:szCs w:val="20"/>
          <w:lang w:val="en-GB"/>
        </w:rPr>
        <w:t>p</w:t>
      </w:r>
      <w:r w:rsidR="001A48CC" w:rsidRPr="00E66AEF">
        <w:rPr>
          <w:rFonts w:ascii="Arial" w:hAnsi="Arial" w:cs="Arial"/>
          <w:sz w:val="20"/>
          <w:szCs w:val="20"/>
          <w:lang w:val="en-GB"/>
        </w:rPr>
        <w:t xml:space="preserve">ower </w:t>
      </w:r>
      <w:r w:rsidRPr="00E66AEF">
        <w:rPr>
          <w:rFonts w:ascii="Arial" w:hAnsi="Arial" w:cs="Arial"/>
          <w:sz w:val="20"/>
          <w:szCs w:val="20"/>
          <w:lang w:val="en-GB"/>
        </w:rPr>
        <w:t>(TRP)</w:t>
      </w:r>
      <w:bookmarkStart w:id="3" w:name="_Ref120088850"/>
      <w:r w:rsidRPr="00E66AEF">
        <w:rPr>
          <w:rFonts w:ascii="Arial" w:hAnsi="Arial" w:cs="Arial"/>
          <w:sz w:val="20"/>
          <w:szCs w:val="20"/>
          <w:vertAlign w:val="superscript"/>
          <w:lang w:val="en-GB"/>
        </w:rPr>
        <w:footnoteReference w:id="3"/>
      </w:r>
      <w:bookmarkEnd w:id="3"/>
      <w:r w:rsidRPr="00E66AEF">
        <w:rPr>
          <w:rFonts w:ascii="Arial" w:hAnsi="Arial" w:cs="Arial"/>
          <w:sz w:val="20"/>
          <w:szCs w:val="20"/>
          <w:lang w:val="en-GB"/>
        </w:rPr>
        <w:t xml:space="preserve"> is the metric. </w:t>
      </w:r>
    </w:p>
    <w:p w14:paraId="761A1D92" w14:textId="1A9FD280" w:rsidR="00510572" w:rsidRPr="00E66AEF" w:rsidRDefault="00510572" w:rsidP="00F44F2F">
      <w:pPr>
        <w:spacing w:before="240" w:after="60"/>
        <w:jc w:val="both"/>
        <w:rPr>
          <w:lang w:val="en-GB"/>
        </w:rPr>
      </w:pPr>
      <w:r w:rsidRPr="00E66AEF">
        <w:rPr>
          <w:lang w:val="en-GB"/>
        </w:rPr>
        <w:lastRenderedPageBreak/>
        <w:t>When considering the introduction of AAS MFCN systems in the 2300-2400 MHz frequency band, there is a need to ensure coexistence with non-AAS MFCN systems already in operation in the band.</w:t>
      </w:r>
    </w:p>
    <w:p w14:paraId="754996FD" w14:textId="7DCCFAFA" w:rsidR="006F0EDF" w:rsidRPr="00E66AEF" w:rsidRDefault="00445DB2" w:rsidP="00F44F2F">
      <w:pPr>
        <w:spacing w:before="240" w:after="60"/>
        <w:jc w:val="both"/>
        <w:rPr>
          <w:lang w:val="en-GB"/>
        </w:rPr>
      </w:pPr>
      <w:r w:rsidRPr="00E66AEF">
        <w:rPr>
          <w:lang w:val="en-GB"/>
        </w:rPr>
        <w:t>In CEPT countries, the band 2300-2400 MHz is currently used by the following systems/services beside MFCN</w:t>
      </w:r>
      <w:r w:rsidR="006F0EDF" w:rsidRPr="00E66AEF">
        <w:rPr>
          <w:lang w:val="en-GB"/>
        </w:rPr>
        <w:t>:</w:t>
      </w:r>
    </w:p>
    <w:p w14:paraId="754996FE" w14:textId="77777777" w:rsidR="00962F8A" w:rsidRPr="00E66AEF" w:rsidRDefault="00962F8A" w:rsidP="00F44F2F">
      <w:pPr>
        <w:pStyle w:val="ECCParBulleted"/>
        <w:spacing w:before="60" w:after="60"/>
      </w:pPr>
      <w:r w:rsidRPr="00E66AEF">
        <w:t>Telemetry (both terrestrial and aeronautical telemetry);</w:t>
      </w:r>
    </w:p>
    <w:p w14:paraId="754996FF" w14:textId="77777777" w:rsidR="00962F8A" w:rsidRPr="00E66AEF" w:rsidRDefault="00962F8A" w:rsidP="00F44F2F">
      <w:pPr>
        <w:pStyle w:val="ECCParBulleted"/>
        <w:spacing w:before="60" w:after="60"/>
      </w:pPr>
      <w:r w:rsidRPr="00E66AEF">
        <w:t>Other governmental use (</w:t>
      </w:r>
      <w:r w:rsidR="00FE66F3" w:rsidRPr="00E66AEF">
        <w:t>e.g. Unmanned Aircraft Systems (</w:t>
      </w:r>
      <w:r w:rsidRPr="00E66AEF">
        <w:t>UAS</w:t>
      </w:r>
      <w:r w:rsidR="00FE66F3" w:rsidRPr="00E66AEF">
        <w:t>)</w:t>
      </w:r>
      <w:r w:rsidRPr="00E66AEF">
        <w:t>);</w:t>
      </w:r>
    </w:p>
    <w:p w14:paraId="75499700" w14:textId="77777777" w:rsidR="00962F8A" w:rsidRPr="00E66AEF" w:rsidRDefault="00C5230E" w:rsidP="00F44F2F">
      <w:pPr>
        <w:pStyle w:val="ECCParBulleted"/>
        <w:spacing w:before="60" w:after="60"/>
      </w:pPr>
      <w:r w:rsidRPr="00E66AEF">
        <w:t>Programme making and special events (PMSE) applications</w:t>
      </w:r>
      <w:r w:rsidR="00962F8A" w:rsidRPr="00E66AEF">
        <w:t xml:space="preserve"> (</w:t>
      </w:r>
      <w:r w:rsidR="006B031B" w:rsidRPr="00E66AEF">
        <w:t>SAP/SAB</w:t>
      </w:r>
      <w:r w:rsidR="00962F8A" w:rsidRPr="00E66AEF">
        <w:t xml:space="preserve"> </w:t>
      </w:r>
      <w:r w:rsidR="00444CDB" w:rsidRPr="00E66AEF">
        <w:t>video links</w:t>
      </w:r>
      <w:r w:rsidR="00962F8A" w:rsidRPr="00E66AEF">
        <w:t>);</w:t>
      </w:r>
    </w:p>
    <w:p w14:paraId="75499701" w14:textId="77777777" w:rsidR="00962F8A" w:rsidRPr="00E66AEF" w:rsidRDefault="00962F8A" w:rsidP="00F44F2F">
      <w:pPr>
        <w:pStyle w:val="ECCParBulleted"/>
        <w:spacing w:before="60" w:after="60"/>
      </w:pPr>
      <w:r w:rsidRPr="00E66AEF">
        <w:t>Amateur, as a secondary service.</w:t>
      </w:r>
    </w:p>
    <w:p w14:paraId="75499703" w14:textId="7038F4C9" w:rsidR="006F0EDF" w:rsidRPr="00E66AEF" w:rsidRDefault="00D1198E" w:rsidP="008C2130">
      <w:pPr>
        <w:pStyle w:val="ECCParagraph"/>
        <w:spacing w:before="240" w:after="60"/>
      </w:pPr>
      <w:r w:rsidRPr="00E66AEF">
        <w:t xml:space="preserve">Licensed </w:t>
      </w:r>
      <w:r w:rsidR="007E19B8">
        <w:t>s</w:t>
      </w:r>
      <w:r w:rsidR="007E19B8" w:rsidRPr="00E66AEF">
        <w:t xml:space="preserve">hared </w:t>
      </w:r>
      <w:r w:rsidR="007E19B8">
        <w:t>a</w:t>
      </w:r>
      <w:r w:rsidR="007E19B8" w:rsidRPr="00E66AEF">
        <w:t xml:space="preserve">ccess </w:t>
      </w:r>
      <w:r w:rsidRPr="00E66AEF">
        <w:t>(</w:t>
      </w:r>
      <w:r w:rsidR="00C5230E" w:rsidRPr="00E66AEF">
        <w:t>LSA</w:t>
      </w:r>
      <w:r w:rsidRPr="00E66AEF">
        <w:t>)</w:t>
      </w:r>
      <w:r w:rsidR="00243826" w:rsidRPr="00E66AEF">
        <w:t xml:space="preserve"> is the recognised approach by CEPT for administrations wishing to </w:t>
      </w:r>
      <w:r w:rsidR="00784389" w:rsidRPr="00E66AEF">
        <w:t xml:space="preserve">introduce MFCN while </w:t>
      </w:r>
      <w:r w:rsidR="00243826" w:rsidRPr="00E66AEF">
        <w:t>maintain</w:t>
      </w:r>
      <w:r w:rsidR="00784389" w:rsidRPr="00E66AEF">
        <w:t>ing</w:t>
      </w:r>
      <w:r w:rsidR="00243826" w:rsidRPr="00E66AEF">
        <w:t xml:space="preserve"> </w:t>
      </w:r>
      <w:r w:rsidR="00784389" w:rsidRPr="00E66AEF">
        <w:t xml:space="preserve">the </w:t>
      </w:r>
      <w:r w:rsidR="00243826" w:rsidRPr="00E66AEF">
        <w:t>current incumbent use.</w:t>
      </w:r>
      <w:r w:rsidR="00345221" w:rsidRPr="00E66AEF">
        <w:t xml:space="preserve"> </w:t>
      </w:r>
      <w:r w:rsidR="00243826" w:rsidRPr="00E66AEF">
        <w:t xml:space="preserve">Necessary requirements are to be established by the national regulators to share the band through LSA, assessing the protection of the </w:t>
      </w:r>
      <w:r w:rsidR="00C97390" w:rsidRPr="00E66AEF">
        <w:t>incumbent</w:t>
      </w:r>
      <w:r w:rsidR="00243826" w:rsidRPr="00E66AEF">
        <w:t xml:space="preserve"> use of the band.</w:t>
      </w:r>
    </w:p>
    <w:p w14:paraId="75499704" w14:textId="1DDE2EB4" w:rsidR="00E972C5" w:rsidRPr="00E66AEF" w:rsidRDefault="007530A3" w:rsidP="008C2130">
      <w:pPr>
        <w:pStyle w:val="ECCParagraph"/>
        <w:spacing w:before="240" w:after="60"/>
      </w:pPr>
      <w:r w:rsidRPr="00E66AEF">
        <w:t xml:space="preserve">LSA, as defined by RSPG in </w:t>
      </w:r>
      <w:r w:rsidRPr="00E66AEF">
        <w:fldChar w:fldCharType="begin"/>
      </w:r>
      <w:r w:rsidRPr="00E66AEF">
        <w:instrText xml:space="preserve"> REF _Ref391640424 \n \h  \* MERGEFORMAT </w:instrText>
      </w:r>
      <w:r w:rsidRPr="00E66AEF">
        <w:fldChar w:fldCharType="separate"/>
      </w:r>
      <w:r w:rsidR="001A6390" w:rsidRPr="00E66AEF">
        <w:t>[3]</w:t>
      </w:r>
      <w:r w:rsidRPr="00E66AEF">
        <w:fldChar w:fldCharType="end"/>
      </w:r>
      <w:r w:rsidRPr="00E66AEF">
        <w:t xml:space="preserve"> is “A regulatory approach aiming to facilitate the introduction of radiocommunication systems operated by a limited number of licensees under an individual licensing regime in a frequency band already assigned or expected to be assigned to one or more incumbent users. Under the LSA approach, the additional users are authorised to use the spectrum (or part of the spectrum) in accordance with sharing rules included in their rights of use of spectrum, thereby allowing all the authorised users, including incumbents, to provide a certain Quality of Service (QoS)”.</w:t>
      </w:r>
    </w:p>
    <w:p w14:paraId="75499705" w14:textId="03CDD15C" w:rsidR="006F0EDF" w:rsidRPr="00E66AEF" w:rsidRDefault="006F0EDF" w:rsidP="008C2130">
      <w:pPr>
        <w:pStyle w:val="ECCParagraph"/>
        <w:spacing w:before="240" w:after="60"/>
      </w:pPr>
      <w:r w:rsidRPr="00E66AEF">
        <w:t>LSA</w:t>
      </w:r>
      <w:r w:rsidR="005D3F0F" w:rsidRPr="00E66AEF">
        <w:t xml:space="preserve"> is further </w:t>
      </w:r>
      <w:r w:rsidRPr="00E66AEF">
        <w:t>described in ECC Report 205</w:t>
      </w:r>
      <w:r w:rsidR="00C45A1D" w:rsidRPr="00E66AEF">
        <w:t xml:space="preserve"> </w:t>
      </w:r>
      <w:r w:rsidR="00C45A1D" w:rsidRPr="00E66AEF">
        <w:fldChar w:fldCharType="begin"/>
      </w:r>
      <w:r w:rsidR="00C45A1D" w:rsidRPr="00E66AEF">
        <w:instrText xml:space="preserve"> REF _Ref373423827 \r \h </w:instrText>
      </w:r>
      <w:r w:rsidR="00614BDB" w:rsidRPr="00E66AEF">
        <w:instrText xml:space="preserve"> \* MERGEFORMAT </w:instrText>
      </w:r>
      <w:r w:rsidR="00C45A1D" w:rsidRPr="00E66AEF">
        <w:fldChar w:fldCharType="separate"/>
      </w:r>
      <w:r w:rsidR="001A6390" w:rsidRPr="00E66AEF">
        <w:t>[4]</w:t>
      </w:r>
      <w:r w:rsidR="00C45A1D" w:rsidRPr="00E66AEF">
        <w:fldChar w:fldCharType="end"/>
      </w:r>
      <w:r w:rsidR="005D3F0F" w:rsidRPr="00E66AEF">
        <w:t>. It allows a</w:t>
      </w:r>
      <w:r w:rsidRPr="00E66AEF">
        <w:t xml:space="preserve"> detailed management of network deployment and effective control of the sharing arrangement, as opposed to licence-exempt regulatory approach. </w:t>
      </w:r>
      <w:r w:rsidR="006B031B" w:rsidRPr="00E66AEF">
        <w:t>A key feature of LSA is that it allows offering a predictable quality of service for the incumbent as well as for the LSA licensee, each having exclusive access to that spectrum at a given location and at a given time.</w:t>
      </w:r>
    </w:p>
    <w:p w14:paraId="75499706" w14:textId="77777777" w:rsidR="00243826" w:rsidRPr="00E66AEF" w:rsidRDefault="00243826" w:rsidP="008C2130">
      <w:pPr>
        <w:pStyle w:val="ECCParagraph"/>
        <w:spacing w:before="240" w:after="60"/>
      </w:pPr>
      <w:r w:rsidRPr="00E66AEF">
        <w:t>LSA is considered to provide an alternative solution to access spectrum resources for MFCN when the classic approach of clearing and re-farming is not achievable.</w:t>
      </w:r>
    </w:p>
    <w:p w14:paraId="340F5B9B" w14:textId="28D41160" w:rsidR="00892441" w:rsidRPr="00E66AEF" w:rsidRDefault="00857A30" w:rsidP="008C2130">
      <w:pPr>
        <w:pStyle w:val="ECCParagraph"/>
        <w:spacing w:before="240" w:after="60"/>
      </w:pPr>
      <w:r w:rsidRPr="00E66AEF">
        <w:t xml:space="preserve">The ECC has developed two ECC </w:t>
      </w:r>
      <w:r w:rsidR="008925B5" w:rsidRPr="00E66AEF">
        <w:t xml:space="preserve">Reports </w:t>
      </w:r>
      <w:r w:rsidRPr="00E66AEF">
        <w:t xml:space="preserve">which address sharing and adjacent band compatibility studies between MFCN in the band 2300-2400 MHz and other services/systems, </w:t>
      </w:r>
      <w:r w:rsidR="00010F90" w:rsidRPr="00E66AEF">
        <w:t xml:space="preserve">ECC Report 172 </w:t>
      </w:r>
      <w:r w:rsidRPr="00E66AEF">
        <w:fldChar w:fldCharType="begin"/>
      </w:r>
      <w:r w:rsidRPr="00E66AEF">
        <w:instrText xml:space="preserve"> REF _Ref373425452 \r \h  \* MERGEFORMAT </w:instrText>
      </w:r>
      <w:r w:rsidRPr="00E66AEF">
        <w:fldChar w:fldCharType="separate"/>
      </w:r>
      <w:r w:rsidR="00045EBC" w:rsidRPr="00E66AEF">
        <w:t>[5]</w:t>
      </w:r>
      <w:r w:rsidRPr="00E66AEF">
        <w:fldChar w:fldCharType="end"/>
      </w:r>
      <w:r w:rsidRPr="00E66AEF">
        <w:t xml:space="preserve"> </w:t>
      </w:r>
      <w:r w:rsidR="005765EB" w:rsidRPr="00E66AEF">
        <w:t>which</w:t>
      </w:r>
      <w:r w:rsidRPr="00E66AEF">
        <w:t xml:space="preserve"> covers non-AAS MFCN systems</w:t>
      </w:r>
      <w:r w:rsidRPr="00E66AEF">
        <w:rPr>
          <w:vertAlign w:val="superscript"/>
        </w:rPr>
        <w:footnoteReference w:id="4"/>
      </w:r>
      <w:r w:rsidRPr="00E66AEF">
        <w:t xml:space="preserve"> and ECC Report 347 </w:t>
      </w:r>
      <w:r w:rsidR="00045EBC" w:rsidRPr="00E66AEF">
        <w:fldChar w:fldCharType="begin"/>
      </w:r>
      <w:r w:rsidR="00045EBC" w:rsidRPr="00E66AEF">
        <w:instrText xml:space="preserve"> REF _Ref116565103 \r \h </w:instrText>
      </w:r>
      <w:r w:rsidR="00045EBC" w:rsidRPr="00E66AEF">
        <w:fldChar w:fldCharType="separate"/>
      </w:r>
      <w:r w:rsidR="00045EBC" w:rsidRPr="00E66AEF">
        <w:t>[2]</w:t>
      </w:r>
      <w:r w:rsidR="00045EBC" w:rsidRPr="00E66AEF">
        <w:fldChar w:fldCharType="end"/>
      </w:r>
      <w:r w:rsidRPr="00E66AEF">
        <w:t xml:space="preserve"> </w:t>
      </w:r>
      <w:r w:rsidR="005765EB" w:rsidRPr="00E66AEF">
        <w:t>which</w:t>
      </w:r>
      <w:r w:rsidRPr="00E66AEF">
        <w:t xml:space="preserve"> covers AAS MFCN systems. These two reports </w:t>
      </w:r>
      <w:r w:rsidR="00010F90" w:rsidRPr="00E66AEF">
        <w:t xml:space="preserve">conclude </w:t>
      </w:r>
      <w:r w:rsidRPr="00E66AEF">
        <w:t>that sharing between MFCN systems and incumbent services in the 2300-2400 MHz band is feasible. In some cases, there is a requirement for mitigation techniques such as adjacent channel operation, geographical separation, time sharing or a combination</w:t>
      </w:r>
      <w:r w:rsidR="00D8765C" w:rsidRPr="00E66AEF">
        <w:t xml:space="preserve"> </w:t>
      </w:r>
      <w:r w:rsidR="004716DA" w:rsidRPr="00E66AEF">
        <w:t>thereof</w:t>
      </w:r>
      <w:r w:rsidR="00D9333C" w:rsidRPr="00E66AEF">
        <w:t>.</w:t>
      </w:r>
      <w:r w:rsidRPr="00E66AEF">
        <w:t xml:space="preserve"> Studies were performed assuming worst case scenarios and not considering LSA. Therefore, administrations wishing to implement MFCN under LSA are strongly advised to conduct national studies in order to </w:t>
      </w:r>
      <w:r w:rsidR="00872B3C" w:rsidRPr="00E66AEF">
        <w:t xml:space="preserve">foster </w:t>
      </w:r>
      <w:r w:rsidRPr="00E66AEF">
        <w:t xml:space="preserve">more efficient sharing and to consider in their studies the impact of MFCN topologies. </w:t>
      </w:r>
    </w:p>
    <w:p w14:paraId="75499707" w14:textId="73D2F3B2" w:rsidR="006F0EDF" w:rsidRPr="00E66AEF" w:rsidRDefault="00857A30" w:rsidP="008C2130">
      <w:pPr>
        <w:pStyle w:val="ECCParagraph"/>
        <w:spacing w:before="240" w:after="60"/>
      </w:pPr>
      <w:r w:rsidRPr="00E66AEF">
        <w:t>In cases where geographical restrictions, e.g. exclusion zones, are dependent on unwanted emission levels, the exclusion zones may be larger when MFCN with AAS is used compared to MFCN with non-</w:t>
      </w:r>
      <w:proofErr w:type="gramStart"/>
      <w:r w:rsidRPr="00E66AEF">
        <w:t>AAS, or</w:t>
      </w:r>
      <w:proofErr w:type="gramEnd"/>
      <w:r w:rsidRPr="00E66AEF">
        <w:t xml:space="preserve"> may even be impracticable. This is because it may not be possible to implement the necessary operator-specific filtering for AAS with current technology due to complexity issues.</w:t>
      </w:r>
    </w:p>
    <w:p w14:paraId="75499708" w14:textId="04A4E80C" w:rsidR="001E302D" w:rsidRPr="00E66AEF" w:rsidRDefault="006B031B" w:rsidP="008C2130">
      <w:pPr>
        <w:pStyle w:val="ECCParagraph"/>
        <w:spacing w:before="240" w:after="60"/>
      </w:pPr>
      <w:r w:rsidRPr="00E66AEF">
        <w:t xml:space="preserve">Examples of MFCN topologies and mobile broadband technologies that may be utilised in the 2300-2400 MHz band under a LSA framework are provided in ETSI </w:t>
      </w:r>
      <w:r w:rsidR="00CE17E0" w:rsidRPr="00E66AEF">
        <w:t xml:space="preserve">Technical Report </w:t>
      </w:r>
      <w:r w:rsidRPr="00E66AEF">
        <w:t xml:space="preserve">TR 103 113 </w:t>
      </w:r>
      <w:r w:rsidRPr="00E66AEF">
        <w:fldChar w:fldCharType="begin"/>
      </w:r>
      <w:r w:rsidRPr="00E66AEF">
        <w:instrText xml:space="preserve"> REF _Ref373425524 \r \h </w:instrText>
      </w:r>
      <w:r w:rsidR="00614BDB" w:rsidRPr="00E66AEF">
        <w:instrText xml:space="preserve"> \* MERGEFORMAT </w:instrText>
      </w:r>
      <w:r w:rsidRPr="00E66AEF">
        <w:fldChar w:fldCharType="separate"/>
      </w:r>
      <w:r w:rsidR="002D1FF0" w:rsidRPr="00E66AEF">
        <w:t>[6]</w:t>
      </w:r>
      <w:r w:rsidRPr="00E66AEF">
        <w:fldChar w:fldCharType="end"/>
      </w:r>
      <w:r w:rsidRPr="00E66AEF">
        <w:t xml:space="preserve">. </w:t>
      </w:r>
    </w:p>
    <w:p w14:paraId="75499709" w14:textId="77777777" w:rsidR="006C03D0" w:rsidRPr="00E66AEF" w:rsidRDefault="005F7AD5" w:rsidP="00902A16">
      <w:pPr>
        <w:pStyle w:val="Heading2"/>
        <w:rPr>
          <w:lang w:val="en-GB"/>
        </w:rPr>
      </w:pPr>
      <w:r w:rsidRPr="00E66AEF">
        <w:rPr>
          <w:lang w:val="en-GB"/>
        </w:rPr>
        <w:t>REQUIREMENT FOR AN ECC DECISION</w:t>
      </w:r>
    </w:p>
    <w:p w14:paraId="7B0595A8" w14:textId="3070117A" w:rsidR="008269B7" w:rsidRPr="00E66AEF" w:rsidRDefault="008269B7" w:rsidP="004F55D3">
      <w:pPr>
        <w:pStyle w:val="ECCParagraph"/>
        <w:spacing w:before="240" w:after="60"/>
      </w:pPr>
      <w:r w:rsidRPr="00E66AEF">
        <w:t>The ECC recognises that implementation of MFCN, including IMT systems with AAS and non-AAS providing high data rate applications in the band 2300-2400 MHz based on a harmonised frequency arrangement, will:</w:t>
      </w:r>
    </w:p>
    <w:p w14:paraId="204B3D3A" w14:textId="565B3396" w:rsidR="008269B7" w:rsidRPr="00E66AEF" w:rsidRDefault="008269B7" w:rsidP="00F44F2F">
      <w:pPr>
        <w:pStyle w:val="ECCParBulleted"/>
        <w:spacing w:before="60" w:after="60"/>
      </w:pPr>
      <w:r w:rsidRPr="00E66AEF">
        <w:t>maximise the opportunities and benefits for end users and society;</w:t>
      </w:r>
    </w:p>
    <w:p w14:paraId="0178A2D4" w14:textId="03D6D92A" w:rsidR="008269B7" w:rsidRPr="00E66AEF" w:rsidRDefault="008269B7" w:rsidP="00F44F2F">
      <w:pPr>
        <w:pStyle w:val="ECCParBulleted"/>
        <w:spacing w:before="60" w:after="60"/>
      </w:pPr>
      <w:r w:rsidRPr="00E66AEF">
        <w:t>benefit capital expenditure for operators;</w:t>
      </w:r>
    </w:p>
    <w:p w14:paraId="0C0B60CE" w14:textId="6455C14D" w:rsidR="008269B7" w:rsidRPr="00E66AEF" w:rsidRDefault="008269B7" w:rsidP="00F44F2F">
      <w:pPr>
        <w:pStyle w:val="ECCParBulleted"/>
        <w:spacing w:before="60" w:after="60"/>
      </w:pPr>
      <w:r w:rsidRPr="00E66AEF">
        <w:t>reduce development and implementation costs of manufacturing equipment; and,</w:t>
      </w:r>
    </w:p>
    <w:p w14:paraId="2B8D84BF" w14:textId="3F9CDBD4" w:rsidR="008269B7" w:rsidRPr="00E66AEF" w:rsidRDefault="008269B7" w:rsidP="00F44F2F">
      <w:pPr>
        <w:pStyle w:val="ECCParBulleted"/>
        <w:spacing w:before="60" w:after="60"/>
      </w:pPr>
      <w:r w:rsidRPr="00E66AEF">
        <w:t>secure future long term investments by providing economies of scale.</w:t>
      </w:r>
    </w:p>
    <w:p w14:paraId="6F2A646B" w14:textId="5DF25542" w:rsidR="008269B7" w:rsidRPr="00E66AEF" w:rsidRDefault="008269B7" w:rsidP="00F44F2F">
      <w:pPr>
        <w:pStyle w:val="ECCParagraph"/>
        <w:spacing w:before="240" w:after="60"/>
      </w:pPr>
      <w:r w:rsidRPr="00E66AEF">
        <w:lastRenderedPageBreak/>
        <w:t xml:space="preserve">The opportunity to utilise larger channel bandwidths will assist the provision of high data rates for </w:t>
      </w:r>
      <w:r w:rsidR="001C54AF" w:rsidRPr="00E66AEF">
        <w:t>MFCN</w:t>
      </w:r>
      <w:r w:rsidRPr="00E66AEF">
        <w:t>.</w:t>
      </w:r>
    </w:p>
    <w:p w14:paraId="485B5AF0" w14:textId="34BDB85E" w:rsidR="008269B7" w:rsidRPr="00E66AEF" w:rsidRDefault="008269B7" w:rsidP="00F44F2F">
      <w:pPr>
        <w:pStyle w:val="ECCParagraph"/>
        <w:spacing w:before="240" w:after="60"/>
      </w:pPr>
      <w:r w:rsidRPr="00E66AEF">
        <w:t>Therefore, this ECC Decision is required in order to identify technical and regulatory conditions for harmonised use of non-AAS as well as AAS MFCN systems in the band, while protecting the incumbent’s usage in the countries that wish to maintain such use.</w:t>
      </w:r>
    </w:p>
    <w:p w14:paraId="7549970C" w14:textId="6D56BD7F" w:rsidR="006C03D0" w:rsidRPr="00E66AEF" w:rsidRDefault="008269B7" w:rsidP="00F44F2F">
      <w:pPr>
        <w:pStyle w:val="ECCParagraph"/>
        <w:spacing w:before="240" w:after="60"/>
      </w:pPr>
      <w:r w:rsidRPr="00E66AEF">
        <w:t>Furthermore, noting the above, the amount of spectrum available for MFCN may differ from country to country depending upon sovereign national decisions.</w:t>
      </w:r>
    </w:p>
    <w:p w14:paraId="7549970D" w14:textId="77777777" w:rsidR="006F0EDF" w:rsidRPr="00E66AEF" w:rsidRDefault="006F0EDF" w:rsidP="00F44F2F">
      <w:pPr>
        <w:pStyle w:val="ECCParagraph"/>
        <w:spacing w:before="240" w:after="60"/>
      </w:pPr>
    </w:p>
    <w:p w14:paraId="7549970E" w14:textId="347CA35F" w:rsidR="006C03D0" w:rsidRPr="00E66AEF" w:rsidRDefault="006E60DA" w:rsidP="003C77A1">
      <w:pPr>
        <w:pStyle w:val="Heading1"/>
      </w:pPr>
      <w:r w:rsidRPr="00E66AEF">
        <w:lastRenderedPageBreak/>
        <w:t>ECC Decision of 27 June 2014 on Harmonised technical and regulatory conditions for the use of the band 2300-2400 MHz for Mobile/Fixed Communications Networks (MFCN) (ECC</w:t>
      </w:r>
      <w:r w:rsidR="00C80270" w:rsidRPr="00E66AEF">
        <w:t xml:space="preserve"> DECISION </w:t>
      </w:r>
      <w:r w:rsidRPr="00E66AEF">
        <w:t>(14)02)</w:t>
      </w:r>
      <w:r w:rsidR="00C80270" w:rsidRPr="00E66AEF">
        <w:t>,</w:t>
      </w:r>
      <w:r w:rsidRPr="00E66AEF">
        <w:t xml:space="preserve"> Amended </w:t>
      </w:r>
      <w:r w:rsidR="001655B1">
        <w:t xml:space="preserve">10 march </w:t>
      </w:r>
      <w:r w:rsidRPr="00E66AEF">
        <w:t>202</w:t>
      </w:r>
      <w:r w:rsidR="00F3529D" w:rsidRPr="00E66AEF">
        <w:t>3</w:t>
      </w:r>
    </w:p>
    <w:p w14:paraId="7549970F" w14:textId="77777777" w:rsidR="006C03D0" w:rsidRPr="00E66AEF" w:rsidRDefault="005F7AD5" w:rsidP="006C03D0">
      <w:pPr>
        <w:pStyle w:val="ECCParagraph"/>
      </w:pPr>
      <w:r w:rsidRPr="00E66AEF">
        <w:t>“The European Conference of Postal and Telecommunications Administrations,</w:t>
      </w:r>
    </w:p>
    <w:p w14:paraId="75499710" w14:textId="77777777" w:rsidR="006C03D0" w:rsidRPr="00E66AEF" w:rsidRDefault="005F7AD5" w:rsidP="006C03D0">
      <w:pPr>
        <w:pStyle w:val="ECCParagraph"/>
        <w:rPr>
          <w:i/>
          <w:color w:val="D2232A"/>
        </w:rPr>
      </w:pPr>
      <w:r w:rsidRPr="00E66AEF">
        <w:rPr>
          <w:i/>
          <w:color w:val="D2232A"/>
        </w:rPr>
        <w:t xml:space="preserve">considering </w:t>
      </w:r>
    </w:p>
    <w:p w14:paraId="0D59E723" w14:textId="575F02B0"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w:t>
      </w:r>
      <w:r w:rsidR="0014434F" w:rsidRPr="00E66AEF">
        <w:rPr>
          <w:lang w:val="en-GB"/>
        </w:rPr>
        <w:t>the</w:t>
      </w:r>
      <w:r w:rsidRPr="00E66AEF">
        <w:rPr>
          <w:lang w:val="en-GB"/>
        </w:rPr>
        <w:t xml:space="preserve"> frequency band 2300-2400 MHz is allocated to the </w:t>
      </w:r>
      <w:r w:rsidR="00235778">
        <w:rPr>
          <w:lang w:val="en-GB"/>
        </w:rPr>
        <w:t>m</w:t>
      </w:r>
      <w:r w:rsidR="00235778" w:rsidRPr="00E66AEF">
        <w:rPr>
          <w:lang w:val="en-GB"/>
        </w:rPr>
        <w:t xml:space="preserve">obile </w:t>
      </w:r>
      <w:r w:rsidR="00235778">
        <w:rPr>
          <w:lang w:val="en-GB"/>
        </w:rPr>
        <w:t>s</w:t>
      </w:r>
      <w:r w:rsidR="00235778" w:rsidRPr="00E66AEF">
        <w:rPr>
          <w:lang w:val="en-GB"/>
        </w:rPr>
        <w:t xml:space="preserve">ervice </w:t>
      </w:r>
      <w:r w:rsidRPr="00E66AEF">
        <w:rPr>
          <w:lang w:val="en-GB"/>
        </w:rPr>
        <w:t xml:space="preserve">on a co-primary basis by ITU Radio Regulations </w:t>
      </w:r>
      <w:r w:rsidRPr="00E66AEF">
        <w:rPr>
          <w:lang w:val="en-GB"/>
        </w:rPr>
        <w:fldChar w:fldCharType="begin"/>
      </w:r>
      <w:r w:rsidRPr="00E66AEF">
        <w:rPr>
          <w:lang w:val="en-GB"/>
        </w:rPr>
        <w:instrText xml:space="preserve"> REF _Ref373425690 \r \h  \* MERGEFORMAT </w:instrText>
      </w:r>
      <w:r w:rsidRPr="00E66AEF">
        <w:rPr>
          <w:lang w:val="en-GB"/>
        </w:rPr>
      </w:r>
      <w:r w:rsidRPr="00E66AEF">
        <w:rPr>
          <w:lang w:val="en-GB"/>
        </w:rPr>
        <w:fldChar w:fldCharType="separate"/>
      </w:r>
      <w:r w:rsidR="00CD6421" w:rsidRPr="00E66AEF">
        <w:rPr>
          <w:lang w:val="en-GB"/>
        </w:rPr>
        <w:t>[7]</w:t>
      </w:r>
      <w:r w:rsidRPr="00E66AEF">
        <w:rPr>
          <w:lang w:val="en-GB"/>
        </w:rPr>
        <w:fldChar w:fldCharType="end"/>
      </w:r>
      <w:r w:rsidRPr="00E66AEF">
        <w:rPr>
          <w:lang w:val="en-GB"/>
        </w:rPr>
        <w:t xml:space="preserve"> in all three ITU regions;</w:t>
      </w:r>
    </w:p>
    <w:p w14:paraId="4D04F431"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WRC-07 identified the band 2300-2400 MHz for IMT, see footnote RR 5.384A;</w:t>
      </w:r>
    </w:p>
    <w:p w14:paraId="5218EAC5" w14:textId="4D43CE5F" w:rsidR="007B76C3" w:rsidRPr="00E66AEF" w:rsidRDefault="007B76C3" w:rsidP="007B76C3">
      <w:pPr>
        <w:numPr>
          <w:ilvl w:val="0"/>
          <w:numId w:val="13"/>
        </w:numPr>
        <w:suppressAutoHyphens/>
        <w:spacing w:before="120"/>
        <w:ind w:left="567" w:hanging="567"/>
        <w:jc w:val="both"/>
        <w:rPr>
          <w:lang w:val="en-GB"/>
        </w:rPr>
      </w:pPr>
      <w:r w:rsidRPr="00E66AEF">
        <w:rPr>
          <w:lang w:val="en-GB"/>
        </w:rPr>
        <w:t>that mobile/fixed communications networks (MFCN) for the purpose of this Decision includes IMT and other communications networks in the mobile and fixed services;</w:t>
      </w:r>
    </w:p>
    <w:p w14:paraId="20F361C8" w14:textId="02ADDB83"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detailed specifications of IMT radio interfaces are described in Recommendation ITU-R M.1457 </w:t>
      </w:r>
      <w:r w:rsidR="00E3574D" w:rsidRPr="00E66AEF">
        <w:rPr>
          <w:lang w:val="en-GB"/>
        </w:rPr>
        <w:fldChar w:fldCharType="begin"/>
      </w:r>
      <w:r w:rsidR="00E3574D" w:rsidRPr="00E66AEF">
        <w:rPr>
          <w:lang w:val="en-GB"/>
        </w:rPr>
        <w:instrText xml:space="preserve"> REF _Ref116565286 \r \h  \* MERGEFORMAT </w:instrText>
      </w:r>
      <w:r w:rsidR="00E3574D" w:rsidRPr="00E66AEF">
        <w:rPr>
          <w:lang w:val="en-GB"/>
        </w:rPr>
      </w:r>
      <w:r w:rsidR="00E3574D" w:rsidRPr="00E66AEF">
        <w:rPr>
          <w:lang w:val="en-GB"/>
        </w:rPr>
        <w:fldChar w:fldCharType="separate"/>
      </w:r>
      <w:r w:rsidR="00E3574D" w:rsidRPr="00E66AEF">
        <w:rPr>
          <w:lang w:val="en-GB"/>
        </w:rPr>
        <w:t>[8]</w:t>
      </w:r>
      <w:r w:rsidR="00E3574D" w:rsidRPr="00E66AEF">
        <w:rPr>
          <w:lang w:val="en-GB"/>
        </w:rPr>
        <w:fldChar w:fldCharType="end"/>
      </w:r>
      <w:r w:rsidR="00962F8A" w:rsidRPr="00E66AEF">
        <w:rPr>
          <w:rFonts w:cs="Arial"/>
          <w:szCs w:val="22"/>
          <w:lang w:val="en-GB"/>
        </w:rPr>
        <w:t xml:space="preserve"> for IMT-2000</w:t>
      </w:r>
      <w:r w:rsidR="00CB55E5" w:rsidRPr="00E66AEF">
        <w:rPr>
          <w:rFonts w:cs="Arial"/>
          <w:szCs w:val="22"/>
          <w:lang w:val="en-GB"/>
        </w:rPr>
        <w:t>,</w:t>
      </w:r>
      <w:r w:rsidR="00962F8A" w:rsidRPr="00E66AEF">
        <w:rPr>
          <w:rFonts w:cs="Arial"/>
          <w:szCs w:val="22"/>
          <w:lang w:val="en-GB"/>
        </w:rPr>
        <w:t xml:space="preserve"> Recommendation ITU-R M. 2012 </w:t>
      </w:r>
      <w:r w:rsidR="009F2B38" w:rsidRPr="00E66AEF">
        <w:rPr>
          <w:lang w:val="en-GB"/>
        </w:rPr>
        <w:fldChar w:fldCharType="begin"/>
      </w:r>
      <w:r w:rsidR="009F2B38" w:rsidRPr="00E66AEF">
        <w:rPr>
          <w:lang w:val="en-GB"/>
        </w:rPr>
        <w:instrText xml:space="preserve"> REF _Ref373425748 \r \h  \* MERGEFORMAT </w:instrText>
      </w:r>
      <w:r w:rsidR="009F2B38" w:rsidRPr="00E66AEF">
        <w:rPr>
          <w:lang w:val="en-GB"/>
        </w:rPr>
      </w:r>
      <w:r w:rsidR="009F2B38" w:rsidRPr="00E66AEF">
        <w:rPr>
          <w:lang w:val="en-GB"/>
        </w:rPr>
        <w:fldChar w:fldCharType="separate"/>
      </w:r>
      <w:r w:rsidR="009F2B38" w:rsidRPr="00E66AEF">
        <w:rPr>
          <w:lang w:val="en-GB"/>
        </w:rPr>
        <w:t>[9]</w:t>
      </w:r>
      <w:r w:rsidR="009F2B38" w:rsidRPr="00E66AEF">
        <w:rPr>
          <w:lang w:val="en-GB"/>
        </w:rPr>
        <w:fldChar w:fldCharType="end"/>
      </w:r>
      <w:r w:rsidR="00CB3178" w:rsidRPr="00E66AEF">
        <w:rPr>
          <w:rFonts w:cs="Arial"/>
          <w:szCs w:val="22"/>
          <w:lang w:val="en-GB"/>
        </w:rPr>
        <w:t xml:space="preserve"> </w:t>
      </w:r>
      <w:r w:rsidR="00962F8A" w:rsidRPr="00E66AEF">
        <w:rPr>
          <w:rFonts w:cs="Arial"/>
          <w:szCs w:val="22"/>
          <w:lang w:val="en-GB"/>
        </w:rPr>
        <w:t>for IMT-Advanced</w:t>
      </w:r>
      <w:r w:rsidRPr="00E66AEF">
        <w:rPr>
          <w:lang w:val="en-GB"/>
        </w:rPr>
        <w:fldChar w:fldCharType="begin"/>
      </w:r>
      <w:r w:rsidRPr="00E66AEF">
        <w:rPr>
          <w:lang w:val="en-GB"/>
        </w:rPr>
        <w:instrText xml:space="preserve"> REF _Ref373425740 \r \h  \* MERGEFORMAT </w:instrText>
      </w:r>
      <w:r w:rsidRPr="00E66AEF">
        <w:rPr>
          <w:lang w:val="en-GB"/>
        </w:rPr>
      </w:r>
      <w:r w:rsidR="00000000">
        <w:rPr>
          <w:lang w:val="en-GB"/>
        </w:rPr>
        <w:fldChar w:fldCharType="separate"/>
      </w:r>
      <w:r w:rsidRPr="00E66AEF">
        <w:rPr>
          <w:lang w:val="en-GB"/>
        </w:rPr>
        <w:fldChar w:fldCharType="end"/>
      </w:r>
      <w:r w:rsidRPr="00E66AEF">
        <w:rPr>
          <w:lang w:val="en-GB"/>
        </w:rPr>
        <w:t xml:space="preserve"> and Recommendation </w:t>
      </w:r>
      <w:r w:rsidRPr="00E66AEF">
        <w:rPr>
          <w:iCs/>
          <w:lang w:val="en-GB"/>
        </w:rPr>
        <w:t>ITU</w:t>
      </w:r>
      <w:r w:rsidRPr="00E66AEF">
        <w:rPr>
          <w:lang w:val="en-GB"/>
        </w:rPr>
        <w:t>-</w:t>
      </w:r>
      <w:r w:rsidRPr="00E66AEF">
        <w:rPr>
          <w:iCs/>
          <w:lang w:val="en-GB"/>
        </w:rPr>
        <w:t>R M</w:t>
      </w:r>
      <w:r w:rsidRPr="00E66AEF">
        <w:rPr>
          <w:lang w:val="en-GB"/>
        </w:rPr>
        <w:t xml:space="preserve">.2150 </w:t>
      </w:r>
      <w:r w:rsidR="00FC78C1" w:rsidRPr="00E66AEF">
        <w:rPr>
          <w:lang w:val="en-GB"/>
        </w:rPr>
        <w:fldChar w:fldCharType="begin"/>
      </w:r>
      <w:r w:rsidR="00FC78C1" w:rsidRPr="00E66AEF">
        <w:rPr>
          <w:lang w:val="en-GB"/>
        </w:rPr>
        <w:instrText xml:space="preserve"> REF _Ref116565338 \r \h </w:instrText>
      </w:r>
      <w:r w:rsidR="00925F0F" w:rsidRPr="00E66AEF">
        <w:rPr>
          <w:lang w:val="en-GB"/>
        </w:rPr>
        <w:instrText xml:space="preserve"> \* MERGEFORMAT </w:instrText>
      </w:r>
      <w:r w:rsidR="00FC78C1" w:rsidRPr="00E66AEF">
        <w:rPr>
          <w:lang w:val="en-GB"/>
        </w:rPr>
      </w:r>
      <w:r w:rsidR="00FC78C1" w:rsidRPr="00E66AEF">
        <w:rPr>
          <w:lang w:val="en-GB"/>
        </w:rPr>
        <w:fldChar w:fldCharType="separate"/>
      </w:r>
      <w:r w:rsidR="00FC78C1" w:rsidRPr="00E66AEF">
        <w:rPr>
          <w:lang w:val="en-GB"/>
        </w:rPr>
        <w:t>[10]</w:t>
      </w:r>
      <w:r w:rsidR="00FC78C1" w:rsidRPr="00E66AEF">
        <w:rPr>
          <w:lang w:val="en-GB"/>
        </w:rPr>
        <w:fldChar w:fldCharType="end"/>
      </w:r>
      <w:r w:rsidRPr="00E66AEF">
        <w:rPr>
          <w:lang w:val="en-GB"/>
        </w:rPr>
        <w:t xml:space="preserve"> for </w:t>
      </w:r>
      <w:r w:rsidRPr="00E66AEF">
        <w:rPr>
          <w:iCs/>
          <w:lang w:val="en-GB"/>
        </w:rPr>
        <w:t>IMT</w:t>
      </w:r>
      <w:r w:rsidRPr="00E66AEF">
        <w:rPr>
          <w:lang w:val="en-GB"/>
        </w:rPr>
        <w:t>-2020</w:t>
      </w:r>
      <w:r w:rsidR="0014434F" w:rsidRPr="00E66AEF">
        <w:rPr>
          <w:lang w:val="en-GB"/>
        </w:rPr>
        <w:t>;</w:t>
      </w:r>
    </w:p>
    <w:p w14:paraId="33FB03CF" w14:textId="396E6530"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this ECC Decision leaves flexibility to CEPT </w:t>
      </w:r>
      <w:r w:rsidR="00591141" w:rsidRPr="00E66AEF">
        <w:rPr>
          <w:lang w:val="en-GB"/>
        </w:rPr>
        <w:t>a</w:t>
      </w:r>
      <w:r w:rsidRPr="00E66AEF">
        <w:rPr>
          <w:lang w:val="en-GB"/>
        </w:rPr>
        <w:t>dministrations to determine the use of this frequency band at a national level;</w:t>
      </w:r>
    </w:p>
    <w:p w14:paraId="3FCDE0FC" w14:textId="455B8F1C" w:rsidR="007B76C3" w:rsidRPr="00E66AEF" w:rsidRDefault="00CB1461" w:rsidP="007B76C3">
      <w:pPr>
        <w:numPr>
          <w:ilvl w:val="0"/>
          <w:numId w:val="13"/>
        </w:numPr>
        <w:suppressAutoHyphens/>
        <w:spacing w:before="120"/>
        <w:ind w:left="567" w:hanging="567"/>
        <w:jc w:val="both"/>
        <w:rPr>
          <w:lang w:val="en-GB"/>
        </w:rPr>
      </w:pPr>
      <w:r w:rsidRPr="00E66AEF">
        <w:rPr>
          <w:lang w:val="en-GB"/>
        </w:rPr>
        <w:t xml:space="preserve">that </w:t>
      </w:r>
      <w:r w:rsidR="007B76C3" w:rsidRPr="00E66AEF">
        <w:rPr>
          <w:lang w:val="en-GB"/>
        </w:rPr>
        <w:t>non-AAS (</w:t>
      </w:r>
      <w:r w:rsidR="001770D2" w:rsidRPr="00E66AEF">
        <w:rPr>
          <w:lang w:val="en-GB"/>
        </w:rPr>
        <w:t>n</w:t>
      </w:r>
      <w:r w:rsidR="007B76C3" w:rsidRPr="00E66AEF">
        <w:rPr>
          <w:lang w:val="en-GB"/>
        </w:rPr>
        <w:t>on-</w:t>
      </w:r>
      <w:r w:rsidR="0098668C">
        <w:rPr>
          <w:lang w:val="en-GB"/>
        </w:rPr>
        <w:t>a</w:t>
      </w:r>
      <w:r w:rsidR="0098668C" w:rsidRPr="00E66AEF">
        <w:rPr>
          <w:lang w:val="en-GB"/>
        </w:rPr>
        <w:t xml:space="preserve">ctive </w:t>
      </w:r>
      <w:r w:rsidR="0098668C">
        <w:rPr>
          <w:lang w:val="en-GB"/>
        </w:rPr>
        <w:t>a</w:t>
      </w:r>
      <w:r w:rsidR="0098668C" w:rsidRPr="00E66AEF">
        <w:rPr>
          <w:lang w:val="en-GB"/>
        </w:rPr>
        <w:t xml:space="preserve">ntenna </w:t>
      </w:r>
      <w:r w:rsidR="0098668C">
        <w:rPr>
          <w:lang w:val="en-GB"/>
        </w:rPr>
        <w:t>s</w:t>
      </w:r>
      <w:r w:rsidR="0098668C" w:rsidRPr="00E66AEF">
        <w:rPr>
          <w:lang w:val="en-GB"/>
        </w:rPr>
        <w:t>ystems</w:t>
      </w:r>
      <w:r w:rsidR="007B76C3" w:rsidRPr="00E66AEF">
        <w:rPr>
          <w:lang w:val="en-GB"/>
        </w:rPr>
        <w:t>) MFCN system refer</w:t>
      </w:r>
      <w:r w:rsidR="00015C55" w:rsidRPr="00E66AEF">
        <w:rPr>
          <w:lang w:val="en-GB"/>
        </w:rPr>
        <w:t>s</w:t>
      </w:r>
      <w:r w:rsidR="007B76C3" w:rsidRPr="00E66AEF">
        <w:rPr>
          <w:lang w:val="en-GB"/>
        </w:rPr>
        <w:t xml:space="preserve"> to MFCN base stations that provide one or more antenna connectors, which are connected to one or more separately designed passive antenna elements to radiate radio waves;</w:t>
      </w:r>
    </w:p>
    <w:p w14:paraId="583CF3A5" w14:textId="3DAD3C13" w:rsidR="007B76C3" w:rsidRPr="00E66AEF" w:rsidRDefault="007B76C3" w:rsidP="007B76C3">
      <w:pPr>
        <w:numPr>
          <w:ilvl w:val="0"/>
          <w:numId w:val="13"/>
        </w:numPr>
        <w:suppressAutoHyphens/>
        <w:spacing w:before="120"/>
        <w:ind w:left="567" w:hanging="567"/>
        <w:jc w:val="both"/>
        <w:rPr>
          <w:lang w:val="en-GB"/>
        </w:rPr>
      </w:pPr>
      <w:r w:rsidRPr="00E66AEF">
        <w:rPr>
          <w:lang w:val="en-GB"/>
        </w:rPr>
        <w:t>that AAS (</w:t>
      </w:r>
      <w:r w:rsidR="0098668C">
        <w:rPr>
          <w:lang w:val="en-GB"/>
        </w:rPr>
        <w:t>a</w:t>
      </w:r>
      <w:r w:rsidR="0098668C" w:rsidRPr="00E66AEF">
        <w:rPr>
          <w:lang w:val="en-GB"/>
        </w:rPr>
        <w:t xml:space="preserve">ctive </w:t>
      </w:r>
      <w:r w:rsidR="0098668C">
        <w:rPr>
          <w:lang w:val="en-GB"/>
        </w:rPr>
        <w:t>a</w:t>
      </w:r>
      <w:r w:rsidR="0098668C" w:rsidRPr="00E66AEF">
        <w:rPr>
          <w:lang w:val="en-GB"/>
        </w:rPr>
        <w:t xml:space="preserve">ntenna </w:t>
      </w:r>
      <w:r w:rsidR="0098668C">
        <w:rPr>
          <w:lang w:val="en-GB"/>
        </w:rPr>
        <w:t>s</w:t>
      </w:r>
      <w:r w:rsidR="0098668C" w:rsidRPr="00E66AEF">
        <w:rPr>
          <w:lang w:val="en-GB"/>
        </w:rPr>
        <w:t>ystems</w:t>
      </w:r>
      <w:r w:rsidRPr="00E66AEF">
        <w:rPr>
          <w:lang w:val="en-GB"/>
        </w:rPr>
        <w:t>) MFCN system refer</w:t>
      </w:r>
      <w:r w:rsidR="002E7A87" w:rsidRPr="00E66AEF">
        <w:rPr>
          <w:lang w:val="en-GB"/>
        </w:rPr>
        <w:t>s</w:t>
      </w:r>
      <w:r w:rsidRPr="00E66AEF">
        <w:rPr>
          <w:lang w:val="en-GB"/>
        </w:rPr>
        <w:t xml:space="preserve"> to MFCN base stations and antenna systems where the amplitude and/or phase of the signals from the various antenna elements is continually adjusted resulting in an antenna pattern that varies in response to short term changes in the radio environment. This is intended to exclude long term beam shaping such as fixed electrical down tilt;</w:t>
      </w:r>
    </w:p>
    <w:p w14:paraId="355BE173" w14:textId="41DF8DDB" w:rsidR="007B76C3" w:rsidRPr="00E66AEF" w:rsidRDefault="007B76C3" w:rsidP="007B76C3">
      <w:pPr>
        <w:numPr>
          <w:ilvl w:val="0"/>
          <w:numId w:val="13"/>
        </w:numPr>
        <w:suppressAutoHyphens/>
        <w:spacing w:before="120"/>
        <w:ind w:left="567" w:hanging="567"/>
        <w:jc w:val="both"/>
        <w:rPr>
          <w:lang w:val="en-GB"/>
        </w:rPr>
      </w:pPr>
      <w:r w:rsidRPr="00E66AEF">
        <w:rPr>
          <w:lang w:val="en-GB"/>
        </w:rPr>
        <w:t>that there is a need to ensure a coexistence between AAS and non-AAS MFCN systems in the 2300</w:t>
      </w:r>
      <w:r w:rsidR="001655B1">
        <w:rPr>
          <w:lang w:val="en-GB"/>
        </w:rPr>
        <w:t> </w:t>
      </w:r>
      <w:r w:rsidRPr="00E66AEF">
        <w:rPr>
          <w:lang w:val="en-GB"/>
        </w:rPr>
        <w:t>-</w:t>
      </w:r>
      <w:r w:rsidR="001655B1">
        <w:rPr>
          <w:lang w:val="en-GB"/>
        </w:rPr>
        <w:t> </w:t>
      </w:r>
      <w:r w:rsidRPr="00E66AEF">
        <w:rPr>
          <w:lang w:val="en-GB"/>
        </w:rPr>
        <w:t>2400 MHz band;</w:t>
      </w:r>
    </w:p>
    <w:p w14:paraId="20E4D0D2" w14:textId="1D345B15" w:rsidR="007B76C3" w:rsidRPr="00E66AEF" w:rsidRDefault="007B76C3" w:rsidP="007B76C3">
      <w:pPr>
        <w:numPr>
          <w:ilvl w:val="0"/>
          <w:numId w:val="13"/>
        </w:numPr>
        <w:suppressAutoHyphens/>
        <w:spacing w:before="120"/>
        <w:ind w:left="567" w:hanging="567"/>
        <w:jc w:val="both"/>
        <w:rPr>
          <w:lang w:val="en-GB"/>
        </w:rPr>
      </w:pPr>
      <w:r w:rsidRPr="00E66AEF">
        <w:rPr>
          <w:lang w:val="en-GB"/>
        </w:rPr>
        <w:t>that ETSI has specified New Radio (NR) including AAS and also specified AAS support for LTE;</w:t>
      </w:r>
    </w:p>
    <w:p w14:paraId="052BCC2E" w14:textId="50506A09" w:rsidR="007B76C3" w:rsidRPr="00E66AEF" w:rsidRDefault="007B76C3" w:rsidP="007B76C3">
      <w:pPr>
        <w:numPr>
          <w:ilvl w:val="0"/>
          <w:numId w:val="13"/>
        </w:numPr>
        <w:suppressAutoHyphens/>
        <w:spacing w:before="120"/>
        <w:ind w:left="567" w:hanging="567"/>
        <w:jc w:val="both"/>
        <w:rPr>
          <w:lang w:val="en-GB"/>
        </w:rPr>
      </w:pPr>
      <w:r w:rsidRPr="00E66AEF">
        <w:rPr>
          <w:lang w:val="en-GB"/>
        </w:rPr>
        <w:t>that the deployment of AAS MFCN systems compared to non-AAS MFCN systems will enhance the capacity, bit rates and improve the efficient usage of spectrum;</w:t>
      </w:r>
    </w:p>
    <w:p w14:paraId="7C44A38D"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AAS MFCN systems should not claim more protection than provided to non-AAS MFCN systems;</w:t>
      </w:r>
    </w:p>
    <w:p w14:paraId="704343D1" w14:textId="7B66DF5B"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AAS in the 2300-2400 MHz frequency band </w:t>
      </w:r>
      <w:r w:rsidR="00FB7A2D" w:rsidRPr="00E66AEF">
        <w:rPr>
          <w:lang w:val="en-GB"/>
        </w:rPr>
        <w:t xml:space="preserve">only applies </w:t>
      </w:r>
      <w:r w:rsidRPr="00E66AEF">
        <w:rPr>
          <w:lang w:val="en-GB"/>
        </w:rPr>
        <w:t>to base stations;</w:t>
      </w:r>
    </w:p>
    <w:p w14:paraId="5F8DA2D5" w14:textId="10F5F13D"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this ECC Decision, updating the previous version of ECC Decision (14)02 which entered into force </w:t>
      </w:r>
      <w:r w:rsidR="00E82C52" w:rsidRPr="00E66AEF">
        <w:rPr>
          <w:lang w:val="en-GB"/>
        </w:rPr>
        <w:t>on</w:t>
      </w:r>
      <w:r w:rsidRPr="00E66AEF">
        <w:rPr>
          <w:lang w:val="en-GB"/>
        </w:rPr>
        <w:t xml:space="preserve"> 27 June 2014, caters for the latest developments at a technical and regulatory level in order to provide relevant conditions for the development of 5G NR and AAS MFCN systems in the 2300-2400 MHz band;</w:t>
      </w:r>
    </w:p>
    <w:p w14:paraId="1772D5D7" w14:textId="7C9704CC"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in the case of uncoordinated MFCN TDD networks in the same geographical area, it is beneficial to synchronise the systems (avoiding simultaneous uplink and downlink transmissions) to improve the efficient usage of spectrum, avoiding the need for restricted blocks or guard bands between different networks and the need for operator-specific filters (at the time of publication of this Decision operator-specific filtering is only an option on non-AAS BS equipment, as it is not possible to cost-effectively implement operator-specific filters on AAS BS equipment) as described in ECC Report 216 </w:t>
      </w:r>
      <w:r w:rsidR="00223620" w:rsidRPr="00E66AEF">
        <w:rPr>
          <w:lang w:val="en-GB"/>
        </w:rPr>
        <w:fldChar w:fldCharType="begin"/>
      </w:r>
      <w:r w:rsidR="00223620" w:rsidRPr="00E66AEF">
        <w:rPr>
          <w:lang w:val="en-GB"/>
        </w:rPr>
        <w:instrText xml:space="preserve"> REF _Ref116565378 \r \h </w:instrText>
      </w:r>
      <w:r w:rsidR="00223620" w:rsidRPr="00E66AEF">
        <w:rPr>
          <w:lang w:val="en-GB"/>
        </w:rPr>
      </w:r>
      <w:r w:rsidR="00223620" w:rsidRPr="00E66AEF">
        <w:rPr>
          <w:lang w:val="en-GB"/>
        </w:rPr>
        <w:fldChar w:fldCharType="separate"/>
      </w:r>
      <w:r w:rsidR="00223620" w:rsidRPr="00E66AEF">
        <w:rPr>
          <w:lang w:val="en-GB"/>
        </w:rPr>
        <w:t>[11]</w:t>
      </w:r>
      <w:r w:rsidR="00223620" w:rsidRPr="00E66AEF">
        <w:rPr>
          <w:lang w:val="en-GB"/>
        </w:rPr>
        <w:fldChar w:fldCharType="end"/>
      </w:r>
      <w:r w:rsidRPr="00E66AEF">
        <w:rPr>
          <w:lang w:val="en-GB"/>
        </w:rPr>
        <w:t xml:space="preserve"> and ECC Report 296 </w:t>
      </w:r>
      <w:r w:rsidR="00223620" w:rsidRPr="00E66AEF">
        <w:rPr>
          <w:lang w:val="en-GB"/>
        </w:rPr>
        <w:fldChar w:fldCharType="begin"/>
      </w:r>
      <w:r w:rsidR="00223620" w:rsidRPr="00E66AEF">
        <w:rPr>
          <w:lang w:val="en-GB"/>
        </w:rPr>
        <w:instrText xml:space="preserve"> REF _Ref116565435 \r \h </w:instrText>
      </w:r>
      <w:r w:rsidR="00223620" w:rsidRPr="00E66AEF">
        <w:rPr>
          <w:lang w:val="en-GB"/>
        </w:rPr>
      </w:r>
      <w:r w:rsidR="00223620" w:rsidRPr="00E66AEF">
        <w:rPr>
          <w:lang w:val="en-GB"/>
        </w:rPr>
        <w:fldChar w:fldCharType="separate"/>
      </w:r>
      <w:r w:rsidR="00223620" w:rsidRPr="00E66AEF">
        <w:rPr>
          <w:lang w:val="en-GB"/>
        </w:rPr>
        <w:t>[12]</w:t>
      </w:r>
      <w:r w:rsidR="00223620" w:rsidRPr="00E66AEF">
        <w:rPr>
          <w:lang w:val="en-GB"/>
        </w:rPr>
        <w:fldChar w:fldCharType="end"/>
      </w:r>
      <w:r w:rsidRPr="00E66AEF">
        <w:rPr>
          <w:lang w:val="en-GB"/>
        </w:rPr>
        <w:t>;</w:t>
      </w:r>
    </w:p>
    <w:p w14:paraId="2B826A1B" w14:textId="338CF6A8"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in case of </w:t>
      </w:r>
      <w:r w:rsidR="0047379B" w:rsidRPr="00E66AEF">
        <w:rPr>
          <w:lang w:val="en-GB"/>
        </w:rPr>
        <w:t>both</w:t>
      </w:r>
      <w:r w:rsidRPr="00E66AEF">
        <w:rPr>
          <w:lang w:val="en-GB"/>
        </w:rPr>
        <w:t xml:space="preserve"> non-AAS and AAS MFCN TDD networks, in </w:t>
      </w:r>
      <w:r w:rsidR="00BF1AF2" w:rsidRPr="00E66AEF">
        <w:rPr>
          <w:lang w:val="en-GB"/>
        </w:rPr>
        <w:t xml:space="preserve">some </w:t>
      </w:r>
      <w:r w:rsidRPr="00E66AEF">
        <w:rPr>
          <w:lang w:val="en-GB"/>
        </w:rPr>
        <w:t xml:space="preserve">situations, special measures from the administration may be needed to ensure inter-operator synchronisation, such as defining a default time reference, default UL/DL ratio, and </w:t>
      </w:r>
      <w:r w:rsidR="00F63CF2" w:rsidRPr="00E66AEF">
        <w:rPr>
          <w:lang w:val="en-GB"/>
        </w:rPr>
        <w:t xml:space="preserve">defining the </w:t>
      </w:r>
      <w:r w:rsidRPr="00E66AEF">
        <w:rPr>
          <w:lang w:val="en-GB"/>
        </w:rPr>
        <w:t xml:space="preserve">scope of those measures (e.g. small cells, especially indoor, may be excluded from those </w:t>
      </w:r>
      <w:r w:rsidR="00F63CF2" w:rsidRPr="00E66AEF">
        <w:rPr>
          <w:lang w:val="en-GB"/>
        </w:rPr>
        <w:t>measures</w:t>
      </w:r>
      <w:r w:rsidRPr="00E66AEF">
        <w:rPr>
          <w:lang w:val="en-GB"/>
        </w:rPr>
        <w:t>);</w:t>
      </w:r>
    </w:p>
    <w:p w14:paraId="452D4ED9" w14:textId="10904371"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in the case of unsynchronised MFCN TDD networks, the compliance of two adjacent operators with the BEM requirements may be achieved by introducing frequency separation (e.g. through the authorisation process at national level) between the block edges of both operators. Another option may be for </w:t>
      </w:r>
      <w:r w:rsidR="00BF1AF2" w:rsidRPr="00E66AEF">
        <w:rPr>
          <w:lang w:val="en-GB"/>
        </w:rPr>
        <w:t xml:space="preserve">administrations </w:t>
      </w:r>
      <w:r w:rsidRPr="00E66AEF">
        <w:rPr>
          <w:lang w:val="en-GB"/>
        </w:rPr>
        <w:t>to introduce restricted spectrum blocks. Operators would then be required to limit the power used in the upper or lower part of their assigned spectrum, to limit the interference due to the selectivity of the adjacent operator's receiver;</w:t>
      </w:r>
    </w:p>
    <w:p w14:paraId="7636A7C8" w14:textId="17DD4D9F" w:rsidR="007B76C3" w:rsidRPr="00E66AEF" w:rsidRDefault="00CB1461" w:rsidP="007B76C3">
      <w:pPr>
        <w:numPr>
          <w:ilvl w:val="0"/>
          <w:numId w:val="13"/>
        </w:numPr>
        <w:suppressAutoHyphens/>
        <w:spacing w:before="120"/>
        <w:ind w:left="567" w:hanging="567"/>
        <w:jc w:val="both"/>
        <w:rPr>
          <w:lang w:val="en-GB"/>
        </w:rPr>
      </w:pPr>
      <w:bookmarkStart w:id="4" w:name="_Ref115422533"/>
      <w:r w:rsidRPr="00E66AEF">
        <w:rPr>
          <w:lang w:val="en-GB"/>
        </w:rPr>
        <w:lastRenderedPageBreak/>
        <w:t xml:space="preserve">that </w:t>
      </w:r>
      <w:r w:rsidR="00BF1AF2" w:rsidRPr="00E66AEF">
        <w:rPr>
          <w:lang w:val="en-GB"/>
        </w:rPr>
        <w:t xml:space="preserve">administrations </w:t>
      </w:r>
      <w:r w:rsidR="0062136A" w:rsidRPr="00E66AEF">
        <w:rPr>
          <w:lang w:val="en-GB"/>
        </w:rPr>
        <w:t xml:space="preserve">implementing MFCN in the 2300-2400 MHz frequency band </w:t>
      </w:r>
      <w:r w:rsidR="0005137E" w:rsidRPr="00E66AEF">
        <w:rPr>
          <w:lang w:val="en-GB"/>
        </w:rPr>
        <w:t xml:space="preserve">may </w:t>
      </w:r>
      <w:r w:rsidR="0062136A" w:rsidRPr="00E66AEF">
        <w:rPr>
          <w:lang w:val="en-GB"/>
        </w:rPr>
        <w:t xml:space="preserve">choose to </w:t>
      </w:r>
      <w:r w:rsidR="007B76C3" w:rsidRPr="00E66AEF">
        <w:rPr>
          <w:lang w:val="en-GB"/>
        </w:rPr>
        <w:t xml:space="preserve">make </w:t>
      </w:r>
      <w:r w:rsidR="0062136A" w:rsidRPr="00E66AEF">
        <w:rPr>
          <w:lang w:val="en-GB"/>
        </w:rPr>
        <w:t xml:space="preserve">only part of </w:t>
      </w:r>
      <w:r w:rsidR="00962F8A" w:rsidRPr="00E66AEF">
        <w:rPr>
          <w:lang w:val="en-GB"/>
        </w:rPr>
        <w:t xml:space="preserve">the band </w:t>
      </w:r>
      <w:r w:rsidR="00E871AE" w:rsidRPr="00E66AEF">
        <w:rPr>
          <w:lang w:val="en-GB"/>
        </w:rPr>
        <w:t xml:space="preserve">available </w:t>
      </w:r>
      <w:r w:rsidR="0062136A" w:rsidRPr="00E66AEF">
        <w:rPr>
          <w:lang w:val="en-GB"/>
        </w:rPr>
        <w:t xml:space="preserve">for </w:t>
      </w:r>
      <w:r w:rsidR="007B76C3" w:rsidRPr="00E66AEF">
        <w:rPr>
          <w:lang w:val="en-GB"/>
        </w:rPr>
        <w:t>MFCN;</w:t>
      </w:r>
      <w:bookmarkEnd w:id="4"/>
    </w:p>
    <w:p w14:paraId="29CF9267" w14:textId="6C2F6DF1" w:rsidR="007B76C3" w:rsidRPr="00E66AEF" w:rsidRDefault="007B76C3" w:rsidP="007B76C3">
      <w:pPr>
        <w:numPr>
          <w:ilvl w:val="0"/>
          <w:numId w:val="13"/>
        </w:numPr>
        <w:suppressAutoHyphens/>
        <w:spacing w:before="120"/>
        <w:ind w:left="567" w:hanging="567"/>
        <w:jc w:val="both"/>
        <w:rPr>
          <w:lang w:val="en-GB"/>
        </w:rPr>
      </w:pPr>
      <w:r w:rsidRPr="00E66AEF">
        <w:rPr>
          <w:lang w:val="en-GB"/>
        </w:rPr>
        <w:t>that in some CEPT countries the band 2300-2400 MHz is used for Telemetry</w:t>
      </w:r>
      <w:r w:rsidR="00F20EBC" w:rsidRPr="00E66AEF">
        <w:rPr>
          <w:lang w:val="en-GB"/>
        </w:rPr>
        <w:t xml:space="preserve"> </w:t>
      </w:r>
      <w:r w:rsidR="00014F59" w:rsidRPr="00E66AEF">
        <w:rPr>
          <w:lang w:val="en-GB"/>
        </w:rPr>
        <w:t xml:space="preserve">(see </w:t>
      </w:r>
      <w:r w:rsidR="00FE378A" w:rsidRPr="00E66AEF">
        <w:rPr>
          <w:lang w:val="en-GB"/>
        </w:rPr>
        <w:t>R</w:t>
      </w:r>
      <w:r w:rsidR="00014F59" w:rsidRPr="00E66AEF">
        <w:rPr>
          <w:lang w:val="en-GB"/>
        </w:rPr>
        <w:t>R footnote 5.395, WRC03</w:t>
      </w:r>
      <w:r w:rsidR="00FE378A" w:rsidRPr="00E66AEF">
        <w:rPr>
          <w:lang w:val="en-GB"/>
        </w:rPr>
        <w:t xml:space="preserve"> </w:t>
      </w:r>
      <w:r w:rsidR="00FE378A" w:rsidRPr="00E66AEF">
        <w:rPr>
          <w:lang w:val="en-GB"/>
        </w:rPr>
        <w:fldChar w:fldCharType="begin"/>
      </w:r>
      <w:r w:rsidR="00FE378A" w:rsidRPr="00E66AEF">
        <w:rPr>
          <w:lang w:val="en-GB"/>
        </w:rPr>
        <w:instrText xml:space="preserve"> REF _Ref116565458 \r \h </w:instrText>
      </w:r>
      <w:r w:rsidR="00FE378A" w:rsidRPr="00E66AEF">
        <w:rPr>
          <w:lang w:val="en-GB"/>
        </w:rPr>
      </w:r>
      <w:r w:rsidR="00FE378A" w:rsidRPr="00E66AEF">
        <w:rPr>
          <w:lang w:val="en-GB"/>
        </w:rPr>
        <w:fldChar w:fldCharType="separate"/>
      </w:r>
      <w:r w:rsidR="00FE378A" w:rsidRPr="00E66AEF">
        <w:rPr>
          <w:lang w:val="en-GB"/>
        </w:rPr>
        <w:t>[7]</w:t>
      </w:r>
      <w:r w:rsidR="00FE378A" w:rsidRPr="00E66AEF">
        <w:rPr>
          <w:lang w:val="en-GB"/>
        </w:rPr>
        <w:fldChar w:fldCharType="end"/>
      </w:r>
      <w:r w:rsidR="00014F59" w:rsidRPr="00E66AEF">
        <w:rPr>
          <w:lang w:val="en-GB"/>
        </w:rPr>
        <w:t>)</w:t>
      </w:r>
      <w:r w:rsidRPr="00E66AEF">
        <w:rPr>
          <w:lang w:val="en-GB"/>
        </w:rPr>
        <w:t>, PMSE (SAP/SAB video links) and other services/systems;</w:t>
      </w:r>
    </w:p>
    <w:p w14:paraId="1B303EE1"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the use of the band 2300-2400 MHz by some incumbent users is generally limited to certain times or to specific geographical locations; </w:t>
      </w:r>
    </w:p>
    <w:p w14:paraId="24E8FFD4"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ensuring the long term incumbent’s use is a national decision;</w:t>
      </w:r>
    </w:p>
    <w:p w14:paraId="19AB2370"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the introduction of MFCN in the 2300-2400 MHz band in one country can have an impact on incumbent usage in neighbouring countries and thus may require the need for cross-border coordination agreement;</w:t>
      </w:r>
    </w:p>
    <w:p w14:paraId="557B34BC" w14:textId="0D8AC57D" w:rsidR="007B76C3" w:rsidRPr="00E66AEF" w:rsidRDefault="007B76C3" w:rsidP="007B76C3">
      <w:pPr>
        <w:numPr>
          <w:ilvl w:val="0"/>
          <w:numId w:val="13"/>
        </w:numPr>
        <w:suppressAutoHyphens/>
        <w:spacing w:before="120"/>
        <w:ind w:left="567" w:hanging="567"/>
        <w:jc w:val="both"/>
        <w:rPr>
          <w:lang w:val="en-GB"/>
        </w:rPr>
      </w:pPr>
      <w:r w:rsidRPr="00E66AEF">
        <w:rPr>
          <w:lang w:val="en-GB"/>
        </w:rPr>
        <w:t>that, as described in ECC Report 347</w:t>
      </w:r>
      <w:r w:rsidR="00FE378A" w:rsidRPr="00E66AEF">
        <w:rPr>
          <w:lang w:val="en-GB"/>
        </w:rPr>
        <w:t xml:space="preserve"> </w:t>
      </w:r>
      <w:r w:rsidR="00FE378A" w:rsidRPr="00E66AEF">
        <w:rPr>
          <w:lang w:val="en-GB"/>
        </w:rPr>
        <w:fldChar w:fldCharType="begin"/>
      </w:r>
      <w:r w:rsidR="00FE378A" w:rsidRPr="00E66AEF">
        <w:rPr>
          <w:lang w:val="en-GB"/>
        </w:rPr>
        <w:instrText xml:space="preserve"> REF _Ref116565103 \r \h </w:instrText>
      </w:r>
      <w:r w:rsidR="00FE378A" w:rsidRPr="00E66AEF">
        <w:rPr>
          <w:lang w:val="en-GB"/>
        </w:rPr>
      </w:r>
      <w:r w:rsidR="00FE378A" w:rsidRPr="00E66AEF">
        <w:rPr>
          <w:lang w:val="en-GB"/>
        </w:rPr>
        <w:fldChar w:fldCharType="separate"/>
      </w:r>
      <w:r w:rsidR="00FE378A" w:rsidRPr="00E66AEF">
        <w:rPr>
          <w:lang w:val="en-GB"/>
        </w:rPr>
        <w:t>[2]</w:t>
      </w:r>
      <w:r w:rsidR="00FE378A" w:rsidRPr="00E66AEF">
        <w:rPr>
          <w:lang w:val="en-GB"/>
        </w:rPr>
        <w:fldChar w:fldCharType="end"/>
      </w:r>
      <w:r w:rsidRPr="00E66AEF">
        <w:rPr>
          <w:lang w:val="en-GB"/>
        </w:rPr>
        <w:t xml:space="preserve">, the conclusions from ECC Report 172 </w:t>
      </w:r>
      <w:r w:rsidR="00FE378A" w:rsidRPr="00E66AEF">
        <w:rPr>
          <w:lang w:val="en-GB"/>
        </w:rPr>
        <w:fldChar w:fldCharType="begin"/>
      </w:r>
      <w:r w:rsidR="00FE378A" w:rsidRPr="00E66AEF">
        <w:rPr>
          <w:lang w:val="en-GB"/>
        </w:rPr>
        <w:instrText xml:space="preserve"> REF _Ref116565485 \r \h </w:instrText>
      </w:r>
      <w:r w:rsidR="00FE378A" w:rsidRPr="00E66AEF">
        <w:rPr>
          <w:lang w:val="en-GB"/>
        </w:rPr>
      </w:r>
      <w:r w:rsidR="00FE378A" w:rsidRPr="00E66AEF">
        <w:rPr>
          <w:lang w:val="en-GB"/>
        </w:rPr>
        <w:fldChar w:fldCharType="separate"/>
      </w:r>
      <w:r w:rsidR="00FE378A" w:rsidRPr="00E66AEF">
        <w:rPr>
          <w:lang w:val="en-GB"/>
        </w:rPr>
        <w:t>[5]</w:t>
      </w:r>
      <w:r w:rsidR="00FE378A" w:rsidRPr="00E66AEF">
        <w:rPr>
          <w:lang w:val="en-GB"/>
        </w:rPr>
        <w:fldChar w:fldCharType="end"/>
      </w:r>
      <w:r w:rsidR="00FE378A" w:rsidRPr="00E66AEF">
        <w:rPr>
          <w:lang w:val="en-GB"/>
        </w:rPr>
        <w:t xml:space="preserve"> </w:t>
      </w:r>
      <w:r w:rsidRPr="00E66AEF">
        <w:rPr>
          <w:lang w:val="en-GB"/>
        </w:rPr>
        <w:t>related to isolation, separation or coordination distances with co-channel services (such as aeronautical/terrestrial telemetry) remain valid for AAS MFCN under the assumptions used in the simulations, in particular 46 dBm/(20 MHz) TRP in-block BS power. Higher in-block BS power will typically result in larger coordination distances, noting that coexistence also depends on many other parameters such as the actual radio propagation condition, interferer (i.e. BS) and victim antenna heights, antenna gain, etc.;</w:t>
      </w:r>
    </w:p>
    <w:p w14:paraId="72A30136"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harmonised frequency arrangements facilitate economies of scale and availability of low-cost equipment;</w:t>
      </w:r>
    </w:p>
    <w:p w14:paraId="72726A8D"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global roaming is facilitated by harmonised frequency arrangements and circulation arrangements for the use of MFCN terminals;</w:t>
      </w:r>
    </w:p>
    <w:p w14:paraId="2A6E9FD4" w14:textId="27429489"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Recommendation ITU-R M.1036 </w:t>
      </w:r>
      <w:r w:rsidRPr="00E66AEF">
        <w:rPr>
          <w:lang w:val="en-GB"/>
        </w:rPr>
        <w:fldChar w:fldCharType="begin"/>
      </w:r>
      <w:r w:rsidRPr="00E66AEF">
        <w:rPr>
          <w:lang w:val="en-GB"/>
        </w:rPr>
        <w:instrText xml:space="preserve"> REF _Ref373425809 \r \h  \* MERGEFORMAT </w:instrText>
      </w:r>
      <w:r w:rsidRPr="00E66AEF">
        <w:rPr>
          <w:lang w:val="en-GB"/>
        </w:rPr>
      </w:r>
      <w:r w:rsidRPr="00E66AEF">
        <w:rPr>
          <w:lang w:val="en-GB"/>
        </w:rPr>
        <w:fldChar w:fldCharType="separate"/>
      </w:r>
      <w:r w:rsidR="002575DC" w:rsidRPr="00E66AEF">
        <w:rPr>
          <w:lang w:val="en-GB"/>
        </w:rPr>
        <w:t>[13]</w:t>
      </w:r>
      <w:r w:rsidRPr="00E66AEF">
        <w:rPr>
          <w:lang w:val="en-GB"/>
        </w:rPr>
        <w:fldChar w:fldCharType="end"/>
      </w:r>
      <w:r w:rsidRPr="00E66AEF">
        <w:rPr>
          <w:lang w:val="en-GB"/>
        </w:rPr>
        <w:t xml:space="preserve"> identifies the recommended frequency arrangement for the band 2300-2400 MHz for IMT systems;</w:t>
      </w:r>
    </w:p>
    <w:p w14:paraId="70F6648D" w14:textId="51DFC703"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some Administrations expressed their intention to introduce MFCN in the 2300-2400 MHz band under </w:t>
      </w:r>
      <w:r w:rsidR="0098668C">
        <w:rPr>
          <w:lang w:val="en-GB"/>
        </w:rPr>
        <w:t>l</w:t>
      </w:r>
      <w:r w:rsidR="0098668C" w:rsidRPr="00E66AEF">
        <w:rPr>
          <w:lang w:val="en-GB"/>
        </w:rPr>
        <w:t xml:space="preserve">icensed </w:t>
      </w:r>
      <w:r w:rsidR="0098668C">
        <w:rPr>
          <w:lang w:val="en-GB"/>
        </w:rPr>
        <w:t>s</w:t>
      </w:r>
      <w:r w:rsidR="0098668C" w:rsidRPr="00E66AEF">
        <w:rPr>
          <w:lang w:val="en-GB"/>
        </w:rPr>
        <w:t xml:space="preserve">hared </w:t>
      </w:r>
      <w:r w:rsidR="0098668C">
        <w:rPr>
          <w:lang w:val="en-GB"/>
        </w:rPr>
        <w:t>a</w:t>
      </w:r>
      <w:r w:rsidR="0098668C" w:rsidRPr="00E66AEF">
        <w:rPr>
          <w:lang w:val="en-GB"/>
        </w:rPr>
        <w:t xml:space="preserve">ccess </w:t>
      </w:r>
      <w:r w:rsidRPr="00E66AEF">
        <w:rPr>
          <w:lang w:val="en-GB"/>
        </w:rPr>
        <w:t xml:space="preserve">(LSA), as defined by RSPG in </w:t>
      </w:r>
      <w:r w:rsidRPr="00E66AEF">
        <w:rPr>
          <w:lang w:val="en-GB"/>
        </w:rPr>
        <w:fldChar w:fldCharType="begin"/>
      </w:r>
      <w:r w:rsidRPr="00E66AEF">
        <w:rPr>
          <w:lang w:val="en-GB"/>
        </w:rPr>
        <w:instrText xml:space="preserve"> REF _Ref391640424 \n \h  \* MERGEFORMAT </w:instrText>
      </w:r>
      <w:r w:rsidRPr="00E66AEF">
        <w:rPr>
          <w:lang w:val="en-GB"/>
        </w:rPr>
      </w:r>
      <w:r w:rsidRPr="00E66AEF">
        <w:rPr>
          <w:lang w:val="en-GB"/>
        </w:rPr>
        <w:fldChar w:fldCharType="separate"/>
      </w:r>
      <w:r w:rsidR="002575DC" w:rsidRPr="00E66AEF">
        <w:rPr>
          <w:lang w:val="en-GB"/>
        </w:rPr>
        <w:t>[3]</w:t>
      </w:r>
      <w:r w:rsidRPr="00E66AEF">
        <w:rPr>
          <w:lang w:val="en-GB"/>
        </w:rPr>
        <w:fldChar w:fldCharType="end"/>
      </w:r>
      <w:r w:rsidRPr="00E66AEF">
        <w:rPr>
          <w:lang w:val="en-GB"/>
        </w:rPr>
        <w:t xml:space="preserve"> and as further described in ECC Report 205 </w:t>
      </w:r>
      <w:r w:rsidRPr="00E66AEF">
        <w:rPr>
          <w:lang w:val="en-GB"/>
        </w:rPr>
        <w:fldChar w:fldCharType="begin"/>
      </w:r>
      <w:r w:rsidRPr="00E66AEF">
        <w:rPr>
          <w:lang w:val="en-GB"/>
        </w:rPr>
        <w:instrText xml:space="preserve"> REF _Ref373423827 \r \h  \* MERGEFORMAT </w:instrText>
      </w:r>
      <w:r w:rsidRPr="00E66AEF">
        <w:rPr>
          <w:lang w:val="en-GB"/>
        </w:rPr>
      </w:r>
      <w:r w:rsidRPr="00E66AEF">
        <w:rPr>
          <w:lang w:val="en-GB"/>
        </w:rPr>
        <w:fldChar w:fldCharType="separate"/>
      </w:r>
      <w:r w:rsidR="002575DC" w:rsidRPr="00E66AEF">
        <w:rPr>
          <w:lang w:val="en-GB"/>
        </w:rPr>
        <w:t>[4]</w:t>
      </w:r>
      <w:r w:rsidRPr="00E66AEF">
        <w:rPr>
          <w:lang w:val="en-GB"/>
        </w:rPr>
        <w:fldChar w:fldCharType="end"/>
      </w:r>
      <w:r w:rsidRPr="00E66AEF">
        <w:rPr>
          <w:lang w:val="en-GB"/>
        </w:rPr>
        <w:t>, on a shared basis with the incumbent services;</w:t>
      </w:r>
    </w:p>
    <w:p w14:paraId="377C5B93"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LSA is to be implemented by administrations on a voluntary basis;</w:t>
      </w:r>
    </w:p>
    <w:p w14:paraId="38D1F50A" w14:textId="77777777" w:rsidR="007B76C3" w:rsidRPr="00E66AEF" w:rsidRDefault="007B76C3" w:rsidP="007B76C3">
      <w:pPr>
        <w:numPr>
          <w:ilvl w:val="0"/>
          <w:numId w:val="13"/>
        </w:numPr>
        <w:suppressAutoHyphens/>
        <w:spacing w:before="120"/>
        <w:ind w:left="567" w:hanging="567"/>
        <w:jc w:val="both"/>
        <w:rPr>
          <w:lang w:val="en-GB"/>
        </w:rPr>
      </w:pPr>
      <w:r w:rsidRPr="00E66AEF">
        <w:rPr>
          <w:lang w:val="en-GB"/>
        </w:rPr>
        <w:t>that under LSA, spectrum is used by either the incumbent(s) or the LSA licensee(s), so that the latter has individual spectrum rights of use / access where and when the spectrum is made available by the incumbent(s), in accordance with the sharing framework defined beforehand;</w:t>
      </w:r>
    </w:p>
    <w:p w14:paraId="69B243EB" w14:textId="07740267" w:rsidR="007B76C3" w:rsidRPr="00E66AEF" w:rsidRDefault="007B76C3" w:rsidP="007B76C3">
      <w:pPr>
        <w:numPr>
          <w:ilvl w:val="0"/>
          <w:numId w:val="13"/>
        </w:numPr>
        <w:suppressAutoHyphens/>
        <w:spacing w:before="120"/>
        <w:ind w:left="567" w:hanging="567"/>
        <w:jc w:val="both"/>
        <w:rPr>
          <w:lang w:val="en-GB"/>
        </w:rPr>
      </w:pPr>
      <w:r w:rsidRPr="00E66AEF">
        <w:rPr>
          <w:lang w:val="en-GB"/>
        </w:rPr>
        <w:t xml:space="preserve">that the level of the service that can be delivered by a LSA licensee is dependent on the situation in the band, e.g. the usage scenarios of the incumbent(s) and the corresponding sharing framework established on the basis of the criteria identified in ECC Report 205 </w:t>
      </w:r>
      <w:r w:rsidRPr="00E66AEF">
        <w:rPr>
          <w:lang w:val="en-GB"/>
        </w:rPr>
        <w:fldChar w:fldCharType="begin"/>
      </w:r>
      <w:r w:rsidRPr="00E66AEF">
        <w:rPr>
          <w:lang w:val="en-GB"/>
        </w:rPr>
        <w:instrText xml:space="preserve"> REF _Ref391640545 \n \h  \* MERGEFORMAT </w:instrText>
      </w:r>
      <w:r w:rsidRPr="00E66AEF">
        <w:rPr>
          <w:lang w:val="en-GB"/>
        </w:rPr>
      </w:r>
      <w:r w:rsidRPr="00E66AEF">
        <w:rPr>
          <w:lang w:val="en-GB"/>
        </w:rPr>
        <w:fldChar w:fldCharType="separate"/>
      </w:r>
      <w:r w:rsidR="003F309A" w:rsidRPr="00E66AEF">
        <w:rPr>
          <w:lang w:val="en-GB"/>
        </w:rPr>
        <w:t>[4]</w:t>
      </w:r>
      <w:r w:rsidRPr="00E66AEF">
        <w:rPr>
          <w:lang w:val="en-GB"/>
        </w:rPr>
        <w:fldChar w:fldCharType="end"/>
      </w:r>
      <w:r w:rsidRPr="00E66AEF">
        <w:rPr>
          <w:lang w:val="en-GB"/>
        </w:rPr>
        <w:t>;</w:t>
      </w:r>
    </w:p>
    <w:p w14:paraId="76E46C8E" w14:textId="088CEBE2" w:rsidR="007B76C3" w:rsidRPr="00E66AEF" w:rsidRDefault="007B76C3" w:rsidP="007B76C3">
      <w:pPr>
        <w:numPr>
          <w:ilvl w:val="0"/>
          <w:numId w:val="13"/>
        </w:numPr>
        <w:suppressAutoHyphens/>
        <w:spacing w:before="120"/>
        <w:ind w:left="567" w:hanging="567"/>
        <w:jc w:val="both"/>
        <w:rPr>
          <w:lang w:val="en-GB"/>
        </w:rPr>
      </w:pPr>
      <w:r w:rsidRPr="00E66AEF">
        <w:rPr>
          <w:lang w:val="en-GB"/>
        </w:rPr>
        <w:t>that LSA provides means for making the 2300-2400 MHz band available to MFCN in a timely manner;</w:t>
      </w:r>
    </w:p>
    <w:p w14:paraId="75499723" w14:textId="1286E660" w:rsidR="00962F8A" w:rsidRPr="00E66AEF" w:rsidRDefault="007B76C3" w:rsidP="007B76C3">
      <w:pPr>
        <w:numPr>
          <w:ilvl w:val="0"/>
          <w:numId w:val="13"/>
        </w:numPr>
        <w:suppressAutoHyphens/>
        <w:spacing w:before="120"/>
        <w:ind w:left="567" w:hanging="567"/>
        <w:jc w:val="both"/>
        <w:rPr>
          <w:color w:val="000000"/>
          <w:lang w:val="en-GB"/>
        </w:rPr>
      </w:pPr>
      <w:r w:rsidRPr="00E66AEF">
        <w:rPr>
          <w:lang w:val="en-GB"/>
        </w:rPr>
        <w:t xml:space="preserve">that in EU/EFTA countries the radio equipment that is under the scope of this Decision shall comply with the RE Directive </w:t>
      </w:r>
      <w:r w:rsidRPr="00E66AEF">
        <w:rPr>
          <w:lang w:val="en-GB"/>
        </w:rPr>
        <w:fldChar w:fldCharType="begin"/>
      </w:r>
      <w:r w:rsidRPr="00E66AEF">
        <w:rPr>
          <w:lang w:val="en-GB"/>
        </w:rPr>
        <w:instrText xml:space="preserve"> REF _Ref105179055 \r \h  \* MERGEFORMAT </w:instrText>
      </w:r>
      <w:r w:rsidRPr="00E66AEF">
        <w:rPr>
          <w:lang w:val="en-GB"/>
        </w:rPr>
      </w:r>
      <w:r w:rsidRPr="00E66AEF">
        <w:rPr>
          <w:lang w:val="en-GB"/>
        </w:rPr>
        <w:fldChar w:fldCharType="separate"/>
      </w:r>
      <w:r w:rsidR="003F309A" w:rsidRPr="00E66AEF">
        <w:rPr>
          <w:lang w:val="en-GB"/>
        </w:rPr>
        <w:t>[14]</w:t>
      </w:r>
      <w:r w:rsidRPr="00E66AEF">
        <w:rPr>
          <w:lang w:val="en-GB"/>
        </w:rPr>
        <w:fldChar w:fldCharType="end"/>
      </w:r>
      <w:r w:rsidRPr="00E66AEF">
        <w:rPr>
          <w:lang w:val="en-GB"/>
        </w:rPr>
        <w:t>. Conformity with the essential requirements of the RE Directive may be demonstrated by compliance with the applicable harmonised European standard(s), cited in the Official Journal of the European Union (OJ), or by using the other conformity assessment procedures set out in the RE Directive.</w:t>
      </w:r>
    </w:p>
    <w:p w14:paraId="75499725" w14:textId="77777777" w:rsidR="006C03D0" w:rsidRPr="00E66AEF" w:rsidRDefault="005F7AD5" w:rsidP="008F4D8F">
      <w:pPr>
        <w:pStyle w:val="ECCParagraph"/>
        <w:keepNext/>
        <w:spacing w:before="240" w:after="60"/>
        <w:rPr>
          <w:color w:val="D2232A"/>
        </w:rPr>
      </w:pPr>
      <w:r w:rsidRPr="00E66AEF">
        <w:rPr>
          <w:i/>
          <w:color w:val="D2232A"/>
        </w:rPr>
        <w:t>DECIDES</w:t>
      </w:r>
      <w:r w:rsidRPr="00E66AEF">
        <w:rPr>
          <w:color w:val="D2232A"/>
        </w:rPr>
        <w:t xml:space="preserve"> </w:t>
      </w:r>
    </w:p>
    <w:p w14:paraId="75499726" w14:textId="499EE089" w:rsidR="007D5A41" w:rsidRPr="00E66AEF" w:rsidRDefault="00117EE4" w:rsidP="00F20243">
      <w:pPr>
        <w:pStyle w:val="NumberedList"/>
        <w:keepNext/>
        <w:spacing w:after="120"/>
      </w:pPr>
      <w:r w:rsidRPr="00E66AEF">
        <w:t>that the purpose of this ECC Decision is to provide harmonised regulatory conditions</w:t>
      </w:r>
      <w:r w:rsidRPr="00E66AEF" w:rsidDel="002A354D">
        <w:t xml:space="preserve"> </w:t>
      </w:r>
      <w:r w:rsidRPr="00E66AEF">
        <w:t>for the use of the band 2300-2400 MHz for mobile/fixed communications networks (MFCN);</w:t>
      </w:r>
    </w:p>
    <w:p w14:paraId="75499727" w14:textId="402A2546" w:rsidR="00033C36" w:rsidRPr="00E66AEF" w:rsidRDefault="00AB4BF7" w:rsidP="00D858A3">
      <w:pPr>
        <w:pStyle w:val="NumberedList"/>
        <w:spacing w:after="120"/>
      </w:pPr>
      <w:r w:rsidRPr="00E66AEF">
        <w:t>that, subject to national considerations, the frequency band 2300-2400 MHz is made available for MFCN, while also enabling administrations to maintain the use of the band by incumbent services;</w:t>
      </w:r>
    </w:p>
    <w:p w14:paraId="75499728" w14:textId="68F7BCB2" w:rsidR="00920FF0" w:rsidRPr="00E66AEF" w:rsidRDefault="00093BD6" w:rsidP="00824396">
      <w:pPr>
        <w:pStyle w:val="NumberedList"/>
        <w:spacing w:after="120"/>
        <w:rPr>
          <w:szCs w:val="20"/>
        </w:rPr>
      </w:pPr>
      <w:r w:rsidRPr="00E66AEF">
        <w:rPr>
          <w:szCs w:val="20"/>
        </w:rPr>
        <w:t>that the following technical and operational parameters apply to MFCN within the frequency band 2300</w:t>
      </w:r>
      <w:r w:rsidR="0052281A" w:rsidRPr="00E66AEF">
        <w:rPr>
          <w:szCs w:val="20"/>
        </w:rPr>
        <w:t> </w:t>
      </w:r>
      <w:r w:rsidRPr="00E66AEF">
        <w:rPr>
          <w:szCs w:val="20"/>
        </w:rPr>
        <w:t>-</w:t>
      </w:r>
      <w:r w:rsidR="0052281A" w:rsidRPr="00E66AEF">
        <w:rPr>
          <w:szCs w:val="20"/>
        </w:rPr>
        <w:t> </w:t>
      </w:r>
      <w:r w:rsidRPr="00E66AEF">
        <w:rPr>
          <w:szCs w:val="20"/>
        </w:rPr>
        <w:t>2400 MHz</w:t>
      </w:r>
      <w:r w:rsidR="00920FF0" w:rsidRPr="00E66AEF">
        <w:t>:</w:t>
      </w:r>
    </w:p>
    <w:p w14:paraId="75499729" w14:textId="25096E41" w:rsidR="00920FF0" w:rsidRPr="00E66AEF" w:rsidRDefault="00920FF0" w:rsidP="00824396">
      <w:pPr>
        <w:pStyle w:val="NumberedList"/>
        <w:numPr>
          <w:ilvl w:val="1"/>
          <w:numId w:val="12"/>
        </w:numPr>
        <w:spacing w:after="120"/>
        <w:rPr>
          <w:szCs w:val="20"/>
        </w:rPr>
      </w:pPr>
      <w:r w:rsidRPr="00E66AEF">
        <w:t xml:space="preserve">the harmonised frequency arrangement is given in </w:t>
      </w:r>
      <w:r w:rsidR="00E43EA5" w:rsidRPr="00E66AEF">
        <w:fldChar w:fldCharType="begin"/>
      </w:r>
      <w:r w:rsidR="00E43EA5" w:rsidRPr="00E66AEF">
        <w:instrText xml:space="preserve"> REF _Ref115115337 \n \h </w:instrText>
      </w:r>
      <w:r w:rsidR="00614BDB" w:rsidRPr="00E66AEF">
        <w:instrText xml:space="preserve"> \* MERGEFORMAT </w:instrText>
      </w:r>
      <w:r w:rsidR="00E43EA5" w:rsidRPr="00E66AEF">
        <w:fldChar w:fldCharType="separate"/>
      </w:r>
      <w:r w:rsidR="00E43EA5" w:rsidRPr="00E66AEF">
        <w:t>A</w:t>
      </w:r>
      <w:r w:rsidR="004F55D3" w:rsidRPr="00E66AEF">
        <w:t>nnex</w:t>
      </w:r>
      <w:r w:rsidR="00E43EA5" w:rsidRPr="00E66AEF">
        <w:t xml:space="preserve"> 1</w:t>
      </w:r>
      <w:r w:rsidR="00E43EA5" w:rsidRPr="00E66AEF">
        <w:fldChar w:fldCharType="end"/>
      </w:r>
      <w:r w:rsidRPr="00E66AEF">
        <w:t>;</w:t>
      </w:r>
    </w:p>
    <w:p w14:paraId="7549972A" w14:textId="223CE66F" w:rsidR="00920FF0" w:rsidRPr="00E66AEF" w:rsidRDefault="00920FF0" w:rsidP="00FD6D34">
      <w:pPr>
        <w:pStyle w:val="NumberedList"/>
        <w:numPr>
          <w:ilvl w:val="1"/>
          <w:numId w:val="12"/>
        </w:numPr>
        <w:rPr>
          <w:szCs w:val="20"/>
        </w:rPr>
      </w:pPr>
      <w:r w:rsidRPr="00E66AEF">
        <w:t xml:space="preserve">the least restrictive technical conditions (LRTC) are specified in </w:t>
      </w:r>
      <w:r w:rsidR="00E43EA5" w:rsidRPr="00E66AEF">
        <w:fldChar w:fldCharType="begin"/>
      </w:r>
      <w:r w:rsidR="00E43EA5" w:rsidRPr="00E66AEF">
        <w:instrText xml:space="preserve"> REF _Ref115115342 \n \h </w:instrText>
      </w:r>
      <w:r w:rsidR="00614BDB" w:rsidRPr="00E66AEF">
        <w:instrText xml:space="preserve"> \* MERGEFORMAT </w:instrText>
      </w:r>
      <w:r w:rsidR="00E43EA5" w:rsidRPr="00E66AEF">
        <w:fldChar w:fldCharType="separate"/>
      </w:r>
      <w:r w:rsidR="00E43EA5" w:rsidRPr="00E66AEF">
        <w:t>A</w:t>
      </w:r>
      <w:r w:rsidR="002873AF" w:rsidRPr="00E66AEF">
        <w:t>nnex</w:t>
      </w:r>
      <w:r w:rsidR="00E43EA5" w:rsidRPr="00E66AEF">
        <w:t xml:space="preserve"> 2</w:t>
      </w:r>
      <w:r w:rsidR="00E43EA5" w:rsidRPr="00E66AEF">
        <w:fldChar w:fldCharType="end"/>
      </w:r>
      <w:r w:rsidRPr="00E66AEF">
        <w:t>;</w:t>
      </w:r>
    </w:p>
    <w:p w14:paraId="7549972B" w14:textId="20311FE8" w:rsidR="003F4A7F" w:rsidRPr="00E66AEF" w:rsidRDefault="003F4A7F" w:rsidP="003F4A7F">
      <w:pPr>
        <w:pStyle w:val="NumberedList"/>
        <w:spacing w:after="120"/>
      </w:pPr>
      <w:r w:rsidRPr="00E66AEF">
        <w:lastRenderedPageBreak/>
        <w:t>that, administrations wishing to introduce MFCN in the band, and maintain the long term incumbent use of the band in their territory implementing L</w:t>
      </w:r>
      <w:r w:rsidR="00C5230E" w:rsidRPr="00E66AEF">
        <w:t>icensed Shared Access (L</w:t>
      </w:r>
      <w:r w:rsidRPr="00E66AEF">
        <w:t>SA</w:t>
      </w:r>
      <w:r w:rsidR="00C5230E" w:rsidRPr="00E66AEF">
        <w:t>)</w:t>
      </w:r>
      <w:r w:rsidRPr="00E66AEF">
        <w:t xml:space="preserve">, should </w:t>
      </w:r>
      <w:r w:rsidR="003B6514" w:rsidRPr="00E66AEF">
        <w:t xml:space="preserve">develop appropriate sharing framework </w:t>
      </w:r>
      <w:r w:rsidRPr="00E66AEF">
        <w:t>follow</w:t>
      </w:r>
      <w:r w:rsidR="003B6514" w:rsidRPr="00E66AEF">
        <w:t>ing</w:t>
      </w:r>
      <w:r w:rsidRPr="00E66AEF">
        <w:t xml:space="preserve"> the guidelines contained in </w:t>
      </w:r>
      <w:r w:rsidR="00E43EA5" w:rsidRPr="00E66AEF">
        <w:fldChar w:fldCharType="begin"/>
      </w:r>
      <w:r w:rsidR="00E43EA5" w:rsidRPr="00E66AEF">
        <w:instrText xml:space="preserve"> REF _Ref115115354 \n \h </w:instrText>
      </w:r>
      <w:r w:rsidR="00614BDB" w:rsidRPr="00E66AEF">
        <w:instrText xml:space="preserve"> \* MERGEFORMAT </w:instrText>
      </w:r>
      <w:r w:rsidR="00E43EA5" w:rsidRPr="00E66AEF">
        <w:fldChar w:fldCharType="separate"/>
      </w:r>
      <w:r w:rsidR="00E43EA5" w:rsidRPr="00E66AEF">
        <w:t>A</w:t>
      </w:r>
      <w:r w:rsidR="002873AF" w:rsidRPr="00E66AEF">
        <w:t>nnex</w:t>
      </w:r>
      <w:r w:rsidR="00E43EA5" w:rsidRPr="00E66AEF">
        <w:t xml:space="preserve"> 3</w:t>
      </w:r>
      <w:r w:rsidR="00E43EA5" w:rsidRPr="00E66AEF">
        <w:fldChar w:fldCharType="end"/>
      </w:r>
      <w:r w:rsidR="00FE66F3" w:rsidRPr="00E66AEF">
        <w:t>;</w:t>
      </w:r>
    </w:p>
    <w:p w14:paraId="7549972C" w14:textId="58C2848F" w:rsidR="00713DBA" w:rsidRPr="00E66AEF" w:rsidRDefault="00713DBA" w:rsidP="006C03D0">
      <w:pPr>
        <w:pStyle w:val="NumberedList"/>
      </w:pPr>
      <w:r w:rsidRPr="00E66AEF">
        <w:t xml:space="preserve">that this Decision </w:t>
      </w:r>
      <w:r w:rsidRPr="00E66AEF">
        <w:rPr>
          <w:b/>
        </w:rPr>
        <w:t>enters into force</w:t>
      </w:r>
      <w:r w:rsidRPr="00E66AEF">
        <w:t xml:space="preserve"> on </w:t>
      </w:r>
      <w:r w:rsidR="00EF443E">
        <w:t>10 March 2023</w:t>
      </w:r>
      <w:r w:rsidR="007227BC" w:rsidRPr="00E66AEF">
        <w:t>;</w:t>
      </w:r>
    </w:p>
    <w:p w14:paraId="7549972D" w14:textId="59165BD1" w:rsidR="00713DBA" w:rsidRPr="00E66AEF" w:rsidRDefault="00D90B0A" w:rsidP="006C03D0">
      <w:pPr>
        <w:pStyle w:val="NumberedList"/>
      </w:pPr>
      <w:r w:rsidRPr="00E66AEF">
        <w:t>that the preferred</w:t>
      </w:r>
      <w:r w:rsidR="00713DBA" w:rsidRPr="00E66AEF">
        <w:t xml:space="preserve"> </w:t>
      </w:r>
      <w:r w:rsidR="00713DBA" w:rsidRPr="00E66AEF">
        <w:rPr>
          <w:b/>
        </w:rPr>
        <w:t>date for implementation</w:t>
      </w:r>
      <w:r w:rsidR="00713DBA" w:rsidRPr="00E66AEF">
        <w:t xml:space="preserve"> of this Decision shall be </w:t>
      </w:r>
      <w:r w:rsidR="00EF443E">
        <w:t>10 September 2023</w:t>
      </w:r>
      <w:r w:rsidR="007227BC" w:rsidRPr="00E66AEF">
        <w:t>;</w:t>
      </w:r>
    </w:p>
    <w:p w14:paraId="7549972E" w14:textId="62BE7294" w:rsidR="00431E2B" w:rsidRPr="00E66AEF" w:rsidRDefault="00713DBA" w:rsidP="00431E2B">
      <w:pPr>
        <w:pStyle w:val="NumberedList"/>
        <w:keepNext/>
      </w:pPr>
      <w:r w:rsidRPr="00E66AEF">
        <w:t xml:space="preserve">that CEPT administrations shall communicate the </w:t>
      </w:r>
      <w:r w:rsidRPr="00E66AEF">
        <w:rPr>
          <w:b/>
        </w:rPr>
        <w:t>national measures</w:t>
      </w:r>
      <w:r w:rsidRPr="00E66AEF">
        <w:t xml:space="preserve"> implementing this Decision to the ECC Chairman and the Office when th</w:t>
      </w:r>
      <w:r w:rsidR="00F32EE8" w:rsidRPr="00E66AEF">
        <w:t>is ECC</w:t>
      </w:r>
      <w:r w:rsidRPr="00E66AEF">
        <w:t xml:space="preserve"> Decision is nationally implemented.</w:t>
      </w:r>
    </w:p>
    <w:p w14:paraId="7549972F" w14:textId="77777777" w:rsidR="001C46EA" w:rsidRPr="00E66AEF" w:rsidRDefault="001C46EA" w:rsidP="006A0961">
      <w:pPr>
        <w:pStyle w:val="ECCParagraph"/>
      </w:pPr>
    </w:p>
    <w:p w14:paraId="75499730" w14:textId="77777777" w:rsidR="001C46EA" w:rsidRPr="00E66AEF" w:rsidRDefault="001C46EA" w:rsidP="00D90B0A">
      <w:pPr>
        <w:pStyle w:val="ECCParagraph"/>
        <w:keepNext/>
        <w:rPr>
          <w:i/>
          <w:color w:val="D2232A"/>
        </w:rPr>
      </w:pPr>
      <w:r w:rsidRPr="00E66AEF">
        <w:rPr>
          <w:i/>
          <w:color w:val="D2232A"/>
        </w:rPr>
        <w:t xml:space="preserve">Note: </w:t>
      </w:r>
    </w:p>
    <w:p w14:paraId="75499731" w14:textId="6B3A6C84" w:rsidR="004C2859" w:rsidRPr="00E66AEF" w:rsidRDefault="001C46EA" w:rsidP="00D90B0A">
      <w:pPr>
        <w:pStyle w:val="ECCParagraph"/>
        <w:keepNext/>
        <w:rPr>
          <w:i/>
          <w:szCs w:val="20"/>
        </w:rPr>
      </w:pPr>
      <w:r w:rsidRPr="00E66AEF">
        <w:rPr>
          <w:i/>
          <w:szCs w:val="20"/>
        </w:rPr>
        <w:t xml:space="preserve">Please check the Office documentation database </w:t>
      </w:r>
      <w:hyperlink r:id="rId8" w:history="1">
        <w:r w:rsidR="002830BE" w:rsidRPr="00E66AEF">
          <w:rPr>
            <w:rStyle w:val="Hyperlink"/>
            <w:i/>
            <w:szCs w:val="20"/>
          </w:rPr>
          <w:t>https://docdb.cept.org/</w:t>
        </w:r>
      </w:hyperlink>
      <w:r w:rsidR="00FF1243" w:rsidRPr="00E66AEF">
        <w:rPr>
          <w:i/>
          <w:szCs w:val="20"/>
        </w:rPr>
        <w:t xml:space="preserve"> </w:t>
      </w:r>
      <w:r w:rsidRPr="00E66AEF">
        <w:rPr>
          <w:i/>
          <w:szCs w:val="20"/>
        </w:rPr>
        <w:t>for the up to date position on the implementation of this and other ECC Decisions.</w:t>
      </w:r>
    </w:p>
    <w:p w14:paraId="75499732" w14:textId="77777777" w:rsidR="004C2859" w:rsidRPr="00E66AEF" w:rsidRDefault="004C2859">
      <w:pPr>
        <w:rPr>
          <w:i/>
          <w:szCs w:val="20"/>
          <w:lang w:val="en-GB"/>
        </w:rPr>
      </w:pPr>
      <w:r w:rsidRPr="00E66AEF">
        <w:rPr>
          <w:i/>
          <w:szCs w:val="20"/>
          <w:lang w:val="en-GB"/>
        </w:rPr>
        <w:br w:type="page"/>
      </w:r>
    </w:p>
    <w:p w14:paraId="75499733" w14:textId="77777777" w:rsidR="00020F0B" w:rsidRPr="00E66AEF" w:rsidRDefault="008104FD" w:rsidP="003C77A1">
      <w:pPr>
        <w:pStyle w:val="ECCAnnex-heading1"/>
      </w:pPr>
      <w:bookmarkStart w:id="5" w:name="_Toc280099658"/>
      <w:r w:rsidRPr="00E66AEF">
        <w:lastRenderedPageBreak/>
        <w:t xml:space="preserve"> </w:t>
      </w:r>
      <w:bookmarkStart w:id="6" w:name="_Ref115115337"/>
      <w:r w:rsidR="00020F0B" w:rsidRPr="00E66AEF">
        <w:t>Harmonised frequency arrangement</w:t>
      </w:r>
      <w:bookmarkEnd w:id="6"/>
    </w:p>
    <w:p w14:paraId="75499734" w14:textId="05EF7D3D" w:rsidR="005A0FAD" w:rsidRPr="00E66AEF" w:rsidRDefault="003B6422" w:rsidP="005A0FAD">
      <w:pPr>
        <w:pStyle w:val="ECCParagraph"/>
      </w:pPr>
      <w:r w:rsidRPr="00E66AEF">
        <w:t xml:space="preserve">Frequency arrangement shall be based on 20 blocks of 5 MHz as described in </w:t>
      </w:r>
      <w:r w:rsidR="002830BE" w:rsidRPr="00E66AEF">
        <w:fldChar w:fldCharType="begin"/>
      </w:r>
      <w:r w:rsidR="002830BE" w:rsidRPr="00E66AEF">
        <w:instrText xml:space="preserve"> REF _Ref116565609 \r \h </w:instrText>
      </w:r>
      <w:r w:rsidR="002830BE" w:rsidRPr="00E66AEF">
        <w:fldChar w:fldCharType="separate"/>
      </w:r>
      <w:r w:rsidR="002830BE" w:rsidRPr="00E66AEF">
        <w:t>Figure 1</w:t>
      </w:r>
      <w:r w:rsidR="002830BE" w:rsidRPr="00E66AEF">
        <w:fldChar w:fldCharType="end"/>
      </w:r>
      <w:r w:rsidR="00FC2BA0" w:rsidRPr="00E66AEF">
        <w:t>.</w:t>
      </w:r>
    </w:p>
    <w:p w14:paraId="75499776" w14:textId="5F77A9E2" w:rsidR="005A0FAD" w:rsidRPr="00E66AEF" w:rsidRDefault="0080671A" w:rsidP="0080671A">
      <w:pPr>
        <w:pStyle w:val="ECCFiguregraphcentered"/>
        <w:jc w:val="left"/>
        <w:rPr>
          <w:noProof w:val="0"/>
          <w:lang w:val="en-GB"/>
        </w:rPr>
      </w:pPr>
      <w:r w:rsidRPr="00E66AEF">
        <w:rPr>
          <w:lang w:val="en-GB"/>
        </w:rPr>
        <w:drawing>
          <wp:inline distT="0" distB="0" distL="0" distR="0" wp14:anchorId="2D7E3510" wp14:editId="5DC67B68">
            <wp:extent cx="6120765" cy="535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35305"/>
                    </a:xfrm>
                    <a:prstGeom prst="rect">
                      <a:avLst/>
                    </a:prstGeom>
                    <a:noFill/>
                    <a:ln>
                      <a:noFill/>
                    </a:ln>
                  </pic:spPr>
                </pic:pic>
              </a:graphicData>
            </a:graphic>
          </wp:inline>
        </w:drawing>
      </w:r>
    </w:p>
    <w:p w14:paraId="75499777" w14:textId="35263995" w:rsidR="00CC11F1" w:rsidRPr="00E66AEF" w:rsidRDefault="00CC11F1" w:rsidP="00CC11F1">
      <w:pPr>
        <w:pStyle w:val="ECCFiguretitle"/>
        <w:widowControl w:val="0"/>
        <w:ind w:left="357" w:hanging="357"/>
      </w:pPr>
      <w:bookmarkStart w:id="7" w:name="_Ref116565609"/>
      <w:r w:rsidRPr="00E66AEF">
        <w:t xml:space="preserve">Harmonised frequency arrangement for MFCN </w:t>
      </w:r>
      <w:r w:rsidR="00841856" w:rsidRPr="00E66AEF">
        <w:t xml:space="preserve">TDD </w:t>
      </w:r>
      <w:r w:rsidRPr="00E66AEF">
        <w:t>in the 2300-2400 MHz band</w:t>
      </w:r>
      <w:bookmarkEnd w:id="7"/>
    </w:p>
    <w:p w14:paraId="402F7B7B" w14:textId="31654CA8" w:rsidR="00F430AA" w:rsidRPr="00E66AEF" w:rsidRDefault="00F430AA" w:rsidP="00F430AA">
      <w:pPr>
        <w:pStyle w:val="ECCParagraph"/>
      </w:pPr>
      <w:r w:rsidRPr="00E66AEF">
        <w:t>An operator can aggregate several channels of 5 MHz to obtain a wider channel.</w:t>
      </w:r>
    </w:p>
    <w:p w14:paraId="75499778" w14:textId="64536917" w:rsidR="005A0FAD" w:rsidRPr="00E66AEF" w:rsidRDefault="00F430AA" w:rsidP="00970562">
      <w:pPr>
        <w:pStyle w:val="ECCParagraph"/>
      </w:pPr>
      <w:r w:rsidRPr="00E66AEF">
        <w:t xml:space="preserve">Note: Some administrations may </w:t>
      </w:r>
      <w:r w:rsidR="00C63D29" w:rsidRPr="00E66AEF">
        <w:t xml:space="preserve">choose to </w:t>
      </w:r>
      <w:r w:rsidRPr="00E66AEF">
        <w:t xml:space="preserve">only make part of the frequency band 2300-2400 MHz available to MFCN. See also considering </w:t>
      </w:r>
      <w:r w:rsidR="006E79E4" w:rsidRPr="00E66AEF">
        <w:fldChar w:fldCharType="begin"/>
      </w:r>
      <w:r w:rsidR="006E79E4" w:rsidRPr="00E66AEF">
        <w:instrText xml:space="preserve"> REF _Ref115422533 \n \h </w:instrText>
      </w:r>
      <w:r w:rsidR="006E79E4" w:rsidRPr="00E66AEF">
        <w:fldChar w:fldCharType="separate"/>
      </w:r>
      <w:r w:rsidR="006E79E4" w:rsidRPr="00E66AEF">
        <w:t>q)</w:t>
      </w:r>
      <w:r w:rsidR="006E79E4" w:rsidRPr="00E66AEF">
        <w:fldChar w:fldCharType="end"/>
      </w:r>
      <w:r w:rsidRPr="00E66AEF">
        <w:t>.</w:t>
      </w:r>
    </w:p>
    <w:p w14:paraId="75499779" w14:textId="77777777" w:rsidR="00020F0B" w:rsidRPr="00E66AEF" w:rsidRDefault="00020F0B" w:rsidP="003C77A1">
      <w:pPr>
        <w:pStyle w:val="ECCAnnex-heading1"/>
      </w:pPr>
      <w:bookmarkStart w:id="8" w:name="_Ref115115342"/>
      <w:r w:rsidRPr="00E66AEF">
        <w:lastRenderedPageBreak/>
        <w:t>L</w:t>
      </w:r>
      <w:r w:rsidR="00CC11F1" w:rsidRPr="00E66AEF">
        <w:t xml:space="preserve">east </w:t>
      </w:r>
      <w:r w:rsidRPr="00E66AEF">
        <w:t>R</w:t>
      </w:r>
      <w:r w:rsidR="00CC11F1" w:rsidRPr="00E66AEF">
        <w:t xml:space="preserve">estrictive </w:t>
      </w:r>
      <w:r w:rsidRPr="00E66AEF">
        <w:t>T</w:t>
      </w:r>
      <w:r w:rsidR="00CC11F1" w:rsidRPr="00E66AEF">
        <w:t>echni</w:t>
      </w:r>
      <w:r w:rsidRPr="00E66AEF">
        <w:t>C</w:t>
      </w:r>
      <w:r w:rsidR="00CC11F1" w:rsidRPr="00E66AEF">
        <w:t>al conditions for MFCN in the 2300-2400 MH</w:t>
      </w:r>
      <w:r w:rsidR="00CC11F1" w:rsidRPr="00E66AEF">
        <w:rPr>
          <w:sz w:val="16"/>
        </w:rPr>
        <w:t>Z</w:t>
      </w:r>
      <w:r w:rsidR="00CC11F1" w:rsidRPr="00E66AEF">
        <w:t xml:space="preserve"> band</w:t>
      </w:r>
      <w:bookmarkEnd w:id="8"/>
    </w:p>
    <w:p w14:paraId="4CA0E378" w14:textId="40000F18" w:rsidR="009A4D70" w:rsidRPr="00E66AEF" w:rsidRDefault="002D5D36" w:rsidP="00EA6665">
      <w:pPr>
        <w:pStyle w:val="ECCParagraph"/>
        <w:spacing w:before="240" w:after="60"/>
      </w:pPr>
      <w:r w:rsidRPr="00E66AEF">
        <w:t xml:space="preserve">The least restrictive technical conditions (LRTC) </w:t>
      </w:r>
      <w:r w:rsidR="00B22059" w:rsidRPr="00E66AEF">
        <w:t>defined</w:t>
      </w:r>
      <w:r w:rsidRPr="00E66AEF">
        <w:t xml:space="preserve"> in this annex are in the form of a block-edge mask (BEM) applicable to MFCN as derived from scenarios in ECC Report 203 </w:t>
      </w:r>
      <w:r w:rsidRPr="00E66AEF">
        <w:fldChar w:fldCharType="begin"/>
      </w:r>
      <w:r w:rsidRPr="00E66AEF">
        <w:instrText xml:space="preserve"> REF _Ref377653868 \r \h </w:instrText>
      </w:r>
      <w:r w:rsidR="00614BDB" w:rsidRPr="00E66AEF">
        <w:instrText xml:space="preserve"> \* MERGEFORMAT </w:instrText>
      </w:r>
      <w:r w:rsidRPr="00E66AEF">
        <w:fldChar w:fldCharType="separate"/>
      </w:r>
      <w:r w:rsidR="00AB527D" w:rsidRPr="00E66AEF">
        <w:t>[15]</w:t>
      </w:r>
      <w:r w:rsidRPr="00E66AEF">
        <w:fldChar w:fldCharType="end"/>
      </w:r>
      <w:r w:rsidR="009F1F0D" w:rsidRPr="00E66AEF">
        <w:t xml:space="preserve"> for non-AAS and ECC Report 347 </w:t>
      </w:r>
      <w:r w:rsidR="00AB527D" w:rsidRPr="00E66AEF">
        <w:fldChar w:fldCharType="begin"/>
      </w:r>
      <w:r w:rsidR="00AB527D" w:rsidRPr="00E66AEF">
        <w:instrText xml:space="preserve"> REF _Ref116565103 \r \h </w:instrText>
      </w:r>
      <w:r w:rsidR="00AB527D" w:rsidRPr="00E66AEF">
        <w:fldChar w:fldCharType="separate"/>
      </w:r>
      <w:r w:rsidR="00AB527D" w:rsidRPr="00E66AEF">
        <w:t>[2]</w:t>
      </w:r>
      <w:r w:rsidR="00AB527D" w:rsidRPr="00E66AEF">
        <w:fldChar w:fldCharType="end"/>
      </w:r>
      <w:r w:rsidR="00BE1A78" w:rsidRPr="00E66AEF">
        <w:t xml:space="preserve"> </w:t>
      </w:r>
      <w:r w:rsidR="009F1F0D" w:rsidRPr="00E66AEF">
        <w:t>for AAS</w:t>
      </w:r>
      <w:r w:rsidRPr="00E66AEF">
        <w:t>.</w:t>
      </w:r>
    </w:p>
    <w:p w14:paraId="7549977A" w14:textId="769F4920" w:rsidR="004174E6" w:rsidRPr="00E66AEF" w:rsidRDefault="009A4D70" w:rsidP="00EA6665">
      <w:pPr>
        <w:pStyle w:val="ECCParagraph"/>
        <w:spacing w:before="240" w:after="60"/>
      </w:pPr>
      <w:r w:rsidRPr="00E66AEF">
        <w:t>For non-AAS MFCN base stations, the BEM is expressed in terms of e.i.r.p. limits, and for AAS MFCN base stations, the BEM is expressed in terms of Total Radiated Power (TRP). TRP is defined as the integral of the power radiated by an antenna array system in different directions over the entire radiation sphere. TRP is equal to the total conducted power input into the antenna array system less any losses in the antenna array system.</w:t>
      </w:r>
    </w:p>
    <w:p w14:paraId="7549977B" w14:textId="77777777" w:rsidR="004174E6" w:rsidRPr="00E66AEF" w:rsidRDefault="002D5D36" w:rsidP="00EA6665">
      <w:pPr>
        <w:pStyle w:val="ECCParagraph"/>
        <w:spacing w:before="240" w:after="60"/>
      </w:pPr>
      <w:r w:rsidRPr="00E66AEF">
        <w:t>BEM is related to spectrum licensing and the avoidance of interference between users of spectrum.</w:t>
      </w:r>
      <w:r w:rsidR="004174E6" w:rsidRPr="00E66AEF">
        <w:t xml:space="preserve"> </w:t>
      </w:r>
    </w:p>
    <w:p w14:paraId="7549977C" w14:textId="77777777" w:rsidR="002D5D36" w:rsidRPr="00E66AEF" w:rsidRDefault="002D5D36" w:rsidP="00EA6665">
      <w:pPr>
        <w:pStyle w:val="ECCParagraph"/>
        <w:spacing w:before="240" w:after="60"/>
      </w:pPr>
      <w:r w:rsidRPr="00E66AEF">
        <w:t xml:space="preserve">A BEM is an emission mask that is defined, as a function of frequency, relative to the edge of a block of spectrum that is licensed to an operator. It consists of in-block and out-of-block components which specify the permitted emission levels over frequencies inside and outside the licensed block of spectrum respectively. </w:t>
      </w:r>
    </w:p>
    <w:p w14:paraId="7549977D" w14:textId="77777777" w:rsidR="005822EC" w:rsidRPr="00E66AEF" w:rsidRDefault="002D5D36" w:rsidP="00EA6665">
      <w:pPr>
        <w:pStyle w:val="ECCParagraph"/>
        <w:spacing w:before="240" w:after="60"/>
      </w:pPr>
      <w:r w:rsidRPr="00E66AEF">
        <w:t xml:space="preserve">The BEM </w:t>
      </w:r>
      <w:r w:rsidR="00B22059" w:rsidRPr="00E66AEF">
        <w:t>has</w:t>
      </w:r>
      <w:r w:rsidRPr="00E66AEF">
        <w:t xml:space="preserve"> been derived</w:t>
      </w:r>
      <w:r w:rsidR="005822EC" w:rsidRPr="00E66AEF">
        <w:t>:</w:t>
      </w:r>
    </w:p>
    <w:p w14:paraId="7549977E" w14:textId="2A464968" w:rsidR="005546EA" w:rsidRPr="00E66AEF" w:rsidRDefault="00FA0038" w:rsidP="00EA6665">
      <w:pPr>
        <w:pStyle w:val="ECCParBulleted"/>
        <w:spacing w:before="60" w:after="60"/>
      </w:pPr>
      <w:r w:rsidRPr="00E66AEF">
        <w:t xml:space="preserve">to allow </w:t>
      </w:r>
      <w:r w:rsidR="002D5D36" w:rsidRPr="00E66AEF">
        <w:t>coexistence between MFCN applications in the 2300-2400 MHz band and to apply to the harmoni</w:t>
      </w:r>
      <w:r w:rsidR="00B02BF7" w:rsidRPr="00E66AEF">
        <w:t>s</w:t>
      </w:r>
      <w:r w:rsidR="002D5D36" w:rsidRPr="00E66AEF">
        <w:t xml:space="preserve">ed frequency arrangement as described in </w:t>
      </w:r>
      <w:r w:rsidR="00FC6FC0" w:rsidRPr="00E66AEF">
        <w:fldChar w:fldCharType="begin"/>
      </w:r>
      <w:r w:rsidR="00FC6FC0" w:rsidRPr="00E66AEF">
        <w:instrText xml:space="preserve"> REF _Ref115115337 \n \h </w:instrText>
      </w:r>
      <w:r w:rsidR="00614BDB" w:rsidRPr="00E66AEF">
        <w:instrText xml:space="preserve"> \* MERGEFORMAT </w:instrText>
      </w:r>
      <w:r w:rsidR="00FC6FC0" w:rsidRPr="00E66AEF">
        <w:fldChar w:fldCharType="separate"/>
      </w:r>
      <w:r w:rsidR="00FC6FC0" w:rsidRPr="00E66AEF">
        <w:t>ANNEX 1</w:t>
      </w:r>
      <w:r w:rsidR="00FC6FC0" w:rsidRPr="00E66AEF">
        <w:fldChar w:fldCharType="end"/>
      </w:r>
      <w:r w:rsidR="005546EA" w:rsidRPr="00E66AEF">
        <w:t>;</w:t>
      </w:r>
    </w:p>
    <w:p w14:paraId="7549977F" w14:textId="657ADF1D" w:rsidR="002D5D36" w:rsidRPr="00E66AEF" w:rsidRDefault="00FC6FC0" w:rsidP="00EA6665">
      <w:pPr>
        <w:pStyle w:val="ECCParBulleted"/>
        <w:spacing w:before="60" w:after="60"/>
      </w:pPr>
      <w:r w:rsidRPr="00E66AEF">
        <w:t xml:space="preserve">to </w:t>
      </w:r>
      <w:r w:rsidR="005546EA" w:rsidRPr="00E66AEF">
        <w:t xml:space="preserve">ensure coexistence with the </w:t>
      </w:r>
      <w:r w:rsidR="00F70C94" w:rsidRPr="00E66AEF">
        <w:t xml:space="preserve">systems </w:t>
      </w:r>
      <w:r w:rsidR="005546EA" w:rsidRPr="00E66AEF">
        <w:t>above 2400 MHz</w:t>
      </w:r>
      <w:r w:rsidR="002D5D36" w:rsidRPr="00E66AEF">
        <w:t xml:space="preserve">. </w:t>
      </w:r>
    </w:p>
    <w:p w14:paraId="75499781" w14:textId="11A2409D" w:rsidR="005546EA" w:rsidRPr="00E66AEF" w:rsidRDefault="002D5D36" w:rsidP="00EA6665">
      <w:pPr>
        <w:pStyle w:val="ECCParagraph"/>
        <w:spacing w:before="240" w:after="60"/>
      </w:pPr>
      <w:r w:rsidRPr="00E66AEF">
        <w:t xml:space="preserve">The derived BEM does not take into account coexistence with adjacent services below 2300 MHz for which general guidance is provided in ECC Report 172 </w:t>
      </w:r>
      <w:r w:rsidRPr="00E66AEF">
        <w:fldChar w:fldCharType="begin"/>
      </w:r>
      <w:r w:rsidRPr="00E66AEF">
        <w:instrText xml:space="preserve"> REF _Ref377653985 \r \h </w:instrText>
      </w:r>
      <w:r w:rsidR="003259A7" w:rsidRPr="00E66AEF">
        <w:instrText xml:space="preserve"> \* MERGEFORMAT </w:instrText>
      </w:r>
      <w:r w:rsidRPr="00E66AEF">
        <w:fldChar w:fldCharType="separate"/>
      </w:r>
      <w:r w:rsidR="000A7649" w:rsidRPr="00E66AEF">
        <w:t>[5]</w:t>
      </w:r>
      <w:r w:rsidRPr="00E66AEF">
        <w:fldChar w:fldCharType="end"/>
      </w:r>
      <w:r w:rsidR="00F63CF2" w:rsidRPr="00E66AEF">
        <w:t xml:space="preserve"> and in ECC Report 347 </w:t>
      </w:r>
      <w:r w:rsidR="00F63CF2" w:rsidRPr="00E66AEF">
        <w:fldChar w:fldCharType="begin"/>
      </w:r>
      <w:r w:rsidR="00F63CF2" w:rsidRPr="00E66AEF">
        <w:instrText xml:space="preserve"> REF _Ref116565103 \r \h </w:instrText>
      </w:r>
      <w:r w:rsidR="00F63CF2" w:rsidRPr="00E66AEF">
        <w:fldChar w:fldCharType="separate"/>
      </w:r>
      <w:r w:rsidR="00F63CF2" w:rsidRPr="00E66AEF">
        <w:t>[2]</w:t>
      </w:r>
      <w:r w:rsidR="00F63CF2" w:rsidRPr="00E66AEF">
        <w:fldChar w:fldCharType="end"/>
      </w:r>
      <w:r w:rsidRPr="00E66AEF">
        <w:t xml:space="preserve">. </w:t>
      </w:r>
    </w:p>
    <w:p w14:paraId="75499782" w14:textId="18958AD9" w:rsidR="005546EA" w:rsidRPr="00E66AEF" w:rsidRDefault="002D5D36" w:rsidP="00EA6665">
      <w:pPr>
        <w:pStyle w:val="ECCParagraph"/>
        <w:spacing w:before="240" w:after="60"/>
      </w:pPr>
      <w:r w:rsidRPr="00E66AEF">
        <w:t xml:space="preserve">The derived BEM does also not take into account coexistence with other incumbent services inside the band 2300-2400 MHz. Coexistence with incumbent services is handled in </w:t>
      </w:r>
      <w:r w:rsidR="00FC6FC0" w:rsidRPr="00E66AEF">
        <w:fldChar w:fldCharType="begin"/>
      </w:r>
      <w:r w:rsidR="00FC6FC0" w:rsidRPr="00E66AEF">
        <w:instrText xml:space="preserve"> REF _Ref115115354 \n \h </w:instrText>
      </w:r>
      <w:r w:rsidR="00614BDB" w:rsidRPr="00E66AEF">
        <w:instrText xml:space="preserve"> \* MERGEFORMAT </w:instrText>
      </w:r>
      <w:r w:rsidR="00FC6FC0" w:rsidRPr="00E66AEF">
        <w:fldChar w:fldCharType="separate"/>
      </w:r>
      <w:r w:rsidR="00FC6FC0" w:rsidRPr="00E66AEF">
        <w:t>ANNEX 3</w:t>
      </w:r>
      <w:r w:rsidR="00FC6FC0" w:rsidRPr="00E66AEF">
        <w:fldChar w:fldCharType="end"/>
      </w:r>
      <w:r w:rsidRPr="00E66AEF">
        <w:t xml:space="preserve">. </w:t>
      </w:r>
    </w:p>
    <w:p w14:paraId="75499783" w14:textId="77777777" w:rsidR="002D5D36" w:rsidRPr="00E66AEF" w:rsidRDefault="002D5D36" w:rsidP="00EA6665">
      <w:pPr>
        <w:pStyle w:val="ECCParagraph"/>
        <w:spacing w:before="240" w:after="60"/>
      </w:pPr>
      <w:r w:rsidRPr="00E66AEF">
        <w:t xml:space="preserve">In addition to the BEM, further requirements may be needed in such instances. This can be done at a national level or through cross-border coordination developed by bilateral or multilateral agreements. </w:t>
      </w:r>
    </w:p>
    <w:p w14:paraId="75499784" w14:textId="77777777" w:rsidR="002D5D36" w:rsidRPr="00E66AEF" w:rsidRDefault="00FD50DF" w:rsidP="00EA6665">
      <w:pPr>
        <w:pStyle w:val="ECCParagraph"/>
        <w:spacing w:before="240" w:after="60"/>
      </w:pPr>
      <w:r w:rsidRPr="00E66AEF">
        <w:t xml:space="preserve">The derived </w:t>
      </w:r>
      <w:r w:rsidR="002D5D36" w:rsidRPr="00E66AEF">
        <w:t xml:space="preserve">BEM shall be applied as an essential component of the technical conditions necessary to ensure coexistence between services at a national level. However, it should be understood that the derived BEM does not always provide the required level of protection of victim services and additional mitigation techniques would need to be applied in order to resolve any remaining cases of interference. </w:t>
      </w:r>
    </w:p>
    <w:p w14:paraId="75499785" w14:textId="77777777" w:rsidR="002D5D36" w:rsidRPr="00E66AEF" w:rsidRDefault="002D5D36" w:rsidP="00EA6665">
      <w:pPr>
        <w:pStyle w:val="ECCParagraph"/>
        <w:spacing w:before="240" w:after="60"/>
      </w:pPr>
      <w:r w:rsidRPr="00E66AEF">
        <w:t xml:space="preserve">Operators of MFCN in the 2300-2400 MHz band may agree, on a bilateral or multilateral basis, on less stringent technical parameters providing that they continue to comply with the technical conditions applicable for the protection of other services, applications or networks and with their cross-border obligations. </w:t>
      </w:r>
    </w:p>
    <w:p w14:paraId="75499786" w14:textId="77777777" w:rsidR="005673A4" w:rsidRPr="00E66AEF" w:rsidRDefault="004301F1" w:rsidP="00EA6665">
      <w:pPr>
        <w:pStyle w:val="ECCParagraph"/>
        <w:spacing w:before="240" w:after="60"/>
        <w:rPr>
          <w:b/>
        </w:rPr>
      </w:pPr>
      <w:r w:rsidRPr="00E66AEF">
        <w:t>The term block edge refers to the frequency boundary of spectrum licensed to a mobile/fixed communications networks operator.</w:t>
      </w:r>
      <w:r w:rsidR="002D5D36" w:rsidRPr="00E66AEF">
        <w:t xml:space="preserve"> The term band edge refers to the boundary of a range of frequencies allocated for a certain use (e.g. 2300 MHz is the lower band edge for MFCN).</w:t>
      </w:r>
    </w:p>
    <w:p w14:paraId="75499787" w14:textId="5BE2B66B" w:rsidR="005673A4" w:rsidRPr="00E66AEF" w:rsidRDefault="005673A4" w:rsidP="005673A4">
      <w:pPr>
        <w:pStyle w:val="ECCAnnexheading2"/>
        <w:rPr>
          <w:lang w:val="en-GB"/>
        </w:rPr>
      </w:pPr>
      <w:r w:rsidRPr="00E66AEF">
        <w:rPr>
          <w:lang w:val="en-GB"/>
        </w:rPr>
        <w:t xml:space="preserve">Technical conditions for MFCN base </w:t>
      </w:r>
      <w:r w:rsidR="00A87602" w:rsidRPr="00E66AEF">
        <w:rPr>
          <w:lang w:val="en-GB"/>
        </w:rPr>
        <w:t>stations (TDD)</w:t>
      </w:r>
    </w:p>
    <w:p w14:paraId="75499788" w14:textId="77777777" w:rsidR="002D5D36" w:rsidRPr="00E66AEF" w:rsidRDefault="002D5D36" w:rsidP="00881316">
      <w:pPr>
        <w:pStyle w:val="ECCParagraph"/>
        <w:spacing w:before="240" w:after="60"/>
        <w:rPr>
          <w:rFonts w:cs="Arial"/>
          <w:szCs w:val="20"/>
        </w:rPr>
      </w:pPr>
      <w:r w:rsidRPr="00E66AEF">
        <w:rPr>
          <w:rFonts w:cs="Arial"/>
          <w:szCs w:val="20"/>
        </w:rPr>
        <w:t xml:space="preserve">Technical conditions are applicable to MFCN base stations (BS) with different power levels (macro, micro, </w:t>
      </w:r>
      <w:proofErr w:type="spellStart"/>
      <w:r w:rsidRPr="00E66AEF">
        <w:rPr>
          <w:rFonts w:cs="Arial"/>
          <w:szCs w:val="20"/>
        </w:rPr>
        <w:t>pico</w:t>
      </w:r>
      <w:proofErr w:type="spellEnd"/>
      <w:r w:rsidRPr="00E66AEF">
        <w:rPr>
          <w:rFonts w:cs="Arial"/>
          <w:szCs w:val="20"/>
        </w:rPr>
        <w:t xml:space="preserve"> and </w:t>
      </w:r>
      <w:proofErr w:type="spellStart"/>
      <w:r w:rsidRPr="00E66AEF">
        <w:rPr>
          <w:rFonts w:cs="Arial"/>
          <w:szCs w:val="20"/>
        </w:rPr>
        <w:t>femto</w:t>
      </w:r>
      <w:proofErr w:type="spellEnd"/>
      <w:r w:rsidRPr="00E66AEF">
        <w:rPr>
          <w:rFonts w:cs="Arial"/>
          <w:szCs w:val="20"/>
        </w:rPr>
        <w:t xml:space="preserve"> BS). </w:t>
      </w:r>
    </w:p>
    <w:p w14:paraId="75499789" w14:textId="77777777" w:rsidR="002D5D36" w:rsidRPr="00E66AEF" w:rsidRDefault="002D5D36" w:rsidP="00881316">
      <w:pPr>
        <w:spacing w:before="240" w:after="60"/>
        <w:jc w:val="both"/>
        <w:rPr>
          <w:rFonts w:cs="Arial"/>
          <w:szCs w:val="20"/>
          <w:lang w:val="en-GB"/>
        </w:rPr>
      </w:pPr>
      <w:r w:rsidRPr="00E66AEF">
        <w:rPr>
          <w:rFonts w:cs="Arial"/>
          <w:szCs w:val="20"/>
          <w:lang w:val="en-GB"/>
        </w:rPr>
        <w:t>To obtain a BEM for a specific block, the BEM elements that are defined in Table 1 are used as follows:</w:t>
      </w:r>
    </w:p>
    <w:p w14:paraId="7549978A" w14:textId="77777777" w:rsidR="002D5D36" w:rsidRPr="00E66AEF" w:rsidRDefault="002D5D36">
      <w:pPr>
        <w:pStyle w:val="ListParagraph"/>
        <w:numPr>
          <w:ilvl w:val="0"/>
          <w:numId w:val="17"/>
        </w:numPr>
        <w:suppressAutoHyphens/>
        <w:spacing w:before="60" w:after="60"/>
        <w:ind w:left="426" w:hanging="426"/>
        <w:jc w:val="both"/>
        <w:rPr>
          <w:rFonts w:ascii="Arial" w:hAnsi="Arial" w:cs="Arial"/>
          <w:sz w:val="20"/>
          <w:szCs w:val="20"/>
          <w:lang w:val="en-GB"/>
        </w:rPr>
      </w:pPr>
      <w:r w:rsidRPr="00E66AEF">
        <w:rPr>
          <w:rFonts w:ascii="Arial" w:hAnsi="Arial" w:cs="Arial"/>
          <w:sz w:val="20"/>
          <w:szCs w:val="20"/>
          <w:lang w:val="en-GB"/>
        </w:rPr>
        <w:t>In-block power limit is used for the block assigned to the operator</w:t>
      </w:r>
      <w:r w:rsidR="00B02BF7" w:rsidRPr="00E66AEF">
        <w:rPr>
          <w:rFonts w:ascii="Arial" w:hAnsi="Arial" w:cs="Arial"/>
          <w:sz w:val="20"/>
          <w:szCs w:val="20"/>
          <w:lang w:val="en-GB"/>
        </w:rPr>
        <w:t>;</w:t>
      </w:r>
    </w:p>
    <w:p w14:paraId="7549978B" w14:textId="77777777" w:rsidR="002D5D36" w:rsidRPr="00E66AEF" w:rsidRDefault="002D5D36">
      <w:pPr>
        <w:pStyle w:val="ListParagraph"/>
        <w:numPr>
          <w:ilvl w:val="0"/>
          <w:numId w:val="17"/>
        </w:numPr>
        <w:suppressAutoHyphens/>
        <w:spacing w:before="60" w:after="60"/>
        <w:ind w:left="426" w:hanging="426"/>
        <w:jc w:val="both"/>
        <w:rPr>
          <w:rFonts w:ascii="Arial" w:hAnsi="Arial" w:cs="Arial"/>
          <w:sz w:val="20"/>
          <w:szCs w:val="20"/>
          <w:lang w:val="en-GB"/>
        </w:rPr>
      </w:pPr>
      <w:r w:rsidRPr="00E66AEF">
        <w:rPr>
          <w:rFonts w:ascii="Arial" w:hAnsi="Arial" w:cs="Arial"/>
          <w:sz w:val="20"/>
          <w:szCs w:val="20"/>
          <w:lang w:val="en-GB"/>
        </w:rPr>
        <w:t>Transitional regions are determined, and corresponding power limits are used</w:t>
      </w:r>
      <w:r w:rsidR="00B02BF7" w:rsidRPr="00E66AEF">
        <w:rPr>
          <w:rFonts w:ascii="Arial" w:hAnsi="Arial" w:cs="Arial"/>
          <w:sz w:val="20"/>
          <w:szCs w:val="20"/>
          <w:lang w:val="en-GB"/>
        </w:rPr>
        <w:t>;</w:t>
      </w:r>
    </w:p>
    <w:p w14:paraId="7549978C" w14:textId="72987167" w:rsidR="002D5D36" w:rsidRPr="00E66AEF" w:rsidRDefault="002D5D36">
      <w:pPr>
        <w:pStyle w:val="ListParagraph"/>
        <w:numPr>
          <w:ilvl w:val="0"/>
          <w:numId w:val="17"/>
        </w:numPr>
        <w:suppressAutoHyphens/>
        <w:spacing w:before="60" w:after="60"/>
        <w:ind w:left="426" w:hanging="426"/>
        <w:jc w:val="both"/>
        <w:rPr>
          <w:rFonts w:ascii="Arial" w:hAnsi="Arial" w:cs="Arial"/>
          <w:sz w:val="20"/>
          <w:szCs w:val="20"/>
          <w:lang w:val="en-GB"/>
        </w:rPr>
      </w:pPr>
      <w:r w:rsidRPr="00E66AEF">
        <w:rPr>
          <w:rFonts w:ascii="Arial" w:hAnsi="Arial" w:cs="Arial"/>
          <w:sz w:val="20"/>
          <w:szCs w:val="20"/>
          <w:lang w:val="en-GB"/>
        </w:rPr>
        <w:t>For remaining spectrum assigned to MFCN TDD, baseline power limits are used.</w:t>
      </w:r>
    </w:p>
    <w:p w14:paraId="7549978D" w14:textId="2DE2619E" w:rsidR="002D5D36" w:rsidRPr="00E66AEF" w:rsidRDefault="002D5D36" w:rsidP="00A05E09">
      <w:pPr>
        <w:pStyle w:val="ECCTabletitle"/>
        <w:rPr>
          <w:rFonts w:eastAsia="Batang"/>
        </w:rPr>
      </w:pPr>
      <w:r w:rsidRPr="00E66AEF">
        <w:rPr>
          <w:rFonts w:eastAsia="Batang"/>
        </w:rPr>
        <w:lastRenderedPageBreak/>
        <w:t>BEM elements for MFCN Base stations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08"/>
        <w:gridCol w:w="7726"/>
      </w:tblGrid>
      <w:tr w:rsidR="002D5D36" w:rsidRPr="00E66AEF" w14:paraId="7549978F" w14:textId="77777777" w:rsidTr="00637FB1">
        <w:trPr>
          <w:trHeight w:val="266"/>
          <w:tblHeader/>
        </w:trPr>
        <w:tc>
          <w:tcPr>
            <w:tcW w:w="5000" w:type="pct"/>
            <w:gridSpan w:val="2"/>
            <w:tcBorders>
              <w:top w:val="single" w:sz="4" w:space="0" w:color="D2232A"/>
              <w:left w:val="single" w:sz="4" w:space="0" w:color="D2232A"/>
              <w:bottom w:val="single" w:sz="4" w:space="0" w:color="D2232A"/>
              <w:right w:val="nil"/>
            </w:tcBorders>
            <w:shd w:val="clear" w:color="auto" w:fill="D2232A"/>
          </w:tcPr>
          <w:p w14:paraId="7549978E" w14:textId="77777777" w:rsidR="002D5D36" w:rsidRPr="00E66AEF" w:rsidRDefault="002D5D36" w:rsidP="00A135D2">
            <w:pPr>
              <w:keepNext/>
              <w:spacing w:before="120" w:after="120" w:line="288" w:lineRule="auto"/>
              <w:jc w:val="center"/>
              <w:rPr>
                <w:b/>
                <w:color w:val="FFFFFF"/>
                <w:lang w:val="en-GB"/>
              </w:rPr>
            </w:pPr>
            <w:r w:rsidRPr="00E66AEF">
              <w:rPr>
                <w:b/>
                <w:color w:val="FFFFFF"/>
                <w:lang w:val="en-GB"/>
              </w:rPr>
              <w:t>BEM element</w:t>
            </w:r>
          </w:p>
        </w:tc>
      </w:tr>
      <w:tr w:rsidR="002D5D36" w:rsidRPr="00E66AEF" w14:paraId="75499792" w14:textId="77777777" w:rsidTr="00395A80">
        <w:tc>
          <w:tcPr>
            <w:tcW w:w="990" w:type="pct"/>
            <w:tcBorders>
              <w:top w:val="single" w:sz="4" w:space="0" w:color="D2232A"/>
              <w:left w:val="single" w:sz="4" w:space="0" w:color="D2232A"/>
              <w:bottom w:val="single" w:sz="4" w:space="0" w:color="D2232A"/>
              <w:right w:val="single" w:sz="4" w:space="0" w:color="D2232A"/>
            </w:tcBorders>
          </w:tcPr>
          <w:p w14:paraId="75499790" w14:textId="77777777" w:rsidR="002D5D36" w:rsidRPr="00E66AEF" w:rsidRDefault="002D5D36" w:rsidP="00A135D2">
            <w:pPr>
              <w:pStyle w:val="ECCTabletext"/>
              <w:spacing w:before="60"/>
            </w:pPr>
            <w:r w:rsidRPr="00E66AEF">
              <w:t>In-block</w:t>
            </w:r>
          </w:p>
        </w:tc>
        <w:tc>
          <w:tcPr>
            <w:tcW w:w="4010" w:type="pct"/>
            <w:tcBorders>
              <w:top w:val="single" w:sz="4" w:space="0" w:color="D2232A"/>
              <w:left w:val="single" w:sz="4" w:space="0" w:color="D2232A"/>
              <w:bottom w:val="single" w:sz="4" w:space="0" w:color="D2232A"/>
              <w:right w:val="single" w:sz="4" w:space="0" w:color="D2232A"/>
            </w:tcBorders>
          </w:tcPr>
          <w:p w14:paraId="75499791" w14:textId="77777777" w:rsidR="002D5D36" w:rsidRPr="00E66AEF" w:rsidRDefault="002D5D36" w:rsidP="00A135D2">
            <w:pPr>
              <w:pStyle w:val="ECCTabletext"/>
              <w:spacing w:before="60"/>
            </w:pPr>
            <w:r w:rsidRPr="00E66AEF">
              <w:t>Block for which the BEM is derived.</w:t>
            </w:r>
          </w:p>
        </w:tc>
      </w:tr>
      <w:tr w:rsidR="002D5D36" w:rsidRPr="00E66AEF" w14:paraId="75499795" w14:textId="77777777" w:rsidTr="00395A80">
        <w:tc>
          <w:tcPr>
            <w:tcW w:w="990" w:type="pct"/>
            <w:tcBorders>
              <w:top w:val="single" w:sz="4" w:space="0" w:color="D2232A"/>
              <w:left w:val="single" w:sz="4" w:space="0" w:color="D2232A"/>
              <w:bottom w:val="single" w:sz="4" w:space="0" w:color="D2232A"/>
              <w:right w:val="single" w:sz="4" w:space="0" w:color="D2232A"/>
            </w:tcBorders>
          </w:tcPr>
          <w:p w14:paraId="75499793" w14:textId="77777777" w:rsidR="002D5D36" w:rsidRPr="00E66AEF" w:rsidRDefault="002D5D36" w:rsidP="00A135D2">
            <w:pPr>
              <w:pStyle w:val="ECCTabletext"/>
              <w:spacing w:before="60"/>
            </w:pPr>
            <w:r w:rsidRPr="00E66AEF">
              <w:t>Baseline</w:t>
            </w:r>
          </w:p>
        </w:tc>
        <w:tc>
          <w:tcPr>
            <w:tcW w:w="4010" w:type="pct"/>
            <w:tcBorders>
              <w:top w:val="single" w:sz="4" w:space="0" w:color="D2232A"/>
              <w:left w:val="single" w:sz="4" w:space="0" w:color="D2232A"/>
              <w:bottom w:val="single" w:sz="4" w:space="0" w:color="D2232A"/>
              <w:right w:val="single" w:sz="4" w:space="0" w:color="D2232A"/>
            </w:tcBorders>
          </w:tcPr>
          <w:p w14:paraId="75499794" w14:textId="77777777" w:rsidR="002D5D36" w:rsidRPr="00E66AEF" w:rsidRDefault="002D5D36" w:rsidP="00A135D2">
            <w:pPr>
              <w:pStyle w:val="ECCTabletext"/>
              <w:spacing w:before="60"/>
            </w:pPr>
            <w:r w:rsidRPr="00E66AEF">
              <w:t>Spectrum used for TDD, except from the operator block in question and any corresponding transitional regions</w:t>
            </w:r>
            <w:r w:rsidR="008851F8" w:rsidRPr="00E66AEF">
              <w:rPr>
                <w:rStyle w:val="FootnoteReference"/>
                <w:rFonts w:cs="Arial"/>
              </w:rPr>
              <w:footnoteReference w:id="5"/>
            </w:r>
            <w:r w:rsidRPr="00E66AEF">
              <w:t>.</w:t>
            </w:r>
          </w:p>
        </w:tc>
      </w:tr>
      <w:tr w:rsidR="00132E02" w:rsidRPr="00E66AEF" w14:paraId="7549979B" w14:textId="77777777" w:rsidTr="00395A80">
        <w:tc>
          <w:tcPr>
            <w:tcW w:w="990" w:type="pct"/>
            <w:tcBorders>
              <w:top w:val="single" w:sz="4" w:space="0" w:color="D2232A"/>
              <w:left w:val="single" w:sz="4" w:space="0" w:color="D2232A"/>
              <w:bottom w:val="single" w:sz="4" w:space="0" w:color="D2232A"/>
              <w:right w:val="single" w:sz="4" w:space="0" w:color="D2232A"/>
            </w:tcBorders>
          </w:tcPr>
          <w:p w14:paraId="75499796" w14:textId="77777777" w:rsidR="00132E02" w:rsidRPr="00E66AEF" w:rsidRDefault="00132E02" w:rsidP="00A135D2">
            <w:pPr>
              <w:pStyle w:val="ECCTabletext"/>
              <w:spacing w:before="60"/>
            </w:pPr>
            <w:r w:rsidRPr="00E66AEF">
              <w:t>Transitional region</w:t>
            </w:r>
          </w:p>
        </w:tc>
        <w:tc>
          <w:tcPr>
            <w:tcW w:w="4010" w:type="pct"/>
            <w:tcBorders>
              <w:top w:val="single" w:sz="4" w:space="0" w:color="D2232A"/>
              <w:left w:val="single" w:sz="4" w:space="0" w:color="D2232A"/>
              <w:bottom w:val="single" w:sz="4" w:space="0" w:color="D2232A"/>
              <w:right w:val="single" w:sz="4" w:space="0" w:color="D2232A"/>
            </w:tcBorders>
          </w:tcPr>
          <w:p w14:paraId="75499797" w14:textId="77777777" w:rsidR="00132E02" w:rsidRPr="00E66AEF" w:rsidRDefault="00132E02" w:rsidP="00A135D2">
            <w:pPr>
              <w:pStyle w:val="ECCTabletext"/>
              <w:spacing w:before="60"/>
              <w:rPr>
                <w:rFonts w:eastAsia="MS Mincho"/>
              </w:rPr>
            </w:pPr>
            <w:r w:rsidRPr="00E66AEF">
              <w:rPr>
                <w:rFonts w:eastAsia="MS Mincho"/>
              </w:rPr>
              <w:t xml:space="preserve">Transitional regions apply for unwanted emissions into adjacent TDD blocks allocated to other operators if networks are synchronised. </w:t>
            </w:r>
          </w:p>
          <w:p w14:paraId="75499798" w14:textId="77777777" w:rsidR="00132E02" w:rsidRPr="00E66AEF" w:rsidRDefault="00132E02" w:rsidP="00A135D2">
            <w:pPr>
              <w:pStyle w:val="ECCTabletext"/>
              <w:spacing w:before="60"/>
              <w:rPr>
                <w:rFonts w:eastAsia="MS Mincho"/>
              </w:rPr>
            </w:pPr>
            <w:r w:rsidRPr="00E66AEF">
              <w:rPr>
                <w:rFonts w:eastAsia="MS Mincho"/>
              </w:rPr>
              <w:t>They also apply in-between TDD blocks with a frequency separation of 5 or 10 MHz</w:t>
            </w:r>
            <w:r w:rsidR="00986814" w:rsidRPr="00E66AEF">
              <w:rPr>
                <w:rFonts w:eastAsia="MS Mincho"/>
              </w:rPr>
              <w:t xml:space="preserve"> between each block edge</w:t>
            </w:r>
            <w:r w:rsidRPr="00E66AEF">
              <w:rPr>
                <w:rFonts w:eastAsia="MS Mincho"/>
              </w:rPr>
              <w:t>.</w:t>
            </w:r>
          </w:p>
          <w:p w14:paraId="75499799" w14:textId="77777777" w:rsidR="00132E02" w:rsidRPr="00E66AEF" w:rsidRDefault="00132E02" w:rsidP="00A135D2">
            <w:pPr>
              <w:pStyle w:val="ECCTabletext"/>
              <w:spacing w:before="60"/>
              <w:rPr>
                <w:rFonts w:eastAsia="MS Mincho"/>
              </w:rPr>
            </w:pPr>
            <w:r w:rsidRPr="00E66AEF">
              <w:rPr>
                <w:rFonts w:eastAsia="MS Mincho"/>
              </w:rPr>
              <w:t xml:space="preserve">For immediately adjacent unsynchronised TDD networks, there is no transitional </w:t>
            </w:r>
            <w:proofErr w:type="gramStart"/>
            <w:r w:rsidRPr="00E66AEF">
              <w:rPr>
                <w:rFonts w:eastAsia="MS Mincho"/>
              </w:rPr>
              <w:t>region</w:t>
            </w:r>
            <w:proofErr w:type="gramEnd"/>
            <w:r w:rsidRPr="00E66AEF">
              <w:rPr>
                <w:rFonts w:eastAsia="MS Mincho"/>
              </w:rPr>
              <w:t xml:space="preserve"> and the baseline levels apply outside the allocated block. </w:t>
            </w:r>
          </w:p>
          <w:p w14:paraId="7549979A" w14:textId="77777777" w:rsidR="00132E02" w:rsidRPr="00E66AEF" w:rsidRDefault="00037A92" w:rsidP="00A135D2">
            <w:pPr>
              <w:pStyle w:val="ECCTabletext"/>
              <w:spacing w:before="60"/>
            </w:pPr>
            <w:r w:rsidRPr="00E66AEF">
              <w:rPr>
                <w:rFonts w:eastAsia="MS Mincho"/>
              </w:rPr>
              <w:t>The transitional regions do not apply below 2300 MHz or above 2400 MHz.</w:t>
            </w:r>
          </w:p>
        </w:tc>
      </w:tr>
    </w:tbl>
    <w:p w14:paraId="7549979D" w14:textId="07597C18" w:rsidR="002D5D36" w:rsidRPr="00E66AEF" w:rsidRDefault="002D5D36" w:rsidP="00F44F2F">
      <w:pPr>
        <w:pStyle w:val="ECCParagraph"/>
        <w:spacing w:before="240" w:after="60"/>
      </w:pPr>
      <w:r w:rsidRPr="00E66AEF">
        <w:t>Synchronised operation</w:t>
      </w:r>
      <w:r w:rsidRPr="00E66AEF">
        <w:rPr>
          <w:rStyle w:val="FootnoteReference"/>
          <w:rFonts w:cs="Arial"/>
        </w:rPr>
        <w:footnoteReference w:id="6"/>
      </w:r>
      <w:r w:rsidRPr="00E66AEF">
        <w:t xml:space="preserve"> as referred in the table above means “operation of TDD in two different systems, where no simultaneous uplink and downlink </w:t>
      </w:r>
      <w:r w:rsidR="007C0EB0" w:rsidRPr="00E66AEF">
        <w:t>transmission</w:t>
      </w:r>
      <w:r w:rsidR="00AF6F55" w:rsidRPr="00E66AEF">
        <w:t>s</w:t>
      </w:r>
      <w:r w:rsidR="007C0EB0" w:rsidRPr="00E66AEF">
        <w:t xml:space="preserve"> </w:t>
      </w:r>
      <w:r w:rsidRPr="00E66AEF">
        <w:t xml:space="preserve">occur”, as defined by </w:t>
      </w:r>
      <w:r w:rsidR="00637E4C" w:rsidRPr="00E66AEF">
        <w:t xml:space="preserve">ETSI </w:t>
      </w:r>
      <w:r w:rsidRPr="00E66AEF">
        <w:t xml:space="preserve">in TS </w:t>
      </w:r>
      <w:r w:rsidR="00637E4C" w:rsidRPr="00E66AEF">
        <w:t>1</w:t>
      </w:r>
      <w:r w:rsidRPr="00E66AEF">
        <w:t>37</w:t>
      </w:r>
      <w:r w:rsidR="00BF2113" w:rsidRPr="00E66AEF">
        <w:t xml:space="preserve"> </w:t>
      </w:r>
      <w:r w:rsidRPr="00E66AEF">
        <w:t xml:space="preserve">104 section 3.1 </w:t>
      </w:r>
      <w:r w:rsidR="00C45550" w:rsidRPr="00E66AEF">
        <w:fldChar w:fldCharType="begin"/>
      </w:r>
      <w:r w:rsidR="00C45550" w:rsidRPr="00E66AEF">
        <w:instrText xml:space="preserve"> REF _Ref377657749 \r \h </w:instrText>
      </w:r>
      <w:r w:rsidR="00AF0E96" w:rsidRPr="00E66AEF">
        <w:instrText xml:space="preserve"> \* MERGEFORMAT </w:instrText>
      </w:r>
      <w:r w:rsidR="00C45550" w:rsidRPr="00E66AEF">
        <w:fldChar w:fldCharType="separate"/>
      </w:r>
      <w:r w:rsidR="00B05BA4" w:rsidRPr="00E66AEF">
        <w:t>[16]</w:t>
      </w:r>
      <w:r w:rsidR="00C45550" w:rsidRPr="00E66AEF">
        <w:fldChar w:fldCharType="end"/>
      </w:r>
      <w:r w:rsidR="00C45550" w:rsidRPr="00E66AEF">
        <w:t xml:space="preserve"> </w:t>
      </w:r>
      <w:r w:rsidRPr="00E66AEF">
        <w:t xml:space="preserve">(see also ECC Report </w:t>
      </w:r>
      <w:r w:rsidR="00481EA8" w:rsidRPr="00E66AEF">
        <w:t xml:space="preserve">216 </w:t>
      </w:r>
      <w:r w:rsidR="00B02BF7" w:rsidRPr="00E66AEF">
        <w:t>on ‘Practical guidance for TDD networks synchronisation’</w:t>
      </w:r>
      <w:r w:rsidR="005F014F" w:rsidRPr="00E66AEF">
        <w:t xml:space="preserve"> </w:t>
      </w:r>
      <w:r w:rsidR="00045EBC" w:rsidRPr="00E66AEF">
        <w:fldChar w:fldCharType="begin"/>
      </w:r>
      <w:r w:rsidR="00045EBC" w:rsidRPr="00E66AEF">
        <w:instrText xml:space="preserve"> REF _Ref116565378 \r \h </w:instrText>
      </w:r>
      <w:r w:rsidR="00045EBC" w:rsidRPr="00E66AEF">
        <w:fldChar w:fldCharType="separate"/>
      </w:r>
      <w:r w:rsidR="00045EBC" w:rsidRPr="00E66AEF">
        <w:t>[11]</w:t>
      </w:r>
      <w:r w:rsidR="00045EBC" w:rsidRPr="00E66AEF">
        <w:fldChar w:fldCharType="end"/>
      </w:r>
      <w:r w:rsidR="00C45550" w:rsidRPr="00E66AEF">
        <w:fldChar w:fldCharType="begin"/>
      </w:r>
      <w:r w:rsidR="00C45550" w:rsidRPr="00E66AEF">
        <w:instrText xml:space="preserve"> REF _Ref377657774 \r \h </w:instrText>
      </w:r>
      <w:r w:rsidR="00AF0E96" w:rsidRPr="00E66AEF">
        <w:instrText xml:space="preserve"> \* MERGEFORMAT </w:instrText>
      </w:r>
      <w:r w:rsidR="00000000">
        <w:fldChar w:fldCharType="separate"/>
      </w:r>
      <w:r w:rsidR="00C45550" w:rsidRPr="00E66AEF">
        <w:fldChar w:fldCharType="end"/>
      </w:r>
      <w:r w:rsidRPr="00E66AEF">
        <w:t xml:space="preserve">). </w:t>
      </w:r>
    </w:p>
    <w:p w14:paraId="7549979E" w14:textId="610D9045" w:rsidR="005673A4" w:rsidRPr="00E66AEF" w:rsidRDefault="006341A9" w:rsidP="00F44F2F">
      <w:pPr>
        <w:pStyle w:val="ECCParagraph"/>
        <w:spacing w:before="240" w:after="60"/>
      </w:pPr>
      <w:r w:rsidRPr="00E66AEF">
        <w:rPr>
          <w:rFonts w:cs="Arial"/>
        </w:rPr>
        <w:t xml:space="preserve">In the tables below, </w:t>
      </w:r>
      <w:r w:rsidR="003234DF" w:rsidRPr="00E66AEF">
        <w:rPr>
          <w:rFonts w:cs="Arial"/>
        </w:rPr>
        <w:t>th</w:t>
      </w:r>
      <w:r w:rsidR="005A1BD6" w:rsidRPr="00E66AEF">
        <w:rPr>
          <w:rFonts w:cs="Arial"/>
        </w:rPr>
        <w:t>e maximum mean carrier power for Pmax and Pmax’ means the maximum power over the total frequency block assigned to the operator</w:t>
      </w:r>
      <w:r w:rsidR="003234DF" w:rsidRPr="00E66AEF">
        <w:rPr>
          <w:rFonts w:cs="Arial"/>
        </w:rPr>
        <w:t>.</w:t>
      </w:r>
    </w:p>
    <w:p w14:paraId="7549979F" w14:textId="1D733B02" w:rsidR="005673A4" w:rsidRPr="00E66AEF" w:rsidRDefault="005673A4" w:rsidP="005673A4">
      <w:pPr>
        <w:pStyle w:val="ECCAnnexheading3"/>
        <w:rPr>
          <w:lang w:val="en-GB"/>
        </w:rPr>
      </w:pPr>
      <w:r w:rsidRPr="00E66AEF">
        <w:rPr>
          <w:lang w:val="en-GB"/>
        </w:rPr>
        <w:t xml:space="preserve">In-block requirements for </w:t>
      </w:r>
      <w:r w:rsidR="006E5BC3" w:rsidRPr="00E66AEF">
        <w:rPr>
          <w:lang w:val="en-GB"/>
        </w:rPr>
        <w:t>TDD MFCN base stations</w:t>
      </w:r>
    </w:p>
    <w:p w14:paraId="55BFA83A" w14:textId="18BEE7B6" w:rsidR="005673A4" w:rsidRPr="00E66AEF" w:rsidRDefault="005A33A4" w:rsidP="00773A5D">
      <w:pPr>
        <w:pStyle w:val="ECCParagraph"/>
      </w:pPr>
      <w:r w:rsidRPr="00E66AEF">
        <w:t xml:space="preserve">The in-block </w:t>
      </w:r>
      <w:r w:rsidR="00A05E09">
        <w:t xml:space="preserve">power </w:t>
      </w:r>
      <w:r w:rsidR="00E4331C" w:rsidRPr="00E66AEF">
        <w:t xml:space="preserve">limits for the 2300-2400 MHz band for non-AAS and AAS MFCN base stations </w:t>
      </w:r>
      <w:r w:rsidR="00662579" w:rsidRPr="00531804">
        <w:t xml:space="preserve">are defined in </w:t>
      </w:r>
      <w:r w:rsidR="00662579" w:rsidRPr="00531804">
        <w:fldChar w:fldCharType="begin"/>
      </w:r>
      <w:r w:rsidR="00662579" w:rsidRPr="00531804">
        <w:instrText xml:space="preserve"> REF _Ref116564687 \r \h </w:instrText>
      </w:r>
      <w:r w:rsidR="00662579" w:rsidRPr="00531804">
        <w:fldChar w:fldCharType="separate"/>
      </w:r>
      <w:r w:rsidR="00662579" w:rsidRPr="00531804">
        <w:t>Table 2</w:t>
      </w:r>
      <w:r w:rsidR="00662579" w:rsidRPr="00531804">
        <w:fldChar w:fldCharType="end"/>
      </w:r>
      <w:r w:rsidR="00E4331C" w:rsidRPr="00E66AEF">
        <w:t>.</w:t>
      </w:r>
    </w:p>
    <w:p w14:paraId="1CB29E85" w14:textId="2F363B32" w:rsidR="003D5646" w:rsidRPr="00E66AEF" w:rsidRDefault="00131D34" w:rsidP="00A05E09">
      <w:pPr>
        <w:pStyle w:val="ECCTabletitle"/>
      </w:pPr>
      <w:bookmarkStart w:id="9" w:name="_Ref116564687"/>
      <w:r w:rsidRPr="00E66AEF">
        <w:t>In-block power limits for non-AAS and AAS BS</w:t>
      </w:r>
      <w:bookmarkEnd w:id="9"/>
    </w:p>
    <w:tbl>
      <w:tblPr>
        <w:tblStyle w:val="ECCTable-redheader"/>
        <w:tblW w:w="5000" w:type="pct"/>
        <w:tblInd w:w="0" w:type="dxa"/>
        <w:tblLook w:val="01E0" w:firstRow="1" w:lastRow="1" w:firstColumn="1" w:lastColumn="1" w:noHBand="0" w:noVBand="0"/>
      </w:tblPr>
      <w:tblGrid>
        <w:gridCol w:w="1907"/>
        <w:gridCol w:w="2769"/>
        <w:gridCol w:w="2494"/>
        <w:gridCol w:w="2459"/>
      </w:tblGrid>
      <w:tr w:rsidR="00AA2F3A" w:rsidRPr="00E66AEF" w14:paraId="57E233B1" w14:textId="77777777">
        <w:trPr>
          <w:cnfStyle w:val="100000000000" w:firstRow="1" w:lastRow="0" w:firstColumn="0" w:lastColumn="0" w:oddVBand="0" w:evenVBand="0" w:oddHBand="0" w:evenHBand="0" w:firstRowFirstColumn="0" w:firstRowLastColumn="0" w:lastRowFirstColumn="0" w:lastRowLastColumn="0"/>
          <w:trHeight w:val="335"/>
        </w:trPr>
        <w:tc>
          <w:tcPr>
            <w:tcW w:w="990" w:type="pct"/>
            <w:vAlign w:val="top"/>
          </w:tcPr>
          <w:p w14:paraId="43982095" w14:textId="77777777" w:rsidR="00AA2F3A" w:rsidRPr="00E66AEF" w:rsidRDefault="00AA2F3A">
            <w:pPr>
              <w:keepNext/>
              <w:keepLines/>
              <w:rPr>
                <w:rStyle w:val="ECCHLgreen"/>
                <w:shd w:val="clear" w:color="auto" w:fill="auto"/>
              </w:rPr>
            </w:pPr>
            <w:r w:rsidRPr="00E66AEF">
              <w:rPr>
                <w:rStyle w:val="ECCHLgreen"/>
                <w:shd w:val="clear" w:color="auto" w:fill="auto"/>
              </w:rPr>
              <w:t>BEM element</w:t>
            </w:r>
          </w:p>
        </w:tc>
        <w:tc>
          <w:tcPr>
            <w:tcW w:w="1438" w:type="pct"/>
            <w:vAlign w:val="top"/>
          </w:tcPr>
          <w:p w14:paraId="3E26BD09" w14:textId="77777777" w:rsidR="00AA2F3A" w:rsidRPr="00E66AEF" w:rsidRDefault="00AA2F3A">
            <w:pPr>
              <w:keepNext/>
              <w:keepLines/>
              <w:rPr>
                <w:rStyle w:val="ECCHLgreen"/>
                <w:shd w:val="clear" w:color="auto" w:fill="auto"/>
              </w:rPr>
            </w:pPr>
            <w:r w:rsidRPr="00E66AEF">
              <w:rPr>
                <w:rStyle w:val="ECCHLgreen"/>
                <w:shd w:val="clear" w:color="auto" w:fill="auto"/>
              </w:rPr>
              <w:t>Frequency range</w:t>
            </w:r>
          </w:p>
        </w:tc>
        <w:tc>
          <w:tcPr>
            <w:tcW w:w="1295" w:type="pct"/>
            <w:vAlign w:val="top"/>
          </w:tcPr>
          <w:p w14:paraId="6F2ED1FE" w14:textId="77777777" w:rsidR="00AA2F3A" w:rsidRPr="00E66AEF" w:rsidRDefault="00AA2F3A">
            <w:pPr>
              <w:keepNext/>
              <w:keepLines/>
              <w:rPr>
                <w:rStyle w:val="ECCHLgreen"/>
                <w:shd w:val="clear" w:color="auto" w:fill="auto"/>
              </w:rPr>
            </w:pPr>
            <w:r w:rsidRPr="00E66AEF">
              <w:rPr>
                <w:rStyle w:val="ECCHLgreen"/>
                <w:shd w:val="clear" w:color="auto" w:fill="auto"/>
              </w:rPr>
              <w:t>Non-AAS e.i.r.p. limit (Note 1)</w:t>
            </w:r>
          </w:p>
        </w:tc>
        <w:tc>
          <w:tcPr>
            <w:tcW w:w="1277" w:type="pct"/>
            <w:vAlign w:val="top"/>
          </w:tcPr>
          <w:p w14:paraId="723AE14D" w14:textId="77777777" w:rsidR="00AA2F3A" w:rsidRPr="00E66AEF" w:rsidRDefault="00AA2F3A">
            <w:pPr>
              <w:keepNext/>
              <w:keepLines/>
              <w:rPr>
                <w:rStyle w:val="ECCHLgreen"/>
                <w:shd w:val="clear" w:color="auto" w:fill="auto"/>
              </w:rPr>
            </w:pPr>
            <w:r w:rsidRPr="00E66AEF">
              <w:rPr>
                <w:rStyle w:val="ECCHLgreen"/>
                <w:shd w:val="clear" w:color="auto" w:fill="auto"/>
              </w:rPr>
              <w:t>AAS TRP limit</w:t>
            </w:r>
          </w:p>
        </w:tc>
      </w:tr>
      <w:tr w:rsidR="00AA2F3A" w:rsidRPr="00E66AEF" w14:paraId="3874A663" w14:textId="77777777">
        <w:trPr>
          <w:trHeight w:val="200"/>
        </w:trPr>
        <w:tc>
          <w:tcPr>
            <w:tcW w:w="990" w:type="pct"/>
            <w:vMerge w:val="restart"/>
            <w:vAlign w:val="top"/>
          </w:tcPr>
          <w:p w14:paraId="1BE5FCB9"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In-block</w:t>
            </w:r>
          </w:p>
        </w:tc>
        <w:tc>
          <w:tcPr>
            <w:tcW w:w="1438" w:type="pct"/>
            <w:vAlign w:val="top"/>
          </w:tcPr>
          <w:p w14:paraId="611CFC81"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Block assigned to the operator (2300-2390 MHz)</w:t>
            </w:r>
          </w:p>
        </w:tc>
        <w:tc>
          <w:tcPr>
            <w:tcW w:w="1295" w:type="pct"/>
            <w:vAlign w:val="top"/>
          </w:tcPr>
          <w:p w14:paraId="300FBCA7"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Not obligatory.</w:t>
            </w:r>
          </w:p>
          <w:p w14:paraId="66C519B3"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In case an upper limit is desired by an administration, a value which does not exceed 68 dBm/(5 MHz) per antenna may be applied.</w:t>
            </w:r>
          </w:p>
        </w:tc>
        <w:tc>
          <w:tcPr>
            <w:tcW w:w="1277" w:type="pct"/>
            <w:vAlign w:val="top"/>
          </w:tcPr>
          <w:p w14:paraId="3277C95C"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Not obligatory</w:t>
            </w:r>
          </w:p>
        </w:tc>
      </w:tr>
      <w:tr w:rsidR="00AA2F3A" w:rsidRPr="00E66AEF" w14:paraId="1B7A6660" w14:textId="77777777">
        <w:trPr>
          <w:trHeight w:val="16"/>
        </w:trPr>
        <w:tc>
          <w:tcPr>
            <w:tcW w:w="990" w:type="pct"/>
            <w:vMerge/>
            <w:vAlign w:val="top"/>
          </w:tcPr>
          <w:p w14:paraId="6E20073E" w14:textId="77777777" w:rsidR="00AA2F3A" w:rsidRPr="00E66AEF" w:rsidRDefault="00AA2F3A">
            <w:pPr>
              <w:pStyle w:val="ECCTabletext"/>
              <w:keepNext/>
              <w:keepLines/>
              <w:jc w:val="left"/>
              <w:rPr>
                <w:rStyle w:val="ECCHLgreen"/>
                <w:szCs w:val="24"/>
              </w:rPr>
            </w:pPr>
          </w:p>
        </w:tc>
        <w:tc>
          <w:tcPr>
            <w:tcW w:w="1438" w:type="pct"/>
            <w:vAlign w:val="top"/>
          </w:tcPr>
          <w:p w14:paraId="5DC2C936"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Block assigned to the operator (2390-2400 MHz)</w:t>
            </w:r>
          </w:p>
        </w:tc>
        <w:tc>
          <w:tcPr>
            <w:tcW w:w="1295" w:type="pct"/>
            <w:vAlign w:val="top"/>
          </w:tcPr>
          <w:p w14:paraId="14AE07D8"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45 dBm/(5 MHz)</w:t>
            </w:r>
            <w:r w:rsidRPr="00E66AEF">
              <w:t xml:space="preserve"> per cell (Note 2)</w:t>
            </w:r>
          </w:p>
        </w:tc>
        <w:tc>
          <w:tcPr>
            <w:tcW w:w="1277" w:type="pct"/>
            <w:vAlign w:val="top"/>
          </w:tcPr>
          <w:p w14:paraId="736F9A2B" w14:textId="77777777" w:rsidR="00AA2F3A" w:rsidRPr="00E66AEF" w:rsidRDefault="00AA2F3A">
            <w:pPr>
              <w:pStyle w:val="ECCTabletext"/>
              <w:keepNext/>
              <w:keepLines/>
              <w:jc w:val="left"/>
              <w:rPr>
                <w:rStyle w:val="ECCHLgreen"/>
                <w:shd w:val="clear" w:color="auto" w:fill="auto"/>
              </w:rPr>
            </w:pPr>
            <w:r w:rsidRPr="00E66AEF">
              <w:rPr>
                <w:rStyle w:val="ECCHLgreen"/>
                <w:shd w:val="clear" w:color="auto" w:fill="auto"/>
              </w:rPr>
              <w:t>31 </w:t>
            </w:r>
            <w:r w:rsidRPr="00E66AEF">
              <w:t>dBm/(5</w:t>
            </w:r>
            <w:r w:rsidRPr="00E66AEF">
              <w:rPr>
                <w:rStyle w:val="ECCHLgreen"/>
                <w:shd w:val="clear" w:color="auto" w:fill="auto"/>
              </w:rPr>
              <w:t> MHz) (Note 2)</w:t>
            </w:r>
          </w:p>
        </w:tc>
      </w:tr>
      <w:tr w:rsidR="00AA2F3A" w:rsidRPr="00E66AEF" w14:paraId="06E01782" w14:textId="77777777">
        <w:trPr>
          <w:trHeight w:val="464"/>
        </w:trPr>
        <w:tc>
          <w:tcPr>
            <w:tcW w:w="5000" w:type="pct"/>
            <w:gridSpan w:val="4"/>
          </w:tcPr>
          <w:p w14:paraId="41B62301" w14:textId="77777777" w:rsidR="00AA2F3A" w:rsidRPr="00E66AEF" w:rsidRDefault="00AA2F3A" w:rsidP="00513795">
            <w:pPr>
              <w:pStyle w:val="ECCTablenote"/>
            </w:pPr>
            <w:r w:rsidRPr="00E66AEF">
              <w:t xml:space="preserve">Note 1: For </w:t>
            </w:r>
            <w:proofErr w:type="spellStart"/>
            <w:r w:rsidRPr="00E66AEF">
              <w:t>femto</w:t>
            </w:r>
            <w:proofErr w:type="spellEnd"/>
            <w:r w:rsidRPr="00E66AEF">
              <w:t xml:space="preserve"> base stations, the use of power control is mandatory in order to minimise interference to adjacent channels.</w:t>
            </w:r>
          </w:p>
          <w:p w14:paraId="0369A4B3" w14:textId="77777777" w:rsidR="00AA2F3A" w:rsidRPr="00E66AEF" w:rsidRDefault="00AA2F3A" w:rsidP="00513795">
            <w:pPr>
              <w:pStyle w:val="ECCTablenote"/>
            </w:pPr>
            <w:r w:rsidRPr="00E66AEF">
              <w:t>Note 2: In a multi-sector base station, the radiated power limit applies to each one of the individual sectors.</w:t>
            </w:r>
          </w:p>
        </w:tc>
      </w:tr>
    </w:tbl>
    <w:p w14:paraId="05423F56" w14:textId="18C279A3" w:rsidR="005A33A4" w:rsidRPr="00E66AEF" w:rsidRDefault="005A33A4" w:rsidP="005A33A4">
      <w:pPr>
        <w:pStyle w:val="ECCAnnexheading3"/>
        <w:rPr>
          <w:lang w:val="en-GB"/>
        </w:rPr>
      </w:pPr>
      <w:r w:rsidRPr="00E66AEF">
        <w:rPr>
          <w:lang w:val="en-GB"/>
        </w:rPr>
        <w:t xml:space="preserve">Baseline requirements for TDD </w:t>
      </w:r>
      <w:r w:rsidR="00E904FD" w:rsidRPr="00E66AEF">
        <w:rPr>
          <w:lang w:val="en-GB"/>
        </w:rPr>
        <w:t xml:space="preserve">MFCN </w:t>
      </w:r>
      <w:r w:rsidRPr="00E66AEF">
        <w:rPr>
          <w:lang w:val="en-GB"/>
        </w:rPr>
        <w:t>base stations</w:t>
      </w:r>
    </w:p>
    <w:p w14:paraId="59847585" w14:textId="12B56B3B" w:rsidR="005A33A4" w:rsidRPr="00E66AEF" w:rsidRDefault="008233E9" w:rsidP="00887760">
      <w:pPr>
        <w:pStyle w:val="ECCParagraph"/>
      </w:pPr>
      <w:r w:rsidRPr="00E66AEF">
        <w:t xml:space="preserve">The </w:t>
      </w:r>
      <w:r w:rsidR="005A33A4" w:rsidRPr="00E66AEF">
        <w:t xml:space="preserve">baseline requirements for unsynchronised </w:t>
      </w:r>
      <w:r w:rsidR="00372721" w:rsidRPr="00E66AEF">
        <w:t xml:space="preserve">(and semi-synchronised) </w:t>
      </w:r>
      <w:r w:rsidR="005A33A4" w:rsidRPr="00E66AEF">
        <w:t xml:space="preserve">and synchronised </w:t>
      </w:r>
      <w:r w:rsidR="00A80F9D" w:rsidRPr="00E66AEF">
        <w:t xml:space="preserve">non-AAS and AAS </w:t>
      </w:r>
      <w:r w:rsidR="005A33A4" w:rsidRPr="00E66AEF">
        <w:t>MFCN base stations</w:t>
      </w:r>
      <w:r w:rsidR="00336FE7" w:rsidRPr="00E66AEF">
        <w:t xml:space="preserve"> </w:t>
      </w:r>
      <w:r w:rsidR="00E975DD" w:rsidRPr="00531804">
        <w:t xml:space="preserve">are defined in </w:t>
      </w:r>
      <w:r w:rsidR="00E975DD" w:rsidRPr="00531804">
        <w:fldChar w:fldCharType="begin"/>
      </w:r>
      <w:r w:rsidR="00E975DD" w:rsidRPr="00531804">
        <w:instrText xml:space="preserve"> REF _Ref116564710 \r \h </w:instrText>
      </w:r>
      <w:r w:rsidR="00E975DD" w:rsidRPr="00531804">
        <w:fldChar w:fldCharType="separate"/>
      </w:r>
      <w:r w:rsidR="00E975DD" w:rsidRPr="00531804">
        <w:t>Table 3</w:t>
      </w:r>
      <w:r w:rsidR="00E975DD" w:rsidRPr="00531804">
        <w:fldChar w:fldCharType="end"/>
      </w:r>
      <w:r w:rsidR="005A33A4" w:rsidRPr="00E66AEF">
        <w:t>.</w:t>
      </w:r>
    </w:p>
    <w:p w14:paraId="754997A7" w14:textId="4D9439F3" w:rsidR="005673A4" w:rsidRPr="00E66AEF" w:rsidRDefault="00075730" w:rsidP="00A05E09">
      <w:pPr>
        <w:pStyle w:val="ECCTabletitle"/>
      </w:pPr>
      <w:r w:rsidRPr="00E66AEF">
        <w:lastRenderedPageBreak/>
        <w:t>Baseline</w:t>
      </w:r>
      <w:r w:rsidR="00047F05" w:rsidRPr="00E66AEF">
        <w:t xml:space="preserve"> power limits</w:t>
      </w:r>
      <w:r w:rsidRPr="00E66AEF">
        <w:t xml:space="preserve"> </w:t>
      </w:r>
      <w:r w:rsidR="00A87C94" w:rsidRPr="00E66AEF">
        <w:t xml:space="preserve">out of block (in </w:t>
      </w:r>
      <w:r w:rsidRPr="00E66AEF">
        <w:t>other TDD blocks</w:t>
      </w:r>
      <w:r w:rsidR="00A87C94" w:rsidRPr="00E66AEF">
        <w:t>)</w:t>
      </w:r>
      <w:r w:rsidR="006F6617" w:rsidRPr="00E66AEF">
        <w:t>,</w:t>
      </w:r>
      <w:r w:rsidRPr="00E66AEF">
        <w:t xml:space="preserve"> within the band</w:t>
      </w:r>
      <w:r w:rsidR="006F6617" w:rsidRPr="00E66AEF">
        <w:t>, for non-AAS and AAS BS</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87"/>
        <w:gridCol w:w="2551"/>
        <w:gridCol w:w="3261"/>
        <w:gridCol w:w="3118"/>
      </w:tblGrid>
      <w:tr w:rsidR="008E5CD8" w:rsidRPr="00E66AEF" w14:paraId="55A426AB" w14:textId="2B0F1BAB" w:rsidTr="00513795">
        <w:trPr>
          <w:trHeight w:val="266"/>
          <w:tblHeader/>
        </w:trPr>
        <w:tc>
          <w:tcPr>
            <w:tcW w:w="498" w:type="pct"/>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5F448D23" w14:textId="77777777" w:rsidR="00FD5829" w:rsidRPr="00E66AEF" w:rsidRDefault="00FD5829" w:rsidP="00513795">
            <w:pPr>
              <w:spacing w:before="120" w:after="120" w:line="288" w:lineRule="auto"/>
              <w:jc w:val="center"/>
              <w:rPr>
                <w:b/>
                <w:color w:val="FFFFFF"/>
                <w:lang w:val="en-GB"/>
              </w:rPr>
            </w:pPr>
            <w:r w:rsidRPr="00E66AEF">
              <w:rPr>
                <w:b/>
                <w:color w:val="FFFFFF"/>
                <w:lang w:val="en-GB"/>
              </w:rPr>
              <w:t>BEM element</w:t>
            </w:r>
          </w:p>
        </w:tc>
        <w:tc>
          <w:tcPr>
            <w:tcW w:w="1286" w:type="pct"/>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14:paraId="63E75E5D" w14:textId="77777777" w:rsidR="00FD5829" w:rsidRPr="00E66AEF" w:rsidRDefault="00FD5829" w:rsidP="00513795">
            <w:pPr>
              <w:spacing w:before="120" w:line="288" w:lineRule="auto"/>
              <w:jc w:val="center"/>
              <w:rPr>
                <w:b/>
                <w:color w:val="FFFFFF"/>
                <w:lang w:val="en-GB"/>
              </w:rPr>
            </w:pPr>
            <w:r w:rsidRPr="00E66AEF">
              <w:rPr>
                <w:b/>
                <w:color w:val="FFFFFF"/>
                <w:lang w:val="en-GB"/>
              </w:rPr>
              <w:t>Frequency range</w:t>
            </w:r>
          </w:p>
        </w:tc>
        <w:tc>
          <w:tcPr>
            <w:tcW w:w="1644" w:type="pct"/>
            <w:tcBorders>
              <w:top w:val="single" w:sz="4" w:space="0" w:color="D2232A"/>
              <w:left w:val="single" w:sz="4" w:space="0" w:color="FFFFFF" w:themeColor="background1"/>
              <w:bottom w:val="single" w:sz="4" w:space="0" w:color="D2232A"/>
              <w:right w:val="nil"/>
            </w:tcBorders>
            <w:shd w:val="clear" w:color="auto" w:fill="D2232A"/>
            <w:vAlign w:val="center"/>
          </w:tcPr>
          <w:p w14:paraId="3E1C1025" w14:textId="4A7FF7EB" w:rsidR="00FD5829" w:rsidRPr="00E66AEF" w:rsidRDefault="00FD5829">
            <w:pPr>
              <w:spacing w:line="288" w:lineRule="auto"/>
              <w:jc w:val="center"/>
              <w:rPr>
                <w:b/>
                <w:color w:val="FFFFFF"/>
                <w:lang w:val="en-GB"/>
              </w:rPr>
            </w:pPr>
            <w:r w:rsidRPr="00E66AEF">
              <w:rPr>
                <w:b/>
                <w:color w:val="FFFFFF"/>
                <w:lang w:val="en-GB"/>
              </w:rPr>
              <w:t>Non-AAS e.i.r.p. limit</w:t>
            </w:r>
          </w:p>
        </w:tc>
        <w:tc>
          <w:tcPr>
            <w:tcW w:w="1572" w:type="pct"/>
            <w:tcBorders>
              <w:top w:val="single" w:sz="4" w:space="0" w:color="D2232A"/>
              <w:left w:val="single" w:sz="4" w:space="0" w:color="FFFFFF" w:themeColor="background1"/>
              <w:bottom w:val="single" w:sz="4" w:space="0" w:color="D2232A"/>
              <w:right w:val="nil"/>
            </w:tcBorders>
            <w:shd w:val="clear" w:color="auto" w:fill="D2232A"/>
          </w:tcPr>
          <w:p w14:paraId="7DA53194" w14:textId="0EE9BFEF" w:rsidR="00FD5829" w:rsidRPr="00E66AEF" w:rsidDel="00360811" w:rsidRDefault="00FD5829" w:rsidP="00513795">
            <w:pPr>
              <w:spacing w:before="120" w:line="288" w:lineRule="auto"/>
              <w:jc w:val="center"/>
              <w:rPr>
                <w:b/>
                <w:color w:val="FFFFFF"/>
                <w:lang w:val="en-GB"/>
              </w:rPr>
            </w:pPr>
            <w:r w:rsidRPr="00E66AEF">
              <w:rPr>
                <w:b/>
                <w:color w:val="FFFFFF"/>
                <w:lang w:val="en-GB"/>
              </w:rPr>
              <w:t>AAS TRP limit per cell (Note 1)</w:t>
            </w:r>
          </w:p>
        </w:tc>
      </w:tr>
      <w:tr w:rsidR="003F66F7" w:rsidRPr="00E66AEF" w14:paraId="1D4FB99A" w14:textId="112DD8E3" w:rsidTr="00513795">
        <w:tc>
          <w:tcPr>
            <w:tcW w:w="498" w:type="pct"/>
            <w:tcBorders>
              <w:top w:val="single" w:sz="4" w:space="0" w:color="D2232A"/>
              <w:left w:val="single" w:sz="4" w:space="0" w:color="D2232A"/>
              <w:bottom w:val="single" w:sz="4" w:space="0" w:color="D2232A"/>
              <w:right w:val="single" w:sz="4" w:space="0" w:color="D2232A"/>
            </w:tcBorders>
          </w:tcPr>
          <w:p w14:paraId="156C560D" w14:textId="77777777" w:rsidR="00FD5829" w:rsidRPr="00E66AEF" w:rsidRDefault="00FD5829" w:rsidP="00513795">
            <w:pPr>
              <w:keepNext/>
              <w:spacing w:before="60" w:after="60"/>
              <w:rPr>
                <w:lang w:val="en-GB"/>
              </w:rPr>
            </w:pPr>
            <w:r w:rsidRPr="00E66AEF">
              <w:rPr>
                <w:lang w:val="en-GB"/>
              </w:rPr>
              <w:t>Baseline</w:t>
            </w:r>
          </w:p>
        </w:tc>
        <w:tc>
          <w:tcPr>
            <w:tcW w:w="1286" w:type="pct"/>
            <w:tcBorders>
              <w:top w:val="single" w:sz="4" w:space="0" w:color="D2232A"/>
              <w:left w:val="single" w:sz="4" w:space="0" w:color="D2232A"/>
              <w:bottom w:val="single" w:sz="4" w:space="0" w:color="D2232A"/>
              <w:right w:val="single" w:sz="4" w:space="0" w:color="D2232A"/>
            </w:tcBorders>
          </w:tcPr>
          <w:p w14:paraId="782DE1B9" w14:textId="0FA04894" w:rsidR="00FD5829" w:rsidRPr="00E66AEF" w:rsidRDefault="00FD5829" w:rsidP="00513795">
            <w:pPr>
              <w:keepNext/>
              <w:spacing w:before="60" w:after="60"/>
              <w:rPr>
                <w:lang w:val="en-GB"/>
              </w:rPr>
            </w:pPr>
            <w:r w:rsidRPr="00E66AEF">
              <w:rPr>
                <w:lang w:val="en-GB"/>
              </w:rPr>
              <w:t>Unsynchronised (and semi-synchronised) TDD blocks (2300-2400 MHz)</w:t>
            </w:r>
          </w:p>
        </w:tc>
        <w:tc>
          <w:tcPr>
            <w:tcW w:w="1644" w:type="pct"/>
            <w:tcBorders>
              <w:top w:val="single" w:sz="4" w:space="0" w:color="D2232A"/>
              <w:left w:val="single" w:sz="4" w:space="0" w:color="D2232A"/>
              <w:bottom w:val="single" w:sz="4" w:space="0" w:color="D2232A"/>
              <w:right w:val="single" w:sz="4" w:space="0" w:color="D2232A"/>
            </w:tcBorders>
          </w:tcPr>
          <w:p w14:paraId="13396E78" w14:textId="059200B9" w:rsidR="00FD5829" w:rsidRPr="00E66AEF" w:rsidRDefault="00FD5829" w:rsidP="00513795">
            <w:pPr>
              <w:keepNext/>
              <w:spacing w:before="60" w:after="60"/>
              <w:rPr>
                <w:lang w:val="en-GB"/>
              </w:rPr>
            </w:pPr>
            <w:r w:rsidRPr="00E66AEF">
              <w:rPr>
                <w:lang w:val="en-GB"/>
              </w:rPr>
              <w:t>-36 dBm/(5 MHz) per cell (Note 1) (Note</w:t>
            </w:r>
            <w:r w:rsidR="00C25A4C" w:rsidRPr="00E66AEF">
              <w:rPr>
                <w:lang w:val="en-GB"/>
              </w:rPr>
              <w:t> </w:t>
            </w:r>
            <w:r w:rsidRPr="00E66AEF">
              <w:rPr>
                <w:lang w:val="en-GB"/>
              </w:rPr>
              <w:t>2)</w:t>
            </w:r>
          </w:p>
        </w:tc>
        <w:tc>
          <w:tcPr>
            <w:tcW w:w="1572" w:type="pct"/>
            <w:tcBorders>
              <w:top w:val="single" w:sz="4" w:space="0" w:color="D2232A"/>
              <w:left w:val="single" w:sz="4" w:space="0" w:color="D2232A"/>
              <w:bottom w:val="single" w:sz="4" w:space="0" w:color="D2232A"/>
              <w:right w:val="single" w:sz="4" w:space="0" w:color="D2232A"/>
            </w:tcBorders>
          </w:tcPr>
          <w:p w14:paraId="26E63231" w14:textId="05A2290C" w:rsidR="00FD5829" w:rsidRPr="00E66AEF" w:rsidRDefault="00215AD8" w:rsidP="00513795">
            <w:pPr>
              <w:keepNext/>
              <w:spacing w:before="60" w:after="60"/>
              <w:rPr>
                <w:lang w:val="en-GB"/>
              </w:rPr>
            </w:pPr>
            <w:r w:rsidRPr="00E66AEF">
              <w:rPr>
                <w:lang w:val="en-GB"/>
              </w:rPr>
              <w:t>-45 dBm/(5 MHz)</w:t>
            </w:r>
          </w:p>
        </w:tc>
      </w:tr>
      <w:tr w:rsidR="003F66F7" w:rsidRPr="00E66AEF" w14:paraId="0D2AD380" w14:textId="20B4D964" w:rsidTr="00513795">
        <w:tc>
          <w:tcPr>
            <w:tcW w:w="498" w:type="pct"/>
            <w:tcBorders>
              <w:top w:val="single" w:sz="4" w:space="0" w:color="D2232A"/>
              <w:left w:val="single" w:sz="4" w:space="0" w:color="D2232A"/>
              <w:bottom w:val="single" w:sz="4" w:space="0" w:color="D2232A"/>
              <w:right w:val="single" w:sz="4" w:space="0" w:color="D2232A"/>
            </w:tcBorders>
          </w:tcPr>
          <w:p w14:paraId="169011C7" w14:textId="77777777" w:rsidR="00FD5829" w:rsidRPr="00E66AEF" w:rsidRDefault="00FD5829" w:rsidP="00513795">
            <w:pPr>
              <w:keepNext/>
              <w:spacing w:before="60" w:after="60"/>
              <w:rPr>
                <w:lang w:val="en-GB"/>
              </w:rPr>
            </w:pPr>
            <w:r w:rsidRPr="00E66AEF">
              <w:rPr>
                <w:lang w:val="en-GB"/>
              </w:rPr>
              <w:t>Baseline</w:t>
            </w:r>
          </w:p>
        </w:tc>
        <w:tc>
          <w:tcPr>
            <w:tcW w:w="1286" w:type="pct"/>
            <w:tcBorders>
              <w:top w:val="single" w:sz="4" w:space="0" w:color="D2232A"/>
              <w:left w:val="single" w:sz="4" w:space="0" w:color="D2232A"/>
              <w:bottom w:val="single" w:sz="4" w:space="0" w:color="D2232A"/>
              <w:right w:val="single" w:sz="4" w:space="0" w:color="D2232A"/>
            </w:tcBorders>
          </w:tcPr>
          <w:p w14:paraId="3006C80D" w14:textId="77777777" w:rsidR="00FD5829" w:rsidRPr="00E66AEF" w:rsidRDefault="00FD5829" w:rsidP="00513795">
            <w:pPr>
              <w:keepNext/>
              <w:spacing w:before="60" w:after="60"/>
              <w:rPr>
                <w:lang w:val="en-GB"/>
              </w:rPr>
            </w:pPr>
            <w:r w:rsidRPr="00E66AEF">
              <w:rPr>
                <w:lang w:val="en-GB"/>
              </w:rPr>
              <w:t>Synchronised TDD blocks (2300-2400 MHz)</w:t>
            </w:r>
          </w:p>
        </w:tc>
        <w:tc>
          <w:tcPr>
            <w:tcW w:w="1644" w:type="pct"/>
            <w:tcBorders>
              <w:top w:val="single" w:sz="4" w:space="0" w:color="D2232A"/>
              <w:left w:val="single" w:sz="4" w:space="0" w:color="D2232A"/>
              <w:bottom w:val="single" w:sz="4" w:space="0" w:color="D2232A"/>
              <w:right w:val="single" w:sz="4" w:space="0" w:color="D2232A"/>
            </w:tcBorders>
          </w:tcPr>
          <w:p w14:paraId="0F355C83" w14:textId="5FB82C95" w:rsidR="00FD5829" w:rsidRPr="00E66AEF" w:rsidRDefault="00FD5829" w:rsidP="00513795">
            <w:pPr>
              <w:keepNext/>
              <w:spacing w:before="60" w:after="60"/>
              <w:rPr>
                <w:lang w:val="en-GB"/>
              </w:rPr>
            </w:pPr>
            <w:r w:rsidRPr="00E66AEF">
              <w:rPr>
                <w:lang w:val="en-GB"/>
              </w:rPr>
              <w:t>Min(Pmax-43, 13) dBm/(5 MHz) per antenna</w:t>
            </w:r>
          </w:p>
        </w:tc>
        <w:tc>
          <w:tcPr>
            <w:tcW w:w="1572" w:type="pct"/>
            <w:tcBorders>
              <w:top w:val="single" w:sz="4" w:space="0" w:color="D2232A"/>
              <w:left w:val="single" w:sz="4" w:space="0" w:color="D2232A"/>
              <w:bottom w:val="single" w:sz="4" w:space="0" w:color="D2232A"/>
              <w:right w:val="single" w:sz="4" w:space="0" w:color="D2232A"/>
            </w:tcBorders>
          </w:tcPr>
          <w:p w14:paraId="5504A685" w14:textId="1D850A6B" w:rsidR="00FD5829" w:rsidRPr="00E66AEF" w:rsidRDefault="00500188" w:rsidP="00513795">
            <w:pPr>
              <w:keepNext/>
              <w:spacing w:before="60" w:after="60"/>
              <w:rPr>
                <w:lang w:val="en-GB"/>
              </w:rPr>
            </w:pPr>
            <w:r w:rsidRPr="00E66AEF">
              <w:rPr>
                <w:lang w:val="en-GB"/>
              </w:rPr>
              <w:t>Min(Pmax'-43, 1) dBm/(5 MHz)</w:t>
            </w:r>
          </w:p>
        </w:tc>
      </w:tr>
      <w:tr w:rsidR="0075704B" w:rsidRPr="00E66AEF" w14:paraId="2BB0A47C" w14:textId="77777777" w:rsidTr="00513795">
        <w:trPr>
          <w:cantSplit/>
        </w:trPr>
        <w:tc>
          <w:tcPr>
            <w:tcW w:w="5000" w:type="pct"/>
            <w:gridSpan w:val="4"/>
            <w:tcBorders>
              <w:top w:val="single" w:sz="4" w:space="0" w:color="D2232A"/>
              <w:left w:val="single" w:sz="4" w:space="0" w:color="D2232A"/>
              <w:bottom w:val="single" w:sz="4" w:space="0" w:color="D2232A"/>
              <w:right w:val="single" w:sz="4" w:space="0" w:color="D2232A"/>
            </w:tcBorders>
          </w:tcPr>
          <w:p w14:paraId="6B77D0ED" w14:textId="77777777" w:rsidR="0075704B" w:rsidRPr="00E66AEF" w:rsidRDefault="0075704B" w:rsidP="00513795">
            <w:pPr>
              <w:pStyle w:val="ECCTablenote"/>
            </w:pPr>
            <w:r w:rsidRPr="00E66AEF">
              <w:t>Note 1: In a multi-sector base station, the radiated power limit applies to each one of the individual sectors.</w:t>
            </w:r>
          </w:p>
          <w:p w14:paraId="6E96FC2C" w14:textId="77777777" w:rsidR="0075704B" w:rsidRPr="00E66AEF" w:rsidRDefault="0075704B" w:rsidP="00513795">
            <w:pPr>
              <w:pStyle w:val="ECCTablenote"/>
            </w:pPr>
            <w:r w:rsidRPr="00E66AEF">
              <w:t xml:space="preserve">Note 2: This value is based on a scenario including all base station classes (macro, micro, </w:t>
            </w:r>
            <w:proofErr w:type="spellStart"/>
            <w:r w:rsidRPr="00E66AEF">
              <w:t>pico</w:t>
            </w:r>
            <w:proofErr w:type="spellEnd"/>
            <w:r w:rsidRPr="00E66AEF">
              <w:t xml:space="preserve"> and </w:t>
            </w:r>
            <w:proofErr w:type="spellStart"/>
            <w:r w:rsidRPr="00E66AEF">
              <w:t>femto</w:t>
            </w:r>
            <w:proofErr w:type="spellEnd"/>
            <w:r w:rsidRPr="00E66AEF">
              <w:t>). A more restrictive scenario may allow a more relaxed value for some BS classes.</w:t>
            </w:r>
          </w:p>
          <w:p w14:paraId="3155095D" w14:textId="77777777" w:rsidR="0075704B" w:rsidRPr="00E66AEF" w:rsidRDefault="0075704B" w:rsidP="00513795">
            <w:pPr>
              <w:pStyle w:val="ECCTablenote"/>
            </w:pPr>
            <w:r w:rsidRPr="00E66AEF">
              <w:t xml:space="preserve">Note 3: Pmax is the maximum mean carrier power in dBm for the base station measured as e.i.r.p. per carrier, interpreted as per antenna. </w:t>
            </w:r>
          </w:p>
          <w:p w14:paraId="091953CD" w14:textId="2655057C" w:rsidR="0075704B" w:rsidRPr="00E66AEF" w:rsidRDefault="0075704B" w:rsidP="00513795">
            <w:pPr>
              <w:pStyle w:val="ECCTablenote"/>
            </w:pPr>
            <w:r w:rsidRPr="00E66AEF">
              <w:t>Note 4: Pmax' is the maximum mean carrier power in dBm for the base station measured as TRP per carrier in a given cell.</w:t>
            </w:r>
          </w:p>
        </w:tc>
      </w:tr>
    </w:tbl>
    <w:p w14:paraId="0AA81E9B" w14:textId="12E0801E" w:rsidR="009103EF" w:rsidRPr="00E66AEF" w:rsidRDefault="00B61F88" w:rsidP="008E5CD8">
      <w:pPr>
        <w:pStyle w:val="ECCParagraph"/>
        <w:spacing w:before="240" w:after="60"/>
      </w:pPr>
      <w:r w:rsidRPr="00E66AEF">
        <w:t xml:space="preserve">The </w:t>
      </w:r>
      <w:r w:rsidR="00FE2360" w:rsidRPr="00E66AEF">
        <w:t xml:space="preserve">additional baseline requirements above 2400 MHz for unsynchronised </w:t>
      </w:r>
      <w:r w:rsidR="00807F17" w:rsidRPr="00E66AEF">
        <w:t xml:space="preserve">(and semi-synchronised) </w:t>
      </w:r>
      <w:r w:rsidR="00FE2360" w:rsidRPr="00E66AEF">
        <w:t>and synchronised MFCN base stations</w:t>
      </w:r>
      <w:r w:rsidR="00112CDC" w:rsidRPr="00E66AEF">
        <w:t>, for non-AAS and AAS</w:t>
      </w:r>
      <w:r w:rsidR="00AA3FF4" w:rsidRPr="00E66AEF">
        <w:t xml:space="preserve"> are defined in </w:t>
      </w:r>
      <w:r w:rsidR="00AA3FF4" w:rsidRPr="00E66AEF">
        <w:fldChar w:fldCharType="begin"/>
      </w:r>
      <w:r w:rsidR="00AA3FF4" w:rsidRPr="00E66AEF">
        <w:instrText xml:space="preserve"> REF _Ref116564722 \r \h </w:instrText>
      </w:r>
      <w:r w:rsidR="00AA3FF4" w:rsidRPr="00E66AEF">
        <w:fldChar w:fldCharType="separate"/>
      </w:r>
      <w:r w:rsidR="00AA3FF4" w:rsidRPr="00E66AEF">
        <w:t>Table 4</w:t>
      </w:r>
      <w:r w:rsidR="00AA3FF4" w:rsidRPr="00E66AEF">
        <w:fldChar w:fldCharType="end"/>
      </w:r>
      <w:r w:rsidR="00AA3FF4" w:rsidRPr="00E66AEF">
        <w:t xml:space="preserve"> and </w:t>
      </w:r>
      <w:r w:rsidR="00AA3FF4" w:rsidRPr="00E66AEF">
        <w:fldChar w:fldCharType="begin"/>
      </w:r>
      <w:r w:rsidR="00AA3FF4" w:rsidRPr="00E66AEF">
        <w:instrText xml:space="preserve"> REF _Ref116564724 \r \h </w:instrText>
      </w:r>
      <w:r w:rsidR="00AA3FF4" w:rsidRPr="00E66AEF">
        <w:fldChar w:fldCharType="separate"/>
      </w:r>
      <w:r w:rsidR="00AA3FF4" w:rsidRPr="00E66AEF">
        <w:t>Table 5</w:t>
      </w:r>
      <w:r w:rsidR="00AA3FF4" w:rsidRPr="00E66AEF">
        <w:fldChar w:fldCharType="end"/>
      </w:r>
      <w:r w:rsidR="00AA3FF4" w:rsidRPr="00E66AEF">
        <w:t xml:space="preserve"> respectively</w:t>
      </w:r>
      <w:r w:rsidR="00FE2360" w:rsidRPr="00E66AEF">
        <w:t xml:space="preserve">. Coexistence analysis </w:t>
      </w:r>
      <w:r w:rsidR="0009000C" w:rsidRPr="00E66AEF">
        <w:t xml:space="preserve">has shown </w:t>
      </w:r>
      <w:r w:rsidR="00FE2360" w:rsidRPr="00E66AEF">
        <w:t xml:space="preserve">that </w:t>
      </w:r>
      <w:r w:rsidR="0062345A" w:rsidRPr="00E66AEF">
        <w:t xml:space="preserve">these limits must </w:t>
      </w:r>
      <w:r w:rsidR="00FE2360" w:rsidRPr="00E66AEF">
        <w:t>apply at frequencies above 2403 MHz.</w:t>
      </w:r>
    </w:p>
    <w:p w14:paraId="754997B6" w14:textId="0DACFC56" w:rsidR="00BD4828" w:rsidRPr="00E66AEF" w:rsidRDefault="00BD4828" w:rsidP="00A05E09">
      <w:pPr>
        <w:pStyle w:val="ECCTabletitle"/>
      </w:pPr>
      <w:bookmarkStart w:id="10" w:name="_Ref116564722"/>
      <w:r w:rsidRPr="00E66AEF">
        <w:t xml:space="preserve">Additional baseline </w:t>
      </w:r>
      <w:r w:rsidR="00AF0E96" w:rsidRPr="00E66AEF">
        <w:t xml:space="preserve">power limits </w:t>
      </w:r>
      <w:r w:rsidR="00A54380" w:rsidRPr="00E66AEF">
        <w:t xml:space="preserve">above </w:t>
      </w:r>
      <w:r w:rsidR="00294254" w:rsidRPr="00E66AEF">
        <w:t>2403</w:t>
      </w:r>
      <w:r w:rsidR="00A54380" w:rsidRPr="00E66AEF">
        <w:t xml:space="preserve"> MHz</w:t>
      </w:r>
      <w:r w:rsidR="00966B7B" w:rsidRPr="00E66AEF">
        <w:t>, for non-AAS</w:t>
      </w:r>
      <w:r w:rsidR="0046634A" w:rsidRPr="00E66AEF">
        <w:t xml:space="preserve"> BS</w:t>
      </w:r>
      <w:r w:rsidR="00F81642" w:rsidRPr="00E66AEF">
        <w:t xml:space="preserve"> </w:t>
      </w:r>
      <w:bookmarkEnd w:id="10"/>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459"/>
        <w:gridCol w:w="3638"/>
        <w:gridCol w:w="3254"/>
      </w:tblGrid>
      <w:tr w:rsidR="00DD1B91" w:rsidRPr="00E66AEF" w14:paraId="05AA6DCE" w14:textId="77777777" w:rsidTr="00513795">
        <w:trPr>
          <w:trHeight w:val="266"/>
          <w:tblHeader/>
          <w:jc w:val="center"/>
        </w:trPr>
        <w:tc>
          <w:tcPr>
            <w:tcW w:w="1315" w:type="pct"/>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5EF46C2D" w14:textId="77777777" w:rsidR="00DD1B91" w:rsidRPr="00E66AEF" w:rsidRDefault="00DD1B91" w:rsidP="002E207F">
            <w:pPr>
              <w:keepNext/>
              <w:spacing w:before="60" w:after="60" w:line="288" w:lineRule="auto"/>
              <w:jc w:val="center"/>
              <w:rPr>
                <w:b/>
                <w:color w:val="FFFFFF"/>
                <w:lang w:val="en-GB"/>
              </w:rPr>
            </w:pPr>
            <w:r w:rsidRPr="00E66AEF">
              <w:rPr>
                <w:b/>
                <w:color w:val="FFFFFF"/>
                <w:lang w:val="en-GB"/>
              </w:rPr>
              <w:t>BEM element</w:t>
            </w:r>
          </w:p>
        </w:tc>
        <w:tc>
          <w:tcPr>
            <w:tcW w:w="1945" w:type="pct"/>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14:paraId="61E6DE4D" w14:textId="794DD4C3" w:rsidR="00DD1B91" w:rsidRPr="00E66AEF" w:rsidRDefault="00D3293A" w:rsidP="002E207F">
            <w:pPr>
              <w:keepNext/>
              <w:spacing w:before="60" w:after="60" w:line="288" w:lineRule="auto"/>
              <w:jc w:val="center"/>
              <w:rPr>
                <w:b/>
                <w:color w:val="FFFFFF"/>
                <w:lang w:val="en-GB"/>
              </w:rPr>
            </w:pPr>
            <w:r w:rsidRPr="00E66AEF">
              <w:rPr>
                <w:b/>
                <w:color w:val="FFFFFF"/>
                <w:lang w:val="en-GB"/>
              </w:rPr>
              <w:t>Non-AAS BS maximum mean carrier power</w:t>
            </w:r>
          </w:p>
        </w:tc>
        <w:tc>
          <w:tcPr>
            <w:tcW w:w="1739" w:type="pct"/>
            <w:tcBorders>
              <w:top w:val="single" w:sz="4" w:space="0" w:color="D2232A"/>
              <w:left w:val="single" w:sz="4" w:space="0" w:color="FFFFFF" w:themeColor="background1"/>
              <w:bottom w:val="single" w:sz="4" w:space="0" w:color="D2232A"/>
              <w:right w:val="nil"/>
            </w:tcBorders>
            <w:shd w:val="clear" w:color="auto" w:fill="D2232A"/>
            <w:vAlign w:val="center"/>
          </w:tcPr>
          <w:p w14:paraId="70EB15A6" w14:textId="0213053F" w:rsidR="00DD1B91" w:rsidRPr="00E66AEF" w:rsidRDefault="0026658B" w:rsidP="002E207F">
            <w:pPr>
              <w:keepNext/>
              <w:spacing w:before="60" w:after="60" w:line="288" w:lineRule="auto"/>
              <w:jc w:val="center"/>
              <w:rPr>
                <w:b/>
                <w:color w:val="FFFFFF"/>
                <w:lang w:val="en-GB"/>
              </w:rPr>
            </w:pPr>
            <w:r w:rsidRPr="00E66AEF">
              <w:rPr>
                <w:b/>
                <w:color w:val="FFFFFF"/>
                <w:lang w:val="en-GB"/>
              </w:rPr>
              <w:t>Non-AAS e.i.r.p. limit per cell (Note 1)</w:t>
            </w:r>
          </w:p>
        </w:tc>
      </w:tr>
      <w:tr w:rsidR="00DD1B91" w:rsidRPr="00E66AEF" w14:paraId="2CABD587" w14:textId="77777777" w:rsidTr="00513795">
        <w:trPr>
          <w:jc w:val="center"/>
        </w:trPr>
        <w:tc>
          <w:tcPr>
            <w:tcW w:w="1315" w:type="pct"/>
            <w:tcBorders>
              <w:top w:val="single" w:sz="4" w:space="0" w:color="D2232A"/>
              <w:left w:val="single" w:sz="4" w:space="0" w:color="D2232A"/>
              <w:bottom w:val="single" w:sz="4" w:space="0" w:color="D2232A"/>
              <w:right w:val="single" w:sz="4" w:space="0" w:color="D2232A"/>
            </w:tcBorders>
          </w:tcPr>
          <w:p w14:paraId="76432BE8" w14:textId="77777777" w:rsidR="00DD1B91" w:rsidRPr="00E66AEF" w:rsidRDefault="00DD1B91" w:rsidP="002E207F">
            <w:pPr>
              <w:keepNext/>
              <w:spacing w:before="60" w:after="60"/>
              <w:rPr>
                <w:lang w:val="en-GB"/>
              </w:rPr>
            </w:pPr>
            <w:r w:rsidRPr="00E66AEF">
              <w:rPr>
                <w:lang w:val="en-GB"/>
              </w:rPr>
              <w:t>Additional baseline</w:t>
            </w:r>
          </w:p>
        </w:tc>
        <w:tc>
          <w:tcPr>
            <w:tcW w:w="1945" w:type="pct"/>
            <w:tcBorders>
              <w:top w:val="single" w:sz="4" w:space="0" w:color="D2232A"/>
              <w:left w:val="single" w:sz="4" w:space="0" w:color="D2232A"/>
              <w:bottom w:val="single" w:sz="4" w:space="0" w:color="D2232A"/>
              <w:right w:val="single" w:sz="4" w:space="0" w:color="D2232A"/>
            </w:tcBorders>
          </w:tcPr>
          <w:p w14:paraId="09F86CB4" w14:textId="77777777" w:rsidR="00DD1B91" w:rsidRPr="00E66AEF" w:rsidRDefault="00DD1B91" w:rsidP="002E207F">
            <w:pPr>
              <w:keepNext/>
              <w:spacing w:before="60" w:after="60"/>
              <w:rPr>
                <w:lang w:val="en-GB"/>
              </w:rPr>
            </w:pPr>
            <w:r w:rsidRPr="00E66AEF">
              <w:rPr>
                <w:lang w:val="en-GB"/>
              </w:rPr>
              <w:t>Pmax &gt; 42 dBm</w:t>
            </w:r>
          </w:p>
        </w:tc>
        <w:tc>
          <w:tcPr>
            <w:tcW w:w="1739" w:type="pct"/>
            <w:tcBorders>
              <w:top w:val="single" w:sz="4" w:space="0" w:color="D2232A"/>
              <w:left w:val="single" w:sz="4" w:space="0" w:color="D2232A"/>
              <w:bottom w:val="single" w:sz="4" w:space="0" w:color="D2232A"/>
              <w:right w:val="single" w:sz="4" w:space="0" w:color="D2232A"/>
            </w:tcBorders>
          </w:tcPr>
          <w:p w14:paraId="1A6EEDF7" w14:textId="4F326A0D" w:rsidR="00DD1B91" w:rsidRPr="00E66AEF" w:rsidRDefault="00DD1B91" w:rsidP="002E207F">
            <w:pPr>
              <w:keepNext/>
              <w:spacing w:before="60" w:after="60"/>
              <w:rPr>
                <w:lang w:val="en-GB"/>
              </w:rPr>
            </w:pPr>
            <w:r w:rsidRPr="00E66AEF">
              <w:rPr>
                <w:lang w:val="en-GB"/>
              </w:rPr>
              <w:t>1 dBm/</w:t>
            </w:r>
            <w:r w:rsidR="0026658B" w:rsidRPr="00E66AEF">
              <w:rPr>
                <w:lang w:val="en-GB"/>
              </w:rPr>
              <w:t>(</w:t>
            </w:r>
            <w:r w:rsidRPr="00E66AEF">
              <w:rPr>
                <w:lang w:val="en-GB"/>
              </w:rPr>
              <w:t>5 MHz</w:t>
            </w:r>
            <w:r w:rsidR="0026658B" w:rsidRPr="00E66AEF">
              <w:rPr>
                <w:lang w:val="en-GB"/>
              </w:rPr>
              <w:t>)</w:t>
            </w:r>
          </w:p>
        </w:tc>
      </w:tr>
      <w:tr w:rsidR="00DD1B91" w:rsidRPr="00E66AEF" w14:paraId="291A582B" w14:textId="77777777" w:rsidTr="00513795">
        <w:trPr>
          <w:jc w:val="center"/>
        </w:trPr>
        <w:tc>
          <w:tcPr>
            <w:tcW w:w="1315" w:type="pct"/>
            <w:tcBorders>
              <w:top w:val="single" w:sz="4" w:space="0" w:color="D2232A"/>
              <w:left w:val="single" w:sz="4" w:space="0" w:color="D2232A"/>
              <w:bottom w:val="single" w:sz="4" w:space="0" w:color="D2232A"/>
              <w:right w:val="single" w:sz="4" w:space="0" w:color="D2232A"/>
            </w:tcBorders>
          </w:tcPr>
          <w:p w14:paraId="572B69BE" w14:textId="77777777" w:rsidR="00DD1B91" w:rsidRPr="00E66AEF" w:rsidRDefault="00DD1B91" w:rsidP="002E207F">
            <w:pPr>
              <w:keepNext/>
              <w:spacing w:before="60" w:after="60"/>
              <w:rPr>
                <w:lang w:val="en-GB"/>
              </w:rPr>
            </w:pPr>
            <w:r w:rsidRPr="00E66AEF">
              <w:rPr>
                <w:lang w:val="en-GB"/>
              </w:rPr>
              <w:t>Additional baseline</w:t>
            </w:r>
          </w:p>
        </w:tc>
        <w:tc>
          <w:tcPr>
            <w:tcW w:w="1945" w:type="pct"/>
            <w:tcBorders>
              <w:top w:val="single" w:sz="4" w:space="0" w:color="D2232A"/>
              <w:left w:val="single" w:sz="4" w:space="0" w:color="D2232A"/>
              <w:bottom w:val="single" w:sz="4" w:space="0" w:color="D2232A"/>
              <w:right w:val="single" w:sz="4" w:space="0" w:color="D2232A"/>
            </w:tcBorders>
          </w:tcPr>
          <w:p w14:paraId="378485BA" w14:textId="77777777" w:rsidR="00DD1B91" w:rsidRPr="00E66AEF" w:rsidRDefault="00DD1B91" w:rsidP="002E207F">
            <w:pPr>
              <w:keepNext/>
              <w:spacing w:before="60" w:after="60"/>
              <w:rPr>
                <w:lang w:val="en-GB"/>
              </w:rPr>
            </w:pPr>
            <w:r w:rsidRPr="00E66AEF">
              <w:rPr>
                <w:lang w:val="en-GB"/>
              </w:rPr>
              <w:t xml:space="preserve">24 dBm &lt; Pmax </w:t>
            </w:r>
            <w:r w:rsidRPr="00E66AEF">
              <w:rPr>
                <w:rFonts w:ascii="Symbol" w:eastAsia="Symbol" w:hAnsi="Symbol" w:cs="Symbol"/>
                <w:lang w:val="en-GB"/>
              </w:rPr>
              <w:sym w:font="Symbol" w:char="F0A3"/>
            </w:r>
            <w:r w:rsidRPr="00E66AEF">
              <w:rPr>
                <w:lang w:val="en-GB"/>
              </w:rPr>
              <w:t xml:space="preserve"> 42 dBm</w:t>
            </w:r>
          </w:p>
        </w:tc>
        <w:tc>
          <w:tcPr>
            <w:tcW w:w="1739" w:type="pct"/>
            <w:tcBorders>
              <w:top w:val="single" w:sz="4" w:space="0" w:color="D2232A"/>
              <w:left w:val="single" w:sz="4" w:space="0" w:color="D2232A"/>
              <w:bottom w:val="single" w:sz="4" w:space="0" w:color="D2232A"/>
              <w:right w:val="single" w:sz="4" w:space="0" w:color="D2232A"/>
            </w:tcBorders>
          </w:tcPr>
          <w:p w14:paraId="720AF307" w14:textId="204848FA" w:rsidR="00DD1B91" w:rsidRPr="00E66AEF" w:rsidRDefault="00DD1B91" w:rsidP="002E207F">
            <w:pPr>
              <w:keepNext/>
              <w:spacing w:before="60" w:after="60"/>
              <w:rPr>
                <w:lang w:val="en-GB"/>
              </w:rPr>
            </w:pPr>
            <w:r w:rsidRPr="00E66AEF">
              <w:rPr>
                <w:lang w:val="en-GB"/>
              </w:rPr>
              <w:t>(Pmax -41) dBm/</w:t>
            </w:r>
            <w:r w:rsidR="0026658B" w:rsidRPr="00E66AEF">
              <w:rPr>
                <w:lang w:val="en-GB"/>
              </w:rPr>
              <w:t>(</w:t>
            </w:r>
            <w:r w:rsidRPr="00E66AEF">
              <w:rPr>
                <w:lang w:val="en-GB"/>
              </w:rPr>
              <w:t>5 MHz</w:t>
            </w:r>
            <w:r w:rsidR="0026658B" w:rsidRPr="00E66AEF">
              <w:rPr>
                <w:lang w:val="en-GB"/>
              </w:rPr>
              <w:t>)</w:t>
            </w:r>
          </w:p>
        </w:tc>
      </w:tr>
      <w:tr w:rsidR="00DD1B91" w:rsidRPr="00E66AEF" w14:paraId="1394898D" w14:textId="77777777" w:rsidTr="00513795">
        <w:trPr>
          <w:jc w:val="center"/>
        </w:trPr>
        <w:tc>
          <w:tcPr>
            <w:tcW w:w="1315" w:type="pct"/>
            <w:tcBorders>
              <w:top w:val="single" w:sz="4" w:space="0" w:color="D2232A"/>
              <w:left w:val="single" w:sz="4" w:space="0" w:color="D2232A"/>
              <w:bottom w:val="single" w:sz="4" w:space="0" w:color="D2232A"/>
              <w:right w:val="single" w:sz="4" w:space="0" w:color="D2232A"/>
            </w:tcBorders>
          </w:tcPr>
          <w:p w14:paraId="72B53093" w14:textId="77777777" w:rsidR="00DD1B91" w:rsidRPr="00E66AEF" w:rsidRDefault="00DD1B91" w:rsidP="002E207F">
            <w:pPr>
              <w:keepNext/>
              <w:spacing w:before="60" w:after="60"/>
              <w:rPr>
                <w:lang w:val="en-GB"/>
              </w:rPr>
            </w:pPr>
            <w:r w:rsidRPr="00E66AEF">
              <w:rPr>
                <w:lang w:val="en-GB"/>
              </w:rPr>
              <w:t>Additional baseline</w:t>
            </w:r>
          </w:p>
        </w:tc>
        <w:tc>
          <w:tcPr>
            <w:tcW w:w="1945" w:type="pct"/>
            <w:tcBorders>
              <w:top w:val="single" w:sz="4" w:space="0" w:color="D2232A"/>
              <w:left w:val="single" w:sz="4" w:space="0" w:color="D2232A"/>
              <w:bottom w:val="single" w:sz="4" w:space="0" w:color="D2232A"/>
              <w:right w:val="single" w:sz="4" w:space="0" w:color="D2232A"/>
            </w:tcBorders>
          </w:tcPr>
          <w:p w14:paraId="2C157821" w14:textId="77777777" w:rsidR="00DD1B91" w:rsidRPr="00E66AEF" w:rsidRDefault="00DD1B91" w:rsidP="002E207F">
            <w:pPr>
              <w:keepNext/>
              <w:spacing w:before="60" w:after="60"/>
              <w:rPr>
                <w:lang w:val="en-GB"/>
              </w:rPr>
            </w:pPr>
            <w:r w:rsidRPr="00E66AEF">
              <w:rPr>
                <w:lang w:val="en-GB"/>
              </w:rPr>
              <w:t xml:space="preserve">Pmax </w:t>
            </w:r>
            <w:r w:rsidRPr="00E66AEF">
              <w:rPr>
                <w:rFonts w:ascii="Symbol" w:eastAsia="Symbol" w:hAnsi="Symbol" w:cs="Symbol"/>
                <w:lang w:val="en-GB"/>
              </w:rPr>
              <w:sym w:font="Symbol" w:char="F0A3"/>
            </w:r>
            <w:r w:rsidRPr="00E66AEF">
              <w:rPr>
                <w:lang w:val="en-GB"/>
              </w:rPr>
              <w:t xml:space="preserve"> 24 dBm</w:t>
            </w:r>
          </w:p>
        </w:tc>
        <w:tc>
          <w:tcPr>
            <w:tcW w:w="1739" w:type="pct"/>
            <w:tcBorders>
              <w:top w:val="single" w:sz="4" w:space="0" w:color="D2232A"/>
              <w:left w:val="single" w:sz="4" w:space="0" w:color="D2232A"/>
              <w:bottom w:val="single" w:sz="4" w:space="0" w:color="D2232A"/>
              <w:right w:val="single" w:sz="4" w:space="0" w:color="D2232A"/>
            </w:tcBorders>
          </w:tcPr>
          <w:p w14:paraId="4EAE6639" w14:textId="5D985238" w:rsidR="00DD1B91" w:rsidRPr="00E66AEF" w:rsidRDefault="00DD1B91" w:rsidP="002E207F">
            <w:pPr>
              <w:keepNext/>
              <w:spacing w:before="60" w:after="60"/>
              <w:rPr>
                <w:lang w:val="en-GB"/>
              </w:rPr>
            </w:pPr>
            <w:r w:rsidRPr="00E66AEF">
              <w:rPr>
                <w:lang w:val="en-GB"/>
              </w:rPr>
              <w:t>-17 dBm/</w:t>
            </w:r>
            <w:r w:rsidR="0026658B" w:rsidRPr="00E66AEF">
              <w:rPr>
                <w:lang w:val="en-GB"/>
              </w:rPr>
              <w:t>(</w:t>
            </w:r>
            <w:r w:rsidRPr="00E66AEF">
              <w:rPr>
                <w:lang w:val="en-GB"/>
              </w:rPr>
              <w:t>5 MHz</w:t>
            </w:r>
            <w:r w:rsidR="0026658B" w:rsidRPr="00E66AEF">
              <w:rPr>
                <w:lang w:val="en-GB"/>
              </w:rPr>
              <w:t>)</w:t>
            </w:r>
          </w:p>
        </w:tc>
      </w:tr>
      <w:tr w:rsidR="00654E8C" w:rsidRPr="00E66AEF" w14:paraId="57F36DD6" w14:textId="77777777" w:rsidTr="00513795">
        <w:trPr>
          <w:jc w:val="center"/>
        </w:trPr>
        <w:tc>
          <w:tcPr>
            <w:tcW w:w="5000" w:type="pct"/>
            <w:gridSpan w:val="3"/>
            <w:tcBorders>
              <w:top w:val="single" w:sz="4" w:space="0" w:color="D2232A"/>
              <w:left w:val="single" w:sz="4" w:space="0" w:color="D2232A"/>
              <w:bottom w:val="single" w:sz="4" w:space="0" w:color="D2232A"/>
              <w:right w:val="single" w:sz="4" w:space="0" w:color="D2232A"/>
            </w:tcBorders>
            <w:vAlign w:val="center"/>
          </w:tcPr>
          <w:p w14:paraId="543FEF01" w14:textId="77777777" w:rsidR="00654E8C" w:rsidRPr="00E66AEF" w:rsidRDefault="00654E8C" w:rsidP="00513795">
            <w:pPr>
              <w:pStyle w:val="ECCTablenote"/>
            </w:pPr>
            <w:r w:rsidRPr="00E66AEF">
              <w:t>Note 1: In a multi-sector base station, the radiated power limit applies to each one of the individual sectors.</w:t>
            </w:r>
          </w:p>
          <w:p w14:paraId="67D0FFD5" w14:textId="33C0E663" w:rsidR="00654E8C" w:rsidRPr="00E66AEF" w:rsidRDefault="00654E8C" w:rsidP="00513795">
            <w:pPr>
              <w:pStyle w:val="ECCTablenote"/>
            </w:pPr>
            <w:bookmarkStart w:id="11" w:name="_Hlk121392765"/>
            <w:r w:rsidRPr="00E66AEF">
              <w:t>Note 2: Pmax is the total maximum mean carrier power in dBm for the base station measured as e.i.r.p. per carrier in a given cell.</w:t>
            </w:r>
            <w:bookmarkEnd w:id="11"/>
          </w:p>
        </w:tc>
      </w:tr>
    </w:tbl>
    <w:p w14:paraId="1E32E10F" w14:textId="62E988F8" w:rsidR="00F81642" w:rsidRPr="00E66AEF" w:rsidRDefault="00F81642" w:rsidP="00A05E09">
      <w:pPr>
        <w:pStyle w:val="ECCTabletitle"/>
      </w:pPr>
      <w:bookmarkStart w:id="12" w:name="_Ref116564724"/>
      <w:r w:rsidRPr="00E66AEF">
        <w:t>Additional baseline power limits above 2403 MHz, for AAS BS</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21"/>
        <w:gridCol w:w="4216"/>
        <w:gridCol w:w="3297"/>
      </w:tblGrid>
      <w:tr w:rsidR="00F81642" w:rsidRPr="00E66AEF" w14:paraId="76B9B3E9" w14:textId="77777777" w:rsidTr="004C5D99">
        <w:trPr>
          <w:trHeight w:val="266"/>
          <w:tblHeader/>
          <w:jc w:val="center"/>
        </w:trPr>
        <w:tc>
          <w:tcPr>
            <w:tcW w:w="1101" w:type="pct"/>
            <w:tcBorders>
              <w:top w:val="single" w:sz="4" w:space="0" w:color="D2232A"/>
              <w:left w:val="single" w:sz="4" w:space="0" w:color="D2232A"/>
              <w:bottom w:val="single" w:sz="4" w:space="0" w:color="D2232A"/>
              <w:right w:val="single" w:sz="4" w:space="0" w:color="FFFFFF" w:themeColor="background1"/>
            </w:tcBorders>
            <w:shd w:val="clear" w:color="auto" w:fill="D2232A"/>
          </w:tcPr>
          <w:p w14:paraId="51EFD761" w14:textId="77777777" w:rsidR="00F81642" w:rsidRPr="00E66AEF" w:rsidRDefault="00F81642" w:rsidP="008D345F">
            <w:pPr>
              <w:keepNext/>
              <w:keepLines/>
              <w:spacing w:before="120" w:after="120" w:line="288" w:lineRule="auto"/>
              <w:jc w:val="center"/>
              <w:rPr>
                <w:b/>
                <w:color w:val="FFFFFF"/>
                <w:lang w:val="en-GB"/>
              </w:rPr>
            </w:pPr>
            <w:r w:rsidRPr="00E66AEF">
              <w:rPr>
                <w:b/>
                <w:color w:val="FFFFFF"/>
                <w:lang w:val="en-GB"/>
              </w:rPr>
              <w:t>BEM element</w:t>
            </w:r>
          </w:p>
        </w:tc>
        <w:tc>
          <w:tcPr>
            <w:tcW w:w="2188" w:type="pct"/>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14:paraId="7926765B" w14:textId="77121CC9" w:rsidR="00F81642" w:rsidRPr="00E66AEF" w:rsidRDefault="00F81642" w:rsidP="008D345F">
            <w:pPr>
              <w:keepNext/>
              <w:keepLines/>
              <w:spacing w:before="120" w:after="120" w:line="288" w:lineRule="auto"/>
              <w:jc w:val="center"/>
              <w:rPr>
                <w:b/>
                <w:color w:val="FFFFFF"/>
                <w:lang w:val="en-GB"/>
              </w:rPr>
            </w:pPr>
            <w:r w:rsidRPr="00E66AEF">
              <w:rPr>
                <w:b/>
                <w:color w:val="FFFFFF"/>
                <w:lang w:val="en-GB"/>
              </w:rPr>
              <w:t>AAS BS maximum mean carrier power</w:t>
            </w:r>
          </w:p>
        </w:tc>
        <w:tc>
          <w:tcPr>
            <w:tcW w:w="1711" w:type="pct"/>
            <w:tcBorders>
              <w:top w:val="single" w:sz="4" w:space="0" w:color="D2232A"/>
              <w:left w:val="single" w:sz="4" w:space="0" w:color="FFFFFF" w:themeColor="background1"/>
              <w:bottom w:val="single" w:sz="4" w:space="0" w:color="D2232A"/>
              <w:right w:val="nil"/>
            </w:tcBorders>
            <w:shd w:val="clear" w:color="auto" w:fill="D2232A"/>
          </w:tcPr>
          <w:p w14:paraId="53978442" w14:textId="6D1566F9" w:rsidR="00F81642" w:rsidRPr="00E66AEF" w:rsidRDefault="00F81642" w:rsidP="008D345F">
            <w:pPr>
              <w:keepNext/>
              <w:keepLines/>
              <w:spacing w:before="120" w:after="120" w:line="288" w:lineRule="auto"/>
              <w:jc w:val="center"/>
              <w:rPr>
                <w:b/>
                <w:color w:val="FFFFFF"/>
                <w:lang w:val="en-GB"/>
              </w:rPr>
            </w:pPr>
            <w:r w:rsidRPr="00E66AEF">
              <w:rPr>
                <w:b/>
                <w:color w:val="FFFFFF"/>
                <w:lang w:val="en-GB"/>
              </w:rPr>
              <w:t>AAS TRP limit per cell (Note 1)</w:t>
            </w:r>
          </w:p>
        </w:tc>
      </w:tr>
      <w:tr w:rsidR="00F81642" w:rsidRPr="00E66AEF" w14:paraId="153DF398" w14:textId="77777777" w:rsidTr="004C5D99">
        <w:trPr>
          <w:jc w:val="center"/>
        </w:trPr>
        <w:tc>
          <w:tcPr>
            <w:tcW w:w="1101" w:type="pct"/>
            <w:tcBorders>
              <w:top w:val="single" w:sz="4" w:space="0" w:color="D2232A"/>
              <w:left w:val="single" w:sz="4" w:space="0" w:color="D2232A"/>
              <w:bottom w:val="single" w:sz="4" w:space="0" w:color="D2232A"/>
              <w:right w:val="single" w:sz="4" w:space="0" w:color="D2232A"/>
            </w:tcBorders>
            <w:vAlign w:val="center"/>
          </w:tcPr>
          <w:p w14:paraId="4D37ECFA" w14:textId="77777777" w:rsidR="00F81642" w:rsidRPr="00E66AEF" w:rsidRDefault="00F81642" w:rsidP="008D345F">
            <w:pPr>
              <w:keepNext/>
              <w:keepLines/>
              <w:spacing w:before="60" w:after="60"/>
              <w:rPr>
                <w:lang w:val="en-GB"/>
              </w:rPr>
            </w:pPr>
            <w:r w:rsidRPr="00E66AEF">
              <w:rPr>
                <w:lang w:val="en-GB"/>
              </w:rPr>
              <w:t>Additional baseline</w:t>
            </w:r>
          </w:p>
        </w:tc>
        <w:tc>
          <w:tcPr>
            <w:tcW w:w="2188" w:type="pct"/>
            <w:tcBorders>
              <w:top w:val="single" w:sz="4" w:space="0" w:color="D2232A"/>
              <w:left w:val="single" w:sz="4" w:space="0" w:color="D2232A"/>
              <w:bottom w:val="single" w:sz="4" w:space="0" w:color="D2232A"/>
              <w:right w:val="single" w:sz="4" w:space="0" w:color="D2232A"/>
            </w:tcBorders>
            <w:vAlign w:val="center"/>
          </w:tcPr>
          <w:p w14:paraId="758B0C0F" w14:textId="11024727" w:rsidR="00F81642" w:rsidRPr="00E66AEF" w:rsidRDefault="00F81642" w:rsidP="008D345F">
            <w:pPr>
              <w:keepNext/>
              <w:keepLines/>
              <w:spacing w:before="60" w:after="60"/>
              <w:rPr>
                <w:lang w:val="en-GB"/>
              </w:rPr>
            </w:pPr>
            <w:r w:rsidRPr="00E66AEF">
              <w:rPr>
                <w:lang w:val="en-GB"/>
              </w:rPr>
              <w:t>Pmax' &gt; 47 dBm</w:t>
            </w:r>
          </w:p>
        </w:tc>
        <w:tc>
          <w:tcPr>
            <w:tcW w:w="1711" w:type="pct"/>
            <w:tcBorders>
              <w:top w:val="single" w:sz="4" w:space="0" w:color="D2232A"/>
              <w:left w:val="single" w:sz="4" w:space="0" w:color="D2232A"/>
              <w:bottom w:val="single" w:sz="4" w:space="0" w:color="D2232A"/>
              <w:right w:val="single" w:sz="4" w:space="0" w:color="D2232A"/>
            </w:tcBorders>
            <w:vAlign w:val="center"/>
          </w:tcPr>
          <w:p w14:paraId="725A8219" w14:textId="440E97EF" w:rsidR="00F81642" w:rsidRPr="00E66AEF" w:rsidRDefault="00F81642" w:rsidP="008D345F">
            <w:pPr>
              <w:keepNext/>
              <w:keepLines/>
              <w:spacing w:before="60" w:after="60"/>
              <w:rPr>
                <w:lang w:val="en-GB"/>
              </w:rPr>
            </w:pPr>
            <w:r w:rsidRPr="00E66AEF">
              <w:rPr>
                <w:lang w:val="en-GB"/>
              </w:rPr>
              <w:t>-13 dBm/</w:t>
            </w:r>
            <w:r w:rsidR="00030947" w:rsidRPr="00E66AEF">
              <w:rPr>
                <w:lang w:val="en-GB"/>
              </w:rPr>
              <w:t>(</w:t>
            </w:r>
            <w:r w:rsidRPr="00E66AEF">
              <w:rPr>
                <w:lang w:val="en-GB"/>
              </w:rPr>
              <w:t>5 MHz</w:t>
            </w:r>
            <w:r w:rsidR="00030947" w:rsidRPr="00E66AEF">
              <w:rPr>
                <w:lang w:val="en-GB"/>
              </w:rPr>
              <w:t>)</w:t>
            </w:r>
          </w:p>
        </w:tc>
      </w:tr>
      <w:tr w:rsidR="00F81642" w:rsidRPr="00E66AEF" w14:paraId="18659288" w14:textId="77777777" w:rsidTr="004C5D99">
        <w:trPr>
          <w:jc w:val="center"/>
        </w:trPr>
        <w:tc>
          <w:tcPr>
            <w:tcW w:w="1101" w:type="pct"/>
            <w:tcBorders>
              <w:top w:val="single" w:sz="4" w:space="0" w:color="D2232A"/>
              <w:left w:val="single" w:sz="4" w:space="0" w:color="D2232A"/>
              <w:bottom w:val="single" w:sz="4" w:space="0" w:color="D2232A"/>
              <w:right w:val="single" w:sz="4" w:space="0" w:color="D2232A"/>
            </w:tcBorders>
            <w:vAlign w:val="center"/>
          </w:tcPr>
          <w:p w14:paraId="04B6C119" w14:textId="77777777" w:rsidR="00F81642" w:rsidRPr="00E66AEF" w:rsidRDefault="00F81642" w:rsidP="008D345F">
            <w:pPr>
              <w:keepNext/>
              <w:keepLines/>
              <w:spacing w:before="60" w:after="60"/>
              <w:rPr>
                <w:lang w:val="en-GB"/>
              </w:rPr>
            </w:pPr>
            <w:r w:rsidRPr="00E66AEF">
              <w:rPr>
                <w:lang w:val="en-GB"/>
              </w:rPr>
              <w:t>Additional baseline</w:t>
            </w:r>
          </w:p>
        </w:tc>
        <w:tc>
          <w:tcPr>
            <w:tcW w:w="2188" w:type="pct"/>
            <w:tcBorders>
              <w:top w:val="single" w:sz="4" w:space="0" w:color="D2232A"/>
              <w:left w:val="single" w:sz="4" w:space="0" w:color="D2232A"/>
              <w:bottom w:val="single" w:sz="4" w:space="0" w:color="D2232A"/>
              <w:right w:val="single" w:sz="4" w:space="0" w:color="D2232A"/>
            </w:tcBorders>
            <w:vAlign w:val="center"/>
          </w:tcPr>
          <w:p w14:paraId="721A9C5E" w14:textId="7EE79698" w:rsidR="00F81642" w:rsidRPr="00E66AEF" w:rsidRDefault="00F81642" w:rsidP="008D345F">
            <w:pPr>
              <w:keepNext/>
              <w:keepLines/>
              <w:spacing w:before="60" w:after="60"/>
              <w:rPr>
                <w:lang w:val="en-GB"/>
              </w:rPr>
            </w:pPr>
            <w:r w:rsidRPr="00E66AEF">
              <w:rPr>
                <w:lang w:val="en-GB"/>
              </w:rPr>
              <w:t xml:space="preserve">33 dBm &lt; Pmax' </w:t>
            </w:r>
            <w:r w:rsidRPr="00E66AEF">
              <w:rPr>
                <w:rFonts w:ascii="Symbol" w:eastAsia="Symbol" w:hAnsi="Symbol" w:cs="Symbol"/>
                <w:lang w:val="en-GB"/>
              </w:rPr>
              <w:sym w:font="Symbol" w:char="F0A3"/>
            </w:r>
            <w:r w:rsidRPr="00E66AEF">
              <w:rPr>
                <w:lang w:val="en-GB"/>
              </w:rPr>
              <w:t xml:space="preserve"> 47 dBm</w:t>
            </w:r>
          </w:p>
        </w:tc>
        <w:tc>
          <w:tcPr>
            <w:tcW w:w="1711" w:type="pct"/>
            <w:tcBorders>
              <w:top w:val="single" w:sz="4" w:space="0" w:color="D2232A"/>
              <w:left w:val="single" w:sz="4" w:space="0" w:color="D2232A"/>
              <w:bottom w:val="single" w:sz="4" w:space="0" w:color="D2232A"/>
              <w:right w:val="single" w:sz="4" w:space="0" w:color="D2232A"/>
            </w:tcBorders>
            <w:vAlign w:val="center"/>
          </w:tcPr>
          <w:p w14:paraId="01EDBC83" w14:textId="4D4A7CA4" w:rsidR="00F81642" w:rsidRPr="00E66AEF" w:rsidRDefault="00F81642" w:rsidP="008D345F">
            <w:pPr>
              <w:keepNext/>
              <w:keepLines/>
              <w:spacing w:before="60" w:after="60"/>
              <w:rPr>
                <w:lang w:val="en-GB"/>
              </w:rPr>
            </w:pPr>
            <w:r w:rsidRPr="00E66AEF">
              <w:rPr>
                <w:lang w:val="en-GB"/>
              </w:rPr>
              <w:t>(Pmax' – 60) dBm/</w:t>
            </w:r>
            <w:r w:rsidR="00030947" w:rsidRPr="00E66AEF">
              <w:rPr>
                <w:lang w:val="en-GB"/>
              </w:rPr>
              <w:t>(</w:t>
            </w:r>
            <w:r w:rsidRPr="00E66AEF">
              <w:rPr>
                <w:lang w:val="en-GB"/>
              </w:rPr>
              <w:t>5 MHz</w:t>
            </w:r>
            <w:r w:rsidR="00030947" w:rsidRPr="00E66AEF">
              <w:rPr>
                <w:lang w:val="en-GB"/>
              </w:rPr>
              <w:t>)</w:t>
            </w:r>
          </w:p>
        </w:tc>
      </w:tr>
      <w:tr w:rsidR="00F81642" w:rsidRPr="00E66AEF" w14:paraId="6A486B7F" w14:textId="77777777" w:rsidTr="004C5D99">
        <w:trPr>
          <w:jc w:val="center"/>
        </w:trPr>
        <w:tc>
          <w:tcPr>
            <w:tcW w:w="1101" w:type="pct"/>
            <w:tcBorders>
              <w:top w:val="single" w:sz="4" w:space="0" w:color="D2232A"/>
              <w:left w:val="single" w:sz="4" w:space="0" w:color="D2232A"/>
              <w:bottom w:val="single" w:sz="4" w:space="0" w:color="D2232A"/>
              <w:right w:val="single" w:sz="4" w:space="0" w:color="D2232A"/>
            </w:tcBorders>
            <w:vAlign w:val="center"/>
          </w:tcPr>
          <w:p w14:paraId="0BB333F1" w14:textId="77777777" w:rsidR="00F81642" w:rsidRPr="00E66AEF" w:rsidRDefault="00F81642" w:rsidP="008D345F">
            <w:pPr>
              <w:keepNext/>
              <w:keepLines/>
              <w:spacing w:before="60" w:after="60"/>
              <w:rPr>
                <w:lang w:val="en-GB"/>
              </w:rPr>
            </w:pPr>
            <w:r w:rsidRPr="00E66AEF">
              <w:rPr>
                <w:lang w:val="en-GB"/>
              </w:rPr>
              <w:t>Additional baseline</w:t>
            </w:r>
          </w:p>
        </w:tc>
        <w:tc>
          <w:tcPr>
            <w:tcW w:w="2188" w:type="pct"/>
            <w:tcBorders>
              <w:top w:val="single" w:sz="4" w:space="0" w:color="D2232A"/>
              <w:left w:val="single" w:sz="4" w:space="0" w:color="D2232A"/>
              <w:bottom w:val="single" w:sz="4" w:space="0" w:color="D2232A"/>
              <w:right w:val="single" w:sz="4" w:space="0" w:color="D2232A"/>
            </w:tcBorders>
            <w:vAlign w:val="center"/>
          </w:tcPr>
          <w:p w14:paraId="74DC686F" w14:textId="1F705885" w:rsidR="00F81642" w:rsidRPr="00E66AEF" w:rsidRDefault="00F81642" w:rsidP="008D345F">
            <w:pPr>
              <w:keepNext/>
              <w:keepLines/>
              <w:spacing w:before="60" w:after="60"/>
              <w:rPr>
                <w:lang w:val="en-GB"/>
              </w:rPr>
            </w:pPr>
            <w:r w:rsidRPr="00E66AEF">
              <w:rPr>
                <w:lang w:val="en-GB"/>
              </w:rPr>
              <w:t xml:space="preserve">Pmax' </w:t>
            </w:r>
            <w:r w:rsidRPr="00E66AEF">
              <w:rPr>
                <w:rFonts w:ascii="Symbol" w:eastAsia="Symbol" w:hAnsi="Symbol" w:cs="Symbol"/>
                <w:lang w:val="en-GB"/>
              </w:rPr>
              <w:sym w:font="Symbol" w:char="F0A3"/>
            </w:r>
            <w:r w:rsidRPr="00E66AEF">
              <w:rPr>
                <w:lang w:val="en-GB"/>
              </w:rPr>
              <w:t xml:space="preserve"> 33 dBm</w:t>
            </w:r>
          </w:p>
        </w:tc>
        <w:tc>
          <w:tcPr>
            <w:tcW w:w="1711" w:type="pct"/>
            <w:tcBorders>
              <w:top w:val="single" w:sz="4" w:space="0" w:color="D2232A"/>
              <w:left w:val="single" w:sz="4" w:space="0" w:color="D2232A"/>
              <w:bottom w:val="single" w:sz="4" w:space="0" w:color="D2232A"/>
              <w:right w:val="single" w:sz="4" w:space="0" w:color="D2232A"/>
            </w:tcBorders>
            <w:vAlign w:val="center"/>
          </w:tcPr>
          <w:p w14:paraId="469F59E4" w14:textId="365DF5E1" w:rsidR="00F81642" w:rsidRPr="00E66AEF" w:rsidRDefault="00F81642" w:rsidP="008D345F">
            <w:pPr>
              <w:keepNext/>
              <w:keepLines/>
              <w:spacing w:before="60" w:after="60"/>
              <w:rPr>
                <w:lang w:val="en-GB"/>
              </w:rPr>
            </w:pPr>
            <w:r w:rsidRPr="00E66AEF">
              <w:rPr>
                <w:lang w:val="en-GB"/>
              </w:rPr>
              <w:t>-27 dBm/</w:t>
            </w:r>
            <w:r w:rsidR="00030947" w:rsidRPr="00E66AEF">
              <w:rPr>
                <w:lang w:val="en-GB"/>
              </w:rPr>
              <w:t>(</w:t>
            </w:r>
            <w:r w:rsidRPr="00E66AEF">
              <w:rPr>
                <w:lang w:val="en-GB"/>
              </w:rPr>
              <w:t>5 MHz</w:t>
            </w:r>
            <w:r w:rsidR="00030947" w:rsidRPr="00E66AEF">
              <w:rPr>
                <w:lang w:val="en-GB"/>
              </w:rPr>
              <w:t>)</w:t>
            </w:r>
          </w:p>
        </w:tc>
      </w:tr>
      <w:tr w:rsidR="00F81642" w:rsidRPr="00E66AEF" w14:paraId="7EC609E1" w14:textId="77777777" w:rsidTr="00637FB1">
        <w:trPr>
          <w:jc w:val="center"/>
        </w:trPr>
        <w:tc>
          <w:tcPr>
            <w:tcW w:w="5000" w:type="pct"/>
            <w:gridSpan w:val="3"/>
            <w:tcBorders>
              <w:top w:val="single" w:sz="4" w:space="0" w:color="D2232A"/>
              <w:left w:val="single" w:sz="4" w:space="0" w:color="D2232A"/>
              <w:bottom w:val="single" w:sz="4" w:space="0" w:color="D2232A"/>
              <w:right w:val="single" w:sz="4" w:space="0" w:color="D2232A"/>
            </w:tcBorders>
            <w:vAlign w:val="center"/>
          </w:tcPr>
          <w:p w14:paraId="64A4D19A" w14:textId="77777777" w:rsidR="00AE11D9" w:rsidRPr="00E66AEF" w:rsidRDefault="00F81642" w:rsidP="00513795">
            <w:pPr>
              <w:pStyle w:val="ECCTablenote"/>
            </w:pPr>
            <w:r w:rsidRPr="00E66AEF">
              <w:t xml:space="preserve">Note 1: In a multi-sector base station, the radiated power limit applies to each </w:t>
            </w:r>
            <w:r w:rsidR="009D4D10" w:rsidRPr="00E66AEF">
              <w:t xml:space="preserve">one of the </w:t>
            </w:r>
            <w:r w:rsidRPr="00E66AEF">
              <w:t>individual sector</w:t>
            </w:r>
            <w:r w:rsidR="009D4D10" w:rsidRPr="00E66AEF">
              <w:t>s</w:t>
            </w:r>
            <w:r w:rsidRPr="00E66AEF">
              <w:t>.</w:t>
            </w:r>
          </w:p>
          <w:p w14:paraId="6E24DC5B" w14:textId="33973012" w:rsidR="003234DF" w:rsidRPr="00E66AEF" w:rsidRDefault="003234DF" w:rsidP="00513795">
            <w:pPr>
              <w:pStyle w:val="ECCTablenote"/>
            </w:pPr>
            <w:r w:rsidRPr="00E66AEF">
              <w:t>Note 2: Pmax' is the maximum mean carrier power in dBm for the base station measured as TRP per carrier in a given cell.</w:t>
            </w:r>
          </w:p>
          <w:p w14:paraId="3DE46A12" w14:textId="4DAE9C3E" w:rsidR="00F81642" w:rsidRPr="00E66AEF" w:rsidDel="00673588" w:rsidRDefault="00F81642" w:rsidP="00513795">
            <w:pPr>
              <w:pStyle w:val="ECCTablenote"/>
            </w:pPr>
            <w:r w:rsidRPr="00E66AEF">
              <w:t xml:space="preserve">Note </w:t>
            </w:r>
            <w:r w:rsidR="003234DF" w:rsidRPr="00E66AEF">
              <w:t>3</w:t>
            </w:r>
            <w:r w:rsidRPr="00E66AEF">
              <w:t xml:space="preserve">: CEPT administrations which have already issued licences for AAS BS before the adoption of this ECC Decision with an additional baseline power limit different from the above may apply such limit provided it complies with cross-border obligations, assuming that the overall coexistence as studied in ECC Report 347 </w:t>
            </w:r>
            <w:r w:rsidR="008329E8" w:rsidRPr="00E66AEF">
              <w:fldChar w:fldCharType="begin"/>
            </w:r>
            <w:r w:rsidR="008329E8" w:rsidRPr="00E66AEF">
              <w:instrText xml:space="preserve"> REF _Ref116565103 \r \h </w:instrText>
            </w:r>
            <w:r w:rsidR="008329E8" w:rsidRPr="00E66AEF">
              <w:fldChar w:fldCharType="separate"/>
            </w:r>
            <w:r w:rsidR="008329E8" w:rsidRPr="00E66AEF">
              <w:t>[2]</w:t>
            </w:r>
            <w:r w:rsidR="008329E8" w:rsidRPr="00E66AEF">
              <w:fldChar w:fldCharType="end"/>
            </w:r>
            <w:r w:rsidR="008329E8" w:rsidRPr="00E66AEF">
              <w:t xml:space="preserve"> </w:t>
            </w:r>
            <w:r w:rsidRPr="00E66AEF">
              <w:t>is still ensured through other measures (e.g. frequency separation)</w:t>
            </w:r>
            <w:r w:rsidR="00340205" w:rsidRPr="00E66AEF">
              <w:t>.</w:t>
            </w:r>
          </w:p>
        </w:tc>
      </w:tr>
    </w:tbl>
    <w:p w14:paraId="409DC60B" w14:textId="4D20092E" w:rsidR="0062345A" w:rsidRPr="00E66AEF" w:rsidRDefault="0062345A" w:rsidP="0062345A">
      <w:pPr>
        <w:pStyle w:val="ECCAnnexheading3"/>
        <w:keepNext/>
        <w:rPr>
          <w:lang w:val="en-GB"/>
        </w:rPr>
      </w:pPr>
      <w:r w:rsidRPr="00E66AEF">
        <w:rPr>
          <w:lang w:val="en-GB"/>
        </w:rPr>
        <w:t xml:space="preserve">Transitional region requirements for </w:t>
      </w:r>
      <w:r w:rsidR="003C3EBD" w:rsidRPr="00E66AEF">
        <w:rPr>
          <w:lang w:val="en-GB"/>
        </w:rPr>
        <w:t xml:space="preserve">TDD </w:t>
      </w:r>
      <w:r w:rsidRPr="00E66AEF">
        <w:rPr>
          <w:lang w:val="en-GB"/>
        </w:rPr>
        <w:t>MFCN base stations</w:t>
      </w:r>
    </w:p>
    <w:p w14:paraId="7FC362BE" w14:textId="517F9ADF" w:rsidR="0062345A" w:rsidRPr="00E66AEF" w:rsidRDefault="00833492" w:rsidP="00A4748F">
      <w:pPr>
        <w:pStyle w:val="ECCParagraph"/>
      </w:pPr>
      <w:r w:rsidRPr="00E66AEF">
        <w:t xml:space="preserve">The </w:t>
      </w:r>
      <w:r w:rsidR="0062345A" w:rsidRPr="00E66AEF">
        <w:t>transitional region requirements for unsynchronised</w:t>
      </w:r>
      <w:r w:rsidR="005459A6">
        <w:t xml:space="preserve"> (and se</w:t>
      </w:r>
      <w:r w:rsidR="00195597">
        <w:t>m</w:t>
      </w:r>
      <w:r w:rsidR="005459A6">
        <w:t>i-synchronised)</w:t>
      </w:r>
      <w:r w:rsidR="0062345A" w:rsidRPr="00E66AEF">
        <w:t xml:space="preserve"> (when applicable) and synchronised </w:t>
      </w:r>
      <w:r w:rsidR="00181E1B" w:rsidRPr="00181E1B">
        <w:t xml:space="preserve">non-AAS and AAS </w:t>
      </w:r>
      <w:r w:rsidR="0062345A" w:rsidRPr="00E66AEF">
        <w:t>MFCN base stations</w:t>
      </w:r>
      <w:r w:rsidR="004960B8" w:rsidRPr="00E66AEF">
        <w:t xml:space="preserve"> </w:t>
      </w:r>
      <w:r w:rsidR="0067132D" w:rsidRPr="00531804">
        <w:t xml:space="preserve">are provided in </w:t>
      </w:r>
      <w:r w:rsidR="0067132D" w:rsidRPr="00531804">
        <w:fldChar w:fldCharType="begin"/>
      </w:r>
      <w:r w:rsidR="0067132D" w:rsidRPr="00531804">
        <w:instrText xml:space="preserve"> REF _Ref123889055 \n \h </w:instrText>
      </w:r>
      <w:r w:rsidR="0067132D" w:rsidRPr="00531804">
        <w:fldChar w:fldCharType="separate"/>
      </w:r>
      <w:r w:rsidR="0067132D" w:rsidRPr="00531804">
        <w:t>Table 6</w:t>
      </w:r>
      <w:r w:rsidR="0067132D" w:rsidRPr="00531804">
        <w:fldChar w:fldCharType="end"/>
      </w:r>
      <w:r w:rsidR="0062345A" w:rsidRPr="00E66AEF">
        <w:t>.</w:t>
      </w:r>
    </w:p>
    <w:p w14:paraId="754997CA" w14:textId="5615B073" w:rsidR="005673A4" w:rsidRPr="00E66AEF" w:rsidRDefault="00C15853" w:rsidP="00A05E09">
      <w:pPr>
        <w:pStyle w:val="ECCTabletitle"/>
      </w:pPr>
      <w:bookmarkStart w:id="13" w:name="_Ref123889055"/>
      <w:r w:rsidRPr="00E66AEF">
        <w:lastRenderedPageBreak/>
        <w:t xml:space="preserve">Transitional region </w:t>
      </w:r>
      <w:r w:rsidR="00CB42C4" w:rsidRPr="00E66AEF">
        <w:t xml:space="preserve">power limits </w:t>
      </w:r>
      <w:r w:rsidRPr="00E66AEF">
        <w:t>(when applicable)</w:t>
      </w:r>
      <w:r w:rsidR="00CB42C4" w:rsidRPr="00E66AEF">
        <w:t>, for non-AAS and AAS BS</w:t>
      </w:r>
      <w:r w:rsidRPr="00E66AEF">
        <w:t xml:space="preserve"> </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555"/>
        <w:gridCol w:w="4110"/>
        <w:gridCol w:w="1985"/>
        <w:gridCol w:w="1984"/>
      </w:tblGrid>
      <w:tr w:rsidR="00463AF2" w:rsidRPr="00E66AEF" w14:paraId="61D8DA9E" w14:textId="63D3FAB3" w:rsidTr="00513795">
        <w:trPr>
          <w:tblHeader/>
        </w:trPr>
        <w:tc>
          <w:tcPr>
            <w:tcW w:w="1555" w:type="dxa"/>
            <w:tcBorders>
              <w:top w:val="single" w:sz="4" w:space="0" w:color="D2232A"/>
              <w:left w:val="single" w:sz="4" w:space="0" w:color="D2232A"/>
              <w:bottom w:val="single" w:sz="4" w:space="0" w:color="D2232A"/>
              <w:right w:val="single" w:sz="4" w:space="0" w:color="FFFFFF" w:themeColor="background1"/>
            </w:tcBorders>
            <w:shd w:val="clear" w:color="auto" w:fill="D2232A"/>
          </w:tcPr>
          <w:p w14:paraId="3C41EC1F" w14:textId="1787D416" w:rsidR="00463AF2" w:rsidRPr="00E66AEF" w:rsidRDefault="00463AF2" w:rsidP="008D20E2">
            <w:pPr>
              <w:spacing w:before="120" w:after="120"/>
              <w:jc w:val="center"/>
              <w:rPr>
                <w:b/>
                <w:color w:val="FFFFFF" w:themeColor="background1"/>
                <w:lang w:val="en-GB"/>
              </w:rPr>
            </w:pPr>
            <w:r w:rsidRPr="00E66AEF">
              <w:rPr>
                <w:b/>
                <w:color w:val="FFFFFF" w:themeColor="background1"/>
                <w:lang w:val="en-GB"/>
              </w:rPr>
              <w:t>BEM element</w:t>
            </w:r>
          </w:p>
        </w:tc>
        <w:tc>
          <w:tcPr>
            <w:tcW w:w="4110"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14:paraId="480C4477" w14:textId="0C095882" w:rsidR="00463AF2" w:rsidRPr="00E66AEF" w:rsidRDefault="00463AF2" w:rsidP="008D20E2">
            <w:pPr>
              <w:keepNext/>
              <w:spacing w:before="120" w:after="120" w:line="288" w:lineRule="auto"/>
              <w:jc w:val="center"/>
              <w:rPr>
                <w:b/>
                <w:color w:val="FFFFFF"/>
                <w:lang w:val="en-GB"/>
              </w:rPr>
            </w:pPr>
            <w:r w:rsidRPr="00E66AEF">
              <w:rPr>
                <w:b/>
                <w:color w:val="FFFFFF"/>
                <w:lang w:val="en-GB"/>
              </w:rPr>
              <w:t>Frequency range</w:t>
            </w:r>
          </w:p>
        </w:tc>
        <w:tc>
          <w:tcPr>
            <w:tcW w:w="1985" w:type="dxa"/>
            <w:tcBorders>
              <w:top w:val="single" w:sz="4" w:space="0" w:color="D2232A"/>
              <w:left w:val="single" w:sz="4" w:space="0" w:color="FFFFFF" w:themeColor="background1"/>
              <w:bottom w:val="single" w:sz="4" w:space="0" w:color="D2232A"/>
              <w:right w:val="nil"/>
            </w:tcBorders>
            <w:shd w:val="clear" w:color="auto" w:fill="D2232A"/>
          </w:tcPr>
          <w:p w14:paraId="19AB75F4" w14:textId="3D397849" w:rsidR="00463AF2" w:rsidRPr="00E66AEF" w:rsidRDefault="00AD10D3" w:rsidP="008D20E2">
            <w:pPr>
              <w:keepNext/>
              <w:spacing w:before="120" w:after="120" w:line="288" w:lineRule="auto"/>
              <w:jc w:val="center"/>
              <w:rPr>
                <w:b/>
                <w:color w:val="FFFFFF"/>
                <w:lang w:val="en-GB"/>
              </w:rPr>
            </w:pPr>
            <w:r w:rsidRPr="00E66AEF">
              <w:rPr>
                <w:b/>
                <w:color w:val="FFFFFF"/>
                <w:lang w:val="en-GB"/>
              </w:rPr>
              <w:t>Non-AAS e.i.r.p. limit per antenna</w:t>
            </w:r>
          </w:p>
        </w:tc>
        <w:tc>
          <w:tcPr>
            <w:tcW w:w="1984" w:type="dxa"/>
            <w:tcBorders>
              <w:top w:val="single" w:sz="4" w:space="0" w:color="D2232A"/>
              <w:left w:val="single" w:sz="4" w:space="0" w:color="FFFFFF" w:themeColor="background1"/>
              <w:bottom w:val="single" w:sz="4" w:space="0" w:color="D2232A"/>
              <w:right w:val="nil"/>
            </w:tcBorders>
            <w:shd w:val="clear" w:color="auto" w:fill="D2232A"/>
          </w:tcPr>
          <w:p w14:paraId="56459678" w14:textId="3721133A" w:rsidR="00463AF2" w:rsidRPr="00E66AEF" w:rsidRDefault="003B5C3E" w:rsidP="008D20E2">
            <w:pPr>
              <w:keepNext/>
              <w:spacing w:before="120" w:after="120" w:line="288" w:lineRule="auto"/>
              <w:jc w:val="center"/>
              <w:rPr>
                <w:b/>
                <w:color w:val="FFFFFF"/>
                <w:lang w:val="en-GB"/>
              </w:rPr>
            </w:pPr>
            <w:r w:rsidRPr="00E66AEF">
              <w:rPr>
                <w:b/>
                <w:color w:val="FFFFFF"/>
                <w:lang w:val="en-GB"/>
              </w:rPr>
              <w:t>AAS TRP limit per cell (Note 1)</w:t>
            </w:r>
          </w:p>
        </w:tc>
      </w:tr>
      <w:tr w:rsidR="00B362C8" w:rsidRPr="00E66AEF" w14:paraId="2AADC12B" w14:textId="409C1F14" w:rsidTr="00513795">
        <w:tc>
          <w:tcPr>
            <w:tcW w:w="1555" w:type="dxa"/>
            <w:tcBorders>
              <w:top w:val="single" w:sz="4" w:space="0" w:color="D2232A"/>
              <w:left w:val="single" w:sz="4" w:space="0" w:color="D2232A"/>
              <w:bottom w:val="single" w:sz="4" w:space="0" w:color="D2232A"/>
              <w:right w:val="single" w:sz="4" w:space="0" w:color="D2232A"/>
            </w:tcBorders>
          </w:tcPr>
          <w:p w14:paraId="5747DC74" w14:textId="2F299A0D" w:rsidR="00B362C8" w:rsidRPr="00E66AEF" w:rsidRDefault="00B362C8" w:rsidP="00C90B06">
            <w:pPr>
              <w:keepNext/>
              <w:spacing w:before="60" w:after="60"/>
              <w:rPr>
                <w:lang w:val="en-GB"/>
              </w:rPr>
            </w:pPr>
            <w:r w:rsidRPr="00E66AEF">
              <w:rPr>
                <w:lang w:val="en-GB"/>
              </w:rPr>
              <w:t>Transitional region (Note 4)</w:t>
            </w:r>
          </w:p>
        </w:tc>
        <w:tc>
          <w:tcPr>
            <w:tcW w:w="4110" w:type="dxa"/>
            <w:tcBorders>
              <w:top w:val="single" w:sz="4" w:space="0" w:color="D2232A"/>
              <w:left w:val="single" w:sz="4" w:space="0" w:color="D2232A"/>
              <w:bottom w:val="single" w:sz="4" w:space="0" w:color="D2232A"/>
              <w:right w:val="single" w:sz="4" w:space="0" w:color="D2232A"/>
            </w:tcBorders>
          </w:tcPr>
          <w:p w14:paraId="7AE12E0C" w14:textId="243B8A60" w:rsidR="00B362C8" w:rsidRPr="00E66AEF" w:rsidRDefault="00B362C8" w:rsidP="00C90B06">
            <w:pPr>
              <w:keepNext/>
              <w:spacing w:before="60" w:after="60"/>
              <w:rPr>
                <w:lang w:val="en-GB"/>
              </w:rPr>
            </w:pPr>
            <w:r w:rsidRPr="00E66AEF">
              <w:rPr>
                <w:lang w:val="en-GB"/>
              </w:rPr>
              <w:t>-5 to 0 MHz offset from lower block edge</w:t>
            </w:r>
            <w:r w:rsidRPr="00E66AEF">
              <w:rPr>
                <w:lang w:val="en-GB"/>
              </w:rPr>
              <w:br/>
              <w:t>0 to 5 MHz offset from upper block edge</w:t>
            </w:r>
          </w:p>
        </w:tc>
        <w:tc>
          <w:tcPr>
            <w:tcW w:w="1985" w:type="dxa"/>
            <w:tcBorders>
              <w:top w:val="single" w:sz="4" w:space="0" w:color="D2232A"/>
              <w:left w:val="single" w:sz="4" w:space="0" w:color="D2232A"/>
              <w:bottom w:val="single" w:sz="4" w:space="0" w:color="D2232A"/>
              <w:right w:val="single" w:sz="4" w:space="0" w:color="D2232A"/>
            </w:tcBorders>
          </w:tcPr>
          <w:p w14:paraId="2BB06F62" w14:textId="6A647F1A" w:rsidR="00B362C8" w:rsidRPr="00E66AEF" w:rsidRDefault="00B362C8" w:rsidP="00C90B06">
            <w:pPr>
              <w:keepNext/>
              <w:spacing w:before="60" w:after="60"/>
              <w:rPr>
                <w:lang w:val="en-GB"/>
              </w:rPr>
            </w:pPr>
            <w:r w:rsidRPr="00E66AEF">
              <w:rPr>
                <w:lang w:val="en-GB"/>
              </w:rPr>
              <w:t>Min(Pmax-40, 21) dBm/</w:t>
            </w:r>
            <w:r w:rsidR="00351C75">
              <w:rPr>
                <w:lang w:val="en-GB"/>
              </w:rPr>
              <w:t>(</w:t>
            </w:r>
            <w:r w:rsidRPr="00E66AEF">
              <w:rPr>
                <w:lang w:val="en-GB"/>
              </w:rPr>
              <w:t>5 MHz</w:t>
            </w:r>
            <w:r w:rsidR="00351C75">
              <w:rPr>
                <w:lang w:val="en-GB"/>
              </w:rPr>
              <w:t>)</w:t>
            </w:r>
          </w:p>
        </w:tc>
        <w:tc>
          <w:tcPr>
            <w:tcW w:w="1984" w:type="dxa"/>
            <w:tcBorders>
              <w:top w:val="single" w:sz="4" w:space="0" w:color="D2232A"/>
              <w:left w:val="single" w:sz="4" w:space="0" w:color="D2232A"/>
              <w:bottom w:val="single" w:sz="4" w:space="0" w:color="D2232A"/>
              <w:right w:val="single" w:sz="4" w:space="0" w:color="D2232A"/>
            </w:tcBorders>
          </w:tcPr>
          <w:p w14:paraId="40612432" w14:textId="47DF514C" w:rsidR="00B362C8" w:rsidRPr="00E66AEF" w:rsidRDefault="00B362C8" w:rsidP="00C90B06">
            <w:pPr>
              <w:keepNext/>
              <w:spacing w:before="60" w:after="60"/>
              <w:rPr>
                <w:lang w:val="en-GB"/>
              </w:rPr>
            </w:pPr>
            <w:r w:rsidRPr="00E66AEF">
              <w:rPr>
                <w:lang w:val="en-GB"/>
              </w:rPr>
              <w:t>Min(Pmax'-40, 16) dBm/(5 MHz)</w:t>
            </w:r>
          </w:p>
        </w:tc>
      </w:tr>
      <w:tr w:rsidR="00B362C8" w:rsidRPr="00E66AEF" w14:paraId="5DE483A3" w14:textId="487AB607" w:rsidTr="00513795">
        <w:tc>
          <w:tcPr>
            <w:tcW w:w="1555" w:type="dxa"/>
            <w:tcBorders>
              <w:top w:val="single" w:sz="4" w:space="0" w:color="D2232A"/>
              <w:left w:val="single" w:sz="4" w:space="0" w:color="D2232A"/>
              <w:bottom w:val="single" w:sz="4" w:space="0" w:color="D2232A"/>
              <w:right w:val="single" w:sz="4" w:space="0" w:color="D2232A"/>
            </w:tcBorders>
          </w:tcPr>
          <w:p w14:paraId="66D85BCC" w14:textId="13A592AA" w:rsidR="00B362C8" w:rsidRPr="00E66AEF" w:rsidRDefault="00B362C8" w:rsidP="00C90B06">
            <w:pPr>
              <w:keepNext/>
              <w:spacing w:before="60" w:after="60"/>
              <w:rPr>
                <w:lang w:val="en-GB"/>
              </w:rPr>
            </w:pPr>
            <w:r w:rsidRPr="00E66AEF">
              <w:rPr>
                <w:lang w:val="en-GB"/>
              </w:rPr>
              <w:t>Transitional region (Note 4)</w:t>
            </w:r>
          </w:p>
        </w:tc>
        <w:tc>
          <w:tcPr>
            <w:tcW w:w="4110" w:type="dxa"/>
            <w:tcBorders>
              <w:top w:val="single" w:sz="4" w:space="0" w:color="D2232A"/>
              <w:left w:val="single" w:sz="4" w:space="0" w:color="D2232A"/>
              <w:bottom w:val="single" w:sz="4" w:space="0" w:color="D2232A"/>
              <w:right w:val="single" w:sz="4" w:space="0" w:color="D2232A"/>
            </w:tcBorders>
          </w:tcPr>
          <w:p w14:paraId="15467E66" w14:textId="6EE7BBE1" w:rsidR="00B362C8" w:rsidRPr="00E66AEF" w:rsidRDefault="00B362C8" w:rsidP="00C90B06">
            <w:pPr>
              <w:keepNext/>
              <w:spacing w:before="60" w:after="60"/>
              <w:rPr>
                <w:lang w:val="en-GB"/>
              </w:rPr>
            </w:pPr>
            <w:r w:rsidRPr="00E66AEF">
              <w:rPr>
                <w:lang w:val="en-GB"/>
              </w:rPr>
              <w:t>-10 to -5 MHz offset from lower block edge</w:t>
            </w:r>
            <w:r w:rsidRPr="00E66AEF">
              <w:rPr>
                <w:lang w:val="en-GB"/>
              </w:rPr>
              <w:br/>
              <w:t>5 to 10 MHz offset from upper block edge</w:t>
            </w:r>
          </w:p>
        </w:tc>
        <w:tc>
          <w:tcPr>
            <w:tcW w:w="1985" w:type="dxa"/>
            <w:tcBorders>
              <w:top w:val="single" w:sz="4" w:space="0" w:color="D2232A"/>
              <w:left w:val="single" w:sz="4" w:space="0" w:color="D2232A"/>
              <w:bottom w:val="single" w:sz="4" w:space="0" w:color="D2232A"/>
              <w:right w:val="single" w:sz="4" w:space="0" w:color="D2232A"/>
            </w:tcBorders>
          </w:tcPr>
          <w:p w14:paraId="4C6BC800" w14:textId="2C41E9F3" w:rsidR="00B362C8" w:rsidRPr="00E66AEF" w:rsidRDefault="00B362C8" w:rsidP="00C90B06">
            <w:pPr>
              <w:keepNext/>
              <w:spacing w:before="60" w:after="60"/>
              <w:rPr>
                <w:lang w:val="en-GB"/>
              </w:rPr>
            </w:pPr>
            <w:r w:rsidRPr="00E66AEF">
              <w:rPr>
                <w:lang w:val="en-GB"/>
              </w:rPr>
              <w:t>Min(Pmax-43, 15) dBm/</w:t>
            </w:r>
            <w:r w:rsidR="00351C75">
              <w:rPr>
                <w:lang w:val="en-GB"/>
              </w:rPr>
              <w:t>(</w:t>
            </w:r>
            <w:r w:rsidRPr="00E66AEF">
              <w:rPr>
                <w:lang w:val="en-GB"/>
              </w:rPr>
              <w:t>5 MHz</w:t>
            </w:r>
            <w:r w:rsidR="00351C75">
              <w:rPr>
                <w:lang w:val="en-GB"/>
              </w:rPr>
              <w:t>)</w:t>
            </w:r>
          </w:p>
        </w:tc>
        <w:tc>
          <w:tcPr>
            <w:tcW w:w="1984" w:type="dxa"/>
            <w:tcBorders>
              <w:top w:val="single" w:sz="4" w:space="0" w:color="D2232A"/>
              <w:left w:val="single" w:sz="4" w:space="0" w:color="D2232A"/>
              <w:bottom w:val="single" w:sz="4" w:space="0" w:color="D2232A"/>
              <w:right w:val="single" w:sz="4" w:space="0" w:color="D2232A"/>
            </w:tcBorders>
          </w:tcPr>
          <w:p w14:paraId="26A5F998" w14:textId="5D3EAD38" w:rsidR="00B362C8" w:rsidRPr="00E66AEF" w:rsidRDefault="00B362C8" w:rsidP="00C90B06">
            <w:pPr>
              <w:keepNext/>
              <w:spacing w:before="60" w:after="60"/>
              <w:rPr>
                <w:lang w:val="en-GB"/>
              </w:rPr>
            </w:pPr>
            <w:r w:rsidRPr="00E66AEF">
              <w:rPr>
                <w:lang w:val="en-GB"/>
              </w:rPr>
              <w:t>Min(Pmax'-43, 12) dBm/(5 MHz)</w:t>
            </w:r>
          </w:p>
        </w:tc>
      </w:tr>
      <w:tr w:rsidR="00B362C8" w:rsidRPr="00E66AEF" w14:paraId="5798A664" w14:textId="77777777" w:rsidTr="00A00024">
        <w:trPr>
          <w:cantSplit/>
        </w:trPr>
        <w:tc>
          <w:tcPr>
            <w:tcW w:w="9634" w:type="dxa"/>
            <w:gridSpan w:val="4"/>
            <w:tcBorders>
              <w:top w:val="single" w:sz="4" w:space="0" w:color="D2232A"/>
              <w:left w:val="single" w:sz="4" w:space="0" w:color="D2232A"/>
              <w:bottom w:val="single" w:sz="4" w:space="0" w:color="D2232A"/>
              <w:right w:val="single" w:sz="4" w:space="0" w:color="D2232A"/>
            </w:tcBorders>
          </w:tcPr>
          <w:p w14:paraId="6E739150" w14:textId="77777777" w:rsidR="006D159F" w:rsidRPr="00E66AEF" w:rsidRDefault="006D159F" w:rsidP="00513795">
            <w:pPr>
              <w:pStyle w:val="ECCTablenote"/>
            </w:pPr>
            <w:r w:rsidRPr="00E66AEF">
              <w:t>Note 1: In a multi-sector base station, the radiated power limit applies to each one of the individual sectors.</w:t>
            </w:r>
          </w:p>
          <w:p w14:paraId="629A8C37" w14:textId="77777777" w:rsidR="006D159F" w:rsidRPr="00E66AEF" w:rsidRDefault="006D159F" w:rsidP="00513795">
            <w:pPr>
              <w:pStyle w:val="ECCTablenote"/>
            </w:pPr>
            <w:r w:rsidRPr="00E66AEF">
              <w:t xml:space="preserve">Note 2: Pmax is the maximum mean carrier power in dBm for the base station measured as e.i.r.p. per carrier, interpreted as per antenna. </w:t>
            </w:r>
          </w:p>
          <w:p w14:paraId="5E021862" w14:textId="77777777" w:rsidR="006D159F" w:rsidRPr="00E66AEF" w:rsidRDefault="006D159F" w:rsidP="00513795">
            <w:pPr>
              <w:pStyle w:val="ECCTablenote"/>
            </w:pPr>
            <w:r w:rsidRPr="00E66AEF">
              <w:t>Note 3: Pmax' is the maximum mean carrier power in dBm for the base station measured as TRP per carrier in a given cell.</w:t>
            </w:r>
          </w:p>
          <w:p w14:paraId="2E38E43C" w14:textId="116E51DA" w:rsidR="00B362C8" w:rsidRPr="00E66AEF" w:rsidRDefault="006D159F" w:rsidP="00513795">
            <w:pPr>
              <w:pStyle w:val="ECCTablenote"/>
            </w:pPr>
            <w:r w:rsidRPr="00E66AEF">
              <w:t xml:space="preserve">Note 4: The transitional region applies in the case of adjacent TDD blocks if the networks are synchronised, and in-between TDD blocks that are separated by 5 or 10 MHz if the networks are unsynchronised (or semi-synchronised) – in this case, one operator’s out-of-block signal has to be reduced to the baseline level for unsynchronised TDD blocks before entering into another operator’s block. For immediately adjacent unsynchronised TDD blocks, there is no transitional region and the baseline level for unsynchronised TDD blocks apply outside the allocated block. The transitional region does not apply below 2300 MHz or above 2400 MHz (see </w:t>
            </w:r>
            <w:r w:rsidRPr="00E66AEF">
              <w:fldChar w:fldCharType="begin"/>
            </w:r>
            <w:r w:rsidRPr="00E66AEF">
              <w:instrText xml:space="preserve"> REF _Ref115120261 \n \h  \* MERGEFORMAT </w:instrText>
            </w:r>
            <w:r w:rsidRPr="00E66AEF">
              <w:fldChar w:fldCharType="separate"/>
            </w:r>
            <w:r w:rsidRPr="00E66AEF">
              <w:t>A2.1.5</w:t>
            </w:r>
            <w:r w:rsidRPr="00E66AEF">
              <w:fldChar w:fldCharType="end"/>
            </w:r>
            <w:r w:rsidRPr="00E66AEF">
              <w:t>).</w:t>
            </w:r>
          </w:p>
        </w:tc>
      </w:tr>
    </w:tbl>
    <w:p w14:paraId="754997D8" w14:textId="1995D7E2" w:rsidR="005F014F" w:rsidRPr="00E66AEF" w:rsidRDefault="005F014F" w:rsidP="005F014F">
      <w:pPr>
        <w:pStyle w:val="ECCAnnexheading3"/>
        <w:rPr>
          <w:lang w:val="en-GB"/>
        </w:rPr>
      </w:pPr>
      <w:r w:rsidRPr="00E66AEF">
        <w:rPr>
          <w:lang w:val="en-GB"/>
        </w:rPr>
        <w:t xml:space="preserve">BEM implementation for synchronised or unsynchronised </w:t>
      </w:r>
      <w:r w:rsidR="006A1A92" w:rsidRPr="00E66AEF">
        <w:rPr>
          <w:lang w:val="en-GB"/>
        </w:rPr>
        <w:t xml:space="preserve">TDD </w:t>
      </w:r>
      <w:r w:rsidR="001D2581" w:rsidRPr="00E66AEF">
        <w:rPr>
          <w:lang w:val="en-GB"/>
        </w:rPr>
        <w:t>MFCN</w:t>
      </w:r>
    </w:p>
    <w:p w14:paraId="754997D9" w14:textId="77777777" w:rsidR="005F014F" w:rsidRPr="00E66AEF" w:rsidRDefault="005F014F" w:rsidP="005F014F">
      <w:pPr>
        <w:pStyle w:val="ECCParagraph"/>
      </w:pPr>
      <w:r w:rsidRPr="00E66AEF">
        <w:t>For two adjacent operators using their systems under synchroni</w:t>
      </w:r>
      <w:r w:rsidR="00B02BF7" w:rsidRPr="00E66AEF">
        <w:t>s</w:t>
      </w:r>
      <w:r w:rsidRPr="00E66AEF">
        <w:t xml:space="preserve">ed conditions, the defined BEM will normally allow direct adjacent operation of the operator’s full-power blocks and the out-of-block region consists both of transitional region and baseline levels. </w:t>
      </w:r>
    </w:p>
    <w:p w14:paraId="754997DA" w14:textId="77777777" w:rsidR="005F014F" w:rsidRPr="00E66AEF" w:rsidRDefault="005F014F" w:rsidP="005F014F">
      <w:pPr>
        <w:pStyle w:val="ECCParagraph"/>
      </w:pPr>
      <w:bookmarkStart w:id="14" w:name="_Hlk121822854"/>
      <w:r w:rsidRPr="00E66AEF">
        <w:t>In the case of unsynchroni</w:t>
      </w:r>
      <w:r w:rsidR="00B02BF7" w:rsidRPr="00E66AEF">
        <w:t>s</w:t>
      </w:r>
      <w:r w:rsidRPr="00E66AEF">
        <w:t>ed TDD networks, the compliance of two adjacent operators with the BEM requirements could be achieved by introducing frequency separation (e.g. through the authorisation process at national level) between the block edges of both operators.</w:t>
      </w:r>
    </w:p>
    <w:p w14:paraId="754997DB" w14:textId="4138A0E1" w:rsidR="005F014F" w:rsidRPr="00E66AEF" w:rsidRDefault="00515564" w:rsidP="005F014F">
      <w:pPr>
        <w:pStyle w:val="ECCParagraph"/>
      </w:pPr>
      <w:r w:rsidRPr="00E66AEF">
        <w:t>Another option is for administrations to introduce so called restricted channels.</w:t>
      </w:r>
      <w:r w:rsidR="005F014F" w:rsidRPr="00E66AEF">
        <w:t xml:space="preserve"> Operators would then be required to limit the power used in the upper or lower part of their assigned spectrum, to limit the interference due to the selectivity of the adjacent operator’s receiver. Assuming standard performance of the interfered receiver, an in-block level of 4 dBm/</w:t>
      </w:r>
      <w:r w:rsidR="00B80FBF">
        <w:t>(</w:t>
      </w:r>
      <w:r w:rsidR="005F014F" w:rsidRPr="00E66AEF">
        <w:t>5</w:t>
      </w:r>
      <w:r w:rsidR="00CF10ED" w:rsidRPr="00E66AEF">
        <w:t xml:space="preserve"> </w:t>
      </w:r>
      <w:r w:rsidR="005F014F" w:rsidRPr="00E66AEF">
        <w:t>MHz</w:t>
      </w:r>
      <w:r w:rsidR="00E65A35" w:rsidRPr="00E66AEF">
        <w:t>)</w:t>
      </w:r>
      <w:r w:rsidR="005F014F" w:rsidRPr="00E66AEF">
        <w:t xml:space="preserve"> </w:t>
      </w:r>
      <w:r w:rsidR="00F20243" w:rsidRPr="00E66AEF">
        <w:t>e.i.r.p.</w:t>
      </w:r>
      <w:r w:rsidR="00962045" w:rsidRPr="00E66AEF">
        <w:rPr>
          <w:rStyle w:val="FootnoteReference"/>
        </w:rPr>
        <w:footnoteReference w:id="7"/>
      </w:r>
      <w:r w:rsidR="00FA425C" w:rsidRPr="00E66AEF">
        <w:t xml:space="preserve"> </w:t>
      </w:r>
      <w:r w:rsidR="005F014F" w:rsidRPr="00E66AEF">
        <w:t xml:space="preserve">may be used. This limit would be applied to the upper- or lowermost 5 MHz part of an operator’s block to protect the adjacent </w:t>
      </w:r>
      <w:proofErr w:type="gramStart"/>
      <w:r w:rsidR="005F014F" w:rsidRPr="00E66AEF">
        <w:t>operator, and</w:t>
      </w:r>
      <w:proofErr w:type="gramEnd"/>
      <w:r w:rsidR="005F014F" w:rsidRPr="00E66AEF">
        <w:t xml:space="preserve"> may be relaxed in case of bilateral agreements between operators.</w:t>
      </w:r>
      <w:bookmarkEnd w:id="14"/>
    </w:p>
    <w:p w14:paraId="754997DC" w14:textId="77777777" w:rsidR="00311ACF" w:rsidRPr="00E66AEF" w:rsidRDefault="005F014F" w:rsidP="005F014F">
      <w:pPr>
        <w:pStyle w:val="ECCParagraph"/>
      </w:pPr>
      <w:r w:rsidRPr="00E66AEF">
        <w:t>If the restricted channel solution is selected, the requirements of another operator’s out-of-block emissions into this restricted channel may also be relaxed, e.g. so that the transitional level applies. If the requirements on emissions from other operators are not relaxed, the baseline requirement must be met already at the edge of the restricted channel. In this case an adjacent operator may need to apply an internal guard band for the filter roll-off.</w:t>
      </w:r>
    </w:p>
    <w:p w14:paraId="754997DD" w14:textId="77777777" w:rsidR="00515564" w:rsidRPr="00E66AEF" w:rsidRDefault="00515564" w:rsidP="00251E95">
      <w:pPr>
        <w:pStyle w:val="ECCAnnexheading3"/>
        <w:keepNext/>
        <w:rPr>
          <w:lang w:val="en-GB"/>
        </w:rPr>
      </w:pPr>
      <w:bookmarkStart w:id="15" w:name="_Ref115120261"/>
      <w:r w:rsidRPr="00E66AEF">
        <w:rPr>
          <w:lang w:val="en-GB"/>
        </w:rPr>
        <w:t>Combination of BEM elements</w:t>
      </w:r>
      <w:bookmarkEnd w:id="15"/>
    </w:p>
    <w:p w14:paraId="754997DE" w14:textId="1D1DB694" w:rsidR="00515564" w:rsidRPr="00E66AEF" w:rsidRDefault="00515564" w:rsidP="00515564">
      <w:pPr>
        <w:pStyle w:val="ECCParagraph"/>
      </w:pPr>
      <w:r w:rsidRPr="00E66AEF">
        <w:t xml:space="preserve">The BEM elements as described above are combined to provide a BEM for a particular block following the three steps listed above. </w:t>
      </w:r>
      <w:r w:rsidR="00AA2F11" w:rsidRPr="00E66AEF">
        <w:t>E</w:t>
      </w:r>
      <w:r w:rsidR="00D06EF3" w:rsidRPr="00E66AEF">
        <w:t xml:space="preserve">xamples of such combinations of BEM elements for </w:t>
      </w:r>
      <w:r w:rsidR="0068450E" w:rsidRPr="00E66AEF">
        <w:t xml:space="preserve">synchronised and unsynchronised (and semi-synchronised) </w:t>
      </w:r>
      <w:r w:rsidRPr="00E66AEF">
        <w:t>TDD</w:t>
      </w:r>
      <w:r w:rsidR="00F06B21" w:rsidRPr="00F06B21">
        <w:t xml:space="preserve"> </w:t>
      </w:r>
      <w:r w:rsidR="00F06B21" w:rsidRPr="00E66AEF">
        <w:t xml:space="preserve">use are provided in </w:t>
      </w:r>
      <w:r w:rsidR="00F06B21" w:rsidRPr="00E66AEF">
        <w:fldChar w:fldCharType="begin"/>
      </w:r>
      <w:r w:rsidR="00F06B21" w:rsidRPr="00E66AEF">
        <w:instrText xml:space="preserve"> REF _Ref387247262 \r \h  \* MERGEFORMAT </w:instrText>
      </w:r>
      <w:r w:rsidR="00F06B21" w:rsidRPr="00E66AEF">
        <w:fldChar w:fldCharType="separate"/>
      </w:r>
      <w:r w:rsidR="00F06B21" w:rsidRPr="00E66AEF">
        <w:t>Figure 2</w:t>
      </w:r>
      <w:r w:rsidR="00F06B21" w:rsidRPr="00E66AEF">
        <w:fldChar w:fldCharType="end"/>
      </w:r>
      <w:r w:rsidR="00F06B21" w:rsidRPr="00E66AEF">
        <w:t xml:space="preserve"> and </w:t>
      </w:r>
      <w:r w:rsidR="00F06B21" w:rsidRPr="00E66AEF">
        <w:fldChar w:fldCharType="begin"/>
      </w:r>
      <w:r w:rsidR="00F06B21" w:rsidRPr="00E66AEF">
        <w:instrText xml:space="preserve"> REF _Ref387247287 \r \h  \* MERGEFORMAT </w:instrText>
      </w:r>
      <w:r w:rsidR="00F06B21" w:rsidRPr="00E66AEF">
        <w:fldChar w:fldCharType="separate"/>
      </w:r>
      <w:r w:rsidR="00F06B21" w:rsidRPr="00E66AEF">
        <w:t>Figure 3</w:t>
      </w:r>
      <w:r w:rsidR="00F06B21" w:rsidRPr="00E66AEF">
        <w:fldChar w:fldCharType="end"/>
      </w:r>
      <w:r w:rsidRPr="00E66AEF">
        <w:t>.</w:t>
      </w:r>
    </w:p>
    <w:p w14:paraId="3D3EEB7C" w14:textId="77777777" w:rsidR="00515564" w:rsidRPr="00E66AEF" w:rsidRDefault="00515564" w:rsidP="00515564">
      <w:pPr>
        <w:pStyle w:val="ECCParagraph"/>
      </w:pPr>
      <w:r w:rsidRPr="00E66AEF">
        <w:rPr>
          <w:noProof/>
          <w:lang w:eastAsia="da-DK"/>
        </w:rPr>
        <w:lastRenderedPageBreak/>
        <w:drawing>
          <wp:inline distT="0" distB="0" distL="0" distR="0" wp14:anchorId="31DCD9BA" wp14:editId="00997AB5">
            <wp:extent cx="6120765" cy="243453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2434532"/>
                    </a:xfrm>
                    <a:prstGeom prst="rect">
                      <a:avLst/>
                    </a:prstGeom>
                    <a:noFill/>
                    <a:ln>
                      <a:noFill/>
                    </a:ln>
                  </pic:spPr>
                </pic:pic>
              </a:graphicData>
            </a:graphic>
          </wp:inline>
        </w:drawing>
      </w:r>
    </w:p>
    <w:p w14:paraId="754997E0" w14:textId="77777777" w:rsidR="00515564" w:rsidRPr="00E66AEF" w:rsidRDefault="00515564" w:rsidP="007D729D">
      <w:pPr>
        <w:pStyle w:val="ECCFiguretitle"/>
        <w:widowControl w:val="0"/>
        <w:ind w:left="357" w:hanging="357"/>
      </w:pPr>
      <w:bookmarkStart w:id="16" w:name="_Ref387247262"/>
      <w:r w:rsidRPr="00E66AEF">
        <w:t>Combined BEM elements for adjacent blocks with synchronised TDD networks</w:t>
      </w:r>
      <w:bookmarkEnd w:id="16"/>
    </w:p>
    <w:p w14:paraId="754997E1" w14:textId="38AFBCE7" w:rsidR="00515564" w:rsidRPr="00E66AEF" w:rsidRDefault="00515564" w:rsidP="00515564">
      <w:pPr>
        <w:pStyle w:val="ECCParagraph"/>
      </w:pPr>
    </w:p>
    <w:p w14:paraId="1B0525D5" w14:textId="77777777" w:rsidR="00515564" w:rsidRPr="00E66AEF" w:rsidRDefault="00515564" w:rsidP="00515564">
      <w:pPr>
        <w:pStyle w:val="ECCParagraph"/>
      </w:pPr>
      <w:r w:rsidRPr="00E66AEF">
        <w:rPr>
          <w:noProof/>
          <w:lang w:eastAsia="da-DK"/>
        </w:rPr>
        <w:drawing>
          <wp:inline distT="0" distB="0" distL="0" distR="0" wp14:anchorId="2F891913" wp14:editId="3993B1D3">
            <wp:extent cx="6120765" cy="239023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2390234"/>
                    </a:xfrm>
                    <a:prstGeom prst="rect">
                      <a:avLst/>
                    </a:prstGeom>
                    <a:noFill/>
                    <a:ln>
                      <a:noFill/>
                    </a:ln>
                  </pic:spPr>
                </pic:pic>
              </a:graphicData>
            </a:graphic>
          </wp:inline>
        </w:drawing>
      </w:r>
    </w:p>
    <w:p w14:paraId="754997E3" w14:textId="77777777" w:rsidR="002D5A61" w:rsidRPr="00E66AEF" w:rsidRDefault="002D5A61" w:rsidP="002D5A61">
      <w:pPr>
        <w:pStyle w:val="ECCFiguretitle"/>
        <w:widowControl w:val="0"/>
        <w:ind w:left="357" w:hanging="357"/>
      </w:pPr>
      <w:bookmarkStart w:id="17" w:name="_Ref387247287"/>
      <w:r w:rsidRPr="00E66AEF">
        <w:t>Combined BEM elements for adjacent blocks with unsynchronised TDD networks</w:t>
      </w:r>
    </w:p>
    <w:bookmarkEnd w:id="17"/>
    <w:p w14:paraId="754997E5" w14:textId="77777777" w:rsidR="005673A4" w:rsidRPr="00E66AEF" w:rsidRDefault="005673A4" w:rsidP="00251E95">
      <w:pPr>
        <w:pStyle w:val="ECCAnnexheading2"/>
        <w:keepNext/>
        <w:rPr>
          <w:lang w:val="en-GB"/>
        </w:rPr>
      </w:pPr>
      <w:r w:rsidRPr="00E66AEF">
        <w:rPr>
          <w:lang w:val="en-GB"/>
        </w:rPr>
        <w:t>Technical conditions for MFCN USEr EQUIPMENT</w:t>
      </w:r>
    </w:p>
    <w:p w14:paraId="754997E6" w14:textId="77777777" w:rsidR="005673A4" w:rsidRPr="00E66AEF" w:rsidRDefault="005673A4" w:rsidP="00F44F2F">
      <w:pPr>
        <w:pStyle w:val="ECCAnnexheading3"/>
        <w:keepNext/>
        <w:numPr>
          <w:ilvl w:val="0"/>
          <w:numId w:val="0"/>
        </w:numPr>
        <w:spacing w:before="240" w:after="60"/>
        <w:ind w:left="720" w:hanging="720"/>
        <w:rPr>
          <w:lang w:val="en-GB"/>
        </w:rPr>
      </w:pPr>
      <w:r w:rsidRPr="00E66AEF">
        <w:rPr>
          <w:lang w:val="en-GB"/>
        </w:rPr>
        <w:t>In-block requirements for all user equipment</w:t>
      </w:r>
    </w:p>
    <w:p w14:paraId="754997E7" w14:textId="77777777" w:rsidR="005F014F" w:rsidRPr="00E66AEF" w:rsidRDefault="005F014F" w:rsidP="00F44F2F">
      <w:pPr>
        <w:pStyle w:val="ECCParagraph"/>
        <w:spacing w:before="240" w:after="60"/>
      </w:pPr>
      <w:r w:rsidRPr="00E66AEF">
        <w:t>This decision provides a recommended upper limit of 25</w:t>
      </w:r>
      <w:r w:rsidR="00515564" w:rsidRPr="00E66AEF">
        <w:t xml:space="preserve"> </w:t>
      </w:r>
      <w:r w:rsidRPr="00E66AEF">
        <w:t>dBm for the in-block power of the user equipment (UE).</w:t>
      </w:r>
    </w:p>
    <w:p w14:paraId="754997E8" w14:textId="723A4780" w:rsidR="00515564" w:rsidRPr="00E66AEF" w:rsidRDefault="00515564" w:rsidP="00F44F2F">
      <w:pPr>
        <w:pStyle w:val="ECCParagraph"/>
        <w:spacing w:before="240" w:after="60"/>
      </w:pPr>
      <w:r w:rsidRPr="00E66AEF">
        <w:t>This power limit is specified as e.i.r.p. for UE designed to be fixed or installed and as TRP</w:t>
      </w:r>
      <w:r w:rsidR="00147045">
        <w:t xml:space="preserve"> </w:t>
      </w:r>
      <w:r w:rsidRPr="00E66AEF">
        <w:t>for the UE designed to be mobile or nomadic.</w:t>
      </w:r>
    </w:p>
    <w:p w14:paraId="754997E9" w14:textId="280FD69D" w:rsidR="005F014F" w:rsidRPr="00E66AEF" w:rsidRDefault="00515564" w:rsidP="00F44F2F">
      <w:pPr>
        <w:pStyle w:val="ECCParagraph"/>
        <w:spacing w:before="240" w:after="60"/>
      </w:pPr>
      <w:r w:rsidRPr="00E66AEF">
        <w:t>A tolerance of up to +2 dB has been included in this limit, to reflect operation under extreme environmental conditions and production spread.</w:t>
      </w:r>
    </w:p>
    <w:p w14:paraId="754997EB" w14:textId="4097EB78" w:rsidR="005673A4" w:rsidRPr="00E66AEF" w:rsidRDefault="005F014F" w:rsidP="00F44F2F">
      <w:pPr>
        <w:pStyle w:val="ECCParagraph"/>
        <w:spacing w:before="240" w:after="60"/>
        <w:rPr>
          <w:u w:val="single"/>
        </w:rPr>
      </w:pPr>
      <w:r w:rsidRPr="00E66AEF">
        <w:t>Administrations may relax this limit in certain situations, for example fixed UE in rural areas, providing that protection of other services, networks and applications is not compromised and cross-border obligations are fulfilled.</w:t>
      </w:r>
    </w:p>
    <w:p w14:paraId="754997EC" w14:textId="77777777" w:rsidR="00BD3EA1" w:rsidRPr="00E66AEF" w:rsidRDefault="00BD3EA1" w:rsidP="003C77A1">
      <w:pPr>
        <w:pStyle w:val="ECCAnnex-heading1"/>
      </w:pPr>
      <w:bookmarkStart w:id="18" w:name="_Ref115115354"/>
      <w:bookmarkEnd w:id="5"/>
      <w:r w:rsidRPr="00E66AEF">
        <w:lastRenderedPageBreak/>
        <w:t>Implementation of LSA in the 2300-2400 MH</w:t>
      </w:r>
      <w:r w:rsidRPr="00E66AEF">
        <w:rPr>
          <w:sz w:val="16"/>
        </w:rPr>
        <w:t>z</w:t>
      </w:r>
      <w:r w:rsidRPr="00E66AEF">
        <w:t xml:space="preserve"> band</w:t>
      </w:r>
      <w:bookmarkEnd w:id="18"/>
    </w:p>
    <w:p w14:paraId="754997ED" w14:textId="77777777" w:rsidR="003E6B85" w:rsidRPr="00E66AEF" w:rsidRDefault="003E6B85" w:rsidP="00B13558">
      <w:pPr>
        <w:pStyle w:val="ECCParagraph"/>
        <w:spacing w:before="240" w:after="60"/>
      </w:pPr>
      <w:r w:rsidRPr="00E66AEF">
        <w:t xml:space="preserve">Administrations wishing to implement MFCN under LSA identify which existing applications </w:t>
      </w:r>
      <w:r w:rsidR="00EC6D95" w:rsidRPr="00E66AEF">
        <w:t>need</w:t>
      </w:r>
      <w:r w:rsidRPr="00E66AEF">
        <w:t xml:space="preserve"> to be considered as incumbent and maintained in the long term. </w:t>
      </w:r>
    </w:p>
    <w:p w14:paraId="754997EE" w14:textId="77777777" w:rsidR="003E6B85" w:rsidRPr="00E66AEF" w:rsidRDefault="003E6B85" w:rsidP="00B13558">
      <w:pPr>
        <w:pStyle w:val="ECCParagraph"/>
        <w:spacing w:before="240" w:after="60"/>
      </w:pPr>
      <w:r w:rsidRPr="00E66AEF">
        <w:t xml:space="preserve">CEPT countries currently use all or parts of the </w:t>
      </w:r>
      <w:r w:rsidR="007C0EB0" w:rsidRPr="00E66AEF">
        <w:t xml:space="preserve">2300-2400 MHz frequency </w:t>
      </w:r>
      <w:r w:rsidRPr="00E66AEF">
        <w:t>band for a variety of applications</w:t>
      </w:r>
      <w:r w:rsidR="003E3122" w:rsidRPr="00E66AEF">
        <w:t xml:space="preserve">, </w:t>
      </w:r>
      <w:r w:rsidR="00F909E2" w:rsidRPr="00E66AEF">
        <w:t>in addition to</w:t>
      </w:r>
      <w:r w:rsidR="007C0EB0" w:rsidRPr="00E66AEF">
        <w:t xml:space="preserve"> MFCN</w:t>
      </w:r>
      <w:r w:rsidR="003E3122" w:rsidRPr="00E66AEF">
        <w:t>,</w:t>
      </w:r>
      <w:r w:rsidRPr="00E66AEF">
        <w:t xml:space="preserve"> including:</w:t>
      </w:r>
    </w:p>
    <w:p w14:paraId="754997EF" w14:textId="77777777" w:rsidR="00EC6D95" w:rsidRPr="00E66AEF" w:rsidRDefault="00EC6D95" w:rsidP="00F44F2F">
      <w:pPr>
        <w:pStyle w:val="ECCParBulleted"/>
        <w:spacing w:before="60" w:after="60"/>
        <w:ind w:left="426" w:hanging="426"/>
      </w:pPr>
      <w:r w:rsidRPr="00E66AEF">
        <w:t>Telemetry, both terrestrial and aeronautical telemetry;</w:t>
      </w:r>
    </w:p>
    <w:p w14:paraId="754997F0" w14:textId="77777777" w:rsidR="003E6B85" w:rsidRPr="00E66AEF" w:rsidRDefault="003E6B85" w:rsidP="00F44F2F">
      <w:pPr>
        <w:pStyle w:val="ECCParBulleted"/>
        <w:spacing w:before="60" w:after="60"/>
        <w:ind w:left="426" w:hanging="426"/>
      </w:pPr>
      <w:r w:rsidRPr="00E66AEF">
        <w:t>Other governmental use, e.g. Unmanned Aircraft Systems (UAS);</w:t>
      </w:r>
    </w:p>
    <w:p w14:paraId="754997F1" w14:textId="77777777" w:rsidR="003E6B85" w:rsidRPr="00E66AEF" w:rsidRDefault="00FE72C8" w:rsidP="00F44F2F">
      <w:pPr>
        <w:pStyle w:val="ECCParBulleted"/>
        <w:spacing w:before="60" w:after="60"/>
        <w:ind w:left="426" w:hanging="426"/>
      </w:pPr>
      <w:r w:rsidRPr="00E66AEF">
        <w:t>PMSE (Commercial SAP/SAB video links);</w:t>
      </w:r>
    </w:p>
    <w:p w14:paraId="754997F2" w14:textId="77777777" w:rsidR="003E6B85" w:rsidRPr="00E66AEF" w:rsidRDefault="003E6B85" w:rsidP="00F44F2F">
      <w:pPr>
        <w:pStyle w:val="ECCParBulleted"/>
        <w:spacing w:before="60" w:after="60"/>
        <w:ind w:left="426" w:hanging="426"/>
      </w:pPr>
      <w:r w:rsidRPr="00E66AEF">
        <w:t>Amateur, as a secondary service.</w:t>
      </w:r>
    </w:p>
    <w:p w14:paraId="754997F4" w14:textId="77777777" w:rsidR="003E6B85" w:rsidRPr="00E66AEF" w:rsidRDefault="003E6B85" w:rsidP="00F44F2F">
      <w:pPr>
        <w:pStyle w:val="ECCParagraph"/>
        <w:spacing w:before="240" w:after="60"/>
      </w:pPr>
      <w:r w:rsidRPr="00E66AEF">
        <w:t>Applications whose usage has to be maintained in the long term are then identified as incumbents.</w:t>
      </w:r>
    </w:p>
    <w:p w14:paraId="754997F5" w14:textId="4CAC77B8" w:rsidR="003E6B85" w:rsidRPr="00E66AEF" w:rsidRDefault="003E6B85" w:rsidP="00F44F2F">
      <w:pPr>
        <w:pStyle w:val="ECCParagraph"/>
        <w:spacing w:before="240" w:after="60"/>
      </w:pPr>
      <w:r w:rsidRPr="00E66AEF">
        <w:t>Once the incumbent applications have been identified</w:t>
      </w:r>
      <w:r w:rsidR="001967EA" w:rsidRPr="00E66AEF">
        <w:t>,</w:t>
      </w:r>
      <w:r w:rsidRPr="00E66AEF">
        <w:t xml:space="preserve"> sharing opportunities have to be assessed through studies to be performed. Sharing </w:t>
      </w:r>
      <w:r w:rsidR="007D275F" w:rsidRPr="00E66AEF">
        <w:t xml:space="preserve">opportunities </w:t>
      </w:r>
      <w:r w:rsidR="001967EA" w:rsidRPr="00E66AEF">
        <w:t xml:space="preserve">can be </w:t>
      </w:r>
      <w:r w:rsidRPr="00E66AEF">
        <w:t>in time domain, frequency domain or by geographical separation.</w:t>
      </w:r>
      <w:r w:rsidRPr="00E66AEF">
        <w:rPr>
          <w:i/>
        </w:rPr>
        <w:t xml:space="preserve"> </w:t>
      </w:r>
      <w:r w:rsidRPr="00E66AEF">
        <w:t>It is a principle of LSA that for any single location or geographic area, an incumbent and an LSA licensee will not make use of the spectrum at the same time.</w:t>
      </w:r>
    </w:p>
    <w:p w14:paraId="754997F6" w14:textId="77777777" w:rsidR="001967EA" w:rsidRPr="00E66AEF" w:rsidRDefault="001967EA" w:rsidP="001967EA">
      <w:pPr>
        <w:pStyle w:val="ECCAnnexheading2"/>
        <w:rPr>
          <w:lang w:val="en-GB"/>
        </w:rPr>
      </w:pPr>
      <w:r w:rsidRPr="00E66AEF">
        <w:rPr>
          <w:lang w:val="en-GB"/>
        </w:rPr>
        <w:t>MFCN under LSA in the 2300-2400 MH</w:t>
      </w:r>
      <w:r w:rsidRPr="00E66AEF">
        <w:rPr>
          <w:sz w:val="16"/>
          <w:lang w:val="en-GB"/>
        </w:rPr>
        <w:t>z</w:t>
      </w:r>
      <w:r w:rsidRPr="00E66AEF">
        <w:rPr>
          <w:lang w:val="en-GB"/>
        </w:rPr>
        <w:t xml:space="preserve"> band</w:t>
      </w:r>
    </w:p>
    <w:p w14:paraId="754997F7" w14:textId="0F51F1E4" w:rsidR="003E6B85" w:rsidRPr="00E66AEF" w:rsidRDefault="00D06EF3" w:rsidP="00F44F2F">
      <w:pPr>
        <w:pStyle w:val="ECCParagraph"/>
        <w:spacing w:before="240" w:after="60"/>
      </w:pPr>
      <w:r w:rsidRPr="00E66AEF">
        <w:t xml:space="preserve">CEPT has developed ECC Report 172 </w:t>
      </w:r>
      <w:r w:rsidRPr="00E66AEF">
        <w:fldChar w:fldCharType="begin"/>
      </w:r>
      <w:r w:rsidRPr="00E66AEF">
        <w:instrText xml:space="preserve"> REF _Ref373425452 \r \h </w:instrText>
      </w:r>
      <w:r w:rsidR="00E12327" w:rsidRPr="00E66AEF">
        <w:instrText xml:space="preserve"> \* MERGEFORMAT </w:instrText>
      </w:r>
      <w:r w:rsidRPr="00E66AEF">
        <w:fldChar w:fldCharType="separate"/>
      </w:r>
      <w:r w:rsidR="00E65A35" w:rsidRPr="00E66AEF">
        <w:t>[5]</w:t>
      </w:r>
      <w:r w:rsidRPr="00E66AEF">
        <w:fldChar w:fldCharType="end"/>
      </w:r>
      <w:r w:rsidRPr="00E66AEF">
        <w:t xml:space="preserve"> for non-AAS MFCN and ECC Report 347</w:t>
      </w:r>
      <w:r w:rsidR="00D9324A" w:rsidRPr="00E66AEF">
        <w:t xml:space="preserve"> </w:t>
      </w:r>
      <w:r w:rsidR="00D86902" w:rsidRPr="00E66AEF">
        <w:fldChar w:fldCharType="begin"/>
      </w:r>
      <w:r w:rsidR="00D86902" w:rsidRPr="00E66AEF">
        <w:instrText xml:space="preserve"> REF _Ref116565103 \r \h </w:instrText>
      </w:r>
      <w:r w:rsidR="00D86902" w:rsidRPr="00E66AEF">
        <w:fldChar w:fldCharType="separate"/>
      </w:r>
      <w:r w:rsidR="00D86902" w:rsidRPr="00E66AEF">
        <w:t>[2]</w:t>
      </w:r>
      <w:r w:rsidR="00D86902" w:rsidRPr="00E66AEF">
        <w:fldChar w:fldCharType="end"/>
      </w:r>
      <w:r w:rsidR="00D86902" w:rsidRPr="00E66AEF">
        <w:t xml:space="preserve"> </w:t>
      </w:r>
      <w:r w:rsidRPr="00E66AEF">
        <w:t xml:space="preserve">for AAS MFCN which provide compatibility studies with respect to the potential use of the band 2300-2400 MHz by broadband wireless systems (BWS). Studies in ECC Report 172 and ECC </w:t>
      </w:r>
      <w:r w:rsidR="000E3348" w:rsidRPr="00E66AEF">
        <w:t>R</w:t>
      </w:r>
      <w:r w:rsidRPr="00E66AEF">
        <w:t>eport 347 did not consider LSA.</w:t>
      </w:r>
    </w:p>
    <w:p w14:paraId="754997F8" w14:textId="77777777" w:rsidR="003E6B85" w:rsidRPr="00E66AEF" w:rsidRDefault="003E6B85" w:rsidP="00F44F2F">
      <w:pPr>
        <w:pStyle w:val="ECCParagraph"/>
        <w:spacing w:before="240" w:after="60"/>
      </w:pPr>
      <w:r w:rsidRPr="00E66AEF">
        <w:t>Administrations wishing to implement MFCN under LSA are strongly advised to conduct national studies (e.g. defining an adapted propagation model, setting technical characteristics corresponding to the national situation) in order to get a more efficient sharing and to consider in their studies the impact of MFCN topologies.</w:t>
      </w:r>
    </w:p>
    <w:p w14:paraId="754997F9" w14:textId="77777777" w:rsidR="003E6B85" w:rsidRPr="00E66AEF" w:rsidRDefault="003E6B85" w:rsidP="00F44F2F">
      <w:pPr>
        <w:pStyle w:val="ECCParagraph"/>
        <w:spacing w:before="240" w:after="60"/>
      </w:pPr>
      <w:r w:rsidRPr="00E66AEF">
        <w:t>In order to increase the spectrum usage, one of the technological aspects to be considered is the choice of the topology to be used for the</w:t>
      </w:r>
      <w:r w:rsidR="00F20243" w:rsidRPr="00E66AEF">
        <w:t xml:space="preserve"> network deployment in the 2300-</w:t>
      </w:r>
      <w:r w:rsidRPr="00E66AEF">
        <w:t>2400 MHz band. LSA is indeed applicable in the entire HetNet (Heterogeneous Networks) context. This network topology might consist of:</w:t>
      </w:r>
    </w:p>
    <w:p w14:paraId="754997FA" w14:textId="1FBDCEF6" w:rsidR="003E6B85" w:rsidRPr="00E66AEF" w:rsidRDefault="003E6B85">
      <w:pPr>
        <w:pStyle w:val="ECCParBulleted"/>
        <w:numPr>
          <w:ilvl w:val="0"/>
          <w:numId w:val="16"/>
        </w:numPr>
        <w:tabs>
          <w:tab w:val="clear" w:pos="340"/>
          <w:tab w:val="num" w:pos="567"/>
        </w:tabs>
        <w:spacing w:before="60" w:after="60"/>
        <w:ind w:left="426" w:hanging="426"/>
      </w:pPr>
      <w:r w:rsidRPr="00E66AEF">
        <w:t xml:space="preserve">Macro, micro, </w:t>
      </w:r>
      <w:proofErr w:type="spellStart"/>
      <w:r w:rsidRPr="00E66AEF">
        <w:t>pico</w:t>
      </w:r>
      <w:proofErr w:type="spellEnd"/>
      <w:r w:rsidRPr="00E66AEF">
        <w:t xml:space="preserve"> and </w:t>
      </w:r>
      <w:proofErr w:type="spellStart"/>
      <w:r w:rsidRPr="00E66AEF">
        <w:t>femto</w:t>
      </w:r>
      <w:proofErr w:type="spellEnd"/>
      <w:r w:rsidRPr="00E66AEF">
        <w:t xml:space="preserve"> cell deployment</w:t>
      </w:r>
      <w:r w:rsidR="009B42C6" w:rsidRPr="00E66AEF">
        <w:t>;</w:t>
      </w:r>
    </w:p>
    <w:p w14:paraId="754997FB" w14:textId="4FB96FC2" w:rsidR="003E6B85" w:rsidRPr="00E66AEF" w:rsidRDefault="003E6B85">
      <w:pPr>
        <w:pStyle w:val="ECCParBulleted"/>
        <w:numPr>
          <w:ilvl w:val="0"/>
          <w:numId w:val="16"/>
        </w:numPr>
        <w:tabs>
          <w:tab w:val="clear" w:pos="340"/>
          <w:tab w:val="num" w:pos="567"/>
        </w:tabs>
        <w:spacing w:before="60" w:after="60"/>
        <w:ind w:left="426" w:hanging="426"/>
      </w:pPr>
      <w:r w:rsidRPr="00E66AEF">
        <w:t>Or a combination of the above deployments</w:t>
      </w:r>
      <w:r w:rsidR="009B42C6" w:rsidRPr="00E66AEF">
        <w:t>.</w:t>
      </w:r>
    </w:p>
    <w:p w14:paraId="754997FD" w14:textId="6AD649F3" w:rsidR="003E6B85" w:rsidRPr="00E66AEF" w:rsidRDefault="003E6B85" w:rsidP="00F44F2F">
      <w:pPr>
        <w:pStyle w:val="ECCParBulleted"/>
        <w:numPr>
          <w:ilvl w:val="0"/>
          <w:numId w:val="0"/>
        </w:numPr>
        <w:spacing w:before="240" w:after="60"/>
      </w:pPr>
      <w:r w:rsidRPr="00E66AEF">
        <w:t xml:space="preserve">ETSI TR 103 113 </w:t>
      </w:r>
      <w:r w:rsidR="000D5362" w:rsidRPr="00E66AEF">
        <w:fldChar w:fldCharType="begin"/>
      </w:r>
      <w:r w:rsidR="000D5362" w:rsidRPr="00E66AEF">
        <w:instrText xml:space="preserve"> REF _Ref373425524 \r \h </w:instrText>
      </w:r>
      <w:r w:rsidR="00E12327" w:rsidRPr="00E66AEF">
        <w:instrText xml:space="preserve"> \* MERGEFORMAT </w:instrText>
      </w:r>
      <w:r w:rsidR="000D5362" w:rsidRPr="00E66AEF">
        <w:fldChar w:fldCharType="separate"/>
      </w:r>
      <w:r w:rsidR="00D9324A" w:rsidRPr="00E66AEF">
        <w:t>[6]</w:t>
      </w:r>
      <w:r w:rsidR="000D5362" w:rsidRPr="00E66AEF">
        <w:fldChar w:fldCharType="end"/>
      </w:r>
      <w:r w:rsidR="000D5362" w:rsidRPr="00E66AEF">
        <w:t xml:space="preserve"> </w:t>
      </w:r>
      <w:r w:rsidRPr="00E66AEF">
        <w:t>provides examples of MFCN topologies in the 2300-2400 MHz band based on LSA.</w:t>
      </w:r>
    </w:p>
    <w:p w14:paraId="754997FE" w14:textId="77777777" w:rsidR="003E6B85" w:rsidRPr="00E66AEF" w:rsidRDefault="003E6B85" w:rsidP="00F44F2F">
      <w:pPr>
        <w:pStyle w:val="ECCParagraph"/>
        <w:spacing w:before="240" w:after="60"/>
      </w:pPr>
      <w:r w:rsidRPr="00E66AEF">
        <w:t xml:space="preserve">For </w:t>
      </w:r>
      <w:r w:rsidR="00FE66F3" w:rsidRPr="00E66AEF">
        <w:t>example, in complement to macro</w:t>
      </w:r>
      <w:r w:rsidR="00AF5C78" w:rsidRPr="00E66AEF">
        <w:t xml:space="preserve"> </w:t>
      </w:r>
      <w:r w:rsidRPr="00E66AEF">
        <w:t xml:space="preserve">cell </w:t>
      </w:r>
      <w:r w:rsidR="00FE66F3" w:rsidRPr="00E66AEF">
        <w:t xml:space="preserve">deployment, micro, </w:t>
      </w:r>
      <w:proofErr w:type="spellStart"/>
      <w:r w:rsidR="00FE66F3" w:rsidRPr="00E66AEF">
        <w:t>pico</w:t>
      </w:r>
      <w:proofErr w:type="spellEnd"/>
      <w:r w:rsidR="00FE66F3" w:rsidRPr="00E66AEF">
        <w:t xml:space="preserve">, </w:t>
      </w:r>
      <w:proofErr w:type="spellStart"/>
      <w:r w:rsidR="00FE66F3" w:rsidRPr="00E66AEF">
        <w:t>femto</w:t>
      </w:r>
      <w:proofErr w:type="spellEnd"/>
      <w:r w:rsidR="00FE66F3" w:rsidRPr="00E66AEF">
        <w:t xml:space="preserve"> </w:t>
      </w:r>
      <w:r w:rsidRPr="00E66AEF">
        <w:t>cell deployments would create the opportunity for sharing in areas where typical macro cell deployments would not be possible due to the need to protect the incumbent.</w:t>
      </w:r>
    </w:p>
    <w:p w14:paraId="754997FF" w14:textId="28BF8CAA" w:rsidR="00283C19" w:rsidRPr="00E66AEF" w:rsidRDefault="003E6B85" w:rsidP="00F44F2F">
      <w:pPr>
        <w:pStyle w:val="ECCParagraph"/>
        <w:spacing w:before="240" w:after="60"/>
      </w:pPr>
      <w:r w:rsidRPr="00E66AEF">
        <w:t xml:space="preserve">For the above mentioned topologies where LSA could be applied, the same LRTC as in </w:t>
      </w:r>
      <w:r w:rsidR="00D06EF3" w:rsidRPr="00E66AEF">
        <w:fldChar w:fldCharType="begin"/>
      </w:r>
      <w:r w:rsidR="00D06EF3" w:rsidRPr="00E66AEF">
        <w:instrText xml:space="preserve"> REF _Ref115115342 \n \h </w:instrText>
      </w:r>
      <w:r w:rsidR="00E12327" w:rsidRPr="00E66AEF">
        <w:instrText xml:space="preserve"> \* MERGEFORMAT </w:instrText>
      </w:r>
      <w:r w:rsidR="00D06EF3" w:rsidRPr="00E66AEF">
        <w:fldChar w:fldCharType="separate"/>
      </w:r>
      <w:r w:rsidR="00D06EF3" w:rsidRPr="00E66AEF">
        <w:t>A</w:t>
      </w:r>
      <w:r w:rsidR="00FA6B45" w:rsidRPr="00E66AEF">
        <w:t>nnex</w:t>
      </w:r>
      <w:r w:rsidR="00D06EF3" w:rsidRPr="00E66AEF">
        <w:t xml:space="preserve"> 2</w:t>
      </w:r>
      <w:r w:rsidR="00D06EF3" w:rsidRPr="00E66AEF">
        <w:fldChar w:fldCharType="end"/>
      </w:r>
      <w:r w:rsidRPr="00E66AEF">
        <w:t xml:space="preserve"> could be applicable.</w:t>
      </w:r>
    </w:p>
    <w:p w14:paraId="75499800" w14:textId="77777777" w:rsidR="00283C19" w:rsidRPr="00E66AEF" w:rsidRDefault="003E6B85" w:rsidP="00283C19">
      <w:pPr>
        <w:pStyle w:val="ECCAnnexheading2"/>
        <w:rPr>
          <w:lang w:val="en-GB"/>
        </w:rPr>
      </w:pPr>
      <w:r w:rsidRPr="00E66AEF">
        <w:rPr>
          <w:lang w:val="en-GB"/>
        </w:rPr>
        <w:t>Usage scenarios for the incumbent services</w:t>
      </w:r>
    </w:p>
    <w:p w14:paraId="75499801" w14:textId="77777777" w:rsidR="00283D84" w:rsidRPr="00E66AEF" w:rsidRDefault="003E6B85" w:rsidP="00283D84">
      <w:pPr>
        <w:pStyle w:val="ECCAnnexheading3"/>
        <w:rPr>
          <w:lang w:val="en-GB"/>
        </w:rPr>
      </w:pPr>
      <w:r w:rsidRPr="00E66AEF">
        <w:rPr>
          <w:lang w:val="en-GB"/>
        </w:rPr>
        <w:t>Usage scenarios for PMSE</w:t>
      </w:r>
    </w:p>
    <w:p w14:paraId="75499802" w14:textId="516886AF" w:rsidR="00283D84" w:rsidRPr="00E66AEF" w:rsidRDefault="003E6B85" w:rsidP="00F20243">
      <w:pPr>
        <w:pStyle w:val="ECCParagraph"/>
      </w:pPr>
      <w:r w:rsidRPr="00E66AEF">
        <w:t>The main type of PMSE applications used in the 2300-2400 MHz band is related to temporary video links (portable, mobile with some allowance for airborne use) and cordless cameras as referred to in ERC</w:t>
      </w:r>
      <w:r w:rsidR="001A180F" w:rsidRPr="00E66AEF">
        <w:t xml:space="preserve"> Recommendation</w:t>
      </w:r>
      <w:r w:rsidRPr="00E66AEF">
        <w:t xml:space="preserve"> 25-10 </w:t>
      </w:r>
      <w:r w:rsidR="000D5362" w:rsidRPr="00E66AEF">
        <w:fldChar w:fldCharType="begin"/>
      </w:r>
      <w:r w:rsidR="000D5362" w:rsidRPr="00E66AEF">
        <w:instrText xml:space="preserve"> REF _Ref373426185 \r \h </w:instrText>
      </w:r>
      <w:r w:rsidR="00F20243" w:rsidRPr="00E66AEF">
        <w:instrText xml:space="preserve"> \* MERGEFORMAT </w:instrText>
      </w:r>
      <w:r w:rsidR="000D5362" w:rsidRPr="00E66AEF">
        <w:fldChar w:fldCharType="separate"/>
      </w:r>
      <w:r w:rsidR="00D9324A" w:rsidRPr="00E66AEF">
        <w:t>[17]</w:t>
      </w:r>
      <w:r w:rsidR="000D5362" w:rsidRPr="00E66AEF">
        <w:fldChar w:fldCharType="end"/>
      </w:r>
      <w:r w:rsidR="000D5362" w:rsidRPr="00E66AEF">
        <w:t xml:space="preserve"> </w:t>
      </w:r>
      <w:r w:rsidRPr="00E66AEF">
        <w:t>and ECC Report 204</w:t>
      </w:r>
      <w:r w:rsidR="000D5362" w:rsidRPr="00E66AEF">
        <w:t xml:space="preserve"> </w:t>
      </w:r>
      <w:r w:rsidR="000D5362" w:rsidRPr="00E66AEF">
        <w:fldChar w:fldCharType="begin"/>
      </w:r>
      <w:r w:rsidR="000D5362" w:rsidRPr="00E66AEF">
        <w:instrText xml:space="preserve"> REF _Ref373426196 \r \h </w:instrText>
      </w:r>
      <w:r w:rsidR="00F20243" w:rsidRPr="00E66AEF">
        <w:instrText xml:space="preserve"> \* MERGEFORMAT </w:instrText>
      </w:r>
      <w:r w:rsidR="000D5362" w:rsidRPr="00E66AEF">
        <w:fldChar w:fldCharType="separate"/>
      </w:r>
      <w:r w:rsidR="00D9324A" w:rsidRPr="00E66AEF">
        <w:t>[18]</w:t>
      </w:r>
      <w:r w:rsidR="000D5362" w:rsidRPr="00E66AEF">
        <w:fldChar w:fldCharType="end"/>
      </w:r>
      <w:r w:rsidRPr="00E66AEF">
        <w:t>.</w:t>
      </w:r>
    </w:p>
    <w:p w14:paraId="75499803" w14:textId="1599EEA1" w:rsidR="002934D4" w:rsidRPr="00E66AEF" w:rsidRDefault="00D06EF3" w:rsidP="00F20243">
      <w:pPr>
        <w:pStyle w:val="ECCParagraph"/>
      </w:pPr>
      <w:r w:rsidRPr="00E66AEF">
        <w:t>PMSE use in this band may in many cases be characterised as having a high degree of locality and temporality, i.e. confined to the limits of a defined area for an event limited in time. Sharing scenarios will have to be developed to address the several types of PMSE deployment</w:t>
      </w:r>
      <w:r w:rsidR="00760337" w:rsidRPr="00E66AEF">
        <w:t>.</w:t>
      </w:r>
      <w:r w:rsidR="00E02801" w:rsidRPr="00E66AEF">
        <w:t xml:space="preserve"> </w:t>
      </w:r>
    </w:p>
    <w:p w14:paraId="75499804" w14:textId="77777777" w:rsidR="00283D84" w:rsidRPr="00E66AEF" w:rsidRDefault="003E6B85" w:rsidP="00283D84">
      <w:pPr>
        <w:pStyle w:val="ECCAnnexheading3"/>
        <w:rPr>
          <w:lang w:val="en-GB"/>
        </w:rPr>
      </w:pPr>
      <w:r w:rsidRPr="00E66AEF">
        <w:rPr>
          <w:lang w:val="en-GB"/>
        </w:rPr>
        <w:lastRenderedPageBreak/>
        <w:t>Usage scenarios for telemetry systems</w:t>
      </w:r>
    </w:p>
    <w:p w14:paraId="75499805" w14:textId="1D3F65D8" w:rsidR="00283C19" w:rsidRPr="00E66AEF" w:rsidRDefault="003E6B85" w:rsidP="00F20243">
      <w:pPr>
        <w:pStyle w:val="ECCParagraph"/>
      </w:pPr>
      <w:r w:rsidRPr="00E66AEF">
        <w:t>Both airborne and terrestrial telemetry applications are used in the band as described in ECC Report 172</w:t>
      </w:r>
      <w:r w:rsidR="000D5362" w:rsidRPr="00E66AEF">
        <w:t xml:space="preserve"> </w:t>
      </w:r>
      <w:r w:rsidR="000D5362" w:rsidRPr="00E66AEF">
        <w:fldChar w:fldCharType="begin"/>
      </w:r>
      <w:r w:rsidR="000D5362" w:rsidRPr="00E66AEF">
        <w:instrText xml:space="preserve"> REF _Ref373425452 \r \h </w:instrText>
      </w:r>
      <w:r w:rsidR="00E12327" w:rsidRPr="00E66AEF">
        <w:instrText xml:space="preserve"> \* MERGEFORMAT </w:instrText>
      </w:r>
      <w:r w:rsidR="000D5362" w:rsidRPr="00E66AEF">
        <w:fldChar w:fldCharType="separate"/>
      </w:r>
      <w:r w:rsidR="00AC2F19" w:rsidRPr="00E66AEF">
        <w:t>[5]</w:t>
      </w:r>
      <w:r w:rsidR="000D5362" w:rsidRPr="00E66AEF">
        <w:fldChar w:fldCharType="end"/>
      </w:r>
      <w:r w:rsidRPr="00E66AEF">
        <w:t>. These are expected to be scheduled activities often planned well in advance.</w:t>
      </w:r>
    </w:p>
    <w:p w14:paraId="75499806" w14:textId="77777777" w:rsidR="00283D84" w:rsidRPr="00E66AEF" w:rsidRDefault="003E6B85" w:rsidP="00283D84">
      <w:pPr>
        <w:pStyle w:val="ECCAnnexheading3"/>
        <w:rPr>
          <w:lang w:val="en-GB"/>
        </w:rPr>
      </w:pPr>
      <w:r w:rsidRPr="00E66AEF">
        <w:rPr>
          <w:lang w:val="en-GB"/>
        </w:rPr>
        <w:t>Usage scenarios for Unmanned Aircraft Systems (UAS)</w:t>
      </w:r>
    </w:p>
    <w:p w14:paraId="75499807" w14:textId="293CD606" w:rsidR="003E6B85" w:rsidRPr="00E66AEF" w:rsidRDefault="00D06EF3" w:rsidP="00F20243">
      <w:pPr>
        <w:pStyle w:val="ECCParagraph"/>
      </w:pPr>
      <w:r w:rsidRPr="00E66AEF">
        <w:t xml:space="preserve">UAS is composed of one or several UAV (Unmanned Aircraft Vehicle) and a ground station (GS). UAS uses telecommand (uplink) and telecontrol and video links (downlink). Some UAS uses symmetrical link between UAV and ground station (same bandwidth for the uplink and for the downlink, same modulation, etc.) as described in </w:t>
      </w:r>
      <w:r w:rsidR="003E6B85" w:rsidRPr="00E66AEF">
        <w:t>ECC Report 172</w:t>
      </w:r>
      <w:r w:rsidR="000D5362" w:rsidRPr="00E66AEF">
        <w:t xml:space="preserve"> </w:t>
      </w:r>
      <w:r w:rsidR="000D5362" w:rsidRPr="00E66AEF">
        <w:fldChar w:fldCharType="begin"/>
      </w:r>
      <w:r w:rsidR="000D5362" w:rsidRPr="00E66AEF">
        <w:instrText xml:space="preserve"> REF _Ref373425452 \r \h </w:instrText>
      </w:r>
      <w:r w:rsidR="00E12327" w:rsidRPr="00E66AEF">
        <w:instrText xml:space="preserve"> \* MERGEFORMAT </w:instrText>
      </w:r>
      <w:r w:rsidR="000D5362" w:rsidRPr="00E66AEF">
        <w:fldChar w:fldCharType="separate"/>
      </w:r>
      <w:r w:rsidR="00AC2F19" w:rsidRPr="00E66AEF">
        <w:t>[5]</w:t>
      </w:r>
      <w:r w:rsidR="000D5362" w:rsidRPr="00E66AEF">
        <w:fldChar w:fldCharType="end"/>
      </w:r>
      <w:r w:rsidR="003E6B85" w:rsidRPr="00E66AEF">
        <w:t>. These are expected to be scheduled activities often planned well in advance.</w:t>
      </w:r>
    </w:p>
    <w:p w14:paraId="75499808" w14:textId="253C10D7" w:rsidR="003E6B85" w:rsidRPr="00E66AEF" w:rsidRDefault="003E6B85" w:rsidP="003E6B85">
      <w:pPr>
        <w:pStyle w:val="ECCAnnexheading3"/>
        <w:rPr>
          <w:lang w:val="en-GB"/>
        </w:rPr>
      </w:pPr>
      <w:r w:rsidRPr="00E66AEF">
        <w:rPr>
          <w:lang w:val="en-GB"/>
        </w:rPr>
        <w:t xml:space="preserve">Usage scenarios for </w:t>
      </w:r>
      <w:r w:rsidR="00225B15">
        <w:rPr>
          <w:lang w:val="en-GB"/>
        </w:rPr>
        <w:t>a</w:t>
      </w:r>
      <w:r w:rsidR="00225B15" w:rsidRPr="00E66AEF">
        <w:rPr>
          <w:lang w:val="en-GB"/>
        </w:rPr>
        <w:t xml:space="preserve">mateur </w:t>
      </w:r>
      <w:r w:rsidRPr="00E66AEF">
        <w:rPr>
          <w:lang w:val="en-GB"/>
        </w:rPr>
        <w:t>service</w:t>
      </w:r>
    </w:p>
    <w:p w14:paraId="75499809" w14:textId="2E961805" w:rsidR="003E6B85" w:rsidRPr="00E66AEF" w:rsidRDefault="005E4800" w:rsidP="00F44F2F">
      <w:pPr>
        <w:pStyle w:val="ECCParagraph"/>
        <w:spacing w:before="240" w:after="60"/>
      </w:pPr>
      <w:r w:rsidRPr="00E66AEF">
        <w:t>The frequency band 2300-2400</w:t>
      </w:r>
      <w:r w:rsidR="00251E95" w:rsidRPr="00E66AEF">
        <w:t xml:space="preserve"> </w:t>
      </w:r>
      <w:r w:rsidRPr="00E66AEF">
        <w:t xml:space="preserve">MHz is allocated to the </w:t>
      </w:r>
      <w:r w:rsidR="009623A5">
        <w:t>a</w:t>
      </w:r>
      <w:r w:rsidR="009623A5" w:rsidRPr="00E66AEF">
        <w:t xml:space="preserve">mateur </w:t>
      </w:r>
      <w:r w:rsidR="009623A5">
        <w:t>s</w:t>
      </w:r>
      <w:r w:rsidR="009623A5" w:rsidRPr="00E66AEF">
        <w:t xml:space="preserve">ervice </w:t>
      </w:r>
      <w:r w:rsidRPr="00E66AEF">
        <w:t xml:space="preserve">on a secondary basis by </w:t>
      </w:r>
      <w:r w:rsidR="00AC2F19" w:rsidRPr="00E66AEF">
        <w:t xml:space="preserve">the </w:t>
      </w:r>
      <w:r w:rsidRPr="00E66AEF">
        <w:t xml:space="preserve">ITU Radio Regulations </w:t>
      </w:r>
      <w:r w:rsidR="002D5A61" w:rsidRPr="00E66AEF">
        <w:fldChar w:fldCharType="begin"/>
      </w:r>
      <w:r w:rsidR="002D5A61" w:rsidRPr="00E66AEF">
        <w:instrText xml:space="preserve"> REF _Ref387252438 \r \h </w:instrText>
      </w:r>
      <w:r w:rsidR="00E12327" w:rsidRPr="00E66AEF">
        <w:instrText xml:space="preserve"> \* MERGEFORMAT </w:instrText>
      </w:r>
      <w:r w:rsidR="002D5A61" w:rsidRPr="00E66AEF">
        <w:fldChar w:fldCharType="separate"/>
      </w:r>
      <w:r w:rsidR="00AC2F19" w:rsidRPr="00E66AEF">
        <w:t>[7]</w:t>
      </w:r>
      <w:r w:rsidR="002D5A61" w:rsidRPr="00E66AEF">
        <w:fldChar w:fldCharType="end"/>
      </w:r>
      <w:r w:rsidRPr="00E66AEF">
        <w:t xml:space="preserve"> in all three ITU regions</w:t>
      </w:r>
      <w:r w:rsidR="003E6B85" w:rsidRPr="00E66AEF">
        <w:t xml:space="preserve">. </w:t>
      </w:r>
    </w:p>
    <w:p w14:paraId="7549980A" w14:textId="3042E283" w:rsidR="003E6B85" w:rsidRPr="00E66AEF" w:rsidRDefault="003E6B85" w:rsidP="00F44F2F">
      <w:pPr>
        <w:pStyle w:val="ECCParagraph"/>
        <w:spacing w:before="240" w:after="60"/>
      </w:pPr>
      <w:r w:rsidRPr="00E66AEF">
        <w:t>The operational characteristics of amateur stations opera</w:t>
      </w:r>
      <w:r w:rsidR="00FE66F3" w:rsidRPr="00E66AEF">
        <w:t>ting in the 2300-</w:t>
      </w:r>
      <w:r w:rsidRPr="00E66AEF">
        <w:t xml:space="preserve">2400 MHz range vary significantly. However based on the IARU Region-1 VHF Managers Handbook </w:t>
      </w:r>
      <w:r w:rsidR="000D5362" w:rsidRPr="00E66AEF">
        <w:fldChar w:fldCharType="begin"/>
      </w:r>
      <w:r w:rsidR="000D5362" w:rsidRPr="00E66AEF">
        <w:instrText xml:space="preserve"> REF _Ref373426271 \r \h </w:instrText>
      </w:r>
      <w:r w:rsidR="00E12327" w:rsidRPr="00E66AEF">
        <w:instrText xml:space="preserve"> \* MERGEFORMAT </w:instrText>
      </w:r>
      <w:r w:rsidR="000D5362" w:rsidRPr="00E66AEF">
        <w:fldChar w:fldCharType="separate"/>
      </w:r>
      <w:r w:rsidR="00AC2F19" w:rsidRPr="00E66AEF">
        <w:t>[19]</w:t>
      </w:r>
      <w:r w:rsidR="000D5362" w:rsidRPr="00E66AEF">
        <w:fldChar w:fldCharType="end"/>
      </w:r>
      <w:r w:rsidR="000D5362" w:rsidRPr="00E66AEF">
        <w:t xml:space="preserve"> </w:t>
      </w:r>
      <w:r w:rsidR="00FE66F3" w:rsidRPr="00E66AEF">
        <w:t xml:space="preserve">and studies for ECC Report </w:t>
      </w:r>
      <w:r w:rsidRPr="00E66AEF">
        <w:t>172</w:t>
      </w:r>
      <w:r w:rsidR="000D5362" w:rsidRPr="00E66AEF">
        <w:t xml:space="preserve"> </w:t>
      </w:r>
      <w:r w:rsidR="000D5362" w:rsidRPr="00E66AEF">
        <w:fldChar w:fldCharType="begin"/>
      </w:r>
      <w:r w:rsidR="000D5362" w:rsidRPr="00E66AEF">
        <w:instrText xml:space="preserve"> REF _Ref373425452 \r \h </w:instrText>
      </w:r>
      <w:r w:rsidR="00E12327" w:rsidRPr="00E66AEF">
        <w:instrText xml:space="preserve"> \* MERGEFORMAT </w:instrText>
      </w:r>
      <w:r w:rsidR="000D5362" w:rsidRPr="00E66AEF">
        <w:fldChar w:fldCharType="separate"/>
      </w:r>
      <w:r w:rsidR="00AC2F19" w:rsidRPr="00E66AEF">
        <w:t>[5]</w:t>
      </w:r>
      <w:r w:rsidR="000D5362" w:rsidRPr="00E66AEF">
        <w:fldChar w:fldCharType="end"/>
      </w:r>
      <w:r w:rsidR="000D5362" w:rsidRPr="00E66AEF">
        <w:t>,</w:t>
      </w:r>
      <w:r w:rsidRPr="00E66AEF">
        <w:t xml:space="preserve"> they can be categorised as:</w:t>
      </w:r>
    </w:p>
    <w:p w14:paraId="7549980B" w14:textId="77777777" w:rsidR="003E6B85" w:rsidRPr="00E66AEF" w:rsidRDefault="003E6B85" w:rsidP="00F44F2F">
      <w:pPr>
        <w:pStyle w:val="ECCParBulleted"/>
        <w:spacing w:before="60" w:after="60"/>
      </w:pPr>
      <w:r w:rsidRPr="00E66AEF">
        <w:t xml:space="preserve">Long range weak-signal reception of Narrowband Terrestrial (e.g. CW, SSB, </w:t>
      </w:r>
      <w:proofErr w:type="spellStart"/>
      <w:r w:rsidRPr="00E66AEF">
        <w:t>digimodes</w:t>
      </w:r>
      <w:proofErr w:type="spellEnd"/>
      <w:r w:rsidRPr="00E66AEF">
        <w:t>) and EME (</w:t>
      </w:r>
      <w:r w:rsidR="000F1434" w:rsidRPr="00E66AEF">
        <w:t xml:space="preserve">Earth-Moon-Earth - </w:t>
      </w:r>
      <w:r w:rsidRPr="00E66AEF">
        <w:t xml:space="preserve">Moonbounce) operation - notably </w:t>
      </w:r>
      <w:r w:rsidR="00FE66F3" w:rsidRPr="00E66AEF">
        <w:t>in the harmonised sub-band 2320-</w:t>
      </w:r>
      <w:r w:rsidRPr="00E66AEF">
        <w:t>2322 MHz, including propagation beacons</w:t>
      </w:r>
      <w:r w:rsidR="00EC7B90" w:rsidRPr="00E66AEF">
        <w:t>;</w:t>
      </w:r>
    </w:p>
    <w:p w14:paraId="7549980C" w14:textId="77777777" w:rsidR="003E6B85" w:rsidRPr="00E66AEF" w:rsidRDefault="003E6B85" w:rsidP="00F44F2F">
      <w:pPr>
        <w:pStyle w:val="ECCParBulleted"/>
        <w:spacing w:before="60" w:after="60"/>
      </w:pPr>
      <w:r w:rsidRPr="00E66AEF">
        <w:t xml:space="preserve">Some additional </w:t>
      </w:r>
      <w:r w:rsidR="00FE66F3" w:rsidRPr="00E66AEF">
        <w:t>narrowband activity in the 2300-</w:t>
      </w:r>
      <w:r w:rsidRPr="00E66AEF">
        <w:t>2305 MHz range, including long range EME (</w:t>
      </w:r>
      <w:r w:rsidR="000F1434" w:rsidRPr="00E66AEF">
        <w:t xml:space="preserve">Earth-Moon-Earth - </w:t>
      </w:r>
      <w:r w:rsidRPr="00E66AEF">
        <w:t>Moonbounce) contacts with North America</w:t>
      </w:r>
      <w:r w:rsidR="00EC7B90" w:rsidRPr="00E66AEF">
        <w:t>;</w:t>
      </w:r>
    </w:p>
    <w:p w14:paraId="7549980D" w14:textId="77777777" w:rsidR="003E6B85" w:rsidRPr="00E66AEF" w:rsidRDefault="003E6B85" w:rsidP="00F44F2F">
      <w:pPr>
        <w:pStyle w:val="ECCParBulleted"/>
        <w:spacing w:before="60" w:after="60"/>
      </w:pPr>
      <w:r w:rsidRPr="00E66AEF">
        <w:t>Data, multimedia, and TV repeaters (point-to-point links and area systems) in other parts of the band</w:t>
      </w:r>
      <w:r w:rsidR="00EC7B90" w:rsidRPr="00E66AEF">
        <w:t>.</w:t>
      </w:r>
    </w:p>
    <w:p w14:paraId="7549980E" w14:textId="77777777" w:rsidR="003E6B85" w:rsidRPr="00E66AEF" w:rsidRDefault="003E6B85" w:rsidP="00F44F2F">
      <w:pPr>
        <w:spacing w:before="240" w:after="60"/>
        <w:rPr>
          <w:lang w:val="en-GB"/>
        </w:rPr>
      </w:pPr>
      <w:r w:rsidRPr="00E66AEF">
        <w:rPr>
          <w:lang w:val="en-GB"/>
        </w:rPr>
        <w:t>Activity levels vary with propagation conditions and peak when national or international contests, or other activity events, are scheduled.</w:t>
      </w:r>
    </w:p>
    <w:p w14:paraId="7549980F" w14:textId="25646AEF" w:rsidR="00283C19" w:rsidRPr="00E66AEF" w:rsidRDefault="003E6B85" w:rsidP="00283C19">
      <w:pPr>
        <w:pStyle w:val="ECCAnnexheading2"/>
        <w:rPr>
          <w:lang w:val="en-GB"/>
        </w:rPr>
      </w:pPr>
      <w:r w:rsidRPr="00E66AEF">
        <w:rPr>
          <w:lang w:val="en-GB"/>
        </w:rPr>
        <w:t>Sharing scenarios within the 2300-2400</w:t>
      </w:r>
      <w:r w:rsidR="00251E95" w:rsidRPr="00E66AEF">
        <w:rPr>
          <w:lang w:val="en-GB"/>
        </w:rPr>
        <w:t xml:space="preserve"> </w:t>
      </w:r>
      <w:r w:rsidRPr="00E66AEF">
        <w:rPr>
          <w:lang w:val="en-GB"/>
        </w:rPr>
        <w:t>MH</w:t>
      </w:r>
      <w:r w:rsidRPr="00E66AEF">
        <w:rPr>
          <w:sz w:val="16"/>
          <w:lang w:val="en-GB"/>
        </w:rPr>
        <w:t>z</w:t>
      </w:r>
      <w:r w:rsidRPr="00E66AEF">
        <w:rPr>
          <w:lang w:val="en-GB"/>
        </w:rPr>
        <w:t xml:space="preserve"> </w:t>
      </w:r>
      <w:r w:rsidR="0032590F">
        <w:rPr>
          <w:lang w:val="en-GB"/>
        </w:rPr>
        <w:t xml:space="preserve">band </w:t>
      </w:r>
      <w:r w:rsidRPr="00E66AEF">
        <w:rPr>
          <w:lang w:val="en-GB"/>
        </w:rPr>
        <w:t>under LSA</w:t>
      </w:r>
    </w:p>
    <w:p w14:paraId="75499810" w14:textId="279E3BC5" w:rsidR="007E0B48" w:rsidRPr="00E66AEF" w:rsidRDefault="00D06EF3" w:rsidP="00F44F2F">
      <w:pPr>
        <w:pStyle w:val="ECCParagraph"/>
        <w:spacing w:before="240" w:after="60"/>
      </w:pPr>
      <w:r w:rsidRPr="00E66AEF">
        <w:t xml:space="preserve">Sharing scenarios are summarised in the following sections based upon the sharing studies reported in ECC Report 172 </w:t>
      </w:r>
      <w:r w:rsidRPr="00E66AEF">
        <w:fldChar w:fldCharType="begin"/>
      </w:r>
      <w:r w:rsidRPr="00E66AEF">
        <w:instrText xml:space="preserve"> REF _Ref373425452 \r \h </w:instrText>
      </w:r>
      <w:r w:rsidR="00E12327" w:rsidRPr="00E66AEF">
        <w:instrText xml:space="preserve"> \* MERGEFORMAT </w:instrText>
      </w:r>
      <w:r w:rsidRPr="00E66AEF">
        <w:fldChar w:fldCharType="separate"/>
      </w:r>
      <w:r w:rsidR="00AC2F19" w:rsidRPr="00E66AEF">
        <w:t>[5]</w:t>
      </w:r>
      <w:r w:rsidRPr="00E66AEF">
        <w:fldChar w:fldCharType="end"/>
      </w:r>
      <w:r w:rsidRPr="00E66AEF">
        <w:t xml:space="preserve"> for non-AAS MFCN systems and in ECC Report 347 for AAS MFCN systems</w:t>
      </w:r>
      <w:r w:rsidR="00AC2F19" w:rsidRPr="00E66AEF">
        <w:t xml:space="preserve"> </w:t>
      </w:r>
      <w:r w:rsidR="00AC2F19" w:rsidRPr="00E66AEF">
        <w:fldChar w:fldCharType="begin"/>
      </w:r>
      <w:r w:rsidR="00AC2F19" w:rsidRPr="00E66AEF">
        <w:instrText xml:space="preserve"> REF _Ref116565103 \r \h </w:instrText>
      </w:r>
      <w:r w:rsidR="00AC2F19" w:rsidRPr="00E66AEF">
        <w:fldChar w:fldCharType="separate"/>
      </w:r>
      <w:r w:rsidR="00AC2F19" w:rsidRPr="00E66AEF">
        <w:t>[2]</w:t>
      </w:r>
      <w:r w:rsidR="00AC2F19" w:rsidRPr="00E66AEF">
        <w:fldChar w:fldCharType="end"/>
      </w:r>
      <w:r w:rsidRPr="00E66AEF">
        <w:t>. LSA provides additional opportunities for geographic separation for co-frequency operation, or frequency separation for geographic co-location, depending on the incumbent use</w:t>
      </w:r>
      <w:r w:rsidR="007E0B48" w:rsidRPr="00E66AEF">
        <w:t xml:space="preserve">. </w:t>
      </w:r>
    </w:p>
    <w:p w14:paraId="75499811" w14:textId="7C67BA65" w:rsidR="007E0B48" w:rsidRPr="00E66AEF" w:rsidRDefault="007E0B48" w:rsidP="00F44F2F">
      <w:pPr>
        <w:pStyle w:val="ECCParagraph"/>
        <w:spacing w:before="240" w:after="60"/>
      </w:pPr>
      <w:r w:rsidRPr="00E66AEF">
        <w:t xml:space="preserve">Administrations wishing to implement MFCN under LSA are strongly advised to conduct national studies in order to get a more efficient sharing and to consider in their studies the impact of MFCN topologies as coexistence between BWS and current users of the band has been studied in </w:t>
      </w:r>
      <w:r w:rsidR="00D06EF3" w:rsidRPr="00E66AEF">
        <w:t>ECC Report 172 and in ECC Report 347 in a worst-case analysis</w:t>
      </w:r>
      <w:r w:rsidRPr="00E66AEF">
        <w:t xml:space="preserve">. </w:t>
      </w:r>
    </w:p>
    <w:p w14:paraId="3F6C4B44" w14:textId="77777777" w:rsidR="00D06EF3" w:rsidRPr="00E66AEF" w:rsidRDefault="007E0B48" w:rsidP="00F44F2F">
      <w:pPr>
        <w:pStyle w:val="ECCParagraph"/>
        <w:spacing w:before="240" w:after="60"/>
      </w:pPr>
      <w:r w:rsidRPr="00E66AEF">
        <w:t xml:space="preserve">It is important to note that the level of the service that can be delivered </w:t>
      </w:r>
      <w:r w:rsidR="00E0477D" w:rsidRPr="00E66AEF">
        <w:t>by</w:t>
      </w:r>
      <w:r w:rsidRPr="00E66AEF">
        <w:t xml:space="preserve"> a LSA licensee is dependent on the situation in the band; it will be determined by the usage scenarios of the incumbent(s) and the corresponding </w:t>
      </w:r>
      <w:r w:rsidR="00E0477D" w:rsidRPr="00E66AEF">
        <w:t>sharing framework</w:t>
      </w:r>
      <w:r w:rsidRPr="00E66AEF">
        <w:t>. QoS, in particular when it comes to coverage, can only be provided through licensed spectrum where LSA Licensees have full control/knowledge of the interference they face, and therefore have full understanding of the performance that will be delivered by their network equipment.</w:t>
      </w:r>
    </w:p>
    <w:p w14:paraId="75499812" w14:textId="3E63B854" w:rsidR="00283C19" w:rsidRPr="00E66AEF" w:rsidRDefault="00D06EF3" w:rsidP="00F44F2F">
      <w:pPr>
        <w:pStyle w:val="ECCParagraph"/>
        <w:spacing w:before="240" w:after="60"/>
      </w:pPr>
      <w:r w:rsidRPr="00E66AEF">
        <w:t>In cases where geographical restrictions, e.g. exclusion zones, are dependent on unwanted emission levels, the exclusion zones may be larger when MFCN with AAS is used compared to MFCN with non-</w:t>
      </w:r>
      <w:proofErr w:type="gramStart"/>
      <w:r w:rsidRPr="00E66AEF">
        <w:t>AAS, or</w:t>
      </w:r>
      <w:proofErr w:type="gramEnd"/>
      <w:r w:rsidRPr="00E66AEF">
        <w:t xml:space="preserve"> may even be impracticable. This is because it may not be possible to implement the necessary operator-specific filtering for AAS systems with current technology due to complexity issues.</w:t>
      </w:r>
    </w:p>
    <w:p w14:paraId="75499813" w14:textId="3684536D" w:rsidR="008252F2" w:rsidRPr="00E66AEF" w:rsidRDefault="007E0B48" w:rsidP="008252F2">
      <w:pPr>
        <w:pStyle w:val="ECCAnnexheading3"/>
        <w:rPr>
          <w:lang w:val="en-GB"/>
        </w:rPr>
      </w:pPr>
      <w:r w:rsidRPr="00E66AEF">
        <w:rPr>
          <w:lang w:val="en-GB"/>
        </w:rPr>
        <w:t xml:space="preserve">Coexistence </w:t>
      </w:r>
      <w:r w:rsidR="0014558A">
        <w:rPr>
          <w:lang w:val="en-GB"/>
        </w:rPr>
        <w:t xml:space="preserve">of </w:t>
      </w:r>
      <w:r w:rsidRPr="00E66AEF">
        <w:rPr>
          <w:lang w:val="en-GB"/>
        </w:rPr>
        <w:t>PMSE (SAP/SAB video links) with MFCN</w:t>
      </w:r>
    </w:p>
    <w:p w14:paraId="75499814" w14:textId="2435013C" w:rsidR="00E02801" w:rsidRPr="00E66AEF" w:rsidRDefault="00BF61EC" w:rsidP="00F44F2F">
      <w:pPr>
        <w:pStyle w:val="ECCParagraph"/>
        <w:spacing w:before="240" w:after="60"/>
      </w:pPr>
      <w:r w:rsidRPr="00E66AEF">
        <w:t xml:space="preserve">Incumbent PMSE applications (SAP/SAB video links) can coexist with MFCN applications (non-AAS/AAS) at the same time through the use of either geographic separation if co-frequency operation is expected or a </w:t>
      </w:r>
      <w:r w:rsidRPr="00E66AEF">
        <w:lastRenderedPageBreak/>
        <w:t>combination of separation distance and frequency separation if co-located operation is anticipated. However, the details of such a sharing situation may depend on the particular national circumstances, namely the spectrum usage and the type of the authorisation granted by the corresponding administration for the existing applications. Special care may be given to the case of airborne use of PMSE, which may require large separation distances</w:t>
      </w:r>
      <w:r w:rsidR="00261C57" w:rsidRPr="00E66AEF">
        <w:t>.</w:t>
      </w:r>
    </w:p>
    <w:p w14:paraId="75499815" w14:textId="09A85289" w:rsidR="008252F2" w:rsidRPr="00E66AEF" w:rsidRDefault="007E0B48" w:rsidP="008252F2">
      <w:pPr>
        <w:pStyle w:val="ECCAnnexheading3"/>
        <w:rPr>
          <w:u w:val="single"/>
          <w:lang w:val="en-GB"/>
        </w:rPr>
      </w:pPr>
      <w:r w:rsidRPr="00E66AEF">
        <w:rPr>
          <w:lang w:val="en-GB"/>
        </w:rPr>
        <w:t>Coexistence</w:t>
      </w:r>
      <w:r w:rsidR="000775FD">
        <w:rPr>
          <w:lang w:val="en-GB"/>
        </w:rPr>
        <w:t xml:space="preserve"> of</w:t>
      </w:r>
      <w:r w:rsidRPr="00E66AEF">
        <w:rPr>
          <w:lang w:val="en-GB"/>
        </w:rPr>
        <w:t xml:space="preserve"> </w:t>
      </w:r>
      <w:r w:rsidR="000775FD">
        <w:rPr>
          <w:lang w:val="en-GB"/>
        </w:rPr>
        <w:t>telemetry</w:t>
      </w:r>
      <w:r w:rsidR="000775FD" w:rsidRPr="00E66AEF">
        <w:rPr>
          <w:lang w:val="en-GB"/>
        </w:rPr>
        <w:t xml:space="preserve"> </w:t>
      </w:r>
      <w:r w:rsidR="000775FD">
        <w:rPr>
          <w:lang w:val="en-GB"/>
        </w:rPr>
        <w:t>systems</w:t>
      </w:r>
      <w:r w:rsidR="000775FD" w:rsidRPr="00E66AEF">
        <w:rPr>
          <w:lang w:val="en-GB"/>
        </w:rPr>
        <w:t xml:space="preserve"> </w:t>
      </w:r>
      <w:r w:rsidRPr="00E66AEF">
        <w:rPr>
          <w:lang w:val="en-GB"/>
        </w:rPr>
        <w:t>with MFCN</w:t>
      </w:r>
    </w:p>
    <w:p w14:paraId="75499816" w14:textId="1D9CE0F8" w:rsidR="007E0B48" w:rsidRPr="00E66AEF" w:rsidRDefault="007E0B48" w:rsidP="00F44F2F">
      <w:pPr>
        <w:pStyle w:val="ECCParagraph"/>
        <w:spacing w:before="240" w:after="60"/>
      </w:pPr>
      <w:r w:rsidRPr="00E66AEF">
        <w:t xml:space="preserve">Incumbent Telemetry applications can coexist with MFCN </w:t>
      </w:r>
      <w:r w:rsidR="00BF61EC" w:rsidRPr="00E66AEF">
        <w:t xml:space="preserve">applications (non-AAS/AAS) at </w:t>
      </w:r>
      <w:r w:rsidRPr="00E66AEF">
        <w:t>the same time through the use of either geographic separation if co-frequency operation is expected or a combination of separation distance and frequency separation if co-located operation is anticipated.</w:t>
      </w:r>
    </w:p>
    <w:p w14:paraId="75499817" w14:textId="2A9C7814" w:rsidR="008252F2" w:rsidRPr="00E66AEF" w:rsidRDefault="007E0B48" w:rsidP="008252F2">
      <w:pPr>
        <w:pStyle w:val="ECCAnnexheading3"/>
        <w:rPr>
          <w:rStyle w:val="Heading3Char"/>
          <w:b/>
          <w:lang w:val="en-GB"/>
        </w:rPr>
      </w:pPr>
      <w:r w:rsidRPr="00E66AEF">
        <w:rPr>
          <w:lang w:val="en-GB"/>
        </w:rPr>
        <w:t xml:space="preserve">Coexistence </w:t>
      </w:r>
      <w:r w:rsidR="0014558A">
        <w:rPr>
          <w:lang w:val="en-GB"/>
        </w:rPr>
        <w:t xml:space="preserve">of </w:t>
      </w:r>
      <w:r w:rsidRPr="00E66AEF">
        <w:rPr>
          <w:lang w:val="en-GB"/>
        </w:rPr>
        <w:t>UAS with MFCN</w:t>
      </w:r>
    </w:p>
    <w:p w14:paraId="75499818" w14:textId="72230EE9" w:rsidR="00283C19" w:rsidRPr="00E66AEF" w:rsidRDefault="007E0B48" w:rsidP="00F20243">
      <w:pPr>
        <w:pStyle w:val="ECCParagraph"/>
        <w:rPr>
          <w:rStyle w:val="Heading3Char"/>
          <w:lang w:val="en-GB"/>
        </w:rPr>
      </w:pPr>
      <w:r w:rsidRPr="00E66AEF">
        <w:t xml:space="preserve">Incumbent UAS applications can coexist with MFCN </w:t>
      </w:r>
      <w:r w:rsidR="00BF61EC" w:rsidRPr="00E66AEF">
        <w:t xml:space="preserve">applications (non-AAS/AAS) at </w:t>
      </w:r>
      <w:r w:rsidRPr="00E66AEF">
        <w:t>the same time through the use of either geographic separation if co-frequency operation is expected or a combination of separation distance and frequency separation if co-located operation is anticipated.</w:t>
      </w:r>
    </w:p>
    <w:p w14:paraId="75499819" w14:textId="68EF5AB2" w:rsidR="00283C19" w:rsidRPr="00E66AEF" w:rsidRDefault="007E0B48" w:rsidP="00BE55E3">
      <w:pPr>
        <w:pStyle w:val="ECCAnnexheading3"/>
        <w:rPr>
          <w:u w:val="single"/>
          <w:lang w:val="en-GB"/>
        </w:rPr>
      </w:pPr>
      <w:r w:rsidRPr="00E66AEF">
        <w:rPr>
          <w:lang w:val="en-GB"/>
        </w:rPr>
        <w:t xml:space="preserve">Coexistence </w:t>
      </w:r>
      <w:r w:rsidR="0014558A">
        <w:rPr>
          <w:lang w:val="en-GB"/>
        </w:rPr>
        <w:t>of amateur service</w:t>
      </w:r>
      <w:r w:rsidRPr="00E66AEF">
        <w:rPr>
          <w:lang w:val="en-GB"/>
        </w:rPr>
        <w:t xml:space="preserve"> with MFCN</w:t>
      </w:r>
    </w:p>
    <w:p w14:paraId="7549981C" w14:textId="5FEEB6A3" w:rsidR="00283C19" w:rsidRPr="00E66AEF" w:rsidRDefault="00BF61EC" w:rsidP="00AA4587">
      <w:pPr>
        <w:jc w:val="both"/>
        <w:rPr>
          <w:lang w:val="en-GB"/>
        </w:rPr>
      </w:pPr>
      <w:r w:rsidRPr="00E66AEF">
        <w:rPr>
          <w:lang w:val="en-GB"/>
        </w:rPr>
        <w:t xml:space="preserve">ECC Report 172 </w:t>
      </w:r>
      <w:r w:rsidRPr="00E66AEF">
        <w:rPr>
          <w:lang w:val="en-GB"/>
        </w:rPr>
        <w:fldChar w:fldCharType="begin"/>
      </w:r>
      <w:r w:rsidRPr="00E66AEF">
        <w:rPr>
          <w:lang w:val="en-GB"/>
        </w:rPr>
        <w:instrText xml:space="preserve"> REF _Ref373425452 \r \h </w:instrText>
      </w:r>
      <w:r w:rsidR="00E12327" w:rsidRPr="00E66AEF">
        <w:rPr>
          <w:lang w:val="en-GB"/>
        </w:rPr>
        <w:instrText xml:space="preserve"> \* MERGEFORMAT </w:instrText>
      </w:r>
      <w:r w:rsidRPr="00E66AEF">
        <w:rPr>
          <w:lang w:val="en-GB"/>
        </w:rPr>
      </w:r>
      <w:r w:rsidRPr="00E66AEF">
        <w:rPr>
          <w:lang w:val="en-GB"/>
        </w:rPr>
        <w:fldChar w:fldCharType="separate"/>
      </w:r>
      <w:r w:rsidR="00027202" w:rsidRPr="00E66AEF">
        <w:rPr>
          <w:lang w:val="en-GB"/>
        </w:rPr>
        <w:t>[5]</w:t>
      </w:r>
      <w:r w:rsidRPr="00E66AEF">
        <w:rPr>
          <w:lang w:val="en-GB"/>
        </w:rPr>
        <w:fldChar w:fldCharType="end"/>
      </w:r>
      <w:r w:rsidRPr="00E66AEF">
        <w:rPr>
          <w:lang w:val="en-GB"/>
        </w:rPr>
        <w:t xml:space="preserve"> found that regarding </w:t>
      </w:r>
      <w:r w:rsidR="0014558A">
        <w:rPr>
          <w:lang w:val="en-GB"/>
        </w:rPr>
        <w:t>r</w:t>
      </w:r>
      <w:r w:rsidR="0014558A" w:rsidRPr="00E66AEF">
        <w:rPr>
          <w:lang w:val="en-GB"/>
        </w:rPr>
        <w:t xml:space="preserve">adio </w:t>
      </w:r>
      <w:r w:rsidR="0014558A">
        <w:rPr>
          <w:lang w:val="en-GB"/>
        </w:rPr>
        <w:t>a</w:t>
      </w:r>
      <w:r w:rsidR="0014558A" w:rsidRPr="00E66AEF">
        <w:rPr>
          <w:lang w:val="en-GB"/>
        </w:rPr>
        <w:t xml:space="preserve">mateur </w:t>
      </w:r>
      <w:r w:rsidRPr="00E66AEF">
        <w:rPr>
          <w:lang w:val="en-GB"/>
        </w:rPr>
        <w:t xml:space="preserve">systems in the 2300-2400 MHz band, operating as a secondary service, it was shown that the required MCL (Minimum Coupling Loss) in relation to non-AAS MFCN system can be achieved by various mitigation techniques. For AAS </w:t>
      </w:r>
      <w:r w:rsidR="00097251" w:rsidRPr="00E66AEF">
        <w:rPr>
          <w:lang w:val="en-GB"/>
        </w:rPr>
        <w:t>MFCN</w:t>
      </w:r>
      <w:r w:rsidRPr="00E66AEF">
        <w:rPr>
          <w:lang w:val="en-GB"/>
        </w:rPr>
        <w:t xml:space="preserve"> similar or improved situation as for non-AAS </w:t>
      </w:r>
      <w:r w:rsidR="00097251" w:rsidRPr="00E66AEF">
        <w:rPr>
          <w:lang w:val="en-GB"/>
        </w:rPr>
        <w:t xml:space="preserve">MFCN </w:t>
      </w:r>
      <w:r w:rsidRPr="00E66AEF">
        <w:rPr>
          <w:lang w:val="en-GB"/>
        </w:rPr>
        <w:t xml:space="preserve">can be expected </w:t>
      </w:r>
      <w:r w:rsidR="00097251" w:rsidRPr="00E66AEF">
        <w:rPr>
          <w:lang w:val="en-GB"/>
        </w:rPr>
        <w:t xml:space="preserve">according to ECC Report 347 </w:t>
      </w:r>
      <w:r w:rsidR="00097251" w:rsidRPr="00E66AEF">
        <w:rPr>
          <w:lang w:val="en-GB"/>
        </w:rPr>
        <w:fldChar w:fldCharType="begin"/>
      </w:r>
      <w:r w:rsidR="00097251" w:rsidRPr="00E66AEF">
        <w:rPr>
          <w:lang w:val="en-GB"/>
        </w:rPr>
        <w:instrText xml:space="preserve"> REF _Ref116565103 \r \h </w:instrText>
      </w:r>
      <w:r w:rsidR="00AA4587">
        <w:rPr>
          <w:lang w:val="en-GB"/>
        </w:rPr>
        <w:instrText xml:space="preserve"> \* MERGEFORMAT </w:instrText>
      </w:r>
      <w:r w:rsidR="00097251" w:rsidRPr="00E66AEF">
        <w:rPr>
          <w:lang w:val="en-GB"/>
        </w:rPr>
      </w:r>
      <w:r w:rsidR="00097251" w:rsidRPr="00E66AEF">
        <w:rPr>
          <w:lang w:val="en-GB"/>
        </w:rPr>
        <w:fldChar w:fldCharType="separate"/>
      </w:r>
      <w:r w:rsidR="00D2159E" w:rsidRPr="00E66AEF">
        <w:rPr>
          <w:lang w:val="en-GB"/>
        </w:rPr>
        <w:t>[2]</w:t>
      </w:r>
      <w:r w:rsidR="00097251" w:rsidRPr="00E66AEF">
        <w:rPr>
          <w:lang w:val="en-GB"/>
        </w:rPr>
        <w:fldChar w:fldCharType="end"/>
      </w:r>
      <w:r w:rsidR="00097251" w:rsidRPr="00E66AEF">
        <w:rPr>
          <w:lang w:val="en-GB"/>
        </w:rPr>
        <w:t>,</w:t>
      </w:r>
      <w:r w:rsidRPr="00E66AEF">
        <w:rPr>
          <w:lang w:val="en-GB"/>
        </w:rPr>
        <w:t xml:space="preserve"> </w:t>
      </w:r>
      <w:r w:rsidR="00097251" w:rsidRPr="00E66AEF">
        <w:rPr>
          <w:lang w:val="en-GB"/>
        </w:rPr>
        <w:t xml:space="preserve">this is </w:t>
      </w:r>
      <w:r w:rsidRPr="00E66AEF">
        <w:rPr>
          <w:lang w:val="en-GB"/>
        </w:rPr>
        <w:t>due to the statistical nature of beamforming and the narrow main lobe of amateur stations</w:t>
      </w:r>
      <w:r w:rsidR="007E0B48" w:rsidRPr="00E66AEF">
        <w:rPr>
          <w:lang w:val="en-GB"/>
        </w:rPr>
        <w:t>.</w:t>
      </w:r>
    </w:p>
    <w:p w14:paraId="7549981D" w14:textId="3CB16672" w:rsidR="00283C19" w:rsidRPr="00E66AEF" w:rsidRDefault="00283C19" w:rsidP="003C77A1">
      <w:pPr>
        <w:pStyle w:val="ECCAnnex-heading1"/>
        <w:numPr>
          <w:ilvl w:val="0"/>
          <w:numId w:val="14"/>
        </w:numPr>
        <w:ind w:left="0"/>
      </w:pPr>
      <w:bookmarkStart w:id="19" w:name="_Toc280099660"/>
      <w:r w:rsidRPr="00E66AEF">
        <w:lastRenderedPageBreak/>
        <w:t>List of reference</w:t>
      </w:r>
      <w:bookmarkEnd w:id="19"/>
      <w:r w:rsidR="009239E4" w:rsidRPr="00E66AEF">
        <w:t>s</w:t>
      </w:r>
    </w:p>
    <w:bookmarkStart w:id="20" w:name="_Ref213741794"/>
    <w:p w14:paraId="3C5C3FE8" w14:textId="0EE45730" w:rsidR="00223620" w:rsidRPr="00E66AEF" w:rsidRDefault="006B0DC8" w:rsidP="00223620">
      <w:pPr>
        <w:pStyle w:val="reference"/>
        <w:numPr>
          <w:ilvl w:val="0"/>
          <w:numId w:val="9"/>
        </w:numPr>
        <w:spacing w:before="60" w:after="60"/>
        <w:rPr>
          <w:lang w:val="en-GB"/>
        </w:rPr>
      </w:pPr>
      <w:r w:rsidRPr="00E66AEF">
        <w:rPr>
          <w:lang w:val="en-GB"/>
        </w:rPr>
        <w:fldChar w:fldCharType="begin"/>
      </w:r>
      <w:r w:rsidRPr="00E66AEF">
        <w:rPr>
          <w:lang w:val="en-GB"/>
        </w:rPr>
        <w:instrText>HYPERLINK "https://docdb.cept.org/document/512"</w:instrText>
      </w:r>
      <w:r w:rsidRPr="00E66AEF">
        <w:rPr>
          <w:lang w:val="en-GB"/>
        </w:rPr>
      </w:r>
      <w:r w:rsidRPr="00E66AEF">
        <w:rPr>
          <w:lang w:val="en-GB"/>
        </w:rPr>
        <w:fldChar w:fldCharType="separate"/>
      </w:r>
      <w:r w:rsidRPr="00E66AEF">
        <w:rPr>
          <w:rStyle w:val="Hyperlink"/>
          <w:lang w:val="en-GB"/>
        </w:rPr>
        <w:t>ECC Recommendation (14)04</w:t>
      </w:r>
      <w:r w:rsidRPr="00E66AEF">
        <w:rPr>
          <w:lang w:val="en-GB"/>
        </w:rPr>
        <w:fldChar w:fldCharType="end"/>
      </w:r>
      <w:r w:rsidR="004D1265" w:rsidRPr="00E66AEF">
        <w:rPr>
          <w:lang w:val="en-GB"/>
        </w:rPr>
        <w:t>:</w:t>
      </w:r>
      <w:bookmarkStart w:id="21" w:name="_Ref373423658"/>
      <w:r w:rsidR="00C45A1D" w:rsidRPr="00E66AEF">
        <w:rPr>
          <w:lang w:val="en-GB"/>
        </w:rPr>
        <w:t xml:space="preserve"> </w:t>
      </w:r>
      <w:bookmarkEnd w:id="21"/>
      <w:r w:rsidR="00E152DD" w:rsidRPr="00E66AEF">
        <w:rPr>
          <w:lang w:val="en-GB"/>
        </w:rPr>
        <w:t>“</w:t>
      </w:r>
      <w:r w:rsidR="005F014F" w:rsidRPr="00E66AEF">
        <w:rPr>
          <w:lang w:val="en-GB"/>
        </w:rPr>
        <w:t>Cross-border coordination for MFCN and between MFCN and other systems in the frequency band 2300-2400 MHz</w:t>
      </w:r>
      <w:r w:rsidR="00E152DD" w:rsidRPr="00E66AEF">
        <w:rPr>
          <w:lang w:val="en-GB"/>
        </w:rPr>
        <w:t>”</w:t>
      </w:r>
      <w:r w:rsidR="0003556E" w:rsidRPr="00E66AEF">
        <w:rPr>
          <w:lang w:val="en-GB"/>
        </w:rPr>
        <w:t>, approved June 2014</w:t>
      </w:r>
    </w:p>
    <w:bookmarkStart w:id="22" w:name="_Ref116565103"/>
    <w:p w14:paraId="7DDA479A" w14:textId="371F0D8D" w:rsidR="00223620" w:rsidRPr="00E66AEF" w:rsidRDefault="000A0323" w:rsidP="00223620">
      <w:pPr>
        <w:pStyle w:val="reference"/>
        <w:numPr>
          <w:ilvl w:val="0"/>
          <w:numId w:val="9"/>
        </w:numPr>
        <w:spacing w:before="60" w:after="60"/>
        <w:rPr>
          <w:lang w:val="en-GB"/>
        </w:rPr>
      </w:pPr>
      <w:r w:rsidRPr="00E66AEF">
        <w:rPr>
          <w:lang w:val="en-GB"/>
        </w:rPr>
        <w:fldChar w:fldCharType="begin"/>
      </w:r>
      <w:r w:rsidRPr="00E66AEF">
        <w:rPr>
          <w:lang w:val="en-GB"/>
        </w:rPr>
        <w:instrText xml:space="preserve"> HYPERLINK "https://docdb.cept.org/document/28576" </w:instrText>
      </w:r>
      <w:r w:rsidRPr="00E66AEF">
        <w:rPr>
          <w:lang w:val="en-GB"/>
        </w:rPr>
      </w:r>
      <w:r w:rsidRPr="00E66AEF">
        <w:rPr>
          <w:lang w:val="en-GB"/>
        </w:rPr>
        <w:fldChar w:fldCharType="separate"/>
      </w:r>
      <w:r w:rsidR="00E152DD" w:rsidRPr="00E66AEF">
        <w:rPr>
          <w:rStyle w:val="Hyperlink"/>
          <w:lang w:val="en-GB"/>
        </w:rPr>
        <w:t>ECC Report 347</w:t>
      </w:r>
      <w:r w:rsidRPr="00E66AEF">
        <w:rPr>
          <w:lang w:val="en-GB"/>
        </w:rPr>
        <w:fldChar w:fldCharType="end"/>
      </w:r>
      <w:r w:rsidR="00E152DD" w:rsidRPr="00E66AEF">
        <w:rPr>
          <w:lang w:val="en-GB"/>
        </w:rPr>
        <w:t>: “Analysis of the suitability and update of the regulatory technical conditions for 5G MFCN and AAS operation in the 2300-2400 MHz band”, approved November 2022</w:t>
      </w:r>
      <w:bookmarkEnd w:id="22"/>
    </w:p>
    <w:p w14:paraId="75499820" w14:textId="3036FD29" w:rsidR="00A61707" w:rsidRPr="00E66AEF" w:rsidRDefault="000F1434" w:rsidP="002E6CD1">
      <w:pPr>
        <w:pStyle w:val="reference"/>
        <w:numPr>
          <w:ilvl w:val="0"/>
          <w:numId w:val="9"/>
        </w:numPr>
        <w:spacing w:before="60" w:after="60"/>
        <w:rPr>
          <w:lang w:val="en-GB"/>
        </w:rPr>
      </w:pPr>
      <w:bookmarkStart w:id="23" w:name="_Ref391640424"/>
      <w:r w:rsidRPr="00E66AEF">
        <w:rPr>
          <w:lang w:val="en-GB"/>
        </w:rPr>
        <w:t xml:space="preserve">RSPG Opinion on Licensed Shared Access, November 2013, </w:t>
      </w:r>
      <w:hyperlink r:id="rId12" w:history="1">
        <w:r w:rsidR="00FE72C8" w:rsidRPr="00E66AEF">
          <w:rPr>
            <w:rStyle w:val="Hyperlink"/>
            <w:szCs w:val="20"/>
            <w:lang w:val="en-GB"/>
          </w:rPr>
          <w:t>https://circabc.europa.eu/sd/d/3958ecef-c25e-4e4f-8e3b-469d1db6bc07/RSPG13-538_RSPG-Opinion-on-LSA%20.pdf</w:t>
        </w:r>
      </w:hyperlink>
      <w:bookmarkEnd w:id="23"/>
    </w:p>
    <w:bookmarkStart w:id="24" w:name="_Ref373423827"/>
    <w:bookmarkStart w:id="25" w:name="_Ref391640545"/>
    <w:p w14:paraId="75499821" w14:textId="4BC85931" w:rsidR="00CB3178" w:rsidRPr="00E66AEF" w:rsidRDefault="00B423AC" w:rsidP="002E6CD1">
      <w:pPr>
        <w:pStyle w:val="reference"/>
        <w:numPr>
          <w:ilvl w:val="0"/>
          <w:numId w:val="9"/>
        </w:numPr>
        <w:spacing w:before="60" w:after="60"/>
        <w:rPr>
          <w:lang w:val="en-GB"/>
        </w:rPr>
      </w:pPr>
      <w:r w:rsidRPr="00E66AEF">
        <w:rPr>
          <w:lang w:val="en-GB"/>
        </w:rPr>
        <w:fldChar w:fldCharType="begin"/>
      </w:r>
      <w:r w:rsidRPr="00E66AEF">
        <w:rPr>
          <w:lang w:val="en-GB"/>
        </w:rPr>
        <w:instrText>HYPERLINK "https://docdb.cept.org/document/312"</w:instrText>
      </w:r>
      <w:r w:rsidRPr="00E66AEF">
        <w:rPr>
          <w:lang w:val="en-GB"/>
        </w:rPr>
      </w:r>
      <w:r w:rsidRPr="00E66AEF">
        <w:rPr>
          <w:lang w:val="en-GB"/>
        </w:rPr>
        <w:fldChar w:fldCharType="separate"/>
      </w:r>
      <w:r w:rsidRPr="00E66AEF">
        <w:rPr>
          <w:rStyle w:val="Hyperlink"/>
          <w:lang w:val="en-GB"/>
        </w:rPr>
        <w:t>ECC Report 205</w:t>
      </w:r>
      <w:r w:rsidRPr="00E66AEF">
        <w:rPr>
          <w:lang w:val="en-GB"/>
        </w:rPr>
        <w:fldChar w:fldCharType="end"/>
      </w:r>
      <w:r w:rsidR="00C45A1D" w:rsidRPr="00E66AEF">
        <w:rPr>
          <w:lang w:val="en-GB"/>
        </w:rPr>
        <w:t>:</w:t>
      </w:r>
      <w:bookmarkEnd w:id="24"/>
      <w:r w:rsidR="00C45A1D" w:rsidRPr="00E66AEF">
        <w:rPr>
          <w:lang w:val="en-GB"/>
        </w:rPr>
        <w:t xml:space="preserve"> </w:t>
      </w:r>
      <w:r w:rsidR="005C5F7D" w:rsidRPr="00E66AEF">
        <w:rPr>
          <w:lang w:val="en-GB"/>
        </w:rPr>
        <w:t>“</w:t>
      </w:r>
      <w:r w:rsidR="005F6766" w:rsidRPr="00E66AEF">
        <w:rPr>
          <w:lang w:val="en-GB"/>
        </w:rPr>
        <w:t>Licensed Shared Access (LSA)</w:t>
      </w:r>
      <w:bookmarkEnd w:id="25"/>
      <w:r w:rsidR="005C5F7D" w:rsidRPr="00E66AEF">
        <w:rPr>
          <w:lang w:val="en-GB"/>
        </w:rPr>
        <w:t>”</w:t>
      </w:r>
      <w:r w:rsidR="00054CDB" w:rsidRPr="00E66AEF">
        <w:rPr>
          <w:lang w:val="en-GB"/>
        </w:rPr>
        <w:t>, approved February 2014</w:t>
      </w:r>
    </w:p>
    <w:bookmarkStart w:id="26" w:name="_Ref373425452"/>
    <w:bookmarkStart w:id="27" w:name="_Ref377653985"/>
    <w:bookmarkStart w:id="28" w:name="_Ref116565485"/>
    <w:p w14:paraId="75499822" w14:textId="3F880CFC" w:rsidR="00C45A1D" w:rsidRPr="00E66AEF" w:rsidRDefault="00EF711C" w:rsidP="002E6CD1">
      <w:pPr>
        <w:pStyle w:val="reference"/>
        <w:numPr>
          <w:ilvl w:val="0"/>
          <w:numId w:val="9"/>
        </w:numPr>
        <w:spacing w:before="60" w:after="60"/>
        <w:rPr>
          <w:lang w:val="en-GB"/>
        </w:rPr>
      </w:pPr>
      <w:r w:rsidRPr="00E66AEF">
        <w:rPr>
          <w:lang w:val="en-GB"/>
        </w:rPr>
        <w:fldChar w:fldCharType="begin"/>
      </w:r>
      <w:r w:rsidRPr="00E66AEF">
        <w:rPr>
          <w:lang w:val="en-GB"/>
        </w:rPr>
        <w:instrText>HYPERLINK "https://docdb.cept.org/document/280"</w:instrText>
      </w:r>
      <w:r w:rsidRPr="00E66AEF">
        <w:rPr>
          <w:lang w:val="en-GB"/>
        </w:rPr>
      </w:r>
      <w:r w:rsidRPr="00E66AEF">
        <w:rPr>
          <w:lang w:val="en-GB"/>
        </w:rPr>
        <w:fldChar w:fldCharType="separate"/>
      </w:r>
      <w:r w:rsidRPr="00E66AEF">
        <w:rPr>
          <w:rStyle w:val="Hyperlink"/>
          <w:lang w:val="en-GB"/>
        </w:rPr>
        <w:t>ECC Report 172</w:t>
      </w:r>
      <w:r w:rsidRPr="00E66AEF">
        <w:rPr>
          <w:lang w:val="en-GB"/>
        </w:rPr>
        <w:fldChar w:fldCharType="end"/>
      </w:r>
      <w:r w:rsidR="00CB3178" w:rsidRPr="00E66AEF">
        <w:rPr>
          <w:lang w:val="en-GB"/>
        </w:rPr>
        <w:t>:</w:t>
      </w:r>
      <w:bookmarkEnd w:id="26"/>
      <w:r w:rsidR="00CB3178" w:rsidRPr="00E66AEF">
        <w:rPr>
          <w:lang w:val="en-GB"/>
        </w:rPr>
        <w:t xml:space="preserve"> </w:t>
      </w:r>
      <w:r w:rsidR="005C5F7D" w:rsidRPr="00E66AEF">
        <w:rPr>
          <w:lang w:val="en-GB"/>
        </w:rPr>
        <w:t>“</w:t>
      </w:r>
      <w:r w:rsidR="005F6766" w:rsidRPr="00E66AEF">
        <w:rPr>
          <w:lang w:val="en-GB"/>
        </w:rPr>
        <w:t>Broadband Wireless Systems Usage in 2300-2400 MHz</w:t>
      </w:r>
      <w:bookmarkEnd w:id="27"/>
      <w:r w:rsidR="005C5F7D" w:rsidRPr="00E66AEF">
        <w:rPr>
          <w:lang w:val="en-GB"/>
        </w:rPr>
        <w:t>”</w:t>
      </w:r>
      <w:r w:rsidR="006C3E3C" w:rsidRPr="00E66AEF">
        <w:rPr>
          <w:lang w:val="en-GB"/>
        </w:rPr>
        <w:t>, approved April 2012</w:t>
      </w:r>
      <w:bookmarkEnd w:id="28"/>
    </w:p>
    <w:p w14:paraId="75499823" w14:textId="111A0F87" w:rsidR="00CB3178" w:rsidRPr="00E66AEF" w:rsidRDefault="00CB3178" w:rsidP="002E6CD1">
      <w:pPr>
        <w:pStyle w:val="reference"/>
        <w:numPr>
          <w:ilvl w:val="0"/>
          <w:numId w:val="9"/>
        </w:numPr>
        <w:spacing w:before="60" w:after="60"/>
        <w:rPr>
          <w:lang w:val="en-GB"/>
        </w:rPr>
      </w:pPr>
      <w:bookmarkStart w:id="29" w:name="_Ref373425524"/>
      <w:r w:rsidRPr="00E66AEF">
        <w:rPr>
          <w:lang w:val="en-GB"/>
        </w:rPr>
        <w:t>ETSI TR 103 113:</w:t>
      </w:r>
      <w:bookmarkEnd w:id="29"/>
      <w:r w:rsidRPr="00E66AEF">
        <w:rPr>
          <w:lang w:val="en-GB"/>
        </w:rPr>
        <w:t xml:space="preserve"> </w:t>
      </w:r>
      <w:r w:rsidR="00E27E3C" w:rsidRPr="00E66AEF">
        <w:rPr>
          <w:lang w:val="en-GB"/>
        </w:rPr>
        <w:t>“</w:t>
      </w:r>
      <w:r w:rsidR="005F6766" w:rsidRPr="00E66AEF">
        <w:rPr>
          <w:lang w:val="en-GB"/>
        </w:rPr>
        <w:t>System Reference document;</w:t>
      </w:r>
      <w:r w:rsidR="00C43953" w:rsidRPr="00E66AEF">
        <w:rPr>
          <w:lang w:val="en-GB"/>
        </w:rPr>
        <w:t xml:space="preserve"> </w:t>
      </w:r>
      <w:r w:rsidR="005F6766" w:rsidRPr="00E66AEF">
        <w:rPr>
          <w:lang w:val="en-GB"/>
        </w:rPr>
        <w:t>Mobile broadband se</w:t>
      </w:r>
      <w:r w:rsidR="00251E95" w:rsidRPr="00E66AEF">
        <w:rPr>
          <w:lang w:val="en-GB"/>
        </w:rPr>
        <w:t>rvices in the 2300-</w:t>
      </w:r>
      <w:r w:rsidR="005F6766" w:rsidRPr="00E66AEF">
        <w:rPr>
          <w:lang w:val="en-GB"/>
        </w:rPr>
        <w:t>2400 MHz frequency band under Licensed Shared Access regime</w:t>
      </w:r>
      <w:r w:rsidR="00E27E3C" w:rsidRPr="00E66AEF">
        <w:rPr>
          <w:lang w:val="en-GB"/>
        </w:rPr>
        <w:t>”</w:t>
      </w:r>
    </w:p>
    <w:p w14:paraId="75499824" w14:textId="59D730A0" w:rsidR="00CB3178" w:rsidRPr="00E66AEF" w:rsidRDefault="00CB3178" w:rsidP="002E6CD1">
      <w:pPr>
        <w:pStyle w:val="reference"/>
        <w:numPr>
          <w:ilvl w:val="0"/>
          <w:numId w:val="9"/>
        </w:numPr>
        <w:spacing w:before="60" w:after="60"/>
        <w:rPr>
          <w:lang w:val="en-GB"/>
        </w:rPr>
      </w:pPr>
      <w:bookmarkStart w:id="30" w:name="_Ref373425690"/>
      <w:bookmarkStart w:id="31" w:name="_Ref387252438"/>
      <w:bookmarkStart w:id="32" w:name="_Ref116565458"/>
      <w:r w:rsidRPr="00E66AEF">
        <w:rPr>
          <w:lang w:val="en-GB"/>
        </w:rPr>
        <w:t>ITU R</w:t>
      </w:r>
      <w:r w:rsidR="005F6766" w:rsidRPr="00E66AEF">
        <w:rPr>
          <w:lang w:val="en-GB"/>
        </w:rPr>
        <w:t xml:space="preserve">adio </w:t>
      </w:r>
      <w:r w:rsidRPr="00E66AEF">
        <w:rPr>
          <w:lang w:val="en-GB"/>
        </w:rPr>
        <w:t>R</w:t>
      </w:r>
      <w:bookmarkEnd w:id="30"/>
      <w:r w:rsidR="005F6766" w:rsidRPr="00E66AEF">
        <w:rPr>
          <w:lang w:val="en-GB"/>
        </w:rPr>
        <w:t>egulations</w:t>
      </w:r>
      <w:bookmarkEnd w:id="31"/>
      <w:r w:rsidR="00E27E3C" w:rsidRPr="00E66AEF">
        <w:rPr>
          <w:lang w:val="en-GB"/>
        </w:rPr>
        <w:t>, Edition of 2020</w:t>
      </w:r>
      <w:bookmarkEnd w:id="32"/>
    </w:p>
    <w:p w14:paraId="75499825" w14:textId="5F883F11" w:rsidR="00CB3178" w:rsidRPr="00E66AEF" w:rsidRDefault="00CB3178" w:rsidP="002E6CD1">
      <w:pPr>
        <w:pStyle w:val="reference"/>
        <w:numPr>
          <w:ilvl w:val="0"/>
          <w:numId w:val="9"/>
        </w:numPr>
        <w:spacing w:before="60" w:after="60"/>
        <w:rPr>
          <w:lang w:val="en-GB"/>
        </w:rPr>
      </w:pPr>
      <w:bookmarkStart w:id="33" w:name="_Ref373425740"/>
      <w:bookmarkStart w:id="34" w:name="_Ref116565286"/>
      <w:r w:rsidRPr="00E66AEF">
        <w:rPr>
          <w:rFonts w:cs="Arial"/>
          <w:szCs w:val="22"/>
          <w:lang w:val="en-GB"/>
        </w:rPr>
        <w:t>Recommendation ITU-R M.1457</w:t>
      </w:r>
      <w:bookmarkEnd w:id="33"/>
      <w:r w:rsidR="005F6766" w:rsidRPr="00E66AEF">
        <w:rPr>
          <w:rFonts w:cs="Arial"/>
          <w:szCs w:val="22"/>
          <w:lang w:val="en-GB"/>
        </w:rPr>
        <w:t xml:space="preserve">: </w:t>
      </w:r>
      <w:r w:rsidR="00E27E3C" w:rsidRPr="00E66AEF">
        <w:rPr>
          <w:rFonts w:cs="Arial"/>
          <w:szCs w:val="22"/>
          <w:lang w:val="en-GB"/>
        </w:rPr>
        <w:t>“</w:t>
      </w:r>
      <w:r w:rsidR="005F6766" w:rsidRPr="00E66AEF">
        <w:rPr>
          <w:lang w:val="en-GB"/>
        </w:rPr>
        <w:t>Detailed specifications of the terrestrial radio interfaces of International Mobile Telecommunications-2000 (IMT-2000)</w:t>
      </w:r>
      <w:r w:rsidR="00E27E3C" w:rsidRPr="00E66AEF">
        <w:rPr>
          <w:lang w:val="en-GB"/>
        </w:rPr>
        <w:t>”</w:t>
      </w:r>
      <w:bookmarkEnd w:id="34"/>
    </w:p>
    <w:p w14:paraId="75499826" w14:textId="495E048D" w:rsidR="00CB3178" w:rsidRPr="00E66AEF" w:rsidRDefault="00CB3178" w:rsidP="002E6CD1">
      <w:pPr>
        <w:pStyle w:val="reference"/>
        <w:numPr>
          <w:ilvl w:val="0"/>
          <w:numId w:val="9"/>
        </w:numPr>
        <w:spacing w:before="60" w:after="60"/>
        <w:rPr>
          <w:lang w:val="en-GB"/>
        </w:rPr>
      </w:pPr>
      <w:bookmarkStart w:id="35" w:name="_Ref373425748"/>
      <w:r w:rsidRPr="00E66AEF">
        <w:rPr>
          <w:rFonts w:cs="Arial"/>
          <w:szCs w:val="22"/>
          <w:lang w:val="en-GB"/>
        </w:rPr>
        <w:t>Recommendation ITU-R M.2012</w:t>
      </w:r>
      <w:bookmarkEnd w:id="35"/>
      <w:r w:rsidR="0022409B" w:rsidRPr="00E66AEF">
        <w:rPr>
          <w:rFonts w:cs="Arial"/>
          <w:szCs w:val="22"/>
          <w:lang w:val="en-GB"/>
        </w:rPr>
        <w:t xml:space="preserve">: </w:t>
      </w:r>
      <w:r w:rsidR="00E27E3C" w:rsidRPr="00E66AEF">
        <w:rPr>
          <w:rFonts w:cs="Arial"/>
          <w:szCs w:val="22"/>
          <w:lang w:val="en-GB"/>
        </w:rPr>
        <w:t>“</w:t>
      </w:r>
      <w:r w:rsidR="0022409B" w:rsidRPr="00E66AEF">
        <w:rPr>
          <w:lang w:val="en-GB"/>
        </w:rPr>
        <w:t>Detailed specifications of the terrestrial radio interfaces of International Mobile Telecommunications Advanced (IMT-Advanced</w:t>
      </w:r>
      <w:r w:rsidR="005F014F" w:rsidRPr="00E66AEF">
        <w:rPr>
          <w:lang w:val="en-GB"/>
        </w:rPr>
        <w:t>)</w:t>
      </w:r>
      <w:r w:rsidR="00E27E3C" w:rsidRPr="00E66AEF">
        <w:rPr>
          <w:lang w:val="en-GB"/>
        </w:rPr>
        <w:t>”</w:t>
      </w:r>
    </w:p>
    <w:p w14:paraId="0B62FE08" w14:textId="77777777" w:rsidR="00FC78C1" w:rsidRPr="00E66AEF" w:rsidRDefault="00FC78C1" w:rsidP="00FC78C1">
      <w:pPr>
        <w:pStyle w:val="reference"/>
        <w:numPr>
          <w:ilvl w:val="0"/>
          <w:numId w:val="9"/>
        </w:numPr>
        <w:spacing w:before="60" w:after="60"/>
        <w:rPr>
          <w:lang w:val="en-GB"/>
        </w:rPr>
      </w:pPr>
      <w:bookmarkStart w:id="36" w:name="_Ref112071737"/>
      <w:bookmarkStart w:id="37" w:name="_Ref116565338"/>
      <w:r w:rsidRPr="00E66AEF">
        <w:rPr>
          <w:lang w:val="en-GB"/>
        </w:rPr>
        <w:t>Recommendation ITU-R M.2150: “Detailed specifications of the terrestrial radio interfaces of International Mobile Telecommunications-2020 (IMT-2020)</w:t>
      </w:r>
      <w:bookmarkEnd w:id="36"/>
      <w:r w:rsidRPr="00E66AEF">
        <w:rPr>
          <w:lang w:val="en-GB"/>
        </w:rPr>
        <w:t>”</w:t>
      </w:r>
      <w:bookmarkEnd w:id="37"/>
    </w:p>
    <w:bookmarkStart w:id="38" w:name="_Ref116565378"/>
    <w:p w14:paraId="2259A293" w14:textId="13681E42" w:rsidR="00223620" w:rsidRPr="00E66AEF" w:rsidRDefault="00223620" w:rsidP="00223620">
      <w:pPr>
        <w:pStyle w:val="reference"/>
        <w:numPr>
          <w:ilvl w:val="0"/>
          <w:numId w:val="9"/>
        </w:numPr>
        <w:spacing w:before="60" w:after="60"/>
        <w:rPr>
          <w:lang w:val="en-GB"/>
        </w:rPr>
      </w:pPr>
      <w:r w:rsidRPr="00E66AEF">
        <w:rPr>
          <w:rFonts w:cs="Arial"/>
          <w:lang w:val="en-GB"/>
        </w:rPr>
        <w:fldChar w:fldCharType="begin"/>
      </w:r>
      <w:r w:rsidRPr="00E66AEF">
        <w:rPr>
          <w:rFonts w:cs="Arial"/>
          <w:lang w:val="en-GB"/>
        </w:rPr>
        <w:instrText>HYPERLINK "https://docdb.cept.org/document/323"</w:instrText>
      </w:r>
      <w:r w:rsidRPr="00E66AEF">
        <w:rPr>
          <w:rFonts w:cs="Arial"/>
          <w:lang w:val="en-GB"/>
        </w:rPr>
      </w:r>
      <w:r w:rsidRPr="00E66AEF">
        <w:rPr>
          <w:rFonts w:cs="Arial"/>
          <w:lang w:val="en-GB"/>
        </w:rPr>
        <w:fldChar w:fldCharType="separate"/>
      </w:r>
      <w:r w:rsidRPr="00E66AEF">
        <w:rPr>
          <w:rStyle w:val="Hyperlink"/>
          <w:rFonts w:cs="Arial"/>
          <w:lang w:val="en-GB"/>
        </w:rPr>
        <w:t>ECC Report 216</w:t>
      </w:r>
      <w:r w:rsidRPr="00E66AEF">
        <w:rPr>
          <w:rFonts w:cs="Arial"/>
          <w:lang w:val="en-GB"/>
        </w:rPr>
        <w:fldChar w:fldCharType="end"/>
      </w:r>
      <w:r w:rsidRPr="00E66AEF">
        <w:rPr>
          <w:rFonts w:cs="Arial"/>
          <w:lang w:val="en-GB"/>
        </w:rPr>
        <w:t>: “</w:t>
      </w:r>
      <w:r w:rsidRPr="00E66AEF">
        <w:rPr>
          <w:lang w:val="en-GB"/>
        </w:rPr>
        <w:t>Practical guidance for TDD networks synchronisation”, approved August 2014</w:t>
      </w:r>
      <w:bookmarkEnd w:id="38"/>
    </w:p>
    <w:bookmarkStart w:id="39" w:name="_Ref116565435"/>
    <w:p w14:paraId="54B96EA5" w14:textId="49ED5973" w:rsidR="00223620" w:rsidRPr="00E66AEF" w:rsidRDefault="00223620" w:rsidP="00223620">
      <w:pPr>
        <w:pStyle w:val="reference"/>
        <w:numPr>
          <w:ilvl w:val="0"/>
          <w:numId w:val="9"/>
        </w:numPr>
        <w:spacing w:before="60" w:after="60"/>
        <w:rPr>
          <w:lang w:val="en-GB"/>
        </w:rPr>
      </w:pPr>
      <w:r w:rsidRPr="00E66AEF">
        <w:rPr>
          <w:lang w:val="en-GB"/>
        </w:rPr>
        <w:fldChar w:fldCharType="begin"/>
      </w:r>
      <w:r w:rsidRPr="00E66AEF">
        <w:rPr>
          <w:lang w:val="en-GB"/>
        </w:rPr>
        <w:instrText>HYPERLINK "https://docdb.cept.org/document/9067"</w:instrText>
      </w:r>
      <w:r w:rsidRPr="00E66AEF">
        <w:rPr>
          <w:lang w:val="en-GB"/>
        </w:rPr>
      </w:r>
      <w:r w:rsidRPr="00E66AEF">
        <w:rPr>
          <w:lang w:val="en-GB"/>
        </w:rPr>
        <w:fldChar w:fldCharType="separate"/>
      </w:r>
      <w:r w:rsidRPr="00E66AEF">
        <w:rPr>
          <w:rStyle w:val="Hyperlink"/>
          <w:lang w:val="en-GB"/>
        </w:rPr>
        <w:t>ECC Report 296</w:t>
      </w:r>
      <w:r w:rsidRPr="00E66AEF">
        <w:rPr>
          <w:lang w:val="en-GB"/>
        </w:rPr>
        <w:fldChar w:fldCharType="end"/>
      </w:r>
      <w:r w:rsidRPr="00E66AEF">
        <w:rPr>
          <w:lang w:val="en-GB"/>
        </w:rPr>
        <w:t>: “National synchronisation regulatory framework options in 3400-3800 MHz: a toolbox for coexistence of MFCNs in synchronised, unsynchronised and semi-synchronised operation in 3400-3800 MHz”, approved March 2019</w:t>
      </w:r>
      <w:bookmarkEnd w:id="39"/>
    </w:p>
    <w:p w14:paraId="75499827" w14:textId="6D0EB327" w:rsidR="00CB3178" w:rsidRPr="00E66AEF" w:rsidRDefault="00CB3178" w:rsidP="002E6CD1">
      <w:pPr>
        <w:pStyle w:val="reference"/>
        <w:numPr>
          <w:ilvl w:val="0"/>
          <w:numId w:val="9"/>
        </w:numPr>
        <w:spacing w:before="60" w:after="60"/>
        <w:rPr>
          <w:lang w:val="en-GB"/>
        </w:rPr>
      </w:pPr>
      <w:bookmarkStart w:id="40" w:name="_Ref373425809"/>
      <w:r w:rsidRPr="00E66AEF">
        <w:rPr>
          <w:lang w:val="en-GB"/>
        </w:rPr>
        <w:t>Recommendation ITU-R M.1036</w:t>
      </w:r>
      <w:bookmarkEnd w:id="40"/>
      <w:r w:rsidR="005F6766" w:rsidRPr="00E66AEF">
        <w:rPr>
          <w:lang w:val="en-GB"/>
        </w:rPr>
        <w:t xml:space="preserve">: </w:t>
      </w:r>
      <w:r w:rsidR="00E27E3C" w:rsidRPr="00E66AEF">
        <w:rPr>
          <w:lang w:val="en-GB"/>
        </w:rPr>
        <w:t>“</w:t>
      </w:r>
      <w:r w:rsidR="005F6766" w:rsidRPr="00E66AEF">
        <w:rPr>
          <w:lang w:val="en-GB"/>
        </w:rPr>
        <w:t>Frequency arrangements for implementation of the terrestrial component of International Mobile Telecommunications (IMT) in the bands identified for IMT in the Radio Regulations (RR)</w:t>
      </w:r>
      <w:r w:rsidR="00E27E3C" w:rsidRPr="00E66AEF">
        <w:rPr>
          <w:lang w:val="en-GB"/>
        </w:rPr>
        <w:t>”</w:t>
      </w:r>
    </w:p>
    <w:p w14:paraId="6F1D33E1" w14:textId="67FBDD0C" w:rsidR="003F309A" w:rsidRPr="00E66AEF" w:rsidRDefault="00592C00" w:rsidP="00F44F2F">
      <w:pPr>
        <w:pStyle w:val="reference"/>
        <w:numPr>
          <w:ilvl w:val="0"/>
          <w:numId w:val="9"/>
        </w:numPr>
        <w:spacing w:before="60" w:after="60"/>
        <w:rPr>
          <w:lang w:val="en-GB"/>
        </w:rPr>
      </w:pPr>
      <w:bookmarkStart w:id="41" w:name="_Ref105179055"/>
      <w:r w:rsidRPr="00E66AEF">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41"/>
    </w:p>
    <w:bookmarkStart w:id="42" w:name="_Ref373426023"/>
    <w:bookmarkStart w:id="43" w:name="_Ref377653868"/>
    <w:p w14:paraId="75499828" w14:textId="51C0C3BC" w:rsidR="00CB3178" w:rsidRPr="00E66AEF" w:rsidRDefault="005C5F7D" w:rsidP="002E6CD1">
      <w:pPr>
        <w:pStyle w:val="reference"/>
        <w:numPr>
          <w:ilvl w:val="0"/>
          <w:numId w:val="9"/>
        </w:numPr>
        <w:spacing w:before="60" w:after="60"/>
        <w:rPr>
          <w:lang w:val="en-GB"/>
        </w:rPr>
      </w:pPr>
      <w:r w:rsidRPr="00E66AEF">
        <w:rPr>
          <w:lang w:val="en-GB"/>
        </w:rPr>
        <w:fldChar w:fldCharType="begin"/>
      </w:r>
      <w:r w:rsidR="008D22B1" w:rsidRPr="00E66AEF">
        <w:rPr>
          <w:lang w:val="en-GB"/>
        </w:rPr>
        <w:instrText>HYPERLINK "https://docdb.cept.org/document/310"</w:instrText>
      </w:r>
      <w:r w:rsidRPr="00E66AEF">
        <w:rPr>
          <w:lang w:val="en-GB"/>
        </w:rPr>
      </w:r>
      <w:r w:rsidRPr="00E66AEF">
        <w:rPr>
          <w:lang w:val="en-GB"/>
        </w:rPr>
        <w:fldChar w:fldCharType="separate"/>
      </w:r>
      <w:r w:rsidR="008D22B1" w:rsidRPr="00E66AEF">
        <w:rPr>
          <w:rStyle w:val="Hyperlink"/>
          <w:lang w:val="en-GB"/>
        </w:rPr>
        <w:t>ECC Report 203</w:t>
      </w:r>
      <w:r w:rsidRPr="00E66AEF">
        <w:rPr>
          <w:lang w:val="en-GB"/>
        </w:rPr>
        <w:fldChar w:fldCharType="end"/>
      </w:r>
      <w:bookmarkEnd w:id="42"/>
      <w:r w:rsidR="005F6766" w:rsidRPr="00E66AEF">
        <w:rPr>
          <w:lang w:val="en-GB"/>
        </w:rPr>
        <w:t xml:space="preserve">: </w:t>
      </w:r>
      <w:r w:rsidR="00E27E3C" w:rsidRPr="00E66AEF">
        <w:rPr>
          <w:lang w:val="en-GB"/>
        </w:rPr>
        <w:t>“</w:t>
      </w:r>
      <w:r w:rsidR="005F6766" w:rsidRPr="00E66AEF">
        <w:rPr>
          <w:lang w:val="en-GB"/>
        </w:rPr>
        <w:t>Least Restrictive Technical Conditions suitable for Mobile/Fixed Communication Networks (MFCN), including IMT, in the frequency bands 3400-3600 MHz and 3600-3800 MH</w:t>
      </w:r>
      <w:bookmarkEnd w:id="43"/>
      <w:r w:rsidR="005F014F" w:rsidRPr="00E66AEF">
        <w:rPr>
          <w:lang w:val="en-GB"/>
        </w:rPr>
        <w:t>z</w:t>
      </w:r>
      <w:r w:rsidR="00E27E3C" w:rsidRPr="00E66AEF">
        <w:rPr>
          <w:lang w:val="en-GB"/>
        </w:rPr>
        <w:t>”</w:t>
      </w:r>
      <w:r w:rsidR="006C3E3C" w:rsidRPr="00E66AEF">
        <w:rPr>
          <w:lang w:val="en-GB"/>
        </w:rPr>
        <w:t>, approved November 2013</w:t>
      </w:r>
    </w:p>
    <w:p w14:paraId="75499829" w14:textId="67446B8C" w:rsidR="00C45550" w:rsidRPr="00E66AEF" w:rsidRDefault="008E7B49" w:rsidP="002E6CD1">
      <w:pPr>
        <w:pStyle w:val="reference"/>
        <w:numPr>
          <w:ilvl w:val="0"/>
          <w:numId w:val="9"/>
        </w:numPr>
        <w:spacing w:before="60" w:after="60"/>
        <w:rPr>
          <w:lang w:val="en-GB"/>
        </w:rPr>
      </w:pPr>
      <w:bookmarkStart w:id="44" w:name="_Ref377657749"/>
      <w:bookmarkStart w:id="45" w:name="_Ref377654779"/>
      <w:r w:rsidRPr="00E66AEF">
        <w:rPr>
          <w:lang w:val="en-GB"/>
        </w:rPr>
        <w:t xml:space="preserve">ETSI </w:t>
      </w:r>
      <w:r w:rsidR="00C45550" w:rsidRPr="00E66AEF">
        <w:rPr>
          <w:lang w:val="en-GB"/>
        </w:rPr>
        <w:t xml:space="preserve">TS </w:t>
      </w:r>
      <w:r w:rsidRPr="00E66AEF">
        <w:rPr>
          <w:lang w:val="en-GB"/>
        </w:rPr>
        <w:t>1</w:t>
      </w:r>
      <w:r w:rsidR="00C45550" w:rsidRPr="00E66AEF">
        <w:rPr>
          <w:lang w:val="en-GB"/>
        </w:rPr>
        <w:t>37</w:t>
      </w:r>
      <w:r w:rsidRPr="00E66AEF">
        <w:rPr>
          <w:lang w:val="en-GB"/>
        </w:rPr>
        <w:t xml:space="preserve"> </w:t>
      </w:r>
      <w:r w:rsidR="00C45550" w:rsidRPr="00E66AEF">
        <w:rPr>
          <w:lang w:val="en-GB"/>
        </w:rPr>
        <w:t xml:space="preserve">104: </w:t>
      </w:r>
      <w:bookmarkEnd w:id="44"/>
      <w:r w:rsidR="00712DEB" w:rsidRPr="00E66AEF">
        <w:rPr>
          <w:rFonts w:cs="Arial"/>
          <w:szCs w:val="22"/>
          <w:lang w:val="en-GB"/>
        </w:rPr>
        <w:t>“</w:t>
      </w:r>
      <w:r w:rsidR="008A4C2B" w:rsidRPr="00E66AEF">
        <w:rPr>
          <w:lang w:val="en-GB"/>
        </w:rPr>
        <w:t>E-UTRA, UTRA and GSM/EDGE; Multi-Standard Radio (MSR) Base Station (BS) radio transmission and reception</w:t>
      </w:r>
      <w:r w:rsidR="00712DEB" w:rsidRPr="00E66AEF">
        <w:rPr>
          <w:lang w:val="en-GB"/>
        </w:rPr>
        <w:t>”</w:t>
      </w:r>
    </w:p>
    <w:bookmarkStart w:id="46" w:name="_Ref373426185"/>
    <w:bookmarkEnd w:id="45"/>
    <w:p w14:paraId="7549982B" w14:textId="482B77D2" w:rsidR="000D5362" w:rsidRPr="00E66AEF" w:rsidRDefault="008D035F" w:rsidP="002E6CD1">
      <w:pPr>
        <w:pStyle w:val="reference"/>
        <w:numPr>
          <w:ilvl w:val="0"/>
          <w:numId w:val="9"/>
        </w:numPr>
        <w:spacing w:before="60" w:after="60"/>
        <w:rPr>
          <w:lang w:val="en-GB"/>
        </w:rPr>
      </w:pPr>
      <w:r w:rsidRPr="00E66AEF">
        <w:rPr>
          <w:lang w:val="en-GB"/>
        </w:rPr>
        <w:fldChar w:fldCharType="begin"/>
      </w:r>
      <w:r w:rsidRPr="00E66AEF">
        <w:rPr>
          <w:lang w:val="en-GB"/>
        </w:rPr>
        <w:instrText>HYPERLINK "https://docdb.cept.org/document/838"</w:instrText>
      </w:r>
      <w:r w:rsidRPr="00E66AEF">
        <w:rPr>
          <w:lang w:val="en-GB"/>
        </w:rPr>
      </w:r>
      <w:r w:rsidRPr="00E66AEF">
        <w:rPr>
          <w:lang w:val="en-GB"/>
        </w:rPr>
        <w:fldChar w:fldCharType="separate"/>
      </w:r>
      <w:r w:rsidRPr="00E66AEF">
        <w:rPr>
          <w:rStyle w:val="Hyperlink"/>
          <w:lang w:val="en-GB"/>
        </w:rPr>
        <w:t>ERC Recommendation 25-10</w:t>
      </w:r>
      <w:r w:rsidRPr="00E66AEF">
        <w:rPr>
          <w:lang w:val="en-GB"/>
        </w:rPr>
        <w:fldChar w:fldCharType="end"/>
      </w:r>
      <w:bookmarkEnd w:id="46"/>
      <w:r w:rsidR="005F6766" w:rsidRPr="00E66AEF">
        <w:rPr>
          <w:lang w:val="en-GB"/>
        </w:rPr>
        <w:t xml:space="preserve">: </w:t>
      </w:r>
      <w:r w:rsidR="00712DEB" w:rsidRPr="00E66AEF">
        <w:rPr>
          <w:lang w:val="en-GB"/>
        </w:rPr>
        <w:t>“</w:t>
      </w:r>
      <w:r w:rsidR="003507D7" w:rsidRPr="00E66AEF">
        <w:rPr>
          <w:lang w:val="en-GB"/>
        </w:rPr>
        <w:t>F</w:t>
      </w:r>
      <w:r w:rsidR="00FF62FC" w:rsidRPr="00E66AEF">
        <w:rPr>
          <w:lang w:val="en-GB"/>
        </w:rPr>
        <w:t>requency Ranges for the Use of Terrestrial Audio and Video Programme Making and Special Events (PMSE) applications, editorial update on 28 May 2021</w:t>
      </w:r>
    </w:p>
    <w:bookmarkStart w:id="47" w:name="_Ref373426196"/>
    <w:p w14:paraId="7549982C" w14:textId="4BC72422" w:rsidR="000D5362" w:rsidRPr="00E66AEF" w:rsidRDefault="00B015EF" w:rsidP="002E6CD1">
      <w:pPr>
        <w:pStyle w:val="reference"/>
        <w:numPr>
          <w:ilvl w:val="0"/>
          <w:numId w:val="9"/>
        </w:numPr>
        <w:spacing w:before="60" w:after="60"/>
        <w:rPr>
          <w:lang w:val="en-GB"/>
        </w:rPr>
      </w:pPr>
      <w:r w:rsidRPr="00E66AEF">
        <w:rPr>
          <w:lang w:val="en-GB"/>
        </w:rPr>
        <w:fldChar w:fldCharType="begin"/>
      </w:r>
      <w:r w:rsidRPr="00E66AEF">
        <w:rPr>
          <w:lang w:val="en-GB"/>
        </w:rPr>
        <w:instrText>HYPERLINK "https://docdb.cept.org/document/311"</w:instrText>
      </w:r>
      <w:r w:rsidRPr="00E66AEF">
        <w:rPr>
          <w:lang w:val="en-GB"/>
        </w:rPr>
      </w:r>
      <w:r w:rsidRPr="00E66AEF">
        <w:rPr>
          <w:lang w:val="en-GB"/>
        </w:rPr>
        <w:fldChar w:fldCharType="separate"/>
      </w:r>
      <w:r w:rsidRPr="00E66AEF">
        <w:rPr>
          <w:rStyle w:val="Hyperlink"/>
          <w:lang w:val="en-GB"/>
        </w:rPr>
        <w:t>ECC Report 204</w:t>
      </w:r>
      <w:r w:rsidRPr="00E66AEF">
        <w:rPr>
          <w:lang w:val="en-GB"/>
        </w:rPr>
        <w:fldChar w:fldCharType="end"/>
      </w:r>
      <w:bookmarkEnd w:id="47"/>
      <w:r w:rsidR="005F6766" w:rsidRPr="00E66AEF">
        <w:rPr>
          <w:lang w:val="en-GB"/>
        </w:rPr>
        <w:t xml:space="preserve">: </w:t>
      </w:r>
      <w:r w:rsidR="00712DEB" w:rsidRPr="00E66AEF">
        <w:rPr>
          <w:rFonts w:cs="Arial"/>
          <w:szCs w:val="22"/>
          <w:lang w:val="en-GB"/>
        </w:rPr>
        <w:t>“</w:t>
      </w:r>
      <w:r w:rsidR="005F6766" w:rsidRPr="00E66AEF">
        <w:rPr>
          <w:lang w:val="en-GB"/>
        </w:rPr>
        <w:t>Spectrum use and future requirements for PMSE</w:t>
      </w:r>
      <w:r w:rsidR="00712DEB" w:rsidRPr="00E66AEF">
        <w:rPr>
          <w:lang w:val="en-GB"/>
        </w:rPr>
        <w:t>”</w:t>
      </w:r>
      <w:r w:rsidR="002F46F5" w:rsidRPr="00E66AEF">
        <w:rPr>
          <w:lang w:val="en-GB"/>
        </w:rPr>
        <w:t>, approved February 2014</w:t>
      </w:r>
    </w:p>
    <w:p w14:paraId="4C05B641" w14:textId="12152EA9" w:rsidR="00BF61EC" w:rsidRPr="00E66AEF" w:rsidRDefault="000D5362" w:rsidP="002E6CD1">
      <w:pPr>
        <w:pStyle w:val="reference"/>
        <w:numPr>
          <w:ilvl w:val="0"/>
          <w:numId w:val="9"/>
        </w:numPr>
        <w:spacing w:before="60" w:after="60"/>
        <w:rPr>
          <w:lang w:val="en-GB"/>
        </w:rPr>
      </w:pPr>
      <w:bookmarkStart w:id="48" w:name="_Ref373426271"/>
      <w:r w:rsidRPr="00E66AEF">
        <w:rPr>
          <w:lang w:val="en-GB"/>
        </w:rPr>
        <w:t xml:space="preserve">IARU Region-1 </w:t>
      </w:r>
      <w:r w:rsidR="00712DEB" w:rsidRPr="00E66AEF">
        <w:rPr>
          <w:lang w:val="en-GB"/>
        </w:rPr>
        <w:t>“</w:t>
      </w:r>
      <w:r w:rsidRPr="00E66AEF">
        <w:rPr>
          <w:lang w:val="en-GB"/>
        </w:rPr>
        <w:t>VHF Managers Handbook</w:t>
      </w:r>
      <w:bookmarkEnd w:id="48"/>
      <w:r w:rsidR="00712DEB" w:rsidRPr="00E66AEF">
        <w:rPr>
          <w:lang w:val="en-GB"/>
        </w:rPr>
        <w:t>”</w:t>
      </w:r>
    </w:p>
    <w:bookmarkEnd w:id="20"/>
    <w:p w14:paraId="7549982F" w14:textId="77777777" w:rsidR="006C03D0" w:rsidRPr="00E66AEF" w:rsidRDefault="006C03D0" w:rsidP="006C03D0">
      <w:pPr>
        <w:pStyle w:val="ECCParagraph"/>
      </w:pPr>
    </w:p>
    <w:sectPr w:rsidR="006C03D0" w:rsidRPr="00E66AEF" w:rsidSect="006C03D0">
      <w:headerReference w:type="even" r:id="rId13"/>
      <w:headerReference w:type="default" r:id="rId14"/>
      <w:headerReference w:type="first" r:id="rId1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D8CE" w14:textId="77777777" w:rsidR="000464A2" w:rsidRDefault="000464A2" w:rsidP="006C03D0">
      <w:r>
        <w:separator/>
      </w:r>
    </w:p>
  </w:endnote>
  <w:endnote w:type="continuationSeparator" w:id="0">
    <w:p w14:paraId="557A0D5B" w14:textId="77777777" w:rsidR="000464A2" w:rsidRDefault="000464A2" w:rsidP="006C03D0">
      <w:r>
        <w:continuationSeparator/>
      </w:r>
    </w:p>
  </w:endnote>
  <w:endnote w:type="continuationNotice" w:id="1">
    <w:p w14:paraId="4DC328CE" w14:textId="77777777" w:rsidR="000464A2" w:rsidRDefault="00046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50CD" w14:textId="77777777" w:rsidR="000464A2" w:rsidRDefault="000464A2" w:rsidP="006C03D0">
      <w:r>
        <w:separator/>
      </w:r>
    </w:p>
  </w:footnote>
  <w:footnote w:type="continuationSeparator" w:id="0">
    <w:p w14:paraId="24423BEF" w14:textId="77777777" w:rsidR="000464A2" w:rsidRDefault="000464A2" w:rsidP="006C03D0">
      <w:r>
        <w:continuationSeparator/>
      </w:r>
    </w:p>
  </w:footnote>
  <w:footnote w:type="continuationNotice" w:id="1">
    <w:p w14:paraId="13E7EB3D" w14:textId="77777777" w:rsidR="000464A2" w:rsidRDefault="000464A2"/>
  </w:footnote>
  <w:footnote w:id="2">
    <w:p w14:paraId="6E499175" w14:textId="4908EA82" w:rsidR="001F27B6" w:rsidRPr="00CE4225" w:rsidRDefault="001F27B6" w:rsidP="00F44F2F">
      <w:pPr>
        <w:pStyle w:val="FootnoteText"/>
        <w:spacing w:after="60"/>
        <w:jc w:val="both"/>
        <w:rPr>
          <w:sz w:val="16"/>
          <w:szCs w:val="16"/>
        </w:rPr>
      </w:pPr>
      <w:r w:rsidRPr="00DE4FFB">
        <w:rPr>
          <w:rStyle w:val="FootnoteReference"/>
          <w:sz w:val="16"/>
          <w:szCs w:val="16"/>
        </w:rPr>
        <w:footnoteRef/>
      </w:r>
      <w:r w:rsidRPr="00F44F2F">
        <w:rPr>
          <w:rStyle w:val="FootnoteTextChar1"/>
        </w:rPr>
        <w:t xml:space="preserve"> </w:t>
      </w:r>
      <w:r w:rsidR="00B6135B" w:rsidRPr="00F44F2F">
        <w:rPr>
          <w:rStyle w:val="FootnoteTextChar1"/>
        </w:rPr>
        <w:t>The TDD frequency arrangement offers flexibility for the time interval used for downlink and the time interval used for uplink transmissions</w:t>
      </w:r>
      <w:r w:rsidR="00131377" w:rsidRPr="00F44F2F">
        <w:rPr>
          <w:sz w:val="16"/>
        </w:rPr>
        <w:t>.</w:t>
      </w:r>
    </w:p>
  </w:footnote>
  <w:footnote w:id="3">
    <w:p w14:paraId="62ED5483" w14:textId="65C3922F" w:rsidR="001F27B6" w:rsidRPr="00F44F2F" w:rsidRDefault="001F27B6" w:rsidP="00F44F2F">
      <w:pPr>
        <w:pStyle w:val="FootnoteText"/>
        <w:jc w:val="both"/>
        <w:rPr>
          <w:rStyle w:val="FootnoteTextChar1"/>
        </w:rPr>
      </w:pPr>
      <w:r w:rsidRPr="00DF6CAC">
        <w:rPr>
          <w:rStyle w:val="FootnoteReference"/>
          <w:sz w:val="16"/>
          <w:szCs w:val="12"/>
        </w:rPr>
        <w:footnoteRef/>
      </w:r>
      <w:r w:rsidRPr="00F44F2F">
        <w:rPr>
          <w:rStyle w:val="FootnoteTextChar1"/>
        </w:rPr>
        <w:t xml:space="preserve"> TRP is a measure of </w:t>
      </w:r>
      <w:r w:rsidR="003E3122" w:rsidRPr="00DF6CAC">
        <w:rPr>
          <w:rStyle w:val="FootnoteTextChar1"/>
        </w:rPr>
        <w:t>the total</w:t>
      </w:r>
      <w:r w:rsidRPr="00F44F2F">
        <w:rPr>
          <w:rStyle w:val="FootnoteTextChar1"/>
        </w:rPr>
        <w:t xml:space="preserve"> power </w:t>
      </w:r>
      <w:r w:rsidR="00590D84">
        <w:rPr>
          <w:rStyle w:val="FootnoteTextChar1"/>
        </w:rPr>
        <w:t xml:space="preserve">that </w:t>
      </w:r>
      <w:r w:rsidR="003E3122" w:rsidRPr="00DF6CAC">
        <w:rPr>
          <w:rStyle w:val="FootnoteTextChar1"/>
        </w:rPr>
        <w:t>an</w:t>
      </w:r>
      <w:r w:rsidRPr="00F44F2F">
        <w:rPr>
          <w:rStyle w:val="FootnoteTextChar1"/>
        </w:rPr>
        <w:t xml:space="preserve"> antenna radiates. The TRP is defined as the integral of the power transmitted in different directions over the entire radiation sphere. For an isotropic antenna radiation pattern, e.i.r.p. and TRP are equivalent. For a directional antenna radiation pattern, e.i.r.p. in the direction of the main beam is (by definition) greater than the TRP.</w:t>
      </w:r>
    </w:p>
  </w:footnote>
  <w:footnote w:id="4">
    <w:p w14:paraId="4BEED6C8" w14:textId="1EDBE821" w:rsidR="001F27B6" w:rsidRPr="00E26357" w:rsidRDefault="001F27B6" w:rsidP="00857A30">
      <w:pPr>
        <w:pStyle w:val="FootnoteText"/>
        <w:rPr>
          <w:sz w:val="16"/>
          <w:szCs w:val="16"/>
        </w:rPr>
      </w:pPr>
      <w:r w:rsidRPr="00566C2E">
        <w:rPr>
          <w:rStyle w:val="FootnoteReference"/>
          <w:sz w:val="16"/>
          <w:szCs w:val="16"/>
        </w:rPr>
        <w:footnoteRef/>
      </w:r>
      <w:r w:rsidRPr="00566C2E">
        <w:rPr>
          <w:sz w:val="16"/>
          <w:szCs w:val="16"/>
        </w:rPr>
        <w:t xml:space="preserve"> Described as BWS (Broadband Wireless Systems) in </w:t>
      </w:r>
      <w:r w:rsidR="00B4442E">
        <w:rPr>
          <w:sz w:val="16"/>
          <w:szCs w:val="16"/>
        </w:rPr>
        <w:t xml:space="preserve">ECC </w:t>
      </w:r>
      <w:r w:rsidR="00C80270">
        <w:rPr>
          <w:sz w:val="16"/>
          <w:szCs w:val="16"/>
        </w:rPr>
        <w:t>R</w:t>
      </w:r>
      <w:r w:rsidRPr="00566C2E">
        <w:rPr>
          <w:sz w:val="16"/>
          <w:szCs w:val="16"/>
        </w:rPr>
        <w:t>eport</w:t>
      </w:r>
      <w:r w:rsidR="006956B5">
        <w:rPr>
          <w:sz w:val="16"/>
          <w:szCs w:val="16"/>
        </w:rPr>
        <w:t xml:space="preserve"> </w:t>
      </w:r>
      <w:r w:rsidR="00B4442E">
        <w:rPr>
          <w:sz w:val="16"/>
          <w:szCs w:val="16"/>
        </w:rPr>
        <w:t>172</w:t>
      </w:r>
    </w:p>
  </w:footnote>
  <w:footnote w:id="5">
    <w:p w14:paraId="75499841" w14:textId="77777777" w:rsidR="001F27B6" w:rsidRPr="00125A15" w:rsidRDefault="001F27B6" w:rsidP="003D7228">
      <w:pPr>
        <w:pStyle w:val="ECCFootnote"/>
        <w:rPr>
          <w:lang w:val="en-GB"/>
        </w:rPr>
      </w:pPr>
      <w:r w:rsidRPr="00125A15">
        <w:rPr>
          <w:rStyle w:val="FootnoteReference"/>
          <w:lang w:val="en-GB"/>
        </w:rPr>
        <w:footnoteRef/>
      </w:r>
      <w:r w:rsidRPr="00125A15">
        <w:rPr>
          <w:lang w:val="en-GB"/>
        </w:rPr>
        <w:t xml:space="preserve"> In case of unsynchronised adjacent blocks, one operator’s out-of-block signal level has to be reduced to the baseline level before entering into another operator’s block.</w:t>
      </w:r>
    </w:p>
  </w:footnote>
  <w:footnote w:id="6">
    <w:p w14:paraId="75499842" w14:textId="77777777" w:rsidR="001F27B6" w:rsidRPr="00125A15" w:rsidRDefault="001F27B6" w:rsidP="003D7228">
      <w:pPr>
        <w:pStyle w:val="ECCFootnote"/>
        <w:rPr>
          <w:lang w:val="en-GB"/>
        </w:rPr>
      </w:pPr>
      <w:r w:rsidRPr="00125A15">
        <w:rPr>
          <w:rStyle w:val="FootnoteReference"/>
          <w:szCs w:val="16"/>
          <w:lang w:val="en-GB"/>
        </w:rPr>
        <w:footnoteRef/>
      </w:r>
      <w:r w:rsidRPr="00125A15">
        <w:rPr>
          <w:lang w:val="en-GB"/>
        </w:rPr>
        <w:t xml:space="preserve"> Synchronisation of TDD networks of different operators can be addressed at national level</w:t>
      </w:r>
    </w:p>
  </w:footnote>
  <w:footnote w:id="7">
    <w:p w14:paraId="4D6D0CC8" w14:textId="7BB5B105" w:rsidR="00962045" w:rsidRPr="00F44F2F" w:rsidRDefault="00962045">
      <w:pPr>
        <w:pStyle w:val="FootnoteText"/>
        <w:rPr>
          <w:sz w:val="16"/>
          <w:szCs w:val="16"/>
          <w:lang w:val="en-GB"/>
        </w:rPr>
      </w:pPr>
      <w:r w:rsidRPr="00962045">
        <w:rPr>
          <w:rStyle w:val="FootnoteReference"/>
          <w:sz w:val="16"/>
          <w:szCs w:val="16"/>
        </w:rPr>
        <w:footnoteRef/>
      </w:r>
      <w:r w:rsidRPr="00962045">
        <w:rPr>
          <w:sz w:val="16"/>
          <w:szCs w:val="16"/>
        </w:rPr>
        <w:t xml:space="preserve"> </w:t>
      </w:r>
      <w:r w:rsidRPr="00962045">
        <w:rPr>
          <w:sz w:val="16"/>
          <w:szCs w:val="16"/>
          <w:lang w:val="en-GB"/>
        </w:rPr>
        <w:t>The e.i.r.p. is the total radiated power in any direction at a single location independent of any base station configuration.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983A" w14:textId="524ADA04" w:rsidR="001F27B6" w:rsidRPr="00B348BB" w:rsidRDefault="001F27B6" w:rsidP="00C43953">
    <w:pPr>
      <w:pStyle w:val="Header"/>
      <w:rPr>
        <w:lang w:val="fr-FR"/>
      </w:rPr>
    </w:pPr>
    <w:r w:rsidRPr="00B348BB">
      <w:rPr>
        <w:lang w:val="fr-FR"/>
      </w:rPr>
      <w:t>ECC/DEC</w:t>
    </w:r>
    <w:proofErr w:type="gramStart"/>
    <w:r w:rsidRPr="00B348BB">
      <w:rPr>
        <w:lang w:val="fr-FR"/>
      </w:rPr>
      <w:t>/(</w:t>
    </w:r>
    <w:proofErr w:type="gramEnd"/>
    <w:r>
      <w:rPr>
        <w:lang w:val="fr-FR"/>
      </w:rPr>
      <w:t>14</w:t>
    </w:r>
    <w:r w:rsidRPr="00B348BB">
      <w:rPr>
        <w:lang w:val="fr-FR"/>
      </w:rPr>
      <w:t>)</w:t>
    </w:r>
    <w:r>
      <w:rPr>
        <w:lang w:val="fr-FR"/>
      </w:rPr>
      <w:t>02</w:t>
    </w:r>
    <w:r w:rsidRPr="00B348BB">
      <w:rPr>
        <w:lang w:val="fr-FR"/>
      </w:rPr>
      <w:t xml:space="preserve"> </w:t>
    </w:r>
    <w:r w:rsidRPr="00B348BB">
      <w:rPr>
        <w:szCs w:val="16"/>
        <w:lang w:val="fr-FR"/>
      </w:rPr>
      <w:t xml:space="preserve">Page </w:t>
    </w:r>
    <w:r>
      <w:fldChar w:fldCharType="begin"/>
    </w:r>
    <w:r w:rsidRPr="00B348BB">
      <w:rPr>
        <w:lang w:val="fr-FR"/>
      </w:rPr>
      <w:instrText xml:space="preserve"> PAGE  \* Arabic  \* MERGEFORMAT </w:instrText>
    </w:r>
    <w:r>
      <w:fldChar w:fldCharType="separate"/>
    </w:r>
    <w:r w:rsidRPr="006C6125">
      <w:rPr>
        <w:noProof/>
        <w:szCs w:val="16"/>
        <w:lang w:val="fr-FR"/>
      </w:rPr>
      <w:t>8</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983B" w14:textId="4CD7FDC7" w:rsidR="001F27B6" w:rsidRPr="00F44F2F" w:rsidRDefault="001F27B6" w:rsidP="00C43953">
    <w:pPr>
      <w:pStyle w:val="Header"/>
      <w:jc w:val="right"/>
      <w:rPr>
        <w:lang w:val="en-GB"/>
      </w:rPr>
    </w:pPr>
    <w:r w:rsidRPr="00F44F2F">
      <w:rPr>
        <w:lang w:val="en-GB"/>
      </w:rPr>
      <w:t xml:space="preserve">ECC/DEC/(14)02 Page </w:t>
    </w:r>
    <w:r w:rsidRPr="00F44F2F">
      <w:rPr>
        <w:lang w:val="en-GB"/>
      </w:rPr>
      <w:fldChar w:fldCharType="begin"/>
    </w:r>
    <w:r w:rsidRPr="00F44F2F">
      <w:rPr>
        <w:lang w:val="en-GB"/>
      </w:rPr>
      <w:instrText xml:space="preserve"> PAGE  \* Arabic  \* MERGEFORMAT </w:instrText>
    </w:r>
    <w:r w:rsidRPr="00F44F2F">
      <w:rPr>
        <w:lang w:val="en-GB"/>
      </w:rPr>
      <w:fldChar w:fldCharType="separate"/>
    </w:r>
    <w:r w:rsidRPr="00F44F2F">
      <w:rPr>
        <w:lang w:val="en-GB"/>
      </w:rPr>
      <w:t>7</w:t>
    </w:r>
    <w:r w:rsidRPr="00F44F2F">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983C" w14:textId="0E9490D3" w:rsidR="001F27B6" w:rsidRDefault="00C53CE7">
    <w:pPr>
      <w:pStyle w:val="Header"/>
    </w:pPr>
    <w:r>
      <w:rPr>
        <w:noProof/>
        <w:lang w:val="da-DK" w:eastAsia="da-DK"/>
      </w:rPr>
      <w:drawing>
        <wp:anchor distT="0" distB="0" distL="114300" distR="114300" simplePos="0" relativeHeight="251658241" behindDoc="0" locked="0" layoutInCell="1" allowOverlap="1" wp14:anchorId="229F5D13" wp14:editId="56C274FF">
          <wp:simplePos x="0" y="0"/>
          <wp:positionH relativeFrom="page">
            <wp:posOffset>5717540</wp:posOffset>
          </wp:positionH>
          <wp:positionV relativeFrom="page">
            <wp:posOffset>648335</wp:posOffset>
          </wp:positionV>
          <wp:extent cx="1461770" cy="546100"/>
          <wp:effectExtent l="0" t="0" r="5080" b="6350"/>
          <wp:wrapNone/>
          <wp:docPr id="18" name="Picture 18" descr="Description: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anchor>
      </w:drawing>
    </w:r>
    <w:r>
      <w:rPr>
        <w:noProof/>
        <w:lang w:val="da-DK" w:eastAsia="da-DK"/>
      </w:rPr>
      <w:drawing>
        <wp:anchor distT="0" distB="0" distL="114300" distR="114300" simplePos="0" relativeHeight="251658240" behindDoc="0" locked="0" layoutInCell="1" allowOverlap="1" wp14:anchorId="7D0F4555" wp14:editId="4DE3C0E5">
          <wp:simplePos x="0" y="0"/>
          <wp:positionH relativeFrom="page">
            <wp:posOffset>572770</wp:posOffset>
          </wp:positionH>
          <wp:positionV relativeFrom="page">
            <wp:posOffset>457200</wp:posOffset>
          </wp:positionV>
          <wp:extent cx="889000" cy="889000"/>
          <wp:effectExtent l="0" t="0" r="6350" b="6350"/>
          <wp:wrapNone/>
          <wp:docPr id="19" name="Picture 19" descr="Description: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15:restartNumberingAfterBreak="0">
    <w:nsid w:val="1ABA06D0"/>
    <w:multiLevelType w:val="hybridMultilevel"/>
    <w:tmpl w:val="2F68174E"/>
    <w:lvl w:ilvl="0" w:tplc="CAAC2D2E">
      <w:start w:val="1"/>
      <w:numFmt w:val="bullet"/>
      <w:lvlText w:val=""/>
      <w:lvlJc w:val="left"/>
      <w:pPr>
        <w:ind w:left="720" w:hanging="360"/>
      </w:pPr>
      <w:rPr>
        <w:rFonts w:ascii="Wingdings" w:hAnsi="Wingdings" w:hint="default"/>
        <w:color w:val="D2232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12F4188"/>
    <w:multiLevelType w:val="multilevel"/>
    <w:tmpl w:val="0BA4EA76"/>
    <w:lvl w:ilvl="0">
      <w:start w:val="1"/>
      <w:numFmt w:val="decimal"/>
      <w:pStyle w:val="ECCAnnex-heading1"/>
      <w:suff w:val="space"/>
      <w:lvlText w:val="ANNEX %1:"/>
      <w:lvlJc w:val="left"/>
      <w:pPr>
        <w:ind w:left="709"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8"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3D163F7A"/>
    <w:multiLevelType w:val="multilevel"/>
    <w:tmpl w:val="901022FA"/>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2204"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EC32BE"/>
    <w:multiLevelType w:val="hybridMultilevel"/>
    <w:tmpl w:val="AFEEE91A"/>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E36C84"/>
    <w:multiLevelType w:val="multilevel"/>
    <w:tmpl w:val="FCEC7FBC"/>
    <w:numStyleLink w:val="ECCBullets"/>
  </w:abstractNum>
  <w:abstractNum w:abstractNumId="15"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7B3212E4"/>
    <w:multiLevelType w:val="multilevel"/>
    <w:tmpl w:val="00B2E7C4"/>
    <w:lvl w:ilvl="0">
      <w:start w:val="1"/>
      <w:numFmt w:val="decimal"/>
      <w:pStyle w:val="ECCTabletitle"/>
      <w:suff w:val="space"/>
      <w:lvlText w:val="Table %1:"/>
      <w:lvlJc w:val="left"/>
      <w:pPr>
        <w:ind w:left="1211"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49411762">
    <w:abstractNumId w:val="9"/>
  </w:num>
  <w:num w:numId="2" w16cid:durableId="1125612306">
    <w:abstractNumId w:val="17"/>
  </w:num>
  <w:num w:numId="3" w16cid:durableId="1005745464">
    <w:abstractNumId w:val="12"/>
  </w:num>
  <w:num w:numId="4" w16cid:durableId="802387379">
    <w:abstractNumId w:val="5"/>
  </w:num>
  <w:num w:numId="5" w16cid:durableId="171143060">
    <w:abstractNumId w:val="8"/>
  </w:num>
  <w:num w:numId="6" w16cid:durableId="287321595">
    <w:abstractNumId w:val="7"/>
  </w:num>
  <w:num w:numId="7" w16cid:durableId="1097218631">
    <w:abstractNumId w:val="11"/>
  </w:num>
  <w:num w:numId="8" w16cid:durableId="246816082">
    <w:abstractNumId w:val="10"/>
  </w:num>
  <w:num w:numId="9" w16cid:durableId="597061059">
    <w:abstractNumId w:val="11"/>
    <w:lvlOverride w:ilvl="0">
      <w:startOverride w:val="1"/>
    </w:lvlOverride>
  </w:num>
  <w:num w:numId="10" w16cid:durableId="1271477327">
    <w:abstractNumId w:val="4"/>
  </w:num>
  <w:num w:numId="11" w16cid:durableId="90510815">
    <w:abstractNumId w:val="16"/>
  </w:num>
  <w:num w:numId="12" w16cid:durableId="946816196">
    <w:abstractNumId w:val="15"/>
  </w:num>
  <w:num w:numId="13" w16cid:durableId="1899897446">
    <w:abstractNumId w:val="6"/>
  </w:num>
  <w:num w:numId="14" w16cid:durableId="18733197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526540">
    <w:abstractNumId w:val="2"/>
  </w:num>
  <w:num w:numId="16" w16cid:durableId="1024674318">
    <w:abstractNumId w:val="14"/>
  </w:num>
  <w:num w:numId="17" w16cid:durableId="1091002466">
    <w:abstractNumId w:val="13"/>
  </w:num>
  <w:num w:numId="18" w16cid:durableId="14073676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8D"/>
    <w:rsid w:val="00000C11"/>
    <w:rsid w:val="000012E5"/>
    <w:rsid w:val="00001F06"/>
    <w:rsid w:val="00010F90"/>
    <w:rsid w:val="00011B5F"/>
    <w:rsid w:val="00011D79"/>
    <w:rsid w:val="0001282C"/>
    <w:rsid w:val="00013288"/>
    <w:rsid w:val="00014F59"/>
    <w:rsid w:val="00015C55"/>
    <w:rsid w:val="00017AAC"/>
    <w:rsid w:val="00017CDE"/>
    <w:rsid w:val="00020F0B"/>
    <w:rsid w:val="0002116F"/>
    <w:rsid w:val="00021A4B"/>
    <w:rsid w:val="00021F5F"/>
    <w:rsid w:val="00022BA1"/>
    <w:rsid w:val="00023843"/>
    <w:rsid w:val="0002432F"/>
    <w:rsid w:val="00024E88"/>
    <w:rsid w:val="00026FD7"/>
    <w:rsid w:val="00027202"/>
    <w:rsid w:val="00030947"/>
    <w:rsid w:val="00030DCD"/>
    <w:rsid w:val="00031379"/>
    <w:rsid w:val="00031DB1"/>
    <w:rsid w:val="000333DB"/>
    <w:rsid w:val="00033C36"/>
    <w:rsid w:val="000343E2"/>
    <w:rsid w:val="0003556E"/>
    <w:rsid w:val="0003583F"/>
    <w:rsid w:val="0003641A"/>
    <w:rsid w:val="00037A92"/>
    <w:rsid w:val="000423B7"/>
    <w:rsid w:val="00044554"/>
    <w:rsid w:val="000448DC"/>
    <w:rsid w:val="00045528"/>
    <w:rsid w:val="00045EBC"/>
    <w:rsid w:val="000464A2"/>
    <w:rsid w:val="00047F05"/>
    <w:rsid w:val="0005137E"/>
    <w:rsid w:val="00054569"/>
    <w:rsid w:val="00054A5B"/>
    <w:rsid w:val="00054CDB"/>
    <w:rsid w:val="000556B8"/>
    <w:rsid w:val="00064BDE"/>
    <w:rsid w:val="00065BCB"/>
    <w:rsid w:val="00072B81"/>
    <w:rsid w:val="0007300C"/>
    <w:rsid w:val="00075730"/>
    <w:rsid w:val="00075AEA"/>
    <w:rsid w:val="000775FD"/>
    <w:rsid w:val="00077DCC"/>
    <w:rsid w:val="00080B3B"/>
    <w:rsid w:val="0008729D"/>
    <w:rsid w:val="00087B10"/>
    <w:rsid w:val="0009000C"/>
    <w:rsid w:val="00090B34"/>
    <w:rsid w:val="00091655"/>
    <w:rsid w:val="000920D3"/>
    <w:rsid w:val="0009279C"/>
    <w:rsid w:val="00093645"/>
    <w:rsid w:val="000936B3"/>
    <w:rsid w:val="00093BD6"/>
    <w:rsid w:val="00095395"/>
    <w:rsid w:val="00096D68"/>
    <w:rsid w:val="00097251"/>
    <w:rsid w:val="000A0323"/>
    <w:rsid w:val="000A43F2"/>
    <w:rsid w:val="000A44E3"/>
    <w:rsid w:val="000A5461"/>
    <w:rsid w:val="000A59F1"/>
    <w:rsid w:val="000A7649"/>
    <w:rsid w:val="000B098A"/>
    <w:rsid w:val="000B2307"/>
    <w:rsid w:val="000B2FC0"/>
    <w:rsid w:val="000B3658"/>
    <w:rsid w:val="000B3F54"/>
    <w:rsid w:val="000B404F"/>
    <w:rsid w:val="000B4CF6"/>
    <w:rsid w:val="000B6063"/>
    <w:rsid w:val="000B69BE"/>
    <w:rsid w:val="000C183F"/>
    <w:rsid w:val="000C7B22"/>
    <w:rsid w:val="000D49B8"/>
    <w:rsid w:val="000D4DE4"/>
    <w:rsid w:val="000D5362"/>
    <w:rsid w:val="000D6A37"/>
    <w:rsid w:val="000D70CF"/>
    <w:rsid w:val="000E3348"/>
    <w:rsid w:val="000E346D"/>
    <w:rsid w:val="000F05B1"/>
    <w:rsid w:val="000F1434"/>
    <w:rsid w:val="000F1C0E"/>
    <w:rsid w:val="000F3919"/>
    <w:rsid w:val="000F5027"/>
    <w:rsid w:val="001009AF"/>
    <w:rsid w:val="0010140C"/>
    <w:rsid w:val="00101CA0"/>
    <w:rsid w:val="00106A54"/>
    <w:rsid w:val="00112649"/>
    <w:rsid w:val="00112CDC"/>
    <w:rsid w:val="00113D68"/>
    <w:rsid w:val="00117EE4"/>
    <w:rsid w:val="00122564"/>
    <w:rsid w:val="001235D3"/>
    <w:rsid w:val="00124E06"/>
    <w:rsid w:val="0012524F"/>
    <w:rsid w:val="001256F2"/>
    <w:rsid w:val="00125A15"/>
    <w:rsid w:val="00126974"/>
    <w:rsid w:val="0012773F"/>
    <w:rsid w:val="00127868"/>
    <w:rsid w:val="00131377"/>
    <w:rsid w:val="00131D34"/>
    <w:rsid w:val="00132E02"/>
    <w:rsid w:val="0013387E"/>
    <w:rsid w:val="00133C43"/>
    <w:rsid w:val="0013619B"/>
    <w:rsid w:val="001362B5"/>
    <w:rsid w:val="00137011"/>
    <w:rsid w:val="0014128B"/>
    <w:rsid w:val="00141D2D"/>
    <w:rsid w:val="0014434F"/>
    <w:rsid w:val="001449F8"/>
    <w:rsid w:val="0014558A"/>
    <w:rsid w:val="00147045"/>
    <w:rsid w:val="001474D3"/>
    <w:rsid w:val="00150355"/>
    <w:rsid w:val="00150AD0"/>
    <w:rsid w:val="00151106"/>
    <w:rsid w:val="0015211D"/>
    <w:rsid w:val="00152EAE"/>
    <w:rsid w:val="00155723"/>
    <w:rsid w:val="00162FF6"/>
    <w:rsid w:val="001640D5"/>
    <w:rsid w:val="001641CC"/>
    <w:rsid w:val="00164D69"/>
    <w:rsid w:val="001655B1"/>
    <w:rsid w:val="001657AA"/>
    <w:rsid w:val="00166BFA"/>
    <w:rsid w:val="00171776"/>
    <w:rsid w:val="0017286B"/>
    <w:rsid w:val="00175813"/>
    <w:rsid w:val="00176293"/>
    <w:rsid w:val="001770D2"/>
    <w:rsid w:val="00177A6F"/>
    <w:rsid w:val="00181E1B"/>
    <w:rsid w:val="0018238F"/>
    <w:rsid w:val="00182F75"/>
    <w:rsid w:val="00185CAF"/>
    <w:rsid w:val="00185EED"/>
    <w:rsid w:val="00186035"/>
    <w:rsid w:val="00187190"/>
    <w:rsid w:val="001930FD"/>
    <w:rsid w:val="00194FAB"/>
    <w:rsid w:val="00195597"/>
    <w:rsid w:val="001967EA"/>
    <w:rsid w:val="001A0557"/>
    <w:rsid w:val="001A1551"/>
    <w:rsid w:val="001A180F"/>
    <w:rsid w:val="001A30AE"/>
    <w:rsid w:val="001A3690"/>
    <w:rsid w:val="001A48CC"/>
    <w:rsid w:val="001A6390"/>
    <w:rsid w:val="001B047A"/>
    <w:rsid w:val="001B09DC"/>
    <w:rsid w:val="001B514E"/>
    <w:rsid w:val="001B5349"/>
    <w:rsid w:val="001B5AC6"/>
    <w:rsid w:val="001B778F"/>
    <w:rsid w:val="001C30DF"/>
    <w:rsid w:val="001C31BB"/>
    <w:rsid w:val="001C46EA"/>
    <w:rsid w:val="001C54AF"/>
    <w:rsid w:val="001C592F"/>
    <w:rsid w:val="001D2581"/>
    <w:rsid w:val="001D79F6"/>
    <w:rsid w:val="001E0C8D"/>
    <w:rsid w:val="001E302D"/>
    <w:rsid w:val="001E580C"/>
    <w:rsid w:val="001E73C4"/>
    <w:rsid w:val="001F0B8C"/>
    <w:rsid w:val="001F27B6"/>
    <w:rsid w:val="001F3B01"/>
    <w:rsid w:val="001F4377"/>
    <w:rsid w:val="002022E0"/>
    <w:rsid w:val="002063EA"/>
    <w:rsid w:val="00211653"/>
    <w:rsid w:val="00211BF6"/>
    <w:rsid w:val="00211F75"/>
    <w:rsid w:val="00213270"/>
    <w:rsid w:val="00215AD8"/>
    <w:rsid w:val="002160B8"/>
    <w:rsid w:val="00216A1F"/>
    <w:rsid w:val="00217C6D"/>
    <w:rsid w:val="0022074C"/>
    <w:rsid w:val="00220FA7"/>
    <w:rsid w:val="00222F9B"/>
    <w:rsid w:val="00223620"/>
    <w:rsid w:val="0022409B"/>
    <w:rsid w:val="00225B15"/>
    <w:rsid w:val="0022697C"/>
    <w:rsid w:val="00231B8C"/>
    <w:rsid w:val="00232C9A"/>
    <w:rsid w:val="00234591"/>
    <w:rsid w:val="00234A1D"/>
    <w:rsid w:val="00235029"/>
    <w:rsid w:val="00235778"/>
    <w:rsid w:val="00235874"/>
    <w:rsid w:val="00235AF2"/>
    <w:rsid w:val="00235CB2"/>
    <w:rsid w:val="0023640F"/>
    <w:rsid w:val="002364F9"/>
    <w:rsid w:val="00236CC1"/>
    <w:rsid w:val="00243826"/>
    <w:rsid w:val="00243E19"/>
    <w:rsid w:val="002447CB"/>
    <w:rsid w:val="00245B2E"/>
    <w:rsid w:val="00251E95"/>
    <w:rsid w:val="002528DC"/>
    <w:rsid w:val="0025305D"/>
    <w:rsid w:val="00254B0D"/>
    <w:rsid w:val="0025627B"/>
    <w:rsid w:val="00256779"/>
    <w:rsid w:val="002575DC"/>
    <w:rsid w:val="00261C57"/>
    <w:rsid w:val="00264F32"/>
    <w:rsid w:val="0026658B"/>
    <w:rsid w:val="002741A5"/>
    <w:rsid w:val="002742A8"/>
    <w:rsid w:val="0027563A"/>
    <w:rsid w:val="00280E65"/>
    <w:rsid w:val="002817F6"/>
    <w:rsid w:val="00281A97"/>
    <w:rsid w:val="002830BE"/>
    <w:rsid w:val="00283C19"/>
    <w:rsid w:val="00283D84"/>
    <w:rsid w:val="002873AF"/>
    <w:rsid w:val="002934D4"/>
    <w:rsid w:val="00294254"/>
    <w:rsid w:val="00296639"/>
    <w:rsid w:val="002A067D"/>
    <w:rsid w:val="002A354D"/>
    <w:rsid w:val="002A3615"/>
    <w:rsid w:val="002A373F"/>
    <w:rsid w:val="002B2DEF"/>
    <w:rsid w:val="002B3295"/>
    <w:rsid w:val="002B51B9"/>
    <w:rsid w:val="002C2D15"/>
    <w:rsid w:val="002C5A3B"/>
    <w:rsid w:val="002D0F4F"/>
    <w:rsid w:val="002D1497"/>
    <w:rsid w:val="002D1C02"/>
    <w:rsid w:val="002D1FF0"/>
    <w:rsid w:val="002D26CF"/>
    <w:rsid w:val="002D3DFA"/>
    <w:rsid w:val="002D504C"/>
    <w:rsid w:val="002D5A61"/>
    <w:rsid w:val="002D5D36"/>
    <w:rsid w:val="002D5E3F"/>
    <w:rsid w:val="002D5FAC"/>
    <w:rsid w:val="002E207F"/>
    <w:rsid w:val="002E418D"/>
    <w:rsid w:val="002E5A44"/>
    <w:rsid w:val="002E5F45"/>
    <w:rsid w:val="002E697E"/>
    <w:rsid w:val="002E6CD1"/>
    <w:rsid w:val="002E7103"/>
    <w:rsid w:val="002E7A87"/>
    <w:rsid w:val="002F1B4F"/>
    <w:rsid w:val="002F46F5"/>
    <w:rsid w:val="00302AE0"/>
    <w:rsid w:val="00304D6A"/>
    <w:rsid w:val="00305A2C"/>
    <w:rsid w:val="00311ACF"/>
    <w:rsid w:val="00312F13"/>
    <w:rsid w:val="003157A4"/>
    <w:rsid w:val="00316881"/>
    <w:rsid w:val="00320311"/>
    <w:rsid w:val="00321E07"/>
    <w:rsid w:val="00322F9C"/>
    <w:rsid w:val="003234DF"/>
    <w:rsid w:val="0032590F"/>
    <w:rsid w:val="003259A7"/>
    <w:rsid w:val="00326F77"/>
    <w:rsid w:val="0033187E"/>
    <w:rsid w:val="003339D3"/>
    <w:rsid w:val="00336FE7"/>
    <w:rsid w:val="00340205"/>
    <w:rsid w:val="0034082A"/>
    <w:rsid w:val="0034168D"/>
    <w:rsid w:val="00341B22"/>
    <w:rsid w:val="0034311D"/>
    <w:rsid w:val="003439BC"/>
    <w:rsid w:val="00345221"/>
    <w:rsid w:val="00346650"/>
    <w:rsid w:val="003507D7"/>
    <w:rsid w:val="003508F8"/>
    <w:rsid w:val="00351C45"/>
    <w:rsid w:val="00351C75"/>
    <w:rsid w:val="0035216A"/>
    <w:rsid w:val="00360811"/>
    <w:rsid w:val="00363E3F"/>
    <w:rsid w:val="00365E98"/>
    <w:rsid w:val="00372721"/>
    <w:rsid w:val="00372E95"/>
    <w:rsid w:val="003755AB"/>
    <w:rsid w:val="00376324"/>
    <w:rsid w:val="00380339"/>
    <w:rsid w:val="003814F7"/>
    <w:rsid w:val="00384BEF"/>
    <w:rsid w:val="00395A80"/>
    <w:rsid w:val="00397855"/>
    <w:rsid w:val="003A0ACF"/>
    <w:rsid w:val="003A1A08"/>
    <w:rsid w:val="003A20D0"/>
    <w:rsid w:val="003A68F9"/>
    <w:rsid w:val="003A734E"/>
    <w:rsid w:val="003B551A"/>
    <w:rsid w:val="003B5C3E"/>
    <w:rsid w:val="003B6422"/>
    <w:rsid w:val="003B6514"/>
    <w:rsid w:val="003C3970"/>
    <w:rsid w:val="003C3EBD"/>
    <w:rsid w:val="003C48CE"/>
    <w:rsid w:val="003C5182"/>
    <w:rsid w:val="003C7000"/>
    <w:rsid w:val="003C77A1"/>
    <w:rsid w:val="003C7FD1"/>
    <w:rsid w:val="003D00E6"/>
    <w:rsid w:val="003D2326"/>
    <w:rsid w:val="003D5646"/>
    <w:rsid w:val="003D7228"/>
    <w:rsid w:val="003E1805"/>
    <w:rsid w:val="003E3122"/>
    <w:rsid w:val="003E553C"/>
    <w:rsid w:val="003E6B85"/>
    <w:rsid w:val="003F163F"/>
    <w:rsid w:val="003F2901"/>
    <w:rsid w:val="003F309A"/>
    <w:rsid w:val="003F359A"/>
    <w:rsid w:val="003F4A07"/>
    <w:rsid w:val="003F4A7F"/>
    <w:rsid w:val="003F58E0"/>
    <w:rsid w:val="003F6272"/>
    <w:rsid w:val="003F66F7"/>
    <w:rsid w:val="003F756C"/>
    <w:rsid w:val="00401D4B"/>
    <w:rsid w:val="00403E6E"/>
    <w:rsid w:val="00405EF1"/>
    <w:rsid w:val="004064BB"/>
    <w:rsid w:val="00406A0F"/>
    <w:rsid w:val="0040705A"/>
    <w:rsid w:val="00407E21"/>
    <w:rsid w:val="00410B30"/>
    <w:rsid w:val="00412BAD"/>
    <w:rsid w:val="00412E32"/>
    <w:rsid w:val="00412FD9"/>
    <w:rsid w:val="00415A90"/>
    <w:rsid w:val="00416803"/>
    <w:rsid w:val="00416805"/>
    <w:rsid w:val="004174E6"/>
    <w:rsid w:val="00420982"/>
    <w:rsid w:val="004220E6"/>
    <w:rsid w:val="00426525"/>
    <w:rsid w:val="004278C2"/>
    <w:rsid w:val="00427ADC"/>
    <w:rsid w:val="00430108"/>
    <w:rsid w:val="004301F1"/>
    <w:rsid w:val="00430512"/>
    <w:rsid w:val="00431C59"/>
    <w:rsid w:val="00431E2B"/>
    <w:rsid w:val="004413EC"/>
    <w:rsid w:val="0044330A"/>
    <w:rsid w:val="00444CDB"/>
    <w:rsid w:val="00445ABC"/>
    <w:rsid w:val="00445DB2"/>
    <w:rsid w:val="004471CE"/>
    <w:rsid w:val="004500F9"/>
    <w:rsid w:val="00454C7D"/>
    <w:rsid w:val="0045645B"/>
    <w:rsid w:val="004569FD"/>
    <w:rsid w:val="00461640"/>
    <w:rsid w:val="00463AF2"/>
    <w:rsid w:val="0046482D"/>
    <w:rsid w:val="00465475"/>
    <w:rsid w:val="0046634A"/>
    <w:rsid w:val="00467798"/>
    <w:rsid w:val="0047060C"/>
    <w:rsid w:val="00470E53"/>
    <w:rsid w:val="00471676"/>
    <w:rsid w:val="004716DA"/>
    <w:rsid w:val="00471C46"/>
    <w:rsid w:val="00472C8A"/>
    <w:rsid w:val="0047379B"/>
    <w:rsid w:val="00474797"/>
    <w:rsid w:val="004763EA"/>
    <w:rsid w:val="00480D6C"/>
    <w:rsid w:val="0048175B"/>
    <w:rsid w:val="00481B32"/>
    <w:rsid w:val="00481EA8"/>
    <w:rsid w:val="00485373"/>
    <w:rsid w:val="004960B8"/>
    <w:rsid w:val="00496300"/>
    <w:rsid w:val="00496A25"/>
    <w:rsid w:val="00497094"/>
    <w:rsid w:val="004A20C2"/>
    <w:rsid w:val="004A3F8B"/>
    <w:rsid w:val="004A4F5C"/>
    <w:rsid w:val="004A70C3"/>
    <w:rsid w:val="004B021B"/>
    <w:rsid w:val="004B2762"/>
    <w:rsid w:val="004B51E0"/>
    <w:rsid w:val="004B6F05"/>
    <w:rsid w:val="004B728C"/>
    <w:rsid w:val="004C1006"/>
    <w:rsid w:val="004C24C7"/>
    <w:rsid w:val="004C2859"/>
    <w:rsid w:val="004C3D45"/>
    <w:rsid w:val="004C4139"/>
    <w:rsid w:val="004C4B62"/>
    <w:rsid w:val="004C5D99"/>
    <w:rsid w:val="004C5F06"/>
    <w:rsid w:val="004C612B"/>
    <w:rsid w:val="004C730D"/>
    <w:rsid w:val="004D0376"/>
    <w:rsid w:val="004D1265"/>
    <w:rsid w:val="004D4301"/>
    <w:rsid w:val="004E0A37"/>
    <w:rsid w:val="004E6A64"/>
    <w:rsid w:val="004F06A7"/>
    <w:rsid w:val="004F40B8"/>
    <w:rsid w:val="004F55D3"/>
    <w:rsid w:val="004F71F7"/>
    <w:rsid w:val="004F7539"/>
    <w:rsid w:val="00500188"/>
    <w:rsid w:val="00501FF0"/>
    <w:rsid w:val="005034C9"/>
    <w:rsid w:val="00505A88"/>
    <w:rsid w:val="005069E6"/>
    <w:rsid w:val="00510572"/>
    <w:rsid w:val="0051127B"/>
    <w:rsid w:val="00512AAE"/>
    <w:rsid w:val="00513795"/>
    <w:rsid w:val="00514963"/>
    <w:rsid w:val="00514F55"/>
    <w:rsid w:val="00515564"/>
    <w:rsid w:val="00520080"/>
    <w:rsid w:val="005213AA"/>
    <w:rsid w:val="00521A3D"/>
    <w:rsid w:val="0052281A"/>
    <w:rsid w:val="00522F27"/>
    <w:rsid w:val="00523E55"/>
    <w:rsid w:val="00525AA2"/>
    <w:rsid w:val="005261E6"/>
    <w:rsid w:val="005263D9"/>
    <w:rsid w:val="00526BFD"/>
    <w:rsid w:val="00531804"/>
    <w:rsid w:val="00532589"/>
    <w:rsid w:val="00540EA1"/>
    <w:rsid w:val="005411BD"/>
    <w:rsid w:val="005419A2"/>
    <w:rsid w:val="0054366B"/>
    <w:rsid w:val="005445A7"/>
    <w:rsid w:val="005459A6"/>
    <w:rsid w:val="00547EF5"/>
    <w:rsid w:val="00553E16"/>
    <w:rsid w:val="005546EA"/>
    <w:rsid w:val="00557DCF"/>
    <w:rsid w:val="00563A32"/>
    <w:rsid w:val="0056465D"/>
    <w:rsid w:val="00564E1B"/>
    <w:rsid w:val="00565523"/>
    <w:rsid w:val="00565ED4"/>
    <w:rsid w:val="00566C2E"/>
    <w:rsid w:val="005673A4"/>
    <w:rsid w:val="00567B3E"/>
    <w:rsid w:val="00572B8C"/>
    <w:rsid w:val="00572F42"/>
    <w:rsid w:val="0057620C"/>
    <w:rsid w:val="00576293"/>
    <w:rsid w:val="005765EB"/>
    <w:rsid w:val="00576659"/>
    <w:rsid w:val="00577182"/>
    <w:rsid w:val="00580EFD"/>
    <w:rsid w:val="00582237"/>
    <w:rsid w:val="005822EC"/>
    <w:rsid w:val="005839F8"/>
    <w:rsid w:val="00584E53"/>
    <w:rsid w:val="00587D08"/>
    <w:rsid w:val="00590D84"/>
    <w:rsid w:val="00591141"/>
    <w:rsid w:val="00591520"/>
    <w:rsid w:val="00592C00"/>
    <w:rsid w:val="005954A0"/>
    <w:rsid w:val="00596874"/>
    <w:rsid w:val="005A052B"/>
    <w:rsid w:val="005A0FAD"/>
    <w:rsid w:val="005A1BD6"/>
    <w:rsid w:val="005A2781"/>
    <w:rsid w:val="005A33A4"/>
    <w:rsid w:val="005A5F7F"/>
    <w:rsid w:val="005B190D"/>
    <w:rsid w:val="005B20E7"/>
    <w:rsid w:val="005B3B6F"/>
    <w:rsid w:val="005B7477"/>
    <w:rsid w:val="005C2F3A"/>
    <w:rsid w:val="005C3217"/>
    <w:rsid w:val="005C5F7D"/>
    <w:rsid w:val="005C6D88"/>
    <w:rsid w:val="005C77C6"/>
    <w:rsid w:val="005C79A9"/>
    <w:rsid w:val="005C79E3"/>
    <w:rsid w:val="005D2FEF"/>
    <w:rsid w:val="005D36B5"/>
    <w:rsid w:val="005D3F0F"/>
    <w:rsid w:val="005D4AEC"/>
    <w:rsid w:val="005D665D"/>
    <w:rsid w:val="005E2A2F"/>
    <w:rsid w:val="005E3216"/>
    <w:rsid w:val="005E4800"/>
    <w:rsid w:val="005E63F7"/>
    <w:rsid w:val="005F014F"/>
    <w:rsid w:val="005F0362"/>
    <w:rsid w:val="005F04A6"/>
    <w:rsid w:val="005F0C14"/>
    <w:rsid w:val="005F13F5"/>
    <w:rsid w:val="005F2DD7"/>
    <w:rsid w:val="005F32C3"/>
    <w:rsid w:val="005F594B"/>
    <w:rsid w:val="005F6766"/>
    <w:rsid w:val="005F7AD5"/>
    <w:rsid w:val="006008DC"/>
    <w:rsid w:val="00603EFF"/>
    <w:rsid w:val="00604700"/>
    <w:rsid w:val="00604769"/>
    <w:rsid w:val="006058B4"/>
    <w:rsid w:val="00614BDB"/>
    <w:rsid w:val="006152FB"/>
    <w:rsid w:val="00615A36"/>
    <w:rsid w:val="0062136A"/>
    <w:rsid w:val="0062345A"/>
    <w:rsid w:val="0062695B"/>
    <w:rsid w:val="0063078A"/>
    <w:rsid w:val="00632978"/>
    <w:rsid w:val="006341A9"/>
    <w:rsid w:val="006349EF"/>
    <w:rsid w:val="00635786"/>
    <w:rsid w:val="00637E4C"/>
    <w:rsid w:val="00637FB1"/>
    <w:rsid w:val="0064244B"/>
    <w:rsid w:val="00643CCC"/>
    <w:rsid w:val="006509C9"/>
    <w:rsid w:val="00652374"/>
    <w:rsid w:val="00652ACE"/>
    <w:rsid w:val="00652F62"/>
    <w:rsid w:val="00654066"/>
    <w:rsid w:val="00654E8C"/>
    <w:rsid w:val="006571A9"/>
    <w:rsid w:val="006600C7"/>
    <w:rsid w:val="00662579"/>
    <w:rsid w:val="00662FA3"/>
    <w:rsid w:val="00663209"/>
    <w:rsid w:val="00663AE8"/>
    <w:rsid w:val="00663CA7"/>
    <w:rsid w:val="006663EE"/>
    <w:rsid w:val="00667980"/>
    <w:rsid w:val="0067132D"/>
    <w:rsid w:val="00671684"/>
    <w:rsid w:val="00671956"/>
    <w:rsid w:val="00671CA5"/>
    <w:rsid w:val="00671F8B"/>
    <w:rsid w:val="00673273"/>
    <w:rsid w:val="0067432A"/>
    <w:rsid w:val="00674A26"/>
    <w:rsid w:val="00681CBD"/>
    <w:rsid w:val="00681FCB"/>
    <w:rsid w:val="00681FF6"/>
    <w:rsid w:val="00682799"/>
    <w:rsid w:val="00683256"/>
    <w:rsid w:val="0068450E"/>
    <w:rsid w:val="00691BCC"/>
    <w:rsid w:val="006922A9"/>
    <w:rsid w:val="006945E8"/>
    <w:rsid w:val="006953D3"/>
    <w:rsid w:val="006956B5"/>
    <w:rsid w:val="00696FC8"/>
    <w:rsid w:val="00697E56"/>
    <w:rsid w:val="006A0961"/>
    <w:rsid w:val="006A1A92"/>
    <w:rsid w:val="006A405C"/>
    <w:rsid w:val="006A40D3"/>
    <w:rsid w:val="006A4D1B"/>
    <w:rsid w:val="006A5AC1"/>
    <w:rsid w:val="006A60E8"/>
    <w:rsid w:val="006B031B"/>
    <w:rsid w:val="006B0DC8"/>
    <w:rsid w:val="006B4B85"/>
    <w:rsid w:val="006B5F9A"/>
    <w:rsid w:val="006B7413"/>
    <w:rsid w:val="006C03D0"/>
    <w:rsid w:val="006C1F3A"/>
    <w:rsid w:val="006C2B45"/>
    <w:rsid w:val="006C30FF"/>
    <w:rsid w:val="006C3E3C"/>
    <w:rsid w:val="006C6125"/>
    <w:rsid w:val="006C7FF4"/>
    <w:rsid w:val="006D159F"/>
    <w:rsid w:val="006D2E79"/>
    <w:rsid w:val="006D6E1F"/>
    <w:rsid w:val="006E56DF"/>
    <w:rsid w:val="006E5BC3"/>
    <w:rsid w:val="006E60DA"/>
    <w:rsid w:val="006E79E4"/>
    <w:rsid w:val="006F075B"/>
    <w:rsid w:val="006F0EDF"/>
    <w:rsid w:val="006F2051"/>
    <w:rsid w:val="006F3DC2"/>
    <w:rsid w:val="006F6617"/>
    <w:rsid w:val="006F6B65"/>
    <w:rsid w:val="006F70DD"/>
    <w:rsid w:val="006F75AA"/>
    <w:rsid w:val="0070052E"/>
    <w:rsid w:val="00704DF1"/>
    <w:rsid w:val="00705ABF"/>
    <w:rsid w:val="00710325"/>
    <w:rsid w:val="00710952"/>
    <w:rsid w:val="00710DC2"/>
    <w:rsid w:val="007110AA"/>
    <w:rsid w:val="0071239D"/>
    <w:rsid w:val="007128E2"/>
    <w:rsid w:val="00712DEB"/>
    <w:rsid w:val="00713DBA"/>
    <w:rsid w:val="00715EFF"/>
    <w:rsid w:val="0072090F"/>
    <w:rsid w:val="007220FD"/>
    <w:rsid w:val="007227BC"/>
    <w:rsid w:val="007238C2"/>
    <w:rsid w:val="00727325"/>
    <w:rsid w:val="00730957"/>
    <w:rsid w:val="0073096B"/>
    <w:rsid w:val="00732C22"/>
    <w:rsid w:val="007342F6"/>
    <w:rsid w:val="007378CB"/>
    <w:rsid w:val="00737A7F"/>
    <w:rsid w:val="00741AF4"/>
    <w:rsid w:val="007435FC"/>
    <w:rsid w:val="0075193D"/>
    <w:rsid w:val="00751F9E"/>
    <w:rsid w:val="00752929"/>
    <w:rsid w:val="007530A3"/>
    <w:rsid w:val="00754CD8"/>
    <w:rsid w:val="0075704B"/>
    <w:rsid w:val="00760337"/>
    <w:rsid w:val="007607F3"/>
    <w:rsid w:val="00760C1E"/>
    <w:rsid w:val="00760CF7"/>
    <w:rsid w:val="00762435"/>
    <w:rsid w:val="0076487B"/>
    <w:rsid w:val="007654A7"/>
    <w:rsid w:val="0077114E"/>
    <w:rsid w:val="00771480"/>
    <w:rsid w:val="00771AF2"/>
    <w:rsid w:val="00773A5D"/>
    <w:rsid w:val="00776E6C"/>
    <w:rsid w:val="00780B70"/>
    <w:rsid w:val="00781A21"/>
    <w:rsid w:val="0078210E"/>
    <w:rsid w:val="00782C5A"/>
    <w:rsid w:val="00783199"/>
    <w:rsid w:val="00783BE5"/>
    <w:rsid w:val="00784389"/>
    <w:rsid w:val="00784E57"/>
    <w:rsid w:val="007876BF"/>
    <w:rsid w:val="0079765B"/>
    <w:rsid w:val="007A04F5"/>
    <w:rsid w:val="007A04F8"/>
    <w:rsid w:val="007A17DC"/>
    <w:rsid w:val="007A1F5C"/>
    <w:rsid w:val="007A201A"/>
    <w:rsid w:val="007A2497"/>
    <w:rsid w:val="007A2B02"/>
    <w:rsid w:val="007A4264"/>
    <w:rsid w:val="007A74E4"/>
    <w:rsid w:val="007B091E"/>
    <w:rsid w:val="007B76C3"/>
    <w:rsid w:val="007C0EB0"/>
    <w:rsid w:val="007C38DA"/>
    <w:rsid w:val="007C3DC0"/>
    <w:rsid w:val="007C6571"/>
    <w:rsid w:val="007D0590"/>
    <w:rsid w:val="007D1E38"/>
    <w:rsid w:val="007D275F"/>
    <w:rsid w:val="007D522A"/>
    <w:rsid w:val="007D5A41"/>
    <w:rsid w:val="007D6D92"/>
    <w:rsid w:val="007D729D"/>
    <w:rsid w:val="007E0B48"/>
    <w:rsid w:val="007E19B8"/>
    <w:rsid w:val="007E23E4"/>
    <w:rsid w:val="007E3053"/>
    <w:rsid w:val="007F0096"/>
    <w:rsid w:val="007F06E7"/>
    <w:rsid w:val="007F0C74"/>
    <w:rsid w:val="007F1516"/>
    <w:rsid w:val="007F185F"/>
    <w:rsid w:val="007F1D1B"/>
    <w:rsid w:val="007F20FE"/>
    <w:rsid w:val="008000E4"/>
    <w:rsid w:val="0080259A"/>
    <w:rsid w:val="0080671A"/>
    <w:rsid w:val="00806976"/>
    <w:rsid w:val="00807F17"/>
    <w:rsid w:val="008104FD"/>
    <w:rsid w:val="00811888"/>
    <w:rsid w:val="00813DD3"/>
    <w:rsid w:val="008148A3"/>
    <w:rsid w:val="008202A0"/>
    <w:rsid w:val="008233E9"/>
    <w:rsid w:val="00824396"/>
    <w:rsid w:val="00824A92"/>
    <w:rsid w:val="008252F2"/>
    <w:rsid w:val="008269B7"/>
    <w:rsid w:val="008329E8"/>
    <w:rsid w:val="00833492"/>
    <w:rsid w:val="008353B8"/>
    <w:rsid w:val="00837D9C"/>
    <w:rsid w:val="00837F33"/>
    <w:rsid w:val="008406A3"/>
    <w:rsid w:val="00841856"/>
    <w:rsid w:val="00841DC3"/>
    <w:rsid w:val="0084388B"/>
    <w:rsid w:val="00844EAB"/>
    <w:rsid w:val="00846B48"/>
    <w:rsid w:val="00847D82"/>
    <w:rsid w:val="008526D4"/>
    <w:rsid w:val="0085404A"/>
    <w:rsid w:val="008559B8"/>
    <w:rsid w:val="00857A30"/>
    <w:rsid w:val="00861F6D"/>
    <w:rsid w:val="00863DD7"/>
    <w:rsid w:val="00863FE5"/>
    <w:rsid w:val="008648EE"/>
    <w:rsid w:val="00865519"/>
    <w:rsid w:val="0086734C"/>
    <w:rsid w:val="0087083F"/>
    <w:rsid w:val="0087105F"/>
    <w:rsid w:val="00871C6A"/>
    <w:rsid w:val="00872009"/>
    <w:rsid w:val="00872B3C"/>
    <w:rsid w:val="0087624D"/>
    <w:rsid w:val="00877AD4"/>
    <w:rsid w:val="00881316"/>
    <w:rsid w:val="0088256A"/>
    <w:rsid w:val="0088487B"/>
    <w:rsid w:val="00884C85"/>
    <w:rsid w:val="008851F8"/>
    <w:rsid w:val="00886C29"/>
    <w:rsid w:val="0088733D"/>
    <w:rsid w:val="00887760"/>
    <w:rsid w:val="00891962"/>
    <w:rsid w:val="00892441"/>
    <w:rsid w:val="008925B5"/>
    <w:rsid w:val="00892B8F"/>
    <w:rsid w:val="00893BF6"/>
    <w:rsid w:val="00893EC1"/>
    <w:rsid w:val="00895C0B"/>
    <w:rsid w:val="00896178"/>
    <w:rsid w:val="008A05AE"/>
    <w:rsid w:val="008A323A"/>
    <w:rsid w:val="008A358C"/>
    <w:rsid w:val="008A4C2B"/>
    <w:rsid w:val="008B2AE8"/>
    <w:rsid w:val="008C2130"/>
    <w:rsid w:val="008C3F6D"/>
    <w:rsid w:val="008C40E0"/>
    <w:rsid w:val="008C4211"/>
    <w:rsid w:val="008C4C89"/>
    <w:rsid w:val="008C6B49"/>
    <w:rsid w:val="008D035F"/>
    <w:rsid w:val="008D20E2"/>
    <w:rsid w:val="008D210B"/>
    <w:rsid w:val="008D22B1"/>
    <w:rsid w:val="008D345F"/>
    <w:rsid w:val="008D3EE2"/>
    <w:rsid w:val="008D7608"/>
    <w:rsid w:val="008D7D45"/>
    <w:rsid w:val="008E1C72"/>
    <w:rsid w:val="008E1C7C"/>
    <w:rsid w:val="008E3E15"/>
    <w:rsid w:val="008E4490"/>
    <w:rsid w:val="008E5CD8"/>
    <w:rsid w:val="008E7B49"/>
    <w:rsid w:val="008F0501"/>
    <w:rsid w:val="008F11FD"/>
    <w:rsid w:val="008F3760"/>
    <w:rsid w:val="008F3BA5"/>
    <w:rsid w:val="008F4D8F"/>
    <w:rsid w:val="008F6839"/>
    <w:rsid w:val="008F7557"/>
    <w:rsid w:val="00901A8D"/>
    <w:rsid w:val="00902A16"/>
    <w:rsid w:val="0090381F"/>
    <w:rsid w:val="00905AB9"/>
    <w:rsid w:val="00905DD9"/>
    <w:rsid w:val="009103EF"/>
    <w:rsid w:val="0091261A"/>
    <w:rsid w:val="00912DA4"/>
    <w:rsid w:val="00917DCC"/>
    <w:rsid w:val="00920FF0"/>
    <w:rsid w:val="009239E4"/>
    <w:rsid w:val="009249FD"/>
    <w:rsid w:val="00925167"/>
    <w:rsid w:val="00925F0F"/>
    <w:rsid w:val="009274CE"/>
    <w:rsid w:val="0092783A"/>
    <w:rsid w:val="00932039"/>
    <w:rsid w:val="00941354"/>
    <w:rsid w:val="0094137B"/>
    <w:rsid w:val="009459E7"/>
    <w:rsid w:val="00951AC4"/>
    <w:rsid w:val="0096084C"/>
    <w:rsid w:val="00962045"/>
    <w:rsid w:val="009623A5"/>
    <w:rsid w:val="00962F8A"/>
    <w:rsid w:val="00966B7B"/>
    <w:rsid w:val="0096717A"/>
    <w:rsid w:val="00967445"/>
    <w:rsid w:val="00970562"/>
    <w:rsid w:val="0097322C"/>
    <w:rsid w:val="009741FF"/>
    <w:rsid w:val="009743E4"/>
    <w:rsid w:val="00976407"/>
    <w:rsid w:val="009841A5"/>
    <w:rsid w:val="00985410"/>
    <w:rsid w:val="00986465"/>
    <w:rsid w:val="0098668C"/>
    <w:rsid w:val="00986814"/>
    <w:rsid w:val="009870A3"/>
    <w:rsid w:val="009924EB"/>
    <w:rsid w:val="00992FF2"/>
    <w:rsid w:val="0099507E"/>
    <w:rsid w:val="00997660"/>
    <w:rsid w:val="009A023C"/>
    <w:rsid w:val="009A0572"/>
    <w:rsid w:val="009A20CA"/>
    <w:rsid w:val="009A302F"/>
    <w:rsid w:val="009A4109"/>
    <w:rsid w:val="009A4D70"/>
    <w:rsid w:val="009A753D"/>
    <w:rsid w:val="009B0C7C"/>
    <w:rsid w:val="009B0CD8"/>
    <w:rsid w:val="009B2183"/>
    <w:rsid w:val="009B42C6"/>
    <w:rsid w:val="009B4320"/>
    <w:rsid w:val="009B741E"/>
    <w:rsid w:val="009C0351"/>
    <w:rsid w:val="009C146B"/>
    <w:rsid w:val="009C1C7F"/>
    <w:rsid w:val="009C79DD"/>
    <w:rsid w:val="009C7FDF"/>
    <w:rsid w:val="009D2A0D"/>
    <w:rsid w:val="009D4D10"/>
    <w:rsid w:val="009D6402"/>
    <w:rsid w:val="009D7CAE"/>
    <w:rsid w:val="009E0E13"/>
    <w:rsid w:val="009E41A5"/>
    <w:rsid w:val="009E6BDF"/>
    <w:rsid w:val="009F0E5C"/>
    <w:rsid w:val="009F1F0D"/>
    <w:rsid w:val="009F2B38"/>
    <w:rsid w:val="009F50E4"/>
    <w:rsid w:val="009F56B9"/>
    <w:rsid w:val="00A00024"/>
    <w:rsid w:val="00A01C85"/>
    <w:rsid w:val="00A043AD"/>
    <w:rsid w:val="00A05E09"/>
    <w:rsid w:val="00A06B69"/>
    <w:rsid w:val="00A10B5F"/>
    <w:rsid w:val="00A12FCF"/>
    <w:rsid w:val="00A135D2"/>
    <w:rsid w:val="00A20C1D"/>
    <w:rsid w:val="00A20C51"/>
    <w:rsid w:val="00A25868"/>
    <w:rsid w:val="00A25A29"/>
    <w:rsid w:val="00A26407"/>
    <w:rsid w:val="00A27309"/>
    <w:rsid w:val="00A2790D"/>
    <w:rsid w:val="00A33A09"/>
    <w:rsid w:val="00A35703"/>
    <w:rsid w:val="00A3575C"/>
    <w:rsid w:val="00A36287"/>
    <w:rsid w:val="00A367B6"/>
    <w:rsid w:val="00A370DA"/>
    <w:rsid w:val="00A4142E"/>
    <w:rsid w:val="00A41673"/>
    <w:rsid w:val="00A425E8"/>
    <w:rsid w:val="00A42A1B"/>
    <w:rsid w:val="00A46CED"/>
    <w:rsid w:val="00A471B3"/>
    <w:rsid w:val="00A4748F"/>
    <w:rsid w:val="00A54380"/>
    <w:rsid w:val="00A543B8"/>
    <w:rsid w:val="00A56BBE"/>
    <w:rsid w:val="00A60E9C"/>
    <w:rsid w:val="00A61707"/>
    <w:rsid w:val="00A6205E"/>
    <w:rsid w:val="00A626DE"/>
    <w:rsid w:val="00A632B3"/>
    <w:rsid w:val="00A670E0"/>
    <w:rsid w:val="00A72016"/>
    <w:rsid w:val="00A72DA8"/>
    <w:rsid w:val="00A74077"/>
    <w:rsid w:val="00A74DEE"/>
    <w:rsid w:val="00A75A35"/>
    <w:rsid w:val="00A76423"/>
    <w:rsid w:val="00A8085A"/>
    <w:rsid w:val="00A80F9D"/>
    <w:rsid w:val="00A82938"/>
    <w:rsid w:val="00A85665"/>
    <w:rsid w:val="00A87602"/>
    <w:rsid w:val="00A87C94"/>
    <w:rsid w:val="00A94A6E"/>
    <w:rsid w:val="00A94B40"/>
    <w:rsid w:val="00A976CB"/>
    <w:rsid w:val="00A97A6A"/>
    <w:rsid w:val="00AA115B"/>
    <w:rsid w:val="00AA2F11"/>
    <w:rsid w:val="00AA2F3A"/>
    <w:rsid w:val="00AA3BDC"/>
    <w:rsid w:val="00AA3F5A"/>
    <w:rsid w:val="00AA3FF4"/>
    <w:rsid w:val="00AA4587"/>
    <w:rsid w:val="00AA4FCB"/>
    <w:rsid w:val="00AA5AE6"/>
    <w:rsid w:val="00AA6113"/>
    <w:rsid w:val="00AB335B"/>
    <w:rsid w:val="00AB4BF7"/>
    <w:rsid w:val="00AB527D"/>
    <w:rsid w:val="00AB57AC"/>
    <w:rsid w:val="00AB7E28"/>
    <w:rsid w:val="00AB7F16"/>
    <w:rsid w:val="00AC065C"/>
    <w:rsid w:val="00AC2F19"/>
    <w:rsid w:val="00AC4226"/>
    <w:rsid w:val="00AC4E2C"/>
    <w:rsid w:val="00AC6347"/>
    <w:rsid w:val="00AC7E20"/>
    <w:rsid w:val="00AD09C6"/>
    <w:rsid w:val="00AD10D3"/>
    <w:rsid w:val="00AD1858"/>
    <w:rsid w:val="00AE0274"/>
    <w:rsid w:val="00AE11D9"/>
    <w:rsid w:val="00AE1563"/>
    <w:rsid w:val="00AE3289"/>
    <w:rsid w:val="00AE32EF"/>
    <w:rsid w:val="00AE37C0"/>
    <w:rsid w:val="00AE52F4"/>
    <w:rsid w:val="00AE6BAF"/>
    <w:rsid w:val="00AE6DD7"/>
    <w:rsid w:val="00AF0E96"/>
    <w:rsid w:val="00AF4D19"/>
    <w:rsid w:val="00AF5C78"/>
    <w:rsid w:val="00AF697A"/>
    <w:rsid w:val="00AF6B27"/>
    <w:rsid w:val="00AF6F55"/>
    <w:rsid w:val="00B015EF"/>
    <w:rsid w:val="00B023CB"/>
    <w:rsid w:val="00B02BF7"/>
    <w:rsid w:val="00B03382"/>
    <w:rsid w:val="00B03DF3"/>
    <w:rsid w:val="00B04921"/>
    <w:rsid w:val="00B05417"/>
    <w:rsid w:val="00B05BA4"/>
    <w:rsid w:val="00B13558"/>
    <w:rsid w:val="00B14D73"/>
    <w:rsid w:val="00B21F17"/>
    <w:rsid w:val="00B22059"/>
    <w:rsid w:val="00B23041"/>
    <w:rsid w:val="00B24AE7"/>
    <w:rsid w:val="00B24C79"/>
    <w:rsid w:val="00B27361"/>
    <w:rsid w:val="00B300DA"/>
    <w:rsid w:val="00B31A03"/>
    <w:rsid w:val="00B348BB"/>
    <w:rsid w:val="00B362C8"/>
    <w:rsid w:val="00B3631C"/>
    <w:rsid w:val="00B36355"/>
    <w:rsid w:val="00B37BD8"/>
    <w:rsid w:val="00B4089B"/>
    <w:rsid w:val="00B423AC"/>
    <w:rsid w:val="00B42AD2"/>
    <w:rsid w:val="00B43941"/>
    <w:rsid w:val="00B4442E"/>
    <w:rsid w:val="00B45FE4"/>
    <w:rsid w:val="00B46579"/>
    <w:rsid w:val="00B472EC"/>
    <w:rsid w:val="00B50A7C"/>
    <w:rsid w:val="00B50CB1"/>
    <w:rsid w:val="00B520DF"/>
    <w:rsid w:val="00B55059"/>
    <w:rsid w:val="00B6135B"/>
    <w:rsid w:val="00B61F88"/>
    <w:rsid w:val="00B679C7"/>
    <w:rsid w:val="00B679E7"/>
    <w:rsid w:val="00B67B40"/>
    <w:rsid w:val="00B70F0A"/>
    <w:rsid w:val="00B740BF"/>
    <w:rsid w:val="00B74872"/>
    <w:rsid w:val="00B766A0"/>
    <w:rsid w:val="00B80259"/>
    <w:rsid w:val="00B80FBF"/>
    <w:rsid w:val="00B82474"/>
    <w:rsid w:val="00B838C4"/>
    <w:rsid w:val="00B865D8"/>
    <w:rsid w:val="00B87544"/>
    <w:rsid w:val="00B915B4"/>
    <w:rsid w:val="00B9261B"/>
    <w:rsid w:val="00B9666B"/>
    <w:rsid w:val="00BA7619"/>
    <w:rsid w:val="00BA7B6D"/>
    <w:rsid w:val="00BB38D4"/>
    <w:rsid w:val="00BC080F"/>
    <w:rsid w:val="00BC2AD4"/>
    <w:rsid w:val="00BC462B"/>
    <w:rsid w:val="00BC535A"/>
    <w:rsid w:val="00BC5527"/>
    <w:rsid w:val="00BC7F20"/>
    <w:rsid w:val="00BC7F2B"/>
    <w:rsid w:val="00BD3EA1"/>
    <w:rsid w:val="00BD4828"/>
    <w:rsid w:val="00BD4989"/>
    <w:rsid w:val="00BD5B66"/>
    <w:rsid w:val="00BD6B7E"/>
    <w:rsid w:val="00BD73D9"/>
    <w:rsid w:val="00BD771A"/>
    <w:rsid w:val="00BE1A78"/>
    <w:rsid w:val="00BE3D31"/>
    <w:rsid w:val="00BE55E3"/>
    <w:rsid w:val="00BE5D6C"/>
    <w:rsid w:val="00BE758E"/>
    <w:rsid w:val="00BF1AF2"/>
    <w:rsid w:val="00BF1C4A"/>
    <w:rsid w:val="00BF1C80"/>
    <w:rsid w:val="00BF2113"/>
    <w:rsid w:val="00BF3CFC"/>
    <w:rsid w:val="00BF61EC"/>
    <w:rsid w:val="00BF638F"/>
    <w:rsid w:val="00C02112"/>
    <w:rsid w:val="00C02D36"/>
    <w:rsid w:val="00C02F24"/>
    <w:rsid w:val="00C11474"/>
    <w:rsid w:val="00C1177B"/>
    <w:rsid w:val="00C1340F"/>
    <w:rsid w:val="00C138A6"/>
    <w:rsid w:val="00C14044"/>
    <w:rsid w:val="00C14720"/>
    <w:rsid w:val="00C15853"/>
    <w:rsid w:val="00C17C25"/>
    <w:rsid w:val="00C21491"/>
    <w:rsid w:val="00C22509"/>
    <w:rsid w:val="00C235CD"/>
    <w:rsid w:val="00C25A4C"/>
    <w:rsid w:val="00C30186"/>
    <w:rsid w:val="00C30FF4"/>
    <w:rsid w:val="00C31E21"/>
    <w:rsid w:val="00C36010"/>
    <w:rsid w:val="00C40AC3"/>
    <w:rsid w:val="00C412D1"/>
    <w:rsid w:val="00C43953"/>
    <w:rsid w:val="00C44718"/>
    <w:rsid w:val="00C4474D"/>
    <w:rsid w:val="00C44887"/>
    <w:rsid w:val="00C44A0D"/>
    <w:rsid w:val="00C45550"/>
    <w:rsid w:val="00C45A1D"/>
    <w:rsid w:val="00C50AD1"/>
    <w:rsid w:val="00C5214D"/>
    <w:rsid w:val="00C5230E"/>
    <w:rsid w:val="00C53C47"/>
    <w:rsid w:val="00C53CE7"/>
    <w:rsid w:val="00C542FC"/>
    <w:rsid w:val="00C63774"/>
    <w:rsid w:val="00C63D29"/>
    <w:rsid w:val="00C63DDA"/>
    <w:rsid w:val="00C64D00"/>
    <w:rsid w:val="00C656FA"/>
    <w:rsid w:val="00C665E0"/>
    <w:rsid w:val="00C66A3D"/>
    <w:rsid w:val="00C72D61"/>
    <w:rsid w:val="00C745BC"/>
    <w:rsid w:val="00C747D7"/>
    <w:rsid w:val="00C759ED"/>
    <w:rsid w:val="00C75D5D"/>
    <w:rsid w:val="00C76E07"/>
    <w:rsid w:val="00C800E0"/>
    <w:rsid w:val="00C80270"/>
    <w:rsid w:val="00C83502"/>
    <w:rsid w:val="00C8411D"/>
    <w:rsid w:val="00C90406"/>
    <w:rsid w:val="00C90B06"/>
    <w:rsid w:val="00C9199C"/>
    <w:rsid w:val="00C93D90"/>
    <w:rsid w:val="00C9480A"/>
    <w:rsid w:val="00C956EC"/>
    <w:rsid w:val="00C961A6"/>
    <w:rsid w:val="00C97390"/>
    <w:rsid w:val="00CA0144"/>
    <w:rsid w:val="00CA0567"/>
    <w:rsid w:val="00CA1219"/>
    <w:rsid w:val="00CB1461"/>
    <w:rsid w:val="00CB3178"/>
    <w:rsid w:val="00CB42C4"/>
    <w:rsid w:val="00CB4328"/>
    <w:rsid w:val="00CB55E5"/>
    <w:rsid w:val="00CB59D6"/>
    <w:rsid w:val="00CB6BA6"/>
    <w:rsid w:val="00CB772B"/>
    <w:rsid w:val="00CB795B"/>
    <w:rsid w:val="00CC04BC"/>
    <w:rsid w:val="00CC103D"/>
    <w:rsid w:val="00CC11F1"/>
    <w:rsid w:val="00CC461C"/>
    <w:rsid w:val="00CC4F69"/>
    <w:rsid w:val="00CC5473"/>
    <w:rsid w:val="00CD6421"/>
    <w:rsid w:val="00CD6733"/>
    <w:rsid w:val="00CE17E0"/>
    <w:rsid w:val="00CE18B0"/>
    <w:rsid w:val="00CE4225"/>
    <w:rsid w:val="00CE514D"/>
    <w:rsid w:val="00CE6EC0"/>
    <w:rsid w:val="00CF10ED"/>
    <w:rsid w:val="00CF6E1B"/>
    <w:rsid w:val="00CF70F5"/>
    <w:rsid w:val="00D01A7C"/>
    <w:rsid w:val="00D02FE8"/>
    <w:rsid w:val="00D03463"/>
    <w:rsid w:val="00D05448"/>
    <w:rsid w:val="00D06EF3"/>
    <w:rsid w:val="00D07AEC"/>
    <w:rsid w:val="00D07C1C"/>
    <w:rsid w:val="00D106A9"/>
    <w:rsid w:val="00D10C00"/>
    <w:rsid w:val="00D1198E"/>
    <w:rsid w:val="00D122AE"/>
    <w:rsid w:val="00D1332E"/>
    <w:rsid w:val="00D1416C"/>
    <w:rsid w:val="00D2159E"/>
    <w:rsid w:val="00D23068"/>
    <w:rsid w:val="00D25A6C"/>
    <w:rsid w:val="00D25A99"/>
    <w:rsid w:val="00D317C9"/>
    <w:rsid w:val="00D3293A"/>
    <w:rsid w:val="00D356A8"/>
    <w:rsid w:val="00D3691F"/>
    <w:rsid w:val="00D372B8"/>
    <w:rsid w:val="00D37E16"/>
    <w:rsid w:val="00D41C02"/>
    <w:rsid w:val="00D42D28"/>
    <w:rsid w:val="00D4379B"/>
    <w:rsid w:val="00D450AA"/>
    <w:rsid w:val="00D45A13"/>
    <w:rsid w:val="00D50CFE"/>
    <w:rsid w:val="00D516CB"/>
    <w:rsid w:val="00D52354"/>
    <w:rsid w:val="00D53AC6"/>
    <w:rsid w:val="00D5670B"/>
    <w:rsid w:val="00D5676C"/>
    <w:rsid w:val="00D56D11"/>
    <w:rsid w:val="00D5796B"/>
    <w:rsid w:val="00D631B0"/>
    <w:rsid w:val="00D6358B"/>
    <w:rsid w:val="00D637AB"/>
    <w:rsid w:val="00D64527"/>
    <w:rsid w:val="00D66795"/>
    <w:rsid w:val="00D66C5D"/>
    <w:rsid w:val="00D70967"/>
    <w:rsid w:val="00D71D37"/>
    <w:rsid w:val="00D7436E"/>
    <w:rsid w:val="00D751F7"/>
    <w:rsid w:val="00D81F9C"/>
    <w:rsid w:val="00D82DB7"/>
    <w:rsid w:val="00D8393C"/>
    <w:rsid w:val="00D858A3"/>
    <w:rsid w:val="00D866FD"/>
    <w:rsid w:val="00D86902"/>
    <w:rsid w:val="00D86C59"/>
    <w:rsid w:val="00D8765C"/>
    <w:rsid w:val="00D90B0A"/>
    <w:rsid w:val="00D9324A"/>
    <w:rsid w:val="00D9333C"/>
    <w:rsid w:val="00D958BA"/>
    <w:rsid w:val="00D95C1A"/>
    <w:rsid w:val="00D95F41"/>
    <w:rsid w:val="00D96705"/>
    <w:rsid w:val="00DA090D"/>
    <w:rsid w:val="00DA0D42"/>
    <w:rsid w:val="00DA13FB"/>
    <w:rsid w:val="00DA2B53"/>
    <w:rsid w:val="00DA4A78"/>
    <w:rsid w:val="00DA67CD"/>
    <w:rsid w:val="00DB1E52"/>
    <w:rsid w:val="00DB2222"/>
    <w:rsid w:val="00DB7C8C"/>
    <w:rsid w:val="00DC0568"/>
    <w:rsid w:val="00DC7BF9"/>
    <w:rsid w:val="00DD1B91"/>
    <w:rsid w:val="00DD2D5C"/>
    <w:rsid w:val="00DD31F6"/>
    <w:rsid w:val="00DE092A"/>
    <w:rsid w:val="00DE328A"/>
    <w:rsid w:val="00DE3E6D"/>
    <w:rsid w:val="00DE4624"/>
    <w:rsid w:val="00DE4A46"/>
    <w:rsid w:val="00DE4FFB"/>
    <w:rsid w:val="00DE500C"/>
    <w:rsid w:val="00DE5DF5"/>
    <w:rsid w:val="00DE63A5"/>
    <w:rsid w:val="00DF07C2"/>
    <w:rsid w:val="00DF2EA5"/>
    <w:rsid w:val="00DF4718"/>
    <w:rsid w:val="00DF6CAC"/>
    <w:rsid w:val="00DF7C1D"/>
    <w:rsid w:val="00E00E77"/>
    <w:rsid w:val="00E02801"/>
    <w:rsid w:val="00E02DBF"/>
    <w:rsid w:val="00E0477D"/>
    <w:rsid w:val="00E12327"/>
    <w:rsid w:val="00E13F68"/>
    <w:rsid w:val="00E152DD"/>
    <w:rsid w:val="00E15880"/>
    <w:rsid w:val="00E20307"/>
    <w:rsid w:val="00E20CCD"/>
    <w:rsid w:val="00E26357"/>
    <w:rsid w:val="00E27E3C"/>
    <w:rsid w:val="00E303B2"/>
    <w:rsid w:val="00E3086D"/>
    <w:rsid w:val="00E313CD"/>
    <w:rsid w:val="00E315BC"/>
    <w:rsid w:val="00E32D8B"/>
    <w:rsid w:val="00E34A2E"/>
    <w:rsid w:val="00E3574D"/>
    <w:rsid w:val="00E3772A"/>
    <w:rsid w:val="00E37F03"/>
    <w:rsid w:val="00E4075A"/>
    <w:rsid w:val="00E40DBB"/>
    <w:rsid w:val="00E4236F"/>
    <w:rsid w:val="00E4331C"/>
    <w:rsid w:val="00E43EA5"/>
    <w:rsid w:val="00E46DCF"/>
    <w:rsid w:val="00E4784D"/>
    <w:rsid w:val="00E47D7D"/>
    <w:rsid w:val="00E5000D"/>
    <w:rsid w:val="00E50CE9"/>
    <w:rsid w:val="00E56B39"/>
    <w:rsid w:val="00E56EC4"/>
    <w:rsid w:val="00E575CC"/>
    <w:rsid w:val="00E61172"/>
    <w:rsid w:val="00E62729"/>
    <w:rsid w:val="00E63401"/>
    <w:rsid w:val="00E6368D"/>
    <w:rsid w:val="00E64978"/>
    <w:rsid w:val="00E65219"/>
    <w:rsid w:val="00E655D1"/>
    <w:rsid w:val="00E65A35"/>
    <w:rsid w:val="00E65E22"/>
    <w:rsid w:val="00E66AEF"/>
    <w:rsid w:val="00E702B3"/>
    <w:rsid w:val="00E70598"/>
    <w:rsid w:val="00E73D39"/>
    <w:rsid w:val="00E752AB"/>
    <w:rsid w:val="00E76F67"/>
    <w:rsid w:val="00E810A9"/>
    <w:rsid w:val="00E8288C"/>
    <w:rsid w:val="00E82C52"/>
    <w:rsid w:val="00E82C6B"/>
    <w:rsid w:val="00E8333A"/>
    <w:rsid w:val="00E871AE"/>
    <w:rsid w:val="00E904FD"/>
    <w:rsid w:val="00E91F97"/>
    <w:rsid w:val="00E93B95"/>
    <w:rsid w:val="00E972C5"/>
    <w:rsid w:val="00E975DD"/>
    <w:rsid w:val="00EA0BB4"/>
    <w:rsid w:val="00EA3E63"/>
    <w:rsid w:val="00EA4939"/>
    <w:rsid w:val="00EA4A98"/>
    <w:rsid w:val="00EA5AA1"/>
    <w:rsid w:val="00EA6665"/>
    <w:rsid w:val="00EB1B28"/>
    <w:rsid w:val="00EB281C"/>
    <w:rsid w:val="00EB46CC"/>
    <w:rsid w:val="00EC4345"/>
    <w:rsid w:val="00EC51A2"/>
    <w:rsid w:val="00EC6D95"/>
    <w:rsid w:val="00EC7052"/>
    <w:rsid w:val="00EC7B90"/>
    <w:rsid w:val="00ED10B9"/>
    <w:rsid w:val="00ED31FD"/>
    <w:rsid w:val="00ED53E4"/>
    <w:rsid w:val="00ED603E"/>
    <w:rsid w:val="00ED76B7"/>
    <w:rsid w:val="00EE06F4"/>
    <w:rsid w:val="00EE0F40"/>
    <w:rsid w:val="00EE25DC"/>
    <w:rsid w:val="00EE3E7E"/>
    <w:rsid w:val="00EE7374"/>
    <w:rsid w:val="00EF05AD"/>
    <w:rsid w:val="00EF2932"/>
    <w:rsid w:val="00EF2D27"/>
    <w:rsid w:val="00EF3106"/>
    <w:rsid w:val="00EF443E"/>
    <w:rsid w:val="00EF459C"/>
    <w:rsid w:val="00EF711C"/>
    <w:rsid w:val="00EF7C8F"/>
    <w:rsid w:val="00F0400D"/>
    <w:rsid w:val="00F04251"/>
    <w:rsid w:val="00F054DF"/>
    <w:rsid w:val="00F06B21"/>
    <w:rsid w:val="00F11DA9"/>
    <w:rsid w:val="00F15DC1"/>
    <w:rsid w:val="00F177F1"/>
    <w:rsid w:val="00F20243"/>
    <w:rsid w:val="00F20EBC"/>
    <w:rsid w:val="00F22ADA"/>
    <w:rsid w:val="00F2594C"/>
    <w:rsid w:val="00F27C04"/>
    <w:rsid w:val="00F30B4A"/>
    <w:rsid w:val="00F31624"/>
    <w:rsid w:val="00F32EE8"/>
    <w:rsid w:val="00F3529D"/>
    <w:rsid w:val="00F35DEC"/>
    <w:rsid w:val="00F40454"/>
    <w:rsid w:val="00F417AA"/>
    <w:rsid w:val="00F430AA"/>
    <w:rsid w:val="00F44F2F"/>
    <w:rsid w:val="00F47D4B"/>
    <w:rsid w:val="00F509D8"/>
    <w:rsid w:val="00F51F7D"/>
    <w:rsid w:val="00F52442"/>
    <w:rsid w:val="00F52A6A"/>
    <w:rsid w:val="00F52F2B"/>
    <w:rsid w:val="00F547DD"/>
    <w:rsid w:val="00F55C9E"/>
    <w:rsid w:val="00F55EBF"/>
    <w:rsid w:val="00F56D8D"/>
    <w:rsid w:val="00F60621"/>
    <w:rsid w:val="00F61245"/>
    <w:rsid w:val="00F62928"/>
    <w:rsid w:val="00F63CF2"/>
    <w:rsid w:val="00F65630"/>
    <w:rsid w:val="00F70C94"/>
    <w:rsid w:val="00F71FB8"/>
    <w:rsid w:val="00F72651"/>
    <w:rsid w:val="00F74618"/>
    <w:rsid w:val="00F76DFC"/>
    <w:rsid w:val="00F7711F"/>
    <w:rsid w:val="00F77A80"/>
    <w:rsid w:val="00F81642"/>
    <w:rsid w:val="00F83AAE"/>
    <w:rsid w:val="00F83C2B"/>
    <w:rsid w:val="00F85870"/>
    <w:rsid w:val="00F8744E"/>
    <w:rsid w:val="00F909E2"/>
    <w:rsid w:val="00F9248D"/>
    <w:rsid w:val="00F93868"/>
    <w:rsid w:val="00F94A57"/>
    <w:rsid w:val="00F95C28"/>
    <w:rsid w:val="00F962A6"/>
    <w:rsid w:val="00FA0038"/>
    <w:rsid w:val="00FA38F7"/>
    <w:rsid w:val="00FA425C"/>
    <w:rsid w:val="00FA4676"/>
    <w:rsid w:val="00FA4704"/>
    <w:rsid w:val="00FA477E"/>
    <w:rsid w:val="00FA4B35"/>
    <w:rsid w:val="00FA4C6E"/>
    <w:rsid w:val="00FA5237"/>
    <w:rsid w:val="00FA5B32"/>
    <w:rsid w:val="00FA6B45"/>
    <w:rsid w:val="00FB0F0C"/>
    <w:rsid w:val="00FB1143"/>
    <w:rsid w:val="00FB1559"/>
    <w:rsid w:val="00FB1AF6"/>
    <w:rsid w:val="00FB23D3"/>
    <w:rsid w:val="00FB3CA3"/>
    <w:rsid w:val="00FB6406"/>
    <w:rsid w:val="00FB7A2D"/>
    <w:rsid w:val="00FC194B"/>
    <w:rsid w:val="00FC1DE2"/>
    <w:rsid w:val="00FC2BA0"/>
    <w:rsid w:val="00FC3D2F"/>
    <w:rsid w:val="00FC4B44"/>
    <w:rsid w:val="00FC6FC0"/>
    <w:rsid w:val="00FC78C1"/>
    <w:rsid w:val="00FC7E7D"/>
    <w:rsid w:val="00FD042F"/>
    <w:rsid w:val="00FD0E6F"/>
    <w:rsid w:val="00FD0E8A"/>
    <w:rsid w:val="00FD2589"/>
    <w:rsid w:val="00FD4298"/>
    <w:rsid w:val="00FD50DF"/>
    <w:rsid w:val="00FD5829"/>
    <w:rsid w:val="00FD6D34"/>
    <w:rsid w:val="00FD7B45"/>
    <w:rsid w:val="00FE0155"/>
    <w:rsid w:val="00FE0890"/>
    <w:rsid w:val="00FE2360"/>
    <w:rsid w:val="00FE26EB"/>
    <w:rsid w:val="00FE378A"/>
    <w:rsid w:val="00FE54D2"/>
    <w:rsid w:val="00FE5BED"/>
    <w:rsid w:val="00FE66F3"/>
    <w:rsid w:val="00FE72C8"/>
    <w:rsid w:val="00FE72E7"/>
    <w:rsid w:val="00FE7806"/>
    <w:rsid w:val="00FE7A7D"/>
    <w:rsid w:val="00FF0FE9"/>
    <w:rsid w:val="00FF1243"/>
    <w:rsid w:val="00FF30E7"/>
    <w:rsid w:val="00FF4B80"/>
    <w:rsid w:val="00FF538E"/>
    <w:rsid w:val="00FF62FC"/>
    <w:rsid w:val="00FF688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b6c58,#887e6e,#d2232a,#57433e,#b0a696"/>
    </o:shapedefaults>
    <o:shapelayout v:ext="edit">
      <o:idmap v:ext="edit" data="2"/>
    </o:shapelayout>
  </w:shapeDefaults>
  <w:decimalSymbol w:val="."/>
  <w:listSeparator w:val=","/>
  <w14:docId w14:val="754996D8"/>
  <w15:docId w15:val="{FEDA35BA-036A-49D2-A77E-AA474AC7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5D"/>
    <w:rPr>
      <w:rFonts w:ascii="Arial" w:hAnsi="Arial"/>
      <w:szCs w:val="24"/>
      <w:lang w:val="en-US" w:eastAsia="en-US"/>
    </w:rPr>
  </w:style>
  <w:style w:type="paragraph" w:styleId="Heading1">
    <w:name w:val="heading 1"/>
    <w:aliases w:val="ECC Heading 1"/>
    <w:basedOn w:val="Normal"/>
    <w:next w:val="ECCParagraph"/>
    <w:autoRedefine/>
    <w:qFormat/>
    <w:rsid w:val="003C77A1"/>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902A16"/>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link w:val="Heading3Char"/>
    <w:autoRedefine/>
    <w:qFormat/>
    <w:rsid w:val="00C30FF4"/>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rsid w:val="00A25A29"/>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
    <w:basedOn w:val="Normal"/>
    <w:link w:val="HeaderChar"/>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71239D"/>
    <w:pPr>
      <w:numPr>
        <w:numId w:val="4"/>
      </w:numPr>
      <w:ind w:left="0"/>
    </w:pPr>
    <w:rPr>
      <w:bCs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A05E09"/>
    <w:pPr>
      <w:keepNext/>
      <w:keepLines/>
      <w:numPr>
        <w:numId w:val="2"/>
      </w:numPr>
      <w:spacing w:before="360" w:after="240"/>
    </w:pPr>
  </w:style>
  <w:style w:type="paragraph" w:customStyle="1" w:styleId="ECCFootnote">
    <w:name w:val="ECC Footnote"/>
    <w:basedOn w:val="Normal"/>
    <w:autoRedefine/>
    <w:rsid w:val="00F44F2F"/>
    <w:pPr>
      <w:spacing w:after="60"/>
      <w:jc w:val="both"/>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rsid w:val="008935B9"/>
    <w:rPr>
      <w:szCs w:val="20"/>
    </w:rPr>
  </w:style>
  <w:style w:type="character" w:styleId="FootnoteReference">
    <w:name w:val="footnote reference"/>
    <w:aliases w:val="Fussnotenzeichen"/>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513795"/>
    <w:pPr>
      <w:spacing w:before="60"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0"/>
      </w:numPr>
      <w:spacing w:after="120"/>
      <w:jc w:val="both"/>
    </w:pPr>
  </w:style>
  <w:style w:type="paragraph" w:customStyle="1" w:styleId="NumberedList">
    <w:name w:val="Numbered List"/>
    <w:basedOn w:val="ECCParagraph"/>
    <w:rsid w:val="007C6571"/>
    <w:pPr>
      <w:numPr>
        <w:numId w:val="12"/>
      </w:numPr>
    </w:pPr>
  </w:style>
  <w:style w:type="numbering" w:customStyle="1" w:styleId="ECCNumbers-Letters">
    <w:name w:val="ECC Numbers-Letters"/>
    <w:uiPriority w:val="99"/>
    <w:rsid w:val="007C6571"/>
    <w:pPr>
      <w:numPr>
        <w:numId w:val="11"/>
      </w:numPr>
    </w:pPr>
  </w:style>
  <w:style w:type="numbering" w:customStyle="1" w:styleId="ECCNumberedList">
    <w:name w:val="ECC Numbered List"/>
    <w:uiPriority w:val="99"/>
    <w:rsid w:val="007C6571"/>
    <w:pPr>
      <w:numPr>
        <w:numId w:val="12"/>
      </w:numPr>
    </w:pPr>
  </w:style>
  <w:style w:type="paragraph" w:customStyle="1" w:styleId="ECCNumbered-LetteredList">
    <w:name w:val="ECC Numbered-Lettered List"/>
    <w:basedOn w:val="Normal"/>
    <w:rsid w:val="007C6571"/>
    <w:pPr>
      <w:numPr>
        <w:numId w:val="11"/>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link w:val="BodyText"/>
    <w:rsid w:val="00E65E22"/>
    <w:rPr>
      <w:sz w:val="24"/>
      <w:szCs w:val="24"/>
      <w:lang w:eastAsia="nl-NL"/>
    </w:rPr>
  </w:style>
  <w:style w:type="paragraph" w:customStyle="1" w:styleId="Liststycke1">
    <w:name w:val="Liststycke1"/>
    <w:basedOn w:val="Normal"/>
    <w:uiPriority w:val="34"/>
    <w:qFormat/>
    <w:rsid w:val="00E65E22"/>
    <w:pPr>
      <w:ind w:left="720"/>
      <w:contextualSpacing/>
    </w:pPr>
  </w:style>
  <w:style w:type="paragraph" w:customStyle="1" w:styleId="Brief">
    <w:name w:val="Brief"/>
    <w:rsid w:val="00020F0B"/>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paragraph" w:styleId="ListParagraph">
    <w:name w:val="List Paragraph"/>
    <w:basedOn w:val="Normal"/>
    <w:uiPriority w:val="34"/>
    <w:qFormat/>
    <w:rsid w:val="00C21491"/>
    <w:pPr>
      <w:spacing w:after="200" w:line="276" w:lineRule="auto"/>
      <w:ind w:left="720"/>
      <w:contextualSpacing/>
    </w:pPr>
    <w:rPr>
      <w:rFonts w:ascii="Calibri" w:eastAsia="Calibri" w:hAnsi="Calibri" w:cs="Calibri"/>
      <w:sz w:val="22"/>
      <w:szCs w:val="22"/>
    </w:rPr>
  </w:style>
  <w:style w:type="character" w:customStyle="1" w:styleId="Heading2Char">
    <w:name w:val="Heading 2 Char"/>
    <w:aliases w:val="ECC Heading 2 Char"/>
    <w:link w:val="Heading2"/>
    <w:rsid w:val="00902A16"/>
    <w:rPr>
      <w:rFonts w:ascii="Arial" w:hAnsi="Arial" w:cs="Arial"/>
      <w:b/>
      <w:bCs/>
      <w:iCs/>
      <w:caps/>
      <w:color w:val="D2232A"/>
      <w:szCs w:val="28"/>
      <w:lang w:val="en-US" w:eastAsia="en-US"/>
    </w:rPr>
  </w:style>
  <w:style w:type="character" w:customStyle="1" w:styleId="Heading3Char">
    <w:name w:val="Heading 3 Char"/>
    <w:aliases w:val="ECC Heading 3 Char"/>
    <w:link w:val="Heading3"/>
    <w:rsid w:val="00C30FF4"/>
    <w:rPr>
      <w:rFonts w:ascii="Arial" w:hAnsi="Arial" w:cs="Arial"/>
      <w:b/>
      <w:bCs/>
      <w:szCs w:val="26"/>
      <w:lang w:val="en-US" w:eastAsia="en-US"/>
    </w:rPr>
  </w:style>
  <w:style w:type="paragraph" w:styleId="Caption">
    <w:name w:val="caption"/>
    <w:aliases w:val="Ca"/>
    <w:link w:val="CaptionChar"/>
    <w:qFormat/>
    <w:rsid w:val="00D372B8"/>
    <w:pPr>
      <w:keepNext/>
      <w:suppressAutoHyphens/>
      <w:jc w:val="center"/>
    </w:pPr>
    <w:rPr>
      <w:rFonts w:ascii="Verdana" w:eastAsia="Arial" w:hAnsi="Verdana"/>
      <w:b/>
      <w:bCs/>
      <w:sz w:val="22"/>
      <w:szCs w:val="22"/>
      <w:lang w:val="en-GB" w:eastAsia="ar-SA"/>
    </w:rPr>
  </w:style>
  <w:style w:type="character" w:customStyle="1" w:styleId="CaptionChar">
    <w:name w:val="Caption Char"/>
    <w:aliases w:val="Ca Char"/>
    <w:link w:val="Caption"/>
    <w:rsid w:val="00D372B8"/>
    <w:rPr>
      <w:rFonts w:ascii="Verdana" w:eastAsia="Arial" w:hAnsi="Verdana"/>
      <w:b/>
      <w:bCs/>
      <w:sz w:val="22"/>
      <w:szCs w:val="22"/>
      <w:lang w:val="en-GB" w:eastAsia="ar-SA"/>
    </w:rPr>
  </w:style>
  <w:style w:type="character" w:customStyle="1" w:styleId="FootnoteTextChar">
    <w:name w:val="Footnote Text Char"/>
    <w:aliases w:val="footnote text Char,ALTS FOOTNOTE Char,Footnote Text Char1 Char Char,Footnote Text Char Char Char Char,ALTS FOOTNOTE Char Char Char Char,footnote text Char Char Char Char,Footnote Text Char3 Char Char Char Char"/>
    <w:link w:val="FootnoteText"/>
    <w:rsid w:val="00D372B8"/>
    <w:rPr>
      <w:rFonts w:ascii="Arial" w:hAnsi="Arial"/>
      <w:lang w:val="en-US" w:eastAsia="en-US"/>
    </w:rPr>
  </w:style>
  <w:style w:type="character" w:customStyle="1" w:styleId="FootnoteTextChar1">
    <w:name w:val="Footnote Text Char1"/>
    <w:rsid w:val="00D372B8"/>
    <w:rPr>
      <w:sz w:val="16"/>
      <w:lang w:val="en-GB" w:eastAsia="ar-SA" w:bidi="ar-SA"/>
    </w:rPr>
  </w:style>
  <w:style w:type="paragraph" w:customStyle="1" w:styleId="NO">
    <w:name w:val="NO"/>
    <w:basedOn w:val="Normal"/>
    <w:rsid w:val="00D372B8"/>
    <w:pPr>
      <w:suppressAutoHyphens/>
    </w:pPr>
    <w:rPr>
      <w:rFonts w:ascii="Verdana" w:hAnsi="Verdana"/>
      <w:sz w:val="24"/>
      <w:lang w:val="en-GB" w:eastAsia="ar-SA"/>
    </w:rPr>
  </w:style>
  <w:style w:type="character" w:customStyle="1" w:styleId="Heading4Char">
    <w:name w:val="Heading 4 Char"/>
    <w:aliases w:val="ECC Heading 4 Char"/>
    <w:basedOn w:val="DefaultParagraphFont"/>
    <w:link w:val="Heading4"/>
    <w:rsid w:val="00A25A29"/>
    <w:rPr>
      <w:rFonts w:ascii="Arial" w:hAnsi="Arial" w:cs="Arial"/>
      <w:bCs/>
      <w:i/>
      <w:color w:val="D2232A"/>
      <w:szCs w:val="26"/>
      <w:lang w:val="en-US" w:eastAsia="en-US"/>
    </w:rPr>
  </w:style>
  <w:style w:type="paragraph" w:styleId="CommentText">
    <w:name w:val="annotation text"/>
    <w:basedOn w:val="Normal"/>
    <w:link w:val="CommentTextChar"/>
    <w:uiPriority w:val="99"/>
    <w:unhideWhenUsed/>
    <w:rsid w:val="00BD3EA1"/>
    <w:rPr>
      <w:szCs w:val="20"/>
    </w:rPr>
  </w:style>
  <w:style w:type="character" w:customStyle="1" w:styleId="CommentTextChar">
    <w:name w:val="Comment Text Char"/>
    <w:basedOn w:val="DefaultParagraphFont"/>
    <w:link w:val="CommentText"/>
    <w:uiPriority w:val="99"/>
    <w:rsid w:val="00BD3EA1"/>
    <w:rPr>
      <w:rFonts w:ascii="Arial" w:hAnsi="Arial"/>
      <w:lang w:val="en-US" w:eastAsia="en-US"/>
    </w:rPr>
  </w:style>
  <w:style w:type="character" w:styleId="CommentReference">
    <w:name w:val="annotation reference"/>
    <w:basedOn w:val="DefaultParagraphFont"/>
    <w:uiPriority w:val="99"/>
    <w:semiHidden/>
    <w:unhideWhenUsed/>
    <w:rsid w:val="00BD3EA1"/>
    <w:rPr>
      <w:sz w:val="16"/>
      <w:szCs w:val="16"/>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locked/>
    <w:rsid w:val="006D6E1F"/>
    <w:rPr>
      <w:rFonts w:ascii="Arial" w:hAnsi="Arial"/>
      <w:b/>
      <w:sz w:val="16"/>
      <w:szCs w:val="24"/>
      <w:lang w:val="en-US" w:eastAsia="en-US"/>
    </w:rPr>
  </w:style>
  <w:style w:type="paragraph" w:styleId="CommentSubject">
    <w:name w:val="annotation subject"/>
    <w:basedOn w:val="CommentText"/>
    <w:next w:val="CommentText"/>
    <w:link w:val="CommentSubjectChar"/>
    <w:uiPriority w:val="99"/>
    <w:semiHidden/>
    <w:unhideWhenUsed/>
    <w:rsid w:val="00F65630"/>
    <w:rPr>
      <w:b/>
      <w:bCs/>
    </w:rPr>
  </w:style>
  <w:style w:type="character" w:customStyle="1" w:styleId="CommentSubjectChar">
    <w:name w:val="Comment Subject Char"/>
    <w:basedOn w:val="CommentTextChar"/>
    <w:link w:val="CommentSubject"/>
    <w:uiPriority w:val="99"/>
    <w:semiHidden/>
    <w:rsid w:val="00F65630"/>
    <w:rPr>
      <w:rFonts w:ascii="Arial" w:hAnsi="Arial"/>
      <w:b/>
      <w:bCs/>
      <w:lang w:val="en-US" w:eastAsia="en-US"/>
    </w:rPr>
  </w:style>
  <w:style w:type="paragraph" w:customStyle="1" w:styleId="Kopfzeile1">
    <w:name w:val="Kopfzeile1"/>
    <w:basedOn w:val="Header"/>
    <w:rsid w:val="00FA38F7"/>
    <w:pPr>
      <w:tabs>
        <w:tab w:val="clear" w:pos="4320"/>
        <w:tab w:val="clear" w:pos="8640"/>
        <w:tab w:val="center" w:pos="4536"/>
        <w:tab w:val="right" w:pos="9072"/>
      </w:tabs>
    </w:pPr>
    <w:rPr>
      <w:sz w:val="22"/>
      <w:szCs w:val="20"/>
      <w:lang w:val="nb-NO" w:eastAsia="de-DE"/>
    </w:rPr>
  </w:style>
  <w:style w:type="paragraph" w:customStyle="1" w:styleId="Header1">
    <w:name w:val="Header1"/>
    <w:basedOn w:val="Header"/>
    <w:link w:val="HeaderZchnZchn"/>
    <w:rsid w:val="00FA38F7"/>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FA38F7"/>
    <w:rPr>
      <w:rFonts w:ascii="Arial" w:hAnsi="Arial"/>
      <w:b/>
      <w:sz w:val="22"/>
      <w:lang w:val="nb-NO" w:eastAsia="de-DE"/>
    </w:rPr>
  </w:style>
  <w:style w:type="paragraph" w:styleId="NoSpacing">
    <w:name w:val="No Spacing"/>
    <w:qFormat/>
    <w:rsid w:val="00283C19"/>
    <w:pPr>
      <w:jc w:val="both"/>
    </w:pPr>
    <w:rPr>
      <w:rFonts w:ascii="Arial" w:hAnsi="Arial"/>
      <w:sz w:val="22"/>
      <w:lang w:val="nb-NO" w:eastAsia="de-DE"/>
    </w:rPr>
  </w:style>
  <w:style w:type="character" w:customStyle="1" w:styleId="ECCParagraphChar">
    <w:name w:val="ECC Paragraph Char"/>
    <w:link w:val="ECCParagraph"/>
    <w:uiPriority w:val="99"/>
    <w:locked/>
    <w:rsid w:val="00283C19"/>
    <w:rPr>
      <w:rFonts w:ascii="Arial" w:hAnsi="Arial"/>
      <w:szCs w:val="24"/>
      <w:lang w:val="en-GB" w:eastAsia="en-US"/>
    </w:rPr>
  </w:style>
  <w:style w:type="numbering" w:customStyle="1" w:styleId="ECCBullets">
    <w:name w:val="ECC Bullets"/>
    <w:basedOn w:val="NoList"/>
    <w:rsid w:val="00283C19"/>
    <w:pPr>
      <w:numPr>
        <w:numId w:val="15"/>
      </w:numPr>
    </w:pPr>
  </w:style>
  <w:style w:type="paragraph" w:customStyle="1" w:styleId="ED-Note">
    <w:name w:val="ED-Note"/>
    <w:basedOn w:val="ECCParagraph"/>
    <w:rsid w:val="009B0C7C"/>
    <w:pPr>
      <w:ind w:left="1418" w:hanging="1418"/>
    </w:pPr>
    <w:rPr>
      <w:i/>
    </w:rPr>
  </w:style>
  <w:style w:type="character" w:styleId="FollowedHyperlink">
    <w:name w:val="FollowedHyperlink"/>
    <w:basedOn w:val="DefaultParagraphFont"/>
    <w:uiPriority w:val="99"/>
    <w:semiHidden/>
    <w:unhideWhenUsed/>
    <w:rsid w:val="00A61707"/>
    <w:rPr>
      <w:color w:val="800080" w:themeColor="followedHyperlink"/>
      <w:u w:val="single"/>
    </w:rPr>
  </w:style>
  <w:style w:type="paragraph" w:customStyle="1" w:styleId="ECCFiguregraphcentered">
    <w:name w:val="ECC Figure/graph centered"/>
    <w:next w:val="Normal"/>
    <w:qFormat/>
    <w:rsid w:val="0080671A"/>
    <w:pPr>
      <w:spacing w:before="240" w:after="240"/>
      <w:jc w:val="center"/>
    </w:pPr>
    <w:rPr>
      <w:rFonts w:ascii="Arial" w:hAnsi="Arial"/>
      <w:noProof/>
      <w:lang w:val="de-DE" w:eastAsia="de-DE"/>
      <w14:cntxtAlts/>
    </w:rPr>
  </w:style>
  <w:style w:type="character" w:customStyle="1" w:styleId="ECCHLgreen">
    <w:name w:val="ECC HL green"/>
    <w:basedOn w:val="DefaultParagraphFont"/>
    <w:uiPriority w:val="1"/>
    <w:qFormat/>
    <w:rsid w:val="00532589"/>
    <w:rPr>
      <w:bdr w:val="none" w:sz="0" w:space="0" w:color="auto"/>
      <w:shd w:val="solid" w:color="92D050" w:fill="auto"/>
      <w:lang w:val="en-GB"/>
    </w:rPr>
  </w:style>
  <w:style w:type="paragraph" w:customStyle="1" w:styleId="ECCTableHeaderwhitefont">
    <w:name w:val="ECC Table Header white font"/>
    <w:qFormat/>
    <w:rsid w:val="00532589"/>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532589"/>
    <w:pPr>
      <w:spacing w:after="60"/>
      <w:jc w:val="both"/>
    </w:pPr>
    <w:rPr>
      <w:rFonts w:eastAsia="Calibri"/>
      <w:szCs w:val="22"/>
      <w:lang w:val="en-GB"/>
    </w:rPr>
  </w:style>
  <w:style w:type="table" w:customStyle="1" w:styleId="ECCTable-redheader">
    <w:name w:val="ECC Table - red header"/>
    <w:basedOn w:val="TableNormal"/>
    <w:uiPriority w:val="99"/>
    <w:rsid w:val="0053258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Revision">
    <w:name w:val="Revision"/>
    <w:hidden/>
    <w:uiPriority w:val="99"/>
    <w:semiHidden/>
    <w:rsid w:val="00A425E8"/>
    <w:rPr>
      <w:rFonts w:ascii="Arial" w:hAnsi="Arial"/>
      <w:szCs w:val="24"/>
      <w:lang w:val="en-US" w:eastAsia="en-US"/>
    </w:rPr>
  </w:style>
  <w:style w:type="character" w:styleId="UnresolvedMention">
    <w:name w:val="Unresolved Mention"/>
    <w:basedOn w:val="DefaultParagraphFont"/>
    <w:uiPriority w:val="99"/>
    <w:semiHidden/>
    <w:unhideWhenUsed/>
    <w:rsid w:val="008D22B1"/>
    <w:rPr>
      <w:color w:val="605E5C"/>
      <w:shd w:val="clear" w:color="auto" w:fill="E1DFDD"/>
    </w:rPr>
  </w:style>
  <w:style w:type="character" w:customStyle="1" w:styleId="UnresolvedMention1">
    <w:name w:val="Unresolved Mention1"/>
    <w:basedOn w:val="DefaultParagraphFont"/>
    <w:uiPriority w:val="99"/>
    <w:semiHidden/>
    <w:unhideWhenUsed/>
    <w:rsid w:val="00C14720"/>
    <w:rPr>
      <w:color w:val="605E5C"/>
      <w:shd w:val="clear" w:color="auto" w:fill="E1DFDD"/>
    </w:rPr>
  </w:style>
  <w:style w:type="character" w:customStyle="1" w:styleId="BodyTextIndentChar">
    <w:name w:val="Body Text Indent Char"/>
    <w:basedOn w:val="DefaultParagraphFont"/>
    <w:link w:val="BodyTextIndent"/>
    <w:rsid w:val="00604769"/>
    <w:rPr>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76">
      <w:bodyDiv w:val="1"/>
      <w:marLeft w:val="0"/>
      <w:marRight w:val="0"/>
      <w:marTop w:val="0"/>
      <w:marBottom w:val="0"/>
      <w:divBdr>
        <w:top w:val="none" w:sz="0" w:space="0" w:color="auto"/>
        <w:left w:val="none" w:sz="0" w:space="0" w:color="auto"/>
        <w:bottom w:val="none" w:sz="0" w:space="0" w:color="auto"/>
        <w:right w:val="none" w:sz="0" w:space="0" w:color="auto"/>
      </w:divBdr>
    </w:div>
    <w:div w:id="109475877">
      <w:bodyDiv w:val="1"/>
      <w:marLeft w:val="0"/>
      <w:marRight w:val="0"/>
      <w:marTop w:val="0"/>
      <w:marBottom w:val="0"/>
      <w:divBdr>
        <w:top w:val="none" w:sz="0" w:space="0" w:color="auto"/>
        <w:left w:val="none" w:sz="0" w:space="0" w:color="auto"/>
        <w:bottom w:val="none" w:sz="0" w:space="0" w:color="auto"/>
        <w:right w:val="none" w:sz="0" w:space="0" w:color="auto"/>
      </w:divBdr>
    </w:div>
    <w:div w:id="484929129">
      <w:bodyDiv w:val="1"/>
      <w:marLeft w:val="0"/>
      <w:marRight w:val="0"/>
      <w:marTop w:val="0"/>
      <w:marBottom w:val="0"/>
      <w:divBdr>
        <w:top w:val="none" w:sz="0" w:space="0" w:color="auto"/>
        <w:left w:val="none" w:sz="0" w:space="0" w:color="auto"/>
        <w:bottom w:val="none" w:sz="0" w:space="0" w:color="auto"/>
        <w:right w:val="none" w:sz="0" w:space="0" w:color="auto"/>
      </w:divBdr>
    </w:div>
    <w:div w:id="614676003">
      <w:bodyDiv w:val="1"/>
      <w:marLeft w:val="0"/>
      <w:marRight w:val="0"/>
      <w:marTop w:val="0"/>
      <w:marBottom w:val="0"/>
      <w:divBdr>
        <w:top w:val="none" w:sz="0" w:space="0" w:color="auto"/>
        <w:left w:val="none" w:sz="0" w:space="0" w:color="auto"/>
        <w:bottom w:val="none" w:sz="0" w:space="0" w:color="auto"/>
        <w:right w:val="none" w:sz="0" w:space="0" w:color="auto"/>
      </w:divBdr>
    </w:div>
    <w:div w:id="727189106">
      <w:bodyDiv w:val="1"/>
      <w:marLeft w:val="0"/>
      <w:marRight w:val="0"/>
      <w:marTop w:val="0"/>
      <w:marBottom w:val="0"/>
      <w:divBdr>
        <w:top w:val="none" w:sz="0" w:space="0" w:color="auto"/>
        <w:left w:val="none" w:sz="0" w:space="0" w:color="auto"/>
        <w:bottom w:val="none" w:sz="0" w:space="0" w:color="auto"/>
        <w:right w:val="none" w:sz="0" w:space="0" w:color="auto"/>
      </w:divBdr>
    </w:div>
    <w:div w:id="1127163171">
      <w:bodyDiv w:val="1"/>
      <w:marLeft w:val="0"/>
      <w:marRight w:val="0"/>
      <w:marTop w:val="0"/>
      <w:marBottom w:val="0"/>
      <w:divBdr>
        <w:top w:val="none" w:sz="0" w:space="0" w:color="auto"/>
        <w:left w:val="none" w:sz="0" w:space="0" w:color="auto"/>
        <w:bottom w:val="none" w:sz="0" w:space="0" w:color="auto"/>
        <w:right w:val="none" w:sz="0" w:space="0" w:color="auto"/>
      </w:divBdr>
    </w:div>
    <w:div w:id="1881896150">
      <w:bodyDiv w:val="1"/>
      <w:marLeft w:val="0"/>
      <w:marRight w:val="0"/>
      <w:marTop w:val="0"/>
      <w:marBottom w:val="0"/>
      <w:divBdr>
        <w:top w:val="none" w:sz="0" w:space="0" w:color="auto"/>
        <w:left w:val="none" w:sz="0" w:space="0" w:color="auto"/>
        <w:bottom w:val="none" w:sz="0" w:space="0" w:color="auto"/>
        <w:right w:val="none" w:sz="0" w:space="0" w:color="auto"/>
      </w:divBdr>
    </w:div>
    <w:div w:id="202527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rcabc.europa.eu/sd/d/3958ecef-c25e-4e4f-8e3b-469d1db6bc07/RSPG13-538_RSPG-Opinion-on-LSA%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F010-E714-429E-BC64-5A8E9304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43493</CharactersWithSpaces>
  <SharedDoc>false</SharedDoc>
  <HLinks>
    <vt:vector size="66" baseType="variant">
      <vt:variant>
        <vt:i4>3604605</vt:i4>
      </vt:variant>
      <vt:variant>
        <vt:i4>219</vt:i4>
      </vt:variant>
      <vt:variant>
        <vt:i4>0</vt:i4>
      </vt:variant>
      <vt:variant>
        <vt:i4>5</vt:i4>
      </vt:variant>
      <vt:variant>
        <vt:lpwstr>https://docdb.cept.org/document/311</vt:lpwstr>
      </vt:variant>
      <vt:variant>
        <vt:lpwstr/>
      </vt:variant>
      <vt:variant>
        <vt:i4>3473526</vt:i4>
      </vt:variant>
      <vt:variant>
        <vt:i4>216</vt:i4>
      </vt:variant>
      <vt:variant>
        <vt:i4>0</vt:i4>
      </vt:variant>
      <vt:variant>
        <vt:i4>5</vt:i4>
      </vt:variant>
      <vt:variant>
        <vt:lpwstr>https://docdb.cept.org/document/838</vt:lpwstr>
      </vt:variant>
      <vt:variant>
        <vt:lpwstr/>
      </vt:variant>
      <vt:variant>
        <vt:i4>3604605</vt:i4>
      </vt:variant>
      <vt:variant>
        <vt:i4>213</vt:i4>
      </vt:variant>
      <vt:variant>
        <vt:i4>0</vt:i4>
      </vt:variant>
      <vt:variant>
        <vt:i4>5</vt:i4>
      </vt:variant>
      <vt:variant>
        <vt:lpwstr>https://docdb.cept.org/document/310</vt:lpwstr>
      </vt:variant>
      <vt:variant>
        <vt:lpwstr/>
      </vt:variant>
      <vt:variant>
        <vt:i4>65601</vt:i4>
      </vt:variant>
      <vt:variant>
        <vt:i4>210</vt:i4>
      </vt:variant>
      <vt:variant>
        <vt:i4>0</vt:i4>
      </vt:variant>
      <vt:variant>
        <vt:i4>5</vt:i4>
      </vt:variant>
      <vt:variant>
        <vt:lpwstr>https://docdb.cept.org/document/9067</vt:lpwstr>
      </vt:variant>
      <vt:variant>
        <vt:lpwstr/>
      </vt:variant>
      <vt:variant>
        <vt:i4>3407997</vt:i4>
      </vt:variant>
      <vt:variant>
        <vt:i4>207</vt:i4>
      </vt:variant>
      <vt:variant>
        <vt:i4>0</vt:i4>
      </vt:variant>
      <vt:variant>
        <vt:i4>5</vt:i4>
      </vt:variant>
      <vt:variant>
        <vt:lpwstr>https://docdb.cept.org/document/323</vt:lpwstr>
      </vt:variant>
      <vt:variant>
        <vt:lpwstr/>
      </vt:variant>
      <vt:variant>
        <vt:i4>4063356</vt:i4>
      </vt:variant>
      <vt:variant>
        <vt:i4>204</vt:i4>
      </vt:variant>
      <vt:variant>
        <vt:i4>0</vt:i4>
      </vt:variant>
      <vt:variant>
        <vt:i4>5</vt:i4>
      </vt:variant>
      <vt:variant>
        <vt:lpwstr>https://docdb.cept.org/document/280</vt:lpwstr>
      </vt:variant>
      <vt:variant>
        <vt:lpwstr/>
      </vt:variant>
      <vt:variant>
        <vt:i4>3604605</vt:i4>
      </vt:variant>
      <vt:variant>
        <vt:i4>201</vt:i4>
      </vt:variant>
      <vt:variant>
        <vt:i4>0</vt:i4>
      </vt:variant>
      <vt:variant>
        <vt:i4>5</vt:i4>
      </vt:variant>
      <vt:variant>
        <vt:lpwstr>https://docdb.cept.org/document/312</vt:lpwstr>
      </vt:variant>
      <vt:variant>
        <vt:lpwstr/>
      </vt:variant>
      <vt:variant>
        <vt:i4>6488084</vt:i4>
      </vt:variant>
      <vt:variant>
        <vt:i4>198</vt:i4>
      </vt:variant>
      <vt:variant>
        <vt:i4>0</vt:i4>
      </vt:variant>
      <vt:variant>
        <vt:i4>5</vt:i4>
      </vt:variant>
      <vt:variant>
        <vt:lpwstr>https://circabc.europa.eu/sd/d/3958ecef-c25e-4e4f-8e3b-469d1db6bc07/RSPG13-538_RSPG-Opinion-on-LSA .pdf</vt:lpwstr>
      </vt:variant>
      <vt:variant>
        <vt:lpwstr/>
      </vt:variant>
      <vt:variant>
        <vt:i4>589897</vt:i4>
      </vt:variant>
      <vt:variant>
        <vt:i4>195</vt:i4>
      </vt:variant>
      <vt:variant>
        <vt:i4>0</vt:i4>
      </vt:variant>
      <vt:variant>
        <vt:i4>5</vt:i4>
      </vt:variant>
      <vt:variant>
        <vt:lpwstr>https://docdb.cept.org/document/28576</vt:lpwstr>
      </vt:variant>
      <vt:variant>
        <vt:lpwstr/>
      </vt:variant>
      <vt:variant>
        <vt:i4>3604603</vt:i4>
      </vt:variant>
      <vt:variant>
        <vt:i4>192</vt:i4>
      </vt:variant>
      <vt:variant>
        <vt:i4>0</vt:i4>
      </vt:variant>
      <vt:variant>
        <vt:i4>5</vt:i4>
      </vt:variant>
      <vt:variant>
        <vt:lpwstr>https://docdb.cept.org/document/512</vt:lpwstr>
      </vt:variant>
      <vt:variant>
        <vt:lpwstr/>
      </vt:variant>
      <vt:variant>
        <vt:i4>2949226</vt:i4>
      </vt:variant>
      <vt:variant>
        <vt:i4>84</vt:i4>
      </vt:variant>
      <vt:variant>
        <vt:i4>0</vt:i4>
      </vt:variant>
      <vt:variant>
        <vt:i4>5</vt:i4>
      </vt:variant>
      <vt:variant>
        <vt:lpwstr>https://docdb.cept.org/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cp:lastModifiedBy>Anne-Dorthe</cp:lastModifiedBy>
  <cp:revision>3</cp:revision>
  <dcterms:created xsi:type="dcterms:W3CDTF">2023-03-16T09:50:00Z</dcterms:created>
  <dcterms:modified xsi:type="dcterms:W3CDTF">2023-03-17T10:56:00Z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2022-11-22T16:02:49Z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74c31878-4839-4456-9dc5-5e885c18f9e7</vt:lpwstr>
  </property>
  <property fmtid="{D5CDD505-2E9C-101B-9397-08002B2CF9AE}" pid="8" name="MSIP_Label_5a50d26f-5c2c-4137-8396-1b24eb24286c_ContentBits">
    <vt:lpwstr>0</vt:lpwstr>
  </property>
</Properties>
</file>