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F6EC" w14:textId="77777777" w:rsidR="006C03D0" w:rsidRDefault="006C03D0"/>
    <w:p w14:paraId="4A8261A6" w14:textId="77777777" w:rsidR="006C03D0" w:rsidRPr="0010769E" w:rsidRDefault="006C03D0" w:rsidP="006C03D0">
      <w:pPr>
        <w:jc w:val="center"/>
      </w:pPr>
    </w:p>
    <w:p w14:paraId="06E8F3B4" w14:textId="77777777" w:rsidR="006C03D0" w:rsidRPr="0010769E" w:rsidRDefault="006C03D0" w:rsidP="006C03D0">
      <w:pPr>
        <w:jc w:val="center"/>
      </w:pPr>
    </w:p>
    <w:p w14:paraId="31D9F511" w14:textId="77777777" w:rsidR="006C03D0" w:rsidRPr="0010769E" w:rsidRDefault="006C03D0" w:rsidP="006C03D0"/>
    <w:p w14:paraId="119B5B41" w14:textId="77777777" w:rsidR="006C03D0" w:rsidRPr="0010769E" w:rsidRDefault="006C03D0" w:rsidP="006C03D0"/>
    <w:p w14:paraId="10088A6F" w14:textId="77777777" w:rsidR="006C03D0" w:rsidRPr="0010769E" w:rsidRDefault="007C6571" w:rsidP="006C03D0">
      <w:pPr>
        <w:jc w:val="center"/>
        <w:rPr>
          <w:b/>
          <w:sz w:val="24"/>
        </w:rPr>
      </w:pPr>
      <w:r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38857F" wp14:editId="34661CDF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540000" rIns="7200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23B65" w14:textId="77777777" w:rsidR="00211C1D" w:rsidRPr="00FE1795" w:rsidRDefault="00211C1D" w:rsidP="006C03D0">
                              <w:pPr>
                                <w:rPr>
                                  <w:color w:val="57433E"/>
                                  <w:sz w:val="68"/>
                                </w:rPr>
                              </w:pPr>
                              <w:r w:rsidRPr="00FE1795">
                                <w:rPr>
                                  <w:color w:val="FFFFFF"/>
                                  <w:sz w:val="68"/>
                                </w:rPr>
                                <w:t xml:space="preserve">ECC Decision </w:t>
                              </w:r>
                              <w:r w:rsidRPr="001E2FAA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05</w:t>
                              </w:r>
                              <w:r w:rsidRPr="001E2FAA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2880000" tIns="540000" rIns="72000" bIns="45720" anchor="t" anchorCtr="0" upright="1">
                          <a:noAutofit/>
                        </wps:bodyPr>
                      </wps:wsp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1739" y="3125"/>
                            <a:ext cx="1735" cy="1735"/>
                            <a:chOff x="954" y="3125"/>
                            <a:chExt cx="1735" cy="1735"/>
                          </a:xfrm>
                        </wpg:grpSpPr>
                        <wps:wsp>
                          <wps:cNvPr id="8" name="Rectangle 24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54" y="3125"/>
                              <a:ext cx="1735" cy="1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  <wps:wsp>
                          <wps:cNvPr id="9" name="Rectangle 25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1241" y="3444"/>
                              <a:ext cx="1126" cy="1126"/>
                            </a:xfrm>
                            <a:prstGeom prst="rect">
                              <a:avLst/>
                            </a:prstGeom>
                            <a:solidFill>
                              <a:srgbClr val="5743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8857F" id="Group 28" o:spid="_x0000_s1026" style="position:absolute;left:0;text-align:left;margin-left:-56.7pt;margin-top:5.5pt;width:595.6pt;height:651.1pt;z-index:251658240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" fillcolor="#d2232a" stroked="f">
                  <v:textbox inset=",15mm,2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" fillcolor="#d2232a" stroked="f">
                  <v:textbox inset="80mm,15mm,2mm">
                    <w:txbxContent>
                      <w:p w14:paraId="6BE23B65" w14:textId="77777777" w:rsidR="00211C1D" w:rsidRPr="00FE1795" w:rsidRDefault="00211C1D" w:rsidP="006C03D0">
                        <w:pPr>
                          <w:rPr>
                            <w:color w:val="57433E"/>
                            <w:sz w:val="68"/>
                          </w:rPr>
                        </w:pPr>
                        <w:r w:rsidRPr="00FE1795">
                          <w:rPr>
                            <w:color w:val="FFFFFF"/>
                            <w:sz w:val="68"/>
                          </w:rPr>
                          <w:t xml:space="preserve">ECC Decision </w:t>
                        </w:r>
                        <w:r w:rsidRPr="001E2FAA">
                          <w:rPr>
                            <w:color w:val="887E6E"/>
                            <w:sz w:val="68"/>
                          </w:rPr>
                          <w:t>(</w:t>
                        </w:r>
                        <w:r>
                          <w:rPr>
                            <w:color w:val="887E6E"/>
                            <w:sz w:val="68"/>
                          </w:rPr>
                          <w:t>05</w:t>
                        </w:r>
                        <w:r w:rsidRPr="001E2FAA">
                          <w:rPr>
                            <w:color w:val="887E6E"/>
                            <w:sz w:val="68"/>
                          </w:rPr>
                          <w:t>)</w:t>
                        </w:r>
                        <w:r>
                          <w:rPr>
                            <w:color w:val="887E6E"/>
                            <w:sz w:val="68"/>
                          </w:rPr>
                          <w:t>08</w:t>
                        </w:r>
                      </w:p>
                    </w:txbxContent>
                  </v:textbox>
                </v:shape>
                <v:group id="Group 26" o:spid="_x0000_s1029" style="position:absolute;left:1739;top:3125;width:1735;height:1735" coordorigin="954,3125" coordsize="1735,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4" o:spid="_x0000_s1030" style="position:absolute;left:954;top:3125;width:1735;height:1735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" stroked="f">
                    <o:lock v:ext="edit" aspectratio="t"/>
                    <v:textbox inset=",15mm,2mm"/>
                  </v:rect>
                  <v:rect id="Rectangle 25" o:spid="_x0000_s1031" style="position:absolute;left:1241;top:3444;width:1126;height:1126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" fillcolor="#57433e" stroked="f">
                    <o:lock v:ext="edit" aspectratio="t"/>
                    <v:textbox inset=",15mm,2mm"/>
                  </v:rect>
                </v:group>
              </v:group>
            </w:pict>
          </mc:Fallback>
        </mc:AlternateContent>
      </w:r>
    </w:p>
    <w:p w14:paraId="610D7F62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5DDCCFCE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7B1CFFAD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22899AFE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140BC197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220E83FE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21EA5B5A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36BF4863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6348DCBF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7D4982F8" w14:textId="77777777" w:rsidR="006C03D0" w:rsidRPr="0010769E" w:rsidRDefault="006C03D0" w:rsidP="006C03D0">
      <w:pPr>
        <w:jc w:val="center"/>
        <w:rPr>
          <w:b/>
          <w:sz w:val="24"/>
        </w:rPr>
      </w:pPr>
    </w:p>
    <w:p w14:paraId="08326067" w14:textId="77777777" w:rsidR="006C03D0" w:rsidRPr="0010769E" w:rsidRDefault="006C03D0" w:rsidP="006C03D0">
      <w:pPr>
        <w:rPr>
          <w:b/>
          <w:sz w:val="24"/>
        </w:rPr>
      </w:pPr>
    </w:p>
    <w:p w14:paraId="05184CA8" w14:textId="4D6330E1" w:rsidR="00A938FC" w:rsidRPr="005A00E5" w:rsidRDefault="00A938FC" w:rsidP="00A938FC">
      <w:pPr>
        <w:pStyle w:val="Reporttitledescription"/>
        <w:rPr>
          <w:color w:val="auto"/>
        </w:rPr>
      </w:pPr>
      <w:r>
        <w:rPr>
          <w:color w:val="auto"/>
        </w:rPr>
        <w:fldChar w:fldCharType="begin">
          <w:ffData>
            <w:name w:val="Text7"/>
            <w:enabled/>
            <w:calcOnExit w:val="0"/>
            <w:textInput>
              <w:default w:val="The availability of frequency bands for high density applications in the Fixed-Satellite Service (space-to-Earth and Earth-to-space)"/>
            </w:textInput>
          </w:ffData>
        </w:fldChar>
      </w:r>
      <w:bookmarkStart w:id="0" w:name="Text7"/>
      <w:r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>
        <w:rPr>
          <w:noProof/>
          <w:color w:val="auto"/>
        </w:rPr>
        <w:t>The availability of frequency bands for high density applications in the Fixed-Satellite Service (space-to-Earth and Earth-to-space)</w:t>
      </w:r>
      <w:r>
        <w:rPr>
          <w:color w:val="auto"/>
        </w:rPr>
        <w:fldChar w:fldCharType="end"/>
      </w:r>
      <w:bookmarkEnd w:id="0"/>
      <w:r w:rsidRPr="005A00E5">
        <w:rPr>
          <w:color w:val="auto"/>
        </w:rPr>
        <w:t xml:space="preserve"> </w:t>
      </w:r>
    </w:p>
    <w:p w14:paraId="10417B63" w14:textId="6841E5E4" w:rsidR="00A938FC" w:rsidRPr="005A00E5" w:rsidRDefault="0028182A" w:rsidP="00A938FC">
      <w:pPr>
        <w:pStyle w:val="Reporttitledescription"/>
        <w:rPr>
          <w:b/>
          <w:color w:val="auto"/>
          <w:sz w:val="18"/>
        </w:rPr>
      </w:pPr>
      <w:r>
        <w:rPr>
          <w:b/>
          <w:color w:val="auto"/>
          <w:sz w:val="18"/>
        </w:rPr>
        <w:fldChar w:fldCharType="begin">
          <w:ffData>
            <w:name w:val="Text8"/>
            <w:enabled/>
            <w:calcOnExit w:val="0"/>
            <w:textInput>
              <w:default w:val="approved 24 June 2005"/>
            </w:textInput>
          </w:ffData>
        </w:fldChar>
      </w:r>
      <w:bookmarkStart w:id="1" w:name="Text8"/>
      <w:r>
        <w:rPr>
          <w:b/>
          <w:color w:val="auto"/>
          <w:sz w:val="18"/>
        </w:rPr>
        <w:instrText xml:space="preserve"> FORMTEXT </w:instrText>
      </w:r>
      <w:r>
        <w:rPr>
          <w:b/>
          <w:color w:val="auto"/>
          <w:sz w:val="18"/>
        </w:rPr>
      </w:r>
      <w:r>
        <w:rPr>
          <w:b/>
          <w:color w:val="auto"/>
          <w:sz w:val="18"/>
        </w:rPr>
        <w:fldChar w:fldCharType="separate"/>
      </w:r>
      <w:r>
        <w:rPr>
          <w:b/>
          <w:noProof/>
          <w:color w:val="auto"/>
          <w:sz w:val="18"/>
        </w:rPr>
        <w:t>approved 24 June 2005</w:t>
      </w:r>
      <w:r>
        <w:rPr>
          <w:b/>
          <w:color w:val="auto"/>
          <w:sz w:val="18"/>
        </w:rPr>
        <w:fldChar w:fldCharType="end"/>
      </w:r>
      <w:bookmarkEnd w:id="1"/>
    </w:p>
    <w:p w14:paraId="3B273AD7" w14:textId="524AB0F5" w:rsidR="00A938FC" w:rsidRPr="006F5865" w:rsidRDefault="00810BA2" w:rsidP="00A938FC">
      <w:pPr>
        <w:pStyle w:val="Lastupdated"/>
        <w:rPr>
          <w:bCs w:val="0"/>
        </w:rPr>
      </w:pPr>
      <w:r w:rsidRPr="006F5865">
        <w:rPr>
          <w:bCs w:val="0"/>
        </w:rPr>
        <w:fldChar w:fldCharType="begin">
          <w:ffData>
            <w:name w:val="Text3"/>
            <w:enabled/>
            <w:calcOnExit w:val="0"/>
            <w:textInput>
              <w:default w:val="latest amended on 18 November 2022 "/>
            </w:textInput>
          </w:ffData>
        </w:fldChar>
      </w:r>
      <w:bookmarkStart w:id="2" w:name="Text3"/>
      <w:r w:rsidRPr="006F5865">
        <w:rPr>
          <w:bCs w:val="0"/>
        </w:rPr>
        <w:instrText xml:space="preserve"> FORMTEXT </w:instrText>
      </w:r>
      <w:r w:rsidRPr="006F5865">
        <w:rPr>
          <w:bCs w:val="0"/>
        </w:rPr>
      </w:r>
      <w:r w:rsidRPr="006F5865">
        <w:rPr>
          <w:bCs w:val="0"/>
        </w:rPr>
        <w:fldChar w:fldCharType="separate"/>
      </w:r>
      <w:r w:rsidRPr="006F5865">
        <w:rPr>
          <w:bCs w:val="0"/>
          <w:noProof/>
        </w:rPr>
        <w:t xml:space="preserve">latest amended on 18 November 2022 </w:t>
      </w:r>
      <w:r w:rsidRPr="006F5865">
        <w:rPr>
          <w:bCs w:val="0"/>
        </w:rPr>
        <w:fldChar w:fldCharType="end"/>
      </w:r>
      <w:bookmarkEnd w:id="2"/>
    </w:p>
    <w:p w14:paraId="6B091495" w14:textId="77777777" w:rsidR="00A938FC" w:rsidRPr="00072B81" w:rsidRDefault="00A938FC" w:rsidP="00A938FC">
      <w:pPr>
        <w:pStyle w:val="Lastupdated"/>
        <w:rPr>
          <w:b/>
        </w:rPr>
      </w:pPr>
    </w:p>
    <w:p w14:paraId="11F355C3" w14:textId="313D8E4B" w:rsidR="006C03D0" w:rsidRPr="001822F6" w:rsidRDefault="006C03D0" w:rsidP="006C03D0">
      <w:pPr>
        <w:pStyle w:val="Lastupdated"/>
        <w:rPr>
          <w:b/>
        </w:rPr>
      </w:pPr>
    </w:p>
    <w:p w14:paraId="3F2DDF99" w14:textId="77777777" w:rsidR="006C03D0" w:rsidRDefault="005B74E4" w:rsidP="000E165B">
      <w:pPr>
        <w:pStyle w:val="Heading1"/>
      </w:pPr>
      <w:r>
        <w:lastRenderedPageBreak/>
        <w:t>explanatory memorandum</w:t>
      </w:r>
    </w:p>
    <w:p w14:paraId="5DE7CE8A" w14:textId="77777777" w:rsidR="006C03D0" w:rsidRDefault="005B74E4" w:rsidP="00F22238">
      <w:pPr>
        <w:pStyle w:val="Heading2"/>
      </w:pPr>
      <w:r>
        <w:t>INTRODUCTION</w:t>
      </w:r>
    </w:p>
    <w:p w14:paraId="20EB7BCC" w14:textId="77777777" w:rsidR="006C03D0" w:rsidRPr="00FE1795" w:rsidRDefault="005B74E4" w:rsidP="006C03D0">
      <w:pPr>
        <w:pStyle w:val="ECCParagraph"/>
      </w:pPr>
      <w:r w:rsidRPr="00AC5B70">
        <w:t>This ECC Decision deals with frequency bands for high density applications in the fixed-satellite service (HDFSS) (space-to-Earth and Earth-to-space) in relation to the requirements and priorities of CEPT administrations</w:t>
      </w:r>
      <w:r>
        <w:t>.</w:t>
      </w:r>
    </w:p>
    <w:p w14:paraId="04F8F7A9" w14:textId="77777777" w:rsidR="006C03D0" w:rsidRDefault="005F7AD5" w:rsidP="00F22238">
      <w:pPr>
        <w:pStyle w:val="Heading2"/>
      </w:pPr>
      <w:r>
        <w:t xml:space="preserve">BACKGROUND </w:t>
      </w:r>
    </w:p>
    <w:p w14:paraId="5E41CADC" w14:textId="77777777" w:rsidR="005B74E4" w:rsidRPr="00AC5B70" w:rsidRDefault="005B74E4" w:rsidP="00F41997">
      <w:pPr>
        <w:spacing w:before="240" w:after="60"/>
        <w:jc w:val="both"/>
      </w:pPr>
      <w:r w:rsidRPr="00AC5B70">
        <w:t xml:space="preserve">Satellite systems are a key medium for delivery of future telecommunication services enabling broadband communication to rapidly be established over wide areas. </w:t>
      </w:r>
      <w:r>
        <w:t>P</w:t>
      </w:r>
      <w:r w:rsidRPr="00AC5B70">
        <w:t>roposals for systems in the fixed-satellite service FSS indicate that large numbers of user terminals are intended to be deployed on a basis for direct customer access in some frequency bands.</w:t>
      </w:r>
    </w:p>
    <w:p w14:paraId="1D104A2B" w14:textId="77777777" w:rsidR="005B74E4" w:rsidRDefault="005B74E4" w:rsidP="00F41997">
      <w:pPr>
        <w:spacing w:before="240" w:after="60"/>
        <w:jc w:val="both"/>
      </w:pPr>
      <w:r w:rsidRPr="00AC5B70">
        <w:t>Within the ITU, such concept of large number of user terminals has been named “High-density fixed satellite service” (HDFSS). It is expected to provide access to a wide range of broadband telecommunication applications supported by fixed telecommunication networks (including the Internet), and thus will complement other telecommunication systems, helping at reducing the digital divide.</w:t>
      </w:r>
    </w:p>
    <w:p w14:paraId="14FA0AD9" w14:textId="77777777" w:rsidR="003C7156" w:rsidRDefault="003C7156" w:rsidP="00F41997">
      <w:pPr>
        <w:spacing w:before="240" w:after="60"/>
        <w:jc w:val="both"/>
      </w:pPr>
      <w:r>
        <w:t>HDFSS earth stations would be considered as uncoordinated earth stations within CEPT’s regulatory framework.</w:t>
      </w:r>
    </w:p>
    <w:p w14:paraId="37C94309" w14:textId="3866C4B1" w:rsidR="005B74E4" w:rsidRPr="00AC5B70" w:rsidRDefault="005B74E4" w:rsidP="00F41997">
      <w:pPr>
        <w:spacing w:before="240" w:after="60"/>
        <w:jc w:val="both"/>
      </w:pPr>
      <w:r w:rsidRPr="00AC5B70">
        <w:t xml:space="preserve">WRC-03 identified </w:t>
      </w:r>
      <w:proofErr w:type="gramStart"/>
      <w:r w:rsidRPr="00AC5B70">
        <w:t>a number of</w:t>
      </w:r>
      <w:proofErr w:type="gramEnd"/>
      <w:r w:rsidRPr="00AC5B70">
        <w:t xml:space="preserve"> frequency bands for high-density applications in the fixed satellite service (HDFSS) through No. </w:t>
      </w:r>
      <w:r w:rsidRPr="00272547">
        <w:rPr>
          <w:bCs/>
        </w:rPr>
        <w:t>5.516B</w:t>
      </w:r>
      <w:r w:rsidRPr="00AC5B70">
        <w:t xml:space="preserve"> and also adopted RESOLUTION 143 (WRC-03) providing “Guidelines for the implementation of high-density applications in the fixed-satellite service in frequency bands identified for these applications.”</w:t>
      </w:r>
      <w:r w:rsidR="00E81D12">
        <w:t xml:space="preserve"> </w:t>
      </w:r>
      <w:r w:rsidR="00E81D12">
        <w:fldChar w:fldCharType="begin"/>
      </w:r>
      <w:r w:rsidR="00E81D12">
        <w:instrText xml:space="preserve"> REF _Ref106178682 \r \h </w:instrText>
      </w:r>
      <w:r w:rsidR="00E81D12">
        <w:fldChar w:fldCharType="separate"/>
      </w:r>
      <w:r w:rsidR="00830EE1">
        <w:t>[1]</w:t>
      </w:r>
      <w:r w:rsidR="00E81D12">
        <w:fldChar w:fldCharType="end"/>
      </w:r>
    </w:p>
    <w:p w14:paraId="6C59398E" w14:textId="3C6D0A86" w:rsidR="00DC3362" w:rsidRDefault="005B74E4" w:rsidP="00F41997">
      <w:pPr>
        <w:tabs>
          <w:tab w:val="left" w:pos="360"/>
        </w:tabs>
        <w:spacing w:before="240" w:after="60"/>
        <w:jc w:val="both"/>
      </w:pPr>
      <w:r w:rsidRPr="00AC5B70">
        <w:t xml:space="preserve">Among the bands covered by this Decision, the bands 17.3-17.7 GHz, 19.7-20.2 </w:t>
      </w:r>
      <w:proofErr w:type="gramStart"/>
      <w:r w:rsidRPr="00AC5B70">
        <w:t>GHz</w:t>
      </w:r>
      <w:proofErr w:type="gramEnd"/>
      <w:r w:rsidRPr="00AC5B70">
        <w:t xml:space="preserve"> and 29.50-30 GHz are not allocated to any terrestrial service on a primary basis</w:t>
      </w:r>
      <w:r w:rsidR="00DC3362">
        <w:t>.</w:t>
      </w:r>
    </w:p>
    <w:p w14:paraId="3601F479" w14:textId="441936D6" w:rsidR="005B74E4" w:rsidRPr="00AC5B70" w:rsidRDefault="00DC3362" w:rsidP="00F41997">
      <w:pPr>
        <w:tabs>
          <w:tab w:val="left" w:pos="360"/>
        </w:tabs>
        <w:spacing w:before="240" w:after="60"/>
        <w:jc w:val="both"/>
      </w:pPr>
      <w:r w:rsidRPr="00F05DD1">
        <w:t xml:space="preserve">Other bands </w:t>
      </w:r>
      <w:r>
        <w:t xml:space="preserve">than those covered by this Decision </w:t>
      </w:r>
      <w:r w:rsidRPr="00F05DD1">
        <w:t xml:space="preserve">are also available for HDFSS applications </w:t>
      </w:r>
      <w:r>
        <w:t xml:space="preserve">in the Radio Regulations in Region 1. Those bands are designated for </w:t>
      </w:r>
      <w:r w:rsidRPr="00861B35">
        <w:t>uncoordinated earth stations</w:t>
      </w:r>
      <w:r w:rsidRPr="00F05DD1">
        <w:t xml:space="preserve"> </w:t>
      </w:r>
      <w:r>
        <w:t>in</w:t>
      </w:r>
      <w:r w:rsidRPr="00F05DD1">
        <w:t xml:space="preserve"> other </w:t>
      </w:r>
      <w:r>
        <w:t>ECC</w:t>
      </w:r>
      <w:r w:rsidRPr="00F05DD1">
        <w:t xml:space="preserve"> Decisions, in particular: (a)</w:t>
      </w:r>
      <w:r w:rsidR="005B74E4" w:rsidRPr="00AC5B70">
        <w:t xml:space="preserve"> the band 39.5-40.5 GHz, while also allocated in the Radio Regulations to terrestrial services on a primary basis, has been designated for </w:t>
      </w:r>
      <w:r w:rsidR="006464FD" w:rsidRPr="00F05DD1">
        <w:t xml:space="preserve">uncoordinated </w:t>
      </w:r>
      <w:r w:rsidR="005B74E4" w:rsidRPr="00AC5B70">
        <w:t xml:space="preserve">FSS </w:t>
      </w:r>
      <w:r w:rsidR="006464FD" w:rsidRPr="00F05DD1">
        <w:t xml:space="preserve">earth stations </w:t>
      </w:r>
      <w:r w:rsidR="005B74E4" w:rsidRPr="00AC5B70">
        <w:t xml:space="preserve">(space-to-Earth) within CEPT through </w:t>
      </w:r>
      <w:bookmarkStart w:id="3" w:name="_Hlk106087651"/>
      <w:r w:rsidR="005B74E4" w:rsidRPr="00AC5B70">
        <w:t>ERC</w:t>
      </w:r>
      <w:r w:rsidR="009A56BA">
        <w:t xml:space="preserve"> </w:t>
      </w:r>
      <w:r w:rsidR="005B74E4" w:rsidRPr="00AC5B70">
        <w:t>D</w:t>
      </w:r>
      <w:r w:rsidR="009A56BA">
        <w:t xml:space="preserve">ecision </w:t>
      </w:r>
      <w:r w:rsidR="005B74E4" w:rsidRPr="00AC5B70">
        <w:t>(00)02</w:t>
      </w:r>
      <w:bookmarkEnd w:id="3"/>
      <w:r w:rsidR="008019D2">
        <w:t xml:space="preserve"> </w:t>
      </w:r>
      <w:r w:rsidR="009A56BA">
        <w:fldChar w:fldCharType="begin"/>
      </w:r>
      <w:r w:rsidR="009A56BA">
        <w:instrText xml:space="preserve"> REF _Ref106178897 \r \h </w:instrText>
      </w:r>
      <w:r w:rsidR="009A56BA">
        <w:fldChar w:fldCharType="separate"/>
      </w:r>
      <w:r w:rsidR="00830EE1">
        <w:t>[2]</w:t>
      </w:r>
      <w:r w:rsidR="009A56BA">
        <w:fldChar w:fldCharType="end"/>
      </w:r>
      <w:r w:rsidR="005B74E4" w:rsidRPr="00AC5B70">
        <w:t xml:space="preserve">; and </w:t>
      </w:r>
      <w:r w:rsidR="006464FD" w:rsidRPr="00F05DD1">
        <w:t xml:space="preserve">(b) the band </w:t>
      </w:r>
      <w:r w:rsidR="006464FD" w:rsidRPr="00F05DD1">
        <w:rPr>
          <w:rFonts w:cs="Arial"/>
          <w:bCs/>
          <w:szCs w:val="18"/>
        </w:rPr>
        <w:t xml:space="preserve">48.2-50.2 GHz has been designated for uncoordinated FSS earth stations (Earth-to-space) within CEPT through </w:t>
      </w:r>
      <w:r w:rsidR="00DA529A">
        <w:t>ECC Decision</w:t>
      </w:r>
      <w:r w:rsidR="00DA529A" w:rsidRPr="00F05DD1">
        <w:rPr>
          <w:rFonts w:cs="Arial"/>
          <w:bCs/>
          <w:szCs w:val="18"/>
        </w:rPr>
        <w:t xml:space="preserve"> </w:t>
      </w:r>
      <w:r w:rsidR="006464FD" w:rsidRPr="00F05DD1">
        <w:rPr>
          <w:rFonts w:cs="Arial"/>
          <w:bCs/>
          <w:szCs w:val="18"/>
        </w:rPr>
        <w:t>(21)01</w:t>
      </w:r>
      <w:r w:rsidR="00546DA0">
        <w:rPr>
          <w:rFonts w:cs="Arial"/>
          <w:bCs/>
          <w:szCs w:val="18"/>
        </w:rPr>
        <w:t xml:space="preserve"> </w:t>
      </w:r>
      <w:r w:rsidR="00602A4B">
        <w:rPr>
          <w:rFonts w:cs="Arial"/>
          <w:bCs/>
          <w:szCs w:val="18"/>
        </w:rPr>
        <w:fldChar w:fldCharType="begin"/>
      </w:r>
      <w:r w:rsidR="00602A4B">
        <w:rPr>
          <w:rFonts w:cs="Arial"/>
          <w:bCs/>
          <w:szCs w:val="18"/>
        </w:rPr>
        <w:instrText xml:space="preserve"> REF _Ref106097148 \r \h </w:instrText>
      </w:r>
      <w:r w:rsidR="00602A4B">
        <w:rPr>
          <w:rFonts w:cs="Arial"/>
          <w:bCs/>
          <w:szCs w:val="18"/>
        </w:rPr>
      </w:r>
      <w:r w:rsidR="00602A4B">
        <w:rPr>
          <w:rFonts w:cs="Arial"/>
          <w:bCs/>
          <w:szCs w:val="18"/>
        </w:rPr>
        <w:fldChar w:fldCharType="separate"/>
      </w:r>
      <w:r w:rsidR="00830EE1">
        <w:rPr>
          <w:rFonts w:cs="Arial"/>
          <w:bCs/>
          <w:szCs w:val="18"/>
        </w:rPr>
        <w:t>[3]</w:t>
      </w:r>
      <w:r w:rsidR="00602A4B">
        <w:rPr>
          <w:rFonts w:cs="Arial"/>
          <w:bCs/>
          <w:szCs w:val="18"/>
        </w:rPr>
        <w:fldChar w:fldCharType="end"/>
      </w:r>
      <w:r w:rsidR="006464FD">
        <w:rPr>
          <w:rFonts w:cs="Arial"/>
          <w:bCs/>
          <w:szCs w:val="18"/>
        </w:rPr>
        <w:t>.</w:t>
      </w:r>
    </w:p>
    <w:p w14:paraId="71333F9C" w14:textId="6445E2A8" w:rsidR="005B74E4" w:rsidRDefault="005B74E4" w:rsidP="00F41997">
      <w:pPr>
        <w:spacing w:before="240" w:after="60"/>
        <w:jc w:val="both"/>
      </w:pPr>
      <w:r w:rsidRPr="00AC5B70">
        <w:t xml:space="preserve">Due to the specific sharing situation of the 27.5-29.5 GHz band this band, also partly identified for HDFSS by WRC-03 through No. </w:t>
      </w:r>
      <w:r w:rsidRPr="00272547">
        <w:rPr>
          <w:bCs/>
        </w:rPr>
        <w:t>5.516B</w:t>
      </w:r>
      <w:r w:rsidR="00DA4EE7">
        <w:rPr>
          <w:bCs/>
        </w:rPr>
        <w:t xml:space="preserve"> </w:t>
      </w:r>
      <w:r w:rsidR="00C03C37">
        <w:rPr>
          <w:bCs/>
        </w:rPr>
        <w:fldChar w:fldCharType="begin"/>
      </w:r>
      <w:r w:rsidR="00C03C37">
        <w:rPr>
          <w:bCs/>
        </w:rPr>
        <w:instrText xml:space="preserve"> REF _Ref106178682 \r \h </w:instrText>
      </w:r>
      <w:r w:rsidR="00C03C37">
        <w:rPr>
          <w:bCs/>
        </w:rPr>
      </w:r>
      <w:r w:rsidR="00C03C37">
        <w:rPr>
          <w:bCs/>
        </w:rPr>
        <w:fldChar w:fldCharType="separate"/>
      </w:r>
      <w:r w:rsidR="00830EE1">
        <w:rPr>
          <w:bCs/>
        </w:rPr>
        <w:t>[1]</w:t>
      </w:r>
      <w:r w:rsidR="00C03C37">
        <w:rPr>
          <w:bCs/>
        </w:rPr>
        <w:fldChar w:fldCharType="end"/>
      </w:r>
      <w:r w:rsidRPr="00AC5B70">
        <w:t xml:space="preserve">, is covered by </w:t>
      </w:r>
      <w:r w:rsidR="00DA529A">
        <w:t>ECC Decision</w:t>
      </w:r>
      <w:r w:rsidR="00DA529A" w:rsidRPr="00AC5B70">
        <w:t xml:space="preserve"> </w:t>
      </w:r>
      <w:r w:rsidRPr="00AC5B70">
        <w:t>(05)01</w:t>
      </w:r>
      <w:r w:rsidR="00602A4B">
        <w:t xml:space="preserve"> </w:t>
      </w:r>
      <w:r w:rsidR="00602A4B">
        <w:fldChar w:fldCharType="begin"/>
      </w:r>
      <w:r w:rsidR="00602A4B">
        <w:instrText xml:space="preserve"> REF _Ref106097188 \r \h </w:instrText>
      </w:r>
      <w:r w:rsidR="00602A4B">
        <w:fldChar w:fldCharType="separate"/>
      </w:r>
      <w:r w:rsidR="00830EE1">
        <w:t>[4]</w:t>
      </w:r>
      <w:r w:rsidR="00602A4B">
        <w:fldChar w:fldCharType="end"/>
      </w:r>
      <w:r w:rsidRPr="00AC5B70">
        <w:t>.</w:t>
      </w:r>
    </w:p>
    <w:p w14:paraId="132B93BB" w14:textId="77777777" w:rsidR="006C03D0" w:rsidRDefault="005F7AD5" w:rsidP="00F22238">
      <w:pPr>
        <w:pStyle w:val="Heading2"/>
      </w:pPr>
      <w:r>
        <w:t>REQUIREMENT FOR AN ECC DECISION</w:t>
      </w:r>
    </w:p>
    <w:p w14:paraId="09CF3146" w14:textId="77777777" w:rsidR="00162BB4" w:rsidRPr="00AC5B70" w:rsidRDefault="00162BB4" w:rsidP="00307269">
      <w:pPr>
        <w:spacing w:before="240" w:after="60"/>
        <w:jc w:val="both"/>
      </w:pPr>
      <w:r w:rsidRPr="00AC5B70">
        <w:t xml:space="preserve">In order to provide a clear regulatory framework for future investment and deployment of HDFSS, to facilitate the use of transportable FSS </w:t>
      </w:r>
      <w:r w:rsidR="007955E2">
        <w:t>e</w:t>
      </w:r>
      <w:r w:rsidRPr="00AC5B70">
        <w:t>arth stations and to take into account the decision taken by WRC-03 with regard to HDFSS, clearly indicating the bands where HDFSS should be deployed in CEPT, a regulatory framework is necessary.</w:t>
      </w:r>
    </w:p>
    <w:p w14:paraId="1B9C95B8" w14:textId="77777777" w:rsidR="00162BB4" w:rsidRPr="00AC5B70" w:rsidRDefault="00162BB4" w:rsidP="00307269">
      <w:pPr>
        <w:spacing w:before="240" w:after="60"/>
        <w:jc w:val="both"/>
      </w:pPr>
      <w:r w:rsidRPr="00AC5B70">
        <w:t>This ECC Decision identifies bands for HDFSS, taking into account the existing other services, if any, in the same bands.</w:t>
      </w:r>
    </w:p>
    <w:p w14:paraId="657B0D2F" w14:textId="60759DEF" w:rsidR="006C03D0" w:rsidRPr="00F302AB" w:rsidRDefault="005F7AD5" w:rsidP="000E165B">
      <w:pPr>
        <w:pStyle w:val="Heading1"/>
        <w:rPr>
          <w:lang w:val="en-US"/>
        </w:rPr>
      </w:pPr>
      <w:r w:rsidRPr="00F302AB">
        <w:lastRenderedPageBreak/>
        <w:t>ECC Decision of</w:t>
      </w:r>
      <w:r w:rsidR="00A8085A" w:rsidRPr="00F302AB">
        <w:t xml:space="preserve"> </w:t>
      </w:r>
      <w:r w:rsidR="00162BB4" w:rsidRPr="00F302AB">
        <w:t>24 June 2005</w:t>
      </w:r>
      <w:r w:rsidR="00FD5DB2">
        <w:t xml:space="preserve"> </w:t>
      </w:r>
      <w:r w:rsidRPr="00F302AB">
        <w:t>on</w:t>
      </w:r>
      <w:r w:rsidR="00A8085A" w:rsidRPr="00F302AB">
        <w:t xml:space="preserve"> </w:t>
      </w:r>
      <w:r w:rsidR="006057AF" w:rsidRPr="006057AF">
        <w:t xml:space="preserve">The availability of frequency bands for </w:t>
      </w:r>
      <w:r w:rsidR="00162BB4" w:rsidRPr="00F302AB">
        <w:t>high density applications in the Fixed-Satellite Service (space-to-Earth and Earth-to-space</w:t>
      </w:r>
      <w:r w:rsidR="00A8085A" w:rsidRPr="00F302AB">
        <w:t xml:space="preserve"> (</w:t>
      </w:r>
      <w:r w:rsidR="00162BB4" w:rsidRPr="00F302AB">
        <w:t>ECC</w:t>
      </w:r>
      <w:r w:rsidR="00340188">
        <w:t xml:space="preserve"> </w:t>
      </w:r>
      <w:r w:rsidR="00162BB4" w:rsidRPr="00F302AB">
        <w:t>DEC</w:t>
      </w:r>
      <w:r w:rsidR="00FD5DB2">
        <w:t xml:space="preserve">ision </w:t>
      </w:r>
      <w:r w:rsidR="00162BB4" w:rsidRPr="00F302AB">
        <w:t>(05)08)</w:t>
      </w:r>
      <w:r w:rsidR="00CF3251">
        <w:t>,</w:t>
      </w:r>
      <w:r w:rsidR="00CF3251" w:rsidRPr="00CF3251">
        <w:t xml:space="preserve"> </w:t>
      </w:r>
      <w:r w:rsidR="00CF3251">
        <w:t xml:space="preserve">amended 8 March 2013 and </w:t>
      </w:r>
      <w:r w:rsidR="0005763C">
        <w:t>amended</w:t>
      </w:r>
      <w:r w:rsidR="002E1A3D">
        <w:t xml:space="preserve"> </w:t>
      </w:r>
      <w:r w:rsidR="00CF3251">
        <w:t>18 November 2022</w:t>
      </w:r>
    </w:p>
    <w:p w14:paraId="3CB5B3F1" w14:textId="77777777" w:rsidR="006C03D0" w:rsidRDefault="005F7AD5" w:rsidP="006C03D0">
      <w:pPr>
        <w:pStyle w:val="ECCParagraph"/>
      </w:pPr>
      <w:r>
        <w:t>“The European Conference of Postal and Telecommunications Administrations,</w:t>
      </w:r>
    </w:p>
    <w:p w14:paraId="21C505A9" w14:textId="77777777" w:rsidR="006C03D0" w:rsidRDefault="005F7AD5" w:rsidP="006C03D0">
      <w:pPr>
        <w:pStyle w:val="ECCParagraph"/>
        <w:rPr>
          <w:i/>
          <w:color w:val="D2232A"/>
        </w:rPr>
      </w:pPr>
      <w:r w:rsidRPr="00FE1795">
        <w:rPr>
          <w:i/>
          <w:color w:val="D2232A"/>
        </w:rPr>
        <w:t>considering</w:t>
      </w:r>
    </w:p>
    <w:p w14:paraId="1E76E775" w14:textId="77777777" w:rsidR="00E65E22" w:rsidRPr="003E77A5" w:rsidRDefault="00162BB4" w:rsidP="00E73D39">
      <w:pPr>
        <w:pStyle w:val="ListParagraph"/>
        <w:numPr>
          <w:ilvl w:val="0"/>
          <w:numId w:val="17"/>
        </w:numPr>
        <w:tabs>
          <w:tab w:val="left" w:pos="567"/>
        </w:tabs>
        <w:spacing w:after="240"/>
        <w:ind w:left="567" w:hanging="567"/>
        <w:contextualSpacing w:val="0"/>
      </w:pPr>
      <w:r w:rsidRPr="00AC5B70">
        <w:rPr>
          <w:lang w:val="en-GB"/>
        </w:rPr>
        <w:t>that the introduction of future FSS systems will enhance broadband communications over wide areas in CEPT and enable it in areas where terrestrial means are not available</w:t>
      </w:r>
      <w:r>
        <w:rPr>
          <w:lang w:val="en-GB"/>
        </w:rPr>
        <w:t>;</w:t>
      </w:r>
    </w:p>
    <w:p w14:paraId="529A3CC8" w14:textId="102D1F12" w:rsidR="00935486" w:rsidRPr="00AC5B70" w:rsidRDefault="00935486" w:rsidP="00935486">
      <w:pPr>
        <w:numPr>
          <w:ilvl w:val="0"/>
          <w:numId w:val="17"/>
        </w:numPr>
        <w:spacing w:after="240"/>
        <w:ind w:left="567" w:hanging="567"/>
        <w:jc w:val="both"/>
      </w:pPr>
      <w:r w:rsidRPr="00AC5B70">
        <w:t>that WRC-03 has identified a number of frequency bands for high-density applications in the fixed satellite service (HDFSS) through No</w:t>
      </w:r>
      <w:r w:rsidRPr="00272547">
        <w:t xml:space="preserve">. </w:t>
      </w:r>
      <w:r w:rsidRPr="00272547">
        <w:rPr>
          <w:bCs/>
        </w:rPr>
        <w:t>5.516B</w:t>
      </w:r>
      <w:r w:rsidRPr="00AC5B70">
        <w:t xml:space="preserve"> which also refers to Resolution </w:t>
      </w:r>
      <w:r w:rsidRPr="00272547">
        <w:rPr>
          <w:bCs/>
        </w:rPr>
        <w:t>143</w:t>
      </w:r>
      <w:r w:rsidR="00253EB3">
        <w:rPr>
          <w:bCs/>
        </w:rPr>
        <w:t xml:space="preserve"> </w:t>
      </w:r>
      <w:r w:rsidR="00253EB3">
        <w:rPr>
          <w:bCs/>
        </w:rPr>
        <w:fldChar w:fldCharType="begin"/>
      </w:r>
      <w:r w:rsidR="00253EB3">
        <w:rPr>
          <w:bCs/>
        </w:rPr>
        <w:instrText xml:space="preserve"> REF _Ref106178682 \r \h </w:instrText>
      </w:r>
      <w:r w:rsidR="00253EB3">
        <w:rPr>
          <w:bCs/>
        </w:rPr>
      </w:r>
      <w:r w:rsidR="00253EB3">
        <w:rPr>
          <w:bCs/>
        </w:rPr>
        <w:fldChar w:fldCharType="separate"/>
      </w:r>
      <w:r w:rsidR="00830EE1">
        <w:rPr>
          <w:bCs/>
        </w:rPr>
        <w:t>[1]</w:t>
      </w:r>
      <w:r w:rsidR="00253EB3">
        <w:rPr>
          <w:bCs/>
        </w:rPr>
        <w:fldChar w:fldCharType="end"/>
      </w:r>
      <w:r w:rsidRPr="00AC5B70">
        <w:t>;</w:t>
      </w:r>
    </w:p>
    <w:p w14:paraId="021AB73A" w14:textId="5F55D663" w:rsidR="00935486" w:rsidRPr="00AC5B70" w:rsidRDefault="00935486" w:rsidP="00935486">
      <w:pPr>
        <w:numPr>
          <w:ilvl w:val="0"/>
          <w:numId w:val="17"/>
        </w:numPr>
        <w:spacing w:after="240"/>
        <w:ind w:left="567" w:hanging="567"/>
        <w:jc w:val="both"/>
      </w:pPr>
      <w:r w:rsidRPr="00AC5B70">
        <w:t xml:space="preserve">that in this Decision, coordinated and uncoordinated </w:t>
      </w:r>
      <w:r w:rsidR="007955E2">
        <w:t>e</w:t>
      </w:r>
      <w:r w:rsidRPr="00AC5B70">
        <w:t xml:space="preserve">arth stations refer to stations for which the process of coordination as per Art. 9 of the </w:t>
      </w:r>
      <w:r w:rsidR="000D5744">
        <w:t>Radio Regulations (</w:t>
      </w:r>
      <w:r w:rsidRPr="00AC5B70">
        <w:t>RR</w:t>
      </w:r>
      <w:r w:rsidR="000D5744">
        <w:t>)</w:t>
      </w:r>
      <w:r w:rsidRPr="00AC5B70">
        <w:t xml:space="preserve"> </w:t>
      </w:r>
      <w:r w:rsidR="00332A6D">
        <w:fldChar w:fldCharType="begin"/>
      </w:r>
      <w:r w:rsidR="00332A6D">
        <w:instrText xml:space="preserve"> REF _Ref106178682 \r \h </w:instrText>
      </w:r>
      <w:r w:rsidR="00332A6D">
        <w:fldChar w:fldCharType="separate"/>
      </w:r>
      <w:r w:rsidR="00830EE1">
        <w:t>[1]</w:t>
      </w:r>
      <w:r w:rsidR="00332A6D">
        <w:fldChar w:fldCharType="end"/>
      </w:r>
      <w:r w:rsidRPr="00AC5B70">
        <w:t xml:space="preserve"> has been applied or not, respectively;</w:t>
      </w:r>
    </w:p>
    <w:p w14:paraId="55F3D521" w14:textId="77777777" w:rsidR="00935486" w:rsidRPr="00AC5B70" w:rsidRDefault="00935486" w:rsidP="00935486">
      <w:pPr>
        <w:numPr>
          <w:ilvl w:val="0"/>
          <w:numId w:val="17"/>
        </w:numPr>
        <w:spacing w:after="240"/>
        <w:ind w:left="567" w:hanging="567"/>
        <w:jc w:val="both"/>
      </w:pPr>
      <w:r w:rsidRPr="00AC5B70">
        <w:t xml:space="preserve">that </w:t>
      </w:r>
      <w:proofErr w:type="gramStart"/>
      <w:r w:rsidRPr="00AC5B70">
        <w:t>a number of</w:t>
      </w:r>
      <w:proofErr w:type="gramEnd"/>
      <w:r>
        <w:t xml:space="preserve"> </w:t>
      </w:r>
      <w:r w:rsidRPr="00AC5B70">
        <w:t xml:space="preserve">FSS systems are </w:t>
      </w:r>
      <w:r>
        <w:t>operating or</w:t>
      </w:r>
      <w:r w:rsidRPr="00AC5B70">
        <w:t xml:space="preserve"> planned to operate in some of the bands identified for HDFSS by WRC-03, and that some of them intend to deploy large numbers of user terminals on an uncoordinated basis;</w:t>
      </w:r>
    </w:p>
    <w:p w14:paraId="06444184" w14:textId="1D39A4FC" w:rsidR="00935486" w:rsidRPr="00AC5B70" w:rsidRDefault="00935486" w:rsidP="00935486">
      <w:pPr>
        <w:numPr>
          <w:ilvl w:val="0"/>
          <w:numId w:val="17"/>
        </w:numPr>
        <w:spacing w:after="240"/>
        <w:ind w:left="567" w:hanging="567"/>
        <w:jc w:val="both"/>
      </w:pPr>
      <w:r w:rsidRPr="00AC5B70">
        <w:t xml:space="preserve">that some FSS systems intend to deploy a small number of large antenna </w:t>
      </w:r>
      <w:r w:rsidR="007955E2">
        <w:t>e</w:t>
      </w:r>
      <w:r w:rsidRPr="00AC5B70">
        <w:t xml:space="preserve">arth </w:t>
      </w:r>
      <w:r w:rsidR="005F4E25">
        <w:t>s</w:t>
      </w:r>
      <w:r w:rsidRPr="00AC5B70">
        <w:t>tations on a coordinated basis;</w:t>
      </w:r>
    </w:p>
    <w:p w14:paraId="03920600" w14:textId="598792A4" w:rsidR="00935486" w:rsidRPr="00AC5B70" w:rsidRDefault="00935486" w:rsidP="00935486">
      <w:pPr>
        <w:numPr>
          <w:ilvl w:val="0"/>
          <w:numId w:val="17"/>
        </w:numPr>
        <w:autoSpaceDE w:val="0"/>
        <w:autoSpaceDN w:val="0"/>
        <w:spacing w:after="240"/>
        <w:ind w:left="567" w:hanging="567"/>
        <w:jc w:val="both"/>
      </w:pPr>
      <w:r w:rsidRPr="00AC5B70">
        <w:t>that some CEPT administrations are promoting FSS systems in some of these bands in the context of removing the “digital divide” at European level;</w:t>
      </w:r>
    </w:p>
    <w:p w14:paraId="13FCE573" w14:textId="77777777" w:rsidR="00935486" w:rsidRDefault="00935486" w:rsidP="00935486">
      <w:pPr>
        <w:numPr>
          <w:ilvl w:val="0"/>
          <w:numId w:val="17"/>
        </w:numPr>
        <w:autoSpaceDE w:val="0"/>
        <w:autoSpaceDN w:val="0"/>
        <w:spacing w:after="240"/>
        <w:ind w:left="567" w:hanging="567"/>
        <w:jc w:val="both"/>
      </w:pPr>
      <w:r w:rsidRPr="00AC5B70">
        <w:t xml:space="preserve">that the band 17.3-17.7 GHz is subject to the provisions of RR Appendix 30A and of No. </w:t>
      </w:r>
      <w:r w:rsidRPr="00272547">
        <w:rPr>
          <w:bCs/>
        </w:rPr>
        <w:t>5.516A</w:t>
      </w:r>
      <w:r w:rsidRPr="00AC5B70">
        <w:t>;</w:t>
      </w:r>
    </w:p>
    <w:p w14:paraId="67FB3023" w14:textId="77777777" w:rsidR="00E65E22" w:rsidRDefault="00935486" w:rsidP="00E65E22">
      <w:pPr>
        <w:pStyle w:val="ECCParagraph"/>
        <w:numPr>
          <w:ilvl w:val="0"/>
          <w:numId w:val="17"/>
        </w:numPr>
        <w:ind w:left="567" w:hanging="567"/>
      </w:pPr>
      <w:r>
        <w:t xml:space="preserve">that FSS </w:t>
      </w:r>
      <w:r w:rsidR="007955E2">
        <w:t>e</w:t>
      </w:r>
      <w:r>
        <w:t>arth stations transmitting in 17.3-17.7 GHz are located at a few tens of known locations in CEPT countries;</w:t>
      </w:r>
    </w:p>
    <w:p w14:paraId="2A7293DF" w14:textId="77777777" w:rsidR="00935486" w:rsidRDefault="00935486" w:rsidP="00E65E22">
      <w:pPr>
        <w:pStyle w:val="ECCParagraph"/>
        <w:numPr>
          <w:ilvl w:val="0"/>
          <w:numId w:val="17"/>
        </w:numPr>
        <w:ind w:left="567" w:hanging="567"/>
      </w:pPr>
      <w:r>
        <w:t xml:space="preserve">that the area around an FSS </w:t>
      </w:r>
      <w:r w:rsidR="007955E2">
        <w:t>e</w:t>
      </w:r>
      <w:r>
        <w:t xml:space="preserve">arth station transmitting in 17.3-17.7 GHz where interference to an uncoordinated FSS receive </w:t>
      </w:r>
      <w:r w:rsidR="007955E2">
        <w:t>e</w:t>
      </w:r>
      <w:r>
        <w:t>arth station may be created is limited to a few tens of kilometres;</w:t>
      </w:r>
    </w:p>
    <w:p w14:paraId="089F8DBC" w14:textId="771B0107" w:rsidR="00935486" w:rsidRDefault="00935486" w:rsidP="00E65E22">
      <w:pPr>
        <w:pStyle w:val="ECCParagraph"/>
        <w:numPr>
          <w:ilvl w:val="0"/>
          <w:numId w:val="17"/>
        </w:numPr>
        <w:ind w:left="567" w:hanging="567"/>
      </w:pPr>
      <w:r w:rsidRPr="00AC5B70">
        <w:t xml:space="preserve">that </w:t>
      </w:r>
      <w:r w:rsidR="00D91C6F">
        <w:t xml:space="preserve">ECC Decision </w:t>
      </w:r>
      <w:r w:rsidRPr="00AC5B70">
        <w:t xml:space="preserve">(05)01 </w:t>
      </w:r>
      <w:r w:rsidR="00AD6FA7">
        <w:fldChar w:fldCharType="begin"/>
      </w:r>
      <w:r w:rsidR="00AD6FA7">
        <w:instrText xml:space="preserve"> REF _Ref106097188 \r \h </w:instrText>
      </w:r>
      <w:r w:rsidR="00AD6FA7">
        <w:fldChar w:fldCharType="separate"/>
      </w:r>
      <w:r w:rsidR="00830EE1">
        <w:t>[4]</w:t>
      </w:r>
      <w:r w:rsidR="00AD6FA7">
        <w:fldChar w:fldCharType="end"/>
      </w:r>
      <w:r w:rsidR="00AD6FA7">
        <w:t xml:space="preserve"> </w:t>
      </w:r>
      <w:r w:rsidRPr="00AC5B70">
        <w:t>sets out the arrangements for use of the 27.5-29.5 GHz ba</w:t>
      </w:r>
      <w:r w:rsidR="00A70092">
        <w:t xml:space="preserve">nd within CEPT including those </w:t>
      </w:r>
      <w:r w:rsidRPr="00AC5B70">
        <w:t>parts identified by WRC-03 for HDFSS in Region 1;</w:t>
      </w:r>
    </w:p>
    <w:p w14:paraId="6C0D0FDB" w14:textId="16598F94" w:rsidR="00135E92" w:rsidRDefault="00135E92" w:rsidP="00E65E22">
      <w:pPr>
        <w:pStyle w:val="ECCParagraph"/>
        <w:numPr>
          <w:ilvl w:val="0"/>
          <w:numId w:val="17"/>
        </w:numPr>
        <w:ind w:left="567" w:hanging="567"/>
      </w:pPr>
      <w:r w:rsidRPr="00AC5B70">
        <w:t>that ERC</w:t>
      </w:r>
      <w:r w:rsidR="00D91C6F">
        <w:t xml:space="preserve"> Decision </w:t>
      </w:r>
      <w:r w:rsidRPr="00AC5B70">
        <w:t xml:space="preserve">(00)02 </w:t>
      </w:r>
      <w:r w:rsidR="00830EE1">
        <w:fldChar w:fldCharType="begin"/>
      </w:r>
      <w:r w:rsidR="00830EE1">
        <w:instrText xml:space="preserve"> REF _Ref106178897 \r \h </w:instrText>
      </w:r>
      <w:r w:rsidR="00830EE1">
        <w:fldChar w:fldCharType="separate"/>
      </w:r>
      <w:r w:rsidR="00830EE1">
        <w:t>[2]</w:t>
      </w:r>
      <w:r w:rsidR="00830EE1">
        <w:fldChar w:fldCharType="end"/>
      </w:r>
      <w:r w:rsidR="00AD6FA7">
        <w:t xml:space="preserve"> </w:t>
      </w:r>
      <w:r w:rsidRPr="00AC5B70">
        <w:t>designates the band 39.5-40.5 GHz for</w:t>
      </w:r>
      <w:r w:rsidR="005E357D">
        <w:t xml:space="preserve"> coordinated and uncoordinated</w:t>
      </w:r>
      <w:r w:rsidRPr="00AC5B70">
        <w:t xml:space="preserve"> FSS</w:t>
      </w:r>
      <w:r w:rsidR="00A72E3A">
        <w:t xml:space="preserve"> and MSS</w:t>
      </w:r>
      <w:r w:rsidRPr="00AC5B70">
        <w:t xml:space="preserve"> (space-to-Earth)</w:t>
      </w:r>
      <w:r w:rsidR="00B2138E">
        <w:t xml:space="preserve"> earth stations</w:t>
      </w:r>
      <w:r w:rsidRPr="00AC5B70">
        <w:t>;</w:t>
      </w:r>
    </w:p>
    <w:p w14:paraId="4C2624FE" w14:textId="231163BC" w:rsidR="00A72E3A" w:rsidRDefault="00A72E3A" w:rsidP="00E65E22">
      <w:pPr>
        <w:pStyle w:val="ECCParagraph"/>
        <w:numPr>
          <w:ilvl w:val="0"/>
          <w:numId w:val="17"/>
        </w:numPr>
        <w:ind w:left="567" w:hanging="567"/>
      </w:pPr>
      <w:r>
        <w:t xml:space="preserve">that </w:t>
      </w:r>
      <w:r w:rsidR="001268BA">
        <w:t xml:space="preserve">ECC Decision </w:t>
      </w:r>
      <w:r>
        <w:t>(21)01</w:t>
      </w:r>
      <w:r w:rsidR="003F5DDF">
        <w:t xml:space="preserve"> </w:t>
      </w:r>
      <w:r w:rsidR="003F5DDF">
        <w:fldChar w:fldCharType="begin"/>
      </w:r>
      <w:r w:rsidR="003F5DDF">
        <w:instrText xml:space="preserve"> REF _Ref106097148 \r \h </w:instrText>
      </w:r>
      <w:r w:rsidR="003F5DDF">
        <w:fldChar w:fldCharType="separate"/>
      </w:r>
      <w:r w:rsidR="00830EE1">
        <w:t>[3]</w:t>
      </w:r>
      <w:r w:rsidR="003F5DDF">
        <w:fldChar w:fldCharType="end"/>
      </w:r>
      <w:r>
        <w:t xml:space="preserve"> </w:t>
      </w:r>
      <w:r w:rsidRPr="00AC5B70">
        <w:t xml:space="preserve">designates the band </w:t>
      </w:r>
      <w:r>
        <w:t>48.2-50.2 GHz</w:t>
      </w:r>
      <w:r w:rsidRPr="00AC5B70">
        <w:t xml:space="preserve"> for</w:t>
      </w:r>
      <w:r>
        <w:t xml:space="preserve"> coordinated and uncoordinated</w:t>
      </w:r>
      <w:r w:rsidRPr="00AC5B70">
        <w:t xml:space="preserve"> FSS</w:t>
      </w:r>
      <w:r>
        <w:t xml:space="preserve"> (Earth-to-space) earth stations;</w:t>
      </w:r>
    </w:p>
    <w:p w14:paraId="6E65F56B" w14:textId="4B81F8CF" w:rsidR="00135E92" w:rsidRDefault="00135E92" w:rsidP="00E65E22">
      <w:pPr>
        <w:pStyle w:val="ECCParagraph"/>
        <w:numPr>
          <w:ilvl w:val="0"/>
          <w:numId w:val="17"/>
        </w:numPr>
        <w:ind w:left="567" w:hanging="567"/>
      </w:pPr>
      <w:r w:rsidRPr="00AC5B70">
        <w:t>that ITU-R has adopted several Recommendations providing technical characteristics applicable to HDFSS stations, such as ITU-R S.524</w:t>
      </w:r>
      <w:r w:rsidR="005167AC">
        <w:t xml:space="preserve"> </w:t>
      </w:r>
      <w:r w:rsidR="003F5DDF">
        <w:fldChar w:fldCharType="begin"/>
      </w:r>
      <w:r w:rsidR="003F5DDF">
        <w:instrText xml:space="preserve"> REF _Ref106087586 \r \h </w:instrText>
      </w:r>
      <w:r w:rsidR="003F5DDF">
        <w:fldChar w:fldCharType="separate"/>
      </w:r>
      <w:r w:rsidR="00830EE1">
        <w:t>[5]</w:t>
      </w:r>
      <w:r w:rsidR="003F5DDF">
        <w:fldChar w:fldCharType="end"/>
      </w:r>
      <w:r w:rsidRPr="00AC5B70">
        <w:t xml:space="preserve"> and ITU-R S.1594</w:t>
      </w:r>
      <w:r w:rsidR="005167AC">
        <w:t xml:space="preserve"> </w:t>
      </w:r>
      <w:r w:rsidR="00033742">
        <w:fldChar w:fldCharType="begin"/>
      </w:r>
      <w:r w:rsidR="00033742">
        <w:instrText xml:space="preserve"> REF _Ref106087603 \r \h </w:instrText>
      </w:r>
      <w:r w:rsidR="00033742">
        <w:fldChar w:fldCharType="separate"/>
      </w:r>
      <w:r w:rsidR="00830EE1">
        <w:t>[6]</w:t>
      </w:r>
      <w:r w:rsidR="00033742">
        <w:fldChar w:fldCharType="end"/>
      </w:r>
      <w:r w:rsidRPr="00AC5B70">
        <w:t>;</w:t>
      </w:r>
    </w:p>
    <w:p w14:paraId="5884FF35" w14:textId="28F5B387" w:rsidR="00935486" w:rsidRDefault="00935486" w:rsidP="00E65E22">
      <w:pPr>
        <w:pStyle w:val="ECCParagraph"/>
        <w:numPr>
          <w:ilvl w:val="0"/>
          <w:numId w:val="17"/>
        </w:numPr>
        <w:ind w:left="567" w:hanging="567"/>
      </w:pPr>
      <w:r>
        <w:t xml:space="preserve">that </w:t>
      </w:r>
      <w:r w:rsidR="002B0ABA">
        <w:t xml:space="preserve">ECC </w:t>
      </w:r>
      <w:r>
        <w:t>Decision (06)03</w:t>
      </w:r>
      <w:r w:rsidR="002B0ABA">
        <w:t xml:space="preserve"> </w:t>
      </w:r>
      <w:r w:rsidR="00A667E7">
        <w:fldChar w:fldCharType="begin"/>
      </w:r>
      <w:r w:rsidR="00A667E7">
        <w:instrText xml:space="preserve"> REF _Ref125551119 \r \h </w:instrText>
      </w:r>
      <w:r w:rsidR="00A667E7">
        <w:fldChar w:fldCharType="separate"/>
      </w:r>
      <w:r w:rsidR="009B6CAF">
        <w:t>[7]</w:t>
      </w:r>
      <w:r w:rsidR="00A667E7">
        <w:fldChar w:fldCharType="end"/>
      </w:r>
      <w:r>
        <w:t xml:space="preserve"> set</w:t>
      </w:r>
      <w:r w:rsidR="00A72E3A">
        <w:t>s</w:t>
      </w:r>
      <w:r>
        <w:t xml:space="preserve"> out requirements under which equipment operating in the bands 19.7-20.2 GHz and 29.5-30.0 GHz, among others, have been exempted from individual licensing</w:t>
      </w:r>
      <w:r w:rsidR="00550EFD">
        <w:t>;</w:t>
      </w:r>
    </w:p>
    <w:p w14:paraId="013F7F7B" w14:textId="77777777" w:rsidR="00935486" w:rsidRDefault="00935486" w:rsidP="00935486">
      <w:pPr>
        <w:pStyle w:val="ECCParagraph"/>
        <w:ind w:left="567"/>
      </w:pPr>
    </w:p>
    <w:p w14:paraId="7C0A4262" w14:textId="77777777" w:rsidR="006C03D0" w:rsidRPr="00C10DC9" w:rsidRDefault="005F7AD5" w:rsidP="00BE56F9">
      <w:pPr>
        <w:pStyle w:val="ECCParagraph"/>
        <w:keepNext/>
        <w:rPr>
          <w:color w:val="D2232A"/>
        </w:rPr>
      </w:pPr>
      <w:r w:rsidRPr="00C10DC9">
        <w:rPr>
          <w:i/>
          <w:color w:val="D2232A"/>
        </w:rPr>
        <w:lastRenderedPageBreak/>
        <w:t>DECIDES</w:t>
      </w:r>
      <w:r w:rsidRPr="00C10DC9">
        <w:rPr>
          <w:color w:val="D2232A"/>
        </w:rPr>
        <w:t xml:space="preserve"> </w:t>
      </w:r>
    </w:p>
    <w:p w14:paraId="30A1AC5B" w14:textId="77777777" w:rsidR="006C03D0" w:rsidRPr="006057AF" w:rsidRDefault="00C33D46" w:rsidP="00BE56F9">
      <w:pPr>
        <w:pStyle w:val="NumberedList"/>
        <w:keepNext/>
        <w:spacing w:after="120"/>
      </w:pPr>
      <w:r w:rsidRPr="006057AF">
        <w:t>that CEPT administrations shall make available the following bands for HDFSS:</w:t>
      </w:r>
    </w:p>
    <w:p w14:paraId="455DDCB9" w14:textId="20D9BADD" w:rsidR="00C33D46" w:rsidRPr="006057AF" w:rsidRDefault="00C33D46" w:rsidP="00BE56F9">
      <w:pPr>
        <w:pStyle w:val="NumberedList"/>
        <w:keepNext/>
        <w:numPr>
          <w:ilvl w:val="0"/>
          <w:numId w:val="29"/>
        </w:numPr>
        <w:spacing w:after="120"/>
      </w:pPr>
      <w:r w:rsidRPr="00F302AB">
        <w:t>in the space</w:t>
      </w:r>
      <w:r w:rsidR="0082068B" w:rsidRPr="00F302AB">
        <w:t>-</w:t>
      </w:r>
      <w:r w:rsidRPr="00F302AB">
        <w:t>to</w:t>
      </w:r>
      <w:r w:rsidR="0082068B" w:rsidRPr="00F302AB">
        <w:t>-</w:t>
      </w:r>
      <w:r w:rsidRPr="00F302AB">
        <w:t>Earth direction: 17.3-17.7 GHz, 19.7-20.2 GHz;</w:t>
      </w:r>
    </w:p>
    <w:p w14:paraId="3CE991DB" w14:textId="1828355C" w:rsidR="00C33D46" w:rsidRPr="006057AF" w:rsidRDefault="00C33D46" w:rsidP="00BE56F9">
      <w:pPr>
        <w:pStyle w:val="NumberedList"/>
        <w:keepNext/>
        <w:numPr>
          <w:ilvl w:val="0"/>
          <w:numId w:val="29"/>
        </w:numPr>
        <w:spacing w:after="120"/>
      </w:pPr>
      <w:r w:rsidRPr="006057AF">
        <w:t>in the Earth-to-space direction: 29.50-30 GHz;</w:t>
      </w:r>
    </w:p>
    <w:p w14:paraId="678D4091" w14:textId="77777777" w:rsidR="000F3919" w:rsidRPr="006057AF" w:rsidRDefault="0082068B" w:rsidP="0082068B">
      <w:pPr>
        <w:pStyle w:val="NumberedList"/>
      </w:pPr>
      <w:r w:rsidRPr="006057AF">
        <w:t>that CEPT administrations shall identify in the space-to-Earth direction the bands 47.5-47.9 GHz, 48.2-48.54 GHz and 49.44-50.2 GHz for HDFSS;</w:t>
      </w:r>
    </w:p>
    <w:p w14:paraId="30F2FBDA" w14:textId="0778D9B6" w:rsidR="00A72E3A" w:rsidRPr="002A01DD" w:rsidRDefault="00A72E3A" w:rsidP="00A72E3A">
      <w:pPr>
        <w:pStyle w:val="NumberedList"/>
        <w:rPr>
          <w:szCs w:val="20"/>
        </w:rPr>
      </w:pPr>
      <w:r>
        <w:t>that earth stations operating under HDFSS identification in the bands listed in Decides 2 shall not claim protection from FSS transmitting earth stations operating in accordance with</w:t>
      </w:r>
      <w:r w:rsidR="0061567E" w:rsidRPr="0061567E">
        <w:t xml:space="preserve"> </w:t>
      </w:r>
      <w:r w:rsidR="0061567E">
        <w:t>ECC Decision</w:t>
      </w:r>
      <w:r>
        <w:t xml:space="preserve"> (21)01</w:t>
      </w:r>
      <w:r w:rsidR="00033742">
        <w:t xml:space="preserve"> </w:t>
      </w:r>
      <w:r w:rsidR="00033742">
        <w:fldChar w:fldCharType="begin"/>
      </w:r>
      <w:r w:rsidR="00033742">
        <w:instrText xml:space="preserve"> REF _Ref106097148 \r \h </w:instrText>
      </w:r>
      <w:r w:rsidR="00033742">
        <w:fldChar w:fldCharType="separate"/>
      </w:r>
      <w:r w:rsidR="00033742">
        <w:t>[</w:t>
      </w:r>
      <w:r w:rsidR="00E81D12">
        <w:t>3]</w:t>
      </w:r>
      <w:r w:rsidR="00033742">
        <w:fldChar w:fldCharType="end"/>
      </w:r>
      <w:r>
        <w:t>;</w:t>
      </w:r>
    </w:p>
    <w:p w14:paraId="74B4B9BA" w14:textId="5993B9B3" w:rsidR="000F3919" w:rsidRPr="006057AF" w:rsidRDefault="00713DBA" w:rsidP="000F3919">
      <w:pPr>
        <w:pStyle w:val="NumberedList"/>
        <w:rPr>
          <w:szCs w:val="20"/>
        </w:rPr>
      </w:pPr>
      <w:r w:rsidRPr="006057AF">
        <w:rPr>
          <w:szCs w:val="20"/>
        </w:rPr>
        <w:t xml:space="preserve">that </w:t>
      </w:r>
      <w:r w:rsidR="00211C1D" w:rsidRPr="006057AF">
        <w:t>the identification of the bands in Decides 2 does not preclude the use of these bands by other applications in the FSS or other services to which these bands are allocated</w:t>
      </w:r>
      <w:r w:rsidR="00C665E0" w:rsidRPr="006057AF">
        <w:rPr>
          <w:szCs w:val="20"/>
        </w:rPr>
        <w:t>;</w:t>
      </w:r>
    </w:p>
    <w:p w14:paraId="5446051D" w14:textId="77777777" w:rsidR="000F3919" w:rsidRPr="006057AF" w:rsidRDefault="00211C1D" w:rsidP="000F3919">
      <w:pPr>
        <w:pStyle w:val="NumberedList"/>
      </w:pPr>
      <w:r w:rsidRPr="006057AF">
        <w:t>that the designation of the band 17.3-17.7 GHz is without prejudice to the use of this band by BSS feeder links according to the provisions of the RR;</w:t>
      </w:r>
    </w:p>
    <w:p w14:paraId="1D3EFCC8" w14:textId="77777777" w:rsidR="000F3919" w:rsidRPr="006057AF" w:rsidRDefault="00713DBA" w:rsidP="006C03D0">
      <w:pPr>
        <w:pStyle w:val="NumberedList"/>
      </w:pPr>
      <w:r w:rsidRPr="006057AF">
        <w:t xml:space="preserve">that CEPT administrations </w:t>
      </w:r>
      <w:r w:rsidR="00211C1D" w:rsidRPr="006057AF">
        <w:t xml:space="preserve">shall authorise the deployment of uncoordinated FSS </w:t>
      </w:r>
      <w:r w:rsidR="007955E2">
        <w:t>e</w:t>
      </w:r>
      <w:r w:rsidR="00211C1D" w:rsidRPr="006057AF">
        <w:t xml:space="preserve">arth stations in the bands </w:t>
      </w:r>
      <w:r w:rsidR="009C682C" w:rsidRPr="006057AF">
        <w:t xml:space="preserve">identified </w:t>
      </w:r>
      <w:r w:rsidR="00211C1D" w:rsidRPr="006057AF">
        <w:t>in Decides 1;</w:t>
      </w:r>
    </w:p>
    <w:p w14:paraId="147456EE" w14:textId="6C8D082C" w:rsidR="00713DBA" w:rsidRDefault="00211C1D" w:rsidP="00A61A3E">
      <w:pPr>
        <w:pStyle w:val="NumberedList"/>
      </w:pPr>
      <w:r w:rsidRPr="006057AF">
        <w:rPr>
          <w:rFonts w:cs="Arial"/>
        </w:rPr>
        <w:t xml:space="preserve">that administrations shall exempt from individual licensing and allow the free circulation and use of the </w:t>
      </w:r>
      <w:r w:rsidRPr="006057AF">
        <w:t xml:space="preserve">uncoordinated FSS </w:t>
      </w:r>
      <w:r w:rsidR="007955E2">
        <w:t>e</w:t>
      </w:r>
      <w:r w:rsidRPr="006057AF">
        <w:t>arth stations operating in the bands specified in</w:t>
      </w:r>
      <w:r>
        <w:t xml:space="preserve"> </w:t>
      </w:r>
      <w:r w:rsidRPr="00414A32">
        <w:t>Decide</w:t>
      </w:r>
      <w:r>
        <w:t>s</w:t>
      </w:r>
      <w:r w:rsidRPr="00414A32">
        <w:t xml:space="preserve"> 1</w:t>
      </w:r>
      <w:r>
        <w:t xml:space="preserve"> (taking into account considering </w:t>
      </w:r>
      <w:r w:rsidR="002E6FFD">
        <w:t>n</w:t>
      </w:r>
      <w:r>
        <w:t>)</w:t>
      </w:r>
      <w:r>
        <w:rPr>
          <w:rFonts w:cs="Arial"/>
        </w:rPr>
        <w:t>;</w:t>
      </w:r>
    </w:p>
    <w:p w14:paraId="4E37ACDF" w14:textId="77777777" w:rsidR="00713DBA" w:rsidRPr="00EE7EE6" w:rsidRDefault="00713DBA" w:rsidP="00A61A3E">
      <w:pPr>
        <w:pStyle w:val="NumberedList"/>
      </w:pPr>
      <w:r w:rsidRPr="003E77A5">
        <w:t xml:space="preserve">that this Decision </w:t>
      </w:r>
      <w:r w:rsidRPr="00EE7EE6">
        <w:t xml:space="preserve">enters into force on </w:t>
      </w:r>
      <w:r w:rsidR="00760A4F" w:rsidRPr="00EE7EE6">
        <w:t>8 March 2013</w:t>
      </w:r>
      <w:r w:rsidRPr="00EE7EE6">
        <w:t>;</w:t>
      </w:r>
    </w:p>
    <w:p w14:paraId="48EFBAA2" w14:textId="77777777" w:rsidR="00713DBA" w:rsidRPr="00EE7EE6" w:rsidRDefault="00D90B0A" w:rsidP="00A61A3E">
      <w:pPr>
        <w:pStyle w:val="NumberedList"/>
      </w:pPr>
      <w:r w:rsidRPr="00EE7EE6">
        <w:t>that the preferred</w:t>
      </w:r>
      <w:r w:rsidR="00713DBA" w:rsidRPr="00EE7EE6">
        <w:t xml:space="preserve"> date for implementation of this Decision shall be</w:t>
      </w:r>
      <w:r w:rsidR="00194217" w:rsidRPr="00EE7EE6">
        <w:t xml:space="preserve"> 8 September 2013</w:t>
      </w:r>
      <w:r w:rsidR="00713DBA" w:rsidRPr="00EE7EE6">
        <w:t>;</w:t>
      </w:r>
    </w:p>
    <w:p w14:paraId="2FD7A79A" w14:textId="77777777" w:rsidR="006C03D0" w:rsidRDefault="00713DBA" w:rsidP="00A61A3E">
      <w:pPr>
        <w:pStyle w:val="NumberedList"/>
        <w:keepNext/>
      </w:pPr>
      <w:r w:rsidRPr="00EE7EE6">
        <w:t>that CEPT administrations shall communicate the national measures</w:t>
      </w:r>
      <w:r w:rsidRPr="003E77A5">
        <w:t xml:space="preserve"> implementing this Decision</w:t>
      </w:r>
      <w:r w:rsidR="007955E2">
        <w:t xml:space="preserve"> </w:t>
      </w:r>
      <w:r w:rsidR="00211C1D">
        <w:t>to the ECC Chairman and  to the Office</w:t>
      </w:r>
      <w:r w:rsidRPr="003E77A5">
        <w:t xml:space="preserve"> when th</w:t>
      </w:r>
      <w:r w:rsidR="00F32EE8">
        <w:t>is ECC</w:t>
      </w:r>
      <w:r w:rsidRPr="003E77A5">
        <w:t xml:space="preserve"> Decision is nationally implemented.</w:t>
      </w:r>
      <w:r>
        <w:t>”</w:t>
      </w:r>
    </w:p>
    <w:p w14:paraId="7F45951C" w14:textId="77777777" w:rsidR="001C46EA" w:rsidRDefault="001C46EA" w:rsidP="00F24E26">
      <w:pPr>
        <w:pStyle w:val="ECCParagraph"/>
        <w:keepNext/>
        <w:tabs>
          <w:tab w:val="num" w:pos="397"/>
        </w:tabs>
      </w:pPr>
    </w:p>
    <w:p w14:paraId="2B764F08" w14:textId="77777777" w:rsidR="001C46EA" w:rsidRPr="00FE1795" w:rsidRDefault="001C46EA" w:rsidP="00F24E26">
      <w:pPr>
        <w:pStyle w:val="ECCParagraph"/>
        <w:keepNext/>
        <w:tabs>
          <w:tab w:val="num" w:pos="397"/>
        </w:tabs>
        <w:rPr>
          <w:i/>
          <w:color w:val="D2232A"/>
        </w:rPr>
      </w:pPr>
      <w:r w:rsidRPr="00FE1795">
        <w:rPr>
          <w:i/>
          <w:color w:val="D2232A"/>
        </w:rPr>
        <w:t xml:space="preserve">Note: </w:t>
      </w:r>
    </w:p>
    <w:p w14:paraId="74C2A31F" w14:textId="6DA670A8" w:rsidR="001C46EA" w:rsidRDefault="001C46EA" w:rsidP="00F24E26">
      <w:pPr>
        <w:pStyle w:val="ECCParagraph"/>
        <w:keepNext/>
        <w:tabs>
          <w:tab w:val="num" w:pos="397"/>
        </w:tabs>
      </w:pPr>
      <w:r w:rsidRPr="00E80C5C">
        <w:rPr>
          <w:i/>
          <w:szCs w:val="20"/>
        </w:rPr>
        <w:t xml:space="preserve">Please check the Office </w:t>
      </w:r>
      <w:r>
        <w:rPr>
          <w:i/>
          <w:szCs w:val="20"/>
        </w:rPr>
        <w:t>documentation database</w:t>
      </w:r>
      <w:r w:rsidRPr="00E80C5C">
        <w:rPr>
          <w:i/>
          <w:szCs w:val="20"/>
        </w:rPr>
        <w:t xml:space="preserve"> </w:t>
      </w:r>
      <w:hyperlink r:id="rId8" w:history="1">
        <w:r w:rsidR="001815ED" w:rsidRPr="008976D7">
          <w:rPr>
            <w:rStyle w:val="Hyperlink"/>
            <w:i/>
            <w:szCs w:val="20"/>
          </w:rPr>
          <w:t>https://docdb.cept.org</w:t>
        </w:r>
      </w:hyperlink>
      <w:r w:rsidR="001815ED">
        <w:rPr>
          <w:i/>
          <w:szCs w:val="20"/>
        </w:rPr>
        <w:t xml:space="preserve"> </w:t>
      </w:r>
      <w:r>
        <w:rPr>
          <w:i/>
          <w:szCs w:val="20"/>
        </w:rPr>
        <w:t>for</w:t>
      </w:r>
      <w:r w:rsidRPr="00E80C5C">
        <w:rPr>
          <w:i/>
          <w:szCs w:val="20"/>
        </w:rPr>
        <w:t xml:space="preserve"> the up to date position on the implementation of this and other </w:t>
      </w:r>
      <w:smartTag w:uri="urn:schemas-microsoft-com:office:smarttags" w:element="stockticker">
        <w:r w:rsidRPr="00E80C5C">
          <w:rPr>
            <w:i/>
            <w:szCs w:val="20"/>
          </w:rPr>
          <w:t>ECC</w:t>
        </w:r>
      </w:smartTag>
      <w:r w:rsidRPr="00E80C5C">
        <w:rPr>
          <w:i/>
          <w:szCs w:val="20"/>
        </w:rPr>
        <w:t xml:space="preserve"> Decisions.</w:t>
      </w:r>
    </w:p>
    <w:p w14:paraId="6CFC2DAD" w14:textId="7FFDCACC" w:rsidR="00473D8B" w:rsidRDefault="002A2363" w:rsidP="00BD0364">
      <w:pPr>
        <w:pStyle w:val="ECCAnnex-heading1"/>
        <w:ind w:left="0"/>
      </w:pPr>
      <w:r>
        <w:lastRenderedPageBreak/>
        <w:t>l</w:t>
      </w:r>
      <w:r w:rsidR="007B5756">
        <w:t>ist of references</w:t>
      </w:r>
    </w:p>
    <w:p w14:paraId="521A86CD" w14:textId="5D2DC5F5" w:rsidR="00E81D12" w:rsidRDefault="00E81D12" w:rsidP="00E81D12">
      <w:pPr>
        <w:pStyle w:val="reference"/>
        <w:spacing w:before="60" w:after="60"/>
      </w:pPr>
      <w:bookmarkStart w:id="4" w:name="_Ref106178682"/>
      <w:bookmarkStart w:id="5" w:name="_Ref106087774"/>
      <w:bookmarkStart w:id="6" w:name="_Ref106086901"/>
      <w:r>
        <w:t>ITU Radio Regulations, Edition of 2020</w:t>
      </w:r>
      <w:bookmarkEnd w:id="4"/>
    </w:p>
    <w:bookmarkStart w:id="7" w:name="_Ref113272373"/>
    <w:bookmarkStart w:id="8" w:name="_Ref106178897"/>
    <w:p w14:paraId="136720EA" w14:textId="5D0F3497" w:rsidR="00C07875" w:rsidRDefault="006E1C38" w:rsidP="006E1C38">
      <w:pPr>
        <w:pStyle w:val="reference"/>
        <w:spacing w:before="60" w:after="60"/>
      </w:pPr>
      <w:r w:rsidRPr="006E1C38">
        <w:rPr>
          <w:lang w:val="en-GB"/>
        </w:rPr>
        <w:fldChar w:fldCharType="begin"/>
      </w:r>
      <w:r w:rsidRPr="006E1C38">
        <w:rPr>
          <w:lang w:val="en-GB"/>
        </w:rPr>
        <w:instrText>HYPERLINK "https://docdb.cept.org/document/680"</w:instrText>
      </w:r>
      <w:r w:rsidRPr="006E1C38">
        <w:rPr>
          <w:lang w:val="en-GB"/>
        </w:rPr>
      </w:r>
      <w:r w:rsidRPr="006E1C38">
        <w:rPr>
          <w:lang w:val="en-GB"/>
        </w:rPr>
        <w:fldChar w:fldCharType="separate"/>
      </w:r>
      <w:r w:rsidRPr="006E1C38">
        <w:rPr>
          <w:rStyle w:val="Hyperlink"/>
          <w:lang w:val="en-GB"/>
        </w:rPr>
        <w:t>ERC Decision (00)02</w:t>
      </w:r>
      <w:r w:rsidRPr="006E1C38">
        <w:rPr>
          <w:lang w:val="en-GB"/>
        </w:rPr>
        <w:fldChar w:fldCharType="end"/>
      </w:r>
      <w:r w:rsidRPr="006E1C38">
        <w:rPr>
          <w:lang w:val="en-GB"/>
        </w:rPr>
        <w:t>: “Use of the band 37.5-39.5 GHz by the fixed service and by earth stations of the fixed-satellite service (space-to-Earth) and use of the band 39.5-40.5 GHz by earth stations of the fixed-satellite service and the mobile-satellite service (space-to-Earth)”</w:t>
      </w:r>
      <w:bookmarkEnd w:id="7"/>
      <w:r w:rsidRPr="006E1C38">
        <w:rPr>
          <w:lang w:val="en-GB"/>
        </w:rPr>
        <w:t>, approved March 2000, amended March 2022</w:t>
      </w:r>
      <w:bookmarkEnd w:id="5"/>
      <w:bookmarkEnd w:id="8"/>
    </w:p>
    <w:bookmarkStart w:id="9" w:name="_Ref106097148"/>
    <w:p w14:paraId="0CC84CF2" w14:textId="50C563CB" w:rsidR="00473D8B" w:rsidRDefault="00EE5516" w:rsidP="008019D2">
      <w:pPr>
        <w:pStyle w:val="reference"/>
        <w:spacing w:before="60" w:after="60"/>
      </w:pPr>
      <w:r>
        <w:fldChar w:fldCharType="begin"/>
      </w:r>
      <w:r>
        <w:instrText>HYPERLINK "https://docdb.cept.org/document/22510"</w:instrText>
      </w:r>
      <w:r>
        <w:fldChar w:fldCharType="separate"/>
      </w:r>
      <w:r>
        <w:rPr>
          <w:rStyle w:val="Hyperlink"/>
        </w:rPr>
        <w:t>ECC Decision (21)01</w:t>
      </w:r>
      <w:r>
        <w:fldChar w:fldCharType="end"/>
      </w:r>
      <w:r w:rsidR="00695E77">
        <w:t>: “</w:t>
      </w:r>
      <w:r w:rsidR="000948F3">
        <w:t>U</w:t>
      </w:r>
      <w:r w:rsidR="00400E95">
        <w:t>se of the bands 47.2-50.2 GHz and 50.4-52.4 GHz by the fixed-satellite service (Earth-to-space)</w:t>
      </w:r>
      <w:r w:rsidR="00695E77">
        <w:t xml:space="preserve">”, </w:t>
      </w:r>
      <w:r w:rsidR="000948F3">
        <w:t xml:space="preserve">approved November 2021, </w:t>
      </w:r>
      <w:r w:rsidR="00400E95">
        <w:t>updated March 2022</w:t>
      </w:r>
      <w:bookmarkEnd w:id="6"/>
      <w:bookmarkEnd w:id="9"/>
    </w:p>
    <w:bookmarkStart w:id="10" w:name="_Ref106097188"/>
    <w:p w14:paraId="5C6DEAF5" w14:textId="1EAC2D42" w:rsidR="00C4652E" w:rsidRDefault="000842FC" w:rsidP="008019D2">
      <w:pPr>
        <w:pStyle w:val="reference"/>
        <w:spacing w:before="60" w:after="60"/>
      </w:pPr>
      <w:r>
        <w:fldChar w:fldCharType="begin"/>
      </w:r>
      <w:r>
        <w:instrText>HYPERLINK "https://docdb.cept.org/document/384"</w:instrText>
      </w:r>
      <w:r>
        <w:fldChar w:fldCharType="separate"/>
      </w:r>
      <w:r>
        <w:rPr>
          <w:rStyle w:val="Hyperlink"/>
        </w:rPr>
        <w:t>ECC Decision (05)01</w:t>
      </w:r>
      <w:r>
        <w:fldChar w:fldCharType="end"/>
      </w:r>
      <w:r>
        <w:t>: “</w:t>
      </w:r>
      <w:r w:rsidR="00432510">
        <w:t>U</w:t>
      </w:r>
      <w:r>
        <w:t>se of the band 27.5-29.5 GHz by the Fixed Service and uncoordinated Earth stations of the Fixed-Satellite Service (Earth-to-space)</w:t>
      </w:r>
      <w:r w:rsidR="00CB75E3">
        <w:t xml:space="preserve">”, </w:t>
      </w:r>
      <w:r w:rsidR="000948F3">
        <w:t xml:space="preserve">approved March 2005, </w:t>
      </w:r>
      <w:r w:rsidR="00CB75E3">
        <w:t xml:space="preserve">latest </w:t>
      </w:r>
      <w:r>
        <w:t>amended March 2019</w:t>
      </w:r>
      <w:bookmarkEnd w:id="10"/>
    </w:p>
    <w:p w14:paraId="27A0E79B" w14:textId="7D18B2FD" w:rsidR="00C34395" w:rsidRDefault="004643C0" w:rsidP="008019D2">
      <w:pPr>
        <w:pStyle w:val="reference"/>
        <w:spacing w:before="60" w:after="60"/>
      </w:pPr>
      <w:bookmarkStart w:id="11" w:name="_Ref106087586"/>
      <w:r w:rsidRPr="004643C0">
        <w:t>Recommendation ITU-R</w:t>
      </w:r>
      <w:r w:rsidRPr="00C34395">
        <w:t xml:space="preserve"> </w:t>
      </w:r>
      <w:r w:rsidR="00C34395" w:rsidRPr="00C34395">
        <w:t xml:space="preserve">S.524: </w:t>
      </w:r>
      <w:r>
        <w:t>“</w:t>
      </w:r>
      <w:r w:rsidR="00C34395" w:rsidRPr="00C34395">
        <w:t>Maximum permissible levels of off-axis e.i.r.p. density from earth stations in geostationary-satellite orbit networks operating in the fixed-satellite service transmitting in the 6 GHz, 13 GHz, 14 GHz and 30 GHz frequency bands</w:t>
      </w:r>
      <w:r>
        <w:t>”</w:t>
      </w:r>
      <w:bookmarkEnd w:id="11"/>
    </w:p>
    <w:p w14:paraId="39D80A43" w14:textId="446489E8" w:rsidR="004643C0" w:rsidRDefault="00AE4B00" w:rsidP="008019D2">
      <w:pPr>
        <w:pStyle w:val="reference"/>
        <w:spacing w:before="60" w:after="60"/>
      </w:pPr>
      <w:bookmarkStart w:id="12" w:name="_Ref106087603"/>
      <w:r>
        <w:t>Recommendation ITU-R S.1594: “</w:t>
      </w:r>
      <w:r w:rsidRPr="00AE4B00">
        <w:t>Maximum emission levels and associated requirements of high density fixed-satellite service earth stations transmitting towards geostationary fixed-satellite service space stations in the 30 GHz range</w:t>
      </w:r>
      <w:r>
        <w:t>”</w:t>
      </w:r>
      <w:bookmarkEnd w:id="12"/>
    </w:p>
    <w:bookmarkStart w:id="13" w:name="_Ref125551119"/>
    <w:p w14:paraId="34C715CC" w14:textId="79B308AF" w:rsidR="002D4752" w:rsidRDefault="00A667E7" w:rsidP="002D4752">
      <w:pPr>
        <w:pStyle w:val="reference"/>
        <w:spacing w:before="60" w:after="60"/>
      </w:pPr>
      <w:r>
        <w:fldChar w:fldCharType="begin"/>
      </w:r>
      <w:r>
        <w:instrText>HYPERLINK "https://docdb.cept.org/document/396"</w:instrText>
      </w:r>
      <w:r>
        <w:fldChar w:fldCharType="separate"/>
      </w:r>
      <w:r w:rsidR="002D4752">
        <w:rPr>
          <w:rStyle w:val="Hyperlink"/>
        </w:rPr>
        <w:t>ECC Decision (06)03</w:t>
      </w:r>
      <w:r>
        <w:rPr>
          <w:rStyle w:val="Hyperlink"/>
        </w:rPr>
        <w:fldChar w:fldCharType="end"/>
      </w:r>
      <w:r w:rsidR="002D4752">
        <w:t xml:space="preserve">: “Exemption from Individual Licensing of High e.i.r.p. Satellite Terminals (HEST) with e.i.r.p. above 34 dBW operating within the frequency bands 10.70-12.75 GHz or 19.70-20.20 GHz space-to-Earth and 14.00-14.25 GHz or 29.50-30.00 GHz Earth-to-space”, </w:t>
      </w:r>
      <w:r w:rsidR="00FA767D">
        <w:t>approved March 2006</w:t>
      </w:r>
      <w:r w:rsidR="00432510">
        <w:t>,</w:t>
      </w:r>
      <w:r w:rsidR="00FA767D">
        <w:t xml:space="preserve"> </w:t>
      </w:r>
      <w:r w:rsidR="00C30694">
        <w:t xml:space="preserve">latest </w:t>
      </w:r>
      <w:r w:rsidR="002D4752">
        <w:t xml:space="preserve">amended </w:t>
      </w:r>
      <w:r w:rsidR="00C30694">
        <w:t>November 2022</w:t>
      </w:r>
      <w:bookmarkEnd w:id="13"/>
    </w:p>
    <w:p w14:paraId="1DF44D34" w14:textId="77777777" w:rsidR="004643C0" w:rsidRPr="00473D8B" w:rsidRDefault="004643C0" w:rsidP="000A1A35">
      <w:pPr>
        <w:pStyle w:val="reference"/>
        <w:numPr>
          <w:ilvl w:val="0"/>
          <w:numId w:val="0"/>
        </w:numPr>
        <w:spacing w:before="60" w:after="60"/>
        <w:ind w:left="397"/>
      </w:pPr>
    </w:p>
    <w:sectPr w:rsidR="004643C0" w:rsidRPr="00473D8B" w:rsidSect="006C03D0">
      <w:headerReference w:type="even" r:id="rId9"/>
      <w:headerReference w:type="default" r:id="rId10"/>
      <w:headerReference w:type="first" r:id="rId11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4601" w14:textId="77777777" w:rsidR="00695A32" w:rsidRDefault="00695A32" w:rsidP="006C03D0">
      <w:r>
        <w:separator/>
      </w:r>
    </w:p>
  </w:endnote>
  <w:endnote w:type="continuationSeparator" w:id="0">
    <w:p w14:paraId="13E98618" w14:textId="77777777" w:rsidR="00695A32" w:rsidRDefault="00695A32" w:rsidP="006C03D0">
      <w:r>
        <w:continuationSeparator/>
      </w:r>
    </w:p>
  </w:endnote>
  <w:endnote w:type="continuationNotice" w:id="1">
    <w:p w14:paraId="60C693DE" w14:textId="77777777" w:rsidR="00695A32" w:rsidRDefault="00695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1BAC" w14:textId="77777777" w:rsidR="00695A32" w:rsidRDefault="00695A32" w:rsidP="006C03D0">
      <w:r>
        <w:separator/>
      </w:r>
    </w:p>
  </w:footnote>
  <w:footnote w:type="continuationSeparator" w:id="0">
    <w:p w14:paraId="43881B70" w14:textId="77777777" w:rsidR="00695A32" w:rsidRDefault="00695A32" w:rsidP="006C03D0">
      <w:r>
        <w:continuationSeparator/>
      </w:r>
    </w:p>
  </w:footnote>
  <w:footnote w:type="continuationNotice" w:id="1">
    <w:p w14:paraId="7FAC3182" w14:textId="77777777" w:rsidR="00695A32" w:rsidRDefault="00695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84DF" w14:textId="76299694" w:rsidR="00211C1D" w:rsidRPr="007C5F95" w:rsidRDefault="00211C1D" w:rsidP="00795319">
    <w:pPr>
      <w:pStyle w:val="Header"/>
      <w:rPr>
        <w:szCs w:val="16"/>
        <w:lang w:val="da-DK"/>
      </w:rPr>
    </w:pPr>
    <w:r>
      <w:rPr>
        <w:lang w:val="da-DK"/>
      </w:rPr>
      <w:t>ECC/DEC/</w:t>
    </w:r>
    <w:r w:rsidRPr="007C5F95">
      <w:rPr>
        <w:lang w:val="da-DK"/>
      </w:rPr>
      <w:t>(</w:t>
    </w:r>
    <w:r w:rsidR="005B3448">
      <w:rPr>
        <w:lang w:val="da-DK"/>
      </w:rPr>
      <w:t>05</w:t>
    </w:r>
    <w:r w:rsidRPr="007C5F95">
      <w:rPr>
        <w:lang w:val="da-DK"/>
      </w:rPr>
      <w:t>)</w:t>
    </w:r>
    <w:r w:rsidR="005B3448">
      <w:rPr>
        <w:lang w:val="da-DK"/>
      </w:rPr>
      <w:t>08</w:t>
    </w:r>
    <w:r w:rsidRPr="007C5F95">
      <w:rPr>
        <w:lang w:val="da-DK"/>
      </w:rPr>
      <w:t xml:space="preserve"> </w:t>
    </w: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822F6" w:rsidRPr="001822F6">
      <w:rPr>
        <w:noProof/>
        <w:szCs w:val="16"/>
        <w:lang w:val="da-DK"/>
      </w:rPr>
      <w:t>2</w:t>
    </w:r>
    <w:r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E692" w14:textId="0F491AFD" w:rsidR="00211C1D" w:rsidRPr="007C5F95" w:rsidRDefault="00211C1D" w:rsidP="006C03D0">
    <w:pPr>
      <w:pStyle w:val="Header"/>
      <w:jc w:val="right"/>
      <w:rPr>
        <w:szCs w:val="16"/>
        <w:lang w:val="da-DK"/>
      </w:rPr>
    </w:pPr>
    <w:r>
      <w:rPr>
        <w:lang w:val="da-DK"/>
      </w:rPr>
      <w:t>ECC/DEC/</w:t>
    </w:r>
    <w:r w:rsidRPr="007C5F95">
      <w:rPr>
        <w:lang w:val="da-DK"/>
      </w:rPr>
      <w:t>(</w:t>
    </w:r>
    <w:r w:rsidR="005B3448">
      <w:rPr>
        <w:lang w:val="da-DK"/>
      </w:rPr>
      <w:t>05</w:t>
    </w:r>
    <w:r w:rsidRPr="007C5F95">
      <w:rPr>
        <w:lang w:val="da-DK"/>
      </w:rPr>
      <w:t>)</w:t>
    </w:r>
    <w:r w:rsidR="005B3448">
      <w:rPr>
        <w:lang w:val="da-DK"/>
      </w:rPr>
      <w:t>08</w:t>
    </w:r>
    <w:r w:rsidRPr="007C5F95">
      <w:rPr>
        <w:lang w:val="da-DK"/>
      </w:rPr>
      <w:t xml:space="preserve"> </w:t>
    </w: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822F6" w:rsidRPr="001822F6">
      <w:rPr>
        <w:noProof/>
        <w:szCs w:val="16"/>
        <w:lang w:val="da-DK"/>
      </w:rPr>
      <w:t>3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FA0E" w14:textId="53E2C7B7" w:rsidR="00211C1D" w:rsidRPr="00E772E4" w:rsidRDefault="00211C1D" w:rsidP="00E772E4">
    <w:pPr>
      <w:pStyle w:val="Header"/>
      <w:jc w:val="right"/>
      <w:rPr>
        <w:sz w:val="22"/>
        <w:szCs w:val="22"/>
      </w:rPr>
    </w:pPr>
    <w:r w:rsidRPr="00E772E4">
      <w:rPr>
        <w:noProof/>
        <w:sz w:val="22"/>
        <w:szCs w:val="22"/>
        <w:lang w:val="da-DK" w:eastAsia="da-DK"/>
      </w:rPr>
      <w:drawing>
        <wp:anchor distT="0" distB="0" distL="114300" distR="114300" simplePos="0" relativeHeight="251658241" behindDoc="0" locked="0" layoutInCell="1" allowOverlap="1" wp14:anchorId="3C3430D1" wp14:editId="3941A3DC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4" name="Picture 4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72E4">
      <w:rPr>
        <w:noProof/>
        <w:sz w:val="22"/>
        <w:szCs w:val="22"/>
        <w:lang w:val="da-DK" w:eastAsia="da-DK"/>
      </w:rPr>
      <w:drawing>
        <wp:anchor distT="0" distB="0" distL="114300" distR="114300" simplePos="0" relativeHeight="251658240" behindDoc="0" locked="0" layoutInCell="1" allowOverlap="1" wp14:anchorId="2637F1E9" wp14:editId="4B4839F5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3" name="Picture 3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0B8"/>
    <w:multiLevelType w:val="hybridMultilevel"/>
    <w:tmpl w:val="0D5CBE5C"/>
    <w:lvl w:ilvl="0" w:tplc="6B4A69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3661A"/>
    <w:multiLevelType w:val="multilevel"/>
    <w:tmpl w:val="FF0640BA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BB101DD"/>
    <w:multiLevelType w:val="multilevel"/>
    <w:tmpl w:val="4252BC28"/>
    <w:lvl w:ilvl="0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FF0000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F22708"/>
    <w:multiLevelType w:val="hybridMultilevel"/>
    <w:tmpl w:val="88525234"/>
    <w:lvl w:ilvl="0" w:tplc="FFDEAA10">
      <w:numFmt w:val="bullet"/>
      <w:lvlText w:val="–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D2232A"/>
      </w:rPr>
    </w:lvl>
    <w:lvl w:ilvl="1" w:tplc="040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E060383"/>
    <w:multiLevelType w:val="multilevel"/>
    <w:tmpl w:val="EBB62B36"/>
    <w:lvl w:ilvl="0">
      <w:start w:val="1"/>
      <w:numFmt w:val="lowerLetter"/>
      <w:pStyle w:val="LetteredList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71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1574"/>
        </w:tabs>
        <w:ind w:left="15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8"/>
        </w:tabs>
        <w:ind w:left="17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2"/>
        </w:tabs>
        <w:ind w:left="18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6"/>
        </w:tabs>
        <w:ind w:left="20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4"/>
        </w:tabs>
        <w:ind w:left="2294" w:hanging="1584"/>
      </w:pPr>
      <w:rPr>
        <w:rFonts w:hint="default"/>
      </w:rPr>
    </w:lvl>
  </w:abstractNum>
  <w:abstractNum w:abstractNumId="6" w15:restartNumberingAfterBreak="0">
    <w:nsid w:val="2A0A7C33"/>
    <w:multiLevelType w:val="hybridMultilevel"/>
    <w:tmpl w:val="81E804EC"/>
    <w:lvl w:ilvl="0" w:tplc="2718434E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A72C9"/>
    <w:multiLevelType w:val="hybridMultilevel"/>
    <w:tmpl w:val="CF882B38"/>
    <w:lvl w:ilvl="0" w:tplc="78E8E71C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9348F"/>
    <w:multiLevelType w:val="hybridMultilevel"/>
    <w:tmpl w:val="9EB40B58"/>
    <w:lvl w:ilvl="0" w:tplc="4C0CFF6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7A34"/>
    <w:multiLevelType w:val="hybridMultilevel"/>
    <w:tmpl w:val="31DAC7DE"/>
    <w:lvl w:ilvl="0" w:tplc="3A02A90A">
      <w:start w:val="1"/>
      <w:numFmt w:val="bullet"/>
      <w:pStyle w:val="WGNNA-bulleted"/>
      <w:lvlText w:val=""/>
      <w:lvlJc w:val="left"/>
      <w:pPr>
        <w:tabs>
          <w:tab w:val="num" w:pos="372"/>
        </w:tabs>
        <w:ind w:left="372" w:hanging="372"/>
      </w:pPr>
      <w:rPr>
        <w:rFonts w:ascii="Wingdings" w:hAnsi="Wingdings" w:hint="default"/>
        <w:color w:val="auto"/>
      </w:rPr>
    </w:lvl>
    <w:lvl w:ilvl="1" w:tplc="8D403736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5BD807E8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981C1218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8FCAD61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7DCA0EC2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9FECB932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4D062F30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AE00BD02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335E618B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1343C0"/>
    <w:multiLevelType w:val="multilevel"/>
    <w:tmpl w:val="294220AC"/>
    <w:styleLink w:val="Letteredlist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39151866"/>
    <w:multiLevelType w:val="multilevel"/>
    <w:tmpl w:val="53846C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275A4E"/>
    <w:multiLevelType w:val="hybridMultilevel"/>
    <w:tmpl w:val="5AE2E4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63F7A"/>
    <w:multiLevelType w:val="multilevel"/>
    <w:tmpl w:val="0B50691A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olor w:val="D2232A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3A0DD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27E184A"/>
    <w:multiLevelType w:val="hybridMultilevel"/>
    <w:tmpl w:val="F51A9A3A"/>
    <w:lvl w:ilvl="0" w:tplc="C65085F2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2232A"/>
      </w:rPr>
    </w:lvl>
    <w:lvl w:ilvl="1" w:tplc="2722A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F3A6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4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CF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9AB2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81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85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BC0A8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6242A"/>
    <w:multiLevelType w:val="hybridMultilevel"/>
    <w:tmpl w:val="48DEBF0A"/>
    <w:lvl w:ilvl="0" w:tplc="0B1E7C38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A3A37F2"/>
    <w:multiLevelType w:val="singleLevel"/>
    <w:tmpl w:val="78E8E7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</w:abstractNum>
  <w:abstractNum w:abstractNumId="20" w15:restartNumberingAfterBreak="0">
    <w:nsid w:val="688A35D6"/>
    <w:multiLevelType w:val="multilevel"/>
    <w:tmpl w:val="BDD8AD68"/>
    <w:styleLink w:val="ECCNumberedList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872C66"/>
    <w:multiLevelType w:val="hybridMultilevel"/>
    <w:tmpl w:val="DB888792"/>
    <w:lvl w:ilvl="0" w:tplc="D3B8D3B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6B0172"/>
    <w:multiLevelType w:val="multilevel"/>
    <w:tmpl w:val="0122C030"/>
    <w:styleLink w:val="ECCNumbers-Letters"/>
    <w:lvl w:ilvl="0">
      <w:start w:val="1"/>
      <w:numFmt w:val="decimal"/>
      <w:pStyle w:val="ECCNumbered-LetteredList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b/>
        <w:i w:val="0"/>
        <w:color w:val="D2232A"/>
        <w:sz w:val="20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394BEB"/>
    <w:multiLevelType w:val="hybridMultilevel"/>
    <w:tmpl w:val="4DAAEB3E"/>
    <w:lvl w:ilvl="0" w:tplc="43B872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42052"/>
    <w:multiLevelType w:val="hybridMultilevel"/>
    <w:tmpl w:val="27401E38"/>
    <w:lvl w:ilvl="0" w:tplc="43B872B6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BC90F0A"/>
    <w:multiLevelType w:val="hybridMultilevel"/>
    <w:tmpl w:val="4A1451DE"/>
    <w:lvl w:ilvl="0" w:tplc="43B872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0721F"/>
    <w:multiLevelType w:val="hybridMultilevel"/>
    <w:tmpl w:val="E384C7EC"/>
    <w:lvl w:ilvl="0" w:tplc="43B872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6835">
    <w:abstractNumId w:val="14"/>
  </w:num>
  <w:num w:numId="2" w16cid:durableId="1129086233">
    <w:abstractNumId w:val="25"/>
  </w:num>
  <w:num w:numId="3" w16cid:durableId="1797486786">
    <w:abstractNumId w:val="18"/>
  </w:num>
  <w:num w:numId="4" w16cid:durableId="957834191">
    <w:abstractNumId w:val="5"/>
  </w:num>
  <w:num w:numId="5" w16cid:durableId="507597540">
    <w:abstractNumId w:val="19"/>
  </w:num>
  <w:num w:numId="6" w16cid:durableId="1882860825">
    <w:abstractNumId w:val="11"/>
  </w:num>
  <w:num w:numId="7" w16cid:durableId="1266228925">
    <w:abstractNumId w:val="9"/>
  </w:num>
  <w:num w:numId="8" w16cid:durableId="815298807">
    <w:abstractNumId w:val="17"/>
  </w:num>
  <w:num w:numId="9" w16cid:durableId="1966807815">
    <w:abstractNumId w:val="16"/>
  </w:num>
  <w:num w:numId="10" w16cid:durableId="936985951">
    <w:abstractNumId w:val="12"/>
  </w:num>
  <w:num w:numId="11" w16cid:durableId="1151361686">
    <w:abstractNumId w:val="17"/>
    <w:lvlOverride w:ilvl="0">
      <w:startOverride w:val="1"/>
    </w:lvlOverride>
  </w:num>
  <w:num w:numId="12" w16cid:durableId="755133744">
    <w:abstractNumId w:val="4"/>
  </w:num>
  <w:num w:numId="13" w16cid:durableId="1518736775">
    <w:abstractNumId w:val="1"/>
  </w:num>
  <w:num w:numId="14" w16cid:durableId="34357744">
    <w:abstractNumId w:val="22"/>
  </w:num>
  <w:num w:numId="15" w16cid:durableId="1806005240">
    <w:abstractNumId w:val="20"/>
  </w:num>
  <w:num w:numId="16" w16cid:durableId="1088431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844439">
    <w:abstractNumId w:val="7"/>
  </w:num>
  <w:num w:numId="18" w16cid:durableId="19355733">
    <w:abstractNumId w:val="8"/>
  </w:num>
  <w:num w:numId="19" w16cid:durableId="617369033">
    <w:abstractNumId w:val="23"/>
  </w:num>
  <w:num w:numId="20" w16cid:durableId="1807501569">
    <w:abstractNumId w:val="13"/>
  </w:num>
  <w:num w:numId="21" w16cid:durableId="277033883">
    <w:abstractNumId w:val="26"/>
  </w:num>
  <w:num w:numId="22" w16cid:durableId="1250777791">
    <w:abstractNumId w:val="27"/>
  </w:num>
  <w:num w:numId="23" w16cid:durableId="1264915521">
    <w:abstractNumId w:val="0"/>
  </w:num>
  <w:num w:numId="24" w16cid:durableId="1769155582">
    <w:abstractNumId w:val="2"/>
  </w:num>
  <w:num w:numId="25" w16cid:durableId="1339574103">
    <w:abstractNumId w:val="10"/>
  </w:num>
  <w:num w:numId="26" w16cid:durableId="1066492523">
    <w:abstractNumId w:val="15"/>
  </w:num>
  <w:num w:numId="27" w16cid:durableId="2078504330">
    <w:abstractNumId w:val="21"/>
  </w:num>
  <w:num w:numId="28" w16cid:durableId="394621802">
    <w:abstractNumId w:val="24"/>
  </w:num>
  <w:num w:numId="29" w16cid:durableId="219751747">
    <w:abstractNumId w:val="3"/>
  </w:num>
  <w:num w:numId="30" w16cid:durableId="896625574">
    <w:abstractNumId w:val="6"/>
  </w:num>
  <w:num w:numId="31" w16cid:durableId="1098526339">
    <w:abstractNumId w:val="14"/>
  </w:num>
  <w:num w:numId="32" w16cid:durableId="20473710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2050">
      <o:colormru v:ext="edit" colors="#7b6c58,#887e6e,#d2232a,#57433e,#b0a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8D"/>
    <w:rsid w:val="00006A08"/>
    <w:rsid w:val="00031379"/>
    <w:rsid w:val="00033742"/>
    <w:rsid w:val="0003692F"/>
    <w:rsid w:val="00046D8F"/>
    <w:rsid w:val="0005763C"/>
    <w:rsid w:val="00065554"/>
    <w:rsid w:val="00072B81"/>
    <w:rsid w:val="000828DE"/>
    <w:rsid w:val="000842FC"/>
    <w:rsid w:val="00093076"/>
    <w:rsid w:val="000948F3"/>
    <w:rsid w:val="000A1A35"/>
    <w:rsid w:val="000A29D5"/>
    <w:rsid w:val="000B6EE6"/>
    <w:rsid w:val="000C183F"/>
    <w:rsid w:val="000D5744"/>
    <w:rsid w:val="000D60BD"/>
    <w:rsid w:val="000E165B"/>
    <w:rsid w:val="000E46F4"/>
    <w:rsid w:val="000F3919"/>
    <w:rsid w:val="001268BA"/>
    <w:rsid w:val="00135E92"/>
    <w:rsid w:val="0013619B"/>
    <w:rsid w:val="00162BB4"/>
    <w:rsid w:val="00164993"/>
    <w:rsid w:val="00166822"/>
    <w:rsid w:val="001815ED"/>
    <w:rsid w:val="001822F6"/>
    <w:rsid w:val="00194217"/>
    <w:rsid w:val="001C46EA"/>
    <w:rsid w:val="001D0A7C"/>
    <w:rsid w:val="001D0FA8"/>
    <w:rsid w:val="001D297C"/>
    <w:rsid w:val="001E0C8D"/>
    <w:rsid w:val="001E5B8D"/>
    <w:rsid w:val="001F5ED0"/>
    <w:rsid w:val="00211C1D"/>
    <w:rsid w:val="002179EF"/>
    <w:rsid w:val="0025205B"/>
    <w:rsid w:val="00253EB3"/>
    <w:rsid w:val="002555B8"/>
    <w:rsid w:val="00272547"/>
    <w:rsid w:val="002741A5"/>
    <w:rsid w:val="00280B2D"/>
    <w:rsid w:val="0028182A"/>
    <w:rsid w:val="00293337"/>
    <w:rsid w:val="002A2363"/>
    <w:rsid w:val="002A5F1A"/>
    <w:rsid w:val="002B0ABA"/>
    <w:rsid w:val="002D4752"/>
    <w:rsid w:val="002E1A3D"/>
    <w:rsid w:val="002E48A5"/>
    <w:rsid w:val="002E6FFD"/>
    <w:rsid w:val="00307269"/>
    <w:rsid w:val="003203BD"/>
    <w:rsid w:val="00325641"/>
    <w:rsid w:val="003317A4"/>
    <w:rsid w:val="00332A6D"/>
    <w:rsid w:val="003366A0"/>
    <w:rsid w:val="00340188"/>
    <w:rsid w:val="00343D56"/>
    <w:rsid w:val="003A1AC7"/>
    <w:rsid w:val="003B60FB"/>
    <w:rsid w:val="003C1CAF"/>
    <w:rsid w:val="003C7156"/>
    <w:rsid w:val="003D31E3"/>
    <w:rsid w:val="003F5DDF"/>
    <w:rsid w:val="00400E95"/>
    <w:rsid w:val="00412E32"/>
    <w:rsid w:val="0042663D"/>
    <w:rsid w:val="00432510"/>
    <w:rsid w:val="00447FFD"/>
    <w:rsid w:val="00454C9C"/>
    <w:rsid w:val="00460DE3"/>
    <w:rsid w:val="00462AD6"/>
    <w:rsid w:val="004636A8"/>
    <w:rsid w:val="004643C0"/>
    <w:rsid w:val="00473D8B"/>
    <w:rsid w:val="004951DD"/>
    <w:rsid w:val="004C799F"/>
    <w:rsid w:val="004D4301"/>
    <w:rsid w:val="004F4247"/>
    <w:rsid w:val="005167AC"/>
    <w:rsid w:val="0052177D"/>
    <w:rsid w:val="00546DA0"/>
    <w:rsid w:val="00550EFD"/>
    <w:rsid w:val="00556CD0"/>
    <w:rsid w:val="00567959"/>
    <w:rsid w:val="00596E74"/>
    <w:rsid w:val="005A0A2D"/>
    <w:rsid w:val="005B2699"/>
    <w:rsid w:val="005B3448"/>
    <w:rsid w:val="005B74E4"/>
    <w:rsid w:val="005C6D85"/>
    <w:rsid w:val="005D60D3"/>
    <w:rsid w:val="005E357D"/>
    <w:rsid w:val="005F4E25"/>
    <w:rsid w:val="005F7AD5"/>
    <w:rsid w:val="00602A4B"/>
    <w:rsid w:val="006057AF"/>
    <w:rsid w:val="0061567E"/>
    <w:rsid w:val="0063242F"/>
    <w:rsid w:val="006464FD"/>
    <w:rsid w:val="00664DF8"/>
    <w:rsid w:val="006941FB"/>
    <w:rsid w:val="00695A32"/>
    <w:rsid w:val="00695E77"/>
    <w:rsid w:val="006C03D0"/>
    <w:rsid w:val="006C6311"/>
    <w:rsid w:val="006E1C38"/>
    <w:rsid w:val="006F4B2F"/>
    <w:rsid w:val="006F5865"/>
    <w:rsid w:val="0070052E"/>
    <w:rsid w:val="00713DBA"/>
    <w:rsid w:val="00723403"/>
    <w:rsid w:val="00742154"/>
    <w:rsid w:val="00742A1C"/>
    <w:rsid w:val="00760A4F"/>
    <w:rsid w:val="007723D7"/>
    <w:rsid w:val="0079134A"/>
    <w:rsid w:val="00791566"/>
    <w:rsid w:val="00795319"/>
    <w:rsid w:val="007955E2"/>
    <w:rsid w:val="007B5756"/>
    <w:rsid w:val="007C6571"/>
    <w:rsid w:val="007D3231"/>
    <w:rsid w:val="007E23E4"/>
    <w:rsid w:val="008019D2"/>
    <w:rsid w:val="00802591"/>
    <w:rsid w:val="00810BA2"/>
    <w:rsid w:val="0082068B"/>
    <w:rsid w:val="00830D9B"/>
    <w:rsid w:val="00830EE1"/>
    <w:rsid w:val="00831C4A"/>
    <w:rsid w:val="008455FB"/>
    <w:rsid w:val="00852781"/>
    <w:rsid w:val="008A5992"/>
    <w:rsid w:val="008B3CD4"/>
    <w:rsid w:val="008C25F0"/>
    <w:rsid w:val="008C3EA7"/>
    <w:rsid w:val="008E097D"/>
    <w:rsid w:val="008E7798"/>
    <w:rsid w:val="00911741"/>
    <w:rsid w:val="00913D98"/>
    <w:rsid w:val="00935486"/>
    <w:rsid w:val="00944173"/>
    <w:rsid w:val="009A56BA"/>
    <w:rsid w:val="009B56F5"/>
    <w:rsid w:val="009B6CAF"/>
    <w:rsid w:val="009C272C"/>
    <w:rsid w:val="009C682C"/>
    <w:rsid w:val="009D197D"/>
    <w:rsid w:val="009D2F29"/>
    <w:rsid w:val="009D322C"/>
    <w:rsid w:val="009E3D86"/>
    <w:rsid w:val="009F153C"/>
    <w:rsid w:val="009F464D"/>
    <w:rsid w:val="00A02031"/>
    <w:rsid w:val="00A20C77"/>
    <w:rsid w:val="00A242C4"/>
    <w:rsid w:val="00A41673"/>
    <w:rsid w:val="00A61A3E"/>
    <w:rsid w:val="00A65803"/>
    <w:rsid w:val="00A667E7"/>
    <w:rsid w:val="00A67B23"/>
    <w:rsid w:val="00A70092"/>
    <w:rsid w:val="00A72E3A"/>
    <w:rsid w:val="00A8085A"/>
    <w:rsid w:val="00A86698"/>
    <w:rsid w:val="00A9324A"/>
    <w:rsid w:val="00A93302"/>
    <w:rsid w:val="00A938FC"/>
    <w:rsid w:val="00A9480A"/>
    <w:rsid w:val="00AA1E6D"/>
    <w:rsid w:val="00AB0C28"/>
    <w:rsid w:val="00AD6FA7"/>
    <w:rsid w:val="00AD74C7"/>
    <w:rsid w:val="00AE185B"/>
    <w:rsid w:val="00AE27FF"/>
    <w:rsid w:val="00AE4B00"/>
    <w:rsid w:val="00AF4006"/>
    <w:rsid w:val="00B03382"/>
    <w:rsid w:val="00B0531D"/>
    <w:rsid w:val="00B128A6"/>
    <w:rsid w:val="00B2138E"/>
    <w:rsid w:val="00B23041"/>
    <w:rsid w:val="00B47D64"/>
    <w:rsid w:val="00B537B0"/>
    <w:rsid w:val="00BD0364"/>
    <w:rsid w:val="00BD2367"/>
    <w:rsid w:val="00BD4199"/>
    <w:rsid w:val="00BE56F9"/>
    <w:rsid w:val="00C03C37"/>
    <w:rsid w:val="00C07875"/>
    <w:rsid w:val="00C12CED"/>
    <w:rsid w:val="00C1340F"/>
    <w:rsid w:val="00C30694"/>
    <w:rsid w:val="00C33D46"/>
    <w:rsid w:val="00C34395"/>
    <w:rsid w:val="00C34BAE"/>
    <w:rsid w:val="00C4652E"/>
    <w:rsid w:val="00C64D00"/>
    <w:rsid w:val="00C665E0"/>
    <w:rsid w:val="00C82223"/>
    <w:rsid w:val="00C94871"/>
    <w:rsid w:val="00C978CD"/>
    <w:rsid w:val="00CA1D92"/>
    <w:rsid w:val="00CB75E3"/>
    <w:rsid w:val="00CF3251"/>
    <w:rsid w:val="00CF4380"/>
    <w:rsid w:val="00CF4EA6"/>
    <w:rsid w:val="00D72147"/>
    <w:rsid w:val="00D75D42"/>
    <w:rsid w:val="00D81612"/>
    <w:rsid w:val="00D90B0A"/>
    <w:rsid w:val="00D90E55"/>
    <w:rsid w:val="00D91C6F"/>
    <w:rsid w:val="00DA090D"/>
    <w:rsid w:val="00DA0DFA"/>
    <w:rsid w:val="00DA4EE7"/>
    <w:rsid w:val="00DA529A"/>
    <w:rsid w:val="00DC0568"/>
    <w:rsid w:val="00DC3362"/>
    <w:rsid w:val="00DD6140"/>
    <w:rsid w:val="00DD78D0"/>
    <w:rsid w:val="00DE0243"/>
    <w:rsid w:val="00DF46D8"/>
    <w:rsid w:val="00E46B5F"/>
    <w:rsid w:val="00E50A22"/>
    <w:rsid w:val="00E52DFD"/>
    <w:rsid w:val="00E601AE"/>
    <w:rsid w:val="00E65076"/>
    <w:rsid w:val="00E65E22"/>
    <w:rsid w:val="00E73D39"/>
    <w:rsid w:val="00E772E4"/>
    <w:rsid w:val="00E81D12"/>
    <w:rsid w:val="00E91649"/>
    <w:rsid w:val="00EA508F"/>
    <w:rsid w:val="00EB4C5C"/>
    <w:rsid w:val="00EE527D"/>
    <w:rsid w:val="00EE5516"/>
    <w:rsid w:val="00EE7EE6"/>
    <w:rsid w:val="00EF7991"/>
    <w:rsid w:val="00F07E6F"/>
    <w:rsid w:val="00F177F1"/>
    <w:rsid w:val="00F2150F"/>
    <w:rsid w:val="00F22238"/>
    <w:rsid w:val="00F24E26"/>
    <w:rsid w:val="00F302AB"/>
    <w:rsid w:val="00F32A31"/>
    <w:rsid w:val="00F32EE8"/>
    <w:rsid w:val="00F33244"/>
    <w:rsid w:val="00F41997"/>
    <w:rsid w:val="00F4594E"/>
    <w:rsid w:val="00F45EB8"/>
    <w:rsid w:val="00F57C6C"/>
    <w:rsid w:val="00F641B9"/>
    <w:rsid w:val="00FA4704"/>
    <w:rsid w:val="00FA767D"/>
    <w:rsid w:val="00FD2788"/>
    <w:rsid w:val="00FD5DB2"/>
    <w:rsid w:val="00FD66B1"/>
    <w:rsid w:val="00FF2971"/>
    <w:rsid w:val="2249C06D"/>
    <w:rsid w:val="422B13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>
      <o:colormru v:ext="edit" colors="#7b6c58,#887e6e,#d2232a,#57433e,#b0a696"/>
    </o:shapedefaults>
    <o:shapelayout v:ext="edit">
      <o:idmap v:ext="edit" data="2"/>
    </o:shapelayout>
  </w:shapeDefaults>
  <w:decimalSymbol w:val="."/>
  <w:listSeparator w:val=","/>
  <w14:docId w14:val="18D5700B"/>
  <w15:docId w15:val="{2FC22B52-59D5-4C89-9C99-D3793AB9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0E165B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F22238"/>
    <w:pPr>
      <w:keepNext/>
      <w:numPr>
        <w:numId w:val="31"/>
      </w:numPr>
      <w:spacing w:before="480" w:after="240"/>
      <w:outlineLvl w:val="1"/>
    </w:pPr>
    <w:rPr>
      <w:rFonts w:cs="Arial"/>
      <w:b/>
      <w:bCs/>
      <w:iCs/>
      <w:caps/>
      <w:color w:val="D2232A"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FE1795"/>
    <w:pPr>
      <w:keepNext/>
      <w:numPr>
        <w:ilvl w:val="1"/>
        <w:numId w:val="3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31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3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3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3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3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FE1795"/>
    <w:pPr>
      <w:numPr>
        <w:numId w:val="9"/>
      </w:numPr>
      <w:spacing w:after="12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031379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uiPriority w:val="99"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2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basedOn w:val="Normal"/>
    <w:link w:val="FootnoteTextChar"/>
    <w:uiPriority w:val="99"/>
    <w:qFormat/>
    <w:rsid w:val="008935B9"/>
    <w:rPr>
      <w:szCs w:val="20"/>
    </w:rPr>
  </w:style>
  <w:style w:type="character" w:styleId="FootnoteReference">
    <w:name w:val="footnote reference"/>
    <w:basedOn w:val="DefaultParagraphFont"/>
    <w:semiHidden/>
    <w:rsid w:val="008935B9"/>
    <w:rPr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qFormat/>
    <w:rsid w:val="00A50B64"/>
    <w:pPr>
      <w:numPr>
        <w:numId w:val="11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FA5088"/>
    <w:pPr>
      <w:numPr>
        <w:ilvl w:val="2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styleId="BodyTextIndent">
    <w:name w:val="Body Text Indent"/>
    <w:basedOn w:val="Normal"/>
    <w:rsid w:val="00FE1795"/>
    <w:rPr>
      <w:rFonts w:ascii="Times New Roman" w:hAnsi="Times New Roman"/>
      <w:sz w:val="24"/>
      <w:lang w:val="de-DE" w:eastAsia="en-GB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color w:val="57433E"/>
      <w:sz w:val="24"/>
    </w:rPr>
  </w:style>
  <w:style w:type="paragraph" w:customStyle="1" w:styleId="Lastupdated">
    <w:name w:val="Last updated"/>
    <w:basedOn w:val="Normal"/>
    <w:rsid w:val="00FE1795"/>
    <w:pPr>
      <w:spacing w:before="120" w:after="120"/>
      <w:ind w:left="3402"/>
    </w:pPr>
    <w:rPr>
      <w:bCs/>
      <w:sz w:val="18"/>
    </w:rPr>
  </w:style>
  <w:style w:type="numbering" w:customStyle="1" w:styleId="Letteredlist0">
    <w:name w:val="Lettered list"/>
    <w:rsid w:val="00FE1795"/>
    <w:pPr>
      <w:numPr>
        <w:numId w:val="6"/>
      </w:numPr>
    </w:pPr>
  </w:style>
  <w:style w:type="paragraph" w:customStyle="1" w:styleId="WGNNA-bulleted">
    <w:name w:val="WGNNA-bulleted"/>
    <w:basedOn w:val="Normal"/>
    <w:rsid w:val="00FE1795"/>
    <w:pPr>
      <w:numPr>
        <w:numId w:val="7"/>
      </w:numPr>
      <w:spacing w:after="120"/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LetteredList">
    <w:name w:val="Lettered List"/>
    <w:basedOn w:val="Normal"/>
    <w:rsid w:val="00044EDB"/>
    <w:pPr>
      <w:numPr>
        <w:numId w:val="12"/>
      </w:numPr>
      <w:spacing w:after="120"/>
      <w:jc w:val="both"/>
    </w:pPr>
  </w:style>
  <w:style w:type="paragraph" w:customStyle="1" w:styleId="NumberedList">
    <w:name w:val="Numbered List"/>
    <w:basedOn w:val="ECCParagraph"/>
    <w:qFormat/>
    <w:rsid w:val="007C6571"/>
    <w:pPr>
      <w:numPr>
        <w:numId w:val="16"/>
      </w:numPr>
    </w:pPr>
  </w:style>
  <w:style w:type="numbering" w:customStyle="1" w:styleId="ECCNumbers-Letters">
    <w:name w:val="ECC Numbers-Letters"/>
    <w:uiPriority w:val="99"/>
    <w:rsid w:val="007C6571"/>
    <w:pPr>
      <w:numPr>
        <w:numId w:val="14"/>
      </w:numPr>
    </w:pPr>
  </w:style>
  <w:style w:type="numbering" w:customStyle="1" w:styleId="ECCNumberedList">
    <w:name w:val="ECC Numbered List"/>
    <w:uiPriority w:val="99"/>
    <w:rsid w:val="007C6571"/>
    <w:pPr>
      <w:numPr>
        <w:numId w:val="15"/>
      </w:numPr>
    </w:pPr>
  </w:style>
  <w:style w:type="paragraph" w:customStyle="1" w:styleId="ECCNumbered-LetteredList">
    <w:name w:val="ECC Numbered-Lettered List"/>
    <w:basedOn w:val="Normal"/>
    <w:rsid w:val="007C6571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5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71"/>
    <w:rPr>
      <w:rFonts w:ascii="Lucida Grande" w:hAnsi="Lucida Grande" w:cs="Lucida Grande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E65E22"/>
    <w:pPr>
      <w:autoSpaceDE w:val="0"/>
      <w:autoSpaceDN w:val="0"/>
      <w:spacing w:after="120"/>
    </w:pPr>
    <w:rPr>
      <w:rFonts w:ascii="Times New Roman" w:hAnsi="Times New Roman"/>
      <w:sz w:val="24"/>
      <w:lang w:val="en-GB" w:eastAsia="nl-NL"/>
    </w:rPr>
  </w:style>
  <w:style w:type="character" w:customStyle="1" w:styleId="BodyTextChar">
    <w:name w:val="Body Text Char"/>
    <w:basedOn w:val="DefaultParagraphFont"/>
    <w:link w:val="BodyText"/>
    <w:rsid w:val="00E65E22"/>
    <w:rPr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E65E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15E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F4EA6"/>
    <w:rPr>
      <w:rFonts w:ascii="Arial" w:hAnsi="Arial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5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5"/>
    <w:rPr>
      <w:rFonts w:ascii="Arial" w:hAnsi="Arial"/>
      <w:b/>
      <w:bCs/>
      <w:lang w:val="en-US"/>
    </w:rPr>
  </w:style>
  <w:style w:type="paragraph" w:customStyle="1" w:styleId="ECCEditorsNote">
    <w:name w:val="ECC Editor's Note"/>
    <w:next w:val="Normal"/>
    <w:qFormat/>
    <w:rsid w:val="002A2363"/>
    <w:pPr>
      <w:numPr>
        <w:numId w:val="30"/>
      </w:numPr>
      <w:shd w:val="solid" w:color="FFFF00" w:fill="auto"/>
      <w:spacing w:before="120" w:after="60"/>
      <w:jc w:val="both"/>
    </w:pPr>
    <w:rPr>
      <w:rFonts w:ascii="Arial" w:eastAsia="Calibri" w:hAnsi="Arial"/>
      <w:szCs w:val="22"/>
      <w:lang w:val="da-DK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A938FC"/>
    <w:rPr>
      <w:rFonts w:ascii="Arial" w:hAnsi="Aria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47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db.cep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84DA-E79E-4763-B2F3-1DBA2C6F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8185</Characters>
  <Application>Microsoft Office Word</Application>
  <DocSecurity>0</DocSecurity>
  <Lines>151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ECC Decision (05)08</vt:lpstr>
      <vt:lpstr>Draft revision of ECC Decision (05)08</vt:lpstr>
    </vt:vector>
  </TitlesOfParts>
  <Company/>
  <LinksUpToDate>false</LinksUpToDate>
  <CharactersWithSpaces>9575</CharactersWithSpaces>
  <SharedDoc>false</SharedDoc>
  <HLinks>
    <vt:vector size="30" baseType="variant">
      <vt:variant>
        <vt:i4>4128893</vt:i4>
      </vt:variant>
      <vt:variant>
        <vt:i4>57</vt:i4>
      </vt:variant>
      <vt:variant>
        <vt:i4>0</vt:i4>
      </vt:variant>
      <vt:variant>
        <vt:i4>5</vt:i4>
      </vt:variant>
      <vt:variant>
        <vt:lpwstr>https://docdb.cept.org/document/396</vt:lpwstr>
      </vt:variant>
      <vt:variant>
        <vt:lpwstr/>
      </vt:variant>
      <vt:variant>
        <vt:i4>4063357</vt:i4>
      </vt:variant>
      <vt:variant>
        <vt:i4>54</vt:i4>
      </vt:variant>
      <vt:variant>
        <vt:i4>0</vt:i4>
      </vt:variant>
      <vt:variant>
        <vt:i4>5</vt:i4>
      </vt:variant>
      <vt:variant>
        <vt:lpwstr>https://docdb.cept.org/document/384</vt:lpwstr>
      </vt:variant>
      <vt:variant>
        <vt:lpwstr/>
      </vt:variant>
      <vt:variant>
        <vt:i4>327753</vt:i4>
      </vt:variant>
      <vt:variant>
        <vt:i4>51</vt:i4>
      </vt:variant>
      <vt:variant>
        <vt:i4>0</vt:i4>
      </vt:variant>
      <vt:variant>
        <vt:i4>5</vt:i4>
      </vt:variant>
      <vt:variant>
        <vt:lpwstr>https://docdb.cept.org/document/22510</vt:lpwstr>
      </vt:variant>
      <vt:variant>
        <vt:lpwstr/>
      </vt:variant>
      <vt:variant>
        <vt:i4>4063352</vt:i4>
      </vt:variant>
      <vt:variant>
        <vt:i4>48</vt:i4>
      </vt:variant>
      <vt:variant>
        <vt:i4>0</vt:i4>
      </vt:variant>
      <vt:variant>
        <vt:i4>5</vt:i4>
      </vt:variant>
      <vt:variant>
        <vt:lpwstr>https://docdb.cept.org/document/680</vt:lpwstr>
      </vt:variant>
      <vt:variant>
        <vt:lpwstr/>
      </vt:variant>
      <vt:variant>
        <vt:i4>2949226</vt:i4>
      </vt:variant>
      <vt:variant>
        <vt:i4>45</vt:i4>
      </vt:variant>
      <vt:variant>
        <vt:i4>0</vt:i4>
      </vt:variant>
      <vt:variant>
        <vt:i4>5</vt:i4>
      </vt:variant>
      <vt:variant>
        <vt:lpwstr>https://docdb.cept.org/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Decision (05)08</dc:title>
  <dc:subject/>
  <dc:creator>ECC</dc:creator>
  <cp:keywords>ECC Decision (05)08</cp:keywords>
  <dc:description/>
  <cp:lastModifiedBy>ECO</cp:lastModifiedBy>
  <cp:revision>2</cp:revision>
  <dcterms:created xsi:type="dcterms:W3CDTF">2023-01-25T14:12:00Z</dcterms:created>
  <dcterms:modified xsi:type="dcterms:W3CDTF">2023-01-25T14:12:00Z</dcterms:modified>
</cp:coreProperties>
</file>