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CDE29" w14:textId="77777777" w:rsidR="00677DCE" w:rsidRPr="00F264F0" w:rsidRDefault="00677DCE">
      <w:pPr>
        <w:rPr>
          <w:lang w:val="en-GB"/>
        </w:rPr>
      </w:pPr>
    </w:p>
    <w:p w14:paraId="4CE38A0F" w14:textId="77777777" w:rsidR="00677DCE" w:rsidRPr="00F264F0" w:rsidRDefault="00677DCE">
      <w:pPr>
        <w:rPr>
          <w:lang w:val="en-GB"/>
        </w:rPr>
      </w:pPr>
    </w:p>
    <w:p w14:paraId="50344002" w14:textId="77777777" w:rsidR="00677DCE" w:rsidRPr="00F264F0" w:rsidRDefault="00677DCE">
      <w:pPr>
        <w:rPr>
          <w:lang w:val="en-GB"/>
        </w:rPr>
      </w:pPr>
    </w:p>
    <w:p w14:paraId="7F886F67" w14:textId="77777777" w:rsidR="00677DCE" w:rsidRPr="00F264F0" w:rsidRDefault="00677DCE">
      <w:pPr>
        <w:jc w:val="center"/>
        <w:rPr>
          <w:lang w:val="en-GB"/>
        </w:rPr>
      </w:pPr>
    </w:p>
    <w:p w14:paraId="1D8A7BB4" w14:textId="77777777" w:rsidR="00D721A3" w:rsidRPr="00F264F0" w:rsidRDefault="00D721A3" w:rsidP="00D721A3">
      <w:pPr>
        <w:rPr>
          <w:lang w:val="en-GB"/>
        </w:rPr>
      </w:pPr>
    </w:p>
    <w:p w14:paraId="64B872B8" w14:textId="77777777" w:rsidR="00D721A3" w:rsidRPr="00F264F0" w:rsidRDefault="00D721A3" w:rsidP="00D721A3">
      <w:pPr>
        <w:jc w:val="center"/>
        <w:rPr>
          <w:b/>
          <w:sz w:val="24"/>
          <w:lang w:val="en-GB"/>
        </w:rPr>
      </w:pPr>
      <w:r w:rsidRPr="00F264F0">
        <w:rPr>
          <w:b/>
          <w:noProof/>
          <w:sz w:val="24"/>
          <w:lang w:val="en-GB"/>
        </w:rPr>
        <mc:AlternateContent>
          <mc:Choice Requires="wpg">
            <w:drawing>
              <wp:anchor distT="0" distB="0" distL="114300" distR="114300" simplePos="0" relativeHeight="251658241" behindDoc="0" locked="0" layoutInCell="1" allowOverlap="1" wp14:anchorId="55EB661A" wp14:editId="42B8CBC9">
                <wp:simplePos x="0" y="0"/>
                <wp:positionH relativeFrom="column">
                  <wp:posOffset>-720090</wp:posOffset>
                </wp:positionH>
                <wp:positionV relativeFrom="paragraph">
                  <wp:posOffset>69850</wp:posOffset>
                </wp:positionV>
                <wp:extent cx="7564120" cy="8268970"/>
                <wp:effectExtent l="0" t="76200" r="5080" b="0"/>
                <wp:wrapNone/>
                <wp:docPr id="1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2"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4"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267605" w14:textId="17C3C308" w:rsidR="006E7E00" w:rsidRPr="00FE1795" w:rsidRDefault="006E7E00" w:rsidP="00D721A3">
                              <w:pPr>
                                <w:rPr>
                                  <w:color w:val="57433E"/>
                                  <w:sz w:val="68"/>
                                </w:rPr>
                              </w:pPr>
                              <w:r w:rsidRPr="00FE1795">
                                <w:rPr>
                                  <w:color w:val="FFFFFF"/>
                                  <w:sz w:val="68"/>
                                </w:rPr>
                                <w:t xml:space="preserve">CEPT Report </w:t>
                              </w:r>
                              <w:r>
                                <w:rPr>
                                  <w:color w:val="D2232A"/>
                                  <w:sz w:val="68"/>
                                </w:rPr>
                                <w:t>82</w:t>
                              </w:r>
                            </w:p>
                          </w:txbxContent>
                        </wps:txbx>
                        <wps:bodyPr rot="0" vert="horz" wrap="square" lIns="2880000" tIns="540000" rIns="72000" bIns="45720" anchor="t" anchorCtr="0" upright="1">
                          <a:noAutofit/>
                        </wps:bodyPr>
                      </wps:wsp>
                      <wpg:grpSp>
                        <wpg:cNvPr id="15" name="Group 36"/>
                        <wpg:cNvGrpSpPr>
                          <a:grpSpLocks/>
                        </wpg:cNvGrpSpPr>
                        <wpg:grpSpPr bwMode="auto">
                          <a:xfrm>
                            <a:off x="1304" y="2744"/>
                            <a:ext cx="2683" cy="2464"/>
                            <a:chOff x="1304" y="2744"/>
                            <a:chExt cx="2683" cy="2464"/>
                          </a:xfrm>
                        </wpg:grpSpPr>
                        <wps:wsp>
                          <wps:cNvPr id="16"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7"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8"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9"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0"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5EB661A" id="Group 37" o:spid="_x0000_s1026" style="position:absolute;left:0;text-align:left;margin-left:-56.7pt;margin-top:5.5pt;width:595.6pt;height:651.1pt;z-index:251658241"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">
                <v:rect id="Rectangle 24"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" fillcolor="#828282" stroked="f">
                  <v:textbox inset="80mm,15mm,2mm">
                    <w:txbxContent>
                      <w:p w14:paraId="4B267605" w14:textId="17C3C308" w:rsidR="006E7E00" w:rsidRPr="00FE1795" w:rsidRDefault="006E7E00" w:rsidP="00D721A3">
                        <w:pPr>
                          <w:rPr>
                            <w:color w:val="57433E"/>
                            <w:sz w:val="68"/>
                          </w:rPr>
                        </w:pPr>
                        <w:r w:rsidRPr="00FE1795">
                          <w:rPr>
                            <w:color w:val="FFFFFF"/>
                            <w:sz w:val="68"/>
                          </w:rPr>
                          <w:t xml:space="preserve">CEPT Report </w:t>
                        </w:r>
                        <w:r>
                          <w:rPr>
                            <w:color w:val="D2232A"/>
                            <w:sz w:val="68"/>
                          </w:rPr>
                          <w:t>82</w:t>
                        </w:r>
                      </w:p>
                    </w:txbxContent>
                  </v:textbox>
                </v:shape>
                <v:group id="Group 36" o:spid="_x0000_s1029" style="position:absolute;left:1304;top:2744;width:2683;height:2464" coordorigin="1304,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30" o:spid="_x0000_s1030" style="position:absolute;rotation:45;visibility:visible;mso-wrap-style:square" from="2138,2646" to="2152,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" strokecolor="#d2232a" strokeweight="15pt"/>
                  <v:line id="Line 31" o:spid="_x0000_s1031" style="position:absolute;rotation:-45;flip:x;visibility:visible;mso-wrap-style:square" from="1447,4478" to="2878,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" strokecolor="#d2232a" strokeweight="15pt"/>
                  <v:line id="Line 32" o:spid="_x0000_s1032" style="position:absolute;rotation:-45;flip:x;visibility:visible;mso-wrap-style:square" from="3225,3653" to="3226,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" strokecolor="white" strokeweight="15pt"/>
                  <v:line id="Line 33" o:spid="_x0000_s1033" style="position:absolute;rotation:-45;flip:x;visibility:visible;mso-wrap-style:square" from="2439,3520" to="3987,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" strokecolor="white" strokeweight="15pt"/>
                  <v:line id="Line 34" o:spid="_x0000_s1034" style="position:absolute;visibility:visible;mso-wrap-style:square" from="2670,2744" to="2671,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" strokecolor="#828282" strokeweight="15.5pt"/>
                </v:group>
              </v:group>
            </w:pict>
          </mc:Fallback>
        </mc:AlternateContent>
      </w:r>
    </w:p>
    <w:p w14:paraId="1315DDE1" w14:textId="77777777" w:rsidR="00D721A3" w:rsidRPr="00F264F0" w:rsidRDefault="00D721A3" w:rsidP="00D721A3">
      <w:pPr>
        <w:jc w:val="center"/>
        <w:rPr>
          <w:b/>
          <w:sz w:val="24"/>
          <w:lang w:val="en-GB"/>
        </w:rPr>
      </w:pPr>
    </w:p>
    <w:p w14:paraId="48EDBCD5" w14:textId="77777777" w:rsidR="00D721A3" w:rsidRPr="00F264F0" w:rsidRDefault="00D721A3" w:rsidP="00D721A3">
      <w:pPr>
        <w:jc w:val="center"/>
        <w:rPr>
          <w:b/>
          <w:sz w:val="24"/>
          <w:lang w:val="en-GB"/>
        </w:rPr>
      </w:pPr>
    </w:p>
    <w:p w14:paraId="637204C7" w14:textId="77777777" w:rsidR="00D721A3" w:rsidRPr="00F264F0" w:rsidRDefault="00D721A3" w:rsidP="00D721A3">
      <w:pPr>
        <w:jc w:val="center"/>
        <w:rPr>
          <w:b/>
          <w:sz w:val="24"/>
          <w:lang w:val="en-GB"/>
        </w:rPr>
      </w:pPr>
    </w:p>
    <w:p w14:paraId="282E387C" w14:textId="77777777" w:rsidR="00D721A3" w:rsidRPr="00F264F0" w:rsidRDefault="00D721A3" w:rsidP="00D721A3">
      <w:pPr>
        <w:jc w:val="center"/>
        <w:rPr>
          <w:b/>
          <w:sz w:val="24"/>
          <w:lang w:val="en-GB"/>
        </w:rPr>
      </w:pPr>
    </w:p>
    <w:p w14:paraId="1039BFFF" w14:textId="77777777" w:rsidR="00D721A3" w:rsidRPr="00F264F0" w:rsidRDefault="00D721A3" w:rsidP="00D721A3">
      <w:pPr>
        <w:jc w:val="center"/>
        <w:rPr>
          <w:b/>
          <w:sz w:val="24"/>
          <w:lang w:val="en-GB"/>
        </w:rPr>
      </w:pPr>
    </w:p>
    <w:p w14:paraId="1287500A" w14:textId="77777777" w:rsidR="00D721A3" w:rsidRPr="00F264F0" w:rsidRDefault="00D721A3" w:rsidP="00D721A3">
      <w:pPr>
        <w:jc w:val="center"/>
        <w:rPr>
          <w:b/>
          <w:sz w:val="24"/>
          <w:lang w:val="en-GB"/>
        </w:rPr>
      </w:pPr>
    </w:p>
    <w:p w14:paraId="6C163E29" w14:textId="77777777" w:rsidR="00D721A3" w:rsidRPr="00F264F0" w:rsidRDefault="00D721A3" w:rsidP="00D721A3">
      <w:pPr>
        <w:jc w:val="center"/>
        <w:rPr>
          <w:b/>
          <w:sz w:val="24"/>
          <w:lang w:val="en-GB"/>
        </w:rPr>
      </w:pPr>
    </w:p>
    <w:p w14:paraId="2C5BA361" w14:textId="77777777" w:rsidR="00D721A3" w:rsidRPr="00F264F0" w:rsidRDefault="00D721A3" w:rsidP="00D721A3">
      <w:pPr>
        <w:jc w:val="center"/>
        <w:rPr>
          <w:b/>
          <w:sz w:val="24"/>
          <w:lang w:val="en-GB"/>
        </w:rPr>
      </w:pPr>
    </w:p>
    <w:p w14:paraId="52979D13" w14:textId="77777777" w:rsidR="00D721A3" w:rsidRPr="00F264F0" w:rsidRDefault="00D721A3" w:rsidP="00D721A3">
      <w:pPr>
        <w:jc w:val="center"/>
        <w:rPr>
          <w:b/>
          <w:sz w:val="24"/>
          <w:lang w:val="en-GB"/>
        </w:rPr>
      </w:pPr>
    </w:p>
    <w:p w14:paraId="1D71BDC4" w14:textId="77777777" w:rsidR="00D721A3" w:rsidRPr="00F264F0" w:rsidRDefault="00D721A3" w:rsidP="00D721A3">
      <w:pPr>
        <w:jc w:val="center"/>
        <w:rPr>
          <w:b/>
          <w:sz w:val="24"/>
          <w:lang w:val="en-GB"/>
        </w:rPr>
      </w:pPr>
    </w:p>
    <w:p w14:paraId="2F89D634" w14:textId="1302EA06" w:rsidR="00D721A3" w:rsidRPr="00F264F0" w:rsidRDefault="00D721A3" w:rsidP="00D721A3">
      <w:pPr>
        <w:rPr>
          <w:b/>
          <w:sz w:val="24"/>
          <w:lang w:val="en-GB"/>
        </w:rPr>
      </w:pPr>
    </w:p>
    <w:p w14:paraId="051239E6" w14:textId="3C12DFE7" w:rsidR="00677DCE" w:rsidRPr="00F264F0" w:rsidRDefault="00E917FF">
      <w:pPr>
        <w:pStyle w:val="Reporttitledescription"/>
        <w:rPr>
          <w:lang w:val="en-GB"/>
        </w:rPr>
      </w:pPr>
      <w:r w:rsidRPr="00F264F0">
        <w:rPr>
          <w:lang w:val="en-GB"/>
        </w:rPr>
        <w:fldChar w:fldCharType="begin">
          <w:ffData>
            <w:name w:val="Text7"/>
            <w:enabled/>
            <w:calcOnExit w:val="0"/>
            <w:textInput>
              <w:default w:val="Report from CEPT to the European Commission in response to the Mandate "/>
            </w:textInput>
          </w:ffData>
        </w:fldChar>
      </w:r>
      <w:r w:rsidRPr="00F264F0">
        <w:rPr>
          <w:lang w:val="en-GB"/>
        </w:rPr>
        <w:instrText xml:space="preserve"> </w:instrText>
      </w:r>
      <w:bookmarkStart w:id="0" w:name="Text7"/>
      <w:r w:rsidRPr="00F264F0">
        <w:rPr>
          <w:lang w:val="en-GB"/>
        </w:rPr>
        <w:instrText xml:space="preserve">FORMTEXT </w:instrText>
      </w:r>
      <w:r w:rsidRPr="00F264F0">
        <w:rPr>
          <w:lang w:val="en-GB"/>
        </w:rPr>
      </w:r>
      <w:r w:rsidRPr="00F264F0">
        <w:rPr>
          <w:lang w:val="en-GB"/>
        </w:rPr>
        <w:fldChar w:fldCharType="separate"/>
      </w:r>
      <w:r w:rsidRPr="00F264F0">
        <w:rPr>
          <w:noProof/>
          <w:lang w:val="en-GB"/>
        </w:rPr>
        <w:t xml:space="preserve">Report from CEPT to the European Commission in response to the Mandate </w:t>
      </w:r>
      <w:r w:rsidRPr="00F264F0">
        <w:rPr>
          <w:lang w:val="en-GB"/>
        </w:rPr>
        <w:fldChar w:fldCharType="end"/>
      </w:r>
      <w:bookmarkEnd w:id="0"/>
      <w:r w:rsidR="007D617C" w:rsidRPr="00F264F0">
        <w:rPr>
          <w:lang w:val="en-GB"/>
        </w:rPr>
        <w:t xml:space="preserve"> </w:t>
      </w:r>
    </w:p>
    <w:p w14:paraId="2743D7DD" w14:textId="77777777" w:rsidR="00677DCE" w:rsidRPr="00F264F0" w:rsidRDefault="007D617C">
      <w:pPr>
        <w:pStyle w:val="Reporttitledescription"/>
        <w:rPr>
          <w:lang w:val="en-GB"/>
        </w:rPr>
      </w:pPr>
      <w:r w:rsidRPr="00F264F0">
        <w:rPr>
          <w:lang w:val="en-GB"/>
        </w:rPr>
        <w:t>“to develop least restrictive harmonised technical conditions suitable for next-generation (5G) terrestrial wireless systems for priority frequency bands above 24 GHz”</w:t>
      </w:r>
    </w:p>
    <w:p w14:paraId="70BD12AC" w14:textId="77777777" w:rsidR="00677DCE" w:rsidRPr="00F264F0" w:rsidRDefault="007D617C">
      <w:pPr>
        <w:pStyle w:val="Reporttitledescription"/>
        <w:rPr>
          <w:lang w:val="en-GB"/>
        </w:rPr>
      </w:pPr>
      <w:r w:rsidRPr="00F264F0">
        <w:rPr>
          <w:lang w:val="en-GB"/>
        </w:rPr>
        <w:t>Harmonised least restrictive technical conditions for the 40.5-43.5 GHz frequency band</w:t>
      </w:r>
    </w:p>
    <w:p w14:paraId="20824513" w14:textId="4E3BB6E6" w:rsidR="00677DCE" w:rsidRPr="00F264F0" w:rsidRDefault="00702719">
      <w:pPr>
        <w:pStyle w:val="Reporttitledescription"/>
        <w:rPr>
          <w:b/>
          <w:sz w:val="18"/>
          <w:lang w:val="en-GB"/>
        </w:rPr>
      </w:pPr>
      <w:r>
        <w:rPr>
          <w:lang w:val="en-GB"/>
        </w:rPr>
        <w:fldChar w:fldCharType="begin">
          <w:ffData>
            <w:name w:val="Text8"/>
            <w:enabled/>
            <w:calcOnExit w:val="0"/>
            <w:textInput>
              <w:default w:val="Report approved on 18 November 2022 by the ECC"/>
            </w:textInput>
          </w:ffData>
        </w:fldChar>
      </w:r>
      <w:bookmarkStart w:id="1" w:name="Text8"/>
      <w:r>
        <w:rPr>
          <w:lang w:val="en-GB"/>
        </w:rPr>
        <w:instrText xml:space="preserve"> FORMTEXT </w:instrText>
      </w:r>
      <w:r>
        <w:rPr>
          <w:lang w:val="en-GB"/>
        </w:rPr>
      </w:r>
      <w:r>
        <w:rPr>
          <w:lang w:val="en-GB"/>
        </w:rPr>
        <w:fldChar w:fldCharType="separate"/>
      </w:r>
      <w:r>
        <w:rPr>
          <w:noProof/>
          <w:lang w:val="en-GB"/>
        </w:rPr>
        <w:t>Report approved on 18 November 2022 by the ECC</w:t>
      </w:r>
      <w:r>
        <w:rPr>
          <w:lang w:val="en-GB"/>
        </w:rPr>
        <w:fldChar w:fldCharType="end"/>
      </w:r>
      <w:bookmarkEnd w:id="1"/>
    </w:p>
    <w:p w14:paraId="40A0B5A8" w14:textId="58813CE3" w:rsidR="00677DCE" w:rsidRPr="00F264F0" w:rsidRDefault="001C0925">
      <w:pPr>
        <w:pStyle w:val="Lastupdated"/>
        <w:rPr>
          <w:lang w:val="en-GB"/>
        </w:rPr>
      </w:pPr>
      <w:r w:rsidRPr="00F264F0">
        <w:rPr>
          <w:lang w:val="en-GB"/>
        </w:rPr>
        <w:fldChar w:fldCharType="begin">
          <w:ffData>
            <w:name w:val="Text3"/>
            <w:enabled/>
            <w:calcOnExit w:val="0"/>
            <w:textInput/>
          </w:ffData>
        </w:fldChar>
      </w:r>
      <w:bookmarkStart w:id="2" w:name="Text3"/>
      <w:r w:rsidRPr="00F264F0">
        <w:rPr>
          <w:lang w:val="en-GB"/>
        </w:rPr>
        <w:instrText xml:space="preserve"> FORMTEXT </w:instrText>
      </w:r>
      <w:r w:rsidRPr="00F264F0">
        <w:rPr>
          <w:lang w:val="en-GB"/>
        </w:rPr>
      </w:r>
      <w:r w:rsidRPr="00F264F0">
        <w:rPr>
          <w:lang w:val="en-GB"/>
        </w:rPr>
        <w:fldChar w:fldCharType="separate"/>
      </w:r>
      <w:r w:rsidRPr="00F264F0">
        <w:rPr>
          <w:noProof/>
          <w:lang w:val="en-GB"/>
        </w:rPr>
        <w:t> </w:t>
      </w:r>
      <w:r w:rsidRPr="00F264F0">
        <w:rPr>
          <w:noProof/>
          <w:lang w:val="en-GB"/>
        </w:rPr>
        <w:t> </w:t>
      </w:r>
      <w:r w:rsidRPr="00F264F0">
        <w:rPr>
          <w:noProof/>
          <w:lang w:val="en-GB"/>
        </w:rPr>
        <w:t> </w:t>
      </w:r>
      <w:r w:rsidRPr="00F264F0">
        <w:rPr>
          <w:noProof/>
          <w:lang w:val="en-GB"/>
        </w:rPr>
        <w:t> </w:t>
      </w:r>
      <w:r w:rsidRPr="00F264F0">
        <w:rPr>
          <w:noProof/>
          <w:lang w:val="en-GB"/>
        </w:rPr>
        <w:t> </w:t>
      </w:r>
      <w:r w:rsidRPr="00F264F0">
        <w:rPr>
          <w:lang w:val="en-GB"/>
        </w:rPr>
        <w:fldChar w:fldCharType="end"/>
      </w:r>
      <w:bookmarkEnd w:id="2"/>
    </w:p>
    <w:p w14:paraId="67358B00" w14:textId="77777777" w:rsidR="003C1CCF" w:rsidRPr="00F264F0" w:rsidRDefault="003C1CCF">
      <w:pPr>
        <w:pStyle w:val="Lastupdated"/>
        <w:rPr>
          <w:b/>
          <w:lang w:val="en-GB"/>
        </w:rPr>
      </w:pPr>
    </w:p>
    <w:p w14:paraId="7065BA02" w14:textId="77777777" w:rsidR="00677DCE" w:rsidRPr="00F264F0" w:rsidRDefault="00677DCE">
      <w:pPr>
        <w:pStyle w:val="Lastupdated"/>
        <w:rPr>
          <w:b/>
          <w:lang w:val="en-GB"/>
        </w:rPr>
      </w:pPr>
    </w:p>
    <w:p w14:paraId="099DBF9D" w14:textId="4612B982" w:rsidR="00677DCE" w:rsidRPr="00F264F0" w:rsidRDefault="00677DCE">
      <w:pPr>
        <w:pStyle w:val="Lastupdated"/>
        <w:ind w:left="720"/>
        <w:rPr>
          <w:b/>
          <w:sz w:val="24"/>
          <w:lang w:val="en-GB"/>
        </w:rPr>
        <w:sectPr w:rsidR="00677DCE" w:rsidRPr="00F264F0">
          <w:headerReference w:type="default" r:id="rId11"/>
          <w:pgSz w:w="11906" w:h="16838"/>
          <w:pgMar w:top="1440" w:right="1134" w:bottom="1440" w:left="1134" w:header="709" w:footer="709" w:gutter="0"/>
          <w:cols w:space="708"/>
          <w:formProt w:val="0"/>
          <w:docGrid w:linePitch="360" w:charSpace="8192"/>
        </w:sectPr>
      </w:pPr>
    </w:p>
    <w:p w14:paraId="03CC9845" w14:textId="77777777" w:rsidR="00677DCE" w:rsidRPr="00F264F0" w:rsidRDefault="007D617C" w:rsidP="00F81BE1">
      <w:pPr>
        <w:pStyle w:val="Heading1"/>
      </w:pPr>
      <w:bookmarkStart w:id="3" w:name="_Toc107559533"/>
      <w:bookmarkStart w:id="4" w:name="_Toc119577642"/>
      <w:r w:rsidRPr="00F264F0">
        <w:lastRenderedPageBreak/>
        <w:t>Executive summary</w:t>
      </w:r>
      <w:bookmarkEnd w:id="3"/>
      <w:bookmarkEnd w:id="4"/>
    </w:p>
    <w:p w14:paraId="5AFA4550" w14:textId="054C42B7" w:rsidR="00677DCE" w:rsidRPr="00F264F0" w:rsidRDefault="007D617C">
      <w:pPr>
        <w:pStyle w:val="ECCParagraph"/>
      </w:pPr>
      <w:r w:rsidRPr="00F264F0">
        <w:t xml:space="preserve">This </w:t>
      </w:r>
      <w:r w:rsidR="00F54D2F" w:rsidRPr="00F264F0">
        <w:t>R</w:t>
      </w:r>
      <w:r w:rsidRPr="00F264F0">
        <w:t xml:space="preserve">eport addresses Tasks 1, 2 and 4, concerning 40.5-43.5 GHz, of the EC Mandate to CEPT to develop least restrictive harmonised technical conditions suitable for next-generation (5G) terrestrial wireless systems for priority frequency bands above 24 GHz (EC </w:t>
      </w:r>
      <w:r w:rsidR="004E590A" w:rsidRPr="00F264F0">
        <w:t xml:space="preserve">Mandate </w:t>
      </w:r>
      <w:r w:rsidRPr="00F264F0">
        <w:t xml:space="preserve">– see </w:t>
      </w:r>
      <w:r w:rsidR="00EF521B" w:rsidRPr="00F264F0">
        <w:fldChar w:fldCharType="begin"/>
      </w:r>
      <w:r w:rsidR="00EF521B" w:rsidRPr="00F264F0">
        <w:instrText xml:space="preserve"> REF _Ref103863396 \r \h </w:instrText>
      </w:r>
      <w:r w:rsidR="00EF521B" w:rsidRPr="00F264F0">
        <w:fldChar w:fldCharType="separate"/>
      </w:r>
      <w:r w:rsidR="00EF521B" w:rsidRPr="00F264F0">
        <w:t>ANNEX 1</w:t>
      </w:r>
      <w:r w:rsidR="00EF521B" w:rsidRPr="00F264F0">
        <w:fldChar w:fldCharType="end"/>
      </w:r>
      <w:r w:rsidRPr="00F264F0">
        <w:t>). Taking into account the technical conditions identified</w:t>
      </w:r>
      <w:r w:rsidR="000C0FA8" w:rsidRPr="00F264F0">
        <w:t>,</w:t>
      </w:r>
      <w:r w:rsidRPr="00F264F0">
        <w:t xml:space="preserve"> this </w:t>
      </w:r>
      <w:r w:rsidR="008112E6" w:rsidRPr="00F264F0">
        <w:t>R</w:t>
      </w:r>
      <w:r w:rsidRPr="00F264F0">
        <w:t>eport addresses sharing and compatibility conditions to ensure protection of other users of spectrum in the 40.5-43.5 GHz frequency band (e.g. FS, RAS and FSS) and in adjacent bands (FSS</w:t>
      </w:r>
      <w:r w:rsidR="00124798" w:rsidRPr="00F264F0">
        <w:t xml:space="preserve"> and</w:t>
      </w:r>
      <w:r w:rsidRPr="00F264F0">
        <w:t xml:space="preserve"> FS).</w:t>
      </w:r>
    </w:p>
    <w:p w14:paraId="4E41FB62" w14:textId="627C8CB9" w:rsidR="00677DCE" w:rsidRPr="00F264F0" w:rsidRDefault="007D617C">
      <w:pPr>
        <w:pStyle w:val="ECCParagraph"/>
      </w:pPr>
      <w:r w:rsidRPr="00F264F0">
        <w:t xml:space="preserve">The harmonised technical conditions proposed for Wireless Broadband Electronic Communications Services (WBB ECS) systems in the </w:t>
      </w:r>
      <w:r w:rsidR="00247C78" w:rsidRPr="00F264F0">
        <w:t>40.5-43.5 GHz</w:t>
      </w:r>
      <w:r w:rsidR="00247C78" w:rsidRPr="00F264F0" w:rsidDel="00247C78">
        <w:t xml:space="preserve"> </w:t>
      </w:r>
      <w:r w:rsidRPr="00F264F0">
        <w:t xml:space="preserve"> band (see </w:t>
      </w:r>
      <w:r w:rsidR="006F1545" w:rsidRPr="00F264F0">
        <w:fldChar w:fldCharType="begin"/>
      </w:r>
      <w:r w:rsidR="006F1545" w:rsidRPr="00F264F0">
        <w:instrText xml:space="preserve"> REF _Ref104897991 \r \h </w:instrText>
      </w:r>
      <w:r w:rsidR="006F1545" w:rsidRPr="00F264F0">
        <w:fldChar w:fldCharType="separate"/>
      </w:r>
      <w:r w:rsidR="006F1545" w:rsidRPr="00F264F0">
        <w:t>ANNEX 2</w:t>
      </w:r>
      <w:r w:rsidR="006F1545" w:rsidRPr="00F264F0">
        <w:fldChar w:fldCharType="end"/>
      </w:r>
      <w:r w:rsidRPr="00F264F0">
        <w:t xml:space="preserve">) have been developed based on the main assumptions of synchronised operation and knowledge of location of the WBB ECS base stations. Depending on the authorisation regime applied in this band and in order to ensure appropriate co-existence of terrestrial systems capable of providing WBB ECS with other services in the band and in adjacent bands, there is a need for administrations to assess if it is necessary to impose additional measures (see </w:t>
      </w:r>
      <w:r w:rsidR="009D127F" w:rsidRPr="00F264F0">
        <w:fldChar w:fldCharType="begin"/>
      </w:r>
      <w:r w:rsidR="009D127F" w:rsidRPr="00F264F0">
        <w:instrText xml:space="preserve"> REF _Ref103768958 \r \h </w:instrText>
      </w:r>
      <w:r w:rsidR="009D127F" w:rsidRPr="00F264F0">
        <w:fldChar w:fldCharType="separate"/>
      </w:r>
      <w:r w:rsidR="009D127F" w:rsidRPr="00F264F0">
        <w:t>ANNEX 3</w:t>
      </w:r>
      <w:r w:rsidR="009D127F" w:rsidRPr="00F264F0">
        <w:fldChar w:fldCharType="end"/>
      </w:r>
      <w:r w:rsidRPr="00F264F0">
        <w:t xml:space="preserve">) while still respecting the least restrictive harmonised technical conditions in </w:t>
      </w:r>
      <w:r w:rsidR="00083E50" w:rsidRPr="00F264F0">
        <w:fldChar w:fldCharType="begin"/>
      </w:r>
      <w:r w:rsidR="00083E50" w:rsidRPr="00F264F0">
        <w:instrText xml:space="preserve"> REF _Ref104897991 \r \h </w:instrText>
      </w:r>
      <w:r w:rsidR="00083E50" w:rsidRPr="00F264F0">
        <w:fldChar w:fldCharType="separate"/>
      </w:r>
      <w:r w:rsidR="00083E50" w:rsidRPr="00F264F0">
        <w:t>ANNEX 2</w:t>
      </w:r>
      <w:r w:rsidR="00083E50" w:rsidRPr="00F264F0">
        <w:fldChar w:fldCharType="end"/>
      </w:r>
      <w:r w:rsidR="002E4ADC" w:rsidRPr="00F264F0">
        <w:fldChar w:fldCharType="begin"/>
      </w:r>
      <w:r w:rsidR="002E4ADC" w:rsidRPr="00F264F0">
        <w:instrText xml:space="preserve"> REF _Ref103769108 \r \h </w:instrText>
      </w:r>
      <w:r w:rsidR="00000000">
        <w:fldChar w:fldCharType="separate"/>
      </w:r>
      <w:r w:rsidR="002E4ADC" w:rsidRPr="00F264F0">
        <w:fldChar w:fldCharType="end"/>
      </w:r>
      <w:r w:rsidRPr="00F264F0">
        <w:t>. For an authorisation regime where the location</w:t>
      </w:r>
      <w:r w:rsidR="000C0FA8" w:rsidRPr="00F264F0">
        <w:t>s</w:t>
      </w:r>
      <w:r w:rsidRPr="00F264F0">
        <w:t xml:space="preserve"> of base stations are not known in advance of installation, implementation of sharing conditions implies the need for information on relative location of/or distance between interferer and victim, or on the location of one of these when planning the location of the other station</w:t>
      </w:r>
      <w:r w:rsidR="00247C78" w:rsidRPr="00F264F0">
        <w:t>s</w:t>
      </w:r>
      <w:r w:rsidRPr="00F264F0">
        <w:t>.</w:t>
      </w:r>
    </w:p>
    <w:p w14:paraId="2806CB02" w14:textId="243C9D32" w:rsidR="002D133F" w:rsidRPr="00F264F0" w:rsidRDefault="002D133F" w:rsidP="00F70077">
      <w:pPr>
        <w:pStyle w:val="ECCParagraph"/>
      </w:pPr>
      <w:r w:rsidRPr="00F264F0">
        <w:t xml:space="preserve">The least restrictive technical conditions (LRTC) includes provisions related to the coexistence between WBB ECS systems in the form of a block Edge Mask (BEM). </w:t>
      </w:r>
      <w:r w:rsidR="00F70077" w:rsidRPr="00F264F0">
        <w:t>When developing the BEM, CEPT took into consideration elements of 3GPP/ETSI standardisation and made the assumption of a hotspot deployment approach. In the case where locations of base stations are not known in advance of installation further measures may need to be considered. To assist administrations in sharing and co-existence with other services, CEPT developed guidelines in two separate ECC Recommendations.</w:t>
      </w:r>
      <w:r w:rsidRPr="00F264F0">
        <w:t xml:space="preserve"> </w:t>
      </w:r>
    </w:p>
    <w:p w14:paraId="5455B8F7" w14:textId="2B35AF97" w:rsidR="00677DCE" w:rsidRPr="00F264F0" w:rsidRDefault="007D617C">
      <w:pPr>
        <w:pStyle w:val="ECCParagraph"/>
      </w:pPr>
      <w:r w:rsidRPr="00F264F0">
        <w:t>CEPT developed guidelines to support the introduction of 5G WBB ECS while ensuring, in a proportionate way, the use of FSS receiving earth stations in the frequency band 40.5-42.5 GHz and the use of FSS transmitting earth stations in the frequency band 42.5-43.5</w:t>
      </w:r>
      <w:r w:rsidR="000A3C49" w:rsidRPr="00F264F0">
        <w:t xml:space="preserve"> </w:t>
      </w:r>
      <w:r w:rsidRPr="00F264F0">
        <w:t xml:space="preserve">GHz and the possibility for future deployment of these earth stations (see </w:t>
      </w:r>
      <w:r w:rsidRPr="00F264F0">
        <w:rPr>
          <w:lang w:eastAsia="zh-CN"/>
        </w:rPr>
        <w:t>ECC Recommendation (22)</w:t>
      </w:r>
      <w:r w:rsidR="00E90106" w:rsidRPr="00F264F0">
        <w:rPr>
          <w:lang w:eastAsia="zh-CN"/>
        </w:rPr>
        <w:t>01</w:t>
      </w:r>
      <w:r w:rsidRPr="00F264F0">
        <w:t xml:space="preserve">). In addition, CEPT developed </w:t>
      </w:r>
      <w:r w:rsidR="00142CD8" w:rsidRPr="00F264F0">
        <w:t>guidelines on</w:t>
      </w:r>
      <w:r w:rsidRPr="00F264F0">
        <w:t xml:space="preserve"> measures to facilitate compatibility between WBB ECS in 40.5-43.5 GHz and receiving FSS earth stations in 39.5</w:t>
      </w:r>
      <w:r w:rsidR="00C4446F">
        <w:t> </w:t>
      </w:r>
      <w:r w:rsidRPr="00F264F0">
        <w:t>-</w:t>
      </w:r>
      <w:r w:rsidR="00C4446F">
        <w:t> </w:t>
      </w:r>
      <w:r w:rsidRPr="00F264F0">
        <w:t>40.5</w:t>
      </w:r>
      <w:r w:rsidR="00C4446F">
        <w:t> </w:t>
      </w:r>
      <w:r w:rsidRPr="00F264F0">
        <w:t xml:space="preserve">GHz to prevent and/or resolve interference issues (see </w:t>
      </w:r>
      <w:r w:rsidRPr="00F264F0">
        <w:rPr>
          <w:lang w:eastAsia="zh-CN"/>
        </w:rPr>
        <w:t>ECC Recommendation (22)</w:t>
      </w:r>
      <w:r w:rsidR="00E90106" w:rsidRPr="00F264F0">
        <w:rPr>
          <w:lang w:eastAsia="zh-CN"/>
        </w:rPr>
        <w:t>02</w:t>
      </w:r>
      <w:r w:rsidRPr="00F264F0">
        <w:rPr>
          <w:lang w:eastAsia="zh-CN"/>
        </w:rPr>
        <w:t xml:space="preserve"> </w:t>
      </w:r>
      <w:r w:rsidR="004E590A" w:rsidRPr="00F264F0">
        <w:rPr>
          <w:lang w:eastAsia="zh-CN"/>
        </w:rPr>
        <w:fldChar w:fldCharType="begin"/>
      </w:r>
      <w:r w:rsidR="004E590A" w:rsidRPr="00F264F0">
        <w:rPr>
          <w:lang w:eastAsia="zh-CN"/>
        </w:rPr>
        <w:instrText xml:space="preserve"> REF _Ref103341333 \r \h </w:instrText>
      </w:r>
      <w:r w:rsidR="002D133F" w:rsidRPr="00F264F0">
        <w:rPr>
          <w:lang w:eastAsia="zh-CN"/>
        </w:rPr>
        <w:instrText xml:space="preserve"> \* MERGEFORMAT </w:instrText>
      </w:r>
      <w:r w:rsidR="004E590A" w:rsidRPr="00F264F0">
        <w:rPr>
          <w:lang w:eastAsia="zh-CN"/>
        </w:rPr>
      </w:r>
      <w:r w:rsidR="004E590A" w:rsidRPr="00F264F0">
        <w:rPr>
          <w:lang w:eastAsia="zh-CN"/>
        </w:rPr>
        <w:fldChar w:fldCharType="separate"/>
      </w:r>
      <w:r w:rsidR="006B156B" w:rsidRPr="00F264F0">
        <w:rPr>
          <w:lang w:eastAsia="zh-CN"/>
        </w:rPr>
        <w:t>[2]</w:t>
      </w:r>
      <w:r w:rsidR="004E590A" w:rsidRPr="00F264F0">
        <w:rPr>
          <w:lang w:eastAsia="zh-CN"/>
        </w:rPr>
        <w:fldChar w:fldCharType="end"/>
      </w:r>
      <w:r w:rsidRPr="00F264F0">
        <w:t>).</w:t>
      </w:r>
    </w:p>
    <w:p w14:paraId="62EDE008" w14:textId="72C86801" w:rsidR="00A736A1" w:rsidRPr="00F264F0" w:rsidRDefault="007D617C" w:rsidP="00C4446F">
      <w:pPr>
        <w:pStyle w:val="ECCBulletsLv1"/>
        <w:tabs>
          <w:tab w:val="left" w:pos="4111"/>
        </w:tabs>
        <w:spacing w:before="240" w:after="60"/>
        <w:ind w:left="0" w:firstLine="0"/>
      </w:pPr>
      <w:r w:rsidRPr="00F264F0">
        <w:t xml:space="preserve">A review of the current and planned use of the 40.5-43.5 GHz frequency band taking into account the radio applications according to ERC Report 25 (ECA </w:t>
      </w:r>
      <w:r w:rsidR="004E590A" w:rsidRPr="00F264F0">
        <w:t>Table</w:t>
      </w:r>
      <w:r w:rsidRPr="00F264F0">
        <w:t xml:space="preserve">) </w:t>
      </w:r>
      <w:r w:rsidR="0024603B" w:rsidRPr="00F264F0">
        <w:fldChar w:fldCharType="begin"/>
      </w:r>
      <w:r w:rsidR="0024603B" w:rsidRPr="00F264F0">
        <w:instrText xml:space="preserve"> REF _Ref103956481 \r \h </w:instrText>
      </w:r>
      <w:r w:rsidR="002D133F" w:rsidRPr="00F264F0">
        <w:rPr>
          <w:highlight w:val="green"/>
        </w:rPr>
        <w:instrText xml:space="preserve"> \* MERGEFORMAT </w:instrText>
      </w:r>
      <w:r w:rsidR="0024603B" w:rsidRPr="00F264F0">
        <w:fldChar w:fldCharType="separate"/>
      </w:r>
      <w:r w:rsidR="006B156B" w:rsidRPr="00F264F0">
        <w:t>[3]</w:t>
      </w:r>
      <w:r w:rsidR="0024603B" w:rsidRPr="00F264F0">
        <w:fldChar w:fldCharType="end"/>
      </w:r>
      <w:r w:rsidR="006B08E8" w:rsidRPr="00F264F0">
        <w:t xml:space="preserve"> </w:t>
      </w:r>
      <w:r w:rsidRPr="00F264F0">
        <w:t xml:space="preserve">was done and the results of an ECC Questionnaire from 2016 were evaluated. No additional questionnaire was needed as the incumbent services to be protected in preparation for WRC-19 stayed the same i.e.: </w:t>
      </w:r>
      <w:r w:rsidR="00955D27" w:rsidRPr="00F264F0">
        <w:t xml:space="preserve">fixed </w:t>
      </w:r>
      <w:r w:rsidRPr="00F264F0">
        <w:t xml:space="preserve">service (FS), </w:t>
      </w:r>
      <w:r w:rsidR="00955D27" w:rsidRPr="00F264F0">
        <w:t xml:space="preserve">radio </w:t>
      </w:r>
      <w:r w:rsidRPr="00F264F0">
        <w:t xml:space="preserve">astronomy (RAS) and </w:t>
      </w:r>
      <w:r w:rsidR="00955D27" w:rsidRPr="00F264F0">
        <w:t xml:space="preserve">fixed-satellite service </w:t>
      </w:r>
      <w:r w:rsidRPr="00F264F0">
        <w:t xml:space="preserve">(FSS). Depending on the national situation and according to the assumption for usage of this band in this </w:t>
      </w:r>
      <w:r w:rsidR="008112E6" w:rsidRPr="00F264F0">
        <w:t>R</w:t>
      </w:r>
      <w:r w:rsidRPr="00F264F0">
        <w:t xml:space="preserve">eport, a need was identified to maintain </w:t>
      </w:r>
      <w:r w:rsidRPr="00F264F0">
        <w:rPr>
          <w:lang w:eastAsia="zh-CN"/>
        </w:rPr>
        <w:t xml:space="preserve">appropriate provisions in </w:t>
      </w:r>
      <w:r w:rsidRPr="00F264F0">
        <w:t xml:space="preserve">WBB ECS </w:t>
      </w:r>
      <w:r w:rsidRPr="00F264F0">
        <w:rPr>
          <w:lang w:eastAsia="zh-CN"/>
        </w:rPr>
        <w:t xml:space="preserve">authorisation in 40.5-43.5 GHz </w:t>
      </w:r>
      <w:r w:rsidRPr="00F264F0">
        <w:t xml:space="preserve">for protection of fixed links and </w:t>
      </w:r>
      <w:r w:rsidR="00964AB7" w:rsidRPr="00F264F0">
        <w:t>RAS</w:t>
      </w:r>
      <w:r w:rsidR="00AF3833" w:rsidRPr="00F264F0">
        <w:t xml:space="preserve"> </w:t>
      </w:r>
      <w:r w:rsidRPr="00F264F0">
        <w:t xml:space="preserve">in 42.5-43.5 GHz (see in section </w:t>
      </w:r>
      <w:r w:rsidR="00964AB7" w:rsidRPr="00F264F0">
        <w:fldChar w:fldCharType="begin"/>
      </w:r>
      <w:r w:rsidR="00964AB7" w:rsidRPr="00F264F0">
        <w:instrText xml:space="preserve"> REF _Ref104199732 \r \h </w:instrText>
      </w:r>
      <w:r w:rsidR="002D133F" w:rsidRPr="00F264F0">
        <w:rPr>
          <w:highlight w:val="green"/>
        </w:rPr>
        <w:instrText xml:space="preserve"> \* MERGEFORMAT </w:instrText>
      </w:r>
      <w:r w:rsidR="00964AB7" w:rsidRPr="00F264F0">
        <w:fldChar w:fldCharType="separate"/>
      </w:r>
      <w:r w:rsidR="006B156B" w:rsidRPr="00F264F0">
        <w:t>2.2</w:t>
      </w:r>
      <w:r w:rsidR="00964AB7" w:rsidRPr="00F264F0">
        <w:fldChar w:fldCharType="end"/>
      </w:r>
      <w:r w:rsidR="001C1AFF" w:rsidRPr="00F264F0">
        <w:t>,</w:t>
      </w:r>
      <w:r w:rsidRPr="00F264F0">
        <w:t xml:space="preserve"> the list </w:t>
      </w:r>
      <w:r w:rsidR="00964AB7" w:rsidRPr="00F264F0">
        <w:t xml:space="preserve">of </w:t>
      </w:r>
      <w:r w:rsidRPr="00F264F0">
        <w:t>identified RAS sites). It should be noted that in some countries there are no fixed links or RAS sites.</w:t>
      </w:r>
    </w:p>
    <w:p w14:paraId="6A0A75C6" w14:textId="70063D6D" w:rsidR="007D617C" w:rsidRPr="00F264F0" w:rsidRDefault="00A736A1" w:rsidP="00C4446F">
      <w:pPr>
        <w:pStyle w:val="ECCParagraph"/>
      </w:pPr>
      <w:r w:rsidRPr="00F264F0">
        <w:t>Moreover, there is also a need in WBB ECS authorisation to maintain appropriate provisions to ensure</w:t>
      </w:r>
      <w:r w:rsidR="00AA3A97" w:rsidRPr="00F264F0">
        <w:t>,</w:t>
      </w:r>
      <w:r w:rsidRPr="00F264F0">
        <w:t xml:space="preserve"> in a proportionate way, the use and the possibility for future deployment of FSS receiving earth stations in the frequency band 40.5-42.5 GHz and FSS transmitting earth stations in the frequency band 42.5-43.5</w:t>
      </w:r>
      <w:r w:rsidR="000A3C49" w:rsidRPr="00F264F0">
        <w:t xml:space="preserve"> </w:t>
      </w:r>
      <w:r w:rsidRPr="00F264F0">
        <w:t>GHz</w:t>
      </w:r>
      <w:r w:rsidR="0037079E" w:rsidRPr="00F264F0">
        <w:t>,</w:t>
      </w:r>
      <w:r w:rsidRPr="00F264F0">
        <w:t xml:space="preserve"> while protecting WBB ECS in 42.5-43.5 GHz.</w:t>
      </w:r>
    </w:p>
    <w:p w14:paraId="5C2B4F3A" w14:textId="3FC009CA" w:rsidR="00677DCE" w:rsidRPr="00F264F0" w:rsidRDefault="007D617C">
      <w:pPr>
        <w:pStyle w:val="ECCParagraph"/>
      </w:pPr>
      <w:r w:rsidRPr="00F264F0">
        <w:t>Based on the results of the review of the current and planned use of the 40.5-43.5 GHz frequency band, the frequency arrangements</w:t>
      </w:r>
      <w:r w:rsidR="0037079E" w:rsidRPr="00F264F0">
        <w:t xml:space="preserve"> and</w:t>
      </w:r>
      <w:r w:rsidRPr="00F264F0">
        <w:t xml:space="preserve"> common and minimal (least restrictive) technical conditions were developed, including sharing conditions for the band which are suitable for terrestrial wireless systems, including 5G, in compliance with the principles of technology and service neutrality.</w:t>
      </w:r>
    </w:p>
    <w:p w14:paraId="048B3D8A" w14:textId="41CBB346" w:rsidR="00677DCE" w:rsidRPr="00F264F0" w:rsidRDefault="007D617C">
      <w:pPr>
        <w:pStyle w:val="ECCParagraph"/>
      </w:pPr>
      <w:r w:rsidRPr="00F264F0">
        <w:t>The technical conditions identified in this Report address sharing and compatibility conditions to ensure protection of other users of spectrum in the 40.5-43.5 GHz frequency band (e.g. FS, RAS and FSS) and in adjacent bands (e.g. FSS</w:t>
      </w:r>
      <w:r w:rsidR="00084A22" w:rsidRPr="00F264F0">
        <w:t xml:space="preserve"> and</w:t>
      </w:r>
      <w:r w:rsidRPr="00F264F0">
        <w:t xml:space="preserve"> FS) </w:t>
      </w:r>
      <w:r w:rsidR="006945E8" w:rsidRPr="00F264F0">
        <w:fldChar w:fldCharType="begin"/>
      </w:r>
      <w:r w:rsidR="006945E8" w:rsidRPr="00F264F0">
        <w:instrText xml:space="preserve"> REF _Ref103956624 \r \h </w:instrText>
      </w:r>
      <w:r w:rsidR="002D133F" w:rsidRPr="00F264F0">
        <w:instrText xml:space="preserve"> \* MERGEFORMAT </w:instrText>
      </w:r>
      <w:r w:rsidR="006945E8" w:rsidRPr="00F264F0">
        <w:fldChar w:fldCharType="separate"/>
      </w:r>
      <w:r w:rsidR="006B156B" w:rsidRPr="00F264F0">
        <w:t>[4]</w:t>
      </w:r>
      <w:r w:rsidR="006945E8" w:rsidRPr="00F264F0">
        <w:fldChar w:fldCharType="end"/>
      </w:r>
      <w:r w:rsidRPr="00F264F0">
        <w:t xml:space="preserve">. It is noted that sharing with active services </w:t>
      </w:r>
      <w:r w:rsidR="00F86D51" w:rsidRPr="00F264F0">
        <w:t xml:space="preserve">in frequency bands </w:t>
      </w:r>
      <w:r w:rsidRPr="00F264F0">
        <w:t xml:space="preserve">above 40 GHz may be easier than systems operating at lower frequencies for several reasons </w:t>
      </w:r>
      <w:r w:rsidR="0003039D" w:rsidRPr="00F264F0">
        <w:fldChar w:fldCharType="begin"/>
      </w:r>
      <w:r w:rsidR="0003039D" w:rsidRPr="00F264F0">
        <w:instrText xml:space="preserve"> REF _Ref103863117 \r \h </w:instrText>
      </w:r>
      <w:r w:rsidR="002D133F" w:rsidRPr="00F264F0">
        <w:instrText xml:space="preserve"> \* MERGEFORMAT </w:instrText>
      </w:r>
      <w:r w:rsidR="0003039D" w:rsidRPr="00F264F0">
        <w:fldChar w:fldCharType="separate"/>
      </w:r>
      <w:r w:rsidR="006B156B" w:rsidRPr="00F264F0">
        <w:t>[5]</w:t>
      </w:r>
      <w:r w:rsidR="0003039D" w:rsidRPr="00F264F0">
        <w:fldChar w:fldCharType="end"/>
      </w:r>
      <w:r w:rsidR="00CB1A78" w:rsidRPr="00F264F0">
        <w:t>:</w:t>
      </w:r>
      <w:r w:rsidRPr="00F264F0">
        <w:t xml:space="preserve"> </w:t>
      </w:r>
      <w:r w:rsidR="00D676DF" w:rsidRPr="00F264F0">
        <w:t xml:space="preserve">high </w:t>
      </w:r>
      <w:r w:rsidRPr="00F264F0">
        <w:t xml:space="preserve">transmitting directivity can be easily achieved with antennas of practical size; the line-of-sight and atmospheric attenuation </w:t>
      </w:r>
      <w:r w:rsidRPr="00F264F0">
        <w:lastRenderedPageBreak/>
        <w:t>is higher at these frequencies, diffraction is weaker (leading to stronger shielding by obstacles); the scattering of signals by the troposphere decreases with increasing frequency.</w:t>
      </w:r>
    </w:p>
    <w:p w14:paraId="6CC485F6" w14:textId="29DBF7DD" w:rsidR="00677DCE" w:rsidRPr="00F264F0" w:rsidRDefault="007D617C">
      <w:pPr>
        <w:pStyle w:val="ECCParagraph"/>
      </w:pPr>
      <w:r w:rsidRPr="00F264F0">
        <w:t>The FSS framework in the 40.5-43.5 GHz band is referenced in the revision of ECC Decision (02)04</w:t>
      </w:r>
      <w:r w:rsidR="00AC608D" w:rsidRPr="00F264F0">
        <w:t xml:space="preserve"> </w:t>
      </w:r>
      <w:r w:rsidR="00AC608D" w:rsidRPr="00F264F0">
        <w:fldChar w:fldCharType="begin"/>
      </w:r>
      <w:r w:rsidR="00AC608D" w:rsidRPr="00F264F0">
        <w:instrText xml:space="preserve"> REF _Ref110601742 \r \h </w:instrText>
      </w:r>
      <w:r w:rsidR="002D133F" w:rsidRPr="00F264F0">
        <w:instrText xml:space="preserve"> \* MERGEFORMAT </w:instrText>
      </w:r>
      <w:r w:rsidR="00AC608D" w:rsidRPr="00F264F0">
        <w:fldChar w:fldCharType="separate"/>
      </w:r>
      <w:r w:rsidR="006B156B" w:rsidRPr="00F264F0">
        <w:t>[11]</w:t>
      </w:r>
      <w:r w:rsidR="00AC608D" w:rsidRPr="00F264F0">
        <w:fldChar w:fldCharType="end"/>
      </w:r>
      <w:r w:rsidRPr="00F264F0">
        <w:t>.</w:t>
      </w:r>
    </w:p>
    <w:p w14:paraId="4A541C5D" w14:textId="286741FA" w:rsidR="00677DCE" w:rsidRPr="00F264F0" w:rsidRDefault="007D617C">
      <w:pPr>
        <w:pStyle w:val="ECCParagraph"/>
      </w:pPr>
      <w:r w:rsidRPr="00F264F0">
        <w:t>For the protection of FSS satellite receivers in 42.5</w:t>
      </w:r>
      <w:r w:rsidR="003C00DE" w:rsidRPr="00F264F0">
        <w:t>-</w:t>
      </w:r>
      <w:r w:rsidRPr="00F264F0">
        <w:t>43.5 GHz, CEPT proposes to implement a similar approach as for the protection of FSS satellite receivers at 26 GHz (CEPT Report 68</w:t>
      </w:r>
      <w:r w:rsidR="00AE3E11" w:rsidRPr="00F264F0">
        <w:t xml:space="preserve"> </w:t>
      </w:r>
      <w:r w:rsidR="00AE3E11" w:rsidRPr="00F264F0">
        <w:fldChar w:fldCharType="begin"/>
      </w:r>
      <w:r w:rsidR="00AE3E11" w:rsidRPr="00F264F0">
        <w:instrText xml:space="preserve"> REF _Ref103956763 \r \h </w:instrText>
      </w:r>
      <w:r w:rsidR="002D133F" w:rsidRPr="00F264F0">
        <w:instrText xml:space="preserve"> \* MERGEFORMAT </w:instrText>
      </w:r>
      <w:r w:rsidR="00AE3E11" w:rsidRPr="00F264F0">
        <w:fldChar w:fldCharType="separate"/>
      </w:r>
      <w:r w:rsidR="006B156B" w:rsidRPr="00F264F0">
        <w:t>[6]</w:t>
      </w:r>
      <w:r w:rsidR="00AE3E11" w:rsidRPr="00F264F0">
        <w:fldChar w:fldCharType="end"/>
      </w:r>
      <w:r w:rsidRPr="00F264F0">
        <w:t>, ECC</w:t>
      </w:r>
      <w:r w:rsidR="00C12E0B" w:rsidRPr="00F264F0">
        <w:t xml:space="preserve"> Decision </w:t>
      </w:r>
      <w:r w:rsidR="000C0FA8" w:rsidRPr="00F264F0">
        <w:t>(</w:t>
      </w:r>
      <w:r w:rsidRPr="00F264F0">
        <w:t>18</w:t>
      </w:r>
      <w:r w:rsidR="000C0FA8" w:rsidRPr="00F264F0">
        <w:t>)</w:t>
      </w:r>
      <w:r w:rsidRPr="00F264F0">
        <w:t>06</w:t>
      </w:r>
      <w:r w:rsidR="00C12E0B" w:rsidRPr="00F264F0">
        <w:t xml:space="preserve"> </w:t>
      </w:r>
      <w:r w:rsidR="00F14C54" w:rsidRPr="00F264F0">
        <w:fldChar w:fldCharType="begin"/>
      </w:r>
      <w:r w:rsidR="00F14C54" w:rsidRPr="00F264F0">
        <w:instrText xml:space="preserve"> REF _Ref103956776 \r \h </w:instrText>
      </w:r>
      <w:r w:rsidR="002D133F" w:rsidRPr="00F264F0">
        <w:instrText xml:space="preserve"> \* MERGEFORMAT </w:instrText>
      </w:r>
      <w:r w:rsidR="00F14C54" w:rsidRPr="00F264F0">
        <w:fldChar w:fldCharType="separate"/>
      </w:r>
      <w:r w:rsidR="006B156B" w:rsidRPr="00F264F0">
        <w:t>[7]</w:t>
      </w:r>
      <w:r w:rsidR="00F14C54" w:rsidRPr="00F264F0">
        <w:fldChar w:fldCharType="end"/>
      </w:r>
      <w:r w:rsidRPr="00F264F0">
        <w:t xml:space="preserve"> and the 26 GHz EC Decisions (EU) 2020/590 amending Decision (EU) 2019/784)</w:t>
      </w:r>
      <w:r w:rsidR="00F14C54" w:rsidRPr="00F264F0">
        <w:t xml:space="preserve"> </w:t>
      </w:r>
      <w:r w:rsidR="00F14C54" w:rsidRPr="00F264F0">
        <w:fldChar w:fldCharType="begin"/>
      </w:r>
      <w:r w:rsidR="00F14C54" w:rsidRPr="00F264F0">
        <w:instrText xml:space="preserve"> REF _Ref103956784 \r \h </w:instrText>
      </w:r>
      <w:r w:rsidR="002D133F" w:rsidRPr="00F264F0">
        <w:instrText xml:space="preserve"> \* MERGEFORMAT </w:instrText>
      </w:r>
      <w:r w:rsidR="00F14C54" w:rsidRPr="00F264F0">
        <w:fldChar w:fldCharType="separate"/>
      </w:r>
      <w:r w:rsidR="006B156B" w:rsidRPr="00F264F0">
        <w:t>[8]</w:t>
      </w:r>
      <w:r w:rsidR="00F14C54" w:rsidRPr="00F264F0">
        <w:fldChar w:fldCharType="end"/>
      </w:r>
      <w:r w:rsidR="00C12E0B" w:rsidRPr="00F264F0">
        <w:t xml:space="preserve"> </w:t>
      </w:r>
      <w:r w:rsidRPr="00F264F0">
        <w:t>including the need to monitor the evolution of WBB ECS. Under authorisation regimes where there are no means to monitor the evolution of WBB ECS density and its deployment characteristics, an in-band limit for the TRP for WBB ECS equipment could be defined at national level.</w:t>
      </w:r>
    </w:p>
    <w:p w14:paraId="17D0E824" w14:textId="5FA5187E" w:rsidR="00677DCE" w:rsidRPr="00F264F0" w:rsidRDefault="007D617C">
      <w:pPr>
        <w:pStyle w:val="ECCParagraph"/>
      </w:pPr>
      <w:r w:rsidRPr="00F264F0">
        <w:t>In consequence, CEPT intends to assess on regular basis the deployment of WBB ECS system including characteristics</w:t>
      </w:r>
      <w:r w:rsidR="000C0FA8" w:rsidRPr="00F264F0">
        <w:t xml:space="preserve"> of</w:t>
      </w:r>
      <w:r w:rsidRPr="00F264F0">
        <w:t xml:space="preserve"> network deployments. Administrations are invited to monitor and report annually to ECO on deployment of 40.5-43.5 GHz WBB ECS in their country and encouraged to rapidly report to ECO on cases of interference to FSS caused by WBB ECS above 40.5 GHz and the measures they have taken to resolve them.</w:t>
      </w:r>
    </w:p>
    <w:p w14:paraId="44666413" w14:textId="77777777" w:rsidR="00677DCE" w:rsidRPr="00F264F0" w:rsidRDefault="007D617C">
      <w:pPr>
        <w:pStyle w:val="ECCParagraph"/>
      </w:pPr>
      <w:r w:rsidRPr="00F264F0">
        <w:t xml:space="preserve">For the protection of radio astronomy, generic compatibility studies between RAS and WBB ECS systems concluded that for the frequency band 40.5-43.5 GHz, exclusion zones around RAS stations are required. These could be managed on a case-by-case basis at </w:t>
      </w:r>
      <w:r w:rsidR="00F86D51" w:rsidRPr="00F264F0">
        <w:t xml:space="preserve">a </w:t>
      </w:r>
      <w:r w:rsidRPr="00F264F0">
        <w:t>national level.</w:t>
      </w:r>
    </w:p>
    <w:p w14:paraId="271A132E" w14:textId="482A3040" w:rsidR="00677DCE" w:rsidRPr="00F264F0" w:rsidRDefault="007D617C">
      <w:pPr>
        <w:pStyle w:val="ECCParagraph"/>
      </w:pPr>
      <w:r w:rsidRPr="00F264F0">
        <w:t xml:space="preserve">During the development of this </w:t>
      </w:r>
      <w:r w:rsidR="008112E6" w:rsidRPr="00F264F0">
        <w:t>R</w:t>
      </w:r>
      <w:r w:rsidRPr="00F264F0">
        <w:t xml:space="preserve">eport, it was noted that various high </w:t>
      </w:r>
      <w:proofErr w:type="gramStart"/>
      <w:r w:rsidR="00C9488C" w:rsidRPr="00F264F0">
        <w:t>bit-</w:t>
      </w:r>
      <w:r w:rsidRPr="00F264F0">
        <w:t>rate</w:t>
      </w:r>
      <w:proofErr w:type="gramEnd"/>
      <w:r w:rsidRPr="00F264F0">
        <w:t xml:space="preserve"> WBB ECS aerial UE applications might use this band or parts of the band in the future in some countries. No studies have been performed.</w:t>
      </w:r>
    </w:p>
    <w:p w14:paraId="2E5EA33B" w14:textId="29D3F086" w:rsidR="00677DCE" w:rsidRPr="00F264F0" w:rsidRDefault="007D617C">
      <w:pPr>
        <w:pStyle w:val="ECCParagraph"/>
      </w:pPr>
      <w:r w:rsidRPr="00F264F0">
        <w:t xml:space="preserve">In response to </w:t>
      </w:r>
      <w:r w:rsidR="0075763A" w:rsidRPr="00F264F0">
        <w:t>T</w:t>
      </w:r>
      <w:r w:rsidRPr="00F264F0">
        <w:t xml:space="preserve">ask 4, CEPT supports the current bilateral cross-border coordination process between relevant CEPT countries and intends to develop </w:t>
      </w:r>
      <w:r w:rsidR="00517582" w:rsidRPr="00F264F0">
        <w:t xml:space="preserve">an </w:t>
      </w:r>
      <w:r w:rsidRPr="00F264F0">
        <w:t xml:space="preserve">ECC </w:t>
      </w:r>
      <w:r w:rsidR="00517582" w:rsidRPr="00F264F0">
        <w:t>R</w:t>
      </w:r>
      <w:r w:rsidRPr="00F264F0">
        <w:t>ecommendation</w:t>
      </w:r>
      <w:r w:rsidR="00517582" w:rsidRPr="00F264F0">
        <w:t xml:space="preserve"> relevant </w:t>
      </w:r>
      <w:r w:rsidRPr="00F264F0">
        <w:t>for this frequency band.</w:t>
      </w:r>
    </w:p>
    <w:p w14:paraId="0909CEF9" w14:textId="77777777" w:rsidR="00677DCE" w:rsidRPr="00F264F0" w:rsidRDefault="007D617C">
      <w:pPr>
        <w:rPr>
          <w:lang w:val="en-GB"/>
        </w:rPr>
      </w:pPr>
      <w:r w:rsidRPr="00F264F0">
        <w:rPr>
          <w:lang w:val="en-GB"/>
        </w:rPr>
        <w:br w:type="page"/>
      </w:r>
    </w:p>
    <w:p w14:paraId="5855E938" w14:textId="77777777" w:rsidR="00677DCE" w:rsidRPr="00F264F0" w:rsidRDefault="007D617C">
      <w:pPr>
        <w:rPr>
          <w:b/>
          <w:color w:val="FFFFFF"/>
          <w:lang w:val="en-GB"/>
        </w:rPr>
      </w:pPr>
      <w:r w:rsidRPr="00F264F0">
        <w:rPr>
          <w:b/>
          <w:noProof/>
          <w:color w:val="FFFFFF"/>
          <w:lang w:val="en-GB"/>
        </w:rPr>
        <w:lastRenderedPageBreak/>
        <mc:AlternateContent>
          <mc:Choice Requires="wps">
            <w:drawing>
              <wp:anchor distT="0" distB="0" distL="0" distR="0" simplePos="0" relativeHeight="251658240" behindDoc="1" locked="0" layoutInCell="1" allowOverlap="1" wp14:anchorId="19ED72B0" wp14:editId="45558BF3">
                <wp:simplePos x="0" y="0"/>
                <wp:positionH relativeFrom="page">
                  <wp:posOffset>0</wp:posOffset>
                </wp:positionH>
                <wp:positionV relativeFrom="page">
                  <wp:posOffset>900430</wp:posOffset>
                </wp:positionV>
                <wp:extent cx="7562215" cy="721995"/>
                <wp:effectExtent l="0" t="0" r="0" b="5080"/>
                <wp:wrapNone/>
                <wp:docPr id="10" name="Rectangle 21"/>
                <wp:cNvGraphicFramePr/>
                <a:graphic xmlns:a="http://schemas.openxmlformats.org/drawingml/2006/main">
                  <a:graphicData uri="http://schemas.microsoft.com/office/word/2010/wordprocessingShape">
                    <wps:wsp>
                      <wps:cNvSpPr/>
                      <wps:spPr>
                        <a:xfrm>
                          <a:off x="0" y="0"/>
                          <a:ext cx="7561440" cy="721440"/>
                        </a:xfrm>
                        <a:prstGeom prst="rect">
                          <a:avLst/>
                        </a:prstGeom>
                        <a:solidFill>
                          <a:srgbClr val="B0A696"/>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2FD63C8" id="Rectangle 21" o:spid="_x0000_s1026" style="position:absolute;margin-left:0;margin-top:70.9pt;width:595.45pt;height:56.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" fillcolor="#b0a696" stroked="f">
                <w10:wrap anchorx="page" anchory="page"/>
              </v:rect>
            </w:pict>
          </mc:Fallback>
        </mc:AlternateContent>
      </w:r>
    </w:p>
    <w:p w14:paraId="72E0DD1C" w14:textId="77777777" w:rsidR="00677DCE" w:rsidRPr="00F264F0" w:rsidRDefault="00677DCE">
      <w:pPr>
        <w:rPr>
          <w:b/>
          <w:color w:val="FFFFFF"/>
          <w:szCs w:val="20"/>
          <w:lang w:val="en-GB"/>
        </w:rPr>
      </w:pPr>
    </w:p>
    <w:p w14:paraId="378F7E39" w14:textId="77777777" w:rsidR="00677DCE" w:rsidRPr="00F264F0" w:rsidRDefault="007D617C">
      <w:pPr>
        <w:rPr>
          <w:b/>
          <w:color w:val="FFFFFF"/>
          <w:szCs w:val="20"/>
          <w:lang w:val="en-GB"/>
        </w:rPr>
      </w:pPr>
      <w:r w:rsidRPr="00F264F0">
        <w:rPr>
          <w:b/>
          <w:color w:val="FFFFFF"/>
          <w:szCs w:val="20"/>
          <w:lang w:val="en-GB"/>
        </w:rPr>
        <w:t>TABLE OF CONTENTS</w:t>
      </w:r>
    </w:p>
    <w:p w14:paraId="16EA1EB6" w14:textId="77777777" w:rsidR="00677DCE" w:rsidRPr="00F264F0" w:rsidRDefault="00677DCE">
      <w:pPr>
        <w:rPr>
          <w:b/>
          <w:color w:val="FFFFFF"/>
          <w:szCs w:val="20"/>
          <w:lang w:val="en-GB"/>
        </w:rPr>
      </w:pPr>
    </w:p>
    <w:p w14:paraId="2EA8E2F7" w14:textId="77777777" w:rsidR="00677DCE" w:rsidRPr="00F264F0" w:rsidRDefault="00677DCE">
      <w:pPr>
        <w:rPr>
          <w:b/>
          <w:color w:val="FFFFFF"/>
          <w:szCs w:val="20"/>
          <w:lang w:val="en-GB"/>
        </w:rPr>
      </w:pPr>
    </w:p>
    <w:p w14:paraId="2017F613" w14:textId="77777777" w:rsidR="00677DCE" w:rsidRPr="00F264F0" w:rsidRDefault="00677DCE">
      <w:pPr>
        <w:rPr>
          <w:lang w:val="en-GB"/>
        </w:rPr>
      </w:pPr>
    </w:p>
    <w:sdt>
      <w:sdtPr>
        <w:rPr>
          <w:lang w:val="en-GB"/>
        </w:rPr>
        <w:id w:val="1500776700"/>
        <w:docPartObj>
          <w:docPartGallery w:val="Table of Contents"/>
          <w:docPartUnique/>
        </w:docPartObj>
      </w:sdtPr>
      <w:sdtContent>
        <w:p w14:paraId="06F409A7" w14:textId="071AA220" w:rsidR="004C4CA9" w:rsidRDefault="004C4CA9">
          <w:pPr>
            <w:pStyle w:val="TOC1"/>
            <w:rPr>
              <w:rFonts w:asciiTheme="minorHAnsi" w:eastAsiaTheme="minorEastAsia" w:hAnsiTheme="minorHAnsi" w:cstheme="minorBidi"/>
              <w:b w:val="0"/>
              <w:caps w:val="0"/>
              <w:noProof/>
              <w:sz w:val="22"/>
              <w:szCs w:val="22"/>
              <w:lang w:val="en-DK" w:eastAsia="en-DK"/>
            </w:rPr>
          </w:pPr>
          <w:r>
            <w:fldChar w:fldCharType="begin"/>
          </w:r>
          <w:r>
            <w:instrText xml:space="preserve"> TOC \o "1-3" \h \z \u </w:instrText>
          </w:r>
          <w:r>
            <w:fldChar w:fldCharType="separate"/>
          </w:r>
          <w:hyperlink w:anchor="_Toc119577642" w:history="1">
            <w:r w:rsidRPr="002E2FD0">
              <w:rPr>
                <w:rStyle w:val="Hyperlink"/>
                <w:noProof/>
              </w:rPr>
              <w:t>0</w:t>
            </w:r>
            <w:r>
              <w:rPr>
                <w:rFonts w:asciiTheme="minorHAnsi" w:eastAsiaTheme="minorEastAsia" w:hAnsiTheme="minorHAnsi" w:cstheme="minorBidi"/>
                <w:b w:val="0"/>
                <w:caps w:val="0"/>
                <w:noProof/>
                <w:sz w:val="22"/>
                <w:szCs w:val="22"/>
                <w:lang w:val="en-DK" w:eastAsia="en-DK"/>
              </w:rPr>
              <w:tab/>
            </w:r>
            <w:r w:rsidRPr="002E2FD0">
              <w:rPr>
                <w:rStyle w:val="Hyperlink"/>
                <w:noProof/>
              </w:rPr>
              <w:t>Executive summary</w:t>
            </w:r>
            <w:r>
              <w:rPr>
                <w:noProof/>
                <w:webHidden/>
              </w:rPr>
              <w:tab/>
            </w:r>
            <w:r>
              <w:rPr>
                <w:noProof/>
                <w:webHidden/>
              </w:rPr>
              <w:fldChar w:fldCharType="begin"/>
            </w:r>
            <w:r>
              <w:rPr>
                <w:noProof/>
                <w:webHidden/>
              </w:rPr>
              <w:instrText xml:space="preserve"> PAGEREF _Toc119577642 \h </w:instrText>
            </w:r>
            <w:r>
              <w:rPr>
                <w:noProof/>
                <w:webHidden/>
              </w:rPr>
            </w:r>
            <w:r>
              <w:rPr>
                <w:noProof/>
                <w:webHidden/>
              </w:rPr>
              <w:fldChar w:fldCharType="separate"/>
            </w:r>
            <w:r w:rsidR="00E25E1A">
              <w:rPr>
                <w:noProof/>
                <w:webHidden/>
              </w:rPr>
              <w:t>2</w:t>
            </w:r>
            <w:r>
              <w:rPr>
                <w:noProof/>
                <w:webHidden/>
              </w:rPr>
              <w:fldChar w:fldCharType="end"/>
            </w:r>
          </w:hyperlink>
        </w:p>
        <w:p w14:paraId="5B230A28" w14:textId="4896F196" w:rsidR="004C4CA9" w:rsidRDefault="00000000">
          <w:pPr>
            <w:pStyle w:val="TOC1"/>
            <w:rPr>
              <w:rFonts w:asciiTheme="minorHAnsi" w:eastAsiaTheme="minorEastAsia" w:hAnsiTheme="minorHAnsi" w:cstheme="minorBidi"/>
              <w:b w:val="0"/>
              <w:caps w:val="0"/>
              <w:noProof/>
              <w:sz w:val="22"/>
              <w:szCs w:val="22"/>
              <w:lang w:val="en-DK" w:eastAsia="en-DK"/>
            </w:rPr>
          </w:pPr>
          <w:hyperlink w:anchor="_Toc119577643" w:history="1">
            <w:r w:rsidR="004C4CA9" w:rsidRPr="002E2FD0">
              <w:rPr>
                <w:rStyle w:val="Hyperlink"/>
                <w:noProof/>
              </w:rPr>
              <w:t>1</w:t>
            </w:r>
            <w:r w:rsidR="004C4CA9">
              <w:rPr>
                <w:rFonts w:asciiTheme="minorHAnsi" w:eastAsiaTheme="minorEastAsia" w:hAnsiTheme="minorHAnsi" w:cstheme="minorBidi"/>
                <w:b w:val="0"/>
                <w:caps w:val="0"/>
                <w:noProof/>
                <w:sz w:val="22"/>
                <w:szCs w:val="22"/>
                <w:lang w:val="en-DK" w:eastAsia="en-DK"/>
              </w:rPr>
              <w:tab/>
            </w:r>
            <w:r w:rsidR="004C4CA9" w:rsidRPr="002E2FD0">
              <w:rPr>
                <w:rStyle w:val="Hyperlink"/>
                <w:noProof/>
              </w:rPr>
              <w:t>Introduction</w:t>
            </w:r>
            <w:r w:rsidR="004C4CA9">
              <w:rPr>
                <w:noProof/>
                <w:webHidden/>
              </w:rPr>
              <w:tab/>
            </w:r>
            <w:r w:rsidR="004C4CA9">
              <w:rPr>
                <w:noProof/>
                <w:webHidden/>
              </w:rPr>
              <w:fldChar w:fldCharType="begin"/>
            </w:r>
            <w:r w:rsidR="004C4CA9">
              <w:rPr>
                <w:noProof/>
                <w:webHidden/>
              </w:rPr>
              <w:instrText xml:space="preserve"> PAGEREF _Toc119577643 \h </w:instrText>
            </w:r>
            <w:r w:rsidR="004C4CA9">
              <w:rPr>
                <w:noProof/>
                <w:webHidden/>
              </w:rPr>
            </w:r>
            <w:r w:rsidR="004C4CA9">
              <w:rPr>
                <w:noProof/>
                <w:webHidden/>
              </w:rPr>
              <w:fldChar w:fldCharType="separate"/>
            </w:r>
            <w:r w:rsidR="00E25E1A">
              <w:rPr>
                <w:noProof/>
                <w:webHidden/>
              </w:rPr>
              <w:t>6</w:t>
            </w:r>
            <w:r w:rsidR="004C4CA9">
              <w:rPr>
                <w:noProof/>
                <w:webHidden/>
              </w:rPr>
              <w:fldChar w:fldCharType="end"/>
            </w:r>
          </w:hyperlink>
        </w:p>
        <w:p w14:paraId="6A498D1A" w14:textId="6EEE2788" w:rsidR="004C4CA9" w:rsidRDefault="00000000">
          <w:pPr>
            <w:pStyle w:val="TOC1"/>
            <w:rPr>
              <w:rFonts w:asciiTheme="minorHAnsi" w:eastAsiaTheme="minorEastAsia" w:hAnsiTheme="minorHAnsi" w:cstheme="minorBidi"/>
              <w:b w:val="0"/>
              <w:caps w:val="0"/>
              <w:noProof/>
              <w:sz w:val="22"/>
              <w:szCs w:val="22"/>
              <w:lang w:val="en-DK" w:eastAsia="en-DK"/>
            </w:rPr>
          </w:pPr>
          <w:hyperlink w:anchor="_Toc119577644" w:history="1">
            <w:r w:rsidR="004C4CA9" w:rsidRPr="002E2FD0">
              <w:rPr>
                <w:rStyle w:val="Hyperlink"/>
                <w:noProof/>
              </w:rPr>
              <w:t>2</w:t>
            </w:r>
            <w:r w:rsidR="004C4CA9">
              <w:rPr>
                <w:rFonts w:asciiTheme="minorHAnsi" w:eastAsiaTheme="minorEastAsia" w:hAnsiTheme="minorHAnsi" w:cstheme="minorBidi"/>
                <w:b w:val="0"/>
                <w:caps w:val="0"/>
                <w:noProof/>
                <w:sz w:val="22"/>
                <w:szCs w:val="22"/>
                <w:lang w:val="en-DK" w:eastAsia="en-DK"/>
              </w:rPr>
              <w:tab/>
            </w:r>
            <w:r w:rsidR="004C4CA9" w:rsidRPr="002E2FD0">
              <w:rPr>
                <w:rStyle w:val="Hyperlink"/>
                <w:noProof/>
              </w:rPr>
              <w:t>EXISTING, planned and FUTURE USE OF 40.5-43.5 GHZ</w:t>
            </w:r>
            <w:r w:rsidR="004C4CA9">
              <w:rPr>
                <w:noProof/>
                <w:webHidden/>
              </w:rPr>
              <w:tab/>
            </w:r>
            <w:r w:rsidR="004C4CA9">
              <w:rPr>
                <w:noProof/>
                <w:webHidden/>
              </w:rPr>
              <w:fldChar w:fldCharType="begin"/>
            </w:r>
            <w:r w:rsidR="004C4CA9">
              <w:rPr>
                <w:noProof/>
                <w:webHidden/>
              </w:rPr>
              <w:instrText xml:space="preserve"> PAGEREF _Toc119577644 \h </w:instrText>
            </w:r>
            <w:r w:rsidR="004C4CA9">
              <w:rPr>
                <w:noProof/>
                <w:webHidden/>
              </w:rPr>
            </w:r>
            <w:r w:rsidR="004C4CA9">
              <w:rPr>
                <w:noProof/>
                <w:webHidden/>
              </w:rPr>
              <w:fldChar w:fldCharType="separate"/>
            </w:r>
            <w:r w:rsidR="00E25E1A">
              <w:rPr>
                <w:noProof/>
                <w:webHidden/>
              </w:rPr>
              <w:t>7</w:t>
            </w:r>
            <w:r w:rsidR="004C4CA9">
              <w:rPr>
                <w:noProof/>
                <w:webHidden/>
              </w:rPr>
              <w:fldChar w:fldCharType="end"/>
            </w:r>
          </w:hyperlink>
        </w:p>
        <w:p w14:paraId="22B6FFDB" w14:textId="4D1400D3" w:rsidR="004C4CA9" w:rsidRDefault="00000000">
          <w:pPr>
            <w:pStyle w:val="TOC2"/>
            <w:rPr>
              <w:rFonts w:asciiTheme="minorHAnsi" w:eastAsiaTheme="minorEastAsia" w:hAnsiTheme="minorHAnsi" w:cstheme="minorBidi"/>
              <w:noProof/>
              <w:sz w:val="22"/>
              <w:szCs w:val="22"/>
              <w:lang w:val="en-DK" w:eastAsia="en-DK"/>
            </w:rPr>
          </w:pPr>
          <w:hyperlink w:anchor="_Toc119577645" w:history="1">
            <w:r w:rsidR="004C4CA9" w:rsidRPr="002E2FD0">
              <w:rPr>
                <w:rStyle w:val="Hyperlink"/>
                <w:noProof/>
                <w:lang w:val="en-GB"/>
              </w:rPr>
              <w:t>2.1</w:t>
            </w:r>
            <w:r w:rsidR="004C4CA9">
              <w:rPr>
                <w:rFonts w:asciiTheme="minorHAnsi" w:eastAsiaTheme="minorEastAsia" w:hAnsiTheme="minorHAnsi" w:cstheme="minorBidi"/>
                <w:noProof/>
                <w:sz w:val="22"/>
                <w:szCs w:val="22"/>
                <w:lang w:val="en-DK" w:eastAsia="en-DK"/>
              </w:rPr>
              <w:tab/>
            </w:r>
            <w:r w:rsidR="004C4CA9" w:rsidRPr="002E2FD0">
              <w:rPr>
                <w:rStyle w:val="Hyperlink"/>
                <w:noProof/>
                <w:lang w:val="en-GB"/>
              </w:rPr>
              <w:t>Fixed service</w:t>
            </w:r>
            <w:r w:rsidR="004C4CA9">
              <w:rPr>
                <w:noProof/>
                <w:webHidden/>
              </w:rPr>
              <w:tab/>
            </w:r>
            <w:r w:rsidR="004C4CA9">
              <w:rPr>
                <w:noProof/>
                <w:webHidden/>
              </w:rPr>
              <w:fldChar w:fldCharType="begin"/>
            </w:r>
            <w:r w:rsidR="004C4CA9">
              <w:rPr>
                <w:noProof/>
                <w:webHidden/>
              </w:rPr>
              <w:instrText xml:space="preserve"> PAGEREF _Toc119577645 \h </w:instrText>
            </w:r>
            <w:r w:rsidR="004C4CA9">
              <w:rPr>
                <w:noProof/>
                <w:webHidden/>
              </w:rPr>
            </w:r>
            <w:r w:rsidR="004C4CA9">
              <w:rPr>
                <w:noProof/>
                <w:webHidden/>
              </w:rPr>
              <w:fldChar w:fldCharType="separate"/>
            </w:r>
            <w:r w:rsidR="00E25E1A">
              <w:rPr>
                <w:noProof/>
                <w:webHidden/>
              </w:rPr>
              <w:t>7</w:t>
            </w:r>
            <w:r w:rsidR="004C4CA9">
              <w:rPr>
                <w:noProof/>
                <w:webHidden/>
              </w:rPr>
              <w:fldChar w:fldCharType="end"/>
            </w:r>
          </w:hyperlink>
        </w:p>
        <w:p w14:paraId="61822D21" w14:textId="4A0FB5DC" w:rsidR="004C4CA9" w:rsidRDefault="00000000">
          <w:pPr>
            <w:pStyle w:val="TOC2"/>
            <w:rPr>
              <w:rFonts w:asciiTheme="minorHAnsi" w:eastAsiaTheme="minorEastAsia" w:hAnsiTheme="minorHAnsi" w:cstheme="minorBidi"/>
              <w:noProof/>
              <w:sz w:val="22"/>
              <w:szCs w:val="22"/>
              <w:lang w:val="en-DK" w:eastAsia="en-DK"/>
            </w:rPr>
          </w:pPr>
          <w:hyperlink w:anchor="_Toc119577646" w:history="1">
            <w:r w:rsidR="004C4CA9" w:rsidRPr="002E2FD0">
              <w:rPr>
                <w:rStyle w:val="Hyperlink"/>
                <w:noProof/>
                <w:lang w:val="en-GB"/>
              </w:rPr>
              <w:t>2.2</w:t>
            </w:r>
            <w:r w:rsidR="004C4CA9">
              <w:rPr>
                <w:rFonts w:asciiTheme="minorHAnsi" w:eastAsiaTheme="minorEastAsia" w:hAnsiTheme="minorHAnsi" w:cstheme="minorBidi"/>
                <w:noProof/>
                <w:sz w:val="22"/>
                <w:szCs w:val="22"/>
                <w:lang w:val="en-DK" w:eastAsia="en-DK"/>
              </w:rPr>
              <w:tab/>
            </w:r>
            <w:r w:rsidR="004C4CA9" w:rsidRPr="002E2FD0">
              <w:rPr>
                <w:rStyle w:val="Hyperlink"/>
                <w:noProof/>
                <w:lang w:val="en-GB"/>
              </w:rPr>
              <w:t>RAS</w:t>
            </w:r>
            <w:r w:rsidR="004C4CA9">
              <w:rPr>
                <w:noProof/>
                <w:webHidden/>
              </w:rPr>
              <w:tab/>
            </w:r>
            <w:r w:rsidR="004C4CA9">
              <w:rPr>
                <w:noProof/>
                <w:webHidden/>
              </w:rPr>
              <w:fldChar w:fldCharType="begin"/>
            </w:r>
            <w:r w:rsidR="004C4CA9">
              <w:rPr>
                <w:noProof/>
                <w:webHidden/>
              </w:rPr>
              <w:instrText xml:space="preserve"> PAGEREF _Toc119577646 \h </w:instrText>
            </w:r>
            <w:r w:rsidR="004C4CA9">
              <w:rPr>
                <w:noProof/>
                <w:webHidden/>
              </w:rPr>
            </w:r>
            <w:r w:rsidR="004C4CA9">
              <w:rPr>
                <w:noProof/>
                <w:webHidden/>
              </w:rPr>
              <w:fldChar w:fldCharType="separate"/>
            </w:r>
            <w:r w:rsidR="00E25E1A">
              <w:rPr>
                <w:noProof/>
                <w:webHidden/>
              </w:rPr>
              <w:t>7</w:t>
            </w:r>
            <w:r w:rsidR="004C4CA9">
              <w:rPr>
                <w:noProof/>
                <w:webHidden/>
              </w:rPr>
              <w:fldChar w:fldCharType="end"/>
            </w:r>
          </w:hyperlink>
        </w:p>
        <w:p w14:paraId="5A0A2A25" w14:textId="494944D2" w:rsidR="004C4CA9" w:rsidRDefault="00000000">
          <w:pPr>
            <w:pStyle w:val="TOC2"/>
            <w:rPr>
              <w:rFonts w:asciiTheme="minorHAnsi" w:eastAsiaTheme="minorEastAsia" w:hAnsiTheme="minorHAnsi" w:cstheme="minorBidi"/>
              <w:noProof/>
              <w:sz w:val="22"/>
              <w:szCs w:val="22"/>
              <w:lang w:val="en-DK" w:eastAsia="en-DK"/>
            </w:rPr>
          </w:pPr>
          <w:hyperlink w:anchor="_Toc119577647" w:history="1">
            <w:r w:rsidR="004C4CA9" w:rsidRPr="002E2FD0">
              <w:rPr>
                <w:rStyle w:val="Hyperlink"/>
                <w:noProof/>
                <w:lang w:val="en-GB"/>
              </w:rPr>
              <w:t>2.3</w:t>
            </w:r>
            <w:r w:rsidR="004C4CA9">
              <w:rPr>
                <w:rFonts w:asciiTheme="minorHAnsi" w:eastAsiaTheme="minorEastAsia" w:hAnsiTheme="minorHAnsi" w:cstheme="minorBidi"/>
                <w:noProof/>
                <w:sz w:val="22"/>
                <w:szCs w:val="22"/>
                <w:lang w:val="en-DK" w:eastAsia="en-DK"/>
              </w:rPr>
              <w:tab/>
            </w:r>
            <w:r w:rsidR="004C4CA9" w:rsidRPr="002E2FD0">
              <w:rPr>
                <w:rStyle w:val="Hyperlink"/>
                <w:noProof/>
                <w:lang w:val="en-GB"/>
              </w:rPr>
              <w:t>FSS</w:t>
            </w:r>
            <w:r w:rsidR="004C4CA9">
              <w:rPr>
                <w:noProof/>
                <w:webHidden/>
              </w:rPr>
              <w:tab/>
            </w:r>
            <w:r w:rsidR="004C4CA9">
              <w:rPr>
                <w:noProof/>
                <w:webHidden/>
              </w:rPr>
              <w:fldChar w:fldCharType="begin"/>
            </w:r>
            <w:r w:rsidR="004C4CA9">
              <w:rPr>
                <w:noProof/>
                <w:webHidden/>
              </w:rPr>
              <w:instrText xml:space="preserve"> PAGEREF _Toc119577647 \h </w:instrText>
            </w:r>
            <w:r w:rsidR="004C4CA9">
              <w:rPr>
                <w:noProof/>
                <w:webHidden/>
              </w:rPr>
            </w:r>
            <w:r w:rsidR="004C4CA9">
              <w:rPr>
                <w:noProof/>
                <w:webHidden/>
              </w:rPr>
              <w:fldChar w:fldCharType="separate"/>
            </w:r>
            <w:r w:rsidR="00E25E1A">
              <w:rPr>
                <w:noProof/>
                <w:webHidden/>
              </w:rPr>
              <w:t>7</w:t>
            </w:r>
            <w:r w:rsidR="004C4CA9">
              <w:rPr>
                <w:noProof/>
                <w:webHidden/>
              </w:rPr>
              <w:fldChar w:fldCharType="end"/>
            </w:r>
          </w:hyperlink>
        </w:p>
        <w:p w14:paraId="52FFC181" w14:textId="42307673" w:rsidR="004C4CA9" w:rsidRDefault="00000000">
          <w:pPr>
            <w:pStyle w:val="TOC2"/>
            <w:rPr>
              <w:rFonts w:asciiTheme="minorHAnsi" w:eastAsiaTheme="minorEastAsia" w:hAnsiTheme="minorHAnsi" w:cstheme="minorBidi"/>
              <w:noProof/>
              <w:sz w:val="22"/>
              <w:szCs w:val="22"/>
              <w:lang w:val="en-DK" w:eastAsia="en-DK"/>
            </w:rPr>
          </w:pPr>
          <w:hyperlink w:anchor="_Toc119577648" w:history="1">
            <w:r w:rsidR="004C4CA9" w:rsidRPr="002E2FD0">
              <w:rPr>
                <w:rStyle w:val="Hyperlink"/>
                <w:noProof/>
                <w:lang w:val="en-GB"/>
              </w:rPr>
              <w:t>2.4</w:t>
            </w:r>
            <w:r w:rsidR="004C4CA9">
              <w:rPr>
                <w:rFonts w:asciiTheme="minorHAnsi" w:eastAsiaTheme="minorEastAsia" w:hAnsiTheme="minorHAnsi" w:cstheme="minorBidi"/>
                <w:noProof/>
                <w:sz w:val="22"/>
                <w:szCs w:val="22"/>
                <w:lang w:val="en-DK" w:eastAsia="en-DK"/>
              </w:rPr>
              <w:tab/>
            </w:r>
            <w:r w:rsidR="004C4CA9" w:rsidRPr="002E2FD0">
              <w:rPr>
                <w:rStyle w:val="Hyperlink"/>
                <w:noProof/>
                <w:lang w:val="en-GB"/>
              </w:rPr>
              <w:t>FSS and MSS adjacent band use</w:t>
            </w:r>
            <w:r w:rsidR="004C4CA9">
              <w:rPr>
                <w:noProof/>
                <w:webHidden/>
              </w:rPr>
              <w:tab/>
            </w:r>
            <w:r w:rsidR="004C4CA9">
              <w:rPr>
                <w:noProof/>
                <w:webHidden/>
              </w:rPr>
              <w:fldChar w:fldCharType="begin"/>
            </w:r>
            <w:r w:rsidR="004C4CA9">
              <w:rPr>
                <w:noProof/>
                <w:webHidden/>
              </w:rPr>
              <w:instrText xml:space="preserve"> PAGEREF _Toc119577648 \h </w:instrText>
            </w:r>
            <w:r w:rsidR="004C4CA9">
              <w:rPr>
                <w:noProof/>
                <w:webHidden/>
              </w:rPr>
            </w:r>
            <w:r w:rsidR="004C4CA9">
              <w:rPr>
                <w:noProof/>
                <w:webHidden/>
              </w:rPr>
              <w:fldChar w:fldCharType="separate"/>
            </w:r>
            <w:r w:rsidR="00E25E1A">
              <w:rPr>
                <w:noProof/>
                <w:webHidden/>
              </w:rPr>
              <w:t>8</w:t>
            </w:r>
            <w:r w:rsidR="004C4CA9">
              <w:rPr>
                <w:noProof/>
                <w:webHidden/>
              </w:rPr>
              <w:fldChar w:fldCharType="end"/>
            </w:r>
          </w:hyperlink>
        </w:p>
        <w:p w14:paraId="38AF5991" w14:textId="52A4F5B9" w:rsidR="004C4CA9" w:rsidRDefault="00000000">
          <w:pPr>
            <w:pStyle w:val="TOC1"/>
            <w:rPr>
              <w:rFonts w:asciiTheme="minorHAnsi" w:eastAsiaTheme="minorEastAsia" w:hAnsiTheme="minorHAnsi" w:cstheme="minorBidi"/>
              <w:b w:val="0"/>
              <w:caps w:val="0"/>
              <w:noProof/>
              <w:sz w:val="22"/>
              <w:szCs w:val="22"/>
              <w:lang w:val="en-DK" w:eastAsia="en-DK"/>
            </w:rPr>
          </w:pPr>
          <w:hyperlink w:anchor="_Toc119577649" w:history="1">
            <w:r w:rsidR="004C4CA9" w:rsidRPr="002E2FD0">
              <w:rPr>
                <w:rStyle w:val="Hyperlink"/>
                <w:noProof/>
              </w:rPr>
              <w:t>3</w:t>
            </w:r>
            <w:r w:rsidR="004C4CA9">
              <w:rPr>
                <w:rFonts w:asciiTheme="minorHAnsi" w:eastAsiaTheme="minorEastAsia" w:hAnsiTheme="minorHAnsi" w:cstheme="minorBidi"/>
                <w:b w:val="0"/>
                <w:caps w:val="0"/>
                <w:noProof/>
                <w:sz w:val="22"/>
                <w:szCs w:val="22"/>
                <w:lang w:val="en-DK" w:eastAsia="en-DK"/>
              </w:rPr>
              <w:tab/>
            </w:r>
            <w:r w:rsidR="004C4CA9" w:rsidRPr="002E2FD0">
              <w:rPr>
                <w:rStyle w:val="Hyperlink"/>
                <w:noProof/>
              </w:rPr>
              <w:t>WBB ECS CHARACTERISTICS</w:t>
            </w:r>
            <w:r w:rsidR="004C4CA9">
              <w:rPr>
                <w:noProof/>
                <w:webHidden/>
              </w:rPr>
              <w:tab/>
            </w:r>
            <w:r w:rsidR="004C4CA9">
              <w:rPr>
                <w:noProof/>
                <w:webHidden/>
              </w:rPr>
              <w:fldChar w:fldCharType="begin"/>
            </w:r>
            <w:r w:rsidR="004C4CA9">
              <w:rPr>
                <w:noProof/>
                <w:webHidden/>
              </w:rPr>
              <w:instrText xml:space="preserve"> PAGEREF _Toc119577649 \h </w:instrText>
            </w:r>
            <w:r w:rsidR="004C4CA9">
              <w:rPr>
                <w:noProof/>
                <w:webHidden/>
              </w:rPr>
            </w:r>
            <w:r w:rsidR="004C4CA9">
              <w:rPr>
                <w:noProof/>
                <w:webHidden/>
              </w:rPr>
              <w:fldChar w:fldCharType="separate"/>
            </w:r>
            <w:r w:rsidR="00E25E1A">
              <w:rPr>
                <w:noProof/>
                <w:webHidden/>
              </w:rPr>
              <w:t>9</w:t>
            </w:r>
            <w:r w:rsidR="004C4CA9">
              <w:rPr>
                <w:noProof/>
                <w:webHidden/>
              </w:rPr>
              <w:fldChar w:fldCharType="end"/>
            </w:r>
          </w:hyperlink>
        </w:p>
        <w:p w14:paraId="3A0BD223" w14:textId="16377CAB" w:rsidR="004C4CA9" w:rsidRDefault="00000000">
          <w:pPr>
            <w:pStyle w:val="TOC2"/>
            <w:rPr>
              <w:rFonts w:asciiTheme="minorHAnsi" w:eastAsiaTheme="minorEastAsia" w:hAnsiTheme="minorHAnsi" w:cstheme="minorBidi"/>
              <w:noProof/>
              <w:sz w:val="22"/>
              <w:szCs w:val="22"/>
              <w:lang w:val="en-DK" w:eastAsia="en-DK"/>
            </w:rPr>
          </w:pPr>
          <w:hyperlink w:anchor="_Toc119577650" w:history="1">
            <w:r w:rsidR="004C4CA9" w:rsidRPr="002E2FD0">
              <w:rPr>
                <w:rStyle w:val="Hyperlink"/>
                <w:noProof/>
                <w:lang w:val="en-GB"/>
              </w:rPr>
              <w:t>3.1</w:t>
            </w:r>
            <w:r w:rsidR="004C4CA9">
              <w:rPr>
                <w:rFonts w:asciiTheme="minorHAnsi" w:eastAsiaTheme="minorEastAsia" w:hAnsiTheme="minorHAnsi" w:cstheme="minorBidi"/>
                <w:noProof/>
                <w:sz w:val="22"/>
                <w:szCs w:val="22"/>
                <w:lang w:val="en-DK" w:eastAsia="en-DK"/>
              </w:rPr>
              <w:tab/>
            </w:r>
            <w:r w:rsidR="004C4CA9" w:rsidRPr="002E2FD0">
              <w:rPr>
                <w:rStyle w:val="Hyperlink"/>
                <w:noProof/>
                <w:lang w:val="en-GB"/>
              </w:rPr>
              <w:t>WBB ECS Usage Scenarios in 40.5-43.5 GHz</w:t>
            </w:r>
            <w:r w:rsidR="004C4CA9">
              <w:rPr>
                <w:noProof/>
                <w:webHidden/>
              </w:rPr>
              <w:tab/>
            </w:r>
            <w:r w:rsidR="004C4CA9">
              <w:rPr>
                <w:noProof/>
                <w:webHidden/>
              </w:rPr>
              <w:fldChar w:fldCharType="begin"/>
            </w:r>
            <w:r w:rsidR="004C4CA9">
              <w:rPr>
                <w:noProof/>
                <w:webHidden/>
              </w:rPr>
              <w:instrText xml:space="preserve"> PAGEREF _Toc119577650 \h </w:instrText>
            </w:r>
            <w:r w:rsidR="004C4CA9">
              <w:rPr>
                <w:noProof/>
                <w:webHidden/>
              </w:rPr>
            </w:r>
            <w:r w:rsidR="004C4CA9">
              <w:rPr>
                <w:noProof/>
                <w:webHidden/>
              </w:rPr>
              <w:fldChar w:fldCharType="separate"/>
            </w:r>
            <w:r w:rsidR="00E25E1A">
              <w:rPr>
                <w:noProof/>
                <w:webHidden/>
              </w:rPr>
              <w:t>9</w:t>
            </w:r>
            <w:r w:rsidR="004C4CA9">
              <w:rPr>
                <w:noProof/>
                <w:webHidden/>
              </w:rPr>
              <w:fldChar w:fldCharType="end"/>
            </w:r>
          </w:hyperlink>
        </w:p>
        <w:p w14:paraId="728966F9" w14:textId="36C10EFE" w:rsidR="004C4CA9" w:rsidRDefault="00000000">
          <w:pPr>
            <w:pStyle w:val="TOC2"/>
            <w:rPr>
              <w:rFonts w:asciiTheme="minorHAnsi" w:eastAsiaTheme="minorEastAsia" w:hAnsiTheme="minorHAnsi" w:cstheme="minorBidi"/>
              <w:noProof/>
              <w:sz w:val="22"/>
              <w:szCs w:val="22"/>
              <w:lang w:val="en-DK" w:eastAsia="en-DK"/>
            </w:rPr>
          </w:pPr>
          <w:hyperlink w:anchor="_Toc119577651" w:history="1">
            <w:r w:rsidR="004C4CA9" w:rsidRPr="002E2FD0">
              <w:rPr>
                <w:rStyle w:val="Hyperlink"/>
                <w:noProof/>
                <w:lang w:val="en-GB"/>
              </w:rPr>
              <w:t>3.2</w:t>
            </w:r>
            <w:r w:rsidR="004C4CA9">
              <w:rPr>
                <w:rFonts w:asciiTheme="minorHAnsi" w:eastAsiaTheme="minorEastAsia" w:hAnsiTheme="minorHAnsi" w:cstheme="minorBidi"/>
                <w:noProof/>
                <w:sz w:val="22"/>
                <w:szCs w:val="22"/>
                <w:lang w:val="en-DK" w:eastAsia="en-DK"/>
              </w:rPr>
              <w:tab/>
            </w:r>
            <w:r w:rsidR="004C4CA9" w:rsidRPr="002E2FD0">
              <w:rPr>
                <w:rStyle w:val="Hyperlink"/>
                <w:noProof/>
                <w:lang w:val="en-GB"/>
              </w:rPr>
              <w:t>WBB ECS Parameters Used in Sharing Studies</w:t>
            </w:r>
            <w:r w:rsidR="004C4CA9">
              <w:rPr>
                <w:noProof/>
                <w:webHidden/>
              </w:rPr>
              <w:tab/>
            </w:r>
            <w:r w:rsidR="004C4CA9">
              <w:rPr>
                <w:noProof/>
                <w:webHidden/>
              </w:rPr>
              <w:fldChar w:fldCharType="begin"/>
            </w:r>
            <w:r w:rsidR="004C4CA9">
              <w:rPr>
                <w:noProof/>
                <w:webHidden/>
              </w:rPr>
              <w:instrText xml:space="preserve"> PAGEREF _Toc119577651 \h </w:instrText>
            </w:r>
            <w:r w:rsidR="004C4CA9">
              <w:rPr>
                <w:noProof/>
                <w:webHidden/>
              </w:rPr>
            </w:r>
            <w:r w:rsidR="004C4CA9">
              <w:rPr>
                <w:noProof/>
                <w:webHidden/>
              </w:rPr>
              <w:fldChar w:fldCharType="separate"/>
            </w:r>
            <w:r w:rsidR="00E25E1A">
              <w:rPr>
                <w:noProof/>
                <w:webHidden/>
              </w:rPr>
              <w:t>9</w:t>
            </w:r>
            <w:r w:rsidR="004C4CA9">
              <w:rPr>
                <w:noProof/>
                <w:webHidden/>
              </w:rPr>
              <w:fldChar w:fldCharType="end"/>
            </w:r>
          </w:hyperlink>
        </w:p>
        <w:p w14:paraId="1C404BA1" w14:textId="1EC72DF5" w:rsidR="004C4CA9" w:rsidRDefault="00000000">
          <w:pPr>
            <w:pStyle w:val="TOC2"/>
            <w:rPr>
              <w:rFonts w:asciiTheme="minorHAnsi" w:eastAsiaTheme="minorEastAsia" w:hAnsiTheme="minorHAnsi" w:cstheme="minorBidi"/>
              <w:noProof/>
              <w:sz w:val="22"/>
              <w:szCs w:val="22"/>
              <w:lang w:val="en-DK" w:eastAsia="en-DK"/>
            </w:rPr>
          </w:pPr>
          <w:hyperlink w:anchor="_Toc119577652" w:history="1">
            <w:r w:rsidR="004C4CA9" w:rsidRPr="002E2FD0">
              <w:rPr>
                <w:rStyle w:val="Hyperlink"/>
                <w:noProof/>
                <w:lang w:val="en-GB"/>
              </w:rPr>
              <w:t>3.3</w:t>
            </w:r>
            <w:r w:rsidR="004C4CA9">
              <w:rPr>
                <w:rFonts w:asciiTheme="minorHAnsi" w:eastAsiaTheme="minorEastAsia" w:hAnsiTheme="minorHAnsi" w:cstheme="minorBidi"/>
                <w:noProof/>
                <w:sz w:val="22"/>
                <w:szCs w:val="22"/>
                <w:lang w:val="en-DK" w:eastAsia="en-DK"/>
              </w:rPr>
              <w:tab/>
            </w:r>
            <w:r w:rsidR="004C4CA9" w:rsidRPr="002E2FD0">
              <w:rPr>
                <w:rStyle w:val="Hyperlink"/>
                <w:noProof/>
                <w:lang w:val="en-GB"/>
              </w:rPr>
              <w:t>Definition of Total Radiated Power (TRP)</w:t>
            </w:r>
            <w:r w:rsidR="004C4CA9">
              <w:rPr>
                <w:noProof/>
                <w:webHidden/>
              </w:rPr>
              <w:tab/>
            </w:r>
            <w:r w:rsidR="004C4CA9">
              <w:rPr>
                <w:noProof/>
                <w:webHidden/>
              </w:rPr>
              <w:fldChar w:fldCharType="begin"/>
            </w:r>
            <w:r w:rsidR="004C4CA9">
              <w:rPr>
                <w:noProof/>
                <w:webHidden/>
              </w:rPr>
              <w:instrText xml:space="preserve"> PAGEREF _Toc119577652 \h </w:instrText>
            </w:r>
            <w:r w:rsidR="004C4CA9">
              <w:rPr>
                <w:noProof/>
                <w:webHidden/>
              </w:rPr>
            </w:r>
            <w:r w:rsidR="004C4CA9">
              <w:rPr>
                <w:noProof/>
                <w:webHidden/>
              </w:rPr>
              <w:fldChar w:fldCharType="separate"/>
            </w:r>
            <w:r w:rsidR="00E25E1A">
              <w:rPr>
                <w:noProof/>
                <w:webHidden/>
              </w:rPr>
              <w:t>9</w:t>
            </w:r>
            <w:r w:rsidR="004C4CA9">
              <w:rPr>
                <w:noProof/>
                <w:webHidden/>
              </w:rPr>
              <w:fldChar w:fldCharType="end"/>
            </w:r>
          </w:hyperlink>
        </w:p>
        <w:p w14:paraId="69A22BFD" w14:textId="0264BD6A" w:rsidR="004C4CA9" w:rsidRDefault="00000000">
          <w:pPr>
            <w:pStyle w:val="TOC2"/>
            <w:rPr>
              <w:rFonts w:asciiTheme="minorHAnsi" w:eastAsiaTheme="minorEastAsia" w:hAnsiTheme="minorHAnsi" w:cstheme="minorBidi"/>
              <w:noProof/>
              <w:sz w:val="22"/>
              <w:szCs w:val="22"/>
              <w:lang w:val="en-DK" w:eastAsia="en-DK"/>
            </w:rPr>
          </w:pPr>
          <w:hyperlink w:anchor="_Toc119577653" w:history="1">
            <w:r w:rsidR="004C4CA9" w:rsidRPr="002E2FD0">
              <w:rPr>
                <w:rStyle w:val="Hyperlink"/>
                <w:noProof/>
                <w:lang w:val="en-GB"/>
              </w:rPr>
              <w:t>3.4</w:t>
            </w:r>
            <w:r w:rsidR="004C4CA9">
              <w:rPr>
                <w:rFonts w:asciiTheme="minorHAnsi" w:eastAsiaTheme="minorEastAsia" w:hAnsiTheme="minorHAnsi" w:cstheme="minorBidi"/>
                <w:noProof/>
                <w:sz w:val="22"/>
                <w:szCs w:val="22"/>
                <w:lang w:val="en-DK" w:eastAsia="en-DK"/>
              </w:rPr>
              <w:tab/>
            </w:r>
            <w:r w:rsidR="004C4CA9" w:rsidRPr="002E2FD0">
              <w:rPr>
                <w:rStyle w:val="Hyperlink"/>
                <w:noProof/>
                <w:lang w:val="en-GB"/>
              </w:rPr>
              <w:t>Unsynchronised networks</w:t>
            </w:r>
            <w:r w:rsidR="004C4CA9">
              <w:rPr>
                <w:noProof/>
                <w:webHidden/>
              </w:rPr>
              <w:tab/>
            </w:r>
            <w:r w:rsidR="004C4CA9">
              <w:rPr>
                <w:noProof/>
                <w:webHidden/>
              </w:rPr>
              <w:fldChar w:fldCharType="begin"/>
            </w:r>
            <w:r w:rsidR="004C4CA9">
              <w:rPr>
                <w:noProof/>
                <w:webHidden/>
              </w:rPr>
              <w:instrText xml:space="preserve"> PAGEREF _Toc119577653 \h </w:instrText>
            </w:r>
            <w:r w:rsidR="004C4CA9">
              <w:rPr>
                <w:noProof/>
                <w:webHidden/>
              </w:rPr>
            </w:r>
            <w:r w:rsidR="004C4CA9">
              <w:rPr>
                <w:noProof/>
                <w:webHidden/>
              </w:rPr>
              <w:fldChar w:fldCharType="separate"/>
            </w:r>
            <w:r w:rsidR="00E25E1A">
              <w:rPr>
                <w:noProof/>
                <w:webHidden/>
              </w:rPr>
              <w:t>10</w:t>
            </w:r>
            <w:r w:rsidR="004C4CA9">
              <w:rPr>
                <w:noProof/>
                <w:webHidden/>
              </w:rPr>
              <w:fldChar w:fldCharType="end"/>
            </w:r>
          </w:hyperlink>
        </w:p>
        <w:p w14:paraId="0D7E7436" w14:textId="2DBD0636" w:rsidR="004C4CA9" w:rsidRDefault="00000000">
          <w:pPr>
            <w:pStyle w:val="TOC1"/>
            <w:rPr>
              <w:rFonts w:asciiTheme="minorHAnsi" w:eastAsiaTheme="minorEastAsia" w:hAnsiTheme="minorHAnsi" w:cstheme="minorBidi"/>
              <w:b w:val="0"/>
              <w:caps w:val="0"/>
              <w:noProof/>
              <w:sz w:val="22"/>
              <w:szCs w:val="22"/>
              <w:lang w:val="en-DK" w:eastAsia="en-DK"/>
            </w:rPr>
          </w:pPr>
          <w:hyperlink w:anchor="_Toc119577654" w:history="1">
            <w:r w:rsidR="004C4CA9" w:rsidRPr="002E2FD0">
              <w:rPr>
                <w:rStyle w:val="Hyperlink"/>
                <w:noProof/>
              </w:rPr>
              <w:t>4</w:t>
            </w:r>
            <w:r w:rsidR="004C4CA9">
              <w:rPr>
                <w:rFonts w:asciiTheme="minorHAnsi" w:eastAsiaTheme="minorEastAsia" w:hAnsiTheme="minorHAnsi" w:cstheme="minorBidi"/>
                <w:b w:val="0"/>
                <w:caps w:val="0"/>
                <w:noProof/>
                <w:sz w:val="22"/>
                <w:szCs w:val="22"/>
                <w:lang w:val="en-DK" w:eastAsia="en-DK"/>
              </w:rPr>
              <w:tab/>
            </w:r>
            <w:r w:rsidR="004C4CA9" w:rsidRPr="002E2FD0">
              <w:rPr>
                <w:rStyle w:val="Hyperlink"/>
                <w:noProof/>
              </w:rPr>
              <w:t>COEXISTENCE ISSUES</w:t>
            </w:r>
            <w:r w:rsidR="004C4CA9">
              <w:rPr>
                <w:noProof/>
                <w:webHidden/>
              </w:rPr>
              <w:tab/>
            </w:r>
            <w:r w:rsidR="004C4CA9">
              <w:rPr>
                <w:noProof/>
                <w:webHidden/>
              </w:rPr>
              <w:fldChar w:fldCharType="begin"/>
            </w:r>
            <w:r w:rsidR="004C4CA9">
              <w:rPr>
                <w:noProof/>
                <w:webHidden/>
              </w:rPr>
              <w:instrText xml:space="preserve"> PAGEREF _Toc119577654 \h </w:instrText>
            </w:r>
            <w:r w:rsidR="004C4CA9">
              <w:rPr>
                <w:noProof/>
                <w:webHidden/>
              </w:rPr>
            </w:r>
            <w:r w:rsidR="004C4CA9">
              <w:rPr>
                <w:noProof/>
                <w:webHidden/>
              </w:rPr>
              <w:fldChar w:fldCharType="separate"/>
            </w:r>
            <w:r w:rsidR="00E25E1A">
              <w:rPr>
                <w:noProof/>
                <w:webHidden/>
              </w:rPr>
              <w:t>11</w:t>
            </w:r>
            <w:r w:rsidR="004C4CA9">
              <w:rPr>
                <w:noProof/>
                <w:webHidden/>
              </w:rPr>
              <w:fldChar w:fldCharType="end"/>
            </w:r>
          </w:hyperlink>
        </w:p>
        <w:p w14:paraId="473CF34A" w14:textId="761AAA49" w:rsidR="004C4CA9" w:rsidRDefault="00000000">
          <w:pPr>
            <w:pStyle w:val="TOC2"/>
            <w:rPr>
              <w:rFonts w:asciiTheme="minorHAnsi" w:eastAsiaTheme="minorEastAsia" w:hAnsiTheme="minorHAnsi" w:cstheme="minorBidi"/>
              <w:noProof/>
              <w:sz w:val="22"/>
              <w:szCs w:val="22"/>
              <w:lang w:val="en-DK" w:eastAsia="en-DK"/>
            </w:rPr>
          </w:pPr>
          <w:hyperlink w:anchor="_Toc119577655" w:history="1">
            <w:r w:rsidR="004C4CA9" w:rsidRPr="002E2FD0">
              <w:rPr>
                <w:rStyle w:val="Hyperlink"/>
                <w:noProof/>
                <w:lang w:val="en-GB"/>
              </w:rPr>
              <w:t>4.1</w:t>
            </w:r>
            <w:r w:rsidR="004C4CA9">
              <w:rPr>
                <w:rFonts w:asciiTheme="minorHAnsi" w:eastAsiaTheme="minorEastAsia" w:hAnsiTheme="minorHAnsi" w:cstheme="minorBidi"/>
                <w:noProof/>
                <w:sz w:val="22"/>
                <w:szCs w:val="22"/>
                <w:lang w:val="en-DK" w:eastAsia="en-DK"/>
              </w:rPr>
              <w:tab/>
            </w:r>
            <w:r w:rsidR="004C4CA9" w:rsidRPr="002E2FD0">
              <w:rPr>
                <w:rStyle w:val="Hyperlink"/>
                <w:noProof/>
                <w:lang w:val="en-GB"/>
              </w:rPr>
              <w:t>Fixed Links</w:t>
            </w:r>
            <w:r w:rsidR="004C4CA9">
              <w:rPr>
                <w:noProof/>
                <w:webHidden/>
              </w:rPr>
              <w:tab/>
            </w:r>
            <w:r w:rsidR="004C4CA9">
              <w:rPr>
                <w:noProof/>
                <w:webHidden/>
              </w:rPr>
              <w:fldChar w:fldCharType="begin"/>
            </w:r>
            <w:r w:rsidR="004C4CA9">
              <w:rPr>
                <w:noProof/>
                <w:webHidden/>
              </w:rPr>
              <w:instrText xml:space="preserve"> PAGEREF _Toc119577655 \h </w:instrText>
            </w:r>
            <w:r w:rsidR="004C4CA9">
              <w:rPr>
                <w:noProof/>
                <w:webHidden/>
              </w:rPr>
            </w:r>
            <w:r w:rsidR="004C4CA9">
              <w:rPr>
                <w:noProof/>
                <w:webHidden/>
              </w:rPr>
              <w:fldChar w:fldCharType="separate"/>
            </w:r>
            <w:r w:rsidR="00E25E1A">
              <w:rPr>
                <w:noProof/>
                <w:webHidden/>
              </w:rPr>
              <w:t>11</w:t>
            </w:r>
            <w:r w:rsidR="004C4CA9">
              <w:rPr>
                <w:noProof/>
                <w:webHidden/>
              </w:rPr>
              <w:fldChar w:fldCharType="end"/>
            </w:r>
          </w:hyperlink>
        </w:p>
        <w:p w14:paraId="084E3627" w14:textId="379D7A7D" w:rsidR="004C4CA9" w:rsidRDefault="00000000">
          <w:pPr>
            <w:pStyle w:val="TOC2"/>
            <w:rPr>
              <w:rFonts w:asciiTheme="minorHAnsi" w:eastAsiaTheme="minorEastAsia" w:hAnsiTheme="minorHAnsi" w:cstheme="minorBidi"/>
              <w:noProof/>
              <w:sz w:val="22"/>
              <w:szCs w:val="22"/>
              <w:lang w:val="en-DK" w:eastAsia="en-DK"/>
            </w:rPr>
          </w:pPr>
          <w:hyperlink w:anchor="_Toc119577656" w:history="1">
            <w:r w:rsidR="004C4CA9" w:rsidRPr="002E2FD0">
              <w:rPr>
                <w:rStyle w:val="Hyperlink"/>
                <w:noProof/>
                <w:lang w:val="en-GB"/>
              </w:rPr>
              <w:t>4.2</w:t>
            </w:r>
            <w:r w:rsidR="004C4CA9">
              <w:rPr>
                <w:rFonts w:asciiTheme="minorHAnsi" w:eastAsiaTheme="minorEastAsia" w:hAnsiTheme="minorHAnsi" w:cstheme="minorBidi"/>
                <w:noProof/>
                <w:sz w:val="22"/>
                <w:szCs w:val="22"/>
                <w:lang w:val="en-DK" w:eastAsia="en-DK"/>
              </w:rPr>
              <w:tab/>
            </w:r>
            <w:r w:rsidR="004C4CA9" w:rsidRPr="002E2FD0">
              <w:rPr>
                <w:rStyle w:val="Hyperlink"/>
                <w:noProof/>
                <w:lang w:val="en-GB"/>
              </w:rPr>
              <w:t>Radio Astronomy Service</w:t>
            </w:r>
            <w:r w:rsidR="004C4CA9">
              <w:rPr>
                <w:noProof/>
                <w:webHidden/>
              </w:rPr>
              <w:tab/>
            </w:r>
            <w:r w:rsidR="004C4CA9">
              <w:rPr>
                <w:noProof/>
                <w:webHidden/>
              </w:rPr>
              <w:fldChar w:fldCharType="begin"/>
            </w:r>
            <w:r w:rsidR="004C4CA9">
              <w:rPr>
                <w:noProof/>
                <w:webHidden/>
              </w:rPr>
              <w:instrText xml:space="preserve"> PAGEREF _Toc119577656 \h </w:instrText>
            </w:r>
            <w:r w:rsidR="004C4CA9">
              <w:rPr>
                <w:noProof/>
                <w:webHidden/>
              </w:rPr>
            </w:r>
            <w:r w:rsidR="004C4CA9">
              <w:rPr>
                <w:noProof/>
                <w:webHidden/>
              </w:rPr>
              <w:fldChar w:fldCharType="separate"/>
            </w:r>
            <w:r w:rsidR="00E25E1A">
              <w:rPr>
                <w:noProof/>
                <w:webHidden/>
              </w:rPr>
              <w:t>12</w:t>
            </w:r>
            <w:r w:rsidR="004C4CA9">
              <w:rPr>
                <w:noProof/>
                <w:webHidden/>
              </w:rPr>
              <w:fldChar w:fldCharType="end"/>
            </w:r>
          </w:hyperlink>
        </w:p>
        <w:p w14:paraId="3B802898" w14:textId="4AA883DE" w:rsidR="004C4CA9" w:rsidRDefault="00000000">
          <w:pPr>
            <w:pStyle w:val="TOC3"/>
            <w:rPr>
              <w:rFonts w:asciiTheme="minorHAnsi" w:eastAsiaTheme="minorEastAsia" w:hAnsiTheme="minorHAnsi" w:cstheme="minorBidi"/>
              <w:noProof/>
              <w:sz w:val="22"/>
              <w:szCs w:val="22"/>
              <w:lang w:val="en-DK" w:eastAsia="en-DK"/>
            </w:rPr>
          </w:pPr>
          <w:hyperlink w:anchor="_Toc119577657" w:history="1">
            <w:r w:rsidR="004C4CA9" w:rsidRPr="002E2FD0">
              <w:rPr>
                <w:rStyle w:val="Hyperlink"/>
                <w:noProof/>
                <w:lang w:val="en-GB"/>
              </w:rPr>
              <w:t>4.2.1</w:t>
            </w:r>
            <w:r w:rsidR="004C4CA9">
              <w:rPr>
                <w:rFonts w:asciiTheme="minorHAnsi" w:eastAsiaTheme="minorEastAsia" w:hAnsiTheme="minorHAnsi" w:cstheme="minorBidi"/>
                <w:noProof/>
                <w:sz w:val="22"/>
                <w:szCs w:val="22"/>
                <w:lang w:val="en-DK" w:eastAsia="en-DK"/>
              </w:rPr>
              <w:tab/>
            </w:r>
            <w:r w:rsidR="004C4CA9" w:rsidRPr="002E2FD0">
              <w:rPr>
                <w:rStyle w:val="Hyperlink"/>
                <w:noProof/>
                <w:lang w:val="en-GB"/>
              </w:rPr>
              <w:t>Shared band (radio astronomy service and WBB ECS in 42.5-43.5 GHz)</w:t>
            </w:r>
            <w:r w:rsidR="004C4CA9">
              <w:rPr>
                <w:noProof/>
                <w:webHidden/>
              </w:rPr>
              <w:tab/>
            </w:r>
            <w:r w:rsidR="004C4CA9">
              <w:rPr>
                <w:noProof/>
                <w:webHidden/>
              </w:rPr>
              <w:fldChar w:fldCharType="begin"/>
            </w:r>
            <w:r w:rsidR="004C4CA9">
              <w:rPr>
                <w:noProof/>
                <w:webHidden/>
              </w:rPr>
              <w:instrText xml:space="preserve"> PAGEREF _Toc119577657 \h </w:instrText>
            </w:r>
            <w:r w:rsidR="004C4CA9">
              <w:rPr>
                <w:noProof/>
                <w:webHidden/>
              </w:rPr>
            </w:r>
            <w:r w:rsidR="004C4CA9">
              <w:rPr>
                <w:noProof/>
                <w:webHidden/>
              </w:rPr>
              <w:fldChar w:fldCharType="separate"/>
            </w:r>
            <w:r w:rsidR="00E25E1A">
              <w:rPr>
                <w:noProof/>
                <w:webHidden/>
              </w:rPr>
              <w:t>12</w:t>
            </w:r>
            <w:r w:rsidR="004C4CA9">
              <w:rPr>
                <w:noProof/>
                <w:webHidden/>
              </w:rPr>
              <w:fldChar w:fldCharType="end"/>
            </w:r>
          </w:hyperlink>
        </w:p>
        <w:p w14:paraId="3EA2326D" w14:textId="7F1CAE44" w:rsidR="004C4CA9" w:rsidRDefault="00000000">
          <w:pPr>
            <w:pStyle w:val="TOC3"/>
            <w:rPr>
              <w:rFonts w:asciiTheme="minorHAnsi" w:eastAsiaTheme="minorEastAsia" w:hAnsiTheme="minorHAnsi" w:cstheme="minorBidi"/>
              <w:noProof/>
              <w:sz w:val="22"/>
              <w:szCs w:val="22"/>
              <w:lang w:val="en-DK" w:eastAsia="en-DK"/>
            </w:rPr>
          </w:pPr>
          <w:hyperlink w:anchor="_Toc119577658" w:history="1">
            <w:r w:rsidR="004C4CA9" w:rsidRPr="002E2FD0">
              <w:rPr>
                <w:rStyle w:val="Hyperlink"/>
                <w:noProof/>
                <w:lang w:val="en-GB"/>
              </w:rPr>
              <w:t>4.2.2</w:t>
            </w:r>
            <w:r w:rsidR="004C4CA9">
              <w:rPr>
                <w:rFonts w:asciiTheme="minorHAnsi" w:eastAsiaTheme="minorEastAsia" w:hAnsiTheme="minorHAnsi" w:cstheme="minorBidi"/>
                <w:noProof/>
                <w:sz w:val="22"/>
                <w:szCs w:val="22"/>
                <w:lang w:val="en-DK" w:eastAsia="en-DK"/>
              </w:rPr>
              <w:tab/>
            </w:r>
            <w:r w:rsidR="004C4CA9" w:rsidRPr="002E2FD0">
              <w:rPr>
                <w:rStyle w:val="Hyperlink"/>
                <w:noProof/>
                <w:lang w:val="en-GB"/>
              </w:rPr>
              <w:t>Adjacent band (radio astronomy service in 42.5-43.5 GHz and WBB ECS in 40.5-42.5 GHz)</w:t>
            </w:r>
            <w:r w:rsidR="004C4CA9">
              <w:rPr>
                <w:noProof/>
                <w:webHidden/>
              </w:rPr>
              <w:tab/>
            </w:r>
            <w:r w:rsidR="004C4CA9">
              <w:rPr>
                <w:noProof/>
                <w:webHidden/>
              </w:rPr>
              <w:fldChar w:fldCharType="begin"/>
            </w:r>
            <w:r w:rsidR="004C4CA9">
              <w:rPr>
                <w:noProof/>
                <w:webHidden/>
              </w:rPr>
              <w:instrText xml:space="preserve"> PAGEREF _Toc119577658 \h </w:instrText>
            </w:r>
            <w:r w:rsidR="004C4CA9">
              <w:rPr>
                <w:noProof/>
                <w:webHidden/>
              </w:rPr>
            </w:r>
            <w:r w:rsidR="004C4CA9">
              <w:rPr>
                <w:noProof/>
                <w:webHidden/>
              </w:rPr>
              <w:fldChar w:fldCharType="separate"/>
            </w:r>
            <w:r w:rsidR="00E25E1A">
              <w:rPr>
                <w:noProof/>
                <w:webHidden/>
              </w:rPr>
              <w:t>12</w:t>
            </w:r>
            <w:r w:rsidR="004C4CA9">
              <w:rPr>
                <w:noProof/>
                <w:webHidden/>
              </w:rPr>
              <w:fldChar w:fldCharType="end"/>
            </w:r>
          </w:hyperlink>
        </w:p>
        <w:p w14:paraId="6F7545F4" w14:textId="56D813B5" w:rsidR="004C4CA9" w:rsidRDefault="00000000">
          <w:pPr>
            <w:pStyle w:val="TOC2"/>
            <w:rPr>
              <w:rFonts w:asciiTheme="minorHAnsi" w:eastAsiaTheme="minorEastAsia" w:hAnsiTheme="minorHAnsi" w:cstheme="minorBidi"/>
              <w:noProof/>
              <w:sz w:val="22"/>
              <w:szCs w:val="22"/>
              <w:lang w:val="en-DK" w:eastAsia="en-DK"/>
            </w:rPr>
          </w:pPr>
          <w:hyperlink w:anchor="_Toc119577659" w:history="1">
            <w:r w:rsidR="004C4CA9" w:rsidRPr="002E2FD0">
              <w:rPr>
                <w:rStyle w:val="Hyperlink"/>
                <w:noProof/>
                <w:lang w:val="en-GB"/>
              </w:rPr>
              <w:t>4.3</w:t>
            </w:r>
            <w:r w:rsidR="004C4CA9">
              <w:rPr>
                <w:rFonts w:asciiTheme="minorHAnsi" w:eastAsiaTheme="minorEastAsia" w:hAnsiTheme="minorHAnsi" w:cstheme="minorBidi"/>
                <w:noProof/>
                <w:sz w:val="22"/>
                <w:szCs w:val="22"/>
                <w:lang w:val="en-DK" w:eastAsia="en-DK"/>
              </w:rPr>
              <w:tab/>
            </w:r>
            <w:r w:rsidR="004C4CA9" w:rsidRPr="002E2FD0">
              <w:rPr>
                <w:rStyle w:val="Hyperlink"/>
                <w:noProof/>
                <w:lang w:val="en-GB"/>
              </w:rPr>
              <w:t>Fixed Satellite Service and Mobile satelLite service</w:t>
            </w:r>
            <w:r w:rsidR="004C4CA9">
              <w:rPr>
                <w:noProof/>
                <w:webHidden/>
              </w:rPr>
              <w:tab/>
            </w:r>
            <w:r w:rsidR="004C4CA9">
              <w:rPr>
                <w:noProof/>
                <w:webHidden/>
              </w:rPr>
              <w:fldChar w:fldCharType="begin"/>
            </w:r>
            <w:r w:rsidR="004C4CA9">
              <w:rPr>
                <w:noProof/>
                <w:webHidden/>
              </w:rPr>
              <w:instrText xml:space="preserve"> PAGEREF _Toc119577659 \h </w:instrText>
            </w:r>
            <w:r w:rsidR="004C4CA9">
              <w:rPr>
                <w:noProof/>
                <w:webHidden/>
              </w:rPr>
            </w:r>
            <w:r w:rsidR="004C4CA9">
              <w:rPr>
                <w:noProof/>
                <w:webHidden/>
              </w:rPr>
              <w:fldChar w:fldCharType="separate"/>
            </w:r>
            <w:r w:rsidR="00E25E1A">
              <w:rPr>
                <w:noProof/>
                <w:webHidden/>
              </w:rPr>
              <w:t>12</w:t>
            </w:r>
            <w:r w:rsidR="004C4CA9">
              <w:rPr>
                <w:noProof/>
                <w:webHidden/>
              </w:rPr>
              <w:fldChar w:fldCharType="end"/>
            </w:r>
          </w:hyperlink>
        </w:p>
        <w:p w14:paraId="010990FD" w14:textId="4E10B06E" w:rsidR="004C4CA9" w:rsidRDefault="00000000">
          <w:pPr>
            <w:pStyle w:val="TOC3"/>
            <w:rPr>
              <w:rFonts w:asciiTheme="minorHAnsi" w:eastAsiaTheme="minorEastAsia" w:hAnsiTheme="minorHAnsi" w:cstheme="minorBidi"/>
              <w:noProof/>
              <w:sz w:val="22"/>
              <w:szCs w:val="22"/>
              <w:lang w:val="en-DK" w:eastAsia="en-DK"/>
            </w:rPr>
          </w:pPr>
          <w:hyperlink w:anchor="_Toc119577660" w:history="1">
            <w:r w:rsidR="004C4CA9" w:rsidRPr="002E2FD0">
              <w:rPr>
                <w:rStyle w:val="Hyperlink"/>
                <w:noProof/>
                <w:lang w:val="en-GB"/>
              </w:rPr>
              <w:t>4.3.1</w:t>
            </w:r>
            <w:r w:rsidR="004C4CA9">
              <w:rPr>
                <w:rFonts w:asciiTheme="minorHAnsi" w:eastAsiaTheme="minorEastAsia" w:hAnsiTheme="minorHAnsi" w:cstheme="minorBidi"/>
                <w:noProof/>
                <w:sz w:val="22"/>
                <w:szCs w:val="22"/>
                <w:lang w:val="en-DK" w:eastAsia="en-DK"/>
              </w:rPr>
              <w:tab/>
            </w:r>
            <w:r w:rsidR="004C4CA9" w:rsidRPr="002E2FD0">
              <w:rPr>
                <w:rStyle w:val="Hyperlink"/>
                <w:noProof/>
                <w:lang w:val="en-GB"/>
              </w:rPr>
              <w:t>Fixed-Satellite Service in the band 40.5-42.5 GHz</w:t>
            </w:r>
            <w:r w:rsidR="004C4CA9">
              <w:rPr>
                <w:noProof/>
                <w:webHidden/>
              </w:rPr>
              <w:tab/>
            </w:r>
            <w:r w:rsidR="004C4CA9">
              <w:rPr>
                <w:noProof/>
                <w:webHidden/>
              </w:rPr>
              <w:fldChar w:fldCharType="begin"/>
            </w:r>
            <w:r w:rsidR="004C4CA9">
              <w:rPr>
                <w:noProof/>
                <w:webHidden/>
              </w:rPr>
              <w:instrText xml:space="preserve"> PAGEREF _Toc119577660 \h </w:instrText>
            </w:r>
            <w:r w:rsidR="004C4CA9">
              <w:rPr>
                <w:noProof/>
                <w:webHidden/>
              </w:rPr>
            </w:r>
            <w:r w:rsidR="004C4CA9">
              <w:rPr>
                <w:noProof/>
                <w:webHidden/>
              </w:rPr>
              <w:fldChar w:fldCharType="separate"/>
            </w:r>
            <w:r w:rsidR="00E25E1A">
              <w:rPr>
                <w:noProof/>
                <w:webHidden/>
              </w:rPr>
              <w:t>13</w:t>
            </w:r>
            <w:r w:rsidR="004C4CA9">
              <w:rPr>
                <w:noProof/>
                <w:webHidden/>
              </w:rPr>
              <w:fldChar w:fldCharType="end"/>
            </w:r>
          </w:hyperlink>
        </w:p>
        <w:p w14:paraId="670BEA63" w14:textId="11B55FFB" w:rsidR="004C4CA9" w:rsidRDefault="00000000">
          <w:pPr>
            <w:pStyle w:val="TOC3"/>
            <w:rPr>
              <w:rFonts w:asciiTheme="minorHAnsi" w:eastAsiaTheme="minorEastAsia" w:hAnsiTheme="minorHAnsi" w:cstheme="minorBidi"/>
              <w:noProof/>
              <w:sz w:val="22"/>
              <w:szCs w:val="22"/>
              <w:lang w:val="en-DK" w:eastAsia="en-DK"/>
            </w:rPr>
          </w:pPr>
          <w:hyperlink w:anchor="_Toc119577661" w:history="1">
            <w:r w:rsidR="004C4CA9" w:rsidRPr="002E2FD0">
              <w:rPr>
                <w:rStyle w:val="Hyperlink"/>
                <w:noProof/>
                <w:lang w:val="en-GB"/>
              </w:rPr>
              <w:t>4.3.2</w:t>
            </w:r>
            <w:r w:rsidR="004C4CA9">
              <w:rPr>
                <w:rFonts w:asciiTheme="minorHAnsi" w:eastAsiaTheme="minorEastAsia" w:hAnsiTheme="minorHAnsi" w:cstheme="minorBidi"/>
                <w:noProof/>
                <w:sz w:val="22"/>
                <w:szCs w:val="22"/>
                <w:lang w:val="en-DK" w:eastAsia="en-DK"/>
              </w:rPr>
              <w:tab/>
            </w:r>
            <w:r w:rsidR="004C4CA9" w:rsidRPr="002E2FD0">
              <w:rPr>
                <w:rStyle w:val="Hyperlink"/>
                <w:noProof/>
                <w:lang w:val="en-GB"/>
              </w:rPr>
              <w:t>Fixed-Satellite Service in the band 42.5-43.5 GHz</w:t>
            </w:r>
            <w:r w:rsidR="004C4CA9">
              <w:rPr>
                <w:noProof/>
                <w:webHidden/>
              </w:rPr>
              <w:tab/>
            </w:r>
            <w:r w:rsidR="004C4CA9">
              <w:rPr>
                <w:noProof/>
                <w:webHidden/>
              </w:rPr>
              <w:fldChar w:fldCharType="begin"/>
            </w:r>
            <w:r w:rsidR="004C4CA9">
              <w:rPr>
                <w:noProof/>
                <w:webHidden/>
              </w:rPr>
              <w:instrText xml:space="preserve"> PAGEREF _Toc119577661 \h </w:instrText>
            </w:r>
            <w:r w:rsidR="004C4CA9">
              <w:rPr>
                <w:noProof/>
                <w:webHidden/>
              </w:rPr>
            </w:r>
            <w:r w:rsidR="004C4CA9">
              <w:rPr>
                <w:noProof/>
                <w:webHidden/>
              </w:rPr>
              <w:fldChar w:fldCharType="separate"/>
            </w:r>
            <w:r w:rsidR="00E25E1A">
              <w:rPr>
                <w:noProof/>
                <w:webHidden/>
              </w:rPr>
              <w:t>13</w:t>
            </w:r>
            <w:r w:rsidR="004C4CA9">
              <w:rPr>
                <w:noProof/>
                <w:webHidden/>
              </w:rPr>
              <w:fldChar w:fldCharType="end"/>
            </w:r>
          </w:hyperlink>
        </w:p>
        <w:p w14:paraId="4F2BC5CF" w14:textId="07AB100B" w:rsidR="004C4CA9" w:rsidRDefault="00000000">
          <w:pPr>
            <w:pStyle w:val="TOC3"/>
            <w:rPr>
              <w:rFonts w:asciiTheme="minorHAnsi" w:eastAsiaTheme="minorEastAsia" w:hAnsiTheme="minorHAnsi" w:cstheme="minorBidi"/>
              <w:noProof/>
              <w:sz w:val="22"/>
              <w:szCs w:val="22"/>
              <w:lang w:val="en-DK" w:eastAsia="en-DK"/>
            </w:rPr>
          </w:pPr>
          <w:hyperlink w:anchor="_Toc119577662" w:history="1">
            <w:r w:rsidR="004C4CA9" w:rsidRPr="002E2FD0">
              <w:rPr>
                <w:rStyle w:val="Hyperlink"/>
                <w:noProof/>
                <w:lang w:val="en-GB"/>
              </w:rPr>
              <w:t>4.3.3</w:t>
            </w:r>
            <w:r w:rsidR="004C4CA9">
              <w:rPr>
                <w:rFonts w:asciiTheme="minorHAnsi" w:eastAsiaTheme="minorEastAsia" w:hAnsiTheme="minorHAnsi" w:cstheme="minorBidi"/>
                <w:noProof/>
                <w:sz w:val="22"/>
                <w:szCs w:val="22"/>
                <w:lang w:val="en-DK" w:eastAsia="en-DK"/>
              </w:rPr>
              <w:tab/>
            </w:r>
            <w:r w:rsidR="004C4CA9" w:rsidRPr="002E2FD0">
              <w:rPr>
                <w:rStyle w:val="Hyperlink"/>
                <w:noProof/>
                <w:lang w:val="en-GB"/>
              </w:rPr>
              <w:t>Fixed-Satellite Service/MSS below 40.5 GHz</w:t>
            </w:r>
            <w:r w:rsidR="004C4CA9">
              <w:rPr>
                <w:noProof/>
                <w:webHidden/>
              </w:rPr>
              <w:tab/>
            </w:r>
            <w:r w:rsidR="004C4CA9">
              <w:rPr>
                <w:noProof/>
                <w:webHidden/>
              </w:rPr>
              <w:fldChar w:fldCharType="begin"/>
            </w:r>
            <w:r w:rsidR="004C4CA9">
              <w:rPr>
                <w:noProof/>
                <w:webHidden/>
              </w:rPr>
              <w:instrText xml:space="preserve"> PAGEREF _Toc119577662 \h </w:instrText>
            </w:r>
            <w:r w:rsidR="004C4CA9">
              <w:rPr>
                <w:noProof/>
                <w:webHidden/>
              </w:rPr>
            </w:r>
            <w:r w:rsidR="004C4CA9">
              <w:rPr>
                <w:noProof/>
                <w:webHidden/>
              </w:rPr>
              <w:fldChar w:fldCharType="separate"/>
            </w:r>
            <w:r w:rsidR="00E25E1A">
              <w:rPr>
                <w:noProof/>
                <w:webHidden/>
              </w:rPr>
              <w:t>14</w:t>
            </w:r>
            <w:r w:rsidR="004C4CA9">
              <w:rPr>
                <w:noProof/>
                <w:webHidden/>
              </w:rPr>
              <w:fldChar w:fldCharType="end"/>
            </w:r>
          </w:hyperlink>
        </w:p>
        <w:p w14:paraId="5D508671" w14:textId="5CBD776C" w:rsidR="004C4CA9" w:rsidRDefault="00000000">
          <w:pPr>
            <w:pStyle w:val="TOC1"/>
            <w:rPr>
              <w:rFonts w:asciiTheme="minorHAnsi" w:eastAsiaTheme="minorEastAsia" w:hAnsiTheme="minorHAnsi" w:cstheme="minorBidi"/>
              <w:b w:val="0"/>
              <w:caps w:val="0"/>
              <w:noProof/>
              <w:sz w:val="22"/>
              <w:szCs w:val="22"/>
              <w:lang w:val="en-DK" w:eastAsia="en-DK"/>
            </w:rPr>
          </w:pPr>
          <w:hyperlink w:anchor="_Toc119577663" w:history="1">
            <w:r w:rsidR="004C4CA9" w:rsidRPr="002E2FD0">
              <w:rPr>
                <w:rStyle w:val="Hyperlink"/>
                <w:noProof/>
              </w:rPr>
              <w:t>5</w:t>
            </w:r>
            <w:r w:rsidR="004C4CA9">
              <w:rPr>
                <w:rFonts w:asciiTheme="minorHAnsi" w:eastAsiaTheme="minorEastAsia" w:hAnsiTheme="minorHAnsi" w:cstheme="minorBidi"/>
                <w:b w:val="0"/>
                <w:caps w:val="0"/>
                <w:noProof/>
                <w:sz w:val="22"/>
                <w:szCs w:val="22"/>
                <w:lang w:val="en-DK" w:eastAsia="en-DK"/>
              </w:rPr>
              <w:tab/>
            </w:r>
            <w:r w:rsidR="004C4CA9" w:rsidRPr="002E2FD0">
              <w:rPr>
                <w:rStyle w:val="Hyperlink"/>
                <w:noProof/>
              </w:rPr>
              <w:t>WBB ECS (5G) authorisation regime</w:t>
            </w:r>
            <w:r w:rsidR="004C4CA9">
              <w:rPr>
                <w:noProof/>
                <w:webHidden/>
              </w:rPr>
              <w:tab/>
            </w:r>
            <w:r w:rsidR="004C4CA9">
              <w:rPr>
                <w:noProof/>
                <w:webHidden/>
              </w:rPr>
              <w:fldChar w:fldCharType="begin"/>
            </w:r>
            <w:r w:rsidR="004C4CA9">
              <w:rPr>
                <w:noProof/>
                <w:webHidden/>
              </w:rPr>
              <w:instrText xml:space="preserve"> PAGEREF _Toc119577663 \h </w:instrText>
            </w:r>
            <w:r w:rsidR="004C4CA9">
              <w:rPr>
                <w:noProof/>
                <w:webHidden/>
              </w:rPr>
            </w:r>
            <w:r w:rsidR="004C4CA9">
              <w:rPr>
                <w:noProof/>
                <w:webHidden/>
              </w:rPr>
              <w:fldChar w:fldCharType="separate"/>
            </w:r>
            <w:r w:rsidR="00E25E1A">
              <w:rPr>
                <w:noProof/>
                <w:webHidden/>
              </w:rPr>
              <w:t>16</w:t>
            </w:r>
            <w:r w:rsidR="004C4CA9">
              <w:rPr>
                <w:noProof/>
                <w:webHidden/>
              </w:rPr>
              <w:fldChar w:fldCharType="end"/>
            </w:r>
          </w:hyperlink>
        </w:p>
        <w:p w14:paraId="75427AA2" w14:textId="48A7C7A4" w:rsidR="004C4CA9" w:rsidRDefault="00000000">
          <w:pPr>
            <w:pStyle w:val="TOC1"/>
            <w:rPr>
              <w:rFonts w:asciiTheme="minorHAnsi" w:eastAsiaTheme="minorEastAsia" w:hAnsiTheme="minorHAnsi" w:cstheme="minorBidi"/>
              <w:b w:val="0"/>
              <w:caps w:val="0"/>
              <w:noProof/>
              <w:sz w:val="22"/>
              <w:szCs w:val="22"/>
              <w:lang w:val="en-DK" w:eastAsia="en-DK"/>
            </w:rPr>
          </w:pPr>
          <w:hyperlink w:anchor="_Toc119577664" w:history="1">
            <w:r w:rsidR="004C4CA9" w:rsidRPr="002E2FD0">
              <w:rPr>
                <w:rStyle w:val="Hyperlink"/>
                <w:noProof/>
              </w:rPr>
              <w:t>6</w:t>
            </w:r>
            <w:r w:rsidR="004C4CA9">
              <w:rPr>
                <w:rFonts w:asciiTheme="minorHAnsi" w:eastAsiaTheme="minorEastAsia" w:hAnsiTheme="minorHAnsi" w:cstheme="minorBidi"/>
                <w:b w:val="0"/>
                <w:caps w:val="0"/>
                <w:noProof/>
                <w:sz w:val="22"/>
                <w:szCs w:val="22"/>
                <w:lang w:val="en-DK" w:eastAsia="en-DK"/>
              </w:rPr>
              <w:tab/>
            </w:r>
            <w:r w:rsidR="004C4CA9" w:rsidRPr="002E2FD0">
              <w:rPr>
                <w:rStyle w:val="Hyperlink"/>
                <w:noProof/>
              </w:rPr>
              <w:t>Conclusions</w:t>
            </w:r>
            <w:r w:rsidR="004C4CA9">
              <w:rPr>
                <w:noProof/>
                <w:webHidden/>
              </w:rPr>
              <w:tab/>
            </w:r>
            <w:r w:rsidR="004C4CA9">
              <w:rPr>
                <w:noProof/>
                <w:webHidden/>
              </w:rPr>
              <w:fldChar w:fldCharType="begin"/>
            </w:r>
            <w:r w:rsidR="004C4CA9">
              <w:rPr>
                <w:noProof/>
                <w:webHidden/>
              </w:rPr>
              <w:instrText xml:space="preserve"> PAGEREF _Toc119577664 \h </w:instrText>
            </w:r>
            <w:r w:rsidR="004C4CA9">
              <w:rPr>
                <w:noProof/>
                <w:webHidden/>
              </w:rPr>
            </w:r>
            <w:r w:rsidR="004C4CA9">
              <w:rPr>
                <w:noProof/>
                <w:webHidden/>
              </w:rPr>
              <w:fldChar w:fldCharType="separate"/>
            </w:r>
            <w:r w:rsidR="00E25E1A">
              <w:rPr>
                <w:noProof/>
                <w:webHidden/>
              </w:rPr>
              <w:t>17</w:t>
            </w:r>
            <w:r w:rsidR="004C4CA9">
              <w:rPr>
                <w:noProof/>
                <w:webHidden/>
              </w:rPr>
              <w:fldChar w:fldCharType="end"/>
            </w:r>
          </w:hyperlink>
        </w:p>
        <w:p w14:paraId="12679409" w14:textId="3D68B9D2" w:rsidR="004C4CA9" w:rsidRDefault="00000000">
          <w:pPr>
            <w:pStyle w:val="TOC1"/>
            <w:rPr>
              <w:rFonts w:asciiTheme="minorHAnsi" w:eastAsiaTheme="minorEastAsia" w:hAnsiTheme="minorHAnsi" w:cstheme="minorBidi"/>
              <w:b w:val="0"/>
              <w:caps w:val="0"/>
              <w:noProof/>
              <w:sz w:val="22"/>
              <w:szCs w:val="22"/>
              <w:lang w:val="en-DK" w:eastAsia="en-DK"/>
            </w:rPr>
          </w:pPr>
          <w:hyperlink w:anchor="_Toc119577665" w:history="1">
            <w:r w:rsidR="004C4CA9" w:rsidRPr="002E2FD0">
              <w:rPr>
                <w:rStyle w:val="Hyperlink"/>
                <w:noProof/>
              </w:rPr>
              <w:t>ANNEX 1: CEPT MANDATE</w:t>
            </w:r>
            <w:r w:rsidR="004C4CA9">
              <w:rPr>
                <w:noProof/>
                <w:webHidden/>
              </w:rPr>
              <w:tab/>
            </w:r>
            <w:r w:rsidR="004C4CA9">
              <w:rPr>
                <w:noProof/>
                <w:webHidden/>
              </w:rPr>
              <w:fldChar w:fldCharType="begin"/>
            </w:r>
            <w:r w:rsidR="004C4CA9">
              <w:rPr>
                <w:noProof/>
                <w:webHidden/>
              </w:rPr>
              <w:instrText xml:space="preserve"> PAGEREF _Toc119577665 \h </w:instrText>
            </w:r>
            <w:r w:rsidR="004C4CA9">
              <w:rPr>
                <w:noProof/>
                <w:webHidden/>
              </w:rPr>
            </w:r>
            <w:r w:rsidR="004C4CA9">
              <w:rPr>
                <w:noProof/>
                <w:webHidden/>
              </w:rPr>
              <w:fldChar w:fldCharType="separate"/>
            </w:r>
            <w:r w:rsidR="00E25E1A">
              <w:rPr>
                <w:noProof/>
                <w:webHidden/>
              </w:rPr>
              <w:t>19</w:t>
            </w:r>
            <w:r w:rsidR="004C4CA9">
              <w:rPr>
                <w:noProof/>
                <w:webHidden/>
              </w:rPr>
              <w:fldChar w:fldCharType="end"/>
            </w:r>
          </w:hyperlink>
        </w:p>
        <w:p w14:paraId="602F5831" w14:textId="2DB220B8" w:rsidR="004C4CA9" w:rsidRDefault="00000000">
          <w:pPr>
            <w:pStyle w:val="TOC1"/>
            <w:rPr>
              <w:rFonts w:asciiTheme="minorHAnsi" w:eastAsiaTheme="minorEastAsia" w:hAnsiTheme="minorHAnsi" w:cstheme="minorBidi"/>
              <w:b w:val="0"/>
              <w:caps w:val="0"/>
              <w:noProof/>
              <w:sz w:val="22"/>
              <w:szCs w:val="22"/>
              <w:lang w:val="en-DK" w:eastAsia="en-DK"/>
            </w:rPr>
          </w:pPr>
          <w:hyperlink w:anchor="_Toc119577667" w:history="1">
            <w:r w:rsidR="004C4CA9" w:rsidRPr="002E2FD0">
              <w:rPr>
                <w:rStyle w:val="Hyperlink"/>
                <w:noProof/>
              </w:rPr>
              <w:t>ANNEX 2: Channelling arrangement and least restrictive technical conditions</w:t>
            </w:r>
            <w:r w:rsidR="004C4CA9">
              <w:rPr>
                <w:noProof/>
                <w:webHidden/>
              </w:rPr>
              <w:tab/>
            </w:r>
            <w:r w:rsidR="004C4CA9">
              <w:rPr>
                <w:noProof/>
                <w:webHidden/>
              </w:rPr>
              <w:fldChar w:fldCharType="begin"/>
            </w:r>
            <w:r w:rsidR="004C4CA9">
              <w:rPr>
                <w:noProof/>
                <w:webHidden/>
              </w:rPr>
              <w:instrText xml:space="preserve"> PAGEREF _Toc119577667 \h </w:instrText>
            </w:r>
            <w:r w:rsidR="004C4CA9">
              <w:rPr>
                <w:noProof/>
                <w:webHidden/>
              </w:rPr>
            </w:r>
            <w:r w:rsidR="004C4CA9">
              <w:rPr>
                <w:noProof/>
                <w:webHidden/>
              </w:rPr>
              <w:fldChar w:fldCharType="separate"/>
            </w:r>
            <w:r w:rsidR="00E25E1A">
              <w:rPr>
                <w:noProof/>
                <w:webHidden/>
              </w:rPr>
              <w:t>23</w:t>
            </w:r>
            <w:r w:rsidR="004C4CA9">
              <w:rPr>
                <w:noProof/>
                <w:webHidden/>
              </w:rPr>
              <w:fldChar w:fldCharType="end"/>
            </w:r>
          </w:hyperlink>
        </w:p>
        <w:p w14:paraId="13572B4B" w14:textId="3855BB21" w:rsidR="004C4CA9" w:rsidRDefault="00000000">
          <w:pPr>
            <w:pStyle w:val="TOC1"/>
            <w:rPr>
              <w:rFonts w:asciiTheme="minorHAnsi" w:eastAsiaTheme="minorEastAsia" w:hAnsiTheme="minorHAnsi" w:cstheme="minorBidi"/>
              <w:b w:val="0"/>
              <w:caps w:val="0"/>
              <w:noProof/>
              <w:sz w:val="22"/>
              <w:szCs w:val="22"/>
              <w:lang w:val="en-DK" w:eastAsia="en-DK"/>
            </w:rPr>
          </w:pPr>
          <w:hyperlink w:anchor="_Toc119577668" w:history="1">
            <w:r w:rsidR="004C4CA9" w:rsidRPr="002E2FD0">
              <w:rPr>
                <w:rStyle w:val="Hyperlink"/>
                <w:noProof/>
              </w:rPr>
              <w:t>ANNEX 3: Additional measures to be considered on a national basis when the location of WBB ECS Base Stations are not known</w:t>
            </w:r>
            <w:r w:rsidR="004C4CA9">
              <w:rPr>
                <w:noProof/>
                <w:webHidden/>
              </w:rPr>
              <w:tab/>
            </w:r>
            <w:r w:rsidR="004C4CA9">
              <w:rPr>
                <w:noProof/>
                <w:webHidden/>
              </w:rPr>
              <w:fldChar w:fldCharType="begin"/>
            </w:r>
            <w:r w:rsidR="004C4CA9">
              <w:rPr>
                <w:noProof/>
                <w:webHidden/>
              </w:rPr>
              <w:instrText xml:space="preserve"> PAGEREF _Toc119577668 \h </w:instrText>
            </w:r>
            <w:r w:rsidR="004C4CA9">
              <w:rPr>
                <w:noProof/>
                <w:webHidden/>
              </w:rPr>
            </w:r>
            <w:r w:rsidR="004C4CA9">
              <w:rPr>
                <w:noProof/>
                <w:webHidden/>
              </w:rPr>
              <w:fldChar w:fldCharType="separate"/>
            </w:r>
            <w:r w:rsidR="00E25E1A">
              <w:rPr>
                <w:noProof/>
                <w:webHidden/>
              </w:rPr>
              <w:t>25</w:t>
            </w:r>
            <w:r w:rsidR="004C4CA9">
              <w:rPr>
                <w:noProof/>
                <w:webHidden/>
              </w:rPr>
              <w:fldChar w:fldCharType="end"/>
            </w:r>
          </w:hyperlink>
        </w:p>
        <w:p w14:paraId="1A241044" w14:textId="4EC43DAF" w:rsidR="004C4CA9" w:rsidRDefault="00000000">
          <w:pPr>
            <w:pStyle w:val="TOC1"/>
            <w:rPr>
              <w:rFonts w:asciiTheme="minorHAnsi" w:eastAsiaTheme="minorEastAsia" w:hAnsiTheme="minorHAnsi" w:cstheme="minorBidi"/>
              <w:b w:val="0"/>
              <w:caps w:val="0"/>
              <w:noProof/>
              <w:sz w:val="22"/>
              <w:szCs w:val="22"/>
              <w:lang w:val="en-DK" w:eastAsia="en-DK"/>
            </w:rPr>
          </w:pPr>
          <w:hyperlink w:anchor="_Toc119577671" w:history="1">
            <w:r w:rsidR="004C4CA9" w:rsidRPr="002E2FD0">
              <w:rPr>
                <w:rStyle w:val="Hyperlink"/>
                <w:noProof/>
              </w:rPr>
              <w:t>ANNEX 4: List of references</w:t>
            </w:r>
            <w:r w:rsidR="004C4CA9">
              <w:rPr>
                <w:noProof/>
                <w:webHidden/>
              </w:rPr>
              <w:tab/>
            </w:r>
            <w:r w:rsidR="004C4CA9">
              <w:rPr>
                <w:noProof/>
                <w:webHidden/>
              </w:rPr>
              <w:fldChar w:fldCharType="begin"/>
            </w:r>
            <w:r w:rsidR="004C4CA9">
              <w:rPr>
                <w:noProof/>
                <w:webHidden/>
              </w:rPr>
              <w:instrText xml:space="preserve"> PAGEREF _Toc119577671 \h </w:instrText>
            </w:r>
            <w:r w:rsidR="004C4CA9">
              <w:rPr>
                <w:noProof/>
                <w:webHidden/>
              </w:rPr>
            </w:r>
            <w:r w:rsidR="004C4CA9">
              <w:rPr>
                <w:noProof/>
                <w:webHidden/>
              </w:rPr>
              <w:fldChar w:fldCharType="separate"/>
            </w:r>
            <w:r w:rsidR="00E25E1A">
              <w:rPr>
                <w:noProof/>
                <w:webHidden/>
              </w:rPr>
              <w:t>27</w:t>
            </w:r>
            <w:r w:rsidR="004C4CA9">
              <w:rPr>
                <w:noProof/>
                <w:webHidden/>
              </w:rPr>
              <w:fldChar w:fldCharType="end"/>
            </w:r>
          </w:hyperlink>
        </w:p>
        <w:p w14:paraId="58C35B59" w14:textId="44B6A7C8" w:rsidR="00677DCE" w:rsidRPr="00F264F0" w:rsidRDefault="004C4CA9" w:rsidP="004C4CA9">
          <w:pPr>
            <w:pStyle w:val="TOC1"/>
            <w:rPr>
              <w:rFonts w:asciiTheme="minorHAnsi" w:eastAsiaTheme="minorEastAsia" w:hAnsiTheme="minorHAnsi" w:cstheme="minorBidi"/>
              <w:sz w:val="22"/>
              <w:szCs w:val="22"/>
              <w:lang w:val="en-GB" w:eastAsia="sl-SI"/>
            </w:rPr>
          </w:pPr>
          <w:r>
            <w:fldChar w:fldCharType="end"/>
          </w:r>
        </w:p>
      </w:sdtContent>
    </w:sdt>
    <w:p w14:paraId="747DE970" w14:textId="4E115C83" w:rsidR="00517582" w:rsidRPr="00F264F0" w:rsidRDefault="00517582">
      <w:pPr>
        <w:rPr>
          <w:lang w:val="en-GB"/>
        </w:rPr>
      </w:pPr>
      <w:r w:rsidRPr="00F264F0">
        <w:rPr>
          <w:lang w:val="en-GB"/>
        </w:rPr>
        <w:br w:type="page"/>
      </w:r>
    </w:p>
    <w:tbl>
      <w:tblPr>
        <w:tblpPr w:leftFromText="180" w:rightFromText="180" w:vertAnchor="page" w:horzAnchor="margin" w:tblpY="2567"/>
        <w:tblW w:w="9639" w:type="dxa"/>
        <w:tblCellMar>
          <w:top w:w="11" w:type="dxa"/>
          <w:bottom w:w="11" w:type="dxa"/>
        </w:tblCellMar>
        <w:tblLook w:val="01E0" w:firstRow="1" w:lastRow="1" w:firstColumn="1" w:lastColumn="1" w:noHBand="0" w:noVBand="0"/>
      </w:tblPr>
      <w:tblGrid>
        <w:gridCol w:w="2064"/>
        <w:gridCol w:w="7575"/>
      </w:tblGrid>
      <w:tr w:rsidR="00677DCE" w:rsidRPr="00F264F0" w14:paraId="42C96CDA" w14:textId="77777777" w:rsidTr="007E610E">
        <w:trPr>
          <w:trHeight w:val="76"/>
        </w:trPr>
        <w:tc>
          <w:tcPr>
            <w:tcW w:w="2064" w:type="dxa"/>
          </w:tcPr>
          <w:p w14:paraId="1D716859" w14:textId="77777777" w:rsidR="00677DCE" w:rsidRPr="00F264F0" w:rsidRDefault="007D617C" w:rsidP="007E610E">
            <w:pPr>
              <w:spacing w:line="288" w:lineRule="auto"/>
              <w:rPr>
                <w:b/>
                <w:color w:val="D2232A"/>
                <w:lang w:val="en-GB"/>
              </w:rPr>
            </w:pPr>
            <w:r w:rsidRPr="00F264F0">
              <w:rPr>
                <w:b/>
                <w:color w:val="D2232A"/>
                <w:lang w:val="en-GB"/>
              </w:rPr>
              <w:lastRenderedPageBreak/>
              <w:t>Abbreviation</w:t>
            </w:r>
          </w:p>
        </w:tc>
        <w:tc>
          <w:tcPr>
            <w:tcW w:w="7575" w:type="dxa"/>
          </w:tcPr>
          <w:p w14:paraId="22BCDF26" w14:textId="77777777" w:rsidR="00677DCE" w:rsidRPr="00F264F0" w:rsidRDefault="007D617C" w:rsidP="007E610E">
            <w:pPr>
              <w:spacing w:line="288" w:lineRule="auto"/>
              <w:rPr>
                <w:b/>
                <w:color w:val="D2232A"/>
                <w:lang w:val="en-GB"/>
              </w:rPr>
            </w:pPr>
            <w:r w:rsidRPr="00F264F0">
              <w:rPr>
                <w:b/>
                <w:color w:val="D2232A"/>
                <w:lang w:val="en-GB"/>
              </w:rPr>
              <w:t>Explanation</w:t>
            </w:r>
          </w:p>
        </w:tc>
      </w:tr>
      <w:tr w:rsidR="00677DCE" w:rsidRPr="00F264F0" w14:paraId="1A1BA161" w14:textId="77777777" w:rsidTr="007E610E">
        <w:trPr>
          <w:trHeight w:val="76"/>
        </w:trPr>
        <w:tc>
          <w:tcPr>
            <w:tcW w:w="2064" w:type="dxa"/>
          </w:tcPr>
          <w:p w14:paraId="4461BBF0" w14:textId="77777777" w:rsidR="00677DCE" w:rsidRPr="00F264F0" w:rsidRDefault="007D617C" w:rsidP="00131E77">
            <w:pPr>
              <w:pStyle w:val="ECCTabletext"/>
              <w:rPr>
                <w:b/>
                <w:bCs/>
              </w:rPr>
            </w:pPr>
            <w:r w:rsidRPr="00F264F0">
              <w:rPr>
                <w:b/>
                <w:bCs/>
              </w:rPr>
              <w:t>5G</w:t>
            </w:r>
          </w:p>
        </w:tc>
        <w:tc>
          <w:tcPr>
            <w:tcW w:w="7575" w:type="dxa"/>
          </w:tcPr>
          <w:p w14:paraId="7473D0BC" w14:textId="77777777" w:rsidR="00677DCE" w:rsidRPr="00F264F0" w:rsidRDefault="007D617C" w:rsidP="00131E77">
            <w:pPr>
              <w:pStyle w:val="ECCTabletext"/>
            </w:pPr>
            <w:r w:rsidRPr="00F264F0">
              <w:t>5</w:t>
            </w:r>
            <w:r w:rsidRPr="00F264F0">
              <w:rPr>
                <w:vertAlign w:val="superscript"/>
              </w:rPr>
              <w:t>th</w:t>
            </w:r>
            <w:r w:rsidRPr="00F264F0">
              <w:t xml:space="preserve"> Generation mobile systems</w:t>
            </w:r>
          </w:p>
        </w:tc>
      </w:tr>
      <w:tr w:rsidR="00677DCE" w:rsidRPr="00F264F0" w14:paraId="25D8EA97" w14:textId="77777777" w:rsidTr="007E610E">
        <w:trPr>
          <w:trHeight w:val="76"/>
        </w:trPr>
        <w:tc>
          <w:tcPr>
            <w:tcW w:w="2064" w:type="dxa"/>
          </w:tcPr>
          <w:p w14:paraId="310ABB10" w14:textId="77777777" w:rsidR="00677DCE" w:rsidRPr="00F264F0" w:rsidRDefault="007D617C" w:rsidP="00131E77">
            <w:pPr>
              <w:pStyle w:val="ECCTabletext"/>
              <w:rPr>
                <w:b/>
                <w:bCs/>
              </w:rPr>
            </w:pPr>
            <w:r w:rsidRPr="00F264F0">
              <w:rPr>
                <w:b/>
                <w:bCs/>
              </w:rPr>
              <w:t>AAS</w:t>
            </w:r>
          </w:p>
        </w:tc>
        <w:tc>
          <w:tcPr>
            <w:tcW w:w="7575" w:type="dxa"/>
          </w:tcPr>
          <w:p w14:paraId="03B730D4" w14:textId="77777777" w:rsidR="00677DCE" w:rsidRPr="00F264F0" w:rsidRDefault="007D617C" w:rsidP="00131E77">
            <w:pPr>
              <w:pStyle w:val="ECCTabletext"/>
            </w:pPr>
            <w:r w:rsidRPr="00F264F0">
              <w:t>Active Antenna Systems</w:t>
            </w:r>
          </w:p>
        </w:tc>
      </w:tr>
      <w:tr w:rsidR="00677DCE" w:rsidRPr="00F264F0" w14:paraId="6D3EFBBC" w14:textId="77777777" w:rsidTr="007E610E">
        <w:tc>
          <w:tcPr>
            <w:tcW w:w="2064" w:type="dxa"/>
          </w:tcPr>
          <w:p w14:paraId="0DAC77D4" w14:textId="77777777" w:rsidR="00677DCE" w:rsidRPr="00F264F0" w:rsidRDefault="007D617C" w:rsidP="00131E77">
            <w:pPr>
              <w:pStyle w:val="ECCTabletext"/>
              <w:rPr>
                <w:b/>
                <w:bCs/>
              </w:rPr>
            </w:pPr>
            <w:r w:rsidRPr="00F264F0">
              <w:rPr>
                <w:b/>
                <w:bCs/>
              </w:rPr>
              <w:t>BEM</w:t>
            </w:r>
          </w:p>
        </w:tc>
        <w:tc>
          <w:tcPr>
            <w:tcW w:w="7575" w:type="dxa"/>
          </w:tcPr>
          <w:p w14:paraId="2C7DB2BE" w14:textId="77777777" w:rsidR="00677DCE" w:rsidRPr="00F264F0" w:rsidRDefault="007D617C" w:rsidP="00131E77">
            <w:pPr>
              <w:pStyle w:val="ECCTabletext"/>
              <w:rPr>
                <w:szCs w:val="20"/>
              </w:rPr>
            </w:pPr>
            <w:r w:rsidRPr="00F264F0">
              <w:t>Block Edge Mask</w:t>
            </w:r>
          </w:p>
        </w:tc>
      </w:tr>
      <w:tr w:rsidR="00677DCE" w:rsidRPr="00F264F0" w14:paraId="42A600BF" w14:textId="77777777" w:rsidTr="007E610E">
        <w:tc>
          <w:tcPr>
            <w:tcW w:w="2064" w:type="dxa"/>
          </w:tcPr>
          <w:p w14:paraId="244C5DE6" w14:textId="77777777" w:rsidR="00677DCE" w:rsidRPr="00F264F0" w:rsidRDefault="007D617C" w:rsidP="00131E77">
            <w:pPr>
              <w:pStyle w:val="ECCTabletext"/>
              <w:rPr>
                <w:b/>
                <w:bCs/>
              </w:rPr>
            </w:pPr>
            <w:r w:rsidRPr="00F264F0">
              <w:rPr>
                <w:b/>
                <w:bCs/>
              </w:rPr>
              <w:t>BS</w:t>
            </w:r>
          </w:p>
        </w:tc>
        <w:tc>
          <w:tcPr>
            <w:tcW w:w="7575" w:type="dxa"/>
          </w:tcPr>
          <w:p w14:paraId="20BB0B1C" w14:textId="77777777" w:rsidR="00677DCE" w:rsidRPr="00F264F0" w:rsidRDefault="007D617C" w:rsidP="00131E77">
            <w:pPr>
              <w:pStyle w:val="ECCTabletext"/>
              <w:rPr>
                <w:szCs w:val="20"/>
              </w:rPr>
            </w:pPr>
            <w:r w:rsidRPr="00F264F0">
              <w:t>Base Station</w:t>
            </w:r>
          </w:p>
        </w:tc>
      </w:tr>
      <w:tr w:rsidR="00677DCE" w:rsidRPr="00F264F0" w14:paraId="4FA7DEE1" w14:textId="77777777" w:rsidTr="007E610E">
        <w:tc>
          <w:tcPr>
            <w:tcW w:w="2064" w:type="dxa"/>
          </w:tcPr>
          <w:p w14:paraId="7577757A" w14:textId="77777777" w:rsidR="00677DCE" w:rsidRPr="00F264F0" w:rsidRDefault="007D617C" w:rsidP="00131E77">
            <w:pPr>
              <w:pStyle w:val="ECCTabletext"/>
              <w:rPr>
                <w:b/>
                <w:bCs/>
              </w:rPr>
            </w:pPr>
            <w:r w:rsidRPr="00F264F0">
              <w:rPr>
                <w:b/>
                <w:bCs/>
              </w:rPr>
              <w:t>BSS</w:t>
            </w:r>
          </w:p>
        </w:tc>
        <w:tc>
          <w:tcPr>
            <w:tcW w:w="7575" w:type="dxa"/>
          </w:tcPr>
          <w:p w14:paraId="02E2BE36" w14:textId="77777777" w:rsidR="00677DCE" w:rsidRPr="00F264F0" w:rsidRDefault="007D617C" w:rsidP="00131E77">
            <w:pPr>
              <w:pStyle w:val="ECCTabletext"/>
            </w:pPr>
            <w:r w:rsidRPr="00F264F0">
              <w:t>Broadcasting Satellite Service</w:t>
            </w:r>
          </w:p>
        </w:tc>
      </w:tr>
      <w:tr w:rsidR="00677DCE" w:rsidRPr="00F264F0" w14:paraId="58E32EAC" w14:textId="77777777" w:rsidTr="007E610E">
        <w:tc>
          <w:tcPr>
            <w:tcW w:w="2064" w:type="dxa"/>
          </w:tcPr>
          <w:p w14:paraId="761E3F98" w14:textId="77777777" w:rsidR="00677DCE" w:rsidRPr="00F264F0" w:rsidRDefault="007D617C" w:rsidP="00131E77">
            <w:pPr>
              <w:pStyle w:val="ECCTabletext"/>
              <w:rPr>
                <w:b/>
                <w:bCs/>
              </w:rPr>
            </w:pPr>
            <w:r w:rsidRPr="00F264F0">
              <w:rPr>
                <w:b/>
                <w:bCs/>
              </w:rPr>
              <w:t>CEPT</w:t>
            </w:r>
          </w:p>
        </w:tc>
        <w:tc>
          <w:tcPr>
            <w:tcW w:w="7575" w:type="dxa"/>
          </w:tcPr>
          <w:p w14:paraId="017AA39B" w14:textId="77777777" w:rsidR="00677DCE" w:rsidRPr="00F264F0" w:rsidRDefault="007D617C" w:rsidP="00131E77">
            <w:pPr>
              <w:pStyle w:val="ECCTabletext"/>
              <w:rPr>
                <w:szCs w:val="20"/>
              </w:rPr>
            </w:pPr>
            <w:r w:rsidRPr="00F264F0">
              <w:rPr>
                <w:szCs w:val="20"/>
              </w:rPr>
              <w:t>European Conference of Postal and Telecommunications Administrations</w:t>
            </w:r>
          </w:p>
        </w:tc>
      </w:tr>
      <w:tr w:rsidR="00677DCE" w:rsidRPr="00F264F0" w14:paraId="7A162280" w14:textId="77777777" w:rsidTr="007E610E">
        <w:tc>
          <w:tcPr>
            <w:tcW w:w="2064" w:type="dxa"/>
          </w:tcPr>
          <w:p w14:paraId="1E8273A0" w14:textId="77777777" w:rsidR="00677DCE" w:rsidRPr="00F264F0" w:rsidRDefault="007D617C" w:rsidP="00131E77">
            <w:pPr>
              <w:pStyle w:val="ECCTabletext"/>
              <w:rPr>
                <w:b/>
                <w:bCs/>
              </w:rPr>
            </w:pPr>
            <w:r w:rsidRPr="00F264F0">
              <w:rPr>
                <w:b/>
                <w:bCs/>
              </w:rPr>
              <w:t>EC</w:t>
            </w:r>
          </w:p>
        </w:tc>
        <w:tc>
          <w:tcPr>
            <w:tcW w:w="7575" w:type="dxa"/>
          </w:tcPr>
          <w:p w14:paraId="0D9A78BA" w14:textId="77777777" w:rsidR="00677DCE" w:rsidRPr="00F264F0" w:rsidRDefault="007D617C" w:rsidP="00131E77">
            <w:pPr>
              <w:pStyle w:val="ECCTabletext"/>
            </w:pPr>
            <w:r w:rsidRPr="00F264F0">
              <w:t>European Commission</w:t>
            </w:r>
          </w:p>
        </w:tc>
      </w:tr>
      <w:tr w:rsidR="00D075E1" w:rsidRPr="00F264F0" w14:paraId="2C430F0F" w14:textId="77777777" w:rsidTr="007E610E">
        <w:tc>
          <w:tcPr>
            <w:tcW w:w="2064" w:type="dxa"/>
          </w:tcPr>
          <w:p w14:paraId="2792BFF2" w14:textId="4FB4DB5B" w:rsidR="00D075E1" w:rsidRPr="00F264F0" w:rsidRDefault="00D075E1" w:rsidP="00131E77">
            <w:pPr>
              <w:pStyle w:val="ECCTabletext"/>
              <w:rPr>
                <w:b/>
                <w:bCs/>
              </w:rPr>
            </w:pPr>
            <w:r w:rsidRPr="00F264F0">
              <w:rPr>
                <w:b/>
                <w:bCs/>
              </w:rPr>
              <w:t>ECA</w:t>
            </w:r>
          </w:p>
        </w:tc>
        <w:tc>
          <w:tcPr>
            <w:tcW w:w="7575" w:type="dxa"/>
          </w:tcPr>
          <w:p w14:paraId="43DA6435" w14:textId="4E65C4B6" w:rsidR="00D075E1" w:rsidRPr="00F264F0" w:rsidRDefault="00D075E1" w:rsidP="00131E77">
            <w:pPr>
              <w:pStyle w:val="ECCTabletext"/>
            </w:pPr>
            <w:r w:rsidRPr="00F264F0">
              <w:t>European Common Allocations</w:t>
            </w:r>
          </w:p>
        </w:tc>
      </w:tr>
      <w:tr w:rsidR="00677DCE" w:rsidRPr="00F264F0" w14:paraId="1D25BBB9" w14:textId="77777777" w:rsidTr="007E610E">
        <w:tc>
          <w:tcPr>
            <w:tcW w:w="2064" w:type="dxa"/>
          </w:tcPr>
          <w:p w14:paraId="3E368BC6" w14:textId="77777777" w:rsidR="00677DCE" w:rsidRPr="00F264F0" w:rsidRDefault="007D617C" w:rsidP="00131E77">
            <w:pPr>
              <w:pStyle w:val="ECCTabletext"/>
              <w:rPr>
                <w:b/>
                <w:bCs/>
              </w:rPr>
            </w:pPr>
            <w:r w:rsidRPr="00F264F0">
              <w:rPr>
                <w:b/>
                <w:bCs/>
              </w:rPr>
              <w:t>ECC</w:t>
            </w:r>
          </w:p>
        </w:tc>
        <w:tc>
          <w:tcPr>
            <w:tcW w:w="7575" w:type="dxa"/>
          </w:tcPr>
          <w:p w14:paraId="4D9D0DC2" w14:textId="77777777" w:rsidR="00677DCE" w:rsidRPr="00F264F0" w:rsidRDefault="007D617C" w:rsidP="00131E77">
            <w:pPr>
              <w:pStyle w:val="ECCTabletext"/>
              <w:rPr>
                <w:szCs w:val="20"/>
              </w:rPr>
            </w:pPr>
            <w:r w:rsidRPr="00F264F0">
              <w:t>Electronic Communications Committee</w:t>
            </w:r>
          </w:p>
        </w:tc>
      </w:tr>
      <w:tr w:rsidR="00677DCE" w:rsidRPr="00F264F0" w14:paraId="38F56ACF" w14:textId="77777777" w:rsidTr="007E610E">
        <w:tc>
          <w:tcPr>
            <w:tcW w:w="2064" w:type="dxa"/>
          </w:tcPr>
          <w:p w14:paraId="4B9F5F6E" w14:textId="77777777" w:rsidR="00677DCE" w:rsidRPr="00F264F0" w:rsidRDefault="007D617C" w:rsidP="00131E77">
            <w:pPr>
              <w:pStyle w:val="ECCTabletext"/>
              <w:rPr>
                <w:b/>
                <w:bCs/>
              </w:rPr>
            </w:pPr>
            <w:r w:rsidRPr="00F264F0">
              <w:rPr>
                <w:b/>
                <w:bCs/>
              </w:rPr>
              <w:t>ECS</w:t>
            </w:r>
          </w:p>
        </w:tc>
        <w:tc>
          <w:tcPr>
            <w:tcW w:w="7575" w:type="dxa"/>
          </w:tcPr>
          <w:p w14:paraId="3C1CD3C8" w14:textId="77777777" w:rsidR="00677DCE" w:rsidRPr="00F264F0" w:rsidRDefault="007D617C" w:rsidP="00131E77">
            <w:pPr>
              <w:pStyle w:val="ECCTabletext"/>
            </w:pPr>
            <w:r w:rsidRPr="00F264F0">
              <w:t>Electronic Communication Services</w:t>
            </w:r>
          </w:p>
        </w:tc>
      </w:tr>
      <w:tr w:rsidR="00677DCE" w:rsidRPr="00F264F0" w14:paraId="4B236B57" w14:textId="77777777" w:rsidTr="007E610E">
        <w:tc>
          <w:tcPr>
            <w:tcW w:w="2064" w:type="dxa"/>
          </w:tcPr>
          <w:p w14:paraId="3A0F6828" w14:textId="77777777" w:rsidR="00677DCE" w:rsidRPr="00F264F0" w:rsidRDefault="007D617C" w:rsidP="00131E77">
            <w:pPr>
              <w:pStyle w:val="ECCTabletext"/>
              <w:rPr>
                <w:b/>
                <w:bCs/>
              </w:rPr>
            </w:pPr>
            <w:r w:rsidRPr="00F264F0">
              <w:rPr>
                <w:b/>
                <w:bCs/>
              </w:rPr>
              <w:t>EESS</w:t>
            </w:r>
          </w:p>
        </w:tc>
        <w:tc>
          <w:tcPr>
            <w:tcW w:w="7575" w:type="dxa"/>
          </w:tcPr>
          <w:p w14:paraId="7C1BA204" w14:textId="77777777" w:rsidR="00677DCE" w:rsidRPr="00F264F0" w:rsidRDefault="007D617C" w:rsidP="00131E77">
            <w:pPr>
              <w:pStyle w:val="ECCTabletext"/>
            </w:pPr>
            <w:r w:rsidRPr="00F264F0">
              <w:rPr>
                <w:color w:val="000000"/>
              </w:rPr>
              <w:t>Earth Exploration Satellite Service</w:t>
            </w:r>
          </w:p>
        </w:tc>
      </w:tr>
      <w:tr w:rsidR="00677DCE" w:rsidRPr="00F264F0" w14:paraId="459AF760" w14:textId="77777777" w:rsidTr="007E610E">
        <w:tc>
          <w:tcPr>
            <w:tcW w:w="2064" w:type="dxa"/>
          </w:tcPr>
          <w:p w14:paraId="28D9B40F" w14:textId="77777777" w:rsidR="00677DCE" w:rsidRPr="00F264F0" w:rsidRDefault="007D617C" w:rsidP="00131E77">
            <w:pPr>
              <w:pStyle w:val="ECCTabletext"/>
              <w:rPr>
                <w:b/>
                <w:bCs/>
              </w:rPr>
            </w:pPr>
            <w:r w:rsidRPr="00F264F0">
              <w:rPr>
                <w:b/>
                <w:bCs/>
              </w:rPr>
              <w:t>ERC</w:t>
            </w:r>
          </w:p>
        </w:tc>
        <w:tc>
          <w:tcPr>
            <w:tcW w:w="7575" w:type="dxa"/>
          </w:tcPr>
          <w:p w14:paraId="42DD79EB" w14:textId="77777777" w:rsidR="00677DCE" w:rsidRPr="00F264F0" w:rsidRDefault="007D617C" w:rsidP="00131E77">
            <w:pPr>
              <w:pStyle w:val="ECCTabletext"/>
              <w:rPr>
                <w:color w:val="000000"/>
              </w:rPr>
            </w:pPr>
            <w:r w:rsidRPr="00F264F0">
              <w:rPr>
                <w:color w:val="000000"/>
              </w:rPr>
              <w:t>European Radiocommunication Committee (former name of the ECC)</w:t>
            </w:r>
          </w:p>
        </w:tc>
      </w:tr>
      <w:tr w:rsidR="00677DCE" w:rsidRPr="00F264F0" w14:paraId="688A8281" w14:textId="77777777" w:rsidTr="007E610E">
        <w:tc>
          <w:tcPr>
            <w:tcW w:w="2064" w:type="dxa"/>
          </w:tcPr>
          <w:p w14:paraId="6510F0E5" w14:textId="77777777" w:rsidR="00677DCE" w:rsidRPr="00F264F0" w:rsidRDefault="007D617C" w:rsidP="00131E77">
            <w:pPr>
              <w:pStyle w:val="ECCTabletext"/>
              <w:rPr>
                <w:b/>
                <w:bCs/>
              </w:rPr>
            </w:pPr>
            <w:r w:rsidRPr="00F264F0">
              <w:rPr>
                <w:b/>
                <w:bCs/>
              </w:rPr>
              <w:t>FS</w:t>
            </w:r>
          </w:p>
        </w:tc>
        <w:tc>
          <w:tcPr>
            <w:tcW w:w="7575" w:type="dxa"/>
          </w:tcPr>
          <w:p w14:paraId="55F664EC" w14:textId="77777777" w:rsidR="00677DCE" w:rsidRPr="00F264F0" w:rsidRDefault="007D617C" w:rsidP="00131E77">
            <w:pPr>
              <w:pStyle w:val="ECCTabletext"/>
              <w:rPr>
                <w:color w:val="000000"/>
              </w:rPr>
            </w:pPr>
            <w:r w:rsidRPr="00F264F0">
              <w:rPr>
                <w:color w:val="000000"/>
              </w:rPr>
              <w:t>Fixed Service</w:t>
            </w:r>
          </w:p>
        </w:tc>
      </w:tr>
      <w:tr w:rsidR="00677DCE" w:rsidRPr="00F264F0" w14:paraId="7D03E4EF" w14:textId="77777777" w:rsidTr="007E610E">
        <w:tc>
          <w:tcPr>
            <w:tcW w:w="2064" w:type="dxa"/>
          </w:tcPr>
          <w:p w14:paraId="24BD87B9" w14:textId="77777777" w:rsidR="00677DCE" w:rsidRPr="00F264F0" w:rsidRDefault="007D617C" w:rsidP="00131E77">
            <w:pPr>
              <w:pStyle w:val="ECCTabletext"/>
              <w:rPr>
                <w:b/>
                <w:bCs/>
              </w:rPr>
            </w:pPr>
            <w:r w:rsidRPr="00F264F0">
              <w:rPr>
                <w:b/>
                <w:bCs/>
              </w:rPr>
              <w:t>FSS</w:t>
            </w:r>
          </w:p>
        </w:tc>
        <w:tc>
          <w:tcPr>
            <w:tcW w:w="7575" w:type="dxa"/>
          </w:tcPr>
          <w:p w14:paraId="160C9D86" w14:textId="057AC089" w:rsidR="00677DCE" w:rsidRPr="00F264F0" w:rsidRDefault="000A76D1" w:rsidP="00131E77">
            <w:pPr>
              <w:pStyle w:val="ECCTabletext"/>
              <w:rPr>
                <w:color w:val="000000"/>
              </w:rPr>
            </w:pPr>
            <w:r w:rsidRPr="00F264F0">
              <w:rPr>
                <w:color w:val="000000"/>
              </w:rPr>
              <w:t>Fixed-</w:t>
            </w:r>
            <w:r w:rsidR="007D617C" w:rsidRPr="00F264F0">
              <w:rPr>
                <w:color w:val="000000"/>
              </w:rPr>
              <w:t>Satellite Service</w:t>
            </w:r>
          </w:p>
        </w:tc>
      </w:tr>
      <w:tr w:rsidR="00677DCE" w:rsidRPr="00F264F0" w14:paraId="6D5806A7" w14:textId="77777777" w:rsidTr="007E610E">
        <w:tc>
          <w:tcPr>
            <w:tcW w:w="2064" w:type="dxa"/>
          </w:tcPr>
          <w:p w14:paraId="19729B10" w14:textId="77777777" w:rsidR="00677DCE" w:rsidRPr="00F264F0" w:rsidRDefault="007D617C" w:rsidP="00131E77">
            <w:pPr>
              <w:pStyle w:val="ECCTabletext"/>
              <w:rPr>
                <w:b/>
                <w:bCs/>
              </w:rPr>
            </w:pPr>
            <w:r w:rsidRPr="00F264F0">
              <w:rPr>
                <w:b/>
                <w:bCs/>
              </w:rPr>
              <w:t>GSO</w:t>
            </w:r>
          </w:p>
        </w:tc>
        <w:tc>
          <w:tcPr>
            <w:tcW w:w="7575" w:type="dxa"/>
          </w:tcPr>
          <w:p w14:paraId="5CB38090" w14:textId="42893254" w:rsidR="00677DCE" w:rsidRPr="00F264F0" w:rsidRDefault="007D617C" w:rsidP="00131E77">
            <w:pPr>
              <w:pStyle w:val="ECCTabletext"/>
              <w:rPr>
                <w:color w:val="000000"/>
              </w:rPr>
            </w:pPr>
            <w:r w:rsidRPr="00F264F0">
              <w:rPr>
                <w:color w:val="000000"/>
              </w:rPr>
              <w:t>Geo</w:t>
            </w:r>
            <w:r w:rsidR="00517582" w:rsidRPr="00F264F0">
              <w:rPr>
                <w:color w:val="000000"/>
              </w:rPr>
              <w:t>s</w:t>
            </w:r>
            <w:r w:rsidRPr="00F264F0">
              <w:rPr>
                <w:color w:val="000000"/>
              </w:rPr>
              <w:t>tationary Orbit</w:t>
            </w:r>
          </w:p>
        </w:tc>
      </w:tr>
      <w:tr w:rsidR="00677DCE" w:rsidRPr="00F264F0" w14:paraId="7F95AC89" w14:textId="77777777" w:rsidTr="007E610E">
        <w:tc>
          <w:tcPr>
            <w:tcW w:w="2064" w:type="dxa"/>
          </w:tcPr>
          <w:p w14:paraId="6504158C" w14:textId="77777777" w:rsidR="00677DCE" w:rsidRPr="00F264F0" w:rsidRDefault="007D617C" w:rsidP="00131E77">
            <w:pPr>
              <w:pStyle w:val="ECCTabletext"/>
              <w:rPr>
                <w:b/>
                <w:bCs/>
              </w:rPr>
            </w:pPr>
            <w:r w:rsidRPr="00F264F0">
              <w:rPr>
                <w:b/>
                <w:bCs/>
              </w:rPr>
              <w:t>ITU-R</w:t>
            </w:r>
          </w:p>
        </w:tc>
        <w:tc>
          <w:tcPr>
            <w:tcW w:w="7575" w:type="dxa"/>
          </w:tcPr>
          <w:p w14:paraId="68BB96D1" w14:textId="0DF7DEC2" w:rsidR="00677DCE" w:rsidRPr="00F264F0" w:rsidRDefault="007D617C" w:rsidP="00131E77">
            <w:pPr>
              <w:pStyle w:val="ECCTabletext"/>
              <w:rPr>
                <w:color w:val="000000"/>
              </w:rPr>
            </w:pPr>
            <w:r w:rsidRPr="00F264F0">
              <w:rPr>
                <w:color w:val="000000"/>
              </w:rPr>
              <w:t>International Telecommunications Union</w:t>
            </w:r>
            <w:r w:rsidR="003C00DE" w:rsidRPr="00F264F0">
              <w:rPr>
                <w:color w:val="000000"/>
              </w:rPr>
              <w:t>-</w:t>
            </w:r>
            <w:r w:rsidRPr="00F264F0">
              <w:rPr>
                <w:color w:val="000000"/>
              </w:rPr>
              <w:t>Radiocommunication sector</w:t>
            </w:r>
          </w:p>
        </w:tc>
      </w:tr>
      <w:tr w:rsidR="000B6D06" w:rsidRPr="00F264F0" w14:paraId="466B7FFD" w14:textId="77777777" w:rsidTr="007E610E">
        <w:tc>
          <w:tcPr>
            <w:tcW w:w="2064" w:type="dxa"/>
          </w:tcPr>
          <w:p w14:paraId="1CE91500" w14:textId="781DF907" w:rsidR="000B6D06" w:rsidRPr="00F264F0" w:rsidRDefault="000B6D06" w:rsidP="00131E77">
            <w:pPr>
              <w:pStyle w:val="ECCTabletext"/>
              <w:rPr>
                <w:b/>
                <w:bCs/>
              </w:rPr>
            </w:pPr>
            <w:r w:rsidRPr="00F264F0">
              <w:rPr>
                <w:b/>
                <w:bCs/>
              </w:rPr>
              <w:t>LRTC</w:t>
            </w:r>
          </w:p>
        </w:tc>
        <w:tc>
          <w:tcPr>
            <w:tcW w:w="7575" w:type="dxa"/>
          </w:tcPr>
          <w:p w14:paraId="34D765DC" w14:textId="2A2A9C23" w:rsidR="000B6D06" w:rsidRPr="00F264F0" w:rsidRDefault="000B6D06" w:rsidP="00131E77">
            <w:pPr>
              <w:pStyle w:val="ECCTabletext"/>
              <w:rPr>
                <w:color w:val="000000"/>
              </w:rPr>
            </w:pPr>
            <w:r w:rsidRPr="00F264F0">
              <w:rPr>
                <w:color w:val="000000"/>
              </w:rPr>
              <w:t>Least Restrictive Technical Conditions</w:t>
            </w:r>
          </w:p>
        </w:tc>
      </w:tr>
      <w:tr w:rsidR="00677DCE" w:rsidRPr="00F264F0" w14:paraId="575123CD" w14:textId="77777777" w:rsidTr="007E610E">
        <w:tc>
          <w:tcPr>
            <w:tcW w:w="2064" w:type="dxa"/>
          </w:tcPr>
          <w:p w14:paraId="2C08F117" w14:textId="77777777" w:rsidR="00677DCE" w:rsidRPr="00F264F0" w:rsidRDefault="007D617C" w:rsidP="00131E77">
            <w:pPr>
              <w:pStyle w:val="ECCTabletext"/>
              <w:rPr>
                <w:b/>
                <w:bCs/>
              </w:rPr>
            </w:pPr>
            <w:r w:rsidRPr="00F264F0">
              <w:rPr>
                <w:b/>
                <w:bCs/>
              </w:rPr>
              <w:t>MS</w:t>
            </w:r>
          </w:p>
        </w:tc>
        <w:tc>
          <w:tcPr>
            <w:tcW w:w="7575" w:type="dxa"/>
          </w:tcPr>
          <w:p w14:paraId="6E15D9CB" w14:textId="77777777" w:rsidR="00677DCE" w:rsidRPr="00F264F0" w:rsidRDefault="007D617C" w:rsidP="00131E77">
            <w:pPr>
              <w:pStyle w:val="ECCTabletext"/>
              <w:rPr>
                <w:color w:val="000000"/>
              </w:rPr>
            </w:pPr>
            <w:r w:rsidRPr="00F264F0">
              <w:rPr>
                <w:color w:val="000000"/>
              </w:rPr>
              <w:t>Mobile Service</w:t>
            </w:r>
          </w:p>
        </w:tc>
      </w:tr>
      <w:tr w:rsidR="00677DCE" w:rsidRPr="00F264F0" w14:paraId="4B614D40" w14:textId="77777777" w:rsidTr="007E610E">
        <w:tc>
          <w:tcPr>
            <w:tcW w:w="2064" w:type="dxa"/>
          </w:tcPr>
          <w:p w14:paraId="5ED74E68" w14:textId="77777777" w:rsidR="00677DCE" w:rsidRPr="00F264F0" w:rsidRDefault="007D617C" w:rsidP="00131E77">
            <w:pPr>
              <w:pStyle w:val="ECCTabletext"/>
              <w:rPr>
                <w:b/>
                <w:bCs/>
              </w:rPr>
            </w:pPr>
            <w:r w:rsidRPr="00F264F0">
              <w:rPr>
                <w:b/>
                <w:bCs/>
              </w:rPr>
              <w:t>MSS</w:t>
            </w:r>
          </w:p>
        </w:tc>
        <w:tc>
          <w:tcPr>
            <w:tcW w:w="7575" w:type="dxa"/>
          </w:tcPr>
          <w:p w14:paraId="04E7CAF2" w14:textId="77777777" w:rsidR="00677DCE" w:rsidRPr="00F264F0" w:rsidRDefault="007D617C" w:rsidP="00131E77">
            <w:pPr>
              <w:pStyle w:val="ECCTabletext"/>
              <w:rPr>
                <w:color w:val="000000"/>
              </w:rPr>
            </w:pPr>
            <w:r w:rsidRPr="00F264F0">
              <w:rPr>
                <w:color w:val="000000"/>
              </w:rPr>
              <w:t>Mobile Satellite Service</w:t>
            </w:r>
          </w:p>
        </w:tc>
      </w:tr>
      <w:tr w:rsidR="00677DCE" w:rsidRPr="00F264F0" w14:paraId="240B59C8" w14:textId="77777777" w:rsidTr="007E610E">
        <w:tc>
          <w:tcPr>
            <w:tcW w:w="2064" w:type="dxa"/>
          </w:tcPr>
          <w:p w14:paraId="6EDD77F3" w14:textId="77777777" w:rsidR="00677DCE" w:rsidRPr="00F264F0" w:rsidRDefault="007D617C" w:rsidP="00131E77">
            <w:pPr>
              <w:pStyle w:val="ECCTabletext"/>
              <w:rPr>
                <w:b/>
                <w:bCs/>
              </w:rPr>
            </w:pPr>
            <w:r w:rsidRPr="00F264F0">
              <w:rPr>
                <w:b/>
                <w:bCs/>
              </w:rPr>
              <w:t>NGSO</w:t>
            </w:r>
          </w:p>
        </w:tc>
        <w:tc>
          <w:tcPr>
            <w:tcW w:w="7575" w:type="dxa"/>
          </w:tcPr>
          <w:p w14:paraId="414F8E1A" w14:textId="6DEAFCA0" w:rsidR="00677DCE" w:rsidRPr="00F264F0" w:rsidRDefault="007D617C" w:rsidP="00131E77">
            <w:pPr>
              <w:pStyle w:val="ECCTabletext"/>
              <w:rPr>
                <w:color w:val="000000"/>
              </w:rPr>
            </w:pPr>
            <w:r w:rsidRPr="00F264F0">
              <w:rPr>
                <w:color w:val="000000"/>
              </w:rPr>
              <w:t>Non-Geo</w:t>
            </w:r>
            <w:r w:rsidR="00517582" w:rsidRPr="00F264F0">
              <w:rPr>
                <w:color w:val="000000"/>
              </w:rPr>
              <w:t>s</w:t>
            </w:r>
            <w:r w:rsidRPr="00F264F0">
              <w:rPr>
                <w:color w:val="000000"/>
              </w:rPr>
              <w:t>tationary Orbit</w:t>
            </w:r>
          </w:p>
        </w:tc>
      </w:tr>
      <w:tr w:rsidR="00677DCE" w:rsidRPr="00F264F0" w14:paraId="6214BA31" w14:textId="77777777" w:rsidTr="007E610E">
        <w:tc>
          <w:tcPr>
            <w:tcW w:w="2064" w:type="dxa"/>
          </w:tcPr>
          <w:p w14:paraId="62801B6E" w14:textId="77777777" w:rsidR="00677DCE" w:rsidRPr="00F264F0" w:rsidRDefault="007D617C" w:rsidP="00131E77">
            <w:pPr>
              <w:pStyle w:val="ECCTabletext"/>
              <w:rPr>
                <w:b/>
                <w:bCs/>
              </w:rPr>
            </w:pPr>
            <w:r w:rsidRPr="00F264F0">
              <w:rPr>
                <w:b/>
                <w:bCs/>
              </w:rPr>
              <w:t>OOBE</w:t>
            </w:r>
          </w:p>
        </w:tc>
        <w:tc>
          <w:tcPr>
            <w:tcW w:w="7575" w:type="dxa"/>
          </w:tcPr>
          <w:p w14:paraId="67A939A1" w14:textId="77777777" w:rsidR="00677DCE" w:rsidRPr="00F264F0" w:rsidRDefault="007D617C" w:rsidP="00131E77">
            <w:pPr>
              <w:pStyle w:val="ECCTabletext"/>
              <w:rPr>
                <w:color w:val="000000"/>
              </w:rPr>
            </w:pPr>
            <w:r w:rsidRPr="00F264F0">
              <w:rPr>
                <w:color w:val="000000"/>
              </w:rPr>
              <w:t>Out of Band Emissions</w:t>
            </w:r>
          </w:p>
        </w:tc>
      </w:tr>
      <w:tr w:rsidR="00677DCE" w:rsidRPr="00F264F0" w14:paraId="3A03B5A5" w14:textId="77777777" w:rsidTr="007E610E">
        <w:tc>
          <w:tcPr>
            <w:tcW w:w="2064" w:type="dxa"/>
          </w:tcPr>
          <w:p w14:paraId="5037C86F" w14:textId="77777777" w:rsidR="00677DCE" w:rsidRPr="00F264F0" w:rsidRDefault="007D617C" w:rsidP="00131E77">
            <w:pPr>
              <w:pStyle w:val="ECCTabletext"/>
              <w:rPr>
                <w:b/>
                <w:bCs/>
              </w:rPr>
            </w:pPr>
            <w:r w:rsidRPr="00F264F0">
              <w:rPr>
                <w:b/>
                <w:bCs/>
              </w:rPr>
              <w:t>RAS</w:t>
            </w:r>
          </w:p>
        </w:tc>
        <w:tc>
          <w:tcPr>
            <w:tcW w:w="7575" w:type="dxa"/>
          </w:tcPr>
          <w:p w14:paraId="071133FA" w14:textId="77777777" w:rsidR="00677DCE" w:rsidRPr="00F264F0" w:rsidRDefault="007D617C" w:rsidP="00131E77">
            <w:pPr>
              <w:pStyle w:val="ECCTabletext"/>
            </w:pPr>
            <w:r w:rsidRPr="00F264F0">
              <w:t>Radio Astronomy Service</w:t>
            </w:r>
          </w:p>
        </w:tc>
      </w:tr>
      <w:tr w:rsidR="00677DCE" w:rsidRPr="00F264F0" w14:paraId="4BB13DD8" w14:textId="77777777" w:rsidTr="007E610E">
        <w:tc>
          <w:tcPr>
            <w:tcW w:w="2064" w:type="dxa"/>
          </w:tcPr>
          <w:p w14:paraId="3B5C3AC8" w14:textId="77777777" w:rsidR="00677DCE" w:rsidRPr="00F264F0" w:rsidRDefault="007D617C" w:rsidP="00131E77">
            <w:pPr>
              <w:pStyle w:val="ECCTabletext"/>
              <w:rPr>
                <w:b/>
                <w:bCs/>
              </w:rPr>
            </w:pPr>
            <w:r w:rsidRPr="00F264F0">
              <w:rPr>
                <w:b/>
                <w:bCs/>
              </w:rPr>
              <w:t>TG</w:t>
            </w:r>
          </w:p>
        </w:tc>
        <w:tc>
          <w:tcPr>
            <w:tcW w:w="7575" w:type="dxa"/>
          </w:tcPr>
          <w:p w14:paraId="5C47DB34" w14:textId="77777777" w:rsidR="00677DCE" w:rsidRPr="00F264F0" w:rsidRDefault="007D617C" w:rsidP="00131E77">
            <w:pPr>
              <w:pStyle w:val="ECCTabletext"/>
            </w:pPr>
            <w:r w:rsidRPr="00F264F0">
              <w:t>Task Group</w:t>
            </w:r>
          </w:p>
        </w:tc>
      </w:tr>
      <w:tr w:rsidR="00677DCE" w:rsidRPr="00F264F0" w14:paraId="656CA1A0" w14:textId="77777777" w:rsidTr="007E610E">
        <w:tc>
          <w:tcPr>
            <w:tcW w:w="2064" w:type="dxa"/>
          </w:tcPr>
          <w:p w14:paraId="699E6D25" w14:textId="77777777" w:rsidR="00677DCE" w:rsidRPr="00F264F0" w:rsidRDefault="007D617C" w:rsidP="00131E77">
            <w:pPr>
              <w:pStyle w:val="ECCTabletext"/>
              <w:rPr>
                <w:b/>
                <w:bCs/>
              </w:rPr>
            </w:pPr>
            <w:r w:rsidRPr="00F264F0">
              <w:rPr>
                <w:b/>
                <w:bCs/>
              </w:rPr>
              <w:t>TRP</w:t>
            </w:r>
          </w:p>
        </w:tc>
        <w:tc>
          <w:tcPr>
            <w:tcW w:w="7575" w:type="dxa"/>
          </w:tcPr>
          <w:p w14:paraId="7DCE10EF" w14:textId="77777777" w:rsidR="00677DCE" w:rsidRPr="00F264F0" w:rsidRDefault="007D617C" w:rsidP="00131E77">
            <w:pPr>
              <w:pStyle w:val="ECCTabletext"/>
            </w:pPr>
            <w:r w:rsidRPr="00F264F0">
              <w:t>Total Radiated Power</w:t>
            </w:r>
          </w:p>
        </w:tc>
      </w:tr>
      <w:tr w:rsidR="00934A39" w:rsidRPr="00F264F0" w14:paraId="67FCFD4E" w14:textId="77777777" w:rsidTr="007E610E">
        <w:tc>
          <w:tcPr>
            <w:tcW w:w="2064" w:type="dxa"/>
          </w:tcPr>
          <w:p w14:paraId="35B41A02" w14:textId="339E71FB" w:rsidR="00934A39" w:rsidRPr="00F264F0" w:rsidRDefault="00934A39" w:rsidP="00131E77">
            <w:pPr>
              <w:pStyle w:val="ECCTabletext"/>
              <w:rPr>
                <w:b/>
                <w:bCs/>
              </w:rPr>
            </w:pPr>
            <w:r w:rsidRPr="00F264F0">
              <w:rPr>
                <w:b/>
                <w:bCs/>
              </w:rPr>
              <w:t>TS</w:t>
            </w:r>
          </w:p>
        </w:tc>
        <w:tc>
          <w:tcPr>
            <w:tcW w:w="7575" w:type="dxa"/>
          </w:tcPr>
          <w:p w14:paraId="59568A1A" w14:textId="0B60E94B" w:rsidR="00934A39" w:rsidRPr="00F264F0" w:rsidRDefault="00934A39" w:rsidP="00131E77">
            <w:pPr>
              <w:pStyle w:val="ECCTabletext"/>
            </w:pPr>
            <w:r w:rsidRPr="00F264F0">
              <w:t>Terminal Stations</w:t>
            </w:r>
          </w:p>
        </w:tc>
      </w:tr>
      <w:tr w:rsidR="00677DCE" w:rsidRPr="00F264F0" w14:paraId="4487C440" w14:textId="77777777" w:rsidTr="007E610E">
        <w:tc>
          <w:tcPr>
            <w:tcW w:w="2064" w:type="dxa"/>
          </w:tcPr>
          <w:p w14:paraId="13815A42" w14:textId="77777777" w:rsidR="00677DCE" w:rsidRPr="00F264F0" w:rsidRDefault="007D617C" w:rsidP="00131E77">
            <w:pPr>
              <w:pStyle w:val="ECCTabletext"/>
              <w:rPr>
                <w:b/>
                <w:bCs/>
              </w:rPr>
            </w:pPr>
            <w:r w:rsidRPr="00F264F0">
              <w:rPr>
                <w:b/>
                <w:bCs/>
              </w:rPr>
              <w:t>UE</w:t>
            </w:r>
          </w:p>
        </w:tc>
        <w:tc>
          <w:tcPr>
            <w:tcW w:w="7575" w:type="dxa"/>
          </w:tcPr>
          <w:p w14:paraId="6470555D" w14:textId="77777777" w:rsidR="00677DCE" w:rsidRPr="00F264F0" w:rsidRDefault="007D617C" w:rsidP="00131E77">
            <w:pPr>
              <w:pStyle w:val="ECCTabletext"/>
            </w:pPr>
            <w:r w:rsidRPr="00F264F0">
              <w:t>User Equipment</w:t>
            </w:r>
          </w:p>
        </w:tc>
      </w:tr>
      <w:tr w:rsidR="00677DCE" w:rsidRPr="00F264F0" w14:paraId="33F3B613" w14:textId="77777777" w:rsidTr="007E610E">
        <w:tc>
          <w:tcPr>
            <w:tcW w:w="2064" w:type="dxa"/>
          </w:tcPr>
          <w:p w14:paraId="2780A192" w14:textId="77777777" w:rsidR="00677DCE" w:rsidRPr="00F264F0" w:rsidRDefault="007D617C" w:rsidP="00131E77">
            <w:pPr>
              <w:pStyle w:val="ECCTabletext"/>
              <w:rPr>
                <w:b/>
                <w:bCs/>
              </w:rPr>
            </w:pPr>
            <w:r w:rsidRPr="00F264F0">
              <w:rPr>
                <w:b/>
                <w:bCs/>
              </w:rPr>
              <w:t>WBB</w:t>
            </w:r>
          </w:p>
        </w:tc>
        <w:tc>
          <w:tcPr>
            <w:tcW w:w="7575" w:type="dxa"/>
          </w:tcPr>
          <w:p w14:paraId="0CC31B1C" w14:textId="77777777" w:rsidR="00677DCE" w:rsidRPr="00F264F0" w:rsidRDefault="007D617C" w:rsidP="00131E77">
            <w:pPr>
              <w:pStyle w:val="ECCTabletext"/>
            </w:pPr>
            <w:r w:rsidRPr="00F264F0">
              <w:t>Wireless Broadband</w:t>
            </w:r>
          </w:p>
        </w:tc>
      </w:tr>
      <w:tr w:rsidR="00677DCE" w:rsidRPr="00F264F0" w14:paraId="2A8D66B2" w14:textId="77777777" w:rsidTr="007E610E">
        <w:tc>
          <w:tcPr>
            <w:tcW w:w="2064" w:type="dxa"/>
          </w:tcPr>
          <w:p w14:paraId="279CB385" w14:textId="77777777" w:rsidR="00677DCE" w:rsidRPr="00F264F0" w:rsidRDefault="007D617C" w:rsidP="00131E77">
            <w:pPr>
              <w:pStyle w:val="ECCTabletext"/>
              <w:rPr>
                <w:b/>
                <w:bCs/>
              </w:rPr>
            </w:pPr>
            <w:r w:rsidRPr="00F264F0">
              <w:rPr>
                <w:b/>
                <w:bCs/>
              </w:rPr>
              <w:t>WRC-19</w:t>
            </w:r>
          </w:p>
        </w:tc>
        <w:tc>
          <w:tcPr>
            <w:tcW w:w="7575" w:type="dxa"/>
          </w:tcPr>
          <w:p w14:paraId="419FCD22" w14:textId="77777777" w:rsidR="00677DCE" w:rsidRPr="00F264F0" w:rsidRDefault="007D617C" w:rsidP="00131E77">
            <w:pPr>
              <w:pStyle w:val="ECCTabletext"/>
            </w:pPr>
            <w:r w:rsidRPr="00F264F0">
              <w:t>World Radiocommunication Conference 2019</w:t>
            </w:r>
          </w:p>
        </w:tc>
      </w:tr>
    </w:tbl>
    <w:p w14:paraId="1F2546ED" w14:textId="77777777" w:rsidR="007E610E" w:rsidRPr="00F264F0" w:rsidRDefault="007E610E" w:rsidP="007E610E">
      <w:pPr>
        <w:rPr>
          <w:b/>
          <w:color w:val="FFFFFF"/>
          <w:szCs w:val="20"/>
          <w:lang w:val="en-GB"/>
        </w:rPr>
      </w:pPr>
    </w:p>
    <w:p w14:paraId="752C64BF" w14:textId="0DD42893" w:rsidR="007E610E" w:rsidRPr="00F264F0" w:rsidRDefault="007E610E" w:rsidP="007E610E">
      <w:pPr>
        <w:rPr>
          <w:b/>
          <w:color w:val="FFFFFF"/>
          <w:szCs w:val="20"/>
          <w:lang w:val="en-GB"/>
        </w:rPr>
      </w:pPr>
      <w:r w:rsidRPr="00F264F0">
        <w:rPr>
          <w:b/>
          <w:noProof/>
          <w:color w:val="FFFFFF"/>
          <w:lang w:val="en-GB"/>
        </w:rPr>
        <mc:AlternateContent>
          <mc:Choice Requires="wps">
            <w:drawing>
              <wp:anchor distT="0" distB="0" distL="114300" distR="114300" simplePos="0" relativeHeight="251658242" behindDoc="1" locked="0" layoutInCell="1" allowOverlap="1" wp14:anchorId="5451AD8D" wp14:editId="1DDB0A45">
                <wp:simplePos x="0" y="0"/>
                <wp:positionH relativeFrom="page">
                  <wp:align>right</wp:align>
                </wp:positionH>
                <wp:positionV relativeFrom="page">
                  <wp:posOffset>733803</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BE31B" id="Rectangle 22" o:spid="_x0000_s1026" style="position:absolute;margin-left:544.1pt;margin-top:57.8pt;width:595.3pt;height:56.7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" fillcolor="#b0a696" stroked="f">
                <w10:wrap anchorx="page" anchory="page"/>
              </v:rect>
            </w:pict>
          </mc:Fallback>
        </mc:AlternateContent>
      </w:r>
      <w:r w:rsidRPr="00F264F0">
        <w:rPr>
          <w:b/>
          <w:color w:val="FFFFFF"/>
          <w:szCs w:val="20"/>
          <w:lang w:val="en-GB"/>
        </w:rPr>
        <w:t>LIST OF ABBREVIATIONS</w:t>
      </w:r>
    </w:p>
    <w:p w14:paraId="4321E1AE" w14:textId="77777777" w:rsidR="007E610E" w:rsidRPr="00F264F0" w:rsidRDefault="007E610E" w:rsidP="007E610E">
      <w:pPr>
        <w:rPr>
          <w:b/>
          <w:color w:val="FFFFFF"/>
          <w:szCs w:val="20"/>
          <w:lang w:val="en-GB"/>
        </w:rPr>
      </w:pPr>
    </w:p>
    <w:p w14:paraId="3D0F11E8" w14:textId="79FF38D9" w:rsidR="00677DCE" w:rsidRPr="00F264F0" w:rsidRDefault="007D617C" w:rsidP="00F81BE1">
      <w:pPr>
        <w:pStyle w:val="Heading1"/>
      </w:pPr>
      <w:bookmarkStart w:id="5" w:name="_Toc107559534"/>
      <w:bookmarkStart w:id="6" w:name="_Toc119577643"/>
      <w:r w:rsidRPr="00F264F0">
        <w:lastRenderedPageBreak/>
        <w:t>Introduction</w:t>
      </w:r>
      <w:bookmarkEnd w:id="5"/>
      <w:bookmarkEnd w:id="6"/>
    </w:p>
    <w:p w14:paraId="062ECF65" w14:textId="005E293D" w:rsidR="00677DCE" w:rsidRPr="00F264F0" w:rsidRDefault="007D617C">
      <w:pPr>
        <w:pStyle w:val="ECCParagraph"/>
      </w:pPr>
      <w:r w:rsidRPr="00F264F0">
        <w:t xml:space="preserve">This </w:t>
      </w:r>
      <w:r w:rsidR="00F54D2F" w:rsidRPr="00F264F0">
        <w:t>R</w:t>
      </w:r>
      <w:r w:rsidRPr="00F264F0">
        <w:t xml:space="preserve">eport addresses Tasks 1, 2, and 4 of the EC Mandate to CEPT to develop least restrictive harmonised technical conditions suitable for next-generation (5G) terrestrial wireless systems for priority frequency bands above 24 GHz (EC </w:t>
      </w:r>
      <w:r w:rsidR="00EF521B" w:rsidRPr="00F264F0">
        <w:t>M</w:t>
      </w:r>
      <w:r w:rsidRPr="00F264F0">
        <w:t>andate</w:t>
      </w:r>
      <w:r w:rsidR="003304B8" w:rsidRPr="00F264F0">
        <w:t xml:space="preserve"> </w:t>
      </w:r>
      <w:r w:rsidR="003C00DE" w:rsidRPr="00F264F0">
        <w:t>-</w:t>
      </w:r>
      <w:r w:rsidR="003304B8" w:rsidRPr="00F264F0">
        <w:t xml:space="preserve"> </w:t>
      </w:r>
      <w:r w:rsidRPr="00F264F0">
        <w:t xml:space="preserve">see </w:t>
      </w:r>
      <w:r w:rsidR="00EF521B" w:rsidRPr="00F264F0">
        <w:fldChar w:fldCharType="begin"/>
      </w:r>
      <w:r w:rsidR="00EF521B" w:rsidRPr="00F264F0">
        <w:instrText xml:space="preserve"> REF _Ref103863424 \r \h</w:instrText>
      </w:r>
      <w:r w:rsidR="002D133F" w:rsidRPr="00F264F0">
        <w:instrText xml:space="preserve"> </w:instrText>
      </w:r>
      <w:r w:rsidR="00EF521B" w:rsidRPr="00F264F0">
        <w:fldChar w:fldCharType="separate"/>
      </w:r>
      <w:r w:rsidR="00EF521B" w:rsidRPr="00F264F0">
        <w:t>ANNEX 1</w:t>
      </w:r>
      <w:r w:rsidR="00EF521B" w:rsidRPr="00F264F0">
        <w:fldChar w:fldCharType="end"/>
      </w:r>
      <w:r w:rsidRPr="00F264F0">
        <w:t>):</w:t>
      </w:r>
    </w:p>
    <w:p w14:paraId="4CD70E90" w14:textId="77777777" w:rsidR="00677DCE" w:rsidRPr="00F264F0" w:rsidRDefault="007D617C">
      <w:pPr>
        <w:pStyle w:val="ECCParagraph"/>
        <w:ind w:left="720"/>
      </w:pPr>
      <w:r w:rsidRPr="00F264F0">
        <w:t>“1.</w:t>
      </w:r>
      <w:r w:rsidRPr="00F264F0">
        <w:tab/>
        <w:t>Review the current and planned use of the 40.5-43.5 GHz frequency band and identify relevant scenarios for shared spectrum use between those uses and next-generation (5G) wireless broadband electronic communications services, in order to ensure co-existence and further development of all relevant services within the band.</w:t>
      </w:r>
    </w:p>
    <w:p w14:paraId="71567EFB" w14:textId="77777777" w:rsidR="00677DCE" w:rsidRPr="00F264F0" w:rsidRDefault="007D617C">
      <w:pPr>
        <w:pStyle w:val="ECCParagraph"/>
        <w:ind w:left="720"/>
      </w:pPr>
      <w:r w:rsidRPr="00F264F0">
        <w:t>2.</w:t>
      </w:r>
      <w:r w:rsidRPr="00F264F0">
        <w:tab/>
        <w:t>Based on the results under Task 1, develop frequency arrangements and common and minimal (least restrictive) technical conditions, including sharing conditions, for the aforementioned frequency band, which are suitable for terrestrial wireless systems, including 5G, in compliance with the principles of technology and service neutrality. In this regard, consider the need to ensure coherence of the harmonised frequency arrangements within the 40.5-43.5 GHz frequency band with the envisaged use of the 37-40.5 GHz frequency range in other world regions.”</w:t>
      </w:r>
    </w:p>
    <w:p w14:paraId="1E5246C4" w14:textId="77777777" w:rsidR="00677DCE" w:rsidRPr="00F264F0" w:rsidRDefault="007D617C">
      <w:pPr>
        <w:pStyle w:val="ECCParagraph"/>
        <w:ind w:left="720"/>
      </w:pPr>
      <w:r w:rsidRPr="00F264F0">
        <w:t xml:space="preserve">3. </w:t>
      </w:r>
      <w:r w:rsidRPr="00F264F0">
        <w:tab/>
      </w:r>
      <w:r w:rsidRPr="00F264F0">
        <w:rPr>
          <w:i/>
          <w:iCs/>
        </w:rPr>
        <w:t>Task 3 is not in the scope of this report, as it relates to the 66-71 GHz band</w:t>
      </w:r>
    </w:p>
    <w:p w14:paraId="5571901D" w14:textId="1A900C9F" w:rsidR="00677DCE" w:rsidRPr="00F264F0" w:rsidRDefault="00897817">
      <w:pPr>
        <w:pStyle w:val="ECCParagraph"/>
        <w:ind w:left="720"/>
      </w:pPr>
      <w:r w:rsidRPr="00F264F0">
        <w:t>“</w:t>
      </w:r>
      <w:r w:rsidR="007D617C" w:rsidRPr="00F264F0">
        <w:t xml:space="preserve">4. </w:t>
      </w:r>
      <w:r w:rsidR="007D617C" w:rsidRPr="00F264F0">
        <w:tab/>
        <w:t>Assess the need for and develop, if necessary, guidance for cross-border coordination.</w:t>
      </w:r>
      <w:r w:rsidR="00812A2C" w:rsidRPr="00F264F0">
        <w:t>”</w:t>
      </w:r>
    </w:p>
    <w:p w14:paraId="00B28A3F" w14:textId="4F5FED9A" w:rsidR="00677DCE" w:rsidRPr="00F264F0" w:rsidRDefault="007D617C" w:rsidP="00914238">
      <w:pPr>
        <w:pStyle w:val="ECCParagraph"/>
      </w:pPr>
      <w:r w:rsidRPr="00F264F0">
        <w:t>Noting that the EC Mandate stated that the conditions under Task 2 “should take into account relevant authorisation modes and be sufficient to mitigate interference and to ensure co-existence with incumbent radio services/applications in the same band or in adjacent bands, in line with their regulatory status, including at the EU outer borders</w:t>
      </w:r>
      <w:r w:rsidR="00A41792" w:rsidRPr="00F264F0">
        <w:t>.”</w:t>
      </w:r>
    </w:p>
    <w:p w14:paraId="0CBF38C6" w14:textId="61E60FA5" w:rsidR="00677DCE" w:rsidRPr="00F264F0" w:rsidRDefault="007D617C" w:rsidP="00CC6199">
      <w:pPr>
        <w:pStyle w:val="ECCParagraph"/>
      </w:pPr>
      <w:r w:rsidRPr="00F264F0">
        <w:t>This Report provides an overview of the current and planned use in 40.5-43.5 GHz and in adjacent frequency bands, describes the relevant 5G characteristics</w:t>
      </w:r>
      <w:r w:rsidR="00D73B7B" w:rsidRPr="00F264F0">
        <w:t>,</w:t>
      </w:r>
      <w:r w:rsidRPr="00F264F0">
        <w:t xml:space="preserve"> and analyses the various coexistence issues in the band and adjacent bands. It assesses requirements for cross-border coordination, wherever relevant, including at the EU outer borders.</w:t>
      </w:r>
    </w:p>
    <w:p w14:paraId="1EF1B83B" w14:textId="51F30847" w:rsidR="00677DCE" w:rsidRPr="00F264F0" w:rsidRDefault="007D617C" w:rsidP="00CC6199">
      <w:pPr>
        <w:pStyle w:val="ECCParagraph"/>
      </w:pPr>
      <w:r w:rsidRPr="00F264F0">
        <w:t xml:space="preserve">The relevant technical conditions to be included in the future EC Decision </w:t>
      </w:r>
      <w:r w:rsidR="00F86D51" w:rsidRPr="00F264F0">
        <w:t xml:space="preserve">for </w:t>
      </w:r>
      <w:r w:rsidR="008E13EA" w:rsidRPr="00F264F0">
        <w:t xml:space="preserve">WBB ECS in </w:t>
      </w:r>
      <w:r w:rsidR="002D133F" w:rsidRPr="00F264F0">
        <w:t xml:space="preserve">the </w:t>
      </w:r>
      <w:r w:rsidRPr="00F264F0">
        <w:t>40</w:t>
      </w:r>
      <w:r w:rsidR="008E13EA" w:rsidRPr="00F264F0">
        <w:t>.5-43.5</w:t>
      </w:r>
      <w:r w:rsidR="00CB1A78">
        <w:t> </w:t>
      </w:r>
      <w:r w:rsidRPr="00F264F0">
        <w:t xml:space="preserve">GHz </w:t>
      </w:r>
      <w:r w:rsidR="00F86D51" w:rsidRPr="00F264F0">
        <w:t>frequency band</w:t>
      </w:r>
      <w:r w:rsidRPr="00F264F0">
        <w:t xml:space="preserve"> under the Radio Spectrum Decision </w:t>
      </w:r>
      <w:r w:rsidR="00A43F89" w:rsidRPr="00F264F0">
        <w:fldChar w:fldCharType="begin"/>
      </w:r>
      <w:r w:rsidR="00A43F89" w:rsidRPr="00F264F0">
        <w:instrText xml:space="preserve"> REF _Ref103957124 \r \h </w:instrText>
      </w:r>
      <w:r w:rsidR="002D133F" w:rsidRPr="00F264F0">
        <w:instrText xml:space="preserve"> \* MERGEFORMAT </w:instrText>
      </w:r>
      <w:r w:rsidR="00A43F89" w:rsidRPr="00F264F0">
        <w:fldChar w:fldCharType="separate"/>
      </w:r>
      <w:r w:rsidR="006B156B" w:rsidRPr="00F264F0">
        <w:t>[9]</w:t>
      </w:r>
      <w:r w:rsidR="00A43F89" w:rsidRPr="00F264F0">
        <w:fldChar w:fldCharType="end"/>
      </w:r>
      <w:r w:rsidRPr="00F264F0">
        <w:t xml:space="preserve"> are provided in </w:t>
      </w:r>
      <w:r w:rsidR="00083E50" w:rsidRPr="00F264F0">
        <w:fldChar w:fldCharType="begin"/>
      </w:r>
      <w:r w:rsidR="00083E50" w:rsidRPr="00F264F0">
        <w:instrText xml:space="preserve"> REF _Ref104897991 \r \h </w:instrText>
      </w:r>
      <w:r w:rsidR="00083E50" w:rsidRPr="00F264F0">
        <w:fldChar w:fldCharType="separate"/>
      </w:r>
      <w:r w:rsidR="00083E50" w:rsidRPr="00F264F0">
        <w:t>ANNEX 2</w:t>
      </w:r>
      <w:r w:rsidR="00083E50" w:rsidRPr="00F264F0">
        <w:fldChar w:fldCharType="end"/>
      </w:r>
      <w:r w:rsidR="009D127F" w:rsidRPr="00F264F0">
        <w:fldChar w:fldCharType="begin"/>
      </w:r>
      <w:r w:rsidR="009D127F" w:rsidRPr="00F264F0">
        <w:instrText xml:space="preserve"> REF _Ref103769108 \r \h </w:instrText>
      </w:r>
      <w:r w:rsidR="00000000">
        <w:fldChar w:fldCharType="separate"/>
      </w:r>
      <w:r w:rsidR="009D127F" w:rsidRPr="00F264F0">
        <w:fldChar w:fldCharType="end"/>
      </w:r>
      <w:r w:rsidRPr="00F264F0">
        <w:t xml:space="preserve">. This </w:t>
      </w:r>
      <w:r w:rsidR="00F54D2F" w:rsidRPr="00F264F0">
        <w:t>R</w:t>
      </w:r>
      <w:r w:rsidRPr="00F264F0">
        <w:t xml:space="preserve">eport </w:t>
      </w:r>
      <w:r w:rsidR="00517582" w:rsidRPr="00F264F0">
        <w:t xml:space="preserve">also </w:t>
      </w:r>
      <w:r w:rsidRPr="00F264F0">
        <w:t xml:space="preserve">analyses coexistence issues with other services in </w:t>
      </w:r>
      <w:r w:rsidR="00FF30C9" w:rsidRPr="00F264F0">
        <w:t xml:space="preserve">the </w:t>
      </w:r>
      <w:r w:rsidRPr="00F264F0">
        <w:t>band and in adjacent bands and assess issues to be addressed at national level taken into account the harmonised technical conditions applicable to WBB ECS.</w:t>
      </w:r>
    </w:p>
    <w:p w14:paraId="772E82DC" w14:textId="53879E93" w:rsidR="00677DCE" w:rsidRPr="00F264F0" w:rsidRDefault="007D617C" w:rsidP="00F81BE1">
      <w:pPr>
        <w:pStyle w:val="Heading1"/>
      </w:pPr>
      <w:bookmarkStart w:id="7" w:name="_Toc107559535"/>
      <w:bookmarkStart w:id="8" w:name="_Toc119577644"/>
      <w:r w:rsidRPr="00F264F0">
        <w:lastRenderedPageBreak/>
        <w:t>EXISTING, planned and FUTURE USE OF 40.5-43.5 GHZ</w:t>
      </w:r>
      <w:bookmarkEnd w:id="7"/>
      <w:bookmarkEnd w:id="8"/>
    </w:p>
    <w:p w14:paraId="4E5F23AA" w14:textId="07E82B5A" w:rsidR="00677DCE" w:rsidRPr="00F264F0" w:rsidRDefault="007D617C">
      <w:pPr>
        <w:pStyle w:val="ECCParagraph"/>
      </w:pPr>
      <w:bookmarkStart w:id="9" w:name="_Ref274743743"/>
      <w:r w:rsidRPr="00F264F0">
        <w:t xml:space="preserve">This frequency band is allocated to BSS, FSS, FS, MS, </w:t>
      </w:r>
      <w:r w:rsidR="004B1E9A" w:rsidRPr="00F264F0">
        <w:t xml:space="preserve">broadcasting service </w:t>
      </w:r>
      <w:r w:rsidRPr="00F264F0">
        <w:t>and RAS. The relevant incumbent services are described below.</w:t>
      </w:r>
    </w:p>
    <w:p w14:paraId="32E80068" w14:textId="77777777" w:rsidR="00677DCE" w:rsidRPr="00F264F0" w:rsidRDefault="007D617C" w:rsidP="00666BDF">
      <w:pPr>
        <w:pStyle w:val="Heading2"/>
        <w:rPr>
          <w:lang w:val="en-GB"/>
        </w:rPr>
      </w:pPr>
      <w:bookmarkStart w:id="10" w:name="_Toc107559536"/>
      <w:bookmarkStart w:id="11" w:name="_Toc119577645"/>
      <w:r w:rsidRPr="00F264F0">
        <w:rPr>
          <w:lang w:val="en-GB"/>
        </w:rPr>
        <w:t>Fixed service</w:t>
      </w:r>
      <w:bookmarkEnd w:id="10"/>
      <w:bookmarkEnd w:id="11"/>
    </w:p>
    <w:p w14:paraId="096472D9" w14:textId="78E84F55" w:rsidR="00677DCE" w:rsidRPr="00F264F0" w:rsidRDefault="007D617C">
      <w:pPr>
        <w:pStyle w:val="ECCParagraph"/>
      </w:pPr>
      <w:r w:rsidRPr="00F264F0">
        <w:rPr>
          <w:szCs w:val="20"/>
        </w:rPr>
        <w:t xml:space="preserve">The </w:t>
      </w:r>
      <w:r w:rsidRPr="00F264F0">
        <w:t xml:space="preserve">frequency </w:t>
      </w:r>
      <w:r w:rsidRPr="00F264F0">
        <w:rPr>
          <w:szCs w:val="20"/>
        </w:rPr>
        <w:t>band 40.5-43.5 GHz is allocated to the</w:t>
      </w:r>
      <w:r w:rsidRPr="00F264F0">
        <w:t xml:space="preserve"> </w:t>
      </w:r>
      <w:r w:rsidR="004B1E9A" w:rsidRPr="00F264F0">
        <w:t xml:space="preserve">fixed service </w:t>
      </w:r>
      <w:r w:rsidRPr="00F264F0">
        <w:t>on a primary basis. ECC Report 173</w:t>
      </w:r>
      <w:r w:rsidR="00245411" w:rsidRPr="00F264F0">
        <w:t xml:space="preserve"> </w:t>
      </w:r>
      <w:r w:rsidR="00DA1D9B" w:rsidRPr="00F264F0">
        <w:fldChar w:fldCharType="begin"/>
      </w:r>
      <w:r w:rsidR="00DA1D9B" w:rsidRPr="00F264F0">
        <w:instrText xml:space="preserve"> REF _Ref104896175 \r \h </w:instrText>
      </w:r>
      <w:r w:rsidR="002D133F" w:rsidRPr="00F264F0">
        <w:instrText xml:space="preserve"> \* MERGEFORMAT </w:instrText>
      </w:r>
      <w:r w:rsidR="00DA1D9B" w:rsidRPr="00F264F0">
        <w:fldChar w:fldCharType="separate"/>
      </w:r>
      <w:r w:rsidR="006B156B" w:rsidRPr="00F264F0">
        <w:t>[10]</w:t>
      </w:r>
      <w:r w:rsidR="00DA1D9B" w:rsidRPr="00F264F0">
        <w:fldChar w:fldCharType="end"/>
      </w:r>
      <w:r w:rsidRPr="00F264F0">
        <w:t xml:space="preserve"> provides an overview of current usage and future trends of </w:t>
      </w:r>
      <w:r w:rsidR="002507CF" w:rsidRPr="00F264F0">
        <w:t xml:space="preserve">fixed service </w:t>
      </w:r>
      <w:r w:rsidRPr="00F264F0">
        <w:t>in CEPT countries. The majority of countries report an increasing usage of the frequency band 40.5-43.5 GHz for the FS in the latest update of ECC Report 173. Typical hop lengths are between 1</w:t>
      </w:r>
      <w:r w:rsidR="00900924" w:rsidRPr="00F264F0">
        <w:t xml:space="preserve"> </w:t>
      </w:r>
      <w:r w:rsidRPr="00F264F0">
        <w:t>km and 4</w:t>
      </w:r>
      <w:r w:rsidR="00900924" w:rsidRPr="00F264F0">
        <w:t xml:space="preserve"> </w:t>
      </w:r>
      <w:r w:rsidRPr="00F264F0">
        <w:t>km. These kinds of short links are mainly deployed in urban and suburban areas.</w:t>
      </w:r>
    </w:p>
    <w:p w14:paraId="6D9692DF" w14:textId="77777777" w:rsidR="00677DCE" w:rsidRPr="00F264F0" w:rsidRDefault="007D617C" w:rsidP="00666BDF">
      <w:pPr>
        <w:pStyle w:val="Heading2"/>
        <w:rPr>
          <w:lang w:val="en-GB"/>
        </w:rPr>
      </w:pPr>
      <w:bookmarkStart w:id="12" w:name="_Ref104199732"/>
      <w:bookmarkStart w:id="13" w:name="_Ref104199752"/>
      <w:bookmarkStart w:id="14" w:name="_Toc107559537"/>
      <w:bookmarkStart w:id="15" w:name="_Toc119577646"/>
      <w:r w:rsidRPr="00F264F0">
        <w:rPr>
          <w:lang w:val="en-GB"/>
        </w:rPr>
        <w:t>RAS</w:t>
      </w:r>
      <w:bookmarkEnd w:id="12"/>
      <w:bookmarkEnd w:id="13"/>
      <w:bookmarkEnd w:id="14"/>
      <w:bookmarkEnd w:id="15"/>
      <w:r w:rsidRPr="00F264F0">
        <w:rPr>
          <w:lang w:val="en-GB"/>
        </w:rPr>
        <w:t xml:space="preserve"> </w:t>
      </w:r>
    </w:p>
    <w:p w14:paraId="448D5D03" w14:textId="77777777" w:rsidR="00677DCE" w:rsidRPr="00F264F0" w:rsidRDefault="007D617C">
      <w:pPr>
        <w:pStyle w:val="ECCParagraph"/>
        <w:rPr>
          <w:rFonts w:cs="Arial"/>
          <w:szCs w:val="20"/>
        </w:rPr>
      </w:pPr>
      <w:r w:rsidRPr="00F264F0">
        <w:rPr>
          <w:rFonts w:cs="Arial"/>
          <w:szCs w:val="20"/>
        </w:rPr>
        <w:t>From the RAS perspective, there are relatively few mm-wave observatories to be protected and they are mostly located in areas of low population density.</w:t>
      </w:r>
    </w:p>
    <w:p w14:paraId="7E361A6C" w14:textId="5354C34A" w:rsidR="00677DCE" w:rsidRPr="00F264F0" w:rsidRDefault="007D617C">
      <w:pPr>
        <w:pStyle w:val="ECCParagraph"/>
      </w:pPr>
      <w:r w:rsidRPr="00F264F0">
        <w:rPr>
          <w:rFonts w:cs="Arial"/>
          <w:szCs w:val="20"/>
        </w:rPr>
        <w:t>Until recently</w:t>
      </w:r>
      <w:r w:rsidR="00B6683B" w:rsidRPr="00F264F0">
        <w:rPr>
          <w:rFonts w:cs="Arial"/>
          <w:szCs w:val="20"/>
        </w:rPr>
        <w:t>,</w:t>
      </w:r>
      <w:r w:rsidRPr="00F264F0">
        <w:rPr>
          <w:rFonts w:cs="Arial"/>
          <w:szCs w:val="20"/>
        </w:rPr>
        <w:t xml:space="preserve"> there have been relatively few active services operating above 40 GHz and therefore few cases of interference to the RAS have been reported.</w:t>
      </w:r>
    </w:p>
    <w:p w14:paraId="7CA0955F" w14:textId="03385D5A" w:rsidR="00677DCE" w:rsidRPr="00F264F0" w:rsidRDefault="007D617C">
      <w:pPr>
        <w:rPr>
          <w:rFonts w:cs="Arial"/>
          <w:szCs w:val="20"/>
          <w:lang w:val="en-GB"/>
        </w:rPr>
      </w:pPr>
      <w:r w:rsidRPr="00F264F0">
        <w:rPr>
          <w:rFonts w:cs="Arial"/>
          <w:szCs w:val="20"/>
          <w:lang w:val="en-GB"/>
        </w:rPr>
        <w:t xml:space="preserve">The sites listed in </w:t>
      </w:r>
      <w:r w:rsidR="00B6683B" w:rsidRPr="00F264F0">
        <w:rPr>
          <w:rFonts w:cs="Arial"/>
          <w:szCs w:val="20"/>
          <w:lang w:val="en-GB"/>
        </w:rPr>
        <w:fldChar w:fldCharType="begin"/>
      </w:r>
      <w:r w:rsidR="00B6683B" w:rsidRPr="00F264F0">
        <w:rPr>
          <w:rFonts w:cs="Arial"/>
          <w:szCs w:val="20"/>
          <w:lang w:val="en-GB"/>
        </w:rPr>
        <w:instrText xml:space="preserve"> REF _Ref110584128 \h </w:instrText>
      </w:r>
      <w:r w:rsidR="002D133F" w:rsidRPr="00F264F0">
        <w:rPr>
          <w:rFonts w:cs="Arial"/>
          <w:szCs w:val="20"/>
          <w:lang w:val="en-GB"/>
        </w:rPr>
        <w:instrText xml:space="preserve"> \* MERGEFORMAT </w:instrText>
      </w:r>
      <w:r w:rsidR="00B6683B" w:rsidRPr="00F264F0">
        <w:rPr>
          <w:rFonts w:cs="Arial"/>
          <w:szCs w:val="20"/>
          <w:lang w:val="en-GB"/>
        </w:rPr>
      </w:r>
      <w:r w:rsidR="00B6683B" w:rsidRPr="00F264F0">
        <w:rPr>
          <w:rFonts w:cs="Arial"/>
          <w:szCs w:val="20"/>
          <w:lang w:val="en-GB"/>
        </w:rPr>
        <w:fldChar w:fldCharType="separate"/>
      </w:r>
      <w:r w:rsidR="006B156B" w:rsidRPr="00F264F0">
        <w:rPr>
          <w:lang w:val="en-GB"/>
        </w:rPr>
        <w:t xml:space="preserve">Table </w:t>
      </w:r>
      <w:r w:rsidR="006B156B" w:rsidRPr="00F264F0">
        <w:rPr>
          <w:noProof/>
          <w:lang w:val="en-GB"/>
        </w:rPr>
        <w:t>1</w:t>
      </w:r>
      <w:r w:rsidR="00B6683B" w:rsidRPr="00F264F0">
        <w:rPr>
          <w:rFonts w:cs="Arial"/>
          <w:szCs w:val="20"/>
          <w:lang w:val="en-GB"/>
        </w:rPr>
        <w:fldChar w:fldCharType="end"/>
      </w:r>
      <w:r w:rsidRPr="00F264F0">
        <w:rPr>
          <w:rFonts w:cs="Arial"/>
          <w:szCs w:val="20"/>
          <w:lang w:val="en-GB"/>
        </w:rPr>
        <w:t xml:space="preserve"> are currently operating (or capable of operating) at 42.5</w:t>
      </w:r>
      <w:r w:rsidR="003C00DE" w:rsidRPr="00F264F0">
        <w:rPr>
          <w:rFonts w:cs="Arial"/>
          <w:szCs w:val="20"/>
          <w:lang w:val="en-GB"/>
        </w:rPr>
        <w:t>-</w:t>
      </w:r>
      <w:r w:rsidRPr="00F264F0">
        <w:rPr>
          <w:rFonts w:cs="Arial"/>
          <w:szCs w:val="20"/>
          <w:lang w:val="en-GB"/>
        </w:rPr>
        <w:t>43.5 GHz and should be appropriately protected from WBB ECS emissions.</w:t>
      </w:r>
    </w:p>
    <w:p w14:paraId="0F70253C" w14:textId="534ACDB9" w:rsidR="00677DCE" w:rsidRPr="00F264F0" w:rsidRDefault="007D617C">
      <w:pPr>
        <w:pStyle w:val="Caption"/>
        <w:rPr>
          <w:lang w:val="en-GB"/>
        </w:rPr>
      </w:pPr>
      <w:bookmarkStart w:id="16" w:name="_Ref110584128"/>
      <w:bookmarkStart w:id="17" w:name="_Ref110584124"/>
      <w:r w:rsidRPr="00F264F0">
        <w:rPr>
          <w:lang w:val="en-GB"/>
        </w:rPr>
        <w:t xml:space="preserve">Table </w:t>
      </w:r>
      <w:r w:rsidRPr="00F264F0">
        <w:rPr>
          <w:lang w:val="en-GB"/>
        </w:rPr>
        <w:fldChar w:fldCharType="begin"/>
      </w:r>
      <w:r w:rsidRPr="00F264F0">
        <w:rPr>
          <w:lang w:val="en-GB"/>
        </w:rPr>
        <w:instrText>SEQ Table \* ARABIC</w:instrText>
      </w:r>
      <w:r w:rsidRPr="00F264F0">
        <w:rPr>
          <w:lang w:val="en-GB"/>
        </w:rPr>
        <w:fldChar w:fldCharType="separate"/>
      </w:r>
      <w:r w:rsidR="006B156B" w:rsidRPr="00F264F0">
        <w:rPr>
          <w:noProof/>
          <w:lang w:val="en-GB"/>
        </w:rPr>
        <w:t>1</w:t>
      </w:r>
      <w:r w:rsidRPr="00F264F0">
        <w:rPr>
          <w:lang w:val="en-GB"/>
        </w:rPr>
        <w:fldChar w:fldCharType="end"/>
      </w:r>
      <w:bookmarkEnd w:id="16"/>
      <w:r w:rsidRPr="00F264F0">
        <w:rPr>
          <w:lang w:val="en-GB"/>
        </w:rPr>
        <w:t>: RAS sites currently operating (or capable of operating) at 42.5</w:t>
      </w:r>
      <w:r w:rsidR="003C00DE" w:rsidRPr="00F264F0">
        <w:rPr>
          <w:lang w:val="en-GB"/>
        </w:rPr>
        <w:t>-</w:t>
      </w:r>
      <w:r w:rsidRPr="00F264F0">
        <w:rPr>
          <w:lang w:val="en-GB"/>
        </w:rPr>
        <w:t>43.5 GHz</w:t>
      </w:r>
      <w:bookmarkEnd w:id="17"/>
    </w:p>
    <w:tbl>
      <w:tblPr>
        <w:tblW w:w="8914" w:type="dxa"/>
        <w:jc w:val="center"/>
        <w:tblLayout w:type="fixed"/>
        <w:tblCellMar>
          <w:top w:w="11" w:type="dxa"/>
          <w:bottom w:w="11" w:type="dxa"/>
        </w:tblCellMar>
        <w:tblLook w:val="01E0" w:firstRow="1" w:lastRow="1" w:firstColumn="1" w:lastColumn="1" w:noHBand="0" w:noVBand="0"/>
      </w:tblPr>
      <w:tblGrid>
        <w:gridCol w:w="1807"/>
        <w:gridCol w:w="3139"/>
        <w:gridCol w:w="1984"/>
        <w:gridCol w:w="1984"/>
      </w:tblGrid>
      <w:tr w:rsidR="00351874" w:rsidRPr="00F264F0" w14:paraId="56A2FE30" w14:textId="77777777" w:rsidTr="00351874">
        <w:trPr>
          <w:tblHeader/>
          <w:jc w:val="center"/>
        </w:trPr>
        <w:tc>
          <w:tcPr>
            <w:tcW w:w="1807" w:type="dxa"/>
            <w:vMerge w:val="restart"/>
            <w:tcBorders>
              <w:top w:val="single" w:sz="4" w:space="0" w:color="D2232A"/>
              <w:left w:val="single" w:sz="4" w:space="0" w:color="D2232A"/>
              <w:bottom w:val="single" w:sz="4" w:space="0" w:color="FFFFFF" w:themeColor="background1"/>
              <w:right w:val="single" w:sz="4" w:space="0" w:color="FFFFFF" w:themeColor="background1"/>
            </w:tcBorders>
            <w:shd w:val="clear" w:color="auto" w:fill="D2232A"/>
            <w:vAlign w:val="center"/>
          </w:tcPr>
          <w:p w14:paraId="3023C306" w14:textId="45126FCF" w:rsidR="00351874" w:rsidRPr="00F264F0" w:rsidRDefault="00351874" w:rsidP="00C3300F">
            <w:pPr>
              <w:pStyle w:val="ECCTableHeaderwhitefont"/>
              <w:rPr>
                <w:rStyle w:val="ECCHLbold"/>
                <w:rFonts w:cs="Arial"/>
              </w:rPr>
            </w:pPr>
            <w:r w:rsidRPr="00F264F0">
              <w:rPr>
                <w:rStyle w:val="ECCHLbold"/>
                <w:rFonts w:cs="Arial"/>
              </w:rPr>
              <w:t>Station name</w:t>
            </w:r>
          </w:p>
        </w:tc>
        <w:tc>
          <w:tcPr>
            <w:tcW w:w="3139" w:type="dxa"/>
            <w:vMerge w:val="restart"/>
            <w:tcBorders>
              <w:top w:val="single" w:sz="4" w:space="0" w:color="D2232A"/>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66FD94B2" w14:textId="6F58328F" w:rsidR="00351874" w:rsidRPr="00F264F0" w:rsidRDefault="00351874" w:rsidP="00A3182E">
            <w:pPr>
              <w:pStyle w:val="ECCTableHeaderwhitefont"/>
              <w:rPr>
                <w:rStyle w:val="ECCHLbold"/>
                <w:rFonts w:cs="Arial"/>
              </w:rPr>
            </w:pPr>
            <w:r w:rsidRPr="00F264F0">
              <w:rPr>
                <w:rStyle w:val="ECCHLbold"/>
                <w:rFonts w:cs="Arial"/>
              </w:rPr>
              <w:t>Responsible administration</w:t>
            </w:r>
          </w:p>
        </w:tc>
        <w:tc>
          <w:tcPr>
            <w:tcW w:w="3968" w:type="dxa"/>
            <w:gridSpan w:val="2"/>
            <w:tcBorders>
              <w:top w:val="single" w:sz="4" w:space="0" w:color="D2232A"/>
              <w:left w:val="single" w:sz="4" w:space="0" w:color="FFFFFF" w:themeColor="background1"/>
              <w:bottom w:val="single" w:sz="4" w:space="0" w:color="FFFFFF" w:themeColor="background1"/>
              <w:right w:val="single" w:sz="4" w:space="0" w:color="D2232A"/>
            </w:tcBorders>
            <w:shd w:val="clear" w:color="auto" w:fill="D2232A"/>
          </w:tcPr>
          <w:p w14:paraId="293E5080" w14:textId="77777777" w:rsidR="00351874" w:rsidRPr="00F264F0" w:rsidRDefault="00351874">
            <w:pPr>
              <w:pStyle w:val="ECCTableHeaderwhitefont"/>
              <w:rPr>
                <w:rStyle w:val="ECCHLbold"/>
                <w:rFonts w:cs="Arial"/>
              </w:rPr>
            </w:pPr>
            <w:r w:rsidRPr="00F264F0">
              <w:rPr>
                <w:rStyle w:val="ECCHLbold"/>
                <w:rFonts w:cs="Arial"/>
              </w:rPr>
              <w:t>Location</w:t>
            </w:r>
          </w:p>
        </w:tc>
      </w:tr>
      <w:tr w:rsidR="00351874" w:rsidRPr="00F264F0" w14:paraId="46F22B33" w14:textId="77777777" w:rsidTr="00351874">
        <w:trPr>
          <w:tblHeader/>
          <w:jc w:val="center"/>
        </w:trPr>
        <w:tc>
          <w:tcPr>
            <w:tcW w:w="1807" w:type="dxa"/>
            <w:vMerge/>
            <w:tcBorders>
              <w:top w:val="single" w:sz="4" w:space="0" w:color="FFFFFF" w:themeColor="background1"/>
              <w:left w:val="single" w:sz="4" w:space="0" w:color="D2232A"/>
              <w:bottom w:val="single" w:sz="4" w:space="0" w:color="D2232A"/>
              <w:right w:val="single" w:sz="4" w:space="0" w:color="FFFFFF" w:themeColor="background1"/>
            </w:tcBorders>
            <w:shd w:val="clear" w:color="auto" w:fill="D2232A"/>
            <w:vAlign w:val="center"/>
          </w:tcPr>
          <w:p w14:paraId="45FE6069" w14:textId="66279C1B" w:rsidR="00351874" w:rsidRPr="00F264F0" w:rsidRDefault="00351874">
            <w:pPr>
              <w:pStyle w:val="ECCTableHeaderwhitefont"/>
              <w:rPr>
                <w:rStyle w:val="ECCHLbold"/>
                <w:rFonts w:cs="Arial"/>
              </w:rPr>
            </w:pPr>
          </w:p>
        </w:tc>
        <w:tc>
          <w:tcPr>
            <w:tcW w:w="3139" w:type="dxa"/>
            <w:vMerge/>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vAlign w:val="center"/>
          </w:tcPr>
          <w:p w14:paraId="4AC58857" w14:textId="145793FA" w:rsidR="00351874" w:rsidRPr="00F264F0" w:rsidRDefault="00351874">
            <w:pPr>
              <w:pStyle w:val="ECCTableHeaderwhitefont"/>
              <w:rPr>
                <w:rStyle w:val="ECCHLbold"/>
                <w:rFonts w:cs="Arial"/>
              </w:rPr>
            </w:pPr>
          </w:p>
        </w:tc>
        <w:tc>
          <w:tcPr>
            <w:tcW w:w="1984"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170C5689" w14:textId="2EC003B4" w:rsidR="00351874" w:rsidRPr="00F264F0" w:rsidRDefault="00351874">
            <w:pPr>
              <w:pStyle w:val="ECCTableHeaderwhitefont"/>
              <w:rPr>
                <w:rStyle w:val="ECCHLbold"/>
                <w:rFonts w:cs="Arial"/>
              </w:rPr>
            </w:pPr>
            <w:r w:rsidRPr="00F264F0">
              <w:rPr>
                <w:rStyle w:val="ECCHLbold"/>
                <w:rFonts w:cs="Arial"/>
              </w:rPr>
              <w:t>Latitude</w:t>
            </w:r>
          </w:p>
        </w:tc>
        <w:tc>
          <w:tcPr>
            <w:tcW w:w="1984" w:type="dxa"/>
            <w:tcBorders>
              <w:top w:val="single" w:sz="4" w:space="0" w:color="FFFFFF" w:themeColor="background1"/>
              <w:left w:val="single" w:sz="4" w:space="0" w:color="FFFFFF" w:themeColor="background1"/>
              <w:bottom w:val="single" w:sz="4" w:space="0" w:color="D2232A"/>
              <w:right w:val="single" w:sz="4" w:space="0" w:color="D2232A"/>
            </w:tcBorders>
            <w:shd w:val="clear" w:color="auto" w:fill="D2232A"/>
            <w:vAlign w:val="center"/>
          </w:tcPr>
          <w:p w14:paraId="4F6092F2" w14:textId="77777777" w:rsidR="00351874" w:rsidRPr="00F264F0" w:rsidRDefault="00351874">
            <w:pPr>
              <w:pStyle w:val="ECCTableHeaderwhitefont"/>
              <w:rPr>
                <w:rStyle w:val="ECCHLbold"/>
                <w:rFonts w:cs="Arial"/>
              </w:rPr>
            </w:pPr>
            <w:r w:rsidRPr="00F264F0">
              <w:rPr>
                <w:rStyle w:val="ECCHLbold"/>
                <w:rFonts w:cs="Arial"/>
              </w:rPr>
              <w:t>Longitude</w:t>
            </w:r>
          </w:p>
        </w:tc>
      </w:tr>
      <w:tr w:rsidR="00677DCE" w:rsidRPr="00F264F0" w14:paraId="694A8460" w14:textId="77777777" w:rsidTr="00351874">
        <w:trPr>
          <w:jc w:val="center"/>
        </w:trPr>
        <w:tc>
          <w:tcPr>
            <w:tcW w:w="1807" w:type="dxa"/>
            <w:tcBorders>
              <w:top w:val="single" w:sz="4" w:space="0" w:color="D2232A"/>
              <w:left w:val="single" w:sz="4" w:space="0" w:color="D2232A"/>
              <w:bottom w:val="single" w:sz="4" w:space="0" w:color="D2232A"/>
              <w:right w:val="single" w:sz="4" w:space="0" w:color="D2232A"/>
            </w:tcBorders>
          </w:tcPr>
          <w:p w14:paraId="537022D6" w14:textId="77777777" w:rsidR="00677DCE" w:rsidRPr="00F264F0" w:rsidRDefault="007D617C">
            <w:pPr>
              <w:pStyle w:val="ECCTabletext"/>
              <w:rPr>
                <w:rFonts w:cs="Arial"/>
                <w:szCs w:val="20"/>
              </w:rPr>
            </w:pPr>
            <w:proofErr w:type="spellStart"/>
            <w:r w:rsidRPr="00F264F0">
              <w:rPr>
                <w:rFonts w:cs="Arial"/>
                <w:szCs w:val="20"/>
              </w:rPr>
              <w:t>Metsahovi</w:t>
            </w:r>
            <w:proofErr w:type="spellEnd"/>
          </w:p>
        </w:tc>
        <w:tc>
          <w:tcPr>
            <w:tcW w:w="3139" w:type="dxa"/>
            <w:tcBorders>
              <w:top w:val="single" w:sz="4" w:space="0" w:color="D2232A"/>
              <w:left w:val="single" w:sz="4" w:space="0" w:color="D2232A"/>
              <w:bottom w:val="single" w:sz="4" w:space="0" w:color="D2232A"/>
              <w:right w:val="single" w:sz="4" w:space="0" w:color="D2232A"/>
            </w:tcBorders>
          </w:tcPr>
          <w:p w14:paraId="0FF54762" w14:textId="77777777" w:rsidR="00677DCE" w:rsidRPr="00F264F0" w:rsidRDefault="007D617C">
            <w:pPr>
              <w:pStyle w:val="ECCTabletext"/>
              <w:rPr>
                <w:rFonts w:cs="Arial"/>
                <w:szCs w:val="20"/>
              </w:rPr>
            </w:pPr>
            <w:r w:rsidRPr="00F264F0">
              <w:rPr>
                <w:rFonts w:cs="Arial"/>
                <w:szCs w:val="20"/>
              </w:rPr>
              <w:t>Finland</w:t>
            </w:r>
          </w:p>
        </w:tc>
        <w:tc>
          <w:tcPr>
            <w:tcW w:w="1984" w:type="dxa"/>
            <w:tcBorders>
              <w:top w:val="single" w:sz="4" w:space="0" w:color="D2232A"/>
              <w:left w:val="single" w:sz="4" w:space="0" w:color="D2232A"/>
              <w:bottom w:val="single" w:sz="4" w:space="0" w:color="D2232A"/>
              <w:right w:val="single" w:sz="4" w:space="0" w:color="D2232A"/>
            </w:tcBorders>
          </w:tcPr>
          <w:p w14:paraId="4FC033B2" w14:textId="77777777" w:rsidR="00677DCE" w:rsidRPr="00F264F0" w:rsidRDefault="007D617C">
            <w:pPr>
              <w:pStyle w:val="ECCTabletext"/>
              <w:rPr>
                <w:rFonts w:cs="Arial"/>
                <w:szCs w:val="20"/>
              </w:rPr>
            </w:pPr>
            <w:r w:rsidRPr="00F264F0">
              <w:rPr>
                <w:rFonts w:cs="Arial"/>
                <w:szCs w:val="20"/>
              </w:rPr>
              <w:t>60° 13′ 05″ N</w:t>
            </w:r>
          </w:p>
        </w:tc>
        <w:tc>
          <w:tcPr>
            <w:tcW w:w="1984" w:type="dxa"/>
            <w:tcBorders>
              <w:top w:val="single" w:sz="4" w:space="0" w:color="D2232A"/>
              <w:left w:val="single" w:sz="4" w:space="0" w:color="D2232A"/>
              <w:bottom w:val="single" w:sz="4" w:space="0" w:color="D2232A"/>
              <w:right w:val="single" w:sz="4" w:space="0" w:color="D2232A"/>
            </w:tcBorders>
          </w:tcPr>
          <w:p w14:paraId="1B8C1D3E" w14:textId="1517E712" w:rsidR="00677DCE" w:rsidRPr="00F264F0" w:rsidRDefault="007D617C">
            <w:pPr>
              <w:pStyle w:val="ECCTabletext"/>
              <w:rPr>
                <w:rFonts w:cs="Arial"/>
                <w:szCs w:val="20"/>
              </w:rPr>
            </w:pPr>
            <w:r w:rsidRPr="00F264F0">
              <w:rPr>
                <w:rFonts w:cs="Arial"/>
                <w:szCs w:val="20"/>
              </w:rPr>
              <w:t>24° 23′ 36</w:t>
            </w:r>
            <w:r w:rsidR="00EB28AE" w:rsidRPr="00F264F0">
              <w:rPr>
                <w:rFonts w:cs="Arial"/>
                <w:szCs w:val="20"/>
              </w:rPr>
              <w:t>″</w:t>
            </w:r>
            <w:r w:rsidRPr="00F264F0">
              <w:rPr>
                <w:rFonts w:cs="Arial"/>
                <w:szCs w:val="20"/>
              </w:rPr>
              <w:t xml:space="preserve"> E</w:t>
            </w:r>
          </w:p>
        </w:tc>
      </w:tr>
      <w:tr w:rsidR="00677DCE" w:rsidRPr="00F264F0" w14:paraId="4B109E36" w14:textId="77777777" w:rsidTr="00351874">
        <w:trPr>
          <w:jc w:val="center"/>
        </w:trPr>
        <w:tc>
          <w:tcPr>
            <w:tcW w:w="1807" w:type="dxa"/>
            <w:tcBorders>
              <w:top w:val="single" w:sz="4" w:space="0" w:color="D2232A"/>
              <w:left w:val="single" w:sz="4" w:space="0" w:color="D2232A"/>
              <w:bottom w:val="single" w:sz="4" w:space="0" w:color="D2232A"/>
              <w:right w:val="single" w:sz="4" w:space="0" w:color="D2232A"/>
            </w:tcBorders>
          </w:tcPr>
          <w:p w14:paraId="6AC54132" w14:textId="77777777" w:rsidR="00677DCE" w:rsidRPr="00F264F0" w:rsidRDefault="007D617C">
            <w:pPr>
              <w:pStyle w:val="ECCTabletext"/>
              <w:rPr>
                <w:rFonts w:cs="Arial"/>
                <w:szCs w:val="20"/>
              </w:rPr>
            </w:pPr>
            <w:r w:rsidRPr="00F264F0">
              <w:rPr>
                <w:rFonts w:cs="Arial"/>
                <w:szCs w:val="20"/>
              </w:rPr>
              <w:t>Bure</w:t>
            </w:r>
          </w:p>
        </w:tc>
        <w:tc>
          <w:tcPr>
            <w:tcW w:w="3139" w:type="dxa"/>
            <w:tcBorders>
              <w:top w:val="single" w:sz="4" w:space="0" w:color="D2232A"/>
              <w:left w:val="single" w:sz="4" w:space="0" w:color="D2232A"/>
              <w:bottom w:val="single" w:sz="4" w:space="0" w:color="D2232A"/>
              <w:right w:val="single" w:sz="4" w:space="0" w:color="D2232A"/>
            </w:tcBorders>
          </w:tcPr>
          <w:p w14:paraId="2C6311B4" w14:textId="77777777" w:rsidR="00677DCE" w:rsidRPr="00F264F0" w:rsidRDefault="007D617C">
            <w:pPr>
              <w:pStyle w:val="ECCTabletext"/>
              <w:rPr>
                <w:rFonts w:cs="Arial"/>
                <w:szCs w:val="20"/>
              </w:rPr>
            </w:pPr>
            <w:r w:rsidRPr="00F264F0">
              <w:rPr>
                <w:rFonts w:cs="Arial"/>
                <w:szCs w:val="20"/>
              </w:rPr>
              <w:t>France</w:t>
            </w:r>
          </w:p>
        </w:tc>
        <w:tc>
          <w:tcPr>
            <w:tcW w:w="1984" w:type="dxa"/>
            <w:tcBorders>
              <w:top w:val="single" w:sz="4" w:space="0" w:color="D2232A"/>
              <w:left w:val="single" w:sz="4" w:space="0" w:color="D2232A"/>
              <w:bottom w:val="single" w:sz="4" w:space="0" w:color="D2232A"/>
              <w:right w:val="single" w:sz="4" w:space="0" w:color="D2232A"/>
            </w:tcBorders>
          </w:tcPr>
          <w:p w14:paraId="6FAAE7A7" w14:textId="510862EC" w:rsidR="00677DCE" w:rsidRPr="00F264F0" w:rsidRDefault="007D617C">
            <w:pPr>
              <w:pStyle w:val="ECCTabletext"/>
              <w:rPr>
                <w:rFonts w:cs="Arial"/>
                <w:szCs w:val="20"/>
              </w:rPr>
            </w:pPr>
            <w:r w:rsidRPr="00F264F0">
              <w:rPr>
                <w:rFonts w:cs="Arial"/>
                <w:szCs w:val="20"/>
              </w:rPr>
              <w:t>44° 38′ 02</w:t>
            </w:r>
            <w:r w:rsidR="006B1391" w:rsidRPr="00F264F0">
              <w:rPr>
                <w:rFonts w:cs="Arial"/>
                <w:szCs w:val="20"/>
              </w:rPr>
              <w:t>″</w:t>
            </w:r>
            <w:r w:rsidRPr="00F264F0">
              <w:rPr>
                <w:rFonts w:cs="Arial"/>
                <w:szCs w:val="20"/>
              </w:rPr>
              <w:t xml:space="preserve"> N</w:t>
            </w:r>
          </w:p>
        </w:tc>
        <w:tc>
          <w:tcPr>
            <w:tcW w:w="1984" w:type="dxa"/>
            <w:tcBorders>
              <w:top w:val="single" w:sz="4" w:space="0" w:color="D2232A"/>
              <w:left w:val="single" w:sz="4" w:space="0" w:color="D2232A"/>
              <w:bottom w:val="single" w:sz="4" w:space="0" w:color="D2232A"/>
              <w:right w:val="single" w:sz="4" w:space="0" w:color="D2232A"/>
            </w:tcBorders>
          </w:tcPr>
          <w:p w14:paraId="0A85D387" w14:textId="49C7D937" w:rsidR="00677DCE" w:rsidRPr="00F264F0" w:rsidRDefault="007D617C">
            <w:pPr>
              <w:pStyle w:val="ECCTabletext"/>
              <w:rPr>
                <w:rFonts w:cs="Arial"/>
                <w:szCs w:val="20"/>
              </w:rPr>
            </w:pPr>
            <w:r w:rsidRPr="00F264F0">
              <w:rPr>
                <w:rFonts w:cs="Arial"/>
                <w:szCs w:val="20"/>
              </w:rPr>
              <w:t>05° 54′ 28</w:t>
            </w:r>
            <w:r w:rsidR="00EB28AE" w:rsidRPr="00F264F0">
              <w:rPr>
                <w:rFonts w:cs="Arial"/>
                <w:szCs w:val="20"/>
              </w:rPr>
              <w:t>″</w:t>
            </w:r>
            <w:r w:rsidRPr="00F264F0">
              <w:rPr>
                <w:rFonts w:cs="Arial"/>
                <w:szCs w:val="20"/>
              </w:rPr>
              <w:t xml:space="preserve"> E</w:t>
            </w:r>
          </w:p>
        </w:tc>
      </w:tr>
      <w:tr w:rsidR="00677DCE" w:rsidRPr="00F264F0" w14:paraId="3D405E48" w14:textId="77777777" w:rsidTr="00351874">
        <w:trPr>
          <w:jc w:val="center"/>
        </w:trPr>
        <w:tc>
          <w:tcPr>
            <w:tcW w:w="1807" w:type="dxa"/>
            <w:tcBorders>
              <w:top w:val="single" w:sz="4" w:space="0" w:color="D2232A"/>
              <w:left w:val="single" w:sz="4" w:space="0" w:color="D2232A"/>
              <w:bottom w:val="single" w:sz="4" w:space="0" w:color="D2232A"/>
              <w:right w:val="single" w:sz="4" w:space="0" w:color="D2232A"/>
            </w:tcBorders>
          </w:tcPr>
          <w:p w14:paraId="579251FC" w14:textId="77777777" w:rsidR="00677DCE" w:rsidRPr="00F264F0" w:rsidRDefault="007D617C">
            <w:pPr>
              <w:pStyle w:val="ECCTabletext"/>
              <w:rPr>
                <w:rFonts w:cs="Arial"/>
                <w:szCs w:val="20"/>
              </w:rPr>
            </w:pPr>
            <w:r w:rsidRPr="00F264F0">
              <w:rPr>
                <w:rFonts w:cs="Arial"/>
                <w:szCs w:val="20"/>
              </w:rPr>
              <w:t>Effelsberg</w:t>
            </w:r>
          </w:p>
        </w:tc>
        <w:tc>
          <w:tcPr>
            <w:tcW w:w="3139" w:type="dxa"/>
            <w:tcBorders>
              <w:top w:val="single" w:sz="4" w:space="0" w:color="D2232A"/>
              <w:left w:val="single" w:sz="4" w:space="0" w:color="D2232A"/>
              <w:bottom w:val="single" w:sz="4" w:space="0" w:color="D2232A"/>
              <w:right w:val="single" w:sz="4" w:space="0" w:color="D2232A"/>
            </w:tcBorders>
          </w:tcPr>
          <w:p w14:paraId="23601E9E" w14:textId="77777777" w:rsidR="00677DCE" w:rsidRPr="00F264F0" w:rsidRDefault="007D617C">
            <w:pPr>
              <w:pStyle w:val="ECCTabletext"/>
              <w:rPr>
                <w:rFonts w:cs="Arial"/>
                <w:szCs w:val="20"/>
              </w:rPr>
            </w:pPr>
            <w:r w:rsidRPr="00F264F0">
              <w:rPr>
                <w:rFonts w:cs="Arial"/>
                <w:szCs w:val="20"/>
              </w:rPr>
              <w:t>Germany</w:t>
            </w:r>
          </w:p>
        </w:tc>
        <w:tc>
          <w:tcPr>
            <w:tcW w:w="1984" w:type="dxa"/>
            <w:tcBorders>
              <w:top w:val="single" w:sz="4" w:space="0" w:color="D2232A"/>
              <w:left w:val="single" w:sz="4" w:space="0" w:color="D2232A"/>
              <w:bottom w:val="single" w:sz="4" w:space="0" w:color="D2232A"/>
              <w:right w:val="single" w:sz="4" w:space="0" w:color="D2232A"/>
            </w:tcBorders>
          </w:tcPr>
          <w:p w14:paraId="398366B8" w14:textId="77777777" w:rsidR="00677DCE" w:rsidRPr="00F264F0" w:rsidRDefault="007D617C">
            <w:pPr>
              <w:pStyle w:val="ECCTabletext"/>
              <w:rPr>
                <w:rFonts w:cs="Arial"/>
                <w:szCs w:val="20"/>
              </w:rPr>
            </w:pPr>
            <w:r w:rsidRPr="00F264F0">
              <w:rPr>
                <w:rFonts w:cs="Arial"/>
                <w:szCs w:val="20"/>
              </w:rPr>
              <w:t>50° 31′ 29″ N</w:t>
            </w:r>
          </w:p>
        </w:tc>
        <w:tc>
          <w:tcPr>
            <w:tcW w:w="1984" w:type="dxa"/>
            <w:tcBorders>
              <w:top w:val="single" w:sz="4" w:space="0" w:color="D2232A"/>
              <w:left w:val="single" w:sz="4" w:space="0" w:color="D2232A"/>
              <w:bottom w:val="single" w:sz="4" w:space="0" w:color="D2232A"/>
              <w:right w:val="single" w:sz="4" w:space="0" w:color="D2232A"/>
            </w:tcBorders>
          </w:tcPr>
          <w:p w14:paraId="01087A16" w14:textId="77777777" w:rsidR="00677DCE" w:rsidRPr="00F264F0" w:rsidRDefault="007D617C">
            <w:pPr>
              <w:pStyle w:val="ECCTabletext"/>
              <w:rPr>
                <w:rFonts w:cs="Arial"/>
                <w:szCs w:val="20"/>
              </w:rPr>
            </w:pPr>
            <w:r w:rsidRPr="00F264F0">
              <w:rPr>
                <w:rFonts w:cs="Arial"/>
                <w:szCs w:val="20"/>
              </w:rPr>
              <w:t>06° 53′ 01″ E</w:t>
            </w:r>
          </w:p>
        </w:tc>
      </w:tr>
      <w:tr w:rsidR="00677DCE" w:rsidRPr="00F264F0" w14:paraId="7A36211F" w14:textId="77777777" w:rsidTr="00351874">
        <w:trPr>
          <w:jc w:val="center"/>
        </w:trPr>
        <w:tc>
          <w:tcPr>
            <w:tcW w:w="1807" w:type="dxa"/>
            <w:tcBorders>
              <w:top w:val="single" w:sz="4" w:space="0" w:color="D2232A"/>
              <w:left w:val="single" w:sz="4" w:space="0" w:color="D2232A"/>
              <w:bottom w:val="single" w:sz="4" w:space="0" w:color="D2232A"/>
              <w:right w:val="single" w:sz="4" w:space="0" w:color="D2232A"/>
            </w:tcBorders>
          </w:tcPr>
          <w:p w14:paraId="696DC426" w14:textId="77777777" w:rsidR="00677DCE" w:rsidRPr="00F264F0" w:rsidRDefault="007D617C">
            <w:pPr>
              <w:pStyle w:val="ECCTabletext"/>
              <w:rPr>
                <w:rFonts w:cs="Arial"/>
                <w:szCs w:val="20"/>
              </w:rPr>
            </w:pPr>
            <w:proofErr w:type="spellStart"/>
            <w:r w:rsidRPr="00F264F0">
              <w:rPr>
                <w:rFonts w:cs="Arial"/>
                <w:szCs w:val="20"/>
              </w:rPr>
              <w:t>Wettzell</w:t>
            </w:r>
            <w:proofErr w:type="spellEnd"/>
          </w:p>
        </w:tc>
        <w:tc>
          <w:tcPr>
            <w:tcW w:w="3139" w:type="dxa"/>
            <w:tcBorders>
              <w:top w:val="single" w:sz="4" w:space="0" w:color="D2232A"/>
              <w:left w:val="single" w:sz="4" w:space="0" w:color="D2232A"/>
              <w:bottom w:val="single" w:sz="4" w:space="0" w:color="D2232A"/>
              <w:right w:val="single" w:sz="4" w:space="0" w:color="D2232A"/>
            </w:tcBorders>
          </w:tcPr>
          <w:p w14:paraId="330AE2DC" w14:textId="77777777" w:rsidR="00677DCE" w:rsidRPr="00F264F0" w:rsidRDefault="007D617C">
            <w:pPr>
              <w:pStyle w:val="ECCTabletext"/>
              <w:rPr>
                <w:rFonts w:cs="Arial"/>
                <w:szCs w:val="20"/>
              </w:rPr>
            </w:pPr>
            <w:r w:rsidRPr="00F264F0">
              <w:rPr>
                <w:rFonts w:cs="Arial"/>
                <w:szCs w:val="20"/>
              </w:rPr>
              <w:t>Germany</w:t>
            </w:r>
          </w:p>
        </w:tc>
        <w:tc>
          <w:tcPr>
            <w:tcW w:w="1984" w:type="dxa"/>
            <w:tcBorders>
              <w:top w:val="single" w:sz="4" w:space="0" w:color="D2232A"/>
              <w:left w:val="single" w:sz="4" w:space="0" w:color="D2232A"/>
              <w:bottom w:val="single" w:sz="4" w:space="0" w:color="D2232A"/>
              <w:right w:val="single" w:sz="4" w:space="0" w:color="D2232A"/>
            </w:tcBorders>
          </w:tcPr>
          <w:p w14:paraId="43ADF1D5" w14:textId="77777777" w:rsidR="00677DCE" w:rsidRPr="00F264F0" w:rsidRDefault="007D617C">
            <w:pPr>
              <w:pStyle w:val="ECCTabletext"/>
              <w:rPr>
                <w:rFonts w:cs="Arial"/>
                <w:szCs w:val="20"/>
              </w:rPr>
            </w:pPr>
            <w:r w:rsidRPr="00F264F0">
              <w:rPr>
                <w:rFonts w:cs="Arial"/>
                <w:szCs w:val="20"/>
              </w:rPr>
              <w:t>49° 8′ 38″ N</w:t>
            </w:r>
          </w:p>
        </w:tc>
        <w:tc>
          <w:tcPr>
            <w:tcW w:w="1984" w:type="dxa"/>
            <w:tcBorders>
              <w:top w:val="single" w:sz="4" w:space="0" w:color="D2232A"/>
              <w:left w:val="single" w:sz="4" w:space="0" w:color="D2232A"/>
              <w:bottom w:val="single" w:sz="4" w:space="0" w:color="D2232A"/>
              <w:right w:val="single" w:sz="4" w:space="0" w:color="D2232A"/>
            </w:tcBorders>
          </w:tcPr>
          <w:p w14:paraId="03233F0A" w14:textId="77777777" w:rsidR="00677DCE" w:rsidRPr="00F264F0" w:rsidRDefault="007D617C">
            <w:pPr>
              <w:pStyle w:val="ECCTabletext"/>
              <w:rPr>
                <w:rFonts w:cs="Arial"/>
                <w:szCs w:val="20"/>
              </w:rPr>
            </w:pPr>
            <w:r w:rsidRPr="00F264F0">
              <w:rPr>
                <w:rFonts w:cs="Arial"/>
                <w:szCs w:val="20"/>
              </w:rPr>
              <w:t>12° 52′ 40″ E</w:t>
            </w:r>
          </w:p>
        </w:tc>
      </w:tr>
      <w:tr w:rsidR="00677DCE" w:rsidRPr="00F264F0" w14:paraId="63EF967F" w14:textId="77777777" w:rsidTr="00351874">
        <w:trPr>
          <w:jc w:val="center"/>
        </w:trPr>
        <w:tc>
          <w:tcPr>
            <w:tcW w:w="1807" w:type="dxa"/>
            <w:tcBorders>
              <w:top w:val="single" w:sz="4" w:space="0" w:color="D2232A"/>
              <w:left w:val="single" w:sz="4" w:space="0" w:color="D2232A"/>
              <w:bottom w:val="single" w:sz="4" w:space="0" w:color="D2232A"/>
              <w:right w:val="single" w:sz="4" w:space="0" w:color="D2232A"/>
            </w:tcBorders>
          </w:tcPr>
          <w:p w14:paraId="09A18ED7" w14:textId="77777777" w:rsidR="00677DCE" w:rsidRPr="00F264F0" w:rsidRDefault="007D617C">
            <w:pPr>
              <w:pStyle w:val="ECCTabletext"/>
              <w:rPr>
                <w:rFonts w:cs="Arial"/>
                <w:szCs w:val="20"/>
              </w:rPr>
            </w:pPr>
            <w:r w:rsidRPr="00F264F0">
              <w:rPr>
                <w:rFonts w:cs="Arial"/>
                <w:szCs w:val="20"/>
              </w:rPr>
              <w:t>Noto</w:t>
            </w:r>
          </w:p>
        </w:tc>
        <w:tc>
          <w:tcPr>
            <w:tcW w:w="3139" w:type="dxa"/>
            <w:tcBorders>
              <w:top w:val="single" w:sz="4" w:space="0" w:color="D2232A"/>
              <w:left w:val="single" w:sz="4" w:space="0" w:color="D2232A"/>
              <w:bottom w:val="single" w:sz="4" w:space="0" w:color="D2232A"/>
              <w:right w:val="single" w:sz="4" w:space="0" w:color="D2232A"/>
            </w:tcBorders>
          </w:tcPr>
          <w:p w14:paraId="15F179CB" w14:textId="77777777" w:rsidR="00677DCE" w:rsidRPr="00F264F0" w:rsidRDefault="007D617C">
            <w:pPr>
              <w:pStyle w:val="ECCTabletext"/>
              <w:rPr>
                <w:rFonts w:cs="Arial"/>
                <w:szCs w:val="20"/>
              </w:rPr>
            </w:pPr>
            <w:r w:rsidRPr="00F264F0">
              <w:rPr>
                <w:rFonts w:cs="Arial"/>
                <w:szCs w:val="20"/>
              </w:rPr>
              <w:t>Italy</w:t>
            </w:r>
          </w:p>
        </w:tc>
        <w:tc>
          <w:tcPr>
            <w:tcW w:w="1984" w:type="dxa"/>
            <w:tcBorders>
              <w:top w:val="single" w:sz="4" w:space="0" w:color="D2232A"/>
              <w:left w:val="single" w:sz="4" w:space="0" w:color="D2232A"/>
              <w:bottom w:val="single" w:sz="4" w:space="0" w:color="D2232A"/>
              <w:right w:val="single" w:sz="4" w:space="0" w:color="D2232A"/>
            </w:tcBorders>
          </w:tcPr>
          <w:p w14:paraId="6BDA1040" w14:textId="77777777" w:rsidR="00677DCE" w:rsidRPr="00F264F0" w:rsidRDefault="007D617C">
            <w:pPr>
              <w:pStyle w:val="ECCTabletext"/>
              <w:rPr>
                <w:rFonts w:cs="Arial"/>
                <w:szCs w:val="20"/>
              </w:rPr>
            </w:pPr>
            <w:r w:rsidRPr="00F264F0">
              <w:rPr>
                <w:rFonts w:cs="Arial"/>
                <w:szCs w:val="20"/>
              </w:rPr>
              <w:t>36° 52′ 33″ N</w:t>
            </w:r>
          </w:p>
        </w:tc>
        <w:tc>
          <w:tcPr>
            <w:tcW w:w="1984" w:type="dxa"/>
            <w:tcBorders>
              <w:top w:val="single" w:sz="4" w:space="0" w:color="D2232A"/>
              <w:left w:val="single" w:sz="4" w:space="0" w:color="D2232A"/>
              <w:bottom w:val="single" w:sz="4" w:space="0" w:color="D2232A"/>
              <w:right w:val="single" w:sz="4" w:space="0" w:color="D2232A"/>
            </w:tcBorders>
          </w:tcPr>
          <w:p w14:paraId="27AE473C" w14:textId="77777777" w:rsidR="00677DCE" w:rsidRPr="00F264F0" w:rsidRDefault="007D617C">
            <w:pPr>
              <w:pStyle w:val="ECCTabletext"/>
              <w:rPr>
                <w:rFonts w:cs="Arial"/>
                <w:szCs w:val="20"/>
              </w:rPr>
            </w:pPr>
            <w:r w:rsidRPr="00F264F0">
              <w:rPr>
                <w:rFonts w:cs="Arial"/>
                <w:szCs w:val="20"/>
              </w:rPr>
              <w:t>14° 59′ 20″ E</w:t>
            </w:r>
          </w:p>
        </w:tc>
      </w:tr>
      <w:tr w:rsidR="00677DCE" w:rsidRPr="00F264F0" w14:paraId="69022CD3" w14:textId="77777777" w:rsidTr="00351874">
        <w:trPr>
          <w:jc w:val="center"/>
        </w:trPr>
        <w:tc>
          <w:tcPr>
            <w:tcW w:w="1807" w:type="dxa"/>
            <w:tcBorders>
              <w:top w:val="single" w:sz="4" w:space="0" w:color="D2232A"/>
              <w:left w:val="single" w:sz="4" w:space="0" w:color="D2232A"/>
              <w:bottom w:val="single" w:sz="4" w:space="0" w:color="D2232A"/>
              <w:right w:val="single" w:sz="4" w:space="0" w:color="D2232A"/>
            </w:tcBorders>
          </w:tcPr>
          <w:p w14:paraId="796D6DD6" w14:textId="77777777" w:rsidR="00677DCE" w:rsidRPr="00F264F0" w:rsidRDefault="007D617C">
            <w:pPr>
              <w:pStyle w:val="ECCTabletext"/>
              <w:rPr>
                <w:rFonts w:cs="Arial"/>
                <w:szCs w:val="20"/>
              </w:rPr>
            </w:pPr>
            <w:r w:rsidRPr="00F264F0">
              <w:rPr>
                <w:rFonts w:cs="Arial"/>
                <w:szCs w:val="20"/>
              </w:rPr>
              <w:t>Sardinia</w:t>
            </w:r>
          </w:p>
        </w:tc>
        <w:tc>
          <w:tcPr>
            <w:tcW w:w="3139" w:type="dxa"/>
            <w:tcBorders>
              <w:top w:val="single" w:sz="4" w:space="0" w:color="D2232A"/>
              <w:left w:val="single" w:sz="4" w:space="0" w:color="D2232A"/>
              <w:bottom w:val="single" w:sz="4" w:space="0" w:color="D2232A"/>
              <w:right w:val="single" w:sz="4" w:space="0" w:color="D2232A"/>
            </w:tcBorders>
          </w:tcPr>
          <w:p w14:paraId="761B9390" w14:textId="77777777" w:rsidR="00677DCE" w:rsidRPr="00F264F0" w:rsidRDefault="007D617C">
            <w:pPr>
              <w:pStyle w:val="ECCTabletext"/>
              <w:rPr>
                <w:rFonts w:cs="Arial"/>
                <w:szCs w:val="20"/>
              </w:rPr>
            </w:pPr>
            <w:r w:rsidRPr="00F264F0">
              <w:rPr>
                <w:rFonts w:cs="Arial"/>
                <w:szCs w:val="20"/>
              </w:rPr>
              <w:t>Italy</w:t>
            </w:r>
          </w:p>
        </w:tc>
        <w:tc>
          <w:tcPr>
            <w:tcW w:w="1984" w:type="dxa"/>
            <w:tcBorders>
              <w:top w:val="single" w:sz="4" w:space="0" w:color="D2232A"/>
              <w:left w:val="single" w:sz="4" w:space="0" w:color="D2232A"/>
              <w:bottom w:val="single" w:sz="4" w:space="0" w:color="D2232A"/>
              <w:right w:val="single" w:sz="4" w:space="0" w:color="D2232A"/>
            </w:tcBorders>
          </w:tcPr>
          <w:p w14:paraId="1AF90003" w14:textId="77777777" w:rsidR="00677DCE" w:rsidRPr="00F264F0" w:rsidRDefault="007D617C">
            <w:pPr>
              <w:pStyle w:val="ECCTabletext"/>
              <w:rPr>
                <w:rFonts w:cs="Arial"/>
                <w:szCs w:val="20"/>
              </w:rPr>
            </w:pPr>
            <w:r w:rsidRPr="00F264F0">
              <w:rPr>
                <w:rFonts w:cs="Arial"/>
                <w:szCs w:val="20"/>
              </w:rPr>
              <w:t>39° 29′ 34″ N</w:t>
            </w:r>
          </w:p>
        </w:tc>
        <w:tc>
          <w:tcPr>
            <w:tcW w:w="1984" w:type="dxa"/>
            <w:tcBorders>
              <w:top w:val="single" w:sz="4" w:space="0" w:color="D2232A"/>
              <w:left w:val="single" w:sz="4" w:space="0" w:color="D2232A"/>
              <w:bottom w:val="single" w:sz="4" w:space="0" w:color="D2232A"/>
              <w:right w:val="single" w:sz="4" w:space="0" w:color="D2232A"/>
            </w:tcBorders>
          </w:tcPr>
          <w:p w14:paraId="5D8240F0" w14:textId="77777777" w:rsidR="00677DCE" w:rsidRPr="00F264F0" w:rsidRDefault="007D617C">
            <w:pPr>
              <w:pStyle w:val="ECCTabletext"/>
              <w:rPr>
                <w:rFonts w:cs="Arial"/>
                <w:szCs w:val="20"/>
              </w:rPr>
            </w:pPr>
            <w:r w:rsidRPr="00F264F0">
              <w:rPr>
                <w:rFonts w:cs="Arial"/>
                <w:szCs w:val="20"/>
              </w:rPr>
              <w:t>09° 14′ 42″ E</w:t>
            </w:r>
          </w:p>
        </w:tc>
      </w:tr>
      <w:tr w:rsidR="00677DCE" w:rsidRPr="00F264F0" w14:paraId="5EBEB2A5" w14:textId="77777777" w:rsidTr="00351874">
        <w:trPr>
          <w:jc w:val="center"/>
        </w:trPr>
        <w:tc>
          <w:tcPr>
            <w:tcW w:w="1807" w:type="dxa"/>
            <w:tcBorders>
              <w:top w:val="single" w:sz="4" w:space="0" w:color="D2232A"/>
              <w:left w:val="single" w:sz="4" w:space="0" w:color="D2232A"/>
              <w:bottom w:val="single" w:sz="4" w:space="0" w:color="D2232A"/>
              <w:right w:val="single" w:sz="4" w:space="0" w:color="D2232A"/>
            </w:tcBorders>
          </w:tcPr>
          <w:p w14:paraId="137E7B3D" w14:textId="77777777" w:rsidR="00677DCE" w:rsidRPr="00F264F0" w:rsidRDefault="007D617C">
            <w:pPr>
              <w:pStyle w:val="ECCTabletext"/>
              <w:rPr>
                <w:rFonts w:cs="Arial"/>
                <w:szCs w:val="20"/>
              </w:rPr>
            </w:pPr>
            <w:proofErr w:type="spellStart"/>
            <w:r w:rsidRPr="00F264F0">
              <w:rPr>
                <w:rFonts w:cs="Arial"/>
                <w:szCs w:val="20"/>
              </w:rPr>
              <w:t>Medicina</w:t>
            </w:r>
            <w:proofErr w:type="spellEnd"/>
          </w:p>
        </w:tc>
        <w:tc>
          <w:tcPr>
            <w:tcW w:w="3139" w:type="dxa"/>
            <w:tcBorders>
              <w:top w:val="single" w:sz="4" w:space="0" w:color="D2232A"/>
              <w:left w:val="single" w:sz="4" w:space="0" w:color="D2232A"/>
              <w:bottom w:val="single" w:sz="4" w:space="0" w:color="D2232A"/>
              <w:right w:val="single" w:sz="4" w:space="0" w:color="D2232A"/>
            </w:tcBorders>
          </w:tcPr>
          <w:p w14:paraId="764A8BCE" w14:textId="77777777" w:rsidR="00677DCE" w:rsidRPr="00F264F0" w:rsidRDefault="007D617C">
            <w:pPr>
              <w:pStyle w:val="ECCTabletext"/>
              <w:rPr>
                <w:rFonts w:cs="Arial"/>
                <w:szCs w:val="20"/>
              </w:rPr>
            </w:pPr>
            <w:r w:rsidRPr="00F264F0">
              <w:rPr>
                <w:rFonts w:cs="Arial"/>
                <w:szCs w:val="20"/>
              </w:rPr>
              <w:t>Italy</w:t>
            </w:r>
          </w:p>
        </w:tc>
        <w:tc>
          <w:tcPr>
            <w:tcW w:w="1984" w:type="dxa"/>
            <w:tcBorders>
              <w:top w:val="single" w:sz="4" w:space="0" w:color="D2232A"/>
              <w:left w:val="single" w:sz="4" w:space="0" w:color="D2232A"/>
              <w:bottom w:val="single" w:sz="4" w:space="0" w:color="D2232A"/>
              <w:right w:val="single" w:sz="4" w:space="0" w:color="D2232A"/>
            </w:tcBorders>
          </w:tcPr>
          <w:p w14:paraId="24E243F7" w14:textId="12E4F8E3" w:rsidR="00677DCE" w:rsidRPr="00F264F0" w:rsidRDefault="007D617C">
            <w:pPr>
              <w:pStyle w:val="ECCTabletext"/>
              <w:rPr>
                <w:rFonts w:cs="Arial"/>
                <w:szCs w:val="20"/>
              </w:rPr>
            </w:pPr>
            <w:r w:rsidRPr="00F264F0">
              <w:rPr>
                <w:rFonts w:cs="Arial"/>
                <w:szCs w:val="20"/>
              </w:rPr>
              <w:t>44°</w:t>
            </w:r>
            <w:r w:rsidR="00EB28AE" w:rsidRPr="00F264F0">
              <w:rPr>
                <w:rFonts w:cs="Arial"/>
                <w:szCs w:val="20"/>
              </w:rPr>
              <w:t xml:space="preserve"> </w:t>
            </w:r>
            <w:r w:rsidRPr="00F264F0">
              <w:rPr>
                <w:rFonts w:cs="Arial"/>
                <w:szCs w:val="20"/>
              </w:rPr>
              <w:t>31′ 15″ N</w:t>
            </w:r>
          </w:p>
        </w:tc>
        <w:tc>
          <w:tcPr>
            <w:tcW w:w="1984" w:type="dxa"/>
            <w:tcBorders>
              <w:top w:val="single" w:sz="4" w:space="0" w:color="D2232A"/>
              <w:left w:val="single" w:sz="4" w:space="0" w:color="D2232A"/>
              <w:bottom w:val="single" w:sz="4" w:space="0" w:color="D2232A"/>
              <w:right w:val="single" w:sz="4" w:space="0" w:color="D2232A"/>
            </w:tcBorders>
          </w:tcPr>
          <w:p w14:paraId="17562463" w14:textId="77777777" w:rsidR="00677DCE" w:rsidRPr="00F264F0" w:rsidRDefault="007D617C">
            <w:pPr>
              <w:pStyle w:val="ECCTabletext"/>
              <w:rPr>
                <w:rFonts w:cs="Arial"/>
                <w:szCs w:val="20"/>
              </w:rPr>
            </w:pPr>
            <w:r w:rsidRPr="00F264F0">
              <w:rPr>
                <w:rFonts w:cs="Arial"/>
                <w:szCs w:val="20"/>
              </w:rPr>
              <w:t>11° 38′ 49″ E</w:t>
            </w:r>
          </w:p>
        </w:tc>
      </w:tr>
      <w:tr w:rsidR="00677DCE" w:rsidRPr="00F264F0" w14:paraId="4C4CA924" w14:textId="77777777" w:rsidTr="00351874">
        <w:trPr>
          <w:jc w:val="center"/>
        </w:trPr>
        <w:tc>
          <w:tcPr>
            <w:tcW w:w="1807" w:type="dxa"/>
            <w:tcBorders>
              <w:top w:val="single" w:sz="4" w:space="0" w:color="D2232A"/>
              <w:left w:val="single" w:sz="4" w:space="0" w:color="D2232A"/>
              <w:bottom w:val="single" w:sz="4" w:space="0" w:color="D2232A"/>
              <w:right w:val="single" w:sz="4" w:space="0" w:color="D2232A"/>
            </w:tcBorders>
          </w:tcPr>
          <w:p w14:paraId="54D8451F" w14:textId="77777777" w:rsidR="00677DCE" w:rsidRPr="00F264F0" w:rsidRDefault="007D617C">
            <w:pPr>
              <w:pStyle w:val="ECCTabletext"/>
              <w:rPr>
                <w:rFonts w:cs="Arial"/>
                <w:szCs w:val="20"/>
              </w:rPr>
            </w:pPr>
            <w:r w:rsidRPr="00F264F0">
              <w:rPr>
                <w:rFonts w:eastAsia="Times New Roman" w:cs="Arial"/>
                <w:color w:val="000000"/>
                <w:szCs w:val="20"/>
                <w:lang w:eastAsia="en-GB"/>
              </w:rPr>
              <w:t xml:space="preserve">Torun </w:t>
            </w:r>
          </w:p>
        </w:tc>
        <w:tc>
          <w:tcPr>
            <w:tcW w:w="3139" w:type="dxa"/>
            <w:tcBorders>
              <w:top w:val="single" w:sz="4" w:space="0" w:color="D2232A"/>
              <w:left w:val="single" w:sz="4" w:space="0" w:color="D2232A"/>
              <w:bottom w:val="single" w:sz="4" w:space="0" w:color="D2232A"/>
              <w:right w:val="single" w:sz="4" w:space="0" w:color="D2232A"/>
            </w:tcBorders>
          </w:tcPr>
          <w:p w14:paraId="07E0A6A8" w14:textId="77777777" w:rsidR="00677DCE" w:rsidRPr="00F264F0" w:rsidRDefault="007D617C">
            <w:pPr>
              <w:pStyle w:val="ECCTabletext"/>
              <w:rPr>
                <w:rFonts w:cs="Arial"/>
                <w:szCs w:val="20"/>
              </w:rPr>
            </w:pPr>
            <w:r w:rsidRPr="00F264F0">
              <w:rPr>
                <w:rFonts w:eastAsia="Times New Roman" w:cs="Arial"/>
                <w:color w:val="000000"/>
                <w:szCs w:val="20"/>
                <w:lang w:eastAsia="en-GB"/>
              </w:rPr>
              <w:t>Poland</w:t>
            </w:r>
          </w:p>
        </w:tc>
        <w:tc>
          <w:tcPr>
            <w:tcW w:w="1984" w:type="dxa"/>
            <w:tcBorders>
              <w:top w:val="single" w:sz="4" w:space="0" w:color="D2232A"/>
              <w:left w:val="single" w:sz="4" w:space="0" w:color="D2232A"/>
              <w:bottom w:val="single" w:sz="4" w:space="0" w:color="D2232A"/>
              <w:right w:val="single" w:sz="4" w:space="0" w:color="D2232A"/>
            </w:tcBorders>
          </w:tcPr>
          <w:p w14:paraId="50664030" w14:textId="77777777" w:rsidR="00677DCE" w:rsidRPr="00F264F0" w:rsidRDefault="007D617C">
            <w:pPr>
              <w:pStyle w:val="ECCTabletext"/>
              <w:rPr>
                <w:rFonts w:cs="Arial"/>
                <w:szCs w:val="20"/>
              </w:rPr>
            </w:pPr>
            <w:r w:rsidRPr="00F264F0">
              <w:rPr>
                <w:rFonts w:eastAsia="Times New Roman" w:cs="Arial"/>
                <w:color w:val="000000"/>
                <w:szCs w:val="20"/>
                <w:lang w:eastAsia="en-GB"/>
              </w:rPr>
              <w:t>53° 05′ 43″ N</w:t>
            </w:r>
          </w:p>
        </w:tc>
        <w:tc>
          <w:tcPr>
            <w:tcW w:w="1984" w:type="dxa"/>
            <w:tcBorders>
              <w:top w:val="single" w:sz="4" w:space="0" w:color="D2232A"/>
              <w:left w:val="single" w:sz="4" w:space="0" w:color="D2232A"/>
              <w:bottom w:val="single" w:sz="4" w:space="0" w:color="D2232A"/>
              <w:right w:val="single" w:sz="4" w:space="0" w:color="D2232A"/>
            </w:tcBorders>
          </w:tcPr>
          <w:p w14:paraId="7DB96460" w14:textId="77777777" w:rsidR="00677DCE" w:rsidRPr="00F264F0" w:rsidRDefault="007D617C">
            <w:pPr>
              <w:pStyle w:val="ECCTabletext"/>
              <w:rPr>
                <w:rFonts w:cs="Arial"/>
                <w:szCs w:val="20"/>
              </w:rPr>
            </w:pPr>
            <w:r w:rsidRPr="00F264F0">
              <w:rPr>
                <w:rFonts w:eastAsia="Times New Roman" w:cs="Arial"/>
                <w:color w:val="000000"/>
                <w:szCs w:val="20"/>
                <w:lang w:eastAsia="en-GB"/>
              </w:rPr>
              <w:t>18° 33′ 46″ E</w:t>
            </w:r>
          </w:p>
        </w:tc>
      </w:tr>
      <w:tr w:rsidR="00677DCE" w:rsidRPr="00F264F0" w14:paraId="46C05D4B" w14:textId="77777777" w:rsidTr="00351874">
        <w:trPr>
          <w:jc w:val="center"/>
        </w:trPr>
        <w:tc>
          <w:tcPr>
            <w:tcW w:w="1807" w:type="dxa"/>
            <w:tcBorders>
              <w:top w:val="single" w:sz="4" w:space="0" w:color="D2232A"/>
              <w:left w:val="single" w:sz="4" w:space="0" w:color="D2232A"/>
              <w:bottom w:val="single" w:sz="4" w:space="0" w:color="D2232A"/>
              <w:right w:val="single" w:sz="4" w:space="0" w:color="D2232A"/>
            </w:tcBorders>
          </w:tcPr>
          <w:p w14:paraId="3401A411" w14:textId="77777777" w:rsidR="00677DCE" w:rsidRPr="00F264F0" w:rsidRDefault="007D617C">
            <w:pPr>
              <w:pStyle w:val="ECCTabletext"/>
              <w:rPr>
                <w:rFonts w:cs="Arial"/>
                <w:szCs w:val="20"/>
              </w:rPr>
            </w:pPr>
            <w:proofErr w:type="spellStart"/>
            <w:r w:rsidRPr="00F264F0">
              <w:rPr>
                <w:rFonts w:cs="Arial"/>
                <w:szCs w:val="20"/>
              </w:rPr>
              <w:t>Yebes</w:t>
            </w:r>
            <w:proofErr w:type="spellEnd"/>
          </w:p>
        </w:tc>
        <w:tc>
          <w:tcPr>
            <w:tcW w:w="3139" w:type="dxa"/>
            <w:tcBorders>
              <w:top w:val="single" w:sz="4" w:space="0" w:color="D2232A"/>
              <w:left w:val="single" w:sz="4" w:space="0" w:color="D2232A"/>
              <w:bottom w:val="single" w:sz="4" w:space="0" w:color="D2232A"/>
              <w:right w:val="single" w:sz="4" w:space="0" w:color="D2232A"/>
            </w:tcBorders>
          </w:tcPr>
          <w:p w14:paraId="3DFFFFC9" w14:textId="77777777" w:rsidR="00677DCE" w:rsidRPr="00F264F0" w:rsidRDefault="007D617C">
            <w:pPr>
              <w:pStyle w:val="ECCTabletext"/>
              <w:rPr>
                <w:rFonts w:cs="Arial"/>
                <w:szCs w:val="20"/>
              </w:rPr>
            </w:pPr>
            <w:r w:rsidRPr="00F264F0">
              <w:rPr>
                <w:rFonts w:cs="Arial"/>
                <w:szCs w:val="20"/>
              </w:rPr>
              <w:t>Spain</w:t>
            </w:r>
          </w:p>
        </w:tc>
        <w:tc>
          <w:tcPr>
            <w:tcW w:w="1984" w:type="dxa"/>
            <w:tcBorders>
              <w:top w:val="single" w:sz="4" w:space="0" w:color="D2232A"/>
              <w:left w:val="single" w:sz="4" w:space="0" w:color="D2232A"/>
              <w:bottom w:val="single" w:sz="4" w:space="0" w:color="D2232A"/>
              <w:right w:val="single" w:sz="4" w:space="0" w:color="D2232A"/>
            </w:tcBorders>
          </w:tcPr>
          <w:p w14:paraId="2104932B" w14:textId="77777777" w:rsidR="00677DCE" w:rsidRPr="00F264F0" w:rsidRDefault="007D617C">
            <w:pPr>
              <w:pStyle w:val="ECCTabletext"/>
              <w:rPr>
                <w:rFonts w:cs="Arial"/>
                <w:szCs w:val="20"/>
              </w:rPr>
            </w:pPr>
            <w:r w:rsidRPr="00F264F0">
              <w:rPr>
                <w:rFonts w:cs="Arial"/>
                <w:szCs w:val="20"/>
              </w:rPr>
              <w:t>40° 31′ 29″ N</w:t>
            </w:r>
          </w:p>
        </w:tc>
        <w:tc>
          <w:tcPr>
            <w:tcW w:w="1984" w:type="dxa"/>
            <w:tcBorders>
              <w:top w:val="single" w:sz="4" w:space="0" w:color="D2232A"/>
              <w:left w:val="single" w:sz="4" w:space="0" w:color="D2232A"/>
              <w:bottom w:val="single" w:sz="4" w:space="0" w:color="D2232A"/>
              <w:right w:val="single" w:sz="4" w:space="0" w:color="D2232A"/>
            </w:tcBorders>
          </w:tcPr>
          <w:p w14:paraId="478EA798" w14:textId="77777777" w:rsidR="00677DCE" w:rsidRPr="00F264F0" w:rsidRDefault="007D617C">
            <w:pPr>
              <w:pStyle w:val="ECCTabletext"/>
              <w:rPr>
                <w:rFonts w:cs="Arial"/>
                <w:szCs w:val="20"/>
              </w:rPr>
            </w:pPr>
            <w:r w:rsidRPr="00F264F0">
              <w:rPr>
                <w:rFonts w:cs="Arial"/>
                <w:szCs w:val="20"/>
              </w:rPr>
              <w:t>03° 05′ 13″ W</w:t>
            </w:r>
          </w:p>
        </w:tc>
      </w:tr>
      <w:tr w:rsidR="00677DCE" w:rsidRPr="00F264F0" w14:paraId="22553F1E" w14:textId="77777777" w:rsidTr="00351874">
        <w:trPr>
          <w:jc w:val="center"/>
        </w:trPr>
        <w:tc>
          <w:tcPr>
            <w:tcW w:w="1807" w:type="dxa"/>
            <w:tcBorders>
              <w:top w:val="single" w:sz="4" w:space="0" w:color="D2232A"/>
              <w:left w:val="single" w:sz="4" w:space="0" w:color="D2232A"/>
              <w:bottom w:val="single" w:sz="4" w:space="0" w:color="D2232A"/>
              <w:right w:val="single" w:sz="4" w:space="0" w:color="D2232A"/>
            </w:tcBorders>
          </w:tcPr>
          <w:p w14:paraId="5CC7CF60" w14:textId="77777777" w:rsidR="00677DCE" w:rsidRPr="00F264F0" w:rsidRDefault="007D617C">
            <w:pPr>
              <w:pStyle w:val="ECCTabletext"/>
              <w:rPr>
                <w:rFonts w:cs="Arial"/>
                <w:szCs w:val="20"/>
              </w:rPr>
            </w:pPr>
            <w:r w:rsidRPr="00F264F0">
              <w:rPr>
                <w:rFonts w:cs="Arial"/>
                <w:szCs w:val="20"/>
              </w:rPr>
              <w:t>Robledo</w:t>
            </w:r>
          </w:p>
        </w:tc>
        <w:tc>
          <w:tcPr>
            <w:tcW w:w="3139" w:type="dxa"/>
            <w:tcBorders>
              <w:top w:val="single" w:sz="4" w:space="0" w:color="D2232A"/>
              <w:left w:val="single" w:sz="4" w:space="0" w:color="D2232A"/>
              <w:bottom w:val="single" w:sz="4" w:space="0" w:color="D2232A"/>
              <w:right w:val="single" w:sz="4" w:space="0" w:color="D2232A"/>
            </w:tcBorders>
          </w:tcPr>
          <w:p w14:paraId="786B7A80" w14:textId="77777777" w:rsidR="00677DCE" w:rsidRPr="00F264F0" w:rsidRDefault="007D617C">
            <w:pPr>
              <w:pStyle w:val="ECCTabletext"/>
              <w:rPr>
                <w:rFonts w:cs="Arial"/>
                <w:szCs w:val="20"/>
              </w:rPr>
            </w:pPr>
            <w:r w:rsidRPr="00F264F0">
              <w:rPr>
                <w:rFonts w:cs="Arial"/>
                <w:szCs w:val="20"/>
              </w:rPr>
              <w:t>Spain</w:t>
            </w:r>
          </w:p>
        </w:tc>
        <w:tc>
          <w:tcPr>
            <w:tcW w:w="1984" w:type="dxa"/>
            <w:tcBorders>
              <w:top w:val="single" w:sz="4" w:space="0" w:color="D2232A"/>
              <w:left w:val="single" w:sz="4" w:space="0" w:color="D2232A"/>
              <w:bottom w:val="single" w:sz="4" w:space="0" w:color="D2232A"/>
              <w:right w:val="single" w:sz="4" w:space="0" w:color="D2232A"/>
            </w:tcBorders>
          </w:tcPr>
          <w:p w14:paraId="4E477E87" w14:textId="77777777" w:rsidR="00677DCE" w:rsidRPr="00F264F0" w:rsidRDefault="007D617C">
            <w:pPr>
              <w:pStyle w:val="ECCTabletext"/>
              <w:rPr>
                <w:rFonts w:cs="Arial"/>
                <w:szCs w:val="20"/>
              </w:rPr>
            </w:pPr>
            <w:r w:rsidRPr="00F264F0">
              <w:rPr>
                <w:rFonts w:cs="Arial"/>
                <w:szCs w:val="20"/>
              </w:rPr>
              <w:t>40° 25′ 38″ N</w:t>
            </w:r>
          </w:p>
        </w:tc>
        <w:tc>
          <w:tcPr>
            <w:tcW w:w="1984" w:type="dxa"/>
            <w:tcBorders>
              <w:top w:val="single" w:sz="4" w:space="0" w:color="D2232A"/>
              <w:left w:val="single" w:sz="4" w:space="0" w:color="D2232A"/>
              <w:bottom w:val="single" w:sz="4" w:space="0" w:color="D2232A"/>
              <w:right w:val="single" w:sz="4" w:space="0" w:color="D2232A"/>
            </w:tcBorders>
          </w:tcPr>
          <w:p w14:paraId="27CDEEF7" w14:textId="77777777" w:rsidR="00677DCE" w:rsidRPr="00F264F0" w:rsidRDefault="007D617C">
            <w:pPr>
              <w:pStyle w:val="ECCTabletext"/>
              <w:rPr>
                <w:rFonts w:cs="Arial"/>
                <w:szCs w:val="20"/>
              </w:rPr>
            </w:pPr>
            <w:r w:rsidRPr="00F264F0">
              <w:rPr>
                <w:rFonts w:cs="Arial"/>
                <w:szCs w:val="20"/>
              </w:rPr>
              <w:t>04° 14′ 57″ W</w:t>
            </w:r>
          </w:p>
        </w:tc>
      </w:tr>
      <w:tr w:rsidR="00677DCE" w:rsidRPr="00F264F0" w14:paraId="79E831B5" w14:textId="77777777" w:rsidTr="00351874">
        <w:trPr>
          <w:jc w:val="center"/>
        </w:trPr>
        <w:tc>
          <w:tcPr>
            <w:tcW w:w="1807" w:type="dxa"/>
            <w:tcBorders>
              <w:top w:val="single" w:sz="4" w:space="0" w:color="D2232A"/>
              <w:left w:val="single" w:sz="4" w:space="0" w:color="D2232A"/>
              <w:bottom w:val="single" w:sz="4" w:space="0" w:color="D2232A"/>
              <w:right w:val="single" w:sz="4" w:space="0" w:color="D2232A"/>
            </w:tcBorders>
          </w:tcPr>
          <w:p w14:paraId="3B631D04" w14:textId="77777777" w:rsidR="00677DCE" w:rsidRPr="00F264F0" w:rsidRDefault="007D617C">
            <w:pPr>
              <w:pStyle w:val="ECCTabletext"/>
              <w:rPr>
                <w:rFonts w:cs="Arial"/>
                <w:szCs w:val="20"/>
              </w:rPr>
            </w:pPr>
            <w:r w:rsidRPr="00F264F0">
              <w:rPr>
                <w:rFonts w:cs="Arial"/>
                <w:szCs w:val="20"/>
              </w:rPr>
              <w:t>Pico Veleta</w:t>
            </w:r>
          </w:p>
        </w:tc>
        <w:tc>
          <w:tcPr>
            <w:tcW w:w="3139" w:type="dxa"/>
            <w:tcBorders>
              <w:top w:val="single" w:sz="4" w:space="0" w:color="D2232A"/>
              <w:left w:val="single" w:sz="4" w:space="0" w:color="D2232A"/>
              <w:bottom w:val="single" w:sz="4" w:space="0" w:color="D2232A"/>
              <w:right w:val="single" w:sz="4" w:space="0" w:color="D2232A"/>
            </w:tcBorders>
          </w:tcPr>
          <w:p w14:paraId="645D085B" w14:textId="77777777" w:rsidR="00677DCE" w:rsidRPr="00F264F0" w:rsidRDefault="007D617C">
            <w:pPr>
              <w:pStyle w:val="ECCTabletext"/>
              <w:rPr>
                <w:rFonts w:cs="Arial"/>
                <w:szCs w:val="20"/>
              </w:rPr>
            </w:pPr>
            <w:r w:rsidRPr="00F264F0">
              <w:rPr>
                <w:rFonts w:cs="Arial"/>
                <w:szCs w:val="20"/>
              </w:rPr>
              <w:t>Spain</w:t>
            </w:r>
          </w:p>
        </w:tc>
        <w:tc>
          <w:tcPr>
            <w:tcW w:w="1984" w:type="dxa"/>
            <w:tcBorders>
              <w:top w:val="single" w:sz="4" w:space="0" w:color="D2232A"/>
              <w:left w:val="single" w:sz="4" w:space="0" w:color="D2232A"/>
              <w:bottom w:val="single" w:sz="4" w:space="0" w:color="D2232A"/>
              <w:right w:val="single" w:sz="4" w:space="0" w:color="D2232A"/>
            </w:tcBorders>
          </w:tcPr>
          <w:p w14:paraId="60166618" w14:textId="53602027" w:rsidR="00677DCE" w:rsidRPr="00F264F0" w:rsidRDefault="007D617C">
            <w:pPr>
              <w:pStyle w:val="ECCTabletext"/>
              <w:rPr>
                <w:rFonts w:cs="Arial"/>
                <w:szCs w:val="20"/>
              </w:rPr>
            </w:pPr>
            <w:r w:rsidRPr="00F264F0">
              <w:rPr>
                <w:rFonts w:cs="Arial"/>
                <w:szCs w:val="20"/>
              </w:rPr>
              <w:t>37° 3</w:t>
            </w:r>
            <w:r w:rsidR="00EB28AE" w:rsidRPr="00F264F0">
              <w:rPr>
                <w:rFonts w:cs="Arial"/>
                <w:szCs w:val="20"/>
              </w:rPr>
              <w:t>′</w:t>
            </w:r>
            <w:r w:rsidRPr="00F264F0">
              <w:rPr>
                <w:rFonts w:cs="Arial"/>
                <w:szCs w:val="20"/>
              </w:rPr>
              <w:t xml:space="preserve"> 58</w:t>
            </w:r>
            <w:r w:rsidR="00EB28AE" w:rsidRPr="00F264F0">
              <w:rPr>
                <w:rFonts w:cs="Arial"/>
                <w:szCs w:val="20"/>
              </w:rPr>
              <w:t>″</w:t>
            </w:r>
            <w:r w:rsidRPr="00F264F0">
              <w:rPr>
                <w:rFonts w:cs="Arial"/>
                <w:szCs w:val="20"/>
              </w:rPr>
              <w:t xml:space="preserve"> N</w:t>
            </w:r>
          </w:p>
        </w:tc>
        <w:tc>
          <w:tcPr>
            <w:tcW w:w="1984" w:type="dxa"/>
            <w:tcBorders>
              <w:top w:val="single" w:sz="4" w:space="0" w:color="D2232A"/>
              <w:left w:val="single" w:sz="4" w:space="0" w:color="D2232A"/>
              <w:bottom w:val="single" w:sz="4" w:space="0" w:color="D2232A"/>
              <w:right w:val="single" w:sz="4" w:space="0" w:color="D2232A"/>
            </w:tcBorders>
          </w:tcPr>
          <w:p w14:paraId="56579B28" w14:textId="06EF564C" w:rsidR="00677DCE" w:rsidRPr="00F264F0" w:rsidRDefault="007D617C">
            <w:pPr>
              <w:pStyle w:val="ECCTabletext"/>
              <w:rPr>
                <w:rFonts w:cs="Arial"/>
                <w:szCs w:val="20"/>
              </w:rPr>
            </w:pPr>
            <w:r w:rsidRPr="00F264F0">
              <w:rPr>
                <w:rFonts w:cs="Arial"/>
                <w:szCs w:val="20"/>
              </w:rPr>
              <w:t>3° 23</w:t>
            </w:r>
            <w:r w:rsidR="00EB28AE" w:rsidRPr="00F264F0">
              <w:rPr>
                <w:rFonts w:cs="Arial"/>
                <w:szCs w:val="20"/>
              </w:rPr>
              <w:t>′</w:t>
            </w:r>
            <w:r w:rsidRPr="00F264F0">
              <w:rPr>
                <w:rFonts w:cs="Arial"/>
                <w:szCs w:val="20"/>
              </w:rPr>
              <w:t xml:space="preserve"> 34</w:t>
            </w:r>
            <w:r w:rsidR="00EB28AE" w:rsidRPr="00F264F0">
              <w:rPr>
                <w:rFonts w:cs="Arial"/>
                <w:szCs w:val="20"/>
              </w:rPr>
              <w:t>″</w:t>
            </w:r>
            <w:r w:rsidRPr="00F264F0">
              <w:rPr>
                <w:rFonts w:cs="Arial"/>
                <w:szCs w:val="20"/>
              </w:rPr>
              <w:t xml:space="preserve"> W</w:t>
            </w:r>
          </w:p>
        </w:tc>
      </w:tr>
      <w:tr w:rsidR="00677DCE" w:rsidRPr="00F264F0" w14:paraId="1EE43D0C" w14:textId="77777777" w:rsidTr="00351874">
        <w:trPr>
          <w:jc w:val="center"/>
        </w:trPr>
        <w:tc>
          <w:tcPr>
            <w:tcW w:w="1807" w:type="dxa"/>
            <w:tcBorders>
              <w:top w:val="single" w:sz="4" w:space="0" w:color="D2232A"/>
              <w:left w:val="single" w:sz="4" w:space="0" w:color="D2232A"/>
              <w:bottom w:val="single" w:sz="4" w:space="0" w:color="D2232A"/>
              <w:right w:val="single" w:sz="4" w:space="0" w:color="D2232A"/>
            </w:tcBorders>
          </w:tcPr>
          <w:p w14:paraId="5BC7E756" w14:textId="77777777" w:rsidR="00677DCE" w:rsidRPr="00F264F0" w:rsidRDefault="007D617C">
            <w:pPr>
              <w:pStyle w:val="ECCTabletext"/>
              <w:rPr>
                <w:rFonts w:cs="Arial"/>
                <w:szCs w:val="20"/>
              </w:rPr>
            </w:pPr>
            <w:proofErr w:type="spellStart"/>
            <w:r w:rsidRPr="00F264F0">
              <w:rPr>
                <w:rFonts w:cs="Arial"/>
                <w:szCs w:val="20"/>
              </w:rPr>
              <w:t>Onsala</w:t>
            </w:r>
            <w:proofErr w:type="spellEnd"/>
          </w:p>
        </w:tc>
        <w:tc>
          <w:tcPr>
            <w:tcW w:w="3139" w:type="dxa"/>
            <w:tcBorders>
              <w:top w:val="single" w:sz="4" w:space="0" w:color="D2232A"/>
              <w:left w:val="single" w:sz="4" w:space="0" w:color="D2232A"/>
              <w:bottom w:val="single" w:sz="4" w:space="0" w:color="D2232A"/>
              <w:right w:val="single" w:sz="4" w:space="0" w:color="D2232A"/>
            </w:tcBorders>
          </w:tcPr>
          <w:p w14:paraId="1F02AE61" w14:textId="77777777" w:rsidR="00677DCE" w:rsidRPr="00F264F0" w:rsidRDefault="007D617C">
            <w:pPr>
              <w:pStyle w:val="ECCTabletext"/>
              <w:rPr>
                <w:rFonts w:cs="Arial"/>
                <w:szCs w:val="20"/>
              </w:rPr>
            </w:pPr>
            <w:r w:rsidRPr="00F264F0">
              <w:rPr>
                <w:rFonts w:cs="Arial"/>
                <w:szCs w:val="20"/>
              </w:rPr>
              <w:t>Sweden</w:t>
            </w:r>
          </w:p>
        </w:tc>
        <w:tc>
          <w:tcPr>
            <w:tcW w:w="1984" w:type="dxa"/>
            <w:tcBorders>
              <w:top w:val="single" w:sz="4" w:space="0" w:color="D2232A"/>
              <w:left w:val="single" w:sz="4" w:space="0" w:color="D2232A"/>
              <w:bottom w:val="single" w:sz="4" w:space="0" w:color="D2232A"/>
              <w:right w:val="single" w:sz="4" w:space="0" w:color="D2232A"/>
            </w:tcBorders>
          </w:tcPr>
          <w:p w14:paraId="44E87470" w14:textId="77777777" w:rsidR="00677DCE" w:rsidRPr="00F264F0" w:rsidRDefault="007D617C">
            <w:pPr>
              <w:pStyle w:val="ECCTabletext"/>
              <w:rPr>
                <w:rFonts w:cs="Arial"/>
                <w:szCs w:val="20"/>
              </w:rPr>
            </w:pPr>
            <w:r w:rsidRPr="00F264F0">
              <w:rPr>
                <w:rFonts w:cs="Arial"/>
                <w:szCs w:val="20"/>
              </w:rPr>
              <w:t>57° 23′ 45″ N</w:t>
            </w:r>
          </w:p>
        </w:tc>
        <w:tc>
          <w:tcPr>
            <w:tcW w:w="1984" w:type="dxa"/>
            <w:tcBorders>
              <w:top w:val="single" w:sz="4" w:space="0" w:color="D2232A"/>
              <w:left w:val="single" w:sz="4" w:space="0" w:color="D2232A"/>
              <w:bottom w:val="single" w:sz="4" w:space="0" w:color="D2232A"/>
              <w:right w:val="single" w:sz="4" w:space="0" w:color="D2232A"/>
            </w:tcBorders>
          </w:tcPr>
          <w:p w14:paraId="24C7C52E" w14:textId="77777777" w:rsidR="00677DCE" w:rsidRPr="00F264F0" w:rsidRDefault="007D617C">
            <w:pPr>
              <w:pStyle w:val="ECCTabletext"/>
              <w:rPr>
                <w:rFonts w:cs="Arial"/>
                <w:szCs w:val="20"/>
              </w:rPr>
            </w:pPr>
            <w:r w:rsidRPr="00F264F0">
              <w:rPr>
                <w:rFonts w:cs="Arial"/>
                <w:szCs w:val="20"/>
              </w:rPr>
              <w:t>11° 55′ 35″ E</w:t>
            </w:r>
          </w:p>
        </w:tc>
      </w:tr>
      <w:tr w:rsidR="00677DCE" w:rsidRPr="00F264F0" w14:paraId="255098A7" w14:textId="77777777" w:rsidTr="00351874">
        <w:trPr>
          <w:jc w:val="center"/>
        </w:trPr>
        <w:tc>
          <w:tcPr>
            <w:tcW w:w="1807" w:type="dxa"/>
            <w:tcBorders>
              <w:top w:val="single" w:sz="4" w:space="0" w:color="D2232A"/>
              <w:left w:val="single" w:sz="4" w:space="0" w:color="D2232A"/>
              <w:bottom w:val="single" w:sz="4" w:space="0" w:color="D2232A"/>
              <w:right w:val="single" w:sz="4" w:space="0" w:color="D2232A"/>
            </w:tcBorders>
          </w:tcPr>
          <w:p w14:paraId="3506A5D7" w14:textId="77777777" w:rsidR="00677DCE" w:rsidRPr="00F264F0" w:rsidRDefault="007D617C">
            <w:pPr>
              <w:pStyle w:val="ECCTabletext"/>
              <w:rPr>
                <w:rFonts w:cs="Arial"/>
                <w:szCs w:val="20"/>
              </w:rPr>
            </w:pPr>
            <w:r w:rsidRPr="00F264F0">
              <w:rPr>
                <w:rFonts w:cs="Arial"/>
                <w:szCs w:val="20"/>
              </w:rPr>
              <w:t>Cambridge</w:t>
            </w:r>
          </w:p>
        </w:tc>
        <w:tc>
          <w:tcPr>
            <w:tcW w:w="3139" w:type="dxa"/>
            <w:tcBorders>
              <w:top w:val="single" w:sz="4" w:space="0" w:color="D2232A"/>
              <w:left w:val="single" w:sz="4" w:space="0" w:color="D2232A"/>
              <w:bottom w:val="single" w:sz="4" w:space="0" w:color="D2232A"/>
              <w:right w:val="single" w:sz="4" w:space="0" w:color="D2232A"/>
            </w:tcBorders>
          </w:tcPr>
          <w:p w14:paraId="5B14F096" w14:textId="77777777" w:rsidR="00677DCE" w:rsidRPr="00F264F0" w:rsidRDefault="007D617C">
            <w:pPr>
              <w:pStyle w:val="ECCTabletext"/>
              <w:rPr>
                <w:rFonts w:cs="Arial"/>
                <w:szCs w:val="20"/>
              </w:rPr>
            </w:pPr>
            <w:r w:rsidRPr="00F264F0">
              <w:rPr>
                <w:rFonts w:cs="Arial"/>
                <w:szCs w:val="20"/>
              </w:rPr>
              <w:t>United Kingdom</w:t>
            </w:r>
          </w:p>
        </w:tc>
        <w:tc>
          <w:tcPr>
            <w:tcW w:w="1984" w:type="dxa"/>
            <w:tcBorders>
              <w:top w:val="single" w:sz="4" w:space="0" w:color="D2232A"/>
              <w:left w:val="single" w:sz="4" w:space="0" w:color="D2232A"/>
              <w:bottom w:val="single" w:sz="4" w:space="0" w:color="D2232A"/>
              <w:right w:val="single" w:sz="4" w:space="0" w:color="D2232A"/>
            </w:tcBorders>
          </w:tcPr>
          <w:p w14:paraId="4D5E8F45" w14:textId="77777777" w:rsidR="00677DCE" w:rsidRPr="00F264F0" w:rsidRDefault="007D617C">
            <w:pPr>
              <w:pStyle w:val="ECCTabletext"/>
              <w:rPr>
                <w:rFonts w:cs="Arial"/>
                <w:szCs w:val="20"/>
              </w:rPr>
            </w:pPr>
            <w:r w:rsidRPr="00F264F0">
              <w:rPr>
                <w:rFonts w:cs="Arial"/>
                <w:szCs w:val="20"/>
              </w:rPr>
              <w:t>52° 09′ 59″ N</w:t>
            </w:r>
          </w:p>
        </w:tc>
        <w:tc>
          <w:tcPr>
            <w:tcW w:w="1984" w:type="dxa"/>
            <w:tcBorders>
              <w:top w:val="single" w:sz="4" w:space="0" w:color="D2232A"/>
              <w:left w:val="single" w:sz="4" w:space="0" w:color="D2232A"/>
              <w:bottom w:val="single" w:sz="4" w:space="0" w:color="D2232A"/>
              <w:right w:val="single" w:sz="4" w:space="0" w:color="D2232A"/>
            </w:tcBorders>
          </w:tcPr>
          <w:p w14:paraId="3FAB2FAB" w14:textId="77777777" w:rsidR="00677DCE" w:rsidRPr="00F264F0" w:rsidRDefault="007D617C">
            <w:pPr>
              <w:pStyle w:val="ECCTabletext"/>
              <w:rPr>
                <w:rFonts w:cs="Arial"/>
                <w:szCs w:val="20"/>
              </w:rPr>
            </w:pPr>
            <w:r w:rsidRPr="00F264F0">
              <w:rPr>
                <w:rFonts w:cs="Arial"/>
                <w:szCs w:val="20"/>
              </w:rPr>
              <w:t>00° 02′ 20″ E</w:t>
            </w:r>
          </w:p>
        </w:tc>
      </w:tr>
    </w:tbl>
    <w:p w14:paraId="46975EF7" w14:textId="77777777" w:rsidR="00677DCE" w:rsidRPr="00F264F0" w:rsidRDefault="007D617C" w:rsidP="00666BDF">
      <w:pPr>
        <w:pStyle w:val="Heading2"/>
        <w:rPr>
          <w:lang w:val="en-GB"/>
        </w:rPr>
      </w:pPr>
      <w:bookmarkStart w:id="18" w:name="_Toc107559538"/>
      <w:bookmarkStart w:id="19" w:name="_Toc119577647"/>
      <w:r w:rsidRPr="00F264F0">
        <w:rPr>
          <w:lang w:val="en-GB"/>
        </w:rPr>
        <w:t>FSS</w:t>
      </w:r>
      <w:bookmarkEnd w:id="18"/>
      <w:bookmarkEnd w:id="19"/>
      <w:r w:rsidRPr="00F264F0">
        <w:rPr>
          <w:lang w:val="en-GB"/>
        </w:rPr>
        <w:t xml:space="preserve"> </w:t>
      </w:r>
    </w:p>
    <w:p w14:paraId="38230C0A" w14:textId="71BAB63A" w:rsidR="00677DCE" w:rsidRPr="00F264F0" w:rsidRDefault="007D617C" w:rsidP="00126067">
      <w:pPr>
        <w:spacing w:before="240" w:after="60"/>
        <w:jc w:val="both"/>
        <w:rPr>
          <w:szCs w:val="20"/>
          <w:lang w:val="en-GB"/>
        </w:rPr>
      </w:pPr>
      <w:r w:rsidRPr="00F264F0">
        <w:rPr>
          <w:rFonts w:cs="Arial"/>
          <w:szCs w:val="20"/>
          <w:lang w:val="en-GB"/>
        </w:rPr>
        <w:t>The frequency band 40.5-43.5 GHz is part of the generally known “Q/V band” (Q/V band also includes 37.5</w:t>
      </w:r>
      <w:r w:rsidR="002D050E" w:rsidRPr="00F264F0">
        <w:rPr>
          <w:rFonts w:cs="Arial"/>
          <w:szCs w:val="20"/>
          <w:lang w:val="en-GB"/>
        </w:rPr>
        <w:t> </w:t>
      </w:r>
      <w:r w:rsidRPr="00F264F0">
        <w:rPr>
          <w:rFonts w:cs="Arial"/>
          <w:szCs w:val="20"/>
          <w:lang w:val="en-GB"/>
        </w:rPr>
        <w:t>-</w:t>
      </w:r>
      <w:r w:rsidR="002D050E" w:rsidRPr="00F264F0">
        <w:rPr>
          <w:rFonts w:cs="Arial"/>
          <w:szCs w:val="20"/>
          <w:lang w:val="en-GB"/>
        </w:rPr>
        <w:t> </w:t>
      </w:r>
      <w:r w:rsidRPr="00F264F0">
        <w:rPr>
          <w:rFonts w:cs="Arial"/>
          <w:szCs w:val="20"/>
          <w:lang w:val="en-GB"/>
        </w:rPr>
        <w:t>47</w:t>
      </w:r>
      <w:r w:rsidR="002D050E" w:rsidRPr="00F264F0">
        <w:rPr>
          <w:rFonts w:cs="Arial"/>
          <w:szCs w:val="20"/>
          <w:lang w:val="en-GB"/>
        </w:rPr>
        <w:t> </w:t>
      </w:r>
      <w:r w:rsidRPr="00F264F0">
        <w:rPr>
          <w:rFonts w:cs="Arial"/>
          <w:szCs w:val="20"/>
          <w:lang w:val="en-GB"/>
        </w:rPr>
        <w:t xml:space="preserve">GHz, 47.2-50.2 GHz and 50.4-52.4 GHz). Many satellite operators have already launched or are developing systems that will use the Q/V band allocations in the near future including in Europe and some </w:t>
      </w:r>
      <w:r w:rsidRPr="00F264F0">
        <w:rPr>
          <w:rFonts w:cs="Arial"/>
          <w:szCs w:val="20"/>
          <w:lang w:val="en-GB"/>
        </w:rPr>
        <w:lastRenderedPageBreak/>
        <w:t>operators have already obtained authorisations in other regions. Earth stations operating with GSO and non-GSO satellites are planned for these bands.</w:t>
      </w:r>
    </w:p>
    <w:p w14:paraId="33919B19" w14:textId="22EDC695" w:rsidR="00677DCE" w:rsidRPr="00F264F0" w:rsidRDefault="007D617C" w:rsidP="00126067">
      <w:pPr>
        <w:spacing w:before="240" w:after="60" w:line="259" w:lineRule="auto"/>
        <w:jc w:val="both"/>
        <w:rPr>
          <w:rFonts w:cs="Arial"/>
          <w:szCs w:val="20"/>
          <w:lang w:val="en-GB"/>
        </w:rPr>
      </w:pPr>
      <w:r w:rsidRPr="00F264F0">
        <w:rPr>
          <w:rFonts w:cs="Arial"/>
          <w:szCs w:val="20"/>
          <w:lang w:val="en-GB"/>
        </w:rPr>
        <w:t>Therefore, the satellite users will need access to spectrum for gateway stations and for terminals. There are plans for gateway earth stations use which implies the need for access to large amounts of spectrum required for feeder links. There are also future plans for the introduction of user terminals including mobile terminals (e.g. using phased array antennas).</w:t>
      </w:r>
    </w:p>
    <w:p w14:paraId="73F7E226" w14:textId="77777777" w:rsidR="00677DCE" w:rsidRPr="00F264F0" w:rsidRDefault="007D617C" w:rsidP="00126067">
      <w:pPr>
        <w:spacing w:before="240" w:after="60" w:line="259" w:lineRule="auto"/>
        <w:jc w:val="both"/>
        <w:rPr>
          <w:rFonts w:cs="Arial"/>
          <w:szCs w:val="20"/>
          <w:lang w:val="en-GB"/>
        </w:rPr>
      </w:pPr>
      <w:r w:rsidRPr="00F264F0">
        <w:rPr>
          <w:rFonts w:cs="Arial"/>
          <w:szCs w:val="20"/>
          <w:lang w:val="en-GB"/>
        </w:rPr>
        <w:t>The frequency band 40.5-42.5 GHz is allocated to the FSS in the space-to-Earth direction and to the BSS. The interest in this band in Europe is primarily for receiving gateway FSS earth stations where a relatively limited number of stations is needed, which are feasible to operate on a shared basis with terrestrial services.</w:t>
      </w:r>
    </w:p>
    <w:p w14:paraId="07ABC45E" w14:textId="77777777" w:rsidR="00677DCE" w:rsidRPr="00F264F0" w:rsidRDefault="007D617C" w:rsidP="00126067">
      <w:pPr>
        <w:spacing w:before="240" w:after="60"/>
        <w:jc w:val="both"/>
        <w:rPr>
          <w:szCs w:val="20"/>
          <w:lang w:val="en-GB"/>
        </w:rPr>
      </w:pPr>
      <w:r w:rsidRPr="00F264F0">
        <w:rPr>
          <w:szCs w:val="20"/>
          <w:lang w:val="en-GB"/>
        </w:rPr>
        <w:t xml:space="preserve">The </w:t>
      </w:r>
      <w:r w:rsidRPr="00F264F0">
        <w:rPr>
          <w:rFonts w:cs="Arial"/>
          <w:szCs w:val="20"/>
          <w:lang w:val="en-GB"/>
        </w:rPr>
        <w:t xml:space="preserve">frequency </w:t>
      </w:r>
      <w:r w:rsidRPr="00F264F0">
        <w:rPr>
          <w:szCs w:val="20"/>
          <w:lang w:val="en-GB"/>
        </w:rPr>
        <w:t xml:space="preserve">band 42.5-43.5 GHz is allocated to the FSS in the Earth-to-space direction. The interest in this band in Europe is primarily for transmitting gateway FSS earth stations, which are feasible to operate on a shared basis with terrestrial services. For this </w:t>
      </w:r>
      <w:r w:rsidRPr="00F264F0">
        <w:rPr>
          <w:rFonts w:cs="Arial"/>
          <w:szCs w:val="20"/>
          <w:lang w:val="en-GB"/>
        </w:rPr>
        <w:t xml:space="preserve">frequency </w:t>
      </w:r>
      <w:r w:rsidRPr="00F264F0">
        <w:rPr>
          <w:szCs w:val="20"/>
          <w:lang w:val="en-GB"/>
        </w:rPr>
        <w:t>band, there are also satellite space station receivers planned, for which studies have shown that sharing is feasible.</w:t>
      </w:r>
    </w:p>
    <w:p w14:paraId="00C7E379" w14:textId="4E774DDE" w:rsidR="00677DCE" w:rsidRPr="00F264F0" w:rsidRDefault="007D617C" w:rsidP="00126067">
      <w:pPr>
        <w:pStyle w:val="ECCParagraph"/>
      </w:pPr>
      <w:r w:rsidRPr="00F264F0">
        <w:t xml:space="preserve">CEPT updated the FSS framework in the 40.5-43.5 GHz band accordingly (revision of ECC Decision (02)04 </w:t>
      </w:r>
      <w:r w:rsidR="0061228C" w:rsidRPr="00F264F0">
        <w:fldChar w:fldCharType="begin"/>
      </w:r>
      <w:r w:rsidR="0061228C" w:rsidRPr="00F264F0">
        <w:instrText xml:space="preserve"> REF _Ref103957616 \r \h </w:instrText>
      </w:r>
      <w:r w:rsidR="002D133F" w:rsidRPr="00F264F0">
        <w:instrText xml:space="preserve"> \* MERGEFORMAT </w:instrText>
      </w:r>
      <w:r w:rsidR="0061228C" w:rsidRPr="00F264F0">
        <w:fldChar w:fldCharType="separate"/>
      </w:r>
      <w:r w:rsidR="006B156B" w:rsidRPr="00F264F0">
        <w:t>[11]</w:t>
      </w:r>
      <w:r w:rsidR="0061228C" w:rsidRPr="00F264F0">
        <w:fldChar w:fldCharType="end"/>
      </w:r>
      <w:r w:rsidR="00726A7A" w:rsidRPr="00F264F0">
        <w:t>)</w:t>
      </w:r>
      <w:r w:rsidR="0061228C" w:rsidRPr="00F264F0">
        <w:t xml:space="preserve"> </w:t>
      </w:r>
      <w:r w:rsidRPr="00F264F0">
        <w:t xml:space="preserve">and developed guidelines (ECC </w:t>
      </w:r>
      <w:r w:rsidR="00C937C8" w:rsidRPr="00F264F0">
        <w:t>R</w:t>
      </w:r>
      <w:r w:rsidRPr="00F264F0">
        <w:t>ecommendation (22)</w:t>
      </w:r>
      <w:r w:rsidR="00E90106" w:rsidRPr="00F264F0">
        <w:t>01</w:t>
      </w:r>
      <w:r w:rsidR="00726A7A" w:rsidRPr="00F264F0">
        <w:t>)</w:t>
      </w:r>
      <w:r w:rsidRPr="00F264F0">
        <w:t xml:space="preserve"> </w:t>
      </w:r>
      <w:r w:rsidR="0068076B" w:rsidRPr="00F264F0">
        <w:fldChar w:fldCharType="begin"/>
      </w:r>
      <w:r w:rsidR="0068076B" w:rsidRPr="00F264F0">
        <w:instrText xml:space="preserve"> REF _Ref103332798 \r \h </w:instrText>
      </w:r>
      <w:r w:rsidR="002D133F" w:rsidRPr="00F264F0">
        <w:instrText xml:space="preserve"> \* MERGEFORMAT </w:instrText>
      </w:r>
      <w:r w:rsidR="0068076B" w:rsidRPr="00F264F0">
        <w:fldChar w:fldCharType="separate"/>
      </w:r>
      <w:r w:rsidR="006B156B" w:rsidRPr="00F264F0">
        <w:t>[1]</w:t>
      </w:r>
      <w:r w:rsidR="0068076B" w:rsidRPr="00F264F0">
        <w:fldChar w:fldCharType="end"/>
      </w:r>
      <w:r w:rsidRPr="00F264F0">
        <w:t xml:space="preserve"> to ensure in a proportionate way</w:t>
      </w:r>
      <w:r w:rsidR="00C937C8" w:rsidRPr="00F264F0">
        <w:t>:</w:t>
      </w:r>
    </w:p>
    <w:p w14:paraId="0F6E3CDA" w14:textId="2D91DEC4" w:rsidR="00677DCE" w:rsidRPr="00F264F0" w:rsidRDefault="007D617C" w:rsidP="00515890">
      <w:pPr>
        <w:pStyle w:val="ListParagraph"/>
        <w:numPr>
          <w:ilvl w:val="0"/>
          <w:numId w:val="48"/>
        </w:numPr>
        <w:spacing w:before="60" w:after="60"/>
        <w:ind w:left="357" w:hanging="357"/>
        <w:rPr>
          <w:lang w:val="en-GB"/>
        </w:rPr>
      </w:pPr>
      <w:r w:rsidRPr="00F264F0">
        <w:rPr>
          <w:lang w:val="en-GB"/>
        </w:rPr>
        <w:t>the use of FSS receiving earth stations in the frequency band 40.5-42.5 GHz</w:t>
      </w:r>
      <w:r w:rsidR="00C937C8" w:rsidRPr="00F264F0">
        <w:rPr>
          <w:lang w:val="en-GB"/>
        </w:rPr>
        <w:t>;</w:t>
      </w:r>
    </w:p>
    <w:p w14:paraId="13212AE6" w14:textId="06DDD873" w:rsidR="00677DCE" w:rsidRPr="00F264F0" w:rsidRDefault="007D617C" w:rsidP="00515890">
      <w:pPr>
        <w:pStyle w:val="ListParagraph"/>
        <w:numPr>
          <w:ilvl w:val="0"/>
          <w:numId w:val="48"/>
        </w:numPr>
        <w:spacing w:before="60" w:after="60"/>
        <w:ind w:left="357" w:hanging="357"/>
        <w:rPr>
          <w:lang w:val="en-GB"/>
        </w:rPr>
      </w:pPr>
      <w:r w:rsidRPr="00F264F0">
        <w:rPr>
          <w:lang w:val="en-GB"/>
        </w:rPr>
        <w:t>the use of FSS transmitting earth stations in the frequency band 42.5-43.5</w:t>
      </w:r>
      <w:r w:rsidR="006E3C4D" w:rsidRPr="00F264F0">
        <w:rPr>
          <w:lang w:val="en-GB"/>
        </w:rPr>
        <w:t xml:space="preserve"> </w:t>
      </w:r>
      <w:r w:rsidRPr="00F264F0">
        <w:rPr>
          <w:lang w:val="en-GB"/>
        </w:rPr>
        <w:t>GHz</w:t>
      </w:r>
      <w:r w:rsidR="00C937C8" w:rsidRPr="00F264F0">
        <w:rPr>
          <w:lang w:val="en-GB"/>
        </w:rPr>
        <w:t>;</w:t>
      </w:r>
    </w:p>
    <w:p w14:paraId="7A778544" w14:textId="77777777" w:rsidR="00677DCE" w:rsidRPr="00F264F0" w:rsidRDefault="007D617C" w:rsidP="00515890">
      <w:pPr>
        <w:pStyle w:val="ListParagraph"/>
        <w:numPr>
          <w:ilvl w:val="0"/>
          <w:numId w:val="48"/>
        </w:numPr>
        <w:spacing w:before="60" w:after="60"/>
        <w:ind w:left="357" w:hanging="357"/>
        <w:rPr>
          <w:lang w:val="en-GB"/>
        </w:rPr>
      </w:pPr>
      <w:r w:rsidRPr="00F264F0">
        <w:rPr>
          <w:lang w:val="en-GB"/>
        </w:rPr>
        <w:t>the possibility for future deployment of these earth stations.</w:t>
      </w:r>
    </w:p>
    <w:p w14:paraId="564083BD" w14:textId="77777777" w:rsidR="00677DCE" w:rsidRPr="00F264F0" w:rsidRDefault="007D617C" w:rsidP="00666BDF">
      <w:pPr>
        <w:pStyle w:val="Heading2"/>
        <w:rPr>
          <w:lang w:val="en-GB"/>
        </w:rPr>
      </w:pPr>
      <w:bookmarkStart w:id="20" w:name="_Toc107559539"/>
      <w:bookmarkStart w:id="21" w:name="_Toc119577648"/>
      <w:r w:rsidRPr="00F264F0">
        <w:rPr>
          <w:lang w:val="en-GB"/>
        </w:rPr>
        <w:t>FSS and MSS adjacent band use</w:t>
      </w:r>
      <w:bookmarkEnd w:id="20"/>
      <w:bookmarkEnd w:id="21"/>
    </w:p>
    <w:p w14:paraId="3CBCA00F" w14:textId="745D7926" w:rsidR="003F177C" w:rsidRPr="00F264F0" w:rsidRDefault="007D617C">
      <w:pPr>
        <w:spacing w:before="240" w:after="60"/>
        <w:jc w:val="both"/>
        <w:rPr>
          <w:lang w:val="en-GB"/>
        </w:rPr>
      </w:pPr>
      <w:r w:rsidRPr="00F264F0">
        <w:rPr>
          <w:lang w:val="en-GB"/>
        </w:rPr>
        <w:t xml:space="preserve">The band 39.5-40.5 GHz is allocated to the FSS and the MSS, both services in the space-to-Earth direction and is subject to a relevant designation within CEPT for the usage of coordinated and uncoordinated FSS </w:t>
      </w:r>
      <w:r w:rsidR="00E43E9B" w:rsidRPr="00F264F0">
        <w:rPr>
          <w:lang w:val="en-GB"/>
        </w:rPr>
        <w:t>e</w:t>
      </w:r>
      <w:r w:rsidRPr="00F264F0">
        <w:rPr>
          <w:lang w:val="en-GB"/>
        </w:rPr>
        <w:t>arth stations (see revised ERC Decision (00)02</w:t>
      </w:r>
      <w:r w:rsidR="00B3183A" w:rsidRPr="00F264F0">
        <w:rPr>
          <w:lang w:val="en-GB"/>
        </w:rPr>
        <w:t xml:space="preserve"> </w:t>
      </w:r>
      <w:r w:rsidR="00086450" w:rsidRPr="00F264F0">
        <w:rPr>
          <w:lang w:val="en-GB"/>
        </w:rPr>
        <w:fldChar w:fldCharType="begin"/>
      </w:r>
      <w:r w:rsidR="00086450" w:rsidRPr="00F264F0">
        <w:rPr>
          <w:lang w:val="en-GB"/>
        </w:rPr>
        <w:instrText xml:space="preserve"> REF _Ref104795861 \r \h </w:instrText>
      </w:r>
      <w:r w:rsidR="002D133F" w:rsidRPr="00F264F0">
        <w:rPr>
          <w:lang w:val="en-GB"/>
        </w:rPr>
        <w:instrText xml:space="preserve"> \* MERGEFORMAT </w:instrText>
      </w:r>
      <w:r w:rsidR="00086450" w:rsidRPr="00F264F0">
        <w:rPr>
          <w:lang w:val="en-GB"/>
        </w:rPr>
      </w:r>
      <w:r w:rsidR="00086450" w:rsidRPr="00F264F0">
        <w:rPr>
          <w:lang w:val="en-GB"/>
        </w:rPr>
        <w:fldChar w:fldCharType="separate"/>
      </w:r>
      <w:r w:rsidR="006B156B" w:rsidRPr="00F264F0">
        <w:rPr>
          <w:lang w:val="en-GB"/>
        </w:rPr>
        <w:t>[12]</w:t>
      </w:r>
      <w:r w:rsidR="00086450" w:rsidRPr="00F264F0">
        <w:rPr>
          <w:lang w:val="en-GB"/>
        </w:rPr>
        <w:fldChar w:fldCharType="end"/>
      </w:r>
      <w:r w:rsidRPr="00F264F0">
        <w:rPr>
          <w:lang w:val="en-GB"/>
        </w:rPr>
        <w:t xml:space="preserve">). CEPT has retained this framework </w:t>
      </w:r>
      <w:r w:rsidR="008B02FC" w:rsidRPr="00F264F0">
        <w:rPr>
          <w:lang w:val="en-GB"/>
        </w:rPr>
        <w:t xml:space="preserve">for FSS </w:t>
      </w:r>
      <w:r w:rsidR="00E43E9B" w:rsidRPr="00F264F0">
        <w:rPr>
          <w:lang w:val="en-GB"/>
        </w:rPr>
        <w:t>e</w:t>
      </w:r>
      <w:r w:rsidR="008B02FC" w:rsidRPr="00F264F0">
        <w:rPr>
          <w:lang w:val="en-GB"/>
        </w:rPr>
        <w:t xml:space="preserve">arth stations </w:t>
      </w:r>
      <w:r w:rsidRPr="00F264F0">
        <w:rPr>
          <w:lang w:val="en-GB"/>
        </w:rPr>
        <w:t>and designate</w:t>
      </w:r>
      <w:r w:rsidR="008B02FC" w:rsidRPr="00F264F0">
        <w:rPr>
          <w:lang w:val="en-GB"/>
        </w:rPr>
        <w:t>d</w:t>
      </w:r>
      <w:r w:rsidRPr="00F264F0">
        <w:rPr>
          <w:lang w:val="en-GB"/>
        </w:rPr>
        <w:t xml:space="preserve"> the band for MSS earth stations (space-to-Earth).</w:t>
      </w:r>
    </w:p>
    <w:p w14:paraId="3039664A" w14:textId="0C97EBD3" w:rsidR="00677DCE" w:rsidRPr="00F264F0" w:rsidRDefault="007D617C">
      <w:pPr>
        <w:spacing w:before="240" w:after="60"/>
        <w:jc w:val="both"/>
        <w:rPr>
          <w:lang w:val="en-GB"/>
        </w:rPr>
      </w:pPr>
      <w:r w:rsidRPr="00F264F0">
        <w:rPr>
          <w:lang w:val="en-GB"/>
        </w:rPr>
        <w:t>The band 43.5-45.5 GHz is allocated to the MSS without limitation to direction</w:t>
      </w:r>
      <w:r w:rsidR="00C125B5" w:rsidRPr="00F264F0">
        <w:rPr>
          <w:lang w:val="en-GB"/>
        </w:rPr>
        <w:t>,</w:t>
      </w:r>
      <w:r w:rsidRPr="00F264F0">
        <w:rPr>
          <w:lang w:val="en-GB"/>
        </w:rPr>
        <w:t xml:space="preserve"> and </w:t>
      </w:r>
      <w:r w:rsidR="00C125B5" w:rsidRPr="00F264F0">
        <w:rPr>
          <w:lang w:val="en-GB"/>
        </w:rPr>
        <w:t xml:space="preserve">it </w:t>
      </w:r>
      <w:r w:rsidRPr="00F264F0">
        <w:rPr>
          <w:lang w:val="en-GB"/>
        </w:rPr>
        <w:t>is currently assumed to be used by Earth-to-space direction only.</w:t>
      </w:r>
    </w:p>
    <w:p w14:paraId="2515E70C" w14:textId="1050D5CD" w:rsidR="00677DCE" w:rsidRPr="00F264F0" w:rsidRDefault="007D617C">
      <w:pPr>
        <w:spacing w:before="240" w:after="60"/>
        <w:jc w:val="both"/>
        <w:rPr>
          <w:lang w:val="en-GB"/>
        </w:rPr>
      </w:pPr>
      <w:r w:rsidRPr="00F264F0">
        <w:rPr>
          <w:lang w:val="en-GB"/>
        </w:rPr>
        <w:t>The band 39.5-40.5 GHz is expected to be used by coordinated receiving FSS earth stations, for which the location of such stations is known. The band is also expected to be used by uncoordinated receiving earth stations, whether FSS or MSS</w:t>
      </w:r>
      <w:r w:rsidR="003F177C" w:rsidRPr="00F264F0">
        <w:rPr>
          <w:lang w:val="en-GB"/>
        </w:rPr>
        <w:t>,</w:t>
      </w:r>
      <w:r w:rsidRPr="00F264F0">
        <w:rPr>
          <w:lang w:val="en-GB"/>
        </w:rPr>
        <w:t xml:space="preserve"> for which the location of the stations is not known.</w:t>
      </w:r>
    </w:p>
    <w:p w14:paraId="544D79BF" w14:textId="403A53A4" w:rsidR="00677DCE" w:rsidRPr="00F264F0" w:rsidRDefault="007D617C">
      <w:pPr>
        <w:pStyle w:val="ECCParagraph"/>
      </w:pPr>
      <w:r w:rsidRPr="00F264F0">
        <w:t xml:space="preserve">When drafting this </w:t>
      </w:r>
      <w:r w:rsidR="003F177C" w:rsidRPr="00F264F0">
        <w:t>R</w:t>
      </w:r>
      <w:r w:rsidRPr="00F264F0">
        <w:t xml:space="preserve">eport, both GSO and NGSO systems have been considered in dense urban and urban scenarios. In </w:t>
      </w:r>
      <w:r w:rsidR="00246A46" w:rsidRPr="00F264F0">
        <w:t xml:space="preserve">the </w:t>
      </w:r>
      <w:r w:rsidRPr="00F264F0">
        <w:t>suburban scenario</w:t>
      </w:r>
      <w:r w:rsidR="00321283" w:rsidRPr="00F264F0">
        <w:t>,</w:t>
      </w:r>
      <w:r w:rsidRPr="00F264F0">
        <w:t xml:space="preserve"> CEPT studied GSO FSS earth stations.</w:t>
      </w:r>
    </w:p>
    <w:p w14:paraId="4AE3BD24" w14:textId="40FDAD73" w:rsidR="00677DCE" w:rsidRPr="00F264F0" w:rsidRDefault="007D617C">
      <w:pPr>
        <w:pStyle w:val="ECCParagraph"/>
      </w:pPr>
      <w:r w:rsidRPr="00F264F0">
        <w:t>CEPT developed</w:t>
      </w:r>
      <w:r w:rsidR="0087357E" w:rsidRPr="00F264F0">
        <w:t xml:space="preserve"> guidelines on</w:t>
      </w:r>
      <w:r w:rsidRPr="00F264F0">
        <w:t xml:space="preserve"> measures to facilitate coexistence between WBB ECS in 40.5-43.5 GHz and receiving FSS earth stations in 39.5-40.5 GHz (see ECC </w:t>
      </w:r>
      <w:r w:rsidR="00BC2875" w:rsidRPr="00F264F0">
        <w:t>Recommendation</w:t>
      </w:r>
      <w:r w:rsidR="003F177C" w:rsidRPr="00F264F0">
        <w:t xml:space="preserve"> (22)</w:t>
      </w:r>
      <w:r w:rsidR="00E90106" w:rsidRPr="00F264F0">
        <w:t>02</w:t>
      </w:r>
      <w:r w:rsidR="00246A46" w:rsidRPr="00F264F0">
        <w:t xml:space="preserve"> </w:t>
      </w:r>
      <w:r w:rsidR="00246A46" w:rsidRPr="00F264F0">
        <w:fldChar w:fldCharType="begin"/>
      </w:r>
      <w:r w:rsidR="00246A46" w:rsidRPr="00F264F0">
        <w:instrText xml:space="preserve"> REF _Ref103341333 \r \h </w:instrText>
      </w:r>
      <w:r w:rsidR="002D133F" w:rsidRPr="00F264F0">
        <w:instrText xml:space="preserve"> \* MERGEFORMAT </w:instrText>
      </w:r>
      <w:r w:rsidR="00246A46" w:rsidRPr="00F264F0">
        <w:fldChar w:fldCharType="separate"/>
      </w:r>
      <w:r w:rsidR="006B156B" w:rsidRPr="00F264F0">
        <w:t>[2]</w:t>
      </w:r>
      <w:r w:rsidR="00246A46" w:rsidRPr="00F264F0">
        <w:fldChar w:fldCharType="end"/>
      </w:r>
      <w:r w:rsidRPr="00F264F0">
        <w:t>) including possible measures to be included in authorisation regimes.</w:t>
      </w:r>
    </w:p>
    <w:p w14:paraId="1DDBDA22" w14:textId="77777777" w:rsidR="00677DCE" w:rsidRPr="00F264F0" w:rsidRDefault="007D617C" w:rsidP="00F81BE1">
      <w:pPr>
        <w:pStyle w:val="Heading1"/>
      </w:pPr>
      <w:bookmarkStart w:id="22" w:name="_Toc107559540"/>
      <w:bookmarkStart w:id="23" w:name="_Toc119577649"/>
      <w:r w:rsidRPr="00F264F0">
        <w:lastRenderedPageBreak/>
        <w:t>WBB ECS CHARACTERISTICS</w:t>
      </w:r>
      <w:bookmarkEnd w:id="22"/>
      <w:bookmarkEnd w:id="23"/>
    </w:p>
    <w:p w14:paraId="164C0BD7" w14:textId="77777777" w:rsidR="00677DCE" w:rsidRPr="00F264F0" w:rsidRDefault="007D617C" w:rsidP="00666BDF">
      <w:pPr>
        <w:pStyle w:val="Heading2"/>
        <w:rPr>
          <w:lang w:val="en-GB"/>
        </w:rPr>
      </w:pPr>
      <w:bookmarkStart w:id="24" w:name="_Ref62140059"/>
      <w:bookmarkStart w:id="25" w:name="_Toc107559541"/>
      <w:bookmarkStart w:id="26" w:name="_Toc119577650"/>
      <w:r w:rsidRPr="00F264F0">
        <w:rPr>
          <w:lang w:val="en-GB"/>
        </w:rPr>
        <w:t>WBB ECS Usage Scenarios in 40.5-43.5 GHz</w:t>
      </w:r>
      <w:bookmarkEnd w:id="24"/>
      <w:bookmarkEnd w:id="25"/>
      <w:bookmarkEnd w:id="26"/>
    </w:p>
    <w:p w14:paraId="7E6F0780" w14:textId="38E1F3B3" w:rsidR="00677DCE" w:rsidRPr="00F264F0" w:rsidRDefault="007D617C" w:rsidP="00BC2875">
      <w:pPr>
        <w:pStyle w:val="ECCParagraph"/>
      </w:pPr>
      <w:r w:rsidRPr="00F264F0">
        <w:t>A progressive introduction of 5G services in 40.5-43.5 GHz is foreseen in Europe.</w:t>
      </w:r>
    </w:p>
    <w:p w14:paraId="047FB5E3" w14:textId="676E2E10" w:rsidR="00677DCE" w:rsidRPr="00F264F0" w:rsidRDefault="007D617C" w:rsidP="00BC2875">
      <w:pPr>
        <w:pStyle w:val="ECCParagraph"/>
      </w:pPr>
      <w:r w:rsidRPr="00F264F0">
        <w:t>In the 40.5-43.5 GHz band, WBB ECS is intended to support mainly hotspots in urban and suburban areas. The deployment of WBB ECS is expected to target only cells with a small range. Due to the characteristics of this frequency band, there is no expectation that it will be used for contiguous wide/nationwide coverage of WBB ECS networks areas. There may be a need for a limited number of hotspots in rural areas. WBB ECS networks at 40 GHz could be deployed indoor and outdoor. Virtually no WBB ECS deployment is expected in the 40 GHz band in rural areas and therefore this scenario has not been studied in this Report.</w:t>
      </w:r>
    </w:p>
    <w:p w14:paraId="327166A9" w14:textId="77777777" w:rsidR="00677DCE" w:rsidRPr="00F264F0" w:rsidRDefault="007D617C" w:rsidP="00BC2875">
      <w:pPr>
        <w:pStyle w:val="ECCParagraph"/>
      </w:pPr>
      <w:r w:rsidRPr="00F264F0">
        <w:t>It has been assumed, when developing the attached harmonised technical conditions that WBB ECS base stations will operate under an authorisation regime where locations are known.</w:t>
      </w:r>
    </w:p>
    <w:p w14:paraId="437C26C7" w14:textId="7E05674B" w:rsidR="00677DCE" w:rsidRPr="00F264F0" w:rsidRDefault="007D617C" w:rsidP="00126067">
      <w:pPr>
        <w:pStyle w:val="ECCParagraph"/>
      </w:pPr>
      <w:r w:rsidRPr="00F264F0">
        <w:t xml:space="preserve">CEPT intends to assess the evolution of WBB ECS system characteristics, including network deployments, in a </w:t>
      </w:r>
      <w:r w:rsidR="00B0782F" w:rsidRPr="00F264F0">
        <w:t>three</w:t>
      </w:r>
      <w:r w:rsidR="00CC3695" w:rsidRPr="00F264F0">
        <w:t>-year</w:t>
      </w:r>
      <w:r w:rsidRPr="00F264F0">
        <w:t xml:space="preserve"> timeline (or earlier if needed), so as to be able to provide additional confidence that such evolution will continue to ensure the adequate protection of other services, in particular space services.</w:t>
      </w:r>
    </w:p>
    <w:p w14:paraId="4EC76ED5" w14:textId="77777777" w:rsidR="00677DCE" w:rsidRPr="00F264F0" w:rsidRDefault="007D617C" w:rsidP="00BC2875">
      <w:pPr>
        <w:pStyle w:val="ECCParagraph"/>
      </w:pPr>
      <w:r w:rsidRPr="00F264F0">
        <w:t>In addition, the harmonised technical conditions include a general provision requiring that outdoor base station deployments shall ensure that the antenna beam is normally below the horizon and outdoor base station shall not have mechanical pointing above the horizon. This would help to prevent 5G base stations with antenna pointing directly towards the sky which, in case there are many such deployments, would significantly increase the interference potential to FSS.</w:t>
      </w:r>
    </w:p>
    <w:p w14:paraId="53F3BC6A" w14:textId="52A807F1" w:rsidR="00677DCE" w:rsidRPr="00F264F0" w:rsidRDefault="007D617C" w:rsidP="00BC2875">
      <w:pPr>
        <w:pStyle w:val="ECCParagraph"/>
      </w:pPr>
      <w:r w:rsidRPr="00F264F0">
        <w:t xml:space="preserve">During the development of this </w:t>
      </w:r>
      <w:r w:rsidR="008112E6" w:rsidRPr="00F264F0">
        <w:t>R</w:t>
      </w:r>
      <w:r w:rsidRPr="00F264F0">
        <w:t xml:space="preserve">eport, it was noted that various high </w:t>
      </w:r>
      <w:proofErr w:type="gramStart"/>
      <w:r w:rsidR="00681B9E" w:rsidRPr="00F264F0">
        <w:t>bit-</w:t>
      </w:r>
      <w:r w:rsidRPr="00F264F0">
        <w:t>rate</w:t>
      </w:r>
      <w:proofErr w:type="gramEnd"/>
      <w:r w:rsidRPr="00F264F0">
        <w:t xml:space="preserve"> WBB ECS aerial UE applications might use this band or parts of the band in the future in some countries. However</w:t>
      </w:r>
      <w:r w:rsidR="008D5B27" w:rsidRPr="00F264F0">
        <w:t>,</w:t>
      </w:r>
      <w:r w:rsidRPr="00F264F0">
        <w:t xml:space="preserve"> the connectivity from aerial UE to ground BS may have an impact, e.g. on separation distance from RAS stations and FSS earth stations and coexistence with adjacent band services. It should further be noted that the proposed WBB ECS framework in this Report requires </w:t>
      </w:r>
      <w:r w:rsidR="00C02D8C" w:rsidRPr="00F264F0">
        <w:t xml:space="preserve">a </w:t>
      </w:r>
      <w:r w:rsidRPr="00F264F0">
        <w:t>limitation on antenna pointing above the horizon reducing opportunity for aerial UE applications. Before possible aerial UE usage in the band</w:t>
      </w:r>
      <w:r w:rsidR="00E413ED" w:rsidRPr="00F264F0">
        <w:t>,</w:t>
      </w:r>
      <w:r w:rsidRPr="00F264F0">
        <w:t xml:space="preserve"> studies would be required. Currently no studies have been performed for aerial UE in this band or part of the band.</w:t>
      </w:r>
    </w:p>
    <w:p w14:paraId="489022F2" w14:textId="77777777" w:rsidR="00677DCE" w:rsidRPr="00F264F0" w:rsidRDefault="007D617C" w:rsidP="00666BDF">
      <w:pPr>
        <w:pStyle w:val="Heading2"/>
        <w:rPr>
          <w:lang w:val="en-GB"/>
        </w:rPr>
      </w:pPr>
      <w:bookmarkStart w:id="27" w:name="_Toc169249169"/>
      <w:bookmarkStart w:id="28" w:name="_Toc107559542"/>
      <w:bookmarkStart w:id="29" w:name="_Toc119577651"/>
      <w:r w:rsidRPr="00F264F0">
        <w:rPr>
          <w:lang w:val="en-GB"/>
        </w:rPr>
        <w:t>WBB ECS Parameters Used in Sharing Studies</w:t>
      </w:r>
      <w:bookmarkEnd w:id="27"/>
      <w:bookmarkEnd w:id="28"/>
      <w:bookmarkEnd w:id="29"/>
    </w:p>
    <w:p w14:paraId="5C998217" w14:textId="2B7F5FB5" w:rsidR="00677DCE" w:rsidRPr="00F264F0" w:rsidRDefault="007D617C">
      <w:pPr>
        <w:pStyle w:val="ECCParagraph"/>
      </w:pPr>
      <w:r w:rsidRPr="00F264F0">
        <w:t>The characteristics of WBB ECS systems used in the sharing studies are those used in the ITU preparatory work for WRC-19 agenda item 1.13, in particular in Recommendation ITU-R M.2101 “Modelling and simulation of IMT networks and systems in sharing and compatibility studies”</w:t>
      </w:r>
      <w:r w:rsidR="00F57500" w:rsidRPr="00F264F0">
        <w:t xml:space="preserve"> </w:t>
      </w:r>
      <w:r w:rsidR="00F57500" w:rsidRPr="00F264F0">
        <w:fldChar w:fldCharType="begin"/>
      </w:r>
      <w:r w:rsidR="00F57500" w:rsidRPr="00F264F0">
        <w:instrText xml:space="preserve"> REF _Ref103958175 \r \h </w:instrText>
      </w:r>
      <w:r w:rsidR="002D133F" w:rsidRPr="00F264F0">
        <w:instrText xml:space="preserve"> \* MERGEFORMAT </w:instrText>
      </w:r>
      <w:r w:rsidR="00F57500" w:rsidRPr="00F264F0">
        <w:fldChar w:fldCharType="separate"/>
      </w:r>
      <w:r w:rsidR="006B156B" w:rsidRPr="00F264F0">
        <w:t>[13]</w:t>
      </w:r>
      <w:r w:rsidR="00F57500" w:rsidRPr="00F264F0">
        <w:fldChar w:fldCharType="end"/>
      </w:r>
      <w:r w:rsidRPr="00F264F0">
        <w:t>.</w:t>
      </w:r>
    </w:p>
    <w:p w14:paraId="0820A6F1" w14:textId="77777777" w:rsidR="00677DCE" w:rsidRPr="00F264F0" w:rsidRDefault="007D617C" w:rsidP="00666BDF">
      <w:pPr>
        <w:pStyle w:val="Heading2"/>
        <w:rPr>
          <w:lang w:val="en-GB"/>
        </w:rPr>
      </w:pPr>
      <w:bookmarkStart w:id="30" w:name="_Toc518893551"/>
      <w:bookmarkStart w:id="31" w:name="_Toc107559543"/>
      <w:bookmarkStart w:id="32" w:name="_Toc119577652"/>
      <w:r w:rsidRPr="00F264F0">
        <w:rPr>
          <w:lang w:val="en-GB"/>
        </w:rPr>
        <w:t>Definition of Total Radiated Power (TRP)</w:t>
      </w:r>
      <w:bookmarkEnd w:id="30"/>
      <w:bookmarkEnd w:id="31"/>
      <w:bookmarkEnd w:id="32"/>
      <w:r w:rsidRPr="00F264F0">
        <w:rPr>
          <w:lang w:val="en-GB"/>
        </w:rPr>
        <w:t xml:space="preserve"> </w:t>
      </w:r>
    </w:p>
    <w:p w14:paraId="67B12552" w14:textId="77777777" w:rsidR="00677DCE" w:rsidRPr="00F264F0" w:rsidRDefault="007D617C">
      <w:pPr>
        <w:spacing w:before="240"/>
        <w:rPr>
          <w:lang w:val="en-GB"/>
        </w:rPr>
      </w:pPr>
      <w:r w:rsidRPr="00F264F0">
        <w:rPr>
          <w:lang w:val="en-GB"/>
        </w:rPr>
        <w:t>TRP is defined as the integral of the power transmitted in different directions over the entire radiation sphere as shown in the expression below.</w:t>
      </w:r>
    </w:p>
    <w:p w14:paraId="11F1965B" w14:textId="34C2FE00" w:rsidR="00677DCE" w:rsidRPr="00F264F0" w:rsidRDefault="007D617C" w:rsidP="00140646">
      <w:pPr>
        <w:spacing w:before="120" w:after="120"/>
        <w:ind w:left="720" w:hanging="720"/>
        <w:jc w:val="right"/>
        <w:rPr>
          <w:lang w:val="en-GB"/>
        </w:rPr>
      </w:pPr>
      <m:oMath>
        <m:r>
          <w:rPr>
            <w:rFonts w:ascii="Cambria Math" w:hAnsi="Cambria Math"/>
            <w:lang w:val="en-GB"/>
          </w:rPr>
          <m:t>TRP≝</m:t>
        </m:r>
        <m:f>
          <m:fPr>
            <m:ctrlPr>
              <w:rPr>
                <w:rFonts w:ascii="Cambria Math" w:hAnsi="Cambria Math"/>
                <w:lang w:val="en-GB"/>
              </w:rPr>
            </m:ctrlPr>
          </m:fPr>
          <m:num>
            <m:r>
              <w:rPr>
                <w:rFonts w:ascii="Cambria Math" w:hAnsi="Cambria Math"/>
                <w:lang w:val="en-GB"/>
              </w:rPr>
              <m:t>1</m:t>
            </m:r>
          </m:num>
          <m:den>
            <m:r>
              <w:rPr>
                <w:rFonts w:ascii="Cambria Math" w:hAnsi="Cambria Math"/>
                <w:lang w:val="en-GB"/>
              </w:rPr>
              <m:t>4π</m:t>
            </m:r>
          </m:den>
        </m:f>
        <m:nary>
          <m:naryPr>
            <m:ctrlPr>
              <w:rPr>
                <w:rFonts w:ascii="Cambria Math" w:hAnsi="Cambria Math"/>
                <w:lang w:val="en-GB"/>
              </w:rPr>
            </m:ctrlPr>
          </m:naryPr>
          <m:sub>
            <m:r>
              <w:rPr>
                <w:rFonts w:ascii="Cambria Math" w:hAnsi="Cambria Math"/>
                <w:lang w:val="en-GB"/>
              </w:rPr>
              <m:t>0</m:t>
            </m:r>
          </m:sub>
          <m:sup>
            <m:r>
              <w:rPr>
                <w:rFonts w:ascii="Cambria Math" w:hAnsi="Cambria Math"/>
                <w:lang w:val="en-GB"/>
              </w:rPr>
              <m:t>2π</m:t>
            </m:r>
          </m:sup>
          <m:e>
            <m:nary>
              <m:naryPr>
                <m:ctrlPr>
                  <w:rPr>
                    <w:rFonts w:ascii="Cambria Math" w:hAnsi="Cambria Math"/>
                    <w:lang w:val="en-GB"/>
                  </w:rPr>
                </m:ctrlPr>
              </m:naryPr>
              <m:sub>
                <m:r>
                  <w:rPr>
                    <w:rFonts w:ascii="Cambria Math" w:hAnsi="Cambria Math"/>
                    <w:lang w:val="en-GB"/>
                  </w:rPr>
                  <m:t>0</m:t>
                </m:r>
              </m:sub>
              <m:sup>
                <m:r>
                  <w:rPr>
                    <w:rFonts w:ascii="Cambria Math" w:hAnsi="Cambria Math"/>
                    <w:lang w:val="en-GB"/>
                  </w:rPr>
                  <m:t>π</m:t>
                </m:r>
              </m:sup>
              <m:e>
                <m:r>
                  <w:rPr>
                    <w:rFonts w:ascii="Cambria Math" w:hAnsi="Cambria Math"/>
                    <w:lang w:val="en-GB"/>
                  </w:rPr>
                  <m:t>P</m:t>
                </m:r>
                <m:d>
                  <m:dPr>
                    <m:ctrlPr>
                      <w:rPr>
                        <w:rFonts w:ascii="Cambria Math" w:hAnsi="Cambria Math"/>
                        <w:lang w:val="en-GB"/>
                      </w:rPr>
                    </m:ctrlPr>
                  </m:dPr>
                  <m:e>
                    <m:r>
                      <w:rPr>
                        <w:rFonts w:ascii="Cambria Math" w:hAnsi="Cambria Math"/>
                        <w:lang w:val="en-GB"/>
                      </w:rPr>
                      <m:t>θ,φ</m:t>
                    </m:r>
                  </m:e>
                </m:d>
                <m:r>
                  <w:rPr>
                    <w:rFonts w:ascii="Cambria Math" w:hAnsi="Cambria Math"/>
                    <w:lang w:val="en-GB"/>
                  </w:rPr>
                  <m:t>sin⁡</m:t>
                </m:r>
                <m:d>
                  <m:dPr>
                    <m:ctrlPr>
                      <w:rPr>
                        <w:rFonts w:ascii="Cambria Math" w:hAnsi="Cambria Math"/>
                        <w:lang w:val="en-GB"/>
                      </w:rPr>
                    </m:ctrlPr>
                  </m:dPr>
                  <m:e>
                    <m:r>
                      <w:rPr>
                        <w:rFonts w:ascii="Cambria Math" w:hAnsi="Cambria Math"/>
                        <w:lang w:val="en-GB"/>
                      </w:rPr>
                      <m:t>θ</m:t>
                    </m:r>
                  </m:e>
                </m:d>
                <m:r>
                  <w:rPr>
                    <w:rFonts w:ascii="Cambria Math" w:hAnsi="Cambria Math"/>
                    <w:lang w:val="en-GB"/>
                  </w:rPr>
                  <m:t>dθdφ</m:t>
                </m:r>
              </m:e>
            </m:nary>
          </m:e>
        </m:nary>
      </m:oMath>
      <w:r w:rsidRPr="00F264F0">
        <w:rPr>
          <w:lang w:val="en-GB"/>
        </w:rPr>
        <w:tab/>
      </w:r>
      <w:r w:rsidRPr="00F264F0">
        <w:rPr>
          <w:lang w:val="en-GB"/>
        </w:rPr>
        <w:tab/>
      </w:r>
      <w:r w:rsidRPr="00F264F0">
        <w:rPr>
          <w:lang w:val="en-GB"/>
        </w:rPr>
        <w:tab/>
      </w:r>
      <w:r w:rsidRPr="00F264F0">
        <w:rPr>
          <w:lang w:val="en-GB"/>
        </w:rPr>
        <w:tab/>
      </w:r>
      <w:r w:rsidRPr="00F264F0">
        <w:rPr>
          <w:lang w:val="en-GB"/>
        </w:rPr>
        <w:tab/>
        <w:t>(</w:t>
      </w:r>
      <w:r w:rsidRPr="00F264F0">
        <w:rPr>
          <w:lang w:val="en-GB"/>
        </w:rPr>
        <w:fldChar w:fldCharType="begin"/>
      </w:r>
      <w:r w:rsidRPr="00F264F0">
        <w:rPr>
          <w:lang w:val="en-GB"/>
        </w:rPr>
        <w:instrText>SEQ Equation \* ARABIC</w:instrText>
      </w:r>
      <w:r w:rsidRPr="00F264F0">
        <w:rPr>
          <w:lang w:val="en-GB"/>
        </w:rPr>
        <w:fldChar w:fldCharType="separate"/>
      </w:r>
      <w:r w:rsidR="006B156B" w:rsidRPr="00F264F0">
        <w:rPr>
          <w:noProof/>
          <w:lang w:val="en-GB"/>
        </w:rPr>
        <w:t>1</w:t>
      </w:r>
      <w:r w:rsidRPr="00F264F0">
        <w:rPr>
          <w:lang w:val="en-GB"/>
        </w:rPr>
        <w:fldChar w:fldCharType="end"/>
      </w:r>
      <w:r w:rsidRPr="00F264F0">
        <w:rPr>
          <w:lang w:val="en-GB"/>
        </w:rPr>
        <w:t>)</w:t>
      </w:r>
    </w:p>
    <w:p w14:paraId="7C21D32F" w14:textId="4F476536" w:rsidR="00677DCE" w:rsidRPr="00F264F0" w:rsidRDefault="00BC2875">
      <w:pPr>
        <w:spacing w:before="240"/>
        <w:rPr>
          <w:lang w:val="en-GB"/>
        </w:rPr>
      </w:pPr>
      <w:r w:rsidRPr="00F264F0">
        <w:rPr>
          <w:lang w:val="en-GB"/>
        </w:rPr>
        <w:t>W</w:t>
      </w:r>
      <w:r w:rsidR="007D617C" w:rsidRPr="00F264F0">
        <w:rPr>
          <w:lang w:val="en-GB"/>
        </w:rPr>
        <w:t>here</w:t>
      </w:r>
      <w:r w:rsidRPr="00F264F0">
        <w:rPr>
          <w:lang w:val="en-GB"/>
        </w:rPr>
        <w:t>:</w:t>
      </w:r>
    </w:p>
    <w:p w14:paraId="38AF9FC5" w14:textId="77777777" w:rsidR="00677DCE" w:rsidRPr="00F264F0" w:rsidRDefault="007D617C" w:rsidP="000A62AA">
      <w:pPr>
        <w:pStyle w:val="ECCBulletsLv1"/>
        <w:numPr>
          <w:ilvl w:val="0"/>
          <w:numId w:val="39"/>
        </w:numPr>
        <w:spacing w:after="60"/>
      </w:pPr>
      <m:oMath>
        <m:r>
          <w:rPr>
            <w:rFonts w:ascii="Cambria Math" w:hAnsi="Cambria Math"/>
          </w:rPr>
          <m:t>TRP</m:t>
        </m:r>
      </m:oMath>
      <w:r w:rsidRPr="00F264F0">
        <w:t xml:space="preserve"> is equal to the total conducted power input into the antenna array system less any losses in the antenna array system;</w:t>
      </w:r>
    </w:p>
    <w:p w14:paraId="44911F69" w14:textId="77777777" w:rsidR="00677DCE" w:rsidRPr="00F264F0" w:rsidRDefault="007D617C" w:rsidP="000A62AA">
      <w:pPr>
        <w:pStyle w:val="ECCBulletsLv1"/>
        <w:numPr>
          <w:ilvl w:val="0"/>
          <w:numId w:val="39"/>
        </w:numPr>
        <w:spacing w:after="60"/>
      </w:pPr>
      <m:oMath>
        <m:r>
          <w:rPr>
            <w:rFonts w:ascii="Cambria Math" w:hAnsi="Cambria Math"/>
          </w:rPr>
          <m:t>P</m:t>
        </m:r>
        <m:d>
          <m:dPr>
            <m:ctrlPr>
              <w:rPr>
                <w:rFonts w:ascii="Cambria Math" w:hAnsi="Cambria Math"/>
              </w:rPr>
            </m:ctrlPr>
          </m:dPr>
          <m:e>
            <m:r>
              <w:rPr>
                <w:rFonts w:ascii="Cambria Math" w:hAnsi="Cambria Math"/>
              </w:rPr>
              <m:t>θ,φ</m:t>
            </m:r>
          </m:e>
        </m:d>
      </m:oMath>
      <w:r w:rsidRPr="00F264F0">
        <w:t>: power radiated by an antenna array system in direction</w:t>
      </w:r>
      <m:oMath>
        <m:d>
          <m:dPr>
            <m:ctrlPr>
              <w:rPr>
                <w:rFonts w:ascii="Cambria Math" w:hAnsi="Cambria Math"/>
              </w:rPr>
            </m:ctrlPr>
          </m:dPr>
          <m:e>
            <m:r>
              <w:rPr>
                <w:rFonts w:ascii="Cambria Math" w:hAnsi="Cambria Math"/>
              </w:rPr>
              <m:t>θ,φ</m:t>
            </m:r>
          </m:e>
        </m:d>
        <m:r>
          <w:rPr>
            <w:rFonts w:ascii="Cambria Math" w:hAnsi="Cambria Math"/>
          </w:rPr>
          <m:t>.</m:t>
        </m:r>
      </m:oMath>
    </w:p>
    <w:p w14:paraId="0E6EC6A1" w14:textId="19FBD050" w:rsidR="00677DCE" w:rsidRPr="00F264F0" w:rsidRDefault="007D617C" w:rsidP="000046FB">
      <w:pPr>
        <w:keepNext/>
        <w:spacing w:before="120" w:after="120"/>
        <w:jc w:val="right"/>
        <w:rPr>
          <w:lang w:val="en-GB"/>
        </w:rPr>
      </w:pPr>
      <m:oMath>
        <m:r>
          <w:rPr>
            <w:rFonts w:ascii="Cambria Math" w:hAnsi="Cambria Math"/>
            <w:lang w:val="en-GB"/>
          </w:rPr>
          <w:lastRenderedPageBreak/>
          <m:t>P</m:t>
        </m:r>
        <m:d>
          <m:dPr>
            <m:ctrlPr>
              <w:rPr>
                <w:rFonts w:ascii="Cambria Math" w:hAnsi="Cambria Math"/>
                <w:lang w:val="en-GB"/>
              </w:rPr>
            </m:ctrlPr>
          </m:dPr>
          <m:e>
            <m:r>
              <w:rPr>
                <w:rFonts w:ascii="Cambria Math" w:hAnsi="Cambria Math"/>
                <w:lang w:val="en-GB"/>
              </w:rPr>
              <m:t>θ,φ</m:t>
            </m:r>
          </m:e>
        </m:d>
        <m:r>
          <w:rPr>
            <w:rFonts w:ascii="Cambria Math" w:hAnsi="Cambria Math"/>
            <w:lang w:val="en-GB"/>
          </w:rPr>
          <m:t>=</m:t>
        </m:r>
        <m:sSub>
          <m:sSubPr>
            <m:ctrlPr>
              <w:rPr>
                <w:rFonts w:ascii="Cambria Math" w:hAnsi="Cambria Math"/>
                <w:lang w:val="en-GB"/>
              </w:rPr>
            </m:ctrlPr>
          </m:sSubPr>
          <m:e>
            <m:r>
              <w:rPr>
                <w:rFonts w:ascii="Cambria Math" w:hAnsi="Cambria Math"/>
                <w:lang w:val="en-GB"/>
              </w:rPr>
              <m:t>P</m:t>
            </m:r>
          </m:e>
          <m:sub>
            <m:r>
              <w:rPr>
                <w:rFonts w:ascii="Cambria Math" w:hAnsi="Cambria Math"/>
                <w:lang w:val="en-GB"/>
              </w:rPr>
              <m:t>Tx</m:t>
            </m:r>
          </m:sub>
        </m:sSub>
        <m:r>
          <w:rPr>
            <w:rFonts w:ascii="Cambria Math" w:hAnsi="Cambria Math"/>
            <w:lang w:val="en-GB"/>
          </w:rPr>
          <m:t>g</m:t>
        </m:r>
        <m:d>
          <m:dPr>
            <m:ctrlPr>
              <w:rPr>
                <w:rFonts w:ascii="Cambria Math" w:hAnsi="Cambria Math"/>
                <w:lang w:val="en-GB"/>
              </w:rPr>
            </m:ctrlPr>
          </m:dPr>
          <m:e>
            <m:r>
              <w:rPr>
                <w:rFonts w:ascii="Cambria Math" w:hAnsi="Cambria Math"/>
                <w:lang w:val="en-GB"/>
              </w:rPr>
              <m:t>θ,φ</m:t>
            </m:r>
          </m:e>
        </m:d>
      </m:oMath>
      <w:r w:rsidRPr="00F264F0">
        <w:rPr>
          <w:lang w:val="en-GB"/>
        </w:rPr>
        <w:t xml:space="preserve"> </w:t>
      </w:r>
      <w:r w:rsidRPr="00F264F0">
        <w:rPr>
          <w:lang w:val="en-GB"/>
        </w:rPr>
        <w:tab/>
      </w:r>
      <w:r w:rsidRPr="00F264F0">
        <w:rPr>
          <w:lang w:val="en-GB"/>
        </w:rPr>
        <w:tab/>
      </w:r>
      <w:r w:rsidRPr="00F264F0">
        <w:rPr>
          <w:lang w:val="en-GB"/>
        </w:rPr>
        <w:tab/>
      </w:r>
      <w:r w:rsidRPr="00F264F0">
        <w:rPr>
          <w:lang w:val="en-GB"/>
        </w:rPr>
        <w:tab/>
      </w:r>
      <w:r w:rsidRPr="00F264F0">
        <w:rPr>
          <w:lang w:val="en-GB"/>
        </w:rPr>
        <w:tab/>
      </w:r>
      <w:r w:rsidRPr="00F264F0">
        <w:rPr>
          <w:lang w:val="en-GB"/>
        </w:rPr>
        <w:tab/>
      </w:r>
      <w:r w:rsidRPr="00F264F0">
        <w:rPr>
          <w:lang w:val="en-GB"/>
        </w:rPr>
        <w:tab/>
        <w:t>(</w:t>
      </w:r>
      <w:r w:rsidRPr="00F264F0">
        <w:rPr>
          <w:lang w:val="en-GB"/>
        </w:rPr>
        <w:fldChar w:fldCharType="begin"/>
      </w:r>
      <w:r w:rsidRPr="00F264F0">
        <w:rPr>
          <w:lang w:val="en-GB"/>
        </w:rPr>
        <w:instrText>SEQ Equation \* ARABIC</w:instrText>
      </w:r>
      <w:r w:rsidRPr="00F264F0">
        <w:rPr>
          <w:lang w:val="en-GB"/>
        </w:rPr>
        <w:fldChar w:fldCharType="separate"/>
      </w:r>
      <w:r w:rsidR="006B156B" w:rsidRPr="00F264F0">
        <w:rPr>
          <w:noProof/>
          <w:lang w:val="en-GB"/>
        </w:rPr>
        <w:t>2</w:t>
      </w:r>
      <w:r w:rsidRPr="00F264F0">
        <w:rPr>
          <w:lang w:val="en-GB"/>
        </w:rPr>
        <w:fldChar w:fldCharType="end"/>
      </w:r>
      <w:r w:rsidRPr="00F264F0">
        <w:rPr>
          <w:lang w:val="en-GB"/>
        </w:rPr>
        <w:t>)</w:t>
      </w:r>
    </w:p>
    <w:p w14:paraId="4AC6CCE7" w14:textId="456D84CE" w:rsidR="00677DCE" w:rsidRPr="00F264F0" w:rsidRDefault="00ED5E94" w:rsidP="000046FB">
      <w:pPr>
        <w:keepNext/>
        <w:spacing w:before="240"/>
        <w:rPr>
          <w:lang w:val="en-GB"/>
        </w:rPr>
      </w:pPr>
      <w:r w:rsidRPr="00F264F0">
        <w:rPr>
          <w:lang w:val="en-GB"/>
        </w:rPr>
        <w:t>W</w:t>
      </w:r>
      <w:r w:rsidR="007D617C" w:rsidRPr="00F264F0">
        <w:rPr>
          <w:lang w:val="en-GB"/>
        </w:rPr>
        <w:t>here</w:t>
      </w:r>
      <w:r w:rsidRPr="00F264F0">
        <w:rPr>
          <w:lang w:val="en-GB"/>
        </w:rPr>
        <w:t>:</w:t>
      </w:r>
    </w:p>
    <w:p w14:paraId="47AF9F85" w14:textId="77777777" w:rsidR="00677DCE" w:rsidRPr="00F264F0" w:rsidRDefault="00000000" w:rsidP="000046FB">
      <w:pPr>
        <w:pStyle w:val="ECCBulletsLv1"/>
        <w:keepNext/>
        <w:numPr>
          <w:ilvl w:val="0"/>
          <w:numId w:val="40"/>
        </w:numPr>
        <w:spacing w:after="60"/>
      </w:pPr>
      <m:oMath>
        <m:sSub>
          <m:sSubPr>
            <m:ctrlPr>
              <w:rPr>
                <w:rFonts w:ascii="Cambria Math" w:hAnsi="Cambria Math"/>
              </w:rPr>
            </m:ctrlPr>
          </m:sSubPr>
          <m:e>
            <m:r>
              <w:rPr>
                <w:rFonts w:ascii="Cambria Math" w:hAnsi="Cambria Math"/>
              </w:rPr>
              <m:t>P</m:t>
            </m:r>
          </m:e>
          <m:sub>
            <m:r>
              <w:rPr>
                <w:rFonts w:ascii="Cambria Math" w:hAnsi="Cambria Math"/>
              </w:rPr>
              <m:t>Tx</m:t>
            </m:r>
          </m:sub>
        </m:sSub>
      </m:oMath>
      <w:r w:rsidR="007D617C" w:rsidRPr="00F264F0">
        <w:t xml:space="preserve">: </w:t>
      </w:r>
      <w:r w:rsidR="007D617C" w:rsidRPr="00F264F0">
        <w:tab/>
        <w:t>conducted power (Watts) input to the array system;</w:t>
      </w:r>
    </w:p>
    <w:p w14:paraId="378796D8" w14:textId="77777777" w:rsidR="00677DCE" w:rsidRPr="00F264F0" w:rsidRDefault="007D617C" w:rsidP="000046FB">
      <w:pPr>
        <w:pStyle w:val="ECCBulletsLv1"/>
        <w:keepNext/>
        <w:numPr>
          <w:ilvl w:val="0"/>
          <w:numId w:val="40"/>
        </w:numPr>
        <w:spacing w:after="60"/>
      </w:pPr>
      <m:oMath>
        <m:r>
          <w:rPr>
            <w:rFonts w:ascii="Cambria Math" w:hAnsi="Cambria Math"/>
          </w:rPr>
          <m:t>g</m:t>
        </m:r>
        <m:d>
          <m:dPr>
            <m:ctrlPr>
              <w:rPr>
                <w:rFonts w:ascii="Cambria Math" w:hAnsi="Cambria Math"/>
              </w:rPr>
            </m:ctrlPr>
          </m:dPr>
          <m:e>
            <m:r>
              <w:rPr>
                <w:rFonts w:ascii="Cambria Math" w:hAnsi="Cambria Math"/>
              </w:rPr>
              <m:t>θ,φ</m:t>
            </m:r>
          </m:e>
        </m:d>
      </m:oMath>
      <w:r w:rsidRPr="00F264F0">
        <w:t>:</w:t>
      </w:r>
      <w:r w:rsidRPr="00F264F0">
        <w:tab/>
        <w:t xml:space="preserve">array systems directional gain along </w:t>
      </w:r>
      <m:oMath>
        <m:d>
          <m:dPr>
            <m:ctrlPr>
              <w:rPr>
                <w:rFonts w:ascii="Cambria Math" w:hAnsi="Cambria Math"/>
              </w:rPr>
            </m:ctrlPr>
          </m:dPr>
          <m:e>
            <m:r>
              <w:rPr>
                <w:rFonts w:ascii="Cambria Math" w:hAnsi="Cambria Math"/>
              </w:rPr>
              <m:t>θ,φ</m:t>
            </m:r>
          </m:e>
        </m:d>
      </m:oMath>
      <w:r w:rsidRPr="00F264F0">
        <w:t xml:space="preserve"> direction.</w:t>
      </w:r>
    </w:p>
    <w:p w14:paraId="67B2BB07" w14:textId="5A15E177" w:rsidR="00677DCE" w:rsidRPr="00F264F0" w:rsidRDefault="007D617C">
      <w:pPr>
        <w:keepNext/>
        <w:spacing w:before="240"/>
        <w:rPr>
          <w:lang w:val="en-GB"/>
        </w:rPr>
      </w:pPr>
      <w:r w:rsidRPr="00F264F0">
        <w:rPr>
          <w:lang w:val="en-GB"/>
        </w:rPr>
        <w:t xml:space="preserve">The maximum </w:t>
      </w:r>
      <w:r w:rsidR="003418B8" w:rsidRPr="00F264F0">
        <w:rPr>
          <w:lang w:val="en-GB"/>
        </w:rPr>
        <w:t>e.i.r.p.</w:t>
      </w:r>
      <w:r w:rsidRPr="00F264F0">
        <w:rPr>
          <w:lang w:val="en-GB"/>
        </w:rPr>
        <w:t xml:space="preserve"> for an active antenna system (AAS) base station can be written in log domain as follows:</w:t>
      </w:r>
    </w:p>
    <w:p w14:paraId="4EBDDE39" w14:textId="646CD10F" w:rsidR="00677DCE" w:rsidRPr="00F264F0" w:rsidRDefault="00000000" w:rsidP="000A62AA">
      <w:pPr>
        <w:spacing w:before="120" w:after="120"/>
        <w:jc w:val="right"/>
        <w:rPr>
          <w:lang w:val="en-GB"/>
        </w:rPr>
      </w:pPr>
      <m:oMath>
        <m:sSub>
          <m:sSubPr>
            <m:ctrlPr>
              <w:rPr>
                <w:rFonts w:ascii="Cambria Math" w:hAnsi="Cambria Math"/>
                <w:lang w:val="en-GB"/>
              </w:rPr>
            </m:ctrlPr>
          </m:sSubPr>
          <m:e>
            <m:r>
              <w:rPr>
                <w:rFonts w:ascii="Cambria Math" w:hAnsi="Cambria Math"/>
                <w:lang w:val="en-GB"/>
              </w:rPr>
              <m:t>EIRP</m:t>
            </m:r>
          </m:e>
          <m:sub>
            <m:r>
              <w:rPr>
                <w:rFonts w:ascii="Cambria Math" w:hAnsi="Cambria Math"/>
                <w:lang w:val="en-GB"/>
              </w:rPr>
              <m:t>max</m:t>
            </m:r>
          </m:sub>
        </m:sSub>
        <m:r>
          <w:rPr>
            <w:rFonts w:ascii="Cambria Math" w:hAnsi="Cambria Math"/>
            <w:lang w:val="en-GB"/>
          </w:rPr>
          <m:t>=TRP+</m:t>
        </m:r>
        <m:sSub>
          <m:sSubPr>
            <m:ctrlPr>
              <w:rPr>
                <w:rFonts w:ascii="Cambria Math" w:hAnsi="Cambria Math"/>
                <w:lang w:val="en-GB"/>
              </w:rPr>
            </m:ctrlPr>
          </m:sSubPr>
          <m:e>
            <m:r>
              <w:rPr>
                <w:rFonts w:ascii="Cambria Math" w:hAnsi="Cambria Math"/>
                <w:lang w:val="en-GB"/>
              </w:rPr>
              <m:t>G</m:t>
            </m:r>
          </m:e>
          <m:sub>
            <m:r>
              <w:rPr>
                <w:rFonts w:ascii="Cambria Math" w:hAnsi="Cambria Math"/>
                <w:lang w:val="en-GB"/>
              </w:rPr>
              <m:t>E</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10log</m:t>
            </m:r>
          </m:e>
          <m:sub>
            <m:r>
              <w:rPr>
                <w:rFonts w:ascii="Cambria Math" w:hAnsi="Cambria Math"/>
                <w:lang w:val="en-GB"/>
              </w:rPr>
              <m:t>10</m:t>
            </m:r>
          </m:sub>
        </m:sSub>
        <m:r>
          <w:rPr>
            <w:rFonts w:ascii="Cambria Math" w:hAnsi="Cambria Math"/>
            <w:lang w:val="en-GB"/>
          </w:rPr>
          <m:t>N</m:t>
        </m:r>
      </m:oMath>
      <w:r w:rsidR="007D617C" w:rsidRPr="00F264F0">
        <w:rPr>
          <w:lang w:val="en-GB"/>
        </w:rPr>
        <w:tab/>
      </w:r>
      <w:r w:rsidR="007D617C" w:rsidRPr="00F264F0">
        <w:rPr>
          <w:lang w:val="en-GB"/>
        </w:rPr>
        <w:tab/>
      </w:r>
      <w:r w:rsidR="007D617C" w:rsidRPr="00F264F0">
        <w:rPr>
          <w:lang w:val="en-GB"/>
        </w:rPr>
        <w:tab/>
      </w:r>
      <w:r w:rsidR="007D617C" w:rsidRPr="00F264F0">
        <w:rPr>
          <w:lang w:val="en-GB"/>
        </w:rPr>
        <w:tab/>
      </w:r>
      <w:r w:rsidR="007D617C" w:rsidRPr="00F264F0">
        <w:rPr>
          <w:lang w:val="en-GB"/>
        </w:rPr>
        <w:tab/>
        <w:t>(</w:t>
      </w:r>
      <w:r w:rsidR="007D617C" w:rsidRPr="00F264F0">
        <w:rPr>
          <w:lang w:val="en-GB"/>
        </w:rPr>
        <w:fldChar w:fldCharType="begin"/>
      </w:r>
      <w:r w:rsidR="007D617C" w:rsidRPr="00F264F0">
        <w:rPr>
          <w:lang w:val="en-GB"/>
        </w:rPr>
        <w:instrText>SEQ Equation \* ARABIC</w:instrText>
      </w:r>
      <w:r w:rsidR="007D617C" w:rsidRPr="00F264F0">
        <w:rPr>
          <w:lang w:val="en-GB"/>
        </w:rPr>
        <w:fldChar w:fldCharType="separate"/>
      </w:r>
      <w:r w:rsidR="006B156B" w:rsidRPr="00F264F0">
        <w:rPr>
          <w:noProof/>
          <w:lang w:val="en-GB"/>
        </w:rPr>
        <w:t>3</w:t>
      </w:r>
      <w:r w:rsidR="007D617C" w:rsidRPr="00F264F0">
        <w:rPr>
          <w:lang w:val="en-GB"/>
        </w:rPr>
        <w:fldChar w:fldCharType="end"/>
      </w:r>
      <w:r w:rsidR="007D617C" w:rsidRPr="00F264F0">
        <w:rPr>
          <w:lang w:val="en-GB"/>
        </w:rPr>
        <w:t>)</w:t>
      </w:r>
    </w:p>
    <w:p w14:paraId="1C61B5C5" w14:textId="77777777" w:rsidR="00FF302F" w:rsidRPr="00F264F0" w:rsidRDefault="00FF302F">
      <w:pPr>
        <w:spacing w:before="240"/>
        <w:rPr>
          <w:lang w:val="en-GB"/>
        </w:rPr>
      </w:pPr>
      <w:r w:rsidRPr="00F264F0">
        <w:rPr>
          <w:lang w:val="en-GB"/>
        </w:rPr>
        <w:t>W</w:t>
      </w:r>
      <w:r w:rsidR="007D617C" w:rsidRPr="00F264F0">
        <w:rPr>
          <w:lang w:val="en-GB"/>
        </w:rPr>
        <w:t>here</w:t>
      </w:r>
      <w:r w:rsidRPr="00F264F0">
        <w:rPr>
          <w:lang w:val="en-GB"/>
        </w:rPr>
        <w:t>:</w:t>
      </w:r>
      <w:r w:rsidR="007D617C" w:rsidRPr="00F264F0">
        <w:rPr>
          <w:lang w:val="en-GB"/>
        </w:rPr>
        <w:t xml:space="preserve"> </w:t>
      </w:r>
    </w:p>
    <w:p w14:paraId="75A63227" w14:textId="0D071CF7" w:rsidR="00FF302F" w:rsidRPr="00F264F0" w:rsidRDefault="00000000" w:rsidP="00EA017D">
      <w:pPr>
        <w:pStyle w:val="ListParagraph"/>
        <w:numPr>
          <w:ilvl w:val="0"/>
          <w:numId w:val="41"/>
        </w:numPr>
        <w:spacing w:before="60" w:after="60"/>
        <w:ind w:left="357" w:hanging="357"/>
        <w:rPr>
          <w:lang w:val="en-GB"/>
        </w:rPr>
      </w:pPr>
      <m:oMath>
        <m:sSub>
          <m:sSubPr>
            <m:ctrlPr>
              <w:rPr>
                <w:rFonts w:ascii="Cambria Math" w:hAnsi="Cambria Math"/>
                <w:lang w:val="en-GB"/>
              </w:rPr>
            </m:ctrlPr>
          </m:sSubPr>
          <m:e>
            <m:r>
              <w:rPr>
                <w:rFonts w:ascii="Cambria Math" w:hAnsi="Cambria Math"/>
                <w:lang w:val="en-GB"/>
              </w:rPr>
              <m:t>G</m:t>
            </m:r>
          </m:e>
          <m:sub>
            <m:r>
              <w:rPr>
                <w:rFonts w:ascii="Cambria Math" w:hAnsi="Cambria Math"/>
                <w:lang w:val="en-GB"/>
              </w:rPr>
              <m:t>E</m:t>
            </m:r>
          </m:sub>
        </m:sSub>
      </m:oMath>
      <w:r w:rsidR="00821EA7" w:rsidRPr="00F264F0">
        <w:rPr>
          <w:lang w:val="en-GB"/>
        </w:rPr>
        <w:t>:</w:t>
      </w:r>
      <w:r w:rsidR="00821EA7" w:rsidRPr="00F264F0">
        <w:rPr>
          <w:lang w:val="en-GB"/>
        </w:rPr>
        <w:tab/>
      </w:r>
      <w:r w:rsidR="00821EA7" w:rsidRPr="00F264F0">
        <w:rPr>
          <w:lang w:val="en-GB"/>
        </w:rPr>
        <w:tab/>
      </w:r>
      <w:r w:rsidR="007D617C" w:rsidRPr="00F264F0">
        <w:rPr>
          <w:lang w:val="en-GB"/>
        </w:rPr>
        <w:t>is the antenna element gain in dBi</w:t>
      </w:r>
      <w:r w:rsidR="00FF302F" w:rsidRPr="00F264F0">
        <w:rPr>
          <w:lang w:val="en-GB"/>
        </w:rPr>
        <w:t>;</w:t>
      </w:r>
    </w:p>
    <w:p w14:paraId="65031303" w14:textId="64EEE647" w:rsidR="00677DCE" w:rsidRPr="00F264F0" w:rsidRDefault="007D617C" w:rsidP="00EA017D">
      <w:pPr>
        <w:pStyle w:val="ListParagraph"/>
        <w:numPr>
          <w:ilvl w:val="0"/>
          <w:numId w:val="41"/>
        </w:numPr>
        <w:spacing w:before="60" w:after="60"/>
        <w:ind w:left="357" w:hanging="357"/>
        <w:rPr>
          <w:lang w:val="en-GB"/>
        </w:rPr>
      </w:pPr>
      <m:oMath>
        <m:r>
          <w:rPr>
            <w:rFonts w:ascii="Cambria Math" w:hAnsi="Cambria Math"/>
            <w:lang w:val="en-GB"/>
          </w:rPr>
          <m:t>N</m:t>
        </m:r>
      </m:oMath>
      <w:r w:rsidR="00821EA7" w:rsidRPr="00F264F0">
        <w:rPr>
          <w:lang w:val="en-GB"/>
        </w:rPr>
        <w:t xml:space="preserve">: </w:t>
      </w:r>
      <w:r w:rsidR="00821EA7" w:rsidRPr="00F264F0">
        <w:rPr>
          <w:lang w:val="en-GB"/>
        </w:rPr>
        <w:tab/>
      </w:r>
      <w:r w:rsidR="00821EA7" w:rsidRPr="00F264F0">
        <w:rPr>
          <w:lang w:val="en-GB"/>
        </w:rPr>
        <w:tab/>
      </w:r>
      <w:r w:rsidRPr="00F264F0">
        <w:rPr>
          <w:lang w:val="en-GB"/>
        </w:rPr>
        <w:t>is the number of beam forming elements.</w:t>
      </w:r>
    </w:p>
    <w:p w14:paraId="2B89EE71" w14:textId="23CD3699" w:rsidR="00677DCE" w:rsidRPr="00F264F0" w:rsidRDefault="007D617C" w:rsidP="00666BDF">
      <w:pPr>
        <w:pStyle w:val="Heading2"/>
        <w:rPr>
          <w:lang w:val="en-GB"/>
        </w:rPr>
      </w:pPr>
      <w:bookmarkStart w:id="33" w:name="_Toc107559544"/>
      <w:bookmarkStart w:id="34" w:name="_Toc119577653"/>
      <w:r w:rsidRPr="00F264F0">
        <w:rPr>
          <w:lang w:val="en-GB"/>
        </w:rPr>
        <w:t>Unsynchronised</w:t>
      </w:r>
      <w:r w:rsidR="00517582" w:rsidRPr="00F264F0">
        <w:rPr>
          <w:lang w:val="en-GB"/>
        </w:rPr>
        <w:t xml:space="preserve"> networks</w:t>
      </w:r>
      <w:bookmarkEnd w:id="33"/>
      <w:bookmarkEnd w:id="34"/>
    </w:p>
    <w:p w14:paraId="46526C48" w14:textId="3840EBF3" w:rsidR="005775C8" w:rsidRPr="00F264F0" w:rsidRDefault="00C24698" w:rsidP="00FF302F">
      <w:pPr>
        <w:pStyle w:val="ECCParagraph"/>
      </w:pPr>
      <w:r w:rsidRPr="00F264F0">
        <w:t xml:space="preserve">Baseline and transitional region limits are defined in this Report assuming synchronised WBB ECS operation. For cases other than synchronised WBB ECS operations, administrations may define appropriate mitigation measures to be applied in case of unsynchronised or semi-synchronised operations, taking into account ECC Report 307 which provides a </w:t>
      </w:r>
      <w:r w:rsidR="0066658B" w:rsidRPr="00F264F0">
        <w:t>t</w:t>
      </w:r>
      <w:r w:rsidRPr="00F264F0">
        <w:t>oolbox on coexistence of MFCN in 24.25-27.5 GHz in unsynchronised and semi-synchronised modes</w:t>
      </w:r>
      <w:r w:rsidR="008D06AC" w:rsidRPr="00F264F0">
        <w:t xml:space="preserve"> </w:t>
      </w:r>
      <w:r w:rsidR="008611D3" w:rsidRPr="00F264F0">
        <w:fldChar w:fldCharType="begin"/>
      </w:r>
      <w:r w:rsidR="008611D3" w:rsidRPr="00F264F0">
        <w:instrText xml:space="preserve"> REF _Ref103958232 \r \h </w:instrText>
      </w:r>
      <w:r w:rsidR="002D133F" w:rsidRPr="00F264F0">
        <w:instrText xml:space="preserve"> \* MERGEFORMAT </w:instrText>
      </w:r>
      <w:r w:rsidR="008611D3" w:rsidRPr="00F264F0">
        <w:fldChar w:fldCharType="separate"/>
      </w:r>
      <w:r w:rsidR="006B156B" w:rsidRPr="00F264F0">
        <w:t>[14]</w:t>
      </w:r>
      <w:r w:rsidR="008611D3" w:rsidRPr="00F264F0">
        <w:fldChar w:fldCharType="end"/>
      </w:r>
      <w:r w:rsidRPr="00F264F0">
        <w:t>.</w:t>
      </w:r>
      <w:r w:rsidR="005775C8" w:rsidRPr="00F264F0">
        <w:t xml:space="preserve"> However, it should be noted that further assessments would be required in order to determine the applicability of ECC Report 307 results on WBB ECS BS in 40 GHz band due to different parameters such as the WBB ECS BS antenna array size and conducted power, carrier frequency, and WBB ECS outdoor hotspot deployment characteristics i.e. single sector.</w:t>
      </w:r>
    </w:p>
    <w:p w14:paraId="6095A172" w14:textId="77777777" w:rsidR="00677DCE" w:rsidRPr="00F264F0" w:rsidRDefault="007D617C" w:rsidP="00F81BE1">
      <w:pPr>
        <w:pStyle w:val="Heading1"/>
      </w:pPr>
      <w:bookmarkStart w:id="35" w:name="_Toc506816636"/>
      <w:bookmarkStart w:id="36" w:name="_Ref507679514"/>
      <w:bookmarkStart w:id="37" w:name="_Toc518893553"/>
      <w:bookmarkStart w:id="38" w:name="_Toc107559545"/>
      <w:bookmarkStart w:id="39" w:name="_Toc119577654"/>
      <w:r w:rsidRPr="00F264F0">
        <w:lastRenderedPageBreak/>
        <w:t>COEXISTENCE ISSUES</w:t>
      </w:r>
      <w:bookmarkEnd w:id="35"/>
      <w:bookmarkEnd w:id="36"/>
      <w:bookmarkEnd w:id="37"/>
      <w:bookmarkEnd w:id="38"/>
      <w:bookmarkEnd w:id="39"/>
    </w:p>
    <w:p w14:paraId="675F7312" w14:textId="28CFF985" w:rsidR="00677DCE" w:rsidRPr="00F264F0" w:rsidRDefault="007D617C">
      <w:pPr>
        <w:pStyle w:val="ECCParagraph"/>
      </w:pPr>
      <w:r w:rsidRPr="00F264F0">
        <w:t>The section reviews the various coexistence issues with Fixed links, RAS and FSS.</w:t>
      </w:r>
    </w:p>
    <w:p w14:paraId="53CE5F84" w14:textId="21C96BC3" w:rsidR="00677DCE" w:rsidRPr="00F264F0" w:rsidRDefault="007D617C">
      <w:pPr>
        <w:pStyle w:val="ECCParagraph"/>
      </w:pPr>
      <w:r w:rsidRPr="00F264F0">
        <w:t>Co-existence studies for WBB ECS with respect to a number of other services, including RAS and FSS, were conducted for WRC-19 including for the band 40.5</w:t>
      </w:r>
      <w:r w:rsidR="003C00DE" w:rsidRPr="00F264F0">
        <w:t>-</w:t>
      </w:r>
      <w:r w:rsidRPr="00F264F0">
        <w:t>43.5 GHz and both assumptions and conclusions of these studies have been reused as appropriate.</w:t>
      </w:r>
    </w:p>
    <w:p w14:paraId="2F332CF6" w14:textId="5E547E36" w:rsidR="00677DCE" w:rsidRPr="00F264F0" w:rsidRDefault="007D617C">
      <w:pPr>
        <w:pStyle w:val="ECCParagraph"/>
      </w:pPr>
      <w:r w:rsidRPr="00F264F0">
        <w:t>The underlying technical assumptions for these studies are detailed in various ITU-R TG 5/1 documents such as the Chairman's Report (Document 5/1-36)</w:t>
      </w:r>
      <w:r w:rsidR="005A446D" w:rsidRPr="00F264F0">
        <w:t xml:space="preserve"> </w:t>
      </w:r>
      <w:r w:rsidR="005A446D" w:rsidRPr="00F264F0">
        <w:fldChar w:fldCharType="begin"/>
      </w:r>
      <w:r w:rsidR="005A446D" w:rsidRPr="00F264F0">
        <w:instrText xml:space="preserve"> REF _Ref103958402 \r \h </w:instrText>
      </w:r>
      <w:r w:rsidR="002D133F" w:rsidRPr="00F264F0">
        <w:instrText xml:space="preserve"> \* MERGEFORMAT </w:instrText>
      </w:r>
      <w:r w:rsidR="005A446D" w:rsidRPr="00F264F0">
        <w:fldChar w:fldCharType="separate"/>
      </w:r>
      <w:r w:rsidR="006B156B" w:rsidRPr="00F264F0">
        <w:t>[15]</w:t>
      </w:r>
      <w:r w:rsidR="005A446D" w:rsidRPr="00F264F0">
        <w:fldChar w:fldCharType="end"/>
      </w:r>
      <w:r w:rsidRPr="00F264F0">
        <w:t>,  Recommendation ITU-R M.2101</w:t>
      </w:r>
      <w:r w:rsidR="00C925FB" w:rsidRPr="00F264F0">
        <w:t xml:space="preserve"> </w:t>
      </w:r>
      <w:r w:rsidR="00C925FB" w:rsidRPr="00F264F0">
        <w:fldChar w:fldCharType="begin"/>
      </w:r>
      <w:r w:rsidR="00C925FB" w:rsidRPr="00F264F0">
        <w:instrText xml:space="preserve"> REF _Ref103958175 \r \h </w:instrText>
      </w:r>
      <w:r w:rsidR="002D133F" w:rsidRPr="00F264F0">
        <w:instrText xml:space="preserve"> \* MERGEFORMAT </w:instrText>
      </w:r>
      <w:r w:rsidR="00C925FB" w:rsidRPr="00F264F0">
        <w:fldChar w:fldCharType="separate"/>
      </w:r>
      <w:r w:rsidR="006B156B" w:rsidRPr="00F264F0">
        <w:t>[13]</w:t>
      </w:r>
      <w:r w:rsidR="00C925FB" w:rsidRPr="00F264F0">
        <w:fldChar w:fldCharType="end"/>
      </w:r>
      <w:r w:rsidRPr="00F264F0">
        <w:t xml:space="preserve"> and </w:t>
      </w:r>
      <w:r w:rsidR="00E65BC0" w:rsidRPr="00F264F0">
        <w:t xml:space="preserve">Recommendation </w:t>
      </w:r>
      <w:r w:rsidR="00907818" w:rsidRPr="00F264F0">
        <w:t xml:space="preserve">ITU-R </w:t>
      </w:r>
      <w:r w:rsidRPr="00F264F0">
        <w:t>P.2108</w:t>
      </w:r>
      <w:r w:rsidR="005C2719" w:rsidRPr="00F264F0">
        <w:t xml:space="preserve"> </w:t>
      </w:r>
      <w:r w:rsidR="005C2719" w:rsidRPr="00F264F0">
        <w:fldChar w:fldCharType="begin"/>
      </w:r>
      <w:r w:rsidR="005C2719" w:rsidRPr="00F264F0">
        <w:instrText xml:space="preserve"> REF _Ref103862923 \r \h </w:instrText>
      </w:r>
      <w:r w:rsidR="002D133F" w:rsidRPr="00F264F0">
        <w:instrText xml:space="preserve"> \* MERGEFORMAT </w:instrText>
      </w:r>
      <w:r w:rsidR="005C2719" w:rsidRPr="00F264F0">
        <w:fldChar w:fldCharType="separate"/>
      </w:r>
      <w:r w:rsidR="006B156B" w:rsidRPr="00F264F0">
        <w:t>[16]</w:t>
      </w:r>
      <w:r w:rsidR="005C2719" w:rsidRPr="00F264F0">
        <w:fldChar w:fldCharType="end"/>
      </w:r>
      <w:r w:rsidRPr="00F264F0">
        <w:t>.</w:t>
      </w:r>
    </w:p>
    <w:p w14:paraId="5950A352" w14:textId="55AE0508" w:rsidR="00677DCE" w:rsidRPr="00F264F0" w:rsidRDefault="007D617C">
      <w:pPr>
        <w:pStyle w:val="ECCParagraph"/>
      </w:pPr>
      <w:r w:rsidRPr="00F264F0">
        <w:t>It should be recogni</w:t>
      </w:r>
      <w:r w:rsidR="00F84F82" w:rsidRPr="00F264F0">
        <w:t>s</w:t>
      </w:r>
      <w:r w:rsidRPr="00F264F0">
        <w:t xml:space="preserve">ed that any deviation from these assumptions may have a large impact on the necessary coordination and exclusion zone sizes to be implemented at national level in order to protect other services as RAS and FSS. The separation distances resulting from this WRC-19 work were generally provided by generic studies assuming flat terrain modelling. Separation distances for individual RAS and/or FSS earth stations should be calculated using site-specific terrain and clutter information, where available, which </w:t>
      </w:r>
      <w:r w:rsidR="007F04B3" w:rsidRPr="00F264F0">
        <w:t xml:space="preserve">it </w:t>
      </w:r>
      <w:r w:rsidRPr="00F264F0">
        <w:t>is anticipated would reduce the necessary separation distances for some RAS and/or FSS earth station sites.</w:t>
      </w:r>
    </w:p>
    <w:p w14:paraId="05966559" w14:textId="5224BBCE" w:rsidR="00677DCE" w:rsidRPr="00F264F0" w:rsidRDefault="007D617C">
      <w:pPr>
        <w:pStyle w:val="ECCParagraph"/>
      </w:pPr>
      <w:r w:rsidRPr="00F264F0">
        <w:t>In addition it should be noted that if a significant fraction of WBB ECS base stations in urban/suburban areas were installed above roof tops, the clutter loss for these would be reduced, which could potentially increase the necessary separation distances.</w:t>
      </w:r>
    </w:p>
    <w:p w14:paraId="75BAB1AA" w14:textId="010B4A72" w:rsidR="00677DCE" w:rsidRPr="00F264F0" w:rsidRDefault="007D617C">
      <w:pPr>
        <w:pStyle w:val="ECCParagraph"/>
      </w:pPr>
      <w:r w:rsidRPr="00F264F0">
        <w:t xml:space="preserve">It should further be noted that WBB ECS BS for hotspot deployment use single sector </w:t>
      </w:r>
      <w:r w:rsidR="00511420" w:rsidRPr="00F264F0">
        <w:t xml:space="preserve">active antenna systems </w:t>
      </w:r>
      <w:r w:rsidRPr="00F264F0">
        <w:t xml:space="preserve">(AAS) and hence, the interference potential </w:t>
      </w:r>
      <w:r w:rsidR="00511420" w:rsidRPr="00F264F0">
        <w:t>is</w:t>
      </w:r>
      <w:r w:rsidR="00511420" w:rsidRPr="00F264F0">
        <w:rPr>
          <w:strike/>
        </w:rPr>
        <w:t xml:space="preserve"> </w:t>
      </w:r>
      <w:r w:rsidRPr="00F264F0">
        <w:t>dependent on the choice made for the location of the WBB ECS BS to cover its service area and the resulting pointing direction, appropriate selection of which may contribute to reduce interference issues.</w:t>
      </w:r>
    </w:p>
    <w:p w14:paraId="163EB8A7" w14:textId="15C39273" w:rsidR="00677DCE" w:rsidRPr="00F264F0" w:rsidRDefault="007D617C">
      <w:pPr>
        <w:pStyle w:val="ECCParagraph"/>
      </w:pPr>
      <w:r w:rsidRPr="00F264F0">
        <w:t xml:space="preserve">CEPT developed the analysis hereafter in order to appropriately protect the </w:t>
      </w:r>
      <w:r w:rsidR="007009D6" w:rsidRPr="00F264F0">
        <w:t xml:space="preserve">radio astronomy service </w:t>
      </w:r>
      <w:r w:rsidRPr="00F264F0">
        <w:t>in the 42.5-43.5 GHz and receiving earth stations in 40.5-42.5 GHz and satellite receivers in 42.5-43.5 GHz.</w:t>
      </w:r>
    </w:p>
    <w:p w14:paraId="7F3E95BD" w14:textId="07EA386D" w:rsidR="00677DCE" w:rsidRPr="00F264F0" w:rsidRDefault="007D617C">
      <w:pPr>
        <w:pStyle w:val="ECCParagraph"/>
      </w:pPr>
      <w:r w:rsidRPr="00F264F0">
        <w:t>There is also a need to maintain the possibility for existing and future FSS earth stations to operate in the band 40.5-43.5 GHz. CEPT developed guidelines to support the introduction of WBB ECS while ensuring, in a proportionate way, the use of FSS receiving earth stations in the frequency band 40.5-42.5 GHz and the use of FSS transmitting earth stations in the frequency band 42.5-43.5</w:t>
      </w:r>
      <w:r w:rsidR="000A3C49" w:rsidRPr="00F264F0">
        <w:t xml:space="preserve"> </w:t>
      </w:r>
      <w:r w:rsidRPr="00F264F0">
        <w:t>GHz and the possibility for future deployment of these earth stations. CEPT decided to update the ECC framework (ECC Decision (02)04</w:t>
      </w:r>
      <w:r w:rsidR="007009D6" w:rsidRPr="00F264F0">
        <w:t xml:space="preserve"> </w:t>
      </w:r>
      <w:r w:rsidR="007009D6" w:rsidRPr="00F264F0">
        <w:fldChar w:fldCharType="begin"/>
      </w:r>
      <w:r w:rsidR="007009D6" w:rsidRPr="00F264F0">
        <w:instrText xml:space="preserve"> REF _Ref103957616 \r \h </w:instrText>
      </w:r>
      <w:r w:rsidR="002D133F" w:rsidRPr="00F264F0">
        <w:instrText xml:space="preserve"> \* MERGEFORMAT </w:instrText>
      </w:r>
      <w:r w:rsidR="007009D6" w:rsidRPr="00F264F0">
        <w:fldChar w:fldCharType="separate"/>
      </w:r>
      <w:r w:rsidR="006B156B" w:rsidRPr="00F264F0">
        <w:t>[11]</w:t>
      </w:r>
      <w:r w:rsidR="007009D6" w:rsidRPr="00F264F0">
        <w:fldChar w:fldCharType="end"/>
      </w:r>
      <w:r w:rsidRPr="00F264F0">
        <w:t>) to reflect FSS use of the 40.5-43.5 GHz band.</w:t>
      </w:r>
    </w:p>
    <w:p w14:paraId="1F0360E8" w14:textId="61F4DEC9" w:rsidR="00677DCE" w:rsidRPr="00F264F0" w:rsidRDefault="007D617C" w:rsidP="00EA017D">
      <w:pPr>
        <w:spacing w:before="240" w:after="60"/>
        <w:jc w:val="both"/>
        <w:rPr>
          <w:lang w:val="en-GB"/>
        </w:rPr>
      </w:pPr>
      <w:r w:rsidRPr="00F264F0">
        <w:rPr>
          <w:lang w:val="en-GB"/>
        </w:rPr>
        <w:t>In addition, CEPT developed measures to facilitate coexistence between WBB ECS in 40.5-43.5 GHz and receiving FSS earth stations in 39.5-40.5 GHz (see ECC R</w:t>
      </w:r>
      <w:r w:rsidR="00080926" w:rsidRPr="00F264F0">
        <w:rPr>
          <w:lang w:val="en-GB"/>
        </w:rPr>
        <w:t>ecommendation (22)</w:t>
      </w:r>
      <w:r w:rsidR="00E90106" w:rsidRPr="00F264F0">
        <w:rPr>
          <w:lang w:val="en-GB"/>
        </w:rPr>
        <w:t>02</w:t>
      </w:r>
      <w:r w:rsidR="007009D6" w:rsidRPr="00F264F0">
        <w:rPr>
          <w:lang w:val="en-GB"/>
        </w:rPr>
        <w:t xml:space="preserve"> </w:t>
      </w:r>
      <w:r w:rsidR="007009D6" w:rsidRPr="00F264F0">
        <w:rPr>
          <w:lang w:val="en-GB"/>
        </w:rPr>
        <w:fldChar w:fldCharType="begin"/>
      </w:r>
      <w:r w:rsidR="007009D6" w:rsidRPr="00F264F0">
        <w:rPr>
          <w:lang w:val="en-GB"/>
        </w:rPr>
        <w:instrText xml:space="preserve"> REF _Ref103341333 \r \h </w:instrText>
      </w:r>
      <w:r w:rsidR="002D133F" w:rsidRPr="00F264F0">
        <w:rPr>
          <w:lang w:val="en-GB"/>
        </w:rPr>
        <w:instrText xml:space="preserve"> \* MERGEFORMAT </w:instrText>
      </w:r>
      <w:r w:rsidR="007009D6" w:rsidRPr="00F264F0">
        <w:rPr>
          <w:lang w:val="en-GB"/>
        </w:rPr>
      </w:r>
      <w:r w:rsidR="007009D6" w:rsidRPr="00F264F0">
        <w:rPr>
          <w:lang w:val="en-GB"/>
        </w:rPr>
        <w:fldChar w:fldCharType="separate"/>
      </w:r>
      <w:r w:rsidR="006B156B" w:rsidRPr="00F264F0">
        <w:rPr>
          <w:lang w:val="en-GB"/>
        </w:rPr>
        <w:t>[2]</w:t>
      </w:r>
      <w:r w:rsidR="007009D6" w:rsidRPr="00F264F0">
        <w:rPr>
          <w:lang w:val="en-GB"/>
        </w:rPr>
        <w:fldChar w:fldCharType="end"/>
      </w:r>
      <w:r w:rsidRPr="00F264F0">
        <w:rPr>
          <w:lang w:val="en-GB"/>
        </w:rPr>
        <w:t>) including possible measures to be included in authorisation regimes.</w:t>
      </w:r>
    </w:p>
    <w:p w14:paraId="190BB767" w14:textId="77777777" w:rsidR="00677DCE" w:rsidRPr="00F264F0" w:rsidRDefault="007D617C" w:rsidP="00666BDF">
      <w:pPr>
        <w:pStyle w:val="Heading2"/>
        <w:rPr>
          <w:lang w:val="en-GB"/>
        </w:rPr>
      </w:pPr>
      <w:bookmarkStart w:id="40" w:name="_Toc506816637"/>
      <w:bookmarkStart w:id="41" w:name="_Toc518893554"/>
      <w:bookmarkStart w:id="42" w:name="_Toc107559546"/>
      <w:bookmarkStart w:id="43" w:name="_Toc119577655"/>
      <w:r w:rsidRPr="00F264F0">
        <w:rPr>
          <w:lang w:val="en-GB"/>
        </w:rPr>
        <w:t>Fixed Links</w:t>
      </w:r>
      <w:bookmarkEnd w:id="40"/>
      <w:bookmarkEnd w:id="41"/>
      <w:bookmarkEnd w:id="42"/>
      <w:bookmarkEnd w:id="43"/>
    </w:p>
    <w:p w14:paraId="7187992C" w14:textId="0EB4AF5D" w:rsidR="00677DCE" w:rsidRPr="00F264F0" w:rsidRDefault="007D617C">
      <w:pPr>
        <w:pStyle w:val="ECCParagraph"/>
      </w:pPr>
      <w:r w:rsidRPr="00F264F0">
        <w:t>Studies for WRC-19 which evaluated the possible coexistence between WBB ECS and FS in the mm-Wave bands show that</w:t>
      </w:r>
      <w:r w:rsidR="00080926" w:rsidRPr="00F264F0">
        <w:t xml:space="preserve"> </w:t>
      </w:r>
      <w:r w:rsidRPr="00F264F0">
        <w:t xml:space="preserve">coexistence is generally possible, but that coordination between both services is needed, if they should be deployed in the same area in the same frequency range. The coordination could be done on a case-by-case basis </w:t>
      </w:r>
      <w:r w:rsidR="00080926" w:rsidRPr="00F264F0">
        <w:t>at</w:t>
      </w:r>
      <w:r w:rsidRPr="00F264F0">
        <w:t xml:space="preserve"> national level.</w:t>
      </w:r>
    </w:p>
    <w:p w14:paraId="7A0C1402" w14:textId="01384401" w:rsidR="00677DCE" w:rsidRPr="00F264F0" w:rsidRDefault="007D617C">
      <w:pPr>
        <w:pStyle w:val="ECCParagraph"/>
      </w:pPr>
      <w:r w:rsidRPr="00F264F0">
        <w:t>Any migration issues are to be managed at national level and are subject to national decision. Co-channel deployment of WBB ECS with fixed links remains possible depending on national situations. There is no need to define a common date for management of a migration to an alternative band or to clear the 40.5-43.5 GHz band from fixed services. Due to the nature of fixed service bi- or multilateral cross-border coordination may be necessary.</w:t>
      </w:r>
    </w:p>
    <w:p w14:paraId="3C6887A3" w14:textId="77777777" w:rsidR="00677DCE" w:rsidRPr="00F264F0" w:rsidRDefault="007D617C" w:rsidP="00666BDF">
      <w:pPr>
        <w:pStyle w:val="Heading2"/>
        <w:rPr>
          <w:lang w:val="en-GB"/>
        </w:rPr>
      </w:pPr>
      <w:bookmarkStart w:id="44" w:name="_Toc107559547"/>
      <w:bookmarkStart w:id="45" w:name="_Toc119577656"/>
      <w:r w:rsidRPr="00F264F0">
        <w:rPr>
          <w:lang w:val="en-GB"/>
        </w:rPr>
        <w:lastRenderedPageBreak/>
        <w:t>Radio Astronomy Service</w:t>
      </w:r>
      <w:bookmarkEnd w:id="44"/>
      <w:bookmarkEnd w:id="45"/>
    </w:p>
    <w:p w14:paraId="47A5526E" w14:textId="5A640D04" w:rsidR="00A3394C" w:rsidRPr="00F264F0" w:rsidRDefault="007D617C" w:rsidP="00EA017D">
      <w:pPr>
        <w:pStyle w:val="ECCParagraph"/>
      </w:pPr>
      <w:r w:rsidRPr="00F264F0">
        <w:t>RAS sharing with WBB ECS is feasible when the location of WBB ECS base stations is known. For WBB ECS base stations at these frequencies high transmit directivity can be achieved with active antenna systems (AAS) and various site engineering techniques may reduce the risk of interference in the direction of an observatory. WBB ECS use of the 42.5</w:t>
      </w:r>
      <w:r w:rsidR="003C00DE" w:rsidRPr="00F264F0">
        <w:t>-</w:t>
      </w:r>
      <w:r w:rsidRPr="00F264F0">
        <w:t>43.5 GHz band will involve sharing with the RAS on a co-primary basis and RAS operations may also be affected by the unwanted emissions from WBB ECS use of the adjacent band at 40.5</w:t>
      </w:r>
      <w:r w:rsidR="001105C7" w:rsidRPr="00F264F0">
        <w:t> </w:t>
      </w:r>
      <w:r w:rsidR="00135455" w:rsidRPr="00F264F0">
        <w:t>-</w:t>
      </w:r>
      <w:r w:rsidR="001105C7" w:rsidRPr="00F264F0">
        <w:t> </w:t>
      </w:r>
      <w:r w:rsidRPr="00F264F0">
        <w:t>42.5 GHz. For RAS, the interference issue is from WBB ECS networks into RAS equipment operating on RAS sites.</w:t>
      </w:r>
    </w:p>
    <w:p w14:paraId="7975584F" w14:textId="1D2A1C29" w:rsidR="00677DCE" w:rsidRPr="00F264F0" w:rsidRDefault="007D617C" w:rsidP="000948CF">
      <w:pPr>
        <w:pStyle w:val="ECCParagraph"/>
      </w:pPr>
      <w:r w:rsidRPr="00F264F0">
        <w:t xml:space="preserve">For the protection of radio astronomy, generic compatibility studies between RAS and WBB ECS systems considering both in-band and adjacent band co-existence issues for various WBB ECS deployment scenarios have been studied for WRC-19; this work concluded that for the frequency band 40.5-43.5 GHz, exclusion zones around RAS stations are required to protect this service from WBB ECS emissions. These could be managed on a </w:t>
      </w:r>
      <w:r w:rsidR="00CC3695" w:rsidRPr="00F264F0">
        <w:t>case-by-case</w:t>
      </w:r>
      <w:r w:rsidRPr="00F264F0">
        <w:t xml:space="preserve"> basis at national level and the size of the zone would be dependent on the local environment, such as antenna heights, clutter, and expected WBB ECS deployment densities. </w:t>
      </w:r>
    </w:p>
    <w:p w14:paraId="47BA80C5" w14:textId="0ECDB7EF" w:rsidR="00677DCE" w:rsidRPr="00F264F0" w:rsidRDefault="007D617C" w:rsidP="00135455">
      <w:pPr>
        <w:pStyle w:val="ECCParagraph"/>
      </w:pPr>
      <w:r w:rsidRPr="00F264F0">
        <w:t>Where the locations of the planned WBB ECS base stations are not known in advance of installation, the protection of RAS can be achieved through the calculation of a geographic</w:t>
      </w:r>
      <w:r w:rsidR="00861CCB" w:rsidRPr="00F264F0">
        <w:t>al</w:t>
      </w:r>
      <w:r w:rsidRPr="00F264F0">
        <w:t xml:space="preserve"> separation distance and the determination of exclusion zones around RAS stations, which are defined </w:t>
      </w:r>
      <w:r w:rsidR="00EB7794" w:rsidRPr="00F264F0">
        <w:t xml:space="preserve">at </w:t>
      </w:r>
      <w:r w:rsidRPr="00F264F0">
        <w:t>national level. Protection of RAS is achieved by ensuring that the WBB ECS BS are located outside of this exclusion zone. A mechanism such as a regulatory requirement to respect exclusion zones defined and applied on a national basis (taking into account terrain, clutter, etc</w:t>
      </w:r>
      <w:r w:rsidR="00EB7794" w:rsidRPr="00F264F0">
        <w:t>.</w:t>
      </w:r>
      <w:r w:rsidRPr="00F264F0">
        <w:t xml:space="preserve">) would be needed in order to ensure protection of the RAS site. No technical mechanism to prevent interference has been identified for the WBB ECS equipment during the drafting of the </w:t>
      </w:r>
      <w:r w:rsidR="005F7C47" w:rsidRPr="00F264F0">
        <w:t>Report</w:t>
      </w:r>
      <w:r w:rsidRPr="00F264F0">
        <w:t>, other than locating new base stations outside of a pre-determined exclusion zone.</w:t>
      </w:r>
    </w:p>
    <w:p w14:paraId="58EAD7D6" w14:textId="515871EE" w:rsidR="00677DCE" w:rsidRPr="00F264F0" w:rsidRDefault="007D617C" w:rsidP="0036158F">
      <w:pPr>
        <w:pStyle w:val="Heading3"/>
        <w:rPr>
          <w:lang w:val="en-GB"/>
        </w:rPr>
      </w:pPr>
      <w:bookmarkStart w:id="46" w:name="_Toc107559548"/>
      <w:bookmarkStart w:id="47" w:name="_Toc119577657"/>
      <w:r w:rsidRPr="00F264F0">
        <w:rPr>
          <w:lang w:val="en-GB"/>
        </w:rPr>
        <w:t>Shared band (</w:t>
      </w:r>
      <w:r w:rsidR="00AB1C6C" w:rsidRPr="00F264F0">
        <w:rPr>
          <w:lang w:val="en-GB"/>
        </w:rPr>
        <w:t>radio astronomy service</w:t>
      </w:r>
      <w:r w:rsidRPr="00F264F0">
        <w:rPr>
          <w:lang w:val="en-GB"/>
        </w:rPr>
        <w:t xml:space="preserve"> and WBB ECS in 42.5</w:t>
      </w:r>
      <w:r w:rsidR="003C00DE" w:rsidRPr="00F264F0">
        <w:rPr>
          <w:lang w:val="en-GB"/>
        </w:rPr>
        <w:t>-</w:t>
      </w:r>
      <w:r w:rsidRPr="00F264F0">
        <w:rPr>
          <w:lang w:val="en-GB"/>
        </w:rPr>
        <w:t>43.5 GHz)</w:t>
      </w:r>
      <w:bookmarkEnd w:id="46"/>
      <w:bookmarkEnd w:id="47"/>
    </w:p>
    <w:p w14:paraId="44671784" w14:textId="77777777" w:rsidR="00677DCE" w:rsidRPr="00F264F0" w:rsidRDefault="007D617C">
      <w:pPr>
        <w:pStyle w:val="ECCParagraph"/>
      </w:pPr>
      <w:r w:rsidRPr="00F264F0">
        <w:t>A generic in-band sharing study between the RAS in the band 42.5-43.5 GHz and WBB ECS systems in the same band shows that separation distances around RAS stations are required to protect this service from WBB ECS operations, with radii of up to 56 km.</w:t>
      </w:r>
    </w:p>
    <w:p w14:paraId="41FDF693" w14:textId="49871231" w:rsidR="00677DCE" w:rsidRPr="00F264F0" w:rsidRDefault="007D617C" w:rsidP="0036158F">
      <w:pPr>
        <w:pStyle w:val="Heading3"/>
        <w:rPr>
          <w:lang w:val="en-GB"/>
        </w:rPr>
      </w:pPr>
      <w:bookmarkStart w:id="48" w:name="_Toc107559549"/>
      <w:bookmarkStart w:id="49" w:name="_Toc119577658"/>
      <w:r w:rsidRPr="00F264F0">
        <w:rPr>
          <w:lang w:val="en-GB"/>
        </w:rPr>
        <w:t>Adjacent band (</w:t>
      </w:r>
      <w:r w:rsidR="00A070A9" w:rsidRPr="00F264F0">
        <w:rPr>
          <w:lang w:val="en-GB"/>
        </w:rPr>
        <w:t xml:space="preserve">radio astronomy service </w:t>
      </w:r>
      <w:r w:rsidRPr="00F264F0">
        <w:rPr>
          <w:lang w:val="en-GB"/>
        </w:rPr>
        <w:t>in 42.5</w:t>
      </w:r>
      <w:r w:rsidR="003C00DE" w:rsidRPr="00F264F0">
        <w:rPr>
          <w:lang w:val="en-GB"/>
        </w:rPr>
        <w:t>-</w:t>
      </w:r>
      <w:r w:rsidRPr="00F264F0">
        <w:rPr>
          <w:lang w:val="en-GB"/>
        </w:rPr>
        <w:t>43.5 GHz and WBB ECS in 40.5</w:t>
      </w:r>
      <w:r w:rsidR="003C00DE" w:rsidRPr="00F264F0">
        <w:rPr>
          <w:lang w:val="en-GB"/>
        </w:rPr>
        <w:t>-</w:t>
      </w:r>
      <w:r w:rsidRPr="00F264F0">
        <w:rPr>
          <w:lang w:val="en-GB"/>
        </w:rPr>
        <w:t>42.5 GHz)</w:t>
      </w:r>
      <w:bookmarkEnd w:id="48"/>
      <w:bookmarkEnd w:id="49"/>
    </w:p>
    <w:p w14:paraId="46E93427" w14:textId="161932CD" w:rsidR="00677DCE" w:rsidRPr="00F264F0" w:rsidRDefault="007D617C" w:rsidP="003C00DE">
      <w:pPr>
        <w:pStyle w:val="ECCParagraph"/>
      </w:pPr>
      <w:r w:rsidRPr="00F264F0">
        <w:t>Separation distances around RAS stations in 42.5-43.5 GHz may be required to avoid interference from WBB ECS unwanted emissions. Within ITU-R TG 5/1, a compatibility study was performed between the RAS in the band 42.5</w:t>
      </w:r>
      <w:r w:rsidR="00995C6F" w:rsidRPr="00F264F0">
        <w:t>-</w:t>
      </w:r>
      <w:r w:rsidRPr="00F264F0">
        <w:t>43.5 GHz and WBB ECS in the band 40.5-42.5 GHz indicating that separation distances ranging from 7 km to 44 km are required around RAS stations when considering both the WBB ECS OOBE and spurious emissions.</w:t>
      </w:r>
    </w:p>
    <w:p w14:paraId="7B829255" w14:textId="17986DBA" w:rsidR="00677DCE" w:rsidRPr="00F264F0" w:rsidRDefault="007D617C" w:rsidP="003C00DE">
      <w:pPr>
        <w:pStyle w:val="ECCParagraph"/>
      </w:pPr>
      <w:r w:rsidRPr="00F264F0">
        <w:t xml:space="preserve">Exclusion zones around RAS sites should be determined on a site-by-site basis at national level taking into account the OOBE limits established in Table 2 and Table 3 of the </w:t>
      </w:r>
      <w:r w:rsidR="001C72E0" w:rsidRPr="00F264F0">
        <w:t xml:space="preserve">ECC </w:t>
      </w:r>
      <w:r w:rsidRPr="00F264F0">
        <w:t>Dec</w:t>
      </w:r>
      <w:r w:rsidR="001C72E0" w:rsidRPr="00F264F0">
        <w:t>ision</w:t>
      </w:r>
      <w:r w:rsidRPr="00F264F0">
        <w:t xml:space="preserve"> </w:t>
      </w:r>
      <w:r w:rsidR="001C72E0" w:rsidRPr="00F264F0">
        <w:t>(22)</w:t>
      </w:r>
      <w:r w:rsidR="008F4604" w:rsidRPr="00F264F0">
        <w:t>06</w:t>
      </w:r>
      <w:r w:rsidR="001C72E0" w:rsidRPr="00F264F0">
        <w:t xml:space="preserve"> </w:t>
      </w:r>
      <w:r w:rsidR="00F56F75" w:rsidRPr="00F264F0">
        <w:fldChar w:fldCharType="begin"/>
      </w:r>
      <w:r w:rsidR="00F56F75" w:rsidRPr="00F264F0">
        <w:instrText xml:space="preserve"> REF _Ref104884918 \r \h </w:instrText>
      </w:r>
      <w:r w:rsidR="007556AE" w:rsidRPr="00F264F0">
        <w:instrText xml:space="preserve"> \* MERGEFORMAT </w:instrText>
      </w:r>
      <w:r w:rsidR="00F56F75" w:rsidRPr="00F264F0">
        <w:fldChar w:fldCharType="separate"/>
      </w:r>
      <w:r w:rsidR="006B156B" w:rsidRPr="00F264F0">
        <w:t>[17]</w:t>
      </w:r>
      <w:r w:rsidR="00F56F75" w:rsidRPr="00F264F0">
        <w:fldChar w:fldCharType="end"/>
      </w:r>
      <w:r w:rsidR="00B3183A" w:rsidRPr="00F264F0">
        <w:t xml:space="preserve"> </w:t>
      </w:r>
      <w:r w:rsidRPr="00F264F0">
        <w:t>which correspond to the limits defined in ETSI TS 138 104 V1</w:t>
      </w:r>
      <w:r w:rsidR="00144512" w:rsidRPr="00F264F0">
        <w:t>7</w:t>
      </w:r>
      <w:r w:rsidRPr="00F264F0">
        <w:t>.</w:t>
      </w:r>
      <w:r w:rsidR="00144512" w:rsidRPr="00F264F0">
        <w:t>6</w:t>
      </w:r>
      <w:r w:rsidRPr="00F264F0">
        <w:t>.0 (Table 9.7.4.3.3-2)</w:t>
      </w:r>
      <w:r w:rsidR="00F264F0" w:rsidRPr="00F264F0">
        <w:t xml:space="preserve"> </w:t>
      </w:r>
      <w:r w:rsidR="00F264F0" w:rsidRPr="00F264F0">
        <w:fldChar w:fldCharType="begin"/>
      </w:r>
      <w:r w:rsidR="00F264F0" w:rsidRPr="00F264F0">
        <w:instrText xml:space="preserve"> REF _Ref116551982 \r \h </w:instrText>
      </w:r>
      <w:r w:rsidR="00F264F0" w:rsidRPr="00F264F0">
        <w:fldChar w:fldCharType="separate"/>
      </w:r>
      <w:r w:rsidR="00F264F0" w:rsidRPr="00F264F0">
        <w:t>[18]</w:t>
      </w:r>
      <w:r w:rsidR="00F264F0" w:rsidRPr="00F264F0">
        <w:fldChar w:fldCharType="end"/>
      </w:r>
      <w:r w:rsidRPr="00F264F0">
        <w:t>, which refers to emission levels above 42.5 GHz for WBB ECS operating in 40.5-42.5 GHz as follows:</w:t>
      </w:r>
    </w:p>
    <w:p w14:paraId="5B34C2BC" w14:textId="65E933CC" w:rsidR="00677DCE" w:rsidRPr="00F264F0" w:rsidRDefault="007D617C" w:rsidP="00AF273B">
      <w:pPr>
        <w:pStyle w:val="ECCParagraph"/>
        <w:numPr>
          <w:ilvl w:val="0"/>
          <w:numId w:val="42"/>
        </w:numPr>
        <w:spacing w:before="60"/>
        <w:ind w:left="357" w:hanging="357"/>
      </w:pPr>
      <w:r w:rsidRPr="00F264F0">
        <w:t>either the OOBE level in 42.5 -43.5 GHz</w:t>
      </w:r>
      <w:r w:rsidR="001C72E0" w:rsidRPr="00F264F0">
        <w:t>;</w:t>
      </w:r>
    </w:p>
    <w:p w14:paraId="121F89E1" w14:textId="7D775D4A" w:rsidR="00677DCE" w:rsidRPr="00F264F0" w:rsidRDefault="007D617C" w:rsidP="00AF273B">
      <w:pPr>
        <w:pStyle w:val="ECCParagraph"/>
        <w:numPr>
          <w:ilvl w:val="0"/>
          <w:numId w:val="42"/>
        </w:numPr>
        <w:spacing w:before="60"/>
        <w:ind w:left="357" w:hanging="357"/>
      </w:pPr>
      <w:r w:rsidRPr="00F264F0">
        <w:t>or limits of transitional region</w:t>
      </w:r>
      <w:r w:rsidR="001C72E0" w:rsidRPr="00F264F0">
        <w:t>;</w:t>
      </w:r>
    </w:p>
    <w:p w14:paraId="5EF93F93" w14:textId="6742D67E" w:rsidR="00677DCE" w:rsidRPr="00F264F0" w:rsidRDefault="007D617C" w:rsidP="00AF273B">
      <w:pPr>
        <w:pStyle w:val="ECCParagraph"/>
        <w:numPr>
          <w:ilvl w:val="0"/>
          <w:numId w:val="42"/>
        </w:numPr>
        <w:spacing w:before="60"/>
        <w:ind w:left="357" w:hanging="357"/>
      </w:pPr>
      <w:r w:rsidRPr="00F264F0">
        <w:t>or baseline requirements of WBB ECS.</w:t>
      </w:r>
    </w:p>
    <w:p w14:paraId="1B08C525" w14:textId="534AB948" w:rsidR="00677DCE" w:rsidRPr="00F264F0" w:rsidRDefault="007D617C" w:rsidP="003C00DE">
      <w:pPr>
        <w:pStyle w:val="ECCParagraph"/>
      </w:pPr>
      <w:r w:rsidRPr="00F264F0">
        <w:t>CEPT noted the WBB ECS BS OOBE emission limits applicable in the frequency range 37</w:t>
      </w:r>
      <w:r w:rsidR="003C00DE" w:rsidRPr="00F264F0">
        <w:t>-</w:t>
      </w:r>
      <w:r w:rsidRPr="00F264F0">
        <w:t xml:space="preserve">52.6 GHz are defined by standardisation. </w:t>
      </w:r>
      <w:r w:rsidR="00A070A9" w:rsidRPr="00F264F0">
        <w:t xml:space="preserve">Any relaxation of </w:t>
      </w:r>
      <w:r w:rsidRPr="00F264F0">
        <w:t>the limits from the ETSI harmonised standard compared to the assumptions used in the studies supporting this CEPT analysis  may lead to an increased risk of interference.</w:t>
      </w:r>
    </w:p>
    <w:p w14:paraId="3A7FCEA5" w14:textId="77777777" w:rsidR="00677DCE" w:rsidRPr="00F264F0" w:rsidRDefault="007D617C" w:rsidP="00666BDF">
      <w:pPr>
        <w:pStyle w:val="Heading2"/>
        <w:rPr>
          <w:lang w:val="en-GB"/>
        </w:rPr>
      </w:pPr>
      <w:bookmarkStart w:id="50" w:name="_Toc518893555"/>
      <w:bookmarkStart w:id="51" w:name="_Toc506816638"/>
      <w:bookmarkStart w:id="52" w:name="_Toc107559550"/>
      <w:bookmarkStart w:id="53" w:name="_Toc119577659"/>
      <w:r w:rsidRPr="00F264F0">
        <w:rPr>
          <w:lang w:val="en-GB"/>
        </w:rPr>
        <w:t>Fixed Satellite Service</w:t>
      </w:r>
      <w:bookmarkEnd w:id="50"/>
      <w:bookmarkEnd w:id="51"/>
      <w:r w:rsidRPr="00F264F0">
        <w:rPr>
          <w:lang w:val="en-GB"/>
        </w:rPr>
        <w:t xml:space="preserve"> and Mobile satelLite service</w:t>
      </w:r>
      <w:bookmarkEnd w:id="52"/>
      <w:bookmarkEnd w:id="53"/>
    </w:p>
    <w:p w14:paraId="54275E3E" w14:textId="77777777" w:rsidR="00677DCE" w:rsidRPr="00F264F0" w:rsidRDefault="007D617C" w:rsidP="00E43E9B">
      <w:pPr>
        <w:spacing w:before="240" w:after="60"/>
        <w:rPr>
          <w:lang w:val="en-GB"/>
        </w:rPr>
      </w:pPr>
      <w:r w:rsidRPr="00F264F0">
        <w:rPr>
          <w:lang w:val="en-GB"/>
        </w:rPr>
        <w:t>Within 40.5-43.5 GHz, two sub-bands are relevant for space and satellite services:</w:t>
      </w:r>
    </w:p>
    <w:p w14:paraId="05574340" w14:textId="616EAB82" w:rsidR="00677DCE" w:rsidRPr="00F264F0" w:rsidRDefault="007D617C" w:rsidP="00AF273B">
      <w:pPr>
        <w:pStyle w:val="ECCParBulleted"/>
        <w:numPr>
          <w:ilvl w:val="0"/>
          <w:numId w:val="43"/>
        </w:numPr>
        <w:spacing w:before="60" w:after="60"/>
      </w:pPr>
      <w:r w:rsidRPr="00F264F0">
        <w:t>40.5-42.5 GHz allocated to FSS (</w:t>
      </w:r>
      <w:r w:rsidR="00B83380" w:rsidRPr="00F264F0">
        <w:t>s</w:t>
      </w:r>
      <w:r w:rsidRPr="00F264F0">
        <w:t>pace-to-</w:t>
      </w:r>
      <w:r w:rsidR="00B83380" w:rsidRPr="00F264F0">
        <w:t>E</w:t>
      </w:r>
      <w:r w:rsidRPr="00F264F0">
        <w:t>arth)</w:t>
      </w:r>
      <w:r w:rsidR="001C72E0" w:rsidRPr="00F264F0">
        <w:t>;</w:t>
      </w:r>
    </w:p>
    <w:p w14:paraId="7FBB8FBD" w14:textId="77777777" w:rsidR="00677DCE" w:rsidRPr="00F264F0" w:rsidRDefault="007D617C" w:rsidP="00AF273B">
      <w:pPr>
        <w:pStyle w:val="ECCParBulleted"/>
        <w:numPr>
          <w:ilvl w:val="0"/>
          <w:numId w:val="43"/>
        </w:numPr>
        <w:spacing w:before="60" w:after="60"/>
      </w:pPr>
      <w:r w:rsidRPr="00F264F0">
        <w:t>42.5-43.5 GHz allocated to FSS (Earth-to-space).</w:t>
      </w:r>
    </w:p>
    <w:p w14:paraId="59864D47" w14:textId="40A3D231" w:rsidR="00677DCE" w:rsidRPr="00F264F0" w:rsidRDefault="007D617C" w:rsidP="0086773A">
      <w:pPr>
        <w:spacing w:before="240" w:after="60"/>
        <w:jc w:val="both"/>
        <w:rPr>
          <w:lang w:val="en-GB"/>
        </w:rPr>
      </w:pPr>
      <w:r w:rsidRPr="00F264F0">
        <w:rPr>
          <w:lang w:val="en-GB"/>
        </w:rPr>
        <w:lastRenderedPageBreak/>
        <w:t>CEPT developed ECC Recommendation (</w:t>
      </w:r>
      <w:r w:rsidR="001C72E0" w:rsidRPr="00F264F0">
        <w:rPr>
          <w:lang w:val="en-GB"/>
        </w:rPr>
        <w:t>22)</w:t>
      </w:r>
      <w:r w:rsidR="00E90106" w:rsidRPr="00F264F0">
        <w:rPr>
          <w:lang w:val="en-GB"/>
        </w:rPr>
        <w:t>01</w:t>
      </w:r>
      <w:r w:rsidR="001C72E0" w:rsidRPr="00F264F0">
        <w:rPr>
          <w:lang w:val="en-GB"/>
        </w:rPr>
        <w:t xml:space="preserve"> </w:t>
      </w:r>
      <w:r w:rsidRPr="00F264F0">
        <w:rPr>
          <w:lang w:val="en-GB"/>
        </w:rPr>
        <w:t>delivering “</w:t>
      </w:r>
      <w:r w:rsidR="004B728A" w:rsidRPr="00F264F0">
        <w:rPr>
          <w:lang w:val="en-GB"/>
        </w:rPr>
        <w:t>Guidelines to support the introduction of MFCN in 40.5-43.5 GHz while ensuring, in a proportionate way, the use of FSS receiving earth stations in the frequency band 40.5-42.5 GHz and the use of FSS transmitting earth stations in the frequency band 42.5-43.5 GHz and the possibility for future deployment of these earth stations</w:t>
      </w:r>
      <w:r w:rsidRPr="00F264F0">
        <w:rPr>
          <w:lang w:val="en-GB"/>
        </w:rPr>
        <w:t>”</w:t>
      </w:r>
      <w:r w:rsidR="00D1046C" w:rsidRPr="00F264F0">
        <w:rPr>
          <w:lang w:val="en-GB"/>
        </w:rPr>
        <w:t xml:space="preserve"> </w:t>
      </w:r>
      <w:r w:rsidR="00D1046C" w:rsidRPr="00F264F0">
        <w:rPr>
          <w:lang w:val="en-GB"/>
        </w:rPr>
        <w:fldChar w:fldCharType="begin"/>
      </w:r>
      <w:r w:rsidR="00D1046C" w:rsidRPr="00F264F0">
        <w:rPr>
          <w:lang w:val="en-GB"/>
        </w:rPr>
        <w:instrText xml:space="preserve"> REF _Ref103332798 \r \h </w:instrText>
      </w:r>
      <w:r w:rsidR="007556AE" w:rsidRPr="00F264F0">
        <w:rPr>
          <w:lang w:val="en-GB"/>
        </w:rPr>
        <w:instrText xml:space="preserve"> \* MERGEFORMAT </w:instrText>
      </w:r>
      <w:r w:rsidR="00D1046C" w:rsidRPr="00F264F0">
        <w:rPr>
          <w:lang w:val="en-GB"/>
        </w:rPr>
      </w:r>
      <w:r w:rsidR="00D1046C" w:rsidRPr="00F264F0">
        <w:rPr>
          <w:lang w:val="en-GB"/>
        </w:rPr>
        <w:fldChar w:fldCharType="separate"/>
      </w:r>
      <w:r w:rsidR="006B156B" w:rsidRPr="00F264F0">
        <w:rPr>
          <w:lang w:val="en-GB"/>
        </w:rPr>
        <w:t>[1]</w:t>
      </w:r>
      <w:r w:rsidR="00D1046C" w:rsidRPr="00F264F0">
        <w:rPr>
          <w:lang w:val="en-GB"/>
        </w:rPr>
        <w:fldChar w:fldCharType="end"/>
      </w:r>
      <w:r w:rsidR="00D1046C" w:rsidRPr="00F264F0">
        <w:rPr>
          <w:lang w:val="en-GB"/>
        </w:rPr>
        <w:t>.</w:t>
      </w:r>
    </w:p>
    <w:p w14:paraId="57F9434F" w14:textId="1F57D37C" w:rsidR="00677DCE" w:rsidRPr="00F264F0" w:rsidRDefault="007D617C" w:rsidP="00E43E9B">
      <w:pPr>
        <w:spacing w:before="240" w:after="60"/>
        <w:jc w:val="both"/>
        <w:rPr>
          <w:lang w:val="en-GB"/>
        </w:rPr>
      </w:pPr>
      <w:r w:rsidRPr="00F264F0">
        <w:rPr>
          <w:lang w:val="en-GB"/>
        </w:rPr>
        <w:t xml:space="preserve">Section </w:t>
      </w:r>
      <w:r w:rsidR="00E43E9B" w:rsidRPr="00F264F0">
        <w:rPr>
          <w:lang w:val="en-GB"/>
        </w:rPr>
        <w:fldChar w:fldCharType="begin"/>
      </w:r>
      <w:r w:rsidR="00E43E9B" w:rsidRPr="00F264F0">
        <w:rPr>
          <w:lang w:val="en-GB"/>
        </w:rPr>
        <w:instrText xml:space="preserve"> REF _Ref103768526 \r \h </w:instrText>
      </w:r>
      <w:r w:rsidR="007556AE" w:rsidRPr="00F264F0">
        <w:rPr>
          <w:lang w:val="en-GB"/>
        </w:rPr>
        <w:instrText xml:space="preserve"> \* MERGEFORMAT </w:instrText>
      </w:r>
      <w:r w:rsidR="00E43E9B" w:rsidRPr="00F264F0">
        <w:rPr>
          <w:lang w:val="en-GB"/>
        </w:rPr>
      </w:r>
      <w:r w:rsidR="00E43E9B" w:rsidRPr="00F264F0">
        <w:rPr>
          <w:lang w:val="en-GB"/>
        </w:rPr>
        <w:fldChar w:fldCharType="separate"/>
      </w:r>
      <w:r w:rsidR="006B156B" w:rsidRPr="00F264F0">
        <w:rPr>
          <w:lang w:val="en-GB"/>
        </w:rPr>
        <w:t>4.3.3</w:t>
      </w:r>
      <w:r w:rsidR="00E43E9B" w:rsidRPr="00F264F0">
        <w:rPr>
          <w:lang w:val="en-GB"/>
        </w:rPr>
        <w:fldChar w:fldCharType="end"/>
      </w:r>
      <w:r w:rsidRPr="00F264F0">
        <w:rPr>
          <w:lang w:val="en-GB"/>
        </w:rPr>
        <w:t xml:space="preserve"> addresses </w:t>
      </w:r>
      <w:r w:rsidR="00D1046C" w:rsidRPr="00F264F0">
        <w:rPr>
          <w:lang w:val="en-GB"/>
        </w:rPr>
        <w:t>FSS</w:t>
      </w:r>
      <w:r w:rsidRPr="00F264F0">
        <w:rPr>
          <w:lang w:val="en-GB"/>
        </w:rPr>
        <w:t>/MSS below 40.5 GHz.</w:t>
      </w:r>
      <w:r w:rsidR="001C72E0" w:rsidRPr="00F264F0">
        <w:rPr>
          <w:lang w:val="en-GB"/>
        </w:rPr>
        <w:t xml:space="preserve"> </w:t>
      </w:r>
      <w:r w:rsidRPr="00F264F0">
        <w:rPr>
          <w:lang w:val="en-GB"/>
        </w:rPr>
        <w:t xml:space="preserve">CEPT </w:t>
      </w:r>
      <w:r w:rsidR="004B728A" w:rsidRPr="00F264F0">
        <w:rPr>
          <w:lang w:val="en-GB"/>
        </w:rPr>
        <w:t xml:space="preserve">is currently </w:t>
      </w:r>
      <w:r w:rsidRPr="00F264F0">
        <w:rPr>
          <w:lang w:val="en-GB"/>
        </w:rPr>
        <w:t>updat</w:t>
      </w:r>
      <w:r w:rsidR="004B728A" w:rsidRPr="00F264F0">
        <w:rPr>
          <w:lang w:val="en-GB"/>
        </w:rPr>
        <w:t>ing</w:t>
      </w:r>
      <w:r w:rsidRPr="00F264F0">
        <w:rPr>
          <w:lang w:val="en-GB"/>
        </w:rPr>
        <w:t xml:space="preserve"> ECC Decision (02)04 </w:t>
      </w:r>
      <w:r w:rsidR="00D1046C" w:rsidRPr="00F264F0">
        <w:rPr>
          <w:lang w:val="en-GB"/>
        </w:rPr>
        <w:fldChar w:fldCharType="begin"/>
      </w:r>
      <w:r w:rsidR="00D1046C" w:rsidRPr="00F264F0">
        <w:rPr>
          <w:lang w:val="en-GB"/>
        </w:rPr>
        <w:instrText xml:space="preserve"> REF _Ref103957616 \r \h </w:instrText>
      </w:r>
      <w:r w:rsidR="007556AE" w:rsidRPr="00F264F0">
        <w:rPr>
          <w:lang w:val="en-GB"/>
        </w:rPr>
        <w:instrText xml:space="preserve"> \* MERGEFORMAT </w:instrText>
      </w:r>
      <w:r w:rsidR="00D1046C" w:rsidRPr="00F264F0">
        <w:rPr>
          <w:lang w:val="en-GB"/>
        </w:rPr>
      </w:r>
      <w:r w:rsidR="00D1046C" w:rsidRPr="00F264F0">
        <w:rPr>
          <w:lang w:val="en-GB"/>
        </w:rPr>
        <w:fldChar w:fldCharType="separate"/>
      </w:r>
      <w:r w:rsidR="006B156B" w:rsidRPr="00F264F0">
        <w:rPr>
          <w:lang w:val="en-GB"/>
        </w:rPr>
        <w:t>[11]</w:t>
      </w:r>
      <w:r w:rsidR="00D1046C" w:rsidRPr="00F264F0">
        <w:rPr>
          <w:lang w:val="en-GB"/>
        </w:rPr>
        <w:fldChar w:fldCharType="end"/>
      </w:r>
      <w:r w:rsidR="00D1046C" w:rsidRPr="00F264F0">
        <w:rPr>
          <w:lang w:val="en-GB"/>
        </w:rPr>
        <w:t xml:space="preserve"> </w:t>
      </w:r>
      <w:r w:rsidRPr="00F264F0">
        <w:rPr>
          <w:lang w:val="en-GB"/>
        </w:rPr>
        <w:t>to reflect FSS use of the 40.5-43.5 GHz band.</w:t>
      </w:r>
    </w:p>
    <w:p w14:paraId="109818C6" w14:textId="77777777" w:rsidR="00677DCE" w:rsidRPr="00F264F0" w:rsidRDefault="007D617C" w:rsidP="0036158F">
      <w:pPr>
        <w:pStyle w:val="Heading3"/>
        <w:rPr>
          <w:lang w:val="en-GB"/>
        </w:rPr>
      </w:pPr>
      <w:bookmarkStart w:id="54" w:name="_Toc506816640"/>
      <w:bookmarkStart w:id="55" w:name="_Toc518893557"/>
      <w:bookmarkStart w:id="56" w:name="_Toc107559551"/>
      <w:bookmarkStart w:id="57" w:name="_Toc119577660"/>
      <w:r w:rsidRPr="00F264F0">
        <w:rPr>
          <w:lang w:val="en-GB"/>
        </w:rPr>
        <w:t xml:space="preserve">Fixed-Satellite </w:t>
      </w:r>
      <w:bookmarkEnd w:id="54"/>
      <w:r w:rsidRPr="00F264F0">
        <w:rPr>
          <w:lang w:val="en-GB"/>
        </w:rPr>
        <w:t>Service</w:t>
      </w:r>
      <w:bookmarkEnd w:id="55"/>
      <w:r w:rsidRPr="00F264F0">
        <w:rPr>
          <w:lang w:val="en-GB"/>
        </w:rPr>
        <w:t xml:space="preserve"> in the band 40.5-42.5 GHz</w:t>
      </w:r>
      <w:bookmarkEnd w:id="56"/>
      <w:bookmarkEnd w:id="57"/>
    </w:p>
    <w:p w14:paraId="7FFC7D13" w14:textId="0375039B" w:rsidR="00677DCE" w:rsidRPr="00F264F0" w:rsidRDefault="007D617C" w:rsidP="0075149B">
      <w:pPr>
        <w:pStyle w:val="ECCParagraph"/>
      </w:pPr>
      <w:r w:rsidRPr="00F264F0">
        <w:t xml:space="preserve">With respect to the protection of the receiving FSS earth station based on the results of the WRC-19 studies, coexistence issues can be managed at national level (see </w:t>
      </w:r>
      <w:r w:rsidR="00E43E9B" w:rsidRPr="00F264F0">
        <w:fldChar w:fldCharType="begin"/>
      </w:r>
      <w:r w:rsidR="00E43E9B" w:rsidRPr="00F264F0">
        <w:instrText xml:space="preserve"> REF _Ref103768548 \r \h </w:instrText>
      </w:r>
      <w:r w:rsidR="00E43E9B" w:rsidRPr="00F264F0">
        <w:fldChar w:fldCharType="separate"/>
      </w:r>
      <w:r w:rsidR="00E43E9B" w:rsidRPr="00F264F0">
        <w:t>ANNEX 3</w:t>
      </w:r>
      <w:r w:rsidR="00E43E9B" w:rsidRPr="00F264F0">
        <w:fldChar w:fldCharType="end"/>
      </w:r>
      <w:r w:rsidRPr="00F264F0">
        <w:t>).</w:t>
      </w:r>
    </w:p>
    <w:p w14:paraId="14573FEF" w14:textId="3B1810C6" w:rsidR="00677DCE" w:rsidRPr="00F264F0" w:rsidRDefault="007D617C" w:rsidP="0075149B">
      <w:pPr>
        <w:spacing w:before="240" w:after="60"/>
        <w:jc w:val="both"/>
        <w:rPr>
          <w:lang w:val="en-GB"/>
        </w:rPr>
      </w:pPr>
      <w:r w:rsidRPr="00F264F0">
        <w:rPr>
          <w:lang w:val="en-GB"/>
        </w:rPr>
        <w:t xml:space="preserve">It is noted that the protection of these satellite services is generally based on an authorisation regime where the location of WBB ECS base stations is known. Where this is not the case, additional provisions are needed. CEPT </w:t>
      </w:r>
      <w:r w:rsidR="008B3613" w:rsidRPr="00F264F0">
        <w:rPr>
          <w:lang w:val="en-GB"/>
        </w:rPr>
        <w:t xml:space="preserve">has </w:t>
      </w:r>
      <w:r w:rsidRPr="00F264F0">
        <w:rPr>
          <w:lang w:val="en-GB"/>
        </w:rPr>
        <w:t>develop</w:t>
      </w:r>
      <w:r w:rsidR="008B3613" w:rsidRPr="00F264F0">
        <w:rPr>
          <w:lang w:val="en-GB"/>
        </w:rPr>
        <w:t>ed</w:t>
      </w:r>
      <w:r w:rsidRPr="00F264F0">
        <w:rPr>
          <w:lang w:val="en-GB"/>
        </w:rPr>
        <w:t xml:space="preserve"> guidelines to help Member </w:t>
      </w:r>
      <w:r w:rsidR="008B3613" w:rsidRPr="00F264F0">
        <w:rPr>
          <w:lang w:val="en-GB"/>
        </w:rPr>
        <w:t xml:space="preserve">States </w:t>
      </w:r>
      <w:r w:rsidRPr="00F264F0">
        <w:rPr>
          <w:lang w:val="en-GB"/>
        </w:rPr>
        <w:t xml:space="preserve">to manage this issue at national level (see </w:t>
      </w:r>
      <w:r w:rsidR="009D127F" w:rsidRPr="00F264F0">
        <w:rPr>
          <w:lang w:val="en-GB"/>
        </w:rPr>
        <w:fldChar w:fldCharType="begin"/>
      </w:r>
      <w:r w:rsidR="009D127F" w:rsidRPr="00F264F0">
        <w:rPr>
          <w:lang w:val="en-GB"/>
        </w:rPr>
        <w:instrText xml:space="preserve"> REF _Ref103768958 \r \h </w:instrText>
      </w:r>
      <w:r w:rsidR="009D127F" w:rsidRPr="00F264F0">
        <w:rPr>
          <w:lang w:val="en-GB"/>
        </w:rPr>
      </w:r>
      <w:r w:rsidR="009D127F" w:rsidRPr="00F264F0">
        <w:rPr>
          <w:lang w:val="en-GB"/>
        </w:rPr>
        <w:fldChar w:fldCharType="separate"/>
      </w:r>
      <w:r w:rsidR="009D127F" w:rsidRPr="00F264F0">
        <w:rPr>
          <w:lang w:val="en-GB"/>
        </w:rPr>
        <w:t>ANNEX 3</w:t>
      </w:r>
      <w:r w:rsidR="009D127F" w:rsidRPr="00F264F0">
        <w:rPr>
          <w:lang w:val="en-GB"/>
        </w:rPr>
        <w:fldChar w:fldCharType="end"/>
      </w:r>
      <w:r w:rsidRPr="00F264F0">
        <w:rPr>
          <w:lang w:val="en-GB"/>
        </w:rPr>
        <w:t xml:space="preserve">). Administrations may need to establish limits on the </w:t>
      </w:r>
      <w:r w:rsidR="00BA4512" w:rsidRPr="00F264F0">
        <w:rPr>
          <w:lang w:val="en-GB"/>
        </w:rPr>
        <w:t>e.i.r.p.</w:t>
      </w:r>
      <w:r w:rsidRPr="00F264F0">
        <w:rPr>
          <w:lang w:val="en-GB"/>
        </w:rPr>
        <w:t xml:space="preserve">/TRP of WBB ECS stations (base stations and user terminals) as a basis to determine the required coordination distances without impacting the LRTC developed in this </w:t>
      </w:r>
      <w:r w:rsidR="00BD6CE9" w:rsidRPr="00F264F0">
        <w:rPr>
          <w:lang w:val="en-GB"/>
        </w:rPr>
        <w:t>Report.</w:t>
      </w:r>
      <w:r w:rsidRPr="00F264F0">
        <w:rPr>
          <w:lang w:val="en-GB"/>
        </w:rPr>
        <w:t xml:space="preserve"> The ECC Recommendation mentioned above will assist </w:t>
      </w:r>
      <w:r w:rsidR="00225172" w:rsidRPr="00F264F0">
        <w:rPr>
          <w:lang w:val="en-GB"/>
        </w:rPr>
        <w:t xml:space="preserve">administrations </w:t>
      </w:r>
      <w:r w:rsidRPr="00F264F0">
        <w:rPr>
          <w:lang w:val="en-GB"/>
        </w:rPr>
        <w:t>on this issue.</w:t>
      </w:r>
    </w:p>
    <w:p w14:paraId="155623FD" w14:textId="12C1A4B5" w:rsidR="00677DCE" w:rsidRPr="00F264F0" w:rsidRDefault="007D617C" w:rsidP="0075149B">
      <w:pPr>
        <w:spacing w:before="240" w:after="60"/>
        <w:jc w:val="both"/>
        <w:rPr>
          <w:lang w:val="en-GB"/>
        </w:rPr>
      </w:pPr>
      <w:r w:rsidRPr="00F264F0">
        <w:rPr>
          <w:lang w:val="en-GB"/>
        </w:rPr>
        <w:t xml:space="preserve">WRC-19 sharing studies between IMT and FSS (space-to-Earth) in this band provided results in terms of separation distances between an IMT network and an FSS earth station, and probabilities that an IMT network may have the potential to cause interference to an FSS earth station at different separation distances. Separation distances calculated in these studies are between 210 meters, up to a maximum of around 2 </w:t>
      </w:r>
      <w:r w:rsidR="00225172" w:rsidRPr="00F264F0">
        <w:rPr>
          <w:lang w:val="en-GB"/>
        </w:rPr>
        <w:t>kilometres</w:t>
      </w:r>
      <w:r w:rsidRPr="00F264F0">
        <w:rPr>
          <w:lang w:val="en-GB"/>
        </w:rPr>
        <w:t>, with low probabilities that the levels of aggregate emissions from WBB ECS network may potentially cause interference to an FSS earth station.</w:t>
      </w:r>
    </w:p>
    <w:p w14:paraId="76701E2F" w14:textId="25485000" w:rsidR="00677DCE" w:rsidRPr="00F264F0" w:rsidRDefault="007D617C" w:rsidP="0075149B">
      <w:pPr>
        <w:spacing w:before="240" w:after="60"/>
        <w:jc w:val="both"/>
        <w:rPr>
          <w:lang w:val="en-GB"/>
        </w:rPr>
      </w:pPr>
      <w:r w:rsidRPr="00F264F0">
        <w:rPr>
          <w:lang w:val="en-GB"/>
        </w:rPr>
        <w:t>Separation distances for individual earth stations need to be calculated using site-specific terrain and clutter information. It is considered that the protection of FSS (</w:t>
      </w:r>
      <w:r w:rsidR="00DC4B0E" w:rsidRPr="00F264F0">
        <w:rPr>
          <w:lang w:val="en-GB"/>
        </w:rPr>
        <w:t>space-to-Earth</w:t>
      </w:r>
      <w:r w:rsidRPr="00F264F0">
        <w:rPr>
          <w:lang w:val="en-GB"/>
        </w:rPr>
        <w:t xml:space="preserve">) in this band is a national issue to be addressed on a </w:t>
      </w:r>
      <w:r w:rsidR="00B83380" w:rsidRPr="00F264F0">
        <w:rPr>
          <w:lang w:val="en-GB"/>
        </w:rPr>
        <w:t>case-by-case</w:t>
      </w:r>
      <w:r w:rsidRPr="00F264F0">
        <w:rPr>
          <w:lang w:val="en-GB"/>
        </w:rPr>
        <w:t xml:space="preserve"> basis since the use of the band by FSS is limited to coordinated earth stations.</w:t>
      </w:r>
    </w:p>
    <w:p w14:paraId="4642EA3C" w14:textId="77777777" w:rsidR="00677DCE" w:rsidRPr="00F264F0" w:rsidRDefault="007D617C" w:rsidP="0036158F">
      <w:pPr>
        <w:pStyle w:val="Heading3"/>
        <w:rPr>
          <w:lang w:val="en-GB"/>
        </w:rPr>
      </w:pPr>
      <w:bookmarkStart w:id="58" w:name="_Toc107559552"/>
      <w:bookmarkStart w:id="59" w:name="_Toc119577661"/>
      <w:r w:rsidRPr="00F264F0">
        <w:rPr>
          <w:lang w:val="en-GB"/>
        </w:rPr>
        <w:t>Fixed-Satellite Service in the band 42.5-43.5 GHz</w:t>
      </w:r>
      <w:bookmarkEnd w:id="58"/>
      <w:bookmarkEnd w:id="59"/>
    </w:p>
    <w:p w14:paraId="55A666C4" w14:textId="44047F64" w:rsidR="00677DCE" w:rsidRPr="00F264F0" w:rsidRDefault="007D617C" w:rsidP="00D428E6">
      <w:pPr>
        <w:pStyle w:val="ECCParagraph"/>
      </w:pPr>
      <w:r w:rsidRPr="00F264F0">
        <w:t>This section refers to WBB ECS coexistence issues with receiving space stations and transmitting earth stations.</w:t>
      </w:r>
    </w:p>
    <w:p w14:paraId="6BC160D1" w14:textId="6531606E" w:rsidR="00677DCE" w:rsidRPr="00F264F0" w:rsidRDefault="007D617C" w:rsidP="000A11CB">
      <w:pPr>
        <w:pStyle w:val="Heading4"/>
        <w:rPr>
          <w:b/>
          <w:lang w:val="en-GB"/>
        </w:rPr>
      </w:pPr>
      <w:bookmarkStart w:id="60" w:name="_Toc107559553"/>
      <w:r w:rsidRPr="00F264F0">
        <w:rPr>
          <w:lang w:val="en-GB"/>
        </w:rPr>
        <w:t>4.3.2.1 Protection of the FSS satellite receivers in 42.5</w:t>
      </w:r>
      <w:r w:rsidR="003C00DE" w:rsidRPr="00F264F0">
        <w:rPr>
          <w:lang w:val="en-GB"/>
        </w:rPr>
        <w:t>-</w:t>
      </w:r>
      <w:r w:rsidRPr="00F264F0">
        <w:rPr>
          <w:lang w:val="en-GB"/>
        </w:rPr>
        <w:t>43.5 GHz</w:t>
      </w:r>
      <w:bookmarkEnd w:id="60"/>
    </w:p>
    <w:p w14:paraId="08DBBE0D" w14:textId="1FCF641F" w:rsidR="00677DCE" w:rsidRPr="00F264F0" w:rsidRDefault="007D617C">
      <w:pPr>
        <w:pStyle w:val="ECCParagraph"/>
      </w:pPr>
      <w:r w:rsidRPr="00F264F0">
        <w:t>With respect to the protection of the FSS satellite receiver</w:t>
      </w:r>
      <w:r w:rsidR="00255E66" w:rsidRPr="00F264F0">
        <w:t>s</w:t>
      </w:r>
      <w:r w:rsidRPr="00F264F0">
        <w:t xml:space="preserve"> in 42.5</w:t>
      </w:r>
      <w:r w:rsidR="003C00DE" w:rsidRPr="00F264F0">
        <w:t>-</w:t>
      </w:r>
      <w:r w:rsidRPr="00F264F0">
        <w:t>43.5 GHz</w:t>
      </w:r>
      <w:r w:rsidR="00CF66A8" w:rsidRPr="00F264F0">
        <w:t xml:space="preserve">, </w:t>
      </w:r>
      <w:r w:rsidRPr="00F264F0">
        <w:t>based on the deployment scenarios and characteristics provided for the WRC-19 studies, most sharing studies between IMT and FSS (Earth-to-space) in the 42.5-43.5 GHz band show that there is a sufficient protection margin between the level of emissions that would be expected from WBB ECS networks and the level that could potentially cause interference (aggregated) to FSS space stations.</w:t>
      </w:r>
    </w:p>
    <w:p w14:paraId="7116BC61" w14:textId="35DA4682" w:rsidR="00677DCE" w:rsidRPr="00F264F0" w:rsidRDefault="007D617C">
      <w:pPr>
        <w:pStyle w:val="ECCParagraph"/>
      </w:pPr>
      <w:r w:rsidRPr="00F264F0">
        <w:t>The results of WRC-19 studies are summari</w:t>
      </w:r>
      <w:r w:rsidR="00F84F82" w:rsidRPr="00F264F0">
        <w:t>s</w:t>
      </w:r>
      <w:r w:rsidRPr="00F264F0">
        <w:t>ed as follows</w:t>
      </w:r>
      <w:r w:rsidR="001C72E0" w:rsidRPr="00F264F0">
        <w:t>:</w:t>
      </w:r>
    </w:p>
    <w:p w14:paraId="1045D645" w14:textId="54B70455" w:rsidR="00677DCE" w:rsidRPr="00F264F0" w:rsidRDefault="007D617C" w:rsidP="00351874">
      <w:pPr>
        <w:pStyle w:val="ECCBulletsLv1"/>
        <w:numPr>
          <w:ilvl w:val="0"/>
          <w:numId w:val="52"/>
        </w:numPr>
        <w:rPr>
          <w:rStyle w:val="ECCHLunderlined"/>
          <w:szCs w:val="24"/>
        </w:rPr>
      </w:pPr>
      <w:r w:rsidRPr="00F264F0">
        <w:rPr>
          <w:rStyle w:val="ECCHLunderlined"/>
          <w:u w:val="none"/>
        </w:rPr>
        <w:t>FSS GSO</w:t>
      </w:r>
      <w:r w:rsidRPr="00F264F0">
        <w:t xml:space="preserve">: sharing studies using the agreed parameters have shown that GSO FSS would be protected with a positive margin. A study showed I/N values ranging from -43.46 dB I/N to -26.5 dB I/N. When compared with the -10.5 dB I/N (exceeded up to 20% or I/N average) protection criterion, all studies show a positive margin. Sensitivity analysis in line with the agreed methodology on how to vary the parameters found </w:t>
      </w:r>
      <w:r w:rsidR="00930B55" w:rsidRPr="00F264F0">
        <w:t xml:space="preserve">that </w:t>
      </w:r>
      <w:r w:rsidRPr="00F264F0">
        <w:t>a positive margin compared to the protection criterion is maintained</w:t>
      </w:r>
      <w:r w:rsidR="001C72E0" w:rsidRPr="00F264F0">
        <w:t>;</w:t>
      </w:r>
    </w:p>
    <w:p w14:paraId="5C98DC22" w14:textId="102D19BB" w:rsidR="00677DCE" w:rsidRPr="00F264F0" w:rsidRDefault="007D617C" w:rsidP="00351874">
      <w:pPr>
        <w:pStyle w:val="ECCBulletsLv1"/>
        <w:numPr>
          <w:ilvl w:val="0"/>
          <w:numId w:val="52"/>
        </w:numPr>
      </w:pPr>
      <w:r w:rsidRPr="00F264F0">
        <w:rPr>
          <w:rStyle w:val="ECCHLunderlined"/>
          <w:u w:val="none"/>
        </w:rPr>
        <w:t>FSS non-GSO</w:t>
      </w:r>
      <w:r w:rsidRPr="00F264F0">
        <w:t>: sharing studies using the agreed parameters have shown that non-GSO FSS would be protected with a positive margin. Studies have show</w:t>
      </w:r>
      <w:r w:rsidR="001C72E0" w:rsidRPr="00F264F0">
        <w:t>n</w:t>
      </w:r>
      <w:r w:rsidRPr="00F264F0">
        <w:t xml:space="preserve"> I/N values ranging from -34.8 dB I/N to -38.2 dB I/N for both fixed orbit positions and dynamic cases. One study showed a worst case I/N value of -21.3 dB I/N. However, several other simulations under similar assumptions have resulted in an I/N below -30 dB instead of -21.3 dB. When compared with the -10.5 dB I/N (20% or I/N average) protection criterion, all studies show a positive margin.</w:t>
      </w:r>
    </w:p>
    <w:p w14:paraId="6F41F4D1" w14:textId="6560D714" w:rsidR="00677DCE" w:rsidRPr="00F264F0" w:rsidRDefault="007D617C">
      <w:pPr>
        <w:pStyle w:val="ECCParagraph"/>
      </w:pPr>
      <w:r w:rsidRPr="00F264F0">
        <w:t>CEPT proposes to implement a similar approach as for the protection of FSS satellite receivers at 26 GHz</w:t>
      </w:r>
      <w:r w:rsidR="0067034C" w:rsidRPr="00F264F0">
        <w:t>:</w:t>
      </w:r>
    </w:p>
    <w:p w14:paraId="24361954" w14:textId="34C6C02A" w:rsidR="00677DCE" w:rsidRPr="00F264F0" w:rsidRDefault="007D617C" w:rsidP="00351874">
      <w:pPr>
        <w:pStyle w:val="ECCBulletsLv1"/>
        <w:numPr>
          <w:ilvl w:val="0"/>
          <w:numId w:val="53"/>
        </w:numPr>
      </w:pPr>
      <w:r w:rsidRPr="00F264F0">
        <w:lastRenderedPageBreak/>
        <w:t xml:space="preserve">Assessment, on </w:t>
      </w:r>
      <w:r w:rsidR="001C7359" w:rsidRPr="00F264F0">
        <w:t xml:space="preserve">a </w:t>
      </w:r>
      <w:r w:rsidRPr="00F264F0">
        <w:t xml:space="preserve">regular basis, </w:t>
      </w:r>
      <w:r w:rsidR="0067034C" w:rsidRPr="00F264F0">
        <w:t xml:space="preserve">of </w:t>
      </w:r>
      <w:r w:rsidRPr="00F264F0">
        <w:t xml:space="preserve">the deployment of WBB ECS system including characteristics </w:t>
      </w:r>
      <w:r w:rsidR="001C7359" w:rsidRPr="00F264F0">
        <w:t xml:space="preserve">of </w:t>
      </w:r>
      <w:r w:rsidRPr="00F264F0">
        <w:t xml:space="preserve">network deployments. Administrations are invited to monitor and report annually to ECO on deployment of 40.5-43.5 GHz WBB ECS in their country. The framework will be reviewed in a </w:t>
      </w:r>
      <w:r w:rsidR="00B0782F" w:rsidRPr="00F264F0">
        <w:t>three</w:t>
      </w:r>
      <w:r w:rsidRPr="00F264F0">
        <w:t xml:space="preserve"> year period or earlier in order to provide additional confidence that such evolution will continue to ensure the adequate protection of other services, in particular space services</w:t>
      </w:r>
      <w:r w:rsidR="0067034C" w:rsidRPr="00F264F0">
        <w:t>;</w:t>
      </w:r>
    </w:p>
    <w:p w14:paraId="3DDE7D24" w14:textId="389A1EBE" w:rsidR="00677DCE" w:rsidRPr="00F264F0" w:rsidRDefault="007D617C" w:rsidP="00351874">
      <w:pPr>
        <w:pStyle w:val="ECCBulletsLv1"/>
        <w:numPr>
          <w:ilvl w:val="0"/>
          <w:numId w:val="53"/>
        </w:numPr>
      </w:pPr>
      <w:r w:rsidRPr="00F264F0">
        <w:t xml:space="preserve">Under authorisation regimes where there are no means to monitor the evolution of WBB ECS density and its deployment characteristics, an in-band limit for the TRP for WBB ECS equipment could be defined. This could compensate for the uncertainty related to the deployment density and to the effective implementation of the antenna pointing restriction, as well as the impossibility for </w:t>
      </w:r>
      <w:proofErr w:type="gramStart"/>
      <w:r w:rsidRPr="00F264F0">
        <w:t>reviewing precisely</w:t>
      </w:r>
      <w:proofErr w:type="gramEnd"/>
      <w:r w:rsidRPr="00F264F0">
        <w:t xml:space="preserve"> the effective deployment characteristics and their impact on the interference level to satellites</w:t>
      </w:r>
      <w:r w:rsidR="0067034C" w:rsidRPr="00F264F0">
        <w:t>;</w:t>
      </w:r>
    </w:p>
    <w:p w14:paraId="3BB939AD" w14:textId="236E66E8" w:rsidR="00677DCE" w:rsidRPr="00F264F0" w:rsidRDefault="007D617C" w:rsidP="00351874">
      <w:pPr>
        <w:pStyle w:val="ECCBulletsLv1"/>
        <w:numPr>
          <w:ilvl w:val="0"/>
          <w:numId w:val="53"/>
        </w:numPr>
      </w:pPr>
      <w:r w:rsidRPr="00F264F0">
        <w:t>General antenna provision: In addition, the harmonised technical conditions include a general provision requiring that outdoor base station deployments shall ensure that the antenna beam is normally below the horizon and outdoor base station</w:t>
      </w:r>
      <w:r w:rsidR="00A45AE0" w:rsidRPr="00F264F0">
        <w:t>s</w:t>
      </w:r>
      <w:r w:rsidRPr="00F264F0">
        <w:t xml:space="preserve"> shall not have mechanical pointing above the horizon. This would help </w:t>
      </w:r>
      <w:r w:rsidR="00A45AE0" w:rsidRPr="00F264F0">
        <w:t xml:space="preserve">in </w:t>
      </w:r>
      <w:r w:rsidRPr="00F264F0">
        <w:t>preventing WBB ECS base stations with antenna pointing directly towards the sky which, in case there are many such deployments, would significantly increase the interference potential to FSS.</w:t>
      </w:r>
    </w:p>
    <w:p w14:paraId="6590F02F" w14:textId="23DDBF6B" w:rsidR="00677DCE" w:rsidRPr="00F264F0" w:rsidRDefault="007D617C" w:rsidP="00F84F82">
      <w:pPr>
        <w:pStyle w:val="ECCParagraph"/>
      </w:pPr>
      <w:r w:rsidRPr="00F264F0">
        <w:t>An authorisation regime where the location</w:t>
      </w:r>
      <w:r w:rsidR="0067034C" w:rsidRPr="00F264F0">
        <w:t>s</w:t>
      </w:r>
      <w:r w:rsidRPr="00F264F0">
        <w:t xml:space="preserve"> of WBB ECS base stations are planned and well known would assist in the protection of these satellite services.</w:t>
      </w:r>
    </w:p>
    <w:p w14:paraId="6B0DF13F" w14:textId="24DFDFA6" w:rsidR="00677DCE" w:rsidRPr="00F264F0" w:rsidRDefault="007D617C" w:rsidP="000A11CB">
      <w:pPr>
        <w:pStyle w:val="Heading4"/>
        <w:rPr>
          <w:b/>
          <w:lang w:val="en-GB"/>
        </w:rPr>
      </w:pPr>
      <w:bookmarkStart w:id="61" w:name="_Toc107559554"/>
      <w:r w:rsidRPr="00F264F0">
        <w:rPr>
          <w:lang w:val="en-GB"/>
        </w:rPr>
        <w:t>4.3.2.2 Protection of WBB ECS from FSS transmitting earth station emissions</w:t>
      </w:r>
      <w:bookmarkEnd w:id="61"/>
    </w:p>
    <w:p w14:paraId="6B8F701F" w14:textId="3B93AA90" w:rsidR="00677DCE" w:rsidRPr="00F264F0" w:rsidRDefault="007D617C" w:rsidP="00911F69">
      <w:pPr>
        <w:pStyle w:val="ECCParagraph"/>
      </w:pPr>
      <w:r w:rsidRPr="00F264F0">
        <w:t>Based on results of the WRC-19 sharing studies, coexistence issues in terms of protection of WBB ECS from FSS earth station emissions can be managed at national level, with the LRTC developed in this Report.</w:t>
      </w:r>
      <w:bookmarkStart w:id="62" w:name="move90546832"/>
      <w:bookmarkEnd w:id="62"/>
    </w:p>
    <w:p w14:paraId="78CD4BF2" w14:textId="446D992B" w:rsidR="00677DCE" w:rsidRPr="00F264F0" w:rsidRDefault="007D617C" w:rsidP="00294A26">
      <w:pPr>
        <w:spacing w:before="240" w:after="60"/>
        <w:jc w:val="both"/>
        <w:rPr>
          <w:lang w:val="en-GB"/>
        </w:rPr>
      </w:pPr>
      <w:r w:rsidRPr="00F264F0">
        <w:rPr>
          <w:rStyle w:val="ECCHLunderlined"/>
          <w:u w:val="none"/>
          <w:lang w:val="en-GB"/>
        </w:rPr>
        <w:t xml:space="preserve">Regarding interference from FSS ESs into </w:t>
      </w:r>
      <w:r w:rsidRPr="00F264F0">
        <w:rPr>
          <w:lang w:val="en-GB"/>
        </w:rPr>
        <w:t xml:space="preserve">WBB ECS, studies showed separation distances between WBB ECS base stations and FSS </w:t>
      </w:r>
      <w:r w:rsidR="00E43E9B" w:rsidRPr="00F264F0">
        <w:rPr>
          <w:lang w:val="en-GB"/>
        </w:rPr>
        <w:t>e</w:t>
      </w:r>
      <w:r w:rsidRPr="00F264F0">
        <w:rPr>
          <w:lang w:val="en-GB"/>
        </w:rPr>
        <w:t>arth stations are from 160 m to 4 km. Where FSS earth stations and WBB ECS stations are in the same geographical area sharing could be dealt with on a case-by-case basis.</w:t>
      </w:r>
      <w:bookmarkStart w:id="63" w:name="move90546781"/>
      <w:bookmarkEnd w:id="63"/>
    </w:p>
    <w:p w14:paraId="28FFFA45" w14:textId="5C16AAD2" w:rsidR="00677DCE" w:rsidRPr="00F264F0" w:rsidRDefault="007D617C">
      <w:pPr>
        <w:pStyle w:val="ECCParagraph"/>
      </w:pPr>
      <w:r w:rsidRPr="00F264F0">
        <w:t>For the case where the location of WBB ECS base stations is not known in the authorisation framework, it could be an option to rely on the provision that such WBB ECS equipment operates on a non-protection basis, but this may result in cases of insufficient protection of WBB ECS from emission of FSS earth stations. Other options are described in the ECC Recommendation (22)</w:t>
      </w:r>
      <w:r w:rsidR="00E90106" w:rsidRPr="00F264F0">
        <w:t>01</w:t>
      </w:r>
      <w:r w:rsidR="00B910D0" w:rsidRPr="00F264F0">
        <w:t xml:space="preserve"> </w:t>
      </w:r>
      <w:r w:rsidR="00AB5BE0" w:rsidRPr="00F264F0">
        <w:fldChar w:fldCharType="begin"/>
      </w:r>
      <w:r w:rsidR="00AB5BE0" w:rsidRPr="00F264F0">
        <w:instrText xml:space="preserve"> REF _Ref103332798 \r \h </w:instrText>
      </w:r>
      <w:r w:rsidR="007556AE" w:rsidRPr="00F264F0">
        <w:instrText xml:space="preserve"> \* MERGEFORMAT </w:instrText>
      </w:r>
      <w:r w:rsidR="00AB5BE0" w:rsidRPr="00F264F0">
        <w:fldChar w:fldCharType="separate"/>
      </w:r>
      <w:r w:rsidR="006B156B" w:rsidRPr="00F264F0">
        <w:t>[1]</w:t>
      </w:r>
      <w:r w:rsidR="00AB5BE0" w:rsidRPr="00F264F0">
        <w:fldChar w:fldCharType="end"/>
      </w:r>
      <w:r w:rsidRPr="00F264F0">
        <w:t>.</w:t>
      </w:r>
    </w:p>
    <w:p w14:paraId="143867C1" w14:textId="77E1B573" w:rsidR="00677DCE" w:rsidRPr="00F264F0" w:rsidRDefault="007D617C" w:rsidP="0036158F">
      <w:pPr>
        <w:pStyle w:val="Heading3"/>
        <w:rPr>
          <w:lang w:val="en-GB"/>
        </w:rPr>
      </w:pPr>
      <w:bookmarkStart w:id="64" w:name="_Ref103768526"/>
      <w:bookmarkStart w:id="65" w:name="_Ref103768527"/>
      <w:bookmarkStart w:id="66" w:name="_Toc107559555"/>
      <w:bookmarkStart w:id="67" w:name="_Toc119577662"/>
      <w:r w:rsidRPr="00F264F0">
        <w:rPr>
          <w:lang w:val="en-GB"/>
        </w:rPr>
        <w:t>Fixed-Satellite Service/MSS below 40.5 GHz</w:t>
      </w:r>
      <w:bookmarkEnd w:id="64"/>
      <w:bookmarkEnd w:id="65"/>
      <w:bookmarkEnd w:id="66"/>
      <w:bookmarkEnd w:id="67"/>
      <w:r w:rsidRPr="00F264F0">
        <w:rPr>
          <w:lang w:val="en-GB"/>
        </w:rPr>
        <w:t xml:space="preserve"> </w:t>
      </w:r>
    </w:p>
    <w:p w14:paraId="59750DFD" w14:textId="28FAFDCF" w:rsidR="00677DCE" w:rsidRPr="00F264F0" w:rsidRDefault="007D617C" w:rsidP="00294A26">
      <w:pPr>
        <w:spacing w:before="240" w:after="60"/>
        <w:jc w:val="both"/>
        <w:rPr>
          <w:lang w:val="en-GB"/>
        </w:rPr>
      </w:pPr>
      <w:r w:rsidRPr="00F264F0">
        <w:rPr>
          <w:lang w:val="en-GB"/>
        </w:rPr>
        <w:t>In the case of coordinated earth stations operated below 40.5 GHz it can be assumed, based on previous studies</w:t>
      </w:r>
      <w:r w:rsidRPr="00F264F0">
        <w:rPr>
          <w:rStyle w:val="FootnoteAnchor"/>
          <w:lang w:val="en-GB"/>
        </w:rPr>
        <w:footnoteReference w:id="2"/>
      </w:r>
      <w:r w:rsidRPr="00F264F0">
        <w:rPr>
          <w:lang w:val="en-GB"/>
        </w:rPr>
        <w:t xml:space="preserve"> and as a worst case, that compatibility could be feasible with limited separation distance. In this case the same measures as those considered for in-band sharing between WBB ECS networks, with the assumption that location of the base station is </w:t>
      </w:r>
      <w:proofErr w:type="gramStart"/>
      <w:r w:rsidRPr="00F264F0">
        <w:rPr>
          <w:lang w:val="en-GB"/>
        </w:rPr>
        <w:t>known, and</w:t>
      </w:r>
      <w:proofErr w:type="gramEnd"/>
      <w:r w:rsidRPr="00F264F0">
        <w:rPr>
          <w:lang w:val="en-GB"/>
        </w:rPr>
        <w:t xml:space="preserve"> coordinated earth stations could be used for adjacent band scenarios (e.g. calculation of appropriate separation distances based on site-specific terrain and or clutter information).</w:t>
      </w:r>
      <w:bookmarkStart w:id="68" w:name="_Hlk60726575"/>
    </w:p>
    <w:p w14:paraId="7AA68F68" w14:textId="77777777" w:rsidR="00677DCE" w:rsidRPr="00F264F0" w:rsidRDefault="007D617C" w:rsidP="00294A26">
      <w:pPr>
        <w:spacing w:before="240" w:after="60"/>
        <w:jc w:val="both"/>
        <w:rPr>
          <w:strike/>
          <w:lang w:val="en-GB"/>
        </w:rPr>
      </w:pPr>
      <w:r w:rsidRPr="00F264F0">
        <w:rPr>
          <w:lang w:val="en-GB"/>
        </w:rPr>
        <w:t>Both when the locations of the earth stations and/or the WBB ECS stations are known or not known, studies show that there is a low probability of interference and additional measures may be considered by administrations, as necessary, to ensure the protection of the receiving earth stations below 40.5 GHz.</w:t>
      </w:r>
    </w:p>
    <w:p w14:paraId="25D5B6D9" w14:textId="7D5F1EE5" w:rsidR="00677DCE" w:rsidRPr="00F264F0" w:rsidRDefault="007D617C" w:rsidP="00294A26">
      <w:pPr>
        <w:spacing w:before="240" w:after="60"/>
        <w:jc w:val="both"/>
        <w:rPr>
          <w:strike/>
          <w:lang w:val="en-GB"/>
        </w:rPr>
      </w:pPr>
      <w:r w:rsidRPr="00F264F0">
        <w:rPr>
          <w:lang w:val="en-GB" w:eastAsia="zh-CN"/>
        </w:rPr>
        <w:t>ECC Recommendation (22)</w:t>
      </w:r>
      <w:r w:rsidR="00E90106" w:rsidRPr="00F264F0">
        <w:rPr>
          <w:lang w:val="en-GB" w:eastAsia="zh-CN"/>
        </w:rPr>
        <w:t>02</w:t>
      </w:r>
      <w:r w:rsidRPr="00F264F0">
        <w:rPr>
          <w:lang w:val="en-GB" w:eastAsia="zh-CN"/>
        </w:rPr>
        <w:t xml:space="preserve"> </w:t>
      </w:r>
      <w:r w:rsidR="001C4DC1" w:rsidRPr="00F264F0">
        <w:rPr>
          <w:lang w:val="en-GB" w:eastAsia="zh-CN"/>
        </w:rPr>
        <w:t xml:space="preserve">on </w:t>
      </w:r>
      <w:r w:rsidRPr="00F264F0">
        <w:rPr>
          <w:lang w:val="en-GB" w:eastAsia="zh-CN"/>
        </w:rPr>
        <w:t>“</w:t>
      </w:r>
      <w:r w:rsidR="00A81AC7" w:rsidRPr="00F264F0">
        <w:rPr>
          <w:lang w:val="en-GB"/>
        </w:rPr>
        <w:t>Measures to facilitate compatibility between MFCN operating in 40.5-43.5 GHz and FSS earth stations receiving in 39.5-40.5 GHz and to prevent and/or resolve interference issues</w:t>
      </w:r>
      <w:r w:rsidRPr="00F264F0">
        <w:rPr>
          <w:lang w:val="en-GB"/>
        </w:rPr>
        <w:t xml:space="preserve">” </w:t>
      </w:r>
      <w:r w:rsidR="001C4DC1" w:rsidRPr="00F264F0">
        <w:rPr>
          <w:lang w:val="en-GB"/>
        </w:rPr>
        <w:fldChar w:fldCharType="begin"/>
      </w:r>
      <w:r w:rsidR="001C4DC1" w:rsidRPr="00F264F0">
        <w:rPr>
          <w:lang w:val="en-GB"/>
        </w:rPr>
        <w:instrText xml:space="preserve"> REF _Ref103341333 \r \h </w:instrText>
      </w:r>
      <w:r w:rsidR="007556AE" w:rsidRPr="00F264F0">
        <w:rPr>
          <w:lang w:val="en-GB"/>
        </w:rPr>
        <w:instrText xml:space="preserve"> \* MERGEFORMAT </w:instrText>
      </w:r>
      <w:r w:rsidR="001C4DC1" w:rsidRPr="00F264F0">
        <w:rPr>
          <w:lang w:val="en-GB"/>
        </w:rPr>
      </w:r>
      <w:r w:rsidR="001C4DC1" w:rsidRPr="00F264F0">
        <w:rPr>
          <w:lang w:val="en-GB"/>
        </w:rPr>
        <w:fldChar w:fldCharType="separate"/>
      </w:r>
      <w:r w:rsidR="006B156B" w:rsidRPr="00F264F0">
        <w:rPr>
          <w:lang w:val="en-GB"/>
        </w:rPr>
        <w:t>[2]</w:t>
      </w:r>
      <w:r w:rsidR="001C4DC1" w:rsidRPr="00F264F0">
        <w:rPr>
          <w:lang w:val="en-GB"/>
        </w:rPr>
        <w:fldChar w:fldCharType="end"/>
      </w:r>
      <w:r w:rsidR="001C4DC1" w:rsidRPr="00F264F0">
        <w:rPr>
          <w:lang w:val="en-GB"/>
        </w:rPr>
        <w:t xml:space="preserve"> </w:t>
      </w:r>
      <w:r w:rsidRPr="00F264F0">
        <w:rPr>
          <w:lang w:val="en-GB"/>
        </w:rPr>
        <w:t>provide</w:t>
      </w:r>
      <w:r w:rsidR="001C4DC1" w:rsidRPr="00F264F0">
        <w:rPr>
          <w:lang w:val="en-GB"/>
        </w:rPr>
        <w:t>s</w:t>
      </w:r>
      <w:r w:rsidRPr="00F264F0">
        <w:rPr>
          <w:lang w:val="en-GB"/>
        </w:rPr>
        <w:t xml:space="preserve"> guidelines for both scenarios where locations are known and where not known.</w:t>
      </w:r>
    </w:p>
    <w:bookmarkEnd w:id="68"/>
    <w:p w14:paraId="1C8C6D26" w14:textId="77777777" w:rsidR="00677DCE" w:rsidRPr="00F264F0" w:rsidRDefault="007D617C" w:rsidP="00294A26">
      <w:pPr>
        <w:spacing w:before="240" w:after="60"/>
        <w:jc w:val="both"/>
        <w:rPr>
          <w:lang w:val="en-GB"/>
        </w:rPr>
      </w:pPr>
      <w:r w:rsidRPr="00F264F0">
        <w:rPr>
          <w:lang w:val="en-GB"/>
        </w:rPr>
        <w:t>The studies concluded that no additional harmonised technical measures are needed to WBB ECS or FSS to enable compatibility at the 40.5 GHz boundary.</w:t>
      </w:r>
    </w:p>
    <w:p w14:paraId="1705D03E" w14:textId="3881AA89" w:rsidR="00677DCE" w:rsidRPr="00F264F0" w:rsidRDefault="007D617C" w:rsidP="00294A26">
      <w:pPr>
        <w:spacing w:before="240" w:after="60"/>
        <w:jc w:val="both"/>
        <w:rPr>
          <w:lang w:val="en-GB"/>
        </w:rPr>
      </w:pPr>
      <w:r w:rsidRPr="00F264F0">
        <w:rPr>
          <w:lang w:val="en-GB"/>
        </w:rPr>
        <w:t>In this regard no additional BEM was developed. However, the protection of adjacent services are based on the assumption that the WBB ECS out-of-band limit in the FSS earth station channel of operation is -</w:t>
      </w:r>
      <w:r w:rsidRPr="00F264F0">
        <w:rPr>
          <w:lang w:val="en-GB"/>
        </w:rPr>
        <w:lastRenderedPageBreak/>
        <w:t>13</w:t>
      </w:r>
      <w:r w:rsidR="0025289A" w:rsidRPr="00F264F0">
        <w:rPr>
          <w:lang w:val="en-GB"/>
        </w:rPr>
        <w:t> </w:t>
      </w:r>
      <w:r w:rsidRPr="00F264F0">
        <w:rPr>
          <w:lang w:val="en-GB"/>
        </w:rPr>
        <w:t>dBm/MHz (4</w:t>
      </w:r>
      <w:r w:rsidR="0017158D" w:rsidRPr="00F264F0">
        <w:rPr>
          <w:lang w:val="en-GB"/>
        </w:rPr>
        <w:t xml:space="preserve"> </w:t>
      </w:r>
      <w:r w:rsidRPr="00F264F0">
        <w:rPr>
          <w:lang w:val="en-GB"/>
        </w:rPr>
        <w:t>dBm/</w:t>
      </w:r>
      <w:r w:rsidR="007C40CA" w:rsidRPr="00F264F0">
        <w:rPr>
          <w:lang w:val="en-GB"/>
        </w:rPr>
        <w:t>(</w:t>
      </w:r>
      <w:r w:rsidRPr="00F264F0">
        <w:rPr>
          <w:lang w:val="en-GB"/>
        </w:rPr>
        <w:t>50 MHz</w:t>
      </w:r>
      <w:r w:rsidR="007C40CA" w:rsidRPr="00F264F0">
        <w:rPr>
          <w:lang w:val="en-GB"/>
        </w:rPr>
        <w:t>)</w:t>
      </w:r>
      <w:r w:rsidRPr="00F264F0">
        <w:rPr>
          <w:lang w:val="en-GB"/>
        </w:rPr>
        <w:t>) as a compromise if all the possible configurations of the WBB ECS and FSS ES channels of operation are considered. It is noted that this assumption does not amend the ETSI standard requirements.</w:t>
      </w:r>
    </w:p>
    <w:p w14:paraId="55129C89" w14:textId="096724A4" w:rsidR="00677DCE" w:rsidRPr="00F264F0" w:rsidRDefault="007D617C" w:rsidP="00294A26">
      <w:pPr>
        <w:pStyle w:val="ECCParBulleted"/>
        <w:spacing w:after="60"/>
        <w:rPr>
          <w:color w:val="000000" w:themeColor="text1"/>
        </w:rPr>
      </w:pPr>
      <w:r w:rsidRPr="00F264F0">
        <w:rPr>
          <w:color w:val="000000" w:themeColor="text1"/>
        </w:rPr>
        <w:t>Although not forming part of the BEM, the assumption for the out-of-band limits in order to protect the adjacent services used in the studies are provided hereafter:</w:t>
      </w:r>
    </w:p>
    <w:p w14:paraId="460C0E95" w14:textId="5596D066" w:rsidR="00677DCE" w:rsidRPr="00F264F0" w:rsidRDefault="007D617C" w:rsidP="00732CFE">
      <w:pPr>
        <w:pStyle w:val="ECCParBulleted"/>
        <w:numPr>
          <w:ilvl w:val="0"/>
          <w:numId w:val="5"/>
        </w:numPr>
        <w:ind w:left="357" w:hanging="357"/>
        <w:rPr>
          <w:color w:val="000000" w:themeColor="text1"/>
        </w:rPr>
      </w:pPr>
      <w:r w:rsidRPr="00F264F0">
        <w:rPr>
          <w:color w:val="000000" w:themeColor="text1"/>
        </w:rPr>
        <w:t xml:space="preserve">The TRP of -5 dBm/MHz (0 </w:t>
      </w:r>
      <w:r w:rsidRPr="00F264F0">
        <w:rPr>
          <w:rFonts w:cs="Arial"/>
          <w:color w:val="000000" w:themeColor="text1"/>
        </w:rPr>
        <w:t>≤</w:t>
      </w:r>
      <w:r w:rsidRPr="00F264F0">
        <w:rPr>
          <w:color w:val="000000" w:themeColor="text1"/>
        </w:rPr>
        <w:t xml:space="preserve"> </w:t>
      </w:r>
      <w:proofErr w:type="spellStart"/>
      <w:r w:rsidRPr="00F264F0">
        <w:rPr>
          <w:rFonts w:cs="Arial"/>
          <w:color w:val="000000" w:themeColor="text1"/>
        </w:rPr>
        <w:t>Δ</w:t>
      </w:r>
      <w:r w:rsidRPr="00F264F0">
        <w:rPr>
          <w:color w:val="000000" w:themeColor="text1"/>
        </w:rPr>
        <w:t>f</w:t>
      </w:r>
      <w:proofErr w:type="spellEnd"/>
      <w:r w:rsidRPr="00F264F0">
        <w:rPr>
          <w:color w:val="000000" w:themeColor="text1"/>
        </w:rPr>
        <w:t xml:space="preserve"> &lt; 20 MHz), -13 dBm/MHz (20 MHz </w:t>
      </w:r>
      <w:r w:rsidRPr="00F264F0">
        <w:rPr>
          <w:rFonts w:cs="Arial"/>
          <w:color w:val="000000" w:themeColor="text1"/>
        </w:rPr>
        <w:t>≤</w:t>
      </w:r>
      <w:r w:rsidRPr="00F264F0">
        <w:rPr>
          <w:color w:val="000000" w:themeColor="text1"/>
        </w:rPr>
        <w:t xml:space="preserve"> </w:t>
      </w:r>
      <w:proofErr w:type="spellStart"/>
      <w:r w:rsidRPr="00F264F0">
        <w:rPr>
          <w:rFonts w:cs="Arial"/>
          <w:color w:val="000000" w:themeColor="text1"/>
        </w:rPr>
        <w:t>Δ</w:t>
      </w:r>
      <w:r w:rsidRPr="00F264F0">
        <w:rPr>
          <w:color w:val="000000" w:themeColor="text1"/>
        </w:rPr>
        <w:t>f</w:t>
      </w:r>
      <w:proofErr w:type="spellEnd"/>
      <w:r w:rsidRPr="00F264F0">
        <w:rPr>
          <w:color w:val="000000" w:themeColor="text1"/>
        </w:rPr>
        <w:t xml:space="preserve"> &lt; 400 MHz) and spurious limits (</w:t>
      </w:r>
      <w:proofErr w:type="spellStart"/>
      <w:r w:rsidRPr="00F264F0">
        <w:rPr>
          <w:rFonts w:cs="Arial"/>
          <w:color w:val="000000" w:themeColor="text1"/>
        </w:rPr>
        <w:t>Δ</w:t>
      </w:r>
      <w:r w:rsidRPr="00F264F0">
        <w:rPr>
          <w:color w:val="000000" w:themeColor="text1"/>
        </w:rPr>
        <w:t>f</w:t>
      </w:r>
      <w:proofErr w:type="spellEnd"/>
      <w:r w:rsidRPr="00F264F0">
        <w:rPr>
          <w:color w:val="000000" w:themeColor="text1"/>
        </w:rPr>
        <w:t xml:space="preserve"> &gt; 400 MHz), valid below 40.5 GHz and above 43.5 GHz</w:t>
      </w:r>
      <w:r w:rsidRPr="00F264F0">
        <w:rPr>
          <w:rStyle w:val="FootnoteAnchor"/>
          <w:color w:val="000000" w:themeColor="text1"/>
        </w:rPr>
        <w:footnoteReference w:id="3"/>
      </w:r>
      <w:r w:rsidRPr="00F264F0">
        <w:rPr>
          <w:color w:val="000000" w:themeColor="text1"/>
        </w:rPr>
        <w:t>, which are taken from Table 9.7.4.3.3-2 in ETSI TS 138 104 V1</w:t>
      </w:r>
      <w:r w:rsidR="00144512" w:rsidRPr="00F264F0">
        <w:rPr>
          <w:color w:val="000000" w:themeColor="text1"/>
        </w:rPr>
        <w:t>7</w:t>
      </w:r>
      <w:r w:rsidRPr="00F264F0">
        <w:rPr>
          <w:color w:val="000000" w:themeColor="text1"/>
        </w:rPr>
        <w:t>.</w:t>
      </w:r>
      <w:r w:rsidR="00144512" w:rsidRPr="00F264F0">
        <w:rPr>
          <w:color w:val="000000" w:themeColor="text1"/>
        </w:rPr>
        <w:t>6</w:t>
      </w:r>
      <w:r w:rsidRPr="00F264F0">
        <w:rPr>
          <w:color w:val="000000" w:themeColor="text1"/>
        </w:rPr>
        <w:t>.0</w:t>
      </w:r>
      <w:r w:rsidR="004E0FBB" w:rsidRPr="00F264F0">
        <w:rPr>
          <w:color w:val="000000" w:themeColor="text1"/>
        </w:rPr>
        <w:t xml:space="preserve"> </w:t>
      </w:r>
      <w:r w:rsidR="00F264F0" w:rsidRPr="00F264F0">
        <w:rPr>
          <w:color w:val="000000" w:themeColor="text1"/>
        </w:rPr>
        <w:fldChar w:fldCharType="begin"/>
      </w:r>
      <w:r w:rsidR="00F264F0" w:rsidRPr="00F264F0">
        <w:rPr>
          <w:color w:val="000000" w:themeColor="text1"/>
        </w:rPr>
        <w:instrText xml:space="preserve"> REF _Ref116551982 \r \h </w:instrText>
      </w:r>
      <w:r w:rsidR="00F264F0" w:rsidRPr="00F264F0">
        <w:rPr>
          <w:color w:val="000000" w:themeColor="text1"/>
        </w:rPr>
      </w:r>
      <w:r w:rsidR="00F264F0" w:rsidRPr="00F264F0">
        <w:rPr>
          <w:color w:val="000000" w:themeColor="text1"/>
        </w:rPr>
        <w:fldChar w:fldCharType="separate"/>
      </w:r>
      <w:r w:rsidR="00F264F0" w:rsidRPr="00F264F0">
        <w:rPr>
          <w:color w:val="000000" w:themeColor="text1"/>
        </w:rPr>
        <w:t>[18]</w:t>
      </w:r>
      <w:r w:rsidR="00F264F0" w:rsidRPr="00F264F0">
        <w:rPr>
          <w:color w:val="000000" w:themeColor="text1"/>
        </w:rPr>
        <w:fldChar w:fldCharType="end"/>
      </w:r>
      <w:r w:rsidR="004E0FBB" w:rsidRPr="00F264F0">
        <w:rPr>
          <w:color w:val="000000" w:themeColor="text1"/>
        </w:rPr>
        <w:fldChar w:fldCharType="begin"/>
      </w:r>
      <w:r w:rsidR="004E0FBB" w:rsidRPr="00F264F0">
        <w:rPr>
          <w:color w:val="000000" w:themeColor="text1"/>
        </w:rPr>
        <w:instrText xml:space="preserve"> REF _Ref103958983 \r \h </w:instrText>
      </w:r>
      <w:r w:rsidR="007556AE" w:rsidRPr="00F264F0">
        <w:rPr>
          <w:color w:val="000000" w:themeColor="text1"/>
        </w:rPr>
        <w:instrText xml:space="preserve"> \* MERGEFORMAT </w:instrText>
      </w:r>
      <w:r w:rsidR="004E0FBB" w:rsidRPr="00F264F0">
        <w:rPr>
          <w:color w:val="000000" w:themeColor="text1"/>
        </w:rPr>
      </w:r>
      <w:r w:rsidR="00000000">
        <w:rPr>
          <w:color w:val="000000" w:themeColor="text1"/>
        </w:rPr>
        <w:fldChar w:fldCharType="separate"/>
      </w:r>
      <w:r w:rsidR="004E0FBB" w:rsidRPr="00F264F0">
        <w:rPr>
          <w:color w:val="000000" w:themeColor="text1"/>
        </w:rPr>
        <w:fldChar w:fldCharType="end"/>
      </w:r>
      <w:r w:rsidRPr="00F264F0">
        <w:rPr>
          <w:color w:val="000000" w:themeColor="text1"/>
        </w:rPr>
        <w:t>.</w:t>
      </w:r>
    </w:p>
    <w:p w14:paraId="579849A9" w14:textId="1AC7F077" w:rsidR="00677DCE" w:rsidRPr="00F264F0" w:rsidRDefault="007D617C" w:rsidP="00F84F82">
      <w:pPr>
        <w:pStyle w:val="ECCParagraph"/>
      </w:pPr>
      <w:r w:rsidRPr="00F264F0">
        <w:t>From the spectrum mask</w:t>
      </w:r>
      <w:r w:rsidR="00F6131E" w:rsidRPr="00F264F0">
        <w:t>,</w:t>
      </w:r>
      <w:r w:rsidRPr="00F264F0">
        <w:t xml:space="preserve"> it was agreed to use </w:t>
      </w:r>
      <w:r w:rsidRPr="00F264F0">
        <w:rPr>
          <w:rFonts w:cs="Arial"/>
        </w:rPr>
        <w:t>-13 dBm/MHz</w:t>
      </w:r>
      <w:r w:rsidRPr="00F264F0">
        <w:t xml:space="preserve"> (4dBm/50 MHz) for the main part of the studies.</w:t>
      </w:r>
    </w:p>
    <w:p w14:paraId="517F7248" w14:textId="46EBC4C0" w:rsidR="00677DCE" w:rsidRPr="00F264F0" w:rsidRDefault="007D617C" w:rsidP="00F84F82">
      <w:pPr>
        <w:pStyle w:val="ECCParagraph"/>
      </w:pPr>
      <w:r w:rsidRPr="00F264F0">
        <w:t>This assumption is fulfilled by the WBB ECS BS when complying to ETSI TS 138 104 (the limits of Table 9.7.4.3.3-2) for a contiguous bandwidth of 200 MHz or below.</w:t>
      </w:r>
    </w:p>
    <w:p w14:paraId="21501EDB" w14:textId="77777777" w:rsidR="00677DCE" w:rsidRPr="00F264F0" w:rsidRDefault="007D617C" w:rsidP="00F84F82">
      <w:pPr>
        <w:pStyle w:val="ECCParagraph"/>
      </w:pPr>
      <w:r w:rsidRPr="00F264F0">
        <w:t>If the limits from the ETSI Harmonised standard were relaxed compared to the assumptions used in the studies this may lead to an increased risk of interference.</w:t>
      </w:r>
    </w:p>
    <w:p w14:paraId="19BC8437" w14:textId="15C5C361" w:rsidR="00677DCE" w:rsidRPr="00F264F0" w:rsidRDefault="007D617C" w:rsidP="00F84F82">
      <w:pPr>
        <w:pStyle w:val="ECCParagraph"/>
      </w:pPr>
      <w:r w:rsidRPr="00F264F0">
        <w:rPr>
          <w:rFonts w:cs="Arial"/>
          <w:color w:val="000000"/>
          <w:lang w:eastAsia="de-DE"/>
        </w:rPr>
        <w:t>In addition, CEPT included in its framework (ECC Decision</w:t>
      </w:r>
      <w:r w:rsidR="00B1244F" w:rsidRPr="00F264F0">
        <w:rPr>
          <w:rFonts w:cs="Arial"/>
          <w:color w:val="000000"/>
          <w:lang w:eastAsia="de-DE"/>
        </w:rPr>
        <w:t xml:space="preserve"> (22)</w:t>
      </w:r>
      <w:r w:rsidR="008F4604" w:rsidRPr="00F264F0">
        <w:rPr>
          <w:rFonts w:cs="Arial"/>
          <w:color w:val="000000"/>
          <w:lang w:eastAsia="de-DE"/>
        </w:rPr>
        <w:t>06</w:t>
      </w:r>
      <w:r w:rsidR="009F762F" w:rsidRPr="00F264F0">
        <w:rPr>
          <w:rFonts w:cs="Arial"/>
          <w:color w:val="000000"/>
          <w:lang w:eastAsia="de-DE"/>
        </w:rPr>
        <w:t xml:space="preserve"> </w:t>
      </w:r>
      <w:r w:rsidR="00F264F0" w:rsidRPr="00F264F0">
        <w:rPr>
          <w:rFonts w:cs="Arial"/>
          <w:color w:val="000000"/>
          <w:lang w:eastAsia="de-DE"/>
        </w:rPr>
        <w:fldChar w:fldCharType="begin"/>
      </w:r>
      <w:r w:rsidR="00F264F0" w:rsidRPr="00F264F0">
        <w:rPr>
          <w:rFonts w:cs="Arial"/>
          <w:color w:val="000000"/>
          <w:lang w:eastAsia="de-DE"/>
        </w:rPr>
        <w:instrText xml:space="preserve"> REF _Ref104884918 \r \h </w:instrText>
      </w:r>
      <w:r w:rsidR="00F264F0" w:rsidRPr="00F264F0">
        <w:rPr>
          <w:rFonts w:cs="Arial"/>
          <w:color w:val="000000"/>
          <w:lang w:eastAsia="de-DE"/>
        </w:rPr>
      </w:r>
      <w:r w:rsidR="00F264F0" w:rsidRPr="00F264F0">
        <w:rPr>
          <w:rFonts w:cs="Arial"/>
          <w:color w:val="000000"/>
          <w:lang w:eastAsia="de-DE"/>
        </w:rPr>
        <w:fldChar w:fldCharType="separate"/>
      </w:r>
      <w:r w:rsidR="00F264F0" w:rsidRPr="00F264F0">
        <w:rPr>
          <w:rFonts w:cs="Arial"/>
          <w:color w:val="000000"/>
          <w:lang w:eastAsia="de-DE"/>
        </w:rPr>
        <w:t>[17]</w:t>
      </w:r>
      <w:r w:rsidR="00F264F0" w:rsidRPr="00F264F0">
        <w:rPr>
          <w:rFonts w:cs="Arial"/>
          <w:color w:val="000000"/>
          <w:lang w:eastAsia="de-DE"/>
        </w:rPr>
        <w:fldChar w:fldCharType="end"/>
      </w:r>
      <w:r w:rsidR="009F762F" w:rsidRPr="00F264F0">
        <w:rPr>
          <w:rFonts w:cs="Arial"/>
          <w:color w:val="000000"/>
          <w:lang w:eastAsia="de-DE"/>
        </w:rPr>
        <w:fldChar w:fldCharType="begin"/>
      </w:r>
      <w:r w:rsidR="009F762F" w:rsidRPr="00F264F0">
        <w:rPr>
          <w:rFonts w:cs="Arial"/>
          <w:color w:val="000000"/>
          <w:lang w:eastAsia="de-DE"/>
        </w:rPr>
        <w:instrText xml:space="preserve"> REF _Ref103341309 \r \h </w:instrText>
      </w:r>
      <w:r w:rsidR="00FA70EF" w:rsidRPr="00F264F0">
        <w:rPr>
          <w:rFonts w:cs="Arial"/>
          <w:color w:val="000000"/>
          <w:lang w:eastAsia="de-DE"/>
        </w:rPr>
        <w:instrText xml:space="preserve"> \* MERGEFORMAT </w:instrText>
      </w:r>
      <w:r w:rsidR="009F762F" w:rsidRPr="00F264F0">
        <w:rPr>
          <w:rFonts w:cs="Arial"/>
          <w:color w:val="000000"/>
          <w:lang w:eastAsia="de-DE"/>
        </w:rPr>
      </w:r>
      <w:r w:rsidR="00000000">
        <w:rPr>
          <w:rFonts w:cs="Arial"/>
          <w:color w:val="000000"/>
          <w:lang w:eastAsia="de-DE"/>
        </w:rPr>
        <w:fldChar w:fldCharType="separate"/>
      </w:r>
      <w:r w:rsidR="009F762F" w:rsidRPr="00F264F0">
        <w:rPr>
          <w:rFonts w:cs="Arial"/>
          <w:color w:val="000000"/>
          <w:lang w:eastAsia="de-DE"/>
        </w:rPr>
        <w:fldChar w:fldCharType="end"/>
      </w:r>
      <w:r w:rsidRPr="00F264F0">
        <w:rPr>
          <w:rFonts w:cs="Arial"/>
          <w:color w:val="000000"/>
          <w:lang w:eastAsia="de-DE"/>
        </w:rPr>
        <w:t xml:space="preserve">) on WBB ECS a clause to require a review after </w:t>
      </w:r>
      <w:r w:rsidR="00B0782F" w:rsidRPr="00F264F0">
        <w:rPr>
          <w:rFonts w:cs="Arial"/>
          <w:color w:val="000000"/>
          <w:lang w:eastAsia="de-DE"/>
        </w:rPr>
        <w:t>three</w:t>
      </w:r>
      <w:r w:rsidRPr="00F264F0">
        <w:rPr>
          <w:rFonts w:cs="Arial"/>
          <w:color w:val="000000"/>
          <w:lang w:eastAsia="de-DE"/>
        </w:rPr>
        <w:t xml:space="preserve"> years, or earlier if needed. </w:t>
      </w:r>
      <w:r w:rsidRPr="00F264F0">
        <w:t xml:space="preserve">CEPT invited </w:t>
      </w:r>
      <w:r w:rsidR="00B1244F" w:rsidRPr="00F264F0">
        <w:rPr>
          <w:rFonts w:cs="Arial"/>
          <w:color w:val="000000"/>
          <w:lang w:eastAsia="de-DE"/>
        </w:rPr>
        <w:t>a</w:t>
      </w:r>
      <w:r w:rsidRPr="00F264F0">
        <w:rPr>
          <w:rFonts w:cs="Arial"/>
          <w:color w:val="000000"/>
          <w:lang w:eastAsia="de-DE"/>
        </w:rPr>
        <w:t>dministrations to monitor and report annually to ECO on deployment of 40.5-43.5 GHz WBB ECS in their country</w:t>
      </w:r>
      <w:r w:rsidRPr="00F264F0">
        <w:t>. It is also required</w:t>
      </w:r>
      <w:r w:rsidRPr="00F264F0">
        <w:rPr>
          <w:rFonts w:cs="Arial"/>
          <w:color w:val="000000"/>
          <w:lang w:eastAsia="de-DE"/>
        </w:rPr>
        <w:t xml:space="preserve"> to rapidly report to ECO on cases of interference to FSS caused by WBB ECS above 40.5 GHz and the measures that have been taken to resolve them. </w:t>
      </w:r>
      <w:r w:rsidRPr="00F264F0">
        <w:t>The relevant information collected in that context could benefit in the review of the EC framework as appropriate.</w:t>
      </w:r>
    </w:p>
    <w:p w14:paraId="6AEC3733" w14:textId="0DA84127" w:rsidR="00677DCE" w:rsidRPr="00F264F0" w:rsidRDefault="007D617C" w:rsidP="00F84F82">
      <w:pPr>
        <w:pStyle w:val="ECCParagraph"/>
      </w:pPr>
      <w:r w:rsidRPr="00F264F0">
        <w:t>CEPT developed ECC Recommendation (2</w:t>
      </w:r>
      <w:r w:rsidR="0069356A" w:rsidRPr="00F264F0">
        <w:t>2</w:t>
      </w:r>
      <w:r w:rsidRPr="00F264F0">
        <w:t>)</w:t>
      </w:r>
      <w:r w:rsidR="00E90106" w:rsidRPr="00F264F0">
        <w:t>02</w:t>
      </w:r>
      <w:r w:rsidRPr="00F264F0">
        <w:t xml:space="preserve"> on “</w:t>
      </w:r>
      <w:r w:rsidR="00A81AC7" w:rsidRPr="00F264F0">
        <w:t>Measures to facilitate compatibility between MFCN operating in 40.5-43.5 GHz and FSS earth stations receiving in 39.5-40.5 GHz and to prevent and/or resolve interference issues</w:t>
      </w:r>
      <w:r w:rsidRPr="00F264F0">
        <w:t>”</w:t>
      </w:r>
      <w:r w:rsidR="007068A4" w:rsidRPr="00F264F0">
        <w:t xml:space="preserve"> </w:t>
      </w:r>
      <w:r w:rsidR="007068A4" w:rsidRPr="00F264F0">
        <w:fldChar w:fldCharType="begin"/>
      </w:r>
      <w:r w:rsidR="007068A4" w:rsidRPr="00F264F0">
        <w:instrText xml:space="preserve"> REF _Ref103341333 \r \h </w:instrText>
      </w:r>
      <w:r w:rsidR="0095074E" w:rsidRPr="00F264F0">
        <w:instrText xml:space="preserve"> \* MERGEFORMAT </w:instrText>
      </w:r>
      <w:r w:rsidR="007068A4" w:rsidRPr="00F264F0">
        <w:fldChar w:fldCharType="separate"/>
      </w:r>
      <w:r w:rsidR="006B156B" w:rsidRPr="00F264F0">
        <w:t>[2]</w:t>
      </w:r>
      <w:r w:rsidR="007068A4" w:rsidRPr="00F264F0">
        <w:fldChar w:fldCharType="end"/>
      </w:r>
      <w:r w:rsidRPr="00F264F0">
        <w:t>. This addresses receiving FSS/MSS earth stations, which are designated for the use in the frequency band 39.5-40.5 GHz, for</w:t>
      </w:r>
      <w:r w:rsidRPr="00F264F0">
        <w:rPr>
          <w:lang w:eastAsia="zh-CN"/>
        </w:rPr>
        <w:t xml:space="preserve"> GSO and non-GSO satellite systems, th</w:t>
      </w:r>
      <w:r w:rsidR="007068A4" w:rsidRPr="00F264F0">
        <w:rPr>
          <w:lang w:eastAsia="zh-CN"/>
        </w:rPr>
        <w:t>r</w:t>
      </w:r>
      <w:r w:rsidRPr="00F264F0">
        <w:rPr>
          <w:lang w:eastAsia="zh-CN"/>
        </w:rPr>
        <w:t>ough ERC Decision (00)02</w:t>
      </w:r>
      <w:r w:rsidR="003D3050" w:rsidRPr="00F264F0">
        <w:rPr>
          <w:lang w:eastAsia="zh-CN"/>
        </w:rPr>
        <w:t xml:space="preserve"> </w:t>
      </w:r>
      <w:r w:rsidR="003D3050" w:rsidRPr="00F264F0">
        <w:rPr>
          <w:lang w:eastAsia="zh-CN"/>
        </w:rPr>
        <w:fldChar w:fldCharType="begin"/>
      </w:r>
      <w:r w:rsidR="003D3050" w:rsidRPr="00F264F0">
        <w:rPr>
          <w:lang w:eastAsia="zh-CN"/>
        </w:rPr>
        <w:instrText xml:space="preserve"> REF _Ref103957716 \r \h </w:instrText>
      </w:r>
      <w:r w:rsidR="0095074E" w:rsidRPr="00F264F0">
        <w:rPr>
          <w:lang w:eastAsia="zh-CN"/>
        </w:rPr>
        <w:instrText xml:space="preserve"> \* MERGEFORMAT </w:instrText>
      </w:r>
      <w:r w:rsidR="003D3050" w:rsidRPr="00F264F0">
        <w:rPr>
          <w:lang w:eastAsia="zh-CN"/>
        </w:rPr>
      </w:r>
      <w:r w:rsidR="003D3050" w:rsidRPr="00F264F0">
        <w:rPr>
          <w:lang w:eastAsia="zh-CN"/>
        </w:rPr>
        <w:fldChar w:fldCharType="separate"/>
      </w:r>
      <w:r w:rsidR="006B156B" w:rsidRPr="00F264F0">
        <w:rPr>
          <w:lang w:eastAsia="zh-CN"/>
        </w:rPr>
        <w:t>[12]</w:t>
      </w:r>
      <w:r w:rsidR="003D3050" w:rsidRPr="00F264F0">
        <w:rPr>
          <w:lang w:eastAsia="zh-CN"/>
        </w:rPr>
        <w:fldChar w:fldCharType="end"/>
      </w:r>
      <w:r w:rsidRPr="00F264F0">
        <w:rPr>
          <w:lang w:eastAsia="zh-CN"/>
        </w:rPr>
        <w:t>.</w:t>
      </w:r>
    </w:p>
    <w:p w14:paraId="478652F7" w14:textId="07D07BFB" w:rsidR="005A3FD0" w:rsidRPr="00F264F0" w:rsidRDefault="005A3FD0" w:rsidP="00356FC8">
      <w:pPr>
        <w:pStyle w:val="ECCParagraph"/>
        <w:rPr>
          <w:rFonts w:cs="Arial"/>
          <w:color w:val="000000"/>
          <w:lang w:eastAsia="de-DE"/>
        </w:rPr>
      </w:pPr>
      <w:r w:rsidRPr="00F264F0">
        <w:rPr>
          <w:rFonts w:cs="Arial"/>
          <w:color w:val="000000"/>
          <w:lang w:eastAsia="de-DE"/>
        </w:rPr>
        <w:t xml:space="preserve">In addition, for terminal stations, adjacent services are expected to be protected by requirements of the ETSI TS 138.101-2 v.17.6.0 (Table 6.5.2.1-1) </w:t>
      </w:r>
      <w:r w:rsidR="00F264F0" w:rsidRPr="00F264F0">
        <w:rPr>
          <w:rFonts w:cs="Arial"/>
          <w:color w:val="000000"/>
          <w:lang w:eastAsia="de-DE"/>
        </w:rPr>
        <w:fldChar w:fldCharType="begin"/>
      </w:r>
      <w:r w:rsidR="00F264F0" w:rsidRPr="00F264F0">
        <w:rPr>
          <w:rFonts w:cs="Arial"/>
          <w:color w:val="000000"/>
          <w:lang w:eastAsia="de-DE"/>
        </w:rPr>
        <w:instrText xml:space="preserve"> REF _Ref116552092 \r \h </w:instrText>
      </w:r>
      <w:r w:rsidR="00F264F0" w:rsidRPr="00F264F0">
        <w:rPr>
          <w:rFonts w:cs="Arial"/>
          <w:color w:val="000000"/>
          <w:lang w:eastAsia="de-DE"/>
        </w:rPr>
      </w:r>
      <w:r w:rsidR="00F264F0" w:rsidRPr="00F264F0">
        <w:rPr>
          <w:rFonts w:cs="Arial"/>
          <w:color w:val="000000"/>
          <w:lang w:eastAsia="de-DE"/>
        </w:rPr>
        <w:fldChar w:fldCharType="separate"/>
      </w:r>
      <w:r w:rsidR="00F264F0" w:rsidRPr="00F264F0">
        <w:rPr>
          <w:rFonts w:cs="Arial"/>
          <w:color w:val="000000"/>
          <w:lang w:eastAsia="de-DE"/>
        </w:rPr>
        <w:t>[20]</w:t>
      </w:r>
      <w:r w:rsidR="00F264F0" w:rsidRPr="00F264F0">
        <w:rPr>
          <w:rFonts w:cs="Arial"/>
          <w:color w:val="000000"/>
          <w:lang w:eastAsia="de-DE"/>
        </w:rPr>
        <w:fldChar w:fldCharType="end"/>
      </w:r>
      <w:r w:rsidRPr="00F264F0">
        <w:rPr>
          <w:rFonts w:cs="Arial"/>
          <w:color w:val="000000"/>
          <w:lang w:eastAsia="de-DE"/>
        </w:rPr>
        <w:t>.</w:t>
      </w:r>
    </w:p>
    <w:p w14:paraId="62F5DBF9" w14:textId="77777777" w:rsidR="00677DCE" w:rsidRPr="00F264F0" w:rsidRDefault="00677DCE" w:rsidP="007C5FFF">
      <w:pPr>
        <w:pStyle w:val="ECCParagraph"/>
      </w:pPr>
    </w:p>
    <w:p w14:paraId="0D04C2AB" w14:textId="4BE12552" w:rsidR="00677DCE" w:rsidRPr="00F264F0" w:rsidRDefault="007D617C" w:rsidP="00F81BE1">
      <w:pPr>
        <w:pStyle w:val="Heading1"/>
      </w:pPr>
      <w:bookmarkStart w:id="69" w:name="_Ref62141671"/>
      <w:bookmarkStart w:id="70" w:name="_Toc107559556"/>
      <w:bookmarkStart w:id="71" w:name="_Toc119577663"/>
      <w:r w:rsidRPr="00F264F0">
        <w:lastRenderedPageBreak/>
        <w:t>WBB ECS (5G) authorisation regime</w:t>
      </w:r>
      <w:bookmarkEnd w:id="69"/>
      <w:bookmarkEnd w:id="70"/>
      <w:bookmarkEnd w:id="71"/>
      <w:r w:rsidRPr="00F264F0">
        <w:t xml:space="preserve"> </w:t>
      </w:r>
      <w:bookmarkStart w:id="72" w:name="_Toc49110793"/>
      <w:bookmarkStart w:id="73" w:name="_Toc511916431"/>
      <w:bookmarkStart w:id="74" w:name="_Toc511916478"/>
      <w:bookmarkStart w:id="75" w:name="_Toc49110794"/>
      <w:bookmarkStart w:id="76" w:name="_Toc49109335"/>
      <w:bookmarkStart w:id="77" w:name="_Toc511916479"/>
      <w:bookmarkStart w:id="78" w:name="_Toc49109336"/>
      <w:bookmarkStart w:id="79" w:name="_Toc511916434"/>
      <w:bookmarkStart w:id="80" w:name="_Toc511916433"/>
      <w:bookmarkStart w:id="81" w:name="_Toc49111031"/>
      <w:bookmarkStart w:id="82" w:name="_Toc49109337"/>
      <w:bookmarkStart w:id="83" w:name="_Toc49111029"/>
      <w:bookmarkStart w:id="84" w:name="_Toc49110772"/>
      <w:bookmarkStart w:id="85" w:name="_Toc49111103"/>
      <w:bookmarkStart w:id="86" w:name="_Toc49109624"/>
      <w:bookmarkStart w:id="87" w:name="_Toc49109623"/>
      <w:bookmarkStart w:id="88" w:name="_Toc49110914"/>
      <w:bookmarkStart w:id="89" w:name="_Toc511916432"/>
      <w:bookmarkStart w:id="90" w:name="_Toc49109625"/>
      <w:bookmarkStart w:id="91" w:name="_Toc511916481"/>
      <w:bookmarkStart w:id="92" w:name="_Toc49110773"/>
      <w:bookmarkStart w:id="93" w:name="_Toc49111102"/>
      <w:bookmarkStart w:id="94" w:name="_Toc49111069"/>
      <w:bookmarkStart w:id="95" w:name="_Toc49111070"/>
      <w:bookmarkStart w:id="96" w:name="_Toc49111101"/>
      <w:bookmarkStart w:id="97" w:name="_Toc49110792"/>
      <w:bookmarkStart w:id="98" w:name="_Toc49111030"/>
      <w:bookmarkStart w:id="99" w:name="_Toc49110774"/>
      <w:bookmarkStart w:id="100" w:name="_Toc511916480"/>
      <w:bookmarkStart w:id="101" w:name="_Toc49110912"/>
      <w:bookmarkStart w:id="102" w:name="_Toc49111071"/>
      <w:bookmarkStart w:id="103" w:name="_Toc49110913"/>
      <w:bookmarkEnd w:id="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AACD11F" w14:textId="2ACD8CEA" w:rsidR="00677DCE" w:rsidRPr="00F264F0" w:rsidRDefault="007D617C">
      <w:pPr>
        <w:pStyle w:val="ECCParagraph"/>
      </w:pPr>
      <w:r w:rsidRPr="00F264F0">
        <w:t xml:space="preserve">It is noted that definition of the authorisation regime is a national matter. The harmonised least restrictive technical conditions have been developed with the assumption that the locations of BSs are known. Depending on the authorisation regime applied in this band and in order to ensure appropriate co-existence of or compatibility between terrestrial systems capable of providing wireless broadband electronic communications services with other services in the band and in adjacent bands, there is a need for administrations to assess if it is necessary to impose additional measures while still respecting the least restrictive harmonised technical conditions included in the </w:t>
      </w:r>
      <w:r w:rsidR="006C5FF8" w:rsidRPr="00F264F0">
        <w:fldChar w:fldCharType="begin"/>
      </w:r>
      <w:r w:rsidR="006C5FF8" w:rsidRPr="00F264F0">
        <w:instrText xml:space="preserve"> REF _Ref104897991 \r \h </w:instrText>
      </w:r>
      <w:r w:rsidR="0095074E" w:rsidRPr="00F264F0">
        <w:instrText xml:space="preserve"> \* MERGEFORMAT </w:instrText>
      </w:r>
      <w:r w:rsidR="006C5FF8" w:rsidRPr="00F264F0">
        <w:fldChar w:fldCharType="separate"/>
      </w:r>
      <w:r w:rsidR="006B156B" w:rsidRPr="00F264F0">
        <w:t>ANNEX 2</w:t>
      </w:r>
      <w:r w:rsidR="006C5FF8" w:rsidRPr="00F264F0">
        <w:fldChar w:fldCharType="end"/>
      </w:r>
      <w:r w:rsidRPr="00F264F0">
        <w:t>.</w:t>
      </w:r>
    </w:p>
    <w:p w14:paraId="22DF522D" w14:textId="25DE7E37" w:rsidR="00677DCE" w:rsidRPr="00F264F0" w:rsidRDefault="007D617C">
      <w:pPr>
        <w:pStyle w:val="ECCParagraph"/>
      </w:pPr>
      <w:r w:rsidRPr="00F264F0">
        <w:t>In cases where the location</w:t>
      </w:r>
      <w:r w:rsidR="00D760FE" w:rsidRPr="00F264F0">
        <w:t>s</w:t>
      </w:r>
      <w:r w:rsidRPr="00F264F0">
        <w:t xml:space="preserve"> of WBB ECS base stations are not known in advance of installation, additional measures were identified where applicable to be considered by administrations on a national basis in </w:t>
      </w:r>
      <w:r w:rsidR="00E4005A" w:rsidRPr="00F264F0">
        <w:fldChar w:fldCharType="begin"/>
      </w:r>
      <w:r w:rsidR="00E4005A" w:rsidRPr="00F264F0">
        <w:instrText xml:space="preserve"> REF _Ref103768819 \r \h </w:instrText>
      </w:r>
      <w:r w:rsidR="0095074E" w:rsidRPr="00F264F0">
        <w:instrText xml:space="preserve"> \* MERGEFORMAT </w:instrText>
      </w:r>
      <w:r w:rsidR="00E4005A" w:rsidRPr="00F264F0">
        <w:fldChar w:fldCharType="separate"/>
      </w:r>
      <w:r w:rsidR="006B156B" w:rsidRPr="00F264F0">
        <w:t>ANNEX 3</w:t>
      </w:r>
      <w:r w:rsidR="00E4005A" w:rsidRPr="00F264F0">
        <w:fldChar w:fldCharType="end"/>
      </w:r>
      <w:r w:rsidRPr="00F264F0">
        <w:t xml:space="preserve"> while still respecting the least restrictive harmonised technical conditions. It should be noted that implementation of sharing conditions implies the need for information on relative location of/or distance between interferer and victim, or on the location of one of these when planning the location of the other. This approach is fully consistent with the one adopted by ECC concerning authorisation regimes regarding 26 GHz in response to a letter to the European Commission clarifying the situation (see Minutes ECC(19)081</w:t>
      </w:r>
      <w:r w:rsidR="00502049" w:rsidRPr="00F264F0">
        <w:t>,</w:t>
      </w:r>
      <w:r w:rsidRPr="00F264F0">
        <w:t xml:space="preserve"> Annex 09</w:t>
      </w:r>
      <w:r w:rsidR="00A21E73" w:rsidRPr="00F264F0">
        <w:t xml:space="preserve"> </w:t>
      </w:r>
      <w:r w:rsidR="001A3DB2" w:rsidRPr="00F264F0">
        <w:fldChar w:fldCharType="begin"/>
      </w:r>
      <w:r w:rsidR="001A3DB2" w:rsidRPr="00F264F0">
        <w:instrText xml:space="preserve"> REF _Ref104199272 \r \h </w:instrText>
      </w:r>
      <w:r w:rsidR="0095074E" w:rsidRPr="00F264F0">
        <w:instrText xml:space="preserve"> \* MERGEFORMAT </w:instrText>
      </w:r>
      <w:r w:rsidR="001A3DB2" w:rsidRPr="00F264F0">
        <w:fldChar w:fldCharType="separate"/>
      </w:r>
      <w:r w:rsidR="006B156B" w:rsidRPr="00F264F0">
        <w:t>[19]</w:t>
      </w:r>
      <w:r w:rsidR="001A3DB2" w:rsidRPr="00F264F0">
        <w:fldChar w:fldCharType="end"/>
      </w:r>
      <w:r w:rsidRPr="00F264F0">
        <w:t>). The contents of this letter have also been seen as relevant to 40.5</w:t>
      </w:r>
      <w:r w:rsidR="003C00DE" w:rsidRPr="00F264F0">
        <w:t>-</w:t>
      </w:r>
      <w:r w:rsidRPr="00F264F0">
        <w:t>43.5 GHz in the context of the authori</w:t>
      </w:r>
      <w:r w:rsidR="00F84F82" w:rsidRPr="00F264F0">
        <w:t>s</w:t>
      </w:r>
      <w:r w:rsidRPr="00F264F0">
        <w:t xml:space="preserve">ation regime and when developing the response to this EC </w:t>
      </w:r>
      <w:r w:rsidR="00C10B7C" w:rsidRPr="00F264F0">
        <w:t>M</w:t>
      </w:r>
      <w:r w:rsidRPr="00F264F0">
        <w:t>andate tak</w:t>
      </w:r>
      <w:r w:rsidR="00D760FE" w:rsidRPr="00F264F0">
        <w:t>ing</w:t>
      </w:r>
      <w:r w:rsidRPr="00F264F0">
        <w:t xml:space="preserve"> into account relevant authorisation modes.</w:t>
      </w:r>
    </w:p>
    <w:p w14:paraId="6D484206" w14:textId="77777777" w:rsidR="00677DCE" w:rsidRPr="00F264F0" w:rsidRDefault="00677DCE">
      <w:pPr>
        <w:pStyle w:val="ECCParagraph"/>
      </w:pPr>
    </w:p>
    <w:p w14:paraId="0819D020" w14:textId="1C6AF34A" w:rsidR="00677DCE" w:rsidRPr="00F264F0" w:rsidRDefault="007D617C" w:rsidP="00F81BE1">
      <w:pPr>
        <w:pStyle w:val="Heading1"/>
      </w:pPr>
      <w:bookmarkStart w:id="104" w:name="_Toc107559557"/>
      <w:bookmarkStart w:id="105" w:name="_Toc119577664"/>
      <w:r w:rsidRPr="00F264F0">
        <w:lastRenderedPageBreak/>
        <w:t>Conclusions</w:t>
      </w:r>
      <w:bookmarkEnd w:id="104"/>
      <w:bookmarkEnd w:id="105"/>
    </w:p>
    <w:p w14:paraId="5EAFA176" w14:textId="37D9E11E" w:rsidR="00845A10" w:rsidRPr="00F264F0" w:rsidRDefault="00845A10" w:rsidP="00845A10">
      <w:pPr>
        <w:pStyle w:val="ECCParagraph"/>
      </w:pPr>
      <w:r w:rsidRPr="00F264F0">
        <w:t xml:space="preserve">This </w:t>
      </w:r>
      <w:r w:rsidR="00F54D2F" w:rsidRPr="00F264F0">
        <w:t>R</w:t>
      </w:r>
      <w:r w:rsidRPr="00F264F0">
        <w:t xml:space="preserve">eport addresses Tasks 1, 2 and 4, concerning 40.5-43.5 GHz, of the EC Mandate to CEPT to develop least restrictive harmonised technical conditions suitable for next-generation (5G) terrestrial wireless systems for priority frequency bands above 24 GHz (EC </w:t>
      </w:r>
      <w:r w:rsidR="0044502A" w:rsidRPr="00F264F0">
        <w:t>M</w:t>
      </w:r>
      <w:r w:rsidRPr="00F264F0">
        <w:t>andate</w:t>
      </w:r>
      <w:r w:rsidR="00EF521B" w:rsidRPr="00F264F0">
        <w:t xml:space="preserve"> </w:t>
      </w:r>
      <w:r w:rsidR="003C00DE" w:rsidRPr="00F264F0">
        <w:t>-</w:t>
      </w:r>
      <w:r w:rsidR="00EF521B" w:rsidRPr="00F264F0">
        <w:t xml:space="preserve"> </w:t>
      </w:r>
      <w:r w:rsidRPr="00F264F0">
        <w:t xml:space="preserve">see </w:t>
      </w:r>
      <w:r w:rsidR="00EF521B" w:rsidRPr="00F264F0">
        <w:fldChar w:fldCharType="begin"/>
      </w:r>
      <w:r w:rsidR="00EF521B" w:rsidRPr="00F264F0">
        <w:instrText xml:space="preserve"> REF _Ref103863452 \r \h </w:instrText>
      </w:r>
      <w:r w:rsidR="0095074E" w:rsidRPr="00F264F0">
        <w:instrText xml:space="preserve"> \* MERGEFORMAT </w:instrText>
      </w:r>
      <w:r w:rsidR="00EF521B" w:rsidRPr="00F264F0">
        <w:fldChar w:fldCharType="separate"/>
      </w:r>
      <w:r w:rsidR="006B156B" w:rsidRPr="00F264F0">
        <w:t>ANNEX 1</w:t>
      </w:r>
      <w:r w:rsidR="00EF521B" w:rsidRPr="00F264F0">
        <w:fldChar w:fldCharType="end"/>
      </w:r>
      <w:r w:rsidRPr="00F264F0">
        <w:t>). Taking into account the technical conditions identified this Report addresses sharing and compatibility conditions to ensure protection of other users of spectrum in the 40.5-43.5 GHz frequency band (e.g. FS, RAS and FSS) and in adjacent bands (FSS</w:t>
      </w:r>
      <w:r w:rsidR="00124798" w:rsidRPr="00F264F0">
        <w:t xml:space="preserve"> and</w:t>
      </w:r>
      <w:r w:rsidRPr="00F264F0">
        <w:t xml:space="preserve"> FS).</w:t>
      </w:r>
    </w:p>
    <w:p w14:paraId="12D2131F" w14:textId="254B3552" w:rsidR="00845A10" w:rsidRPr="00F264F0" w:rsidRDefault="00845A10" w:rsidP="00845A10">
      <w:pPr>
        <w:pStyle w:val="ECCParagraph"/>
      </w:pPr>
      <w:r w:rsidRPr="00F264F0">
        <w:t xml:space="preserve">The harmonised technical conditions proposed for Wireless Broadband Electronic Communications Services (WBB ECS) systems in the 42 GHz band (see </w:t>
      </w:r>
      <w:r w:rsidR="009C0FA9" w:rsidRPr="00F264F0">
        <w:fldChar w:fldCharType="begin"/>
      </w:r>
      <w:r w:rsidR="009C0FA9" w:rsidRPr="00F264F0">
        <w:instrText xml:space="preserve"> REF _Ref104897991 \r \h </w:instrText>
      </w:r>
      <w:r w:rsidR="00406BDB" w:rsidRPr="00F264F0">
        <w:instrText xml:space="preserve"> \* MERGEFORMAT </w:instrText>
      </w:r>
      <w:r w:rsidR="009C0FA9" w:rsidRPr="00F264F0">
        <w:fldChar w:fldCharType="separate"/>
      </w:r>
      <w:r w:rsidR="006B156B" w:rsidRPr="00F264F0">
        <w:t>ANNEX 2</w:t>
      </w:r>
      <w:r w:rsidR="009C0FA9" w:rsidRPr="00F264F0">
        <w:fldChar w:fldCharType="end"/>
      </w:r>
      <w:r w:rsidRPr="00F264F0">
        <w:t xml:space="preserve">) have been developed based on the main assumptions of synchronised operation and knowledge of location of the WBB ECS base stations. Depending on the authorisation regime applied in this band and in order to ensure appropriate co-existence of terrestrial systems capable of providing WBB ECS with other services in the band and in adjacent bands, there is a need for administrations to assess if it is necessary to impose additional measures (see </w:t>
      </w:r>
      <w:r w:rsidR="009D127F" w:rsidRPr="00F264F0">
        <w:fldChar w:fldCharType="begin"/>
      </w:r>
      <w:r w:rsidR="009D127F" w:rsidRPr="00F264F0">
        <w:instrText xml:space="preserve"> REF _Ref103768958 \r \h </w:instrText>
      </w:r>
      <w:r w:rsidR="00406BDB" w:rsidRPr="00F264F0">
        <w:instrText xml:space="preserve"> \* MERGEFORMAT </w:instrText>
      </w:r>
      <w:r w:rsidR="009D127F" w:rsidRPr="00F264F0">
        <w:fldChar w:fldCharType="separate"/>
      </w:r>
      <w:r w:rsidR="006B156B" w:rsidRPr="00F264F0">
        <w:t>ANNEX 3</w:t>
      </w:r>
      <w:r w:rsidR="009D127F" w:rsidRPr="00F264F0">
        <w:fldChar w:fldCharType="end"/>
      </w:r>
      <w:r w:rsidRPr="00F264F0">
        <w:t xml:space="preserve">) while still respecting the least restrictive harmonised technical conditions in </w:t>
      </w:r>
      <w:r w:rsidR="009C0FA9" w:rsidRPr="00F264F0">
        <w:fldChar w:fldCharType="begin"/>
      </w:r>
      <w:r w:rsidR="009C0FA9" w:rsidRPr="00F264F0">
        <w:instrText xml:space="preserve"> REF _Ref104897991 \r \h </w:instrText>
      </w:r>
      <w:r w:rsidR="00406BDB" w:rsidRPr="00F264F0">
        <w:instrText xml:space="preserve"> \* MERGEFORMAT </w:instrText>
      </w:r>
      <w:r w:rsidR="009C0FA9" w:rsidRPr="00F264F0">
        <w:fldChar w:fldCharType="separate"/>
      </w:r>
      <w:r w:rsidR="006B156B" w:rsidRPr="00F264F0">
        <w:t>ANNEX 2</w:t>
      </w:r>
      <w:r w:rsidR="009C0FA9" w:rsidRPr="00F264F0">
        <w:fldChar w:fldCharType="end"/>
      </w:r>
      <w:r w:rsidRPr="00F264F0">
        <w:t>. For an authorisation regime where the location of base stations are not known in advance of installation, implementation of sharing conditions implies the need for information on relative location of/or distance between interferer and victim, or on the location of one of these when planning the location of the other station.</w:t>
      </w:r>
    </w:p>
    <w:p w14:paraId="205B5543" w14:textId="77777777" w:rsidR="006D6906" w:rsidRPr="00F264F0" w:rsidRDefault="006D6906" w:rsidP="006D6906">
      <w:pPr>
        <w:pStyle w:val="ECCParagraph"/>
      </w:pPr>
      <w:r w:rsidRPr="00F264F0">
        <w:t>When developing the BEM, CEPT took into consideration elements of 3GPP/ETSI standardisation and made the assumption of a hotspot deployment approach. In the case where location of base stations are not known in advance of installation further measures may need to be considered. To assist administrations in sharing and co-existence with other services, CEPT developed guidelines in two separate ECC Recommendations.</w:t>
      </w:r>
    </w:p>
    <w:p w14:paraId="20344B47" w14:textId="6F315213" w:rsidR="00845A10" w:rsidRPr="00F264F0" w:rsidRDefault="00845A10" w:rsidP="00845A10">
      <w:pPr>
        <w:pStyle w:val="ECCParagraph"/>
      </w:pPr>
      <w:r w:rsidRPr="00F264F0">
        <w:t>CEPT developed guidelines to support the introduction of 5G WBB ECS while ensuring, in a proportionate way, the use of FSS receiving earth stations in the frequency band 40.5-42.5 GHz and the use of FSS transmitting earth stations in the frequency band 42.5-43.5</w:t>
      </w:r>
      <w:r w:rsidR="000A3C49" w:rsidRPr="00F264F0">
        <w:t xml:space="preserve"> </w:t>
      </w:r>
      <w:r w:rsidRPr="00F264F0">
        <w:t xml:space="preserve">GHz and the possibility for future deployment of these earth stations (see </w:t>
      </w:r>
      <w:r w:rsidRPr="00F264F0">
        <w:rPr>
          <w:lang w:eastAsia="zh-CN"/>
        </w:rPr>
        <w:t>ECC Recommendation (22)</w:t>
      </w:r>
      <w:r w:rsidR="00E90106" w:rsidRPr="00F264F0">
        <w:rPr>
          <w:lang w:eastAsia="zh-CN"/>
        </w:rPr>
        <w:t>01</w:t>
      </w:r>
      <w:r w:rsidRPr="00F264F0">
        <w:rPr>
          <w:lang w:eastAsia="zh-CN"/>
        </w:rPr>
        <w:t xml:space="preserve"> </w:t>
      </w:r>
      <w:r w:rsidR="004E590A" w:rsidRPr="00F264F0">
        <w:rPr>
          <w:lang w:eastAsia="zh-CN"/>
        </w:rPr>
        <w:fldChar w:fldCharType="begin"/>
      </w:r>
      <w:r w:rsidR="004E590A" w:rsidRPr="00F264F0">
        <w:rPr>
          <w:lang w:eastAsia="zh-CN"/>
        </w:rPr>
        <w:instrText xml:space="preserve"> REF _Ref103332798 \r \h </w:instrText>
      </w:r>
      <w:r w:rsidR="00406BDB" w:rsidRPr="00F264F0">
        <w:rPr>
          <w:lang w:eastAsia="zh-CN"/>
        </w:rPr>
        <w:instrText xml:space="preserve"> \* MERGEFORMAT </w:instrText>
      </w:r>
      <w:r w:rsidR="004E590A" w:rsidRPr="00F264F0">
        <w:rPr>
          <w:lang w:eastAsia="zh-CN"/>
        </w:rPr>
      </w:r>
      <w:r w:rsidR="004E590A" w:rsidRPr="00F264F0">
        <w:rPr>
          <w:lang w:eastAsia="zh-CN"/>
        </w:rPr>
        <w:fldChar w:fldCharType="separate"/>
      </w:r>
      <w:r w:rsidR="006B156B" w:rsidRPr="00F264F0">
        <w:rPr>
          <w:lang w:eastAsia="zh-CN"/>
        </w:rPr>
        <w:t>[1]</w:t>
      </w:r>
      <w:r w:rsidR="004E590A" w:rsidRPr="00F264F0">
        <w:rPr>
          <w:lang w:eastAsia="zh-CN"/>
        </w:rPr>
        <w:fldChar w:fldCharType="end"/>
      </w:r>
      <w:r w:rsidRPr="00F264F0">
        <w:t xml:space="preserve">). In addition, CEPT developed </w:t>
      </w:r>
      <w:r w:rsidR="00187376" w:rsidRPr="00F264F0">
        <w:t>guidelines on</w:t>
      </w:r>
      <w:r w:rsidRPr="00F264F0">
        <w:t xml:space="preserve"> measures to facilitate compatibility between WBB ECS in 40.5-43.5 GHz and receiving FSS earth stations in 39.5-40.5 GHz to prevent and/or resolve interference issues (see </w:t>
      </w:r>
      <w:r w:rsidRPr="00F264F0">
        <w:rPr>
          <w:lang w:eastAsia="zh-CN"/>
        </w:rPr>
        <w:t>ECC Recommendation (22)</w:t>
      </w:r>
      <w:r w:rsidR="008F4604" w:rsidRPr="00F264F0">
        <w:rPr>
          <w:lang w:eastAsia="zh-CN"/>
        </w:rPr>
        <w:t>02</w:t>
      </w:r>
      <w:r w:rsidR="004F6BB0" w:rsidRPr="00F264F0">
        <w:rPr>
          <w:lang w:eastAsia="zh-CN"/>
        </w:rPr>
        <w:t xml:space="preserve"> </w:t>
      </w:r>
      <w:r w:rsidR="004E590A" w:rsidRPr="00F264F0">
        <w:rPr>
          <w:lang w:eastAsia="zh-CN"/>
        </w:rPr>
        <w:fldChar w:fldCharType="begin"/>
      </w:r>
      <w:r w:rsidR="004E590A" w:rsidRPr="00F264F0">
        <w:rPr>
          <w:lang w:eastAsia="zh-CN"/>
        </w:rPr>
        <w:instrText xml:space="preserve"> REF _Ref103341333 \r \h </w:instrText>
      </w:r>
      <w:r w:rsidR="00406BDB" w:rsidRPr="00F264F0">
        <w:rPr>
          <w:lang w:eastAsia="zh-CN"/>
        </w:rPr>
        <w:instrText xml:space="preserve"> \* MERGEFORMAT </w:instrText>
      </w:r>
      <w:r w:rsidR="004E590A" w:rsidRPr="00F264F0">
        <w:rPr>
          <w:lang w:eastAsia="zh-CN"/>
        </w:rPr>
      </w:r>
      <w:r w:rsidR="004E590A" w:rsidRPr="00F264F0">
        <w:rPr>
          <w:lang w:eastAsia="zh-CN"/>
        </w:rPr>
        <w:fldChar w:fldCharType="separate"/>
      </w:r>
      <w:r w:rsidR="006B156B" w:rsidRPr="00F264F0">
        <w:rPr>
          <w:lang w:eastAsia="zh-CN"/>
        </w:rPr>
        <w:t>[2]</w:t>
      </w:r>
      <w:r w:rsidR="004E590A" w:rsidRPr="00F264F0">
        <w:rPr>
          <w:lang w:eastAsia="zh-CN"/>
        </w:rPr>
        <w:fldChar w:fldCharType="end"/>
      </w:r>
      <w:r w:rsidRPr="00F264F0">
        <w:t>).</w:t>
      </w:r>
    </w:p>
    <w:p w14:paraId="4747D46E" w14:textId="7F2F4846" w:rsidR="00845A10" w:rsidRPr="00F264F0" w:rsidRDefault="00845A10" w:rsidP="00EF7408">
      <w:pPr>
        <w:pStyle w:val="ECCBulletsLv1"/>
        <w:tabs>
          <w:tab w:val="left" w:pos="4111"/>
        </w:tabs>
        <w:spacing w:before="240" w:after="60"/>
        <w:ind w:left="0" w:firstLine="0"/>
      </w:pPr>
      <w:r w:rsidRPr="00F264F0">
        <w:t xml:space="preserve">A review of the current and planned use of the 40.5-43.5 GHz frequency band taking into account the radio applications according to ERC Report 25 (ECA </w:t>
      </w:r>
      <w:r w:rsidR="004E590A" w:rsidRPr="00F264F0">
        <w:t>Table</w:t>
      </w:r>
      <w:r w:rsidRPr="00F264F0">
        <w:t xml:space="preserve">) </w:t>
      </w:r>
      <w:r w:rsidR="000C023B" w:rsidRPr="00F264F0">
        <w:fldChar w:fldCharType="begin"/>
      </w:r>
      <w:r w:rsidR="000C023B" w:rsidRPr="00F264F0">
        <w:instrText xml:space="preserve"> REF _Ref103956481 \r \h </w:instrText>
      </w:r>
      <w:r w:rsidR="00406BDB" w:rsidRPr="00F264F0">
        <w:instrText xml:space="preserve"> \* MERGEFORMAT </w:instrText>
      </w:r>
      <w:r w:rsidR="000C023B" w:rsidRPr="00F264F0">
        <w:fldChar w:fldCharType="separate"/>
      </w:r>
      <w:r w:rsidR="006B156B" w:rsidRPr="00F264F0">
        <w:t>[3]</w:t>
      </w:r>
      <w:r w:rsidR="000C023B" w:rsidRPr="00F264F0">
        <w:fldChar w:fldCharType="end"/>
      </w:r>
      <w:r w:rsidR="000C023B" w:rsidRPr="00F264F0">
        <w:t xml:space="preserve"> </w:t>
      </w:r>
      <w:r w:rsidRPr="00F264F0">
        <w:t xml:space="preserve">was done and the results of an ECC Questionnaire from 2016 were evaluated. No additional questionnaire was needed as the incumbent services to be protected in preparation for WRC-19 stayed the same i.e.: </w:t>
      </w:r>
      <w:r w:rsidR="000C023B" w:rsidRPr="00F264F0">
        <w:t xml:space="preserve">fixed </w:t>
      </w:r>
      <w:r w:rsidRPr="00F264F0">
        <w:t xml:space="preserve">service (FS), </w:t>
      </w:r>
      <w:r w:rsidR="000C023B" w:rsidRPr="00F264F0">
        <w:t xml:space="preserve">radio </w:t>
      </w:r>
      <w:r w:rsidRPr="00F264F0">
        <w:t xml:space="preserve">astronomy (RAS) and </w:t>
      </w:r>
      <w:r w:rsidR="000C023B" w:rsidRPr="00F264F0">
        <w:t xml:space="preserve">fixed-satellite service </w:t>
      </w:r>
      <w:r w:rsidRPr="00F264F0">
        <w:t xml:space="preserve">(FSS). Depending on the national situation and according to the assumption for usage of this band in this </w:t>
      </w:r>
      <w:r w:rsidR="008112E6" w:rsidRPr="00F264F0">
        <w:t>R</w:t>
      </w:r>
      <w:r w:rsidRPr="00F264F0">
        <w:t xml:space="preserve">eport, a need was identified to maintain </w:t>
      </w:r>
      <w:r w:rsidRPr="00F264F0">
        <w:rPr>
          <w:lang w:eastAsia="zh-CN"/>
        </w:rPr>
        <w:t xml:space="preserve">appropriate provisions in </w:t>
      </w:r>
      <w:r w:rsidRPr="00F264F0">
        <w:t xml:space="preserve">WBB ECS </w:t>
      </w:r>
      <w:r w:rsidRPr="00F264F0">
        <w:rPr>
          <w:lang w:eastAsia="zh-CN"/>
        </w:rPr>
        <w:t xml:space="preserve">authorisation in 40.5-43.5 GHz </w:t>
      </w:r>
      <w:r w:rsidRPr="00F264F0">
        <w:t xml:space="preserve">for protection of fixed links and </w:t>
      </w:r>
      <w:r w:rsidR="00964AB7" w:rsidRPr="00F264F0">
        <w:t>RAS</w:t>
      </w:r>
      <w:r w:rsidRPr="00F264F0">
        <w:t xml:space="preserve"> in 42.5-43.5 GHz (see in section </w:t>
      </w:r>
      <w:r w:rsidR="00F374D4" w:rsidRPr="00F264F0">
        <w:fldChar w:fldCharType="begin"/>
      </w:r>
      <w:r w:rsidR="00F374D4" w:rsidRPr="00F264F0">
        <w:instrText xml:space="preserve"> REF _Ref104199752 \r \h </w:instrText>
      </w:r>
      <w:r w:rsidR="00406BDB" w:rsidRPr="00F264F0">
        <w:instrText xml:space="preserve"> \* MERGEFORMAT </w:instrText>
      </w:r>
      <w:r w:rsidR="00F374D4" w:rsidRPr="00F264F0">
        <w:fldChar w:fldCharType="separate"/>
      </w:r>
      <w:r w:rsidR="006B156B" w:rsidRPr="00F264F0">
        <w:t>2.2</w:t>
      </w:r>
      <w:r w:rsidR="00F374D4" w:rsidRPr="00F264F0">
        <w:fldChar w:fldCharType="end"/>
      </w:r>
      <w:r w:rsidR="003F3BB9" w:rsidRPr="00F264F0">
        <w:t>,</w:t>
      </w:r>
      <w:r w:rsidRPr="00F264F0">
        <w:t xml:space="preserve"> the list identified RAS sites). It should be noted that in some countries there are no fixed links or RAS sites. Moreover, there is also a need to ensure</w:t>
      </w:r>
      <w:r w:rsidR="00F034A6" w:rsidRPr="00F264F0">
        <w:t>,</w:t>
      </w:r>
      <w:r w:rsidRPr="00F264F0">
        <w:t xml:space="preserve"> in a proportionate way, the use and the possibility for future deployment of FSS receiving earth stations in the frequency band 40.5-42.5 GHz and FSS transmitting earth stations in the frequency band 42.5-43.5</w:t>
      </w:r>
      <w:r w:rsidR="000A3C49" w:rsidRPr="00F264F0">
        <w:t xml:space="preserve"> </w:t>
      </w:r>
      <w:r w:rsidRPr="00F264F0">
        <w:t>GHz</w:t>
      </w:r>
      <w:r w:rsidR="00F034A6" w:rsidRPr="00F264F0">
        <w:t>,</w:t>
      </w:r>
      <w:r w:rsidRPr="00F264F0">
        <w:t xml:space="preserve"> while protecting WBB ECS in 42.5-43.5 GHz.</w:t>
      </w:r>
    </w:p>
    <w:p w14:paraId="7B82F1D2" w14:textId="2C36425A" w:rsidR="00845A10" w:rsidRPr="00F264F0" w:rsidRDefault="00845A10" w:rsidP="00845A10">
      <w:pPr>
        <w:pStyle w:val="ECCParagraph"/>
      </w:pPr>
      <w:r w:rsidRPr="00F264F0">
        <w:t xml:space="preserve">Based on the results of the review of the current and planned use of the 40.5-43.5 GHz frequency band, the frequency arrangements </w:t>
      </w:r>
      <w:r w:rsidR="00C32E70" w:rsidRPr="00F264F0">
        <w:t xml:space="preserve">and </w:t>
      </w:r>
      <w:r w:rsidRPr="00F264F0">
        <w:t>common and minimal (least restrictive) technical conditions were developed, including sharing conditions for the band which are suitable for terrestrial wireless systems, including 5G, in compliance with the principles of technology and service neutrality.</w:t>
      </w:r>
    </w:p>
    <w:p w14:paraId="69840291" w14:textId="152B1C38" w:rsidR="00845A10" w:rsidRPr="00F264F0" w:rsidRDefault="00845A10" w:rsidP="00845A10">
      <w:pPr>
        <w:pStyle w:val="ECCParagraph"/>
      </w:pPr>
      <w:r w:rsidRPr="00F264F0">
        <w:t>The technical conditions identified in this Report address sharing and compatibility conditions to ensure protection of other users of spectrum in the 40.5-43.5 GHz frequency band (e.g. FS, RAS and FSS) and in adjacent bands (e.g. FSS</w:t>
      </w:r>
      <w:r w:rsidR="002D1DBE" w:rsidRPr="00F264F0">
        <w:t xml:space="preserve"> and</w:t>
      </w:r>
      <w:r w:rsidRPr="00F264F0">
        <w:t xml:space="preserve"> FS) </w:t>
      </w:r>
      <w:r w:rsidR="00937F6C" w:rsidRPr="00F264F0">
        <w:fldChar w:fldCharType="begin"/>
      </w:r>
      <w:r w:rsidR="00937F6C" w:rsidRPr="00F264F0">
        <w:instrText xml:space="preserve"> REF _Ref103956624 \r \h </w:instrText>
      </w:r>
      <w:r w:rsidR="00406BDB" w:rsidRPr="00F264F0">
        <w:instrText xml:space="preserve"> \* MERGEFORMAT </w:instrText>
      </w:r>
      <w:r w:rsidR="00937F6C" w:rsidRPr="00F264F0">
        <w:fldChar w:fldCharType="separate"/>
      </w:r>
      <w:r w:rsidR="006B156B" w:rsidRPr="00F264F0">
        <w:t>[4]</w:t>
      </w:r>
      <w:r w:rsidR="00937F6C" w:rsidRPr="00F264F0">
        <w:fldChar w:fldCharType="end"/>
      </w:r>
      <w:r w:rsidRPr="00F264F0">
        <w:t xml:space="preserve">. It is noted that sharing with active services above 40 GHz may be easier than systems operating at lower frequencies for several reasons </w:t>
      </w:r>
      <w:r w:rsidR="00C12E0B" w:rsidRPr="00F264F0">
        <w:fldChar w:fldCharType="begin"/>
      </w:r>
      <w:r w:rsidR="00C12E0B" w:rsidRPr="00F264F0">
        <w:instrText xml:space="preserve"> REF _Ref103863117 \r \h </w:instrText>
      </w:r>
      <w:r w:rsidR="00406BDB" w:rsidRPr="00F264F0">
        <w:instrText xml:space="preserve"> \* MERGEFORMAT </w:instrText>
      </w:r>
      <w:r w:rsidR="00C12E0B" w:rsidRPr="00F264F0">
        <w:fldChar w:fldCharType="separate"/>
      </w:r>
      <w:r w:rsidR="006B156B" w:rsidRPr="00F264F0">
        <w:t>[5]</w:t>
      </w:r>
      <w:r w:rsidR="00C12E0B" w:rsidRPr="00F264F0">
        <w:fldChar w:fldCharType="end"/>
      </w:r>
      <w:r w:rsidRPr="00F264F0">
        <w:t>: high transmitting directivity can be easily achieved with antennas of practical size; the line-of-sight and atmospheric attenuation is higher at these frequencies, diffraction is weaker (leading to stronger shielding by obstacles); the scattering of signals by the troposphere decreases with increasing frequency.</w:t>
      </w:r>
    </w:p>
    <w:p w14:paraId="0863697E" w14:textId="16013E37" w:rsidR="00845A10" w:rsidRPr="00F264F0" w:rsidRDefault="00845A10" w:rsidP="00845A10">
      <w:pPr>
        <w:pStyle w:val="ECCParagraph"/>
      </w:pPr>
      <w:r w:rsidRPr="00F264F0">
        <w:t>The FSS framework in the 40.5-43.5 GHz band is referenced in the revision of ECC Decision (02)04</w:t>
      </w:r>
      <w:r w:rsidR="0000695D" w:rsidRPr="00F264F0">
        <w:t xml:space="preserve"> </w:t>
      </w:r>
      <w:r w:rsidR="0000695D" w:rsidRPr="00F264F0">
        <w:fldChar w:fldCharType="begin"/>
      </w:r>
      <w:r w:rsidR="0000695D" w:rsidRPr="00F264F0">
        <w:instrText xml:space="preserve"> REF _Ref110601742 \r \h </w:instrText>
      </w:r>
      <w:r w:rsidR="00406BDB" w:rsidRPr="00F264F0">
        <w:instrText xml:space="preserve"> \* MERGEFORMAT </w:instrText>
      </w:r>
      <w:r w:rsidR="0000695D" w:rsidRPr="00F264F0">
        <w:fldChar w:fldCharType="separate"/>
      </w:r>
      <w:r w:rsidR="006B156B" w:rsidRPr="00F264F0">
        <w:t>[11]</w:t>
      </w:r>
      <w:r w:rsidR="0000695D" w:rsidRPr="00F264F0">
        <w:fldChar w:fldCharType="end"/>
      </w:r>
      <w:r w:rsidRPr="00F264F0">
        <w:t xml:space="preserve">. </w:t>
      </w:r>
    </w:p>
    <w:p w14:paraId="68D2C111" w14:textId="3EFB6703" w:rsidR="00845A10" w:rsidRPr="00F264F0" w:rsidRDefault="00845A10" w:rsidP="00845A10">
      <w:pPr>
        <w:pStyle w:val="ECCParagraph"/>
      </w:pPr>
      <w:r w:rsidRPr="00F264F0">
        <w:lastRenderedPageBreak/>
        <w:t>For the protection of FSS satellite receivers in 42.5</w:t>
      </w:r>
      <w:r w:rsidR="003C00DE" w:rsidRPr="00F264F0">
        <w:t>-</w:t>
      </w:r>
      <w:r w:rsidRPr="00F264F0">
        <w:t>43.5 GHz, CEPT proposes to implement a similar approach as for the protection of FSS satellite receivers at 26 GHz (CEPT Report 68</w:t>
      </w:r>
      <w:r w:rsidR="00937F6C" w:rsidRPr="00F264F0">
        <w:t xml:space="preserve"> </w:t>
      </w:r>
      <w:r w:rsidR="00937F6C" w:rsidRPr="00F264F0">
        <w:fldChar w:fldCharType="begin"/>
      </w:r>
      <w:r w:rsidR="00937F6C" w:rsidRPr="00F264F0">
        <w:instrText xml:space="preserve"> REF _Ref103956763 \r \h </w:instrText>
      </w:r>
      <w:r w:rsidR="00406BDB" w:rsidRPr="00F264F0">
        <w:instrText xml:space="preserve"> \* MERGEFORMAT </w:instrText>
      </w:r>
      <w:r w:rsidR="00937F6C" w:rsidRPr="00F264F0">
        <w:fldChar w:fldCharType="separate"/>
      </w:r>
      <w:r w:rsidR="006B156B" w:rsidRPr="00F264F0">
        <w:t>[6]</w:t>
      </w:r>
      <w:r w:rsidR="00937F6C" w:rsidRPr="00F264F0">
        <w:fldChar w:fldCharType="end"/>
      </w:r>
      <w:r w:rsidRPr="00F264F0">
        <w:t>, ECC D</w:t>
      </w:r>
      <w:r w:rsidR="00C12E0B" w:rsidRPr="00F264F0">
        <w:t xml:space="preserve">ecision </w:t>
      </w:r>
      <w:r w:rsidRPr="00F264F0">
        <w:t>18(06)</w:t>
      </w:r>
      <w:r w:rsidR="00D63C31" w:rsidRPr="00F264F0">
        <w:t xml:space="preserve"> </w:t>
      </w:r>
      <w:r w:rsidR="00444395" w:rsidRPr="00F264F0">
        <w:fldChar w:fldCharType="begin"/>
      </w:r>
      <w:r w:rsidR="00444395" w:rsidRPr="00F264F0">
        <w:instrText xml:space="preserve"> REF _Ref103956776 \r \h </w:instrText>
      </w:r>
      <w:r w:rsidR="00406BDB" w:rsidRPr="00F264F0">
        <w:instrText xml:space="preserve"> \* MERGEFORMAT </w:instrText>
      </w:r>
      <w:r w:rsidR="00444395" w:rsidRPr="00F264F0">
        <w:fldChar w:fldCharType="separate"/>
      </w:r>
      <w:r w:rsidR="006B156B" w:rsidRPr="00F264F0">
        <w:t>[7]</w:t>
      </w:r>
      <w:r w:rsidR="00444395" w:rsidRPr="00F264F0">
        <w:fldChar w:fldCharType="end"/>
      </w:r>
      <w:r w:rsidRPr="00F264F0">
        <w:t xml:space="preserve"> and the 26 GHz EC Decisions (EU) 2020/590 amending Decision (EU) 2019/784</w:t>
      </w:r>
      <w:r w:rsidR="00444395" w:rsidRPr="00F264F0">
        <w:t xml:space="preserve"> </w:t>
      </w:r>
      <w:r w:rsidR="00444395" w:rsidRPr="00F264F0">
        <w:fldChar w:fldCharType="begin"/>
      </w:r>
      <w:r w:rsidR="00444395" w:rsidRPr="00F264F0">
        <w:instrText xml:space="preserve"> REF _Ref103956784 \r \h </w:instrText>
      </w:r>
      <w:r w:rsidR="00406BDB" w:rsidRPr="00F264F0">
        <w:instrText xml:space="preserve"> \* MERGEFORMAT </w:instrText>
      </w:r>
      <w:r w:rsidR="00444395" w:rsidRPr="00F264F0">
        <w:fldChar w:fldCharType="separate"/>
      </w:r>
      <w:r w:rsidR="006B156B" w:rsidRPr="00F264F0">
        <w:t>[8]</w:t>
      </w:r>
      <w:r w:rsidR="00444395" w:rsidRPr="00F264F0">
        <w:fldChar w:fldCharType="end"/>
      </w:r>
      <w:r w:rsidRPr="00F264F0">
        <w:t>) including the need to monitor the evolution of WBB ECS. Under authorisation regimes where there are no means to monitor the evolution of WBB ECS density and its deployment characteristics, an in-band limit for the TRP for WBB ECS equipment could be defined at national level.</w:t>
      </w:r>
    </w:p>
    <w:p w14:paraId="78458F26" w14:textId="34B0B5D5" w:rsidR="00845A10" w:rsidRPr="00F264F0" w:rsidRDefault="00845A10" w:rsidP="00845A10">
      <w:pPr>
        <w:pStyle w:val="ECCParagraph"/>
      </w:pPr>
      <w:r w:rsidRPr="00F264F0">
        <w:t>In consequence, CEPT intends to assess on regular basis the deployment of WBB ECS system including characteristics network deployments. Administrations are invited to monitor and report annually to ECO on deployment of 40.5-43.5 GHz WBB ECS in their country and encouraged to rapidly report to ECO on cases of interference to FSS caused by WBB ECS above 40.5 GHz and the measures they have taken to resolve them.</w:t>
      </w:r>
    </w:p>
    <w:p w14:paraId="1F91AD2D" w14:textId="77777777" w:rsidR="00845A10" w:rsidRPr="00F264F0" w:rsidRDefault="00845A10" w:rsidP="00845A10">
      <w:pPr>
        <w:pStyle w:val="ECCParagraph"/>
      </w:pPr>
      <w:r w:rsidRPr="00F264F0">
        <w:t>For the protection of radio astronomy, generic compatibility studies between RAS and WBB ECS systems concluded that for the frequency band 40.5-43.5 GHz, exclusion zones around RAS stations are required. These could be managed on a case-by-case basis at national level.</w:t>
      </w:r>
    </w:p>
    <w:p w14:paraId="32AD614E" w14:textId="4896410D" w:rsidR="00845A10" w:rsidRPr="00F264F0" w:rsidRDefault="00845A10" w:rsidP="00845A10">
      <w:pPr>
        <w:pStyle w:val="ECCParagraph"/>
      </w:pPr>
      <w:r w:rsidRPr="00F264F0">
        <w:t xml:space="preserve">During the development of this </w:t>
      </w:r>
      <w:r w:rsidR="008112E6" w:rsidRPr="00F264F0">
        <w:t>R</w:t>
      </w:r>
      <w:r w:rsidRPr="00F264F0">
        <w:t xml:space="preserve">eport, it was noted that various high </w:t>
      </w:r>
      <w:proofErr w:type="gramStart"/>
      <w:r w:rsidRPr="00F264F0">
        <w:t>bit</w:t>
      </w:r>
      <w:r w:rsidR="00956251" w:rsidRPr="00F264F0">
        <w:t>-</w:t>
      </w:r>
      <w:r w:rsidRPr="00F264F0">
        <w:t>rate</w:t>
      </w:r>
      <w:proofErr w:type="gramEnd"/>
      <w:r w:rsidRPr="00F264F0">
        <w:t xml:space="preserve"> WBB ECS aerial UE applications might use this band or in parts of the band in the future in some countries. No studies have been performed.</w:t>
      </w:r>
    </w:p>
    <w:p w14:paraId="01127DA0" w14:textId="37D7A025" w:rsidR="00677DCE" w:rsidRPr="00F264F0" w:rsidRDefault="00845A10" w:rsidP="007A7B8B">
      <w:pPr>
        <w:pStyle w:val="ECCParagraph"/>
      </w:pPr>
      <w:r w:rsidRPr="00F264F0">
        <w:t xml:space="preserve">In response to </w:t>
      </w:r>
      <w:r w:rsidR="00D60820" w:rsidRPr="00F264F0">
        <w:t>T</w:t>
      </w:r>
      <w:r w:rsidRPr="00F264F0">
        <w:t xml:space="preserve">ask 4, CEPT supports the current bilateral cross-border coordination process between relevant CEPT countries and intends to develop relevant ECC </w:t>
      </w:r>
      <w:r w:rsidR="00D60820" w:rsidRPr="00F264F0">
        <w:t>R</w:t>
      </w:r>
      <w:r w:rsidRPr="00F264F0">
        <w:t>ecommendation for this frequency band.</w:t>
      </w:r>
    </w:p>
    <w:p w14:paraId="1327BD2C" w14:textId="77777777" w:rsidR="007A7B8B" w:rsidRPr="00F264F0" w:rsidRDefault="007A7B8B">
      <w:pPr>
        <w:outlineLvl w:val="2"/>
        <w:rPr>
          <w:lang w:val="en-GB"/>
        </w:rPr>
      </w:pPr>
    </w:p>
    <w:p w14:paraId="5A4D2BF0" w14:textId="79AD1BDA" w:rsidR="00A81AC7" w:rsidRPr="00F264F0" w:rsidRDefault="00A81AC7">
      <w:pPr>
        <w:outlineLvl w:val="2"/>
        <w:rPr>
          <w:lang w:val="en-GB"/>
        </w:rPr>
        <w:sectPr w:rsidR="00A81AC7" w:rsidRPr="00F264F0">
          <w:headerReference w:type="even" r:id="rId12"/>
          <w:headerReference w:type="default" r:id="rId13"/>
          <w:footerReference w:type="even" r:id="rId14"/>
          <w:footerReference w:type="default" r:id="rId15"/>
          <w:headerReference w:type="first" r:id="rId16"/>
          <w:footnotePr>
            <w:numRestart w:val="eachSect"/>
          </w:footnotePr>
          <w:pgSz w:w="11906" w:h="16838"/>
          <w:pgMar w:top="1440" w:right="1134" w:bottom="1440" w:left="1134" w:header="709" w:footer="709" w:gutter="0"/>
          <w:cols w:space="708"/>
          <w:formProt w:val="0"/>
          <w:docGrid w:linePitch="360" w:charSpace="8192"/>
        </w:sectPr>
      </w:pPr>
    </w:p>
    <w:p w14:paraId="5D9B8F1F" w14:textId="4101AB95" w:rsidR="00677DCE" w:rsidRPr="00F264F0" w:rsidRDefault="007D617C" w:rsidP="00804B1F">
      <w:pPr>
        <w:pStyle w:val="ECCAnnexheading1"/>
        <w:numPr>
          <w:ilvl w:val="0"/>
          <w:numId w:val="3"/>
        </w:numPr>
        <w:ind w:left="0"/>
      </w:pPr>
      <w:bookmarkStart w:id="106" w:name="_Ref103863396"/>
      <w:bookmarkStart w:id="107" w:name="_Ref103863424"/>
      <w:bookmarkStart w:id="108" w:name="_Ref103863452"/>
      <w:bookmarkStart w:id="109" w:name="_Toc107559558"/>
      <w:bookmarkStart w:id="110" w:name="_Toc119577665"/>
      <w:r w:rsidRPr="00F264F0">
        <w:lastRenderedPageBreak/>
        <w:t>CEPT MANDATE</w:t>
      </w:r>
      <w:bookmarkEnd w:id="106"/>
      <w:bookmarkEnd w:id="107"/>
      <w:bookmarkEnd w:id="108"/>
      <w:bookmarkEnd w:id="109"/>
      <w:bookmarkEnd w:id="110"/>
    </w:p>
    <w:tbl>
      <w:tblPr>
        <w:tblW w:w="9072" w:type="dxa"/>
        <w:tblCellMar>
          <w:left w:w="0" w:type="dxa"/>
          <w:right w:w="0" w:type="dxa"/>
        </w:tblCellMar>
        <w:tblLook w:val="0000" w:firstRow="0" w:lastRow="0" w:firstColumn="0" w:lastColumn="0" w:noHBand="0" w:noVBand="0"/>
      </w:tblPr>
      <w:tblGrid>
        <w:gridCol w:w="1814"/>
        <w:gridCol w:w="7258"/>
      </w:tblGrid>
      <w:tr w:rsidR="00677DCE" w:rsidRPr="00F264F0" w14:paraId="10103ADB" w14:textId="77777777">
        <w:trPr>
          <w:trHeight w:val="1440"/>
        </w:trPr>
        <w:tc>
          <w:tcPr>
            <w:tcW w:w="1814" w:type="dxa"/>
          </w:tcPr>
          <w:p w14:paraId="33CE788C" w14:textId="77777777" w:rsidR="00677DCE" w:rsidRPr="00F264F0" w:rsidRDefault="007D617C">
            <w:pPr>
              <w:pStyle w:val="ZCom"/>
              <w:ind w:right="-454"/>
              <w:rPr>
                <w:rFonts w:ascii="Times New Roman" w:hAnsi="Times New Roman"/>
              </w:rPr>
            </w:pPr>
            <w:bookmarkStart w:id="111" w:name="_Hlk103604782"/>
            <w:bookmarkStart w:id="112" w:name="_Hlk103604683"/>
            <w:r w:rsidRPr="00F264F0">
              <w:rPr>
                <w:noProof/>
              </w:rPr>
              <w:drawing>
                <wp:inline distT="0" distB="0" distL="0" distR="0" wp14:anchorId="496C05E1" wp14:editId="502A55D7">
                  <wp:extent cx="1113155" cy="548640"/>
                  <wp:effectExtent l="0" t="0" r="0" b="0"/>
                  <wp:docPr id="1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1"/>
                          <pic:cNvPicPr>
                            <a:picLocks noChangeAspect="1" noChangeArrowheads="1"/>
                          </pic:cNvPicPr>
                        </pic:nvPicPr>
                        <pic:blipFill>
                          <a:blip r:embed="rId17"/>
                          <a:stretch>
                            <a:fillRect/>
                          </a:stretch>
                        </pic:blipFill>
                        <pic:spPr bwMode="auto">
                          <a:xfrm>
                            <a:off x="0" y="0"/>
                            <a:ext cx="1113155" cy="548640"/>
                          </a:xfrm>
                          <a:prstGeom prst="rect">
                            <a:avLst/>
                          </a:prstGeom>
                        </pic:spPr>
                      </pic:pic>
                    </a:graphicData>
                  </a:graphic>
                </wp:inline>
              </w:drawing>
            </w:r>
          </w:p>
        </w:tc>
        <w:tc>
          <w:tcPr>
            <w:tcW w:w="7257" w:type="dxa"/>
          </w:tcPr>
          <w:p w14:paraId="12F35600" w14:textId="77777777" w:rsidR="00677DCE" w:rsidRPr="00F264F0" w:rsidRDefault="007D617C">
            <w:pPr>
              <w:pStyle w:val="ZCom"/>
              <w:ind w:right="-454"/>
              <w:rPr>
                <w:rFonts w:ascii="Times New Roman" w:hAnsi="Times New Roman"/>
              </w:rPr>
            </w:pPr>
            <w:r w:rsidRPr="00F264F0">
              <w:rPr>
                <w:rFonts w:ascii="Times New Roman" w:hAnsi="Times New Roman"/>
              </w:rPr>
              <w:t>EUROPEAN COMMISSION</w:t>
            </w:r>
          </w:p>
          <w:p w14:paraId="1C36E7E3" w14:textId="77777777" w:rsidR="00677DCE" w:rsidRPr="00F264F0" w:rsidRDefault="007D617C">
            <w:pPr>
              <w:pStyle w:val="ZDGName"/>
              <w:ind w:right="-454"/>
              <w:rPr>
                <w:rFonts w:ascii="Times New Roman" w:hAnsi="Times New Roman"/>
              </w:rPr>
            </w:pPr>
            <w:r w:rsidRPr="00F264F0">
              <w:rPr>
                <w:rFonts w:ascii="Times New Roman" w:hAnsi="Times New Roman"/>
              </w:rPr>
              <w:t xml:space="preserve">DIRECTORATE-GENERAL FOR COMMUNICATIONS NETWORKS, CONTENT AND </w:t>
            </w:r>
          </w:p>
          <w:p w14:paraId="016AB78D" w14:textId="77777777" w:rsidR="00677DCE" w:rsidRPr="00F264F0" w:rsidRDefault="007D617C">
            <w:pPr>
              <w:pStyle w:val="ZDGName"/>
              <w:ind w:right="-454"/>
              <w:rPr>
                <w:rFonts w:ascii="Times New Roman" w:hAnsi="Times New Roman"/>
              </w:rPr>
            </w:pPr>
            <w:r w:rsidRPr="00F264F0">
              <w:rPr>
                <w:rFonts w:ascii="Times New Roman" w:hAnsi="Times New Roman"/>
              </w:rPr>
              <w:t>TECHNOLOGY</w:t>
            </w:r>
          </w:p>
          <w:p w14:paraId="761045A8" w14:textId="77777777" w:rsidR="00677DCE" w:rsidRPr="00F264F0" w:rsidRDefault="00677DCE">
            <w:pPr>
              <w:pStyle w:val="ZDGName"/>
              <w:widowControl/>
              <w:rPr>
                <w:rFonts w:ascii="Times New Roman" w:hAnsi="Times New Roman"/>
              </w:rPr>
            </w:pPr>
          </w:p>
          <w:p w14:paraId="694D2907" w14:textId="77777777" w:rsidR="00677DCE" w:rsidRPr="00F264F0" w:rsidRDefault="00677DCE">
            <w:pPr>
              <w:pStyle w:val="ZDGName"/>
              <w:widowControl/>
              <w:rPr>
                <w:rFonts w:ascii="Times New Roman" w:hAnsi="Times New Roman"/>
              </w:rPr>
            </w:pPr>
          </w:p>
          <w:p w14:paraId="502BE59B" w14:textId="77777777" w:rsidR="00677DCE" w:rsidRPr="00F264F0" w:rsidRDefault="007D617C">
            <w:pPr>
              <w:pStyle w:val="ZDGName"/>
              <w:widowControl/>
              <w:rPr>
                <w:rFonts w:ascii="Times New Roman" w:hAnsi="Times New Roman"/>
                <w:bCs/>
              </w:rPr>
            </w:pPr>
            <w:r w:rsidRPr="00F264F0">
              <w:rPr>
                <w:rFonts w:ascii="Times New Roman" w:hAnsi="Times New Roman"/>
                <w:bCs/>
              </w:rPr>
              <w:t>The Director-General</w:t>
            </w:r>
          </w:p>
          <w:p w14:paraId="3F145302" w14:textId="77777777" w:rsidR="00677DCE" w:rsidRPr="00F264F0" w:rsidRDefault="00677DCE">
            <w:pPr>
              <w:pStyle w:val="ZDGName"/>
              <w:widowControl/>
              <w:rPr>
                <w:rFonts w:ascii="Times New Roman" w:hAnsi="Times New Roman"/>
                <w:bCs/>
              </w:rPr>
            </w:pPr>
          </w:p>
          <w:p w14:paraId="09C15C8E" w14:textId="77777777" w:rsidR="00677DCE" w:rsidRPr="00F264F0" w:rsidRDefault="007D617C">
            <w:pPr>
              <w:pStyle w:val="ZDGName"/>
              <w:ind w:left="2880"/>
              <w:rPr>
                <w:rFonts w:ascii="Times New Roman" w:hAnsi="Times New Roman"/>
                <w:bCs/>
                <w:sz w:val="20"/>
                <w:szCs w:val="24"/>
              </w:rPr>
            </w:pPr>
            <w:r w:rsidRPr="00F264F0">
              <w:rPr>
                <w:rFonts w:ascii="Times New Roman" w:hAnsi="Times New Roman"/>
                <w:bCs/>
                <w:sz w:val="20"/>
                <w:szCs w:val="24"/>
              </w:rPr>
              <w:t>Brussels</w:t>
            </w:r>
          </w:p>
          <w:p w14:paraId="5A086B7B" w14:textId="77777777" w:rsidR="00677DCE" w:rsidRPr="00F264F0" w:rsidRDefault="007D617C">
            <w:pPr>
              <w:pStyle w:val="ZDGName"/>
              <w:widowControl/>
              <w:ind w:left="2880"/>
              <w:rPr>
                <w:rFonts w:ascii="Times New Roman" w:hAnsi="Times New Roman"/>
                <w:bCs/>
              </w:rPr>
            </w:pPr>
            <w:r w:rsidRPr="00F264F0">
              <w:rPr>
                <w:rFonts w:ascii="Times New Roman" w:hAnsi="Times New Roman"/>
                <w:bCs/>
                <w:sz w:val="20"/>
                <w:szCs w:val="24"/>
              </w:rPr>
              <w:t>CNECT.B.4</w:t>
            </w:r>
          </w:p>
        </w:tc>
      </w:tr>
    </w:tbl>
    <w:p w14:paraId="59AEAFFC" w14:textId="77777777" w:rsidR="00677DCE" w:rsidRPr="00F264F0" w:rsidRDefault="00677DCE">
      <w:pPr>
        <w:spacing w:after="120"/>
        <w:jc w:val="center"/>
        <w:rPr>
          <w:rFonts w:ascii="Times New Roman" w:hAnsi="Times New Roman"/>
          <w:b/>
          <w:smallCaps/>
          <w:sz w:val="24"/>
          <w:szCs w:val="32"/>
          <w:lang w:val="en-GB"/>
        </w:rPr>
      </w:pPr>
    </w:p>
    <w:p w14:paraId="1DA23AE1" w14:textId="77777777" w:rsidR="00677DCE" w:rsidRPr="00F264F0" w:rsidRDefault="00677DCE">
      <w:pPr>
        <w:spacing w:after="120"/>
        <w:jc w:val="center"/>
        <w:rPr>
          <w:rFonts w:ascii="Times New Roman" w:hAnsi="Times New Roman"/>
          <w:b/>
          <w:smallCaps/>
          <w:sz w:val="24"/>
          <w:szCs w:val="32"/>
          <w:lang w:val="en-GB"/>
        </w:rPr>
      </w:pPr>
    </w:p>
    <w:p w14:paraId="73B98587" w14:textId="77777777" w:rsidR="00677DCE" w:rsidRPr="00F264F0" w:rsidRDefault="007D617C">
      <w:pPr>
        <w:spacing w:after="120"/>
        <w:jc w:val="center"/>
        <w:rPr>
          <w:rFonts w:ascii="Times New Roman" w:hAnsi="Times New Roman"/>
          <w:b/>
          <w:smallCaps/>
          <w:sz w:val="24"/>
          <w:lang w:val="en-GB"/>
        </w:rPr>
      </w:pPr>
      <w:r w:rsidRPr="00F264F0">
        <w:rPr>
          <w:rFonts w:ascii="Times New Roman" w:hAnsi="Times New Roman"/>
          <w:b/>
          <w:smallCaps/>
          <w:sz w:val="24"/>
          <w:lang w:val="en-GB"/>
        </w:rPr>
        <w:t>Mandate to CEPT</w:t>
      </w:r>
    </w:p>
    <w:p w14:paraId="2F448A4C" w14:textId="77777777" w:rsidR="00677DCE" w:rsidRPr="00F264F0" w:rsidRDefault="007D617C">
      <w:pPr>
        <w:spacing w:after="360"/>
        <w:jc w:val="center"/>
        <w:rPr>
          <w:rFonts w:ascii="Times New Roman" w:hAnsi="Times New Roman"/>
          <w:b/>
          <w:smallCaps/>
          <w:sz w:val="24"/>
          <w:lang w:val="en-GB"/>
        </w:rPr>
      </w:pPr>
      <w:r w:rsidRPr="00F264F0">
        <w:rPr>
          <w:rFonts w:ascii="Times New Roman" w:hAnsi="Times New Roman"/>
          <w:b/>
          <w:smallCaps/>
          <w:sz w:val="24"/>
          <w:lang w:val="en-GB"/>
        </w:rPr>
        <w:t>to develop least restrictive harmonised technical conditions suitable for next-generation (5G) terrestrial wireless systems for priority frequency bands above 24 GHz</w:t>
      </w:r>
    </w:p>
    <w:p w14:paraId="737A61FE" w14:textId="77777777" w:rsidR="00677DCE" w:rsidRPr="00F264F0" w:rsidRDefault="007D617C">
      <w:pPr>
        <w:keepNext/>
        <w:numPr>
          <w:ilvl w:val="0"/>
          <w:numId w:val="24"/>
        </w:numPr>
        <w:spacing w:before="240" w:after="240"/>
        <w:jc w:val="both"/>
        <w:outlineLvl w:val="0"/>
        <w:rPr>
          <w:rFonts w:ascii="Times New Roman" w:hAnsi="Times New Roman"/>
          <w:b/>
          <w:smallCaps/>
          <w:sz w:val="24"/>
          <w:lang w:val="en-GB"/>
        </w:rPr>
      </w:pPr>
      <w:bookmarkStart w:id="113" w:name="_Toc518893563"/>
      <w:bookmarkStart w:id="114" w:name="_Toc506816646"/>
      <w:bookmarkStart w:id="115" w:name="_Toc103295110"/>
      <w:bookmarkStart w:id="116" w:name="_Toc103295207"/>
      <w:bookmarkStart w:id="117" w:name="_Toc103606097"/>
      <w:bookmarkStart w:id="118" w:name="_Toc104381009"/>
      <w:bookmarkStart w:id="119" w:name="_Toc107559559"/>
      <w:bookmarkStart w:id="120" w:name="_Toc119577666"/>
      <w:r w:rsidRPr="00F264F0">
        <w:rPr>
          <w:rFonts w:ascii="Times New Roman" w:hAnsi="Times New Roman"/>
          <w:b/>
          <w:smallCaps/>
          <w:sz w:val="24"/>
          <w:lang w:val="en-GB"/>
        </w:rPr>
        <w:t>Purpose</w:t>
      </w:r>
      <w:bookmarkEnd w:id="113"/>
      <w:bookmarkEnd w:id="114"/>
      <w:bookmarkEnd w:id="115"/>
      <w:bookmarkEnd w:id="116"/>
      <w:bookmarkEnd w:id="117"/>
      <w:bookmarkEnd w:id="118"/>
      <w:bookmarkEnd w:id="119"/>
      <w:bookmarkEnd w:id="120"/>
      <w:r w:rsidRPr="00F264F0">
        <w:rPr>
          <w:rFonts w:ascii="Times New Roman" w:hAnsi="Times New Roman"/>
          <w:b/>
          <w:smallCaps/>
          <w:sz w:val="24"/>
          <w:lang w:val="en-GB"/>
        </w:rPr>
        <w:t xml:space="preserve"> </w:t>
      </w:r>
    </w:p>
    <w:p w14:paraId="390E4C0E" w14:textId="77777777" w:rsidR="00677DCE" w:rsidRPr="00F264F0" w:rsidRDefault="007D617C">
      <w:pPr>
        <w:jc w:val="both"/>
        <w:rPr>
          <w:rFonts w:ascii="Times New Roman" w:hAnsi="Times New Roman"/>
          <w:sz w:val="24"/>
          <w:lang w:val="en-GB"/>
        </w:rPr>
      </w:pPr>
      <w:r w:rsidRPr="00F264F0">
        <w:rPr>
          <w:rFonts w:ascii="Times New Roman" w:hAnsi="Times New Roman"/>
          <w:sz w:val="24"/>
          <w:lang w:val="en-GB"/>
        </w:rPr>
        <w:t>This Mandate is a follow-up to the Commission mandates regarding the development of harmonised technical conditions suitable for the provision of next-generation (5G) electronic communications services in ‘pioneer’ bands (RSCOM16-40rev3) as well as in EU-harmonised bands (RSCOM18-19rev1). It should deliver least restrictive harmonised technical conditions in the context of technology and service neutrality, including relevant sharing conditions, which allow use of the priority frequency band 40.5-43.5 GHz for terrestrial wireless systems capable of providing wireless broadband electronic communications services. Furthermore, it should assess the need to update the EU-harmonised technical conditions for the same type of use of the priority frequency band 66-71 GHz. The technical conditions for both bands should take into account 5G usage scenarios related to very high-capacity networks and meet the overarching objective of ensuring efficient spectrum use.</w:t>
      </w:r>
    </w:p>
    <w:p w14:paraId="74887572" w14:textId="77777777" w:rsidR="00677DCE" w:rsidRPr="00F264F0" w:rsidRDefault="00677DCE">
      <w:pPr>
        <w:jc w:val="both"/>
        <w:rPr>
          <w:rFonts w:ascii="Times New Roman" w:hAnsi="Times New Roman"/>
          <w:sz w:val="24"/>
          <w:lang w:val="en-GB"/>
        </w:rPr>
      </w:pPr>
    </w:p>
    <w:p w14:paraId="320E97BE" w14:textId="77777777" w:rsidR="00677DCE" w:rsidRPr="00F264F0" w:rsidRDefault="007D617C">
      <w:pPr>
        <w:pStyle w:val="ListParagraph"/>
        <w:numPr>
          <w:ilvl w:val="0"/>
          <w:numId w:val="25"/>
        </w:numPr>
        <w:jc w:val="both"/>
        <w:rPr>
          <w:rFonts w:ascii="Times New Roman" w:hAnsi="Times New Roman"/>
          <w:b/>
          <w:smallCaps/>
          <w:sz w:val="24"/>
          <w:lang w:val="en-GB"/>
        </w:rPr>
      </w:pPr>
      <w:r w:rsidRPr="00F264F0">
        <w:rPr>
          <w:rFonts w:ascii="Times New Roman" w:hAnsi="Times New Roman"/>
          <w:b/>
          <w:smallCaps/>
          <w:sz w:val="24"/>
          <w:lang w:val="en-GB"/>
        </w:rPr>
        <w:t>POLICY CONTEXT AND INPUTS</w:t>
      </w:r>
    </w:p>
    <w:p w14:paraId="74E01B47" w14:textId="77777777" w:rsidR="00677DCE" w:rsidRPr="00F264F0" w:rsidRDefault="00677DCE">
      <w:pPr>
        <w:jc w:val="both"/>
        <w:rPr>
          <w:rFonts w:ascii="Times New Roman" w:hAnsi="Times New Roman"/>
          <w:sz w:val="24"/>
          <w:lang w:val="en-GB"/>
        </w:rPr>
      </w:pPr>
    </w:p>
    <w:p w14:paraId="54836907" w14:textId="77777777" w:rsidR="00677DCE" w:rsidRPr="00F264F0" w:rsidRDefault="007D617C">
      <w:pPr>
        <w:jc w:val="both"/>
        <w:rPr>
          <w:rFonts w:ascii="Times New Roman" w:hAnsi="Times New Roman"/>
          <w:sz w:val="24"/>
          <w:lang w:val="en-GB"/>
        </w:rPr>
      </w:pPr>
      <w:r w:rsidRPr="00F264F0">
        <w:rPr>
          <w:rFonts w:ascii="Times New Roman" w:hAnsi="Times New Roman"/>
          <w:sz w:val="24"/>
          <w:lang w:val="en-GB"/>
        </w:rPr>
        <w:t>The ITU-R vision for the next-generation mobile telecommunications</w:t>
      </w:r>
      <w:bookmarkStart w:id="121" w:name="_Ref454892478"/>
      <w:bookmarkEnd w:id="121"/>
      <w:r w:rsidRPr="00F264F0">
        <w:rPr>
          <w:rStyle w:val="FootnoteAnchor"/>
          <w:rFonts w:ascii="Times New Roman" w:hAnsi="Times New Roman"/>
          <w:sz w:val="24"/>
          <w:lang w:val="en-GB"/>
        </w:rPr>
        <w:footnoteReference w:id="4"/>
      </w:r>
      <w:r w:rsidRPr="00F264F0">
        <w:rPr>
          <w:rFonts w:ascii="Times New Roman" w:hAnsi="Times New Roman"/>
          <w:sz w:val="24"/>
          <w:lang w:val="en-GB"/>
        </w:rPr>
        <w:t xml:space="preserve"> outlines three major 5G usage scenarios – enhanced mobile broadband (eMBB), massive machine type communications (mMTC), and ultra-reliable and low latency communications (URLLC). Millimetre-wave bands are particularly suitable for the provision of high-speed and low-latency services while ensuring high network capacity.</w:t>
      </w:r>
    </w:p>
    <w:p w14:paraId="506123A8" w14:textId="77777777" w:rsidR="00677DCE" w:rsidRPr="00F264F0" w:rsidRDefault="00677DCE">
      <w:pPr>
        <w:jc w:val="both"/>
        <w:rPr>
          <w:rFonts w:ascii="Times New Roman" w:hAnsi="Times New Roman"/>
          <w:sz w:val="24"/>
          <w:lang w:val="en-GB"/>
        </w:rPr>
      </w:pPr>
    </w:p>
    <w:p w14:paraId="39A1D65F" w14:textId="77777777" w:rsidR="00677DCE" w:rsidRPr="00F264F0" w:rsidRDefault="007D617C">
      <w:pPr>
        <w:jc w:val="both"/>
        <w:rPr>
          <w:rFonts w:ascii="Times New Roman" w:hAnsi="Times New Roman"/>
          <w:sz w:val="24"/>
          <w:lang w:val="en-GB"/>
        </w:rPr>
      </w:pPr>
      <w:r w:rsidRPr="00F264F0">
        <w:rPr>
          <w:rFonts w:ascii="Times New Roman" w:hAnsi="Times New Roman"/>
          <w:sz w:val="24"/>
          <w:lang w:val="en-GB"/>
        </w:rPr>
        <w:t>In its 5G Action Plan</w:t>
      </w:r>
      <w:r w:rsidRPr="00F264F0">
        <w:rPr>
          <w:rStyle w:val="FootnoteAnchor"/>
          <w:rFonts w:ascii="Times New Roman" w:hAnsi="Times New Roman"/>
          <w:sz w:val="24"/>
          <w:lang w:val="en-GB"/>
        </w:rPr>
        <w:footnoteReference w:id="5"/>
      </w:r>
      <w:r w:rsidRPr="00F264F0">
        <w:rPr>
          <w:rFonts w:ascii="Times New Roman" w:hAnsi="Times New Roman"/>
          <w:sz w:val="24"/>
          <w:lang w:val="en-GB"/>
        </w:rPr>
        <w:t xml:space="preserve">, the Commission advanced action on the EU-level identification and harmonisation of 5G spectrum regarding pioneer frequency bands as well as </w:t>
      </w:r>
      <w:r w:rsidRPr="00F264F0">
        <w:rPr>
          <w:rFonts w:ascii="Times New Roman" w:hAnsi="Times New Roman"/>
          <w:b/>
          <w:sz w:val="24"/>
          <w:lang w:val="en-GB"/>
        </w:rPr>
        <w:t>additional</w:t>
      </w:r>
      <w:r w:rsidRPr="00F264F0">
        <w:rPr>
          <w:rFonts w:ascii="Times New Roman" w:hAnsi="Times New Roman"/>
          <w:sz w:val="24"/>
          <w:lang w:val="en-GB"/>
        </w:rPr>
        <w:t xml:space="preserve"> frequency bands, based on the opinion of the Radio Spectrum Policy Group (RSPG). In its Opinions on a </w:t>
      </w:r>
      <w:r w:rsidRPr="00F264F0">
        <w:rPr>
          <w:rFonts w:ascii="Times New Roman" w:hAnsi="Times New Roman"/>
          <w:sz w:val="24"/>
          <w:lang w:val="en-GB"/>
        </w:rPr>
        <w:lastRenderedPageBreak/>
        <w:t>"Strategic Roadmap towards 5G in Europe"</w:t>
      </w:r>
      <w:r w:rsidRPr="00F264F0">
        <w:rPr>
          <w:rStyle w:val="FootnoteAnchor"/>
          <w:rFonts w:ascii="Times New Roman" w:hAnsi="Times New Roman"/>
          <w:sz w:val="24"/>
          <w:lang w:val="en-GB"/>
        </w:rPr>
        <w:footnoteReference w:id="6"/>
      </w:r>
      <w:r w:rsidRPr="00F264F0">
        <w:rPr>
          <w:rFonts w:ascii="Times New Roman" w:hAnsi="Times New Roman"/>
          <w:sz w:val="24"/>
          <w:lang w:val="en-GB"/>
        </w:rPr>
        <w:t xml:space="preserve">, the RSPG identified the 40.5-43.5 GHz and 66-71 GHz frequency bands as priority bands for the rollout of 5G terrestrial wireless systems in the Union. </w:t>
      </w:r>
    </w:p>
    <w:p w14:paraId="10A9DB66" w14:textId="77777777" w:rsidR="00677DCE" w:rsidRPr="00F264F0" w:rsidRDefault="007D617C">
      <w:pPr>
        <w:jc w:val="both"/>
        <w:rPr>
          <w:rFonts w:ascii="Times New Roman" w:hAnsi="Times New Roman"/>
          <w:sz w:val="24"/>
          <w:lang w:val="en-GB"/>
        </w:rPr>
      </w:pPr>
      <w:r w:rsidRPr="00F264F0">
        <w:rPr>
          <w:rFonts w:ascii="Times New Roman" w:hAnsi="Times New Roman"/>
          <w:sz w:val="24"/>
          <w:lang w:val="en-GB"/>
        </w:rPr>
        <w:t>The RSPG considered the band 40.5-43.5 GHz as a viable option for 5G in the longer term, taking into account the support from mobile industry and the need to take into account the general balance between the mobile and satellite sectors to access the 40-50 GHz frequency range. The RSPG takes the view that shift of non-5G use from other bands to the 40.5-43.5 GHz band should be avoided as far as possible in order to facilitate its availability for 5G in the future.</w:t>
      </w:r>
    </w:p>
    <w:p w14:paraId="5F528635" w14:textId="77777777" w:rsidR="00677DCE" w:rsidRPr="00F264F0" w:rsidRDefault="00677DCE">
      <w:pPr>
        <w:jc w:val="both"/>
        <w:rPr>
          <w:rFonts w:ascii="Times New Roman" w:hAnsi="Times New Roman"/>
          <w:sz w:val="24"/>
          <w:lang w:val="en-GB"/>
        </w:rPr>
      </w:pPr>
    </w:p>
    <w:p w14:paraId="7BF39B42" w14:textId="77777777" w:rsidR="00677DCE" w:rsidRPr="00F264F0" w:rsidRDefault="007D617C">
      <w:pPr>
        <w:jc w:val="both"/>
        <w:rPr>
          <w:rFonts w:ascii="Times New Roman" w:hAnsi="Times New Roman"/>
          <w:sz w:val="24"/>
          <w:lang w:val="en-GB"/>
        </w:rPr>
      </w:pPr>
      <w:r w:rsidRPr="00F264F0">
        <w:rPr>
          <w:rFonts w:ascii="Times New Roman" w:hAnsi="Times New Roman"/>
          <w:sz w:val="24"/>
          <w:lang w:val="en-GB"/>
        </w:rPr>
        <w:t>Furthermore, the RSPG emphasized that there is no reported use of the 66-71 GHz frequency band. Its proximity to the 57-66 GHz band, already designated and used for multiple-gigabit wireless systems (</w:t>
      </w:r>
      <w:proofErr w:type="spellStart"/>
      <w:r w:rsidRPr="00F264F0">
        <w:rPr>
          <w:rFonts w:ascii="Times New Roman" w:hAnsi="Times New Roman"/>
          <w:sz w:val="24"/>
          <w:lang w:val="en-GB"/>
        </w:rPr>
        <w:t>WiGig</w:t>
      </w:r>
      <w:proofErr w:type="spellEnd"/>
      <w:r w:rsidRPr="00F264F0">
        <w:rPr>
          <w:rFonts w:ascii="Times New Roman" w:hAnsi="Times New Roman"/>
          <w:sz w:val="24"/>
          <w:lang w:val="en-GB"/>
        </w:rPr>
        <w:t>), indicates that 5G equipment could potentially be available in the 66-71 GHz frequency band relatively early by benefiting from the ecosystem being developed in the adjacent band, in particular under general authorisation, which remains an important enabler of innovative 5G services and applications. The 66-71 GHz band has better propagation characteristics than the adjacent 57-66 GHz band as it falls outside the so-called oxygen absorption peak, and therefore can be a viable alternative to lower mm-wave bands ensuring comparable cell radiuses in the range of 50-200 metres.</w:t>
      </w:r>
    </w:p>
    <w:p w14:paraId="4B98246B" w14:textId="77777777" w:rsidR="00677DCE" w:rsidRPr="00F264F0" w:rsidRDefault="00677DCE">
      <w:pPr>
        <w:jc w:val="both"/>
        <w:rPr>
          <w:rFonts w:ascii="Times New Roman" w:hAnsi="Times New Roman"/>
          <w:sz w:val="24"/>
          <w:lang w:val="en-GB"/>
        </w:rPr>
      </w:pPr>
    </w:p>
    <w:p w14:paraId="26B9F703" w14:textId="77777777" w:rsidR="00677DCE" w:rsidRPr="00F264F0" w:rsidRDefault="007D617C">
      <w:pPr>
        <w:jc w:val="both"/>
        <w:rPr>
          <w:rFonts w:ascii="Times New Roman" w:hAnsi="Times New Roman"/>
          <w:sz w:val="24"/>
          <w:lang w:val="en-GB"/>
        </w:rPr>
      </w:pPr>
      <w:r w:rsidRPr="00F264F0">
        <w:rPr>
          <w:rFonts w:ascii="Times New Roman" w:hAnsi="Times New Roman"/>
          <w:sz w:val="24"/>
          <w:lang w:val="en-GB"/>
        </w:rPr>
        <w:t>The 66-71 GHz frequency band is currently harmonised in the Union by virtue of the Commission Decision on short range devices</w:t>
      </w:r>
      <w:bookmarkStart w:id="122" w:name="_Ref30071095"/>
      <w:bookmarkStart w:id="123" w:name="_Ref116665944"/>
      <w:bookmarkEnd w:id="122"/>
      <w:r w:rsidRPr="00F264F0">
        <w:rPr>
          <w:rStyle w:val="FootnoteAnchor"/>
          <w:rFonts w:ascii="Times New Roman" w:hAnsi="Times New Roman"/>
          <w:sz w:val="24"/>
          <w:lang w:val="en-GB"/>
        </w:rPr>
        <w:footnoteReference w:id="7"/>
      </w:r>
      <w:bookmarkEnd w:id="123"/>
      <w:r w:rsidRPr="00F264F0">
        <w:rPr>
          <w:rFonts w:ascii="Times New Roman" w:hAnsi="Times New Roman"/>
          <w:sz w:val="24"/>
          <w:lang w:val="en-GB"/>
        </w:rPr>
        <w:t xml:space="preserve"> for use with wideband data transmission devices. Any amendment to the EU-harmonised technical conditions applicable to this band, in order to accommodate 5G use, should be implemented unambiguously within a single legal instrument.</w:t>
      </w:r>
    </w:p>
    <w:p w14:paraId="4745F546" w14:textId="77777777" w:rsidR="00677DCE" w:rsidRPr="00F264F0" w:rsidRDefault="00677DCE">
      <w:pPr>
        <w:jc w:val="both"/>
        <w:rPr>
          <w:rFonts w:ascii="Times New Roman" w:hAnsi="Times New Roman"/>
          <w:sz w:val="24"/>
          <w:lang w:val="en-GB"/>
        </w:rPr>
      </w:pPr>
    </w:p>
    <w:p w14:paraId="61DF4755" w14:textId="77777777" w:rsidR="00677DCE" w:rsidRPr="00F264F0" w:rsidRDefault="007D617C">
      <w:pPr>
        <w:jc w:val="both"/>
        <w:rPr>
          <w:rFonts w:ascii="Times New Roman" w:hAnsi="Times New Roman"/>
          <w:sz w:val="24"/>
          <w:lang w:val="en-GB"/>
        </w:rPr>
      </w:pPr>
      <w:r w:rsidRPr="00F264F0">
        <w:rPr>
          <w:rFonts w:ascii="Times New Roman" w:hAnsi="Times New Roman"/>
          <w:sz w:val="24"/>
          <w:lang w:val="en-GB"/>
        </w:rPr>
        <w:t>The World Radiocommunication Conference in 2019 (WRC-19) amended the ITU-R Radio Regulations by providing a global mobile allocation and IMT (including 5G) identification of both, the 37-43.5 GHz frequency band, or portions thereof (i.e. including the case of using only the 40.5-43.5 GHz band), and the 66-71 GHz frequency band. Therefore, use of the 37-43.5 GHz frequency range would vary across the globe within the concept of a common tuning range. The deployment of 5G services worldwide would benefit from a degree of coherence of the applicable harmonised technical conditions throughout this frequency range on a global scale. For the 40.5-43.5 GHz frequency band, the amended Radio Regulations stipulate measures to ensure co-existence between 5G services and fixed satellite services (space-to-earth) as well as radio astronomy services within the band. The amended Radio Regulations also provide for coexistence of 5G systems and wireless access systems such as multiple-gigabit wireless systems within the 66-71 GHz frequency band. Furthermore, co-existence with certain satellite services should be considered for the latter band.</w:t>
      </w:r>
    </w:p>
    <w:p w14:paraId="4DC07DF7" w14:textId="77777777" w:rsidR="00677DCE" w:rsidRPr="00F264F0" w:rsidRDefault="00677DCE">
      <w:pPr>
        <w:jc w:val="both"/>
        <w:rPr>
          <w:rFonts w:ascii="Times New Roman" w:hAnsi="Times New Roman"/>
          <w:b/>
          <w:smallCaps/>
          <w:sz w:val="24"/>
          <w:lang w:val="en-GB"/>
        </w:rPr>
      </w:pPr>
    </w:p>
    <w:p w14:paraId="6CAD50C2" w14:textId="77777777" w:rsidR="00677DCE" w:rsidRPr="00F264F0" w:rsidRDefault="007D617C">
      <w:pPr>
        <w:pStyle w:val="ListParagraph"/>
        <w:numPr>
          <w:ilvl w:val="0"/>
          <w:numId w:val="26"/>
        </w:numPr>
        <w:jc w:val="both"/>
        <w:rPr>
          <w:rFonts w:ascii="Times New Roman" w:hAnsi="Times New Roman"/>
          <w:b/>
          <w:smallCaps/>
          <w:sz w:val="24"/>
          <w:lang w:val="en-GB"/>
        </w:rPr>
      </w:pPr>
      <w:r w:rsidRPr="00F264F0">
        <w:rPr>
          <w:rFonts w:ascii="Times New Roman" w:hAnsi="Times New Roman"/>
          <w:b/>
          <w:smallCaps/>
          <w:sz w:val="24"/>
          <w:lang w:val="en-GB"/>
        </w:rPr>
        <w:t>JUSTIFICATION</w:t>
      </w:r>
    </w:p>
    <w:p w14:paraId="50000F1F" w14:textId="77777777" w:rsidR="00677DCE" w:rsidRPr="00F264F0" w:rsidRDefault="00677DCE">
      <w:pPr>
        <w:jc w:val="both"/>
        <w:rPr>
          <w:rFonts w:ascii="Times New Roman" w:hAnsi="Times New Roman"/>
          <w:sz w:val="24"/>
          <w:lang w:val="en-GB"/>
        </w:rPr>
      </w:pPr>
    </w:p>
    <w:p w14:paraId="2D5100CA" w14:textId="77777777" w:rsidR="00677DCE" w:rsidRPr="00F264F0" w:rsidRDefault="007D617C">
      <w:pPr>
        <w:jc w:val="both"/>
        <w:rPr>
          <w:rFonts w:ascii="Times New Roman" w:hAnsi="Times New Roman"/>
          <w:sz w:val="24"/>
          <w:lang w:val="en-GB"/>
        </w:rPr>
      </w:pPr>
      <w:r w:rsidRPr="00F264F0">
        <w:rPr>
          <w:rFonts w:ascii="Times New Roman" w:hAnsi="Times New Roman"/>
          <w:sz w:val="24"/>
          <w:lang w:val="en-GB"/>
        </w:rPr>
        <w:t>Pursuant to Article 4(2) of the Radio Spectrum Decision</w:t>
      </w:r>
      <w:r w:rsidRPr="00F264F0">
        <w:rPr>
          <w:rStyle w:val="FootnoteAnchor"/>
          <w:rFonts w:ascii="Times New Roman" w:hAnsi="Times New Roman"/>
          <w:sz w:val="24"/>
          <w:lang w:val="en-GB"/>
        </w:rPr>
        <w:footnoteReference w:id="8"/>
      </w:r>
      <w:r w:rsidRPr="00F264F0">
        <w:rPr>
          <w:rFonts w:ascii="Times New Roman" w:hAnsi="Times New Roman"/>
          <w:sz w:val="24"/>
          <w:lang w:val="en-GB"/>
        </w:rPr>
        <w:t xml:space="preserve">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 Pursuant to Article 1 of the Radio Spectrum Decision, activities under the Decision must facilitate policy making with regard to the strategic planning and harmonisation of radio spectrum use as well as ensure the </w:t>
      </w:r>
      <w:r w:rsidRPr="00F264F0">
        <w:rPr>
          <w:rFonts w:ascii="Times New Roman" w:hAnsi="Times New Roman"/>
          <w:sz w:val="24"/>
          <w:lang w:val="en-GB"/>
        </w:rPr>
        <w:lastRenderedPageBreak/>
        <w:t>effective implementation of radio spectrum policy in the EU while serving the aim of coordination of policy approaches. Furthermore, they shall take due account of the work of international organisations related to spectrum management such as ITU.</w:t>
      </w:r>
    </w:p>
    <w:p w14:paraId="179807C6" w14:textId="77777777" w:rsidR="00677DCE" w:rsidRPr="00F264F0" w:rsidRDefault="00677DCE">
      <w:pPr>
        <w:jc w:val="both"/>
        <w:rPr>
          <w:rFonts w:ascii="Times New Roman" w:hAnsi="Times New Roman"/>
          <w:sz w:val="24"/>
          <w:lang w:val="en-GB"/>
        </w:rPr>
      </w:pPr>
    </w:p>
    <w:p w14:paraId="3E6EE7DC" w14:textId="77777777" w:rsidR="00677DCE" w:rsidRPr="00F264F0" w:rsidRDefault="007D617C">
      <w:pPr>
        <w:jc w:val="both"/>
        <w:rPr>
          <w:rFonts w:ascii="Times New Roman" w:hAnsi="Times New Roman"/>
          <w:sz w:val="24"/>
          <w:lang w:val="en-GB"/>
        </w:rPr>
      </w:pPr>
      <w:r w:rsidRPr="00F264F0">
        <w:rPr>
          <w:rFonts w:ascii="Times New Roman" w:hAnsi="Times New Roman"/>
          <w:sz w:val="24"/>
          <w:lang w:val="en-GB"/>
        </w:rPr>
        <w:t>The Commission Communication on the Gigabit Society</w:t>
      </w:r>
      <w:r w:rsidRPr="00F264F0">
        <w:rPr>
          <w:rStyle w:val="FootnoteAnchor"/>
          <w:rFonts w:ascii="Times New Roman" w:hAnsi="Times New Roman"/>
          <w:sz w:val="24"/>
          <w:lang w:val="en-GB"/>
        </w:rPr>
        <w:footnoteReference w:id="9"/>
      </w:r>
      <w:r w:rsidRPr="00F264F0">
        <w:rPr>
          <w:rFonts w:ascii="Times New Roman" w:hAnsi="Times New Roman"/>
          <w:sz w:val="24"/>
          <w:lang w:val="en-GB"/>
        </w:rPr>
        <w:t xml:space="preserve"> sets out even more ambitious Gigabit connectivity targets for households, socio-economic drivers, urban areas and major transport paths, taking account progressing 5G network rollout. The European Electronic Communications Code</w:t>
      </w:r>
      <w:r w:rsidRPr="00F264F0">
        <w:rPr>
          <w:rStyle w:val="FootnoteAnchor"/>
          <w:rFonts w:ascii="Times New Roman" w:hAnsi="Times New Roman"/>
          <w:sz w:val="24"/>
          <w:lang w:val="en-GB"/>
        </w:rPr>
        <w:footnoteReference w:id="10"/>
      </w:r>
      <w:r w:rsidRPr="00F264F0">
        <w:rPr>
          <w:rFonts w:ascii="Times New Roman" w:hAnsi="Times New Roman"/>
          <w:sz w:val="24"/>
          <w:lang w:val="en-GB"/>
        </w:rPr>
        <w:t xml:space="preserve"> refers to the importance of studying the 40.5-43.5 GHz and 66-71 GHz frequency bands for </w:t>
      </w:r>
      <w:proofErr w:type="gramStart"/>
      <w:r w:rsidRPr="00F264F0">
        <w:rPr>
          <w:rFonts w:ascii="Times New Roman" w:hAnsi="Times New Roman"/>
          <w:sz w:val="24"/>
          <w:lang w:val="en-GB"/>
        </w:rPr>
        <w:t>high-capacity</w:t>
      </w:r>
      <w:proofErr w:type="gramEnd"/>
      <w:r w:rsidRPr="00F264F0">
        <w:rPr>
          <w:rFonts w:ascii="Times New Roman" w:hAnsi="Times New Roman"/>
          <w:sz w:val="24"/>
          <w:lang w:val="en-GB"/>
        </w:rPr>
        <w:t xml:space="preserve"> 5G networks.</w:t>
      </w:r>
    </w:p>
    <w:p w14:paraId="3FC1ADDA" w14:textId="77777777" w:rsidR="00677DCE" w:rsidRPr="00F264F0" w:rsidRDefault="00677DCE">
      <w:pPr>
        <w:jc w:val="both"/>
        <w:rPr>
          <w:rFonts w:ascii="Times New Roman" w:hAnsi="Times New Roman"/>
          <w:sz w:val="24"/>
          <w:lang w:val="en-GB"/>
        </w:rPr>
      </w:pPr>
    </w:p>
    <w:p w14:paraId="04375040" w14:textId="77777777" w:rsidR="00677DCE" w:rsidRPr="00F264F0" w:rsidRDefault="007D617C">
      <w:pPr>
        <w:jc w:val="both"/>
        <w:rPr>
          <w:rFonts w:ascii="Times New Roman" w:hAnsi="Times New Roman"/>
          <w:sz w:val="24"/>
          <w:lang w:val="en-GB"/>
        </w:rPr>
      </w:pPr>
      <w:r w:rsidRPr="00F264F0">
        <w:rPr>
          <w:rFonts w:ascii="Times New Roman" w:hAnsi="Times New Roman"/>
          <w:sz w:val="24"/>
          <w:lang w:val="en-GB"/>
        </w:rPr>
        <w:t>Advances in international standardisation and regulations within 3GPP and ITU, as well as ongoing international deployment of 5G, call for a continued coordination at the EU level in order to deliver sufficient and appropriate 5G spectrum in the Union according to anticipated deployment of 5G usage scenarios.</w:t>
      </w:r>
    </w:p>
    <w:p w14:paraId="590E68BC" w14:textId="77777777" w:rsidR="00677DCE" w:rsidRPr="00F264F0" w:rsidRDefault="00677DCE">
      <w:pPr>
        <w:jc w:val="both"/>
        <w:rPr>
          <w:rFonts w:ascii="Times New Roman" w:hAnsi="Times New Roman"/>
          <w:sz w:val="24"/>
          <w:lang w:val="en-GB"/>
        </w:rPr>
      </w:pPr>
      <w:bookmarkStart w:id="124" w:name="_Toc41320077"/>
      <w:bookmarkEnd w:id="124"/>
    </w:p>
    <w:p w14:paraId="18D4EB10" w14:textId="77777777" w:rsidR="00677DCE" w:rsidRPr="00F264F0" w:rsidRDefault="007D617C">
      <w:pPr>
        <w:jc w:val="both"/>
        <w:rPr>
          <w:rFonts w:ascii="Times New Roman" w:hAnsi="Times New Roman"/>
          <w:b/>
          <w:bCs/>
          <w:sz w:val="24"/>
          <w:lang w:val="en-GB"/>
        </w:rPr>
      </w:pPr>
      <w:r w:rsidRPr="00F264F0">
        <w:rPr>
          <w:rFonts w:ascii="Times New Roman" w:hAnsi="Times New Roman"/>
          <w:b/>
          <w:bCs/>
          <w:sz w:val="24"/>
          <w:lang w:val="en-GB"/>
        </w:rPr>
        <w:t>4.</w:t>
      </w:r>
      <w:r w:rsidRPr="00F264F0">
        <w:rPr>
          <w:rFonts w:ascii="Times New Roman" w:hAnsi="Times New Roman"/>
          <w:b/>
          <w:bCs/>
          <w:sz w:val="24"/>
          <w:lang w:val="en-GB"/>
        </w:rPr>
        <w:tab/>
        <w:t>TASK ORDER AND SCHEDULE</w:t>
      </w:r>
    </w:p>
    <w:p w14:paraId="3B4A7478" w14:textId="77777777" w:rsidR="00677DCE" w:rsidRPr="00F264F0" w:rsidRDefault="00677DCE">
      <w:pPr>
        <w:jc w:val="both"/>
        <w:rPr>
          <w:rFonts w:ascii="Times New Roman" w:hAnsi="Times New Roman"/>
          <w:sz w:val="24"/>
          <w:lang w:val="en-GB"/>
        </w:rPr>
      </w:pPr>
    </w:p>
    <w:p w14:paraId="3262E727" w14:textId="77777777" w:rsidR="00677DCE" w:rsidRPr="00F264F0" w:rsidRDefault="007D617C">
      <w:pPr>
        <w:jc w:val="both"/>
        <w:rPr>
          <w:rFonts w:ascii="Times New Roman" w:hAnsi="Times New Roman"/>
          <w:sz w:val="24"/>
          <w:lang w:val="en-GB"/>
        </w:rPr>
      </w:pPr>
      <w:r w:rsidRPr="00F264F0">
        <w:rPr>
          <w:rFonts w:ascii="Times New Roman" w:hAnsi="Times New Roman"/>
          <w:sz w:val="24"/>
          <w:lang w:val="en-GB"/>
        </w:rPr>
        <w:t xml:space="preserve">CEPT is herewith mandated to develop harmonised least restrictive technical conditions for the 40.5-43.5 GHz frequency band and to revise, </w:t>
      </w:r>
      <w:proofErr w:type="gramStart"/>
      <w:r w:rsidRPr="00F264F0">
        <w:rPr>
          <w:rFonts w:ascii="Times New Roman" w:hAnsi="Times New Roman"/>
          <w:sz w:val="24"/>
          <w:lang w:val="en-GB"/>
        </w:rPr>
        <w:t>only</w:t>
      </w:r>
      <w:proofErr w:type="gramEnd"/>
      <w:r w:rsidRPr="00F264F0">
        <w:rPr>
          <w:rFonts w:ascii="Times New Roman" w:hAnsi="Times New Roman"/>
          <w:sz w:val="24"/>
          <w:lang w:val="en-GB"/>
        </w:rPr>
        <w:t xml:space="preserve"> if necessary, the harmonised technical conditions in the 66-71 GHz frequency band, with a view to their suitability for </w:t>
      </w:r>
      <w:r w:rsidRPr="00F264F0">
        <w:rPr>
          <w:rFonts w:ascii="Times New Roman" w:hAnsi="Times New Roman"/>
          <w:i/>
          <w:sz w:val="24"/>
          <w:lang w:val="en-GB"/>
        </w:rPr>
        <w:t xml:space="preserve">next-generation (5G) terrestrial wireless systems, </w:t>
      </w:r>
      <w:r w:rsidRPr="00F264F0">
        <w:rPr>
          <w:rFonts w:ascii="Times New Roman" w:hAnsi="Times New Roman"/>
          <w:sz w:val="24"/>
          <w:lang w:val="en-GB"/>
        </w:rPr>
        <w:t>in line with the policy priorities set out in this Mandate and taking into account relevant needs for shared spectrum use with incumbent uses. CEPT should give utmost consideration to the overall EU spectrum policy objectives such as effective and efficient spectrum use and take utmost account of applicable principles established in EU law such as those relating to service and technological neutrality, non-discrimination and proportionality insofar as technically possible.</w:t>
      </w:r>
    </w:p>
    <w:p w14:paraId="174A888E" w14:textId="77777777" w:rsidR="00677DCE" w:rsidRPr="00F264F0" w:rsidRDefault="00677DCE">
      <w:pPr>
        <w:jc w:val="both"/>
        <w:rPr>
          <w:rFonts w:ascii="Times New Roman" w:hAnsi="Times New Roman"/>
          <w:sz w:val="24"/>
          <w:lang w:val="en-GB"/>
        </w:rPr>
      </w:pPr>
    </w:p>
    <w:p w14:paraId="21656AB5" w14:textId="77777777" w:rsidR="00677DCE" w:rsidRPr="00F264F0" w:rsidRDefault="007D617C">
      <w:pPr>
        <w:jc w:val="both"/>
        <w:rPr>
          <w:rFonts w:ascii="Times New Roman" w:hAnsi="Times New Roman"/>
          <w:sz w:val="24"/>
          <w:lang w:val="en-GB"/>
        </w:rPr>
      </w:pPr>
      <w:r w:rsidRPr="00F264F0">
        <w:rPr>
          <w:rFonts w:ascii="Times New Roman" w:hAnsi="Times New Roman"/>
          <w:sz w:val="24"/>
          <w:lang w:val="en-GB"/>
        </w:rPr>
        <w:t>CEPT is requested to collaborate actively with the European Telecommunications Standardisation Institute (ETSI), which develops harmonised standards for conformity under the Radio Equipment Directive</w:t>
      </w:r>
      <w:r w:rsidRPr="00F264F0">
        <w:rPr>
          <w:rStyle w:val="FootnoteAnchor"/>
          <w:rFonts w:ascii="Times New Roman" w:hAnsi="Times New Roman"/>
          <w:sz w:val="24"/>
          <w:lang w:val="en-GB"/>
        </w:rPr>
        <w:footnoteReference w:id="11"/>
      </w:r>
      <w:r w:rsidRPr="00F264F0">
        <w:rPr>
          <w:rFonts w:ascii="Times New Roman" w:hAnsi="Times New Roman"/>
          <w:sz w:val="24"/>
          <w:lang w:val="en-GB"/>
        </w:rPr>
        <w:t>. In addition, CEPT should take into consideration emerging technologies and ETSI standards, which define 5G systems, facilitate shared spectrum use and foster economies of scale.</w:t>
      </w:r>
    </w:p>
    <w:p w14:paraId="4ABB614B" w14:textId="77777777" w:rsidR="00677DCE" w:rsidRPr="00F264F0" w:rsidRDefault="00677DCE">
      <w:pPr>
        <w:jc w:val="both"/>
        <w:rPr>
          <w:rFonts w:ascii="Times New Roman" w:hAnsi="Times New Roman"/>
          <w:sz w:val="24"/>
          <w:lang w:val="en-GB"/>
        </w:rPr>
      </w:pPr>
    </w:p>
    <w:p w14:paraId="1190554A" w14:textId="77777777" w:rsidR="00677DCE" w:rsidRPr="00F264F0" w:rsidRDefault="007D617C">
      <w:pPr>
        <w:jc w:val="both"/>
        <w:rPr>
          <w:rFonts w:ascii="Times New Roman" w:hAnsi="Times New Roman"/>
          <w:sz w:val="24"/>
          <w:lang w:val="en-GB"/>
        </w:rPr>
      </w:pPr>
      <w:r w:rsidRPr="00F264F0">
        <w:rPr>
          <w:rFonts w:ascii="Times New Roman" w:hAnsi="Times New Roman"/>
          <w:sz w:val="24"/>
          <w:lang w:val="en-GB"/>
        </w:rPr>
        <w:t xml:space="preserve">More specifically, CEPT </w:t>
      </w:r>
      <w:r w:rsidRPr="00F264F0">
        <w:rPr>
          <w:rFonts w:ascii="Times New Roman" w:hAnsi="Times New Roman"/>
          <w:sz w:val="24"/>
          <w:shd w:val="clear" w:color="auto" w:fill="FFFFFF"/>
          <w:lang w:val="en-GB"/>
        </w:rPr>
        <w:t xml:space="preserve">is mandated </w:t>
      </w:r>
      <w:r w:rsidRPr="00F264F0">
        <w:rPr>
          <w:rFonts w:ascii="Times New Roman" w:hAnsi="Times New Roman"/>
          <w:sz w:val="24"/>
          <w:lang w:val="en-GB"/>
        </w:rPr>
        <w:t>to perform the following tasks with a view to developing harmonised least restrictive technical conditions for spectrum use:</w:t>
      </w:r>
    </w:p>
    <w:p w14:paraId="69249F98" w14:textId="77777777" w:rsidR="00677DCE" w:rsidRPr="00F264F0" w:rsidRDefault="00677DCE">
      <w:pPr>
        <w:jc w:val="both"/>
        <w:rPr>
          <w:rFonts w:ascii="Times New Roman" w:hAnsi="Times New Roman"/>
          <w:sz w:val="24"/>
          <w:lang w:val="en-GB"/>
        </w:rPr>
      </w:pPr>
    </w:p>
    <w:p w14:paraId="3D0B6E66" w14:textId="77777777" w:rsidR="00677DCE" w:rsidRPr="00F264F0" w:rsidRDefault="007D617C">
      <w:pPr>
        <w:numPr>
          <w:ilvl w:val="0"/>
          <w:numId w:val="4"/>
        </w:numPr>
        <w:spacing w:after="240"/>
        <w:ind w:left="709" w:hanging="290"/>
        <w:jc w:val="both"/>
        <w:rPr>
          <w:rFonts w:ascii="Times New Roman" w:hAnsi="Times New Roman"/>
          <w:sz w:val="24"/>
          <w:lang w:val="en-GB"/>
        </w:rPr>
      </w:pPr>
      <w:r w:rsidRPr="00F264F0">
        <w:rPr>
          <w:rFonts w:ascii="Times New Roman" w:hAnsi="Times New Roman"/>
          <w:sz w:val="24"/>
          <w:lang w:val="en-GB"/>
        </w:rPr>
        <w:t>Review the current and planned use of the 40.5-43.5 GHz frequency band and identify relevant scenarios for shared spectrum use between those uses and next-generation (5G) wireless broadband electronic communications services, in order to ensure co-existence and further development of all relevant services within the band.</w:t>
      </w:r>
    </w:p>
    <w:p w14:paraId="7A971345" w14:textId="77777777" w:rsidR="00677DCE" w:rsidRPr="00F264F0" w:rsidRDefault="007D617C">
      <w:pPr>
        <w:numPr>
          <w:ilvl w:val="0"/>
          <w:numId w:val="4"/>
        </w:numPr>
        <w:spacing w:after="120"/>
        <w:ind w:left="709" w:hanging="290"/>
        <w:jc w:val="both"/>
        <w:rPr>
          <w:rFonts w:ascii="Times New Roman" w:hAnsi="Times New Roman"/>
          <w:sz w:val="24"/>
          <w:lang w:val="en-GB"/>
        </w:rPr>
      </w:pPr>
      <w:r w:rsidRPr="00F264F0">
        <w:rPr>
          <w:rFonts w:ascii="Times New Roman" w:hAnsi="Times New Roman"/>
          <w:sz w:val="24"/>
          <w:lang w:val="en-GB"/>
        </w:rPr>
        <w:t>Based on the results under Task 1, develop frequency arrangements and common and minimal (least restrictive) technical conditions</w:t>
      </w:r>
      <w:r w:rsidRPr="00F264F0">
        <w:rPr>
          <w:rStyle w:val="FootnoteAnchor"/>
          <w:rFonts w:ascii="Times New Roman" w:hAnsi="Times New Roman"/>
          <w:sz w:val="24"/>
          <w:lang w:val="en-GB"/>
        </w:rPr>
        <w:footnoteReference w:id="12"/>
      </w:r>
      <w:r w:rsidRPr="00F264F0">
        <w:rPr>
          <w:rFonts w:ascii="Times New Roman" w:hAnsi="Times New Roman"/>
          <w:sz w:val="24"/>
          <w:lang w:val="en-GB"/>
        </w:rPr>
        <w:t xml:space="preserve">, including sharing conditions, for the aforementioned frequency band, which are suitable for terrestrial wireless systems, including 5G, in compliance with the principles of technology and service neutrality. In this regard, consider the need to ensure coherence of the harmonised frequency arrangements within the 40.5-43.5 </w:t>
      </w:r>
      <w:r w:rsidRPr="00F264F0">
        <w:rPr>
          <w:rFonts w:ascii="Times New Roman" w:hAnsi="Times New Roman"/>
          <w:sz w:val="24"/>
          <w:lang w:val="en-GB"/>
        </w:rPr>
        <w:lastRenderedPageBreak/>
        <w:t>GHz frequency band with the envisaged use of the 37-40.5 GHz frequency range in other world regions.</w:t>
      </w:r>
    </w:p>
    <w:p w14:paraId="10CB4491" w14:textId="7BDE25FF" w:rsidR="00677DCE" w:rsidRPr="00F264F0" w:rsidRDefault="007D617C">
      <w:pPr>
        <w:numPr>
          <w:ilvl w:val="0"/>
          <w:numId w:val="4"/>
        </w:numPr>
        <w:spacing w:after="120"/>
        <w:ind w:left="709" w:hanging="290"/>
        <w:jc w:val="both"/>
        <w:rPr>
          <w:rFonts w:ascii="Times New Roman" w:hAnsi="Times New Roman"/>
          <w:sz w:val="24"/>
          <w:lang w:val="en-GB"/>
        </w:rPr>
      </w:pPr>
      <w:r w:rsidRPr="00F264F0">
        <w:rPr>
          <w:rFonts w:ascii="Times New Roman" w:hAnsi="Times New Roman"/>
          <w:sz w:val="24"/>
          <w:lang w:val="en-GB"/>
        </w:rPr>
        <w:t>Review and revise, only if necessary, the EU-harmonised technical conditions for use of the 66-71 GHz frequency band</w:t>
      </w:r>
      <w:r w:rsidR="009A23A8" w:rsidRPr="009A23A8">
        <w:rPr>
          <w:rFonts w:ascii="Times New Roman" w:hAnsi="Times New Roman"/>
          <w:sz w:val="24"/>
          <w:vertAlign w:val="superscript"/>
          <w:lang w:val="en-GB"/>
        </w:rPr>
        <w:fldChar w:fldCharType="begin"/>
      </w:r>
      <w:r w:rsidR="009A23A8" w:rsidRPr="009A23A8">
        <w:rPr>
          <w:rFonts w:ascii="Times New Roman" w:hAnsi="Times New Roman"/>
          <w:sz w:val="24"/>
          <w:vertAlign w:val="superscript"/>
          <w:lang w:val="en-GB"/>
        </w:rPr>
        <w:instrText xml:space="preserve"> NOTEREF _Ref116665944 \h </w:instrText>
      </w:r>
      <w:r w:rsidR="009A23A8">
        <w:rPr>
          <w:rFonts w:ascii="Times New Roman" w:hAnsi="Times New Roman"/>
          <w:sz w:val="24"/>
          <w:vertAlign w:val="superscript"/>
          <w:lang w:val="en-GB"/>
        </w:rPr>
        <w:instrText xml:space="preserve"> \* MERGEFORMAT </w:instrText>
      </w:r>
      <w:r w:rsidR="009A23A8" w:rsidRPr="009A23A8">
        <w:rPr>
          <w:rFonts w:ascii="Times New Roman" w:hAnsi="Times New Roman"/>
          <w:sz w:val="24"/>
          <w:vertAlign w:val="superscript"/>
          <w:lang w:val="en-GB"/>
        </w:rPr>
      </w:r>
      <w:r w:rsidR="009A23A8" w:rsidRPr="009A23A8">
        <w:rPr>
          <w:rFonts w:ascii="Times New Roman" w:hAnsi="Times New Roman"/>
          <w:sz w:val="24"/>
          <w:vertAlign w:val="superscript"/>
          <w:lang w:val="en-GB"/>
        </w:rPr>
        <w:fldChar w:fldCharType="separate"/>
      </w:r>
      <w:r w:rsidR="009A23A8" w:rsidRPr="009A23A8">
        <w:rPr>
          <w:rFonts w:ascii="Times New Roman" w:hAnsi="Times New Roman"/>
          <w:sz w:val="24"/>
          <w:vertAlign w:val="superscript"/>
          <w:lang w:val="en-GB"/>
        </w:rPr>
        <w:t>4</w:t>
      </w:r>
      <w:r w:rsidR="009A23A8" w:rsidRPr="009A23A8">
        <w:rPr>
          <w:rFonts w:ascii="Times New Roman" w:hAnsi="Times New Roman"/>
          <w:sz w:val="24"/>
          <w:vertAlign w:val="superscript"/>
          <w:lang w:val="en-GB"/>
        </w:rPr>
        <w:fldChar w:fldCharType="end"/>
      </w:r>
      <w:r w:rsidRPr="00F264F0">
        <w:rPr>
          <w:rFonts w:ascii="Times New Roman" w:hAnsi="Times New Roman"/>
          <w:sz w:val="24"/>
          <w:lang w:val="en-GB"/>
        </w:rPr>
        <w:t xml:space="preserve"> with a view to use of this band for next-generation (5G) wireless broadband electronic communications services, taking into account relevant scenarios for shared spectrum use and the further development of all relevant services within the band. In this regard, ensure coherence of results and reporting to the Commission, taking into account the ongoing work on the permanent mandate to CEPT on short-range devices</w:t>
      </w:r>
      <w:r w:rsidRPr="00F264F0">
        <w:rPr>
          <w:rStyle w:val="FootnoteAnchor"/>
          <w:rFonts w:ascii="Times New Roman" w:hAnsi="Times New Roman"/>
          <w:sz w:val="24"/>
          <w:lang w:val="en-GB"/>
        </w:rPr>
        <w:footnoteReference w:id="13"/>
      </w:r>
      <w:r w:rsidRPr="00F264F0">
        <w:rPr>
          <w:rFonts w:ascii="Times New Roman" w:hAnsi="Times New Roman"/>
          <w:sz w:val="24"/>
          <w:lang w:val="en-GB"/>
        </w:rPr>
        <w:t>, in accordance with the latest Commission guidance</w:t>
      </w:r>
      <w:r w:rsidRPr="00F264F0">
        <w:rPr>
          <w:rStyle w:val="FootnoteAnchor"/>
          <w:rFonts w:ascii="Times New Roman" w:hAnsi="Times New Roman"/>
          <w:sz w:val="24"/>
          <w:lang w:val="en-GB"/>
        </w:rPr>
        <w:footnoteReference w:id="14"/>
      </w:r>
      <w:r w:rsidRPr="00F264F0">
        <w:rPr>
          <w:rFonts w:ascii="Times New Roman" w:hAnsi="Times New Roman"/>
          <w:sz w:val="24"/>
          <w:lang w:val="en-GB"/>
        </w:rPr>
        <w:t>.</w:t>
      </w:r>
    </w:p>
    <w:p w14:paraId="611223F3" w14:textId="77777777" w:rsidR="00677DCE" w:rsidRPr="00F264F0" w:rsidRDefault="007D617C">
      <w:pPr>
        <w:ind w:left="709"/>
        <w:jc w:val="both"/>
        <w:rPr>
          <w:rFonts w:ascii="Times New Roman" w:hAnsi="Times New Roman"/>
          <w:sz w:val="24"/>
          <w:lang w:val="en-GB"/>
        </w:rPr>
      </w:pPr>
      <w:r w:rsidRPr="00F264F0">
        <w:rPr>
          <w:rFonts w:ascii="Times New Roman" w:hAnsi="Times New Roman"/>
          <w:sz w:val="24"/>
          <w:lang w:val="en-GB"/>
        </w:rPr>
        <w:t xml:space="preserve">The conditions under Tasks 2 and 3 should take into account relevant authorisation modes and be sufficient to mitigate interference and to ensure co-existence with incumbent radio services/applications in the same band or in adjacent bands, in line with their regulatory status, including at the EU outer borders. </w:t>
      </w:r>
    </w:p>
    <w:p w14:paraId="0FFA00BD" w14:textId="77777777" w:rsidR="00677DCE" w:rsidRPr="00F264F0" w:rsidRDefault="00677DCE">
      <w:pPr>
        <w:ind w:left="709"/>
        <w:jc w:val="both"/>
        <w:rPr>
          <w:rFonts w:ascii="Times New Roman" w:hAnsi="Times New Roman"/>
          <w:sz w:val="24"/>
          <w:lang w:val="en-GB"/>
        </w:rPr>
      </w:pPr>
    </w:p>
    <w:p w14:paraId="04FB15E0" w14:textId="77777777" w:rsidR="00677DCE" w:rsidRPr="00F264F0" w:rsidRDefault="007D617C">
      <w:pPr>
        <w:pStyle w:val="ListNumber"/>
        <w:numPr>
          <w:ilvl w:val="0"/>
          <w:numId w:val="4"/>
        </w:numPr>
        <w:shd w:val="clear" w:color="auto" w:fill="FFFFFF"/>
        <w:ind w:left="709" w:hanging="290"/>
        <w:rPr>
          <w:szCs w:val="24"/>
        </w:rPr>
      </w:pPr>
      <w:r w:rsidRPr="00F264F0">
        <w:rPr>
          <w:szCs w:val="24"/>
        </w:rPr>
        <w:t>Assess the need for and develop, if necessary, guidance for cross-border coordination.</w:t>
      </w:r>
    </w:p>
    <w:p w14:paraId="2F82E33B" w14:textId="77777777" w:rsidR="00677DCE" w:rsidRPr="00F264F0" w:rsidRDefault="007D617C">
      <w:pPr>
        <w:pStyle w:val="ListNumber"/>
        <w:shd w:val="clear" w:color="auto" w:fill="FFFFFF"/>
        <w:rPr>
          <w:szCs w:val="24"/>
        </w:rPr>
      </w:pPr>
      <w:r w:rsidRPr="00F264F0">
        <w:rPr>
          <w:szCs w:val="24"/>
        </w:rPr>
        <w:t>Overall, the CEPT should provide deliverables under this Mandate according to the following schedule:</w:t>
      </w:r>
    </w:p>
    <w:tbl>
      <w:tblPr>
        <w:tblW w:w="8760" w:type="dxa"/>
        <w:tblInd w:w="70" w:type="dxa"/>
        <w:tblCellMar>
          <w:left w:w="70" w:type="dxa"/>
          <w:right w:w="70" w:type="dxa"/>
        </w:tblCellMar>
        <w:tblLook w:val="0000" w:firstRow="0" w:lastRow="0" w:firstColumn="0" w:lastColumn="0" w:noHBand="0" w:noVBand="0"/>
      </w:tblPr>
      <w:tblGrid>
        <w:gridCol w:w="1701"/>
        <w:gridCol w:w="4111"/>
        <w:gridCol w:w="2948"/>
      </w:tblGrid>
      <w:tr w:rsidR="00677DCE" w:rsidRPr="00F264F0" w14:paraId="44EF39D6" w14:textId="77777777">
        <w:tc>
          <w:tcPr>
            <w:tcW w:w="1701" w:type="dxa"/>
            <w:tcBorders>
              <w:top w:val="single" w:sz="4" w:space="0" w:color="000000"/>
              <w:left w:val="single" w:sz="4" w:space="0" w:color="000000"/>
              <w:bottom w:val="single" w:sz="4" w:space="0" w:color="000000"/>
              <w:right w:val="single" w:sz="4" w:space="0" w:color="000000"/>
            </w:tcBorders>
          </w:tcPr>
          <w:p w14:paraId="4B541265" w14:textId="77777777" w:rsidR="00677DCE" w:rsidRPr="00F264F0" w:rsidRDefault="007D617C">
            <w:pPr>
              <w:spacing w:before="120" w:after="120"/>
              <w:jc w:val="center"/>
              <w:rPr>
                <w:rFonts w:ascii="Times New Roman" w:hAnsi="Times New Roman"/>
                <w:b/>
                <w:sz w:val="24"/>
                <w:lang w:val="en-GB"/>
              </w:rPr>
            </w:pPr>
            <w:r w:rsidRPr="00F264F0">
              <w:rPr>
                <w:rFonts w:ascii="Times New Roman" w:hAnsi="Times New Roman"/>
                <w:b/>
                <w:sz w:val="24"/>
                <w:lang w:val="en-GB"/>
              </w:rPr>
              <w:t>Delivery date</w:t>
            </w:r>
          </w:p>
        </w:tc>
        <w:tc>
          <w:tcPr>
            <w:tcW w:w="4111" w:type="dxa"/>
            <w:tcBorders>
              <w:top w:val="single" w:sz="4" w:space="0" w:color="000000"/>
              <w:left w:val="single" w:sz="4" w:space="0" w:color="000000"/>
              <w:bottom w:val="single" w:sz="4" w:space="0" w:color="000000"/>
              <w:right w:val="single" w:sz="4" w:space="0" w:color="000000"/>
            </w:tcBorders>
          </w:tcPr>
          <w:p w14:paraId="73527CDD" w14:textId="77777777" w:rsidR="00677DCE" w:rsidRPr="00F264F0" w:rsidRDefault="007D617C">
            <w:pPr>
              <w:spacing w:before="120" w:after="120"/>
              <w:jc w:val="center"/>
              <w:rPr>
                <w:rFonts w:ascii="Times New Roman" w:hAnsi="Times New Roman"/>
                <w:b/>
                <w:sz w:val="24"/>
                <w:lang w:val="en-GB"/>
              </w:rPr>
            </w:pPr>
            <w:r w:rsidRPr="00F264F0">
              <w:rPr>
                <w:rFonts w:ascii="Times New Roman" w:hAnsi="Times New Roman"/>
                <w:b/>
                <w:sz w:val="24"/>
                <w:lang w:val="en-GB"/>
              </w:rPr>
              <w:t>Deliverable</w:t>
            </w:r>
          </w:p>
        </w:tc>
        <w:tc>
          <w:tcPr>
            <w:tcW w:w="2948" w:type="dxa"/>
            <w:tcBorders>
              <w:top w:val="single" w:sz="4" w:space="0" w:color="000000"/>
              <w:left w:val="single" w:sz="4" w:space="0" w:color="000000"/>
              <w:bottom w:val="single" w:sz="4" w:space="0" w:color="000000"/>
              <w:right w:val="single" w:sz="4" w:space="0" w:color="000000"/>
            </w:tcBorders>
          </w:tcPr>
          <w:p w14:paraId="3E8D11C3" w14:textId="77777777" w:rsidR="00677DCE" w:rsidRPr="00F264F0" w:rsidRDefault="007D617C">
            <w:pPr>
              <w:spacing w:before="120" w:after="120"/>
              <w:jc w:val="center"/>
              <w:rPr>
                <w:rFonts w:ascii="Times New Roman" w:hAnsi="Times New Roman"/>
                <w:b/>
                <w:sz w:val="24"/>
                <w:lang w:val="en-GB"/>
              </w:rPr>
            </w:pPr>
            <w:r w:rsidRPr="00F264F0">
              <w:rPr>
                <w:rFonts w:ascii="Times New Roman" w:hAnsi="Times New Roman"/>
                <w:b/>
                <w:sz w:val="24"/>
                <w:lang w:val="en-GB"/>
              </w:rPr>
              <w:t>Subject</w:t>
            </w:r>
          </w:p>
        </w:tc>
      </w:tr>
      <w:tr w:rsidR="00677DCE" w:rsidRPr="00F264F0" w14:paraId="48B94E63" w14:textId="77777777">
        <w:tc>
          <w:tcPr>
            <w:tcW w:w="1701" w:type="dxa"/>
            <w:tcBorders>
              <w:top w:val="single" w:sz="4" w:space="0" w:color="000000"/>
              <w:left w:val="single" w:sz="4" w:space="0" w:color="000000"/>
              <w:bottom w:val="single" w:sz="4" w:space="0" w:color="000000"/>
              <w:right w:val="single" w:sz="4" w:space="0" w:color="000000"/>
            </w:tcBorders>
          </w:tcPr>
          <w:p w14:paraId="288A91F9" w14:textId="77777777" w:rsidR="00677DCE" w:rsidRPr="00F264F0" w:rsidRDefault="007D617C">
            <w:pPr>
              <w:spacing w:before="120" w:after="120"/>
              <w:rPr>
                <w:rFonts w:ascii="Times New Roman" w:hAnsi="Times New Roman"/>
                <w:sz w:val="24"/>
                <w:lang w:val="en-GB"/>
              </w:rPr>
            </w:pPr>
            <w:r w:rsidRPr="00F264F0">
              <w:rPr>
                <w:rFonts w:ascii="Times New Roman" w:hAnsi="Times New Roman"/>
                <w:sz w:val="24"/>
                <w:lang w:val="en-GB"/>
              </w:rPr>
              <w:t xml:space="preserve">March 2021 </w:t>
            </w:r>
          </w:p>
        </w:tc>
        <w:tc>
          <w:tcPr>
            <w:tcW w:w="4111" w:type="dxa"/>
            <w:tcBorders>
              <w:top w:val="single" w:sz="4" w:space="0" w:color="000000"/>
              <w:left w:val="single" w:sz="4" w:space="0" w:color="000000"/>
              <w:bottom w:val="single" w:sz="4" w:space="0" w:color="000000"/>
              <w:right w:val="single" w:sz="4" w:space="0" w:color="000000"/>
            </w:tcBorders>
          </w:tcPr>
          <w:p w14:paraId="670EBF04" w14:textId="77777777" w:rsidR="00677DCE" w:rsidRPr="00F264F0" w:rsidRDefault="007D617C">
            <w:pPr>
              <w:spacing w:before="120" w:after="120"/>
              <w:rPr>
                <w:rFonts w:ascii="Times New Roman" w:hAnsi="Times New Roman"/>
                <w:sz w:val="24"/>
                <w:lang w:val="en-GB"/>
              </w:rPr>
            </w:pPr>
            <w:r w:rsidRPr="00F264F0">
              <w:rPr>
                <w:rFonts w:ascii="Times New Roman" w:hAnsi="Times New Roman"/>
                <w:sz w:val="24"/>
                <w:lang w:val="en-GB"/>
              </w:rPr>
              <w:t>Draft Report(s) from CEPT to the Commission</w:t>
            </w:r>
            <w:r w:rsidRPr="00F264F0">
              <w:rPr>
                <w:rStyle w:val="FootnoteAnchor"/>
                <w:rFonts w:ascii="Times New Roman" w:hAnsi="Times New Roman"/>
                <w:sz w:val="24"/>
                <w:lang w:val="en-GB"/>
              </w:rPr>
              <w:footnoteReference w:id="15"/>
            </w:r>
            <w:r w:rsidRPr="00F264F0">
              <w:rPr>
                <w:rFonts w:ascii="Times New Roman" w:hAnsi="Times New Roman"/>
                <w:sz w:val="24"/>
                <w:lang w:val="en-GB"/>
              </w:rPr>
              <w:t>.</w:t>
            </w:r>
          </w:p>
          <w:p w14:paraId="3BC2FA2F" w14:textId="77777777" w:rsidR="00677DCE" w:rsidRPr="00F264F0" w:rsidRDefault="00677DCE">
            <w:pPr>
              <w:spacing w:before="120" w:after="120"/>
              <w:rPr>
                <w:rFonts w:ascii="Times New Roman" w:hAnsi="Times New Roman"/>
                <w:sz w:val="24"/>
                <w:lang w:val="en-GB"/>
              </w:rPr>
            </w:pPr>
          </w:p>
        </w:tc>
        <w:tc>
          <w:tcPr>
            <w:tcW w:w="2948" w:type="dxa"/>
            <w:tcBorders>
              <w:top w:val="single" w:sz="4" w:space="0" w:color="000000"/>
              <w:left w:val="single" w:sz="4" w:space="0" w:color="000000"/>
              <w:bottom w:val="single" w:sz="4" w:space="0" w:color="000000"/>
              <w:right w:val="single" w:sz="4" w:space="0" w:color="000000"/>
            </w:tcBorders>
          </w:tcPr>
          <w:p w14:paraId="4204AEF9" w14:textId="77777777" w:rsidR="00677DCE" w:rsidRPr="00F264F0" w:rsidRDefault="007D617C">
            <w:pPr>
              <w:spacing w:before="120" w:after="120"/>
              <w:rPr>
                <w:rFonts w:ascii="Times New Roman" w:hAnsi="Times New Roman"/>
                <w:sz w:val="24"/>
                <w:lang w:val="en-GB"/>
              </w:rPr>
            </w:pPr>
            <w:r w:rsidRPr="00F264F0">
              <w:rPr>
                <w:rFonts w:ascii="Times New Roman" w:hAnsi="Times New Roman"/>
                <w:sz w:val="24"/>
                <w:lang w:val="en-GB"/>
              </w:rPr>
              <w:t>Description of the work undertaken and the results.</w:t>
            </w:r>
          </w:p>
        </w:tc>
      </w:tr>
      <w:tr w:rsidR="00677DCE" w:rsidRPr="00F264F0" w14:paraId="34C16F8E" w14:textId="77777777">
        <w:tc>
          <w:tcPr>
            <w:tcW w:w="1701" w:type="dxa"/>
            <w:tcBorders>
              <w:top w:val="single" w:sz="4" w:space="0" w:color="000000"/>
              <w:left w:val="single" w:sz="4" w:space="0" w:color="000000"/>
              <w:bottom w:val="single" w:sz="4" w:space="0" w:color="000000"/>
              <w:right w:val="single" w:sz="4" w:space="0" w:color="000000"/>
            </w:tcBorders>
          </w:tcPr>
          <w:p w14:paraId="08011432" w14:textId="77777777" w:rsidR="00677DCE" w:rsidRPr="00F264F0" w:rsidRDefault="007D617C">
            <w:pPr>
              <w:spacing w:before="120" w:after="120"/>
              <w:rPr>
                <w:rFonts w:ascii="Times New Roman" w:hAnsi="Times New Roman"/>
                <w:sz w:val="24"/>
                <w:lang w:val="en-GB"/>
              </w:rPr>
            </w:pPr>
            <w:r w:rsidRPr="00F264F0">
              <w:rPr>
                <w:rFonts w:ascii="Times New Roman" w:hAnsi="Times New Roman"/>
                <w:sz w:val="24"/>
                <w:lang w:val="en-GB"/>
              </w:rPr>
              <w:t>July 2021</w:t>
            </w:r>
          </w:p>
        </w:tc>
        <w:tc>
          <w:tcPr>
            <w:tcW w:w="4111" w:type="dxa"/>
            <w:tcBorders>
              <w:top w:val="single" w:sz="4" w:space="0" w:color="000000"/>
              <w:left w:val="single" w:sz="4" w:space="0" w:color="000000"/>
              <w:bottom w:val="single" w:sz="4" w:space="0" w:color="000000"/>
              <w:right w:val="single" w:sz="4" w:space="0" w:color="000000"/>
            </w:tcBorders>
          </w:tcPr>
          <w:p w14:paraId="2C7068AE" w14:textId="77777777" w:rsidR="00677DCE" w:rsidRPr="00F264F0" w:rsidRDefault="007D617C">
            <w:pPr>
              <w:spacing w:before="120" w:after="120"/>
              <w:rPr>
                <w:rFonts w:ascii="Times New Roman" w:hAnsi="Times New Roman"/>
                <w:sz w:val="24"/>
                <w:lang w:val="en-GB"/>
              </w:rPr>
            </w:pPr>
            <w:r w:rsidRPr="00F264F0">
              <w:rPr>
                <w:rFonts w:ascii="Times New Roman" w:hAnsi="Times New Roman"/>
                <w:sz w:val="24"/>
                <w:lang w:val="en-GB"/>
              </w:rPr>
              <w:t>Final Report(s) from CEPT to the Commission, taking into account the outcome of the public consultation.</w:t>
            </w:r>
          </w:p>
        </w:tc>
        <w:tc>
          <w:tcPr>
            <w:tcW w:w="2948" w:type="dxa"/>
            <w:tcBorders>
              <w:top w:val="single" w:sz="4" w:space="0" w:color="000000"/>
              <w:left w:val="single" w:sz="4" w:space="0" w:color="000000"/>
              <w:bottom w:val="single" w:sz="4" w:space="0" w:color="000000"/>
              <w:right w:val="single" w:sz="4" w:space="0" w:color="000000"/>
            </w:tcBorders>
          </w:tcPr>
          <w:p w14:paraId="6F6C9C9F" w14:textId="77777777" w:rsidR="00677DCE" w:rsidRPr="00F264F0" w:rsidRDefault="007D617C">
            <w:pPr>
              <w:spacing w:before="120" w:after="120"/>
              <w:rPr>
                <w:rFonts w:ascii="Times New Roman" w:hAnsi="Times New Roman"/>
                <w:sz w:val="24"/>
                <w:lang w:val="en-GB"/>
              </w:rPr>
            </w:pPr>
            <w:r w:rsidRPr="00F264F0">
              <w:rPr>
                <w:rFonts w:ascii="Times New Roman" w:hAnsi="Times New Roman"/>
                <w:sz w:val="24"/>
                <w:lang w:val="en-GB"/>
              </w:rPr>
              <w:t>Description of the work undertaken and the results.</w:t>
            </w:r>
          </w:p>
        </w:tc>
      </w:tr>
    </w:tbl>
    <w:p w14:paraId="7BE174B9" w14:textId="77777777" w:rsidR="00677DCE" w:rsidRPr="00F264F0" w:rsidRDefault="00677DCE">
      <w:pPr>
        <w:pStyle w:val="ListNumber"/>
        <w:spacing w:after="120"/>
        <w:rPr>
          <w:szCs w:val="24"/>
        </w:rPr>
      </w:pPr>
    </w:p>
    <w:p w14:paraId="1347CAC1" w14:textId="77777777" w:rsidR="00677DCE" w:rsidRPr="00F264F0" w:rsidRDefault="007D617C">
      <w:pPr>
        <w:jc w:val="both"/>
        <w:rPr>
          <w:rFonts w:ascii="Times New Roman" w:hAnsi="Times New Roman"/>
          <w:sz w:val="24"/>
          <w:lang w:val="en-GB"/>
        </w:rPr>
      </w:pPr>
      <w:r w:rsidRPr="00F264F0">
        <w:rPr>
          <w:rFonts w:ascii="Times New Roman" w:hAnsi="Times New Roman"/>
          <w:sz w:val="24"/>
          <w:lang w:val="en-GB"/>
        </w:rPr>
        <w:t>CEPT is requested to report on the progress of its work pursuant to this Mandate to all meetings of the Radio Spectrum Committee taking place during the course of the Mandate.</w:t>
      </w:r>
    </w:p>
    <w:p w14:paraId="443A172B" w14:textId="77777777" w:rsidR="00677DCE" w:rsidRPr="00F264F0" w:rsidRDefault="00677DCE">
      <w:pPr>
        <w:jc w:val="both"/>
        <w:rPr>
          <w:rFonts w:ascii="Times New Roman" w:hAnsi="Times New Roman"/>
          <w:sz w:val="24"/>
          <w:lang w:val="en-GB"/>
        </w:rPr>
      </w:pPr>
    </w:p>
    <w:p w14:paraId="0397AA49" w14:textId="77777777" w:rsidR="00677DCE" w:rsidRPr="00F264F0" w:rsidRDefault="007D617C">
      <w:pPr>
        <w:pStyle w:val="ECCParagraph"/>
      </w:pPr>
      <w:r w:rsidRPr="00F264F0">
        <w:rPr>
          <w:rFonts w:ascii="Times New Roman" w:hAnsi="Times New Roman"/>
          <w:sz w:val="24"/>
        </w:rPr>
        <w:t>The Commission, with the assistance of the Radio Spectrum Committee and pursuant to Article 4 of the Radio Spectrum Decision, may consider applying the results of this mandate in the Union taking into account any relevant guidance of the RSPG.</w:t>
      </w:r>
    </w:p>
    <w:p w14:paraId="6C6C67F1" w14:textId="77777777" w:rsidR="00677DCE" w:rsidRPr="00F264F0" w:rsidRDefault="00677DCE">
      <w:pPr>
        <w:spacing w:before="120" w:after="120"/>
        <w:jc w:val="both"/>
        <w:rPr>
          <w:szCs w:val="20"/>
          <w:lang w:val="en-GB"/>
        </w:rPr>
      </w:pPr>
    </w:p>
    <w:p w14:paraId="15DC75F3" w14:textId="1E4662F4" w:rsidR="00677DCE" w:rsidRPr="00F264F0" w:rsidRDefault="000C4633" w:rsidP="00804B1F">
      <w:pPr>
        <w:pStyle w:val="ECCAnnexheading1"/>
        <w:numPr>
          <w:ilvl w:val="0"/>
          <w:numId w:val="3"/>
        </w:numPr>
        <w:ind w:left="0"/>
      </w:pPr>
      <w:bookmarkStart w:id="125" w:name="_Ref104884716"/>
      <w:bookmarkStart w:id="126" w:name="_Ref104884839"/>
      <w:bookmarkStart w:id="127" w:name="_Ref104884856"/>
      <w:bookmarkStart w:id="128" w:name="_Ref104884887"/>
      <w:bookmarkStart w:id="129" w:name="_Ref104884959"/>
      <w:bookmarkStart w:id="130" w:name="_Ref104884979"/>
      <w:bookmarkStart w:id="131" w:name="_Ref104884990"/>
      <w:bookmarkStart w:id="132" w:name="_Ref104885044"/>
      <w:bookmarkStart w:id="133" w:name="_Ref104885057"/>
      <w:bookmarkStart w:id="134" w:name="_Ref104897991"/>
      <w:bookmarkStart w:id="135" w:name="_Toc107559560"/>
      <w:bookmarkStart w:id="136" w:name="_Toc119577667"/>
      <w:bookmarkEnd w:id="111"/>
      <w:r w:rsidRPr="00F264F0">
        <w:lastRenderedPageBreak/>
        <w:t>Channelling a</w:t>
      </w:r>
      <w:r w:rsidR="00CB35ED" w:rsidRPr="00F264F0">
        <w:t>rrangement and least restrictive technical conditions</w:t>
      </w:r>
      <w:bookmarkEnd w:id="125"/>
      <w:bookmarkEnd w:id="126"/>
      <w:bookmarkEnd w:id="127"/>
      <w:bookmarkEnd w:id="128"/>
      <w:bookmarkEnd w:id="129"/>
      <w:bookmarkEnd w:id="130"/>
      <w:bookmarkEnd w:id="131"/>
      <w:bookmarkEnd w:id="132"/>
      <w:bookmarkEnd w:id="133"/>
      <w:bookmarkEnd w:id="134"/>
      <w:bookmarkEnd w:id="135"/>
      <w:bookmarkEnd w:id="136"/>
    </w:p>
    <w:p w14:paraId="119021D2" w14:textId="1CFCAD15" w:rsidR="00812235" w:rsidRPr="00F264F0" w:rsidRDefault="0060757D" w:rsidP="00812235">
      <w:pPr>
        <w:pStyle w:val="ECCAnnexheading2"/>
        <w:numPr>
          <w:ilvl w:val="1"/>
          <w:numId w:val="3"/>
        </w:numPr>
        <w:rPr>
          <w:lang w:val="en-GB"/>
        </w:rPr>
      </w:pPr>
      <w:r w:rsidRPr="00F264F0">
        <w:rPr>
          <w:lang w:val="en-GB"/>
        </w:rPr>
        <w:t>Ha</w:t>
      </w:r>
      <w:r w:rsidR="00180C32" w:rsidRPr="00F264F0">
        <w:rPr>
          <w:lang w:val="en-GB"/>
        </w:rPr>
        <w:t>r</w:t>
      </w:r>
      <w:r w:rsidRPr="00F264F0">
        <w:rPr>
          <w:lang w:val="en-GB"/>
        </w:rPr>
        <w:t>monised frequency</w:t>
      </w:r>
      <w:r w:rsidR="00812235" w:rsidRPr="00F264F0">
        <w:rPr>
          <w:lang w:val="en-GB"/>
        </w:rPr>
        <w:t xml:space="preserve"> </w:t>
      </w:r>
      <w:r w:rsidR="00F54677" w:rsidRPr="00F264F0">
        <w:rPr>
          <w:lang w:val="en-GB"/>
        </w:rPr>
        <w:t>arrangment</w:t>
      </w:r>
      <w:r w:rsidRPr="00F264F0">
        <w:rPr>
          <w:lang w:val="en-GB"/>
        </w:rPr>
        <w:t xml:space="preserve"> for the band 40.5-43.5 GHz</w:t>
      </w:r>
    </w:p>
    <w:p w14:paraId="7EE796D9" w14:textId="6EC7C421" w:rsidR="00677DCE" w:rsidRPr="00F264F0" w:rsidRDefault="007D617C">
      <w:pPr>
        <w:pStyle w:val="ECCParBulleted"/>
        <w:numPr>
          <w:ilvl w:val="0"/>
          <w:numId w:val="5"/>
        </w:numPr>
      </w:pPr>
      <w:r w:rsidRPr="00F264F0">
        <w:t>The frequency arrangement is a TDD arrangement with a block size of 200 MHz</w:t>
      </w:r>
      <w:r w:rsidR="00752AA2" w:rsidRPr="00F264F0">
        <w:t>;</w:t>
      </w:r>
    </w:p>
    <w:p w14:paraId="15930C7A" w14:textId="77777777" w:rsidR="00677DCE" w:rsidRPr="00F264F0" w:rsidRDefault="007D617C">
      <w:pPr>
        <w:pStyle w:val="ECCParBulleted"/>
        <w:numPr>
          <w:ilvl w:val="0"/>
          <w:numId w:val="5"/>
        </w:numPr>
      </w:pPr>
      <w:r w:rsidRPr="00F264F0">
        <w:t>This block size could be adjusted to n</w:t>
      </w:r>
      <w:r w:rsidRPr="00F264F0">
        <w:rPr>
          <w:rFonts w:cs="Arial"/>
        </w:rPr>
        <w:t>arrower blocks (multiples of 50 MHz) adjacent to other users, to allow full use of spectrum, if required.</w:t>
      </w:r>
    </w:p>
    <w:tbl>
      <w:tblPr>
        <w:tblW w:w="9923" w:type="dxa"/>
        <w:tblCellMar>
          <w:left w:w="70" w:type="dxa"/>
          <w:right w:w="70" w:type="dxa"/>
        </w:tblCellMar>
        <w:tblLook w:val="04A0" w:firstRow="1" w:lastRow="0" w:firstColumn="1" w:lastColumn="0" w:noHBand="0" w:noVBand="1"/>
      </w:tblPr>
      <w:tblGrid>
        <w:gridCol w:w="698"/>
        <w:gridCol w:w="1842"/>
        <w:gridCol w:w="440"/>
        <w:gridCol w:w="1841"/>
        <w:gridCol w:w="1843"/>
        <w:gridCol w:w="680"/>
        <w:gridCol w:w="1839"/>
        <w:gridCol w:w="740"/>
      </w:tblGrid>
      <w:tr w:rsidR="00677DCE" w:rsidRPr="00F264F0" w14:paraId="6D4AAFDA" w14:textId="77777777">
        <w:trPr>
          <w:trHeight w:val="288"/>
        </w:trPr>
        <w:tc>
          <w:tcPr>
            <w:tcW w:w="696" w:type="dxa"/>
            <w:tcBorders>
              <w:right w:val="single" w:sz="4" w:space="0" w:color="000000"/>
            </w:tcBorders>
            <w:shd w:val="clear" w:color="auto" w:fill="auto"/>
            <w:vAlign w:val="bottom"/>
          </w:tcPr>
          <w:p w14:paraId="06E1920A" w14:textId="77777777" w:rsidR="00677DCE" w:rsidRPr="00F264F0" w:rsidRDefault="007D617C">
            <w:pPr>
              <w:jc w:val="both"/>
              <w:rPr>
                <w:rFonts w:cs="Arial"/>
                <w:color w:val="000000"/>
                <w:szCs w:val="20"/>
                <w:lang w:val="en-GB" w:eastAsia="sl-SI"/>
              </w:rPr>
            </w:pPr>
            <w:r w:rsidRPr="00F264F0">
              <w:rPr>
                <w:rFonts w:cs="Arial"/>
                <w:color w:val="000000"/>
                <w:szCs w:val="20"/>
                <w:lang w:val="en-GB" w:eastAsia="sl-SI"/>
              </w:rPr>
              <w:t> </w:t>
            </w:r>
          </w:p>
        </w:tc>
        <w:tc>
          <w:tcPr>
            <w:tcW w:w="1842" w:type="dxa"/>
            <w:shd w:val="clear" w:color="auto" w:fill="auto"/>
            <w:vAlign w:val="bottom"/>
          </w:tcPr>
          <w:p w14:paraId="16AC3638" w14:textId="77777777" w:rsidR="00677DCE" w:rsidRPr="00F264F0" w:rsidRDefault="00677DCE">
            <w:pPr>
              <w:jc w:val="both"/>
              <w:rPr>
                <w:rFonts w:cs="Arial"/>
                <w:color w:val="000000"/>
                <w:szCs w:val="20"/>
                <w:lang w:val="en-GB" w:eastAsia="sl-SI"/>
              </w:rPr>
            </w:pPr>
          </w:p>
        </w:tc>
        <w:tc>
          <w:tcPr>
            <w:tcW w:w="440" w:type="dxa"/>
            <w:shd w:val="clear" w:color="auto" w:fill="auto"/>
            <w:vAlign w:val="bottom"/>
          </w:tcPr>
          <w:p w14:paraId="67A8B8BD" w14:textId="77777777" w:rsidR="00677DCE" w:rsidRPr="00F264F0" w:rsidRDefault="00677DCE">
            <w:pPr>
              <w:jc w:val="both"/>
              <w:rPr>
                <w:rFonts w:cs="Arial"/>
                <w:szCs w:val="20"/>
                <w:lang w:val="en-GB" w:eastAsia="sl-SI"/>
              </w:rPr>
            </w:pPr>
          </w:p>
        </w:tc>
        <w:tc>
          <w:tcPr>
            <w:tcW w:w="1841" w:type="dxa"/>
            <w:shd w:val="clear" w:color="auto" w:fill="auto"/>
            <w:vAlign w:val="bottom"/>
          </w:tcPr>
          <w:p w14:paraId="4EC425EB" w14:textId="77777777" w:rsidR="00677DCE" w:rsidRPr="00F264F0" w:rsidRDefault="00677DCE">
            <w:pPr>
              <w:jc w:val="both"/>
              <w:rPr>
                <w:rFonts w:cs="Arial"/>
                <w:szCs w:val="20"/>
                <w:lang w:val="en-GB" w:eastAsia="sl-SI"/>
              </w:rPr>
            </w:pPr>
          </w:p>
        </w:tc>
        <w:tc>
          <w:tcPr>
            <w:tcW w:w="1843" w:type="dxa"/>
            <w:shd w:val="clear" w:color="auto" w:fill="auto"/>
            <w:vAlign w:val="bottom"/>
          </w:tcPr>
          <w:p w14:paraId="55EF7A7E" w14:textId="77777777" w:rsidR="00677DCE" w:rsidRPr="00F264F0" w:rsidRDefault="00677DCE">
            <w:pPr>
              <w:jc w:val="both"/>
              <w:rPr>
                <w:rFonts w:cs="Arial"/>
                <w:szCs w:val="20"/>
                <w:lang w:val="en-GB" w:eastAsia="sl-SI"/>
              </w:rPr>
            </w:pPr>
          </w:p>
        </w:tc>
        <w:tc>
          <w:tcPr>
            <w:tcW w:w="680" w:type="dxa"/>
            <w:shd w:val="clear" w:color="auto" w:fill="auto"/>
            <w:vAlign w:val="bottom"/>
          </w:tcPr>
          <w:p w14:paraId="5F3B109C" w14:textId="77777777" w:rsidR="00677DCE" w:rsidRPr="00F264F0" w:rsidRDefault="00677DCE">
            <w:pPr>
              <w:jc w:val="both"/>
              <w:rPr>
                <w:rFonts w:cs="Arial"/>
                <w:szCs w:val="20"/>
                <w:lang w:val="en-GB" w:eastAsia="sl-SI"/>
              </w:rPr>
            </w:pPr>
          </w:p>
        </w:tc>
        <w:tc>
          <w:tcPr>
            <w:tcW w:w="1839" w:type="dxa"/>
            <w:shd w:val="clear" w:color="auto" w:fill="auto"/>
            <w:vAlign w:val="bottom"/>
          </w:tcPr>
          <w:p w14:paraId="77F90C88" w14:textId="77777777" w:rsidR="00677DCE" w:rsidRPr="00F264F0" w:rsidRDefault="00677DCE">
            <w:pPr>
              <w:jc w:val="both"/>
              <w:rPr>
                <w:rFonts w:cs="Arial"/>
                <w:szCs w:val="20"/>
                <w:lang w:val="en-GB" w:eastAsia="sl-SI"/>
              </w:rPr>
            </w:pPr>
          </w:p>
        </w:tc>
        <w:tc>
          <w:tcPr>
            <w:tcW w:w="740" w:type="dxa"/>
            <w:tcBorders>
              <w:left w:val="single" w:sz="4" w:space="0" w:color="000000"/>
            </w:tcBorders>
            <w:shd w:val="clear" w:color="auto" w:fill="auto"/>
            <w:vAlign w:val="bottom"/>
          </w:tcPr>
          <w:p w14:paraId="2862B1C6" w14:textId="77777777" w:rsidR="00677DCE" w:rsidRPr="00F264F0" w:rsidRDefault="007D617C">
            <w:pPr>
              <w:jc w:val="both"/>
              <w:rPr>
                <w:rFonts w:cs="Arial"/>
                <w:color w:val="000000"/>
                <w:szCs w:val="20"/>
                <w:lang w:val="en-GB" w:eastAsia="sl-SI"/>
              </w:rPr>
            </w:pPr>
            <w:r w:rsidRPr="00F264F0">
              <w:rPr>
                <w:rFonts w:cs="Arial"/>
                <w:color w:val="000000"/>
                <w:szCs w:val="20"/>
                <w:lang w:val="en-GB" w:eastAsia="sl-SI"/>
              </w:rPr>
              <w:t> </w:t>
            </w:r>
          </w:p>
        </w:tc>
      </w:tr>
      <w:tr w:rsidR="00677DCE" w:rsidRPr="00F264F0" w14:paraId="202F6B38" w14:textId="77777777">
        <w:trPr>
          <w:trHeight w:val="288"/>
        </w:trPr>
        <w:tc>
          <w:tcPr>
            <w:tcW w:w="696" w:type="dxa"/>
            <w:tcBorders>
              <w:right w:val="single" w:sz="4" w:space="0" w:color="000000"/>
            </w:tcBorders>
            <w:shd w:val="clear" w:color="auto" w:fill="auto"/>
            <w:vAlign w:val="bottom"/>
          </w:tcPr>
          <w:p w14:paraId="65491D81" w14:textId="77777777" w:rsidR="00677DCE" w:rsidRPr="00F264F0" w:rsidRDefault="007D617C">
            <w:pPr>
              <w:jc w:val="both"/>
              <w:rPr>
                <w:rFonts w:cs="Arial"/>
                <w:color w:val="000000"/>
                <w:szCs w:val="20"/>
                <w:lang w:val="en-GB" w:eastAsia="sl-SI"/>
              </w:rPr>
            </w:pPr>
            <w:r w:rsidRPr="00F264F0">
              <w:rPr>
                <w:rFonts w:cs="Arial"/>
                <w:color w:val="000000"/>
                <w:szCs w:val="20"/>
                <w:lang w:val="en-GB" w:eastAsia="sl-SI"/>
              </w:rPr>
              <w:t> </w:t>
            </w:r>
          </w:p>
        </w:tc>
        <w:tc>
          <w:tcPr>
            <w:tcW w:w="1842" w:type="dxa"/>
            <w:tcBorders>
              <w:top w:val="single" w:sz="4" w:space="0" w:color="000000"/>
              <w:bottom w:val="single" w:sz="4" w:space="0" w:color="000000"/>
              <w:right w:val="single" w:sz="4" w:space="0" w:color="000000"/>
            </w:tcBorders>
            <w:shd w:val="clear" w:color="000000" w:fill="A9D08E"/>
            <w:vAlign w:val="bottom"/>
          </w:tcPr>
          <w:p w14:paraId="40FDB980" w14:textId="77777777" w:rsidR="00677DCE" w:rsidRPr="00F264F0" w:rsidRDefault="007D617C">
            <w:pPr>
              <w:jc w:val="both"/>
              <w:rPr>
                <w:rFonts w:cs="Arial"/>
                <w:color w:val="000000"/>
                <w:szCs w:val="20"/>
                <w:lang w:val="en-GB" w:eastAsia="sl-SI"/>
              </w:rPr>
            </w:pPr>
            <w:r w:rsidRPr="00F264F0">
              <w:rPr>
                <w:rFonts w:cs="Arial"/>
                <w:color w:val="000000"/>
                <w:szCs w:val="20"/>
                <w:lang w:val="en-GB" w:eastAsia="sl-SI"/>
              </w:rPr>
              <w:t>200 MHz</w:t>
            </w:r>
          </w:p>
        </w:tc>
        <w:tc>
          <w:tcPr>
            <w:tcW w:w="440" w:type="dxa"/>
            <w:shd w:val="clear" w:color="auto" w:fill="auto"/>
            <w:vAlign w:val="bottom"/>
          </w:tcPr>
          <w:p w14:paraId="60C242F5" w14:textId="77777777" w:rsidR="00677DCE" w:rsidRPr="00F264F0" w:rsidRDefault="007D617C">
            <w:pPr>
              <w:jc w:val="both"/>
              <w:rPr>
                <w:rFonts w:cs="Arial"/>
                <w:color w:val="000000"/>
                <w:szCs w:val="20"/>
                <w:lang w:val="en-GB" w:eastAsia="sl-SI"/>
              </w:rPr>
            </w:pPr>
            <w:r w:rsidRPr="00F264F0">
              <w:rPr>
                <w:rFonts w:cs="Arial"/>
                <w:color w:val="000000"/>
                <w:szCs w:val="20"/>
                <w:lang w:val="en-GB" w:eastAsia="sl-SI"/>
              </w:rPr>
              <w:t>…</w:t>
            </w:r>
          </w:p>
        </w:tc>
        <w:tc>
          <w:tcPr>
            <w:tcW w:w="1841" w:type="dxa"/>
            <w:tcBorders>
              <w:top w:val="single" w:sz="4" w:space="0" w:color="000000"/>
              <w:left w:val="single" w:sz="4" w:space="0" w:color="000000"/>
              <w:bottom w:val="single" w:sz="4" w:space="0" w:color="000000"/>
              <w:right w:val="single" w:sz="4" w:space="0" w:color="000000"/>
            </w:tcBorders>
            <w:shd w:val="clear" w:color="000000" w:fill="A9D08E"/>
            <w:vAlign w:val="bottom"/>
          </w:tcPr>
          <w:p w14:paraId="178F9A95" w14:textId="77777777" w:rsidR="00677DCE" w:rsidRPr="00F264F0" w:rsidRDefault="007D617C">
            <w:pPr>
              <w:jc w:val="both"/>
              <w:rPr>
                <w:rFonts w:cs="Arial"/>
                <w:color w:val="000000"/>
                <w:szCs w:val="20"/>
                <w:lang w:val="en-GB" w:eastAsia="sl-SI"/>
              </w:rPr>
            </w:pPr>
            <w:r w:rsidRPr="00F264F0">
              <w:rPr>
                <w:rFonts w:cs="Arial"/>
                <w:color w:val="000000"/>
                <w:szCs w:val="20"/>
                <w:lang w:val="en-GB" w:eastAsia="sl-SI"/>
              </w:rPr>
              <w:t>200 MHz</w:t>
            </w:r>
          </w:p>
        </w:tc>
        <w:tc>
          <w:tcPr>
            <w:tcW w:w="1843" w:type="dxa"/>
            <w:tcBorders>
              <w:top w:val="single" w:sz="4" w:space="0" w:color="000000"/>
              <w:bottom w:val="single" w:sz="4" w:space="0" w:color="000000"/>
              <w:right w:val="single" w:sz="4" w:space="0" w:color="000000"/>
            </w:tcBorders>
            <w:shd w:val="clear" w:color="000000" w:fill="A9D08E"/>
            <w:vAlign w:val="bottom"/>
          </w:tcPr>
          <w:p w14:paraId="7B29F6FB" w14:textId="77777777" w:rsidR="00677DCE" w:rsidRPr="00F264F0" w:rsidRDefault="007D617C">
            <w:pPr>
              <w:jc w:val="both"/>
              <w:rPr>
                <w:rFonts w:cs="Arial"/>
                <w:color w:val="000000"/>
                <w:szCs w:val="20"/>
                <w:lang w:val="en-GB" w:eastAsia="sl-SI"/>
              </w:rPr>
            </w:pPr>
            <w:r w:rsidRPr="00F264F0">
              <w:rPr>
                <w:rFonts w:cs="Arial"/>
                <w:color w:val="000000"/>
                <w:szCs w:val="20"/>
                <w:lang w:val="en-GB" w:eastAsia="sl-SI"/>
              </w:rPr>
              <w:t>200 MHz</w:t>
            </w:r>
          </w:p>
        </w:tc>
        <w:tc>
          <w:tcPr>
            <w:tcW w:w="680" w:type="dxa"/>
            <w:shd w:val="clear" w:color="auto" w:fill="auto"/>
            <w:vAlign w:val="bottom"/>
          </w:tcPr>
          <w:p w14:paraId="13F4E583" w14:textId="77777777" w:rsidR="00677DCE" w:rsidRPr="00F264F0" w:rsidRDefault="007D617C">
            <w:pPr>
              <w:jc w:val="both"/>
              <w:rPr>
                <w:rFonts w:cs="Arial"/>
                <w:color w:val="000000"/>
                <w:szCs w:val="20"/>
                <w:lang w:val="en-GB" w:eastAsia="sl-SI"/>
              </w:rPr>
            </w:pPr>
            <w:r w:rsidRPr="00F264F0">
              <w:rPr>
                <w:rFonts w:cs="Arial"/>
                <w:color w:val="000000"/>
                <w:szCs w:val="20"/>
                <w:lang w:val="en-GB" w:eastAsia="sl-SI"/>
              </w:rPr>
              <w:t>…</w:t>
            </w:r>
          </w:p>
        </w:tc>
        <w:tc>
          <w:tcPr>
            <w:tcW w:w="1839" w:type="dxa"/>
            <w:tcBorders>
              <w:top w:val="single" w:sz="4" w:space="0" w:color="000000"/>
              <w:bottom w:val="single" w:sz="4" w:space="0" w:color="000000"/>
              <w:right w:val="single" w:sz="4" w:space="0" w:color="000000"/>
            </w:tcBorders>
            <w:shd w:val="clear" w:color="000000" w:fill="A9D08E"/>
            <w:vAlign w:val="bottom"/>
          </w:tcPr>
          <w:p w14:paraId="35157C7A" w14:textId="77777777" w:rsidR="00677DCE" w:rsidRPr="00F264F0" w:rsidRDefault="007D617C">
            <w:pPr>
              <w:jc w:val="both"/>
              <w:rPr>
                <w:rFonts w:cs="Arial"/>
                <w:color w:val="000000"/>
                <w:szCs w:val="20"/>
                <w:lang w:val="en-GB" w:eastAsia="sl-SI"/>
              </w:rPr>
            </w:pPr>
            <w:r w:rsidRPr="00F264F0">
              <w:rPr>
                <w:rFonts w:cs="Arial"/>
                <w:color w:val="000000"/>
                <w:szCs w:val="20"/>
                <w:lang w:val="en-GB" w:eastAsia="sl-SI"/>
              </w:rPr>
              <w:t>200 MHz</w:t>
            </w:r>
          </w:p>
        </w:tc>
        <w:tc>
          <w:tcPr>
            <w:tcW w:w="740" w:type="dxa"/>
            <w:tcBorders>
              <w:left w:val="single" w:sz="4" w:space="0" w:color="000000"/>
            </w:tcBorders>
            <w:shd w:val="clear" w:color="auto" w:fill="auto"/>
            <w:vAlign w:val="bottom"/>
          </w:tcPr>
          <w:p w14:paraId="14551C68" w14:textId="77777777" w:rsidR="00677DCE" w:rsidRPr="00F264F0" w:rsidRDefault="007D617C">
            <w:pPr>
              <w:jc w:val="both"/>
              <w:rPr>
                <w:rFonts w:cs="Arial"/>
                <w:color w:val="000000"/>
                <w:szCs w:val="20"/>
                <w:lang w:val="en-GB" w:eastAsia="sl-SI"/>
              </w:rPr>
            </w:pPr>
            <w:r w:rsidRPr="00F264F0">
              <w:rPr>
                <w:rFonts w:cs="Arial"/>
                <w:color w:val="000000"/>
                <w:szCs w:val="20"/>
                <w:lang w:val="en-GB" w:eastAsia="sl-SI"/>
              </w:rPr>
              <w:t> </w:t>
            </w:r>
          </w:p>
        </w:tc>
      </w:tr>
      <w:tr w:rsidR="00677DCE" w:rsidRPr="00F264F0" w14:paraId="14742693" w14:textId="77777777">
        <w:trPr>
          <w:trHeight w:val="288"/>
        </w:trPr>
        <w:tc>
          <w:tcPr>
            <w:tcW w:w="696" w:type="dxa"/>
            <w:tcBorders>
              <w:right w:val="single" w:sz="4" w:space="0" w:color="000000"/>
            </w:tcBorders>
            <w:shd w:val="clear" w:color="auto" w:fill="auto"/>
            <w:vAlign w:val="bottom"/>
          </w:tcPr>
          <w:p w14:paraId="563107FA" w14:textId="77777777" w:rsidR="00677DCE" w:rsidRPr="00F264F0" w:rsidRDefault="007D617C">
            <w:pPr>
              <w:jc w:val="both"/>
              <w:rPr>
                <w:rFonts w:cs="Arial"/>
                <w:color w:val="000000"/>
                <w:szCs w:val="20"/>
                <w:lang w:val="en-GB" w:eastAsia="sl-SI"/>
              </w:rPr>
            </w:pPr>
            <w:r w:rsidRPr="00F264F0">
              <w:rPr>
                <w:rFonts w:cs="Arial"/>
                <w:color w:val="000000"/>
                <w:szCs w:val="20"/>
                <w:lang w:val="en-GB" w:eastAsia="sl-SI"/>
              </w:rPr>
              <w:t>40500</w:t>
            </w:r>
          </w:p>
        </w:tc>
        <w:tc>
          <w:tcPr>
            <w:tcW w:w="1842" w:type="dxa"/>
            <w:shd w:val="clear" w:color="auto" w:fill="auto"/>
            <w:vAlign w:val="bottom"/>
          </w:tcPr>
          <w:p w14:paraId="320BEA59" w14:textId="77777777" w:rsidR="00677DCE" w:rsidRPr="00F264F0" w:rsidRDefault="00677DCE">
            <w:pPr>
              <w:jc w:val="both"/>
              <w:rPr>
                <w:rFonts w:cs="Arial"/>
                <w:color w:val="000000"/>
                <w:szCs w:val="20"/>
                <w:lang w:val="en-GB" w:eastAsia="sl-SI"/>
              </w:rPr>
            </w:pPr>
          </w:p>
        </w:tc>
        <w:tc>
          <w:tcPr>
            <w:tcW w:w="440" w:type="dxa"/>
            <w:shd w:val="clear" w:color="auto" w:fill="auto"/>
            <w:vAlign w:val="bottom"/>
          </w:tcPr>
          <w:p w14:paraId="0E2A1AB9" w14:textId="77777777" w:rsidR="00677DCE" w:rsidRPr="00F264F0" w:rsidRDefault="00677DCE">
            <w:pPr>
              <w:jc w:val="both"/>
              <w:rPr>
                <w:rFonts w:cs="Arial"/>
                <w:szCs w:val="20"/>
                <w:lang w:val="en-GB" w:eastAsia="sl-SI"/>
              </w:rPr>
            </w:pPr>
          </w:p>
        </w:tc>
        <w:tc>
          <w:tcPr>
            <w:tcW w:w="1841" w:type="dxa"/>
            <w:shd w:val="clear" w:color="auto" w:fill="auto"/>
            <w:vAlign w:val="bottom"/>
          </w:tcPr>
          <w:p w14:paraId="004FDC24" w14:textId="77777777" w:rsidR="00677DCE" w:rsidRPr="00F264F0" w:rsidRDefault="00677DCE">
            <w:pPr>
              <w:jc w:val="both"/>
              <w:rPr>
                <w:rFonts w:cs="Arial"/>
                <w:szCs w:val="20"/>
                <w:lang w:val="en-GB" w:eastAsia="sl-SI"/>
              </w:rPr>
            </w:pPr>
          </w:p>
        </w:tc>
        <w:tc>
          <w:tcPr>
            <w:tcW w:w="1843" w:type="dxa"/>
            <w:shd w:val="clear" w:color="auto" w:fill="auto"/>
            <w:vAlign w:val="bottom"/>
          </w:tcPr>
          <w:p w14:paraId="12BCF5A5" w14:textId="77777777" w:rsidR="00677DCE" w:rsidRPr="00F264F0" w:rsidRDefault="00677DCE">
            <w:pPr>
              <w:jc w:val="both"/>
              <w:rPr>
                <w:rFonts w:cs="Arial"/>
                <w:szCs w:val="20"/>
                <w:lang w:val="en-GB" w:eastAsia="sl-SI"/>
              </w:rPr>
            </w:pPr>
          </w:p>
        </w:tc>
        <w:tc>
          <w:tcPr>
            <w:tcW w:w="680" w:type="dxa"/>
            <w:shd w:val="clear" w:color="auto" w:fill="auto"/>
            <w:vAlign w:val="bottom"/>
          </w:tcPr>
          <w:p w14:paraId="762886FE" w14:textId="77777777" w:rsidR="00677DCE" w:rsidRPr="00F264F0" w:rsidRDefault="00677DCE">
            <w:pPr>
              <w:jc w:val="both"/>
              <w:rPr>
                <w:rFonts w:cs="Arial"/>
                <w:szCs w:val="20"/>
                <w:lang w:val="en-GB" w:eastAsia="sl-SI"/>
              </w:rPr>
            </w:pPr>
          </w:p>
        </w:tc>
        <w:tc>
          <w:tcPr>
            <w:tcW w:w="1839" w:type="dxa"/>
            <w:shd w:val="clear" w:color="auto" w:fill="auto"/>
            <w:vAlign w:val="bottom"/>
          </w:tcPr>
          <w:p w14:paraId="0BCFB47F" w14:textId="77777777" w:rsidR="00677DCE" w:rsidRPr="00F264F0" w:rsidRDefault="00677DCE">
            <w:pPr>
              <w:jc w:val="both"/>
              <w:rPr>
                <w:rFonts w:cs="Arial"/>
                <w:szCs w:val="20"/>
                <w:lang w:val="en-GB" w:eastAsia="sl-SI"/>
              </w:rPr>
            </w:pPr>
          </w:p>
        </w:tc>
        <w:tc>
          <w:tcPr>
            <w:tcW w:w="740" w:type="dxa"/>
            <w:tcBorders>
              <w:left w:val="single" w:sz="4" w:space="0" w:color="000000"/>
            </w:tcBorders>
            <w:shd w:val="clear" w:color="auto" w:fill="auto"/>
            <w:vAlign w:val="bottom"/>
          </w:tcPr>
          <w:p w14:paraId="3A4C1952" w14:textId="77777777" w:rsidR="00677DCE" w:rsidRPr="00F264F0" w:rsidRDefault="007D617C">
            <w:pPr>
              <w:jc w:val="both"/>
              <w:rPr>
                <w:rFonts w:cs="Arial"/>
                <w:color w:val="000000"/>
                <w:szCs w:val="20"/>
                <w:lang w:val="en-GB" w:eastAsia="sl-SI"/>
              </w:rPr>
            </w:pPr>
            <w:r w:rsidRPr="00F264F0">
              <w:rPr>
                <w:rFonts w:cs="Arial"/>
                <w:color w:val="000000"/>
                <w:szCs w:val="20"/>
                <w:lang w:val="en-GB" w:eastAsia="sl-SI"/>
              </w:rPr>
              <w:t>43500</w:t>
            </w:r>
          </w:p>
        </w:tc>
      </w:tr>
      <w:tr w:rsidR="00677DCE" w:rsidRPr="00F264F0" w14:paraId="2B3FF496" w14:textId="77777777">
        <w:trPr>
          <w:trHeight w:val="288"/>
        </w:trPr>
        <w:tc>
          <w:tcPr>
            <w:tcW w:w="696" w:type="dxa"/>
            <w:tcBorders>
              <w:right w:val="single" w:sz="4" w:space="0" w:color="000000"/>
            </w:tcBorders>
            <w:shd w:val="clear" w:color="auto" w:fill="auto"/>
            <w:vAlign w:val="bottom"/>
          </w:tcPr>
          <w:p w14:paraId="46F88954" w14:textId="77777777" w:rsidR="00677DCE" w:rsidRPr="00F264F0" w:rsidRDefault="007D617C">
            <w:pPr>
              <w:jc w:val="both"/>
              <w:rPr>
                <w:rFonts w:cs="Arial"/>
                <w:color w:val="000000"/>
                <w:szCs w:val="20"/>
                <w:lang w:val="en-GB" w:eastAsia="sl-SI"/>
              </w:rPr>
            </w:pPr>
            <w:r w:rsidRPr="00F264F0">
              <w:rPr>
                <w:rFonts w:cs="Arial"/>
                <w:color w:val="000000"/>
                <w:szCs w:val="20"/>
                <w:lang w:val="en-GB" w:eastAsia="sl-SI"/>
              </w:rPr>
              <w:t> MHz</w:t>
            </w:r>
          </w:p>
        </w:tc>
        <w:tc>
          <w:tcPr>
            <w:tcW w:w="1842" w:type="dxa"/>
            <w:shd w:val="clear" w:color="auto" w:fill="auto"/>
            <w:vAlign w:val="bottom"/>
          </w:tcPr>
          <w:p w14:paraId="47B930A2" w14:textId="77777777" w:rsidR="00677DCE" w:rsidRPr="00F264F0" w:rsidRDefault="00677DCE">
            <w:pPr>
              <w:jc w:val="both"/>
              <w:rPr>
                <w:color w:val="000000"/>
                <w:lang w:val="en-GB"/>
              </w:rPr>
            </w:pPr>
          </w:p>
        </w:tc>
        <w:tc>
          <w:tcPr>
            <w:tcW w:w="440" w:type="dxa"/>
            <w:shd w:val="clear" w:color="auto" w:fill="auto"/>
            <w:vAlign w:val="bottom"/>
          </w:tcPr>
          <w:p w14:paraId="268B9DE1" w14:textId="77777777" w:rsidR="00677DCE" w:rsidRPr="00F264F0" w:rsidRDefault="00677DCE">
            <w:pPr>
              <w:jc w:val="both"/>
              <w:rPr>
                <w:lang w:val="en-GB"/>
              </w:rPr>
            </w:pPr>
          </w:p>
        </w:tc>
        <w:tc>
          <w:tcPr>
            <w:tcW w:w="1841" w:type="dxa"/>
            <w:shd w:val="clear" w:color="auto" w:fill="auto"/>
            <w:vAlign w:val="bottom"/>
          </w:tcPr>
          <w:p w14:paraId="55349136" w14:textId="77777777" w:rsidR="00677DCE" w:rsidRPr="00F264F0" w:rsidRDefault="00677DCE">
            <w:pPr>
              <w:jc w:val="both"/>
              <w:rPr>
                <w:lang w:val="en-GB"/>
              </w:rPr>
            </w:pPr>
          </w:p>
        </w:tc>
        <w:tc>
          <w:tcPr>
            <w:tcW w:w="1843" w:type="dxa"/>
            <w:shd w:val="clear" w:color="auto" w:fill="auto"/>
            <w:vAlign w:val="bottom"/>
          </w:tcPr>
          <w:p w14:paraId="5CB3A19A" w14:textId="77777777" w:rsidR="00677DCE" w:rsidRPr="00F264F0" w:rsidRDefault="00677DCE">
            <w:pPr>
              <w:jc w:val="both"/>
              <w:rPr>
                <w:lang w:val="en-GB"/>
              </w:rPr>
            </w:pPr>
          </w:p>
        </w:tc>
        <w:tc>
          <w:tcPr>
            <w:tcW w:w="680" w:type="dxa"/>
            <w:shd w:val="clear" w:color="auto" w:fill="auto"/>
            <w:vAlign w:val="bottom"/>
          </w:tcPr>
          <w:p w14:paraId="724B7ABE" w14:textId="77777777" w:rsidR="00677DCE" w:rsidRPr="00F264F0" w:rsidRDefault="00677DCE">
            <w:pPr>
              <w:jc w:val="both"/>
              <w:rPr>
                <w:lang w:val="en-GB"/>
              </w:rPr>
            </w:pPr>
          </w:p>
        </w:tc>
        <w:tc>
          <w:tcPr>
            <w:tcW w:w="1839" w:type="dxa"/>
            <w:shd w:val="clear" w:color="auto" w:fill="auto"/>
            <w:vAlign w:val="bottom"/>
          </w:tcPr>
          <w:p w14:paraId="54B0B725" w14:textId="77777777" w:rsidR="00677DCE" w:rsidRPr="00F264F0" w:rsidRDefault="00677DCE">
            <w:pPr>
              <w:jc w:val="both"/>
              <w:rPr>
                <w:lang w:val="en-GB"/>
              </w:rPr>
            </w:pPr>
          </w:p>
        </w:tc>
        <w:tc>
          <w:tcPr>
            <w:tcW w:w="740" w:type="dxa"/>
            <w:tcBorders>
              <w:left w:val="single" w:sz="4" w:space="0" w:color="000000"/>
            </w:tcBorders>
            <w:shd w:val="clear" w:color="auto" w:fill="auto"/>
            <w:vAlign w:val="bottom"/>
          </w:tcPr>
          <w:p w14:paraId="1A6EE47B" w14:textId="1A271296" w:rsidR="00677DCE" w:rsidRPr="00F264F0" w:rsidRDefault="007D617C">
            <w:pPr>
              <w:jc w:val="both"/>
              <w:rPr>
                <w:color w:val="000000"/>
                <w:lang w:val="en-GB"/>
              </w:rPr>
            </w:pPr>
            <w:r w:rsidRPr="00F264F0">
              <w:rPr>
                <w:rFonts w:cs="Arial"/>
                <w:color w:val="000000"/>
                <w:szCs w:val="20"/>
                <w:lang w:val="en-GB" w:eastAsia="sl-SI"/>
              </w:rPr>
              <w:t>MHz</w:t>
            </w:r>
          </w:p>
        </w:tc>
      </w:tr>
    </w:tbl>
    <w:p w14:paraId="6D99685C" w14:textId="11302F63" w:rsidR="00677DCE" w:rsidRPr="00F264F0" w:rsidRDefault="007D617C">
      <w:pPr>
        <w:pStyle w:val="Caption"/>
        <w:rPr>
          <w:lang w:val="en-GB"/>
        </w:rPr>
      </w:pPr>
      <w:r w:rsidRPr="00F264F0">
        <w:rPr>
          <w:lang w:val="en-GB"/>
        </w:rPr>
        <w:t xml:space="preserve">Figure </w:t>
      </w:r>
      <w:r w:rsidRPr="00F264F0">
        <w:rPr>
          <w:lang w:val="en-GB"/>
        </w:rPr>
        <w:fldChar w:fldCharType="begin"/>
      </w:r>
      <w:r w:rsidRPr="00F264F0">
        <w:rPr>
          <w:lang w:val="en-GB"/>
        </w:rPr>
        <w:instrText>SEQ Figure \* ARABIC</w:instrText>
      </w:r>
      <w:r w:rsidRPr="00F264F0">
        <w:rPr>
          <w:lang w:val="en-GB"/>
        </w:rPr>
        <w:fldChar w:fldCharType="separate"/>
      </w:r>
      <w:r w:rsidR="006B156B" w:rsidRPr="00F264F0">
        <w:rPr>
          <w:noProof/>
          <w:lang w:val="en-GB"/>
        </w:rPr>
        <w:t>1</w:t>
      </w:r>
      <w:r w:rsidRPr="00F264F0">
        <w:rPr>
          <w:lang w:val="en-GB"/>
        </w:rPr>
        <w:fldChar w:fldCharType="end"/>
      </w:r>
      <w:r w:rsidR="00637F0F" w:rsidRPr="00F264F0">
        <w:rPr>
          <w:lang w:val="en-GB"/>
        </w:rPr>
        <w:t>:</w:t>
      </w:r>
      <w:r w:rsidRPr="00F264F0">
        <w:rPr>
          <w:lang w:val="en-GB"/>
        </w:rPr>
        <w:t xml:space="preserve"> Example of possible frequency arrangements for WBB ECS in the 40.5-43.5 GHz band</w:t>
      </w:r>
    </w:p>
    <w:p w14:paraId="3CB6EF92" w14:textId="615C238B" w:rsidR="00F023F9" w:rsidRPr="00F264F0" w:rsidRDefault="009E533E" w:rsidP="00F65F57">
      <w:pPr>
        <w:pStyle w:val="ECCAnnexheading2"/>
        <w:rPr>
          <w:lang w:val="en-GB"/>
        </w:rPr>
      </w:pPr>
      <w:r w:rsidRPr="00F264F0">
        <w:rPr>
          <w:lang w:val="en-GB"/>
        </w:rPr>
        <w:t xml:space="preserve">A2.2 </w:t>
      </w:r>
      <w:r w:rsidR="0018024D" w:rsidRPr="00F264F0">
        <w:rPr>
          <w:lang w:val="en-GB"/>
        </w:rPr>
        <w:t>Least restrictive technical conditions</w:t>
      </w:r>
    </w:p>
    <w:p w14:paraId="31457E25" w14:textId="479F9CF5" w:rsidR="00677DCE" w:rsidRPr="00F264F0" w:rsidRDefault="007D617C" w:rsidP="00333C2C">
      <w:pPr>
        <w:pStyle w:val="ECCParagraph"/>
      </w:pPr>
      <w:r w:rsidRPr="00F264F0">
        <w:t xml:space="preserve">The technical conditions presented in this annex have been developed assuming an authorisation regime where the base station locations of transmitters and receivers are known. </w:t>
      </w:r>
      <w:r w:rsidRPr="00F264F0">
        <w:rPr>
          <w:color w:val="000000"/>
          <w:lang w:eastAsia="bn-IN" w:bidi="bn-IN"/>
        </w:rPr>
        <w:t>These conditions include provisions related to the coexistence between WBB ECS systems</w:t>
      </w:r>
      <w:r w:rsidRPr="00F264F0">
        <w:rPr>
          <w:bCs/>
        </w:rPr>
        <w:t xml:space="preserve"> in the form of a block edge mask (BEM), i.e.</w:t>
      </w:r>
      <w:r w:rsidRPr="00F264F0">
        <w:t xml:space="preserve"> related to spectrum licensing and the avoidance of interference between users of spectrum. Additional considerations may be needed on a national basis for an authorisation regime where the location of base stations is not known to ensure that the harmonised technical conditions in this Decision are met (see </w:t>
      </w:r>
      <w:r w:rsidR="00B80DAF" w:rsidRPr="00F264F0">
        <w:fldChar w:fldCharType="begin"/>
      </w:r>
      <w:r w:rsidR="00B80DAF" w:rsidRPr="00F264F0">
        <w:instrText xml:space="preserve"> REF _Ref103768958 \r \h </w:instrText>
      </w:r>
      <w:r w:rsidR="00406BDB" w:rsidRPr="00F264F0">
        <w:instrText xml:space="preserve"> \* MERGEFORMAT </w:instrText>
      </w:r>
      <w:r w:rsidR="00B80DAF" w:rsidRPr="00F264F0">
        <w:fldChar w:fldCharType="separate"/>
      </w:r>
      <w:r w:rsidR="006B156B" w:rsidRPr="00F264F0">
        <w:t>ANNEX 3</w:t>
      </w:r>
      <w:r w:rsidR="00B80DAF" w:rsidRPr="00F264F0">
        <w:fldChar w:fldCharType="end"/>
      </w:r>
      <w:r w:rsidRPr="00F264F0">
        <w:t>).</w:t>
      </w:r>
    </w:p>
    <w:p w14:paraId="52051A7F" w14:textId="3E8EDA31" w:rsidR="00677DCE" w:rsidRPr="00F264F0" w:rsidRDefault="007D617C" w:rsidP="00333C2C">
      <w:pPr>
        <w:pStyle w:val="ECCParagraph"/>
        <w:rPr>
          <w:bCs/>
        </w:rPr>
      </w:pPr>
      <w:r w:rsidRPr="00F264F0">
        <w:t xml:space="preserve">A BEM is an emission mask that is defined, as a function of frequency, relative to the edge of a block of spectrum that is licensed to an operator. </w:t>
      </w:r>
      <w:r w:rsidRPr="00F264F0">
        <w:rPr>
          <w:bCs/>
        </w:rPr>
        <w:t xml:space="preserve">It consists of components which specify the permitted emission levels in adjacent blocks (transitional region </w:t>
      </w:r>
      <w:r w:rsidRPr="00F264F0">
        <w:t>0-50 MHz below or above operator block</w:t>
      </w:r>
      <w:r w:rsidRPr="00F264F0">
        <w:rPr>
          <w:bCs/>
        </w:rPr>
        <w:t>) and non-adjacent blocks in the band.</w:t>
      </w:r>
    </w:p>
    <w:p w14:paraId="28D657CC" w14:textId="4CC73AE9" w:rsidR="00677DCE" w:rsidRPr="00F264F0" w:rsidRDefault="007D617C" w:rsidP="00333C2C">
      <w:pPr>
        <w:spacing w:before="240" w:after="60"/>
        <w:jc w:val="both"/>
        <w:rPr>
          <w:lang w:val="en-GB"/>
        </w:rPr>
      </w:pPr>
      <w:r w:rsidRPr="00F264F0">
        <w:rPr>
          <w:lang w:val="en-GB"/>
        </w:rPr>
        <w:t xml:space="preserve">The technical conditions derived below for the frequency range </w:t>
      </w:r>
      <w:r w:rsidRPr="00F264F0">
        <w:rPr>
          <w:bCs/>
          <w:lang w:val="en-GB"/>
        </w:rPr>
        <w:t>40.5</w:t>
      </w:r>
      <w:r w:rsidR="00C92624" w:rsidRPr="00F264F0">
        <w:rPr>
          <w:bCs/>
          <w:lang w:val="en-GB"/>
        </w:rPr>
        <w:t>-</w:t>
      </w:r>
      <w:r w:rsidRPr="00F264F0">
        <w:rPr>
          <w:bCs/>
          <w:lang w:val="en-GB"/>
        </w:rPr>
        <w:t>43.5 GHz</w:t>
      </w:r>
      <w:r w:rsidRPr="00F264F0">
        <w:rPr>
          <w:lang w:val="en-GB"/>
        </w:rPr>
        <w:t xml:space="preserve"> are optimised for, but not limited to, fixed/mobile communications networks (two-way). The BEM </w:t>
      </w:r>
      <w:r w:rsidR="00406BDB" w:rsidRPr="00F264F0">
        <w:rPr>
          <w:lang w:val="en-GB"/>
        </w:rPr>
        <w:t xml:space="preserve">for BSs </w:t>
      </w:r>
      <w:r w:rsidRPr="00F264F0">
        <w:rPr>
          <w:lang w:val="en-GB"/>
        </w:rPr>
        <w:t>ha</w:t>
      </w:r>
      <w:r w:rsidR="00406BDB" w:rsidRPr="00F264F0">
        <w:rPr>
          <w:lang w:val="en-GB"/>
        </w:rPr>
        <w:t>ve</w:t>
      </w:r>
      <w:r w:rsidRPr="00F264F0">
        <w:rPr>
          <w:lang w:val="en-GB"/>
        </w:rPr>
        <w:t xml:space="preserve"> been developed to ensure coexistence with other WBB ECS</w:t>
      </w:r>
      <w:r w:rsidR="006412A4" w:rsidRPr="00F264F0">
        <w:rPr>
          <w:lang w:val="en-GB"/>
        </w:rPr>
        <w:t xml:space="preserve"> </w:t>
      </w:r>
      <w:r w:rsidRPr="00F264F0">
        <w:rPr>
          <w:lang w:val="en-GB"/>
        </w:rPr>
        <w:t>blocks, as well as other services and applications in</w:t>
      </w:r>
      <w:r w:rsidRPr="00F264F0">
        <w:rPr>
          <w:sz w:val="16"/>
          <w:lang w:val="en-GB"/>
        </w:rPr>
        <w:t xml:space="preserve"> </w:t>
      </w:r>
      <w:r w:rsidRPr="00F264F0">
        <w:rPr>
          <w:lang w:val="en-GB"/>
        </w:rPr>
        <w:t>adjacent bands. Additional measures may be required at national level to achieve coexistence with other services and applications.</w:t>
      </w:r>
    </w:p>
    <w:p w14:paraId="41F308E6" w14:textId="3DA745C9" w:rsidR="00677DCE" w:rsidRPr="00F264F0" w:rsidRDefault="00A93BD1" w:rsidP="00351874">
      <w:pPr>
        <w:pStyle w:val="ECCAnnexheading3"/>
        <w:rPr>
          <w:lang w:val="en-GB"/>
        </w:rPr>
      </w:pPr>
      <w:r w:rsidRPr="00F264F0">
        <w:rPr>
          <w:lang w:val="en-GB"/>
        </w:rPr>
        <w:t>A2.2.1</w:t>
      </w:r>
      <w:r w:rsidRPr="00F264F0">
        <w:rPr>
          <w:lang w:val="en-GB"/>
        </w:rPr>
        <w:tab/>
      </w:r>
      <w:r w:rsidR="007D617C" w:rsidRPr="00F264F0">
        <w:rPr>
          <w:lang w:val="en-GB"/>
        </w:rPr>
        <w:t>Base station</w:t>
      </w:r>
      <w:r w:rsidR="008A733E" w:rsidRPr="00F264F0">
        <w:rPr>
          <w:lang w:val="en-GB"/>
        </w:rPr>
        <w:t xml:space="preserve"> technical conditions</w:t>
      </w:r>
    </w:p>
    <w:p w14:paraId="36843681" w14:textId="12871445" w:rsidR="006B156B" w:rsidRPr="00F264F0" w:rsidRDefault="007D617C" w:rsidP="00351874">
      <w:pPr>
        <w:pStyle w:val="ECCParagraph"/>
      </w:pPr>
      <w:r w:rsidRPr="00F264F0">
        <w:t xml:space="preserve">The WBB ECS Base Station (BS) BEM consists of a baseline level, designed to protect the spectrum of other WBB ECS operators using the band 40.5-43.5 GHz and transitional levels for coexistence between WBB ECS networks in adjacent blocks. Adjacent services are expected to be protected by requirements of the </w:t>
      </w:r>
      <w:r w:rsidRPr="00F264F0">
        <w:rPr>
          <w:color w:val="000000" w:themeColor="text1"/>
        </w:rPr>
        <w:t>ETSI TS 138 104 V1</w:t>
      </w:r>
      <w:r w:rsidR="00144512" w:rsidRPr="00F264F0">
        <w:rPr>
          <w:color w:val="000000" w:themeColor="text1"/>
        </w:rPr>
        <w:t>7</w:t>
      </w:r>
      <w:r w:rsidRPr="00F264F0">
        <w:rPr>
          <w:color w:val="000000" w:themeColor="text1"/>
        </w:rPr>
        <w:t>.</w:t>
      </w:r>
      <w:r w:rsidR="00144512" w:rsidRPr="00F264F0">
        <w:rPr>
          <w:color w:val="000000" w:themeColor="text1"/>
        </w:rPr>
        <w:t>6</w:t>
      </w:r>
      <w:r w:rsidRPr="00F264F0">
        <w:rPr>
          <w:color w:val="000000" w:themeColor="text1"/>
        </w:rPr>
        <w:t>.0 (Table 9.7.4.3.3-2)</w:t>
      </w:r>
      <w:r w:rsidR="00C92624" w:rsidRPr="00F264F0">
        <w:rPr>
          <w:color w:val="000000" w:themeColor="text1"/>
        </w:rPr>
        <w:t xml:space="preserve"> </w:t>
      </w:r>
      <w:r w:rsidR="00C92624" w:rsidRPr="00F264F0">
        <w:rPr>
          <w:color w:val="000000" w:themeColor="text1"/>
        </w:rPr>
        <w:fldChar w:fldCharType="begin"/>
      </w:r>
      <w:r w:rsidR="00C92624" w:rsidRPr="00F264F0">
        <w:rPr>
          <w:color w:val="000000" w:themeColor="text1"/>
        </w:rPr>
        <w:instrText xml:space="preserve"> REF _Ref103958983 \r \h </w:instrText>
      </w:r>
      <w:r w:rsidR="00406BDB" w:rsidRPr="00F264F0">
        <w:rPr>
          <w:color w:val="000000" w:themeColor="text1"/>
        </w:rPr>
        <w:instrText xml:space="preserve"> \* MERGEFORMAT </w:instrText>
      </w:r>
      <w:r w:rsidR="00C92624" w:rsidRPr="00F264F0">
        <w:rPr>
          <w:color w:val="000000" w:themeColor="text1"/>
        </w:rPr>
      </w:r>
      <w:r w:rsidR="00000000">
        <w:rPr>
          <w:color w:val="000000" w:themeColor="text1"/>
        </w:rPr>
        <w:fldChar w:fldCharType="separate"/>
      </w:r>
      <w:r w:rsidR="00C92624" w:rsidRPr="00F264F0">
        <w:rPr>
          <w:color w:val="000000" w:themeColor="text1"/>
        </w:rPr>
        <w:fldChar w:fldCharType="end"/>
      </w:r>
      <w:r w:rsidR="00F264F0" w:rsidRPr="00F264F0">
        <w:rPr>
          <w:color w:val="000000" w:themeColor="text1"/>
        </w:rPr>
        <w:t xml:space="preserve"> </w:t>
      </w:r>
      <w:r w:rsidR="00F264F0" w:rsidRPr="00F264F0">
        <w:rPr>
          <w:color w:val="000000" w:themeColor="text1"/>
        </w:rPr>
        <w:fldChar w:fldCharType="begin"/>
      </w:r>
      <w:r w:rsidR="00F264F0" w:rsidRPr="00F264F0">
        <w:rPr>
          <w:color w:val="000000" w:themeColor="text1"/>
        </w:rPr>
        <w:instrText xml:space="preserve"> REF _Ref116551982 \r \h </w:instrText>
      </w:r>
      <w:r w:rsidR="00F264F0" w:rsidRPr="00F264F0">
        <w:rPr>
          <w:color w:val="000000" w:themeColor="text1"/>
        </w:rPr>
      </w:r>
      <w:r w:rsidR="00F264F0" w:rsidRPr="00F264F0">
        <w:rPr>
          <w:color w:val="000000" w:themeColor="text1"/>
        </w:rPr>
        <w:fldChar w:fldCharType="separate"/>
      </w:r>
      <w:r w:rsidR="00F264F0" w:rsidRPr="00F264F0">
        <w:rPr>
          <w:color w:val="000000" w:themeColor="text1"/>
        </w:rPr>
        <w:t>[18]</w:t>
      </w:r>
      <w:r w:rsidR="00F264F0" w:rsidRPr="00F264F0">
        <w:rPr>
          <w:color w:val="000000" w:themeColor="text1"/>
        </w:rPr>
        <w:fldChar w:fldCharType="end"/>
      </w:r>
      <w:r w:rsidRPr="00F264F0">
        <w:rPr>
          <w:color w:val="000000" w:themeColor="text1"/>
        </w:rPr>
        <w:t>.</w:t>
      </w:r>
      <w:r w:rsidR="00F65F57" w:rsidRPr="00F264F0">
        <w:rPr>
          <w:color w:val="000000" w:themeColor="text1"/>
        </w:rPr>
        <w:t xml:space="preserve"> </w:t>
      </w:r>
      <w:r w:rsidR="007E4B3D" w:rsidRPr="00F264F0">
        <w:fldChar w:fldCharType="begin"/>
      </w:r>
      <w:r w:rsidR="007E4B3D" w:rsidRPr="00F264F0">
        <w:instrText xml:space="preserve"> REF _Ref103332057 \h </w:instrText>
      </w:r>
      <w:r w:rsidR="00406BDB" w:rsidRPr="00F264F0">
        <w:instrText xml:space="preserve"> \* MERGEFORMAT </w:instrText>
      </w:r>
      <w:r w:rsidR="007E4B3D" w:rsidRPr="00F264F0">
        <w:fldChar w:fldCharType="separate"/>
      </w:r>
    </w:p>
    <w:p w14:paraId="71635B9E" w14:textId="7EBEA60A" w:rsidR="00677DCE" w:rsidRPr="00F264F0" w:rsidRDefault="006B156B" w:rsidP="00F014A9">
      <w:pPr>
        <w:pStyle w:val="ECCParagraph"/>
      </w:pPr>
      <w:r w:rsidRPr="00F264F0">
        <w:rPr>
          <w:noProof/>
        </w:rPr>
        <w:t>Table</w:t>
      </w:r>
      <w:r w:rsidRPr="00F264F0">
        <w:t xml:space="preserve"> </w:t>
      </w:r>
      <w:r w:rsidRPr="00F264F0">
        <w:rPr>
          <w:noProof/>
        </w:rPr>
        <w:t>2</w:t>
      </w:r>
      <w:r w:rsidR="007E4B3D" w:rsidRPr="00F264F0">
        <w:fldChar w:fldCharType="end"/>
      </w:r>
      <w:r w:rsidR="007E4B3D" w:rsidRPr="00F264F0">
        <w:t xml:space="preserve"> </w:t>
      </w:r>
      <w:r w:rsidR="007D617C" w:rsidRPr="00F264F0">
        <w:t xml:space="preserve">contains the different elements of the BS BEM and </w:t>
      </w:r>
      <w:r w:rsidR="007E4B3D" w:rsidRPr="00F264F0">
        <w:fldChar w:fldCharType="begin"/>
      </w:r>
      <w:r w:rsidR="007E4B3D" w:rsidRPr="00F264F0">
        <w:instrText xml:space="preserve"> REF _Ref103332093 \h </w:instrText>
      </w:r>
      <w:r w:rsidR="00406BDB" w:rsidRPr="00F264F0">
        <w:instrText xml:space="preserve"> \* MERGEFORMAT </w:instrText>
      </w:r>
      <w:r w:rsidR="007E4B3D" w:rsidRPr="00F264F0">
        <w:fldChar w:fldCharType="separate"/>
      </w:r>
      <w:r w:rsidRPr="00F264F0">
        <w:t xml:space="preserve">Table </w:t>
      </w:r>
      <w:r w:rsidRPr="00F264F0">
        <w:rPr>
          <w:noProof/>
        </w:rPr>
        <w:t>3</w:t>
      </w:r>
      <w:r w:rsidR="007E4B3D" w:rsidRPr="00F264F0">
        <w:fldChar w:fldCharType="end"/>
      </w:r>
      <w:r w:rsidR="007E4B3D" w:rsidRPr="00F264F0">
        <w:t xml:space="preserve"> </w:t>
      </w:r>
      <w:r w:rsidR="007D617C" w:rsidRPr="00F264F0">
        <w:t xml:space="preserve">and </w:t>
      </w:r>
      <w:r w:rsidR="007E4B3D" w:rsidRPr="00F264F0">
        <w:fldChar w:fldCharType="begin"/>
      </w:r>
      <w:r w:rsidR="007E4B3D" w:rsidRPr="00F264F0">
        <w:instrText xml:space="preserve"> REF _Ref103332111 \h </w:instrText>
      </w:r>
      <w:r w:rsidR="00406BDB" w:rsidRPr="00F264F0">
        <w:instrText xml:space="preserve"> \* MERGEFORMAT </w:instrText>
      </w:r>
      <w:r w:rsidR="007E4B3D" w:rsidRPr="00F264F0">
        <w:fldChar w:fldCharType="separate"/>
      </w:r>
      <w:r w:rsidRPr="00F264F0">
        <w:t xml:space="preserve">Table </w:t>
      </w:r>
      <w:r w:rsidRPr="00F264F0">
        <w:rPr>
          <w:noProof/>
        </w:rPr>
        <w:t>4</w:t>
      </w:r>
      <w:r w:rsidR="007E4B3D" w:rsidRPr="00F264F0">
        <w:fldChar w:fldCharType="end"/>
      </w:r>
      <w:r w:rsidR="007E4B3D" w:rsidRPr="00F264F0">
        <w:t xml:space="preserve"> </w:t>
      </w:r>
      <w:r w:rsidR="007D617C" w:rsidRPr="00F264F0">
        <w:t>contain the power limits for the different BEM elements.</w:t>
      </w:r>
    </w:p>
    <w:p w14:paraId="0BBE9FAF" w14:textId="72F4D1E1" w:rsidR="00677DCE" w:rsidRPr="00F264F0" w:rsidRDefault="007D617C" w:rsidP="007B1CBF">
      <w:pPr>
        <w:rPr>
          <w:lang w:val="en-GB"/>
        </w:rPr>
      </w:pPr>
      <w:r w:rsidRPr="00F264F0">
        <w:rPr>
          <w:lang w:val="en-GB"/>
        </w:rPr>
        <w:t>To obtain a BS BEM for a specific block</w:t>
      </w:r>
      <w:r w:rsidR="006412A4" w:rsidRPr="00F264F0">
        <w:rPr>
          <w:lang w:val="en-GB"/>
        </w:rPr>
        <w:t>,</w:t>
      </w:r>
      <w:r w:rsidRPr="00F264F0">
        <w:rPr>
          <w:lang w:val="en-GB"/>
        </w:rPr>
        <w:t xml:space="preserve"> the BEM elements that are defined in</w:t>
      </w:r>
      <w:r w:rsidR="00F014A9" w:rsidRPr="00F264F0">
        <w:rPr>
          <w:lang w:val="en-GB"/>
        </w:rPr>
        <w:t xml:space="preserve"> </w:t>
      </w:r>
      <w:r w:rsidR="00F014A9" w:rsidRPr="00F264F0">
        <w:rPr>
          <w:lang w:val="en-GB"/>
        </w:rPr>
        <w:fldChar w:fldCharType="begin"/>
      </w:r>
      <w:r w:rsidR="00F014A9" w:rsidRPr="00F264F0">
        <w:rPr>
          <w:lang w:val="en-GB"/>
        </w:rPr>
        <w:instrText xml:space="preserve"> REF _Ref104897788 \h </w:instrText>
      </w:r>
      <w:r w:rsidR="00406BDB" w:rsidRPr="00F264F0">
        <w:rPr>
          <w:lang w:val="en-GB"/>
        </w:rPr>
        <w:instrText xml:space="preserve"> \* MERGEFORMAT </w:instrText>
      </w:r>
      <w:r w:rsidR="00F014A9" w:rsidRPr="00F264F0">
        <w:rPr>
          <w:lang w:val="en-GB"/>
        </w:rPr>
      </w:r>
      <w:r w:rsidR="00F014A9" w:rsidRPr="00F264F0">
        <w:rPr>
          <w:lang w:val="en-GB"/>
        </w:rPr>
        <w:fldChar w:fldCharType="separate"/>
      </w:r>
      <w:r w:rsidR="006B156B" w:rsidRPr="00F264F0">
        <w:rPr>
          <w:lang w:val="en-GB"/>
        </w:rPr>
        <w:t xml:space="preserve">Table </w:t>
      </w:r>
      <w:r w:rsidR="006B156B" w:rsidRPr="00F264F0">
        <w:rPr>
          <w:noProof/>
          <w:lang w:val="en-GB"/>
        </w:rPr>
        <w:t>2</w:t>
      </w:r>
      <w:r w:rsidR="00F014A9" w:rsidRPr="00F264F0">
        <w:rPr>
          <w:lang w:val="en-GB"/>
        </w:rPr>
        <w:fldChar w:fldCharType="end"/>
      </w:r>
      <w:r w:rsidRPr="00F264F0">
        <w:rPr>
          <w:lang w:val="en-GB"/>
        </w:rPr>
        <w:t>, are used as follows:</w:t>
      </w:r>
    </w:p>
    <w:p w14:paraId="2B00A39D" w14:textId="2E196BD1" w:rsidR="00677DCE" w:rsidRPr="00F264F0" w:rsidRDefault="007D617C" w:rsidP="00515890">
      <w:pPr>
        <w:pStyle w:val="ECCBulletsLv1"/>
        <w:numPr>
          <w:ilvl w:val="0"/>
          <w:numId w:val="49"/>
        </w:numPr>
        <w:ind w:left="357" w:hanging="357"/>
      </w:pPr>
      <w:r w:rsidRPr="00F264F0">
        <w:t>Transitional regions are determined, and corresponding power limits are used</w:t>
      </w:r>
      <w:r w:rsidR="006412A4" w:rsidRPr="00F264F0">
        <w:t>;</w:t>
      </w:r>
    </w:p>
    <w:p w14:paraId="529189DD" w14:textId="204A04B3" w:rsidR="00677DCE" w:rsidRPr="00F264F0" w:rsidRDefault="007D617C" w:rsidP="00515890">
      <w:pPr>
        <w:pStyle w:val="ECCBulletsLv1"/>
        <w:numPr>
          <w:ilvl w:val="0"/>
          <w:numId w:val="49"/>
        </w:numPr>
        <w:ind w:left="357" w:hanging="357"/>
      </w:pPr>
      <w:r w:rsidRPr="00F264F0">
        <w:t>For remaining spectrum assigned to WBB ECS, baseline power limits are used.</w:t>
      </w:r>
    </w:p>
    <w:p w14:paraId="07A7E188" w14:textId="27AEDD04" w:rsidR="004013B7" w:rsidRPr="00F264F0" w:rsidRDefault="007D617C" w:rsidP="00351874">
      <w:pPr>
        <w:pStyle w:val="ECCParagraph"/>
        <w:rPr>
          <w:b/>
          <w:color w:val="D2232A"/>
        </w:rPr>
      </w:pPr>
      <w:r w:rsidRPr="00F264F0">
        <w:t>Operators of mobile/fixed communications networks (WBB ECS) in the 40.5 -43.5 GHz band may agree, on a bilateral or multilateral basis, less stringent technical parameters provided that they continue to comply with the technical and regulatory conditions applicable for the protection of other services, applications or networks and with their cross-border obligations. Administrations should ensure that these less stringent technical parameters can be used, if agreed among all concerned parties.</w:t>
      </w:r>
      <w:bookmarkStart w:id="137" w:name="_Ref103332057"/>
      <w:r w:rsidR="004013B7" w:rsidRPr="00F264F0">
        <w:br w:type="page"/>
      </w:r>
    </w:p>
    <w:p w14:paraId="768D9D0E" w14:textId="311467FF" w:rsidR="00677DCE" w:rsidRPr="00F264F0" w:rsidRDefault="007D617C" w:rsidP="002649EA">
      <w:pPr>
        <w:pStyle w:val="ECCTabletitle"/>
      </w:pPr>
      <w:bookmarkStart w:id="138" w:name="_Ref104897788"/>
      <w:r w:rsidRPr="00F264F0">
        <w:lastRenderedPageBreak/>
        <w:t xml:space="preserve">Table </w:t>
      </w:r>
      <w:r w:rsidRPr="00F264F0">
        <w:fldChar w:fldCharType="begin"/>
      </w:r>
      <w:r w:rsidRPr="00F264F0">
        <w:instrText>SEQ Table \* ARABIC</w:instrText>
      </w:r>
      <w:r w:rsidRPr="00F264F0">
        <w:fldChar w:fldCharType="separate"/>
      </w:r>
      <w:r w:rsidR="006B156B" w:rsidRPr="00F264F0">
        <w:rPr>
          <w:noProof/>
        </w:rPr>
        <w:t>2</w:t>
      </w:r>
      <w:r w:rsidRPr="00F264F0">
        <w:fldChar w:fldCharType="end"/>
      </w:r>
      <w:bookmarkEnd w:id="137"/>
      <w:bookmarkEnd w:id="138"/>
      <w:r w:rsidRPr="00F264F0">
        <w:t>: WBB ECS BS BEM elements</w:t>
      </w:r>
    </w:p>
    <w:tbl>
      <w:tblPr>
        <w:tblW w:w="8075" w:type="dxa"/>
        <w:jc w:val="center"/>
        <w:tblCellMar>
          <w:top w:w="11" w:type="dxa"/>
          <w:bottom w:w="11" w:type="dxa"/>
        </w:tblCellMar>
        <w:tblLook w:val="01E0" w:firstRow="1" w:lastRow="1" w:firstColumn="1" w:lastColumn="1" w:noHBand="0" w:noVBand="0"/>
      </w:tblPr>
      <w:tblGrid>
        <w:gridCol w:w="2013"/>
        <w:gridCol w:w="6062"/>
      </w:tblGrid>
      <w:tr w:rsidR="00351874" w:rsidRPr="00F264F0" w14:paraId="06A8803E" w14:textId="77777777" w:rsidTr="00351874">
        <w:trPr>
          <w:tblHeader/>
          <w:jc w:val="center"/>
        </w:trPr>
        <w:tc>
          <w:tcPr>
            <w:tcW w:w="2013"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31CF1A92" w14:textId="77777777" w:rsidR="00677DCE" w:rsidRPr="00F264F0" w:rsidRDefault="007D617C" w:rsidP="00351874">
            <w:pPr>
              <w:keepNext/>
              <w:keepLines/>
              <w:spacing w:before="120" w:after="120" w:line="288" w:lineRule="auto"/>
              <w:jc w:val="center"/>
              <w:rPr>
                <w:b/>
                <w:color w:val="FFFFFF"/>
                <w:lang w:val="en-GB"/>
              </w:rPr>
            </w:pPr>
            <w:r w:rsidRPr="00F264F0">
              <w:rPr>
                <w:b/>
                <w:color w:val="FFFFFF"/>
                <w:lang w:val="en-GB"/>
              </w:rPr>
              <w:t>BEM element</w:t>
            </w:r>
          </w:p>
        </w:tc>
        <w:tc>
          <w:tcPr>
            <w:tcW w:w="6062"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713B2FDF" w14:textId="77777777" w:rsidR="00677DCE" w:rsidRPr="00F264F0" w:rsidRDefault="007D617C" w:rsidP="00351874">
            <w:pPr>
              <w:keepNext/>
              <w:keepLines/>
              <w:spacing w:before="120" w:after="120" w:line="288" w:lineRule="auto"/>
              <w:jc w:val="center"/>
              <w:rPr>
                <w:b/>
                <w:color w:val="FFFFFF"/>
                <w:lang w:val="en-GB"/>
              </w:rPr>
            </w:pPr>
            <w:r w:rsidRPr="00F264F0">
              <w:rPr>
                <w:b/>
                <w:color w:val="FFFFFF"/>
                <w:lang w:val="en-GB"/>
              </w:rPr>
              <w:t>Definition</w:t>
            </w:r>
          </w:p>
        </w:tc>
      </w:tr>
      <w:tr w:rsidR="00B17393" w:rsidRPr="00F264F0" w14:paraId="2B63D59A" w14:textId="77777777" w:rsidTr="00351874">
        <w:trPr>
          <w:jc w:val="center"/>
        </w:trPr>
        <w:tc>
          <w:tcPr>
            <w:tcW w:w="2013" w:type="dxa"/>
            <w:tcBorders>
              <w:top w:val="single" w:sz="4" w:space="0" w:color="D2232A"/>
              <w:left w:val="single" w:sz="4" w:space="0" w:color="D2232A"/>
              <w:bottom w:val="single" w:sz="4" w:space="0" w:color="D2232A"/>
              <w:right w:val="single" w:sz="4" w:space="0" w:color="D2232A"/>
            </w:tcBorders>
            <w:vAlign w:val="center"/>
          </w:tcPr>
          <w:p w14:paraId="1E9AD1F9" w14:textId="77777777" w:rsidR="00677DCE" w:rsidRPr="00F264F0" w:rsidRDefault="007D617C">
            <w:pPr>
              <w:keepNext/>
              <w:keepLines/>
              <w:spacing w:before="60" w:after="60" w:line="288" w:lineRule="auto"/>
              <w:rPr>
                <w:lang w:val="en-GB"/>
              </w:rPr>
            </w:pPr>
            <w:r w:rsidRPr="00F264F0">
              <w:rPr>
                <w:rFonts w:eastAsia="MS Mincho" w:cs="Arial"/>
                <w:lang w:val="en-GB" w:eastAsia="ja-JP"/>
              </w:rPr>
              <w:t>Baseline</w:t>
            </w:r>
          </w:p>
        </w:tc>
        <w:tc>
          <w:tcPr>
            <w:tcW w:w="6062" w:type="dxa"/>
            <w:tcBorders>
              <w:top w:val="single" w:sz="4" w:space="0" w:color="D2232A"/>
              <w:left w:val="single" w:sz="4" w:space="0" w:color="D2232A"/>
              <w:bottom w:val="single" w:sz="4" w:space="0" w:color="D2232A"/>
              <w:right w:val="single" w:sz="4" w:space="0" w:color="D2232A"/>
            </w:tcBorders>
            <w:vAlign w:val="center"/>
          </w:tcPr>
          <w:p w14:paraId="3475EF23" w14:textId="7C5A97CD" w:rsidR="00677DCE" w:rsidRPr="00F264F0" w:rsidRDefault="007D617C">
            <w:pPr>
              <w:keepNext/>
              <w:keepLines/>
              <w:spacing w:before="60" w:after="60"/>
              <w:rPr>
                <w:lang w:val="en-GB"/>
              </w:rPr>
            </w:pPr>
            <w:r w:rsidRPr="00F264F0">
              <w:rPr>
                <w:rFonts w:eastAsia="MS Mincho" w:cs="Arial"/>
                <w:lang w:val="en-GB" w:eastAsia="ja-JP"/>
              </w:rPr>
              <w:t>Applies in spectrum used for WBB ECS, except from the operator block in question and corresponding transitional regions.</w:t>
            </w:r>
          </w:p>
        </w:tc>
      </w:tr>
      <w:tr w:rsidR="00B17393" w:rsidRPr="00F264F0" w14:paraId="46D9F9F7" w14:textId="77777777" w:rsidTr="00351874">
        <w:trPr>
          <w:jc w:val="center"/>
        </w:trPr>
        <w:tc>
          <w:tcPr>
            <w:tcW w:w="2013" w:type="dxa"/>
            <w:tcBorders>
              <w:top w:val="single" w:sz="4" w:space="0" w:color="D2232A"/>
              <w:left w:val="single" w:sz="4" w:space="0" w:color="D2232A"/>
              <w:bottom w:val="single" w:sz="4" w:space="0" w:color="D2232A"/>
              <w:right w:val="single" w:sz="4" w:space="0" w:color="D2232A"/>
            </w:tcBorders>
            <w:vAlign w:val="center"/>
          </w:tcPr>
          <w:p w14:paraId="30063E27" w14:textId="77777777" w:rsidR="00677DCE" w:rsidRPr="00F264F0" w:rsidRDefault="007D617C">
            <w:pPr>
              <w:keepNext/>
              <w:keepLines/>
              <w:spacing w:before="60" w:after="60" w:line="288" w:lineRule="auto"/>
              <w:rPr>
                <w:rFonts w:eastAsia="MS Mincho" w:cs="Arial"/>
                <w:lang w:val="en-GB" w:eastAsia="ja-JP"/>
              </w:rPr>
            </w:pPr>
            <w:r w:rsidRPr="00F264F0">
              <w:rPr>
                <w:rFonts w:eastAsia="MS Mincho" w:cs="Arial"/>
                <w:lang w:val="en-GB" w:eastAsia="ja-JP"/>
              </w:rPr>
              <w:t>Transitional region</w:t>
            </w:r>
          </w:p>
        </w:tc>
        <w:tc>
          <w:tcPr>
            <w:tcW w:w="6062" w:type="dxa"/>
            <w:tcBorders>
              <w:top w:val="single" w:sz="4" w:space="0" w:color="D2232A"/>
              <w:left w:val="single" w:sz="4" w:space="0" w:color="D2232A"/>
              <w:bottom w:val="single" w:sz="4" w:space="0" w:color="D2232A"/>
              <w:right w:val="single" w:sz="4" w:space="0" w:color="D2232A"/>
            </w:tcBorders>
            <w:vAlign w:val="center"/>
          </w:tcPr>
          <w:p w14:paraId="7A8B2366" w14:textId="77777777" w:rsidR="00677DCE" w:rsidRPr="00F264F0" w:rsidRDefault="007D617C">
            <w:pPr>
              <w:keepNext/>
              <w:keepLines/>
              <w:spacing w:before="60" w:after="60"/>
              <w:rPr>
                <w:rFonts w:eastAsia="MS Mincho" w:cs="Arial"/>
                <w:lang w:val="en-GB" w:eastAsia="ja-JP"/>
              </w:rPr>
            </w:pPr>
            <w:r w:rsidRPr="00F264F0">
              <w:rPr>
                <w:rFonts w:eastAsia="MS Mincho" w:cs="Arial"/>
                <w:lang w:val="en-GB" w:eastAsia="ja-JP"/>
              </w:rPr>
              <w:t>These are the regions adjacent to an operator block.</w:t>
            </w:r>
          </w:p>
        </w:tc>
      </w:tr>
    </w:tbl>
    <w:p w14:paraId="35559BC0" w14:textId="77777777" w:rsidR="00677DCE" w:rsidRPr="00F264F0" w:rsidRDefault="00677DCE">
      <w:pPr>
        <w:jc w:val="both"/>
        <w:rPr>
          <w:lang w:val="en-GB"/>
        </w:rPr>
      </w:pPr>
    </w:p>
    <w:p w14:paraId="3044E5C0" w14:textId="517E296B" w:rsidR="00677DCE" w:rsidRPr="00F264F0" w:rsidRDefault="009A23A8">
      <w:pPr>
        <w:jc w:val="both"/>
        <w:rPr>
          <w:lang w:val="en-GB"/>
        </w:rPr>
      </w:pPr>
      <w:r w:rsidRPr="00F264F0">
        <w:rPr>
          <w:lang w:val="en-GB"/>
        </w:rPr>
        <w:t xml:space="preserve">For </w:t>
      </w:r>
      <w:r w:rsidR="007E4B3D" w:rsidRPr="00F264F0">
        <w:rPr>
          <w:lang w:val="en-GB"/>
        </w:rPr>
        <w:fldChar w:fldCharType="begin"/>
      </w:r>
      <w:r w:rsidR="007E4B3D" w:rsidRPr="00F264F0">
        <w:rPr>
          <w:lang w:val="en-GB"/>
        </w:rPr>
        <w:instrText xml:space="preserve"> REF _Ref103332093 \h </w:instrText>
      </w:r>
      <w:r w:rsidR="00406BDB" w:rsidRPr="00F264F0">
        <w:rPr>
          <w:lang w:val="en-GB"/>
        </w:rPr>
        <w:instrText xml:space="preserve"> \* MERGEFORMAT </w:instrText>
      </w:r>
      <w:r w:rsidR="007E4B3D" w:rsidRPr="00F264F0">
        <w:rPr>
          <w:lang w:val="en-GB"/>
        </w:rPr>
      </w:r>
      <w:r w:rsidR="007E4B3D" w:rsidRPr="00F264F0">
        <w:rPr>
          <w:lang w:val="en-GB"/>
        </w:rPr>
        <w:fldChar w:fldCharType="separate"/>
      </w:r>
      <w:r w:rsidR="006B156B" w:rsidRPr="00F264F0">
        <w:rPr>
          <w:lang w:val="en-GB"/>
        </w:rPr>
        <w:t xml:space="preserve">Table </w:t>
      </w:r>
      <w:r w:rsidR="006B156B" w:rsidRPr="00F264F0">
        <w:rPr>
          <w:noProof/>
          <w:lang w:val="en-GB"/>
        </w:rPr>
        <w:t>3</w:t>
      </w:r>
      <w:r w:rsidR="007E4B3D" w:rsidRPr="00F264F0">
        <w:rPr>
          <w:lang w:val="en-GB"/>
        </w:rPr>
        <w:fldChar w:fldCharType="end"/>
      </w:r>
      <w:r w:rsidR="007E4B3D" w:rsidRPr="00F264F0">
        <w:rPr>
          <w:lang w:val="en-GB"/>
        </w:rPr>
        <w:t xml:space="preserve"> </w:t>
      </w:r>
      <w:r w:rsidR="007D617C" w:rsidRPr="00F264F0">
        <w:rPr>
          <w:lang w:val="en-GB"/>
        </w:rPr>
        <w:t>and</w:t>
      </w:r>
      <w:r w:rsidR="007E4B3D" w:rsidRPr="00F264F0">
        <w:rPr>
          <w:lang w:val="en-GB"/>
        </w:rPr>
        <w:t xml:space="preserve"> </w:t>
      </w:r>
      <w:r w:rsidRPr="00F264F0">
        <w:rPr>
          <w:lang w:val="en-GB"/>
        </w:rPr>
        <w:fldChar w:fldCharType="begin"/>
      </w:r>
      <w:r w:rsidRPr="00F264F0">
        <w:rPr>
          <w:lang w:val="en-GB"/>
        </w:rPr>
        <w:instrText xml:space="preserve"> REF _Ref103332111 \h  \* MERGEFORMAT </w:instrText>
      </w:r>
      <w:r w:rsidRPr="00F264F0">
        <w:rPr>
          <w:lang w:val="en-GB"/>
        </w:rPr>
      </w:r>
      <w:r w:rsidRPr="00F264F0">
        <w:rPr>
          <w:lang w:val="en-GB"/>
        </w:rPr>
        <w:fldChar w:fldCharType="separate"/>
      </w:r>
      <w:r w:rsidRPr="00F264F0">
        <w:rPr>
          <w:lang w:val="en-GB"/>
        </w:rPr>
        <w:t xml:space="preserve">Table </w:t>
      </w:r>
      <w:r w:rsidRPr="00F264F0">
        <w:rPr>
          <w:noProof/>
          <w:lang w:val="en-GB"/>
        </w:rPr>
        <w:t>4</w:t>
      </w:r>
      <w:r w:rsidRPr="00F264F0">
        <w:rPr>
          <w:lang w:val="en-GB"/>
        </w:rPr>
        <w:fldChar w:fldCharType="end"/>
      </w:r>
      <w:r w:rsidR="00794E06" w:rsidRPr="00F264F0">
        <w:rPr>
          <w:lang w:val="en-GB"/>
        </w:rPr>
        <w:t xml:space="preserve"> </w:t>
      </w:r>
      <w:r w:rsidR="007D617C" w:rsidRPr="00F264F0">
        <w:rPr>
          <w:lang w:val="en-GB"/>
        </w:rPr>
        <w:t>synchronised operation</w:t>
      </w:r>
      <w:r w:rsidR="0011103E" w:rsidRPr="00F264F0">
        <w:rPr>
          <w:lang w:val="en-GB"/>
        </w:rPr>
        <w:t xml:space="preserve"> is assumed</w:t>
      </w:r>
      <w:r w:rsidR="007D617C" w:rsidRPr="00F264F0">
        <w:rPr>
          <w:lang w:val="en-GB"/>
        </w:rPr>
        <w:t>.</w:t>
      </w:r>
    </w:p>
    <w:p w14:paraId="414D8D56" w14:textId="4DB4B24F" w:rsidR="00677DCE" w:rsidRPr="00F264F0" w:rsidRDefault="007D617C" w:rsidP="002649EA">
      <w:pPr>
        <w:pStyle w:val="ECCTabletitle"/>
      </w:pPr>
      <w:bookmarkStart w:id="139" w:name="_Ref103332093"/>
      <w:r w:rsidRPr="00F264F0">
        <w:t xml:space="preserve">Table </w:t>
      </w:r>
      <w:r w:rsidRPr="00F264F0">
        <w:fldChar w:fldCharType="begin"/>
      </w:r>
      <w:r w:rsidRPr="00F264F0">
        <w:instrText>SEQ Table \* ARABIC</w:instrText>
      </w:r>
      <w:r w:rsidRPr="00F264F0">
        <w:fldChar w:fldCharType="separate"/>
      </w:r>
      <w:r w:rsidR="006B156B" w:rsidRPr="00F264F0">
        <w:rPr>
          <w:noProof/>
        </w:rPr>
        <w:t>3</w:t>
      </w:r>
      <w:r w:rsidRPr="00F264F0">
        <w:fldChar w:fldCharType="end"/>
      </w:r>
      <w:bookmarkEnd w:id="139"/>
      <w:r w:rsidRPr="00F264F0">
        <w:t xml:space="preserve">: WBB ECS BS transitional region requirements for coexistence </w:t>
      </w:r>
      <w:r w:rsidRPr="00F264F0">
        <w:br/>
        <w:t>between WBB ECS networks operating in adjacent blocks (assuming synchronised operation, see note 1) in the 40.5</w:t>
      </w:r>
      <w:r w:rsidR="003C00DE" w:rsidRPr="00F264F0">
        <w:t>-</w:t>
      </w:r>
      <w:r w:rsidRPr="00F264F0">
        <w:t>43.5 GHz</w:t>
      </w:r>
    </w:p>
    <w:tbl>
      <w:tblPr>
        <w:tblW w:w="6833" w:type="dxa"/>
        <w:jc w:val="center"/>
        <w:tblLayout w:type="fixed"/>
        <w:tblCellMar>
          <w:top w:w="11" w:type="dxa"/>
          <w:bottom w:w="11" w:type="dxa"/>
        </w:tblCellMar>
        <w:tblLook w:val="01E0" w:firstRow="1" w:lastRow="1" w:firstColumn="1" w:lastColumn="1" w:noHBand="0" w:noVBand="0"/>
      </w:tblPr>
      <w:tblGrid>
        <w:gridCol w:w="2580"/>
        <w:gridCol w:w="2268"/>
        <w:gridCol w:w="1985"/>
      </w:tblGrid>
      <w:tr w:rsidR="00956251" w:rsidRPr="00F264F0" w14:paraId="767EA3DD" w14:textId="77777777" w:rsidTr="00BA2329">
        <w:trPr>
          <w:tblHeader/>
          <w:jc w:val="center"/>
        </w:trPr>
        <w:tc>
          <w:tcPr>
            <w:tcW w:w="258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5733E49F" w14:textId="4266BC73" w:rsidR="00956251" w:rsidRPr="00F264F0" w:rsidRDefault="00956251">
            <w:pPr>
              <w:spacing w:before="60" w:after="60" w:line="288" w:lineRule="auto"/>
              <w:jc w:val="center"/>
              <w:rPr>
                <w:b/>
                <w:color w:val="FFFFFF"/>
                <w:lang w:val="en-GB"/>
              </w:rPr>
            </w:pPr>
            <w:r w:rsidRPr="00F264F0">
              <w:rPr>
                <w:b/>
                <w:color w:val="FFFFFF"/>
                <w:lang w:val="en-GB"/>
              </w:rPr>
              <w:t>Frequency range</w:t>
            </w:r>
          </w:p>
        </w:tc>
        <w:tc>
          <w:tcPr>
            <w:tcW w:w="226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7CD6936E" w14:textId="07B83F72" w:rsidR="00956251" w:rsidRPr="00F264F0" w:rsidRDefault="00956251" w:rsidP="00351874">
            <w:pPr>
              <w:spacing w:before="120" w:line="288" w:lineRule="auto"/>
              <w:jc w:val="center"/>
              <w:rPr>
                <w:b/>
                <w:color w:val="FFFFFF"/>
                <w:lang w:val="en-GB"/>
              </w:rPr>
            </w:pPr>
            <w:r w:rsidRPr="00F264F0">
              <w:rPr>
                <w:b/>
                <w:color w:val="FFFFFF"/>
                <w:lang w:val="en-GB"/>
              </w:rPr>
              <w:t>Maximum Total Radiated Power (TRP)</w:t>
            </w:r>
          </w:p>
        </w:tc>
        <w:tc>
          <w:tcPr>
            <w:tcW w:w="1985"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4EE2E3D6" w14:textId="77777777" w:rsidR="00956251" w:rsidRPr="00F264F0" w:rsidRDefault="00956251" w:rsidP="00351874">
            <w:pPr>
              <w:spacing w:line="288" w:lineRule="auto"/>
              <w:jc w:val="center"/>
              <w:rPr>
                <w:b/>
                <w:color w:val="FFFFFF"/>
                <w:lang w:val="en-GB"/>
              </w:rPr>
            </w:pPr>
            <w:r w:rsidRPr="00F264F0">
              <w:rPr>
                <w:b/>
                <w:color w:val="FFFFFF"/>
                <w:lang w:val="en-GB"/>
              </w:rPr>
              <w:t>Measurement Bandwidth</w:t>
            </w:r>
          </w:p>
        </w:tc>
      </w:tr>
      <w:tr w:rsidR="00956251" w:rsidRPr="00F264F0" w14:paraId="480B22F0" w14:textId="77777777" w:rsidTr="00BA2329">
        <w:trPr>
          <w:jc w:val="center"/>
        </w:trPr>
        <w:tc>
          <w:tcPr>
            <w:tcW w:w="2580" w:type="dxa"/>
            <w:tcBorders>
              <w:top w:val="single" w:sz="4" w:space="0" w:color="D2232A"/>
              <w:left w:val="single" w:sz="4" w:space="0" w:color="D2232A"/>
              <w:bottom w:val="single" w:sz="4" w:space="0" w:color="D2232A"/>
              <w:right w:val="single" w:sz="4" w:space="0" w:color="D2232A"/>
            </w:tcBorders>
            <w:vAlign w:val="center"/>
          </w:tcPr>
          <w:p w14:paraId="73614D64" w14:textId="7A585EEA" w:rsidR="00956251" w:rsidRPr="00F264F0" w:rsidRDefault="00956251">
            <w:pPr>
              <w:spacing w:before="60" w:after="60" w:line="288" w:lineRule="auto"/>
              <w:rPr>
                <w:lang w:val="en-GB"/>
              </w:rPr>
            </w:pPr>
            <w:r w:rsidRPr="00F264F0">
              <w:rPr>
                <w:lang w:val="en-GB"/>
              </w:rPr>
              <w:t>0-50 MHz below or above operator block</w:t>
            </w:r>
          </w:p>
        </w:tc>
        <w:tc>
          <w:tcPr>
            <w:tcW w:w="2268" w:type="dxa"/>
            <w:tcBorders>
              <w:top w:val="single" w:sz="4" w:space="0" w:color="D2232A"/>
              <w:left w:val="single" w:sz="4" w:space="0" w:color="D2232A"/>
              <w:bottom w:val="single" w:sz="4" w:space="0" w:color="D2232A"/>
              <w:right w:val="single" w:sz="4" w:space="0" w:color="D2232A"/>
            </w:tcBorders>
            <w:vAlign w:val="center"/>
          </w:tcPr>
          <w:p w14:paraId="76E2FC1F" w14:textId="77777777" w:rsidR="00956251" w:rsidRPr="00F264F0" w:rsidRDefault="00956251" w:rsidP="00BA2329">
            <w:pPr>
              <w:spacing w:before="60" w:after="60"/>
              <w:rPr>
                <w:lang w:val="en-GB"/>
              </w:rPr>
            </w:pPr>
            <w:r w:rsidRPr="00F264F0">
              <w:rPr>
                <w:rFonts w:eastAsia="MS Mincho" w:cs="Arial"/>
                <w:lang w:val="en-GB" w:eastAsia="ja-JP"/>
              </w:rPr>
              <w:t>12 dBm</w:t>
            </w:r>
          </w:p>
        </w:tc>
        <w:tc>
          <w:tcPr>
            <w:tcW w:w="1985" w:type="dxa"/>
            <w:tcBorders>
              <w:top w:val="single" w:sz="4" w:space="0" w:color="D2232A"/>
              <w:left w:val="single" w:sz="4" w:space="0" w:color="D2232A"/>
              <w:bottom w:val="single" w:sz="4" w:space="0" w:color="D2232A"/>
              <w:right w:val="single" w:sz="4" w:space="0" w:color="D2232A"/>
            </w:tcBorders>
            <w:vAlign w:val="center"/>
          </w:tcPr>
          <w:p w14:paraId="7CEF28C5" w14:textId="77777777" w:rsidR="00956251" w:rsidRPr="00F264F0" w:rsidRDefault="00956251">
            <w:pPr>
              <w:spacing w:before="60" w:after="60" w:line="288" w:lineRule="auto"/>
              <w:rPr>
                <w:lang w:val="en-GB"/>
              </w:rPr>
            </w:pPr>
            <w:r w:rsidRPr="00F264F0">
              <w:rPr>
                <w:lang w:val="en-GB"/>
              </w:rPr>
              <w:t>50 MHz</w:t>
            </w:r>
          </w:p>
        </w:tc>
      </w:tr>
      <w:tr w:rsidR="00677DCE" w:rsidRPr="00F264F0" w14:paraId="5F969502" w14:textId="77777777" w:rsidTr="00BA2329">
        <w:trPr>
          <w:jc w:val="center"/>
        </w:trPr>
        <w:tc>
          <w:tcPr>
            <w:tcW w:w="6833" w:type="dxa"/>
            <w:gridSpan w:val="3"/>
            <w:tcBorders>
              <w:top w:val="single" w:sz="4" w:space="0" w:color="D2232A"/>
              <w:left w:val="single" w:sz="4" w:space="0" w:color="D2232A"/>
              <w:bottom w:val="single" w:sz="4" w:space="0" w:color="D2232A"/>
              <w:right w:val="single" w:sz="4" w:space="0" w:color="D2232A"/>
            </w:tcBorders>
            <w:vAlign w:val="center"/>
          </w:tcPr>
          <w:p w14:paraId="6E481D3D" w14:textId="1B065D4F" w:rsidR="00677DCE" w:rsidRPr="00F264F0" w:rsidRDefault="007D617C">
            <w:pPr>
              <w:spacing w:before="60" w:after="60"/>
              <w:rPr>
                <w:lang w:val="en-GB"/>
              </w:rPr>
            </w:pPr>
            <w:r w:rsidRPr="00F264F0">
              <w:rPr>
                <w:sz w:val="16"/>
                <w:szCs w:val="16"/>
                <w:lang w:val="en-GB"/>
              </w:rPr>
              <w:t>Note 1: Administrations may define appropriate mitigation measures to be applied in case of unsynchronised or semi-synchronised operations – see ECC Report 307</w:t>
            </w:r>
            <w:r w:rsidR="001833AB" w:rsidRPr="00F264F0">
              <w:rPr>
                <w:sz w:val="16"/>
                <w:szCs w:val="16"/>
                <w:lang w:val="en-GB"/>
              </w:rPr>
              <w:t xml:space="preserve"> </w:t>
            </w:r>
            <w:r w:rsidR="001833AB" w:rsidRPr="00F264F0">
              <w:rPr>
                <w:sz w:val="16"/>
                <w:szCs w:val="16"/>
                <w:lang w:val="en-GB"/>
              </w:rPr>
              <w:fldChar w:fldCharType="begin"/>
            </w:r>
            <w:r w:rsidR="001833AB" w:rsidRPr="00F264F0">
              <w:rPr>
                <w:sz w:val="16"/>
                <w:szCs w:val="16"/>
                <w:lang w:val="en-GB"/>
              </w:rPr>
              <w:instrText xml:space="preserve"> REF _Ref103958232 \r \h </w:instrText>
            </w:r>
            <w:r w:rsidR="00406BDB" w:rsidRPr="00F264F0">
              <w:rPr>
                <w:sz w:val="16"/>
                <w:szCs w:val="16"/>
                <w:lang w:val="en-GB"/>
              </w:rPr>
              <w:instrText xml:space="preserve"> \* MERGEFORMAT </w:instrText>
            </w:r>
            <w:r w:rsidR="001833AB" w:rsidRPr="00F264F0">
              <w:rPr>
                <w:sz w:val="16"/>
                <w:szCs w:val="16"/>
                <w:lang w:val="en-GB"/>
              </w:rPr>
            </w:r>
            <w:r w:rsidR="001833AB" w:rsidRPr="00F264F0">
              <w:rPr>
                <w:sz w:val="16"/>
                <w:szCs w:val="16"/>
                <w:lang w:val="en-GB"/>
              </w:rPr>
              <w:fldChar w:fldCharType="separate"/>
            </w:r>
            <w:r w:rsidR="006B156B" w:rsidRPr="00F264F0">
              <w:rPr>
                <w:sz w:val="16"/>
                <w:szCs w:val="16"/>
                <w:lang w:val="en-GB"/>
              </w:rPr>
              <w:t>[14]</w:t>
            </w:r>
            <w:r w:rsidR="001833AB" w:rsidRPr="00F264F0">
              <w:rPr>
                <w:sz w:val="16"/>
                <w:szCs w:val="16"/>
                <w:lang w:val="en-GB"/>
              </w:rPr>
              <w:fldChar w:fldCharType="end"/>
            </w:r>
          </w:p>
        </w:tc>
      </w:tr>
    </w:tbl>
    <w:p w14:paraId="4B24A52B" w14:textId="02C63D60" w:rsidR="00677DCE" w:rsidRPr="00F264F0" w:rsidRDefault="007D617C" w:rsidP="002649EA">
      <w:pPr>
        <w:pStyle w:val="ECCTabletitle"/>
      </w:pPr>
      <w:bookmarkStart w:id="140" w:name="_Ref103332111"/>
      <w:r w:rsidRPr="00F264F0">
        <w:t xml:space="preserve">Table </w:t>
      </w:r>
      <w:r w:rsidRPr="00F264F0">
        <w:fldChar w:fldCharType="begin"/>
      </w:r>
      <w:r w:rsidRPr="00F264F0">
        <w:instrText>SEQ Table \* ARABIC</w:instrText>
      </w:r>
      <w:r w:rsidRPr="00F264F0">
        <w:fldChar w:fldCharType="separate"/>
      </w:r>
      <w:r w:rsidR="006B156B" w:rsidRPr="00F264F0">
        <w:rPr>
          <w:noProof/>
        </w:rPr>
        <w:t>4</w:t>
      </w:r>
      <w:r w:rsidRPr="00F264F0">
        <w:fldChar w:fldCharType="end"/>
      </w:r>
      <w:bookmarkEnd w:id="140"/>
      <w:r w:rsidRPr="00F264F0">
        <w:t>: WBB ECS BS baseline requirements for coexistence with WBB ECS networks in other blocks in the band (assuming synchronised operation, see note 1)</w:t>
      </w:r>
    </w:p>
    <w:tbl>
      <w:tblPr>
        <w:tblW w:w="7116" w:type="dxa"/>
        <w:jc w:val="center"/>
        <w:tblCellMar>
          <w:top w:w="11" w:type="dxa"/>
          <w:bottom w:w="11" w:type="dxa"/>
        </w:tblCellMar>
        <w:tblLook w:val="01E0" w:firstRow="1" w:lastRow="1" w:firstColumn="1" w:lastColumn="1" w:noHBand="0" w:noVBand="0"/>
      </w:tblPr>
      <w:tblGrid>
        <w:gridCol w:w="2156"/>
        <w:gridCol w:w="1558"/>
        <w:gridCol w:w="1701"/>
        <w:gridCol w:w="1701"/>
      </w:tblGrid>
      <w:tr w:rsidR="00677DCE" w:rsidRPr="00F264F0" w14:paraId="6F91F134" w14:textId="77777777" w:rsidTr="00BA2329">
        <w:trPr>
          <w:tblHeader/>
          <w:jc w:val="center"/>
        </w:trPr>
        <w:tc>
          <w:tcPr>
            <w:tcW w:w="2156"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57E1484C" w14:textId="2B3E40BA" w:rsidR="00677DCE" w:rsidRPr="00F264F0" w:rsidRDefault="007D617C">
            <w:pPr>
              <w:spacing w:before="60" w:after="60" w:line="288" w:lineRule="auto"/>
              <w:jc w:val="center"/>
              <w:rPr>
                <w:b/>
                <w:color w:val="FFFFFF"/>
                <w:lang w:val="en-GB"/>
              </w:rPr>
            </w:pPr>
            <w:r w:rsidRPr="00F264F0">
              <w:rPr>
                <w:b/>
                <w:color w:val="FFFFFF"/>
                <w:lang w:val="en-GB"/>
              </w:rPr>
              <w:t>Frequency range</w:t>
            </w:r>
          </w:p>
        </w:tc>
        <w:tc>
          <w:tcPr>
            <w:tcW w:w="1558" w:type="dxa"/>
            <w:tcBorders>
              <w:top w:val="single" w:sz="4" w:space="0" w:color="D2232A"/>
              <w:left w:val="single" w:sz="8" w:space="0" w:color="FFFFFF"/>
              <w:bottom w:val="single" w:sz="4" w:space="0" w:color="D2232A"/>
              <w:right w:val="single" w:sz="8" w:space="0" w:color="FFFFFF"/>
            </w:tcBorders>
            <w:shd w:val="clear" w:color="auto" w:fill="D2232A"/>
          </w:tcPr>
          <w:p w14:paraId="789F781A" w14:textId="77777777" w:rsidR="00677DCE" w:rsidRPr="00F264F0" w:rsidRDefault="007D617C" w:rsidP="00351874">
            <w:pPr>
              <w:spacing w:before="120" w:line="288" w:lineRule="auto"/>
              <w:jc w:val="center"/>
              <w:rPr>
                <w:b/>
                <w:color w:val="FFFFFF"/>
                <w:lang w:val="en-GB"/>
              </w:rPr>
            </w:pPr>
            <w:r w:rsidRPr="00F264F0">
              <w:rPr>
                <w:b/>
                <w:color w:val="FFFFFF"/>
                <w:lang w:val="en-GB"/>
              </w:rPr>
              <w:t>Protected frequency range</w:t>
            </w:r>
          </w:p>
        </w:tc>
        <w:tc>
          <w:tcPr>
            <w:tcW w:w="1701"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18CF7E40" w14:textId="77777777" w:rsidR="00677DCE" w:rsidRPr="00F264F0" w:rsidRDefault="007D617C" w:rsidP="00351874">
            <w:pPr>
              <w:spacing w:before="120" w:line="288" w:lineRule="auto"/>
              <w:jc w:val="center"/>
              <w:rPr>
                <w:b/>
                <w:color w:val="FFFFFF"/>
                <w:lang w:val="en-GB"/>
              </w:rPr>
            </w:pPr>
            <w:r w:rsidRPr="00F264F0">
              <w:rPr>
                <w:b/>
                <w:color w:val="FFFFFF"/>
                <w:lang w:val="en-GB"/>
              </w:rPr>
              <w:t>Maximum Total Radiated Power (TRP)</w:t>
            </w:r>
          </w:p>
        </w:tc>
        <w:tc>
          <w:tcPr>
            <w:tcW w:w="1701"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6B2B1A04" w14:textId="77777777" w:rsidR="00677DCE" w:rsidRPr="00F264F0" w:rsidRDefault="007D617C" w:rsidP="00351874">
            <w:pPr>
              <w:spacing w:line="288" w:lineRule="auto"/>
              <w:jc w:val="center"/>
              <w:rPr>
                <w:b/>
                <w:color w:val="FFFFFF"/>
                <w:lang w:val="en-GB"/>
              </w:rPr>
            </w:pPr>
            <w:r w:rsidRPr="00F264F0">
              <w:rPr>
                <w:b/>
                <w:color w:val="FFFFFF"/>
                <w:lang w:val="en-GB"/>
              </w:rPr>
              <w:t>Measurement bandwidth</w:t>
            </w:r>
          </w:p>
        </w:tc>
      </w:tr>
      <w:tr w:rsidR="00677DCE" w:rsidRPr="00F264F0" w14:paraId="37DBDC81" w14:textId="77777777" w:rsidTr="00BA2329">
        <w:trPr>
          <w:jc w:val="center"/>
        </w:trPr>
        <w:tc>
          <w:tcPr>
            <w:tcW w:w="2156" w:type="dxa"/>
            <w:tcBorders>
              <w:top w:val="single" w:sz="4" w:space="0" w:color="D2232A"/>
              <w:left w:val="single" w:sz="4" w:space="0" w:color="D2232A"/>
              <w:bottom w:val="single" w:sz="4" w:space="0" w:color="D2232A"/>
              <w:right w:val="single" w:sz="4" w:space="0" w:color="D2232A"/>
            </w:tcBorders>
            <w:vAlign w:val="center"/>
          </w:tcPr>
          <w:p w14:paraId="4CDF4B81" w14:textId="77777777" w:rsidR="00677DCE" w:rsidRPr="00F264F0" w:rsidRDefault="007D617C">
            <w:pPr>
              <w:spacing w:before="60" w:after="60" w:line="288" w:lineRule="auto"/>
              <w:rPr>
                <w:lang w:val="en-GB"/>
              </w:rPr>
            </w:pPr>
            <w:r w:rsidRPr="00F264F0">
              <w:rPr>
                <w:lang w:val="en-GB"/>
              </w:rPr>
              <w:t>In-band baseline</w:t>
            </w:r>
          </w:p>
        </w:tc>
        <w:tc>
          <w:tcPr>
            <w:tcW w:w="1558" w:type="dxa"/>
            <w:tcBorders>
              <w:top w:val="single" w:sz="4" w:space="0" w:color="D2232A"/>
              <w:left w:val="single" w:sz="4" w:space="0" w:color="D2232A"/>
              <w:bottom w:val="single" w:sz="4" w:space="0" w:color="D2232A"/>
              <w:right w:val="single" w:sz="4" w:space="0" w:color="D2232A"/>
            </w:tcBorders>
          </w:tcPr>
          <w:p w14:paraId="2D607832" w14:textId="77777777" w:rsidR="00677DCE" w:rsidRPr="00F264F0" w:rsidRDefault="007D617C">
            <w:pPr>
              <w:spacing w:before="60" w:after="60" w:line="288" w:lineRule="auto"/>
              <w:rPr>
                <w:lang w:val="en-GB"/>
              </w:rPr>
            </w:pPr>
            <w:r w:rsidRPr="00F264F0">
              <w:rPr>
                <w:lang w:val="en-GB"/>
              </w:rPr>
              <w:t>40.5-43.5 GHz</w:t>
            </w:r>
          </w:p>
        </w:tc>
        <w:tc>
          <w:tcPr>
            <w:tcW w:w="1701" w:type="dxa"/>
            <w:tcBorders>
              <w:top w:val="single" w:sz="4" w:space="0" w:color="D2232A"/>
              <w:left w:val="single" w:sz="4" w:space="0" w:color="D2232A"/>
              <w:bottom w:val="single" w:sz="4" w:space="0" w:color="D2232A"/>
              <w:right w:val="single" w:sz="4" w:space="0" w:color="D2232A"/>
            </w:tcBorders>
            <w:vAlign w:val="center"/>
          </w:tcPr>
          <w:p w14:paraId="68EFD1F4" w14:textId="77777777" w:rsidR="00677DCE" w:rsidRPr="00F264F0" w:rsidRDefault="007D617C">
            <w:pPr>
              <w:spacing w:before="60" w:after="60" w:line="288" w:lineRule="auto"/>
              <w:jc w:val="center"/>
              <w:rPr>
                <w:lang w:val="en-GB"/>
              </w:rPr>
            </w:pPr>
            <w:r w:rsidRPr="00F264F0">
              <w:rPr>
                <w:lang w:val="en-GB"/>
              </w:rPr>
              <w:t>4 dBm</w:t>
            </w:r>
          </w:p>
        </w:tc>
        <w:tc>
          <w:tcPr>
            <w:tcW w:w="1701" w:type="dxa"/>
            <w:tcBorders>
              <w:top w:val="single" w:sz="4" w:space="0" w:color="D2232A"/>
              <w:left w:val="single" w:sz="4" w:space="0" w:color="D2232A"/>
              <w:bottom w:val="single" w:sz="4" w:space="0" w:color="D2232A"/>
              <w:right w:val="single" w:sz="4" w:space="0" w:color="D2232A"/>
            </w:tcBorders>
            <w:vAlign w:val="center"/>
          </w:tcPr>
          <w:p w14:paraId="53567BE5" w14:textId="77777777" w:rsidR="00677DCE" w:rsidRPr="00F264F0" w:rsidRDefault="007D617C">
            <w:pPr>
              <w:spacing w:before="60" w:after="60" w:line="288" w:lineRule="auto"/>
              <w:rPr>
                <w:lang w:val="en-GB"/>
              </w:rPr>
            </w:pPr>
            <w:r w:rsidRPr="00F264F0">
              <w:rPr>
                <w:lang w:val="en-GB"/>
              </w:rPr>
              <w:t>50 MHz</w:t>
            </w:r>
          </w:p>
        </w:tc>
      </w:tr>
      <w:tr w:rsidR="00677DCE" w:rsidRPr="00F264F0" w14:paraId="0C764B8D" w14:textId="77777777" w:rsidTr="00BA2329">
        <w:trPr>
          <w:jc w:val="center"/>
        </w:trPr>
        <w:tc>
          <w:tcPr>
            <w:tcW w:w="7116" w:type="dxa"/>
            <w:gridSpan w:val="4"/>
            <w:tcBorders>
              <w:top w:val="single" w:sz="4" w:space="0" w:color="D2232A"/>
              <w:left w:val="single" w:sz="4" w:space="0" w:color="D2232A"/>
              <w:bottom w:val="single" w:sz="4" w:space="0" w:color="D2232A"/>
              <w:right w:val="single" w:sz="4" w:space="0" w:color="D2232A"/>
            </w:tcBorders>
            <w:vAlign w:val="center"/>
          </w:tcPr>
          <w:p w14:paraId="08A71250" w14:textId="58239594" w:rsidR="00677DCE" w:rsidRPr="00F264F0" w:rsidRDefault="007D617C">
            <w:pPr>
              <w:spacing w:before="60" w:after="60"/>
              <w:rPr>
                <w:lang w:val="en-GB"/>
              </w:rPr>
            </w:pPr>
            <w:r w:rsidRPr="00F264F0">
              <w:rPr>
                <w:sz w:val="16"/>
                <w:szCs w:val="16"/>
                <w:lang w:val="en-GB"/>
              </w:rPr>
              <w:t>Note 1: Administrations may define appropriate mitigation measures to be applied in case of unsynchronised or semi-synchronised operations – see ECC Report 307</w:t>
            </w:r>
            <w:r w:rsidR="004A1DBA" w:rsidRPr="00F264F0">
              <w:rPr>
                <w:sz w:val="16"/>
                <w:szCs w:val="16"/>
                <w:lang w:val="en-GB"/>
              </w:rPr>
              <w:t xml:space="preserve"> </w:t>
            </w:r>
            <w:r w:rsidR="004A1DBA" w:rsidRPr="00F264F0">
              <w:rPr>
                <w:sz w:val="16"/>
                <w:szCs w:val="16"/>
                <w:lang w:val="en-GB"/>
              </w:rPr>
              <w:fldChar w:fldCharType="begin"/>
            </w:r>
            <w:r w:rsidR="004A1DBA" w:rsidRPr="00F264F0">
              <w:rPr>
                <w:sz w:val="16"/>
                <w:szCs w:val="16"/>
                <w:lang w:val="en-GB"/>
              </w:rPr>
              <w:instrText xml:space="preserve"> REF _Ref103958232 \r \h </w:instrText>
            </w:r>
            <w:r w:rsidR="00406BDB" w:rsidRPr="00F264F0">
              <w:rPr>
                <w:sz w:val="16"/>
                <w:szCs w:val="16"/>
                <w:lang w:val="en-GB"/>
              </w:rPr>
              <w:instrText xml:space="preserve"> \* MERGEFORMAT </w:instrText>
            </w:r>
            <w:r w:rsidR="004A1DBA" w:rsidRPr="00F264F0">
              <w:rPr>
                <w:sz w:val="16"/>
                <w:szCs w:val="16"/>
                <w:lang w:val="en-GB"/>
              </w:rPr>
            </w:r>
            <w:r w:rsidR="004A1DBA" w:rsidRPr="00F264F0">
              <w:rPr>
                <w:sz w:val="16"/>
                <w:szCs w:val="16"/>
                <w:lang w:val="en-GB"/>
              </w:rPr>
              <w:fldChar w:fldCharType="separate"/>
            </w:r>
            <w:r w:rsidR="006B156B" w:rsidRPr="00F264F0">
              <w:rPr>
                <w:sz w:val="16"/>
                <w:szCs w:val="16"/>
                <w:lang w:val="en-GB"/>
              </w:rPr>
              <w:t>[14]</w:t>
            </w:r>
            <w:r w:rsidR="004A1DBA" w:rsidRPr="00F264F0">
              <w:rPr>
                <w:sz w:val="16"/>
                <w:szCs w:val="16"/>
                <w:lang w:val="en-GB"/>
              </w:rPr>
              <w:fldChar w:fldCharType="end"/>
            </w:r>
          </w:p>
        </w:tc>
      </w:tr>
    </w:tbl>
    <w:p w14:paraId="0F464A69" w14:textId="1C663496" w:rsidR="00677DCE" w:rsidRPr="00F264F0" w:rsidRDefault="007D617C" w:rsidP="002649EA">
      <w:pPr>
        <w:pStyle w:val="ECCTabletitle"/>
      </w:pPr>
      <w:bookmarkStart w:id="141" w:name="_Ref111558693"/>
      <w:r w:rsidRPr="00F264F0">
        <w:t xml:space="preserve">Table </w:t>
      </w:r>
      <w:r w:rsidRPr="00F264F0">
        <w:fldChar w:fldCharType="begin"/>
      </w:r>
      <w:r w:rsidRPr="00F264F0">
        <w:instrText>SEQ Table \* ARABIC</w:instrText>
      </w:r>
      <w:r w:rsidRPr="00F264F0">
        <w:fldChar w:fldCharType="separate"/>
      </w:r>
      <w:r w:rsidR="006B156B" w:rsidRPr="00F264F0">
        <w:rPr>
          <w:noProof/>
        </w:rPr>
        <w:t>5</w:t>
      </w:r>
      <w:r w:rsidRPr="00F264F0">
        <w:fldChar w:fldCharType="end"/>
      </w:r>
      <w:bookmarkEnd w:id="141"/>
      <w:r w:rsidRPr="00F264F0">
        <w:t>: Conditions applying to the pointing of the main beam of 5G AAS outdoor base stations in 42.5-43.5 GHz</w:t>
      </w:r>
    </w:p>
    <w:tbl>
      <w:tblPr>
        <w:tblW w:w="4450" w:type="pct"/>
        <w:jc w:val="center"/>
        <w:tblCellMar>
          <w:top w:w="11" w:type="dxa"/>
          <w:bottom w:w="11" w:type="dxa"/>
        </w:tblCellMar>
        <w:tblLook w:val="01E0" w:firstRow="1" w:lastRow="1" w:firstColumn="1" w:lastColumn="1" w:noHBand="0" w:noVBand="0"/>
      </w:tblPr>
      <w:tblGrid>
        <w:gridCol w:w="8569"/>
      </w:tblGrid>
      <w:tr w:rsidR="00677DCE" w:rsidRPr="00F264F0" w14:paraId="45469820" w14:textId="77777777">
        <w:trPr>
          <w:tblHeader/>
          <w:jc w:val="center"/>
        </w:trPr>
        <w:tc>
          <w:tcPr>
            <w:tcW w:w="8577" w:type="dxa"/>
            <w:tcBorders>
              <w:top w:val="single" w:sz="4" w:space="0" w:color="D2232A"/>
              <w:left w:val="single" w:sz="4" w:space="0" w:color="D2232A"/>
              <w:bottom w:val="single" w:sz="4" w:space="0" w:color="D2232A"/>
              <w:right w:val="single" w:sz="4" w:space="0" w:color="D2232A"/>
            </w:tcBorders>
            <w:shd w:val="clear" w:color="auto" w:fill="D2232A"/>
            <w:vAlign w:val="center"/>
          </w:tcPr>
          <w:p w14:paraId="16A14E54" w14:textId="42EDA558" w:rsidR="00677DCE" w:rsidRPr="00F264F0" w:rsidRDefault="007D617C">
            <w:pPr>
              <w:keepNext/>
              <w:spacing w:before="60" w:after="60" w:line="288" w:lineRule="auto"/>
              <w:jc w:val="center"/>
              <w:rPr>
                <w:b/>
                <w:color w:val="FFFFFF"/>
                <w:lang w:val="en-GB"/>
              </w:rPr>
            </w:pPr>
            <w:r w:rsidRPr="00F264F0">
              <w:rPr>
                <w:rFonts w:cs="Arial"/>
                <w:b/>
                <w:color w:val="FFFFFF"/>
                <w:lang w:val="en-GB"/>
              </w:rPr>
              <w:t>Requirement on pointing of the main beam of 5G AAS outdoor base stations</w:t>
            </w:r>
          </w:p>
        </w:tc>
      </w:tr>
      <w:tr w:rsidR="00677DCE" w:rsidRPr="00F264F0" w14:paraId="780742C8" w14:textId="77777777">
        <w:trPr>
          <w:jc w:val="center"/>
        </w:trPr>
        <w:tc>
          <w:tcPr>
            <w:tcW w:w="8577" w:type="dxa"/>
            <w:tcBorders>
              <w:top w:val="single" w:sz="4" w:space="0" w:color="D2232A"/>
              <w:left w:val="single" w:sz="4" w:space="0" w:color="D2232A"/>
              <w:bottom w:val="single" w:sz="4" w:space="0" w:color="D2232A"/>
              <w:right w:val="single" w:sz="4" w:space="0" w:color="D2232A"/>
            </w:tcBorders>
            <w:vAlign w:val="center"/>
          </w:tcPr>
          <w:p w14:paraId="4046D286" w14:textId="77777777" w:rsidR="00677DCE" w:rsidRPr="00F264F0" w:rsidRDefault="007D617C">
            <w:pPr>
              <w:spacing w:before="60" w:after="60" w:line="288" w:lineRule="auto"/>
              <w:jc w:val="center"/>
              <w:rPr>
                <w:lang w:val="en-GB"/>
              </w:rPr>
            </w:pPr>
            <w:r w:rsidRPr="00F264F0">
              <w:rPr>
                <w:rFonts w:cs="Arial"/>
                <w:lang w:val="en-GB"/>
              </w:rPr>
              <w:t>When deploying outdoor base stations, it shall be ensured that each antenna is normally transmitting only with main beam pointing below the horizon and in addition the antenna shall have mechanical pointing below the horizon except when the base station is only receiving.</w:t>
            </w:r>
          </w:p>
        </w:tc>
      </w:tr>
    </w:tbl>
    <w:p w14:paraId="4999E645" w14:textId="76967680" w:rsidR="00677DCE" w:rsidRPr="00F264F0" w:rsidRDefault="007D617C" w:rsidP="009A3261">
      <w:pPr>
        <w:pStyle w:val="ECCParagraph"/>
      </w:pPr>
      <w:r w:rsidRPr="00F264F0">
        <w:t xml:space="preserve">This requirement in  </w:t>
      </w:r>
      <w:r w:rsidR="00F5128A" w:rsidRPr="00F264F0">
        <w:fldChar w:fldCharType="begin"/>
      </w:r>
      <w:r w:rsidR="00F5128A" w:rsidRPr="00F264F0">
        <w:instrText xml:space="preserve"> REF _Ref111558693 \h </w:instrText>
      </w:r>
      <w:r w:rsidR="00406BDB" w:rsidRPr="00F264F0">
        <w:instrText xml:space="preserve"> \* MERGEFORMAT </w:instrText>
      </w:r>
      <w:r w:rsidR="00F5128A" w:rsidRPr="00F264F0">
        <w:fldChar w:fldCharType="separate"/>
      </w:r>
      <w:r w:rsidR="006B156B" w:rsidRPr="00F264F0">
        <w:t xml:space="preserve">Table </w:t>
      </w:r>
      <w:r w:rsidR="006B156B" w:rsidRPr="00F264F0">
        <w:rPr>
          <w:noProof/>
        </w:rPr>
        <w:t>5</w:t>
      </w:r>
      <w:r w:rsidR="00F5128A" w:rsidRPr="00F264F0">
        <w:fldChar w:fldCharType="end"/>
      </w:r>
      <w:r w:rsidR="009A23A8">
        <w:t xml:space="preserve"> </w:t>
      </w:r>
      <w:r w:rsidRPr="00F264F0">
        <w:t>refers to the elevation of the main beam of 5G AAS outdoor base stations to ensure coexistence with space station receivers.</w:t>
      </w:r>
    </w:p>
    <w:p w14:paraId="3023C966" w14:textId="77777777" w:rsidR="00677DCE" w:rsidRPr="00F264F0" w:rsidRDefault="00677DCE">
      <w:pPr>
        <w:jc w:val="both"/>
        <w:rPr>
          <w:rFonts w:cs="Arial"/>
          <w:lang w:val="en-GB"/>
        </w:rPr>
      </w:pPr>
    </w:p>
    <w:p w14:paraId="67F209D8" w14:textId="77777777" w:rsidR="00677DCE" w:rsidRPr="00F264F0" w:rsidRDefault="007D617C">
      <w:pPr>
        <w:rPr>
          <w:rFonts w:cs="Arial"/>
          <w:lang w:val="en-GB"/>
        </w:rPr>
      </w:pPr>
      <w:r w:rsidRPr="00F264F0">
        <w:rPr>
          <w:lang w:val="en-GB"/>
        </w:rPr>
        <w:br w:type="page"/>
      </w:r>
    </w:p>
    <w:p w14:paraId="4B70A1B9" w14:textId="3684B81A" w:rsidR="00677DCE" w:rsidRPr="00F264F0" w:rsidRDefault="00CB35ED" w:rsidP="003E5F6A">
      <w:pPr>
        <w:pStyle w:val="ECCAnnexheading1"/>
        <w:numPr>
          <w:ilvl w:val="0"/>
          <w:numId w:val="3"/>
        </w:numPr>
        <w:ind w:left="0"/>
      </w:pPr>
      <w:bookmarkStart w:id="142" w:name="_Toc50031962"/>
      <w:bookmarkStart w:id="143" w:name="_Ref103768548"/>
      <w:bookmarkStart w:id="144" w:name="_Ref103768819"/>
      <w:bookmarkStart w:id="145" w:name="_Ref103768958"/>
      <w:bookmarkStart w:id="146" w:name="_Toc107559561"/>
      <w:bookmarkStart w:id="147" w:name="_Toc119577668"/>
      <w:bookmarkEnd w:id="142"/>
      <w:r w:rsidRPr="00F264F0">
        <w:lastRenderedPageBreak/>
        <w:t xml:space="preserve">Additional </w:t>
      </w:r>
      <w:r w:rsidR="007D617C" w:rsidRPr="00F264F0">
        <w:t>measures to be considered on</w:t>
      </w:r>
      <w:bookmarkEnd w:id="112"/>
      <w:r w:rsidR="008C038D" w:rsidRPr="00F264F0">
        <w:t xml:space="preserve"> a</w:t>
      </w:r>
      <w:r w:rsidR="007D617C" w:rsidRPr="00F264F0">
        <w:t xml:space="preserve"> national basis when the location of WBB ECS Base Stations are not known</w:t>
      </w:r>
      <w:bookmarkEnd w:id="143"/>
      <w:bookmarkEnd w:id="144"/>
      <w:bookmarkEnd w:id="145"/>
      <w:bookmarkEnd w:id="146"/>
      <w:bookmarkEnd w:id="147"/>
    </w:p>
    <w:p w14:paraId="004849C5" w14:textId="1F56284E" w:rsidR="00677DCE" w:rsidRPr="00F264F0" w:rsidRDefault="007D617C">
      <w:pPr>
        <w:pStyle w:val="ECCParagraph"/>
      </w:pPr>
      <w:r w:rsidRPr="00F264F0">
        <w:t xml:space="preserve">Depending on the authorisation regime applied in this band, there is a need for administrations to assess if it is necessary to impose additional measures while still respecting the harmonised technical conditions included in </w:t>
      </w:r>
      <w:r w:rsidR="009C0FA9" w:rsidRPr="00F264F0">
        <w:rPr>
          <w:szCs w:val="20"/>
        </w:rPr>
        <w:fldChar w:fldCharType="begin"/>
      </w:r>
      <w:r w:rsidR="009C0FA9" w:rsidRPr="00F264F0">
        <w:rPr>
          <w:szCs w:val="20"/>
        </w:rPr>
        <w:instrText xml:space="preserve"> REF _Ref104897991 \r \h </w:instrText>
      </w:r>
      <w:r w:rsidR="00F5128A" w:rsidRPr="00F264F0">
        <w:rPr>
          <w:szCs w:val="20"/>
        </w:rPr>
        <w:instrText xml:space="preserve"> \* MERGEFORMAT </w:instrText>
      </w:r>
      <w:r w:rsidR="009C0FA9" w:rsidRPr="00F264F0">
        <w:rPr>
          <w:szCs w:val="20"/>
        </w:rPr>
      </w:r>
      <w:r w:rsidR="009C0FA9" w:rsidRPr="00F264F0">
        <w:rPr>
          <w:szCs w:val="20"/>
        </w:rPr>
        <w:fldChar w:fldCharType="separate"/>
      </w:r>
      <w:r w:rsidR="006B156B" w:rsidRPr="00F264F0">
        <w:rPr>
          <w:szCs w:val="20"/>
        </w:rPr>
        <w:t>ANNEX 2</w:t>
      </w:r>
      <w:r w:rsidR="009C0FA9" w:rsidRPr="00F264F0">
        <w:rPr>
          <w:szCs w:val="20"/>
        </w:rPr>
        <w:fldChar w:fldCharType="end"/>
      </w:r>
      <w:r w:rsidRPr="00F264F0">
        <w:t>.</w:t>
      </w:r>
    </w:p>
    <w:p w14:paraId="7042A8AF" w14:textId="4754F57A" w:rsidR="00677DCE" w:rsidRPr="00F264F0" w:rsidRDefault="007D617C">
      <w:pPr>
        <w:pStyle w:val="ECCParagraph"/>
      </w:pPr>
      <w:r w:rsidRPr="00F264F0">
        <w:t xml:space="preserve">The harmonised technical conditions for WBB ECS with assumption that location of base station is known are set out in </w:t>
      </w:r>
      <w:r w:rsidR="009C0FA9" w:rsidRPr="00F264F0">
        <w:fldChar w:fldCharType="begin"/>
      </w:r>
      <w:r w:rsidR="009C0FA9" w:rsidRPr="00F264F0">
        <w:instrText xml:space="preserve"> REF _Ref104897991 \r \h </w:instrText>
      </w:r>
      <w:r w:rsidR="00406BDB" w:rsidRPr="00F264F0">
        <w:instrText xml:space="preserve"> \* MERGEFORMAT </w:instrText>
      </w:r>
      <w:r w:rsidR="009C0FA9" w:rsidRPr="00F264F0">
        <w:fldChar w:fldCharType="separate"/>
      </w:r>
      <w:r w:rsidR="006B156B" w:rsidRPr="00F264F0">
        <w:t>ANNEX 2</w:t>
      </w:r>
      <w:r w:rsidR="009C0FA9" w:rsidRPr="00F264F0">
        <w:fldChar w:fldCharType="end"/>
      </w:r>
      <w:r w:rsidRPr="00F264F0">
        <w:t xml:space="preserve">. Additional considerations are provided in this Annex for an authorisation regime where the location of base stations are not known in advance of installation to ensure compatibility with other services. It should be noted that implementation of sharing conditions implies the need for information on relative location of/or distance between </w:t>
      </w:r>
      <w:r w:rsidR="007C049B" w:rsidRPr="00F264F0">
        <w:t xml:space="preserve">the </w:t>
      </w:r>
      <w:r w:rsidRPr="00F264F0">
        <w:t xml:space="preserve">interferer and victim, or on the location of one of these in order </w:t>
      </w:r>
      <w:r w:rsidR="007C049B" w:rsidRPr="00F264F0">
        <w:t xml:space="preserve">to </w:t>
      </w:r>
      <w:r w:rsidRPr="00F264F0">
        <w:t>apply the sharing conditions, such as separation distance</w:t>
      </w:r>
      <w:r w:rsidR="007C049B" w:rsidRPr="00F264F0">
        <w:t>s</w:t>
      </w:r>
      <w:r w:rsidRPr="00F264F0">
        <w:t>/zone</w:t>
      </w:r>
      <w:r w:rsidR="007C049B" w:rsidRPr="00F264F0">
        <w:t>s</w:t>
      </w:r>
      <w:r w:rsidRPr="00F264F0">
        <w:t>, when planning the location of the other station.</w:t>
      </w:r>
    </w:p>
    <w:p w14:paraId="166E735D" w14:textId="70CF09C0" w:rsidR="00D803B5" w:rsidRPr="00F264F0" w:rsidRDefault="002F36D3" w:rsidP="00315E2C">
      <w:pPr>
        <w:pStyle w:val="ECCAnnexheading2"/>
        <w:keepNext/>
        <w:suppressAutoHyphens w:val="0"/>
        <w:overflowPunct w:val="0"/>
        <w:autoSpaceDE w:val="0"/>
        <w:autoSpaceDN w:val="0"/>
        <w:adjustRightInd w:val="0"/>
        <w:outlineLvl w:val="1"/>
        <w:rPr>
          <w:lang w:val="en-GB"/>
        </w:rPr>
      </w:pPr>
      <w:bookmarkStart w:id="148" w:name="_Toc107559562"/>
      <w:bookmarkStart w:id="149" w:name="_Toc119577669"/>
      <w:r w:rsidRPr="00F264F0">
        <w:rPr>
          <w:lang w:val="en-GB"/>
        </w:rPr>
        <w:t>A</w:t>
      </w:r>
      <w:r w:rsidR="00315E2C" w:rsidRPr="00F264F0">
        <w:rPr>
          <w:lang w:val="en-GB"/>
        </w:rPr>
        <w:t>3.1</w:t>
      </w:r>
      <w:r w:rsidR="00315E2C" w:rsidRPr="00F264F0">
        <w:rPr>
          <w:lang w:val="en-GB"/>
        </w:rPr>
        <w:tab/>
      </w:r>
      <w:r w:rsidR="00D803B5" w:rsidRPr="00F264F0">
        <w:rPr>
          <w:lang w:val="en-GB"/>
        </w:rPr>
        <w:t>Fixed service at 40.5-43.5 GHz</w:t>
      </w:r>
      <w:bookmarkEnd w:id="148"/>
      <w:bookmarkEnd w:id="149"/>
    </w:p>
    <w:p w14:paraId="322DF36A" w14:textId="2087AF0B" w:rsidR="00677DCE" w:rsidRPr="00F264F0" w:rsidRDefault="007D617C" w:rsidP="001A4E22">
      <w:pPr>
        <w:pStyle w:val="ECCParagraph"/>
      </w:pPr>
      <w:r w:rsidRPr="00F264F0">
        <w:t>National coordination might be needed to manage the incumbent FS while introducing WBB ECS systems in the 40.5</w:t>
      </w:r>
      <w:r w:rsidR="003C00DE" w:rsidRPr="00F264F0">
        <w:t>-</w:t>
      </w:r>
      <w:r w:rsidRPr="00F264F0">
        <w:t>43.5 GHz band depending upon the authorisation regime. Various approaches or a combination thereof could be considered to manage co-channel or adjacent channel coexistence between WBB ECS and FS at 40 GHz, e.g. separation in distance, separation in frequency, separation in angle</w:t>
      </w:r>
      <w:r w:rsidR="007539F8" w:rsidRPr="00F264F0">
        <w:t xml:space="preserve">, </w:t>
      </w:r>
      <w:r w:rsidRPr="00F264F0">
        <w:t xml:space="preserve">depending upon </w:t>
      </w:r>
      <w:r w:rsidR="007539F8" w:rsidRPr="00F264F0">
        <w:t>line-of-</w:t>
      </w:r>
      <w:r w:rsidRPr="00F264F0">
        <w:t>sight and local clutter attenuation.</w:t>
      </w:r>
    </w:p>
    <w:p w14:paraId="559FF984" w14:textId="77777777" w:rsidR="00677DCE" w:rsidRPr="00F264F0" w:rsidRDefault="007D617C" w:rsidP="009A3261">
      <w:pPr>
        <w:pStyle w:val="ECCParagraph"/>
      </w:pPr>
      <w:r w:rsidRPr="00F264F0">
        <w:t>Such national coordination between fixed services and WBB ECS is only manageable:</w:t>
      </w:r>
    </w:p>
    <w:p w14:paraId="7534172A" w14:textId="1A6504A7" w:rsidR="00677DCE" w:rsidRPr="00F264F0" w:rsidRDefault="007D617C" w:rsidP="008222EB">
      <w:pPr>
        <w:pStyle w:val="ECCBulletsLv1"/>
        <w:numPr>
          <w:ilvl w:val="0"/>
          <w:numId w:val="44"/>
        </w:numPr>
        <w:ind w:left="357" w:hanging="357"/>
      </w:pPr>
      <w:r w:rsidRPr="00F264F0">
        <w:t>where the location of WBB ECS BS is known</w:t>
      </w:r>
      <w:r w:rsidR="006412A4" w:rsidRPr="00F264F0">
        <w:t>;</w:t>
      </w:r>
    </w:p>
    <w:p w14:paraId="6A699AC5" w14:textId="436BB71A" w:rsidR="00677DCE" w:rsidRPr="00F264F0" w:rsidRDefault="007D617C" w:rsidP="008222EB">
      <w:pPr>
        <w:pStyle w:val="ECCBulletsLv1"/>
        <w:numPr>
          <w:ilvl w:val="0"/>
          <w:numId w:val="44"/>
        </w:numPr>
        <w:ind w:left="357" w:hanging="357"/>
      </w:pPr>
      <w:r w:rsidRPr="00F264F0">
        <w:t>or where coordination of exclusion zones around existing FS are available and required to be respected by the authori</w:t>
      </w:r>
      <w:r w:rsidR="00F84F82" w:rsidRPr="00F264F0">
        <w:t>s</w:t>
      </w:r>
      <w:r w:rsidRPr="00F264F0">
        <w:t>ation regime for WBB ECS.</w:t>
      </w:r>
    </w:p>
    <w:p w14:paraId="2FD1B673" w14:textId="532CA61C" w:rsidR="00677DCE" w:rsidRPr="00F264F0" w:rsidRDefault="007D617C" w:rsidP="001654E3">
      <w:pPr>
        <w:pStyle w:val="ECCParagraph"/>
      </w:pPr>
      <w:r w:rsidRPr="00F264F0">
        <w:t xml:space="preserve">It is expected that there is only a low risk of interference to </w:t>
      </w:r>
      <w:r w:rsidR="006412A4" w:rsidRPr="00F264F0">
        <w:t xml:space="preserve">the </w:t>
      </w:r>
      <w:r w:rsidR="007539F8" w:rsidRPr="00F264F0">
        <w:t xml:space="preserve">fixed </w:t>
      </w:r>
      <w:r w:rsidRPr="00F264F0">
        <w:t>service from indoor WBB ECSs. However, the impact to fixed links may need to be analysed on a national basis.</w:t>
      </w:r>
    </w:p>
    <w:p w14:paraId="567A9DFE" w14:textId="0DA315C4" w:rsidR="00677DCE" w:rsidRPr="00F264F0" w:rsidRDefault="00315E2C" w:rsidP="00315E2C">
      <w:pPr>
        <w:pStyle w:val="ECCAnnexheading2"/>
        <w:keepNext/>
        <w:suppressAutoHyphens w:val="0"/>
        <w:overflowPunct w:val="0"/>
        <w:autoSpaceDE w:val="0"/>
        <w:autoSpaceDN w:val="0"/>
        <w:adjustRightInd w:val="0"/>
        <w:ind w:left="11"/>
        <w:outlineLvl w:val="1"/>
        <w:rPr>
          <w:lang w:val="en-GB"/>
        </w:rPr>
      </w:pPr>
      <w:bookmarkStart w:id="150" w:name="_Toc107559563"/>
      <w:bookmarkStart w:id="151" w:name="_Toc119577670"/>
      <w:r w:rsidRPr="00F264F0">
        <w:rPr>
          <w:lang w:val="en-GB"/>
        </w:rPr>
        <w:t>A3.2</w:t>
      </w:r>
      <w:r w:rsidRPr="00F264F0">
        <w:rPr>
          <w:lang w:val="en-GB"/>
        </w:rPr>
        <w:tab/>
      </w:r>
      <w:r w:rsidR="007D617C" w:rsidRPr="00F264F0">
        <w:rPr>
          <w:lang w:val="en-GB"/>
        </w:rPr>
        <w:t>Radio astronomy sites</w:t>
      </w:r>
      <w:bookmarkEnd w:id="150"/>
      <w:bookmarkEnd w:id="151"/>
    </w:p>
    <w:p w14:paraId="390BF4FD" w14:textId="4085D5DE" w:rsidR="00677DCE" w:rsidRPr="00F264F0" w:rsidRDefault="007D617C" w:rsidP="001654E3">
      <w:pPr>
        <w:pStyle w:val="ECCParagraph"/>
      </w:pPr>
      <w:r w:rsidRPr="00F264F0">
        <w:t>Protection of RAS can be achieved through the calculation of a geographic</w:t>
      </w:r>
      <w:r w:rsidR="007539F8" w:rsidRPr="00F264F0">
        <w:t>al</w:t>
      </w:r>
      <w:r w:rsidRPr="00F264F0">
        <w:t xml:space="preserve"> separation distance, and the determination of exclusion zones around RAS stations, which are defined </w:t>
      </w:r>
      <w:r w:rsidR="00E57F9F" w:rsidRPr="00F264F0">
        <w:t xml:space="preserve">at </w:t>
      </w:r>
      <w:r w:rsidRPr="00F264F0">
        <w:t>national level.</w:t>
      </w:r>
    </w:p>
    <w:p w14:paraId="1AC24DFA" w14:textId="21D93A30" w:rsidR="00677DCE" w:rsidRPr="00F264F0" w:rsidRDefault="007D617C" w:rsidP="001654E3">
      <w:pPr>
        <w:pStyle w:val="ECCParagraph"/>
      </w:pPr>
      <w:r w:rsidRPr="00F264F0">
        <w:t>A mechanism such as a regulatory requirement to respect exclusion zones defined and applied on national basis (taking into account terrain, clutter, etc</w:t>
      </w:r>
      <w:r w:rsidR="00ED1AF0" w:rsidRPr="00F264F0">
        <w:t>.</w:t>
      </w:r>
      <w:r w:rsidRPr="00F264F0">
        <w:t xml:space="preserve">) would be needed in order to ensure protection of the RAS site. No technical mechanism to prevent interference has been identified for the WBB ECS equipment during the drafting of the </w:t>
      </w:r>
      <w:r w:rsidR="00ED1AF0" w:rsidRPr="00F264F0">
        <w:t>Report</w:t>
      </w:r>
      <w:r w:rsidRPr="00F264F0">
        <w:t>, other than locating new base stations outside of a pre-determined exclusion zone.</w:t>
      </w:r>
    </w:p>
    <w:p w14:paraId="58B2783C" w14:textId="211DBE17" w:rsidR="00677DCE" w:rsidRPr="00F264F0" w:rsidRDefault="00315E2C" w:rsidP="009A3261">
      <w:pPr>
        <w:pStyle w:val="ECCAnnexheading2"/>
        <w:rPr>
          <w:lang w:val="en-GB"/>
        </w:rPr>
      </w:pPr>
      <w:r w:rsidRPr="00F264F0">
        <w:rPr>
          <w:lang w:val="en-GB"/>
        </w:rPr>
        <w:t>A3.3</w:t>
      </w:r>
      <w:r w:rsidRPr="00F264F0">
        <w:rPr>
          <w:lang w:val="en-GB"/>
        </w:rPr>
        <w:tab/>
      </w:r>
      <w:r w:rsidR="007D617C" w:rsidRPr="00F264F0">
        <w:rPr>
          <w:lang w:val="en-GB"/>
        </w:rPr>
        <w:t>Earth Stations (FSS) in the band 40.5-42.5 GHz and 42.5-43.5 GHz</w:t>
      </w:r>
    </w:p>
    <w:p w14:paraId="20A7DB84" w14:textId="3A814EA5" w:rsidR="00677DCE" w:rsidRPr="00F264F0" w:rsidRDefault="007D617C" w:rsidP="001654E3">
      <w:pPr>
        <w:pStyle w:val="ECCParagraph"/>
      </w:pPr>
      <w:r w:rsidRPr="00F264F0">
        <w:t>Coexistence can be achieved through the calculation of a geographic</w:t>
      </w:r>
      <w:r w:rsidR="00651FDB" w:rsidRPr="00F264F0">
        <w:t>al</w:t>
      </w:r>
      <w:r w:rsidRPr="00F264F0">
        <w:t xml:space="preserve"> separation distance, and the determination of coordination zones that can be applied around the stations of these other services, where further consideration may be needed if WBB ECS base stations were inside these zones.</w:t>
      </w:r>
    </w:p>
    <w:p w14:paraId="4CD6929C" w14:textId="5486FE18" w:rsidR="00677DCE" w:rsidRPr="00F264F0" w:rsidRDefault="00315E2C" w:rsidP="00884EBD">
      <w:pPr>
        <w:pStyle w:val="ECCAnnexheading3"/>
        <w:rPr>
          <w:lang w:val="en-GB"/>
        </w:rPr>
      </w:pPr>
      <w:r w:rsidRPr="00F264F0">
        <w:rPr>
          <w:lang w:val="en-GB"/>
        </w:rPr>
        <w:t xml:space="preserve">A3.3.1 </w:t>
      </w:r>
      <w:r w:rsidRPr="00F264F0">
        <w:rPr>
          <w:lang w:val="en-GB"/>
        </w:rPr>
        <w:tab/>
      </w:r>
      <w:r w:rsidR="007D617C" w:rsidRPr="00F264F0">
        <w:rPr>
          <w:lang w:val="en-GB"/>
        </w:rPr>
        <w:t>Receiving earth Stations (FSS) in the band 40.5-42.5 GHz</w:t>
      </w:r>
    </w:p>
    <w:p w14:paraId="028A39E4" w14:textId="273FB27B" w:rsidR="00677DCE" w:rsidRPr="00F264F0" w:rsidRDefault="007D617C" w:rsidP="00884EBD">
      <w:pPr>
        <w:pStyle w:val="ECCBulletsLv1"/>
        <w:spacing w:before="240" w:after="60"/>
        <w:ind w:left="0" w:firstLine="0"/>
      </w:pPr>
      <w:r w:rsidRPr="00F264F0">
        <w:t>Appropriate measure</w:t>
      </w:r>
      <w:r w:rsidR="009534B8" w:rsidRPr="00F264F0">
        <w:t>s</w:t>
      </w:r>
      <w:r w:rsidRPr="00F264F0">
        <w:t xml:space="preserve"> for ensuring the coexistence with FSS earth stations are needed. The following options could be considered:</w:t>
      </w:r>
    </w:p>
    <w:p w14:paraId="0BDB7E7A" w14:textId="77F5641E" w:rsidR="00677DCE" w:rsidRPr="00F264F0" w:rsidRDefault="007D617C" w:rsidP="00351874">
      <w:pPr>
        <w:pStyle w:val="ECCLetteredList"/>
        <w:numPr>
          <w:ilvl w:val="1"/>
          <w:numId w:val="46"/>
        </w:numPr>
        <w:spacing w:before="60" w:after="60"/>
        <w:ind w:left="357" w:hanging="357"/>
        <w:rPr>
          <w:lang w:val="en-GB"/>
        </w:rPr>
      </w:pPr>
      <w:r w:rsidRPr="00F264F0">
        <w:rPr>
          <w:lang w:val="en-GB"/>
        </w:rPr>
        <w:t>Sharing solutions might be possible, such as the use of database</w:t>
      </w:r>
      <w:r w:rsidR="00651FDB" w:rsidRPr="00F264F0">
        <w:rPr>
          <w:lang w:val="en-GB"/>
        </w:rPr>
        <w:t>s</w:t>
      </w:r>
      <w:r w:rsidRPr="00F264F0">
        <w:rPr>
          <w:vertAlign w:val="superscript"/>
          <w:lang w:val="en-GB"/>
        </w:rPr>
        <w:footnoteReference w:id="16"/>
      </w:r>
      <w:r w:rsidRPr="00F264F0">
        <w:rPr>
          <w:lang w:val="en-GB"/>
        </w:rPr>
        <w:t xml:space="preserve"> and/or associated regulatory requirements to ensure that the coordination zones are respected, so that WBB ECS base stations are not deployed within the coordination zones of FSS earth stations, otherwise other mitigations may need to be applied. It is noted that technical solutions to support implementation of geolocation are emerging for e.g. </w:t>
      </w:r>
      <w:r w:rsidRPr="00F264F0">
        <w:rPr>
          <w:lang w:val="en-GB"/>
        </w:rPr>
        <w:lastRenderedPageBreak/>
        <w:t>dynamic spectrum access. However, no studies or proposals have been submitted in support of this mode to access to spectrum</w:t>
      </w:r>
      <w:r w:rsidR="0096663B" w:rsidRPr="00F264F0">
        <w:rPr>
          <w:lang w:val="en-GB"/>
        </w:rPr>
        <w:t>;</w:t>
      </w:r>
    </w:p>
    <w:p w14:paraId="7E8FCCF6" w14:textId="1C0ECC6F" w:rsidR="00677DCE" w:rsidRPr="00F264F0" w:rsidRDefault="007D617C" w:rsidP="00351874">
      <w:pPr>
        <w:pStyle w:val="ECCLetteredList"/>
        <w:numPr>
          <w:ilvl w:val="1"/>
          <w:numId w:val="46"/>
        </w:numPr>
        <w:spacing w:before="60" w:after="60"/>
        <w:ind w:left="357" w:hanging="357"/>
        <w:rPr>
          <w:lang w:val="en-GB"/>
        </w:rPr>
      </w:pPr>
      <w:r w:rsidRPr="00F264F0">
        <w:rPr>
          <w:lang w:val="en-GB"/>
        </w:rPr>
        <w:t xml:space="preserve">Assuming there are relatively few FSS ESs, geographical and/or pointing restrictions could be applied to the WBB ECS </w:t>
      </w:r>
      <w:r w:rsidR="00A573B1" w:rsidRPr="00F264F0">
        <w:rPr>
          <w:lang w:val="en-GB"/>
        </w:rPr>
        <w:t xml:space="preserve">licence </w:t>
      </w:r>
      <w:r w:rsidRPr="00F264F0">
        <w:rPr>
          <w:lang w:val="en-GB"/>
        </w:rPr>
        <w:t xml:space="preserve">conditions. In case that WBB ECSs are to be deployed within the coordination zones, a </w:t>
      </w:r>
      <w:r w:rsidR="00A573B1" w:rsidRPr="00F264F0">
        <w:rPr>
          <w:lang w:val="en-GB"/>
        </w:rPr>
        <w:t>site-</w:t>
      </w:r>
      <w:r w:rsidRPr="00F264F0">
        <w:rPr>
          <w:lang w:val="en-GB"/>
        </w:rPr>
        <w:t>specific feasibility calculation/clearance should be performed and for this the location of the WBB ECS is required.</w:t>
      </w:r>
    </w:p>
    <w:p w14:paraId="1C691031" w14:textId="7B37DB45" w:rsidR="00677DCE" w:rsidRPr="00F264F0" w:rsidRDefault="007D617C" w:rsidP="001654E3">
      <w:pPr>
        <w:pStyle w:val="ECCParagraph"/>
      </w:pPr>
      <w:r w:rsidRPr="00F264F0">
        <w:t>ECC Recommendation (22)</w:t>
      </w:r>
      <w:r w:rsidR="00E90106" w:rsidRPr="00F264F0">
        <w:t>01</w:t>
      </w:r>
      <w:r w:rsidRPr="00F264F0">
        <w:t xml:space="preserve"> provides </w:t>
      </w:r>
      <w:r w:rsidR="00DE02DA" w:rsidRPr="00F264F0">
        <w:rPr>
          <w:lang w:eastAsia="zh-CN"/>
        </w:rPr>
        <w:t>g</w:t>
      </w:r>
      <w:r w:rsidR="007E4B3D" w:rsidRPr="00F264F0">
        <w:t xml:space="preserve">uidelines to support the introduction of </w:t>
      </w:r>
      <w:r w:rsidR="00534039" w:rsidRPr="00F264F0">
        <w:t>MFCN</w:t>
      </w:r>
      <w:r w:rsidR="00E650B0" w:rsidRPr="00F264F0">
        <w:t xml:space="preserve"> </w:t>
      </w:r>
      <w:r w:rsidR="007E4B3D" w:rsidRPr="00F264F0">
        <w:t>in 40.5-43.5 GHz while ensuring, in a proportionate way, the use of FSS receiving earth stations in the frequency band 40.5-42.5 GHz</w:t>
      </w:r>
      <w:r w:rsidR="00DE02DA" w:rsidRPr="00F264F0">
        <w:rPr>
          <w:lang w:eastAsia="zh-CN"/>
        </w:rPr>
        <w:t xml:space="preserve">, </w:t>
      </w:r>
      <w:r w:rsidR="007E4B3D" w:rsidRPr="00F264F0">
        <w:t>and the possibility for future deployment of these earth stations</w:t>
      </w:r>
      <w:r w:rsidR="00406BDB" w:rsidRPr="00F264F0">
        <w:t>,</w:t>
      </w:r>
      <w:r w:rsidR="00406BDB" w:rsidRPr="00F264F0">
        <w:rPr>
          <w:lang w:eastAsia="zh-CN"/>
        </w:rPr>
        <w:t xml:space="preserve"> for GSO and non-GSO satellite systems.</w:t>
      </w:r>
      <w:r w:rsidR="005C6904" w:rsidRPr="00F264F0">
        <w:t xml:space="preserve"> </w:t>
      </w:r>
      <w:r w:rsidR="005C6904" w:rsidRPr="00F264F0">
        <w:rPr>
          <w:lang w:eastAsia="zh-CN"/>
        </w:rPr>
        <w:fldChar w:fldCharType="begin"/>
      </w:r>
      <w:r w:rsidR="005C6904" w:rsidRPr="00F264F0">
        <w:rPr>
          <w:lang w:eastAsia="zh-CN"/>
        </w:rPr>
        <w:instrText xml:space="preserve"> REF _Ref103332798 \r \h </w:instrText>
      </w:r>
      <w:r w:rsidR="00BE4BA2" w:rsidRPr="00F264F0">
        <w:rPr>
          <w:lang w:eastAsia="zh-CN"/>
        </w:rPr>
        <w:instrText xml:space="preserve"> \* MERGEFORMAT </w:instrText>
      </w:r>
      <w:r w:rsidR="005C6904" w:rsidRPr="00F264F0">
        <w:rPr>
          <w:lang w:eastAsia="zh-CN"/>
        </w:rPr>
      </w:r>
      <w:r w:rsidR="005C6904" w:rsidRPr="00F264F0">
        <w:rPr>
          <w:lang w:eastAsia="zh-CN"/>
        </w:rPr>
        <w:fldChar w:fldCharType="separate"/>
      </w:r>
      <w:r w:rsidR="006B156B" w:rsidRPr="00F264F0">
        <w:rPr>
          <w:lang w:eastAsia="zh-CN"/>
        </w:rPr>
        <w:t>[1]</w:t>
      </w:r>
      <w:r w:rsidR="005C6904" w:rsidRPr="00F264F0">
        <w:rPr>
          <w:lang w:eastAsia="zh-CN"/>
        </w:rPr>
        <w:fldChar w:fldCharType="end"/>
      </w:r>
      <w:r w:rsidRPr="00F264F0">
        <w:rPr>
          <w:lang w:eastAsia="zh-CN"/>
        </w:rPr>
        <w:t xml:space="preserve"> </w:t>
      </w:r>
    </w:p>
    <w:p w14:paraId="58A1B781" w14:textId="5F10CDF1" w:rsidR="00677DCE" w:rsidRPr="00F264F0" w:rsidRDefault="00315E2C" w:rsidP="00D81C35">
      <w:pPr>
        <w:pStyle w:val="ECCAnnexheading3"/>
        <w:spacing w:before="240"/>
        <w:rPr>
          <w:lang w:val="en-GB"/>
        </w:rPr>
      </w:pPr>
      <w:r w:rsidRPr="00F264F0">
        <w:rPr>
          <w:lang w:val="en-GB"/>
        </w:rPr>
        <w:t>A3.</w:t>
      </w:r>
      <w:r w:rsidR="00D81C35" w:rsidRPr="00F264F0">
        <w:rPr>
          <w:lang w:val="en-GB"/>
        </w:rPr>
        <w:t>3.</w:t>
      </w:r>
      <w:r w:rsidRPr="00F264F0">
        <w:rPr>
          <w:lang w:val="en-GB"/>
        </w:rPr>
        <w:t>2</w:t>
      </w:r>
      <w:r w:rsidRPr="00F264F0">
        <w:rPr>
          <w:lang w:val="en-GB"/>
        </w:rPr>
        <w:tab/>
      </w:r>
      <w:r w:rsidR="007D617C" w:rsidRPr="00F264F0">
        <w:rPr>
          <w:lang w:val="en-GB"/>
        </w:rPr>
        <w:t>Transmitting earth stations (FSS) in the band 42.5-43.5 GHz</w:t>
      </w:r>
    </w:p>
    <w:p w14:paraId="416F882C" w14:textId="60C6BB87" w:rsidR="00677DCE" w:rsidRPr="00F264F0" w:rsidRDefault="007D617C" w:rsidP="001654E3">
      <w:pPr>
        <w:pStyle w:val="ECCParagraph"/>
      </w:pPr>
      <w:r w:rsidRPr="00F264F0">
        <w:t>The potential interference from FSS transmitting earth stations to WBB ECS in the band 42.5</w:t>
      </w:r>
      <w:r w:rsidR="003C00DE" w:rsidRPr="00F264F0">
        <w:t>-</w:t>
      </w:r>
      <w:r w:rsidRPr="00F264F0">
        <w:t>43.5 GHz should be taken into account.</w:t>
      </w:r>
    </w:p>
    <w:p w14:paraId="067D487D" w14:textId="09C220DE" w:rsidR="00677DCE" w:rsidRPr="00F264F0" w:rsidRDefault="007D617C" w:rsidP="001654E3">
      <w:pPr>
        <w:pStyle w:val="ECCParagraph"/>
      </w:pPr>
      <w:r w:rsidRPr="00F264F0">
        <w:t>It is expected that there is a low risk of interference from transmitting FSS earth stations to indoor WBB ECS base stations.</w:t>
      </w:r>
    </w:p>
    <w:p w14:paraId="6EA711CE" w14:textId="777397F9" w:rsidR="00677DCE" w:rsidRPr="00F264F0" w:rsidRDefault="007D617C" w:rsidP="001654E3">
      <w:pPr>
        <w:pStyle w:val="ECCParagraph"/>
      </w:pPr>
      <w:r w:rsidRPr="00F264F0">
        <w:t>Appropriate measure</w:t>
      </w:r>
      <w:r w:rsidR="009534B8" w:rsidRPr="00F264F0">
        <w:t>s</w:t>
      </w:r>
      <w:r w:rsidRPr="00F264F0">
        <w:t xml:space="preserve"> for ensuring the coexistence with FSS earth stations are needed. The following options could be considered:</w:t>
      </w:r>
    </w:p>
    <w:p w14:paraId="1A630E24" w14:textId="53E48728" w:rsidR="00677DCE" w:rsidRPr="00F264F0" w:rsidRDefault="007D617C" w:rsidP="00884EBD">
      <w:pPr>
        <w:pStyle w:val="ECCLetteredList"/>
        <w:numPr>
          <w:ilvl w:val="1"/>
          <w:numId w:val="45"/>
        </w:numPr>
        <w:spacing w:before="60" w:after="60"/>
        <w:ind w:left="357" w:hanging="357"/>
        <w:rPr>
          <w:lang w:val="en-GB"/>
        </w:rPr>
      </w:pPr>
      <w:r w:rsidRPr="00F264F0">
        <w:rPr>
          <w:lang w:val="en-GB"/>
        </w:rPr>
        <w:t xml:space="preserve">Sharing solutions might be possible, such as the use of </w:t>
      </w:r>
      <w:r w:rsidR="009534B8" w:rsidRPr="00F264F0">
        <w:rPr>
          <w:lang w:val="en-GB"/>
        </w:rPr>
        <w:t xml:space="preserve">a </w:t>
      </w:r>
      <w:r w:rsidRPr="00F264F0">
        <w:rPr>
          <w:lang w:val="en-GB"/>
        </w:rPr>
        <w:t>database to guide the installation of WBB ECS base stations to be outside any pre-defined coordination zones of FSS earth stations, and/or to apply mitigations if to be deployed within the coordination zone</w:t>
      </w:r>
      <w:r w:rsidR="009534B8" w:rsidRPr="00F264F0">
        <w:rPr>
          <w:lang w:val="en-GB"/>
        </w:rPr>
        <w:t>;</w:t>
      </w:r>
    </w:p>
    <w:p w14:paraId="652229C2" w14:textId="4A75D1D8" w:rsidR="00677DCE" w:rsidRPr="00F264F0" w:rsidRDefault="007D617C" w:rsidP="00884EBD">
      <w:pPr>
        <w:pStyle w:val="ECCLetteredList"/>
        <w:numPr>
          <w:ilvl w:val="1"/>
          <w:numId w:val="45"/>
        </w:numPr>
        <w:spacing w:before="60" w:after="60"/>
        <w:ind w:left="357" w:hanging="357"/>
        <w:rPr>
          <w:lang w:val="en-GB"/>
        </w:rPr>
      </w:pPr>
      <w:r w:rsidRPr="00F264F0">
        <w:rPr>
          <w:lang w:val="en-GB"/>
        </w:rPr>
        <w:t xml:space="preserve">In the case of deployment of additional FSS </w:t>
      </w:r>
      <w:r w:rsidR="00534039" w:rsidRPr="00F264F0">
        <w:rPr>
          <w:lang w:val="en-GB"/>
        </w:rPr>
        <w:t>earth stations</w:t>
      </w:r>
      <w:r w:rsidR="00363F76" w:rsidRPr="00F264F0">
        <w:rPr>
          <w:lang w:val="en-GB"/>
        </w:rPr>
        <w:t>,</w:t>
      </w:r>
      <w:r w:rsidRPr="00F264F0">
        <w:rPr>
          <w:lang w:val="en-GB"/>
        </w:rPr>
        <w:t xml:space="preserve"> sharing may be possible by national mechanisms to define additional pre-defined coordination zone</w:t>
      </w:r>
      <w:r w:rsidR="009534B8" w:rsidRPr="00F264F0">
        <w:rPr>
          <w:lang w:val="en-GB"/>
        </w:rPr>
        <w:t>s</w:t>
      </w:r>
      <w:r w:rsidRPr="00F264F0">
        <w:rPr>
          <w:lang w:val="en-GB"/>
        </w:rPr>
        <w:t xml:space="preserve">, or by requiring an individual site specific feasibility demonstration to show no possibility of interference for additional FSS </w:t>
      </w:r>
      <w:r w:rsidR="00534039" w:rsidRPr="00F264F0">
        <w:rPr>
          <w:lang w:val="en-GB"/>
        </w:rPr>
        <w:t xml:space="preserve">earth stations </w:t>
      </w:r>
      <w:r w:rsidRPr="00F264F0">
        <w:rPr>
          <w:lang w:val="en-GB"/>
        </w:rPr>
        <w:t>outside a pre-defined coordination zone.</w:t>
      </w:r>
    </w:p>
    <w:p w14:paraId="6A61775C" w14:textId="223FBFB6" w:rsidR="00677DCE" w:rsidRPr="00F264F0" w:rsidRDefault="007D617C" w:rsidP="00835C43">
      <w:pPr>
        <w:spacing w:before="240" w:after="60"/>
        <w:jc w:val="both"/>
        <w:rPr>
          <w:lang w:val="en-GB"/>
        </w:rPr>
      </w:pPr>
      <w:bookmarkStart w:id="152" w:name="_Hlk26950060"/>
      <w:r w:rsidRPr="00F264F0">
        <w:rPr>
          <w:lang w:val="en-GB" w:eastAsia="zh-CN"/>
        </w:rPr>
        <w:t>ECC Recommendation (22)</w:t>
      </w:r>
      <w:r w:rsidR="00E90106" w:rsidRPr="00F264F0">
        <w:rPr>
          <w:lang w:val="en-GB" w:eastAsia="zh-CN"/>
        </w:rPr>
        <w:t>01</w:t>
      </w:r>
      <w:r w:rsidRPr="00F264F0">
        <w:rPr>
          <w:lang w:val="en-GB" w:eastAsia="zh-CN"/>
        </w:rPr>
        <w:t xml:space="preserve"> provides</w:t>
      </w:r>
      <w:bookmarkEnd w:id="152"/>
      <w:r w:rsidRPr="00F264F0">
        <w:rPr>
          <w:lang w:val="en-GB" w:eastAsia="zh-CN"/>
        </w:rPr>
        <w:t xml:space="preserve"> </w:t>
      </w:r>
      <w:bookmarkStart w:id="153" w:name="_Hlk104797225"/>
      <w:r w:rsidR="00887BF5" w:rsidRPr="00F264F0">
        <w:rPr>
          <w:lang w:val="en-GB" w:eastAsia="zh-CN"/>
        </w:rPr>
        <w:t>g</w:t>
      </w:r>
      <w:r w:rsidR="007E4B3D" w:rsidRPr="00F264F0">
        <w:rPr>
          <w:lang w:val="en-GB"/>
        </w:rPr>
        <w:t xml:space="preserve">uidelines to support the introduction of </w:t>
      </w:r>
      <w:r w:rsidR="00534039" w:rsidRPr="00F264F0">
        <w:rPr>
          <w:lang w:val="en-GB"/>
        </w:rPr>
        <w:t>MFCN</w:t>
      </w:r>
      <w:r w:rsidR="00E650B0" w:rsidRPr="00F264F0">
        <w:rPr>
          <w:lang w:val="en-GB"/>
        </w:rPr>
        <w:t xml:space="preserve"> </w:t>
      </w:r>
      <w:r w:rsidR="007E4B3D" w:rsidRPr="00F264F0">
        <w:rPr>
          <w:lang w:val="en-GB"/>
        </w:rPr>
        <w:t>in 40.5-43.5 GHz while ensuring, in a proportionate way, the use of FSS transmitting earth stations in the frequency band 42.5-43.5 GHz</w:t>
      </w:r>
      <w:r w:rsidR="00803BF5" w:rsidRPr="00F264F0">
        <w:rPr>
          <w:lang w:val="en-GB" w:eastAsia="zh-CN"/>
        </w:rPr>
        <w:t>,</w:t>
      </w:r>
      <w:r w:rsidR="00803BF5" w:rsidRPr="00F264F0">
        <w:rPr>
          <w:lang w:val="en-GB"/>
        </w:rPr>
        <w:t xml:space="preserve"> </w:t>
      </w:r>
      <w:r w:rsidR="007E4B3D" w:rsidRPr="00F264F0">
        <w:rPr>
          <w:lang w:val="en-GB"/>
        </w:rPr>
        <w:t>and the possibility for future deployment of these earth stations</w:t>
      </w:r>
      <w:bookmarkEnd w:id="153"/>
      <w:r w:rsidR="00534039" w:rsidRPr="00F264F0">
        <w:rPr>
          <w:lang w:val="en-GB"/>
        </w:rPr>
        <w:t>,</w:t>
      </w:r>
      <w:r w:rsidR="00534039" w:rsidRPr="00F264F0">
        <w:rPr>
          <w:lang w:val="en-GB" w:eastAsia="zh-CN"/>
        </w:rPr>
        <w:t xml:space="preserve"> for GSO and non-GSO satellite systems</w:t>
      </w:r>
      <w:r w:rsidR="005C6904" w:rsidRPr="00F264F0">
        <w:rPr>
          <w:lang w:val="en-GB" w:eastAsia="zh-CN"/>
        </w:rPr>
        <w:t xml:space="preserve"> </w:t>
      </w:r>
      <w:r w:rsidR="005C6904" w:rsidRPr="00F264F0">
        <w:rPr>
          <w:lang w:val="en-GB" w:eastAsia="zh-CN"/>
        </w:rPr>
        <w:fldChar w:fldCharType="begin"/>
      </w:r>
      <w:r w:rsidR="005C6904" w:rsidRPr="00F264F0">
        <w:rPr>
          <w:lang w:val="en-GB" w:eastAsia="zh-CN"/>
        </w:rPr>
        <w:instrText xml:space="preserve"> REF _Ref103332798 \r \h </w:instrText>
      </w:r>
      <w:r w:rsidR="00534039" w:rsidRPr="00F264F0">
        <w:rPr>
          <w:lang w:val="en-GB" w:eastAsia="zh-CN"/>
        </w:rPr>
        <w:instrText xml:space="preserve"> \* MERGEFORMAT </w:instrText>
      </w:r>
      <w:r w:rsidR="005C6904" w:rsidRPr="00F264F0">
        <w:rPr>
          <w:lang w:val="en-GB" w:eastAsia="zh-CN"/>
        </w:rPr>
      </w:r>
      <w:r w:rsidR="005C6904" w:rsidRPr="00F264F0">
        <w:rPr>
          <w:lang w:val="en-GB" w:eastAsia="zh-CN"/>
        </w:rPr>
        <w:fldChar w:fldCharType="separate"/>
      </w:r>
      <w:r w:rsidR="006B156B" w:rsidRPr="00F264F0">
        <w:rPr>
          <w:lang w:val="en-GB" w:eastAsia="zh-CN"/>
        </w:rPr>
        <w:t>[1]</w:t>
      </w:r>
      <w:r w:rsidR="005C6904" w:rsidRPr="00F264F0">
        <w:rPr>
          <w:lang w:val="en-GB" w:eastAsia="zh-CN"/>
        </w:rPr>
        <w:fldChar w:fldCharType="end"/>
      </w:r>
      <w:r w:rsidR="007E4B3D" w:rsidRPr="00F264F0">
        <w:rPr>
          <w:lang w:val="en-GB" w:eastAsia="zh-CN"/>
        </w:rPr>
        <w:t>.</w:t>
      </w:r>
    </w:p>
    <w:p w14:paraId="31249C74" w14:textId="5E551560" w:rsidR="00677DCE" w:rsidRPr="00F264F0" w:rsidRDefault="00315E2C" w:rsidP="00D81C35">
      <w:pPr>
        <w:pStyle w:val="ECCAnnexheading2"/>
        <w:rPr>
          <w:lang w:val="en-GB"/>
        </w:rPr>
      </w:pPr>
      <w:r w:rsidRPr="00F264F0">
        <w:rPr>
          <w:lang w:val="en-GB"/>
        </w:rPr>
        <w:t>A3.4</w:t>
      </w:r>
      <w:r w:rsidRPr="00F264F0">
        <w:rPr>
          <w:lang w:val="en-GB"/>
        </w:rPr>
        <w:tab/>
      </w:r>
      <w:r w:rsidR="007D617C" w:rsidRPr="00F264F0">
        <w:rPr>
          <w:lang w:val="en-GB"/>
        </w:rPr>
        <w:t xml:space="preserve">Satellite receivers (FSS) in the band 42.5-43.5 GHz </w:t>
      </w:r>
    </w:p>
    <w:p w14:paraId="733095F9" w14:textId="7F1BDE03" w:rsidR="00677DCE" w:rsidRPr="00F264F0" w:rsidRDefault="007D617C" w:rsidP="00751624">
      <w:pPr>
        <w:pStyle w:val="ECCParagraph"/>
      </w:pPr>
      <w:r w:rsidRPr="00F264F0">
        <w:t>Where there is no means to monitor the evolution of WBB ECS density and its deployment characteristics, an in-band limit for the TRP for WBB ECS equipment could be defined.</w:t>
      </w:r>
    </w:p>
    <w:p w14:paraId="6D1A41A8" w14:textId="77777777" w:rsidR="00677DCE" w:rsidRPr="00F264F0" w:rsidRDefault="007D617C" w:rsidP="001654E3">
      <w:pPr>
        <w:pStyle w:val="ECCParagraph"/>
      </w:pPr>
      <w:r w:rsidRPr="00F264F0">
        <w:t xml:space="preserve">This could compensate for the uncertainty related to the deployment density and to the effective implementation of the antenna pointing restriction, as well as the impossibility for </w:t>
      </w:r>
      <w:proofErr w:type="gramStart"/>
      <w:r w:rsidRPr="00F264F0">
        <w:t>reviewing precisely</w:t>
      </w:r>
      <w:proofErr w:type="gramEnd"/>
      <w:r w:rsidRPr="00F264F0">
        <w:t xml:space="preserve"> the effective deployment characteristics and their impact on the interference level to satellites.</w:t>
      </w:r>
    </w:p>
    <w:p w14:paraId="53CF3456" w14:textId="7E640F79" w:rsidR="00677DCE" w:rsidRPr="00F264F0" w:rsidRDefault="00315E2C" w:rsidP="00751624">
      <w:pPr>
        <w:pStyle w:val="ECCAnnexheading2"/>
        <w:rPr>
          <w:lang w:val="en-GB"/>
        </w:rPr>
      </w:pPr>
      <w:r w:rsidRPr="00F264F0">
        <w:rPr>
          <w:lang w:val="en-GB"/>
        </w:rPr>
        <w:t>A3.5</w:t>
      </w:r>
      <w:r w:rsidRPr="00F264F0">
        <w:rPr>
          <w:lang w:val="en-GB"/>
        </w:rPr>
        <w:tab/>
      </w:r>
      <w:r w:rsidR="007D617C" w:rsidRPr="00F264F0">
        <w:rPr>
          <w:lang w:val="en-GB"/>
        </w:rPr>
        <w:t>Receiving earth stations (FSS/MSS) in the band 39.5-40.5 GHz</w:t>
      </w:r>
    </w:p>
    <w:p w14:paraId="574F4287" w14:textId="68B5F503" w:rsidR="00677DCE" w:rsidRPr="00F264F0" w:rsidRDefault="007D617C">
      <w:pPr>
        <w:pStyle w:val="ECCParagraph"/>
        <w:rPr>
          <w:lang w:eastAsia="zh-CN"/>
        </w:rPr>
      </w:pPr>
      <w:r w:rsidRPr="00F264F0">
        <w:rPr>
          <w:lang w:eastAsia="zh-CN"/>
        </w:rPr>
        <w:t>CEPT developed ECC Recommendation (22)</w:t>
      </w:r>
      <w:r w:rsidR="00E90106" w:rsidRPr="00F264F0">
        <w:rPr>
          <w:lang w:eastAsia="zh-CN"/>
        </w:rPr>
        <w:t>02</w:t>
      </w:r>
      <w:r w:rsidRPr="00F264F0">
        <w:rPr>
          <w:lang w:eastAsia="zh-CN"/>
        </w:rPr>
        <w:t xml:space="preserve"> </w:t>
      </w:r>
      <w:r w:rsidR="009534B8" w:rsidRPr="00F264F0">
        <w:rPr>
          <w:lang w:eastAsia="zh-CN"/>
        </w:rPr>
        <w:t xml:space="preserve">which </w:t>
      </w:r>
      <w:r w:rsidRPr="00F264F0">
        <w:rPr>
          <w:lang w:eastAsia="zh-CN"/>
        </w:rPr>
        <w:t>provides “</w:t>
      </w:r>
      <w:r w:rsidR="00A81AC7" w:rsidRPr="00F264F0">
        <w:t>Measures to facilitate compatibility between MFCN operating in 40.5-43.5 GHz and FSS earth stations receiving in 39.5-40.5 GHz and to prevent and/or resolve interference issues</w:t>
      </w:r>
      <w:r w:rsidRPr="00F264F0">
        <w:rPr>
          <w:lang w:eastAsia="zh-CN"/>
        </w:rPr>
        <w:t>”</w:t>
      </w:r>
      <w:r w:rsidR="005C6904" w:rsidRPr="00F264F0">
        <w:rPr>
          <w:lang w:eastAsia="zh-CN"/>
        </w:rPr>
        <w:t xml:space="preserve"> </w:t>
      </w:r>
      <w:r w:rsidR="005C6904" w:rsidRPr="00F264F0">
        <w:rPr>
          <w:lang w:eastAsia="zh-CN"/>
        </w:rPr>
        <w:fldChar w:fldCharType="begin"/>
      </w:r>
      <w:r w:rsidR="005C6904" w:rsidRPr="00F264F0">
        <w:rPr>
          <w:lang w:eastAsia="zh-CN"/>
        </w:rPr>
        <w:instrText xml:space="preserve"> REF _Ref103341333 \r \h </w:instrText>
      </w:r>
      <w:r w:rsidR="00534039" w:rsidRPr="00F264F0">
        <w:rPr>
          <w:lang w:eastAsia="zh-CN"/>
        </w:rPr>
        <w:instrText xml:space="preserve"> \* MERGEFORMAT </w:instrText>
      </w:r>
      <w:r w:rsidR="005C6904" w:rsidRPr="00F264F0">
        <w:rPr>
          <w:lang w:eastAsia="zh-CN"/>
        </w:rPr>
      </w:r>
      <w:r w:rsidR="005C6904" w:rsidRPr="00F264F0">
        <w:rPr>
          <w:lang w:eastAsia="zh-CN"/>
        </w:rPr>
        <w:fldChar w:fldCharType="separate"/>
      </w:r>
      <w:r w:rsidR="006B156B" w:rsidRPr="00F264F0">
        <w:rPr>
          <w:lang w:eastAsia="zh-CN"/>
        </w:rPr>
        <w:t>[2]</w:t>
      </w:r>
      <w:r w:rsidR="005C6904" w:rsidRPr="00F264F0">
        <w:rPr>
          <w:lang w:eastAsia="zh-CN"/>
        </w:rPr>
        <w:fldChar w:fldCharType="end"/>
      </w:r>
      <w:r w:rsidRPr="00F264F0">
        <w:rPr>
          <w:lang w:eastAsia="zh-CN"/>
        </w:rPr>
        <w:t xml:space="preserve">. </w:t>
      </w:r>
      <w:r w:rsidRPr="00F264F0">
        <w:t>Various approaches or a combination thereof could be considered to manage adjacent channel coexistence between WBB ECS and FSS at 40 GHz, e.g. separation in distance, separation in frequency, separation in angle</w:t>
      </w:r>
      <w:r w:rsidR="002E60DE" w:rsidRPr="00F264F0">
        <w:t xml:space="preserve">, </w:t>
      </w:r>
      <w:r w:rsidRPr="00F264F0">
        <w:t>depending upon line of sight and local clutter attenuation.</w:t>
      </w:r>
    </w:p>
    <w:p w14:paraId="16B80764" w14:textId="77777777" w:rsidR="00677DCE" w:rsidRPr="00F264F0" w:rsidRDefault="00677DCE">
      <w:pPr>
        <w:spacing w:before="120" w:after="120"/>
        <w:jc w:val="both"/>
        <w:rPr>
          <w:szCs w:val="20"/>
          <w:lang w:val="en-GB"/>
        </w:rPr>
      </w:pPr>
    </w:p>
    <w:p w14:paraId="2D0052B5" w14:textId="63C98A88" w:rsidR="00677DCE" w:rsidRPr="00F264F0" w:rsidRDefault="007D617C" w:rsidP="009A58A4">
      <w:pPr>
        <w:pStyle w:val="ECCAnnexheading1"/>
        <w:numPr>
          <w:ilvl w:val="0"/>
          <w:numId w:val="3"/>
        </w:numPr>
        <w:ind w:left="0"/>
      </w:pPr>
      <w:bookmarkStart w:id="154" w:name="_Toc107559564"/>
      <w:bookmarkStart w:id="155" w:name="_Toc119577671"/>
      <w:r w:rsidRPr="00F264F0">
        <w:lastRenderedPageBreak/>
        <w:t>List of reference</w:t>
      </w:r>
      <w:r w:rsidR="00911F69" w:rsidRPr="00F264F0">
        <w:t>s</w:t>
      </w:r>
      <w:bookmarkStart w:id="156" w:name="_Hlk103604798"/>
      <w:bookmarkEnd w:id="154"/>
      <w:bookmarkEnd w:id="155"/>
    </w:p>
    <w:bookmarkStart w:id="157" w:name="_Ref103332798"/>
    <w:bookmarkStart w:id="158" w:name="_Ref111556313"/>
    <w:bookmarkStart w:id="159" w:name="_Ref103863106"/>
    <w:p w14:paraId="1431309B" w14:textId="5D081085" w:rsidR="00D70114" w:rsidRPr="00F264F0" w:rsidRDefault="004E03CE" w:rsidP="00751624">
      <w:pPr>
        <w:pStyle w:val="reference"/>
        <w:numPr>
          <w:ilvl w:val="0"/>
          <w:numId w:val="28"/>
        </w:numPr>
        <w:spacing w:before="60" w:after="60"/>
        <w:rPr>
          <w:lang w:val="en-GB"/>
        </w:rPr>
      </w:pPr>
      <w:r>
        <w:fldChar w:fldCharType="begin"/>
      </w:r>
      <w:r>
        <w:instrText>HYPERLINK "https://docdb.cept.org/document/28572"</w:instrText>
      </w:r>
      <w:r>
        <w:fldChar w:fldCharType="separate"/>
      </w:r>
      <w:r>
        <w:rPr>
          <w:rStyle w:val="Hyperlink"/>
        </w:rPr>
        <w:t>ECC Recommendation (22)01</w:t>
      </w:r>
      <w:r>
        <w:fldChar w:fldCharType="end"/>
      </w:r>
      <w:bookmarkEnd w:id="157"/>
      <w:r w:rsidR="0004270A" w:rsidRPr="00F264F0">
        <w:rPr>
          <w:lang w:val="en-GB"/>
        </w:rPr>
        <w:t>: “Guidelines to support the introduction of MFCN in 40.5-43.5 GHz while ensuring, in a proportionate way, the use of FSS receiving earth stations in the frequency band 40.5-42.5 GHz and the use of FSS transmitting earth stations in the frequency band 42.5-43.5 GHz and the possibility for future deployment of these earth stations”</w:t>
      </w:r>
      <w:bookmarkEnd w:id="158"/>
    </w:p>
    <w:bookmarkStart w:id="160" w:name="_Ref103341333"/>
    <w:bookmarkStart w:id="161" w:name="_Ref111556319"/>
    <w:p w14:paraId="3E2257B7" w14:textId="3D115F24" w:rsidR="00D70114" w:rsidRPr="00F264F0" w:rsidRDefault="00483A5C" w:rsidP="00751624">
      <w:pPr>
        <w:pStyle w:val="reference"/>
        <w:numPr>
          <w:ilvl w:val="0"/>
          <w:numId w:val="28"/>
        </w:numPr>
        <w:spacing w:before="60" w:after="60"/>
        <w:rPr>
          <w:lang w:val="en-GB"/>
        </w:rPr>
      </w:pPr>
      <w:r>
        <w:fldChar w:fldCharType="begin"/>
      </w:r>
      <w:r>
        <w:instrText>HYPERLINK "https://docdb.cept.org/document/28573"</w:instrText>
      </w:r>
      <w:r>
        <w:fldChar w:fldCharType="separate"/>
      </w:r>
      <w:r>
        <w:rPr>
          <w:rStyle w:val="Hyperlink"/>
        </w:rPr>
        <w:t>ECC Recommendation (22)02</w:t>
      </w:r>
      <w:r>
        <w:fldChar w:fldCharType="end"/>
      </w:r>
      <w:bookmarkEnd w:id="160"/>
      <w:r w:rsidR="0004270A" w:rsidRPr="00F264F0">
        <w:rPr>
          <w:lang w:val="en-GB"/>
        </w:rPr>
        <w:t>: “</w:t>
      </w:r>
      <w:r w:rsidR="00B82227" w:rsidRPr="00F264F0">
        <w:rPr>
          <w:lang w:val="en-GB"/>
        </w:rPr>
        <w:t>Guidelines on m</w:t>
      </w:r>
      <w:r w:rsidR="0004270A" w:rsidRPr="00F264F0">
        <w:rPr>
          <w:lang w:val="en-GB"/>
        </w:rPr>
        <w:t>easures to facilitate compatibility between MFCN operating in 40.5-43.5 GHz and FSS earth stations receiving in 39.5-40.5 GHz and to prevent and/or resolve interference issues)</w:t>
      </w:r>
      <w:r w:rsidR="00E85E4B" w:rsidRPr="00F264F0">
        <w:rPr>
          <w:lang w:val="en-GB"/>
        </w:rPr>
        <w:t>”</w:t>
      </w:r>
      <w:bookmarkEnd w:id="161"/>
    </w:p>
    <w:bookmarkStart w:id="162" w:name="_Ref103956481"/>
    <w:p w14:paraId="503F4C4A" w14:textId="60BFB441" w:rsidR="0024603B" w:rsidRPr="00F264F0" w:rsidRDefault="007E3B40" w:rsidP="00153AD5">
      <w:pPr>
        <w:pStyle w:val="ListParagraph"/>
        <w:numPr>
          <w:ilvl w:val="0"/>
          <w:numId w:val="28"/>
        </w:numPr>
        <w:spacing w:before="60" w:after="60"/>
        <w:rPr>
          <w:lang w:val="en-GB"/>
        </w:rPr>
      </w:pPr>
      <w:r w:rsidRPr="00F264F0">
        <w:rPr>
          <w:lang w:val="en-GB"/>
        </w:rPr>
        <w:fldChar w:fldCharType="begin"/>
      </w:r>
      <w:r w:rsidRPr="00F264F0">
        <w:rPr>
          <w:lang w:val="en-GB"/>
        </w:rPr>
        <w:instrText>HYPERLINK "https://docdb.cept.org/document/593"</w:instrText>
      </w:r>
      <w:r w:rsidRPr="00F264F0">
        <w:rPr>
          <w:lang w:val="en-GB"/>
        </w:rPr>
      </w:r>
      <w:r w:rsidRPr="00F264F0">
        <w:rPr>
          <w:lang w:val="en-GB"/>
        </w:rPr>
        <w:fldChar w:fldCharType="separate"/>
      </w:r>
      <w:r w:rsidRPr="00F264F0">
        <w:rPr>
          <w:rStyle w:val="Hyperlink"/>
          <w:lang w:val="en-GB"/>
        </w:rPr>
        <w:t>ERC Report 025</w:t>
      </w:r>
      <w:r w:rsidRPr="00F264F0">
        <w:rPr>
          <w:lang w:val="en-GB"/>
        </w:rPr>
        <w:fldChar w:fldCharType="end"/>
      </w:r>
      <w:r w:rsidRPr="00F264F0">
        <w:rPr>
          <w:lang w:val="en-GB"/>
        </w:rPr>
        <w:t xml:space="preserve">: </w:t>
      </w:r>
      <w:bookmarkEnd w:id="162"/>
      <w:r w:rsidR="00E85E4B" w:rsidRPr="00F264F0">
        <w:rPr>
          <w:lang w:val="en-GB" w:eastAsia="ja-JP"/>
        </w:rPr>
        <w:t>“</w:t>
      </w:r>
      <w:r w:rsidR="009F6043" w:rsidRPr="00F264F0">
        <w:rPr>
          <w:lang w:val="en-GB" w:eastAsia="ja-JP"/>
        </w:rPr>
        <w:t>The European Table of Frequency Allocations and Applications in the frequency range 8.3 kHz to 3000 GHz (ECA Table)</w:t>
      </w:r>
      <w:r w:rsidR="00E85E4B" w:rsidRPr="00F264F0">
        <w:rPr>
          <w:lang w:val="en-GB" w:eastAsia="ja-JP"/>
        </w:rPr>
        <w:t>”</w:t>
      </w:r>
      <w:r w:rsidR="009F6043" w:rsidRPr="00F264F0">
        <w:rPr>
          <w:lang w:val="en-GB" w:eastAsia="ja-JP"/>
        </w:rPr>
        <w:t>, approved June 1994 and latest amended October 2021</w:t>
      </w:r>
    </w:p>
    <w:p w14:paraId="0071B942" w14:textId="2F9D325D" w:rsidR="00677DCE" w:rsidRPr="00F264F0" w:rsidRDefault="007D617C" w:rsidP="0074439C">
      <w:pPr>
        <w:pStyle w:val="reference"/>
        <w:numPr>
          <w:ilvl w:val="0"/>
          <w:numId w:val="28"/>
        </w:numPr>
        <w:spacing w:before="60" w:after="60"/>
        <w:rPr>
          <w:lang w:val="en-GB"/>
        </w:rPr>
      </w:pPr>
      <w:bookmarkStart w:id="163" w:name="_Ref103956624"/>
      <w:r w:rsidRPr="00F264F0">
        <w:rPr>
          <w:rFonts w:cs="Arial"/>
          <w:lang w:val="en-GB"/>
        </w:rPr>
        <w:t>ITU</w:t>
      </w:r>
      <w:r w:rsidR="00C07EC3" w:rsidRPr="00F264F0">
        <w:rPr>
          <w:rFonts w:cs="Arial"/>
          <w:lang w:val="en-GB"/>
        </w:rPr>
        <w:t>-R Document</w:t>
      </w:r>
      <w:r w:rsidR="00E404F5" w:rsidRPr="00F264F0">
        <w:rPr>
          <w:rFonts w:cs="Arial"/>
          <w:lang w:val="en-GB"/>
        </w:rPr>
        <w:t xml:space="preserve"> </w:t>
      </w:r>
      <w:hyperlink r:id="rId18" w:history="1">
        <w:r w:rsidR="00E404F5" w:rsidRPr="00F264F0">
          <w:rPr>
            <w:rStyle w:val="Hyperlink"/>
            <w:rFonts w:cs="Arial"/>
            <w:lang w:val="en-GB"/>
          </w:rPr>
          <w:t>5-1/287</w:t>
        </w:r>
      </w:hyperlink>
      <w:r w:rsidR="00983B67" w:rsidRPr="00F264F0">
        <w:rPr>
          <w:rStyle w:val="Hyperlink"/>
          <w:rFonts w:cs="Arial"/>
          <w:lang w:val="en-GB"/>
        </w:rPr>
        <w:t xml:space="preserve"> (Annex 5)</w:t>
      </w:r>
      <w:r w:rsidRPr="00F264F0">
        <w:rPr>
          <w:rFonts w:cs="Arial"/>
          <w:lang w:val="en-GB"/>
        </w:rPr>
        <w:t>,</w:t>
      </w:r>
      <w:r w:rsidRPr="00F264F0">
        <w:rPr>
          <w:lang w:val="en-GB"/>
        </w:rPr>
        <w:t xml:space="preserve"> </w:t>
      </w:r>
      <w:r w:rsidR="00E85E4B" w:rsidRPr="00F264F0">
        <w:rPr>
          <w:lang w:val="en-GB"/>
        </w:rPr>
        <w:t>“</w:t>
      </w:r>
      <w:hyperlink r:id="rId19">
        <w:r w:rsidRPr="00F264F0">
          <w:rPr>
            <w:rStyle w:val="Hyperlink"/>
            <w:lang w:val="en-GB"/>
          </w:rPr>
          <w:t>Annex 5 to Task Group 5/1 Chairman’s Report: Sharing and Compatibility Studies of IMT Systems in the 37-43.5 GHz Frequency Range</w:t>
        </w:r>
      </w:hyperlink>
      <w:r w:rsidR="00E85E4B" w:rsidRPr="00F264F0">
        <w:rPr>
          <w:rStyle w:val="Hyperlink"/>
          <w:lang w:val="en-GB"/>
        </w:rPr>
        <w:t>”</w:t>
      </w:r>
      <w:r w:rsidRPr="00F264F0">
        <w:rPr>
          <w:lang w:val="en-GB"/>
        </w:rPr>
        <w:t>, October 2018</w:t>
      </w:r>
      <w:bookmarkEnd w:id="159"/>
      <w:bookmarkEnd w:id="163"/>
    </w:p>
    <w:p w14:paraId="2101424F" w14:textId="24E6C399" w:rsidR="00677DCE" w:rsidRPr="00F264F0" w:rsidRDefault="007D617C" w:rsidP="0074439C">
      <w:pPr>
        <w:pStyle w:val="reference"/>
        <w:numPr>
          <w:ilvl w:val="0"/>
          <w:numId w:val="30"/>
        </w:numPr>
        <w:spacing w:before="60" w:after="60"/>
        <w:rPr>
          <w:lang w:val="en-GB"/>
        </w:rPr>
      </w:pPr>
      <w:bookmarkStart w:id="164" w:name="_Ref103863117"/>
      <w:r w:rsidRPr="00F264F0">
        <w:rPr>
          <w:lang w:val="en-GB"/>
        </w:rPr>
        <w:t>ITU</w:t>
      </w:r>
      <w:r w:rsidR="00E85E4B" w:rsidRPr="00F264F0">
        <w:rPr>
          <w:lang w:val="en-GB"/>
        </w:rPr>
        <w:t>-R</w:t>
      </w:r>
      <w:r w:rsidRPr="00F264F0">
        <w:rPr>
          <w:lang w:val="en-GB"/>
        </w:rPr>
        <w:t xml:space="preserve">, </w:t>
      </w:r>
      <w:hyperlink r:id="rId20">
        <w:r w:rsidRPr="00F264F0">
          <w:rPr>
            <w:rStyle w:val="Hyperlink"/>
            <w:lang w:val="en-GB"/>
          </w:rPr>
          <w:t>Handbook on Radio Astronomy</w:t>
        </w:r>
      </w:hyperlink>
      <w:r w:rsidRPr="00F264F0">
        <w:rPr>
          <w:lang w:val="en-GB"/>
        </w:rPr>
        <w:t>, 2013</w:t>
      </w:r>
      <w:bookmarkEnd w:id="164"/>
    </w:p>
    <w:bookmarkStart w:id="165" w:name="_Ref103956763"/>
    <w:p w14:paraId="10051573" w14:textId="45A2268F" w:rsidR="00EE6DF4" w:rsidRPr="00F264F0" w:rsidRDefault="00130B72" w:rsidP="00EE6DF4">
      <w:pPr>
        <w:pStyle w:val="reference"/>
        <w:numPr>
          <w:ilvl w:val="0"/>
          <w:numId w:val="30"/>
        </w:numPr>
        <w:spacing w:before="60" w:after="60"/>
        <w:rPr>
          <w:lang w:val="en-GB"/>
        </w:rPr>
      </w:pPr>
      <w:r w:rsidRPr="00F264F0">
        <w:rPr>
          <w:lang w:val="en-GB"/>
        </w:rPr>
        <w:fldChar w:fldCharType="begin"/>
      </w:r>
      <w:r w:rsidRPr="00F264F0">
        <w:rPr>
          <w:lang w:val="en-GB"/>
        </w:rPr>
        <w:instrText>HYPERLINK "https://docdb.cept.org/document/3358"</w:instrText>
      </w:r>
      <w:r w:rsidRPr="00F264F0">
        <w:rPr>
          <w:lang w:val="en-GB"/>
        </w:rPr>
      </w:r>
      <w:r w:rsidRPr="00F264F0">
        <w:rPr>
          <w:lang w:val="en-GB"/>
        </w:rPr>
        <w:fldChar w:fldCharType="separate"/>
      </w:r>
      <w:r w:rsidRPr="00F264F0">
        <w:rPr>
          <w:rStyle w:val="Hyperlink"/>
          <w:lang w:val="en-GB"/>
        </w:rPr>
        <w:t>CEPT Report 68</w:t>
      </w:r>
      <w:r w:rsidRPr="00F264F0">
        <w:rPr>
          <w:lang w:val="en-GB"/>
        </w:rPr>
        <w:fldChar w:fldCharType="end"/>
      </w:r>
      <w:r w:rsidR="00EE6DF4" w:rsidRPr="00F264F0">
        <w:rPr>
          <w:lang w:val="en-GB"/>
        </w:rPr>
        <w:t>: “Report B from CEPT to the European Commission in response to the Mandate</w:t>
      </w:r>
    </w:p>
    <w:p w14:paraId="65CF40B5" w14:textId="77777777" w:rsidR="00EE6DF4" w:rsidRPr="00F264F0" w:rsidRDefault="00EE6DF4" w:rsidP="00AE79E9">
      <w:pPr>
        <w:pStyle w:val="reference"/>
        <w:spacing w:before="60" w:after="60"/>
        <w:ind w:left="397"/>
        <w:rPr>
          <w:lang w:val="en-GB"/>
        </w:rPr>
      </w:pPr>
      <w:r w:rsidRPr="00F264F0">
        <w:rPr>
          <w:lang w:val="en-GB"/>
        </w:rPr>
        <w:t>“to develop harmonised technical conditions for spectrum use in support of the introduction of next-generation (5G) terrestrial wireless systems in the Union”</w:t>
      </w:r>
    </w:p>
    <w:p w14:paraId="6966ECB3" w14:textId="0CB54073" w:rsidR="00F14C54" w:rsidRPr="00F264F0" w:rsidRDefault="00EE6DF4" w:rsidP="00AE79E9">
      <w:pPr>
        <w:pStyle w:val="reference"/>
        <w:spacing w:before="60" w:after="60"/>
        <w:ind w:left="397"/>
        <w:rPr>
          <w:lang w:val="en-GB"/>
        </w:rPr>
      </w:pPr>
      <w:r w:rsidRPr="00F264F0">
        <w:rPr>
          <w:lang w:val="en-GB"/>
        </w:rPr>
        <w:t xml:space="preserve">Harmonised technical conditions for the 24.25-27.5 GHz ('26 GHz') frequency band”, </w:t>
      </w:r>
      <w:r w:rsidR="00AE79E9" w:rsidRPr="00F264F0">
        <w:rPr>
          <w:lang w:val="en-GB"/>
        </w:rPr>
        <w:t>approved July 2018</w:t>
      </w:r>
      <w:bookmarkEnd w:id="165"/>
    </w:p>
    <w:bookmarkStart w:id="166" w:name="_Ref103956776"/>
    <w:bookmarkStart w:id="167" w:name="_Ref107478038"/>
    <w:p w14:paraId="2C939035" w14:textId="7B7DA421" w:rsidR="00F14C54" w:rsidRPr="00F264F0" w:rsidRDefault="000751AB" w:rsidP="004627D7">
      <w:pPr>
        <w:pStyle w:val="reference"/>
        <w:numPr>
          <w:ilvl w:val="0"/>
          <w:numId w:val="30"/>
        </w:numPr>
        <w:spacing w:before="60" w:after="60"/>
        <w:rPr>
          <w:lang w:val="en-GB"/>
        </w:rPr>
      </w:pPr>
      <w:r w:rsidRPr="00F264F0">
        <w:rPr>
          <w:lang w:val="en-GB"/>
        </w:rPr>
        <w:fldChar w:fldCharType="begin"/>
      </w:r>
      <w:r w:rsidRPr="00F264F0">
        <w:rPr>
          <w:lang w:val="en-GB"/>
        </w:rPr>
        <w:instrText>HYPERLINK "https://docdb.cept.org/document/3361"</w:instrText>
      </w:r>
      <w:r w:rsidRPr="00F264F0">
        <w:rPr>
          <w:lang w:val="en-GB"/>
        </w:rPr>
      </w:r>
      <w:r w:rsidRPr="00F264F0">
        <w:rPr>
          <w:lang w:val="en-GB"/>
        </w:rPr>
        <w:fldChar w:fldCharType="separate"/>
      </w:r>
      <w:r w:rsidRPr="00F264F0">
        <w:rPr>
          <w:rStyle w:val="Hyperlink"/>
          <w:lang w:val="en-GB"/>
        </w:rPr>
        <w:t>ECC Decision 18(06)</w:t>
      </w:r>
      <w:r w:rsidRPr="00F264F0">
        <w:rPr>
          <w:lang w:val="en-GB"/>
        </w:rPr>
        <w:fldChar w:fldCharType="end"/>
      </w:r>
      <w:bookmarkEnd w:id="166"/>
      <w:r w:rsidR="004627D7" w:rsidRPr="00F264F0">
        <w:rPr>
          <w:lang w:val="en-GB"/>
        </w:rPr>
        <w:t>: “ECC Decision of 6 July 2018 on the harmonised technical conditions for Mobile/Fixed Communications Networks (MFCN) in the band 24.25-27.5 GHz”, latest amended on 20 November 2020</w:t>
      </w:r>
      <w:bookmarkEnd w:id="167"/>
    </w:p>
    <w:p w14:paraId="340FFA6D" w14:textId="78CB071A" w:rsidR="00F14C54" w:rsidRPr="00F264F0" w:rsidRDefault="00F14C54" w:rsidP="00F14C54">
      <w:pPr>
        <w:pStyle w:val="reference"/>
        <w:numPr>
          <w:ilvl w:val="0"/>
          <w:numId w:val="30"/>
        </w:numPr>
        <w:spacing w:before="60" w:after="60"/>
        <w:rPr>
          <w:lang w:val="en-GB"/>
        </w:rPr>
      </w:pPr>
      <w:bookmarkStart w:id="168" w:name="_Ref103956784"/>
      <w:r w:rsidRPr="00F264F0">
        <w:rPr>
          <w:lang w:val="en-GB"/>
        </w:rPr>
        <w:t xml:space="preserve">EC Decisions (EU) 2020/590 </w:t>
      </w:r>
      <w:r w:rsidR="00B95BE5" w:rsidRPr="00F264F0">
        <w:rPr>
          <w:lang w:val="en-GB"/>
        </w:rPr>
        <w:t xml:space="preserve">of 24 April 2020 </w:t>
      </w:r>
      <w:r w:rsidRPr="00F264F0">
        <w:rPr>
          <w:lang w:val="en-GB"/>
        </w:rPr>
        <w:t>amending Decision (EU) 2019/784</w:t>
      </w:r>
      <w:bookmarkEnd w:id="168"/>
      <w:r w:rsidR="00B95BE5" w:rsidRPr="00F264F0">
        <w:rPr>
          <w:lang w:val="en-GB"/>
        </w:rPr>
        <w:t xml:space="preserve"> as regards an update of relevant technical conditions applicable to the 24,25-27,5 GHz frequency band</w:t>
      </w:r>
    </w:p>
    <w:p w14:paraId="35443B99" w14:textId="50C4A8E7" w:rsidR="00AB6FB4" w:rsidRPr="00F264F0" w:rsidRDefault="00AB6FB4" w:rsidP="0074439C">
      <w:pPr>
        <w:pStyle w:val="reference"/>
        <w:numPr>
          <w:ilvl w:val="0"/>
          <w:numId w:val="31"/>
        </w:numPr>
        <w:spacing w:before="60" w:after="60"/>
        <w:rPr>
          <w:lang w:val="en-GB"/>
        </w:rPr>
      </w:pPr>
      <w:bookmarkStart w:id="169" w:name="_Ref103957124"/>
      <w:r w:rsidRPr="00F264F0">
        <w:rPr>
          <w:lang w:val="en-GB"/>
        </w:rPr>
        <w:t>Decision No 676/2002/EC of the European Parliament and of the Council of 7 March 2002 on a regulatory framework for radio spectrum policy in the European Community (Radio Spectrum Decision)</w:t>
      </w:r>
      <w:bookmarkEnd w:id="169"/>
    </w:p>
    <w:bookmarkStart w:id="170" w:name="_Ref104896175"/>
    <w:p w14:paraId="60BAA691" w14:textId="422168AF" w:rsidR="001F113C" w:rsidRPr="00F264F0" w:rsidRDefault="001F113C" w:rsidP="001F113C">
      <w:pPr>
        <w:pStyle w:val="reference"/>
        <w:numPr>
          <w:ilvl w:val="0"/>
          <w:numId w:val="31"/>
        </w:numPr>
        <w:spacing w:before="60" w:after="60"/>
        <w:rPr>
          <w:lang w:val="en-GB"/>
        </w:rPr>
      </w:pPr>
      <w:r w:rsidRPr="00F264F0">
        <w:rPr>
          <w:lang w:val="en-GB"/>
        </w:rPr>
        <w:fldChar w:fldCharType="begin"/>
      </w:r>
      <w:r w:rsidRPr="00F264F0">
        <w:rPr>
          <w:lang w:val="en-GB"/>
        </w:rPr>
        <w:instrText>HYPERLINK "https://docdb.cept.org/document/281"</w:instrText>
      </w:r>
      <w:r w:rsidRPr="00F264F0">
        <w:rPr>
          <w:lang w:val="en-GB"/>
        </w:rPr>
      </w:r>
      <w:r w:rsidRPr="00F264F0">
        <w:rPr>
          <w:lang w:val="en-GB"/>
        </w:rPr>
        <w:fldChar w:fldCharType="separate"/>
      </w:r>
      <w:r w:rsidRPr="00F264F0">
        <w:rPr>
          <w:rStyle w:val="Hyperlink"/>
          <w:lang w:val="en-GB"/>
        </w:rPr>
        <w:t>ECC Report 173</w:t>
      </w:r>
      <w:r w:rsidRPr="00F264F0">
        <w:rPr>
          <w:lang w:val="en-GB"/>
        </w:rPr>
        <w:fldChar w:fldCharType="end"/>
      </w:r>
      <w:r w:rsidRPr="00F264F0">
        <w:rPr>
          <w:lang w:val="en-GB"/>
        </w:rPr>
        <w:t>: “Fixed Service in Europe Current use and future trends post 2016</w:t>
      </w:r>
      <w:r w:rsidR="00B95BE5" w:rsidRPr="00F264F0">
        <w:rPr>
          <w:lang w:val="en-GB"/>
        </w:rPr>
        <w:t>”</w:t>
      </w:r>
      <w:r w:rsidRPr="00F264F0">
        <w:rPr>
          <w:lang w:val="en-GB"/>
        </w:rPr>
        <w:t>, approved March 2012 and amended 27 April 2018</w:t>
      </w:r>
      <w:bookmarkEnd w:id="170"/>
    </w:p>
    <w:bookmarkStart w:id="171" w:name="_Ref103957616"/>
    <w:bookmarkStart w:id="172" w:name="_Ref110601742"/>
    <w:p w14:paraId="38B055FF" w14:textId="5438C48D" w:rsidR="0061228C" w:rsidRPr="00F264F0" w:rsidRDefault="003B6CCA" w:rsidP="0074439C">
      <w:pPr>
        <w:pStyle w:val="reference"/>
        <w:numPr>
          <w:ilvl w:val="0"/>
          <w:numId w:val="31"/>
        </w:numPr>
        <w:spacing w:before="60" w:after="60"/>
        <w:rPr>
          <w:lang w:val="en-GB"/>
        </w:rPr>
      </w:pPr>
      <w:r w:rsidRPr="00F264F0">
        <w:rPr>
          <w:lang w:val="en-GB"/>
        </w:rPr>
        <w:fldChar w:fldCharType="begin"/>
      </w:r>
      <w:r w:rsidRPr="00F264F0">
        <w:rPr>
          <w:lang w:val="en-GB"/>
        </w:rPr>
        <w:instrText>HYPERLINK "https://docdb.cept.org/document/359"</w:instrText>
      </w:r>
      <w:r w:rsidRPr="00F264F0">
        <w:rPr>
          <w:lang w:val="en-GB"/>
        </w:rPr>
      </w:r>
      <w:r w:rsidRPr="00F264F0">
        <w:rPr>
          <w:lang w:val="en-GB"/>
        </w:rPr>
        <w:fldChar w:fldCharType="separate"/>
      </w:r>
      <w:r w:rsidRPr="00F264F0">
        <w:rPr>
          <w:rStyle w:val="Hyperlink"/>
          <w:lang w:val="en-GB"/>
        </w:rPr>
        <w:t>ECC Decision (02)04</w:t>
      </w:r>
      <w:r w:rsidRPr="00F264F0">
        <w:rPr>
          <w:lang w:val="en-GB"/>
        </w:rPr>
        <w:fldChar w:fldCharType="end"/>
      </w:r>
      <w:r w:rsidRPr="00F264F0">
        <w:rPr>
          <w:lang w:val="en-GB"/>
        </w:rPr>
        <w:t xml:space="preserve">: </w:t>
      </w:r>
      <w:bookmarkEnd w:id="171"/>
      <w:r w:rsidR="004D4A75" w:rsidRPr="00F264F0">
        <w:rPr>
          <w:lang w:val="en-GB"/>
        </w:rPr>
        <w:t>“ECC Decision of 15 March 2002 on the use of the band 40.5 – 42.5 GHz by terrestrial (fixed service/ broadcasting service) systems and uncoordinated Earth stations in the fixed satellite service and broadcasting-satellite service (space to Earth)”, approved March 2002</w:t>
      </w:r>
      <w:bookmarkEnd w:id="172"/>
    </w:p>
    <w:bookmarkStart w:id="173" w:name="_Ref104795861"/>
    <w:bookmarkStart w:id="174" w:name="_Ref103957716"/>
    <w:p w14:paraId="7FA2BA3B" w14:textId="40C28EAE" w:rsidR="0022328C" w:rsidRPr="00F264F0" w:rsidRDefault="002A5B38" w:rsidP="0068076B">
      <w:pPr>
        <w:pStyle w:val="reference"/>
        <w:numPr>
          <w:ilvl w:val="0"/>
          <w:numId w:val="31"/>
        </w:numPr>
        <w:spacing w:before="60" w:after="60"/>
        <w:rPr>
          <w:lang w:val="en-GB"/>
        </w:rPr>
      </w:pPr>
      <w:r w:rsidRPr="00F264F0">
        <w:rPr>
          <w:lang w:val="en-GB"/>
        </w:rPr>
        <w:fldChar w:fldCharType="begin"/>
      </w:r>
      <w:r w:rsidRPr="00F264F0">
        <w:rPr>
          <w:lang w:val="en-GB"/>
        </w:rPr>
        <w:instrText>HYPERLINK "https://docdb.cept.org/document/680"</w:instrText>
      </w:r>
      <w:r w:rsidRPr="00F264F0">
        <w:rPr>
          <w:lang w:val="en-GB"/>
        </w:rPr>
      </w:r>
      <w:r w:rsidRPr="00F264F0">
        <w:rPr>
          <w:lang w:val="en-GB"/>
        </w:rPr>
        <w:fldChar w:fldCharType="separate"/>
      </w:r>
      <w:r w:rsidRPr="00F264F0">
        <w:rPr>
          <w:rStyle w:val="Hyperlink"/>
          <w:lang w:val="en-GB"/>
        </w:rPr>
        <w:t>ERC Decision (00)02</w:t>
      </w:r>
      <w:r w:rsidRPr="00F264F0">
        <w:rPr>
          <w:lang w:val="en-GB"/>
        </w:rPr>
        <w:fldChar w:fldCharType="end"/>
      </w:r>
      <w:r w:rsidR="000F1F8A" w:rsidRPr="00F264F0">
        <w:rPr>
          <w:lang w:val="en-GB"/>
        </w:rPr>
        <w:t>:</w:t>
      </w:r>
      <w:r w:rsidR="006D49E1" w:rsidRPr="00F264F0">
        <w:rPr>
          <w:lang w:val="en-GB"/>
        </w:rPr>
        <w:t xml:space="preserve"> “ERC Decision of 27 March 2000 on use of the band 37.5-39.5 GHz by the fixed service and by earth stations of the fixed-satellite service (space-to-Earth) and use of the band 39.5-40.5 GHz by earth stations of the fixed-satellite service and the mobile-satellite service (space-to-Earth)</w:t>
      </w:r>
      <w:bookmarkEnd w:id="173"/>
      <w:r w:rsidR="00FF1B27" w:rsidRPr="00F264F0">
        <w:rPr>
          <w:lang w:val="en-GB"/>
        </w:rPr>
        <w:t>”, amended March 2022</w:t>
      </w:r>
    </w:p>
    <w:p w14:paraId="7A2AA01B" w14:textId="4762887B" w:rsidR="00F57500" w:rsidRPr="00F264F0" w:rsidRDefault="00CA5C14" w:rsidP="00F57500">
      <w:pPr>
        <w:pStyle w:val="reference"/>
        <w:numPr>
          <w:ilvl w:val="0"/>
          <w:numId w:val="31"/>
        </w:numPr>
        <w:spacing w:before="60" w:after="60"/>
        <w:rPr>
          <w:lang w:val="en-GB"/>
        </w:rPr>
      </w:pPr>
      <w:bookmarkStart w:id="175" w:name="_Ref103958175"/>
      <w:bookmarkEnd w:id="174"/>
      <w:r w:rsidRPr="00F264F0">
        <w:rPr>
          <w:lang w:val="en-GB"/>
        </w:rPr>
        <w:t xml:space="preserve">Recommendation </w:t>
      </w:r>
      <w:r w:rsidR="00F57500" w:rsidRPr="00F264F0">
        <w:rPr>
          <w:lang w:val="en-GB"/>
        </w:rPr>
        <w:t>ITU-R M.2101-0 “Modelling and simulation of IMT networks and systems in sharing and compatibility studies”</w:t>
      </w:r>
      <w:bookmarkEnd w:id="175"/>
    </w:p>
    <w:bookmarkStart w:id="176" w:name="_Ref103958232"/>
    <w:p w14:paraId="64199208" w14:textId="49099F41" w:rsidR="008611D3" w:rsidRPr="00F264F0" w:rsidRDefault="001745DA" w:rsidP="00F57500">
      <w:pPr>
        <w:pStyle w:val="reference"/>
        <w:numPr>
          <w:ilvl w:val="0"/>
          <w:numId w:val="31"/>
        </w:numPr>
        <w:spacing w:before="60" w:after="60"/>
        <w:rPr>
          <w:lang w:val="en-GB"/>
        </w:rPr>
      </w:pPr>
      <w:r w:rsidRPr="00F264F0">
        <w:rPr>
          <w:lang w:val="en-GB"/>
        </w:rPr>
        <w:fldChar w:fldCharType="begin"/>
      </w:r>
      <w:r w:rsidRPr="00F264F0">
        <w:rPr>
          <w:lang w:val="en-GB"/>
        </w:rPr>
        <w:instrText>HYPERLINK "https://docdb.cept.org/document/13859"</w:instrText>
      </w:r>
      <w:r w:rsidRPr="00F264F0">
        <w:rPr>
          <w:lang w:val="en-GB"/>
        </w:rPr>
      </w:r>
      <w:r w:rsidRPr="00F264F0">
        <w:rPr>
          <w:lang w:val="en-GB"/>
        </w:rPr>
        <w:fldChar w:fldCharType="separate"/>
      </w:r>
      <w:r w:rsidRPr="00F264F0">
        <w:rPr>
          <w:rStyle w:val="Hyperlink"/>
          <w:lang w:val="en-GB"/>
        </w:rPr>
        <w:t>ECC Report 307</w:t>
      </w:r>
      <w:r w:rsidRPr="00F264F0">
        <w:rPr>
          <w:lang w:val="en-GB"/>
        </w:rPr>
        <w:fldChar w:fldCharType="end"/>
      </w:r>
      <w:bookmarkEnd w:id="176"/>
      <w:r w:rsidR="00AE79E9" w:rsidRPr="00F264F0">
        <w:rPr>
          <w:lang w:val="en-GB"/>
        </w:rPr>
        <w:t>: “</w:t>
      </w:r>
      <w:r w:rsidR="00D42B3C" w:rsidRPr="00F264F0">
        <w:rPr>
          <w:lang w:val="en-GB"/>
        </w:rPr>
        <w:t>Toolbox for the most appropriate synchronisation regulatory framework including coexistence of MFCN in 24.25-27.5 GHz in unsynchronised and semi-synchronised mode”, approved</w:t>
      </w:r>
      <w:r w:rsidR="00497347" w:rsidRPr="00F264F0">
        <w:rPr>
          <w:lang w:val="en-GB"/>
        </w:rPr>
        <w:t xml:space="preserve"> March 2020</w:t>
      </w:r>
      <w:r w:rsidR="00AE79E9" w:rsidRPr="00F264F0">
        <w:rPr>
          <w:lang w:val="en-GB"/>
        </w:rPr>
        <w:t xml:space="preserve"> </w:t>
      </w:r>
    </w:p>
    <w:p w14:paraId="622BF042" w14:textId="41862FBD" w:rsidR="005A446D" w:rsidRPr="00F264F0" w:rsidRDefault="005A446D" w:rsidP="00F57500">
      <w:pPr>
        <w:pStyle w:val="reference"/>
        <w:numPr>
          <w:ilvl w:val="0"/>
          <w:numId w:val="31"/>
        </w:numPr>
        <w:spacing w:before="60" w:after="60"/>
        <w:rPr>
          <w:lang w:val="en-GB"/>
        </w:rPr>
      </w:pPr>
      <w:bookmarkStart w:id="177" w:name="_Ref103958402"/>
      <w:r w:rsidRPr="00F264F0">
        <w:rPr>
          <w:lang w:val="en-GB"/>
        </w:rPr>
        <w:t>ITU-R Document 5/1-36</w:t>
      </w:r>
      <w:bookmarkEnd w:id="177"/>
      <w:r w:rsidR="00070A05" w:rsidRPr="00F264F0">
        <w:rPr>
          <w:lang w:val="en-GB"/>
        </w:rPr>
        <w:t>: “Liaison statement to Task Group 5/1 - Spectrum needs and characteristics for the terrestrial component of IMT in the frequency range between 24.25 GHz and 86 GHz”</w:t>
      </w:r>
    </w:p>
    <w:p w14:paraId="75DFD7BB" w14:textId="53C3D54F" w:rsidR="00F837E2" w:rsidRPr="00F264F0" w:rsidRDefault="00F837E2" w:rsidP="00F837E2">
      <w:pPr>
        <w:pStyle w:val="reference"/>
        <w:numPr>
          <w:ilvl w:val="0"/>
          <w:numId w:val="31"/>
        </w:numPr>
        <w:spacing w:before="60" w:after="60"/>
        <w:rPr>
          <w:lang w:val="en-GB"/>
        </w:rPr>
      </w:pPr>
      <w:bookmarkStart w:id="178" w:name="_Ref103862923"/>
      <w:r w:rsidRPr="00F264F0">
        <w:rPr>
          <w:lang w:val="en-GB"/>
        </w:rPr>
        <w:t>Recommendation ITU-R P.2108</w:t>
      </w:r>
      <w:bookmarkEnd w:id="178"/>
      <w:r w:rsidR="00720A71" w:rsidRPr="00F264F0">
        <w:rPr>
          <w:lang w:val="en-GB"/>
        </w:rPr>
        <w:t>: “Prediction of clutter loss”</w:t>
      </w:r>
    </w:p>
    <w:bookmarkStart w:id="179" w:name="_Ref104884918"/>
    <w:p w14:paraId="3D477C39" w14:textId="28E1B29F" w:rsidR="00FC2B99" w:rsidRPr="00F264F0" w:rsidRDefault="001B4F22" w:rsidP="00FC2B99">
      <w:pPr>
        <w:pStyle w:val="reference"/>
        <w:numPr>
          <w:ilvl w:val="0"/>
          <w:numId w:val="31"/>
        </w:numPr>
        <w:spacing w:before="60" w:after="60"/>
        <w:rPr>
          <w:lang w:val="en-GB"/>
        </w:rPr>
      </w:pPr>
      <w:r>
        <w:fldChar w:fldCharType="begin"/>
      </w:r>
      <w:r>
        <w:instrText>HYPERLINK "https://docdb.cept.org/document/28571"</w:instrText>
      </w:r>
      <w:r>
        <w:fldChar w:fldCharType="separate"/>
      </w:r>
      <w:r>
        <w:rPr>
          <w:rStyle w:val="Hyperlink"/>
        </w:rPr>
        <w:t>ECC Decision (22)06</w:t>
      </w:r>
      <w:r>
        <w:fldChar w:fldCharType="end"/>
      </w:r>
      <w:r w:rsidR="00FC2B99" w:rsidRPr="00F264F0">
        <w:rPr>
          <w:lang w:val="en-GB"/>
        </w:rPr>
        <w:t>: “Harmonised technical conditions for Mobile/Fixed Communications Networks (MFCN) in the band 40.5-43.5 GHz”</w:t>
      </w:r>
      <w:bookmarkEnd w:id="179"/>
    </w:p>
    <w:p w14:paraId="7BA646E9" w14:textId="666D7C55" w:rsidR="002A268E" w:rsidRPr="00F264F0" w:rsidRDefault="00946848" w:rsidP="0074439C">
      <w:pPr>
        <w:pStyle w:val="reference"/>
        <w:numPr>
          <w:ilvl w:val="0"/>
          <w:numId w:val="17"/>
        </w:numPr>
        <w:spacing w:before="60" w:after="60"/>
        <w:rPr>
          <w:lang w:val="en-GB"/>
        </w:rPr>
      </w:pPr>
      <w:bookmarkStart w:id="180" w:name="_Ref103958952"/>
      <w:bookmarkStart w:id="181" w:name="_Ref103958983"/>
      <w:r w:rsidRPr="00F264F0">
        <w:rPr>
          <w:lang w:val="en-GB"/>
        </w:rPr>
        <w:t>ETSI TS 138 104 V17.6.0: “NR: Base Station (BS) radio transmission and reception</w:t>
      </w:r>
      <w:r w:rsidR="002A268E" w:rsidRPr="00F264F0">
        <w:rPr>
          <w:lang w:val="en-GB"/>
        </w:rPr>
        <w:t>”</w:t>
      </w:r>
      <w:bookmarkStart w:id="182" w:name="_Ref116551982"/>
    </w:p>
    <w:p w14:paraId="1CE0F9A7" w14:textId="6DB3BCA7" w:rsidR="00A21E73" w:rsidRPr="00F264F0" w:rsidRDefault="00A21E73" w:rsidP="0074439C">
      <w:pPr>
        <w:pStyle w:val="reference"/>
        <w:numPr>
          <w:ilvl w:val="0"/>
          <w:numId w:val="34"/>
        </w:numPr>
        <w:spacing w:before="60" w:after="60"/>
        <w:rPr>
          <w:lang w:val="en-GB"/>
        </w:rPr>
      </w:pPr>
      <w:bookmarkStart w:id="183" w:name="_Ref104199272"/>
      <w:bookmarkEnd w:id="180"/>
      <w:bookmarkEnd w:id="181"/>
      <w:bookmarkEnd w:id="182"/>
      <w:r w:rsidRPr="00F264F0">
        <w:rPr>
          <w:lang w:val="en-GB"/>
        </w:rPr>
        <w:t>ECC(19)081 Annex 09</w:t>
      </w:r>
      <w:bookmarkEnd w:id="183"/>
      <w:r w:rsidR="00E767C8" w:rsidRPr="00F264F0">
        <w:rPr>
          <w:lang w:val="en-GB"/>
        </w:rPr>
        <w:t>: “</w:t>
      </w:r>
      <w:r w:rsidR="004742B8" w:rsidRPr="00F264F0">
        <w:rPr>
          <w:lang w:val="en-GB"/>
        </w:rPr>
        <w:t xml:space="preserve">Additional input regarding harmonised technical conditions for the </w:t>
      </w:r>
      <w:r w:rsidR="00B445E4" w:rsidRPr="00F264F0">
        <w:rPr>
          <w:lang w:val="en-GB"/>
        </w:rPr>
        <w:t>26 GHz band</w:t>
      </w:r>
      <w:r w:rsidR="00E767C8" w:rsidRPr="00F264F0">
        <w:rPr>
          <w:lang w:val="en-GB"/>
        </w:rPr>
        <w:t>”</w:t>
      </w:r>
      <w:r w:rsidR="00A32967" w:rsidRPr="00F264F0">
        <w:rPr>
          <w:lang w:val="en-GB"/>
        </w:rPr>
        <w:t>, ECC</w:t>
      </w:r>
      <w:r w:rsidR="006B034F" w:rsidRPr="00F264F0">
        <w:rPr>
          <w:lang w:val="en-GB"/>
        </w:rPr>
        <w:t>#51</w:t>
      </w:r>
      <w:r w:rsidR="00A32967" w:rsidRPr="00F264F0">
        <w:rPr>
          <w:lang w:val="en-GB"/>
        </w:rPr>
        <w:t>, July 2019</w:t>
      </w:r>
    </w:p>
    <w:p w14:paraId="5CC241A5" w14:textId="4A0058D2" w:rsidR="00677DCE" w:rsidRPr="00F264F0" w:rsidRDefault="00946848" w:rsidP="00F264F0">
      <w:pPr>
        <w:pStyle w:val="reference"/>
        <w:numPr>
          <w:ilvl w:val="0"/>
          <w:numId w:val="34"/>
        </w:numPr>
        <w:spacing w:before="60" w:after="60"/>
        <w:rPr>
          <w:lang w:val="en-GB"/>
        </w:rPr>
      </w:pPr>
      <w:bookmarkStart w:id="184" w:name="_Ref116552092"/>
      <w:r w:rsidRPr="00F264F0">
        <w:rPr>
          <w:lang w:val="en-GB"/>
        </w:rPr>
        <w:t>ETSI TS 138 101-2 V17.6.0: “User Equipment (UE) radio transmission and reception; Part 2: Range 2 Standalone</w:t>
      </w:r>
      <w:bookmarkEnd w:id="156"/>
      <w:r w:rsidR="002A268E" w:rsidRPr="00F264F0">
        <w:rPr>
          <w:lang w:val="en-GB"/>
        </w:rPr>
        <w:t>”</w:t>
      </w:r>
      <w:bookmarkEnd w:id="184"/>
    </w:p>
    <w:sectPr w:rsidR="00677DCE" w:rsidRPr="00F264F0">
      <w:headerReference w:type="even" r:id="rId21"/>
      <w:headerReference w:type="default" r:id="rId22"/>
      <w:footerReference w:type="even" r:id="rId23"/>
      <w:footerReference w:type="default" r:id="rId24"/>
      <w:headerReference w:type="first" r:id="rId25"/>
      <w:footnotePr>
        <w:numRestart w:val="eachSect"/>
      </w:footnotePr>
      <w:pgSz w:w="11906" w:h="16838"/>
      <w:pgMar w:top="1440" w:right="1134" w:bottom="1440" w:left="1134" w:header="709"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CBBD4" w14:textId="77777777" w:rsidR="00490E60" w:rsidRDefault="00490E60">
      <w:r>
        <w:separator/>
      </w:r>
    </w:p>
    <w:p w14:paraId="0F1E9008" w14:textId="77777777" w:rsidR="00490E60" w:rsidRDefault="00490E60"/>
  </w:endnote>
  <w:endnote w:type="continuationSeparator" w:id="0">
    <w:p w14:paraId="5EEB9BA7" w14:textId="77777777" w:rsidR="00490E60" w:rsidRDefault="00490E60">
      <w:r>
        <w:continuationSeparator/>
      </w:r>
    </w:p>
    <w:p w14:paraId="0FBF2EC3" w14:textId="77777777" w:rsidR="00490E60" w:rsidRDefault="00490E60"/>
  </w:endnote>
  <w:endnote w:type="continuationNotice" w:id="1">
    <w:p w14:paraId="0641B10B" w14:textId="77777777" w:rsidR="00490E60" w:rsidRDefault="00490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3F9D" w14:textId="77777777" w:rsidR="006E7E00" w:rsidRDefault="006E7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F86D" w14:textId="77777777" w:rsidR="006E7E00" w:rsidRDefault="006E7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A28" w14:textId="77777777" w:rsidR="006E7E00" w:rsidRDefault="006E7E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8FC7" w14:textId="77777777" w:rsidR="006E7E00" w:rsidRDefault="006E7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B60D" w14:textId="77777777" w:rsidR="00490E60" w:rsidRDefault="00490E60">
      <w:pPr>
        <w:rPr>
          <w:sz w:val="12"/>
        </w:rPr>
      </w:pPr>
      <w:r>
        <w:separator/>
      </w:r>
    </w:p>
    <w:p w14:paraId="5D91DB5A" w14:textId="77777777" w:rsidR="00490E60" w:rsidRDefault="00490E60"/>
  </w:footnote>
  <w:footnote w:type="continuationSeparator" w:id="0">
    <w:p w14:paraId="672C1021" w14:textId="77777777" w:rsidR="00490E60" w:rsidRDefault="00490E60">
      <w:pPr>
        <w:rPr>
          <w:sz w:val="12"/>
        </w:rPr>
      </w:pPr>
      <w:r>
        <w:continuationSeparator/>
      </w:r>
    </w:p>
    <w:p w14:paraId="2073B741" w14:textId="77777777" w:rsidR="00490E60" w:rsidRDefault="00490E60"/>
  </w:footnote>
  <w:footnote w:type="continuationNotice" w:id="1">
    <w:p w14:paraId="3A7CCE4F" w14:textId="77777777" w:rsidR="00490E60" w:rsidRDefault="00490E60"/>
  </w:footnote>
  <w:footnote w:id="2">
    <w:p w14:paraId="56B6342F" w14:textId="5692DDEB" w:rsidR="006E7E00" w:rsidRPr="00351874" w:rsidRDefault="006E7E00">
      <w:pPr>
        <w:pStyle w:val="FootnoteText"/>
        <w:rPr>
          <w:sz w:val="16"/>
        </w:rPr>
      </w:pPr>
      <w:r w:rsidRPr="00A946A3">
        <w:rPr>
          <w:rStyle w:val="FootnoteCharacters"/>
          <w:sz w:val="16"/>
        </w:rPr>
        <w:footnoteRef/>
      </w:r>
      <w:r w:rsidRPr="00351874">
        <w:rPr>
          <w:sz w:val="16"/>
        </w:rPr>
        <w:t xml:space="preserve"> The results of the WRC-19 sharing studies between co-frequency FSS and IMT systems in the band 40.5-42.5 GHz</w:t>
      </w:r>
    </w:p>
  </w:footnote>
  <w:footnote w:id="3">
    <w:p w14:paraId="4B10868A" w14:textId="030F0E36" w:rsidR="006E7E00" w:rsidRPr="00351874" w:rsidRDefault="006E7E00">
      <w:pPr>
        <w:pStyle w:val="FootnoteText"/>
        <w:rPr>
          <w:sz w:val="16"/>
        </w:rPr>
      </w:pPr>
      <w:r w:rsidRPr="00351874">
        <w:rPr>
          <w:rStyle w:val="FootnoteCharacters"/>
          <w:sz w:val="16"/>
        </w:rPr>
        <w:footnoteRef/>
      </w:r>
      <w:r w:rsidRPr="00351874">
        <w:rPr>
          <w:sz w:val="16"/>
        </w:rPr>
        <w:t xml:space="preserve"> For information, WBB ECS BS OBUE limits applicable in the frequency range 37</w:t>
      </w:r>
      <w:r w:rsidRPr="00356FC8">
        <w:rPr>
          <w:sz w:val="16"/>
        </w:rPr>
        <w:t>-</w:t>
      </w:r>
      <w:r w:rsidRPr="00351874">
        <w:rPr>
          <w:sz w:val="16"/>
        </w:rPr>
        <w:t xml:space="preserve">52.6 GHz in accordance with </w:t>
      </w:r>
      <w:r w:rsidRPr="00356FC8">
        <w:rPr>
          <w:sz w:val="16"/>
        </w:rPr>
        <w:fldChar w:fldCharType="begin"/>
      </w:r>
      <w:r w:rsidRPr="00356FC8">
        <w:rPr>
          <w:sz w:val="16"/>
        </w:rPr>
        <w:instrText xml:space="preserve"> REF _Ref103958952 \r \h  \* MERGEFORMAT </w:instrText>
      </w:r>
      <w:r w:rsidRPr="00356FC8">
        <w:rPr>
          <w:sz w:val="16"/>
        </w:rPr>
      </w:r>
      <w:r w:rsidRPr="00356FC8">
        <w:rPr>
          <w:sz w:val="16"/>
        </w:rPr>
        <w:fldChar w:fldCharType="separate"/>
      </w:r>
      <w:r w:rsidRPr="00356FC8">
        <w:rPr>
          <w:sz w:val="16"/>
        </w:rPr>
        <w:t>[18]</w:t>
      </w:r>
      <w:r w:rsidRPr="00356FC8">
        <w:rPr>
          <w:sz w:val="16"/>
        </w:rPr>
        <w:fldChar w:fldCharType="end"/>
      </w:r>
      <w:r w:rsidR="00F264F0">
        <w:rPr>
          <w:sz w:val="16"/>
        </w:rPr>
        <w:t>:</w:t>
      </w:r>
    </w:p>
    <w:tbl>
      <w:tblPr>
        <w:tblStyle w:val="TableGrid"/>
        <w:tblW w:w="9071" w:type="dxa"/>
        <w:tblLook w:val="01E0" w:firstRow="1" w:lastRow="1" w:firstColumn="1" w:lastColumn="1" w:noHBand="0" w:noVBand="0"/>
      </w:tblPr>
      <w:tblGrid>
        <w:gridCol w:w="3537"/>
        <w:gridCol w:w="3259"/>
        <w:gridCol w:w="2275"/>
      </w:tblGrid>
      <w:tr w:rsidR="006E7E00" w:rsidRPr="00356FC8" w14:paraId="1EC22AA5" w14:textId="77777777">
        <w:tc>
          <w:tcPr>
            <w:tcW w:w="3537" w:type="dxa"/>
          </w:tcPr>
          <w:p w14:paraId="54064B1A" w14:textId="68C56638" w:rsidR="006E7E00" w:rsidRPr="00356FC8" w:rsidRDefault="006E7E00">
            <w:pPr>
              <w:spacing w:before="60" w:after="60" w:line="288" w:lineRule="auto"/>
              <w:jc w:val="center"/>
              <w:rPr>
                <w:b/>
                <w:sz w:val="16"/>
                <w:szCs w:val="20"/>
              </w:rPr>
            </w:pPr>
            <w:r w:rsidRPr="00356FC8">
              <w:rPr>
                <w:b/>
                <w:sz w:val="16"/>
                <w:szCs w:val="20"/>
              </w:rPr>
              <w:t xml:space="preserve">Frequency offset from 40.5-43.5 GHz band </w:t>
            </w:r>
          </w:p>
        </w:tc>
        <w:tc>
          <w:tcPr>
            <w:tcW w:w="3259" w:type="dxa"/>
          </w:tcPr>
          <w:p w14:paraId="107BFEAA" w14:textId="1BAA211F" w:rsidR="006E7E00" w:rsidRPr="00356FC8" w:rsidRDefault="006E7E00">
            <w:pPr>
              <w:spacing w:before="60" w:after="60" w:line="288" w:lineRule="auto"/>
              <w:jc w:val="center"/>
              <w:rPr>
                <w:b/>
                <w:sz w:val="16"/>
                <w:szCs w:val="20"/>
              </w:rPr>
            </w:pPr>
            <w:r w:rsidRPr="00356FC8">
              <w:rPr>
                <w:b/>
                <w:sz w:val="16"/>
                <w:szCs w:val="20"/>
              </w:rPr>
              <w:t xml:space="preserve">Maximum Total Radiated Power (TRP) </w:t>
            </w:r>
          </w:p>
        </w:tc>
        <w:tc>
          <w:tcPr>
            <w:tcW w:w="2275" w:type="dxa"/>
          </w:tcPr>
          <w:p w14:paraId="7FE5678B" w14:textId="60BC7180" w:rsidR="006E7E00" w:rsidRPr="00356FC8" w:rsidRDefault="006E7E00">
            <w:pPr>
              <w:spacing w:before="60" w:after="60" w:line="288" w:lineRule="auto"/>
              <w:jc w:val="center"/>
              <w:rPr>
                <w:b/>
                <w:sz w:val="16"/>
                <w:szCs w:val="20"/>
              </w:rPr>
            </w:pPr>
            <w:r w:rsidRPr="00356FC8">
              <w:rPr>
                <w:b/>
                <w:sz w:val="16"/>
                <w:szCs w:val="20"/>
              </w:rPr>
              <w:t>Measurement Bandwidth</w:t>
            </w:r>
          </w:p>
        </w:tc>
      </w:tr>
      <w:tr w:rsidR="006E7E00" w:rsidRPr="00356FC8" w14:paraId="3C778E8E" w14:textId="77777777">
        <w:tc>
          <w:tcPr>
            <w:tcW w:w="3537" w:type="dxa"/>
          </w:tcPr>
          <w:p w14:paraId="19EACC31" w14:textId="30A10A49" w:rsidR="006E7E00" w:rsidRPr="00356FC8" w:rsidRDefault="006E7E00">
            <w:pPr>
              <w:spacing w:before="60" w:after="60" w:line="288" w:lineRule="auto"/>
              <w:rPr>
                <w:sz w:val="16"/>
                <w:szCs w:val="20"/>
              </w:rPr>
            </w:pPr>
            <w:r w:rsidRPr="00356FC8">
              <w:rPr>
                <w:sz w:val="16"/>
                <w:szCs w:val="20"/>
              </w:rPr>
              <w:t xml:space="preserve">0 MHz </w:t>
            </w:r>
            <w:r w:rsidRPr="00356FC8">
              <w:rPr>
                <w:rFonts w:cs="Arial"/>
                <w:sz w:val="16"/>
                <w:szCs w:val="20"/>
              </w:rPr>
              <w:t>≤ f ≤ 0.1*BW</w:t>
            </w:r>
            <w:r w:rsidRPr="00356FC8">
              <w:rPr>
                <w:rFonts w:cs="Arial"/>
                <w:sz w:val="16"/>
                <w:szCs w:val="20"/>
                <w:vertAlign w:val="subscript"/>
              </w:rPr>
              <w:t>contiguous</w:t>
            </w:r>
          </w:p>
        </w:tc>
        <w:tc>
          <w:tcPr>
            <w:tcW w:w="3259" w:type="dxa"/>
          </w:tcPr>
          <w:p w14:paraId="5FA83BE1" w14:textId="36976737" w:rsidR="006E7E00" w:rsidRPr="00356FC8" w:rsidRDefault="006E7E00">
            <w:pPr>
              <w:spacing w:before="60" w:after="60"/>
              <w:jc w:val="center"/>
              <w:rPr>
                <w:sz w:val="16"/>
                <w:szCs w:val="20"/>
              </w:rPr>
            </w:pPr>
            <w:r w:rsidRPr="00356FC8">
              <w:rPr>
                <w:rFonts w:eastAsia="MS Mincho" w:cs="Arial"/>
                <w:sz w:val="16"/>
                <w:szCs w:val="20"/>
                <w:lang w:eastAsia="ja-JP"/>
              </w:rPr>
              <w:t>12 dBm</w:t>
            </w:r>
          </w:p>
        </w:tc>
        <w:tc>
          <w:tcPr>
            <w:tcW w:w="2275" w:type="dxa"/>
          </w:tcPr>
          <w:p w14:paraId="540E1CE6" w14:textId="77EF68E1" w:rsidR="006E7E00" w:rsidRPr="00356FC8" w:rsidRDefault="006E7E00">
            <w:pPr>
              <w:spacing w:before="60" w:after="60" w:line="288" w:lineRule="auto"/>
              <w:rPr>
                <w:sz w:val="16"/>
                <w:szCs w:val="20"/>
              </w:rPr>
            </w:pPr>
            <w:r w:rsidRPr="00356FC8">
              <w:rPr>
                <w:sz w:val="16"/>
                <w:szCs w:val="20"/>
              </w:rPr>
              <w:t>50 MHz</w:t>
            </w:r>
          </w:p>
        </w:tc>
      </w:tr>
      <w:tr w:rsidR="006E7E00" w:rsidRPr="00356FC8" w14:paraId="5655F8A7" w14:textId="77777777">
        <w:tc>
          <w:tcPr>
            <w:tcW w:w="3537" w:type="dxa"/>
          </w:tcPr>
          <w:p w14:paraId="51A49FBF" w14:textId="0B8C58BE" w:rsidR="006E7E00" w:rsidRPr="00356FC8" w:rsidRDefault="006E7E00">
            <w:pPr>
              <w:spacing w:before="60" w:after="60" w:line="288" w:lineRule="auto"/>
              <w:rPr>
                <w:sz w:val="16"/>
                <w:szCs w:val="20"/>
              </w:rPr>
            </w:pPr>
            <w:r w:rsidRPr="00356FC8">
              <w:rPr>
                <w:rFonts w:cs="Arial"/>
                <w:sz w:val="16"/>
                <w:szCs w:val="20"/>
              </w:rPr>
              <w:t>0.1*BW</w:t>
            </w:r>
            <w:r w:rsidRPr="00356FC8">
              <w:rPr>
                <w:rFonts w:cs="Arial"/>
                <w:sz w:val="16"/>
                <w:szCs w:val="20"/>
                <w:vertAlign w:val="subscript"/>
              </w:rPr>
              <w:t>contiguous</w:t>
            </w:r>
            <w:r w:rsidRPr="00356FC8">
              <w:rPr>
                <w:rFonts w:cs="Arial"/>
                <w:sz w:val="16"/>
                <w:szCs w:val="20"/>
              </w:rPr>
              <w:t xml:space="preserve"> ≤ f ≤ </w:t>
            </w:r>
            <w:r w:rsidRPr="00356FC8">
              <w:rPr>
                <w:rFonts w:ascii="Symbol" w:eastAsia="Symbol" w:hAnsi="Symbol" w:cs="Symbol"/>
                <w:sz w:val="16"/>
                <w:szCs w:val="20"/>
              </w:rPr>
              <w:t></w:t>
            </w:r>
            <w:r w:rsidRPr="00356FC8">
              <w:rPr>
                <w:rFonts w:cs="Arial"/>
                <w:sz w:val="16"/>
                <w:szCs w:val="20"/>
              </w:rPr>
              <w:t>f</w:t>
            </w:r>
            <w:r w:rsidRPr="00356FC8">
              <w:rPr>
                <w:rFonts w:cs="Arial"/>
                <w:sz w:val="16"/>
                <w:szCs w:val="20"/>
                <w:vertAlign w:val="subscript"/>
              </w:rPr>
              <w:t>B</w:t>
            </w:r>
          </w:p>
        </w:tc>
        <w:tc>
          <w:tcPr>
            <w:tcW w:w="3259" w:type="dxa"/>
          </w:tcPr>
          <w:p w14:paraId="33914B23" w14:textId="032EFB5E" w:rsidR="006E7E00" w:rsidRPr="00356FC8" w:rsidRDefault="006E7E00">
            <w:pPr>
              <w:spacing w:before="60" w:after="60"/>
              <w:jc w:val="center"/>
              <w:rPr>
                <w:rFonts w:eastAsia="MS Mincho" w:cs="Arial"/>
                <w:sz w:val="16"/>
                <w:szCs w:val="20"/>
                <w:lang w:eastAsia="ja-JP"/>
              </w:rPr>
            </w:pPr>
            <w:r w:rsidRPr="00356FC8">
              <w:rPr>
                <w:rFonts w:eastAsia="MS Mincho" w:cs="Arial"/>
                <w:sz w:val="16"/>
                <w:szCs w:val="20"/>
                <w:lang w:eastAsia="ja-JP"/>
              </w:rPr>
              <w:t xml:space="preserve"> 4 dBm</w:t>
            </w:r>
          </w:p>
        </w:tc>
        <w:tc>
          <w:tcPr>
            <w:tcW w:w="2275" w:type="dxa"/>
          </w:tcPr>
          <w:p w14:paraId="67FC5501" w14:textId="2D1469E3" w:rsidR="006E7E00" w:rsidRPr="00356FC8" w:rsidRDefault="006E7E00">
            <w:pPr>
              <w:spacing w:before="60" w:after="60" w:line="288" w:lineRule="auto"/>
              <w:rPr>
                <w:sz w:val="16"/>
                <w:szCs w:val="20"/>
              </w:rPr>
            </w:pPr>
            <w:r w:rsidRPr="00356FC8">
              <w:rPr>
                <w:sz w:val="16"/>
                <w:szCs w:val="20"/>
              </w:rPr>
              <w:t>50 MHz</w:t>
            </w:r>
          </w:p>
        </w:tc>
      </w:tr>
      <w:tr w:rsidR="006E7E00" w:rsidRPr="00356FC8" w14:paraId="653468A5" w14:textId="77777777">
        <w:tc>
          <w:tcPr>
            <w:tcW w:w="3537" w:type="dxa"/>
          </w:tcPr>
          <w:p w14:paraId="3B311116" w14:textId="6ED99576" w:rsidR="006E7E00" w:rsidRPr="00356FC8" w:rsidRDefault="006E7E00">
            <w:pPr>
              <w:spacing w:before="60" w:after="60" w:line="288" w:lineRule="auto"/>
              <w:rPr>
                <w:rFonts w:cs="Arial"/>
                <w:sz w:val="16"/>
                <w:szCs w:val="20"/>
              </w:rPr>
            </w:pPr>
            <w:r w:rsidRPr="00356FC8">
              <w:rPr>
                <w:rFonts w:ascii="Symbol" w:eastAsia="Symbol" w:hAnsi="Symbol" w:cs="Symbol"/>
                <w:sz w:val="16"/>
                <w:szCs w:val="20"/>
              </w:rPr>
              <w:t></w:t>
            </w:r>
            <w:r w:rsidRPr="00356FC8">
              <w:rPr>
                <w:rFonts w:cs="Arial"/>
                <w:sz w:val="16"/>
                <w:szCs w:val="20"/>
              </w:rPr>
              <w:t>f</w:t>
            </w:r>
            <w:r w:rsidRPr="00356FC8">
              <w:rPr>
                <w:rFonts w:cs="Arial"/>
                <w:sz w:val="16"/>
                <w:szCs w:val="20"/>
                <w:vertAlign w:val="subscript"/>
              </w:rPr>
              <w:t>B</w:t>
            </w:r>
            <w:r w:rsidRPr="00356FC8">
              <w:rPr>
                <w:rFonts w:cs="Arial"/>
                <w:sz w:val="16"/>
                <w:szCs w:val="20"/>
              </w:rPr>
              <w:t xml:space="preserve"> ≤ f ≤ </w:t>
            </w:r>
            <w:r w:rsidRPr="00356FC8">
              <w:rPr>
                <w:rFonts w:ascii="Symbol" w:eastAsia="Symbol" w:hAnsi="Symbol" w:cs="Symbol"/>
                <w:sz w:val="16"/>
                <w:szCs w:val="20"/>
              </w:rPr>
              <w:t></w:t>
            </w:r>
            <w:r w:rsidRPr="00356FC8">
              <w:rPr>
                <w:rFonts w:cs="Arial"/>
                <w:sz w:val="16"/>
                <w:szCs w:val="20"/>
              </w:rPr>
              <w:t>f</w:t>
            </w:r>
            <w:r w:rsidRPr="00356FC8">
              <w:rPr>
                <w:rFonts w:cs="Arial"/>
                <w:sz w:val="16"/>
                <w:szCs w:val="20"/>
                <w:vertAlign w:val="subscript"/>
              </w:rPr>
              <w:t>max</w:t>
            </w:r>
          </w:p>
        </w:tc>
        <w:tc>
          <w:tcPr>
            <w:tcW w:w="3259" w:type="dxa"/>
          </w:tcPr>
          <w:p w14:paraId="64693A7A" w14:textId="6DAEBE2F" w:rsidR="006E7E00" w:rsidRPr="00356FC8" w:rsidRDefault="006E7E00">
            <w:pPr>
              <w:spacing w:before="60" w:after="60"/>
              <w:jc w:val="center"/>
              <w:rPr>
                <w:rFonts w:eastAsia="MS Mincho" w:cs="Arial"/>
                <w:sz w:val="16"/>
                <w:szCs w:val="20"/>
                <w:lang w:eastAsia="ja-JP"/>
              </w:rPr>
            </w:pPr>
            <w:r w:rsidRPr="00356FC8">
              <w:rPr>
                <w:rFonts w:eastAsia="MS Mincho" w:cs="Arial"/>
                <w:sz w:val="16"/>
                <w:szCs w:val="20"/>
                <w:lang w:eastAsia="ja-JP"/>
              </w:rPr>
              <w:t>2 dBm</w:t>
            </w:r>
          </w:p>
        </w:tc>
        <w:tc>
          <w:tcPr>
            <w:tcW w:w="2275" w:type="dxa"/>
          </w:tcPr>
          <w:p w14:paraId="33F55115" w14:textId="2235313D" w:rsidR="006E7E00" w:rsidRPr="00356FC8" w:rsidRDefault="006E7E00">
            <w:pPr>
              <w:spacing w:before="60" w:after="60" w:line="288" w:lineRule="auto"/>
              <w:rPr>
                <w:sz w:val="16"/>
                <w:szCs w:val="20"/>
              </w:rPr>
            </w:pPr>
            <w:r w:rsidRPr="00356FC8">
              <w:rPr>
                <w:sz w:val="16"/>
                <w:szCs w:val="20"/>
              </w:rPr>
              <w:t>50 MHz</w:t>
            </w:r>
          </w:p>
        </w:tc>
      </w:tr>
      <w:tr w:rsidR="006E7E00" w14:paraId="53BD2BDE" w14:textId="77777777">
        <w:tc>
          <w:tcPr>
            <w:tcW w:w="9071" w:type="dxa"/>
            <w:gridSpan w:val="3"/>
          </w:tcPr>
          <w:p w14:paraId="269F6FDD" w14:textId="3518DF75" w:rsidR="006E7E00" w:rsidRPr="00356FC8" w:rsidRDefault="006E7E00">
            <w:pPr>
              <w:pStyle w:val="ListParagraph"/>
              <w:numPr>
                <w:ilvl w:val="0"/>
                <w:numId w:val="8"/>
              </w:numPr>
              <w:spacing w:before="60" w:after="60" w:line="288" w:lineRule="auto"/>
              <w:rPr>
                <w:rFonts w:cs="Arial"/>
                <w:sz w:val="16"/>
                <w:szCs w:val="20"/>
              </w:rPr>
            </w:pPr>
            <w:r w:rsidRPr="00356FC8">
              <w:rPr>
                <w:rFonts w:cs="Arial"/>
                <w:sz w:val="16"/>
                <w:szCs w:val="20"/>
              </w:rPr>
              <w:t>NOTE 1: For non-contiguous spectrum operation within any operating band the limit within sub block gaps is calculated as a cumulative sum of contributions from adjacent sub-blocks on each side of the sub-block gap</w:t>
            </w:r>
          </w:p>
          <w:p w14:paraId="4D9336AB" w14:textId="190738BA" w:rsidR="006E7E00" w:rsidRPr="00356FC8" w:rsidRDefault="006E7E00">
            <w:pPr>
              <w:pStyle w:val="ListParagraph"/>
              <w:numPr>
                <w:ilvl w:val="0"/>
                <w:numId w:val="8"/>
              </w:numPr>
              <w:spacing w:before="60" w:after="60" w:line="288" w:lineRule="auto"/>
              <w:rPr>
                <w:rFonts w:cs="Arial"/>
                <w:sz w:val="16"/>
                <w:szCs w:val="20"/>
              </w:rPr>
            </w:pPr>
            <w:r w:rsidRPr="00356FC8">
              <w:rPr>
                <w:rFonts w:cs="Arial"/>
                <w:sz w:val="16"/>
                <w:szCs w:val="20"/>
              </w:rPr>
              <w:t>NOTE 2: Δf</w:t>
            </w:r>
            <w:r w:rsidRPr="00356FC8">
              <w:rPr>
                <w:rFonts w:cs="Arial"/>
                <w:sz w:val="16"/>
                <w:szCs w:val="20"/>
                <w:vertAlign w:val="subscript"/>
              </w:rPr>
              <w:t>B</w:t>
            </w:r>
            <w:r w:rsidRPr="00356FC8">
              <w:rPr>
                <w:rFonts w:cs="Arial"/>
                <w:sz w:val="16"/>
                <w:szCs w:val="20"/>
              </w:rPr>
              <w:t xml:space="preserve"> = 2*BW</w:t>
            </w:r>
            <w:r w:rsidRPr="00356FC8">
              <w:rPr>
                <w:rFonts w:cs="Arial"/>
                <w:sz w:val="16"/>
                <w:szCs w:val="20"/>
                <w:vertAlign w:val="subscript"/>
              </w:rPr>
              <w:t>contiguous</w:t>
            </w:r>
            <w:r w:rsidRPr="00356FC8">
              <w:rPr>
                <w:rFonts w:cs="Arial"/>
                <w:sz w:val="16"/>
                <w:szCs w:val="20"/>
              </w:rPr>
              <w:t xml:space="preserve"> when BW</w:t>
            </w:r>
            <w:r w:rsidRPr="00356FC8">
              <w:rPr>
                <w:rFonts w:cs="Arial"/>
                <w:sz w:val="16"/>
                <w:szCs w:val="20"/>
                <w:vertAlign w:val="subscript"/>
              </w:rPr>
              <w:t>contiguous</w:t>
            </w:r>
            <w:r w:rsidRPr="00356FC8">
              <w:rPr>
                <w:rFonts w:cs="Arial"/>
                <w:sz w:val="16"/>
                <w:szCs w:val="20"/>
              </w:rPr>
              <w:t xml:space="preserve"> ≤ 500 MHz, otherwise Δf</w:t>
            </w:r>
            <w:r w:rsidRPr="00356FC8">
              <w:rPr>
                <w:rFonts w:cs="Arial"/>
                <w:sz w:val="16"/>
                <w:szCs w:val="20"/>
                <w:vertAlign w:val="subscript"/>
              </w:rPr>
              <w:t>B</w:t>
            </w:r>
            <w:r w:rsidRPr="00356FC8">
              <w:rPr>
                <w:rFonts w:cs="Arial"/>
                <w:sz w:val="16"/>
                <w:szCs w:val="20"/>
              </w:rPr>
              <w:t xml:space="preserve"> = BW</w:t>
            </w:r>
            <w:r w:rsidRPr="00356FC8">
              <w:rPr>
                <w:rFonts w:cs="Arial"/>
                <w:sz w:val="16"/>
                <w:szCs w:val="20"/>
                <w:vertAlign w:val="subscript"/>
              </w:rPr>
              <w:t>contiguous</w:t>
            </w:r>
            <w:r w:rsidRPr="00356FC8">
              <w:rPr>
                <w:rFonts w:cs="Arial"/>
                <w:sz w:val="16"/>
                <w:szCs w:val="20"/>
              </w:rPr>
              <w:t xml:space="preserve"> + 500 MHz</w:t>
            </w:r>
          </w:p>
          <w:p w14:paraId="23A51F9B" w14:textId="590475EA" w:rsidR="006E7E00" w:rsidRPr="00356FC8" w:rsidRDefault="006E7E00">
            <w:pPr>
              <w:pStyle w:val="ListParagraph"/>
              <w:numPr>
                <w:ilvl w:val="0"/>
                <w:numId w:val="8"/>
              </w:numPr>
              <w:spacing w:before="60" w:after="60" w:line="288" w:lineRule="auto"/>
              <w:rPr>
                <w:sz w:val="16"/>
                <w:szCs w:val="20"/>
              </w:rPr>
            </w:pPr>
            <w:r w:rsidRPr="00356FC8">
              <w:rPr>
                <w:rFonts w:cs="Arial"/>
                <w:sz w:val="16"/>
                <w:szCs w:val="20"/>
              </w:rPr>
              <w:t>NOTE 3: BW</w:t>
            </w:r>
            <w:r w:rsidRPr="00356FC8">
              <w:rPr>
                <w:rFonts w:cs="Arial"/>
                <w:sz w:val="16"/>
                <w:szCs w:val="20"/>
                <w:vertAlign w:val="subscript"/>
              </w:rPr>
              <w:t>contiguous</w:t>
            </w:r>
            <w:r w:rsidRPr="00356FC8">
              <w:rPr>
                <w:sz w:val="16"/>
                <w:szCs w:val="20"/>
              </w:rPr>
              <w:t xml:space="preserve"> corresponds to the WBB ECS BS transmission bandwidth</w:t>
            </w:r>
          </w:p>
          <w:p w14:paraId="10BA3CDA" w14:textId="5E28BBF0" w:rsidR="006E7E00" w:rsidRPr="00356FC8" w:rsidRDefault="006E7E00">
            <w:pPr>
              <w:pStyle w:val="ListParagraph"/>
              <w:numPr>
                <w:ilvl w:val="0"/>
                <w:numId w:val="8"/>
              </w:numPr>
              <w:spacing w:before="60" w:after="60" w:line="288" w:lineRule="auto"/>
              <w:rPr>
                <w:sz w:val="16"/>
                <w:szCs w:val="20"/>
              </w:rPr>
            </w:pPr>
            <w:r w:rsidRPr="00356FC8">
              <w:rPr>
                <w:rFonts w:cs="Arial"/>
                <w:sz w:val="16"/>
                <w:szCs w:val="20"/>
              </w:rPr>
              <w:t xml:space="preserve">NOTE 4: </w:t>
            </w:r>
            <w:r w:rsidRPr="00356FC8">
              <w:rPr>
                <w:rFonts w:ascii="Symbol" w:eastAsia="Symbol" w:hAnsi="Symbol" w:cs="Symbol"/>
                <w:sz w:val="16"/>
                <w:szCs w:val="20"/>
              </w:rPr>
              <w:t></w:t>
            </w:r>
            <w:r w:rsidRPr="00356FC8">
              <w:rPr>
                <w:rFonts w:cs="Arial"/>
                <w:sz w:val="16"/>
                <w:szCs w:val="20"/>
              </w:rPr>
              <w:t>f</w:t>
            </w:r>
            <w:r w:rsidRPr="00356FC8">
              <w:rPr>
                <w:rFonts w:cs="Arial"/>
                <w:sz w:val="16"/>
                <w:szCs w:val="20"/>
                <w:vertAlign w:val="subscript"/>
              </w:rPr>
              <w:t>max</w:t>
            </w:r>
            <w:r w:rsidRPr="00356FC8">
              <w:rPr>
                <w:rFonts w:cs="Arial"/>
                <w:sz w:val="16"/>
                <w:szCs w:val="20"/>
              </w:rPr>
              <w:t xml:space="preserve"> corresponds to the maximum offset of the operating band unwanted emissions mask from the operating band edge. For the 40.5-43.5 GHz band </w:t>
            </w:r>
            <w:r w:rsidRPr="00356FC8">
              <w:rPr>
                <w:rFonts w:ascii="Symbol" w:eastAsia="Symbol" w:hAnsi="Symbol" w:cs="Symbol"/>
                <w:sz w:val="16"/>
                <w:szCs w:val="20"/>
              </w:rPr>
              <w:t></w:t>
            </w:r>
            <w:r w:rsidRPr="00356FC8">
              <w:rPr>
                <w:rFonts w:cs="Arial"/>
                <w:sz w:val="16"/>
                <w:szCs w:val="20"/>
              </w:rPr>
              <w:t>f</w:t>
            </w:r>
            <w:r w:rsidRPr="00356FC8">
              <w:rPr>
                <w:rFonts w:cs="Arial"/>
                <w:sz w:val="16"/>
                <w:szCs w:val="20"/>
                <w:vertAlign w:val="subscript"/>
              </w:rPr>
              <w:t>max</w:t>
            </w:r>
            <w:r w:rsidRPr="00356FC8">
              <w:rPr>
                <w:rFonts w:cs="Arial"/>
                <w:sz w:val="16"/>
                <w:szCs w:val="20"/>
              </w:rPr>
              <w:t xml:space="preserve"> = 1500 MHz</w:t>
            </w:r>
          </w:p>
        </w:tc>
      </w:tr>
    </w:tbl>
    <w:p w14:paraId="1B48D817" w14:textId="77777777" w:rsidR="006E7E00" w:rsidRDefault="006E7E00">
      <w:pPr>
        <w:pStyle w:val="FootnoteText"/>
        <w:rPr>
          <w:b/>
        </w:rPr>
      </w:pPr>
    </w:p>
  </w:footnote>
  <w:footnote w:id="4">
    <w:p w14:paraId="5496A82C" w14:textId="77777777" w:rsidR="006E7E00" w:rsidRDefault="006E7E00">
      <w:pPr>
        <w:pStyle w:val="FootnoteText"/>
        <w:spacing w:after="120"/>
        <w:ind w:left="284" w:hanging="284"/>
        <w:rPr>
          <w:rFonts w:ascii="Times New Roman" w:hAnsi="Times New Roman"/>
        </w:rPr>
      </w:pPr>
      <w:r>
        <w:rPr>
          <w:rStyle w:val="FootnoteCharacters"/>
        </w:rPr>
        <w:footnoteRef/>
      </w:r>
      <w:r>
        <w:rPr>
          <w:rFonts w:ascii="Times New Roman" w:hAnsi="Times New Roman"/>
        </w:rPr>
        <w:tab/>
        <w:t xml:space="preserve"> In the ITU context of "International Mobile Telecommunications for 2020 (IMT2020)", s. ITU Recommendation: </w:t>
      </w:r>
      <w:hyperlink r:id="rId1">
        <w:r>
          <w:rPr>
            <w:rStyle w:val="Hyperlink"/>
            <w:rFonts w:ascii="Times New Roman" w:hAnsi="Times New Roman"/>
          </w:rPr>
          <w:t>https://www.itu.int/dms_pubrec/itu-r/rec/m/R-REC-M.2083-0-201509-I!!PDF-E.pdf</w:t>
        </w:r>
      </w:hyperlink>
      <w:r>
        <w:rPr>
          <w:rFonts w:ascii="Times New Roman" w:hAnsi="Times New Roman"/>
        </w:rPr>
        <w:t xml:space="preserve"> </w:t>
      </w:r>
    </w:p>
  </w:footnote>
  <w:footnote w:id="5">
    <w:p w14:paraId="32BE7434" w14:textId="77777777" w:rsidR="006E7E00" w:rsidRDefault="006E7E00">
      <w:pPr>
        <w:pStyle w:val="FootnoteText"/>
        <w:spacing w:after="120"/>
        <w:rPr>
          <w:rFonts w:ascii="Times New Roman" w:hAnsi="Times New Roman"/>
        </w:rPr>
      </w:pPr>
      <w:r>
        <w:rPr>
          <w:rStyle w:val="FootnoteCharacters"/>
        </w:rPr>
        <w:footnoteRef/>
      </w:r>
      <w:r>
        <w:rPr>
          <w:rFonts w:ascii="Times New Roman" w:hAnsi="Times New Roman"/>
        </w:rPr>
        <w:t xml:space="preserve"> See: </w:t>
      </w:r>
      <w:hyperlink r:id="rId2">
        <w:r>
          <w:rPr>
            <w:rStyle w:val="Hyperlink"/>
            <w:rFonts w:ascii="Times New Roman" w:hAnsi="Times New Roman"/>
          </w:rPr>
          <w:t>https://ec.europa.eu/digital-single-market/en/5g-europe-action-plan</w:t>
        </w:r>
      </w:hyperlink>
      <w:r>
        <w:rPr>
          <w:rFonts w:ascii="Times New Roman" w:hAnsi="Times New Roman"/>
        </w:rPr>
        <w:t xml:space="preserve"> </w:t>
      </w:r>
    </w:p>
  </w:footnote>
  <w:footnote w:id="6">
    <w:p w14:paraId="4F7CCF06" w14:textId="77777777" w:rsidR="006E7E00" w:rsidRDefault="006E7E00">
      <w:pPr>
        <w:pStyle w:val="FootnoteText"/>
        <w:spacing w:after="120"/>
      </w:pPr>
      <w:r>
        <w:rPr>
          <w:rStyle w:val="FootnoteCharacters"/>
        </w:rPr>
        <w:footnoteRef/>
      </w:r>
      <w:r>
        <w:rPr>
          <w:rFonts w:ascii="Times New Roman" w:hAnsi="Times New Roman"/>
        </w:rPr>
        <w:t xml:space="preserve"> Documents RSPG16-032 final (9 November 2016) and RSPG18-005 final (30 January 2018)</w:t>
      </w:r>
    </w:p>
  </w:footnote>
  <w:footnote w:id="7">
    <w:p w14:paraId="021EF4BF" w14:textId="77777777" w:rsidR="006E7E00" w:rsidRDefault="006E7E00">
      <w:pPr>
        <w:pStyle w:val="FootnoteText"/>
        <w:rPr>
          <w:rFonts w:ascii="Times New Roman" w:hAnsi="Times New Roman"/>
        </w:rPr>
      </w:pPr>
      <w:r>
        <w:rPr>
          <w:rStyle w:val="FootnoteCharacters"/>
        </w:rPr>
        <w:footnoteRef/>
      </w:r>
      <w:r>
        <w:rPr>
          <w:rFonts w:ascii="Times New Roman" w:hAnsi="Times New Roman"/>
        </w:rPr>
        <w:t xml:space="preserve"> Commission Decision 2006/771/EC as last amended by Commission Decision (EU) 2019/1345.</w:t>
      </w:r>
    </w:p>
  </w:footnote>
  <w:footnote w:id="8">
    <w:p w14:paraId="789FF583" w14:textId="77777777" w:rsidR="006E7E00" w:rsidRDefault="006E7E00">
      <w:pPr>
        <w:pStyle w:val="FootnoteText"/>
        <w:spacing w:after="120"/>
        <w:ind w:left="240" w:hanging="240"/>
      </w:pPr>
      <w:r>
        <w:rPr>
          <w:rStyle w:val="FootnoteCharacters"/>
        </w:rPr>
        <w:footnoteRef/>
      </w:r>
      <w:r>
        <w:rPr>
          <w:rFonts w:ascii="Times New Roman" w:hAnsi="Times New Roman"/>
        </w:rPr>
        <w:tab/>
        <w:t xml:space="preserve"> Decision 676/2002/EC of the European Parliament and of the Council of 7 March 2002 on a regulatory framework for radio spectrum policy in the European Community, OJ L 108 of 24.4.2002</w:t>
      </w:r>
    </w:p>
  </w:footnote>
  <w:footnote w:id="9">
    <w:p w14:paraId="2B9A904A" w14:textId="77777777" w:rsidR="006E7E00" w:rsidRDefault="006E7E00">
      <w:pPr>
        <w:pStyle w:val="FootnoteText"/>
        <w:rPr>
          <w:rFonts w:ascii="Times New Roman" w:hAnsi="Times New Roman"/>
          <w:lang w:val="es-CO"/>
        </w:rPr>
      </w:pPr>
      <w:r>
        <w:rPr>
          <w:rStyle w:val="FootnoteCharacters"/>
        </w:rPr>
        <w:footnoteRef/>
      </w:r>
      <w:r>
        <w:rPr>
          <w:rFonts w:ascii="Times New Roman" w:hAnsi="Times New Roman"/>
          <w:lang w:val="es-CO"/>
        </w:rPr>
        <w:t xml:space="preserve"> COM(2016)587 final</w:t>
      </w:r>
    </w:p>
  </w:footnote>
  <w:footnote w:id="10">
    <w:p w14:paraId="639E2E70" w14:textId="77777777" w:rsidR="006E7E00" w:rsidRDefault="006E7E00">
      <w:pPr>
        <w:pStyle w:val="FootnoteText"/>
        <w:rPr>
          <w:rFonts w:ascii="Times New Roman" w:hAnsi="Times New Roman"/>
          <w:lang w:val="es-CO"/>
        </w:rPr>
      </w:pPr>
      <w:r>
        <w:rPr>
          <w:rStyle w:val="FootnoteCharacters"/>
        </w:rPr>
        <w:footnoteRef/>
      </w:r>
      <w:r>
        <w:rPr>
          <w:rFonts w:ascii="Times New Roman" w:hAnsi="Times New Roman"/>
          <w:lang w:val="es-CO"/>
        </w:rPr>
        <w:t xml:space="preserve"> Directive (EU) 2018/1972.</w:t>
      </w:r>
    </w:p>
  </w:footnote>
  <w:footnote w:id="11">
    <w:p w14:paraId="46686A6F" w14:textId="77777777" w:rsidR="006E7E00" w:rsidRDefault="006E7E00">
      <w:pPr>
        <w:pStyle w:val="FootnoteText"/>
        <w:rPr>
          <w:rFonts w:ascii="Times New Roman" w:hAnsi="Times New Roman"/>
          <w:lang w:val="es-CO"/>
        </w:rPr>
      </w:pPr>
      <w:r>
        <w:rPr>
          <w:rStyle w:val="FootnoteCharacters"/>
        </w:rPr>
        <w:footnoteRef/>
      </w:r>
      <w:r>
        <w:rPr>
          <w:rFonts w:ascii="Times New Roman" w:hAnsi="Times New Roman"/>
          <w:lang w:val="es-CO"/>
        </w:rPr>
        <w:t xml:space="preserve"> Directive 2014/53/EU.</w:t>
      </w:r>
    </w:p>
  </w:footnote>
  <w:footnote w:id="12">
    <w:p w14:paraId="2EC805CF" w14:textId="77777777" w:rsidR="006E7E00" w:rsidRDefault="006E7E00">
      <w:pPr>
        <w:pStyle w:val="FootnoteText"/>
        <w:spacing w:after="120"/>
      </w:pPr>
      <w:r>
        <w:rPr>
          <w:rStyle w:val="FootnoteCharacters"/>
        </w:rPr>
        <w:footnoteRef/>
      </w:r>
      <w:r>
        <w:rPr>
          <w:rFonts w:ascii="Times New Roman" w:hAnsi="Times New Roman"/>
        </w:rPr>
        <w:t xml:space="preserve"> Such as the definition of appropriate Block Edge Masks (BEMs).</w:t>
      </w:r>
    </w:p>
  </w:footnote>
  <w:footnote w:id="13">
    <w:p w14:paraId="4A9395BD" w14:textId="77777777" w:rsidR="006E7E00" w:rsidRDefault="006E7E00">
      <w:pPr>
        <w:pStyle w:val="FootnoteText"/>
        <w:rPr>
          <w:rFonts w:ascii="Times New Roman" w:hAnsi="Times New Roman"/>
        </w:rPr>
      </w:pPr>
      <w:r>
        <w:rPr>
          <w:rStyle w:val="FootnoteCharacters"/>
        </w:rPr>
        <w:footnoteRef/>
      </w:r>
      <w:r>
        <w:rPr>
          <w:rFonts w:ascii="Times New Roman" w:hAnsi="Times New Roman"/>
        </w:rPr>
        <w:t xml:space="preserve"> Document RSCOM 06-27 Rev (5 July 2006)</w:t>
      </w:r>
    </w:p>
  </w:footnote>
  <w:footnote w:id="14">
    <w:p w14:paraId="1AE44EB3" w14:textId="77777777" w:rsidR="006E7E00" w:rsidRDefault="006E7E00">
      <w:pPr>
        <w:pStyle w:val="FootnoteText"/>
        <w:rPr>
          <w:rFonts w:ascii="Times New Roman" w:hAnsi="Times New Roman"/>
        </w:rPr>
      </w:pPr>
      <w:r>
        <w:rPr>
          <w:rStyle w:val="FootnoteCharacters"/>
        </w:rPr>
        <w:footnoteRef/>
      </w:r>
      <w:r>
        <w:rPr>
          <w:rFonts w:ascii="Times New Roman" w:hAnsi="Times New Roman"/>
        </w:rPr>
        <w:t xml:space="preserve"> Document RSCOM19-9rev2</w:t>
      </w:r>
    </w:p>
  </w:footnote>
  <w:footnote w:id="15">
    <w:p w14:paraId="43ABF71A" w14:textId="77777777" w:rsidR="006E7E00" w:rsidRDefault="006E7E00">
      <w:pPr>
        <w:pStyle w:val="FootnoteText"/>
        <w:spacing w:after="120"/>
      </w:pPr>
      <w:r>
        <w:rPr>
          <w:rStyle w:val="FootnoteCharacters"/>
        </w:rPr>
        <w:footnoteRef/>
      </w:r>
      <w:r>
        <w:rPr>
          <w:rFonts w:ascii="Times New Roman" w:hAnsi="Times New Roman"/>
        </w:rPr>
        <w:t xml:space="preserve"> Subject to subsequent public consultation</w:t>
      </w:r>
    </w:p>
  </w:footnote>
  <w:footnote w:id="16">
    <w:p w14:paraId="4E73C258" w14:textId="1D55EF0D" w:rsidR="006E7E00" w:rsidRPr="007D4300" w:rsidRDefault="006E7E00">
      <w:pPr>
        <w:pStyle w:val="FootnoteText"/>
        <w:rPr>
          <w:rStyle w:val="FootnoteCharacters"/>
        </w:rPr>
      </w:pPr>
      <w:r w:rsidRPr="00BF6DEC">
        <w:rPr>
          <w:rStyle w:val="FootnoteCharacters"/>
        </w:rPr>
        <w:footnoteRef/>
      </w:r>
      <w:r w:rsidRPr="00BF6DEC">
        <w:t xml:space="preserve"> </w:t>
      </w:r>
      <w:r w:rsidRPr="00BF6DEC">
        <w:rPr>
          <w:rStyle w:val="FootnoteCharacters"/>
          <w:sz w:val="16"/>
          <w:szCs w:val="16"/>
          <w:vertAlign w:val="baseline"/>
        </w:rPr>
        <w:t>E.g. a record of locations or geolocation database allowing Dynamic Spectrum Access.</w:t>
      </w:r>
      <w:r w:rsidRPr="00751624">
        <w:rPr>
          <w:rStyle w:val="FootnoteCharacters"/>
          <w:sz w:val="16"/>
          <w:szCs w:val="16"/>
          <w:vertAlign w:val="baseli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E41F" w14:textId="0795EB92" w:rsidR="006E7E00" w:rsidRDefault="006E7E00">
    <w:pPr>
      <w:pStyle w:val="Header"/>
    </w:pPr>
    <w:r w:rsidRPr="00BE4BA2">
      <w:rPr>
        <w:noProof/>
        <w:lang w:val="sl-SI" w:eastAsia="sl-SI"/>
      </w:rPr>
      <w:drawing>
        <wp:anchor distT="0" distB="0" distL="0" distR="0" simplePos="0" relativeHeight="251658240" behindDoc="1" locked="0" layoutInCell="1" allowOverlap="1" wp14:anchorId="6F3CD3E6" wp14:editId="0B9A03A3">
          <wp:simplePos x="0" y="0"/>
          <wp:positionH relativeFrom="page">
            <wp:posOffset>572770</wp:posOffset>
          </wp:positionH>
          <wp:positionV relativeFrom="page">
            <wp:posOffset>457200</wp:posOffset>
          </wp:positionV>
          <wp:extent cx="889000" cy="889000"/>
          <wp:effectExtent l="0" t="0" r="0" b="0"/>
          <wp:wrapNone/>
          <wp:docPr id="6" name="Picture 6"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ept logo"/>
                  <pic:cNvPicPr>
                    <a:picLocks noChangeAspect="1" noChangeArrowheads="1"/>
                  </pic:cNvPicPr>
                </pic:nvPicPr>
                <pic:blipFill>
                  <a:blip r:embed="rId1"/>
                  <a:stretch>
                    <a:fillRect/>
                  </a:stretch>
                </pic:blipFill>
                <pic:spPr bwMode="auto">
                  <a:xfrm>
                    <a:off x="0" y="0"/>
                    <a:ext cx="889000" cy="889000"/>
                  </a:xfrm>
                  <a:prstGeom prst="rect">
                    <a:avLst/>
                  </a:prstGeom>
                </pic:spPr>
              </pic:pic>
            </a:graphicData>
          </a:graphic>
        </wp:anchor>
      </w:drawing>
    </w:r>
    <w:r w:rsidRPr="00BE4BA2">
      <w:rPr>
        <w:noProof/>
        <w:lang w:val="sl-SI" w:eastAsia="sl-SI"/>
      </w:rPr>
      <w:drawing>
        <wp:anchor distT="0" distB="0" distL="0" distR="0" simplePos="0" relativeHeight="251658241" behindDoc="1" locked="0" layoutInCell="1" allowOverlap="1" wp14:anchorId="2E8A390A" wp14:editId="07BB10A6">
          <wp:simplePos x="0" y="0"/>
          <wp:positionH relativeFrom="page">
            <wp:posOffset>5717540</wp:posOffset>
          </wp:positionH>
          <wp:positionV relativeFrom="page">
            <wp:posOffset>648335</wp:posOffset>
          </wp:positionV>
          <wp:extent cx="1461770" cy="546100"/>
          <wp:effectExtent l="0" t="0" r="0" b="0"/>
          <wp:wrapNone/>
          <wp:docPr id="7" name="Picture 7"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ecc_logo"/>
                  <pic:cNvPicPr>
                    <a:picLocks noChangeAspect="1" noChangeArrowheads="1"/>
                  </pic:cNvPicPr>
                </pic:nvPicPr>
                <pic:blipFill>
                  <a:blip r:embed="rId2"/>
                  <a:stretch>
                    <a:fillRect/>
                  </a:stretch>
                </pic:blipFill>
                <pic:spPr bwMode="auto">
                  <a:xfrm>
                    <a:off x="0" y="0"/>
                    <a:ext cx="1461770" cy="546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242E" w14:textId="23E06441" w:rsidR="006E7E00" w:rsidRDefault="006E7E00">
    <w:pPr>
      <w:pStyle w:val="Header"/>
      <w:rPr>
        <w:szCs w:val="16"/>
        <w:lang w:val="da-DK"/>
      </w:rPr>
    </w:pPr>
    <w:r>
      <w:rPr>
        <w:lang w:val="da-DK"/>
      </w:rPr>
      <w:t xml:space="preserve">CEPT REPORT 82 - </w:t>
    </w:r>
    <w:r>
      <w:rPr>
        <w:szCs w:val="16"/>
        <w:lang w:val="da-DK"/>
      </w:rPr>
      <w:t xml:space="preserve">Page </w:t>
    </w:r>
    <w:r>
      <w:rPr>
        <w:szCs w:val="16"/>
        <w:lang w:val="da-DK"/>
      </w:rPr>
      <w:fldChar w:fldCharType="begin"/>
    </w:r>
    <w:r>
      <w:rPr>
        <w:szCs w:val="16"/>
        <w:lang w:val="da-DK"/>
      </w:rPr>
      <w:instrText>PAGE</w:instrText>
    </w:r>
    <w:r>
      <w:rPr>
        <w:szCs w:val="16"/>
        <w:lang w:val="da-DK"/>
      </w:rPr>
      <w:fldChar w:fldCharType="separate"/>
    </w:r>
    <w:r>
      <w:rPr>
        <w:noProof/>
        <w:szCs w:val="16"/>
        <w:lang w:val="da-DK"/>
      </w:rPr>
      <w:t>18</w:t>
    </w:r>
    <w:r>
      <w:rPr>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148B" w14:textId="1E41B9F6" w:rsidR="006E7E00" w:rsidRDefault="006E7E00">
    <w:pPr>
      <w:pStyle w:val="Header"/>
      <w:jc w:val="right"/>
      <w:rPr>
        <w:szCs w:val="16"/>
        <w:lang w:val="da-DK"/>
      </w:rPr>
    </w:pPr>
    <w:r>
      <w:rPr>
        <w:lang w:val="da-DK"/>
      </w:rPr>
      <w:t xml:space="preserve">CEPT REPORT 82 - </w:t>
    </w:r>
    <w:r>
      <w:rPr>
        <w:szCs w:val="16"/>
        <w:lang w:val="da-DK"/>
      </w:rPr>
      <w:t xml:space="preserve">Page </w:t>
    </w:r>
    <w:r>
      <w:rPr>
        <w:szCs w:val="16"/>
        <w:lang w:val="da-DK"/>
      </w:rPr>
      <w:fldChar w:fldCharType="begin"/>
    </w:r>
    <w:r>
      <w:rPr>
        <w:szCs w:val="16"/>
        <w:lang w:val="da-DK"/>
      </w:rPr>
      <w:instrText>PAGE</w:instrText>
    </w:r>
    <w:r>
      <w:rPr>
        <w:szCs w:val="16"/>
        <w:lang w:val="da-DK"/>
      </w:rPr>
      <w:fldChar w:fldCharType="separate"/>
    </w:r>
    <w:r>
      <w:rPr>
        <w:noProof/>
        <w:szCs w:val="16"/>
        <w:lang w:val="da-DK"/>
      </w:rPr>
      <w:t>19</w:t>
    </w:r>
    <w:r>
      <w:rPr>
        <w:szCs w:val="16"/>
        <w:lang w:val="da-DK"/>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DC35" w14:textId="1D7AF8FD" w:rsidR="006E7E00" w:rsidRDefault="006E7E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F07C" w14:textId="771518E5" w:rsidR="006E7E00" w:rsidRDefault="006E7E00" w:rsidP="0085445B">
    <w:pPr>
      <w:pStyle w:val="Header"/>
    </w:pPr>
    <w:r w:rsidRPr="00751624">
      <w:rPr>
        <w:lang w:val="en-GB"/>
      </w:rPr>
      <w:t xml:space="preserve">CEPT REPORT </w:t>
    </w:r>
    <w:r>
      <w:rPr>
        <w:lang w:val="en-GB"/>
      </w:rPr>
      <w:t>82</w:t>
    </w:r>
    <w:r w:rsidRPr="00751624">
      <w:rPr>
        <w:lang w:val="en-GB"/>
      </w:rPr>
      <w:t xml:space="preserve"> - </w:t>
    </w:r>
    <w:r w:rsidRPr="00751624">
      <w:rPr>
        <w:szCs w:val="16"/>
        <w:lang w:val="en-GB"/>
      </w:rPr>
      <w:t xml:space="preserve">Page </w:t>
    </w:r>
    <w:r>
      <w:rPr>
        <w:szCs w:val="16"/>
        <w:lang w:val="da-DK"/>
      </w:rPr>
      <w:fldChar w:fldCharType="begin"/>
    </w:r>
    <w:r w:rsidRPr="00751624">
      <w:rPr>
        <w:szCs w:val="16"/>
        <w:lang w:val="en-GB"/>
      </w:rPr>
      <w:instrText>PAGE</w:instrText>
    </w:r>
    <w:r>
      <w:rPr>
        <w:szCs w:val="16"/>
        <w:lang w:val="da-DK"/>
      </w:rPr>
      <w:fldChar w:fldCharType="separate"/>
    </w:r>
    <w:r>
      <w:rPr>
        <w:noProof/>
        <w:szCs w:val="16"/>
        <w:lang w:val="en-GB"/>
      </w:rPr>
      <w:t>28</w:t>
    </w:r>
    <w:r>
      <w:rPr>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E3A7" w14:textId="7F68FDA0" w:rsidR="006E7E00" w:rsidRPr="00751624" w:rsidRDefault="006E7E00">
    <w:pPr>
      <w:pStyle w:val="Header"/>
      <w:jc w:val="right"/>
      <w:rPr>
        <w:szCs w:val="16"/>
        <w:lang w:val="en-GB"/>
      </w:rPr>
    </w:pPr>
    <w:r w:rsidRPr="00751624">
      <w:rPr>
        <w:lang w:val="en-GB"/>
      </w:rPr>
      <w:t xml:space="preserve">CEPT REPORT </w:t>
    </w:r>
    <w:r>
      <w:rPr>
        <w:lang w:val="en-GB"/>
      </w:rPr>
      <w:t>82</w:t>
    </w:r>
    <w:r w:rsidRPr="00751624">
      <w:rPr>
        <w:lang w:val="en-GB"/>
      </w:rPr>
      <w:t xml:space="preserve"> - </w:t>
    </w:r>
    <w:r w:rsidRPr="00751624">
      <w:rPr>
        <w:szCs w:val="16"/>
        <w:lang w:val="en-GB"/>
      </w:rPr>
      <w:t xml:space="preserve">Page </w:t>
    </w:r>
    <w:r>
      <w:rPr>
        <w:szCs w:val="16"/>
        <w:lang w:val="da-DK"/>
      </w:rPr>
      <w:fldChar w:fldCharType="begin"/>
    </w:r>
    <w:r w:rsidRPr="00751624">
      <w:rPr>
        <w:szCs w:val="16"/>
        <w:lang w:val="en-GB"/>
      </w:rPr>
      <w:instrText>PAGE</w:instrText>
    </w:r>
    <w:r>
      <w:rPr>
        <w:szCs w:val="16"/>
        <w:lang w:val="da-DK"/>
      </w:rPr>
      <w:fldChar w:fldCharType="separate"/>
    </w:r>
    <w:r>
      <w:rPr>
        <w:noProof/>
        <w:szCs w:val="16"/>
        <w:lang w:val="en-GB"/>
      </w:rPr>
      <w:t>27</w:t>
    </w:r>
    <w:r>
      <w:rPr>
        <w:szCs w:val="16"/>
        <w:lang w:val="da-DK"/>
      </w:rPr>
      <w:fldChar w:fldCharType="end"/>
    </w:r>
  </w:p>
  <w:p w14:paraId="33D61A0E" w14:textId="77777777" w:rsidR="006E7E00" w:rsidRDefault="006E7E0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FFA6" w14:textId="4E61FBFB" w:rsidR="006E7E00" w:rsidRDefault="006E7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0EE"/>
    <w:multiLevelType w:val="multilevel"/>
    <w:tmpl w:val="D744E9F0"/>
    <w:lvl w:ilvl="0">
      <w:start w:val="1"/>
      <w:numFmt w:val="bullet"/>
      <w:lvlText w:val=""/>
      <w:lvlJc w:val="left"/>
      <w:pPr>
        <w:tabs>
          <w:tab w:val="num" w:pos="360"/>
        </w:tabs>
        <w:ind w:left="360" w:hanging="360"/>
      </w:pPr>
      <w:rPr>
        <w:rFonts w:ascii="Wingdings" w:hAnsi="Wingdings" w:hint="default"/>
        <w:color w:val="D2232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765EDE"/>
    <w:multiLevelType w:val="hybridMultilevel"/>
    <w:tmpl w:val="65606B30"/>
    <w:lvl w:ilvl="0" w:tplc="44665F38">
      <w:start w:val="1"/>
      <w:numFmt w:val="bullet"/>
      <w:lvlText w:val=""/>
      <w:lvlJc w:val="left"/>
      <w:pPr>
        <w:ind w:left="720" w:hanging="360"/>
      </w:pPr>
      <w:rPr>
        <w:rFonts w:ascii="Wingdings" w:hAnsi="Wingdings" w:hint="default"/>
        <w:color w:val="D2232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AE07F7"/>
    <w:multiLevelType w:val="hybridMultilevel"/>
    <w:tmpl w:val="A4F02BE6"/>
    <w:lvl w:ilvl="0" w:tplc="44665F38">
      <w:start w:val="1"/>
      <w:numFmt w:val="bullet"/>
      <w:lvlText w:val=""/>
      <w:lvlJc w:val="left"/>
      <w:pPr>
        <w:ind w:left="720" w:hanging="360"/>
      </w:pPr>
      <w:rPr>
        <w:rFonts w:ascii="Wingdings" w:hAnsi="Wingdings" w:hint="default"/>
        <w:color w:val="D2232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2B5921"/>
    <w:multiLevelType w:val="multilevel"/>
    <w:tmpl w:val="0F162E14"/>
    <w:lvl w:ilvl="0">
      <w:start w:val="1"/>
      <w:numFmt w:val="decimal"/>
      <w:suff w:val="space"/>
      <w:lvlText w:val="ANNEX %1:"/>
      <w:lvlJc w:val="left"/>
      <w:pPr>
        <w:tabs>
          <w:tab w:val="num" w:pos="709"/>
        </w:tabs>
        <w:ind w:left="1135" w:firstLine="0"/>
      </w:pPr>
      <w:rPr>
        <w:b/>
        <w:bCs w:val="0"/>
        <w:i w:val="0"/>
        <w:iCs w:val="0"/>
        <w:cap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tabs>
          <w:tab w:val="num" w:pos="0"/>
        </w:tabs>
        <w:ind w:left="577" w:hanging="576"/>
      </w:pPr>
    </w:lvl>
    <w:lvl w:ilvl="2">
      <w:start w:val="1"/>
      <w:numFmt w:val="decimal"/>
      <w:lvlText w:val="A%1.%2.%3"/>
      <w:lvlJc w:val="left"/>
      <w:pPr>
        <w:tabs>
          <w:tab w:val="num" w:pos="721"/>
        </w:tabs>
        <w:ind w:left="721" w:hanging="720"/>
      </w:pPr>
    </w:lvl>
    <w:lvl w:ilvl="3">
      <w:start w:val="1"/>
      <w:numFmt w:val="decimal"/>
      <w:lvlText w:val="A%1.%2.%3.%4"/>
      <w:lvlJc w:val="left"/>
      <w:pPr>
        <w:tabs>
          <w:tab w:val="num" w:pos="865"/>
        </w:tabs>
        <w:ind w:left="865" w:hanging="864"/>
      </w:pPr>
    </w:lvl>
    <w:lvl w:ilvl="4">
      <w:start w:val="1"/>
      <w:numFmt w:val="decimal"/>
      <w:lvlText w:val="%1.%2.%3.%4.%5"/>
      <w:lvlJc w:val="left"/>
      <w:pPr>
        <w:tabs>
          <w:tab w:val="num" w:pos="1009"/>
        </w:tabs>
        <w:ind w:left="1009" w:hanging="1008"/>
      </w:pPr>
    </w:lvl>
    <w:lvl w:ilvl="5">
      <w:start w:val="1"/>
      <w:numFmt w:val="decimal"/>
      <w:lvlText w:val="%1.%2.%3.%4.%5.%6"/>
      <w:lvlJc w:val="left"/>
      <w:pPr>
        <w:tabs>
          <w:tab w:val="num" w:pos="1153"/>
        </w:tabs>
        <w:ind w:left="1153" w:hanging="1152"/>
      </w:pPr>
    </w:lvl>
    <w:lvl w:ilvl="6">
      <w:start w:val="1"/>
      <w:numFmt w:val="decimal"/>
      <w:lvlText w:val="%1.%2.%3.%4.%5.%6.%7"/>
      <w:lvlJc w:val="left"/>
      <w:pPr>
        <w:tabs>
          <w:tab w:val="num" w:pos="1297"/>
        </w:tabs>
        <w:ind w:left="1297" w:hanging="1296"/>
      </w:pPr>
    </w:lvl>
    <w:lvl w:ilvl="7">
      <w:start w:val="1"/>
      <w:numFmt w:val="decimal"/>
      <w:lvlText w:val="%1.%2.%3.%4.%5.%6.%7.%8"/>
      <w:lvlJc w:val="left"/>
      <w:pPr>
        <w:tabs>
          <w:tab w:val="num" w:pos="1441"/>
        </w:tabs>
        <w:ind w:left="1441" w:hanging="1440"/>
      </w:pPr>
    </w:lvl>
    <w:lvl w:ilvl="8">
      <w:start w:val="1"/>
      <w:numFmt w:val="decimal"/>
      <w:lvlText w:val="%1.%2.%3.%4.%5.%6.%7.%8.%9"/>
      <w:lvlJc w:val="left"/>
      <w:pPr>
        <w:tabs>
          <w:tab w:val="num" w:pos="1585"/>
        </w:tabs>
        <w:ind w:left="1585" w:hanging="1584"/>
      </w:pPr>
    </w:lvl>
  </w:abstractNum>
  <w:abstractNum w:abstractNumId="4" w15:restartNumberingAfterBreak="0">
    <w:nsid w:val="0DC02BDD"/>
    <w:multiLevelType w:val="multilevel"/>
    <w:tmpl w:val="6CFC7216"/>
    <w:lvl w:ilvl="0">
      <w:start w:val="1"/>
      <w:numFmt w:val="decimal"/>
      <w:lvlText w:val="%1."/>
      <w:lvlJc w:val="left"/>
      <w:pPr>
        <w:tabs>
          <w:tab w:val="num" w:pos="340"/>
        </w:tabs>
        <w:ind w:left="340" w:hanging="340"/>
      </w:pPr>
      <w:rPr>
        <w:b w:val="0"/>
        <w:i w:val="0"/>
        <w:color w:val="D2232A"/>
        <w:sz w:val="20"/>
      </w:rPr>
    </w:lvl>
    <w:lvl w:ilvl="1">
      <w:start w:val="1"/>
      <w:numFmt w:val="bullet"/>
      <w:lvlText w:val=""/>
      <w:lvlJc w:val="left"/>
      <w:pPr>
        <w:ind w:left="720" w:hanging="36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cs="Wingdings" w:hint="default"/>
      </w:rPr>
    </w:lvl>
    <w:lvl w:ilvl="3">
      <w:start w:val="1"/>
      <w:numFmt w:val="none"/>
      <w:suff w:val="nothing"/>
      <w:lvlText w:val=""/>
      <w:lvlJc w:val="left"/>
      <w:pPr>
        <w:tabs>
          <w:tab w:val="num" w:pos="0"/>
        </w:tabs>
        <w:ind w:left="1728" w:hanging="648"/>
      </w:pPr>
    </w:lvl>
    <w:lvl w:ilvl="4">
      <w:start w:val="1"/>
      <w:numFmt w:val="none"/>
      <w:suff w:val="nothing"/>
      <w:lvlText w:val=""/>
      <w:lvlJc w:val="left"/>
      <w:pPr>
        <w:tabs>
          <w:tab w:val="num" w:pos="0"/>
        </w:tabs>
        <w:ind w:left="2232" w:hanging="792"/>
      </w:pPr>
    </w:lvl>
    <w:lvl w:ilvl="5">
      <w:start w:val="1"/>
      <w:numFmt w:val="none"/>
      <w:suff w:val="nothing"/>
      <w:lvlText w:val=""/>
      <w:lvlJc w:val="left"/>
      <w:pPr>
        <w:tabs>
          <w:tab w:val="num" w:pos="0"/>
        </w:tabs>
        <w:ind w:left="2736" w:hanging="936"/>
      </w:pPr>
    </w:lvl>
    <w:lvl w:ilvl="6">
      <w:start w:val="1"/>
      <w:numFmt w:val="none"/>
      <w:suff w:val="nothing"/>
      <w:lvlText w:val=""/>
      <w:lvlJc w:val="left"/>
      <w:pPr>
        <w:tabs>
          <w:tab w:val="num" w:pos="0"/>
        </w:tabs>
        <w:ind w:left="3240" w:hanging="1080"/>
      </w:pPr>
    </w:lvl>
    <w:lvl w:ilvl="7">
      <w:start w:val="1"/>
      <w:numFmt w:val="none"/>
      <w:suff w:val="nothing"/>
      <w:lvlText w:val=""/>
      <w:lvlJc w:val="left"/>
      <w:pPr>
        <w:tabs>
          <w:tab w:val="num" w:pos="0"/>
        </w:tabs>
        <w:ind w:left="3744" w:hanging="1224"/>
      </w:pPr>
    </w:lvl>
    <w:lvl w:ilvl="8">
      <w:start w:val="1"/>
      <w:numFmt w:val="none"/>
      <w:suff w:val="nothing"/>
      <w:lvlText w:val=""/>
      <w:lvlJc w:val="left"/>
      <w:pPr>
        <w:tabs>
          <w:tab w:val="num" w:pos="0"/>
        </w:tabs>
        <w:ind w:left="4320" w:hanging="1440"/>
      </w:pPr>
    </w:lvl>
  </w:abstractNum>
  <w:abstractNum w:abstractNumId="5" w15:restartNumberingAfterBreak="0">
    <w:nsid w:val="0E8F4780"/>
    <w:multiLevelType w:val="multilevel"/>
    <w:tmpl w:val="6F988794"/>
    <w:lvl w:ilvl="0">
      <w:start w:val="1"/>
      <w:numFmt w:val="bullet"/>
      <w:lvlText w:val=""/>
      <w:lvlJc w:val="left"/>
      <w:pPr>
        <w:tabs>
          <w:tab w:val="num" w:pos="0"/>
        </w:tabs>
        <w:ind w:left="360" w:hanging="360"/>
      </w:pPr>
      <w:rPr>
        <w:rFonts w:ascii="Wingdings" w:hAnsi="Wingdings" w:hint="default"/>
        <w:color w:val="D2232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F920D54"/>
    <w:multiLevelType w:val="multilevel"/>
    <w:tmpl w:val="F8241E3E"/>
    <w:lvl w:ilvl="0">
      <w:start w:val="1"/>
      <w:numFmt w:val="decimal"/>
      <w:lvlText w:val="%1."/>
      <w:lvlJc w:val="left"/>
      <w:pPr>
        <w:tabs>
          <w:tab w:val="num" w:pos="0"/>
        </w:tabs>
        <w:ind w:left="779" w:hanging="360"/>
      </w:pPr>
    </w:lvl>
    <w:lvl w:ilvl="1">
      <w:start w:val="1"/>
      <w:numFmt w:val="lowerLetter"/>
      <w:lvlText w:val="%2."/>
      <w:lvlJc w:val="left"/>
      <w:pPr>
        <w:tabs>
          <w:tab w:val="num" w:pos="0"/>
        </w:tabs>
        <w:ind w:left="1499" w:hanging="360"/>
      </w:pPr>
    </w:lvl>
    <w:lvl w:ilvl="2">
      <w:start w:val="1"/>
      <w:numFmt w:val="lowerRoman"/>
      <w:lvlText w:val="%3."/>
      <w:lvlJc w:val="right"/>
      <w:pPr>
        <w:tabs>
          <w:tab w:val="num" w:pos="0"/>
        </w:tabs>
        <w:ind w:left="2219" w:hanging="180"/>
      </w:pPr>
    </w:lvl>
    <w:lvl w:ilvl="3">
      <w:start w:val="1"/>
      <w:numFmt w:val="decimal"/>
      <w:lvlText w:val="%4."/>
      <w:lvlJc w:val="left"/>
      <w:pPr>
        <w:tabs>
          <w:tab w:val="num" w:pos="0"/>
        </w:tabs>
        <w:ind w:left="2939" w:hanging="360"/>
      </w:pPr>
    </w:lvl>
    <w:lvl w:ilvl="4">
      <w:start w:val="1"/>
      <w:numFmt w:val="lowerLetter"/>
      <w:lvlText w:val="%5."/>
      <w:lvlJc w:val="left"/>
      <w:pPr>
        <w:tabs>
          <w:tab w:val="num" w:pos="0"/>
        </w:tabs>
        <w:ind w:left="3659" w:hanging="360"/>
      </w:pPr>
    </w:lvl>
    <w:lvl w:ilvl="5">
      <w:start w:val="1"/>
      <w:numFmt w:val="lowerRoman"/>
      <w:lvlText w:val="%6."/>
      <w:lvlJc w:val="right"/>
      <w:pPr>
        <w:tabs>
          <w:tab w:val="num" w:pos="0"/>
        </w:tabs>
        <w:ind w:left="4379" w:hanging="180"/>
      </w:pPr>
    </w:lvl>
    <w:lvl w:ilvl="6">
      <w:start w:val="1"/>
      <w:numFmt w:val="decimal"/>
      <w:lvlText w:val="%7."/>
      <w:lvlJc w:val="left"/>
      <w:pPr>
        <w:tabs>
          <w:tab w:val="num" w:pos="0"/>
        </w:tabs>
        <w:ind w:left="5099" w:hanging="360"/>
      </w:pPr>
    </w:lvl>
    <w:lvl w:ilvl="7">
      <w:start w:val="1"/>
      <w:numFmt w:val="lowerLetter"/>
      <w:lvlText w:val="%8."/>
      <w:lvlJc w:val="left"/>
      <w:pPr>
        <w:tabs>
          <w:tab w:val="num" w:pos="0"/>
        </w:tabs>
        <w:ind w:left="5819" w:hanging="360"/>
      </w:pPr>
    </w:lvl>
    <w:lvl w:ilvl="8">
      <w:start w:val="1"/>
      <w:numFmt w:val="lowerRoman"/>
      <w:lvlText w:val="%9."/>
      <w:lvlJc w:val="right"/>
      <w:pPr>
        <w:tabs>
          <w:tab w:val="num" w:pos="0"/>
        </w:tabs>
        <w:ind w:left="6539" w:hanging="180"/>
      </w:pPr>
    </w:lvl>
  </w:abstractNum>
  <w:abstractNum w:abstractNumId="7" w15:restartNumberingAfterBreak="0">
    <w:nsid w:val="0FEB5783"/>
    <w:multiLevelType w:val="hybridMultilevel"/>
    <w:tmpl w:val="0164B08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2D415F0"/>
    <w:multiLevelType w:val="multilevel"/>
    <w:tmpl w:val="B5E008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5115039"/>
    <w:multiLevelType w:val="multilevel"/>
    <w:tmpl w:val="A9303EB2"/>
    <w:lvl w:ilvl="0">
      <w:start w:val="1"/>
      <w:numFmt w:val="decimal"/>
      <w:lvlText w:val="[%1]"/>
      <w:lvlJc w:val="left"/>
      <w:pPr>
        <w:tabs>
          <w:tab w:val="num" w:pos="397"/>
        </w:tabs>
        <w:ind w:left="397" w:hanging="397"/>
      </w:pPr>
      <w:rPr>
        <w:b w:val="0"/>
        <w:i w:val="0"/>
        <w:color w:val="D2232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685060"/>
    <w:multiLevelType w:val="hybridMultilevel"/>
    <w:tmpl w:val="95CC498E"/>
    <w:lvl w:ilvl="0" w:tplc="44665F38">
      <w:start w:val="1"/>
      <w:numFmt w:val="bullet"/>
      <w:lvlText w:val=""/>
      <w:lvlJc w:val="left"/>
      <w:pPr>
        <w:ind w:left="720" w:hanging="360"/>
      </w:pPr>
      <w:rPr>
        <w:rFonts w:ascii="Wingdings" w:hAnsi="Wingdings" w:hint="default"/>
        <w:color w:val="D2232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3F6603"/>
    <w:multiLevelType w:val="multilevel"/>
    <w:tmpl w:val="BD6A2BEC"/>
    <w:lvl w:ilvl="0">
      <w:start w:val="1"/>
      <w:numFmt w:val="decimal"/>
      <w:lvlText w:val="[%1]"/>
      <w:lvlJc w:val="left"/>
      <w:pPr>
        <w:tabs>
          <w:tab w:val="num" w:pos="397"/>
        </w:tabs>
        <w:ind w:left="397" w:hanging="397"/>
      </w:pPr>
      <w:rPr>
        <w:b w:val="0"/>
        <w:i w:val="0"/>
        <w:color w:val="D2232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AA14098"/>
    <w:multiLevelType w:val="multilevel"/>
    <w:tmpl w:val="0F162E14"/>
    <w:lvl w:ilvl="0">
      <w:start w:val="1"/>
      <w:numFmt w:val="decimal"/>
      <w:suff w:val="space"/>
      <w:lvlText w:val="ANNEX %1:"/>
      <w:lvlJc w:val="left"/>
      <w:pPr>
        <w:tabs>
          <w:tab w:val="num" w:pos="-426"/>
        </w:tabs>
        <w:ind w:left="0" w:firstLine="0"/>
      </w:pPr>
      <w:rPr>
        <w:b/>
        <w:bCs w:val="0"/>
        <w:i w:val="0"/>
        <w:iCs w:val="0"/>
        <w:cap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tabs>
          <w:tab w:val="num" w:pos="-426"/>
        </w:tabs>
        <w:ind w:left="151" w:hanging="576"/>
      </w:pPr>
    </w:lvl>
    <w:lvl w:ilvl="2">
      <w:start w:val="1"/>
      <w:numFmt w:val="decimal"/>
      <w:lvlText w:val="A%1.%2.%3"/>
      <w:lvlJc w:val="left"/>
      <w:pPr>
        <w:tabs>
          <w:tab w:val="num" w:pos="295"/>
        </w:tabs>
        <w:ind w:left="295" w:hanging="720"/>
      </w:pPr>
    </w:lvl>
    <w:lvl w:ilvl="3">
      <w:start w:val="1"/>
      <w:numFmt w:val="decimal"/>
      <w:lvlText w:val="A%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3" w15:restartNumberingAfterBreak="0">
    <w:nsid w:val="20FC1622"/>
    <w:multiLevelType w:val="multilevel"/>
    <w:tmpl w:val="AF46A8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12F4188"/>
    <w:multiLevelType w:val="multilevel"/>
    <w:tmpl w:val="A436549C"/>
    <w:lvl w:ilvl="0">
      <w:start w:val="1"/>
      <w:numFmt w:val="decimal"/>
      <w:suff w:val="space"/>
      <w:lvlText w:val="ANNEX %1:"/>
      <w:lvlJc w:val="left"/>
      <w:pPr>
        <w:ind w:left="709"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A%1.%2"/>
      <w:lvlJc w:val="left"/>
      <w:pPr>
        <w:ind w:left="3270" w:hanging="576"/>
      </w:pPr>
      <w:rPr>
        <w:rFonts w:hint="default"/>
      </w:rPr>
    </w:lvl>
    <w:lvl w:ilvl="2">
      <w:start w:val="1"/>
      <w:numFmt w:val="decimal"/>
      <w:lvlText w:val="A%1.%2.%3"/>
      <w:lvlJc w:val="left"/>
      <w:pPr>
        <w:tabs>
          <w:tab w:val="num" w:pos="-981"/>
        </w:tabs>
        <w:ind w:left="-981" w:hanging="720"/>
      </w:pPr>
      <w:rPr>
        <w:rFonts w:hint="default"/>
      </w:rPr>
    </w:lvl>
    <w:lvl w:ilvl="3">
      <w:start w:val="1"/>
      <w:numFmt w:val="decimal"/>
      <w:lvlText w:val="A%1.%2.%3.%4"/>
      <w:lvlJc w:val="left"/>
      <w:pPr>
        <w:tabs>
          <w:tab w:val="num" w:pos="-837"/>
        </w:tabs>
        <w:ind w:left="-837" w:hanging="864"/>
      </w:pPr>
      <w:rPr>
        <w:rFonts w:hint="default"/>
      </w:rPr>
    </w:lvl>
    <w:lvl w:ilvl="4">
      <w:start w:val="1"/>
      <w:numFmt w:val="decimal"/>
      <w:lvlText w:val="%1.%2.%3.%4.%5"/>
      <w:lvlJc w:val="left"/>
      <w:pPr>
        <w:tabs>
          <w:tab w:val="num" w:pos="-693"/>
        </w:tabs>
        <w:ind w:left="-693" w:hanging="1008"/>
      </w:pPr>
      <w:rPr>
        <w:rFonts w:hint="default"/>
      </w:rPr>
    </w:lvl>
    <w:lvl w:ilvl="5">
      <w:start w:val="1"/>
      <w:numFmt w:val="decimal"/>
      <w:lvlText w:val="%1.%2.%3.%4.%5.%6"/>
      <w:lvlJc w:val="left"/>
      <w:pPr>
        <w:tabs>
          <w:tab w:val="num" w:pos="-549"/>
        </w:tabs>
        <w:ind w:left="-549" w:hanging="1152"/>
      </w:pPr>
      <w:rPr>
        <w:rFonts w:hint="default"/>
      </w:rPr>
    </w:lvl>
    <w:lvl w:ilvl="6">
      <w:start w:val="1"/>
      <w:numFmt w:val="decimal"/>
      <w:lvlText w:val="%1.%2.%3.%4.%5.%6.%7"/>
      <w:lvlJc w:val="left"/>
      <w:pPr>
        <w:tabs>
          <w:tab w:val="num" w:pos="-405"/>
        </w:tabs>
        <w:ind w:left="-405" w:hanging="1296"/>
      </w:pPr>
      <w:rPr>
        <w:rFonts w:hint="default"/>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15" w15:restartNumberingAfterBreak="0">
    <w:nsid w:val="227F21EE"/>
    <w:multiLevelType w:val="multilevel"/>
    <w:tmpl w:val="DDBC20CA"/>
    <w:lvl w:ilvl="0">
      <w:start w:val="1"/>
      <w:numFmt w:val="decimal"/>
      <w:lvlText w:val="[%1]"/>
      <w:lvlJc w:val="left"/>
      <w:pPr>
        <w:tabs>
          <w:tab w:val="num" w:pos="397"/>
        </w:tabs>
        <w:ind w:left="397" w:hanging="397"/>
      </w:pPr>
      <w:rPr>
        <w:b w:val="0"/>
        <w:i w:val="0"/>
        <w:color w:val="D2232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5A57EB"/>
    <w:multiLevelType w:val="multilevel"/>
    <w:tmpl w:val="2C841490"/>
    <w:lvl w:ilvl="0">
      <w:start w:val="1"/>
      <w:numFmt w:val="decimal"/>
      <w:lvlText w:val="[%1]"/>
      <w:lvlJc w:val="left"/>
      <w:pPr>
        <w:tabs>
          <w:tab w:val="num" w:pos="397"/>
        </w:tabs>
        <w:ind w:left="397" w:hanging="397"/>
      </w:pPr>
      <w:rPr>
        <w:b w:val="0"/>
        <w:i w:val="0"/>
        <w:color w:val="D2232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56B206D"/>
    <w:multiLevelType w:val="multilevel"/>
    <w:tmpl w:val="7C1468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8B448E0"/>
    <w:multiLevelType w:val="multilevel"/>
    <w:tmpl w:val="FDE04094"/>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087C31"/>
    <w:multiLevelType w:val="multilevel"/>
    <w:tmpl w:val="85A80484"/>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0AE4B48"/>
    <w:multiLevelType w:val="multilevel"/>
    <w:tmpl w:val="AB241402"/>
    <w:lvl w:ilvl="0">
      <w:start w:val="50"/>
      <w:numFmt w:val="bullet"/>
      <w:lvlText w:val="-"/>
      <w:lvlJc w:val="left"/>
      <w:pPr>
        <w:tabs>
          <w:tab w:val="num" w:pos="0"/>
        </w:tabs>
        <w:ind w:left="360" w:hanging="360"/>
      </w:pPr>
      <w:rPr>
        <w:rFonts w:ascii="Arial"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33B861CF"/>
    <w:multiLevelType w:val="hybridMultilevel"/>
    <w:tmpl w:val="2ACC54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4FD1E04"/>
    <w:multiLevelType w:val="multilevel"/>
    <w:tmpl w:val="57581CE2"/>
    <w:lvl w:ilvl="0">
      <w:start w:val="1"/>
      <w:numFmt w:val="bullet"/>
      <w:lvlText w:val=""/>
      <w:lvlJc w:val="left"/>
      <w:pPr>
        <w:tabs>
          <w:tab w:val="num" w:pos="0"/>
        </w:tabs>
        <w:ind w:left="360" w:hanging="360"/>
      </w:pPr>
      <w:rPr>
        <w:rFonts w:ascii="Wingdings" w:hAnsi="Wingdings" w:hint="default"/>
        <w:color w:val="D2232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5D57C4D"/>
    <w:multiLevelType w:val="multilevel"/>
    <w:tmpl w:val="EF842DCA"/>
    <w:lvl w:ilvl="0">
      <w:start w:val="1"/>
      <w:numFmt w:val="decimal"/>
      <w:lvlText w:val="[%1]"/>
      <w:lvlJc w:val="left"/>
      <w:pPr>
        <w:tabs>
          <w:tab w:val="num" w:pos="397"/>
        </w:tabs>
        <w:ind w:left="397" w:hanging="397"/>
      </w:pPr>
      <w:rPr>
        <w:b w:val="0"/>
        <w:i w:val="0"/>
        <w:color w:val="D2232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8DA3444"/>
    <w:multiLevelType w:val="multilevel"/>
    <w:tmpl w:val="223008C0"/>
    <w:lvl w:ilvl="0">
      <w:start w:val="1"/>
      <w:numFmt w:val="bullet"/>
      <w:lvlText w:val=""/>
      <w:lvlJc w:val="left"/>
      <w:pPr>
        <w:tabs>
          <w:tab w:val="num" w:pos="360"/>
        </w:tabs>
        <w:ind w:left="360" w:hanging="360"/>
      </w:pPr>
      <w:rPr>
        <w:rFonts w:ascii="Wingdings" w:hAnsi="Wingdings" w:hint="default"/>
        <w:color w:val="D2232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9537781"/>
    <w:multiLevelType w:val="multilevel"/>
    <w:tmpl w:val="DBE0D52A"/>
    <w:lvl w:ilvl="0">
      <w:numFmt w:val="decimal"/>
      <w:pStyle w:val="Heading1"/>
      <w:lvlText w:val="%1"/>
      <w:lvlJc w:val="left"/>
      <w:pPr>
        <w:tabs>
          <w:tab w:val="num" w:pos="432"/>
        </w:tabs>
        <w:ind w:left="432" w:hanging="432"/>
      </w:pPr>
      <w:rPr>
        <w:b/>
        <w:i w:val="0"/>
        <w:color w:val="D2232A"/>
        <w:sz w:val="20"/>
        <w:szCs w:val="20"/>
      </w:rPr>
    </w:lvl>
    <w:lvl w:ilvl="1">
      <w:start w:val="1"/>
      <w:numFmt w:val="decimal"/>
      <w:pStyle w:val="Heading2"/>
      <w:lvlText w:val="%1.%2"/>
      <w:lvlJc w:val="left"/>
      <w:pPr>
        <w:tabs>
          <w:tab w:val="num" w:pos="576"/>
        </w:tabs>
        <w:ind w:left="576" w:hanging="576"/>
      </w:pPr>
      <w:rPr>
        <w:b/>
        <w:bCs w:val="0"/>
        <w:i w:val="0"/>
        <w:sz w:val="20"/>
      </w:rPr>
    </w:lvl>
    <w:lvl w:ilvl="2">
      <w:start w:val="1"/>
      <w:numFmt w:val="decimal"/>
      <w:pStyle w:val="Heading3"/>
      <w:lvlText w:val="%1.%2.%3"/>
      <w:lvlJc w:val="left"/>
      <w:pPr>
        <w:tabs>
          <w:tab w:val="num" w:pos="720"/>
        </w:tabs>
        <w:ind w:left="720" w:hanging="720"/>
      </w:pPr>
      <w:rPr>
        <w:b/>
        <w:i w:val="0"/>
        <w:caps w:val="0"/>
        <w:smallCaps w:val="0"/>
        <w:sz w:val="20"/>
        <w:szCs w:val="20"/>
      </w:rPr>
    </w:lvl>
    <w:lvl w:ilvl="3">
      <w:start w:val="1"/>
      <w:numFmt w:val="decimal"/>
      <w:lvlText w:val="%1.%2.%3.%4"/>
      <w:lvlJc w:val="left"/>
      <w:pPr>
        <w:tabs>
          <w:tab w:val="num" w:pos="864"/>
        </w:tabs>
        <w:ind w:left="864" w:hanging="864"/>
      </w:pPr>
      <w:rPr>
        <w:b w:val="0"/>
        <w:i/>
        <w:sz w:val="20"/>
      </w:rPr>
    </w:lvl>
    <w:lvl w:ilvl="4">
      <w:start w:val="1"/>
      <w:numFmt w:val="decimal"/>
      <w:lvlText w:val="%1.%2.%3.%4.%5"/>
      <w:lvlJc w:val="left"/>
      <w:pPr>
        <w:tabs>
          <w:tab w:val="num" w:pos="1008"/>
        </w:tabs>
        <w:ind w:left="1008" w:hanging="1008"/>
      </w:pPr>
      <w:rPr>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3A580E6A"/>
    <w:multiLevelType w:val="multilevel"/>
    <w:tmpl w:val="14F8E8F4"/>
    <w:lvl w:ilvl="0">
      <w:start w:val="1"/>
      <w:numFmt w:val="decimal"/>
      <w:lvlText w:val="%1."/>
      <w:lvlJc w:val="left"/>
      <w:pPr>
        <w:tabs>
          <w:tab w:val="num" w:pos="340"/>
        </w:tabs>
        <w:ind w:left="340" w:hanging="340"/>
      </w:pPr>
      <w:rPr>
        <w:b w:val="0"/>
        <w:i w:val="0"/>
        <w:color w:val="D2232A"/>
        <w:sz w:val="20"/>
      </w:rPr>
    </w:lvl>
    <w:lvl w:ilvl="1">
      <w:start w:val="1"/>
      <w:numFmt w:val="bullet"/>
      <w:lvlText w:val=""/>
      <w:lvlJc w:val="left"/>
      <w:pPr>
        <w:tabs>
          <w:tab w:val="num" w:pos="680"/>
        </w:tabs>
        <w:ind w:left="680" w:hanging="340"/>
      </w:pPr>
      <w:rPr>
        <w:rFonts w:ascii="Symbol" w:hAnsi="Symbol" w:hint="default"/>
        <w:b w:val="0"/>
        <w:i w:val="0"/>
        <w:color w:val="D2232A"/>
        <w:sz w:val="20"/>
      </w:rPr>
    </w:lvl>
    <w:lvl w:ilvl="2">
      <w:start w:val="1"/>
      <w:numFmt w:val="bullet"/>
      <w:lvlText w:val=""/>
      <w:lvlJc w:val="left"/>
      <w:pPr>
        <w:tabs>
          <w:tab w:val="num" w:pos="1021"/>
        </w:tabs>
        <w:ind w:left="1021" w:hanging="341"/>
      </w:pPr>
      <w:rPr>
        <w:rFonts w:ascii="Wingdings" w:hAnsi="Wingdings" w:cs="Wingdings" w:hint="default"/>
      </w:rPr>
    </w:lvl>
    <w:lvl w:ilvl="3">
      <w:start w:val="1"/>
      <w:numFmt w:val="none"/>
      <w:suff w:val="nothing"/>
      <w:lvlText w:val=""/>
      <w:lvlJc w:val="left"/>
      <w:pPr>
        <w:tabs>
          <w:tab w:val="num" w:pos="0"/>
        </w:tabs>
        <w:ind w:left="1728" w:hanging="648"/>
      </w:pPr>
    </w:lvl>
    <w:lvl w:ilvl="4">
      <w:start w:val="1"/>
      <w:numFmt w:val="none"/>
      <w:suff w:val="nothing"/>
      <w:lvlText w:val=""/>
      <w:lvlJc w:val="left"/>
      <w:pPr>
        <w:tabs>
          <w:tab w:val="num" w:pos="0"/>
        </w:tabs>
        <w:ind w:left="2232" w:hanging="792"/>
      </w:pPr>
    </w:lvl>
    <w:lvl w:ilvl="5">
      <w:start w:val="1"/>
      <w:numFmt w:val="none"/>
      <w:suff w:val="nothing"/>
      <w:lvlText w:val=""/>
      <w:lvlJc w:val="left"/>
      <w:pPr>
        <w:tabs>
          <w:tab w:val="num" w:pos="0"/>
        </w:tabs>
        <w:ind w:left="2736" w:hanging="936"/>
      </w:pPr>
    </w:lvl>
    <w:lvl w:ilvl="6">
      <w:start w:val="1"/>
      <w:numFmt w:val="none"/>
      <w:suff w:val="nothing"/>
      <w:lvlText w:val=""/>
      <w:lvlJc w:val="left"/>
      <w:pPr>
        <w:tabs>
          <w:tab w:val="num" w:pos="0"/>
        </w:tabs>
        <w:ind w:left="3240" w:hanging="1080"/>
      </w:pPr>
    </w:lvl>
    <w:lvl w:ilvl="7">
      <w:start w:val="1"/>
      <w:numFmt w:val="none"/>
      <w:suff w:val="nothing"/>
      <w:lvlText w:val=""/>
      <w:lvlJc w:val="left"/>
      <w:pPr>
        <w:tabs>
          <w:tab w:val="num" w:pos="0"/>
        </w:tabs>
        <w:ind w:left="3744" w:hanging="1224"/>
      </w:pPr>
    </w:lvl>
    <w:lvl w:ilvl="8">
      <w:start w:val="1"/>
      <w:numFmt w:val="none"/>
      <w:suff w:val="nothing"/>
      <w:lvlText w:val=""/>
      <w:lvlJc w:val="left"/>
      <w:pPr>
        <w:tabs>
          <w:tab w:val="num" w:pos="0"/>
        </w:tabs>
        <w:ind w:left="4320" w:hanging="1440"/>
      </w:pPr>
    </w:lvl>
  </w:abstractNum>
  <w:abstractNum w:abstractNumId="27" w15:restartNumberingAfterBreak="0">
    <w:nsid w:val="3C9E28B4"/>
    <w:multiLevelType w:val="multilevel"/>
    <w:tmpl w:val="796CB8A4"/>
    <w:lvl w:ilvl="0">
      <w:start w:val="1"/>
      <w:numFmt w:val="decimal"/>
      <w:lvlText w:val="%1."/>
      <w:lvlJc w:val="left"/>
      <w:pPr>
        <w:tabs>
          <w:tab w:val="num" w:pos="340"/>
        </w:tabs>
        <w:ind w:left="340" w:hanging="340"/>
      </w:pPr>
      <w:rPr>
        <w:b w:val="0"/>
        <w:i w:val="0"/>
        <w:color w:val="D2232A"/>
        <w:sz w:val="20"/>
      </w:rPr>
    </w:lvl>
    <w:lvl w:ilvl="1">
      <w:start w:val="1"/>
      <w:numFmt w:val="bullet"/>
      <w:lvlText w:val=""/>
      <w:lvlJc w:val="left"/>
      <w:pPr>
        <w:ind w:left="720" w:hanging="36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cs="Wingdings" w:hint="default"/>
      </w:rPr>
    </w:lvl>
    <w:lvl w:ilvl="3">
      <w:start w:val="1"/>
      <w:numFmt w:val="none"/>
      <w:suff w:val="nothing"/>
      <w:lvlText w:val=""/>
      <w:lvlJc w:val="left"/>
      <w:pPr>
        <w:tabs>
          <w:tab w:val="num" w:pos="0"/>
        </w:tabs>
        <w:ind w:left="1728" w:hanging="648"/>
      </w:pPr>
    </w:lvl>
    <w:lvl w:ilvl="4">
      <w:start w:val="1"/>
      <w:numFmt w:val="none"/>
      <w:suff w:val="nothing"/>
      <w:lvlText w:val=""/>
      <w:lvlJc w:val="left"/>
      <w:pPr>
        <w:tabs>
          <w:tab w:val="num" w:pos="0"/>
        </w:tabs>
        <w:ind w:left="2232" w:hanging="792"/>
      </w:pPr>
    </w:lvl>
    <w:lvl w:ilvl="5">
      <w:start w:val="1"/>
      <w:numFmt w:val="none"/>
      <w:suff w:val="nothing"/>
      <w:lvlText w:val=""/>
      <w:lvlJc w:val="left"/>
      <w:pPr>
        <w:tabs>
          <w:tab w:val="num" w:pos="0"/>
        </w:tabs>
        <w:ind w:left="2736" w:hanging="936"/>
      </w:pPr>
    </w:lvl>
    <w:lvl w:ilvl="6">
      <w:start w:val="1"/>
      <w:numFmt w:val="none"/>
      <w:suff w:val="nothing"/>
      <w:lvlText w:val=""/>
      <w:lvlJc w:val="left"/>
      <w:pPr>
        <w:tabs>
          <w:tab w:val="num" w:pos="0"/>
        </w:tabs>
        <w:ind w:left="3240" w:hanging="1080"/>
      </w:pPr>
    </w:lvl>
    <w:lvl w:ilvl="7">
      <w:start w:val="1"/>
      <w:numFmt w:val="none"/>
      <w:suff w:val="nothing"/>
      <w:lvlText w:val=""/>
      <w:lvlJc w:val="left"/>
      <w:pPr>
        <w:tabs>
          <w:tab w:val="num" w:pos="0"/>
        </w:tabs>
        <w:ind w:left="3744" w:hanging="1224"/>
      </w:pPr>
    </w:lvl>
    <w:lvl w:ilvl="8">
      <w:start w:val="1"/>
      <w:numFmt w:val="none"/>
      <w:suff w:val="nothing"/>
      <w:lvlText w:val=""/>
      <w:lvlJc w:val="left"/>
      <w:pPr>
        <w:tabs>
          <w:tab w:val="num" w:pos="0"/>
        </w:tabs>
        <w:ind w:left="4320" w:hanging="1440"/>
      </w:pPr>
    </w:lvl>
  </w:abstractNum>
  <w:abstractNum w:abstractNumId="28" w15:restartNumberingAfterBreak="0">
    <w:nsid w:val="3F974F64"/>
    <w:multiLevelType w:val="multilevel"/>
    <w:tmpl w:val="D590897A"/>
    <w:lvl w:ilvl="0">
      <w:numFmt w:val="decimal"/>
      <w:lvlText w:val="%1"/>
      <w:lvlJc w:val="left"/>
      <w:pPr>
        <w:tabs>
          <w:tab w:val="num" w:pos="432"/>
        </w:tabs>
        <w:ind w:left="432" w:hanging="432"/>
      </w:pPr>
      <w:rPr>
        <w:b/>
        <w:i w:val="0"/>
        <w:color w:val="D2232A"/>
        <w:sz w:val="20"/>
        <w:szCs w:val="20"/>
      </w:rPr>
    </w:lvl>
    <w:lvl w:ilvl="1">
      <w:start w:val="1"/>
      <w:numFmt w:val="decimal"/>
      <w:lvlText w:val="%1.%2"/>
      <w:lvlJc w:val="left"/>
      <w:pPr>
        <w:tabs>
          <w:tab w:val="num" w:pos="576"/>
        </w:tabs>
        <w:ind w:left="576" w:hanging="576"/>
      </w:pPr>
      <w:rPr>
        <w:b w:val="0"/>
        <w:i w:val="0"/>
        <w:sz w:val="20"/>
      </w:rPr>
    </w:lvl>
    <w:lvl w:ilvl="2">
      <w:start w:val="1"/>
      <w:numFmt w:val="decimal"/>
      <w:lvlText w:val="%1.%2.%3"/>
      <w:lvlJc w:val="left"/>
      <w:pPr>
        <w:tabs>
          <w:tab w:val="num" w:pos="720"/>
        </w:tabs>
        <w:ind w:left="720" w:hanging="720"/>
      </w:pPr>
      <w:rPr>
        <w:b/>
        <w:i w:val="0"/>
        <w:caps w:val="0"/>
        <w:smallCaps w:val="0"/>
        <w:sz w:val="20"/>
        <w:szCs w:val="20"/>
      </w:rPr>
    </w:lvl>
    <w:lvl w:ilvl="3">
      <w:start w:val="1"/>
      <w:numFmt w:val="none"/>
      <w:suff w:val="nothing"/>
      <w:lvlText w:val=""/>
      <w:lvlJc w:val="left"/>
      <w:pPr>
        <w:tabs>
          <w:tab w:val="num" w:pos="0"/>
        </w:tabs>
        <w:ind w:left="0" w:firstLine="0"/>
      </w:pPr>
    </w:lvl>
    <w:lvl w:ilvl="4">
      <w:start w:val="1"/>
      <w:numFmt w:val="decimal"/>
      <w:pStyle w:val="Heading5"/>
      <w:lvlText w:val="%1.%2.%3.%4.%5"/>
      <w:lvlJc w:val="left"/>
      <w:pPr>
        <w:tabs>
          <w:tab w:val="num" w:pos="1008"/>
        </w:tabs>
        <w:ind w:left="1008" w:hanging="1008"/>
      </w:pPr>
      <w:rPr>
        <w:sz w:val="24"/>
      </w:r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9" w15:restartNumberingAfterBreak="0">
    <w:nsid w:val="42087D05"/>
    <w:multiLevelType w:val="hybridMultilevel"/>
    <w:tmpl w:val="0C3806B8"/>
    <w:lvl w:ilvl="0" w:tplc="44665F38">
      <w:start w:val="1"/>
      <w:numFmt w:val="bullet"/>
      <w:lvlText w:val=""/>
      <w:lvlJc w:val="left"/>
      <w:pPr>
        <w:ind w:left="720" w:hanging="360"/>
      </w:pPr>
      <w:rPr>
        <w:rFonts w:ascii="Wingdings" w:hAnsi="Wingdings" w:hint="default"/>
        <w:color w:val="D2232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90228DB"/>
    <w:multiLevelType w:val="multilevel"/>
    <w:tmpl w:val="2E9CA29A"/>
    <w:lvl w:ilvl="0">
      <w:start w:val="1"/>
      <w:numFmt w:val="decimal"/>
      <w:lvlText w:val="[%1]"/>
      <w:lvlJc w:val="left"/>
      <w:pPr>
        <w:tabs>
          <w:tab w:val="num" w:pos="397"/>
        </w:tabs>
        <w:ind w:left="397" w:hanging="397"/>
      </w:pPr>
      <w:rPr>
        <w:b w:val="0"/>
        <w:i w:val="0"/>
        <w:color w:val="D2232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3C1571F"/>
    <w:multiLevelType w:val="multilevel"/>
    <w:tmpl w:val="2F7051C8"/>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CD51FBD"/>
    <w:multiLevelType w:val="multilevel"/>
    <w:tmpl w:val="D76025B4"/>
    <w:lvl w:ilvl="0">
      <w:start w:val="1"/>
      <w:numFmt w:val="bullet"/>
      <w:lvlText w:val=""/>
      <w:lvlJc w:val="left"/>
      <w:pPr>
        <w:tabs>
          <w:tab w:val="num" w:pos="0"/>
        </w:tabs>
        <w:ind w:left="720" w:hanging="360"/>
      </w:pPr>
      <w:rPr>
        <w:rFonts w:ascii="Wingdings" w:hAnsi="Wingdings" w:hint="default"/>
        <w:color w:val="D2232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8F01649"/>
    <w:multiLevelType w:val="multilevel"/>
    <w:tmpl w:val="6F0A560E"/>
    <w:lvl w:ilvl="0">
      <w:start w:val="1"/>
      <w:numFmt w:val="bullet"/>
      <w:lvlText w:val=""/>
      <w:lvlJc w:val="left"/>
      <w:pPr>
        <w:tabs>
          <w:tab w:val="num" w:pos="0"/>
        </w:tabs>
        <w:ind w:left="360" w:hanging="360"/>
      </w:pPr>
      <w:rPr>
        <w:rFonts w:ascii="Wingdings" w:hAnsi="Wingdings" w:hint="default"/>
        <w:color w:val="D2232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AAC19E4"/>
    <w:multiLevelType w:val="multilevel"/>
    <w:tmpl w:val="03DA45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C3F6EE7"/>
    <w:multiLevelType w:val="multilevel"/>
    <w:tmpl w:val="2EA03C18"/>
    <w:lvl w:ilvl="0">
      <w:start w:val="1"/>
      <w:numFmt w:val="decimal"/>
      <w:lvlText w:val="%1."/>
      <w:lvlJc w:val="left"/>
      <w:pPr>
        <w:tabs>
          <w:tab w:val="num" w:pos="340"/>
        </w:tabs>
        <w:ind w:left="340" w:hanging="340"/>
      </w:pPr>
      <w:rPr>
        <w:b w:val="0"/>
        <w:i w:val="0"/>
        <w:color w:val="D2232A"/>
        <w:sz w:val="20"/>
      </w:rPr>
    </w:lvl>
    <w:lvl w:ilvl="1">
      <w:start w:val="1"/>
      <w:numFmt w:val="bullet"/>
      <w:lvlText w:val=""/>
      <w:lvlJc w:val="left"/>
      <w:pPr>
        <w:ind w:left="700" w:hanging="360"/>
      </w:pPr>
      <w:rPr>
        <w:rFonts w:ascii="Wingdings" w:hAnsi="Wingdings" w:hint="default"/>
      </w:rPr>
    </w:lvl>
    <w:lvl w:ilvl="2">
      <w:start w:val="1"/>
      <w:numFmt w:val="bullet"/>
      <w:lvlText w:val=""/>
      <w:lvlJc w:val="left"/>
      <w:pPr>
        <w:tabs>
          <w:tab w:val="num" w:pos="1021"/>
        </w:tabs>
        <w:ind w:left="1021" w:hanging="341"/>
      </w:pPr>
      <w:rPr>
        <w:rFonts w:ascii="Wingdings" w:hAnsi="Wingdings" w:cs="Wingdings" w:hint="default"/>
      </w:rPr>
    </w:lvl>
    <w:lvl w:ilvl="3">
      <w:start w:val="1"/>
      <w:numFmt w:val="none"/>
      <w:suff w:val="nothing"/>
      <w:lvlText w:val=""/>
      <w:lvlJc w:val="left"/>
      <w:pPr>
        <w:tabs>
          <w:tab w:val="num" w:pos="0"/>
        </w:tabs>
        <w:ind w:left="1728" w:hanging="648"/>
      </w:pPr>
    </w:lvl>
    <w:lvl w:ilvl="4">
      <w:start w:val="1"/>
      <w:numFmt w:val="none"/>
      <w:suff w:val="nothing"/>
      <w:lvlText w:val=""/>
      <w:lvlJc w:val="left"/>
      <w:pPr>
        <w:tabs>
          <w:tab w:val="num" w:pos="0"/>
        </w:tabs>
        <w:ind w:left="2232" w:hanging="792"/>
      </w:pPr>
    </w:lvl>
    <w:lvl w:ilvl="5">
      <w:start w:val="1"/>
      <w:numFmt w:val="none"/>
      <w:suff w:val="nothing"/>
      <w:lvlText w:val=""/>
      <w:lvlJc w:val="left"/>
      <w:pPr>
        <w:tabs>
          <w:tab w:val="num" w:pos="0"/>
        </w:tabs>
        <w:ind w:left="2736" w:hanging="936"/>
      </w:pPr>
    </w:lvl>
    <w:lvl w:ilvl="6">
      <w:start w:val="1"/>
      <w:numFmt w:val="none"/>
      <w:suff w:val="nothing"/>
      <w:lvlText w:val=""/>
      <w:lvlJc w:val="left"/>
      <w:pPr>
        <w:tabs>
          <w:tab w:val="num" w:pos="0"/>
        </w:tabs>
        <w:ind w:left="3240" w:hanging="1080"/>
      </w:pPr>
    </w:lvl>
    <w:lvl w:ilvl="7">
      <w:start w:val="1"/>
      <w:numFmt w:val="none"/>
      <w:suff w:val="nothing"/>
      <w:lvlText w:val=""/>
      <w:lvlJc w:val="left"/>
      <w:pPr>
        <w:tabs>
          <w:tab w:val="num" w:pos="0"/>
        </w:tabs>
        <w:ind w:left="3744" w:hanging="1224"/>
      </w:pPr>
    </w:lvl>
    <w:lvl w:ilvl="8">
      <w:start w:val="1"/>
      <w:numFmt w:val="none"/>
      <w:suff w:val="nothing"/>
      <w:lvlText w:val=""/>
      <w:lvlJc w:val="left"/>
      <w:pPr>
        <w:tabs>
          <w:tab w:val="num" w:pos="0"/>
        </w:tabs>
        <w:ind w:left="4320" w:hanging="1440"/>
      </w:pPr>
    </w:lvl>
  </w:abstractNum>
  <w:abstractNum w:abstractNumId="36" w15:restartNumberingAfterBreak="0">
    <w:nsid w:val="731411C9"/>
    <w:multiLevelType w:val="multilevel"/>
    <w:tmpl w:val="E9E6C2F8"/>
    <w:lvl w:ilvl="0">
      <w:start w:val="1"/>
      <w:numFmt w:val="decimal"/>
      <w:suff w:val="space"/>
      <w:lvlText w:val="ANNEX %1:"/>
      <w:lvlJc w:val="left"/>
      <w:pPr>
        <w:tabs>
          <w:tab w:val="num" w:pos="0"/>
        </w:tabs>
        <w:ind w:left="426" w:firstLine="0"/>
      </w:pPr>
      <w:rPr>
        <w:b/>
        <w:bCs w:val="0"/>
        <w:i w:val="0"/>
        <w:iCs w:val="0"/>
        <w:cap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tabs>
          <w:tab w:val="num" w:pos="0"/>
        </w:tabs>
        <w:ind w:left="577" w:hanging="576"/>
      </w:pPr>
    </w:lvl>
    <w:lvl w:ilvl="2">
      <w:start w:val="1"/>
      <w:numFmt w:val="decimal"/>
      <w:lvlText w:val="A%1.%2.%3"/>
      <w:lvlJc w:val="left"/>
      <w:pPr>
        <w:tabs>
          <w:tab w:val="num" w:pos="721"/>
        </w:tabs>
        <w:ind w:left="721" w:hanging="720"/>
      </w:pPr>
    </w:lvl>
    <w:lvl w:ilvl="3">
      <w:start w:val="1"/>
      <w:numFmt w:val="decimal"/>
      <w:lvlText w:val="A%1.%2.%3.%4"/>
      <w:lvlJc w:val="left"/>
      <w:pPr>
        <w:tabs>
          <w:tab w:val="num" w:pos="865"/>
        </w:tabs>
        <w:ind w:left="865" w:hanging="864"/>
      </w:pPr>
    </w:lvl>
    <w:lvl w:ilvl="4">
      <w:start w:val="1"/>
      <w:numFmt w:val="decimal"/>
      <w:lvlText w:val="%1.%2.%3.%4.%5"/>
      <w:lvlJc w:val="left"/>
      <w:pPr>
        <w:tabs>
          <w:tab w:val="num" w:pos="1009"/>
        </w:tabs>
        <w:ind w:left="1009" w:hanging="1008"/>
      </w:pPr>
    </w:lvl>
    <w:lvl w:ilvl="5">
      <w:start w:val="1"/>
      <w:numFmt w:val="decimal"/>
      <w:lvlText w:val="%1.%2.%3.%4.%5.%6"/>
      <w:lvlJc w:val="left"/>
      <w:pPr>
        <w:tabs>
          <w:tab w:val="num" w:pos="1153"/>
        </w:tabs>
        <w:ind w:left="1153" w:hanging="1152"/>
      </w:pPr>
    </w:lvl>
    <w:lvl w:ilvl="6">
      <w:start w:val="1"/>
      <w:numFmt w:val="decimal"/>
      <w:lvlText w:val="%1.%2.%3.%4.%5.%6.%7"/>
      <w:lvlJc w:val="left"/>
      <w:pPr>
        <w:tabs>
          <w:tab w:val="num" w:pos="1297"/>
        </w:tabs>
        <w:ind w:left="1297" w:hanging="1296"/>
      </w:pPr>
    </w:lvl>
    <w:lvl w:ilvl="7">
      <w:start w:val="1"/>
      <w:numFmt w:val="decimal"/>
      <w:lvlText w:val="%1.%2.%3.%4.%5.%6.%7.%8"/>
      <w:lvlJc w:val="left"/>
      <w:pPr>
        <w:tabs>
          <w:tab w:val="num" w:pos="1441"/>
        </w:tabs>
        <w:ind w:left="1441" w:hanging="1440"/>
      </w:pPr>
    </w:lvl>
    <w:lvl w:ilvl="8">
      <w:start w:val="1"/>
      <w:numFmt w:val="decimal"/>
      <w:lvlText w:val="%1.%2.%3.%4.%5.%6.%7.%8.%9"/>
      <w:lvlJc w:val="left"/>
      <w:pPr>
        <w:tabs>
          <w:tab w:val="num" w:pos="1585"/>
        </w:tabs>
        <w:ind w:left="1585" w:hanging="1584"/>
      </w:pPr>
    </w:lvl>
  </w:abstractNum>
  <w:abstractNum w:abstractNumId="37" w15:restartNumberingAfterBreak="0">
    <w:nsid w:val="747E471A"/>
    <w:multiLevelType w:val="multilevel"/>
    <w:tmpl w:val="D48237D4"/>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86228C8"/>
    <w:multiLevelType w:val="hybridMultilevel"/>
    <w:tmpl w:val="6BC0FFC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9D9418C"/>
    <w:multiLevelType w:val="multilevel"/>
    <w:tmpl w:val="16BCA72A"/>
    <w:lvl w:ilvl="0">
      <w:start w:val="1"/>
      <w:numFmt w:val="bullet"/>
      <w:lvlText w:val=""/>
      <w:lvlJc w:val="left"/>
      <w:pPr>
        <w:tabs>
          <w:tab w:val="num" w:pos="0"/>
        </w:tabs>
        <w:ind w:left="360" w:hanging="360"/>
      </w:pPr>
      <w:rPr>
        <w:rFonts w:ascii="Wingdings" w:hAnsi="Wingdings" w:hint="default"/>
        <w:color w:val="D2232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BA6514F"/>
    <w:multiLevelType w:val="multilevel"/>
    <w:tmpl w:val="0FFA6D30"/>
    <w:lvl w:ilvl="0">
      <w:start w:val="1"/>
      <w:numFmt w:val="decimal"/>
      <w:lvlText w:val="[%1]"/>
      <w:lvlJc w:val="left"/>
      <w:pPr>
        <w:tabs>
          <w:tab w:val="num" w:pos="397"/>
        </w:tabs>
        <w:ind w:left="397" w:hanging="397"/>
      </w:pPr>
      <w:rPr>
        <w:b w:val="0"/>
        <w:i w:val="0"/>
        <w:color w:val="D2232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E0C5DBC"/>
    <w:multiLevelType w:val="multilevel"/>
    <w:tmpl w:val="0F162E14"/>
    <w:lvl w:ilvl="0">
      <w:start w:val="1"/>
      <w:numFmt w:val="decimal"/>
      <w:suff w:val="space"/>
      <w:lvlText w:val="ANNEX %1:"/>
      <w:lvlJc w:val="left"/>
      <w:pPr>
        <w:tabs>
          <w:tab w:val="num" w:pos="0"/>
        </w:tabs>
        <w:ind w:left="426" w:firstLine="0"/>
      </w:pPr>
      <w:rPr>
        <w:b/>
        <w:bCs w:val="0"/>
        <w:i w:val="0"/>
        <w:iCs w:val="0"/>
        <w:cap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tabs>
          <w:tab w:val="num" w:pos="0"/>
        </w:tabs>
        <w:ind w:left="577" w:hanging="576"/>
      </w:pPr>
    </w:lvl>
    <w:lvl w:ilvl="2">
      <w:start w:val="1"/>
      <w:numFmt w:val="decimal"/>
      <w:lvlText w:val="A%1.%2.%3"/>
      <w:lvlJc w:val="left"/>
      <w:pPr>
        <w:tabs>
          <w:tab w:val="num" w:pos="721"/>
        </w:tabs>
        <w:ind w:left="721" w:hanging="720"/>
      </w:pPr>
    </w:lvl>
    <w:lvl w:ilvl="3">
      <w:start w:val="1"/>
      <w:numFmt w:val="decimal"/>
      <w:lvlText w:val="A%1.%2.%3.%4"/>
      <w:lvlJc w:val="left"/>
      <w:pPr>
        <w:tabs>
          <w:tab w:val="num" w:pos="865"/>
        </w:tabs>
        <w:ind w:left="865" w:hanging="864"/>
      </w:pPr>
    </w:lvl>
    <w:lvl w:ilvl="4">
      <w:start w:val="1"/>
      <w:numFmt w:val="decimal"/>
      <w:lvlText w:val="%1.%2.%3.%4.%5"/>
      <w:lvlJc w:val="left"/>
      <w:pPr>
        <w:tabs>
          <w:tab w:val="num" w:pos="1009"/>
        </w:tabs>
        <w:ind w:left="1009" w:hanging="1008"/>
      </w:pPr>
    </w:lvl>
    <w:lvl w:ilvl="5">
      <w:start w:val="1"/>
      <w:numFmt w:val="decimal"/>
      <w:lvlText w:val="%1.%2.%3.%4.%5.%6"/>
      <w:lvlJc w:val="left"/>
      <w:pPr>
        <w:tabs>
          <w:tab w:val="num" w:pos="1153"/>
        </w:tabs>
        <w:ind w:left="1153" w:hanging="1152"/>
      </w:pPr>
    </w:lvl>
    <w:lvl w:ilvl="6">
      <w:start w:val="1"/>
      <w:numFmt w:val="decimal"/>
      <w:lvlText w:val="%1.%2.%3.%4.%5.%6.%7"/>
      <w:lvlJc w:val="left"/>
      <w:pPr>
        <w:tabs>
          <w:tab w:val="num" w:pos="1297"/>
        </w:tabs>
        <w:ind w:left="1297" w:hanging="1296"/>
      </w:pPr>
    </w:lvl>
    <w:lvl w:ilvl="7">
      <w:start w:val="1"/>
      <w:numFmt w:val="decimal"/>
      <w:lvlText w:val="%1.%2.%3.%4.%5.%6.%7.%8"/>
      <w:lvlJc w:val="left"/>
      <w:pPr>
        <w:tabs>
          <w:tab w:val="num" w:pos="1441"/>
        </w:tabs>
        <w:ind w:left="1441" w:hanging="1440"/>
      </w:pPr>
    </w:lvl>
    <w:lvl w:ilvl="8">
      <w:start w:val="1"/>
      <w:numFmt w:val="decimal"/>
      <w:lvlText w:val="%1.%2.%3.%4.%5.%6.%7.%8.%9"/>
      <w:lvlJc w:val="left"/>
      <w:pPr>
        <w:tabs>
          <w:tab w:val="num" w:pos="1585"/>
        </w:tabs>
        <w:ind w:left="1585" w:hanging="1584"/>
      </w:pPr>
    </w:lvl>
  </w:abstractNum>
  <w:num w:numId="1" w16cid:durableId="1751731599">
    <w:abstractNumId w:val="28"/>
  </w:num>
  <w:num w:numId="2" w16cid:durableId="1808812090">
    <w:abstractNumId w:val="25"/>
  </w:num>
  <w:num w:numId="3" w16cid:durableId="1617324208">
    <w:abstractNumId w:val="3"/>
  </w:num>
  <w:num w:numId="4" w16cid:durableId="233898921">
    <w:abstractNumId w:val="6"/>
  </w:num>
  <w:num w:numId="5" w16cid:durableId="215507112">
    <w:abstractNumId w:val="24"/>
  </w:num>
  <w:num w:numId="6" w16cid:durableId="2008898557">
    <w:abstractNumId w:val="19"/>
  </w:num>
  <w:num w:numId="7" w16cid:durableId="1027833065">
    <w:abstractNumId w:val="26"/>
  </w:num>
  <w:num w:numId="8" w16cid:durableId="571702360">
    <w:abstractNumId w:val="20"/>
  </w:num>
  <w:num w:numId="9" w16cid:durableId="1546718874">
    <w:abstractNumId w:val="34"/>
  </w:num>
  <w:num w:numId="10" w16cid:durableId="628710334">
    <w:abstractNumId w:val="13"/>
  </w:num>
  <w:num w:numId="11" w16cid:durableId="643051837">
    <w:abstractNumId w:val="17"/>
  </w:num>
  <w:num w:numId="12" w16cid:durableId="1330716387">
    <w:abstractNumId w:val="8"/>
  </w:num>
  <w:num w:numId="13" w16cid:durableId="1628928671">
    <w:abstractNumId w:val="31"/>
  </w:num>
  <w:num w:numId="14" w16cid:durableId="243147508">
    <w:abstractNumId w:val="37"/>
  </w:num>
  <w:num w:numId="15" w16cid:durableId="1948467481">
    <w:abstractNumId w:val="18"/>
  </w:num>
  <w:num w:numId="16" w16cid:durableId="997344556">
    <w:abstractNumId w:val="36"/>
  </w:num>
  <w:num w:numId="17" w16cid:durableId="78718963">
    <w:abstractNumId w:val="11"/>
  </w:num>
  <w:num w:numId="18" w16cid:durableId="1245726415">
    <w:abstractNumId w:val="16"/>
  </w:num>
  <w:num w:numId="19" w16cid:durableId="1753821260">
    <w:abstractNumId w:val="15"/>
  </w:num>
  <w:num w:numId="20" w16cid:durableId="1307079902">
    <w:abstractNumId w:val="23"/>
  </w:num>
  <w:num w:numId="21" w16cid:durableId="1048146113">
    <w:abstractNumId w:val="40"/>
  </w:num>
  <w:num w:numId="22" w16cid:durableId="598606859">
    <w:abstractNumId w:val="9"/>
  </w:num>
  <w:num w:numId="23" w16cid:durableId="996373194">
    <w:abstractNumId w:val="30"/>
  </w:num>
  <w:num w:numId="24" w16cid:durableId="1890721567">
    <w:abstractNumId w:val="31"/>
    <w:lvlOverride w:ilvl="0">
      <w:startOverride w:val="1"/>
    </w:lvlOverride>
  </w:num>
  <w:num w:numId="25" w16cid:durableId="1424450266">
    <w:abstractNumId w:val="31"/>
  </w:num>
  <w:num w:numId="26" w16cid:durableId="2038385424">
    <w:abstractNumId w:val="31"/>
  </w:num>
  <w:num w:numId="27" w16cid:durableId="1555046711">
    <w:abstractNumId w:val="3"/>
    <w:lvlOverride w:ilvl="0">
      <w:startOverride w:val="1"/>
    </w:lvlOverride>
  </w:num>
  <w:num w:numId="28" w16cid:durableId="1248272537">
    <w:abstractNumId w:val="11"/>
  </w:num>
  <w:num w:numId="29" w16cid:durableId="618411918">
    <w:abstractNumId w:val="11"/>
  </w:num>
  <w:num w:numId="30" w16cid:durableId="278730564">
    <w:abstractNumId w:val="11"/>
  </w:num>
  <w:num w:numId="31" w16cid:durableId="454565929">
    <w:abstractNumId w:val="11"/>
  </w:num>
  <w:num w:numId="32" w16cid:durableId="640815213">
    <w:abstractNumId w:val="11"/>
  </w:num>
  <w:num w:numId="33" w16cid:durableId="912355298">
    <w:abstractNumId w:val="11"/>
  </w:num>
  <w:num w:numId="34" w16cid:durableId="1192186542">
    <w:abstractNumId w:val="11"/>
  </w:num>
  <w:num w:numId="35" w16cid:durableId="1595169694">
    <w:abstractNumId w:val="21"/>
  </w:num>
  <w:num w:numId="36" w16cid:durableId="1359695403">
    <w:abstractNumId w:val="38"/>
  </w:num>
  <w:num w:numId="37" w16cid:durableId="498229130">
    <w:abstractNumId w:val="7"/>
  </w:num>
  <w:num w:numId="38" w16cid:durableId="282928456">
    <w:abstractNumId w:val="35"/>
  </w:num>
  <w:num w:numId="39" w16cid:durableId="703602817">
    <w:abstractNumId w:val="22"/>
  </w:num>
  <w:num w:numId="40" w16cid:durableId="926378696">
    <w:abstractNumId w:val="33"/>
  </w:num>
  <w:num w:numId="41" w16cid:durableId="1614168876">
    <w:abstractNumId w:val="10"/>
  </w:num>
  <w:num w:numId="42" w16cid:durableId="2088764142">
    <w:abstractNumId w:val="32"/>
  </w:num>
  <w:num w:numId="43" w16cid:durableId="842623106">
    <w:abstractNumId w:val="0"/>
  </w:num>
  <w:num w:numId="44" w16cid:durableId="720591831">
    <w:abstractNumId w:val="29"/>
  </w:num>
  <w:num w:numId="45" w16cid:durableId="1887109183">
    <w:abstractNumId w:val="27"/>
  </w:num>
  <w:num w:numId="46" w16cid:durableId="2079395644">
    <w:abstractNumId w:val="4"/>
  </w:num>
  <w:num w:numId="47" w16cid:durableId="609632416">
    <w:abstractNumId w:val="14"/>
  </w:num>
  <w:num w:numId="48" w16cid:durableId="809784089">
    <w:abstractNumId w:val="1"/>
  </w:num>
  <w:num w:numId="49" w16cid:durableId="347753266">
    <w:abstractNumId w:val="2"/>
  </w:num>
  <w:num w:numId="50" w16cid:durableId="1963924162">
    <w:abstractNumId w:val="12"/>
  </w:num>
  <w:num w:numId="51" w16cid:durableId="1146974097">
    <w:abstractNumId w:val="41"/>
  </w:num>
  <w:num w:numId="52" w16cid:durableId="1807971690">
    <w:abstractNumId w:val="5"/>
  </w:num>
  <w:num w:numId="53" w16cid:durableId="203476281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CO"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CO" w:vendorID="64" w:dllVersion="4096" w:nlCheck="1" w:checkStyle="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DCE"/>
    <w:rsid w:val="000046FB"/>
    <w:rsid w:val="0000695D"/>
    <w:rsid w:val="00012E07"/>
    <w:rsid w:val="00013F3E"/>
    <w:rsid w:val="0001434B"/>
    <w:rsid w:val="00027FD2"/>
    <w:rsid w:val="0003039D"/>
    <w:rsid w:val="000401A0"/>
    <w:rsid w:val="0004270A"/>
    <w:rsid w:val="000559B3"/>
    <w:rsid w:val="00057943"/>
    <w:rsid w:val="000620AF"/>
    <w:rsid w:val="0006432E"/>
    <w:rsid w:val="000675F7"/>
    <w:rsid w:val="00070A05"/>
    <w:rsid w:val="00071642"/>
    <w:rsid w:val="0007205B"/>
    <w:rsid w:val="000736F7"/>
    <w:rsid w:val="000751AB"/>
    <w:rsid w:val="00080926"/>
    <w:rsid w:val="00081468"/>
    <w:rsid w:val="000818C9"/>
    <w:rsid w:val="00083E50"/>
    <w:rsid w:val="00084A22"/>
    <w:rsid w:val="000861AF"/>
    <w:rsid w:val="00086450"/>
    <w:rsid w:val="000948CF"/>
    <w:rsid w:val="000A11CB"/>
    <w:rsid w:val="000A3A9D"/>
    <w:rsid w:val="000A3C49"/>
    <w:rsid w:val="000A62AA"/>
    <w:rsid w:val="000A638D"/>
    <w:rsid w:val="000A70C1"/>
    <w:rsid w:val="000A76D1"/>
    <w:rsid w:val="000B18CE"/>
    <w:rsid w:val="000B6D06"/>
    <w:rsid w:val="000B79FA"/>
    <w:rsid w:val="000C023B"/>
    <w:rsid w:val="000C0FA8"/>
    <w:rsid w:val="000C17A2"/>
    <w:rsid w:val="000C4633"/>
    <w:rsid w:val="000C511E"/>
    <w:rsid w:val="000C6D33"/>
    <w:rsid w:val="000D2286"/>
    <w:rsid w:val="000D2511"/>
    <w:rsid w:val="000D34A5"/>
    <w:rsid w:val="000E0F3F"/>
    <w:rsid w:val="000F1F8A"/>
    <w:rsid w:val="000F37BD"/>
    <w:rsid w:val="000F6104"/>
    <w:rsid w:val="001015B6"/>
    <w:rsid w:val="001105C7"/>
    <w:rsid w:val="0011103E"/>
    <w:rsid w:val="00116CA8"/>
    <w:rsid w:val="00116DD4"/>
    <w:rsid w:val="00120355"/>
    <w:rsid w:val="001205F9"/>
    <w:rsid w:val="00124798"/>
    <w:rsid w:val="00126067"/>
    <w:rsid w:val="00130B72"/>
    <w:rsid w:val="00131E77"/>
    <w:rsid w:val="00134FDA"/>
    <w:rsid w:val="00135455"/>
    <w:rsid w:val="001405E9"/>
    <w:rsid w:val="00140646"/>
    <w:rsid w:val="00140E8F"/>
    <w:rsid w:val="001410E2"/>
    <w:rsid w:val="00142CD8"/>
    <w:rsid w:val="00144512"/>
    <w:rsid w:val="00152B6C"/>
    <w:rsid w:val="00153AD5"/>
    <w:rsid w:val="001573E0"/>
    <w:rsid w:val="00157540"/>
    <w:rsid w:val="00160B76"/>
    <w:rsid w:val="001654E3"/>
    <w:rsid w:val="0017158D"/>
    <w:rsid w:val="001745DA"/>
    <w:rsid w:val="00175951"/>
    <w:rsid w:val="0018024D"/>
    <w:rsid w:val="00180869"/>
    <w:rsid w:val="00180C32"/>
    <w:rsid w:val="001833AB"/>
    <w:rsid w:val="001838AB"/>
    <w:rsid w:val="00184A8F"/>
    <w:rsid w:val="00187376"/>
    <w:rsid w:val="001A18AF"/>
    <w:rsid w:val="001A3DB2"/>
    <w:rsid w:val="001A4E22"/>
    <w:rsid w:val="001A6D79"/>
    <w:rsid w:val="001A7EA4"/>
    <w:rsid w:val="001A7F1B"/>
    <w:rsid w:val="001B4E69"/>
    <w:rsid w:val="001B4F22"/>
    <w:rsid w:val="001B67D5"/>
    <w:rsid w:val="001C0925"/>
    <w:rsid w:val="001C1AFF"/>
    <w:rsid w:val="001C4AF4"/>
    <w:rsid w:val="001C4DC1"/>
    <w:rsid w:val="001C72E0"/>
    <w:rsid w:val="001C7359"/>
    <w:rsid w:val="001D2305"/>
    <w:rsid w:val="001D413F"/>
    <w:rsid w:val="001F113C"/>
    <w:rsid w:val="001F2923"/>
    <w:rsid w:val="001F5876"/>
    <w:rsid w:val="001F6FD2"/>
    <w:rsid w:val="002126D9"/>
    <w:rsid w:val="0022282A"/>
    <w:rsid w:val="0022328C"/>
    <w:rsid w:val="0022365D"/>
    <w:rsid w:val="0022465A"/>
    <w:rsid w:val="00225172"/>
    <w:rsid w:val="002266E4"/>
    <w:rsid w:val="00232780"/>
    <w:rsid w:val="00241083"/>
    <w:rsid w:val="00243D0E"/>
    <w:rsid w:val="00244827"/>
    <w:rsid w:val="00245411"/>
    <w:rsid w:val="0024603B"/>
    <w:rsid w:val="00246A46"/>
    <w:rsid w:val="00247578"/>
    <w:rsid w:val="00247C78"/>
    <w:rsid w:val="002507CF"/>
    <w:rsid w:val="0025289A"/>
    <w:rsid w:val="00254C58"/>
    <w:rsid w:val="00255E66"/>
    <w:rsid w:val="00262FC6"/>
    <w:rsid w:val="002649EA"/>
    <w:rsid w:val="002718D6"/>
    <w:rsid w:val="00273918"/>
    <w:rsid w:val="00273AEF"/>
    <w:rsid w:val="002763A1"/>
    <w:rsid w:val="00282406"/>
    <w:rsid w:val="00292254"/>
    <w:rsid w:val="00294A26"/>
    <w:rsid w:val="0029521E"/>
    <w:rsid w:val="002A268E"/>
    <w:rsid w:val="002A4ECB"/>
    <w:rsid w:val="002A5B38"/>
    <w:rsid w:val="002A61D9"/>
    <w:rsid w:val="002A7A8D"/>
    <w:rsid w:val="002B12AC"/>
    <w:rsid w:val="002B62E3"/>
    <w:rsid w:val="002C3A98"/>
    <w:rsid w:val="002C544E"/>
    <w:rsid w:val="002D050E"/>
    <w:rsid w:val="002D133F"/>
    <w:rsid w:val="002D1DBE"/>
    <w:rsid w:val="002D5B08"/>
    <w:rsid w:val="002E00DA"/>
    <w:rsid w:val="002E4ADC"/>
    <w:rsid w:val="002E4B4B"/>
    <w:rsid w:val="002E60DE"/>
    <w:rsid w:val="002F01E8"/>
    <w:rsid w:val="002F1B55"/>
    <w:rsid w:val="002F36D3"/>
    <w:rsid w:val="002F546D"/>
    <w:rsid w:val="00303788"/>
    <w:rsid w:val="00305268"/>
    <w:rsid w:val="0031326E"/>
    <w:rsid w:val="00315E2C"/>
    <w:rsid w:val="00321283"/>
    <w:rsid w:val="00321DCE"/>
    <w:rsid w:val="00322C58"/>
    <w:rsid w:val="0033017A"/>
    <w:rsid w:val="003304B8"/>
    <w:rsid w:val="00333C2C"/>
    <w:rsid w:val="00333C5D"/>
    <w:rsid w:val="0033528D"/>
    <w:rsid w:val="00335F9F"/>
    <w:rsid w:val="00337F46"/>
    <w:rsid w:val="003418B8"/>
    <w:rsid w:val="003433D4"/>
    <w:rsid w:val="00351874"/>
    <w:rsid w:val="00354590"/>
    <w:rsid w:val="00355A9B"/>
    <w:rsid w:val="00356FC8"/>
    <w:rsid w:val="0036158F"/>
    <w:rsid w:val="00363F76"/>
    <w:rsid w:val="00364496"/>
    <w:rsid w:val="00365657"/>
    <w:rsid w:val="00370253"/>
    <w:rsid w:val="0037079E"/>
    <w:rsid w:val="0038068A"/>
    <w:rsid w:val="0038258D"/>
    <w:rsid w:val="0038737C"/>
    <w:rsid w:val="00394A10"/>
    <w:rsid w:val="003A4404"/>
    <w:rsid w:val="003A6E49"/>
    <w:rsid w:val="003B4A7E"/>
    <w:rsid w:val="003B6CCA"/>
    <w:rsid w:val="003C00DE"/>
    <w:rsid w:val="003C0563"/>
    <w:rsid w:val="003C1CCF"/>
    <w:rsid w:val="003C7D4C"/>
    <w:rsid w:val="003D02C1"/>
    <w:rsid w:val="003D0BF4"/>
    <w:rsid w:val="003D3050"/>
    <w:rsid w:val="003D595A"/>
    <w:rsid w:val="003D793C"/>
    <w:rsid w:val="003D7C6B"/>
    <w:rsid w:val="003E0685"/>
    <w:rsid w:val="003E56EF"/>
    <w:rsid w:val="003E5F6A"/>
    <w:rsid w:val="003E7557"/>
    <w:rsid w:val="003F177C"/>
    <w:rsid w:val="003F3BB9"/>
    <w:rsid w:val="004013B7"/>
    <w:rsid w:val="00403A03"/>
    <w:rsid w:val="004045E3"/>
    <w:rsid w:val="00406BDB"/>
    <w:rsid w:val="00406D51"/>
    <w:rsid w:val="00406E0D"/>
    <w:rsid w:val="00416B51"/>
    <w:rsid w:val="00420395"/>
    <w:rsid w:val="004275D2"/>
    <w:rsid w:val="00434C0F"/>
    <w:rsid w:val="00440AD8"/>
    <w:rsid w:val="00444395"/>
    <w:rsid w:val="0044502A"/>
    <w:rsid w:val="0045047E"/>
    <w:rsid w:val="00451A14"/>
    <w:rsid w:val="0046095F"/>
    <w:rsid w:val="004627D7"/>
    <w:rsid w:val="00464F6B"/>
    <w:rsid w:val="00471FEA"/>
    <w:rsid w:val="004742B8"/>
    <w:rsid w:val="0047666A"/>
    <w:rsid w:val="00483A5C"/>
    <w:rsid w:val="004854DA"/>
    <w:rsid w:val="00490E60"/>
    <w:rsid w:val="004926EE"/>
    <w:rsid w:val="004967B0"/>
    <w:rsid w:val="004972F0"/>
    <w:rsid w:val="00497347"/>
    <w:rsid w:val="004A1DBA"/>
    <w:rsid w:val="004B1E9A"/>
    <w:rsid w:val="004B728A"/>
    <w:rsid w:val="004C2A5F"/>
    <w:rsid w:val="004C4CA9"/>
    <w:rsid w:val="004D3099"/>
    <w:rsid w:val="004D4A75"/>
    <w:rsid w:val="004E03CE"/>
    <w:rsid w:val="004E0FBB"/>
    <w:rsid w:val="004E5830"/>
    <w:rsid w:val="004E590A"/>
    <w:rsid w:val="004F295A"/>
    <w:rsid w:val="004F477E"/>
    <w:rsid w:val="004F6323"/>
    <w:rsid w:val="004F6BB0"/>
    <w:rsid w:val="00502049"/>
    <w:rsid w:val="005109DB"/>
    <w:rsid w:val="00511420"/>
    <w:rsid w:val="005117FF"/>
    <w:rsid w:val="00513392"/>
    <w:rsid w:val="00515890"/>
    <w:rsid w:val="00516AE8"/>
    <w:rsid w:val="00517582"/>
    <w:rsid w:val="005205A8"/>
    <w:rsid w:val="0052583C"/>
    <w:rsid w:val="00525885"/>
    <w:rsid w:val="0053082B"/>
    <w:rsid w:val="005319B9"/>
    <w:rsid w:val="00534039"/>
    <w:rsid w:val="00547978"/>
    <w:rsid w:val="005533D0"/>
    <w:rsid w:val="005646F5"/>
    <w:rsid w:val="0056799C"/>
    <w:rsid w:val="0057356D"/>
    <w:rsid w:val="005775C8"/>
    <w:rsid w:val="00583594"/>
    <w:rsid w:val="00597E62"/>
    <w:rsid w:val="005A138E"/>
    <w:rsid w:val="005A3406"/>
    <w:rsid w:val="005A3DEE"/>
    <w:rsid w:val="005A3FD0"/>
    <w:rsid w:val="005A446D"/>
    <w:rsid w:val="005A6543"/>
    <w:rsid w:val="005C2719"/>
    <w:rsid w:val="005C3538"/>
    <w:rsid w:val="005C6101"/>
    <w:rsid w:val="005C6904"/>
    <w:rsid w:val="005E3080"/>
    <w:rsid w:val="005F2BC0"/>
    <w:rsid w:val="005F3F93"/>
    <w:rsid w:val="005F5D03"/>
    <w:rsid w:val="005F7C47"/>
    <w:rsid w:val="006052E8"/>
    <w:rsid w:val="00606C40"/>
    <w:rsid w:val="0060757D"/>
    <w:rsid w:val="006103DE"/>
    <w:rsid w:val="0061228C"/>
    <w:rsid w:val="00615459"/>
    <w:rsid w:val="0063759A"/>
    <w:rsid w:val="00637F0F"/>
    <w:rsid w:val="0064021E"/>
    <w:rsid w:val="006412A4"/>
    <w:rsid w:val="00645B0C"/>
    <w:rsid w:val="0065095C"/>
    <w:rsid w:val="00651FDB"/>
    <w:rsid w:val="00653D74"/>
    <w:rsid w:val="00653E85"/>
    <w:rsid w:val="006562D8"/>
    <w:rsid w:val="00660284"/>
    <w:rsid w:val="00663D99"/>
    <w:rsid w:val="0066564F"/>
    <w:rsid w:val="0066658B"/>
    <w:rsid w:val="00666BDF"/>
    <w:rsid w:val="0067034C"/>
    <w:rsid w:val="006725AB"/>
    <w:rsid w:val="00672F3A"/>
    <w:rsid w:val="00677DCE"/>
    <w:rsid w:val="0068076B"/>
    <w:rsid w:val="0068078C"/>
    <w:rsid w:val="00681B9E"/>
    <w:rsid w:val="00684877"/>
    <w:rsid w:val="006905AC"/>
    <w:rsid w:val="0069356A"/>
    <w:rsid w:val="006945E8"/>
    <w:rsid w:val="006A1F3A"/>
    <w:rsid w:val="006A6210"/>
    <w:rsid w:val="006A768F"/>
    <w:rsid w:val="006B034F"/>
    <w:rsid w:val="006B08E8"/>
    <w:rsid w:val="006B1391"/>
    <w:rsid w:val="006B156B"/>
    <w:rsid w:val="006B4E38"/>
    <w:rsid w:val="006C2C6F"/>
    <w:rsid w:val="006C5FF8"/>
    <w:rsid w:val="006D49E1"/>
    <w:rsid w:val="006D6906"/>
    <w:rsid w:val="006E3C4D"/>
    <w:rsid w:val="006E6E92"/>
    <w:rsid w:val="006E7E00"/>
    <w:rsid w:val="006F1545"/>
    <w:rsid w:val="006F4D66"/>
    <w:rsid w:val="007009D6"/>
    <w:rsid w:val="00702719"/>
    <w:rsid w:val="007068A4"/>
    <w:rsid w:val="007076E1"/>
    <w:rsid w:val="00711570"/>
    <w:rsid w:val="00720A71"/>
    <w:rsid w:val="007241DA"/>
    <w:rsid w:val="00726153"/>
    <w:rsid w:val="00726A7A"/>
    <w:rsid w:val="00732CFE"/>
    <w:rsid w:val="007350E1"/>
    <w:rsid w:val="007375DD"/>
    <w:rsid w:val="00742F11"/>
    <w:rsid w:val="0074439C"/>
    <w:rsid w:val="00746F94"/>
    <w:rsid w:val="0075149B"/>
    <w:rsid w:val="00751624"/>
    <w:rsid w:val="00752AA2"/>
    <w:rsid w:val="007539F8"/>
    <w:rsid w:val="007556AE"/>
    <w:rsid w:val="0075763A"/>
    <w:rsid w:val="0076170E"/>
    <w:rsid w:val="0076177D"/>
    <w:rsid w:val="00770EB7"/>
    <w:rsid w:val="00771D52"/>
    <w:rsid w:val="00773D59"/>
    <w:rsid w:val="0077476F"/>
    <w:rsid w:val="00775C72"/>
    <w:rsid w:val="00785C61"/>
    <w:rsid w:val="00794E06"/>
    <w:rsid w:val="00794EDD"/>
    <w:rsid w:val="00795ABB"/>
    <w:rsid w:val="007A43BA"/>
    <w:rsid w:val="007A48B9"/>
    <w:rsid w:val="007A7B8B"/>
    <w:rsid w:val="007B1CBF"/>
    <w:rsid w:val="007B1CEB"/>
    <w:rsid w:val="007B4319"/>
    <w:rsid w:val="007C049B"/>
    <w:rsid w:val="007C2870"/>
    <w:rsid w:val="007C40CA"/>
    <w:rsid w:val="007C50AB"/>
    <w:rsid w:val="007C5E17"/>
    <w:rsid w:val="007C5FFF"/>
    <w:rsid w:val="007C6032"/>
    <w:rsid w:val="007D0694"/>
    <w:rsid w:val="007D4300"/>
    <w:rsid w:val="007D5E3A"/>
    <w:rsid w:val="007D617C"/>
    <w:rsid w:val="007E119B"/>
    <w:rsid w:val="007E1811"/>
    <w:rsid w:val="007E3B40"/>
    <w:rsid w:val="007E4B3D"/>
    <w:rsid w:val="007E560D"/>
    <w:rsid w:val="007E610E"/>
    <w:rsid w:val="007E69BF"/>
    <w:rsid w:val="007F04B3"/>
    <w:rsid w:val="007F1BCB"/>
    <w:rsid w:val="007F7A58"/>
    <w:rsid w:val="00803BF5"/>
    <w:rsid w:val="00804B1F"/>
    <w:rsid w:val="008112E6"/>
    <w:rsid w:val="00812235"/>
    <w:rsid w:val="00812A2C"/>
    <w:rsid w:val="0081516C"/>
    <w:rsid w:val="0081607A"/>
    <w:rsid w:val="008163B8"/>
    <w:rsid w:val="008173D6"/>
    <w:rsid w:val="0081787D"/>
    <w:rsid w:val="00821EA7"/>
    <w:rsid w:val="00821F05"/>
    <w:rsid w:val="008222EB"/>
    <w:rsid w:val="00823B06"/>
    <w:rsid w:val="00835C43"/>
    <w:rsid w:val="008367F7"/>
    <w:rsid w:val="00837A35"/>
    <w:rsid w:val="0084313E"/>
    <w:rsid w:val="0084433A"/>
    <w:rsid w:val="00845A10"/>
    <w:rsid w:val="0085445B"/>
    <w:rsid w:val="008611D3"/>
    <w:rsid w:val="00861CCB"/>
    <w:rsid w:val="0086773A"/>
    <w:rsid w:val="00867F18"/>
    <w:rsid w:val="00871DBC"/>
    <w:rsid w:val="0087357E"/>
    <w:rsid w:val="00880582"/>
    <w:rsid w:val="00884EBD"/>
    <w:rsid w:val="00887BF5"/>
    <w:rsid w:val="008923D9"/>
    <w:rsid w:val="00897817"/>
    <w:rsid w:val="008A3A8D"/>
    <w:rsid w:val="008A3D73"/>
    <w:rsid w:val="008A733E"/>
    <w:rsid w:val="008B02FC"/>
    <w:rsid w:val="008B0973"/>
    <w:rsid w:val="008B3613"/>
    <w:rsid w:val="008B4FFB"/>
    <w:rsid w:val="008B61D2"/>
    <w:rsid w:val="008C038D"/>
    <w:rsid w:val="008D06AC"/>
    <w:rsid w:val="008D3535"/>
    <w:rsid w:val="008D5B27"/>
    <w:rsid w:val="008E13EA"/>
    <w:rsid w:val="008E4652"/>
    <w:rsid w:val="008E603F"/>
    <w:rsid w:val="008F4604"/>
    <w:rsid w:val="008F78DE"/>
    <w:rsid w:val="00900924"/>
    <w:rsid w:val="00905290"/>
    <w:rsid w:val="0090558F"/>
    <w:rsid w:val="00905B3B"/>
    <w:rsid w:val="00907141"/>
    <w:rsid w:val="00907818"/>
    <w:rsid w:val="00911F69"/>
    <w:rsid w:val="009123B4"/>
    <w:rsid w:val="009133A8"/>
    <w:rsid w:val="00914238"/>
    <w:rsid w:val="00920C9C"/>
    <w:rsid w:val="009222B2"/>
    <w:rsid w:val="009232C1"/>
    <w:rsid w:val="009266A8"/>
    <w:rsid w:val="00930B55"/>
    <w:rsid w:val="00931135"/>
    <w:rsid w:val="00934A39"/>
    <w:rsid w:val="009361DA"/>
    <w:rsid w:val="00937F6C"/>
    <w:rsid w:val="00946848"/>
    <w:rsid w:val="00946D97"/>
    <w:rsid w:val="0095074E"/>
    <w:rsid w:val="009534B8"/>
    <w:rsid w:val="00955D27"/>
    <w:rsid w:val="00956251"/>
    <w:rsid w:val="00960518"/>
    <w:rsid w:val="00960FFE"/>
    <w:rsid w:val="009615F2"/>
    <w:rsid w:val="00963D36"/>
    <w:rsid w:val="00964AB7"/>
    <w:rsid w:val="0096663B"/>
    <w:rsid w:val="00970D4F"/>
    <w:rsid w:val="00972CD3"/>
    <w:rsid w:val="00973DCE"/>
    <w:rsid w:val="00975FF9"/>
    <w:rsid w:val="00981DDD"/>
    <w:rsid w:val="00983B67"/>
    <w:rsid w:val="00985128"/>
    <w:rsid w:val="00987800"/>
    <w:rsid w:val="009934E1"/>
    <w:rsid w:val="00994322"/>
    <w:rsid w:val="0099565B"/>
    <w:rsid w:val="00995C6F"/>
    <w:rsid w:val="009A23A8"/>
    <w:rsid w:val="009A3261"/>
    <w:rsid w:val="009A58A4"/>
    <w:rsid w:val="009B079A"/>
    <w:rsid w:val="009B20AD"/>
    <w:rsid w:val="009B2904"/>
    <w:rsid w:val="009B431F"/>
    <w:rsid w:val="009C0FA9"/>
    <w:rsid w:val="009D127F"/>
    <w:rsid w:val="009D5674"/>
    <w:rsid w:val="009D75BE"/>
    <w:rsid w:val="009E1604"/>
    <w:rsid w:val="009E3C16"/>
    <w:rsid w:val="009E533E"/>
    <w:rsid w:val="009E609C"/>
    <w:rsid w:val="009F2F3C"/>
    <w:rsid w:val="009F31A5"/>
    <w:rsid w:val="009F51BD"/>
    <w:rsid w:val="009F6043"/>
    <w:rsid w:val="009F762F"/>
    <w:rsid w:val="00A070A9"/>
    <w:rsid w:val="00A13808"/>
    <w:rsid w:val="00A14487"/>
    <w:rsid w:val="00A21E73"/>
    <w:rsid w:val="00A24C48"/>
    <w:rsid w:val="00A25D6C"/>
    <w:rsid w:val="00A32967"/>
    <w:rsid w:val="00A3394C"/>
    <w:rsid w:val="00A41792"/>
    <w:rsid w:val="00A43F89"/>
    <w:rsid w:val="00A45AE0"/>
    <w:rsid w:val="00A50D40"/>
    <w:rsid w:val="00A512DF"/>
    <w:rsid w:val="00A573B1"/>
    <w:rsid w:val="00A623A2"/>
    <w:rsid w:val="00A65394"/>
    <w:rsid w:val="00A66554"/>
    <w:rsid w:val="00A73607"/>
    <w:rsid w:val="00A736A1"/>
    <w:rsid w:val="00A7485E"/>
    <w:rsid w:val="00A813D2"/>
    <w:rsid w:val="00A81845"/>
    <w:rsid w:val="00A819AB"/>
    <w:rsid w:val="00A81AC7"/>
    <w:rsid w:val="00A82B2C"/>
    <w:rsid w:val="00A83B3B"/>
    <w:rsid w:val="00A90339"/>
    <w:rsid w:val="00A93BD1"/>
    <w:rsid w:val="00A946A3"/>
    <w:rsid w:val="00A94E49"/>
    <w:rsid w:val="00AA3A97"/>
    <w:rsid w:val="00AA727F"/>
    <w:rsid w:val="00AB1C6C"/>
    <w:rsid w:val="00AB3FE8"/>
    <w:rsid w:val="00AB5BE0"/>
    <w:rsid w:val="00AB6FB4"/>
    <w:rsid w:val="00AC1CB2"/>
    <w:rsid w:val="00AC5D1E"/>
    <w:rsid w:val="00AC608D"/>
    <w:rsid w:val="00AD094D"/>
    <w:rsid w:val="00AD0B5D"/>
    <w:rsid w:val="00AD2ED1"/>
    <w:rsid w:val="00AE02D1"/>
    <w:rsid w:val="00AE0D1B"/>
    <w:rsid w:val="00AE1768"/>
    <w:rsid w:val="00AE3E11"/>
    <w:rsid w:val="00AE62E3"/>
    <w:rsid w:val="00AE79D3"/>
    <w:rsid w:val="00AE79E9"/>
    <w:rsid w:val="00AF273B"/>
    <w:rsid w:val="00AF3833"/>
    <w:rsid w:val="00AF62D9"/>
    <w:rsid w:val="00B026EC"/>
    <w:rsid w:val="00B0782F"/>
    <w:rsid w:val="00B1244F"/>
    <w:rsid w:val="00B17393"/>
    <w:rsid w:val="00B17EE0"/>
    <w:rsid w:val="00B3183A"/>
    <w:rsid w:val="00B413FA"/>
    <w:rsid w:val="00B445E4"/>
    <w:rsid w:val="00B447F0"/>
    <w:rsid w:val="00B52090"/>
    <w:rsid w:val="00B53552"/>
    <w:rsid w:val="00B56EDD"/>
    <w:rsid w:val="00B6683B"/>
    <w:rsid w:val="00B71B5F"/>
    <w:rsid w:val="00B73039"/>
    <w:rsid w:val="00B76209"/>
    <w:rsid w:val="00B80DAF"/>
    <w:rsid w:val="00B82227"/>
    <w:rsid w:val="00B83380"/>
    <w:rsid w:val="00B910D0"/>
    <w:rsid w:val="00B92FC8"/>
    <w:rsid w:val="00B95BE5"/>
    <w:rsid w:val="00BA0F72"/>
    <w:rsid w:val="00BA2329"/>
    <w:rsid w:val="00BA2668"/>
    <w:rsid w:val="00BA3192"/>
    <w:rsid w:val="00BA4512"/>
    <w:rsid w:val="00BC2875"/>
    <w:rsid w:val="00BC69C0"/>
    <w:rsid w:val="00BC6BBF"/>
    <w:rsid w:val="00BC748B"/>
    <w:rsid w:val="00BD0BEC"/>
    <w:rsid w:val="00BD6CE9"/>
    <w:rsid w:val="00BD73D3"/>
    <w:rsid w:val="00BE0ABD"/>
    <w:rsid w:val="00BE4BA2"/>
    <w:rsid w:val="00BE6A0C"/>
    <w:rsid w:val="00BE79D2"/>
    <w:rsid w:val="00BF44FE"/>
    <w:rsid w:val="00BF5A11"/>
    <w:rsid w:val="00BF6DEC"/>
    <w:rsid w:val="00C02D8C"/>
    <w:rsid w:val="00C0532F"/>
    <w:rsid w:val="00C07EC3"/>
    <w:rsid w:val="00C10B7C"/>
    <w:rsid w:val="00C10F9D"/>
    <w:rsid w:val="00C11946"/>
    <w:rsid w:val="00C125B5"/>
    <w:rsid w:val="00C129E9"/>
    <w:rsid w:val="00C12E0B"/>
    <w:rsid w:val="00C16DB9"/>
    <w:rsid w:val="00C214FA"/>
    <w:rsid w:val="00C24698"/>
    <w:rsid w:val="00C263EC"/>
    <w:rsid w:val="00C26F35"/>
    <w:rsid w:val="00C2764C"/>
    <w:rsid w:val="00C27A55"/>
    <w:rsid w:val="00C31852"/>
    <w:rsid w:val="00C32E70"/>
    <w:rsid w:val="00C34130"/>
    <w:rsid w:val="00C342E0"/>
    <w:rsid w:val="00C36B76"/>
    <w:rsid w:val="00C37447"/>
    <w:rsid w:val="00C43C9C"/>
    <w:rsid w:val="00C4446F"/>
    <w:rsid w:val="00C45934"/>
    <w:rsid w:val="00C47A43"/>
    <w:rsid w:val="00C51E58"/>
    <w:rsid w:val="00C525F7"/>
    <w:rsid w:val="00C5261F"/>
    <w:rsid w:val="00C573D5"/>
    <w:rsid w:val="00C66ABD"/>
    <w:rsid w:val="00C7330E"/>
    <w:rsid w:val="00C750CA"/>
    <w:rsid w:val="00C75911"/>
    <w:rsid w:val="00C8258A"/>
    <w:rsid w:val="00C85254"/>
    <w:rsid w:val="00C925FB"/>
    <w:rsid w:val="00C92624"/>
    <w:rsid w:val="00C93125"/>
    <w:rsid w:val="00C937C8"/>
    <w:rsid w:val="00C9488C"/>
    <w:rsid w:val="00CA5C14"/>
    <w:rsid w:val="00CB0F18"/>
    <w:rsid w:val="00CB1A78"/>
    <w:rsid w:val="00CB35ED"/>
    <w:rsid w:val="00CB56A4"/>
    <w:rsid w:val="00CC27E5"/>
    <w:rsid w:val="00CC353F"/>
    <w:rsid w:val="00CC3695"/>
    <w:rsid w:val="00CC6199"/>
    <w:rsid w:val="00CC7B62"/>
    <w:rsid w:val="00CD7B0B"/>
    <w:rsid w:val="00CE48C3"/>
    <w:rsid w:val="00CE50B8"/>
    <w:rsid w:val="00CF01E9"/>
    <w:rsid w:val="00CF1BDF"/>
    <w:rsid w:val="00CF66A8"/>
    <w:rsid w:val="00D0012A"/>
    <w:rsid w:val="00D00C5C"/>
    <w:rsid w:val="00D0234A"/>
    <w:rsid w:val="00D0492E"/>
    <w:rsid w:val="00D075E1"/>
    <w:rsid w:val="00D1046C"/>
    <w:rsid w:val="00D244F4"/>
    <w:rsid w:val="00D24676"/>
    <w:rsid w:val="00D26715"/>
    <w:rsid w:val="00D26930"/>
    <w:rsid w:val="00D341CB"/>
    <w:rsid w:val="00D35F80"/>
    <w:rsid w:val="00D428E6"/>
    <w:rsid w:val="00D42B3C"/>
    <w:rsid w:val="00D44CC1"/>
    <w:rsid w:val="00D538A2"/>
    <w:rsid w:val="00D550C1"/>
    <w:rsid w:val="00D56722"/>
    <w:rsid w:val="00D60820"/>
    <w:rsid w:val="00D63C31"/>
    <w:rsid w:val="00D676DF"/>
    <w:rsid w:val="00D70114"/>
    <w:rsid w:val="00D721A3"/>
    <w:rsid w:val="00D73926"/>
    <w:rsid w:val="00D73B7B"/>
    <w:rsid w:val="00D760FE"/>
    <w:rsid w:val="00D803B5"/>
    <w:rsid w:val="00D81C35"/>
    <w:rsid w:val="00D90627"/>
    <w:rsid w:val="00D91BA8"/>
    <w:rsid w:val="00D92366"/>
    <w:rsid w:val="00DA1D9B"/>
    <w:rsid w:val="00DA4708"/>
    <w:rsid w:val="00DA5A24"/>
    <w:rsid w:val="00DA7391"/>
    <w:rsid w:val="00DB2DE5"/>
    <w:rsid w:val="00DB4A9C"/>
    <w:rsid w:val="00DB52C9"/>
    <w:rsid w:val="00DC07F7"/>
    <w:rsid w:val="00DC16DD"/>
    <w:rsid w:val="00DC4B0E"/>
    <w:rsid w:val="00DD3589"/>
    <w:rsid w:val="00DD4C8D"/>
    <w:rsid w:val="00DE02DA"/>
    <w:rsid w:val="00DE79A6"/>
    <w:rsid w:val="00DF245D"/>
    <w:rsid w:val="00DF4E6E"/>
    <w:rsid w:val="00DF5055"/>
    <w:rsid w:val="00E00A67"/>
    <w:rsid w:val="00E0608F"/>
    <w:rsid w:val="00E129D6"/>
    <w:rsid w:val="00E167F0"/>
    <w:rsid w:val="00E25E1A"/>
    <w:rsid w:val="00E37F61"/>
    <w:rsid w:val="00E4005A"/>
    <w:rsid w:val="00E404F5"/>
    <w:rsid w:val="00E406A4"/>
    <w:rsid w:val="00E413ED"/>
    <w:rsid w:val="00E43E9B"/>
    <w:rsid w:val="00E515A8"/>
    <w:rsid w:val="00E528C0"/>
    <w:rsid w:val="00E55E58"/>
    <w:rsid w:val="00E561C8"/>
    <w:rsid w:val="00E57A2C"/>
    <w:rsid w:val="00E57F9F"/>
    <w:rsid w:val="00E63C4A"/>
    <w:rsid w:val="00E650B0"/>
    <w:rsid w:val="00E65BC0"/>
    <w:rsid w:val="00E66FF7"/>
    <w:rsid w:val="00E767C8"/>
    <w:rsid w:val="00E77E8A"/>
    <w:rsid w:val="00E77F7D"/>
    <w:rsid w:val="00E85E4B"/>
    <w:rsid w:val="00E8734D"/>
    <w:rsid w:val="00E875F4"/>
    <w:rsid w:val="00E90106"/>
    <w:rsid w:val="00E917FF"/>
    <w:rsid w:val="00E9783B"/>
    <w:rsid w:val="00EA017D"/>
    <w:rsid w:val="00EA5865"/>
    <w:rsid w:val="00EB26FA"/>
    <w:rsid w:val="00EB28AE"/>
    <w:rsid w:val="00EB7794"/>
    <w:rsid w:val="00EC5C96"/>
    <w:rsid w:val="00ED1AF0"/>
    <w:rsid w:val="00ED51F5"/>
    <w:rsid w:val="00ED5E94"/>
    <w:rsid w:val="00EE496D"/>
    <w:rsid w:val="00EE6DF4"/>
    <w:rsid w:val="00EF521B"/>
    <w:rsid w:val="00EF5D4E"/>
    <w:rsid w:val="00EF7408"/>
    <w:rsid w:val="00F014A9"/>
    <w:rsid w:val="00F01687"/>
    <w:rsid w:val="00F023F9"/>
    <w:rsid w:val="00F034A6"/>
    <w:rsid w:val="00F0717B"/>
    <w:rsid w:val="00F077E4"/>
    <w:rsid w:val="00F14C54"/>
    <w:rsid w:val="00F21AF8"/>
    <w:rsid w:val="00F264F0"/>
    <w:rsid w:val="00F31C9F"/>
    <w:rsid w:val="00F34FF1"/>
    <w:rsid w:val="00F374D4"/>
    <w:rsid w:val="00F45395"/>
    <w:rsid w:val="00F5128A"/>
    <w:rsid w:val="00F54677"/>
    <w:rsid w:val="00F54D2F"/>
    <w:rsid w:val="00F56F75"/>
    <w:rsid w:val="00F57500"/>
    <w:rsid w:val="00F6131E"/>
    <w:rsid w:val="00F65F57"/>
    <w:rsid w:val="00F672E8"/>
    <w:rsid w:val="00F70077"/>
    <w:rsid w:val="00F75E80"/>
    <w:rsid w:val="00F7674A"/>
    <w:rsid w:val="00F76783"/>
    <w:rsid w:val="00F76AB3"/>
    <w:rsid w:val="00F8105C"/>
    <w:rsid w:val="00F81BE1"/>
    <w:rsid w:val="00F82009"/>
    <w:rsid w:val="00F8314C"/>
    <w:rsid w:val="00F837E2"/>
    <w:rsid w:val="00F84F82"/>
    <w:rsid w:val="00F86D51"/>
    <w:rsid w:val="00F9253A"/>
    <w:rsid w:val="00FA27E1"/>
    <w:rsid w:val="00FA33FE"/>
    <w:rsid w:val="00FA3CB1"/>
    <w:rsid w:val="00FA70EF"/>
    <w:rsid w:val="00FA7DCF"/>
    <w:rsid w:val="00FB2D36"/>
    <w:rsid w:val="00FB6829"/>
    <w:rsid w:val="00FB7B28"/>
    <w:rsid w:val="00FC2A0F"/>
    <w:rsid w:val="00FC2B99"/>
    <w:rsid w:val="00FC6CE2"/>
    <w:rsid w:val="00FD267F"/>
    <w:rsid w:val="00FD3C91"/>
    <w:rsid w:val="00FD50D5"/>
    <w:rsid w:val="00FD58EB"/>
    <w:rsid w:val="00FE4ED2"/>
    <w:rsid w:val="00FF1B27"/>
    <w:rsid w:val="00FF302F"/>
    <w:rsid w:val="00FF30C9"/>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72B8"/>
  <w15:docId w15:val="{122E834C-657E-4436-A47B-3E16E384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2D8"/>
    <w:rPr>
      <w:rFonts w:ascii="Arial" w:hAnsi="Arial"/>
      <w:szCs w:val="24"/>
      <w:lang w:val="en-US"/>
    </w:rPr>
  </w:style>
  <w:style w:type="paragraph" w:styleId="Heading1">
    <w:name w:val="heading 1"/>
    <w:basedOn w:val="Normal"/>
    <w:next w:val="ECCParagraph"/>
    <w:autoRedefine/>
    <w:qFormat/>
    <w:rsid w:val="00F81BE1"/>
    <w:pPr>
      <w:keepNext/>
      <w:pageBreakBefore/>
      <w:numPr>
        <w:numId w:val="2"/>
      </w:numPr>
      <w:tabs>
        <w:tab w:val="clear" w:pos="432"/>
      </w:tabs>
      <w:spacing w:before="600" w:after="240"/>
      <w:ind w:left="0" w:firstLine="0"/>
      <w:outlineLvl w:val="0"/>
    </w:pPr>
    <w:rPr>
      <w:rFonts w:cs="Arial"/>
      <w:b/>
      <w:bCs/>
      <w:caps/>
      <w:color w:val="D2232A"/>
      <w:kern w:val="2"/>
      <w:szCs w:val="32"/>
      <w:lang w:val="en-GB"/>
    </w:rPr>
  </w:style>
  <w:style w:type="paragraph" w:styleId="Heading2">
    <w:name w:val="heading 2"/>
    <w:basedOn w:val="Normal"/>
    <w:next w:val="ECCParagraph"/>
    <w:autoRedefine/>
    <w:qFormat/>
    <w:rsid w:val="00666BDF"/>
    <w:pPr>
      <w:keepNext/>
      <w:numPr>
        <w:ilvl w:val="1"/>
        <w:numId w:val="2"/>
      </w:numPr>
      <w:tabs>
        <w:tab w:val="clear" w:pos="576"/>
      </w:tabs>
      <w:spacing w:before="400" w:after="240"/>
      <w:ind w:left="0" w:firstLine="0"/>
      <w:outlineLvl w:val="1"/>
    </w:pPr>
    <w:rPr>
      <w:rFonts w:cs="Arial"/>
      <w:b/>
      <w:bCs/>
      <w:iCs/>
      <w:caps/>
      <w:szCs w:val="28"/>
    </w:rPr>
  </w:style>
  <w:style w:type="paragraph" w:styleId="Heading3">
    <w:name w:val="heading 3"/>
    <w:basedOn w:val="Normal"/>
    <w:next w:val="ECCParagraph"/>
    <w:autoRedefine/>
    <w:qFormat/>
    <w:rsid w:val="00351874"/>
    <w:pPr>
      <w:keepNext/>
      <w:numPr>
        <w:ilvl w:val="2"/>
        <w:numId w:val="2"/>
      </w:numPr>
      <w:tabs>
        <w:tab w:val="clear" w:pos="720"/>
        <w:tab w:val="left" w:pos="851"/>
      </w:tabs>
      <w:spacing w:before="360" w:after="120"/>
      <w:ind w:left="0" w:firstLine="0"/>
      <w:outlineLvl w:val="2"/>
    </w:pPr>
    <w:rPr>
      <w:rFonts w:cs="Arial"/>
      <w:b/>
      <w:bCs/>
      <w:szCs w:val="26"/>
    </w:rPr>
  </w:style>
  <w:style w:type="paragraph" w:styleId="Heading4">
    <w:name w:val="heading 4"/>
    <w:basedOn w:val="Normal"/>
    <w:next w:val="ECCParagraph"/>
    <w:autoRedefine/>
    <w:qFormat/>
    <w:rsid w:val="000A11CB"/>
    <w:pPr>
      <w:spacing w:before="360" w:after="120"/>
      <w:outlineLvl w:val="3"/>
    </w:pPr>
    <w:rPr>
      <w:rFonts w:cs="Arial"/>
      <w:i/>
      <w:color w:val="D2232A"/>
      <w:szCs w:val="26"/>
    </w:rPr>
  </w:style>
  <w:style w:type="paragraph" w:styleId="Heading5">
    <w:name w:val="heading 5"/>
    <w:basedOn w:val="Normal"/>
    <w:next w:val="Normal"/>
    <w:qFormat/>
    <w:rsid w:val="00351874"/>
    <w:pPr>
      <w:numPr>
        <w:ilvl w:val="4"/>
        <w:numId w:val="1"/>
      </w:numPr>
      <w:tabs>
        <w:tab w:val="clear" w:pos="1008"/>
      </w:tabs>
      <w:spacing w:before="240" w:after="60"/>
      <w:ind w:left="0" w:firstLine="0"/>
      <w:outlineLvl w:val="4"/>
    </w:pPr>
    <w:rPr>
      <w:b/>
      <w:bCs/>
      <w:i/>
      <w:iCs/>
      <w:sz w:val="26"/>
      <w:szCs w:val="26"/>
    </w:rPr>
  </w:style>
  <w:style w:type="paragraph" w:styleId="Heading6">
    <w:name w:val="heading 6"/>
    <w:basedOn w:val="Normal"/>
    <w:next w:val="Normal"/>
    <w:qFormat/>
    <w:rsid w:val="00351874"/>
    <w:pPr>
      <w:numPr>
        <w:ilvl w:val="5"/>
        <w:numId w:val="1"/>
      </w:numPr>
      <w:tabs>
        <w:tab w:val="clear" w:pos="1152"/>
      </w:tabs>
      <w:spacing w:before="240" w:after="60"/>
      <w:ind w:left="0" w:firstLine="0"/>
      <w:outlineLvl w:val="5"/>
    </w:pPr>
    <w:rPr>
      <w:b/>
      <w:bCs/>
      <w:sz w:val="22"/>
      <w:szCs w:val="22"/>
    </w:rPr>
  </w:style>
  <w:style w:type="paragraph" w:styleId="Heading7">
    <w:name w:val="heading 7"/>
    <w:basedOn w:val="Normal"/>
    <w:next w:val="Normal"/>
    <w:rsid w:val="00351874"/>
    <w:pPr>
      <w:numPr>
        <w:ilvl w:val="6"/>
        <w:numId w:val="1"/>
      </w:numPr>
      <w:tabs>
        <w:tab w:val="clear" w:pos="1296"/>
      </w:tabs>
      <w:spacing w:before="240" w:after="60"/>
      <w:ind w:left="0" w:firstLine="0"/>
      <w:outlineLvl w:val="6"/>
    </w:pPr>
    <w:rPr>
      <w:sz w:val="24"/>
    </w:rPr>
  </w:style>
  <w:style w:type="paragraph" w:styleId="Heading8">
    <w:name w:val="heading 8"/>
    <w:basedOn w:val="Normal"/>
    <w:next w:val="Normal"/>
    <w:rsid w:val="00351874"/>
    <w:pPr>
      <w:numPr>
        <w:ilvl w:val="7"/>
        <w:numId w:val="1"/>
      </w:numPr>
      <w:tabs>
        <w:tab w:val="clear" w:pos="1440"/>
      </w:tabs>
      <w:spacing w:before="240" w:after="60"/>
      <w:ind w:left="0" w:firstLine="0"/>
      <w:outlineLvl w:val="7"/>
    </w:pPr>
    <w:rPr>
      <w:i/>
      <w:iCs/>
      <w:sz w:val="24"/>
    </w:rPr>
  </w:style>
  <w:style w:type="paragraph" w:styleId="Heading9">
    <w:name w:val="heading 9"/>
    <w:basedOn w:val="Normal"/>
    <w:next w:val="Normal"/>
    <w:rsid w:val="00351874"/>
    <w:pPr>
      <w:numPr>
        <w:ilvl w:val="8"/>
        <w:numId w:val="1"/>
      </w:numPr>
      <w:tabs>
        <w:tab w:val="clear" w:pos="1584"/>
      </w:tabs>
      <w:spacing w:before="240" w:after="60"/>
      <w:ind w:left="0" w:firstLine="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2384"/>
    <w:rPr>
      <w:color w:val="0000FF"/>
      <w:u w:val="single"/>
    </w:rPr>
  </w:style>
  <w:style w:type="character" w:customStyle="1" w:styleId="FootnoteCharacters">
    <w:name w:val="Footnote Characters"/>
    <w:basedOn w:val="DefaultParagraphFont"/>
    <w:uiPriority w:val="99"/>
    <w:qFormat/>
    <w:rsid w:val="008935B9"/>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link w:val="BalloonText"/>
    <w:uiPriority w:val="99"/>
    <w:semiHidden/>
    <w:qFormat/>
    <w:rsid w:val="00D20E3B"/>
    <w:rPr>
      <w:rFonts w:ascii="Lucida Grande" w:hAnsi="Lucida Grande" w:cs="Lucida Grande"/>
      <w:sz w:val="18"/>
      <w:szCs w:val="18"/>
      <w:lang w:val="en-US"/>
    </w:rPr>
  </w:style>
  <w:style w:type="character" w:customStyle="1" w:styleId="FootnoteTextChar">
    <w:name w:val="Footnote Text Char"/>
    <w:link w:val="FootnoteText"/>
    <w:uiPriority w:val="99"/>
    <w:qFormat/>
    <w:rsid w:val="007B7EF0"/>
    <w:rPr>
      <w:rFonts w:ascii="Arial" w:hAnsi="Arial"/>
      <w:lang w:val="en-US"/>
    </w:rPr>
  </w:style>
  <w:style w:type="character" w:customStyle="1" w:styleId="EndnoteTextChar">
    <w:name w:val="Endnote Text Char"/>
    <w:basedOn w:val="DefaultParagraphFont"/>
    <w:link w:val="EndnoteText"/>
    <w:uiPriority w:val="99"/>
    <w:semiHidden/>
    <w:qFormat/>
    <w:rsid w:val="001016CA"/>
    <w:rPr>
      <w:rFonts w:ascii="Arial" w:hAnsi="Arial"/>
      <w:lang w:val="en-US"/>
    </w:rPr>
  </w:style>
  <w:style w:type="character" w:customStyle="1" w:styleId="EndnoteCharacters">
    <w:name w:val="Endnote Characters"/>
    <w:basedOn w:val="DefaultParagraphFont"/>
    <w:uiPriority w:val="99"/>
    <w:semiHidden/>
    <w:unhideWhenUsed/>
    <w:qFormat/>
    <w:rsid w:val="001016CA"/>
    <w:rPr>
      <w:vertAlign w:val="superscript"/>
    </w:rPr>
  </w:style>
  <w:style w:type="character" w:customStyle="1" w:styleId="EndnoteAnchor">
    <w:name w:val="Endnote Anchor"/>
    <w:rPr>
      <w:vertAlign w:val="superscript"/>
    </w:rPr>
  </w:style>
  <w:style w:type="character" w:customStyle="1" w:styleId="UnresolvedMention1">
    <w:name w:val="Unresolved Mention1"/>
    <w:basedOn w:val="DefaultParagraphFont"/>
    <w:uiPriority w:val="99"/>
    <w:semiHidden/>
    <w:unhideWhenUsed/>
    <w:qFormat/>
    <w:rsid w:val="00464045"/>
    <w:rPr>
      <w:color w:val="605E5C"/>
      <w:shd w:val="clear" w:color="auto" w:fill="E1DFDD"/>
    </w:rPr>
  </w:style>
  <w:style w:type="character" w:styleId="FollowedHyperlink">
    <w:name w:val="FollowedHyperlink"/>
    <w:basedOn w:val="DefaultParagraphFont"/>
    <w:uiPriority w:val="99"/>
    <w:semiHidden/>
    <w:unhideWhenUsed/>
    <w:rsid w:val="00464045"/>
    <w:rPr>
      <w:color w:val="800080" w:themeColor="followedHyperlink"/>
      <w:u w:val="single"/>
    </w:rPr>
  </w:style>
  <w:style w:type="character" w:customStyle="1" w:styleId="ECCParagraphChar">
    <w:name w:val="ECC Paragraph Char"/>
    <w:link w:val="ECCParagraph"/>
    <w:qFormat/>
    <w:locked/>
    <w:rsid w:val="003C00DE"/>
    <w:rPr>
      <w:rFonts w:ascii="Arial" w:hAnsi="Arial"/>
      <w:szCs w:val="24"/>
    </w:rPr>
  </w:style>
  <w:style w:type="character" w:styleId="CommentReference">
    <w:name w:val="annotation reference"/>
    <w:basedOn w:val="DefaultParagraphFont"/>
    <w:uiPriority w:val="99"/>
    <w:semiHidden/>
    <w:unhideWhenUsed/>
    <w:qFormat/>
    <w:rsid w:val="005325DD"/>
    <w:rPr>
      <w:sz w:val="16"/>
      <w:szCs w:val="16"/>
    </w:rPr>
  </w:style>
  <w:style w:type="character" w:customStyle="1" w:styleId="CommentTextChar">
    <w:name w:val="Comment Text Char"/>
    <w:basedOn w:val="DefaultParagraphFont"/>
    <w:link w:val="CommentText"/>
    <w:uiPriority w:val="99"/>
    <w:qFormat/>
    <w:rsid w:val="005325DD"/>
    <w:rPr>
      <w:rFonts w:ascii="Arial" w:hAnsi="Arial"/>
      <w:lang w:val="en-US"/>
    </w:rPr>
  </w:style>
  <w:style w:type="character" w:customStyle="1" w:styleId="CommentSubjectChar">
    <w:name w:val="Comment Subject Char"/>
    <w:basedOn w:val="CommentTextChar"/>
    <w:link w:val="CommentSubject"/>
    <w:uiPriority w:val="99"/>
    <w:semiHidden/>
    <w:qFormat/>
    <w:rsid w:val="005325DD"/>
    <w:rPr>
      <w:rFonts w:ascii="Arial" w:hAnsi="Arial"/>
      <w:b/>
      <w:bCs/>
      <w:lang w:val="en-US"/>
    </w:rPr>
  </w:style>
  <w:style w:type="character" w:customStyle="1" w:styleId="ECCHLbold">
    <w:name w:val="ECC HL bold"/>
    <w:basedOn w:val="Strong"/>
    <w:uiPriority w:val="1"/>
    <w:qFormat/>
    <w:rsid w:val="00B64A91"/>
    <w:rPr>
      <w:b/>
      <w:bCs/>
    </w:rPr>
  </w:style>
  <w:style w:type="character" w:styleId="Strong">
    <w:name w:val="Strong"/>
    <w:basedOn w:val="DefaultParagraphFont"/>
    <w:uiPriority w:val="22"/>
    <w:qFormat/>
    <w:rsid w:val="00B64A91"/>
    <w:rPr>
      <w:b/>
      <w:bCs/>
    </w:rPr>
  </w:style>
  <w:style w:type="character" w:customStyle="1" w:styleId="ECCHLunderlined">
    <w:name w:val="ECC HL underlined"/>
    <w:uiPriority w:val="1"/>
    <w:qFormat/>
    <w:rsid w:val="008D080E"/>
    <w:rPr>
      <w:u w:val="single"/>
    </w:rPr>
  </w:style>
  <w:style w:type="character" w:customStyle="1" w:styleId="berschrift1Zchn">
    <w:name w:val="Überschrift 1 Zchn"/>
    <w:basedOn w:val="DefaultParagraphFont"/>
    <w:rsid w:val="0085733A"/>
    <w:rPr>
      <w:rFonts w:ascii="Arial" w:hAnsi="Arial" w:cs="Arial"/>
      <w:b/>
      <w:bCs/>
      <w:caps/>
      <w:color w:val="D2232A"/>
      <w:kern w:val="2"/>
      <w:szCs w:val="32"/>
    </w:rPr>
  </w:style>
  <w:style w:type="character" w:customStyle="1" w:styleId="berschrift3Zchn">
    <w:name w:val="Überschrift 3 Zchn"/>
    <w:basedOn w:val="DefaultParagraphFont"/>
    <w:rsid w:val="00692231"/>
    <w:rPr>
      <w:rFonts w:ascii="Arial" w:hAnsi="Arial" w:cs="Arial"/>
      <w:b/>
      <w:bCs/>
      <w:szCs w:val="26"/>
      <w:lang w:val="en-US"/>
    </w:rPr>
  </w:style>
  <w:style w:type="character" w:customStyle="1" w:styleId="TabletextChar">
    <w:name w:val="Table_text Char"/>
    <w:basedOn w:val="DefaultParagraphFont"/>
    <w:link w:val="Tabletext"/>
    <w:qFormat/>
    <w:rsid w:val="00CF6B47"/>
  </w:style>
  <w:style w:type="character" w:customStyle="1" w:styleId="TableheadChar">
    <w:name w:val="Table_head Char"/>
    <w:basedOn w:val="DefaultParagraphFont"/>
    <w:link w:val="Tablehead"/>
    <w:qFormat/>
    <w:locked/>
    <w:rsid w:val="00CF6B47"/>
    <w:rPr>
      <w:rFonts w:ascii="Times New Roman Bold" w:hAnsi="Times New Roman Bold" w:cs="Times New Roman Bold"/>
      <w:b/>
    </w:rPr>
  </w:style>
  <w:style w:type="character" w:customStyle="1" w:styleId="berschrift2Zchn">
    <w:name w:val="Überschrift 2 Zchn"/>
    <w:basedOn w:val="DefaultParagraphFont"/>
    <w:rsid w:val="0034135F"/>
    <w:rPr>
      <w:rFonts w:ascii="Arial" w:hAnsi="Arial" w:cs="Arial"/>
      <w:b/>
      <w:bCs/>
      <w:iCs/>
      <w:caps/>
      <w:szCs w:val="28"/>
      <w:lang w:val="en-U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next w:val="Normal"/>
    <w:qFormat/>
    <w:rsid w:val="00B64A91"/>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Index">
    <w:name w:val="Index"/>
    <w:basedOn w:val="Normal"/>
    <w:qFormat/>
    <w:pPr>
      <w:suppressLineNumbers/>
    </w:pPr>
    <w:rPr>
      <w:rFonts w:cs="Lohit Devanagari"/>
    </w:rPr>
  </w:style>
  <w:style w:type="paragraph" w:customStyle="1" w:styleId="ECCParagraph">
    <w:name w:val="ECC Paragraph"/>
    <w:basedOn w:val="Normal"/>
    <w:link w:val="ECCParagraphChar"/>
    <w:qFormat/>
    <w:rsid w:val="003C00DE"/>
    <w:pPr>
      <w:spacing w:before="240" w:after="60"/>
      <w:jc w:val="both"/>
    </w:pPr>
    <w:rPr>
      <w:lang w:val="en-GB"/>
    </w:rPr>
  </w:style>
  <w:style w:type="paragraph" w:customStyle="1" w:styleId="HeaderandFooter">
    <w:name w:val="Header and Footer"/>
    <w:basedOn w:val="Normal"/>
    <w:qFormat/>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qFormat/>
    <w:rsid w:val="009615F2"/>
    <w:pPr>
      <w:numPr>
        <w:numId w:val="0"/>
      </w:numPr>
    </w:pPr>
  </w:style>
  <w:style w:type="paragraph" w:styleId="TOC1">
    <w:name w:val="toc 1"/>
    <w:basedOn w:val="Normal"/>
    <w:next w:val="Normal"/>
    <w:autoRedefine/>
    <w:uiPriority w:val="39"/>
    <w:rsid w:val="00333C5D"/>
    <w:pPr>
      <w:tabs>
        <w:tab w:val="left" w:pos="360"/>
        <w:tab w:val="right" w:leader="dot" w:pos="9629"/>
      </w:tabs>
      <w:spacing w:before="240"/>
    </w:pPr>
    <w:rPr>
      <w:b/>
      <w:caps/>
    </w:rPr>
  </w:style>
  <w:style w:type="paragraph" w:styleId="TOC2">
    <w:name w:val="toc 2"/>
    <w:basedOn w:val="Normal"/>
    <w:next w:val="Normal"/>
    <w:autoRedefine/>
    <w:uiPriority w:val="39"/>
    <w:rsid w:val="004C4CA9"/>
    <w:pPr>
      <w:tabs>
        <w:tab w:val="left" w:pos="900"/>
        <w:tab w:val="right" w:leader="dot" w:pos="9629"/>
      </w:tabs>
      <w:ind w:left="360"/>
    </w:pPr>
  </w:style>
  <w:style w:type="paragraph" w:styleId="TOC3">
    <w:name w:val="toc 3"/>
    <w:basedOn w:val="Normal"/>
    <w:next w:val="Normal"/>
    <w:autoRedefine/>
    <w:uiPriority w:val="39"/>
    <w:rsid w:val="000A11CB"/>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paragraph" w:customStyle="1" w:styleId="ECCFiguretitle">
    <w:name w:val="ECC Figure title"/>
    <w:basedOn w:val="ECCParagraph"/>
    <w:next w:val="ECCParagraph"/>
    <w:qFormat/>
    <w:rsid w:val="00C95C7C"/>
    <w:pPr>
      <w:spacing w:after="480"/>
      <w:jc w:val="center"/>
    </w:pPr>
    <w:rPr>
      <w:b/>
      <w:color w:val="D2232A"/>
    </w:rPr>
  </w:style>
  <w:style w:type="paragraph" w:customStyle="1" w:styleId="ECCTabletitle">
    <w:name w:val="ECC Table title"/>
    <w:basedOn w:val="ECCFiguretitle"/>
    <w:next w:val="ECCParagraph"/>
    <w:autoRedefine/>
    <w:uiPriority w:val="99"/>
    <w:qFormat/>
    <w:rsid w:val="002649EA"/>
    <w:pPr>
      <w:spacing w:before="360" w:after="240"/>
      <w:ind w:left="360"/>
    </w:pPr>
  </w:style>
  <w:style w:type="paragraph" w:customStyle="1" w:styleId="ECCFootnote">
    <w:name w:val="ECC Footnote"/>
    <w:basedOn w:val="Normal"/>
    <w:autoRedefine/>
    <w:qFormat/>
    <w:rsid w:val="00F0717B"/>
    <w:pPr>
      <w:ind w:left="284" w:hanging="284"/>
    </w:pPr>
    <w:rPr>
      <w:sz w:val="16"/>
    </w:rPr>
  </w:style>
  <w:style w:type="paragraph" w:styleId="FootnoteText">
    <w:name w:val="footnote text"/>
    <w:basedOn w:val="Normal"/>
    <w:link w:val="FootnoteTextChar"/>
    <w:uiPriority w:val="99"/>
    <w:qFormat/>
    <w:rsid w:val="008935B9"/>
    <w:rPr>
      <w:szCs w:val="20"/>
    </w:rPr>
  </w:style>
  <w:style w:type="paragraph" w:customStyle="1" w:styleId="Text">
    <w:name w:val="Text"/>
    <w:basedOn w:val="Normal"/>
    <w:qFormat/>
    <w:rsid w:val="001F7826"/>
    <w:pPr>
      <w:widowControl w:val="0"/>
      <w:spacing w:line="252" w:lineRule="auto"/>
      <w:ind w:firstLine="202"/>
      <w:jc w:val="both"/>
    </w:pPr>
    <w:rPr>
      <w:szCs w:val="20"/>
    </w:rPr>
  </w:style>
  <w:style w:type="paragraph" w:customStyle="1" w:styleId="ECCTablenote">
    <w:name w:val="ECC Table note"/>
    <w:basedOn w:val="ECCParagraph"/>
    <w:next w:val="ECCParagraph"/>
    <w:autoRedefine/>
    <w:qFormat/>
    <w:rsid w:val="00D44CC1"/>
    <w:pPr>
      <w:spacing w:after="0"/>
      <w:ind w:left="284" w:hanging="284"/>
    </w:pPr>
    <w:rPr>
      <w:sz w:val="16"/>
      <w:szCs w:val="16"/>
    </w:rPr>
  </w:style>
  <w:style w:type="paragraph" w:customStyle="1" w:styleId="reference">
    <w:name w:val="reference"/>
    <w:basedOn w:val="Normal"/>
    <w:qFormat/>
    <w:rsid w:val="00A50B64"/>
    <w:rPr>
      <w:lang w:eastAsia="ja-JP"/>
    </w:rPr>
  </w:style>
  <w:style w:type="paragraph" w:customStyle="1" w:styleId="ECCAnnexheading2">
    <w:name w:val="ECC Annex heading2"/>
    <w:basedOn w:val="Normal"/>
    <w:next w:val="ECCParagraph"/>
    <w:qFormat/>
    <w:rsid w:val="00D81C35"/>
    <w:pPr>
      <w:spacing w:before="240" w:after="240"/>
      <w:textAlignment w:val="baseline"/>
    </w:pPr>
    <w:rPr>
      <w:b/>
      <w:caps/>
    </w:rPr>
  </w:style>
  <w:style w:type="paragraph" w:customStyle="1" w:styleId="ECCAnnexheading3">
    <w:name w:val="ECC Annex heading3"/>
    <w:basedOn w:val="Normal"/>
    <w:next w:val="ECCParagraph"/>
    <w:qFormat/>
    <w:rsid w:val="00485B05"/>
    <w:pPr>
      <w:spacing w:before="360" w:after="120"/>
      <w:textAlignment w:val="baseline"/>
    </w:pPr>
    <w:rPr>
      <w:b/>
    </w:rPr>
  </w:style>
  <w:style w:type="paragraph" w:customStyle="1" w:styleId="ECCAnnexheading4">
    <w:name w:val="ECC Annex heading4"/>
    <w:basedOn w:val="Normal"/>
    <w:next w:val="ECCParagraph"/>
    <w:qFormat/>
    <w:rsid w:val="00C95C7C"/>
    <w:pPr>
      <w:spacing w:before="360" w:after="120"/>
      <w:textAlignment w:val="baseline"/>
    </w:pPr>
    <w:rPr>
      <w:i/>
      <w:color w:val="D2232A"/>
    </w:rPr>
  </w:style>
  <w:style w:type="paragraph" w:customStyle="1" w:styleId="Lastupdated">
    <w:name w:val="Last updated"/>
    <w:basedOn w:val="Normal"/>
    <w:qFormat/>
    <w:rsid w:val="00080D86"/>
    <w:pPr>
      <w:spacing w:before="120" w:after="120"/>
      <w:ind w:left="3402"/>
    </w:pPr>
    <w:rPr>
      <w:bCs/>
      <w:sz w:val="18"/>
    </w:rPr>
  </w:style>
  <w:style w:type="paragraph" w:customStyle="1" w:styleId="Reporttitledescription">
    <w:name w:val="Report title/description"/>
    <w:basedOn w:val="Normal"/>
    <w:qFormat/>
    <w:rsid w:val="009B4646"/>
    <w:pPr>
      <w:spacing w:before="600" w:line="288" w:lineRule="auto"/>
      <w:ind w:left="3402"/>
    </w:pPr>
    <w:rPr>
      <w:sz w:val="24"/>
    </w:rPr>
  </w:style>
  <w:style w:type="paragraph" w:customStyle="1" w:styleId="Default">
    <w:name w:val="Default"/>
    <w:qFormat/>
    <w:rsid w:val="00080D86"/>
    <w:rPr>
      <w:color w:val="000000"/>
      <w:sz w:val="24"/>
      <w:szCs w:val="24"/>
      <w:lang w:val="en-US"/>
    </w:rPr>
  </w:style>
  <w:style w:type="paragraph" w:customStyle="1" w:styleId="ECCNumbered-LetteredList">
    <w:name w:val="ECC Numbered-Lettered List"/>
    <w:basedOn w:val="Normal"/>
    <w:qFormat/>
    <w:rsid w:val="00D20E3B"/>
  </w:style>
  <w:style w:type="paragraph" w:customStyle="1" w:styleId="ECCNumberedBullets">
    <w:name w:val="ECC Numbered Bullets"/>
    <w:basedOn w:val="Normal"/>
    <w:qFormat/>
    <w:rsid w:val="00D20E3B"/>
  </w:style>
  <w:style w:type="paragraph" w:styleId="BalloonText">
    <w:name w:val="Balloon Text"/>
    <w:basedOn w:val="Normal"/>
    <w:link w:val="BalloonTextChar"/>
    <w:uiPriority w:val="99"/>
    <w:semiHidden/>
    <w:unhideWhenUsed/>
    <w:qFormat/>
    <w:rsid w:val="00D20E3B"/>
    <w:rPr>
      <w:rFonts w:ascii="Lucida Grande" w:hAnsi="Lucida Grande" w:cs="Lucida Grande"/>
      <w:sz w:val="18"/>
      <w:szCs w:val="18"/>
    </w:rPr>
  </w:style>
  <w:style w:type="paragraph" w:customStyle="1" w:styleId="ZCom">
    <w:name w:val="Z_Com"/>
    <w:basedOn w:val="Normal"/>
    <w:next w:val="ZDGName"/>
    <w:qFormat/>
    <w:rsid w:val="007B7EF0"/>
    <w:pPr>
      <w:widowControl w:val="0"/>
      <w:ind w:right="85"/>
      <w:jc w:val="both"/>
    </w:pPr>
    <w:rPr>
      <w:sz w:val="24"/>
      <w:szCs w:val="20"/>
      <w:lang w:val="en-GB"/>
    </w:rPr>
  </w:style>
  <w:style w:type="paragraph" w:customStyle="1" w:styleId="ZDGName">
    <w:name w:val="Z_DGName"/>
    <w:basedOn w:val="Normal"/>
    <w:qFormat/>
    <w:rsid w:val="007B7EF0"/>
    <w:pPr>
      <w:widowControl w:val="0"/>
      <w:ind w:right="85"/>
    </w:pPr>
    <w:rPr>
      <w:sz w:val="16"/>
      <w:szCs w:val="20"/>
      <w:lang w:val="en-GB"/>
    </w:rPr>
  </w:style>
  <w:style w:type="paragraph" w:styleId="ListNumber">
    <w:name w:val="List Number"/>
    <w:basedOn w:val="Normal"/>
    <w:qFormat/>
    <w:rsid w:val="007B7EF0"/>
    <w:pPr>
      <w:spacing w:after="240"/>
      <w:jc w:val="both"/>
    </w:pPr>
    <w:rPr>
      <w:rFonts w:ascii="Times New Roman" w:hAnsi="Times New Roman"/>
      <w:sz w:val="24"/>
      <w:szCs w:val="20"/>
      <w:lang w:val="en-GB" w:eastAsia="fr-BE"/>
    </w:rPr>
  </w:style>
  <w:style w:type="paragraph" w:customStyle="1" w:styleId="ListNumberLevel2">
    <w:name w:val="List Number (Level 2)"/>
    <w:basedOn w:val="Normal"/>
    <w:rsid w:val="007B7EF0"/>
    <w:pPr>
      <w:spacing w:after="240"/>
      <w:jc w:val="both"/>
    </w:pPr>
    <w:rPr>
      <w:rFonts w:ascii="Times New Roman" w:hAnsi="Times New Roman"/>
      <w:sz w:val="24"/>
      <w:szCs w:val="20"/>
      <w:lang w:val="en-GB" w:eastAsia="fr-BE"/>
    </w:rPr>
  </w:style>
  <w:style w:type="paragraph" w:customStyle="1" w:styleId="ListNumberLevel3">
    <w:name w:val="List Number (Level 3)"/>
    <w:basedOn w:val="Normal"/>
    <w:rsid w:val="007B7EF0"/>
    <w:pPr>
      <w:spacing w:after="240"/>
      <w:jc w:val="both"/>
    </w:pPr>
    <w:rPr>
      <w:rFonts w:ascii="Times New Roman" w:hAnsi="Times New Roman"/>
      <w:sz w:val="24"/>
      <w:szCs w:val="20"/>
      <w:lang w:val="en-GB" w:eastAsia="fr-BE"/>
    </w:rPr>
  </w:style>
  <w:style w:type="paragraph" w:customStyle="1" w:styleId="ListNumberLevel4">
    <w:name w:val="List Number (Level 4)"/>
    <w:basedOn w:val="Normal"/>
    <w:qFormat/>
    <w:rsid w:val="007B7EF0"/>
    <w:pPr>
      <w:spacing w:after="240"/>
      <w:jc w:val="both"/>
    </w:pPr>
    <w:rPr>
      <w:rFonts w:ascii="Times New Roman" w:hAnsi="Times New Roman"/>
      <w:sz w:val="24"/>
      <w:szCs w:val="20"/>
      <w:lang w:val="en-GB" w:eastAsia="fr-BE"/>
    </w:rPr>
  </w:style>
  <w:style w:type="paragraph" w:styleId="EndnoteText">
    <w:name w:val="endnote text"/>
    <w:basedOn w:val="Normal"/>
    <w:link w:val="EndnoteTextChar"/>
    <w:uiPriority w:val="99"/>
    <w:semiHidden/>
    <w:unhideWhenUsed/>
    <w:rsid w:val="001016CA"/>
    <w:rPr>
      <w:szCs w:val="20"/>
    </w:rPr>
  </w:style>
  <w:style w:type="paragraph" w:styleId="ListParagraph">
    <w:name w:val="List Paragraph"/>
    <w:basedOn w:val="Normal"/>
    <w:uiPriority w:val="34"/>
    <w:qFormat/>
    <w:rsid w:val="008C509C"/>
    <w:pPr>
      <w:ind w:left="720"/>
      <w:contextualSpacing/>
    </w:pPr>
  </w:style>
  <w:style w:type="paragraph" w:customStyle="1" w:styleId="ECCParBulleted">
    <w:name w:val="ECC Par Bulleted"/>
    <w:basedOn w:val="ECCParagraph"/>
    <w:qFormat/>
    <w:rsid w:val="00E95DE0"/>
    <w:pPr>
      <w:spacing w:after="120"/>
    </w:pPr>
  </w:style>
  <w:style w:type="paragraph" w:customStyle="1" w:styleId="ECCBulletsLv1">
    <w:name w:val="ECC Bullets Lv1"/>
    <w:basedOn w:val="Normal"/>
    <w:qFormat/>
    <w:rsid w:val="00E95DE0"/>
    <w:pPr>
      <w:tabs>
        <w:tab w:val="left" w:pos="340"/>
      </w:tabs>
      <w:spacing w:before="60"/>
      <w:ind w:left="340" w:hanging="340"/>
      <w:jc w:val="both"/>
    </w:pPr>
    <w:rPr>
      <w:rFonts w:eastAsia="Calibri"/>
      <w:szCs w:val="22"/>
      <w:lang w:val="en-GB"/>
    </w:rPr>
  </w:style>
  <w:style w:type="paragraph" w:styleId="CommentText">
    <w:name w:val="annotation text"/>
    <w:basedOn w:val="Normal"/>
    <w:link w:val="CommentTextChar"/>
    <w:uiPriority w:val="99"/>
    <w:unhideWhenUsed/>
    <w:qFormat/>
    <w:rsid w:val="005325DD"/>
    <w:rPr>
      <w:szCs w:val="20"/>
    </w:rPr>
  </w:style>
  <w:style w:type="paragraph" w:styleId="CommentSubject">
    <w:name w:val="annotation subject"/>
    <w:basedOn w:val="CommentText"/>
    <w:next w:val="CommentText"/>
    <w:link w:val="CommentSubjectChar"/>
    <w:uiPriority w:val="99"/>
    <w:semiHidden/>
    <w:unhideWhenUsed/>
    <w:qFormat/>
    <w:rsid w:val="005325DD"/>
    <w:rPr>
      <w:b/>
      <w:bCs/>
    </w:rPr>
  </w:style>
  <w:style w:type="paragraph" w:customStyle="1" w:styleId="ECCTableHeaderwhitefont">
    <w:name w:val="ECC Table Header white font"/>
    <w:basedOn w:val="Normal"/>
    <w:qFormat/>
    <w:rsid w:val="00B64A91"/>
    <w:pPr>
      <w:spacing w:before="120" w:after="120"/>
      <w:jc w:val="center"/>
    </w:pPr>
    <w:rPr>
      <w:bCs/>
      <w:color w:val="FFFFFF" w:themeColor="background1"/>
      <w:szCs w:val="20"/>
      <w:lang w:val="en-GB"/>
    </w:rPr>
  </w:style>
  <w:style w:type="paragraph" w:customStyle="1" w:styleId="ECCTabletext">
    <w:name w:val="ECC Table text"/>
    <w:basedOn w:val="Normal"/>
    <w:qFormat/>
    <w:rsid w:val="00B64A91"/>
    <w:pPr>
      <w:spacing w:before="60" w:after="60"/>
      <w:jc w:val="both"/>
    </w:pPr>
    <w:rPr>
      <w:rFonts w:eastAsia="Calibri"/>
      <w:szCs w:val="22"/>
      <w:lang w:val="en-GB"/>
    </w:rPr>
  </w:style>
  <w:style w:type="paragraph" w:styleId="NormalWeb">
    <w:name w:val="Normal (Web)"/>
    <w:basedOn w:val="Normal"/>
    <w:uiPriority w:val="99"/>
    <w:semiHidden/>
    <w:unhideWhenUsed/>
    <w:qFormat/>
    <w:rsid w:val="00465037"/>
    <w:pPr>
      <w:spacing w:beforeAutospacing="1" w:afterAutospacing="1"/>
    </w:pPr>
    <w:rPr>
      <w:rFonts w:ascii="Times New Roman" w:eastAsiaTheme="minorEastAsia" w:hAnsi="Times New Roman"/>
      <w:sz w:val="24"/>
      <w:lang w:val="de-DE" w:eastAsia="de-DE"/>
    </w:rPr>
  </w:style>
  <w:style w:type="paragraph" w:customStyle="1" w:styleId="ECCAnnex-heading1">
    <w:name w:val="ECC Annex - heading1"/>
    <w:basedOn w:val="Heading1"/>
    <w:next w:val="ECCParagraph"/>
    <w:qFormat/>
    <w:rsid w:val="00435D8C"/>
    <w:pPr>
      <w:numPr>
        <w:numId w:val="0"/>
      </w:numPr>
      <w:spacing w:before="400"/>
    </w:pPr>
  </w:style>
  <w:style w:type="paragraph" w:styleId="Revision">
    <w:name w:val="Revision"/>
    <w:uiPriority w:val="99"/>
    <w:semiHidden/>
    <w:qFormat/>
    <w:rsid w:val="00BE3819"/>
    <w:rPr>
      <w:rFonts w:ascii="Arial" w:hAnsi="Arial"/>
      <w:szCs w:val="24"/>
      <w:lang w:val="en-US"/>
    </w:rPr>
  </w:style>
  <w:style w:type="paragraph" w:customStyle="1" w:styleId="Tabletext">
    <w:name w:val="Table_text"/>
    <w:basedOn w:val="Normal"/>
    <w:link w:val="TabletextChar"/>
    <w:qFormat/>
    <w:rsid w:val="00CF6B4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textAlignment w:val="baseline"/>
    </w:pPr>
    <w:rPr>
      <w:rFonts w:ascii="Times New Roman" w:hAnsi="Times New Roman"/>
      <w:szCs w:val="20"/>
      <w:lang w:val="en-GB"/>
    </w:rPr>
  </w:style>
  <w:style w:type="paragraph" w:customStyle="1" w:styleId="Tablehead">
    <w:name w:val="Table_head"/>
    <w:basedOn w:val="Normal"/>
    <w:link w:val="TableheadChar"/>
    <w:qFormat/>
    <w:rsid w:val="00CF6B47"/>
    <w:pPr>
      <w:keepNext/>
      <w:tabs>
        <w:tab w:val="left" w:pos="1134"/>
        <w:tab w:val="left" w:pos="1871"/>
        <w:tab w:val="left" w:pos="2268"/>
      </w:tabs>
      <w:spacing w:before="80" w:after="80"/>
      <w:jc w:val="center"/>
      <w:textAlignment w:val="baseline"/>
    </w:pPr>
    <w:rPr>
      <w:rFonts w:ascii="Times New Roman Bold" w:hAnsi="Times New Roman Bold" w:cs="Times New Roman Bold"/>
      <w:b/>
      <w:szCs w:val="20"/>
      <w:lang w:val="en-GB"/>
    </w:rPr>
  </w:style>
  <w:style w:type="paragraph" w:customStyle="1" w:styleId="ECCLetteredList">
    <w:name w:val="ECC Lettered List"/>
    <w:qFormat/>
    <w:rsid w:val="005113AE"/>
    <w:pPr>
      <w:spacing w:before="240"/>
      <w:jc w:val="both"/>
    </w:pPr>
    <w:rPr>
      <w:rFonts w:ascii="Arial" w:hAnsi="Arial"/>
      <w:lang w:val="da-DK"/>
    </w:rPr>
  </w:style>
  <w:style w:type="paragraph" w:customStyle="1" w:styleId="messagetext">
    <w:name w:val="message__text"/>
    <w:basedOn w:val="Normal"/>
    <w:qFormat/>
    <w:rsid w:val="00D95D6D"/>
    <w:pPr>
      <w:spacing w:beforeAutospacing="1" w:afterAutospacing="1"/>
    </w:pPr>
    <w:rPr>
      <w:rFonts w:ascii="Times New Roman" w:hAnsi="Times New Roman"/>
      <w:sz w:val="24"/>
      <w:lang w:val="sl-SI" w:eastAsia="sl-SI"/>
    </w:rPr>
  </w:style>
  <w:style w:type="paragraph" w:customStyle="1" w:styleId="FrameContents">
    <w:name w:val="Frame Contents"/>
    <w:basedOn w:val="Normal"/>
    <w:qFormat/>
  </w:style>
  <w:style w:type="paragraph" w:customStyle="1" w:styleId="HeaderLeft">
    <w:name w:val="Header Left"/>
    <w:basedOn w:val="Header"/>
    <w:qFormat/>
  </w:style>
  <w:style w:type="table" w:styleId="TableGrid">
    <w:name w:val="Table Grid"/>
    <w:basedOn w:val="TableNormal"/>
    <w:uiPriority w:val="3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2A5B38"/>
    <w:rPr>
      <w:color w:val="605E5C"/>
      <w:shd w:val="clear" w:color="auto" w:fill="E1DFDD"/>
    </w:rPr>
  </w:style>
  <w:style w:type="character" w:customStyle="1" w:styleId="Mention1">
    <w:name w:val="Mention1"/>
    <w:basedOn w:val="DefaultParagraphFont"/>
    <w:uiPriority w:val="99"/>
    <w:unhideWhenUsed/>
    <w:rsid w:val="008E603F"/>
    <w:rPr>
      <w:color w:val="2B579A"/>
      <w:shd w:val="clear" w:color="auto" w:fill="E1DFDD"/>
    </w:rPr>
  </w:style>
  <w:style w:type="character" w:customStyle="1" w:styleId="UnresolvedMention2">
    <w:name w:val="Unresolved Mention2"/>
    <w:basedOn w:val="DefaultParagraphFont"/>
    <w:uiPriority w:val="99"/>
    <w:semiHidden/>
    <w:unhideWhenUsed/>
    <w:rsid w:val="00B17393"/>
    <w:rPr>
      <w:color w:val="605E5C"/>
      <w:shd w:val="clear" w:color="auto" w:fill="E1DFDD"/>
    </w:rPr>
  </w:style>
  <w:style w:type="character" w:styleId="UnresolvedMention">
    <w:name w:val="Unresolved Mention"/>
    <w:basedOn w:val="DefaultParagraphFont"/>
    <w:uiPriority w:val="99"/>
    <w:semiHidden/>
    <w:unhideWhenUsed/>
    <w:rsid w:val="00351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139882250">
      <w:bodyDiv w:val="1"/>
      <w:marLeft w:val="0"/>
      <w:marRight w:val="0"/>
      <w:marTop w:val="0"/>
      <w:marBottom w:val="0"/>
      <w:divBdr>
        <w:top w:val="none" w:sz="0" w:space="0" w:color="auto"/>
        <w:left w:val="none" w:sz="0" w:space="0" w:color="auto"/>
        <w:bottom w:val="none" w:sz="0" w:space="0" w:color="auto"/>
        <w:right w:val="none" w:sz="0" w:space="0" w:color="auto"/>
      </w:divBdr>
    </w:div>
    <w:div w:id="201671341">
      <w:bodyDiv w:val="1"/>
      <w:marLeft w:val="0"/>
      <w:marRight w:val="0"/>
      <w:marTop w:val="0"/>
      <w:marBottom w:val="0"/>
      <w:divBdr>
        <w:top w:val="none" w:sz="0" w:space="0" w:color="auto"/>
        <w:left w:val="none" w:sz="0" w:space="0" w:color="auto"/>
        <w:bottom w:val="none" w:sz="0" w:space="0" w:color="auto"/>
        <w:right w:val="none" w:sz="0" w:space="0" w:color="auto"/>
      </w:divBdr>
    </w:div>
    <w:div w:id="246578303">
      <w:bodyDiv w:val="1"/>
      <w:marLeft w:val="0"/>
      <w:marRight w:val="0"/>
      <w:marTop w:val="0"/>
      <w:marBottom w:val="0"/>
      <w:divBdr>
        <w:top w:val="none" w:sz="0" w:space="0" w:color="auto"/>
        <w:left w:val="none" w:sz="0" w:space="0" w:color="auto"/>
        <w:bottom w:val="none" w:sz="0" w:space="0" w:color="auto"/>
        <w:right w:val="none" w:sz="0" w:space="0" w:color="auto"/>
      </w:divBdr>
    </w:div>
    <w:div w:id="464660528">
      <w:bodyDiv w:val="1"/>
      <w:marLeft w:val="0"/>
      <w:marRight w:val="0"/>
      <w:marTop w:val="0"/>
      <w:marBottom w:val="0"/>
      <w:divBdr>
        <w:top w:val="none" w:sz="0" w:space="0" w:color="auto"/>
        <w:left w:val="none" w:sz="0" w:space="0" w:color="auto"/>
        <w:bottom w:val="none" w:sz="0" w:space="0" w:color="auto"/>
        <w:right w:val="none" w:sz="0" w:space="0" w:color="auto"/>
      </w:divBdr>
    </w:div>
    <w:div w:id="474303312">
      <w:bodyDiv w:val="1"/>
      <w:marLeft w:val="0"/>
      <w:marRight w:val="0"/>
      <w:marTop w:val="0"/>
      <w:marBottom w:val="0"/>
      <w:divBdr>
        <w:top w:val="none" w:sz="0" w:space="0" w:color="auto"/>
        <w:left w:val="none" w:sz="0" w:space="0" w:color="auto"/>
        <w:bottom w:val="none" w:sz="0" w:space="0" w:color="auto"/>
        <w:right w:val="none" w:sz="0" w:space="0" w:color="auto"/>
      </w:divBdr>
    </w:div>
    <w:div w:id="625309331">
      <w:bodyDiv w:val="1"/>
      <w:marLeft w:val="0"/>
      <w:marRight w:val="0"/>
      <w:marTop w:val="0"/>
      <w:marBottom w:val="0"/>
      <w:divBdr>
        <w:top w:val="none" w:sz="0" w:space="0" w:color="auto"/>
        <w:left w:val="none" w:sz="0" w:space="0" w:color="auto"/>
        <w:bottom w:val="none" w:sz="0" w:space="0" w:color="auto"/>
        <w:right w:val="none" w:sz="0" w:space="0" w:color="auto"/>
      </w:divBdr>
    </w:div>
    <w:div w:id="628513261">
      <w:bodyDiv w:val="1"/>
      <w:marLeft w:val="0"/>
      <w:marRight w:val="0"/>
      <w:marTop w:val="0"/>
      <w:marBottom w:val="0"/>
      <w:divBdr>
        <w:top w:val="none" w:sz="0" w:space="0" w:color="auto"/>
        <w:left w:val="none" w:sz="0" w:space="0" w:color="auto"/>
        <w:bottom w:val="none" w:sz="0" w:space="0" w:color="auto"/>
        <w:right w:val="none" w:sz="0" w:space="0" w:color="auto"/>
      </w:divBdr>
    </w:div>
    <w:div w:id="706416677">
      <w:bodyDiv w:val="1"/>
      <w:marLeft w:val="0"/>
      <w:marRight w:val="0"/>
      <w:marTop w:val="0"/>
      <w:marBottom w:val="0"/>
      <w:divBdr>
        <w:top w:val="none" w:sz="0" w:space="0" w:color="auto"/>
        <w:left w:val="none" w:sz="0" w:space="0" w:color="auto"/>
        <w:bottom w:val="none" w:sz="0" w:space="0" w:color="auto"/>
        <w:right w:val="none" w:sz="0" w:space="0" w:color="auto"/>
      </w:divBdr>
    </w:div>
    <w:div w:id="953487346">
      <w:bodyDiv w:val="1"/>
      <w:marLeft w:val="0"/>
      <w:marRight w:val="0"/>
      <w:marTop w:val="0"/>
      <w:marBottom w:val="0"/>
      <w:divBdr>
        <w:top w:val="none" w:sz="0" w:space="0" w:color="auto"/>
        <w:left w:val="none" w:sz="0" w:space="0" w:color="auto"/>
        <w:bottom w:val="none" w:sz="0" w:space="0" w:color="auto"/>
        <w:right w:val="none" w:sz="0" w:space="0" w:color="auto"/>
      </w:divBdr>
    </w:div>
    <w:div w:id="988703110">
      <w:bodyDiv w:val="1"/>
      <w:marLeft w:val="0"/>
      <w:marRight w:val="0"/>
      <w:marTop w:val="0"/>
      <w:marBottom w:val="0"/>
      <w:divBdr>
        <w:top w:val="none" w:sz="0" w:space="0" w:color="auto"/>
        <w:left w:val="none" w:sz="0" w:space="0" w:color="auto"/>
        <w:bottom w:val="none" w:sz="0" w:space="0" w:color="auto"/>
        <w:right w:val="none" w:sz="0" w:space="0" w:color="auto"/>
      </w:divBdr>
    </w:div>
    <w:div w:id="1173227739">
      <w:bodyDiv w:val="1"/>
      <w:marLeft w:val="0"/>
      <w:marRight w:val="0"/>
      <w:marTop w:val="0"/>
      <w:marBottom w:val="0"/>
      <w:divBdr>
        <w:top w:val="none" w:sz="0" w:space="0" w:color="auto"/>
        <w:left w:val="none" w:sz="0" w:space="0" w:color="auto"/>
        <w:bottom w:val="none" w:sz="0" w:space="0" w:color="auto"/>
        <w:right w:val="none" w:sz="0" w:space="0" w:color="auto"/>
      </w:divBdr>
    </w:div>
    <w:div w:id="1239173651">
      <w:bodyDiv w:val="1"/>
      <w:marLeft w:val="0"/>
      <w:marRight w:val="0"/>
      <w:marTop w:val="0"/>
      <w:marBottom w:val="0"/>
      <w:divBdr>
        <w:top w:val="none" w:sz="0" w:space="0" w:color="auto"/>
        <w:left w:val="none" w:sz="0" w:space="0" w:color="auto"/>
        <w:bottom w:val="none" w:sz="0" w:space="0" w:color="auto"/>
        <w:right w:val="none" w:sz="0" w:space="0" w:color="auto"/>
      </w:divBdr>
    </w:div>
    <w:div w:id="1587569019">
      <w:bodyDiv w:val="1"/>
      <w:marLeft w:val="0"/>
      <w:marRight w:val="0"/>
      <w:marTop w:val="0"/>
      <w:marBottom w:val="0"/>
      <w:divBdr>
        <w:top w:val="none" w:sz="0" w:space="0" w:color="auto"/>
        <w:left w:val="none" w:sz="0" w:space="0" w:color="auto"/>
        <w:bottom w:val="none" w:sz="0" w:space="0" w:color="auto"/>
        <w:right w:val="none" w:sz="0" w:space="0" w:color="auto"/>
      </w:divBdr>
    </w:div>
    <w:div w:id="1711807841">
      <w:bodyDiv w:val="1"/>
      <w:marLeft w:val="0"/>
      <w:marRight w:val="0"/>
      <w:marTop w:val="0"/>
      <w:marBottom w:val="0"/>
      <w:divBdr>
        <w:top w:val="none" w:sz="0" w:space="0" w:color="auto"/>
        <w:left w:val="none" w:sz="0" w:space="0" w:color="auto"/>
        <w:bottom w:val="none" w:sz="0" w:space="0" w:color="auto"/>
        <w:right w:val="none" w:sz="0" w:space="0" w:color="auto"/>
      </w:divBdr>
    </w:div>
    <w:div w:id="1798915892">
      <w:bodyDiv w:val="1"/>
      <w:marLeft w:val="0"/>
      <w:marRight w:val="0"/>
      <w:marTop w:val="0"/>
      <w:marBottom w:val="0"/>
      <w:divBdr>
        <w:top w:val="none" w:sz="0" w:space="0" w:color="auto"/>
        <w:left w:val="none" w:sz="0" w:space="0" w:color="auto"/>
        <w:bottom w:val="none" w:sz="0" w:space="0" w:color="auto"/>
        <w:right w:val="none" w:sz="0" w:space="0" w:color="auto"/>
      </w:divBdr>
    </w:div>
    <w:div w:id="1921403974">
      <w:bodyDiv w:val="1"/>
      <w:marLeft w:val="0"/>
      <w:marRight w:val="0"/>
      <w:marTop w:val="0"/>
      <w:marBottom w:val="0"/>
      <w:divBdr>
        <w:top w:val="none" w:sz="0" w:space="0" w:color="auto"/>
        <w:left w:val="none" w:sz="0" w:space="0" w:color="auto"/>
        <w:bottom w:val="none" w:sz="0" w:space="0" w:color="auto"/>
        <w:right w:val="none" w:sz="0" w:space="0" w:color="auto"/>
      </w:divBdr>
    </w:div>
    <w:div w:id="2068986607">
      <w:bodyDiv w:val="1"/>
      <w:marLeft w:val="0"/>
      <w:marRight w:val="0"/>
      <w:marTop w:val="0"/>
      <w:marBottom w:val="0"/>
      <w:divBdr>
        <w:top w:val="none" w:sz="0" w:space="0" w:color="auto"/>
        <w:left w:val="none" w:sz="0" w:space="0" w:color="auto"/>
        <w:bottom w:val="none" w:sz="0" w:space="0" w:color="auto"/>
        <w:right w:val="none" w:sz="0" w:space="0" w:color="auto"/>
      </w:divBdr>
    </w:div>
    <w:div w:id="2129351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www.itu.int/md/R15-TG5.1-C-0287/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itu.int/pub/R-HDB-22-20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itu.int/dms_ties/itu-r/md/15/tg5.1/c/R15-TG5.1-C-0478!N05!MSW-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digital-single-market/en/5g-europe-action-plan" TargetMode="External"/><Relationship Id="rId1" Type="http://schemas.openxmlformats.org/officeDocument/2006/relationships/hyperlink" Target="https://www.itu.int/dms_pubrec/itu-r/rec/m/R-REC-M.2083-0-201509-I!!PDF-E.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478C85EABFF844A0D06D88F3A1A6B4" ma:contentTypeVersion="13" ma:contentTypeDescription="Opret et nyt dokument." ma:contentTypeScope="" ma:versionID="5d5d0c1fde7714b7931655350c170616">
  <xsd:schema xmlns:xsd="http://www.w3.org/2001/XMLSchema" xmlns:xs="http://www.w3.org/2001/XMLSchema" xmlns:p="http://schemas.microsoft.com/office/2006/metadata/properties" xmlns:ns3="6ba27844-833f-4423-84e4-22994afd6f72" xmlns:ns4="684d70c0-33e3-486b-8421-e10352fabac3" targetNamespace="http://schemas.microsoft.com/office/2006/metadata/properties" ma:root="true" ma:fieldsID="e8c169a09e3faa99b9fa3eee6bd30e56" ns3:_="" ns4:_="">
    <xsd:import namespace="6ba27844-833f-4423-84e4-22994afd6f72"/>
    <xsd:import namespace="684d70c0-33e3-486b-8421-e10352faba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27844-833f-4423-84e4-22994afd6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d70c0-33e3-486b-8421-e10352fabac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9B095-70D9-4AF5-9479-09EB972461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5162C3-DCC1-45F2-919B-BAD2FDCB60C0}">
  <ds:schemaRefs>
    <ds:schemaRef ds:uri="http://schemas.microsoft.com/sharepoint/v3/contenttype/forms"/>
  </ds:schemaRefs>
</ds:datastoreItem>
</file>

<file path=customXml/itemProps3.xml><?xml version="1.0" encoding="utf-8"?>
<ds:datastoreItem xmlns:ds="http://schemas.openxmlformats.org/officeDocument/2006/customXml" ds:itemID="{599FA600-6F80-4EE1-B5FF-1AD18E62F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27844-833f-4423-84e4-22994afd6f72"/>
    <ds:schemaRef ds:uri="684d70c0-33e3-486b-8421-e10352fab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70BBC-7325-493F-A023-CF636B386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12839</Words>
  <Characters>67662</Characters>
  <Application>Microsoft Office Word</Application>
  <DocSecurity>0</DocSecurity>
  <Lines>1040</Lines>
  <Paragraphs>476</Paragraphs>
  <ScaleCrop>false</ScaleCrop>
  <HeadingPairs>
    <vt:vector size="6" baseType="variant">
      <vt:variant>
        <vt:lpstr>Title</vt:lpstr>
      </vt:variant>
      <vt:variant>
        <vt:i4>1</vt:i4>
      </vt:variant>
      <vt:variant>
        <vt:lpstr>Titre</vt:lpstr>
      </vt:variant>
      <vt:variant>
        <vt:i4>1</vt:i4>
      </vt:variant>
      <vt:variant>
        <vt:lpstr>Naslov</vt:lpstr>
      </vt:variant>
      <vt:variant>
        <vt:i4>1</vt:i4>
      </vt:variant>
    </vt:vector>
  </HeadingPairs>
  <TitlesOfParts>
    <vt:vector size="3" baseType="lpstr">
      <vt:lpstr>Draft CEPT Report 82</vt:lpstr>
      <vt:lpstr>Draft CEPT Report 82</vt:lpstr>
      <vt:lpstr>Draft CEPT Report 82</vt:lpstr>
    </vt:vector>
  </TitlesOfParts>
  <Company>ANFR</Company>
  <LinksUpToDate>false</LinksUpToDate>
  <CharactersWithSpaces>80025</CharactersWithSpaces>
  <SharedDoc>false</SharedDoc>
  <HLinks>
    <vt:vector size="264" baseType="variant">
      <vt:variant>
        <vt:i4>71</vt:i4>
      </vt:variant>
      <vt:variant>
        <vt:i4>492</vt:i4>
      </vt:variant>
      <vt:variant>
        <vt:i4>0</vt:i4>
      </vt:variant>
      <vt:variant>
        <vt:i4>5</vt:i4>
      </vt:variant>
      <vt:variant>
        <vt:lpwstr>https://docdb.cept.org/document/13859</vt:lpwstr>
      </vt:variant>
      <vt:variant>
        <vt:lpwstr/>
      </vt:variant>
      <vt:variant>
        <vt:i4>4063352</vt:i4>
      </vt:variant>
      <vt:variant>
        <vt:i4>489</vt:i4>
      </vt:variant>
      <vt:variant>
        <vt:i4>0</vt:i4>
      </vt:variant>
      <vt:variant>
        <vt:i4>5</vt:i4>
      </vt:variant>
      <vt:variant>
        <vt:lpwstr>https://docdb.cept.org/document/680</vt:lpwstr>
      </vt:variant>
      <vt:variant>
        <vt:lpwstr/>
      </vt:variant>
      <vt:variant>
        <vt:i4>3342461</vt:i4>
      </vt:variant>
      <vt:variant>
        <vt:i4>486</vt:i4>
      </vt:variant>
      <vt:variant>
        <vt:i4>0</vt:i4>
      </vt:variant>
      <vt:variant>
        <vt:i4>5</vt:i4>
      </vt:variant>
      <vt:variant>
        <vt:lpwstr>https://docdb.cept.org/document/359</vt:lpwstr>
      </vt:variant>
      <vt:variant>
        <vt:lpwstr/>
      </vt:variant>
      <vt:variant>
        <vt:i4>4063356</vt:i4>
      </vt:variant>
      <vt:variant>
        <vt:i4>483</vt:i4>
      </vt:variant>
      <vt:variant>
        <vt:i4>0</vt:i4>
      </vt:variant>
      <vt:variant>
        <vt:i4>5</vt:i4>
      </vt:variant>
      <vt:variant>
        <vt:lpwstr>https://docdb.cept.org/document/281</vt:lpwstr>
      </vt:variant>
      <vt:variant>
        <vt:lpwstr/>
      </vt:variant>
      <vt:variant>
        <vt:i4>262219</vt:i4>
      </vt:variant>
      <vt:variant>
        <vt:i4>480</vt:i4>
      </vt:variant>
      <vt:variant>
        <vt:i4>0</vt:i4>
      </vt:variant>
      <vt:variant>
        <vt:i4>5</vt:i4>
      </vt:variant>
      <vt:variant>
        <vt:lpwstr>https://docdb.cept.org/document/3361</vt:lpwstr>
      </vt:variant>
      <vt:variant>
        <vt:lpwstr/>
      </vt:variant>
      <vt:variant>
        <vt:i4>852040</vt:i4>
      </vt:variant>
      <vt:variant>
        <vt:i4>477</vt:i4>
      </vt:variant>
      <vt:variant>
        <vt:i4>0</vt:i4>
      </vt:variant>
      <vt:variant>
        <vt:i4>5</vt:i4>
      </vt:variant>
      <vt:variant>
        <vt:lpwstr>https://docdb.cept.org/document/3358</vt:lpwstr>
      </vt:variant>
      <vt:variant>
        <vt:lpwstr/>
      </vt:variant>
      <vt:variant>
        <vt:i4>6029316</vt:i4>
      </vt:variant>
      <vt:variant>
        <vt:i4>474</vt:i4>
      </vt:variant>
      <vt:variant>
        <vt:i4>0</vt:i4>
      </vt:variant>
      <vt:variant>
        <vt:i4>5</vt:i4>
      </vt:variant>
      <vt:variant>
        <vt:lpwstr>https://www.itu.int/pub/R-HDB-22-2013</vt:lpwstr>
      </vt:variant>
      <vt:variant>
        <vt:lpwstr/>
      </vt:variant>
      <vt:variant>
        <vt:i4>7667799</vt:i4>
      </vt:variant>
      <vt:variant>
        <vt:i4>471</vt:i4>
      </vt:variant>
      <vt:variant>
        <vt:i4>0</vt:i4>
      </vt:variant>
      <vt:variant>
        <vt:i4>5</vt:i4>
      </vt:variant>
      <vt:variant>
        <vt:lpwstr>https://www.itu.int/dms_ties/itu-r/md/15/tg5.1/c/R15-TG5.1-C-0478!N05!MSW-E.docx</vt:lpwstr>
      </vt:variant>
      <vt:variant>
        <vt:lpwstr/>
      </vt:variant>
      <vt:variant>
        <vt:i4>2752566</vt:i4>
      </vt:variant>
      <vt:variant>
        <vt:i4>468</vt:i4>
      </vt:variant>
      <vt:variant>
        <vt:i4>0</vt:i4>
      </vt:variant>
      <vt:variant>
        <vt:i4>5</vt:i4>
      </vt:variant>
      <vt:variant>
        <vt:lpwstr>https://www.itu.int/md/R15-TG5.1-C-0287/en</vt:lpwstr>
      </vt:variant>
      <vt:variant>
        <vt:lpwstr/>
      </vt:variant>
      <vt:variant>
        <vt:i4>4128891</vt:i4>
      </vt:variant>
      <vt:variant>
        <vt:i4>465</vt:i4>
      </vt:variant>
      <vt:variant>
        <vt:i4>0</vt:i4>
      </vt:variant>
      <vt:variant>
        <vt:i4>5</vt:i4>
      </vt:variant>
      <vt:variant>
        <vt:lpwstr>https://docdb.cept.org/document/593</vt:lpwstr>
      </vt:variant>
      <vt:variant>
        <vt:lpwstr/>
      </vt:variant>
      <vt:variant>
        <vt:i4>1900598</vt:i4>
      </vt:variant>
      <vt:variant>
        <vt:i4>233</vt:i4>
      </vt:variant>
      <vt:variant>
        <vt:i4>0</vt:i4>
      </vt:variant>
      <vt:variant>
        <vt:i4>5</vt:i4>
      </vt:variant>
      <vt:variant>
        <vt:lpwstr/>
      </vt:variant>
      <vt:variant>
        <vt:lpwstr>_Toc107559564</vt:lpwstr>
      </vt:variant>
      <vt:variant>
        <vt:i4>1900598</vt:i4>
      </vt:variant>
      <vt:variant>
        <vt:i4>227</vt:i4>
      </vt:variant>
      <vt:variant>
        <vt:i4>0</vt:i4>
      </vt:variant>
      <vt:variant>
        <vt:i4>5</vt:i4>
      </vt:variant>
      <vt:variant>
        <vt:lpwstr/>
      </vt:variant>
      <vt:variant>
        <vt:lpwstr>_Toc107559563</vt:lpwstr>
      </vt:variant>
      <vt:variant>
        <vt:i4>1900598</vt:i4>
      </vt:variant>
      <vt:variant>
        <vt:i4>221</vt:i4>
      </vt:variant>
      <vt:variant>
        <vt:i4>0</vt:i4>
      </vt:variant>
      <vt:variant>
        <vt:i4>5</vt:i4>
      </vt:variant>
      <vt:variant>
        <vt:lpwstr/>
      </vt:variant>
      <vt:variant>
        <vt:lpwstr>_Toc107559562</vt:lpwstr>
      </vt:variant>
      <vt:variant>
        <vt:i4>1900598</vt:i4>
      </vt:variant>
      <vt:variant>
        <vt:i4>215</vt:i4>
      </vt:variant>
      <vt:variant>
        <vt:i4>0</vt:i4>
      </vt:variant>
      <vt:variant>
        <vt:i4>5</vt:i4>
      </vt:variant>
      <vt:variant>
        <vt:lpwstr/>
      </vt:variant>
      <vt:variant>
        <vt:lpwstr>_Toc107559561</vt:lpwstr>
      </vt:variant>
      <vt:variant>
        <vt:i4>1900598</vt:i4>
      </vt:variant>
      <vt:variant>
        <vt:i4>209</vt:i4>
      </vt:variant>
      <vt:variant>
        <vt:i4>0</vt:i4>
      </vt:variant>
      <vt:variant>
        <vt:i4>5</vt:i4>
      </vt:variant>
      <vt:variant>
        <vt:lpwstr/>
      </vt:variant>
      <vt:variant>
        <vt:lpwstr>_Toc107559560</vt:lpwstr>
      </vt:variant>
      <vt:variant>
        <vt:i4>1966134</vt:i4>
      </vt:variant>
      <vt:variant>
        <vt:i4>203</vt:i4>
      </vt:variant>
      <vt:variant>
        <vt:i4>0</vt:i4>
      </vt:variant>
      <vt:variant>
        <vt:i4>5</vt:i4>
      </vt:variant>
      <vt:variant>
        <vt:lpwstr/>
      </vt:variant>
      <vt:variant>
        <vt:lpwstr>_Toc107559558</vt:lpwstr>
      </vt:variant>
      <vt:variant>
        <vt:i4>1966134</vt:i4>
      </vt:variant>
      <vt:variant>
        <vt:i4>197</vt:i4>
      </vt:variant>
      <vt:variant>
        <vt:i4>0</vt:i4>
      </vt:variant>
      <vt:variant>
        <vt:i4>5</vt:i4>
      </vt:variant>
      <vt:variant>
        <vt:lpwstr/>
      </vt:variant>
      <vt:variant>
        <vt:lpwstr>_Toc107559557</vt:lpwstr>
      </vt:variant>
      <vt:variant>
        <vt:i4>1966134</vt:i4>
      </vt:variant>
      <vt:variant>
        <vt:i4>191</vt:i4>
      </vt:variant>
      <vt:variant>
        <vt:i4>0</vt:i4>
      </vt:variant>
      <vt:variant>
        <vt:i4>5</vt:i4>
      </vt:variant>
      <vt:variant>
        <vt:lpwstr/>
      </vt:variant>
      <vt:variant>
        <vt:lpwstr>_Toc107559556</vt:lpwstr>
      </vt:variant>
      <vt:variant>
        <vt:i4>1966134</vt:i4>
      </vt:variant>
      <vt:variant>
        <vt:i4>185</vt:i4>
      </vt:variant>
      <vt:variant>
        <vt:i4>0</vt:i4>
      </vt:variant>
      <vt:variant>
        <vt:i4>5</vt:i4>
      </vt:variant>
      <vt:variant>
        <vt:lpwstr/>
      </vt:variant>
      <vt:variant>
        <vt:lpwstr>_Toc107559555</vt:lpwstr>
      </vt:variant>
      <vt:variant>
        <vt:i4>1966134</vt:i4>
      </vt:variant>
      <vt:variant>
        <vt:i4>179</vt:i4>
      </vt:variant>
      <vt:variant>
        <vt:i4>0</vt:i4>
      </vt:variant>
      <vt:variant>
        <vt:i4>5</vt:i4>
      </vt:variant>
      <vt:variant>
        <vt:lpwstr/>
      </vt:variant>
      <vt:variant>
        <vt:lpwstr>_Toc107559554</vt:lpwstr>
      </vt:variant>
      <vt:variant>
        <vt:i4>1966134</vt:i4>
      </vt:variant>
      <vt:variant>
        <vt:i4>173</vt:i4>
      </vt:variant>
      <vt:variant>
        <vt:i4>0</vt:i4>
      </vt:variant>
      <vt:variant>
        <vt:i4>5</vt:i4>
      </vt:variant>
      <vt:variant>
        <vt:lpwstr/>
      </vt:variant>
      <vt:variant>
        <vt:lpwstr>_Toc107559553</vt:lpwstr>
      </vt:variant>
      <vt:variant>
        <vt:i4>1966134</vt:i4>
      </vt:variant>
      <vt:variant>
        <vt:i4>167</vt:i4>
      </vt:variant>
      <vt:variant>
        <vt:i4>0</vt:i4>
      </vt:variant>
      <vt:variant>
        <vt:i4>5</vt:i4>
      </vt:variant>
      <vt:variant>
        <vt:lpwstr/>
      </vt:variant>
      <vt:variant>
        <vt:lpwstr>_Toc107559552</vt:lpwstr>
      </vt:variant>
      <vt:variant>
        <vt:i4>1966134</vt:i4>
      </vt:variant>
      <vt:variant>
        <vt:i4>161</vt:i4>
      </vt:variant>
      <vt:variant>
        <vt:i4>0</vt:i4>
      </vt:variant>
      <vt:variant>
        <vt:i4>5</vt:i4>
      </vt:variant>
      <vt:variant>
        <vt:lpwstr/>
      </vt:variant>
      <vt:variant>
        <vt:lpwstr>_Toc107559551</vt:lpwstr>
      </vt:variant>
      <vt:variant>
        <vt:i4>1966134</vt:i4>
      </vt:variant>
      <vt:variant>
        <vt:i4>155</vt:i4>
      </vt:variant>
      <vt:variant>
        <vt:i4>0</vt:i4>
      </vt:variant>
      <vt:variant>
        <vt:i4>5</vt:i4>
      </vt:variant>
      <vt:variant>
        <vt:lpwstr/>
      </vt:variant>
      <vt:variant>
        <vt:lpwstr>_Toc107559550</vt:lpwstr>
      </vt:variant>
      <vt:variant>
        <vt:i4>2031670</vt:i4>
      </vt:variant>
      <vt:variant>
        <vt:i4>149</vt:i4>
      </vt:variant>
      <vt:variant>
        <vt:i4>0</vt:i4>
      </vt:variant>
      <vt:variant>
        <vt:i4>5</vt:i4>
      </vt:variant>
      <vt:variant>
        <vt:lpwstr/>
      </vt:variant>
      <vt:variant>
        <vt:lpwstr>_Toc107559549</vt:lpwstr>
      </vt:variant>
      <vt:variant>
        <vt:i4>2031670</vt:i4>
      </vt:variant>
      <vt:variant>
        <vt:i4>143</vt:i4>
      </vt:variant>
      <vt:variant>
        <vt:i4>0</vt:i4>
      </vt:variant>
      <vt:variant>
        <vt:i4>5</vt:i4>
      </vt:variant>
      <vt:variant>
        <vt:lpwstr/>
      </vt:variant>
      <vt:variant>
        <vt:lpwstr>_Toc107559548</vt:lpwstr>
      </vt:variant>
      <vt:variant>
        <vt:i4>2031670</vt:i4>
      </vt:variant>
      <vt:variant>
        <vt:i4>137</vt:i4>
      </vt:variant>
      <vt:variant>
        <vt:i4>0</vt:i4>
      </vt:variant>
      <vt:variant>
        <vt:i4>5</vt:i4>
      </vt:variant>
      <vt:variant>
        <vt:lpwstr/>
      </vt:variant>
      <vt:variant>
        <vt:lpwstr>_Toc107559547</vt:lpwstr>
      </vt:variant>
      <vt:variant>
        <vt:i4>2031670</vt:i4>
      </vt:variant>
      <vt:variant>
        <vt:i4>131</vt:i4>
      </vt:variant>
      <vt:variant>
        <vt:i4>0</vt:i4>
      </vt:variant>
      <vt:variant>
        <vt:i4>5</vt:i4>
      </vt:variant>
      <vt:variant>
        <vt:lpwstr/>
      </vt:variant>
      <vt:variant>
        <vt:lpwstr>_Toc107559546</vt:lpwstr>
      </vt:variant>
      <vt:variant>
        <vt:i4>2031670</vt:i4>
      </vt:variant>
      <vt:variant>
        <vt:i4>125</vt:i4>
      </vt:variant>
      <vt:variant>
        <vt:i4>0</vt:i4>
      </vt:variant>
      <vt:variant>
        <vt:i4>5</vt:i4>
      </vt:variant>
      <vt:variant>
        <vt:lpwstr/>
      </vt:variant>
      <vt:variant>
        <vt:lpwstr>_Toc107559545</vt:lpwstr>
      </vt:variant>
      <vt:variant>
        <vt:i4>2031670</vt:i4>
      </vt:variant>
      <vt:variant>
        <vt:i4>119</vt:i4>
      </vt:variant>
      <vt:variant>
        <vt:i4>0</vt:i4>
      </vt:variant>
      <vt:variant>
        <vt:i4>5</vt:i4>
      </vt:variant>
      <vt:variant>
        <vt:lpwstr/>
      </vt:variant>
      <vt:variant>
        <vt:lpwstr>_Toc107559544</vt:lpwstr>
      </vt:variant>
      <vt:variant>
        <vt:i4>2031670</vt:i4>
      </vt:variant>
      <vt:variant>
        <vt:i4>113</vt:i4>
      </vt:variant>
      <vt:variant>
        <vt:i4>0</vt:i4>
      </vt:variant>
      <vt:variant>
        <vt:i4>5</vt:i4>
      </vt:variant>
      <vt:variant>
        <vt:lpwstr/>
      </vt:variant>
      <vt:variant>
        <vt:lpwstr>_Toc107559543</vt:lpwstr>
      </vt:variant>
      <vt:variant>
        <vt:i4>2031670</vt:i4>
      </vt:variant>
      <vt:variant>
        <vt:i4>107</vt:i4>
      </vt:variant>
      <vt:variant>
        <vt:i4>0</vt:i4>
      </vt:variant>
      <vt:variant>
        <vt:i4>5</vt:i4>
      </vt:variant>
      <vt:variant>
        <vt:lpwstr/>
      </vt:variant>
      <vt:variant>
        <vt:lpwstr>_Toc107559542</vt:lpwstr>
      </vt:variant>
      <vt:variant>
        <vt:i4>2031670</vt:i4>
      </vt:variant>
      <vt:variant>
        <vt:i4>101</vt:i4>
      </vt:variant>
      <vt:variant>
        <vt:i4>0</vt:i4>
      </vt:variant>
      <vt:variant>
        <vt:i4>5</vt:i4>
      </vt:variant>
      <vt:variant>
        <vt:lpwstr/>
      </vt:variant>
      <vt:variant>
        <vt:lpwstr>_Toc107559541</vt:lpwstr>
      </vt:variant>
      <vt:variant>
        <vt:i4>2031670</vt:i4>
      </vt:variant>
      <vt:variant>
        <vt:i4>95</vt:i4>
      </vt:variant>
      <vt:variant>
        <vt:i4>0</vt:i4>
      </vt:variant>
      <vt:variant>
        <vt:i4>5</vt:i4>
      </vt:variant>
      <vt:variant>
        <vt:lpwstr/>
      </vt:variant>
      <vt:variant>
        <vt:lpwstr>_Toc107559540</vt:lpwstr>
      </vt:variant>
      <vt:variant>
        <vt:i4>1572918</vt:i4>
      </vt:variant>
      <vt:variant>
        <vt:i4>89</vt:i4>
      </vt:variant>
      <vt:variant>
        <vt:i4>0</vt:i4>
      </vt:variant>
      <vt:variant>
        <vt:i4>5</vt:i4>
      </vt:variant>
      <vt:variant>
        <vt:lpwstr/>
      </vt:variant>
      <vt:variant>
        <vt:lpwstr>_Toc107559539</vt:lpwstr>
      </vt:variant>
      <vt:variant>
        <vt:i4>1572918</vt:i4>
      </vt:variant>
      <vt:variant>
        <vt:i4>83</vt:i4>
      </vt:variant>
      <vt:variant>
        <vt:i4>0</vt:i4>
      </vt:variant>
      <vt:variant>
        <vt:i4>5</vt:i4>
      </vt:variant>
      <vt:variant>
        <vt:lpwstr/>
      </vt:variant>
      <vt:variant>
        <vt:lpwstr>_Toc107559538</vt:lpwstr>
      </vt:variant>
      <vt:variant>
        <vt:i4>1572918</vt:i4>
      </vt:variant>
      <vt:variant>
        <vt:i4>77</vt:i4>
      </vt:variant>
      <vt:variant>
        <vt:i4>0</vt:i4>
      </vt:variant>
      <vt:variant>
        <vt:i4>5</vt:i4>
      </vt:variant>
      <vt:variant>
        <vt:lpwstr/>
      </vt:variant>
      <vt:variant>
        <vt:lpwstr>_Toc107559537</vt:lpwstr>
      </vt:variant>
      <vt:variant>
        <vt:i4>1572918</vt:i4>
      </vt:variant>
      <vt:variant>
        <vt:i4>71</vt:i4>
      </vt:variant>
      <vt:variant>
        <vt:i4>0</vt:i4>
      </vt:variant>
      <vt:variant>
        <vt:i4>5</vt:i4>
      </vt:variant>
      <vt:variant>
        <vt:lpwstr/>
      </vt:variant>
      <vt:variant>
        <vt:lpwstr>_Toc107559536</vt:lpwstr>
      </vt:variant>
      <vt:variant>
        <vt:i4>1572918</vt:i4>
      </vt:variant>
      <vt:variant>
        <vt:i4>65</vt:i4>
      </vt:variant>
      <vt:variant>
        <vt:i4>0</vt:i4>
      </vt:variant>
      <vt:variant>
        <vt:i4>5</vt:i4>
      </vt:variant>
      <vt:variant>
        <vt:lpwstr/>
      </vt:variant>
      <vt:variant>
        <vt:lpwstr>_Toc107559535</vt:lpwstr>
      </vt:variant>
      <vt:variant>
        <vt:i4>1572918</vt:i4>
      </vt:variant>
      <vt:variant>
        <vt:i4>59</vt:i4>
      </vt:variant>
      <vt:variant>
        <vt:i4>0</vt:i4>
      </vt:variant>
      <vt:variant>
        <vt:i4>5</vt:i4>
      </vt:variant>
      <vt:variant>
        <vt:lpwstr/>
      </vt:variant>
      <vt:variant>
        <vt:lpwstr>_Toc107559534</vt:lpwstr>
      </vt:variant>
      <vt:variant>
        <vt:i4>1572918</vt:i4>
      </vt:variant>
      <vt:variant>
        <vt:i4>53</vt:i4>
      </vt:variant>
      <vt:variant>
        <vt:i4>0</vt:i4>
      </vt:variant>
      <vt:variant>
        <vt:i4>5</vt:i4>
      </vt:variant>
      <vt:variant>
        <vt:lpwstr/>
      </vt:variant>
      <vt:variant>
        <vt:lpwstr>_Toc107559533</vt:lpwstr>
      </vt:variant>
      <vt:variant>
        <vt:i4>6619258</vt:i4>
      </vt:variant>
      <vt:variant>
        <vt:i4>6</vt:i4>
      </vt:variant>
      <vt:variant>
        <vt:i4>0</vt:i4>
      </vt:variant>
      <vt:variant>
        <vt:i4>5</vt:i4>
      </vt:variant>
      <vt:variant>
        <vt:lpwstr>https://ec.europa.eu/digital-single-market/en/5g-europe-action-plan</vt:lpwstr>
      </vt:variant>
      <vt:variant>
        <vt:lpwstr/>
      </vt:variant>
      <vt:variant>
        <vt:i4>6553689</vt:i4>
      </vt:variant>
      <vt:variant>
        <vt:i4>3</vt:i4>
      </vt:variant>
      <vt:variant>
        <vt:i4>0</vt:i4>
      </vt:variant>
      <vt:variant>
        <vt:i4>5</vt:i4>
      </vt:variant>
      <vt:variant>
        <vt:lpwstr>https://www.itu.int/dms_pubrec/itu-r/rec/m/R-REC-M.2083-0-201509-I!!PDF-E.pdf</vt:lpwstr>
      </vt:variant>
      <vt:variant>
        <vt:lpwstr/>
      </vt:variant>
      <vt:variant>
        <vt:i4>65588</vt:i4>
      </vt:variant>
      <vt:variant>
        <vt:i4>0</vt:i4>
      </vt:variant>
      <vt:variant>
        <vt:i4>0</vt:i4>
      </vt:variant>
      <vt:variant>
        <vt:i4>5</vt:i4>
      </vt:variant>
      <vt:variant>
        <vt:lpwstr>mailto:anne-dorthe.hjelm.christensen@eco.cept.org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CEPT Report 82</dc:title>
  <dc:subject/>
  <dc:creator>ECC</dc:creator>
  <cp:keywords>CEPT Report 82</cp:keywords>
  <dc:description/>
  <cp:lastModifiedBy>ECO </cp:lastModifiedBy>
  <cp:revision>8</cp:revision>
  <dcterms:created xsi:type="dcterms:W3CDTF">2022-11-24T10:00:00Z</dcterms:created>
  <dcterms:modified xsi:type="dcterms:W3CDTF">2022-11-24T10:57:00Z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ANFR</vt:lpwstr>
  </property>
  <property fmtid="{D5CDD505-2E9C-101B-9397-08002B2CF9AE}" pid="4" name="ContentTypeId">
    <vt:lpwstr>0x01010044478C85EABFF844A0D06D88F3A1A6B4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5a50d26f-5c2c-4137-8396-1b24eb24286c_ActionId">
    <vt:lpwstr>52a31715-900c-441f-a93a-cc574fa752e2</vt:lpwstr>
  </property>
  <property fmtid="{D5CDD505-2E9C-101B-9397-08002B2CF9AE}" pid="9" name="MSIP_Label_5a50d26f-5c2c-4137-8396-1b24eb24286c_ContentBits">
    <vt:lpwstr>0</vt:lpwstr>
  </property>
  <property fmtid="{D5CDD505-2E9C-101B-9397-08002B2CF9AE}" pid="10" name="MSIP_Label_5a50d26f-5c2c-4137-8396-1b24eb24286c_Enabled">
    <vt:lpwstr>true</vt:lpwstr>
  </property>
  <property fmtid="{D5CDD505-2E9C-101B-9397-08002B2CF9AE}" pid="11" name="MSIP_Label_5a50d26f-5c2c-4137-8396-1b24eb24286c_Method">
    <vt:lpwstr>Privileged</vt:lpwstr>
  </property>
  <property fmtid="{D5CDD505-2E9C-101B-9397-08002B2CF9AE}" pid="12" name="MSIP_Label_5a50d26f-5c2c-4137-8396-1b24eb24286c_Name">
    <vt:lpwstr>5a50d26f-5c2c-4137-8396-1b24eb24286c</vt:lpwstr>
  </property>
  <property fmtid="{D5CDD505-2E9C-101B-9397-08002B2CF9AE}" pid="13" name="MSIP_Label_5a50d26f-5c2c-4137-8396-1b24eb24286c_SetDate">
    <vt:lpwstr>2021-08-19T10:08:32Z</vt:lpwstr>
  </property>
  <property fmtid="{D5CDD505-2E9C-101B-9397-08002B2CF9AE}" pid="14" name="MSIP_Label_5a50d26f-5c2c-4137-8396-1b24eb24286c_SiteId">
    <vt:lpwstr>0af648de-310c-4068-8ae4-f9418bae24cc</vt:lpwstr>
  </property>
  <property fmtid="{D5CDD505-2E9C-101B-9397-08002B2CF9AE}" pid="15" name="ScaleCrop">
    <vt:bool>false</vt:bool>
  </property>
  <property fmtid="{D5CDD505-2E9C-101B-9397-08002B2CF9AE}" pid="16" name="ShareDoc">
    <vt:bool>false</vt:bool>
  </property>
</Properties>
</file>