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9A2C" w14:textId="37299817" w:rsidR="006B0375" w:rsidRPr="00B166C7" w:rsidRDefault="006B0375" w:rsidP="006B0375">
      <w:pPr>
        <w:pStyle w:val="coverpageReporttitledescription"/>
        <w:rPr>
          <w:lang w:val="en-GB"/>
        </w:rPr>
      </w:pPr>
      <w:r>
        <w:rPr>
          <w:rFonts w:eastAsia="Calibri"/>
        </w:rPr>
        <w:fldChar w:fldCharType="begin">
          <w:ffData>
            <w:name w:val=""/>
            <w:enabled/>
            <w:calcOnExit w:val="0"/>
            <w:textInput>
              <w:default w:val="Usage of aerial UE in 1.8 GHz, 2 GHz and 2.6 GHz frequency bands with MFCN AAS base stations"/>
            </w:textInput>
          </w:ffData>
        </w:fldChar>
      </w:r>
      <w:r w:rsidRPr="00B166C7">
        <w:rPr>
          <w:rFonts w:eastAsia="Calibri"/>
          <w:lang w:val="en-GB"/>
        </w:rPr>
        <w:instrText xml:space="preserve"> FORMTEXT </w:instrText>
      </w:r>
      <w:r>
        <w:rPr>
          <w:rFonts w:eastAsia="Calibri"/>
        </w:rPr>
      </w:r>
      <w:r>
        <w:rPr>
          <w:rFonts w:eastAsia="Calibri"/>
        </w:rPr>
        <w:fldChar w:fldCharType="separate"/>
      </w:r>
      <w:r w:rsidRPr="00B166C7">
        <w:rPr>
          <w:rFonts w:eastAsia="Calibri"/>
          <w:noProof/>
          <w:lang w:val="en-GB"/>
        </w:rPr>
        <w:t>Usage of aerial UE in 1.8 GHz, 2 GHz and 2.6 GHz frequency bands with MFCN AAS base stations</w:t>
      </w:r>
      <w:r>
        <w:rPr>
          <w:rFonts w:eastAsia="Calibri"/>
        </w:rPr>
        <w:fldChar w:fldCharType="end"/>
      </w:r>
    </w:p>
    <w:p w14:paraId="56DF36D9" w14:textId="2BCC8E7F" w:rsidR="00930439" w:rsidRPr="00BC03FD" w:rsidRDefault="0027787F" w:rsidP="00941D3A">
      <w:pPr>
        <w:pStyle w:val="coverpageapprovedDDMMYY"/>
        <w:rPr>
          <w:lang w:val="en-GB"/>
        </w:rPr>
      </w:pPr>
      <w:r w:rsidRPr="00BC03FD">
        <w:rPr>
          <w:b w:val="0"/>
          <w:noProof/>
          <w:lang w:val="de-DE" w:eastAsia="de-DE"/>
        </w:rPr>
        <mc:AlternateContent>
          <mc:Choice Requires="wpg">
            <w:drawing>
              <wp:anchor distT="0" distB="0" distL="114300" distR="114300" simplePos="0" relativeHeight="251666432" behindDoc="0" locked="1" layoutInCell="1" allowOverlap="1" wp14:anchorId="023652D5" wp14:editId="79145944">
                <wp:simplePos x="0" y="0"/>
                <wp:positionH relativeFrom="page">
                  <wp:posOffset>0</wp:posOffset>
                </wp:positionH>
                <wp:positionV relativeFrom="page">
                  <wp:posOffset>1440180</wp:posOffset>
                </wp:positionV>
                <wp:extent cx="7560000" cy="1627200"/>
                <wp:effectExtent l="0" t="0" r="3175" b="0"/>
                <wp:wrapTopAndBottom/>
                <wp:docPr id="3"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5"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DDE21" w14:textId="71FBFDDB" w:rsidR="00100D91" w:rsidRPr="00F7440E" w:rsidRDefault="00100D91" w:rsidP="00264464">
                              <w:pPr>
                                <w:pStyle w:val="coverpageECCReport"/>
                                <w:shd w:val="clear" w:color="auto" w:fill="auto"/>
                              </w:pPr>
                              <w:r w:rsidRPr="00264464">
                                <w:t xml:space="preserve">ECC Report </w:t>
                              </w:r>
                              <w:r w:rsidR="006B0375">
                                <w:rPr>
                                  <w:rStyle w:val="IntenseReference"/>
                                </w:rPr>
                                <w:t>348</w:t>
                              </w:r>
                            </w:p>
                          </w:txbxContent>
                        </wps:txbx>
                        <wps:bodyPr rot="0" vert="horz" wrap="square" lIns="2880000" tIns="540000" rIns="91440" bIns="45720" anchor="t" anchorCtr="0" upright="1">
                          <a:noAutofit/>
                        </wps:bodyPr>
                      </wps:wsp>
                      <wpg:grpSp>
                        <wpg:cNvPr id="16" name="Group 18"/>
                        <wpg:cNvGrpSpPr>
                          <a:grpSpLocks/>
                        </wpg:cNvGrpSpPr>
                        <wpg:grpSpPr bwMode="auto">
                          <a:xfrm>
                            <a:off x="828136" y="34505"/>
                            <a:ext cx="1703705" cy="1564640"/>
                            <a:chOff x="431" y="2744"/>
                            <a:chExt cx="2683" cy="2464"/>
                          </a:xfrm>
                        </wpg:grpSpPr>
                        <wps:wsp>
                          <wps:cNvPr id="20"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1"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2"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3"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4"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023652D5" id="Gruppieren 15" o:spid="_x0000_s1026" style="position:absolute;left:0;text-align:left;margin-left:0;margin-top:113.4pt;width:595.3pt;height:128.15pt;z-index:251666432;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" fillcolor="#887e6e" stroked="f">
                  <v:textbox inset="80mm,15mm">
                    <w:txbxContent>
                      <w:p w14:paraId="3FADDE21" w14:textId="71FBFDDB" w:rsidR="00100D91" w:rsidRPr="00F7440E" w:rsidRDefault="00100D91" w:rsidP="00264464">
                        <w:pPr>
                          <w:pStyle w:val="coverpageECCReport"/>
                          <w:shd w:val="clear" w:color="auto" w:fill="auto"/>
                        </w:pPr>
                        <w:r w:rsidRPr="00264464">
                          <w:t xml:space="preserve">ECC Report </w:t>
                        </w:r>
                        <w:r w:rsidR="006B0375">
                          <w:rPr>
                            <w:rStyle w:val="IntenseReference"/>
                          </w:rPr>
                          <w:t>348</w:t>
                        </w:r>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" strokecolor="#887e6e" strokeweight="15.5pt"/>
                </v:group>
                <w10:wrap type="topAndBottom" anchorx="page" anchory="page"/>
                <w10:anchorlock/>
              </v:group>
            </w:pict>
          </mc:Fallback>
        </mc:AlternateContent>
      </w:r>
      <w:r w:rsidR="00BF6CBE">
        <w:rPr>
          <w:b w:val="0"/>
        </w:rPr>
        <w:fldChar w:fldCharType="begin">
          <w:ffData>
            <w:name w:val="Text8"/>
            <w:enabled/>
            <w:calcOnExit w:val="0"/>
            <w:textInput>
              <w:default w:val="approved 18 November 2022 "/>
            </w:textInput>
          </w:ffData>
        </w:fldChar>
      </w:r>
      <w:r w:rsidR="00BF6CBE">
        <w:rPr>
          <w:b w:val="0"/>
        </w:rPr>
        <w:instrText xml:space="preserve"> </w:instrText>
      </w:r>
      <w:bookmarkStart w:id="0" w:name="Text8"/>
      <w:r w:rsidR="00BF6CBE">
        <w:rPr>
          <w:b w:val="0"/>
        </w:rPr>
        <w:instrText xml:space="preserve">FORMTEXT </w:instrText>
      </w:r>
      <w:r w:rsidR="00BF6CBE">
        <w:rPr>
          <w:b w:val="0"/>
        </w:rPr>
      </w:r>
      <w:r w:rsidR="00BF6CBE">
        <w:rPr>
          <w:b w:val="0"/>
        </w:rPr>
        <w:fldChar w:fldCharType="separate"/>
      </w:r>
      <w:r w:rsidR="00BF6CBE">
        <w:rPr>
          <w:b w:val="0"/>
          <w:noProof/>
        </w:rPr>
        <w:t xml:space="preserve">approved 18 November 2022 </w:t>
      </w:r>
      <w:r w:rsidR="00BF6CBE">
        <w:rPr>
          <w:b w:val="0"/>
        </w:rPr>
        <w:fldChar w:fldCharType="end"/>
      </w:r>
      <w:bookmarkEnd w:id="0"/>
    </w:p>
    <w:p w14:paraId="4C4806B6" w14:textId="07B294F1" w:rsidR="00930439" w:rsidRPr="00BC03FD" w:rsidRDefault="00930439" w:rsidP="00673A9B">
      <w:pPr>
        <w:pStyle w:val="coverpagelastupdatedDDMMYY"/>
        <w:rPr>
          <w:lang w:val="en-GB"/>
        </w:rPr>
      </w:pPr>
      <w:r w:rsidRPr="00BC03FD">
        <w:rPr>
          <w:bCs w:val="0"/>
          <w:noProof/>
          <w:lang w:val="de-DE" w:eastAsia="de-DE"/>
        </w:rPr>
        <mc:AlternateContent>
          <mc:Choice Requires="wps">
            <w:drawing>
              <wp:anchor distT="0" distB="0" distL="114300" distR="114300" simplePos="0" relativeHeight="251665408" behindDoc="0" locked="1" layoutInCell="1" allowOverlap="1" wp14:anchorId="1CB18623" wp14:editId="61739DA4">
                <wp:simplePos x="0" y="0"/>
                <wp:positionH relativeFrom="page">
                  <wp:posOffset>-1270</wp:posOffset>
                </wp:positionH>
                <wp:positionV relativeFrom="page">
                  <wp:posOffset>9803765</wp:posOffset>
                </wp:positionV>
                <wp:extent cx="7559675" cy="179705"/>
                <wp:effectExtent l="0" t="0" r="3175" b="0"/>
                <wp:wrapNone/>
                <wp:docPr id="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1A973" id="Rectangle 8" o:spid="_x0000_s1026" style="position:absolute;margin-left:-.1pt;margin-top:771.95pt;width:595.25pt;height:1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" fillcolor="#887e6e" stroked="f">
                <v:textbox inset=",15mm"/>
                <w10:wrap anchorx="page" anchory="page"/>
                <w10:anchorlock/>
              </v:rect>
            </w:pict>
          </mc:Fallback>
        </mc:AlternateContent>
      </w:r>
      <w:r w:rsidR="006B0375">
        <w:rPr>
          <w:bCs w:val="0"/>
        </w:rPr>
        <w:fldChar w:fldCharType="begin">
          <w:ffData>
            <w:name w:val="Text3"/>
            <w:enabled/>
            <w:calcOnExit w:val="0"/>
            <w:textInput/>
          </w:ffData>
        </w:fldChar>
      </w:r>
      <w:r w:rsidR="006B0375">
        <w:rPr>
          <w:bCs w:val="0"/>
        </w:rPr>
        <w:instrText xml:space="preserve"> </w:instrText>
      </w:r>
      <w:bookmarkStart w:id="1" w:name="Text3"/>
      <w:r w:rsidR="006B0375">
        <w:rPr>
          <w:bCs w:val="0"/>
        </w:rPr>
        <w:instrText xml:space="preserve">FORMTEXT </w:instrText>
      </w:r>
      <w:r w:rsidR="006B0375">
        <w:rPr>
          <w:bCs w:val="0"/>
        </w:rPr>
      </w:r>
      <w:r w:rsidR="006B0375">
        <w:rPr>
          <w:bCs w:val="0"/>
        </w:rPr>
        <w:fldChar w:fldCharType="separate"/>
      </w:r>
      <w:r w:rsidR="006B0375">
        <w:rPr>
          <w:bCs w:val="0"/>
          <w:noProof/>
        </w:rPr>
        <w:t> </w:t>
      </w:r>
      <w:r w:rsidR="006B0375">
        <w:rPr>
          <w:bCs w:val="0"/>
          <w:noProof/>
        </w:rPr>
        <w:t> </w:t>
      </w:r>
      <w:r w:rsidR="006B0375">
        <w:rPr>
          <w:bCs w:val="0"/>
          <w:noProof/>
        </w:rPr>
        <w:t> </w:t>
      </w:r>
      <w:r w:rsidR="006B0375">
        <w:rPr>
          <w:bCs w:val="0"/>
          <w:noProof/>
        </w:rPr>
        <w:t> </w:t>
      </w:r>
      <w:r w:rsidR="006B0375">
        <w:rPr>
          <w:bCs w:val="0"/>
          <w:noProof/>
        </w:rPr>
        <w:t> </w:t>
      </w:r>
      <w:r w:rsidR="006B0375">
        <w:rPr>
          <w:bCs w:val="0"/>
        </w:rPr>
        <w:fldChar w:fldCharType="end"/>
      </w:r>
      <w:bookmarkEnd w:id="1"/>
    </w:p>
    <w:p w14:paraId="677B6C52" w14:textId="12580688" w:rsidR="008A54FC" w:rsidRPr="00BC03FD" w:rsidRDefault="008A54FC" w:rsidP="009465E0">
      <w:pPr>
        <w:pStyle w:val="Heading1"/>
        <w:rPr>
          <w:lang w:val="en-GB"/>
        </w:rPr>
      </w:pPr>
      <w:bookmarkStart w:id="2" w:name="_Toc380056496"/>
      <w:bookmarkStart w:id="3" w:name="_Toc380059747"/>
      <w:bookmarkStart w:id="4" w:name="_Toc380059784"/>
      <w:bookmarkStart w:id="5" w:name="_Toc396153635"/>
      <w:bookmarkStart w:id="6" w:name="_Toc396383862"/>
      <w:bookmarkStart w:id="7" w:name="_Toc396917295"/>
      <w:bookmarkStart w:id="8" w:name="_Toc396917344"/>
      <w:bookmarkStart w:id="9" w:name="_Toc396917406"/>
      <w:bookmarkStart w:id="10" w:name="_Toc396917459"/>
      <w:bookmarkStart w:id="11" w:name="_Toc396917626"/>
      <w:bookmarkStart w:id="12" w:name="_Toc396917641"/>
      <w:bookmarkStart w:id="13" w:name="_Toc396917746"/>
      <w:bookmarkStart w:id="14" w:name="_Toc119582838"/>
      <w:r w:rsidRPr="00BC03FD">
        <w:rPr>
          <w:lang w:val="en-GB"/>
        </w:rPr>
        <w:lastRenderedPageBreak/>
        <w:t>Executive summary</w:t>
      </w:r>
      <w:bookmarkEnd w:id="2"/>
      <w:bookmarkEnd w:id="3"/>
      <w:bookmarkEnd w:id="4"/>
      <w:bookmarkEnd w:id="5"/>
      <w:bookmarkEnd w:id="6"/>
      <w:bookmarkEnd w:id="7"/>
      <w:bookmarkEnd w:id="8"/>
      <w:bookmarkEnd w:id="9"/>
      <w:bookmarkEnd w:id="10"/>
      <w:bookmarkEnd w:id="11"/>
      <w:bookmarkEnd w:id="12"/>
      <w:bookmarkEnd w:id="13"/>
      <w:bookmarkEnd w:id="14"/>
    </w:p>
    <w:p w14:paraId="677B6C54" w14:textId="4DE41A18" w:rsidR="00757F24" w:rsidRPr="00BC03FD" w:rsidRDefault="00A249AC" w:rsidP="0007526D">
      <w:pPr>
        <w:rPr>
          <w:rStyle w:val="ECCParagraph"/>
        </w:rPr>
      </w:pPr>
      <w:r w:rsidRPr="00A249AC">
        <w:rPr>
          <w:rStyle w:val="ECCParagraph"/>
        </w:rPr>
        <w:t>This Report address</w:t>
      </w:r>
      <w:r w:rsidR="00C251E2">
        <w:rPr>
          <w:rStyle w:val="ECCParagraph"/>
        </w:rPr>
        <w:t>es</w:t>
      </w:r>
      <w:r w:rsidRPr="00A249AC">
        <w:rPr>
          <w:rStyle w:val="ECCParagraph"/>
        </w:rPr>
        <w:t xml:space="preserve"> the usage of </w:t>
      </w:r>
      <w:r w:rsidR="00622252">
        <w:rPr>
          <w:rStyle w:val="ECCParagraph"/>
        </w:rPr>
        <w:t>a</w:t>
      </w:r>
      <w:r w:rsidRPr="00A249AC">
        <w:rPr>
          <w:rStyle w:val="ECCParagraph"/>
        </w:rPr>
        <w:t>erial UE in</w:t>
      </w:r>
      <w:r w:rsidR="00E55A9A">
        <w:rPr>
          <w:rStyle w:val="ECCParagraph"/>
        </w:rPr>
        <w:t xml:space="preserve"> </w:t>
      </w:r>
      <w:r w:rsidR="00E55A9A" w:rsidRPr="00FD3236">
        <w:rPr>
          <w:rStyle w:val="ECCParagraph"/>
        </w:rPr>
        <w:t>the</w:t>
      </w:r>
      <w:r w:rsidRPr="00FD3236">
        <w:rPr>
          <w:rStyle w:val="ECCParagraph"/>
        </w:rPr>
        <w:t xml:space="preserve"> 1.8 GHz, 2 GHz and 2.6 GHz </w:t>
      </w:r>
      <w:r w:rsidR="00F558E0" w:rsidRPr="00FD3236">
        <w:rPr>
          <w:rStyle w:val="ECCParagraph"/>
        </w:rPr>
        <w:t xml:space="preserve">MFCN harmonised frequency bands </w:t>
      </w:r>
      <w:r w:rsidRPr="00FD3236">
        <w:rPr>
          <w:rStyle w:val="ECCParagraph"/>
        </w:rPr>
        <w:t>with AAS base stations</w:t>
      </w:r>
      <w:r w:rsidR="004F359A" w:rsidRPr="00FD3236">
        <w:rPr>
          <w:rStyle w:val="ECCParagraph"/>
        </w:rPr>
        <w:t xml:space="preserve"> (BS)</w:t>
      </w:r>
      <w:r w:rsidRPr="00FD3236">
        <w:rPr>
          <w:rStyle w:val="ECCParagraph"/>
        </w:rPr>
        <w:t xml:space="preserve"> operating according </w:t>
      </w:r>
      <w:r w:rsidR="00E55A9A" w:rsidRPr="00FD3236">
        <w:rPr>
          <w:rStyle w:val="ECCParagraph"/>
        </w:rPr>
        <w:t xml:space="preserve">to the </w:t>
      </w:r>
      <w:r w:rsidRPr="00FD3236">
        <w:rPr>
          <w:rStyle w:val="ECCParagraph"/>
        </w:rPr>
        <w:t>ECC framework in those bands (see relevant ECC Decisions</w:t>
      </w:r>
      <w:r w:rsidR="004F359A" w:rsidRPr="0034724F">
        <w:rPr>
          <w:rStyle w:val="ECCParagraph"/>
          <w:vertAlign w:val="superscript"/>
        </w:rPr>
        <w:footnoteReference w:id="2"/>
      </w:r>
      <w:r w:rsidRPr="00FD3236">
        <w:rPr>
          <w:rStyle w:val="ECCParagraph"/>
        </w:rPr>
        <w:t>)</w:t>
      </w:r>
      <w:r w:rsidR="00E55A9A" w:rsidRPr="00FD3236">
        <w:rPr>
          <w:rStyle w:val="ECCParagraph"/>
        </w:rPr>
        <w:t>.</w:t>
      </w:r>
      <w:r w:rsidRPr="00FD3236">
        <w:rPr>
          <w:rStyle w:val="ECCParagraph"/>
        </w:rPr>
        <w:t xml:space="preserve"> This </w:t>
      </w:r>
      <w:r w:rsidR="000D0CFF" w:rsidRPr="00FD3236">
        <w:rPr>
          <w:rStyle w:val="ECCParagraph"/>
        </w:rPr>
        <w:t>R</w:t>
      </w:r>
      <w:r w:rsidRPr="00FD3236">
        <w:rPr>
          <w:rStyle w:val="ECCParagraph"/>
        </w:rPr>
        <w:t>eport complement</w:t>
      </w:r>
      <w:r w:rsidR="00021789" w:rsidRPr="00FD3236">
        <w:rPr>
          <w:rStyle w:val="ECCParagraph"/>
        </w:rPr>
        <w:t>s</w:t>
      </w:r>
      <w:r w:rsidRPr="00FD3236">
        <w:rPr>
          <w:rStyle w:val="ECCParagraph"/>
        </w:rPr>
        <w:t xml:space="preserve"> ECC Report 309 </w:t>
      </w:r>
      <w:r w:rsidR="004E792B" w:rsidRPr="00FD3236">
        <w:rPr>
          <w:rStyle w:val="ECCParagraph"/>
        </w:rPr>
        <w:fldChar w:fldCharType="begin"/>
      </w:r>
      <w:r w:rsidR="004E792B" w:rsidRPr="00FD3236">
        <w:rPr>
          <w:rStyle w:val="ECCParagraph"/>
        </w:rPr>
        <w:instrText xml:space="preserve"> REF _Ref103695135 \r \h </w:instrText>
      </w:r>
      <w:r w:rsidR="00FD3236">
        <w:rPr>
          <w:rStyle w:val="ECCParagraph"/>
        </w:rPr>
        <w:instrText xml:space="preserve"> \* MERGEFORMAT </w:instrText>
      </w:r>
      <w:r w:rsidR="004E792B" w:rsidRPr="00FD3236">
        <w:rPr>
          <w:rStyle w:val="ECCParagraph"/>
        </w:rPr>
      </w:r>
      <w:r w:rsidR="004E792B" w:rsidRPr="00FD3236">
        <w:rPr>
          <w:rStyle w:val="ECCParagraph"/>
        </w:rPr>
        <w:fldChar w:fldCharType="separate"/>
      </w:r>
      <w:r w:rsidR="009464FD">
        <w:rPr>
          <w:rStyle w:val="ECCParagraph"/>
        </w:rPr>
        <w:t>[4]</w:t>
      </w:r>
      <w:r w:rsidR="004E792B" w:rsidRPr="00FD3236">
        <w:rPr>
          <w:rStyle w:val="ECCParagraph"/>
        </w:rPr>
        <w:fldChar w:fldCharType="end"/>
      </w:r>
      <w:r w:rsidRPr="00FD3236">
        <w:rPr>
          <w:rStyle w:val="ECCParagraph"/>
        </w:rPr>
        <w:t xml:space="preserve"> by analysing </w:t>
      </w:r>
      <w:r w:rsidR="00DB6EE9" w:rsidRPr="00FD3236">
        <w:rPr>
          <w:rStyle w:val="ECCParagraph"/>
        </w:rPr>
        <w:t xml:space="preserve">the </w:t>
      </w:r>
      <w:r w:rsidRPr="00FD3236">
        <w:rPr>
          <w:rStyle w:val="ECCParagraph"/>
        </w:rPr>
        <w:t>possible</w:t>
      </w:r>
      <w:r w:rsidR="004F359A" w:rsidRPr="00FD3236">
        <w:rPr>
          <w:rStyle w:val="ECCParagraph"/>
        </w:rPr>
        <w:t xml:space="preserve"> additional</w:t>
      </w:r>
      <w:r w:rsidRPr="00FD3236">
        <w:rPr>
          <w:rStyle w:val="ECCParagraph"/>
        </w:rPr>
        <w:t xml:space="preserve"> risk of interference created by AAS BS on adjacent systems when serving </w:t>
      </w:r>
      <w:r w:rsidR="00622252" w:rsidRPr="00FD3236">
        <w:rPr>
          <w:rStyle w:val="ECCParagraph"/>
        </w:rPr>
        <w:t>a</w:t>
      </w:r>
      <w:r w:rsidRPr="00FD3236">
        <w:rPr>
          <w:rStyle w:val="ECCParagraph"/>
        </w:rPr>
        <w:t>erial UE</w:t>
      </w:r>
      <w:r w:rsidRPr="00A249AC">
        <w:rPr>
          <w:rStyle w:val="ECCParagraph"/>
        </w:rPr>
        <w:t xml:space="preserve"> or by </w:t>
      </w:r>
      <w:r w:rsidR="00622252">
        <w:rPr>
          <w:rStyle w:val="ECCParagraph"/>
        </w:rPr>
        <w:t>a</w:t>
      </w:r>
      <w:r w:rsidRPr="00A249AC">
        <w:rPr>
          <w:rStyle w:val="ECCParagraph"/>
        </w:rPr>
        <w:t xml:space="preserve">erial UE communicating with AAS BS. Potential MFCN intra-network interference </w:t>
      </w:r>
      <w:r w:rsidR="005422F6">
        <w:rPr>
          <w:rStyle w:val="ECCParagraph"/>
        </w:rPr>
        <w:t>is</w:t>
      </w:r>
      <w:r w:rsidR="005422F6" w:rsidRPr="00A249AC">
        <w:rPr>
          <w:rStyle w:val="ECCParagraph"/>
        </w:rPr>
        <w:t xml:space="preserve"> </w:t>
      </w:r>
      <w:r w:rsidRPr="00A249AC">
        <w:rPr>
          <w:rStyle w:val="ECCParagraph"/>
        </w:rPr>
        <w:t xml:space="preserve">not covered by this </w:t>
      </w:r>
      <w:r w:rsidR="00672801">
        <w:rPr>
          <w:rStyle w:val="ECCParagraph"/>
        </w:rPr>
        <w:t>R</w:t>
      </w:r>
      <w:r w:rsidRPr="00A249AC">
        <w:rPr>
          <w:rStyle w:val="ECCParagraph"/>
        </w:rPr>
        <w:t xml:space="preserve">eport. This </w:t>
      </w:r>
      <w:r w:rsidR="000D0CFF">
        <w:rPr>
          <w:rStyle w:val="ECCParagraph"/>
        </w:rPr>
        <w:t>R</w:t>
      </w:r>
      <w:r w:rsidRPr="00A249AC">
        <w:rPr>
          <w:rStyle w:val="ECCParagraph"/>
        </w:rPr>
        <w:t xml:space="preserve">eport </w:t>
      </w:r>
      <w:r w:rsidR="00AF5BF7" w:rsidRPr="00A249AC">
        <w:rPr>
          <w:rStyle w:val="ECCParagraph"/>
        </w:rPr>
        <w:t xml:space="preserve">also </w:t>
      </w:r>
      <w:r w:rsidR="000C53C3" w:rsidRPr="00A249AC">
        <w:rPr>
          <w:rStyle w:val="ECCParagraph"/>
        </w:rPr>
        <w:t>assesse</w:t>
      </w:r>
      <w:r w:rsidR="000C53C3">
        <w:rPr>
          <w:rStyle w:val="ECCParagraph"/>
        </w:rPr>
        <w:t>s</w:t>
      </w:r>
      <w:r w:rsidR="000C53C3" w:rsidRPr="00A249AC">
        <w:rPr>
          <w:rStyle w:val="ECCParagraph"/>
        </w:rPr>
        <w:t xml:space="preserve"> </w:t>
      </w:r>
      <w:r w:rsidRPr="00A249AC">
        <w:rPr>
          <w:rStyle w:val="ECCParagraph"/>
        </w:rPr>
        <w:t>any impact from MFCN technologies (LTE, 5G NR) serving aerial UE.</w:t>
      </w:r>
    </w:p>
    <w:p w14:paraId="677B6C55" w14:textId="28C87DA2" w:rsidR="00A249AC" w:rsidRDefault="00A249AC" w:rsidP="00A249AC">
      <w:r>
        <w:t xml:space="preserve">Due </w:t>
      </w:r>
      <w:r w:rsidR="000C53C3">
        <w:t xml:space="preserve">to </w:t>
      </w:r>
      <w:r>
        <w:t xml:space="preserve">the current state of the </w:t>
      </w:r>
      <w:r w:rsidR="004036CF">
        <w:t>technology</w:t>
      </w:r>
      <w:r>
        <w:t xml:space="preserve">, </w:t>
      </w:r>
      <w:r w:rsidR="004F359A">
        <w:t xml:space="preserve">usage of </w:t>
      </w:r>
      <w:r>
        <w:t>AAS</w:t>
      </w:r>
      <w:r w:rsidR="004F359A">
        <w:t xml:space="preserve"> BS</w:t>
      </w:r>
      <w:r>
        <w:t xml:space="preserve"> is not foreseen i</w:t>
      </w:r>
      <w:r w:rsidR="00344C17">
        <w:t>n</w:t>
      </w:r>
      <w:r>
        <w:t xml:space="preserve"> the 700 MHz, 800 MHz</w:t>
      </w:r>
      <w:r w:rsidR="00021789">
        <w:t xml:space="preserve"> or</w:t>
      </w:r>
      <w:r>
        <w:t xml:space="preserve"> 900 MHz MFCN harmonised frequency </w:t>
      </w:r>
      <w:r w:rsidR="004F359A">
        <w:t xml:space="preserve">bands. In consequence, </w:t>
      </w:r>
      <w:r>
        <w:t xml:space="preserve">those MFCN harmonised bands have not been considered in this </w:t>
      </w:r>
      <w:r w:rsidR="00142141">
        <w:t>Report</w:t>
      </w:r>
      <w:r>
        <w:t>.</w:t>
      </w:r>
    </w:p>
    <w:p w14:paraId="19BBD74D" w14:textId="2D14B573" w:rsidR="0083391C" w:rsidRPr="00462A07" w:rsidRDefault="0083391C" w:rsidP="00462A07">
      <w:r w:rsidRPr="00462A07">
        <w:t xml:space="preserve">MFCN AAS BS serving aerial UE </w:t>
      </w:r>
      <w:r w:rsidR="00E36B97" w:rsidRPr="00462A07">
        <w:t xml:space="preserve">may </w:t>
      </w:r>
      <w:r w:rsidRPr="00462A07">
        <w:t xml:space="preserve">offer a different interference scenario compared to serving UE that are located on the ground, </w:t>
      </w:r>
      <w:r w:rsidR="00845610">
        <w:t xml:space="preserve">and </w:t>
      </w:r>
      <w:r w:rsidRPr="00462A07">
        <w:t>hence</w:t>
      </w:r>
      <w:r w:rsidR="00845610">
        <w:t xml:space="preserve"> are</w:t>
      </w:r>
      <w:r w:rsidR="00845610" w:rsidRPr="00462A07">
        <w:t xml:space="preserve"> </w:t>
      </w:r>
      <w:r w:rsidRPr="00462A07">
        <w:t xml:space="preserve">relevant to systems indicated in </w:t>
      </w:r>
      <w:r w:rsidR="00490680">
        <w:fldChar w:fldCharType="begin"/>
      </w:r>
      <w:r w:rsidR="00490680">
        <w:instrText xml:space="preserve"> REF _Ref103696055 \h </w:instrText>
      </w:r>
      <w:r w:rsidR="00490680">
        <w:fldChar w:fldCharType="separate"/>
      </w:r>
      <w:r w:rsidR="000C011B" w:rsidRPr="000C011B">
        <w:t xml:space="preserve">Table </w:t>
      </w:r>
      <w:r w:rsidR="000C011B">
        <w:rPr>
          <w:noProof/>
        </w:rPr>
        <w:t>1</w:t>
      </w:r>
      <w:r w:rsidR="00490680">
        <w:fldChar w:fldCharType="end"/>
      </w:r>
      <w:r w:rsidR="00E23844" w:rsidRPr="00462A07">
        <w:t>.</w:t>
      </w:r>
    </w:p>
    <w:p w14:paraId="677B6C57" w14:textId="5A9D8AA2" w:rsidR="00A249AC" w:rsidRDefault="00A249AC" w:rsidP="00A249AC">
      <w:r>
        <w:t>The conclusions of the analysis are summari</w:t>
      </w:r>
      <w:r w:rsidR="00486FC5">
        <w:t>s</w:t>
      </w:r>
      <w:r>
        <w:t xml:space="preserve">ed in </w:t>
      </w:r>
      <w:r w:rsidR="00490680">
        <w:fldChar w:fldCharType="begin"/>
      </w:r>
      <w:r w:rsidR="00490680">
        <w:instrText xml:space="preserve"> REF _Ref103696055 \h </w:instrText>
      </w:r>
      <w:r w:rsidR="00490680">
        <w:fldChar w:fldCharType="separate"/>
      </w:r>
      <w:r w:rsidR="000C011B" w:rsidRPr="000C011B">
        <w:t xml:space="preserve">Table </w:t>
      </w:r>
      <w:r w:rsidR="000C011B">
        <w:rPr>
          <w:noProof/>
        </w:rPr>
        <w:t>1</w:t>
      </w:r>
      <w:r w:rsidR="00490680">
        <w:fldChar w:fldCharType="end"/>
      </w:r>
      <w:r w:rsidR="004F359A">
        <w:t>:</w:t>
      </w:r>
    </w:p>
    <w:p w14:paraId="677B6C58" w14:textId="0B0163E8" w:rsidR="00A249AC" w:rsidRPr="00C63448" w:rsidRDefault="00A249AC" w:rsidP="00510D7B">
      <w:pPr>
        <w:pStyle w:val="Caption"/>
        <w:rPr>
          <w:lang w:val="en-US"/>
        </w:rPr>
      </w:pPr>
      <w:bookmarkStart w:id="15" w:name="_Ref103696055"/>
      <w:r w:rsidRPr="00510D7B">
        <w:rPr>
          <w:rFonts w:eastAsia="Calibri"/>
          <w:lang w:val="en-GB"/>
        </w:rPr>
        <w:t xml:space="preserve">Table </w:t>
      </w:r>
      <w:r w:rsidR="00A83286">
        <w:fldChar w:fldCharType="begin"/>
      </w:r>
      <w:r w:rsidR="00A83286" w:rsidRPr="00510D7B">
        <w:rPr>
          <w:rFonts w:eastAsia="Calibri"/>
          <w:lang w:val="en-GB"/>
        </w:rPr>
        <w:instrText xml:space="preserve"> SEQ Table \* ARABIC </w:instrText>
      </w:r>
      <w:r w:rsidR="00A83286">
        <w:fldChar w:fldCharType="separate"/>
      </w:r>
      <w:r w:rsidR="009464FD">
        <w:rPr>
          <w:rFonts w:eastAsia="Calibri"/>
          <w:noProof/>
          <w:lang w:val="en-GB"/>
        </w:rPr>
        <w:t>1</w:t>
      </w:r>
      <w:r w:rsidR="00A83286">
        <w:rPr>
          <w:noProof/>
        </w:rPr>
        <w:fldChar w:fldCharType="end"/>
      </w:r>
      <w:bookmarkEnd w:id="15"/>
      <w:r w:rsidRPr="00510D7B">
        <w:rPr>
          <w:rFonts w:eastAsia="Calibri"/>
          <w:lang w:val="en-GB"/>
        </w:rPr>
        <w:t xml:space="preserve">: Frequency bands where aerial UE connected to AAS MFCN BS in 1.8 GHz, 2 GHz and 2.6 GHz and associated required regulatory measures (in addition to those identified by ECC </w:t>
      </w:r>
      <w:r w:rsidR="00DC3DCA" w:rsidRPr="00510D7B">
        <w:rPr>
          <w:rFonts w:eastAsia="Calibri"/>
          <w:lang w:val="en-GB"/>
        </w:rPr>
        <w:t>R</w:t>
      </w:r>
      <w:r w:rsidRPr="00510D7B">
        <w:rPr>
          <w:rFonts w:eastAsia="Calibri"/>
          <w:lang w:val="en-GB"/>
        </w:rPr>
        <w:t xml:space="preserve">eport 309) </w:t>
      </w:r>
    </w:p>
    <w:tbl>
      <w:tblPr>
        <w:tblStyle w:val="ECCTable-redheader"/>
        <w:tblW w:w="5000" w:type="pct"/>
        <w:tblInd w:w="0" w:type="dxa"/>
        <w:tblLook w:val="04A0" w:firstRow="1" w:lastRow="0" w:firstColumn="1" w:lastColumn="0" w:noHBand="0" w:noVBand="1"/>
      </w:tblPr>
      <w:tblGrid>
        <w:gridCol w:w="1173"/>
        <w:gridCol w:w="1656"/>
        <w:gridCol w:w="2130"/>
        <w:gridCol w:w="4670"/>
      </w:tblGrid>
      <w:tr w:rsidR="0053007A" w:rsidRPr="006E730B" w14:paraId="677B6C60" w14:textId="77777777" w:rsidTr="002A2C11">
        <w:trPr>
          <w:cnfStyle w:val="100000000000" w:firstRow="1" w:lastRow="0" w:firstColumn="0" w:lastColumn="0" w:oddVBand="0" w:evenVBand="0" w:oddHBand="0" w:evenHBand="0" w:firstRowFirstColumn="0" w:firstRowLastColumn="0" w:lastRowFirstColumn="0" w:lastRowLastColumn="0"/>
          <w:trHeight w:val="700"/>
        </w:trPr>
        <w:tc>
          <w:tcPr>
            <w:tcW w:w="609" w:type="pct"/>
          </w:tcPr>
          <w:p w14:paraId="677B6C5A" w14:textId="50C759B0" w:rsidR="00A249AC" w:rsidRPr="00A249AC" w:rsidRDefault="00A249AC" w:rsidP="002A2C11">
            <w:r w:rsidRPr="006E730B">
              <w:t>Aerial UE frequency ban</w:t>
            </w:r>
            <w:r w:rsidR="00C31ED8">
              <w:t>d</w:t>
            </w:r>
            <w:r w:rsidR="00C31ED8">
              <w:br/>
            </w:r>
            <w:r>
              <w:t>(</w:t>
            </w:r>
            <w:r w:rsidRPr="00A249AC">
              <w:t>MHz)</w:t>
            </w:r>
          </w:p>
        </w:tc>
        <w:tc>
          <w:tcPr>
            <w:tcW w:w="860" w:type="pct"/>
          </w:tcPr>
          <w:p w14:paraId="677B6C5D" w14:textId="2B3D3BFB" w:rsidR="00A249AC" w:rsidRPr="00A249AC" w:rsidRDefault="00A249AC" w:rsidP="00C31ED8">
            <w:r>
              <w:t xml:space="preserve">MFCN </w:t>
            </w:r>
            <w:r w:rsidRPr="00A249AC">
              <w:t>BS AAS</w:t>
            </w:r>
            <w:r w:rsidR="00C31ED8">
              <w:br/>
            </w:r>
            <w:r>
              <w:t>F</w:t>
            </w:r>
            <w:r w:rsidRPr="00A249AC">
              <w:t xml:space="preserve">requency band </w:t>
            </w:r>
            <w:r w:rsidR="00C31ED8">
              <w:br/>
            </w:r>
            <w:r>
              <w:t>(</w:t>
            </w:r>
            <w:r w:rsidRPr="00A249AC">
              <w:t>MHz</w:t>
            </w:r>
            <w:r w:rsidR="0050634E">
              <w:t>)</w:t>
            </w:r>
          </w:p>
        </w:tc>
        <w:tc>
          <w:tcPr>
            <w:tcW w:w="1106" w:type="pct"/>
          </w:tcPr>
          <w:p w14:paraId="677B6C5E" w14:textId="4172BE66" w:rsidR="00A249AC" w:rsidRPr="00A249AC" w:rsidRDefault="004F359A" w:rsidP="00C31ED8">
            <w:r>
              <w:t>Additional r</w:t>
            </w:r>
            <w:r w:rsidR="00A249AC" w:rsidRPr="00A249AC">
              <w:t>egulatory measure required</w:t>
            </w:r>
            <w:r w:rsidR="00C31ED8">
              <w:rPr>
                <w:b w:val="0"/>
              </w:rPr>
              <w:br/>
            </w:r>
            <w:r w:rsidR="004C5FE4">
              <w:t xml:space="preserve">(in addition to those identified by </w:t>
            </w:r>
            <w:r w:rsidR="004C5FE4">
              <w:br/>
              <w:t xml:space="preserve">ECC </w:t>
            </w:r>
            <w:r w:rsidR="004C5FE4" w:rsidRPr="004C5FE4">
              <w:t>Report 309)</w:t>
            </w:r>
          </w:p>
        </w:tc>
        <w:tc>
          <w:tcPr>
            <w:tcW w:w="2425" w:type="pct"/>
          </w:tcPr>
          <w:p w14:paraId="677B6C5F" w14:textId="1049D8E5" w:rsidR="00A249AC" w:rsidRPr="00A249AC" w:rsidRDefault="00A249AC" w:rsidP="00A249AC">
            <w:r w:rsidRPr="006E730B">
              <w:t>Victim system</w:t>
            </w:r>
            <w:r w:rsidRPr="00A249AC">
              <w:t xml:space="preserve"> (on receiver on board flying platform)</w:t>
            </w:r>
          </w:p>
        </w:tc>
      </w:tr>
      <w:tr w:rsidR="00A249AC" w:rsidRPr="006E730B" w14:paraId="677B6C65" w14:textId="77777777" w:rsidTr="00510D7B">
        <w:trPr>
          <w:trHeight w:val="513"/>
        </w:trPr>
        <w:tc>
          <w:tcPr>
            <w:tcW w:w="609" w:type="pct"/>
          </w:tcPr>
          <w:p w14:paraId="677B6C61" w14:textId="77777777" w:rsidR="00A249AC" w:rsidRPr="00A249AC" w:rsidRDefault="00A249AC" w:rsidP="003B6454">
            <w:pPr>
              <w:rPr>
                <w:lang w:eastAsia="en-US"/>
              </w:rPr>
            </w:pPr>
            <w:r>
              <w:t>1710-1785</w:t>
            </w:r>
          </w:p>
        </w:tc>
        <w:tc>
          <w:tcPr>
            <w:tcW w:w="860" w:type="pct"/>
          </w:tcPr>
          <w:p w14:paraId="677B6C62" w14:textId="77777777" w:rsidR="00A249AC" w:rsidRPr="00A249AC" w:rsidRDefault="00A249AC" w:rsidP="003B6454">
            <w:r>
              <w:t>1805</w:t>
            </w:r>
            <w:r w:rsidRPr="00A249AC">
              <w:t>-1880</w:t>
            </w:r>
          </w:p>
        </w:tc>
        <w:tc>
          <w:tcPr>
            <w:tcW w:w="1106" w:type="pct"/>
          </w:tcPr>
          <w:p w14:paraId="677B6C63" w14:textId="12785177" w:rsidR="00A249AC" w:rsidRPr="00A249AC" w:rsidRDefault="00A249AC" w:rsidP="003B6454">
            <w:pPr>
              <w:rPr>
                <w:lang w:eastAsia="en-US"/>
              </w:rPr>
            </w:pPr>
            <w:r>
              <w:t>N</w:t>
            </w:r>
            <w:r w:rsidRPr="00A249AC">
              <w:t>one</w:t>
            </w:r>
          </w:p>
        </w:tc>
        <w:tc>
          <w:tcPr>
            <w:tcW w:w="2425" w:type="pct"/>
          </w:tcPr>
          <w:p w14:paraId="677B6C64" w14:textId="2CD9EA9E" w:rsidR="00A249AC" w:rsidRPr="00A249AC" w:rsidRDefault="00A249AC" w:rsidP="003B6454">
            <w:pPr>
              <w:rPr>
                <w:lang w:eastAsia="en-US"/>
              </w:rPr>
            </w:pPr>
            <w:r>
              <w:t>N</w:t>
            </w:r>
            <w:r w:rsidRPr="00A249AC">
              <w:t>one</w:t>
            </w:r>
          </w:p>
        </w:tc>
      </w:tr>
      <w:tr w:rsidR="0053007A" w:rsidRPr="006E730B" w14:paraId="677B6C6A" w14:textId="77777777" w:rsidTr="002A2C11">
        <w:trPr>
          <w:trHeight w:val="312"/>
        </w:trPr>
        <w:tc>
          <w:tcPr>
            <w:tcW w:w="609" w:type="pct"/>
            <w:vMerge w:val="restart"/>
          </w:tcPr>
          <w:p w14:paraId="677B6C66" w14:textId="77777777" w:rsidR="00A249AC" w:rsidRPr="00A249AC" w:rsidRDefault="00A249AC" w:rsidP="003B6454">
            <w:r>
              <w:t>1920-1980</w:t>
            </w:r>
          </w:p>
        </w:tc>
        <w:tc>
          <w:tcPr>
            <w:tcW w:w="860" w:type="pct"/>
            <w:vMerge w:val="restart"/>
          </w:tcPr>
          <w:p w14:paraId="677B6C67" w14:textId="5E971121" w:rsidR="00A249AC" w:rsidRPr="00A249AC" w:rsidRDefault="00A249AC" w:rsidP="003B6454">
            <w:r>
              <w:t>2110</w:t>
            </w:r>
            <w:r w:rsidRPr="00A249AC">
              <w:t>-2170</w:t>
            </w:r>
          </w:p>
        </w:tc>
        <w:tc>
          <w:tcPr>
            <w:tcW w:w="1106" w:type="pct"/>
            <w:tcBorders>
              <w:bottom w:val="single" w:sz="4" w:space="0" w:color="D2232A"/>
            </w:tcBorders>
          </w:tcPr>
          <w:p w14:paraId="677B6C68" w14:textId="3F0A8591" w:rsidR="00A249AC" w:rsidRPr="00A249AC" w:rsidRDefault="00A249AC" w:rsidP="003B6454">
            <w:r>
              <w:t>N</w:t>
            </w:r>
            <w:r w:rsidRPr="00A249AC">
              <w:t>one</w:t>
            </w:r>
          </w:p>
        </w:tc>
        <w:tc>
          <w:tcPr>
            <w:tcW w:w="2425" w:type="pct"/>
            <w:tcBorders>
              <w:bottom w:val="single" w:sz="4" w:space="0" w:color="D2232A"/>
            </w:tcBorders>
          </w:tcPr>
          <w:p w14:paraId="677B6C69" w14:textId="77777777" w:rsidR="00A249AC" w:rsidRPr="00A249AC" w:rsidRDefault="00A249AC" w:rsidP="003B6454">
            <w:r>
              <w:t>S</w:t>
            </w:r>
            <w:r w:rsidRPr="00A249AC">
              <w:t>atellite MSS 1980-2010 MHz</w:t>
            </w:r>
          </w:p>
        </w:tc>
      </w:tr>
      <w:tr w:rsidR="0053007A" w:rsidRPr="006E730B" w14:paraId="677B6C6F" w14:textId="77777777" w:rsidTr="002A2C11">
        <w:trPr>
          <w:trHeight w:val="372"/>
        </w:trPr>
        <w:tc>
          <w:tcPr>
            <w:tcW w:w="609" w:type="pct"/>
            <w:vMerge/>
          </w:tcPr>
          <w:p w14:paraId="677B6C6B" w14:textId="77777777" w:rsidR="00A249AC" w:rsidRPr="006E730B" w:rsidRDefault="00A249AC" w:rsidP="003B6454"/>
        </w:tc>
        <w:tc>
          <w:tcPr>
            <w:tcW w:w="860" w:type="pct"/>
            <w:vMerge/>
          </w:tcPr>
          <w:p w14:paraId="677B6C6C" w14:textId="77777777" w:rsidR="00A249AC" w:rsidRPr="006E730B" w:rsidRDefault="00A249AC" w:rsidP="003B6454"/>
        </w:tc>
        <w:tc>
          <w:tcPr>
            <w:tcW w:w="1106" w:type="pct"/>
            <w:tcBorders>
              <w:top w:val="single" w:sz="4" w:space="0" w:color="D2232A"/>
              <w:bottom w:val="single" w:sz="4" w:space="0" w:color="D2232A"/>
              <w:right w:val="single" w:sz="4" w:space="0" w:color="D2232A"/>
            </w:tcBorders>
          </w:tcPr>
          <w:p w14:paraId="677B6C6D" w14:textId="6DF05C0E" w:rsidR="00A249AC" w:rsidRPr="00A249AC" w:rsidRDefault="00A249AC" w:rsidP="003B6454">
            <w:r w:rsidRPr="00A249AC">
              <w:t>None</w:t>
            </w:r>
          </w:p>
        </w:tc>
        <w:tc>
          <w:tcPr>
            <w:tcW w:w="2425" w:type="pct"/>
            <w:tcBorders>
              <w:top w:val="single" w:sz="4" w:space="0" w:color="D2232A"/>
              <w:left w:val="single" w:sz="4" w:space="0" w:color="D2232A"/>
              <w:bottom w:val="single" w:sz="4" w:space="0" w:color="D2232A"/>
              <w:right w:val="single" w:sz="4" w:space="0" w:color="D2232A"/>
            </w:tcBorders>
          </w:tcPr>
          <w:p w14:paraId="677B6C6E" w14:textId="3D1437A2" w:rsidR="00A249AC" w:rsidRPr="00A249AC" w:rsidRDefault="00A249AC" w:rsidP="003B6454">
            <w:r>
              <w:t>S</w:t>
            </w:r>
            <w:r w:rsidRPr="00A249AC">
              <w:t>atellite services 2025-2110 MHz</w:t>
            </w:r>
          </w:p>
        </w:tc>
      </w:tr>
      <w:tr w:rsidR="0053007A" w:rsidRPr="006E730B" w14:paraId="677B6C75" w14:textId="77777777" w:rsidTr="00C2101E">
        <w:trPr>
          <w:trHeight w:val="700"/>
        </w:trPr>
        <w:tc>
          <w:tcPr>
            <w:tcW w:w="609" w:type="pct"/>
            <w:vMerge/>
            <w:tcBorders>
              <w:bottom w:val="single" w:sz="4" w:space="0" w:color="D2232A"/>
            </w:tcBorders>
          </w:tcPr>
          <w:p w14:paraId="677B6C70" w14:textId="77777777" w:rsidR="00A249AC" w:rsidRPr="006E730B" w:rsidRDefault="00A249AC" w:rsidP="003B6454"/>
        </w:tc>
        <w:tc>
          <w:tcPr>
            <w:tcW w:w="860" w:type="pct"/>
            <w:vMerge/>
            <w:tcBorders>
              <w:bottom w:val="single" w:sz="4" w:space="0" w:color="D2232A"/>
            </w:tcBorders>
          </w:tcPr>
          <w:p w14:paraId="677B6C71" w14:textId="77777777" w:rsidR="00A249AC" w:rsidRPr="006E730B" w:rsidRDefault="00A249AC" w:rsidP="003B6454"/>
        </w:tc>
        <w:tc>
          <w:tcPr>
            <w:tcW w:w="1106" w:type="pct"/>
            <w:tcBorders>
              <w:top w:val="single" w:sz="4" w:space="0" w:color="D2232A"/>
              <w:bottom w:val="single" w:sz="4" w:space="0" w:color="D2232A"/>
              <w:right w:val="single" w:sz="4" w:space="0" w:color="D2232A"/>
            </w:tcBorders>
          </w:tcPr>
          <w:p w14:paraId="677B6C72" w14:textId="11B2E12C" w:rsidR="00A249AC" w:rsidRPr="00934288" w:rsidRDefault="00D14732" w:rsidP="003B6454">
            <w:pPr>
              <w:rPr>
                <w:rStyle w:val="ECCParagraph"/>
              </w:rPr>
            </w:pPr>
            <w:r w:rsidRPr="00934288">
              <w:rPr>
                <w:rStyle w:val="ECCParagraph"/>
              </w:rPr>
              <w:t>None</w:t>
            </w:r>
          </w:p>
        </w:tc>
        <w:tc>
          <w:tcPr>
            <w:tcW w:w="2425" w:type="pct"/>
            <w:tcBorders>
              <w:top w:val="single" w:sz="4" w:space="0" w:color="D2232A"/>
              <w:left w:val="single" w:sz="4" w:space="0" w:color="D2232A"/>
              <w:bottom w:val="single" w:sz="4" w:space="0" w:color="D2232A"/>
              <w:right w:val="single" w:sz="4" w:space="0" w:color="D2232A"/>
            </w:tcBorders>
          </w:tcPr>
          <w:p w14:paraId="677B6C73" w14:textId="0E7CAB6C" w:rsidR="00A249AC" w:rsidRPr="00A249AC" w:rsidRDefault="00A249AC" w:rsidP="003B6454">
            <w:r>
              <w:t>MSS</w:t>
            </w:r>
            <w:r w:rsidRPr="00A249AC">
              <w:t>/C</w:t>
            </w:r>
            <w:r w:rsidR="000A127C">
              <w:t>G</w:t>
            </w:r>
            <w:r w:rsidRPr="00A249AC">
              <w:t xml:space="preserve">C 2170-2200 MHz </w:t>
            </w:r>
          </w:p>
          <w:p w14:paraId="677B6C74" w14:textId="244537DC" w:rsidR="00A249AC" w:rsidRPr="00A249AC" w:rsidRDefault="00A249AC" w:rsidP="003B6454">
            <w:r>
              <w:t>(</w:t>
            </w:r>
            <w:r w:rsidRPr="00A249AC">
              <w:t>MSS airborne receiver, airborne CGC receiver)</w:t>
            </w:r>
          </w:p>
        </w:tc>
      </w:tr>
      <w:tr w:rsidR="0053007A" w:rsidRPr="006E730B" w14:paraId="677B6C7C" w14:textId="77777777" w:rsidTr="00C2101E">
        <w:trPr>
          <w:trHeight w:val="700"/>
        </w:trPr>
        <w:tc>
          <w:tcPr>
            <w:tcW w:w="609" w:type="pct"/>
            <w:tcBorders>
              <w:top w:val="single" w:sz="4" w:space="0" w:color="D2232A"/>
              <w:left w:val="single" w:sz="4" w:space="0" w:color="D2232A"/>
              <w:bottom w:val="single" w:sz="4" w:space="0" w:color="D2232A"/>
              <w:right w:val="single" w:sz="4" w:space="0" w:color="D2232A"/>
            </w:tcBorders>
          </w:tcPr>
          <w:p w14:paraId="677B6C76" w14:textId="77777777" w:rsidR="00A249AC" w:rsidRPr="00A249AC" w:rsidRDefault="00A249AC" w:rsidP="003B6454">
            <w:r>
              <w:t>2500-2570</w:t>
            </w:r>
          </w:p>
          <w:p w14:paraId="677B6C77" w14:textId="77777777" w:rsidR="00A249AC" w:rsidRPr="00A249AC" w:rsidRDefault="00A249AC" w:rsidP="003B6454">
            <w:r>
              <w:t>2570</w:t>
            </w:r>
            <w:r w:rsidRPr="00A249AC">
              <w:t>-2620</w:t>
            </w:r>
          </w:p>
        </w:tc>
        <w:tc>
          <w:tcPr>
            <w:tcW w:w="860" w:type="pct"/>
            <w:tcBorders>
              <w:top w:val="single" w:sz="4" w:space="0" w:color="D2232A"/>
              <w:left w:val="single" w:sz="4" w:space="0" w:color="D2232A"/>
              <w:bottom w:val="single" w:sz="4" w:space="0" w:color="D2232A"/>
              <w:right w:val="single" w:sz="4" w:space="0" w:color="D2232A"/>
            </w:tcBorders>
          </w:tcPr>
          <w:p w14:paraId="677B6C78" w14:textId="77777777" w:rsidR="00A249AC" w:rsidRPr="00A249AC" w:rsidRDefault="00A249AC" w:rsidP="003B6454">
            <w:r>
              <w:t>2620</w:t>
            </w:r>
            <w:r w:rsidRPr="00A249AC">
              <w:t>-2690</w:t>
            </w:r>
          </w:p>
          <w:p w14:paraId="677B6C79" w14:textId="77777777" w:rsidR="00A249AC" w:rsidRPr="00A249AC" w:rsidRDefault="00A249AC" w:rsidP="003B6454">
            <w:r>
              <w:t>2570</w:t>
            </w:r>
            <w:r w:rsidRPr="00A249AC">
              <w:t>-2620</w:t>
            </w:r>
          </w:p>
        </w:tc>
        <w:tc>
          <w:tcPr>
            <w:tcW w:w="1106" w:type="pct"/>
            <w:tcBorders>
              <w:top w:val="single" w:sz="4" w:space="0" w:color="D2232A"/>
              <w:left w:val="single" w:sz="4" w:space="0" w:color="D2232A"/>
              <w:bottom w:val="single" w:sz="4" w:space="0" w:color="D2232A"/>
              <w:right w:val="single" w:sz="4" w:space="0" w:color="D2232A"/>
            </w:tcBorders>
          </w:tcPr>
          <w:p w14:paraId="677B6C7A" w14:textId="77777777" w:rsidR="00A249AC" w:rsidRPr="00A249AC" w:rsidRDefault="00A249AC" w:rsidP="003B6454">
            <w:r>
              <w:t>(see hereafter)</w:t>
            </w:r>
          </w:p>
        </w:tc>
        <w:tc>
          <w:tcPr>
            <w:tcW w:w="2425" w:type="pct"/>
            <w:tcBorders>
              <w:top w:val="single" w:sz="4" w:space="0" w:color="D2232A"/>
              <w:left w:val="single" w:sz="4" w:space="0" w:color="D2232A"/>
              <w:bottom w:val="single" w:sz="4" w:space="0" w:color="D2232A"/>
              <w:right w:val="single" w:sz="4" w:space="0" w:color="D2232A"/>
            </w:tcBorders>
          </w:tcPr>
          <w:p w14:paraId="677B6C7B" w14:textId="77777777" w:rsidR="00A249AC" w:rsidRPr="00A249AC" w:rsidRDefault="00A249AC" w:rsidP="003B6454">
            <w:r>
              <w:t>N</w:t>
            </w:r>
            <w:r w:rsidRPr="00A249AC">
              <w:t>one</w:t>
            </w:r>
          </w:p>
        </w:tc>
      </w:tr>
    </w:tbl>
    <w:p w14:paraId="677B6C7D" w14:textId="4E88D59F" w:rsidR="00A249AC" w:rsidRPr="00865D58" w:rsidRDefault="00A249AC" w:rsidP="00A249AC">
      <w:pPr>
        <w:rPr>
          <w:rStyle w:val="ECCParagraph"/>
        </w:rPr>
      </w:pPr>
      <w:r>
        <w:t xml:space="preserve">At 2.6 GHz, </w:t>
      </w:r>
      <w:r w:rsidRPr="00865D58">
        <w:rPr>
          <w:rStyle w:val="ECCParagraph"/>
        </w:rPr>
        <w:t>adjacent applications: RAS</w:t>
      </w:r>
      <w:r w:rsidR="00E55A9A">
        <w:rPr>
          <w:rStyle w:val="ECCParagraph"/>
        </w:rPr>
        <w:t xml:space="preserve"> and</w:t>
      </w:r>
      <w:r w:rsidRPr="00865D58">
        <w:rPr>
          <w:rStyle w:val="ECCParagraph"/>
        </w:rPr>
        <w:t xml:space="preserve"> radars (ATC, </w:t>
      </w:r>
      <w:r w:rsidR="00500232">
        <w:rPr>
          <w:rStyle w:val="ECCParagraph"/>
        </w:rPr>
        <w:t>military</w:t>
      </w:r>
      <w:r w:rsidR="00500232" w:rsidRPr="00865D58">
        <w:rPr>
          <w:rStyle w:val="ECCParagraph"/>
        </w:rPr>
        <w:t xml:space="preserve"> </w:t>
      </w:r>
      <w:r w:rsidRPr="00865D58">
        <w:rPr>
          <w:rStyle w:val="ECCParagraph"/>
        </w:rPr>
        <w:t xml:space="preserve">and </w:t>
      </w:r>
      <w:proofErr w:type="spellStart"/>
      <w:r w:rsidRPr="00865D58">
        <w:rPr>
          <w:rStyle w:val="ECCParagraph"/>
        </w:rPr>
        <w:t>Meteo</w:t>
      </w:r>
      <w:proofErr w:type="spellEnd"/>
      <w:r w:rsidRPr="00865D58">
        <w:rPr>
          <w:rStyle w:val="ECCParagraph"/>
        </w:rPr>
        <w:t xml:space="preserve">) refer only to ground receivers. </w:t>
      </w:r>
      <w:r w:rsidRPr="00A52A19">
        <w:t xml:space="preserve">The usage of MFCN by </w:t>
      </w:r>
      <w:r w:rsidR="00D65223">
        <w:t>a</w:t>
      </w:r>
      <w:r w:rsidRPr="00A52A19">
        <w:t xml:space="preserve">erial </w:t>
      </w:r>
      <w:r w:rsidRPr="00865D58">
        <w:rPr>
          <w:rStyle w:val="ECCParagraph"/>
        </w:rPr>
        <w:t>UE when AAS BS are deployed requires similar mitigation measures in the 2.6</w:t>
      </w:r>
      <w:r w:rsidR="00E22E58">
        <w:rPr>
          <w:rStyle w:val="ECCParagraph"/>
        </w:rPr>
        <w:t> </w:t>
      </w:r>
      <w:r w:rsidRPr="00865D58">
        <w:rPr>
          <w:rStyle w:val="ECCParagraph"/>
        </w:rPr>
        <w:t xml:space="preserve">GHz </w:t>
      </w:r>
      <w:r w:rsidR="00E55A9A">
        <w:rPr>
          <w:rStyle w:val="ECCParagraph"/>
        </w:rPr>
        <w:t xml:space="preserve">frequency </w:t>
      </w:r>
      <w:r w:rsidRPr="00865D58">
        <w:rPr>
          <w:rStyle w:val="ECCParagraph"/>
        </w:rPr>
        <w:t xml:space="preserve">band to </w:t>
      </w:r>
      <w:r w:rsidR="00E55A9A">
        <w:rPr>
          <w:rStyle w:val="ECCParagraph"/>
        </w:rPr>
        <w:t xml:space="preserve">those </w:t>
      </w:r>
      <w:r w:rsidRPr="00865D58">
        <w:rPr>
          <w:rStyle w:val="ECCParagraph"/>
        </w:rPr>
        <w:t>already id</w:t>
      </w:r>
      <w:r>
        <w:rPr>
          <w:rStyle w:val="ECCParagraph"/>
        </w:rPr>
        <w:t xml:space="preserve">entified in </w:t>
      </w:r>
      <w:r w:rsidRPr="00FD3236">
        <w:rPr>
          <w:rStyle w:val="ECCParagraph"/>
        </w:rPr>
        <w:t xml:space="preserve">ECC Report 309 </w:t>
      </w:r>
      <w:r w:rsidR="002D564F" w:rsidRPr="00FD3236">
        <w:rPr>
          <w:rStyle w:val="ECCParagraph"/>
        </w:rPr>
        <w:t xml:space="preserve">which are </w:t>
      </w:r>
      <w:r w:rsidRPr="00FD3236">
        <w:rPr>
          <w:rStyle w:val="ECCParagraph"/>
        </w:rPr>
        <w:t xml:space="preserve">taken into consideration </w:t>
      </w:r>
      <w:r w:rsidR="00E55A9A" w:rsidRPr="00FD3236">
        <w:rPr>
          <w:rStyle w:val="ECCParagraph"/>
        </w:rPr>
        <w:t xml:space="preserve">in the </w:t>
      </w:r>
      <w:r w:rsidRPr="00FD3236">
        <w:rPr>
          <w:rStyle w:val="ECCParagraph"/>
        </w:rPr>
        <w:t>current harmonised MFCN framework based on CEPT Report 72</w:t>
      </w:r>
      <w:r w:rsidR="00AD618C" w:rsidRPr="00FD3236">
        <w:rPr>
          <w:rStyle w:val="ECCParagraph"/>
        </w:rPr>
        <w:t xml:space="preserve"> </w:t>
      </w:r>
      <w:r w:rsidR="00AD618C" w:rsidRPr="00FD3236">
        <w:rPr>
          <w:rStyle w:val="ECCParagraph"/>
        </w:rPr>
        <w:fldChar w:fldCharType="begin"/>
      </w:r>
      <w:r w:rsidR="00AD618C" w:rsidRPr="00FD3236">
        <w:rPr>
          <w:rStyle w:val="ECCParagraph"/>
        </w:rPr>
        <w:instrText xml:space="preserve"> REF _Ref104305284 \r \h </w:instrText>
      </w:r>
      <w:r w:rsidR="00FD3236">
        <w:rPr>
          <w:rStyle w:val="ECCParagraph"/>
        </w:rPr>
        <w:instrText xml:space="preserve"> \* MERGEFORMAT </w:instrText>
      </w:r>
      <w:r w:rsidR="00AD618C" w:rsidRPr="00FD3236">
        <w:rPr>
          <w:rStyle w:val="ECCParagraph"/>
        </w:rPr>
      </w:r>
      <w:r w:rsidR="00AD618C" w:rsidRPr="00FD3236">
        <w:rPr>
          <w:rStyle w:val="ECCParagraph"/>
        </w:rPr>
        <w:fldChar w:fldCharType="separate"/>
      </w:r>
      <w:r w:rsidR="009464FD">
        <w:rPr>
          <w:rStyle w:val="ECCParagraph"/>
        </w:rPr>
        <w:t>[5]</w:t>
      </w:r>
      <w:r w:rsidR="00AD618C" w:rsidRPr="00FD3236">
        <w:rPr>
          <w:rStyle w:val="ECCParagraph"/>
        </w:rPr>
        <w:fldChar w:fldCharType="end"/>
      </w:r>
      <w:r w:rsidR="000C71E9" w:rsidRPr="00FD3236">
        <w:rPr>
          <w:rStyle w:val="ECCParagraph"/>
        </w:rPr>
        <w:t xml:space="preserve"> and </w:t>
      </w:r>
      <w:r w:rsidRPr="00FD3236">
        <w:rPr>
          <w:rStyle w:val="ECCParagraph"/>
        </w:rPr>
        <w:t>ECC Report</w:t>
      </w:r>
      <w:r w:rsidRPr="00865D58">
        <w:rPr>
          <w:rStyle w:val="ECCParagraph"/>
        </w:rPr>
        <w:t xml:space="preserve"> 308</w:t>
      </w:r>
      <w:r w:rsidR="009835D6">
        <w:rPr>
          <w:rStyle w:val="ECCParagraph"/>
        </w:rPr>
        <w:t xml:space="preserve"> </w:t>
      </w:r>
      <w:r w:rsidR="00BF26BA">
        <w:rPr>
          <w:rStyle w:val="ECCParagraph"/>
        </w:rPr>
        <w:fldChar w:fldCharType="begin"/>
      </w:r>
      <w:r w:rsidR="00BF26BA">
        <w:rPr>
          <w:rStyle w:val="ECCParagraph"/>
        </w:rPr>
        <w:instrText xml:space="preserve"> REF _Ref104305307 \r \h </w:instrText>
      </w:r>
      <w:r w:rsidR="00BF26BA">
        <w:rPr>
          <w:rStyle w:val="ECCParagraph"/>
        </w:rPr>
      </w:r>
      <w:r w:rsidR="00BF26BA">
        <w:rPr>
          <w:rStyle w:val="ECCParagraph"/>
        </w:rPr>
        <w:fldChar w:fldCharType="separate"/>
      </w:r>
      <w:r w:rsidR="009464FD">
        <w:rPr>
          <w:rStyle w:val="ECCParagraph"/>
        </w:rPr>
        <w:t>[6]</w:t>
      </w:r>
      <w:r w:rsidR="00BF26BA">
        <w:rPr>
          <w:rStyle w:val="ECCParagraph"/>
        </w:rPr>
        <w:fldChar w:fldCharType="end"/>
      </w:r>
      <w:r w:rsidRPr="00865D58">
        <w:rPr>
          <w:rStyle w:val="ECCParagraph"/>
        </w:rPr>
        <w:t>.</w:t>
      </w:r>
    </w:p>
    <w:p w14:paraId="677B6C80" w14:textId="77777777" w:rsidR="00F77680" w:rsidRPr="00BC03FD" w:rsidRDefault="00F77680" w:rsidP="00264464">
      <w:pPr>
        <w:rPr>
          <w:rStyle w:val="ECCParagraph"/>
        </w:rPr>
      </w:pPr>
      <w:r w:rsidRPr="00BC03FD">
        <w:rPr>
          <w:rStyle w:val="ECCParagraph"/>
        </w:rPr>
        <w:br w:type="page"/>
      </w:r>
    </w:p>
    <w:p w14:paraId="677B6C81" w14:textId="77777777" w:rsidR="00F77680" w:rsidRPr="00BC03FD" w:rsidRDefault="00F77680" w:rsidP="00E2303A">
      <w:pPr>
        <w:pStyle w:val="coverpageTableofContent"/>
        <w:rPr>
          <w:noProof w:val="0"/>
          <w:lang w:val="en-GB"/>
        </w:rPr>
      </w:pPr>
    </w:p>
    <w:p w14:paraId="677B6C82" w14:textId="759619BD" w:rsidR="008A54FC" w:rsidRPr="00BC03FD" w:rsidRDefault="005C5A96" w:rsidP="00E2303A">
      <w:pPr>
        <w:pStyle w:val="coverpageTableofContent"/>
        <w:rPr>
          <w:noProof w:val="0"/>
          <w:lang w:val="en-GB"/>
        </w:rPr>
      </w:pPr>
      <w:r w:rsidRPr="00BC03FD">
        <mc:AlternateContent>
          <mc:Choice Requires="wps">
            <w:drawing>
              <wp:anchor distT="0" distB="0" distL="114300" distR="114300" simplePos="0" relativeHeight="251674624" behindDoc="1" locked="1" layoutInCell="1" allowOverlap="1" wp14:anchorId="677B6F33" wp14:editId="677B6F34">
                <wp:simplePos x="0" y="0"/>
                <wp:positionH relativeFrom="page">
                  <wp:posOffset>0</wp:posOffset>
                </wp:positionH>
                <wp:positionV relativeFrom="page">
                  <wp:posOffset>900430</wp:posOffset>
                </wp:positionV>
                <wp:extent cx="7585200" cy="716400"/>
                <wp:effectExtent l="0" t="0" r="0" b="7620"/>
                <wp:wrapNone/>
                <wp:docPr id="6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A1CA7" w14:textId="77777777" w:rsidR="00100D91" w:rsidRPr="005C5A96" w:rsidRDefault="00100D91" w:rsidP="005C5A96">
                            <w:pPr>
                              <w:pStyle w:val="coverpageTableofContent"/>
                            </w:pPr>
                          </w:p>
                          <w:p w14:paraId="5B7A2AB4" w14:textId="77777777" w:rsidR="00100D91" w:rsidRDefault="00100D91" w:rsidP="00E2303A">
                            <w:pPr>
                              <w:pStyle w:val="coverpageTableofContent"/>
                            </w:pPr>
                          </w:p>
                          <w:p w14:paraId="78C514C7" w14:textId="77777777" w:rsidR="00100D91" w:rsidRPr="003226D8" w:rsidRDefault="00100D91"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B6F33" id="Rectangle 21" o:spid="_x0000_s1034" style="position:absolute;left:0;text-align:left;margin-left:0;margin-top:70.9pt;width:597.25pt;height:56.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" fillcolor="#b0a696" stroked="f">
                <v:textbox>
                  <w:txbxContent>
                    <w:p w14:paraId="668A1CA7" w14:textId="77777777" w:rsidR="00100D91" w:rsidRPr="005C5A96" w:rsidRDefault="00100D91" w:rsidP="005C5A96">
                      <w:pPr>
                        <w:pStyle w:val="coverpageTableofContent"/>
                      </w:pPr>
                    </w:p>
                    <w:p w14:paraId="5B7A2AB4" w14:textId="77777777" w:rsidR="00100D91" w:rsidRDefault="00100D91" w:rsidP="00E2303A">
                      <w:pPr>
                        <w:pStyle w:val="coverpageTableofContent"/>
                      </w:pPr>
                    </w:p>
                    <w:p w14:paraId="78C514C7" w14:textId="77777777" w:rsidR="00100D91" w:rsidRPr="003226D8" w:rsidRDefault="00100D91" w:rsidP="004930E1">
                      <w:pPr>
                        <w:rPr>
                          <w:rStyle w:val="ECCParagraph"/>
                        </w:rPr>
                      </w:pPr>
                    </w:p>
                  </w:txbxContent>
                </v:textbox>
                <w10:wrap anchorx="page" anchory="page"/>
                <w10:anchorlock/>
              </v:rect>
            </w:pict>
          </mc:Fallback>
        </mc:AlternateContent>
      </w:r>
      <w:r w:rsidRPr="00BC03FD">
        <mc:AlternateContent>
          <mc:Choice Requires="wps">
            <w:drawing>
              <wp:anchor distT="0" distB="0" distL="114300" distR="114300" simplePos="0" relativeHeight="251656192" behindDoc="1" locked="1" layoutInCell="1" allowOverlap="1" wp14:anchorId="677B6F33" wp14:editId="677B6F34">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B6F82" w14:textId="77777777" w:rsidR="00100D91" w:rsidRPr="005C5A96" w:rsidRDefault="00100D91" w:rsidP="005C5A96">
                            <w:pPr>
                              <w:pStyle w:val="coverpageTableofContent"/>
                            </w:pPr>
                          </w:p>
                          <w:p w14:paraId="677B6F83" w14:textId="77777777" w:rsidR="00100D91" w:rsidRDefault="00100D91" w:rsidP="00E2303A">
                            <w:pPr>
                              <w:pStyle w:val="coverpageTableofContent"/>
                            </w:pPr>
                          </w:p>
                          <w:p w14:paraId="677B6F84" w14:textId="77777777" w:rsidR="00100D91" w:rsidRPr="003226D8" w:rsidRDefault="00100D91"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B6F33" id="_x0000_s1035" style="position:absolute;left:0;text-align:left;margin-left:0;margin-top:70.9pt;width:597.25pt;height:5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" fillcolor="#b0a696" stroked="f">
                <v:textbox>
                  <w:txbxContent>
                    <w:p w14:paraId="677B6F82" w14:textId="77777777" w:rsidR="00100D91" w:rsidRPr="005C5A96" w:rsidRDefault="00100D91" w:rsidP="005C5A96">
                      <w:pPr>
                        <w:pStyle w:val="coverpageTableofContent"/>
                      </w:pPr>
                    </w:p>
                    <w:p w14:paraId="677B6F83" w14:textId="77777777" w:rsidR="00100D91" w:rsidRDefault="00100D91" w:rsidP="00E2303A">
                      <w:pPr>
                        <w:pStyle w:val="coverpageTableofContent"/>
                      </w:pPr>
                    </w:p>
                    <w:p w14:paraId="677B6F84" w14:textId="77777777" w:rsidR="00100D91" w:rsidRPr="003226D8" w:rsidRDefault="00100D91"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14:paraId="677B6C83" w14:textId="77777777"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14:paraId="677B6C84" w14:textId="77777777" w:rsidR="00120A17" w:rsidRPr="00BC03FD" w:rsidRDefault="00120A17" w:rsidP="00264464">
          <w:pPr>
            <w:rPr>
              <w:rStyle w:val="ECCParagraph"/>
            </w:rPr>
          </w:pPr>
        </w:p>
        <w:p w14:paraId="153FF666" w14:textId="29BC4EEC" w:rsidR="00646843" w:rsidRDefault="00646843">
          <w:pPr>
            <w:pStyle w:val="TOC1"/>
            <w:rPr>
              <w:rFonts w:asciiTheme="minorHAnsi" w:eastAsiaTheme="minorEastAsia" w:hAnsiTheme="minorHAnsi" w:cstheme="minorBidi"/>
              <w:b w:val="0"/>
              <w:noProof/>
              <w:sz w:val="22"/>
              <w:szCs w:val="22"/>
              <w:lang w:val="en-DK" w:eastAsia="en-DK"/>
            </w:rPr>
          </w:pPr>
          <w:r>
            <w:rPr>
              <w:rStyle w:val="ECCParagraph"/>
              <w:b w:val="0"/>
            </w:rPr>
            <w:fldChar w:fldCharType="begin"/>
          </w:r>
          <w:r>
            <w:rPr>
              <w:rStyle w:val="ECCParagraph"/>
              <w:b w:val="0"/>
            </w:rPr>
            <w:instrText xml:space="preserve"> TOC \o "1-3" \h \z \t "ECC Annex heading1,1" </w:instrText>
          </w:r>
          <w:r>
            <w:rPr>
              <w:rStyle w:val="ECCParagraph"/>
              <w:b w:val="0"/>
            </w:rPr>
            <w:fldChar w:fldCharType="separate"/>
          </w:r>
          <w:hyperlink w:anchor="_Toc119582838" w:history="1">
            <w:r w:rsidRPr="009C2C2A">
              <w:rPr>
                <w:rStyle w:val="Hyperlink"/>
                <w:noProof/>
              </w:rPr>
              <w:t>0</w:t>
            </w:r>
            <w:r>
              <w:rPr>
                <w:rFonts w:asciiTheme="minorHAnsi" w:eastAsiaTheme="minorEastAsia" w:hAnsiTheme="minorHAnsi" w:cstheme="minorBidi"/>
                <w:b w:val="0"/>
                <w:noProof/>
                <w:sz w:val="22"/>
                <w:szCs w:val="22"/>
                <w:lang w:val="en-DK" w:eastAsia="en-DK"/>
              </w:rPr>
              <w:tab/>
            </w:r>
            <w:r w:rsidRPr="009C2C2A">
              <w:rPr>
                <w:rStyle w:val="Hyperlink"/>
                <w:noProof/>
              </w:rPr>
              <w:t>Executive summary</w:t>
            </w:r>
            <w:r>
              <w:rPr>
                <w:noProof/>
                <w:webHidden/>
              </w:rPr>
              <w:tab/>
            </w:r>
            <w:r>
              <w:rPr>
                <w:noProof/>
                <w:webHidden/>
              </w:rPr>
              <w:fldChar w:fldCharType="begin"/>
            </w:r>
            <w:r>
              <w:rPr>
                <w:noProof/>
                <w:webHidden/>
              </w:rPr>
              <w:instrText xml:space="preserve"> PAGEREF _Toc119582838 \h </w:instrText>
            </w:r>
            <w:r>
              <w:rPr>
                <w:noProof/>
                <w:webHidden/>
              </w:rPr>
            </w:r>
            <w:r>
              <w:rPr>
                <w:noProof/>
                <w:webHidden/>
              </w:rPr>
              <w:fldChar w:fldCharType="separate"/>
            </w:r>
            <w:r w:rsidR="009464FD">
              <w:rPr>
                <w:noProof/>
                <w:webHidden/>
              </w:rPr>
              <w:t>2</w:t>
            </w:r>
            <w:r>
              <w:rPr>
                <w:noProof/>
                <w:webHidden/>
              </w:rPr>
              <w:fldChar w:fldCharType="end"/>
            </w:r>
          </w:hyperlink>
        </w:p>
        <w:p w14:paraId="51DC6C71" w14:textId="1C889CE2" w:rsidR="00646843" w:rsidRDefault="00AF7F19">
          <w:pPr>
            <w:pStyle w:val="TOC1"/>
            <w:rPr>
              <w:rFonts w:asciiTheme="minorHAnsi" w:eastAsiaTheme="minorEastAsia" w:hAnsiTheme="minorHAnsi" w:cstheme="minorBidi"/>
              <w:b w:val="0"/>
              <w:noProof/>
              <w:sz w:val="22"/>
              <w:szCs w:val="22"/>
              <w:lang w:val="en-DK" w:eastAsia="en-DK"/>
            </w:rPr>
          </w:pPr>
          <w:hyperlink w:anchor="_Toc119582839" w:history="1">
            <w:r w:rsidR="00646843" w:rsidRPr="009C2C2A">
              <w:rPr>
                <w:rStyle w:val="Hyperlink"/>
                <w:noProof/>
              </w:rPr>
              <w:t>1</w:t>
            </w:r>
            <w:r w:rsidR="00646843">
              <w:rPr>
                <w:rFonts w:asciiTheme="minorHAnsi" w:eastAsiaTheme="minorEastAsia" w:hAnsiTheme="minorHAnsi" w:cstheme="minorBidi"/>
                <w:b w:val="0"/>
                <w:noProof/>
                <w:sz w:val="22"/>
                <w:szCs w:val="22"/>
                <w:lang w:val="en-DK" w:eastAsia="en-DK"/>
              </w:rPr>
              <w:tab/>
            </w:r>
            <w:r w:rsidR="00646843" w:rsidRPr="009C2C2A">
              <w:rPr>
                <w:rStyle w:val="Hyperlink"/>
                <w:noProof/>
              </w:rPr>
              <w:t>Introduction</w:t>
            </w:r>
            <w:r w:rsidR="00646843">
              <w:rPr>
                <w:noProof/>
                <w:webHidden/>
              </w:rPr>
              <w:tab/>
            </w:r>
            <w:r w:rsidR="00646843">
              <w:rPr>
                <w:noProof/>
                <w:webHidden/>
              </w:rPr>
              <w:fldChar w:fldCharType="begin"/>
            </w:r>
            <w:r w:rsidR="00646843">
              <w:rPr>
                <w:noProof/>
                <w:webHidden/>
              </w:rPr>
              <w:instrText xml:space="preserve"> PAGEREF _Toc119582839 \h </w:instrText>
            </w:r>
            <w:r w:rsidR="00646843">
              <w:rPr>
                <w:noProof/>
                <w:webHidden/>
              </w:rPr>
            </w:r>
            <w:r w:rsidR="00646843">
              <w:rPr>
                <w:noProof/>
                <w:webHidden/>
              </w:rPr>
              <w:fldChar w:fldCharType="separate"/>
            </w:r>
            <w:r w:rsidR="009464FD">
              <w:rPr>
                <w:noProof/>
                <w:webHidden/>
              </w:rPr>
              <w:t>5</w:t>
            </w:r>
            <w:r w:rsidR="00646843">
              <w:rPr>
                <w:noProof/>
                <w:webHidden/>
              </w:rPr>
              <w:fldChar w:fldCharType="end"/>
            </w:r>
          </w:hyperlink>
        </w:p>
        <w:p w14:paraId="1038FD2D" w14:textId="0E24245C" w:rsidR="00646843" w:rsidRDefault="00AF7F19">
          <w:pPr>
            <w:pStyle w:val="TOC1"/>
            <w:rPr>
              <w:rFonts w:asciiTheme="minorHAnsi" w:eastAsiaTheme="minorEastAsia" w:hAnsiTheme="minorHAnsi" w:cstheme="minorBidi"/>
              <w:b w:val="0"/>
              <w:noProof/>
              <w:sz w:val="22"/>
              <w:szCs w:val="22"/>
              <w:lang w:val="en-DK" w:eastAsia="en-DK"/>
            </w:rPr>
          </w:pPr>
          <w:hyperlink w:anchor="_Toc119582840" w:history="1">
            <w:r w:rsidR="00646843" w:rsidRPr="009C2C2A">
              <w:rPr>
                <w:rStyle w:val="Hyperlink"/>
                <w:noProof/>
              </w:rPr>
              <w:t>2</w:t>
            </w:r>
            <w:r w:rsidR="00646843">
              <w:rPr>
                <w:rFonts w:asciiTheme="minorHAnsi" w:eastAsiaTheme="minorEastAsia" w:hAnsiTheme="minorHAnsi" w:cstheme="minorBidi"/>
                <w:b w:val="0"/>
                <w:noProof/>
                <w:sz w:val="22"/>
                <w:szCs w:val="22"/>
                <w:lang w:val="en-DK" w:eastAsia="en-DK"/>
              </w:rPr>
              <w:tab/>
            </w:r>
            <w:r w:rsidR="00646843" w:rsidRPr="009C2C2A">
              <w:rPr>
                <w:rStyle w:val="Hyperlink"/>
                <w:noProof/>
              </w:rPr>
              <w:t>Main assumptions</w:t>
            </w:r>
            <w:r w:rsidR="00646843">
              <w:rPr>
                <w:noProof/>
                <w:webHidden/>
              </w:rPr>
              <w:tab/>
            </w:r>
            <w:r w:rsidR="00646843">
              <w:rPr>
                <w:noProof/>
                <w:webHidden/>
              </w:rPr>
              <w:fldChar w:fldCharType="begin"/>
            </w:r>
            <w:r w:rsidR="00646843">
              <w:rPr>
                <w:noProof/>
                <w:webHidden/>
              </w:rPr>
              <w:instrText xml:space="preserve"> PAGEREF _Toc119582840 \h </w:instrText>
            </w:r>
            <w:r w:rsidR="00646843">
              <w:rPr>
                <w:noProof/>
                <w:webHidden/>
              </w:rPr>
            </w:r>
            <w:r w:rsidR="00646843">
              <w:rPr>
                <w:noProof/>
                <w:webHidden/>
              </w:rPr>
              <w:fldChar w:fldCharType="separate"/>
            </w:r>
            <w:r w:rsidR="009464FD">
              <w:rPr>
                <w:noProof/>
                <w:webHidden/>
              </w:rPr>
              <w:t>6</w:t>
            </w:r>
            <w:r w:rsidR="00646843">
              <w:rPr>
                <w:noProof/>
                <w:webHidden/>
              </w:rPr>
              <w:fldChar w:fldCharType="end"/>
            </w:r>
          </w:hyperlink>
        </w:p>
        <w:p w14:paraId="75555DD1" w14:textId="07447811" w:rsidR="00646843" w:rsidRDefault="00AF7F19">
          <w:pPr>
            <w:pStyle w:val="TOC1"/>
            <w:rPr>
              <w:rFonts w:asciiTheme="minorHAnsi" w:eastAsiaTheme="minorEastAsia" w:hAnsiTheme="minorHAnsi" w:cstheme="minorBidi"/>
              <w:b w:val="0"/>
              <w:noProof/>
              <w:sz w:val="22"/>
              <w:szCs w:val="22"/>
              <w:lang w:val="en-DK" w:eastAsia="en-DK"/>
            </w:rPr>
          </w:pPr>
          <w:hyperlink w:anchor="_Toc119582841" w:history="1">
            <w:r w:rsidR="00646843" w:rsidRPr="009C2C2A">
              <w:rPr>
                <w:rStyle w:val="Hyperlink"/>
                <w:noProof/>
                <w:lang w:val="fr-FR"/>
              </w:rPr>
              <w:t>3</w:t>
            </w:r>
            <w:r w:rsidR="00646843">
              <w:rPr>
                <w:rFonts w:asciiTheme="minorHAnsi" w:eastAsiaTheme="minorEastAsia" w:hAnsiTheme="minorHAnsi" w:cstheme="minorBidi"/>
                <w:b w:val="0"/>
                <w:noProof/>
                <w:sz w:val="22"/>
                <w:szCs w:val="22"/>
                <w:lang w:val="en-DK" w:eastAsia="en-DK"/>
              </w:rPr>
              <w:tab/>
            </w:r>
            <w:r w:rsidR="00646843" w:rsidRPr="009C2C2A">
              <w:rPr>
                <w:rStyle w:val="Hyperlink"/>
                <w:noProof/>
                <w:lang w:val="fr-FR"/>
              </w:rPr>
              <w:t xml:space="preserve">Technologies (LTE, 5G NR) </w:t>
            </w:r>
            <w:r w:rsidR="00646843" w:rsidRPr="009C2C2A">
              <w:rPr>
                <w:rStyle w:val="Hyperlink"/>
                <w:noProof/>
              </w:rPr>
              <w:t>comparison</w:t>
            </w:r>
            <w:r w:rsidR="00646843">
              <w:rPr>
                <w:noProof/>
                <w:webHidden/>
              </w:rPr>
              <w:tab/>
            </w:r>
            <w:r w:rsidR="00646843">
              <w:rPr>
                <w:noProof/>
                <w:webHidden/>
              </w:rPr>
              <w:fldChar w:fldCharType="begin"/>
            </w:r>
            <w:r w:rsidR="00646843">
              <w:rPr>
                <w:noProof/>
                <w:webHidden/>
              </w:rPr>
              <w:instrText xml:space="preserve"> PAGEREF _Toc119582841 \h </w:instrText>
            </w:r>
            <w:r w:rsidR="00646843">
              <w:rPr>
                <w:noProof/>
                <w:webHidden/>
              </w:rPr>
            </w:r>
            <w:r w:rsidR="00646843">
              <w:rPr>
                <w:noProof/>
                <w:webHidden/>
              </w:rPr>
              <w:fldChar w:fldCharType="separate"/>
            </w:r>
            <w:r w:rsidR="009464FD">
              <w:rPr>
                <w:noProof/>
                <w:webHidden/>
              </w:rPr>
              <w:t>7</w:t>
            </w:r>
            <w:r w:rsidR="00646843">
              <w:rPr>
                <w:noProof/>
                <w:webHidden/>
              </w:rPr>
              <w:fldChar w:fldCharType="end"/>
            </w:r>
          </w:hyperlink>
        </w:p>
        <w:p w14:paraId="66FD1D26" w14:textId="7C8391EA" w:rsidR="00646843" w:rsidRDefault="00AF7F19">
          <w:pPr>
            <w:pStyle w:val="TOC1"/>
            <w:rPr>
              <w:rFonts w:asciiTheme="minorHAnsi" w:eastAsiaTheme="minorEastAsia" w:hAnsiTheme="minorHAnsi" w:cstheme="minorBidi"/>
              <w:b w:val="0"/>
              <w:noProof/>
              <w:sz w:val="22"/>
              <w:szCs w:val="22"/>
              <w:lang w:val="en-DK" w:eastAsia="en-DK"/>
            </w:rPr>
          </w:pPr>
          <w:hyperlink w:anchor="_Toc119582842" w:history="1">
            <w:r w:rsidR="00646843" w:rsidRPr="009C2C2A">
              <w:rPr>
                <w:rStyle w:val="Hyperlink"/>
                <w:noProof/>
              </w:rPr>
              <w:t>4</w:t>
            </w:r>
            <w:r w:rsidR="00646843">
              <w:rPr>
                <w:rFonts w:asciiTheme="minorHAnsi" w:eastAsiaTheme="minorEastAsia" w:hAnsiTheme="minorHAnsi" w:cstheme="minorBidi"/>
                <w:b w:val="0"/>
                <w:noProof/>
                <w:sz w:val="22"/>
                <w:szCs w:val="22"/>
                <w:lang w:val="en-DK" w:eastAsia="en-DK"/>
              </w:rPr>
              <w:tab/>
            </w:r>
            <w:r w:rsidR="00646843" w:rsidRPr="009C2C2A">
              <w:rPr>
                <w:rStyle w:val="Hyperlink"/>
                <w:noProof/>
              </w:rPr>
              <w:t>1.8 GHz Band</w:t>
            </w:r>
            <w:r w:rsidR="00646843">
              <w:rPr>
                <w:noProof/>
                <w:webHidden/>
              </w:rPr>
              <w:tab/>
            </w:r>
            <w:r w:rsidR="00646843">
              <w:rPr>
                <w:noProof/>
                <w:webHidden/>
              </w:rPr>
              <w:fldChar w:fldCharType="begin"/>
            </w:r>
            <w:r w:rsidR="00646843">
              <w:rPr>
                <w:noProof/>
                <w:webHidden/>
              </w:rPr>
              <w:instrText xml:space="preserve"> PAGEREF _Toc119582842 \h </w:instrText>
            </w:r>
            <w:r w:rsidR="00646843">
              <w:rPr>
                <w:noProof/>
                <w:webHidden/>
              </w:rPr>
            </w:r>
            <w:r w:rsidR="00646843">
              <w:rPr>
                <w:noProof/>
                <w:webHidden/>
              </w:rPr>
              <w:fldChar w:fldCharType="separate"/>
            </w:r>
            <w:r w:rsidR="009464FD">
              <w:rPr>
                <w:noProof/>
                <w:webHidden/>
              </w:rPr>
              <w:t>8</w:t>
            </w:r>
            <w:r w:rsidR="00646843">
              <w:rPr>
                <w:noProof/>
                <w:webHidden/>
              </w:rPr>
              <w:fldChar w:fldCharType="end"/>
            </w:r>
          </w:hyperlink>
        </w:p>
        <w:p w14:paraId="17542F52" w14:textId="314E5C18" w:rsidR="00646843" w:rsidRDefault="00AF7F19">
          <w:pPr>
            <w:pStyle w:val="TOC2"/>
            <w:rPr>
              <w:rFonts w:asciiTheme="minorHAnsi" w:eastAsiaTheme="minorEastAsia" w:hAnsiTheme="minorHAnsi" w:cstheme="minorBidi"/>
              <w:bCs w:val="0"/>
              <w:sz w:val="22"/>
              <w:szCs w:val="22"/>
              <w:lang w:val="en-DK" w:eastAsia="en-DK"/>
            </w:rPr>
          </w:pPr>
          <w:hyperlink w:anchor="_Toc119582843" w:history="1">
            <w:r w:rsidR="00646843" w:rsidRPr="009C2C2A">
              <w:rPr>
                <w:rStyle w:val="Hyperlink"/>
              </w:rPr>
              <w:t>4.1</w:t>
            </w:r>
            <w:r w:rsidR="00646843">
              <w:rPr>
                <w:rFonts w:asciiTheme="minorHAnsi" w:eastAsiaTheme="minorEastAsia" w:hAnsiTheme="minorHAnsi" w:cstheme="minorBidi"/>
                <w:bCs w:val="0"/>
                <w:sz w:val="22"/>
                <w:szCs w:val="22"/>
                <w:lang w:val="en-DK" w:eastAsia="en-DK"/>
              </w:rPr>
              <w:tab/>
            </w:r>
            <w:r w:rsidR="00646843" w:rsidRPr="009C2C2A">
              <w:rPr>
                <w:rStyle w:val="Hyperlink"/>
              </w:rPr>
              <w:t>Frequency Arrangement</w:t>
            </w:r>
            <w:r w:rsidR="00646843">
              <w:rPr>
                <w:webHidden/>
              </w:rPr>
              <w:tab/>
            </w:r>
            <w:r w:rsidR="00646843">
              <w:rPr>
                <w:webHidden/>
              </w:rPr>
              <w:fldChar w:fldCharType="begin"/>
            </w:r>
            <w:r w:rsidR="00646843">
              <w:rPr>
                <w:webHidden/>
              </w:rPr>
              <w:instrText xml:space="preserve"> PAGEREF _Toc119582843 \h </w:instrText>
            </w:r>
            <w:r w:rsidR="00646843">
              <w:rPr>
                <w:webHidden/>
              </w:rPr>
            </w:r>
            <w:r w:rsidR="00646843">
              <w:rPr>
                <w:webHidden/>
              </w:rPr>
              <w:fldChar w:fldCharType="separate"/>
            </w:r>
            <w:r w:rsidR="009464FD">
              <w:rPr>
                <w:webHidden/>
              </w:rPr>
              <w:t>8</w:t>
            </w:r>
            <w:r w:rsidR="00646843">
              <w:rPr>
                <w:webHidden/>
              </w:rPr>
              <w:fldChar w:fldCharType="end"/>
            </w:r>
          </w:hyperlink>
        </w:p>
        <w:p w14:paraId="13A82194" w14:textId="134F1E96" w:rsidR="00646843" w:rsidRDefault="00AF7F19">
          <w:pPr>
            <w:pStyle w:val="TOC2"/>
            <w:rPr>
              <w:rFonts w:asciiTheme="minorHAnsi" w:eastAsiaTheme="minorEastAsia" w:hAnsiTheme="minorHAnsi" w:cstheme="minorBidi"/>
              <w:bCs w:val="0"/>
              <w:sz w:val="22"/>
              <w:szCs w:val="22"/>
              <w:lang w:val="en-DK" w:eastAsia="en-DK"/>
            </w:rPr>
          </w:pPr>
          <w:hyperlink w:anchor="_Toc119582844" w:history="1">
            <w:r w:rsidR="00646843" w:rsidRPr="009C2C2A">
              <w:rPr>
                <w:rStyle w:val="Hyperlink"/>
              </w:rPr>
              <w:t>4.2</w:t>
            </w:r>
            <w:r w:rsidR="00646843">
              <w:rPr>
                <w:rFonts w:asciiTheme="minorHAnsi" w:eastAsiaTheme="minorEastAsia" w:hAnsiTheme="minorHAnsi" w:cstheme="minorBidi"/>
                <w:bCs w:val="0"/>
                <w:sz w:val="22"/>
                <w:szCs w:val="22"/>
                <w:lang w:val="en-DK" w:eastAsia="en-DK"/>
              </w:rPr>
              <w:tab/>
            </w:r>
            <w:r w:rsidR="00646843" w:rsidRPr="009C2C2A">
              <w:rPr>
                <w:rStyle w:val="Hyperlink"/>
              </w:rPr>
              <w:t>Compatibility Discussions</w:t>
            </w:r>
            <w:r w:rsidR="00646843">
              <w:rPr>
                <w:webHidden/>
              </w:rPr>
              <w:tab/>
            </w:r>
            <w:r w:rsidR="00646843">
              <w:rPr>
                <w:webHidden/>
              </w:rPr>
              <w:fldChar w:fldCharType="begin"/>
            </w:r>
            <w:r w:rsidR="00646843">
              <w:rPr>
                <w:webHidden/>
              </w:rPr>
              <w:instrText xml:space="preserve"> PAGEREF _Toc119582844 \h </w:instrText>
            </w:r>
            <w:r w:rsidR="00646843">
              <w:rPr>
                <w:webHidden/>
              </w:rPr>
            </w:r>
            <w:r w:rsidR="00646843">
              <w:rPr>
                <w:webHidden/>
              </w:rPr>
              <w:fldChar w:fldCharType="separate"/>
            </w:r>
            <w:r w:rsidR="009464FD">
              <w:rPr>
                <w:webHidden/>
              </w:rPr>
              <w:t>8</w:t>
            </w:r>
            <w:r w:rsidR="00646843">
              <w:rPr>
                <w:webHidden/>
              </w:rPr>
              <w:fldChar w:fldCharType="end"/>
            </w:r>
          </w:hyperlink>
        </w:p>
        <w:p w14:paraId="341CD480" w14:textId="2250D543" w:rsidR="00646843" w:rsidRDefault="00AF7F19">
          <w:pPr>
            <w:pStyle w:val="TOC2"/>
            <w:rPr>
              <w:rFonts w:asciiTheme="minorHAnsi" w:eastAsiaTheme="minorEastAsia" w:hAnsiTheme="minorHAnsi" w:cstheme="minorBidi"/>
              <w:bCs w:val="0"/>
              <w:sz w:val="22"/>
              <w:szCs w:val="22"/>
              <w:lang w:val="en-DK" w:eastAsia="en-DK"/>
            </w:rPr>
          </w:pPr>
          <w:hyperlink w:anchor="_Toc119582845" w:history="1">
            <w:r w:rsidR="00646843" w:rsidRPr="009C2C2A">
              <w:rPr>
                <w:rStyle w:val="Hyperlink"/>
              </w:rPr>
              <w:t>4.3</w:t>
            </w:r>
            <w:r w:rsidR="00646843">
              <w:rPr>
                <w:rFonts w:asciiTheme="minorHAnsi" w:eastAsiaTheme="minorEastAsia" w:hAnsiTheme="minorHAnsi" w:cstheme="minorBidi"/>
                <w:bCs w:val="0"/>
                <w:sz w:val="22"/>
                <w:szCs w:val="22"/>
                <w:lang w:val="en-DK" w:eastAsia="en-DK"/>
              </w:rPr>
              <w:tab/>
            </w:r>
            <w:r w:rsidR="00646843" w:rsidRPr="009C2C2A">
              <w:rPr>
                <w:rStyle w:val="Hyperlink"/>
              </w:rPr>
              <w:t>Summary</w:t>
            </w:r>
            <w:r w:rsidR="00646843">
              <w:rPr>
                <w:webHidden/>
              </w:rPr>
              <w:tab/>
            </w:r>
            <w:r w:rsidR="00646843">
              <w:rPr>
                <w:webHidden/>
              </w:rPr>
              <w:fldChar w:fldCharType="begin"/>
            </w:r>
            <w:r w:rsidR="00646843">
              <w:rPr>
                <w:webHidden/>
              </w:rPr>
              <w:instrText xml:space="preserve"> PAGEREF _Toc119582845 \h </w:instrText>
            </w:r>
            <w:r w:rsidR="00646843">
              <w:rPr>
                <w:webHidden/>
              </w:rPr>
            </w:r>
            <w:r w:rsidR="00646843">
              <w:rPr>
                <w:webHidden/>
              </w:rPr>
              <w:fldChar w:fldCharType="separate"/>
            </w:r>
            <w:r w:rsidR="009464FD">
              <w:rPr>
                <w:webHidden/>
              </w:rPr>
              <w:t>8</w:t>
            </w:r>
            <w:r w:rsidR="00646843">
              <w:rPr>
                <w:webHidden/>
              </w:rPr>
              <w:fldChar w:fldCharType="end"/>
            </w:r>
          </w:hyperlink>
        </w:p>
        <w:p w14:paraId="51111302" w14:textId="5E379272" w:rsidR="00646843" w:rsidRDefault="00AF7F19">
          <w:pPr>
            <w:pStyle w:val="TOC1"/>
            <w:rPr>
              <w:rFonts w:asciiTheme="minorHAnsi" w:eastAsiaTheme="minorEastAsia" w:hAnsiTheme="minorHAnsi" w:cstheme="minorBidi"/>
              <w:b w:val="0"/>
              <w:noProof/>
              <w:sz w:val="22"/>
              <w:szCs w:val="22"/>
              <w:lang w:val="en-DK" w:eastAsia="en-DK"/>
            </w:rPr>
          </w:pPr>
          <w:hyperlink w:anchor="_Toc119582846" w:history="1">
            <w:r w:rsidR="00646843" w:rsidRPr="009C2C2A">
              <w:rPr>
                <w:rStyle w:val="Hyperlink"/>
                <w:noProof/>
              </w:rPr>
              <w:t>5</w:t>
            </w:r>
            <w:r w:rsidR="00646843">
              <w:rPr>
                <w:rFonts w:asciiTheme="minorHAnsi" w:eastAsiaTheme="minorEastAsia" w:hAnsiTheme="minorHAnsi" w:cstheme="minorBidi"/>
                <w:b w:val="0"/>
                <w:noProof/>
                <w:sz w:val="22"/>
                <w:szCs w:val="22"/>
                <w:lang w:val="en-DK" w:eastAsia="en-DK"/>
              </w:rPr>
              <w:tab/>
            </w:r>
            <w:r w:rsidR="00646843" w:rsidRPr="009C2C2A">
              <w:rPr>
                <w:rStyle w:val="Hyperlink"/>
                <w:noProof/>
              </w:rPr>
              <w:t>2 GHz Band</w:t>
            </w:r>
            <w:r w:rsidR="00646843">
              <w:rPr>
                <w:noProof/>
                <w:webHidden/>
              </w:rPr>
              <w:tab/>
            </w:r>
            <w:r w:rsidR="00646843">
              <w:rPr>
                <w:noProof/>
                <w:webHidden/>
              </w:rPr>
              <w:fldChar w:fldCharType="begin"/>
            </w:r>
            <w:r w:rsidR="00646843">
              <w:rPr>
                <w:noProof/>
                <w:webHidden/>
              </w:rPr>
              <w:instrText xml:space="preserve"> PAGEREF _Toc119582846 \h </w:instrText>
            </w:r>
            <w:r w:rsidR="00646843">
              <w:rPr>
                <w:noProof/>
                <w:webHidden/>
              </w:rPr>
            </w:r>
            <w:r w:rsidR="00646843">
              <w:rPr>
                <w:noProof/>
                <w:webHidden/>
              </w:rPr>
              <w:fldChar w:fldCharType="separate"/>
            </w:r>
            <w:r w:rsidR="009464FD">
              <w:rPr>
                <w:noProof/>
                <w:webHidden/>
              </w:rPr>
              <w:t>9</w:t>
            </w:r>
            <w:r w:rsidR="00646843">
              <w:rPr>
                <w:noProof/>
                <w:webHidden/>
              </w:rPr>
              <w:fldChar w:fldCharType="end"/>
            </w:r>
          </w:hyperlink>
        </w:p>
        <w:p w14:paraId="17130BC5" w14:textId="593A31FA" w:rsidR="00646843" w:rsidRDefault="00AF7F19">
          <w:pPr>
            <w:pStyle w:val="TOC2"/>
            <w:rPr>
              <w:rFonts w:asciiTheme="minorHAnsi" w:eastAsiaTheme="minorEastAsia" w:hAnsiTheme="minorHAnsi" w:cstheme="minorBidi"/>
              <w:bCs w:val="0"/>
              <w:sz w:val="22"/>
              <w:szCs w:val="22"/>
              <w:lang w:val="en-DK" w:eastAsia="en-DK"/>
            </w:rPr>
          </w:pPr>
          <w:hyperlink w:anchor="_Toc119582847" w:history="1">
            <w:r w:rsidR="00646843" w:rsidRPr="009C2C2A">
              <w:rPr>
                <w:rStyle w:val="Hyperlink"/>
              </w:rPr>
              <w:t>5.1</w:t>
            </w:r>
            <w:r w:rsidR="00646843">
              <w:rPr>
                <w:rFonts w:asciiTheme="minorHAnsi" w:eastAsiaTheme="minorEastAsia" w:hAnsiTheme="minorHAnsi" w:cstheme="minorBidi"/>
                <w:bCs w:val="0"/>
                <w:sz w:val="22"/>
                <w:szCs w:val="22"/>
                <w:lang w:val="en-DK" w:eastAsia="en-DK"/>
              </w:rPr>
              <w:tab/>
            </w:r>
            <w:r w:rsidR="00646843" w:rsidRPr="009C2C2A">
              <w:rPr>
                <w:rStyle w:val="Hyperlink"/>
              </w:rPr>
              <w:t>Frequency Arrangement</w:t>
            </w:r>
            <w:r w:rsidR="00646843">
              <w:rPr>
                <w:webHidden/>
              </w:rPr>
              <w:tab/>
            </w:r>
            <w:r w:rsidR="00646843">
              <w:rPr>
                <w:webHidden/>
              </w:rPr>
              <w:fldChar w:fldCharType="begin"/>
            </w:r>
            <w:r w:rsidR="00646843">
              <w:rPr>
                <w:webHidden/>
              </w:rPr>
              <w:instrText xml:space="preserve"> PAGEREF _Toc119582847 \h </w:instrText>
            </w:r>
            <w:r w:rsidR="00646843">
              <w:rPr>
                <w:webHidden/>
              </w:rPr>
            </w:r>
            <w:r w:rsidR="00646843">
              <w:rPr>
                <w:webHidden/>
              </w:rPr>
              <w:fldChar w:fldCharType="separate"/>
            </w:r>
            <w:r w:rsidR="009464FD">
              <w:rPr>
                <w:webHidden/>
              </w:rPr>
              <w:t>9</w:t>
            </w:r>
            <w:r w:rsidR="00646843">
              <w:rPr>
                <w:webHidden/>
              </w:rPr>
              <w:fldChar w:fldCharType="end"/>
            </w:r>
          </w:hyperlink>
        </w:p>
        <w:p w14:paraId="50B74873" w14:textId="0952C0C0" w:rsidR="00646843" w:rsidRDefault="00AF7F19">
          <w:pPr>
            <w:pStyle w:val="TOC2"/>
            <w:rPr>
              <w:rFonts w:asciiTheme="minorHAnsi" w:eastAsiaTheme="minorEastAsia" w:hAnsiTheme="minorHAnsi" w:cstheme="minorBidi"/>
              <w:bCs w:val="0"/>
              <w:sz w:val="22"/>
              <w:szCs w:val="22"/>
              <w:lang w:val="en-DK" w:eastAsia="en-DK"/>
            </w:rPr>
          </w:pPr>
          <w:hyperlink w:anchor="_Toc119582848" w:history="1">
            <w:r w:rsidR="00646843" w:rsidRPr="009C2C2A">
              <w:rPr>
                <w:rStyle w:val="Hyperlink"/>
              </w:rPr>
              <w:t>5.2</w:t>
            </w:r>
            <w:r w:rsidR="00646843">
              <w:rPr>
                <w:rFonts w:asciiTheme="minorHAnsi" w:eastAsiaTheme="minorEastAsia" w:hAnsiTheme="minorHAnsi" w:cstheme="minorBidi"/>
                <w:bCs w:val="0"/>
                <w:sz w:val="22"/>
                <w:szCs w:val="22"/>
                <w:lang w:val="en-DK" w:eastAsia="en-DK"/>
              </w:rPr>
              <w:tab/>
            </w:r>
            <w:r w:rsidR="00646843" w:rsidRPr="009C2C2A">
              <w:rPr>
                <w:rStyle w:val="Hyperlink"/>
              </w:rPr>
              <w:t>Compatibility Discussions</w:t>
            </w:r>
            <w:r w:rsidR="00646843">
              <w:rPr>
                <w:webHidden/>
              </w:rPr>
              <w:tab/>
            </w:r>
            <w:r w:rsidR="00646843">
              <w:rPr>
                <w:webHidden/>
              </w:rPr>
              <w:fldChar w:fldCharType="begin"/>
            </w:r>
            <w:r w:rsidR="00646843">
              <w:rPr>
                <w:webHidden/>
              </w:rPr>
              <w:instrText xml:space="preserve"> PAGEREF _Toc119582848 \h </w:instrText>
            </w:r>
            <w:r w:rsidR="00646843">
              <w:rPr>
                <w:webHidden/>
              </w:rPr>
            </w:r>
            <w:r w:rsidR="00646843">
              <w:rPr>
                <w:webHidden/>
              </w:rPr>
              <w:fldChar w:fldCharType="separate"/>
            </w:r>
            <w:r w:rsidR="009464FD">
              <w:rPr>
                <w:webHidden/>
              </w:rPr>
              <w:t>9</w:t>
            </w:r>
            <w:r w:rsidR="00646843">
              <w:rPr>
                <w:webHidden/>
              </w:rPr>
              <w:fldChar w:fldCharType="end"/>
            </w:r>
          </w:hyperlink>
        </w:p>
        <w:p w14:paraId="22635359" w14:textId="4A651CC9" w:rsidR="00646843" w:rsidRDefault="00AF7F19">
          <w:pPr>
            <w:pStyle w:val="TOC2"/>
            <w:rPr>
              <w:rFonts w:asciiTheme="minorHAnsi" w:eastAsiaTheme="minorEastAsia" w:hAnsiTheme="minorHAnsi" w:cstheme="minorBidi"/>
              <w:bCs w:val="0"/>
              <w:sz w:val="22"/>
              <w:szCs w:val="22"/>
              <w:lang w:val="en-DK" w:eastAsia="en-DK"/>
            </w:rPr>
          </w:pPr>
          <w:hyperlink w:anchor="_Toc119582849" w:history="1">
            <w:r w:rsidR="00646843" w:rsidRPr="009C2C2A">
              <w:rPr>
                <w:rStyle w:val="Hyperlink"/>
              </w:rPr>
              <w:t>5.3</w:t>
            </w:r>
            <w:r w:rsidR="00646843">
              <w:rPr>
                <w:rFonts w:asciiTheme="minorHAnsi" w:eastAsiaTheme="minorEastAsia" w:hAnsiTheme="minorHAnsi" w:cstheme="minorBidi"/>
                <w:bCs w:val="0"/>
                <w:sz w:val="22"/>
                <w:szCs w:val="22"/>
                <w:lang w:val="en-DK" w:eastAsia="en-DK"/>
              </w:rPr>
              <w:tab/>
            </w:r>
            <w:r w:rsidR="00646843" w:rsidRPr="009C2C2A">
              <w:rPr>
                <w:rStyle w:val="Hyperlink"/>
              </w:rPr>
              <w:t>Summary</w:t>
            </w:r>
            <w:r w:rsidR="00646843">
              <w:rPr>
                <w:webHidden/>
              </w:rPr>
              <w:tab/>
            </w:r>
            <w:r w:rsidR="00646843">
              <w:rPr>
                <w:webHidden/>
              </w:rPr>
              <w:fldChar w:fldCharType="begin"/>
            </w:r>
            <w:r w:rsidR="00646843">
              <w:rPr>
                <w:webHidden/>
              </w:rPr>
              <w:instrText xml:space="preserve"> PAGEREF _Toc119582849 \h </w:instrText>
            </w:r>
            <w:r w:rsidR="00646843">
              <w:rPr>
                <w:webHidden/>
              </w:rPr>
            </w:r>
            <w:r w:rsidR="00646843">
              <w:rPr>
                <w:webHidden/>
              </w:rPr>
              <w:fldChar w:fldCharType="separate"/>
            </w:r>
            <w:r w:rsidR="009464FD">
              <w:rPr>
                <w:webHidden/>
              </w:rPr>
              <w:t>9</w:t>
            </w:r>
            <w:r w:rsidR="00646843">
              <w:rPr>
                <w:webHidden/>
              </w:rPr>
              <w:fldChar w:fldCharType="end"/>
            </w:r>
          </w:hyperlink>
        </w:p>
        <w:p w14:paraId="57814291" w14:textId="4EAE71D3" w:rsidR="00646843" w:rsidRDefault="00AF7F19">
          <w:pPr>
            <w:pStyle w:val="TOC1"/>
            <w:rPr>
              <w:rFonts w:asciiTheme="minorHAnsi" w:eastAsiaTheme="minorEastAsia" w:hAnsiTheme="minorHAnsi" w:cstheme="minorBidi"/>
              <w:b w:val="0"/>
              <w:noProof/>
              <w:sz w:val="22"/>
              <w:szCs w:val="22"/>
              <w:lang w:val="en-DK" w:eastAsia="en-DK"/>
            </w:rPr>
          </w:pPr>
          <w:hyperlink w:anchor="_Toc119582850" w:history="1">
            <w:r w:rsidR="00646843" w:rsidRPr="009C2C2A">
              <w:rPr>
                <w:rStyle w:val="Hyperlink"/>
                <w:noProof/>
              </w:rPr>
              <w:t>6</w:t>
            </w:r>
            <w:r w:rsidR="00646843">
              <w:rPr>
                <w:rFonts w:asciiTheme="minorHAnsi" w:eastAsiaTheme="minorEastAsia" w:hAnsiTheme="minorHAnsi" w:cstheme="minorBidi"/>
                <w:b w:val="0"/>
                <w:noProof/>
                <w:sz w:val="22"/>
                <w:szCs w:val="22"/>
                <w:lang w:val="en-DK" w:eastAsia="en-DK"/>
              </w:rPr>
              <w:tab/>
            </w:r>
            <w:r w:rsidR="00646843" w:rsidRPr="009C2C2A">
              <w:rPr>
                <w:rStyle w:val="Hyperlink"/>
                <w:noProof/>
              </w:rPr>
              <w:t>2.6 GHz Band</w:t>
            </w:r>
            <w:r w:rsidR="00646843">
              <w:rPr>
                <w:noProof/>
                <w:webHidden/>
              </w:rPr>
              <w:tab/>
            </w:r>
            <w:r w:rsidR="00646843">
              <w:rPr>
                <w:noProof/>
                <w:webHidden/>
              </w:rPr>
              <w:fldChar w:fldCharType="begin"/>
            </w:r>
            <w:r w:rsidR="00646843">
              <w:rPr>
                <w:noProof/>
                <w:webHidden/>
              </w:rPr>
              <w:instrText xml:space="preserve"> PAGEREF _Toc119582850 \h </w:instrText>
            </w:r>
            <w:r w:rsidR="00646843">
              <w:rPr>
                <w:noProof/>
                <w:webHidden/>
              </w:rPr>
            </w:r>
            <w:r w:rsidR="00646843">
              <w:rPr>
                <w:noProof/>
                <w:webHidden/>
              </w:rPr>
              <w:fldChar w:fldCharType="separate"/>
            </w:r>
            <w:r w:rsidR="009464FD">
              <w:rPr>
                <w:noProof/>
                <w:webHidden/>
              </w:rPr>
              <w:t>10</w:t>
            </w:r>
            <w:r w:rsidR="00646843">
              <w:rPr>
                <w:noProof/>
                <w:webHidden/>
              </w:rPr>
              <w:fldChar w:fldCharType="end"/>
            </w:r>
          </w:hyperlink>
        </w:p>
        <w:p w14:paraId="14E38839" w14:textId="74B45659" w:rsidR="00646843" w:rsidRDefault="00AF7F19">
          <w:pPr>
            <w:pStyle w:val="TOC2"/>
            <w:rPr>
              <w:rFonts w:asciiTheme="minorHAnsi" w:eastAsiaTheme="minorEastAsia" w:hAnsiTheme="minorHAnsi" w:cstheme="minorBidi"/>
              <w:bCs w:val="0"/>
              <w:sz w:val="22"/>
              <w:szCs w:val="22"/>
              <w:lang w:val="en-DK" w:eastAsia="en-DK"/>
            </w:rPr>
          </w:pPr>
          <w:hyperlink w:anchor="_Toc119582851" w:history="1">
            <w:r w:rsidR="00646843" w:rsidRPr="009C2C2A">
              <w:rPr>
                <w:rStyle w:val="Hyperlink"/>
              </w:rPr>
              <w:t>6.1</w:t>
            </w:r>
            <w:r w:rsidR="00646843">
              <w:rPr>
                <w:rFonts w:asciiTheme="minorHAnsi" w:eastAsiaTheme="minorEastAsia" w:hAnsiTheme="minorHAnsi" w:cstheme="minorBidi"/>
                <w:bCs w:val="0"/>
                <w:sz w:val="22"/>
                <w:szCs w:val="22"/>
                <w:lang w:val="en-DK" w:eastAsia="en-DK"/>
              </w:rPr>
              <w:tab/>
            </w:r>
            <w:r w:rsidR="00646843" w:rsidRPr="009C2C2A">
              <w:rPr>
                <w:rStyle w:val="Hyperlink"/>
              </w:rPr>
              <w:t>Frequency Arrangement</w:t>
            </w:r>
            <w:r w:rsidR="00646843">
              <w:rPr>
                <w:webHidden/>
              </w:rPr>
              <w:tab/>
            </w:r>
            <w:r w:rsidR="00646843">
              <w:rPr>
                <w:webHidden/>
              </w:rPr>
              <w:fldChar w:fldCharType="begin"/>
            </w:r>
            <w:r w:rsidR="00646843">
              <w:rPr>
                <w:webHidden/>
              </w:rPr>
              <w:instrText xml:space="preserve"> PAGEREF _Toc119582851 \h </w:instrText>
            </w:r>
            <w:r w:rsidR="00646843">
              <w:rPr>
                <w:webHidden/>
              </w:rPr>
            </w:r>
            <w:r w:rsidR="00646843">
              <w:rPr>
                <w:webHidden/>
              </w:rPr>
              <w:fldChar w:fldCharType="separate"/>
            </w:r>
            <w:r w:rsidR="009464FD">
              <w:rPr>
                <w:webHidden/>
              </w:rPr>
              <w:t>10</w:t>
            </w:r>
            <w:r w:rsidR="00646843">
              <w:rPr>
                <w:webHidden/>
              </w:rPr>
              <w:fldChar w:fldCharType="end"/>
            </w:r>
          </w:hyperlink>
        </w:p>
        <w:p w14:paraId="77EDBA7C" w14:textId="47676D50" w:rsidR="00646843" w:rsidRDefault="00AF7F19">
          <w:pPr>
            <w:pStyle w:val="TOC2"/>
            <w:rPr>
              <w:rFonts w:asciiTheme="minorHAnsi" w:eastAsiaTheme="minorEastAsia" w:hAnsiTheme="minorHAnsi" w:cstheme="minorBidi"/>
              <w:bCs w:val="0"/>
              <w:sz w:val="22"/>
              <w:szCs w:val="22"/>
              <w:lang w:val="en-DK" w:eastAsia="en-DK"/>
            </w:rPr>
          </w:pPr>
          <w:hyperlink w:anchor="_Toc119582852" w:history="1">
            <w:r w:rsidR="00646843" w:rsidRPr="009C2C2A">
              <w:rPr>
                <w:rStyle w:val="Hyperlink"/>
              </w:rPr>
              <w:t>6.2</w:t>
            </w:r>
            <w:r w:rsidR="00646843">
              <w:rPr>
                <w:rFonts w:asciiTheme="minorHAnsi" w:eastAsiaTheme="minorEastAsia" w:hAnsiTheme="minorHAnsi" w:cstheme="minorBidi"/>
                <w:bCs w:val="0"/>
                <w:sz w:val="22"/>
                <w:szCs w:val="22"/>
                <w:lang w:val="en-DK" w:eastAsia="en-DK"/>
              </w:rPr>
              <w:tab/>
            </w:r>
            <w:r w:rsidR="00646843" w:rsidRPr="009C2C2A">
              <w:rPr>
                <w:rStyle w:val="Hyperlink"/>
              </w:rPr>
              <w:t>Compatibility Discussions</w:t>
            </w:r>
            <w:r w:rsidR="00646843">
              <w:rPr>
                <w:webHidden/>
              </w:rPr>
              <w:tab/>
            </w:r>
            <w:r w:rsidR="00646843">
              <w:rPr>
                <w:webHidden/>
              </w:rPr>
              <w:fldChar w:fldCharType="begin"/>
            </w:r>
            <w:r w:rsidR="00646843">
              <w:rPr>
                <w:webHidden/>
              </w:rPr>
              <w:instrText xml:space="preserve"> PAGEREF _Toc119582852 \h </w:instrText>
            </w:r>
            <w:r w:rsidR="00646843">
              <w:rPr>
                <w:webHidden/>
              </w:rPr>
            </w:r>
            <w:r w:rsidR="00646843">
              <w:rPr>
                <w:webHidden/>
              </w:rPr>
              <w:fldChar w:fldCharType="separate"/>
            </w:r>
            <w:r w:rsidR="009464FD">
              <w:rPr>
                <w:webHidden/>
              </w:rPr>
              <w:t>10</w:t>
            </w:r>
            <w:r w:rsidR="00646843">
              <w:rPr>
                <w:webHidden/>
              </w:rPr>
              <w:fldChar w:fldCharType="end"/>
            </w:r>
          </w:hyperlink>
        </w:p>
        <w:p w14:paraId="761827B2" w14:textId="6198633C" w:rsidR="00646843" w:rsidRDefault="00AF7F19">
          <w:pPr>
            <w:pStyle w:val="TOC2"/>
            <w:rPr>
              <w:rFonts w:asciiTheme="minorHAnsi" w:eastAsiaTheme="minorEastAsia" w:hAnsiTheme="minorHAnsi" w:cstheme="minorBidi"/>
              <w:bCs w:val="0"/>
              <w:sz w:val="22"/>
              <w:szCs w:val="22"/>
              <w:lang w:val="en-DK" w:eastAsia="en-DK"/>
            </w:rPr>
          </w:pPr>
          <w:hyperlink w:anchor="_Toc119582853" w:history="1">
            <w:r w:rsidR="00646843" w:rsidRPr="009C2C2A">
              <w:rPr>
                <w:rStyle w:val="Hyperlink"/>
              </w:rPr>
              <w:t>6.3</w:t>
            </w:r>
            <w:r w:rsidR="00646843">
              <w:rPr>
                <w:rFonts w:asciiTheme="minorHAnsi" w:eastAsiaTheme="minorEastAsia" w:hAnsiTheme="minorHAnsi" w:cstheme="minorBidi"/>
                <w:bCs w:val="0"/>
                <w:sz w:val="22"/>
                <w:szCs w:val="22"/>
                <w:lang w:val="en-DK" w:eastAsia="en-DK"/>
              </w:rPr>
              <w:tab/>
            </w:r>
            <w:r w:rsidR="00646843" w:rsidRPr="009C2C2A">
              <w:rPr>
                <w:rStyle w:val="Hyperlink"/>
              </w:rPr>
              <w:t>Summary</w:t>
            </w:r>
            <w:r w:rsidR="00646843">
              <w:rPr>
                <w:webHidden/>
              </w:rPr>
              <w:tab/>
            </w:r>
            <w:r w:rsidR="00646843">
              <w:rPr>
                <w:webHidden/>
              </w:rPr>
              <w:fldChar w:fldCharType="begin"/>
            </w:r>
            <w:r w:rsidR="00646843">
              <w:rPr>
                <w:webHidden/>
              </w:rPr>
              <w:instrText xml:space="preserve"> PAGEREF _Toc119582853 \h </w:instrText>
            </w:r>
            <w:r w:rsidR="00646843">
              <w:rPr>
                <w:webHidden/>
              </w:rPr>
            </w:r>
            <w:r w:rsidR="00646843">
              <w:rPr>
                <w:webHidden/>
              </w:rPr>
              <w:fldChar w:fldCharType="separate"/>
            </w:r>
            <w:r w:rsidR="009464FD">
              <w:rPr>
                <w:webHidden/>
              </w:rPr>
              <w:t>10</w:t>
            </w:r>
            <w:r w:rsidR="00646843">
              <w:rPr>
                <w:webHidden/>
              </w:rPr>
              <w:fldChar w:fldCharType="end"/>
            </w:r>
          </w:hyperlink>
        </w:p>
        <w:p w14:paraId="17B7D339" w14:textId="31C05219" w:rsidR="00646843" w:rsidRDefault="00AF7F19">
          <w:pPr>
            <w:pStyle w:val="TOC1"/>
            <w:rPr>
              <w:rFonts w:asciiTheme="minorHAnsi" w:eastAsiaTheme="minorEastAsia" w:hAnsiTheme="minorHAnsi" w:cstheme="minorBidi"/>
              <w:b w:val="0"/>
              <w:noProof/>
              <w:sz w:val="22"/>
              <w:szCs w:val="22"/>
              <w:lang w:val="en-DK" w:eastAsia="en-DK"/>
            </w:rPr>
          </w:pPr>
          <w:hyperlink w:anchor="_Toc119582854" w:history="1">
            <w:r w:rsidR="00646843" w:rsidRPr="009C2C2A">
              <w:rPr>
                <w:rStyle w:val="Hyperlink"/>
                <w:noProof/>
              </w:rPr>
              <w:t>7</w:t>
            </w:r>
            <w:r w:rsidR="00646843">
              <w:rPr>
                <w:rFonts w:asciiTheme="minorHAnsi" w:eastAsiaTheme="minorEastAsia" w:hAnsiTheme="minorHAnsi" w:cstheme="minorBidi"/>
                <w:b w:val="0"/>
                <w:noProof/>
                <w:sz w:val="22"/>
                <w:szCs w:val="22"/>
                <w:lang w:val="en-DK" w:eastAsia="en-DK"/>
              </w:rPr>
              <w:tab/>
            </w:r>
            <w:r w:rsidR="00646843" w:rsidRPr="009C2C2A">
              <w:rPr>
                <w:rStyle w:val="Hyperlink"/>
                <w:noProof/>
              </w:rPr>
              <w:t>Conclusion</w:t>
            </w:r>
            <w:r w:rsidR="00646843">
              <w:rPr>
                <w:noProof/>
                <w:webHidden/>
              </w:rPr>
              <w:tab/>
            </w:r>
            <w:r w:rsidR="00646843">
              <w:rPr>
                <w:noProof/>
                <w:webHidden/>
              </w:rPr>
              <w:fldChar w:fldCharType="begin"/>
            </w:r>
            <w:r w:rsidR="00646843">
              <w:rPr>
                <w:noProof/>
                <w:webHidden/>
              </w:rPr>
              <w:instrText xml:space="preserve"> PAGEREF _Toc119582854 \h </w:instrText>
            </w:r>
            <w:r w:rsidR="00646843">
              <w:rPr>
                <w:noProof/>
                <w:webHidden/>
              </w:rPr>
            </w:r>
            <w:r w:rsidR="00646843">
              <w:rPr>
                <w:noProof/>
                <w:webHidden/>
              </w:rPr>
              <w:fldChar w:fldCharType="separate"/>
            </w:r>
            <w:r w:rsidR="009464FD">
              <w:rPr>
                <w:noProof/>
                <w:webHidden/>
              </w:rPr>
              <w:t>11</w:t>
            </w:r>
            <w:r w:rsidR="00646843">
              <w:rPr>
                <w:noProof/>
                <w:webHidden/>
              </w:rPr>
              <w:fldChar w:fldCharType="end"/>
            </w:r>
          </w:hyperlink>
        </w:p>
        <w:p w14:paraId="022EF96B" w14:textId="21D8E354" w:rsidR="00646843" w:rsidRDefault="00AF7F19">
          <w:pPr>
            <w:pStyle w:val="TOC1"/>
            <w:rPr>
              <w:rFonts w:asciiTheme="minorHAnsi" w:eastAsiaTheme="minorEastAsia" w:hAnsiTheme="minorHAnsi" w:cstheme="minorBidi"/>
              <w:b w:val="0"/>
              <w:noProof/>
              <w:sz w:val="22"/>
              <w:szCs w:val="22"/>
              <w:lang w:val="en-DK" w:eastAsia="en-DK"/>
            </w:rPr>
          </w:pPr>
          <w:hyperlink w:anchor="_Toc119582855" w:history="1">
            <w:r w:rsidR="00646843" w:rsidRPr="009C2C2A">
              <w:rPr>
                <w:rStyle w:val="Hyperlink"/>
                <w:noProof/>
              </w:rPr>
              <w:t>ANNEX 1: Impact of AAS BS serving Aerial UE in the 2110-2170 MHz on Satellite Services operating in 2025-2110 MHz (Earth-to-Space)</w:t>
            </w:r>
            <w:r w:rsidR="00646843">
              <w:rPr>
                <w:noProof/>
                <w:webHidden/>
              </w:rPr>
              <w:tab/>
            </w:r>
            <w:r w:rsidR="00646843">
              <w:rPr>
                <w:noProof/>
                <w:webHidden/>
              </w:rPr>
              <w:fldChar w:fldCharType="begin"/>
            </w:r>
            <w:r w:rsidR="00646843">
              <w:rPr>
                <w:noProof/>
                <w:webHidden/>
              </w:rPr>
              <w:instrText xml:space="preserve"> PAGEREF _Toc119582855 \h </w:instrText>
            </w:r>
            <w:r w:rsidR="00646843">
              <w:rPr>
                <w:noProof/>
                <w:webHidden/>
              </w:rPr>
            </w:r>
            <w:r w:rsidR="00646843">
              <w:rPr>
                <w:noProof/>
                <w:webHidden/>
              </w:rPr>
              <w:fldChar w:fldCharType="separate"/>
            </w:r>
            <w:r w:rsidR="009464FD">
              <w:rPr>
                <w:noProof/>
                <w:webHidden/>
              </w:rPr>
              <w:t>12</w:t>
            </w:r>
            <w:r w:rsidR="00646843">
              <w:rPr>
                <w:noProof/>
                <w:webHidden/>
              </w:rPr>
              <w:fldChar w:fldCharType="end"/>
            </w:r>
          </w:hyperlink>
        </w:p>
        <w:p w14:paraId="5F232AD4" w14:textId="498043BD" w:rsidR="00646843" w:rsidRDefault="00AF7F19">
          <w:pPr>
            <w:pStyle w:val="TOC1"/>
            <w:rPr>
              <w:rFonts w:asciiTheme="minorHAnsi" w:eastAsiaTheme="minorEastAsia" w:hAnsiTheme="minorHAnsi" w:cstheme="minorBidi"/>
              <w:b w:val="0"/>
              <w:noProof/>
              <w:sz w:val="22"/>
              <w:szCs w:val="22"/>
              <w:lang w:val="en-DK" w:eastAsia="en-DK"/>
            </w:rPr>
          </w:pPr>
          <w:hyperlink w:anchor="_Toc119582856" w:history="1">
            <w:r w:rsidR="00646843" w:rsidRPr="009C2C2A">
              <w:rPr>
                <w:rStyle w:val="Hyperlink"/>
                <w:noProof/>
              </w:rPr>
              <w:t>ANNEX 2: List of References</w:t>
            </w:r>
            <w:r w:rsidR="00646843">
              <w:rPr>
                <w:noProof/>
                <w:webHidden/>
              </w:rPr>
              <w:tab/>
            </w:r>
            <w:r w:rsidR="00646843">
              <w:rPr>
                <w:noProof/>
                <w:webHidden/>
              </w:rPr>
              <w:fldChar w:fldCharType="begin"/>
            </w:r>
            <w:r w:rsidR="00646843">
              <w:rPr>
                <w:noProof/>
                <w:webHidden/>
              </w:rPr>
              <w:instrText xml:space="preserve"> PAGEREF _Toc119582856 \h </w:instrText>
            </w:r>
            <w:r w:rsidR="00646843">
              <w:rPr>
                <w:noProof/>
                <w:webHidden/>
              </w:rPr>
            </w:r>
            <w:r w:rsidR="00646843">
              <w:rPr>
                <w:noProof/>
                <w:webHidden/>
              </w:rPr>
              <w:fldChar w:fldCharType="separate"/>
            </w:r>
            <w:r w:rsidR="009464FD">
              <w:rPr>
                <w:noProof/>
                <w:webHidden/>
              </w:rPr>
              <w:t>26</w:t>
            </w:r>
            <w:r w:rsidR="00646843">
              <w:rPr>
                <w:noProof/>
                <w:webHidden/>
              </w:rPr>
              <w:fldChar w:fldCharType="end"/>
            </w:r>
          </w:hyperlink>
        </w:p>
        <w:p w14:paraId="677B6CC6" w14:textId="3533E749" w:rsidR="00120A17" w:rsidRPr="00BC03FD" w:rsidRDefault="00646843" w:rsidP="00264464">
          <w:pPr>
            <w:rPr>
              <w:rStyle w:val="ECCParagraph"/>
            </w:rPr>
          </w:pPr>
          <w:r>
            <w:rPr>
              <w:rStyle w:val="ECCParagraph"/>
              <w:b/>
            </w:rPr>
            <w:fldChar w:fldCharType="end"/>
          </w:r>
        </w:p>
      </w:sdtContent>
    </w:sdt>
    <w:p w14:paraId="677B6CC7" w14:textId="77777777" w:rsidR="00791AAC" w:rsidRPr="00BC03FD" w:rsidRDefault="00791AAC" w:rsidP="00264464">
      <w:pPr>
        <w:rPr>
          <w:rStyle w:val="ECCParagraph"/>
        </w:rPr>
      </w:pPr>
      <w:r w:rsidRPr="00BC03FD">
        <w:rPr>
          <w:rStyle w:val="ECCParagraph"/>
        </w:rPr>
        <w:br w:type="page"/>
      </w:r>
    </w:p>
    <w:p w14:paraId="677B6CC8" w14:textId="77777777" w:rsidR="008A54FC" w:rsidRPr="00BC03FD" w:rsidRDefault="008A54FC" w:rsidP="00AC2686">
      <w:pPr>
        <w:pStyle w:val="coverpageTableofContent"/>
        <w:rPr>
          <w:noProof w:val="0"/>
          <w:lang w:val="en-GB"/>
        </w:rPr>
      </w:pPr>
    </w:p>
    <w:p w14:paraId="677B6CC9" w14:textId="77777777" w:rsidR="008A54FC" w:rsidRPr="00BC03FD" w:rsidRDefault="00DF2C67" w:rsidP="00E2303A">
      <w:pPr>
        <w:pStyle w:val="coverpageTableofContent"/>
        <w:rPr>
          <w:noProof w:val="0"/>
          <w:lang w:val="en-GB"/>
        </w:rPr>
      </w:pPr>
      <w:r w:rsidRPr="00BC03FD">
        <mc:AlternateContent>
          <mc:Choice Requires="wps">
            <w:drawing>
              <wp:anchor distT="0" distB="0" distL="114300" distR="114300" simplePos="0" relativeHeight="251659264" behindDoc="1" locked="1" layoutInCell="1" allowOverlap="1" wp14:anchorId="677B6F35" wp14:editId="677B6F36">
                <wp:simplePos x="0" y="0"/>
                <wp:positionH relativeFrom="page">
                  <wp:align>center</wp:align>
                </wp:positionH>
                <wp:positionV relativeFrom="page">
                  <wp:posOffset>900430</wp:posOffset>
                </wp:positionV>
                <wp:extent cx="7560000" cy="720000"/>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4AA1C"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" fillcolor="#b0a696" stroked="f">
                <w10:wrap anchorx="page" anchory="page"/>
                <w10:anchorlock/>
              </v:rect>
            </w:pict>
          </mc:Fallback>
        </mc:AlternateContent>
      </w:r>
      <w:r w:rsidR="008A54FC" w:rsidRPr="00BC03FD">
        <w:rPr>
          <w:noProof w:val="0"/>
          <w:lang w:val="en-GB"/>
        </w:rPr>
        <w:t>LIST OF ABBREVIATIONS</w:t>
      </w:r>
    </w:p>
    <w:p w14:paraId="677B6CCA" w14:textId="77777777" w:rsidR="008A54FC" w:rsidRPr="00BC03FD"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19"/>
        <w:gridCol w:w="7059"/>
        <w:gridCol w:w="561"/>
      </w:tblGrid>
      <w:tr w:rsidR="00CE6FF5" w:rsidRPr="00854314" w14:paraId="677B6CCD" w14:textId="77777777" w:rsidTr="00B166C7">
        <w:trPr>
          <w:cnfStyle w:val="100000000000" w:firstRow="1" w:lastRow="0" w:firstColumn="0" w:lastColumn="0" w:oddVBand="0" w:evenVBand="0" w:oddHBand="0" w:evenHBand="0" w:firstRowFirstColumn="0" w:firstRowLastColumn="0" w:lastRowFirstColumn="0" w:lastRowLastColumn="0"/>
          <w:trHeight w:val="76"/>
        </w:trPr>
        <w:tc>
          <w:tcPr>
            <w:tcW w:w="2019" w:type="dxa"/>
          </w:tcPr>
          <w:p w14:paraId="677B6CCB" w14:textId="77777777" w:rsidR="00930439" w:rsidRPr="00854314" w:rsidRDefault="00930439" w:rsidP="00854314">
            <w:pPr>
              <w:pStyle w:val="ECCTableHeaderredfont"/>
            </w:pPr>
            <w:r w:rsidRPr="00854314">
              <w:t>Abbreviation</w:t>
            </w:r>
          </w:p>
        </w:tc>
        <w:tc>
          <w:tcPr>
            <w:tcW w:w="7620" w:type="dxa"/>
            <w:gridSpan w:val="2"/>
          </w:tcPr>
          <w:p w14:paraId="677B6CCC" w14:textId="4D685480" w:rsidR="00930439" w:rsidRPr="00854314" w:rsidRDefault="00930439" w:rsidP="00854314">
            <w:pPr>
              <w:pStyle w:val="ECCTableHeaderredfont"/>
            </w:pPr>
            <w:r w:rsidRPr="00854314">
              <w:t>Explanation</w:t>
            </w:r>
          </w:p>
        </w:tc>
      </w:tr>
      <w:tr w:rsidR="00D65223" w:rsidRPr="00854314" w14:paraId="438A253D" w14:textId="77777777" w:rsidTr="00B166C7">
        <w:trPr>
          <w:trHeight w:val="76"/>
        </w:trPr>
        <w:tc>
          <w:tcPr>
            <w:tcW w:w="2019" w:type="dxa"/>
          </w:tcPr>
          <w:p w14:paraId="1B11B0ED" w14:textId="0738C342" w:rsidR="00D65223" w:rsidRPr="00D65223" w:rsidRDefault="003D1518" w:rsidP="00D65223">
            <w:pPr>
              <w:pStyle w:val="ECCTabletext"/>
              <w:rPr>
                <w:rStyle w:val="ECCHLbold"/>
              </w:rPr>
            </w:pPr>
            <w:r w:rsidRPr="003D1518">
              <w:rPr>
                <w:rStyle w:val="ECCHLbold"/>
              </w:rPr>
              <w:t>3GPP</w:t>
            </w:r>
          </w:p>
        </w:tc>
        <w:tc>
          <w:tcPr>
            <w:tcW w:w="7620" w:type="dxa"/>
            <w:gridSpan w:val="2"/>
          </w:tcPr>
          <w:p w14:paraId="10BD26E7" w14:textId="384E8545" w:rsidR="00D65223" w:rsidRPr="00854314" w:rsidRDefault="003D1518" w:rsidP="00D65223">
            <w:pPr>
              <w:pStyle w:val="ECCTabletext"/>
            </w:pPr>
            <w:r>
              <w:t>3rd Generation Partnership Project</w:t>
            </w:r>
          </w:p>
        </w:tc>
      </w:tr>
      <w:tr w:rsidR="003D1518" w:rsidRPr="00854314" w14:paraId="7F4B5808" w14:textId="77777777" w:rsidTr="00B166C7">
        <w:trPr>
          <w:trHeight w:val="76"/>
        </w:trPr>
        <w:tc>
          <w:tcPr>
            <w:tcW w:w="2019" w:type="dxa"/>
          </w:tcPr>
          <w:p w14:paraId="1E443D2D" w14:textId="2CDCFD85" w:rsidR="003D1518" w:rsidRDefault="003D1518" w:rsidP="00D65223">
            <w:pPr>
              <w:pStyle w:val="ECCTabletext"/>
              <w:rPr>
                <w:rStyle w:val="ECCHLbold"/>
              </w:rPr>
            </w:pPr>
            <w:r>
              <w:rPr>
                <w:rStyle w:val="ECCHLbold"/>
              </w:rPr>
              <w:t>5G NR</w:t>
            </w:r>
          </w:p>
        </w:tc>
        <w:tc>
          <w:tcPr>
            <w:tcW w:w="7620" w:type="dxa"/>
            <w:gridSpan w:val="2"/>
          </w:tcPr>
          <w:p w14:paraId="3AEBB353" w14:textId="2DC49A81" w:rsidR="003D1518" w:rsidRDefault="003D1518" w:rsidP="00D65223">
            <w:pPr>
              <w:pStyle w:val="ECCTabletext"/>
            </w:pPr>
            <w:r>
              <w:t>3GPP 5th Generation mobile networks New Radio</w:t>
            </w:r>
          </w:p>
        </w:tc>
      </w:tr>
      <w:tr w:rsidR="00D65223" w:rsidRPr="00854314" w14:paraId="45547AD2" w14:textId="77777777" w:rsidTr="00B166C7">
        <w:trPr>
          <w:trHeight w:val="76"/>
        </w:trPr>
        <w:tc>
          <w:tcPr>
            <w:tcW w:w="2019" w:type="dxa"/>
          </w:tcPr>
          <w:p w14:paraId="16C9D86A" w14:textId="100ABE3D" w:rsidR="00D65223" w:rsidRPr="00D65223" w:rsidRDefault="00D65223" w:rsidP="00D65223">
            <w:pPr>
              <w:pStyle w:val="ECCTabletext"/>
              <w:rPr>
                <w:rStyle w:val="ECCHLbold"/>
              </w:rPr>
            </w:pPr>
            <w:r w:rsidRPr="00FF08C2">
              <w:rPr>
                <w:rStyle w:val="ECCHLbold"/>
              </w:rPr>
              <w:t>AAS</w:t>
            </w:r>
          </w:p>
        </w:tc>
        <w:tc>
          <w:tcPr>
            <w:tcW w:w="7620" w:type="dxa"/>
            <w:gridSpan w:val="2"/>
          </w:tcPr>
          <w:p w14:paraId="58801939" w14:textId="03D0919D" w:rsidR="00D65223" w:rsidRPr="00854314" w:rsidRDefault="003D1518" w:rsidP="00D65223">
            <w:pPr>
              <w:pStyle w:val="ECCTabletext"/>
            </w:pPr>
            <w:r w:rsidRPr="003D1518">
              <w:t>Active Antenna System</w:t>
            </w:r>
          </w:p>
        </w:tc>
      </w:tr>
      <w:tr w:rsidR="00A654ED" w:rsidRPr="00854314" w14:paraId="35BC2920" w14:textId="77777777" w:rsidTr="00B166C7">
        <w:trPr>
          <w:trHeight w:val="76"/>
        </w:trPr>
        <w:tc>
          <w:tcPr>
            <w:tcW w:w="2019" w:type="dxa"/>
          </w:tcPr>
          <w:p w14:paraId="21678316" w14:textId="5170B5F0" w:rsidR="00A654ED" w:rsidRPr="00FF08C2" w:rsidRDefault="00A654ED" w:rsidP="00D65223">
            <w:pPr>
              <w:pStyle w:val="ECCTabletext"/>
              <w:rPr>
                <w:rStyle w:val="ECCHLbold"/>
              </w:rPr>
            </w:pPr>
            <w:r w:rsidRPr="00A654ED">
              <w:rPr>
                <w:rStyle w:val="ECCHLbold"/>
              </w:rPr>
              <w:t>ACLR</w:t>
            </w:r>
          </w:p>
        </w:tc>
        <w:tc>
          <w:tcPr>
            <w:tcW w:w="7620" w:type="dxa"/>
            <w:gridSpan w:val="2"/>
          </w:tcPr>
          <w:p w14:paraId="1B1CAA40" w14:textId="27C27549" w:rsidR="00A654ED" w:rsidRPr="00854314" w:rsidRDefault="00A654ED" w:rsidP="00A654ED">
            <w:pPr>
              <w:pStyle w:val="ECCTabletext"/>
            </w:pPr>
            <w:r w:rsidRPr="00A654ED">
              <w:t>Adjac</w:t>
            </w:r>
            <w:r>
              <w:t>ent Channel Leakage Power Ratio</w:t>
            </w:r>
          </w:p>
        </w:tc>
      </w:tr>
      <w:tr w:rsidR="009E4895" w:rsidRPr="00854314" w14:paraId="2E9D4BED" w14:textId="77777777" w:rsidTr="00B166C7">
        <w:trPr>
          <w:gridAfter w:val="1"/>
          <w:wAfter w:w="561" w:type="dxa"/>
          <w:trHeight w:val="76"/>
        </w:trPr>
        <w:tc>
          <w:tcPr>
            <w:tcW w:w="2019" w:type="dxa"/>
          </w:tcPr>
          <w:p w14:paraId="2B13C5E9" w14:textId="316E1758" w:rsidR="00461A7F" w:rsidRPr="00A654ED" w:rsidRDefault="00461A7F" w:rsidP="00D65223">
            <w:pPr>
              <w:pStyle w:val="ECCTabletext"/>
              <w:rPr>
                <w:rStyle w:val="ECCHLbold"/>
              </w:rPr>
            </w:pPr>
            <w:r>
              <w:rPr>
                <w:rStyle w:val="ECCHLbold"/>
              </w:rPr>
              <w:t>ATC</w:t>
            </w:r>
          </w:p>
        </w:tc>
        <w:tc>
          <w:tcPr>
            <w:tcW w:w="7059" w:type="dxa"/>
          </w:tcPr>
          <w:p w14:paraId="309C44DA" w14:textId="76B03A29" w:rsidR="00461A7F" w:rsidRPr="00A654ED" w:rsidRDefault="00461A7F" w:rsidP="00A654ED">
            <w:pPr>
              <w:pStyle w:val="ECCTabletext"/>
            </w:pPr>
            <w:r>
              <w:t>Air Traffic Control</w:t>
            </w:r>
          </w:p>
        </w:tc>
      </w:tr>
      <w:tr w:rsidR="00D65223" w:rsidRPr="00854314" w14:paraId="549A147F" w14:textId="77777777" w:rsidTr="00B166C7">
        <w:trPr>
          <w:trHeight w:val="76"/>
        </w:trPr>
        <w:tc>
          <w:tcPr>
            <w:tcW w:w="2019" w:type="dxa"/>
          </w:tcPr>
          <w:p w14:paraId="6588EE8A" w14:textId="1CBA7530" w:rsidR="00D65223" w:rsidRPr="00D65223" w:rsidRDefault="00D65223" w:rsidP="00D65223">
            <w:pPr>
              <w:pStyle w:val="ECCTabletext"/>
              <w:rPr>
                <w:rStyle w:val="ECCHLbold"/>
              </w:rPr>
            </w:pPr>
            <w:r w:rsidRPr="00D65223">
              <w:rPr>
                <w:rStyle w:val="ECCHLbold"/>
              </w:rPr>
              <w:t>BS</w:t>
            </w:r>
          </w:p>
        </w:tc>
        <w:tc>
          <w:tcPr>
            <w:tcW w:w="7620" w:type="dxa"/>
            <w:gridSpan w:val="2"/>
          </w:tcPr>
          <w:p w14:paraId="51340B15" w14:textId="188EBEEB" w:rsidR="00D65223" w:rsidRPr="00854314" w:rsidRDefault="003D1518" w:rsidP="00D65223">
            <w:pPr>
              <w:pStyle w:val="ECCTabletext"/>
            </w:pPr>
            <w:r>
              <w:t>Base Station</w:t>
            </w:r>
          </w:p>
        </w:tc>
      </w:tr>
      <w:tr w:rsidR="00930439" w:rsidRPr="00BC03FD" w14:paraId="677B6CD0" w14:textId="77777777" w:rsidTr="00B166C7">
        <w:trPr>
          <w:trHeight w:val="317"/>
        </w:trPr>
        <w:tc>
          <w:tcPr>
            <w:tcW w:w="2019" w:type="dxa"/>
          </w:tcPr>
          <w:p w14:paraId="677B6CCE" w14:textId="4C95CB6F" w:rsidR="00930439" w:rsidRPr="00BC03FD" w:rsidRDefault="00930439" w:rsidP="004930E1">
            <w:pPr>
              <w:pStyle w:val="ECCTabletext"/>
              <w:rPr>
                <w:rStyle w:val="ECCHLbold"/>
              </w:rPr>
            </w:pPr>
            <w:r w:rsidRPr="00BC03FD">
              <w:rPr>
                <w:rStyle w:val="ECCHLbold"/>
              </w:rPr>
              <w:t>CEPT</w:t>
            </w:r>
          </w:p>
        </w:tc>
        <w:tc>
          <w:tcPr>
            <w:tcW w:w="7620" w:type="dxa"/>
            <w:gridSpan w:val="2"/>
          </w:tcPr>
          <w:p w14:paraId="677B6CCF" w14:textId="77777777" w:rsidR="00930439" w:rsidRPr="00BC03FD" w:rsidRDefault="00930439" w:rsidP="004930E1">
            <w:pPr>
              <w:pStyle w:val="ECCTabletext"/>
            </w:pPr>
            <w:r w:rsidRPr="00BC03FD">
              <w:t>European Conference of Postal and Telecommunications Administrations</w:t>
            </w:r>
          </w:p>
        </w:tc>
      </w:tr>
      <w:tr w:rsidR="00850BF7" w:rsidRPr="00BC03FD" w14:paraId="3D24DB1B" w14:textId="77777777" w:rsidTr="00B166C7">
        <w:trPr>
          <w:trHeight w:val="317"/>
        </w:trPr>
        <w:tc>
          <w:tcPr>
            <w:tcW w:w="2019" w:type="dxa"/>
          </w:tcPr>
          <w:p w14:paraId="4AADC2BD" w14:textId="487E777E" w:rsidR="00850BF7" w:rsidRPr="00BC03FD" w:rsidRDefault="00850BF7" w:rsidP="004930E1">
            <w:pPr>
              <w:pStyle w:val="ECCTabletext"/>
              <w:rPr>
                <w:rStyle w:val="ECCHLbold"/>
              </w:rPr>
            </w:pPr>
            <w:r>
              <w:rPr>
                <w:rStyle w:val="ECCHLbold"/>
              </w:rPr>
              <w:t>CGC</w:t>
            </w:r>
          </w:p>
        </w:tc>
        <w:tc>
          <w:tcPr>
            <w:tcW w:w="7620" w:type="dxa"/>
            <w:gridSpan w:val="2"/>
          </w:tcPr>
          <w:p w14:paraId="07149F03" w14:textId="688AC8F8" w:rsidR="00850BF7" w:rsidRPr="00BC03FD" w:rsidRDefault="00850BF7" w:rsidP="004930E1">
            <w:pPr>
              <w:pStyle w:val="ECCTabletext"/>
            </w:pPr>
            <w:r>
              <w:t>Complementary Ground Component (</w:t>
            </w:r>
            <w:r w:rsidRPr="0034724F">
              <w:rPr>
                <w:rStyle w:val="Emphasis"/>
              </w:rPr>
              <w:t>see ECC</w:t>
            </w:r>
            <w:r w:rsidR="00B7620A" w:rsidRPr="0034724F">
              <w:rPr>
                <w:rStyle w:val="Emphasis"/>
              </w:rPr>
              <w:t xml:space="preserve"> Decision </w:t>
            </w:r>
            <w:r w:rsidRPr="0034724F">
              <w:rPr>
                <w:rStyle w:val="Emphasis"/>
              </w:rPr>
              <w:t>(06)</w:t>
            </w:r>
            <w:r w:rsidRPr="0034724F">
              <w:rPr>
                <w:rStyle w:val="FootnoteReference"/>
              </w:rPr>
              <w:t xml:space="preserve">09 </w:t>
            </w:r>
            <w:r w:rsidR="00496669" w:rsidRPr="000F50C0">
              <w:rPr>
                <w:i/>
                <w:iCs/>
              </w:rPr>
              <w:fldChar w:fldCharType="begin"/>
            </w:r>
            <w:r w:rsidR="00496669" w:rsidRPr="000F50C0">
              <w:rPr>
                <w:i/>
                <w:iCs/>
              </w:rPr>
              <w:instrText xml:space="preserve"> REF _Ref103339015 \r \h </w:instrText>
            </w:r>
            <w:r w:rsidR="000F50C0">
              <w:rPr>
                <w:i/>
                <w:iCs/>
              </w:rPr>
              <w:instrText xml:space="preserve"> \* MERGEFORMAT </w:instrText>
            </w:r>
            <w:r w:rsidR="00496669" w:rsidRPr="000F50C0">
              <w:rPr>
                <w:i/>
                <w:iCs/>
              </w:rPr>
            </w:r>
            <w:r w:rsidR="00496669" w:rsidRPr="000F50C0">
              <w:rPr>
                <w:i/>
                <w:iCs/>
              </w:rPr>
              <w:fldChar w:fldCharType="separate"/>
            </w:r>
            <w:r w:rsidR="009464FD">
              <w:rPr>
                <w:i/>
                <w:iCs/>
              </w:rPr>
              <w:t>[7]</w:t>
            </w:r>
            <w:r w:rsidR="00496669" w:rsidRPr="000F50C0">
              <w:rPr>
                <w:i/>
                <w:iCs/>
              </w:rPr>
              <w:fldChar w:fldCharType="end"/>
            </w:r>
            <w:r w:rsidR="00496669" w:rsidRPr="000F50C0">
              <w:rPr>
                <w:rStyle w:val="Emphasis"/>
              </w:rPr>
              <w:t xml:space="preserve"> </w:t>
            </w:r>
            <w:r w:rsidRPr="000F50C0">
              <w:rPr>
                <w:rStyle w:val="Emphasis"/>
              </w:rPr>
              <w:t>for the definition</w:t>
            </w:r>
            <w:r>
              <w:t>)</w:t>
            </w:r>
          </w:p>
        </w:tc>
      </w:tr>
      <w:tr w:rsidR="00FE6741" w:rsidRPr="00BC03FD" w14:paraId="7C0824C6" w14:textId="77777777" w:rsidTr="00B166C7">
        <w:trPr>
          <w:gridAfter w:val="1"/>
          <w:wAfter w:w="561" w:type="dxa"/>
          <w:trHeight w:val="317"/>
        </w:trPr>
        <w:tc>
          <w:tcPr>
            <w:tcW w:w="2019" w:type="dxa"/>
          </w:tcPr>
          <w:p w14:paraId="63C45B1A" w14:textId="4F22F62F" w:rsidR="00BB3F7A" w:rsidRDefault="00BB3F7A" w:rsidP="004930E1">
            <w:pPr>
              <w:pStyle w:val="ECCTabletext"/>
              <w:rPr>
                <w:rStyle w:val="ECCHLbold"/>
              </w:rPr>
            </w:pPr>
            <w:r>
              <w:rPr>
                <w:rStyle w:val="ECCHLbold"/>
              </w:rPr>
              <w:t>DECT</w:t>
            </w:r>
          </w:p>
        </w:tc>
        <w:tc>
          <w:tcPr>
            <w:tcW w:w="7059" w:type="dxa"/>
          </w:tcPr>
          <w:p w14:paraId="7EE7D94C" w14:textId="3158E018" w:rsidR="00BB3F7A" w:rsidRDefault="00BB3F7A" w:rsidP="004930E1">
            <w:pPr>
              <w:pStyle w:val="ECCTabletext"/>
            </w:pPr>
            <w:r>
              <w:t>Digital Enhanced Cordless Telephony</w:t>
            </w:r>
          </w:p>
        </w:tc>
      </w:tr>
      <w:tr w:rsidR="00930439" w:rsidRPr="00BC03FD" w14:paraId="677B6CD3" w14:textId="77777777" w:rsidTr="00B166C7">
        <w:trPr>
          <w:trHeight w:val="317"/>
        </w:trPr>
        <w:tc>
          <w:tcPr>
            <w:tcW w:w="2019" w:type="dxa"/>
          </w:tcPr>
          <w:p w14:paraId="677B6CD1" w14:textId="47232C12" w:rsidR="00D65223" w:rsidRPr="00BC03FD" w:rsidRDefault="00930439" w:rsidP="004930E1">
            <w:pPr>
              <w:pStyle w:val="ECCTabletext"/>
              <w:rPr>
                <w:rStyle w:val="ECCHLbold"/>
              </w:rPr>
            </w:pPr>
            <w:r w:rsidRPr="00BC03FD">
              <w:rPr>
                <w:rStyle w:val="ECCHLbold"/>
              </w:rPr>
              <w:t>ECC</w:t>
            </w:r>
          </w:p>
        </w:tc>
        <w:tc>
          <w:tcPr>
            <w:tcW w:w="7620" w:type="dxa"/>
            <w:gridSpan w:val="2"/>
          </w:tcPr>
          <w:p w14:paraId="677B6CD2" w14:textId="77777777" w:rsidR="00930439" w:rsidRPr="00BC03FD" w:rsidRDefault="00930439" w:rsidP="004930E1">
            <w:pPr>
              <w:pStyle w:val="ECCTabletext"/>
            </w:pPr>
            <w:r w:rsidRPr="00BC03FD">
              <w:t>Electronic Communications Committee</w:t>
            </w:r>
          </w:p>
        </w:tc>
      </w:tr>
      <w:tr w:rsidR="00D65223" w:rsidRPr="00BC03FD" w14:paraId="4F174F7A" w14:textId="77777777" w:rsidTr="00B166C7">
        <w:trPr>
          <w:trHeight w:val="317"/>
        </w:trPr>
        <w:tc>
          <w:tcPr>
            <w:tcW w:w="2019" w:type="dxa"/>
          </w:tcPr>
          <w:p w14:paraId="21EC1675" w14:textId="468DF7CB" w:rsidR="00D65223" w:rsidRPr="00BC03FD" w:rsidRDefault="00D65223" w:rsidP="004930E1">
            <w:pPr>
              <w:pStyle w:val="ECCTabletext"/>
              <w:rPr>
                <w:rStyle w:val="ECCHLbold"/>
              </w:rPr>
            </w:pPr>
            <w:r>
              <w:rPr>
                <w:rStyle w:val="ECCHLbold"/>
              </w:rPr>
              <w:t>LTE</w:t>
            </w:r>
          </w:p>
        </w:tc>
        <w:tc>
          <w:tcPr>
            <w:tcW w:w="7620" w:type="dxa"/>
            <w:gridSpan w:val="2"/>
          </w:tcPr>
          <w:p w14:paraId="79265853" w14:textId="14BE16D5" w:rsidR="00D65223" w:rsidRPr="00BC03FD" w:rsidRDefault="003D1518" w:rsidP="004930E1">
            <w:pPr>
              <w:pStyle w:val="ECCTabletext"/>
            </w:pPr>
            <w:r>
              <w:t>Long Term Evolution</w:t>
            </w:r>
          </w:p>
        </w:tc>
      </w:tr>
      <w:tr w:rsidR="00D65223" w:rsidRPr="00BC03FD" w14:paraId="1276C4A3" w14:textId="77777777" w:rsidTr="00B166C7">
        <w:trPr>
          <w:trHeight w:val="317"/>
        </w:trPr>
        <w:tc>
          <w:tcPr>
            <w:tcW w:w="2019" w:type="dxa"/>
          </w:tcPr>
          <w:p w14:paraId="332A44FB" w14:textId="061AA680" w:rsidR="00D65223" w:rsidRPr="00BC03FD" w:rsidRDefault="00D65223" w:rsidP="004930E1">
            <w:pPr>
              <w:pStyle w:val="ECCTabletext"/>
              <w:rPr>
                <w:rStyle w:val="ECCHLbold"/>
              </w:rPr>
            </w:pPr>
            <w:r>
              <w:rPr>
                <w:rStyle w:val="ECCHLbold"/>
              </w:rPr>
              <w:t>MFCN</w:t>
            </w:r>
          </w:p>
        </w:tc>
        <w:tc>
          <w:tcPr>
            <w:tcW w:w="7620" w:type="dxa"/>
            <w:gridSpan w:val="2"/>
          </w:tcPr>
          <w:p w14:paraId="77A5107F" w14:textId="65362668" w:rsidR="00D65223" w:rsidRPr="00BC03FD" w:rsidRDefault="003D1518" w:rsidP="004930E1">
            <w:pPr>
              <w:pStyle w:val="ECCTabletext"/>
            </w:pPr>
            <w:r>
              <w:t>Mobile Fixed Communication Network</w:t>
            </w:r>
          </w:p>
        </w:tc>
      </w:tr>
      <w:tr w:rsidR="00FE6741" w:rsidRPr="00BC03FD" w14:paraId="3A04C5F8" w14:textId="77777777" w:rsidTr="00B166C7">
        <w:trPr>
          <w:gridAfter w:val="1"/>
          <w:wAfter w:w="561" w:type="dxa"/>
          <w:trHeight w:val="317"/>
        </w:trPr>
        <w:tc>
          <w:tcPr>
            <w:tcW w:w="2019" w:type="dxa"/>
          </w:tcPr>
          <w:p w14:paraId="034CC9B1" w14:textId="266E1699" w:rsidR="00AA6213" w:rsidRDefault="00AA6213" w:rsidP="004930E1">
            <w:pPr>
              <w:pStyle w:val="ECCTabletext"/>
              <w:rPr>
                <w:rStyle w:val="ECCHLbold"/>
              </w:rPr>
            </w:pPr>
            <w:r>
              <w:rPr>
                <w:rStyle w:val="ECCHLbold"/>
              </w:rPr>
              <w:t>MSS</w:t>
            </w:r>
          </w:p>
        </w:tc>
        <w:tc>
          <w:tcPr>
            <w:tcW w:w="7059" w:type="dxa"/>
          </w:tcPr>
          <w:p w14:paraId="33E23D6E" w14:textId="78F356F8" w:rsidR="00AA6213" w:rsidRDefault="00AA6213" w:rsidP="004930E1">
            <w:pPr>
              <w:pStyle w:val="ECCTabletext"/>
            </w:pPr>
            <w:r>
              <w:t>Mobile-Satellite Service</w:t>
            </w:r>
          </w:p>
        </w:tc>
      </w:tr>
      <w:tr w:rsidR="00FE6741" w:rsidRPr="00BC03FD" w14:paraId="35E6F444" w14:textId="77777777" w:rsidTr="00B166C7">
        <w:trPr>
          <w:gridAfter w:val="1"/>
          <w:wAfter w:w="561" w:type="dxa"/>
          <w:trHeight w:val="317"/>
        </w:trPr>
        <w:tc>
          <w:tcPr>
            <w:tcW w:w="2019" w:type="dxa"/>
          </w:tcPr>
          <w:p w14:paraId="39B3859D" w14:textId="7F09F0E9" w:rsidR="00BB3F7A" w:rsidRDefault="00BB3F7A" w:rsidP="004930E1">
            <w:pPr>
              <w:pStyle w:val="ECCTabletext"/>
              <w:rPr>
                <w:rStyle w:val="ECCHLbold"/>
              </w:rPr>
            </w:pPr>
            <w:r>
              <w:rPr>
                <w:rStyle w:val="ECCHLbold"/>
              </w:rPr>
              <w:t>NR</w:t>
            </w:r>
          </w:p>
        </w:tc>
        <w:tc>
          <w:tcPr>
            <w:tcW w:w="7059" w:type="dxa"/>
          </w:tcPr>
          <w:p w14:paraId="3719ACA1" w14:textId="0C22440B" w:rsidR="00BB3F7A" w:rsidRDefault="00BB3F7A" w:rsidP="004930E1">
            <w:pPr>
              <w:pStyle w:val="ECCTabletext"/>
            </w:pPr>
            <w:r>
              <w:t>New Radio</w:t>
            </w:r>
          </w:p>
        </w:tc>
      </w:tr>
      <w:tr w:rsidR="00FE6741" w:rsidRPr="00BC03FD" w14:paraId="6C94F397" w14:textId="77777777" w:rsidTr="00B166C7">
        <w:trPr>
          <w:gridAfter w:val="1"/>
          <w:wAfter w:w="561" w:type="dxa"/>
          <w:trHeight w:val="317"/>
        </w:trPr>
        <w:tc>
          <w:tcPr>
            <w:tcW w:w="2019" w:type="dxa"/>
          </w:tcPr>
          <w:p w14:paraId="27778D98" w14:textId="70EACC44" w:rsidR="00C97F6E" w:rsidRDefault="00C97F6E" w:rsidP="004930E1">
            <w:pPr>
              <w:pStyle w:val="ECCTabletext"/>
              <w:rPr>
                <w:rStyle w:val="ECCHLbold"/>
              </w:rPr>
            </w:pPr>
            <w:r>
              <w:rPr>
                <w:rStyle w:val="ECCHLbold"/>
              </w:rPr>
              <w:t>OOBE</w:t>
            </w:r>
          </w:p>
        </w:tc>
        <w:tc>
          <w:tcPr>
            <w:tcW w:w="7059" w:type="dxa"/>
          </w:tcPr>
          <w:p w14:paraId="307FC0F5" w14:textId="25774E72" w:rsidR="00C97F6E" w:rsidRDefault="00C97F6E" w:rsidP="004930E1">
            <w:pPr>
              <w:pStyle w:val="ECCTabletext"/>
            </w:pPr>
            <w:r>
              <w:t>Out-of-Band Emissions</w:t>
            </w:r>
          </w:p>
        </w:tc>
      </w:tr>
      <w:tr w:rsidR="00FE6741" w:rsidRPr="00BC03FD" w14:paraId="39B27D50" w14:textId="77777777" w:rsidTr="00B166C7">
        <w:trPr>
          <w:gridAfter w:val="1"/>
          <w:wAfter w:w="561" w:type="dxa"/>
          <w:trHeight w:val="317"/>
        </w:trPr>
        <w:tc>
          <w:tcPr>
            <w:tcW w:w="2019" w:type="dxa"/>
          </w:tcPr>
          <w:p w14:paraId="54445E8B" w14:textId="2E3A7A13" w:rsidR="00461A7F" w:rsidRDefault="00461A7F" w:rsidP="004930E1">
            <w:pPr>
              <w:pStyle w:val="ECCTabletext"/>
              <w:rPr>
                <w:rStyle w:val="ECCHLbold"/>
              </w:rPr>
            </w:pPr>
            <w:r>
              <w:rPr>
                <w:rStyle w:val="ECCHLbold"/>
              </w:rPr>
              <w:t>RAS</w:t>
            </w:r>
          </w:p>
        </w:tc>
        <w:tc>
          <w:tcPr>
            <w:tcW w:w="7059" w:type="dxa"/>
          </w:tcPr>
          <w:p w14:paraId="5DEBEFE8" w14:textId="23C892DD" w:rsidR="00461A7F" w:rsidRDefault="00461A7F" w:rsidP="004930E1">
            <w:pPr>
              <w:pStyle w:val="ECCTabletext"/>
            </w:pPr>
            <w:r>
              <w:t>Radio Astronomy Service</w:t>
            </w:r>
          </w:p>
        </w:tc>
      </w:tr>
      <w:tr w:rsidR="00D65223" w:rsidRPr="00BC03FD" w14:paraId="01A67959" w14:textId="77777777" w:rsidTr="00B166C7">
        <w:trPr>
          <w:trHeight w:val="317"/>
        </w:trPr>
        <w:tc>
          <w:tcPr>
            <w:tcW w:w="2019" w:type="dxa"/>
          </w:tcPr>
          <w:p w14:paraId="41BBCCD2" w14:textId="6F1AEBB0" w:rsidR="00D65223" w:rsidRPr="00BC03FD" w:rsidRDefault="00D65223" w:rsidP="004930E1">
            <w:pPr>
              <w:pStyle w:val="ECCTabletext"/>
              <w:rPr>
                <w:rStyle w:val="ECCHLbold"/>
              </w:rPr>
            </w:pPr>
            <w:r>
              <w:rPr>
                <w:rStyle w:val="ECCHLbold"/>
              </w:rPr>
              <w:t>UE</w:t>
            </w:r>
          </w:p>
        </w:tc>
        <w:tc>
          <w:tcPr>
            <w:tcW w:w="7620" w:type="dxa"/>
            <w:gridSpan w:val="2"/>
          </w:tcPr>
          <w:p w14:paraId="5CAD5BC5" w14:textId="7352AF32" w:rsidR="00D65223" w:rsidRPr="00BC03FD" w:rsidRDefault="003D1518" w:rsidP="004930E1">
            <w:pPr>
              <w:pStyle w:val="ECCTabletext"/>
            </w:pPr>
            <w:r>
              <w:t>User Equipment</w:t>
            </w:r>
          </w:p>
        </w:tc>
      </w:tr>
    </w:tbl>
    <w:p w14:paraId="677B6CDA" w14:textId="77777777" w:rsidR="00797D4C" w:rsidRPr="00BC03FD" w:rsidRDefault="00797D4C" w:rsidP="009465E0">
      <w:pPr>
        <w:pStyle w:val="Heading1"/>
        <w:rPr>
          <w:lang w:val="en-GB"/>
        </w:rPr>
      </w:pPr>
      <w:bookmarkStart w:id="16" w:name="_Toc380056497"/>
      <w:bookmarkStart w:id="17" w:name="_Toc380059748"/>
      <w:bookmarkStart w:id="18" w:name="_Toc380059785"/>
      <w:bookmarkStart w:id="19" w:name="_Toc396153636"/>
      <w:bookmarkStart w:id="20" w:name="_Toc396383863"/>
      <w:bookmarkStart w:id="21" w:name="_Toc396917296"/>
      <w:bookmarkStart w:id="22" w:name="_Toc396917345"/>
      <w:bookmarkStart w:id="23" w:name="_Toc396917407"/>
      <w:bookmarkStart w:id="24" w:name="_Toc396917460"/>
      <w:bookmarkStart w:id="25" w:name="_Toc396917627"/>
      <w:bookmarkStart w:id="26" w:name="_Toc396917642"/>
      <w:bookmarkStart w:id="27" w:name="_Toc396917747"/>
      <w:bookmarkStart w:id="28" w:name="_Toc119582839"/>
      <w:r w:rsidRPr="00CA5782">
        <w:rPr>
          <w:rStyle w:val="ECCParagraph"/>
        </w:rPr>
        <w:lastRenderedPageBreak/>
        <w:t>Introduction</w:t>
      </w:r>
      <w:bookmarkEnd w:id="16"/>
      <w:bookmarkEnd w:id="17"/>
      <w:bookmarkEnd w:id="18"/>
      <w:bookmarkEnd w:id="19"/>
      <w:bookmarkEnd w:id="20"/>
      <w:bookmarkEnd w:id="21"/>
      <w:bookmarkEnd w:id="22"/>
      <w:bookmarkEnd w:id="23"/>
      <w:bookmarkEnd w:id="24"/>
      <w:bookmarkEnd w:id="25"/>
      <w:bookmarkEnd w:id="26"/>
      <w:bookmarkEnd w:id="27"/>
      <w:bookmarkEnd w:id="28"/>
    </w:p>
    <w:p w14:paraId="677B6CDB" w14:textId="2DC86657" w:rsidR="00A52A19" w:rsidRPr="00FD3236" w:rsidRDefault="00A52A19" w:rsidP="00A52A19">
      <w:pPr>
        <w:rPr>
          <w:rStyle w:val="ECCParagraph"/>
        </w:rPr>
      </w:pPr>
      <w:r w:rsidRPr="00462A07">
        <w:rPr>
          <w:rStyle w:val="ECCParagraph"/>
        </w:rPr>
        <w:t xml:space="preserve">This </w:t>
      </w:r>
      <w:r w:rsidR="00254931" w:rsidRPr="00462A07">
        <w:rPr>
          <w:rStyle w:val="ECCParagraph"/>
        </w:rPr>
        <w:t>R</w:t>
      </w:r>
      <w:r w:rsidRPr="00462A07">
        <w:rPr>
          <w:rStyle w:val="ECCParagraph"/>
        </w:rPr>
        <w:t>eport address</w:t>
      </w:r>
      <w:r w:rsidR="00AA6213">
        <w:rPr>
          <w:rStyle w:val="ECCParagraph"/>
        </w:rPr>
        <w:t>es</w:t>
      </w:r>
      <w:r w:rsidRPr="00462A07">
        <w:rPr>
          <w:rStyle w:val="ECCParagraph"/>
        </w:rPr>
        <w:t xml:space="preserve"> the usage </w:t>
      </w:r>
      <w:r w:rsidR="009F70FA" w:rsidRPr="00462A07">
        <w:rPr>
          <w:rStyle w:val="ECCParagraph"/>
        </w:rPr>
        <w:t xml:space="preserve">of </w:t>
      </w:r>
      <w:r w:rsidR="005A37D5">
        <w:rPr>
          <w:rStyle w:val="ECCParagraph"/>
        </w:rPr>
        <w:t>a</w:t>
      </w:r>
      <w:r w:rsidRPr="00462A07">
        <w:rPr>
          <w:rStyle w:val="ECCParagraph"/>
        </w:rPr>
        <w:t xml:space="preserve">erial UE in </w:t>
      </w:r>
      <w:r w:rsidR="00344C17">
        <w:rPr>
          <w:rStyle w:val="ECCParagraph"/>
        </w:rPr>
        <w:t xml:space="preserve">the </w:t>
      </w:r>
      <w:r w:rsidRPr="00462A07">
        <w:rPr>
          <w:rStyle w:val="ECCParagraph"/>
        </w:rPr>
        <w:t>1.8 GHz, 2</w:t>
      </w:r>
      <w:r w:rsidR="002705EC" w:rsidRPr="00462A07">
        <w:rPr>
          <w:rStyle w:val="ECCParagraph"/>
        </w:rPr>
        <w:t xml:space="preserve"> </w:t>
      </w:r>
      <w:r w:rsidR="002705EC" w:rsidRPr="00FD3236">
        <w:rPr>
          <w:rStyle w:val="ECCParagraph"/>
        </w:rPr>
        <w:t xml:space="preserve">GHz and 2.6 GHz </w:t>
      </w:r>
      <w:r w:rsidR="003B5FD3" w:rsidRPr="00FD3236">
        <w:rPr>
          <w:rStyle w:val="ECCParagraph"/>
        </w:rPr>
        <w:t>frequency bands:</w:t>
      </w:r>
      <w:r w:rsidR="000F50C0">
        <w:rPr>
          <w:rStyle w:val="ECCParagraph"/>
        </w:rPr>
        <w:t xml:space="preserve"> </w:t>
      </w:r>
      <w:r w:rsidR="002705EC" w:rsidRPr="00FD3236">
        <w:rPr>
          <w:rStyle w:val="ECCParagraph"/>
        </w:rPr>
        <w:t xml:space="preserve">with </w:t>
      </w:r>
      <w:r w:rsidRPr="00FD3236">
        <w:rPr>
          <w:rStyle w:val="ECCParagraph"/>
        </w:rPr>
        <w:t>AAS base stations</w:t>
      </w:r>
      <w:r w:rsidR="005A37D5" w:rsidRPr="00FD3236">
        <w:rPr>
          <w:rStyle w:val="ECCParagraph"/>
        </w:rPr>
        <w:t xml:space="preserve"> (BS)</w:t>
      </w:r>
      <w:r w:rsidRPr="00FD3236">
        <w:rPr>
          <w:rStyle w:val="ECCParagraph"/>
        </w:rPr>
        <w:t xml:space="preserve"> </w:t>
      </w:r>
      <w:r w:rsidR="002705EC" w:rsidRPr="00FD3236">
        <w:rPr>
          <w:rStyle w:val="ECCParagraph"/>
        </w:rPr>
        <w:t xml:space="preserve">operating according </w:t>
      </w:r>
      <w:r w:rsidR="00E55A9A" w:rsidRPr="00FD3236">
        <w:rPr>
          <w:rStyle w:val="ECCParagraph"/>
        </w:rPr>
        <w:t xml:space="preserve">to the </w:t>
      </w:r>
      <w:r w:rsidR="002705EC" w:rsidRPr="00FD3236">
        <w:rPr>
          <w:rStyle w:val="ECCParagraph"/>
        </w:rPr>
        <w:t>ECC framework in those bands (see relevant ECC Decisions</w:t>
      </w:r>
      <w:r w:rsidR="00462A07" w:rsidRPr="000F50C0">
        <w:rPr>
          <w:rStyle w:val="FootnoteReference"/>
        </w:rPr>
        <w:footnoteReference w:id="3"/>
      </w:r>
      <w:r w:rsidR="002705EC" w:rsidRPr="00FD3236">
        <w:rPr>
          <w:rStyle w:val="ECCParagraph"/>
        </w:rPr>
        <w:t>)</w:t>
      </w:r>
      <w:r w:rsidR="00E55A9A" w:rsidRPr="00FD3236">
        <w:rPr>
          <w:rStyle w:val="ECCParagraph"/>
        </w:rPr>
        <w:t>.</w:t>
      </w:r>
      <w:r w:rsidR="002705EC" w:rsidRPr="00FD3236">
        <w:rPr>
          <w:rStyle w:val="ECCParagraph"/>
        </w:rPr>
        <w:t xml:space="preserve"> </w:t>
      </w:r>
      <w:r w:rsidRPr="00FD3236">
        <w:rPr>
          <w:rStyle w:val="ECCParagraph"/>
        </w:rPr>
        <w:t xml:space="preserve">This </w:t>
      </w:r>
      <w:r w:rsidR="001E6ABA" w:rsidRPr="00FD3236">
        <w:rPr>
          <w:rStyle w:val="ECCParagraph"/>
        </w:rPr>
        <w:t>R</w:t>
      </w:r>
      <w:r w:rsidRPr="00FD3236">
        <w:rPr>
          <w:rStyle w:val="ECCParagraph"/>
        </w:rPr>
        <w:t>eport complement</w:t>
      </w:r>
      <w:r w:rsidR="00AA6213" w:rsidRPr="00FD3236">
        <w:rPr>
          <w:rStyle w:val="ECCParagraph"/>
        </w:rPr>
        <w:t>s</w:t>
      </w:r>
      <w:r w:rsidRPr="00FD3236">
        <w:rPr>
          <w:rStyle w:val="ECCParagraph"/>
        </w:rPr>
        <w:t xml:space="preserve"> ECC Report 309 </w:t>
      </w:r>
      <w:r w:rsidR="003B6454" w:rsidRPr="00FD3236">
        <w:rPr>
          <w:rStyle w:val="ECCParagraph"/>
        </w:rPr>
        <w:fldChar w:fldCharType="begin"/>
      </w:r>
      <w:r w:rsidR="003B6454" w:rsidRPr="00FD3236">
        <w:rPr>
          <w:rStyle w:val="ECCParagraph"/>
        </w:rPr>
        <w:instrText xml:space="preserve"> REF _Ref103695135 \r \h </w:instrText>
      </w:r>
      <w:r w:rsidR="00FD3236">
        <w:rPr>
          <w:rStyle w:val="ECCParagraph"/>
        </w:rPr>
        <w:instrText xml:space="preserve"> \* MERGEFORMAT </w:instrText>
      </w:r>
      <w:r w:rsidR="003B6454" w:rsidRPr="00FD3236">
        <w:rPr>
          <w:rStyle w:val="ECCParagraph"/>
        </w:rPr>
      </w:r>
      <w:r w:rsidR="003B6454" w:rsidRPr="00FD3236">
        <w:rPr>
          <w:rStyle w:val="ECCParagraph"/>
        </w:rPr>
        <w:fldChar w:fldCharType="separate"/>
      </w:r>
      <w:r w:rsidR="009464FD">
        <w:rPr>
          <w:rStyle w:val="ECCParagraph"/>
        </w:rPr>
        <w:t>[4]</w:t>
      </w:r>
      <w:r w:rsidR="003B6454" w:rsidRPr="00FD3236">
        <w:rPr>
          <w:rStyle w:val="ECCParagraph"/>
        </w:rPr>
        <w:fldChar w:fldCharType="end"/>
      </w:r>
      <w:r w:rsidRPr="00FD3236">
        <w:rPr>
          <w:rStyle w:val="ECCParagraph"/>
        </w:rPr>
        <w:t xml:space="preserve"> by </w:t>
      </w:r>
      <w:r w:rsidR="002705EC" w:rsidRPr="00FD3236">
        <w:rPr>
          <w:rStyle w:val="ECCParagraph"/>
        </w:rPr>
        <w:t>analysing</w:t>
      </w:r>
      <w:r w:rsidR="005A37D5" w:rsidRPr="00FD3236">
        <w:rPr>
          <w:rStyle w:val="ECCParagraph"/>
        </w:rPr>
        <w:t xml:space="preserve"> </w:t>
      </w:r>
      <w:r w:rsidR="00E55A9A" w:rsidRPr="00FD3236">
        <w:rPr>
          <w:rStyle w:val="ECCParagraph"/>
        </w:rPr>
        <w:t>the</w:t>
      </w:r>
      <w:r w:rsidRPr="00FD3236">
        <w:rPr>
          <w:rStyle w:val="ECCParagraph"/>
        </w:rPr>
        <w:t xml:space="preserve"> possible</w:t>
      </w:r>
      <w:r w:rsidR="002705EC" w:rsidRPr="00FD3236">
        <w:rPr>
          <w:rStyle w:val="ECCParagraph"/>
        </w:rPr>
        <w:t xml:space="preserve"> risk of</w:t>
      </w:r>
      <w:r w:rsidRPr="00FD3236">
        <w:rPr>
          <w:rStyle w:val="ECCParagraph"/>
        </w:rPr>
        <w:t xml:space="preserve"> interference created by AAS BS</w:t>
      </w:r>
      <w:r w:rsidR="006B3331" w:rsidRPr="00FD3236">
        <w:rPr>
          <w:rStyle w:val="ECCParagraph"/>
        </w:rPr>
        <w:t xml:space="preserve"> </w:t>
      </w:r>
      <w:r w:rsidRPr="00FD3236">
        <w:rPr>
          <w:rStyle w:val="ECCParagraph"/>
        </w:rPr>
        <w:t xml:space="preserve">on adjacent systems when serving </w:t>
      </w:r>
      <w:r w:rsidR="005A37D5" w:rsidRPr="00FD3236">
        <w:rPr>
          <w:rStyle w:val="ECCParagraph"/>
        </w:rPr>
        <w:t>a</w:t>
      </w:r>
      <w:r w:rsidRPr="00FD3236">
        <w:rPr>
          <w:rStyle w:val="ECCParagraph"/>
        </w:rPr>
        <w:t xml:space="preserve">erial UE or by </w:t>
      </w:r>
      <w:r w:rsidR="005A37D5" w:rsidRPr="00FD3236">
        <w:rPr>
          <w:rStyle w:val="ECCParagraph"/>
        </w:rPr>
        <w:t>a</w:t>
      </w:r>
      <w:r w:rsidRPr="00FD3236">
        <w:rPr>
          <w:rStyle w:val="ECCParagraph"/>
        </w:rPr>
        <w:t xml:space="preserve">erial UE communicating with AAS BS. Potential MFCN intra-network interference </w:t>
      </w:r>
      <w:r w:rsidR="006B3331" w:rsidRPr="00FD3236">
        <w:rPr>
          <w:rStyle w:val="ECCParagraph"/>
        </w:rPr>
        <w:t xml:space="preserve">is </w:t>
      </w:r>
      <w:r w:rsidRPr="00FD3236">
        <w:rPr>
          <w:rStyle w:val="ECCParagraph"/>
        </w:rPr>
        <w:t xml:space="preserve">not covered by this </w:t>
      </w:r>
      <w:r w:rsidR="00AA6213" w:rsidRPr="00FD3236">
        <w:rPr>
          <w:rStyle w:val="ECCParagraph"/>
        </w:rPr>
        <w:t>R</w:t>
      </w:r>
      <w:r w:rsidRPr="00FD3236">
        <w:rPr>
          <w:rStyle w:val="ECCParagraph"/>
        </w:rPr>
        <w:t>eport.</w:t>
      </w:r>
      <w:r w:rsidR="006B2E12" w:rsidRPr="00FD3236">
        <w:rPr>
          <w:rStyle w:val="ECCParagraph"/>
        </w:rPr>
        <w:t xml:space="preserve"> T</w:t>
      </w:r>
      <w:r w:rsidR="00E720FD" w:rsidRPr="00FD3236">
        <w:rPr>
          <w:rStyle w:val="ECCParagraph"/>
        </w:rPr>
        <w:t xml:space="preserve">his </w:t>
      </w:r>
      <w:r w:rsidR="001E6ABA" w:rsidRPr="00FD3236">
        <w:rPr>
          <w:rStyle w:val="ECCParagraph"/>
        </w:rPr>
        <w:t>R</w:t>
      </w:r>
      <w:r w:rsidR="00E720FD" w:rsidRPr="00FD3236">
        <w:rPr>
          <w:rStyle w:val="ECCParagraph"/>
        </w:rPr>
        <w:t xml:space="preserve">eport </w:t>
      </w:r>
      <w:proofErr w:type="gramStart"/>
      <w:r w:rsidR="00E720FD" w:rsidRPr="00FD3236">
        <w:rPr>
          <w:rStyle w:val="ECCParagraph"/>
        </w:rPr>
        <w:t>assesse</w:t>
      </w:r>
      <w:r w:rsidR="002D2A50" w:rsidRPr="00FD3236">
        <w:rPr>
          <w:rStyle w:val="ECCParagraph"/>
        </w:rPr>
        <w:t>s</w:t>
      </w:r>
      <w:r w:rsidR="006B2E12" w:rsidRPr="00FD3236">
        <w:rPr>
          <w:rStyle w:val="ECCParagraph"/>
        </w:rPr>
        <w:t xml:space="preserve"> also</w:t>
      </w:r>
      <w:proofErr w:type="gramEnd"/>
      <w:r w:rsidR="00E720FD" w:rsidRPr="00FD3236">
        <w:rPr>
          <w:rStyle w:val="ECCParagraph"/>
        </w:rPr>
        <w:t xml:space="preserve"> </w:t>
      </w:r>
      <w:r w:rsidR="002D2A50" w:rsidRPr="00FD3236">
        <w:rPr>
          <w:rStyle w:val="ECCParagraph"/>
        </w:rPr>
        <w:t>the</w:t>
      </w:r>
      <w:r w:rsidR="00E720FD" w:rsidRPr="00FD3236">
        <w:rPr>
          <w:rStyle w:val="ECCParagraph"/>
        </w:rPr>
        <w:t xml:space="preserve"> impact from MFCN technologies (</w:t>
      </w:r>
      <w:r w:rsidR="006B2E12" w:rsidRPr="00FD3236">
        <w:rPr>
          <w:rStyle w:val="ECCParagraph"/>
        </w:rPr>
        <w:t xml:space="preserve">LTE, </w:t>
      </w:r>
      <w:r w:rsidR="00E720FD" w:rsidRPr="00FD3236">
        <w:rPr>
          <w:rStyle w:val="ECCParagraph"/>
        </w:rPr>
        <w:t>5G NR) serving aerial UE.</w:t>
      </w:r>
    </w:p>
    <w:p w14:paraId="677B6CDC" w14:textId="66B1FE0E" w:rsidR="00A52A19" w:rsidRPr="00FD3236" w:rsidRDefault="00A52A19" w:rsidP="00A52A19">
      <w:pPr>
        <w:rPr>
          <w:rStyle w:val="ECCParagraph"/>
        </w:rPr>
      </w:pPr>
      <w:r w:rsidRPr="00FD3236">
        <w:rPr>
          <w:rStyle w:val="ECCParagraph"/>
        </w:rPr>
        <w:t xml:space="preserve">This </w:t>
      </w:r>
      <w:r w:rsidR="001E6ABA" w:rsidRPr="00FD3236">
        <w:rPr>
          <w:rStyle w:val="ECCParagraph"/>
        </w:rPr>
        <w:t>R</w:t>
      </w:r>
      <w:r w:rsidRPr="00FD3236">
        <w:rPr>
          <w:rStyle w:val="ECCParagraph"/>
        </w:rPr>
        <w:t xml:space="preserve">eport </w:t>
      </w:r>
      <w:r w:rsidR="00E720FD" w:rsidRPr="00FD3236">
        <w:rPr>
          <w:rStyle w:val="ECCParagraph"/>
        </w:rPr>
        <w:t>includes a relevant section for each of</w:t>
      </w:r>
      <w:r w:rsidRPr="00FD3236">
        <w:rPr>
          <w:rStyle w:val="ECCParagraph"/>
        </w:rPr>
        <w:t xml:space="preserve"> the addressed frequency bands</w:t>
      </w:r>
      <w:r w:rsidR="00344C17" w:rsidRPr="00FD3236">
        <w:rPr>
          <w:rStyle w:val="ECCParagraph"/>
        </w:rPr>
        <w:t>:</w:t>
      </w:r>
      <w:r w:rsidR="00E55A9A" w:rsidRPr="00FD3236">
        <w:rPr>
          <w:rStyle w:val="ECCParagraph"/>
        </w:rPr>
        <w:t xml:space="preserve"> </w:t>
      </w:r>
      <w:r w:rsidR="00E720FD" w:rsidRPr="00FD3236">
        <w:rPr>
          <w:rStyle w:val="ECCParagraph"/>
        </w:rPr>
        <w:t>1.8 GHz, 2 GHz and 2.6</w:t>
      </w:r>
      <w:r w:rsidR="006C7084" w:rsidRPr="00FD3236">
        <w:rPr>
          <w:rStyle w:val="ECCParagraph"/>
        </w:rPr>
        <w:t> </w:t>
      </w:r>
      <w:r w:rsidR="00E720FD" w:rsidRPr="00FD3236">
        <w:rPr>
          <w:rStyle w:val="ECCParagraph"/>
        </w:rPr>
        <w:t>GHz</w:t>
      </w:r>
      <w:r w:rsidRPr="00FD3236">
        <w:rPr>
          <w:rStyle w:val="ECCParagraph"/>
        </w:rPr>
        <w:t xml:space="preserve">. </w:t>
      </w:r>
      <w:r w:rsidR="002B3134" w:rsidRPr="00FD3236">
        <w:rPr>
          <w:rStyle w:val="ECCParagraph"/>
        </w:rPr>
        <w:t>The p</w:t>
      </w:r>
      <w:r w:rsidRPr="00FD3236">
        <w:rPr>
          <w:rStyle w:val="ECCParagraph"/>
        </w:rPr>
        <w:t xml:space="preserve">erformed technical studies are </w:t>
      </w:r>
      <w:r w:rsidR="002B3134" w:rsidRPr="00FD3236">
        <w:rPr>
          <w:rStyle w:val="ECCParagraph"/>
        </w:rPr>
        <w:t xml:space="preserve">included in </w:t>
      </w:r>
      <w:r w:rsidR="008B15E9" w:rsidRPr="00FD3236">
        <w:rPr>
          <w:rStyle w:val="ECCParagraph"/>
        </w:rPr>
        <w:fldChar w:fldCharType="begin"/>
      </w:r>
      <w:r w:rsidR="008B15E9" w:rsidRPr="00FD3236">
        <w:rPr>
          <w:rStyle w:val="ECCParagraph"/>
        </w:rPr>
        <w:instrText xml:space="preserve"> REF _Ref112245286 \r \h </w:instrText>
      </w:r>
      <w:r w:rsidR="000E7E33" w:rsidRPr="00FD3236">
        <w:rPr>
          <w:rStyle w:val="ECCParagraph"/>
        </w:rPr>
        <w:instrText xml:space="preserve"> \* MERGEFORMAT </w:instrText>
      </w:r>
      <w:r w:rsidR="008B15E9" w:rsidRPr="00FD3236">
        <w:rPr>
          <w:rStyle w:val="ECCParagraph"/>
        </w:rPr>
      </w:r>
      <w:r w:rsidR="008B15E9" w:rsidRPr="00FD3236">
        <w:rPr>
          <w:rStyle w:val="ECCParagraph"/>
        </w:rPr>
        <w:fldChar w:fldCharType="separate"/>
      </w:r>
      <w:r w:rsidR="008B15E9" w:rsidRPr="00FD3236">
        <w:rPr>
          <w:rStyle w:val="ECCParagraph"/>
        </w:rPr>
        <w:t>A</w:t>
      </w:r>
      <w:r w:rsidR="00A02D97" w:rsidRPr="00FD3236">
        <w:rPr>
          <w:rStyle w:val="ECCParagraph"/>
        </w:rPr>
        <w:t xml:space="preserve">nnex </w:t>
      </w:r>
      <w:r w:rsidR="008B15E9" w:rsidRPr="00FD3236">
        <w:rPr>
          <w:rStyle w:val="ECCParagraph"/>
        </w:rPr>
        <w:t>1</w:t>
      </w:r>
      <w:r w:rsidR="008B15E9" w:rsidRPr="00FD3236">
        <w:rPr>
          <w:rStyle w:val="ECCParagraph"/>
        </w:rPr>
        <w:fldChar w:fldCharType="end"/>
      </w:r>
      <w:r w:rsidR="00E55A9A" w:rsidRPr="00FD3236">
        <w:rPr>
          <w:rStyle w:val="ECCParagraph"/>
        </w:rPr>
        <w:t xml:space="preserve"> </w:t>
      </w:r>
      <w:r w:rsidR="00344C17" w:rsidRPr="00FD3236">
        <w:rPr>
          <w:rStyle w:val="ECCParagraph"/>
        </w:rPr>
        <w:t>of</w:t>
      </w:r>
      <w:r w:rsidR="00E55A9A" w:rsidRPr="00FD3236">
        <w:rPr>
          <w:rStyle w:val="ECCParagraph"/>
        </w:rPr>
        <w:t xml:space="preserve"> this </w:t>
      </w:r>
      <w:r w:rsidR="001E6ABA" w:rsidRPr="00FD3236">
        <w:rPr>
          <w:rStyle w:val="ECCParagraph"/>
        </w:rPr>
        <w:t>R</w:t>
      </w:r>
      <w:r w:rsidR="00E55A9A" w:rsidRPr="00FD3236">
        <w:rPr>
          <w:rStyle w:val="ECCParagraph"/>
        </w:rPr>
        <w:t>eport</w:t>
      </w:r>
      <w:r w:rsidRPr="00FD3236">
        <w:rPr>
          <w:rStyle w:val="ECCParagraph"/>
        </w:rPr>
        <w:t>.</w:t>
      </w:r>
    </w:p>
    <w:p w14:paraId="677B6CDD" w14:textId="7555B54B" w:rsidR="00D90578" w:rsidRPr="00FD3236" w:rsidRDefault="00C65C33" w:rsidP="00A52A19">
      <w:pPr>
        <w:rPr>
          <w:rStyle w:val="ECCParagraph"/>
        </w:rPr>
      </w:pPr>
      <w:r w:rsidRPr="00FD3236">
        <w:rPr>
          <w:rStyle w:val="ECCParagraph"/>
        </w:rPr>
        <w:t>Due t</w:t>
      </w:r>
      <w:r w:rsidR="00554115" w:rsidRPr="00FD3236">
        <w:rPr>
          <w:rStyle w:val="ECCParagraph"/>
        </w:rPr>
        <w:t>o</w:t>
      </w:r>
      <w:r w:rsidRPr="00FD3236">
        <w:rPr>
          <w:rStyle w:val="ECCParagraph"/>
        </w:rPr>
        <w:t xml:space="preserve"> </w:t>
      </w:r>
      <w:r w:rsidR="007B319A" w:rsidRPr="00FD3236">
        <w:rPr>
          <w:rStyle w:val="ECCParagraph"/>
        </w:rPr>
        <w:t xml:space="preserve">the </w:t>
      </w:r>
      <w:r w:rsidRPr="00FD3236">
        <w:rPr>
          <w:rStyle w:val="ECCParagraph"/>
        </w:rPr>
        <w:t>current state of technology</w:t>
      </w:r>
      <w:r w:rsidR="00D90578" w:rsidRPr="00FD3236">
        <w:rPr>
          <w:rStyle w:val="ECCParagraph"/>
        </w:rPr>
        <w:t xml:space="preserve">, AAS is not foreseen </w:t>
      </w:r>
      <w:r w:rsidR="00EC6A8B" w:rsidRPr="00FD3236">
        <w:rPr>
          <w:rStyle w:val="ECCParagraph"/>
        </w:rPr>
        <w:t>in</w:t>
      </w:r>
      <w:r w:rsidR="00D90578" w:rsidRPr="00FD3236">
        <w:rPr>
          <w:rStyle w:val="ECCParagraph"/>
        </w:rPr>
        <w:t xml:space="preserve"> the 700 MHz, 800 MHz</w:t>
      </w:r>
      <w:r w:rsidR="00BE2060" w:rsidRPr="00FD3236">
        <w:rPr>
          <w:rStyle w:val="ECCParagraph"/>
        </w:rPr>
        <w:t xml:space="preserve"> and</w:t>
      </w:r>
      <w:r w:rsidR="00D90578" w:rsidRPr="00FD3236">
        <w:rPr>
          <w:rStyle w:val="ECCParagraph"/>
        </w:rPr>
        <w:t xml:space="preserve"> 900 MHz MFCN harmonised frequency bands and </w:t>
      </w:r>
      <w:r w:rsidR="001A159C" w:rsidRPr="00FD3236">
        <w:rPr>
          <w:rStyle w:val="ECCParagraph"/>
        </w:rPr>
        <w:t xml:space="preserve">therefore </w:t>
      </w:r>
      <w:r w:rsidR="00D90578" w:rsidRPr="00FD3236">
        <w:rPr>
          <w:rStyle w:val="ECCParagraph"/>
        </w:rPr>
        <w:t>th</w:t>
      </w:r>
      <w:r w:rsidR="001A159C" w:rsidRPr="00FD3236">
        <w:rPr>
          <w:rStyle w:val="ECCParagraph"/>
        </w:rPr>
        <w:t>e</w:t>
      </w:r>
      <w:r w:rsidR="00D90578" w:rsidRPr="00FD3236">
        <w:rPr>
          <w:rStyle w:val="ECCParagraph"/>
        </w:rPr>
        <w:t>se</w:t>
      </w:r>
      <w:r w:rsidR="00A249AC" w:rsidRPr="00FD3236">
        <w:rPr>
          <w:rStyle w:val="ECCParagraph"/>
        </w:rPr>
        <w:t xml:space="preserve"> MFCN harmonised</w:t>
      </w:r>
      <w:r w:rsidR="00D90578" w:rsidRPr="00FD3236">
        <w:rPr>
          <w:rStyle w:val="ECCParagraph"/>
        </w:rPr>
        <w:t xml:space="preserve"> bands have </w:t>
      </w:r>
      <w:r w:rsidR="00A249AC" w:rsidRPr="00FD3236">
        <w:rPr>
          <w:rStyle w:val="ECCParagraph"/>
        </w:rPr>
        <w:t xml:space="preserve">not </w:t>
      </w:r>
      <w:r w:rsidR="00D90578" w:rsidRPr="00FD3236">
        <w:rPr>
          <w:rStyle w:val="ECCParagraph"/>
        </w:rPr>
        <w:t xml:space="preserve">been considered in this </w:t>
      </w:r>
      <w:r w:rsidR="001E6ABA" w:rsidRPr="00FD3236">
        <w:rPr>
          <w:rStyle w:val="ECCParagraph"/>
        </w:rPr>
        <w:t>R</w:t>
      </w:r>
      <w:r w:rsidR="00D90578" w:rsidRPr="00FD3236">
        <w:rPr>
          <w:rStyle w:val="ECCParagraph"/>
        </w:rPr>
        <w:t>eport.</w:t>
      </w:r>
    </w:p>
    <w:p w14:paraId="677B6CED" w14:textId="4F5293E9" w:rsidR="009E65CE" w:rsidRDefault="009E65CE" w:rsidP="00A52A19">
      <w:pPr>
        <w:pStyle w:val="Heading1"/>
        <w:rPr>
          <w:rStyle w:val="ECCParagraph"/>
        </w:rPr>
      </w:pPr>
      <w:bookmarkStart w:id="29" w:name="_Toc119582840"/>
      <w:r>
        <w:rPr>
          <w:rStyle w:val="ECCParagraph"/>
        </w:rPr>
        <w:lastRenderedPageBreak/>
        <w:t>Main assumptions</w:t>
      </w:r>
      <w:bookmarkEnd w:id="29"/>
    </w:p>
    <w:p w14:paraId="677B6CEE" w14:textId="64F5475C" w:rsidR="00865D58" w:rsidRPr="00FD3236" w:rsidRDefault="00914EAA" w:rsidP="006C7084">
      <w:pPr>
        <w:rPr>
          <w:rStyle w:val="ECCParagraph"/>
        </w:rPr>
      </w:pPr>
      <w:r w:rsidRPr="00FD3236">
        <w:rPr>
          <w:rStyle w:val="ECCParagraph"/>
        </w:rPr>
        <w:t xml:space="preserve">The </w:t>
      </w:r>
      <w:r w:rsidR="00865D58" w:rsidRPr="00FD3236">
        <w:rPr>
          <w:rStyle w:val="ECCParagraph"/>
        </w:rPr>
        <w:t xml:space="preserve">studies in ECC </w:t>
      </w:r>
      <w:r w:rsidR="00254931" w:rsidRPr="00FD3236">
        <w:rPr>
          <w:rStyle w:val="ECCParagraph"/>
        </w:rPr>
        <w:t>R</w:t>
      </w:r>
      <w:r w:rsidR="00865D58" w:rsidRPr="00FD3236">
        <w:rPr>
          <w:rStyle w:val="ECCParagraph"/>
        </w:rPr>
        <w:t xml:space="preserve">eport 309 </w:t>
      </w:r>
      <w:r w:rsidR="00641CEE" w:rsidRPr="00FD3236">
        <w:rPr>
          <w:rStyle w:val="ECCParagraph"/>
        </w:rPr>
        <w:fldChar w:fldCharType="begin"/>
      </w:r>
      <w:r w:rsidR="00641CEE" w:rsidRPr="00FD3236">
        <w:rPr>
          <w:rStyle w:val="ECCParagraph"/>
        </w:rPr>
        <w:instrText xml:space="preserve"> REF _Ref103695135 \r \h </w:instrText>
      </w:r>
      <w:r w:rsidR="006C7084" w:rsidRPr="00FD3236">
        <w:rPr>
          <w:rStyle w:val="ECCParagraph"/>
        </w:rPr>
        <w:instrText xml:space="preserve"> \* MERGEFORMAT </w:instrText>
      </w:r>
      <w:r w:rsidR="00641CEE" w:rsidRPr="00FD3236">
        <w:rPr>
          <w:rStyle w:val="ECCParagraph"/>
        </w:rPr>
      </w:r>
      <w:r w:rsidR="00641CEE" w:rsidRPr="00FD3236">
        <w:rPr>
          <w:rStyle w:val="ECCParagraph"/>
        </w:rPr>
        <w:fldChar w:fldCharType="separate"/>
      </w:r>
      <w:r w:rsidR="009464FD">
        <w:rPr>
          <w:rStyle w:val="ECCParagraph"/>
        </w:rPr>
        <w:t>[4]</w:t>
      </w:r>
      <w:r w:rsidR="00641CEE" w:rsidRPr="00FD3236">
        <w:rPr>
          <w:rStyle w:val="ECCParagraph"/>
        </w:rPr>
        <w:fldChar w:fldCharType="end"/>
      </w:r>
      <w:r w:rsidR="00641CEE" w:rsidRPr="00FD3236">
        <w:rPr>
          <w:rStyle w:val="ECCParagraph"/>
        </w:rPr>
        <w:t xml:space="preserve"> </w:t>
      </w:r>
      <w:r w:rsidR="007D4565" w:rsidRPr="00FD3236">
        <w:rPr>
          <w:rStyle w:val="ECCParagraph"/>
        </w:rPr>
        <w:t xml:space="preserve">were </w:t>
      </w:r>
      <w:r w:rsidR="00865D58" w:rsidRPr="00FD3236">
        <w:rPr>
          <w:rStyle w:val="ECCParagraph"/>
        </w:rPr>
        <w:t>focused on non</w:t>
      </w:r>
      <w:r w:rsidR="00344C17" w:rsidRPr="00FD3236">
        <w:rPr>
          <w:rStyle w:val="ECCParagraph"/>
        </w:rPr>
        <w:t>-</w:t>
      </w:r>
      <w:r w:rsidR="00865D58" w:rsidRPr="00FD3236">
        <w:rPr>
          <w:rStyle w:val="ECCParagraph"/>
        </w:rPr>
        <w:t xml:space="preserve">AAS BS, except </w:t>
      </w:r>
      <w:r w:rsidR="006B3331" w:rsidRPr="00FD3236">
        <w:rPr>
          <w:rStyle w:val="ECCParagraph"/>
        </w:rPr>
        <w:t xml:space="preserve">those on </w:t>
      </w:r>
      <w:r w:rsidR="00865D58" w:rsidRPr="00FD3236">
        <w:rPr>
          <w:rStyle w:val="ECCParagraph"/>
        </w:rPr>
        <w:t xml:space="preserve">3.4-3.8 GHz where the AAS </w:t>
      </w:r>
      <w:r w:rsidR="005A37D5" w:rsidRPr="00FD3236">
        <w:rPr>
          <w:rStyle w:val="ECCParagraph"/>
        </w:rPr>
        <w:t>BS</w:t>
      </w:r>
      <w:r w:rsidR="00865D58" w:rsidRPr="00FD3236">
        <w:rPr>
          <w:rStyle w:val="ECCParagraph"/>
        </w:rPr>
        <w:t xml:space="preserve"> case has been addressed</w:t>
      </w:r>
      <w:r w:rsidR="00E720FD" w:rsidRPr="00FD3236">
        <w:rPr>
          <w:rStyle w:val="ECCParagraph"/>
        </w:rPr>
        <w:t>.</w:t>
      </w:r>
    </w:p>
    <w:p w14:paraId="677B6CEF" w14:textId="416BF10B" w:rsidR="009E65CE" w:rsidRPr="006C7084" w:rsidRDefault="00D70C33" w:rsidP="003B0A21">
      <w:pPr>
        <w:rPr>
          <w:rStyle w:val="ECCParagraph"/>
        </w:rPr>
      </w:pPr>
      <w:r w:rsidRPr="006C7084">
        <w:rPr>
          <w:rStyle w:val="ECCParagraph"/>
        </w:rPr>
        <w:t xml:space="preserve">According </w:t>
      </w:r>
      <w:r w:rsidR="00344C17" w:rsidRPr="006C7084">
        <w:rPr>
          <w:rStyle w:val="ECCParagraph"/>
        </w:rPr>
        <w:t xml:space="preserve">to </w:t>
      </w:r>
      <w:r w:rsidRPr="006C7084">
        <w:rPr>
          <w:rStyle w:val="ECCParagraph"/>
        </w:rPr>
        <w:t xml:space="preserve">ECC </w:t>
      </w:r>
      <w:r w:rsidR="00254931" w:rsidRPr="006C7084">
        <w:rPr>
          <w:rStyle w:val="ECCParagraph"/>
        </w:rPr>
        <w:t>R</w:t>
      </w:r>
      <w:r w:rsidRPr="006C7084">
        <w:rPr>
          <w:rStyle w:val="ECCParagraph"/>
        </w:rPr>
        <w:t>eport 309:</w:t>
      </w:r>
      <w:r w:rsidR="000D0CFF" w:rsidRPr="006C7084">
        <w:rPr>
          <w:rStyle w:val="ECCParagraph"/>
        </w:rPr>
        <w:t xml:space="preserve"> </w:t>
      </w:r>
      <w:r w:rsidR="009E65CE" w:rsidRPr="006C7084">
        <w:rPr>
          <w:rStyle w:val="ECCParagraph"/>
        </w:rPr>
        <w:t>"</w:t>
      </w:r>
      <w:r w:rsidR="009E65CE" w:rsidRPr="0057475B">
        <w:rPr>
          <w:rStyle w:val="Emphasis"/>
        </w:rPr>
        <w:t>The intention is to use already existing MFCN BS, which are typically deployed to provide effective coverage at ground level. At this stage, mobile operators do not intend to develop specific network planning to respond to these new aerial uses. Due to this, coexistence studies are mostly required for U</w:t>
      </w:r>
      <w:r w:rsidR="006B3331" w:rsidRPr="0057475B">
        <w:rPr>
          <w:rStyle w:val="Emphasis"/>
        </w:rPr>
        <w:t>plink</w:t>
      </w:r>
      <w:r w:rsidR="009E65CE" w:rsidRPr="0057475B">
        <w:rPr>
          <w:rStyle w:val="Emphasis"/>
        </w:rPr>
        <w:t>, due to the elevated position of aerial UE. No specific studies are required in the D</w:t>
      </w:r>
      <w:r w:rsidR="006B3331" w:rsidRPr="0057475B">
        <w:rPr>
          <w:rStyle w:val="Emphasis"/>
        </w:rPr>
        <w:t>ownlink</w:t>
      </w:r>
      <w:r w:rsidR="009E65CE" w:rsidRPr="0057475B">
        <w:rPr>
          <w:rStyle w:val="Emphasis"/>
        </w:rPr>
        <w:t xml:space="preserve"> for non-AAS BS, since the emission characteristics are not modified. Studies in the </w:t>
      </w:r>
      <w:r w:rsidR="006B3331" w:rsidRPr="0057475B">
        <w:rPr>
          <w:rStyle w:val="Emphasis"/>
        </w:rPr>
        <w:t xml:space="preserve">Downlink </w:t>
      </w:r>
      <w:r w:rsidR="009E65CE" w:rsidRPr="0057475B">
        <w:rPr>
          <w:rStyle w:val="Emphasis"/>
        </w:rPr>
        <w:t xml:space="preserve">would only be required for the case of AAS </w:t>
      </w:r>
      <w:r w:rsidR="005A37D5" w:rsidRPr="0057475B">
        <w:rPr>
          <w:rStyle w:val="Emphasis"/>
        </w:rPr>
        <w:t>BS</w:t>
      </w:r>
      <w:r w:rsidR="009E65CE" w:rsidRPr="0057475B">
        <w:rPr>
          <w:rStyle w:val="Emphasis"/>
        </w:rPr>
        <w:t>, where beam steering may lead to beam pointing above the horizon and may modify the emission characteristics.</w:t>
      </w:r>
      <w:r w:rsidR="009E65CE" w:rsidRPr="006C7084">
        <w:rPr>
          <w:rStyle w:val="ECCParagraph"/>
        </w:rPr>
        <w:t xml:space="preserve">" In consequence, this </w:t>
      </w:r>
      <w:r w:rsidR="00987D17" w:rsidRPr="003B0A21">
        <w:t xml:space="preserve">ECC </w:t>
      </w:r>
      <w:r w:rsidR="000D0CFF" w:rsidRPr="0057475B">
        <w:t>R</w:t>
      </w:r>
      <w:r w:rsidR="009E65CE" w:rsidRPr="0057475B">
        <w:t>eport</w:t>
      </w:r>
      <w:r w:rsidR="009E65CE" w:rsidRPr="003B0A21">
        <w:t xml:space="preserve"> </w:t>
      </w:r>
      <w:r w:rsidR="00987D17" w:rsidRPr="003B0A21">
        <w:t>348</w:t>
      </w:r>
      <w:r w:rsidR="009E65CE" w:rsidRPr="006C7084">
        <w:rPr>
          <w:rStyle w:val="ECCParagraph"/>
        </w:rPr>
        <w:t xml:space="preserve"> </w:t>
      </w:r>
      <w:r w:rsidR="006B3331" w:rsidRPr="006C7084">
        <w:rPr>
          <w:rStyle w:val="ECCParagraph"/>
        </w:rPr>
        <w:t>has</w:t>
      </w:r>
      <w:r w:rsidR="009E65CE" w:rsidRPr="006C7084">
        <w:rPr>
          <w:rStyle w:val="ECCParagraph"/>
        </w:rPr>
        <w:t xml:space="preserve"> analyse</w:t>
      </w:r>
      <w:r w:rsidR="006B3331" w:rsidRPr="006C7084">
        <w:rPr>
          <w:rStyle w:val="ECCParagraph"/>
        </w:rPr>
        <w:t>d</w:t>
      </w:r>
      <w:r w:rsidR="009E65CE" w:rsidRPr="006C7084">
        <w:rPr>
          <w:rStyle w:val="ECCParagraph"/>
        </w:rPr>
        <w:t xml:space="preserve"> and stud</w:t>
      </w:r>
      <w:r w:rsidR="006B3331" w:rsidRPr="006C7084">
        <w:rPr>
          <w:rStyle w:val="ECCParagraph"/>
        </w:rPr>
        <w:t>ied</w:t>
      </w:r>
      <w:r w:rsidR="009E65CE" w:rsidRPr="006C7084">
        <w:rPr>
          <w:rStyle w:val="ECCParagraph"/>
        </w:rPr>
        <w:t xml:space="preserve"> impact of AAS</w:t>
      </w:r>
      <w:r w:rsidR="005A37D5" w:rsidRPr="006C7084">
        <w:rPr>
          <w:rStyle w:val="ECCParagraph"/>
        </w:rPr>
        <w:t xml:space="preserve"> BS</w:t>
      </w:r>
      <w:r w:rsidR="009E65CE" w:rsidRPr="006C7084">
        <w:rPr>
          <w:rStyle w:val="ECCParagraph"/>
        </w:rPr>
        <w:t xml:space="preserve"> pointing above the horizon.</w:t>
      </w:r>
    </w:p>
    <w:p w14:paraId="677B6CF1" w14:textId="7B7A5B5B" w:rsidR="004165CE" w:rsidRPr="00FD3236" w:rsidRDefault="00237B6B" w:rsidP="00510D7B">
      <w:pPr>
        <w:pStyle w:val="ECCTabletext"/>
        <w:spacing w:before="240"/>
        <w:rPr>
          <w:rStyle w:val="ECCParagraph"/>
        </w:rPr>
      </w:pPr>
      <w:r w:rsidRPr="00FD3236">
        <w:rPr>
          <w:rStyle w:val="ECCParagraph"/>
        </w:rPr>
        <w:t>The AAS feature optimis</w:t>
      </w:r>
      <w:r w:rsidR="00C96C4E" w:rsidRPr="00FD3236">
        <w:rPr>
          <w:rStyle w:val="ECCParagraph"/>
        </w:rPr>
        <w:t>es</w:t>
      </w:r>
      <w:r w:rsidRPr="00FD3236">
        <w:rPr>
          <w:rStyle w:val="ECCParagraph"/>
        </w:rPr>
        <w:t xml:space="preserve"> the effective transmission power</w:t>
      </w:r>
      <w:r w:rsidR="002D2977" w:rsidRPr="00FD3236">
        <w:rPr>
          <w:rStyle w:val="ECCParagraph"/>
        </w:rPr>
        <w:t xml:space="preserve"> of the </w:t>
      </w:r>
      <w:r w:rsidR="005A37D5" w:rsidRPr="00FD3236">
        <w:rPr>
          <w:rStyle w:val="ECCParagraph"/>
        </w:rPr>
        <w:t>a</w:t>
      </w:r>
      <w:r w:rsidR="002D2977" w:rsidRPr="00FD3236">
        <w:rPr>
          <w:rStyle w:val="ECCParagraph"/>
        </w:rPr>
        <w:t>erial UE due to</w:t>
      </w:r>
      <w:r w:rsidRPr="00FD3236">
        <w:rPr>
          <w:rStyle w:val="ECCParagraph"/>
        </w:rPr>
        <w:t xml:space="preserve"> higher gain created by the BS towards the transmitting UE together with the power control feature</w:t>
      </w:r>
      <w:r w:rsidR="00344C17" w:rsidRPr="00FD3236">
        <w:rPr>
          <w:rStyle w:val="ECCParagraph"/>
        </w:rPr>
        <w:t>.</w:t>
      </w:r>
      <w:r w:rsidRPr="00FD3236">
        <w:rPr>
          <w:rStyle w:val="ECCParagraph"/>
        </w:rPr>
        <w:t xml:space="preserve"> </w:t>
      </w:r>
      <w:r w:rsidR="00344C17" w:rsidRPr="00FD3236">
        <w:rPr>
          <w:rStyle w:val="ECCParagraph"/>
        </w:rPr>
        <w:t>T</w:t>
      </w:r>
      <w:r w:rsidRPr="00FD3236">
        <w:rPr>
          <w:rStyle w:val="ECCParagraph"/>
        </w:rPr>
        <w:t xml:space="preserve">he aerial UE transmits lower power when connecting to an AAS BS compared to a connection </w:t>
      </w:r>
      <w:r w:rsidR="00AE0A49" w:rsidRPr="00FD3236">
        <w:rPr>
          <w:rStyle w:val="ECCParagraph"/>
        </w:rPr>
        <w:t xml:space="preserve">with </w:t>
      </w:r>
      <w:r w:rsidRPr="00FD3236">
        <w:rPr>
          <w:rStyle w:val="ECCParagraph"/>
        </w:rPr>
        <w:t>a non-AAS BS</w:t>
      </w:r>
      <w:r w:rsidR="002D2977" w:rsidRPr="00FD3236">
        <w:rPr>
          <w:rStyle w:val="ECCParagraph"/>
        </w:rPr>
        <w:t>.</w:t>
      </w:r>
    </w:p>
    <w:p w14:paraId="687130F9" w14:textId="037E3915" w:rsidR="00FF64C1" w:rsidRPr="00FD3236" w:rsidRDefault="00FF64C1" w:rsidP="006C7084">
      <w:pPr>
        <w:rPr>
          <w:rStyle w:val="ECCParagraph"/>
        </w:rPr>
      </w:pPr>
      <w:bookmarkStart w:id="30" w:name="_Hlk98232023"/>
      <w:r w:rsidRPr="00FD3236">
        <w:rPr>
          <w:rStyle w:val="ECCParagraph"/>
        </w:rPr>
        <w:t xml:space="preserve">In addition to the assumptions used in ECC Report 309, this </w:t>
      </w:r>
      <w:r w:rsidR="000D0CFF" w:rsidRPr="00FD3236">
        <w:rPr>
          <w:rStyle w:val="ECCParagraph"/>
        </w:rPr>
        <w:t>R</w:t>
      </w:r>
      <w:r w:rsidRPr="00FD3236">
        <w:rPr>
          <w:rStyle w:val="ECCParagraph"/>
        </w:rPr>
        <w:t xml:space="preserve">eport also considers </w:t>
      </w:r>
      <w:r w:rsidR="00B2602E" w:rsidRPr="00FD3236">
        <w:rPr>
          <w:rStyle w:val="ECCParagraph"/>
        </w:rPr>
        <w:t>the case</w:t>
      </w:r>
      <w:r w:rsidRPr="00FD3236">
        <w:rPr>
          <w:rStyle w:val="ECCParagraph"/>
        </w:rPr>
        <w:t xml:space="preserve"> where some AAS </w:t>
      </w:r>
      <w:r w:rsidR="00C96C4E" w:rsidRPr="00FD3236">
        <w:rPr>
          <w:rStyle w:val="ECCParagraph"/>
        </w:rPr>
        <w:t>BS</w:t>
      </w:r>
      <w:r w:rsidRPr="00FD3236">
        <w:rPr>
          <w:rStyle w:val="ECCParagraph"/>
        </w:rPr>
        <w:t xml:space="preserve"> could create a beam pointing towards a direction above the horizon to serve aerial UE</w:t>
      </w:r>
      <w:r w:rsidR="006868D6" w:rsidRPr="00FD3236">
        <w:rPr>
          <w:rStyle w:val="ECCParagraph"/>
        </w:rPr>
        <w:t>,</w:t>
      </w:r>
      <w:r w:rsidRPr="00FD3236">
        <w:rPr>
          <w:rStyle w:val="ECCParagraph"/>
        </w:rPr>
        <w:t xml:space="preserve"> even </w:t>
      </w:r>
      <w:r w:rsidR="00C97F6E" w:rsidRPr="00FD3236">
        <w:rPr>
          <w:rStyle w:val="ECCParagraph"/>
        </w:rPr>
        <w:t xml:space="preserve">though </w:t>
      </w:r>
      <w:r w:rsidRPr="00FD3236">
        <w:rPr>
          <w:rStyle w:val="ECCParagraph"/>
        </w:rPr>
        <w:t>that due to the vertical scan angle limitations in current AAS BS deployment scenarios the main beam may not be able to follow aerial UE in the sky. As a result</w:t>
      </w:r>
      <w:r w:rsidR="00C97F6E" w:rsidRPr="00FD3236">
        <w:rPr>
          <w:rStyle w:val="ECCParagraph"/>
        </w:rPr>
        <w:t xml:space="preserve">, there </w:t>
      </w:r>
      <w:r w:rsidRPr="00FD3236">
        <w:rPr>
          <w:rStyle w:val="ECCParagraph"/>
        </w:rPr>
        <w:t>is no reason for victim receivers located on the ground and operating in adjacent bands to face additional interference</w:t>
      </w:r>
      <w:r w:rsidR="00132D45" w:rsidRPr="00FD3236">
        <w:rPr>
          <w:rStyle w:val="ECCParagraph"/>
        </w:rPr>
        <w:t>,</w:t>
      </w:r>
      <w:r w:rsidRPr="00FD3236">
        <w:rPr>
          <w:rStyle w:val="ECCParagraph"/>
        </w:rPr>
        <w:t xml:space="preserve"> either due to </w:t>
      </w:r>
      <w:r w:rsidR="00C97F6E" w:rsidRPr="00FD3236">
        <w:rPr>
          <w:rStyle w:val="ECCParagraph"/>
        </w:rPr>
        <w:t xml:space="preserve">the </w:t>
      </w:r>
      <w:r w:rsidRPr="00FD3236">
        <w:rPr>
          <w:rStyle w:val="ECCParagraph"/>
        </w:rPr>
        <w:t xml:space="preserve">AAS BS </w:t>
      </w:r>
      <w:r w:rsidR="00C97F6E" w:rsidRPr="00FD3236">
        <w:rPr>
          <w:rStyle w:val="ECCParagraph"/>
        </w:rPr>
        <w:t xml:space="preserve">transmission mask </w:t>
      </w:r>
      <w:r w:rsidRPr="00FD3236">
        <w:rPr>
          <w:rStyle w:val="ECCParagraph"/>
        </w:rPr>
        <w:t>(OOBE or spurious domain)</w:t>
      </w:r>
      <w:r w:rsidR="00132D45" w:rsidRPr="00FD3236">
        <w:rPr>
          <w:rStyle w:val="ECCParagraph"/>
        </w:rPr>
        <w:t>,</w:t>
      </w:r>
      <w:r w:rsidRPr="00FD3236">
        <w:rPr>
          <w:rStyle w:val="ECCParagraph"/>
        </w:rPr>
        <w:t xml:space="preserve"> or their own selectivity.</w:t>
      </w:r>
    </w:p>
    <w:p w14:paraId="5970BDA9" w14:textId="0A2297A2" w:rsidR="00FF64C1" w:rsidRPr="00FD3236" w:rsidRDefault="00FF64C1" w:rsidP="006C7084">
      <w:pPr>
        <w:rPr>
          <w:rStyle w:val="ECCParagraph"/>
        </w:rPr>
      </w:pPr>
      <w:r w:rsidRPr="00FD3236">
        <w:rPr>
          <w:rStyle w:val="ECCParagraph"/>
        </w:rPr>
        <w:t>In this case, the received level of interference is assumed to be lower than the level of interference created by AAS BS serving on-ground UE.</w:t>
      </w:r>
    </w:p>
    <w:p w14:paraId="5528EA3D" w14:textId="643DB459" w:rsidR="00FF64C1" w:rsidRPr="00510D7B" w:rsidRDefault="00765B58" w:rsidP="006C7084">
      <w:pPr>
        <w:rPr>
          <w:rStyle w:val="ECCParagraph"/>
        </w:rPr>
      </w:pPr>
      <w:r w:rsidRPr="00FD3236">
        <w:rPr>
          <w:rStyle w:val="ECCParagraph"/>
        </w:rPr>
        <w:t>Studies have been carried out</w:t>
      </w:r>
      <w:r w:rsidR="00FF64C1" w:rsidRPr="00FD3236">
        <w:rPr>
          <w:rStyle w:val="ECCParagraph"/>
        </w:rPr>
        <w:t xml:space="preserve"> to assess whether additional interference may be generat</w:t>
      </w:r>
      <w:r w:rsidR="00FF64C1" w:rsidRPr="00510D7B">
        <w:rPr>
          <w:rStyle w:val="ECCParagraph"/>
        </w:rPr>
        <w:t>ed to victim receivers not on the ground but on board a flying platform</w:t>
      </w:r>
      <w:r w:rsidR="009D222E">
        <w:rPr>
          <w:rStyle w:val="ECCParagraph"/>
        </w:rPr>
        <w:t>.</w:t>
      </w:r>
      <w:r w:rsidR="00FF64C1" w:rsidRPr="00510D7B">
        <w:rPr>
          <w:rStyle w:val="ECCParagraph"/>
        </w:rPr>
        <w:t xml:space="preserve"> </w:t>
      </w:r>
    </w:p>
    <w:bookmarkEnd w:id="30"/>
    <w:p w14:paraId="677B6CFA" w14:textId="26AD064E" w:rsidR="00020871" w:rsidRPr="006C7084" w:rsidRDefault="00020871" w:rsidP="00510D7B">
      <w:pPr>
        <w:pStyle w:val="ECCBulletsLv1"/>
        <w:numPr>
          <w:ilvl w:val="0"/>
          <w:numId w:val="0"/>
        </w:numPr>
        <w:spacing w:before="240" w:after="60"/>
        <w:rPr>
          <w:rStyle w:val="ECCParagraph"/>
        </w:rPr>
      </w:pPr>
      <w:r w:rsidRPr="006C7084">
        <w:rPr>
          <w:rStyle w:val="ECCParagraph"/>
        </w:rPr>
        <w:t xml:space="preserve">This </w:t>
      </w:r>
      <w:r w:rsidR="000D0CFF" w:rsidRPr="006C7084">
        <w:rPr>
          <w:rStyle w:val="ECCParagraph"/>
        </w:rPr>
        <w:t>R</w:t>
      </w:r>
      <w:r w:rsidRPr="006C7084">
        <w:rPr>
          <w:rStyle w:val="ECCParagraph"/>
        </w:rPr>
        <w:t>eport assess</w:t>
      </w:r>
      <w:r w:rsidR="00DA0DC3" w:rsidRPr="006C7084">
        <w:rPr>
          <w:rStyle w:val="ECCParagraph"/>
        </w:rPr>
        <w:t>es</w:t>
      </w:r>
      <w:r w:rsidRPr="006C7084">
        <w:rPr>
          <w:rStyle w:val="ECCParagraph"/>
        </w:rPr>
        <w:t xml:space="preserve"> for each band </w:t>
      </w:r>
      <w:r w:rsidR="001253B8" w:rsidRPr="006C7084">
        <w:rPr>
          <w:rStyle w:val="ECCParagraph"/>
        </w:rPr>
        <w:t>the relevant case where</w:t>
      </w:r>
      <w:r w:rsidR="00344C17" w:rsidRPr="006C7084">
        <w:rPr>
          <w:rStyle w:val="ECCParagraph"/>
        </w:rPr>
        <w:t xml:space="preserve"> the</w:t>
      </w:r>
      <w:r w:rsidR="001253B8" w:rsidRPr="006C7084">
        <w:rPr>
          <w:rStyle w:val="ECCParagraph"/>
        </w:rPr>
        <w:t xml:space="preserve"> victim receiver is not on the ground</w:t>
      </w:r>
      <w:r w:rsidR="000D637B" w:rsidRPr="006C7084">
        <w:rPr>
          <w:rStyle w:val="ECCParagraph"/>
        </w:rPr>
        <w:t xml:space="preserve"> and in case of modifications of above assumptions of ECC </w:t>
      </w:r>
      <w:r w:rsidR="00254931" w:rsidRPr="006C7084">
        <w:rPr>
          <w:rStyle w:val="ECCParagraph"/>
        </w:rPr>
        <w:t>R</w:t>
      </w:r>
      <w:r w:rsidR="000D637B" w:rsidRPr="006C7084">
        <w:rPr>
          <w:rStyle w:val="ECCParagraph"/>
        </w:rPr>
        <w:t>eport 309</w:t>
      </w:r>
      <w:r w:rsidR="001253B8" w:rsidRPr="006C7084">
        <w:rPr>
          <w:rStyle w:val="ECCParagraph"/>
        </w:rPr>
        <w:t>.</w:t>
      </w:r>
    </w:p>
    <w:p w14:paraId="677B6CFC" w14:textId="733A1A38" w:rsidR="00C363BF" w:rsidRPr="006C7084" w:rsidRDefault="00E720FD" w:rsidP="00510D7B">
      <w:pPr>
        <w:pStyle w:val="ECCBulletsLv1"/>
        <w:numPr>
          <w:ilvl w:val="0"/>
          <w:numId w:val="0"/>
        </w:numPr>
        <w:spacing w:before="240" w:after="60"/>
        <w:rPr>
          <w:rStyle w:val="ECCParagraph"/>
        </w:rPr>
      </w:pPr>
      <w:r w:rsidRPr="006C7084">
        <w:rPr>
          <w:rStyle w:val="ECCParagraph"/>
        </w:rPr>
        <w:t xml:space="preserve">This </w:t>
      </w:r>
      <w:r w:rsidR="000D0CFF" w:rsidRPr="006C7084">
        <w:rPr>
          <w:rStyle w:val="ECCParagraph"/>
        </w:rPr>
        <w:t>R</w:t>
      </w:r>
      <w:r w:rsidRPr="006C7084">
        <w:rPr>
          <w:rStyle w:val="ECCParagraph"/>
        </w:rPr>
        <w:t>eport assum</w:t>
      </w:r>
      <w:r w:rsidR="00C97F6E">
        <w:rPr>
          <w:rStyle w:val="ECCParagraph"/>
        </w:rPr>
        <w:t>es</w:t>
      </w:r>
      <w:r w:rsidRPr="006C7084">
        <w:rPr>
          <w:rStyle w:val="ECCParagraph"/>
        </w:rPr>
        <w:t xml:space="preserve"> that aeria</w:t>
      </w:r>
      <w:r w:rsidR="00C65C33" w:rsidRPr="006C7084">
        <w:rPr>
          <w:rStyle w:val="ECCParagraph"/>
        </w:rPr>
        <w:t>l UE are non</w:t>
      </w:r>
      <w:r w:rsidR="00344C17" w:rsidRPr="006C7084">
        <w:rPr>
          <w:rStyle w:val="ECCParagraph"/>
        </w:rPr>
        <w:t>-</w:t>
      </w:r>
      <w:r w:rsidR="00C65C33" w:rsidRPr="006C7084">
        <w:rPr>
          <w:rStyle w:val="ECCParagraph"/>
        </w:rPr>
        <w:t>AAS</w:t>
      </w:r>
      <w:r w:rsidRPr="006C7084">
        <w:rPr>
          <w:rStyle w:val="ECCParagraph"/>
        </w:rPr>
        <w:t>.</w:t>
      </w:r>
    </w:p>
    <w:p w14:paraId="677B6CFD" w14:textId="77777777" w:rsidR="00C363BF" w:rsidRPr="006C7084" w:rsidRDefault="00C363BF" w:rsidP="00510D7B">
      <w:pPr>
        <w:pStyle w:val="ECCBulletsLv1"/>
        <w:numPr>
          <w:ilvl w:val="0"/>
          <w:numId w:val="0"/>
        </w:numPr>
        <w:spacing w:before="240" w:after="60"/>
        <w:rPr>
          <w:rStyle w:val="ECCParagraph"/>
        </w:rPr>
      </w:pPr>
    </w:p>
    <w:p w14:paraId="677B6CFE" w14:textId="77777777" w:rsidR="00E720FD" w:rsidRPr="00865D58" w:rsidRDefault="00E720FD" w:rsidP="00865D58">
      <w:pPr>
        <w:pStyle w:val="ECCBulletsLv1"/>
        <w:numPr>
          <w:ilvl w:val="0"/>
          <w:numId w:val="0"/>
        </w:numPr>
        <w:rPr>
          <w:rStyle w:val="ECCParagraph"/>
        </w:rPr>
      </w:pPr>
    </w:p>
    <w:p w14:paraId="677B6D00" w14:textId="77777777" w:rsidR="00C65C33" w:rsidRPr="00C65C33" w:rsidRDefault="00C65C33" w:rsidP="00C65C33">
      <w:pPr>
        <w:pStyle w:val="Heading1"/>
        <w:rPr>
          <w:rStyle w:val="ECCParagraph"/>
          <w:lang w:val="fr-FR"/>
        </w:rPr>
      </w:pPr>
      <w:bookmarkStart w:id="31" w:name="_Ref103696493"/>
      <w:bookmarkStart w:id="32" w:name="_Toc119582841"/>
      <w:r w:rsidRPr="00462A07">
        <w:rPr>
          <w:rStyle w:val="ECCParagraph"/>
          <w:lang w:val="fr-FR"/>
        </w:rPr>
        <w:lastRenderedPageBreak/>
        <w:t xml:space="preserve">Technologies (LTE, 5G NR) </w:t>
      </w:r>
      <w:r w:rsidRPr="00C65C33">
        <w:rPr>
          <w:rStyle w:val="ECCParagraph"/>
        </w:rPr>
        <w:t>comparison</w:t>
      </w:r>
      <w:bookmarkEnd w:id="31"/>
      <w:bookmarkEnd w:id="32"/>
    </w:p>
    <w:p w14:paraId="677B6D02" w14:textId="3C3D8345" w:rsidR="00C65C33" w:rsidRPr="00C65C33" w:rsidRDefault="00C65C33" w:rsidP="00C65C33">
      <w:r w:rsidRPr="00C65C33">
        <w:t xml:space="preserve">The technical conditions for LTE aerial UE have been studied in ECC </w:t>
      </w:r>
      <w:r w:rsidR="00E97641">
        <w:t>R</w:t>
      </w:r>
      <w:r w:rsidRPr="00C65C33">
        <w:t>eport 309</w:t>
      </w:r>
      <w:r w:rsidR="00E07FF8">
        <w:t xml:space="preserve"> </w:t>
      </w:r>
      <w:r w:rsidR="00E07FF8">
        <w:fldChar w:fldCharType="begin"/>
      </w:r>
      <w:r w:rsidR="00E07FF8">
        <w:instrText xml:space="preserve"> REF _Ref103695135 \r \h </w:instrText>
      </w:r>
      <w:r w:rsidR="00E07FF8">
        <w:fldChar w:fldCharType="separate"/>
      </w:r>
      <w:r w:rsidR="009464FD">
        <w:t>[4]</w:t>
      </w:r>
      <w:r w:rsidR="00E07FF8">
        <w:fldChar w:fldCharType="end"/>
      </w:r>
      <w:r w:rsidRPr="00C65C33">
        <w:t xml:space="preserve"> for protecting adjacent band radio systems, which are defined as</w:t>
      </w:r>
      <w:r w:rsidR="00A654ED">
        <w:t>:</w:t>
      </w:r>
    </w:p>
    <w:p w14:paraId="677B6D03" w14:textId="170CCE4F" w:rsidR="00C65C33" w:rsidRPr="00C65C33" w:rsidRDefault="00C65C33" w:rsidP="00245D3E">
      <w:pPr>
        <w:pStyle w:val="ECCNumberedList"/>
        <w:spacing w:before="120"/>
      </w:pPr>
      <w:r w:rsidRPr="00C65C33">
        <w:t>OOB emission limit for aerial UE</w:t>
      </w:r>
    </w:p>
    <w:p w14:paraId="677B6D04" w14:textId="34DAE88A" w:rsidR="00C65C33" w:rsidRPr="00C65C33" w:rsidRDefault="006B3331" w:rsidP="00245D3E">
      <w:pPr>
        <w:pStyle w:val="ECCNumberedList"/>
        <w:numPr>
          <w:ilvl w:val="0"/>
          <w:numId w:val="0"/>
        </w:numPr>
        <w:spacing w:before="120"/>
        <w:ind w:left="360"/>
      </w:pPr>
      <w:r>
        <w:t>o</w:t>
      </w:r>
      <w:r w:rsidR="00C65C33" w:rsidRPr="00C65C33">
        <w:t>r</w:t>
      </w:r>
    </w:p>
    <w:p w14:paraId="677B6D06" w14:textId="615358D5" w:rsidR="00C65C33" w:rsidRPr="00C65C33" w:rsidRDefault="00C65C33" w:rsidP="00245D3E">
      <w:pPr>
        <w:pStyle w:val="ECCNumberedList"/>
        <w:spacing w:before="120"/>
      </w:pPr>
      <w:r w:rsidRPr="00462A07">
        <w:rPr>
          <w:rStyle w:val="ECCParagraph"/>
        </w:rPr>
        <w:t>No-fly zone</w:t>
      </w:r>
      <w:r w:rsidR="00462A07">
        <w:rPr>
          <w:rStyle w:val="FootnoteReference"/>
        </w:rPr>
        <w:footnoteReference w:id="4"/>
      </w:r>
      <w:r w:rsidRPr="00462A07">
        <w:rPr>
          <w:rStyle w:val="ECCParagraph"/>
        </w:rPr>
        <w:t xml:space="preserve"> for aerial UE.</w:t>
      </w:r>
    </w:p>
    <w:p w14:paraId="677B6D07" w14:textId="52EBE30A" w:rsidR="00C65C33" w:rsidRPr="00C65C33" w:rsidRDefault="00C65C33" w:rsidP="00462A07">
      <w:r w:rsidRPr="00C65C33">
        <w:t xml:space="preserve">The </w:t>
      </w:r>
      <w:r w:rsidRPr="0057475B">
        <w:rPr>
          <w:rStyle w:val="ECCParagraph"/>
        </w:rPr>
        <w:t xml:space="preserve">difference between LTE UE and 5G NR UE stems from a different channel occupancy rate for some channel </w:t>
      </w:r>
      <w:r w:rsidRPr="00FD3236">
        <w:rPr>
          <w:rStyle w:val="ECCParagraph"/>
        </w:rPr>
        <w:t>bandwidth</w:t>
      </w:r>
      <w:r w:rsidR="003352C5" w:rsidRPr="00FD3236">
        <w:rPr>
          <w:rStyle w:val="ECCParagraph"/>
        </w:rPr>
        <w:t>s</w:t>
      </w:r>
      <w:r w:rsidRPr="0057475B">
        <w:rPr>
          <w:rStyle w:val="ECCParagraph"/>
        </w:rPr>
        <w:t>, as shown</w:t>
      </w:r>
      <w:r w:rsidRPr="00C65C33">
        <w:t xml:space="preserve"> in </w:t>
      </w:r>
      <w:r w:rsidR="00A654ED">
        <w:fldChar w:fldCharType="begin"/>
      </w:r>
      <w:r w:rsidR="00A654ED">
        <w:instrText xml:space="preserve"> REF _Ref98413304 \h </w:instrText>
      </w:r>
      <w:r w:rsidR="00A654ED">
        <w:fldChar w:fldCharType="separate"/>
      </w:r>
      <w:r w:rsidR="000C011B" w:rsidRPr="000C011B">
        <w:t xml:space="preserve">Table </w:t>
      </w:r>
      <w:r w:rsidR="000C011B">
        <w:rPr>
          <w:noProof/>
        </w:rPr>
        <w:t>2</w:t>
      </w:r>
      <w:r w:rsidR="00A654ED">
        <w:fldChar w:fldCharType="end"/>
      </w:r>
      <w:r w:rsidR="00A654ED">
        <w:t xml:space="preserve"> </w:t>
      </w:r>
      <w:r w:rsidRPr="00C65C33">
        <w:t>below (CEPT Report 81</w:t>
      </w:r>
      <w:r w:rsidR="00E07FF8">
        <w:t xml:space="preserve"> </w:t>
      </w:r>
      <w:r w:rsidR="00E07FF8">
        <w:fldChar w:fldCharType="begin"/>
      </w:r>
      <w:r w:rsidR="00E07FF8">
        <w:instrText xml:space="preserve"> REF _Ref103939904 \r \h </w:instrText>
      </w:r>
      <w:r w:rsidR="00E07FF8">
        <w:fldChar w:fldCharType="separate"/>
      </w:r>
      <w:r w:rsidR="009464FD">
        <w:t>[8]</w:t>
      </w:r>
      <w:r w:rsidR="00E07FF8">
        <w:fldChar w:fldCharType="end"/>
      </w:r>
      <w:r w:rsidRPr="00C65C33">
        <w:t>)</w:t>
      </w:r>
      <w:r w:rsidR="00764792">
        <w:t>.</w:t>
      </w:r>
    </w:p>
    <w:p w14:paraId="37A3C7B5" w14:textId="45A2085E" w:rsidR="00A654ED" w:rsidRPr="00510D7B" w:rsidRDefault="00A654ED" w:rsidP="008C58C6">
      <w:pPr>
        <w:pStyle w:val="Caption"/>
        <w:keepNext/>
        <w:rPr>
          <w:lang w:val="en-GB"/>
        </w:rPr>
      </w:pPr>
      <w:bookmarkStart w:id="33" w:name="_Ref98413304"/>
      <w:r w:rsidRPr="00510D7B">
        <w:rPr>
          <w:lang w:val="en-GB"/>
        </w:rPr>
        <w:t xml:space="preserve">Table </w:t>
      </w:r>
      <w:r w:rsidR="00A83286">
        <w:fldChar w:fldCharType="begin"/>
      </w:r>
      <w:r w:rsidR="00A83286" w:rsidRPr="00AE268A">
        <w:rPr>
          <w:lang w:val="en-GB"/>
        </w:rPr>
        <w:instrText xml:space="preserve"> SEQ Table \* ARABIC </w:instrText>
      </w:r>
      <w:r w:rsidR="00A83286">
        <w:fldChar w:fldCharType="separate"/>
      </w:r>
      <w:r w:rsidR="009464FD">
        <w:rPr>
          <w:noProof/>
          <w:lang w:val="en-GB"/>
        </w:rPr>
        <w:t>2</w:t>
      </w:r>
      <w:r w:rsidR="00A83286">
        <w:rPr>
          <w:noProof/>
        </w:rPr>
        <w:fldChar w:fldCharType="end"/>
      </w:r>
      <w:bookmarkEnd w:id="33"/>
      <w:r w:rsidR="002B654D" w:rsidRPr="00AE268A">
        <w:rPr>
          <w:noProof/>
          <w:lang w:val="en-GB"/>
        </w:rPr>
        <w:t>:</w:t>
      </w:r>
      <w:r w:rsidRPr="00510D7B">
        <w:rPr>
          <w:lang w:val="en-GB"/>
        </w:rPr>
        <w:t xml:space="preserve"> LTE and 5G NR channel bandwidth and occupied channel bandwidth</w:t>
      </w:r>
    </w:p>
    <w:tbl>
      <w:tblPr>
        <w:tblStyle w:val="ECCTable-redheader"/>
        <w:tblW w:w="4782" w:type="pct"/>
        <w:tblInd w:w="0" w:type="dxa"/>
        <w:tblLook w:val="04A0" w:firstRow="1" w:lastRow="0" w:firstColumn="1" w:lastColumn="0" w:noHBand="0" w:noVBand="1"/>
      </w:tblPr>
      <w:tblGrid>
        <w:gridCol w:w="3398"/>
        <w:gridCol w:w="2267"/>
        <w:gridCol w:w="3544"/>
      </w:tblGrid>
      <w:tr w:rsidR="0053007A" w:rsidRPr="008C6D51" w14:paraId="677B6D0E" w14:textId="77777777" w:rsidTr="00AE268A">
        <w:trPr>
          <w:cnfStyle w:val="100000000000" w:firstRow="1" w:lastRow="0" w:firstColumn="0" w:lastColumn="0" w:oddVBand="0" w:evenVBand="0" w:oddHBand="0" w:evenHBand="0" w:firstRowFirstColumn="0" w:firstRowLastColumn="0" w:lastRowFirstColumn="0" w:lastRowLastColumn="0"/>
          <w:trHeight w:val="247"/>
        </w:trPr>
        <w:tc>
          <w:tcPr>
            <w:tcW w:w="1845" w:type="pct"/>
            <w:tcBorders>
              <w:top w:val="single" w:sz="4" w:space="0" w:color="FFFFFF" w:themeColor="background1"/>
            </w:tcBorders>
            <w:hideMark/>
          </w:tcPr>
          <w:p w14:paraId="677B6D09" w14:textId="77777777" w:rsidR="00C65C33" w:rsidRPr="00C65C33" w:rsidRDefault="00C65C33" w:rsidP="00C65C33">
            <w:pPr>
              <w:pStyle w:val="ECCTabletext"/>
            </w:pPr>
            <w:r w:rsidRPr="00C65C33">
              <w:t>Technology</w:t>
            </w:r>
          </w:p>
        </w:tc>
        <w:tc>
          <w:tcPr>
            <w:tcW w:w="1231" w:type="pct"/>
            <w:tcBorders>
              <w:top w:val="single" w:sz="4" w:space="0" w:color="FFFFFF" w:themeColor="background1"/>
              <w:bottom w:val="single" w:sz="4" w:space="0" w:color="FFFFFF" w:themeColor="background1"/>
            </w:tcBorders>
            <w:hideMark/>
          </w:tcPr>
          <w:p w14:paraId="677B6D0A" w14:textId="77777777" w:rsidR="00C65C33" w:rsidRPr="00C65C33" w:rsidRDefault="00C65C33" w:rsidP="005107F9">
            <w:pPr>
              <w:pStyle w:val="ECCTabletext"/>
              <w:spacing w:before="120" w:after="60"/>
            </w:pPr>
            <w:r w:rsidRPr="00C65C33">
              <w:t>LTE UE</w:t>
            </w:r>
          </w:p>
          <w:p w14:paraId="677B6D0B" w14:textId="78A44D05" w:rsidR="00C65C33" w:rsidRPr="00C65C33" w:rsidRDefault="00C65C33" w:rsidP="00C65C33">
            <w:pPr>
              <w:pStyle w:val="ECCTabletext"/>
            </w:pPr>
            <w:r w:rsidRPr="00C65C33">
              <w:t>(ETSI TS 136.101</w:t>
            </w:r>
            <w:r w:rsidR="00BA1DCA">
              <w:t xml:space="preserve"> </w:t>
            </w:r>
            <w:r w:rsidR="00BA1DCA">
              <w:fldChar w:fldCharType="begin"/>
            </w:r>
            <w:r w:rsidR="00BA1DCA">
              <w:rPr>
                <w:b w:val="0"/>
              </w:rPr>
              <w:instrText xml:space="preserve"> </w:instrText>
            </w:r>
            <w:r w:rsidR="00BA1DCA">
              <w:instrText xml:space="preserve">REF </w:instrText>
            </w:r>
            <w:r w:rsidR="00BA1DCA">
              <w:rPr>
                <w:b w:val="0"/>
              </w:rPr>
              <w:instrText xml:space="preserve">_Ref103939963 \r \h </w:instrText>
            </w:r>
            <w:r w:rsidR="00BA1DCA">
              <w:fldChar w:fldCharType="separate"/>
            </w:r>
            <w:r w:rsidR="009464FD">
              <w:t>[9]</w:t>
            </w:r>
            <w:r w:rsidR="00BA1DCA">
              <w:fldChar w:fldCharType="end"/>
            </w:r>
            <w:r w:rsidRPr="00C65C33">
              <w:t>)</w:t>
            </w:r>
          </w:p>
        </w:tc>
        <w:tc>
          <w:tcPr>
            <w:tcW w:w="1924" w:type="pct"/>
            <w:tcBorders>
              <w:top w:val="single" w:sz="4" w:space="0" w:color="FFFFFF" w:themeColor="background1"/>
            </w:tcBorders>
            <w:hideMark/>
          </w:tcPr>
          <w:p w14:paraId="677B6D0C" w14:textId="77777777" w:rsidR="00C65C33" w:rsidRPr="00C65C33" w:rsidRDefault="00C65C33" w:rsidP="005107F9">
            <w:pPr>
              <w:pStyle w:val="ECCTabletext"/>
              <w:spacing w:before="120" w:after="60"/>
              <w:rPr>
                <w:lang w:val="fr-FR"/>
              </w:rPr>
            </w:pPr>
            <w:r w:rsidRPr="00462A07">
              <w:rPr>
                <w:lang w:val="fr-FR"/>
              </w:rPr>
              <w:t>5G NR UE</w:t>
            </w:r>
          </w:p>
          <w:p w14:paraId="677B6D0D" w14:textId="6F5229FF" w:rsidR="00C65C33" w:rsidRPr="00462A07" w:rsidRDefault="00C65C33" w:rsidP="00C65C33">
            <w:pPr>
              <w:pStyle w:val="ECCTabletext"/>
              <w:rPr>
                <w:lang w:val="fr-FR"/>
              </w:rPr>
            </w:pPr>
            <w:r w:rsidRPr="00462A07">
              <w:rPr>
                <w:lang w:val="fr-FR"/>
              </w:rPr>
              <w:t>(ETSI TS 138.101</w:t>
            </w:r>
            <w:r w:rsidR="00BA1DCA">
              <w:rPr>
                <w:lang w:val="fr-FR"/>
              </w:rPr>
              <w:t xml:space="preserve"> </w:t>
            </w:r>
            <w:r w:rsidR="00BA1DCA">
              <w:rPr>
                <w:lang w:val="fr-FR"/>
              </w:rPr>
              <w:fldChar w:fldCharType="begin"/>
            </w:r>
            <w:r w:rsidR="00BA1DCA">
              <w:rPr>
                <w:b w:val="0"/>
                <w:lang w:val="fr-FR"/>
              </w:rPr>
              <w:instrText xml:space="preserve"> </w:instrText>
            </w:r>
            <w:r w:rsidR="00BA1DCA">
              <w:rPr>
                <w:lang w:val="fr-FR"/>
              </w:rPr>
              <w:instrText xml:space="preserve">REF </w:instrText>
            </w:r>
            <w:r w:rsidR="00BA1DCA">
              <w:rPr>
                <w:b w:val="0"/>
                <w:lang w:val="fr-FR"/>
              </w:rPr>
              <w:instrText xml:space="preserve">_Ref103939990 \r \h </w:instrText>
            </w:r>
            <w:r w:rsidR="00BA1DCA">
              <w:rPr>
                <w:lang w:val="fr-FR"/>
              </w:rPr>
            </w:r>
            <w:r w:rsidR="00BA1DCA">
              <w:rPr>
                <w:lang w:val="fr-FR"/>
              </w:rPr>
              <w:fldChar w:fldCharType="separate"/>
            </w:r>
            <w:r w:rsidR="009464FD">
              <w:rPr>
                <w:lang w:val="fr-FR"/>
              </w:rPr>
              <w:t>[10]</w:t>
            </w:r>
            <w:r w:rsidR="00BA1DCA">
              <w:rPr>
                <w:lang w:val="fr-FR"/>
              </w:rPr>
              <w:fldChar w:fldCharType="end"/>
            </w:r>
            <w:r w:rsidRPr="00462A07">
              <w:rPr>
                <w:lang w:val="fr-FR"/>
              </w:rPr>
              <w:t>)</w:t>
            </w:r>
          </w:p>
        </w:tc>
      </w:tr>
      <w:tr w:rsidR="00C65C33" w14:paraId="677B6D12" w14:textId="77777777" w:rsidTr="00510D7B">
        <w:trPr>
          <w:trHeight w:val="13"/>
        </w:trPr>
        <w:tc>
          <w:tcPr>
            <w:tcW w:w="1845" w:type="pct"/>
            <w:tcBorders>
              <w:top w:val="single" w:sz="4" w:space="0" w:color="D22A23"/>
              <w:left w:val="single" w:sz="4" w:space="0" w:color="D22A23"/>
              <w:bottom w:val="single" w:sz="4" w:space="0" w:color="D22A23"/>
              <w:right w:val="single" w:sz="4" w:space="0" w:color="D22A23"/>
            </w:tcBorders>
            <w:hideMark/>
          </w:tcPr>
          <w:p w14:paraId="677B6D0F" w14:textId="77777777" w:rsidR="00C65C33" w:rsidRPr="00C65C33" w:rsidRDefault="00C65C33" w:rsidP="00510D7B">
            <w:pPr>
              <w:pStyle w:val="ECCTabletext"/>
              <w:jc w:val="left"/>
            </w:pPr>
            <w:r w:rsidRPr="00C65C33">
              <w:t>Channel bandwidth (MHz)</w:t>
            </w:r>
          </w:p>
        </w:tc>
        <w:tc>
          <w:tcPr>
            <w:tcW w:w="1231" w:type="pct"/>
            <w:tcBorders>
              <w:top w:val="single" w:sz="4" w:space="0" w:color="D22A23"/>
              <w:left w:val="single" w:sz="4" w:space="0" w:color="D22A23"/>
              <w:bottom w:val="single" w:sz="4" w:space="0" w:color="D22A23"/>
              <w:right w:val="single" w:sz="4" w:space="0" w:color="D22A23"/>
            </w:tcBorders>
            <w:hideMark/>
          </w:tcPr>
          <w:p w14:paraId="677B6D10" w14:textId="77777777" w:rsidR="00C65C33" w:rsidRPr="00C65C33" w:rsidRDefault="00C65C33" w:rsidP="00510D7B">
            <w:pPr>
              <w:pStyle w:val="ECCTabletext"/>
              <w:jc w:val="left"/>
            </w:pPr>
            <w:r w:rsidRPr="00C65C33">
              <w:t>5, 10, 15, 20</w:t>
            </w:r>
          </w:p>
        </w:tc>
        <w:tc>
          <w:tcPr>
            <w:tcW w:w="1924" w:type="pct"/>
            <w:tcBorders>
              <w:top w:val="single" w:sz="4" w:space="0" w:color="D22A23"/>
              <w:left w:val="single" w:sz="4" w:space="0" w:color="D22A23"/>
              <w:bottom w:val="single" w:sz="4" w:space="0" w:color="D22A23"/>
              <w:right w:val="single" w:sz="4" w:space="0" w:color="D22A23"/>
            </w:tcBorders>
            <w:hideMark/>
          </w:tcPr>
          <w:p w14:paraId="677B6D11" w14:textId="77777777" w:rsidR="00C65C33" w:rsidRPr="00C65C33" w:rsidRDefault="00C65C33" w:rsidP="00510D7B">
            <w:pPr>
              <w:pStyle w:val="ECCTabletext"/>
              <w:jc w:val="left"/>
            </w:pPr>
            <w:r w:rsidRPr="00C65C33">
              <w:t>5, 10, 15, 20, 25, 30</w:t>
            </w:r>
          </w:p>
        </w:tc>
      </w:tr>
      <w:tr w:rsidR="00C65C33" w14:paraId="677B6D16" w14:textId="77777777" w:rsidTr="00510D7B">
        <w:trPr>
          <w:trHeight w:val="247"/>
        </w:trPr>
        <w:tc>
          <w:tcPr>
            <w:tcW w:w="1845" w:type="pct"/>
            <w:tcBorders>
              <w:top w:val="single" w:sz="4" w:space="0" w:color="D22A23"/>
              <w:left w:val="single" w:sz="4" w:space="0" w:color="D22A23"/>
              <w:bottom w:val="single" w:sz="4" w:space="0" w:color="D22A23"/>
              <w:right w:val="single" w:sz="4" w:space="0" w:color="D22A23"/>
            </w:tcBorders>
            <w:hideMark/>
          </w:tcPr>
          <w:p w14:paraId="677B6D13" w14:textId="77777777" w:rsidR="00C65C33" w:rsidRPr="00C65C33" w:rsidRDefault="00C65C33" w:rsidP="00510D7B">
            <w:pPr>
              <w:pStyle w:val="ECCTabletext"/>
              <w:jc w:val="left"/>
            </w:pPr>
            <w:r w:rsidRPr="00C65C33">
              <w:t>Occupied channel bandwidth (MHz)</w:t>
            </w:r>
          </w:p>
        </w:tc>
        <w:tc>
          <w:tcPr>
            <w:tcW w:w="1231" w:type="pct"/>
            <w:tcBorders>
              <w:top w:val="single" w:sz="4" w:space="0" w:color="D22A23"/>
              <w:left w:val="single" w:sz="4" w:space="0" w:color="D22A23"/>
              <w:bottom w:val="single" w:sz="4" w:space="0" w:color="D22A23"/>
              <w:right w:val="single" w:sz="4" w:space="0" w:color="D22A23"/>
            </w:tcBorders>
            <w:hideMark/>
          </w:tcPr>
          <w:p w14:paraId="677B6D14" w14:textId="77777777" w:rsidR="00C65C33" w:rsidRPr="00C65C33" w:rsidRDefault="00C65C33" w:rsidP="00510D7B">
            <w:pPr>
              <w:pStyle w:val="ECCTabletext"/>
              <w:jc w:val="left"/>
            </w:pPr>
            <w:r w:rsidRPr="00C65C33">
              <w:t>4.5, 9, 13.5, 18</w:t>
            </w:r>
          </w:p>
        </w:tc>
        <w:tc>
          <w:tcPr>
            <w:tcW w:w="1924" w:type="pct"/>
            <w:tcBorders>
              <w:top w:val="single" w:sz="4" w:space="0" w:color="D22A23"/>
              <w:left w:val="single" w:sz="4" w:space="0" w:color="D22A23"/>
              <w:bottom w:val="single" w:sz="4" w:space="0" w:color="D22A23"/>
              <w:right w:val="single" w:sz="4" w:space="0" w:color="D22A23"/>
            </w:tcBorders>
            <w:hideMark/>
          </w:tcPr>
          <w:p w14:paraId="677B6D15" w14:textId="77777777" w:rsidR="00C65C33" w:rsidRPr="00C65C33" w:rsidRDefault="00C65C33" w:rsidP="00510D7B">
            <w:pPr>
              <w:pStyle w:val="ECCTabletext"/>
              <w:jc w:val="left"/>
            </w:pPr>
            <w:r w:rsidRPr="00C65C33">
              <w:t>4.5, 9.36, 14.22, 19.08, 23.94, 28.8</w:t>
            </w:r>
          </w:p>
        </w:tc>
      </w:tr>
    </w:tbl>
    <w:p w14:paraId="677B6D18" w14:textId="3FAE12B3" w:rsidR="00C65C33" w:rsidRPr="00C65C33" w:rsidRDefault="00C65C33" w:rsidP="00C65C33">
      <w:r w:rsidRPr="00C65C33">
        <w:t>The commonality between LTE UE and 5G NR UE transmitter characteristics are summari</w:t>
      </w:r>
      <w:r w:rsidR="00486FC5">
        <w:t>s</w:t>
      </w:r>
      <w:r w:rsidRPr="00C65C33">
        <w:t xml:space="preserve">ed in </w:t>
      </w:r>
      <w:r w:rsidR="00A654ED">
        <w:fldChar w:fldCharType="begin"/>
      </w:r>
      <w:r w:rsidR="00A654ED">
        <w:instrText xml:space="preserve"> REF _Ref98413444 \h </w:instrText>
      </w:r>
      <w:r w:rsidR="00A654ED">
        <w:fldChar w:fldCharType="separate"/>
      </w:r>
      <w:r w:rsidR="000C011B" w:rsidRPr="000C011B">
        <w:t xml:space="preserve">Table </w:t>
      </w:r>
      <w:r w:rsidR="000C011B">
        <w:rPr>
          <w:noProof/>
        </w:rPr>
        <w:t>3</w:t>
      </w:r>
      <w:r w:rsidR="00A654ED">
        <w:fldChar w:fldCharType="end"/>
      </w:r>
      <w:r w:rsidR="001953B6">
        <w:t>.</w:t>
      </w:r>
    </w:p>
    <w:p w14:paraId="677B6D19" w14:textId="7079C446" w:rsidR="00C65C33" w:rsidRPr="00C65C33" w:rsidRDefault="00C65C33" w:rsidP="00245D3E">
      <w:pPr>
        <w:pStyle w:val="ECCNumberedList"/>
        <w:numPr>
          <w:ilvl w:val="0"/>
          <w:numId w:val="20"/>
        </w:numPr>
        <w:spacing w:before="60" w:after="60"/>
      </w:pPr>
      <w:r w:rsidRPr="00C65C33">
        <w:t>LTE UE and 5G NR UE have the same maximum transmit power</w:t>
      </w:r>
    </w:p>
    <w:p w14:paraId="677B6D1A" w14:textId="0A6B9217" w:rsidR="00C65C33" w:rsidRPr="00C65C33" w:rsidRDefault="00C65C33" w:rsidP="00245D3E">
      <w:pPr>
        <w:pStyle w:val="ECCNumberedList"/>
        <w:spacing w:before="60" w:after="60"/>
      </w:pPr>
      <w:r w:rsidRPr="00C65C33">
        <w:t>LTE UE and 5G NR UE have the transmit power dynamic range</w:t>
      </w:r>
    </w:p>
    <w:p w14:paraId="677B6D1C" w14:textId="5BD03C1E" w:rsidR="00C65C33" w:rsidRPr="00C65C33" w:rsidRDefault="00C65C33" w:rsidP="00245D3E">
      <w:pPr>
        <w:pStyle w:val="ECCNumberedList"/>
        <w:spacing w:before="60" w:after="60"/>
      </w:pPr>
      <w:r w:rsidRPr="00C65C33">
        <w:t xml:space="preserve">LTE UE and 5G NR UE have the same ACLR (Adjacent </w:t>
      </w:r>
      <w:r w:rsidR="00A654ED">
        <w:t>C</w:t>
      </w:r>
      <w:r w:rsidRPr="00C65C33">
        <w:t>hannel Leakage Power Ratio)</w:t>
      </w:r>
    </w:p>
    <w:p w14:paraId="3AD8F62E" w14:textId="1B4925A4" w:rsidR="00A654ED" w:rsidRPr="00510D7B" w:rsidRDefault="00A654ED" w:rsidP="008C58C6">
      <w:pPr>
        <w:pStyle w:val="Caption"/>
        <w:keepNext/>
        <w:rPr>
          <w:lang w:val="en-GB"/>
        </w:rPr>
      </w:pPr>
      <w:bookmarkStart w:id="34" w:name="_Ref98413444"/>
      <w:r w:rsidRPr="00510D7B">
        <w:rPr>
          <w:lang w:val="en-GB"/>
        </w:rPr>
        <w:t xml:space="preserve">Table </w:t>
      </w:r>
      <w:r w:rsidR="00A83286">
        <w:fldChar w:fldCharType="begin"/>
      </w:r>
      <w:r w:rsidR="00A83286" w:rsidRPr="00AE268A">
        <w:rPr>
          <w:lang w:val="en-GB"/>
        </w:rPr>
        <w:instrText xml:space="preserve"> SEQ Table \* ARABIC </w:instrText>
      </w:r>
      <w:r w:rsidR="00A83286">
        <w:fldChar w:fldCharType="separate"/>
      </w:r>
      <w:r w:rsidR="009464FD">
        <w:rPr>
          <w:noProof/>
          <w:lang w:val="en-GB"/>
        </w:rPr>
        <w:t>3</w:t>
      </w:r>
      <w:r w:rsidR="00A83286">
        <w:rPr>
          <w:noProof/>
        </w:rPr>
        <w:fldChar w:fldCharType="end"/>
      </w:r>
      <w:bookmarkEnd w:id="34"/>
      <w:r w:rsidR="002B654D" w:rsidRPr="00AE268A">
        <w:rPr>
          <w:noProof/>
          <w:lang w:val="en-GB"/>
        </w:rPr>
        <w:t>:</w:t>
      </w:r>
      <w:r w:rsidRPr="00510D7B">
        <w:rPr>
          <w:lang w:val="en-GB"/>
        </w:rPr>
        <w:t xml:space="preserve"> Commonality between LTE UE and 5G NR UE</w:t>
      </w:r>
    </w:p>
    <w:tbl>
      <w:tblPr>
        <w:tblStyle w:val="ECCTable-redheader"/>
        <w:tblW w:w="5000" w:type="pct"/>
        <w:tblInd w:w="0" w:type="dxa"/>
        <w:tblLook w:val="04A0" w:firstRow="1" w:lastRow="0" w:firstColumn="1" w:lastColumn="0" w:noHBand="0" w:noVBand="1"/>
      </w:tblPr>
      <w:tblGrid>
        <w:gridCol w:w="3397"/>
        <w:gridCol w:w="3120"/>
        <w:gridCol w:w="3112"/>
      </w:tblGrid>
      <w:tr w:rsidR="0053007A" w:rsidRPr="008C6D51" w14:paraId="677B6D23" w14:textId="77777777" w:rsidTr="005107F9">
        <w:trPr>
          <w:cnfStyle w:val="100000000000" w:firstRow="1" w:lastRow="0" w:firstColumn="0" w:lastColumn="0" w:oddVBand="0" w:evenVBand="0" w:oddHBand="0" w:evenHBand="0" w:firstRowFirstColumn="0" w:firstRowLastColumn="0" w:lastRowFirstColumn="0" w:lastRowLastColumn="0"/>
          <w:trHeight w:val="247"/>
        </w:trPr>
        <w:tc>
          <w:tcPr>
            <w:tcW w:w="1764" w:type="pct"/>
            <w:tcBorders>
              <w:top w:val="single" w:sz="4" w:space="0" w:color="FFFFFF" w:themeColor="background1"/>
            </w:tcBorders>
            <w:hideMark/>
          </w:tcPr>
          <w:p w14:paraId="677B6D1E" w14:textId="77777777" w:rsidR="00C65C33" w:rsidRPr="00C65C33" w:rsidRDefault="00C65C33" w:rsidP="00C65C33">
            <w:pPr>
              <w:pStyle w:val="ECCTabletext"/>
            </w:pPr>
            <w:r w:rsidRPr="00C65C33">
              <w:t>Technology</w:t>
            </w:r>
          </w:p>
        </w:tc>
        <w:tc>
          <w:tcPr>
            <w:tcW w:w="1620" w:type="pct"/>
            <w:tcBorders>
              <w:top w:val="single" w:sz="4" w:space="0" w:color="FFFFFF" w:themeColor="background1"/>
              <w:bottom w:val="single" w:sz="4" w:space="0" w:color="FFFFFF" w:themeColor="background1"/>
            </w:tcBorders>
            <w:hideMark/>
          </w:tcPr>
          <w:p w14:paraId="677B6D1F" w14:textId="77777777" w:rsidR="00C65C33" w:rsidRPr="00C65C33" w:rsidRDefault="00C65C33" w:rsidP="005107F9">
            <w:pPr>
              <w:pStyle w:val="ECCTabletext"/>
              <w:spacing w:before="120" w:after="60"/>
            </w:pPr>
            <w:r w:rsidRPr="00C65C33">
              <w:t>LTE UE</w:t>
            </w:r>
          </w:p>
          <w:p w14:paraId="677B6D20" w14:textId="77603ED6" w:rsidR="00C65C33" w:rsidRPr="00C65C33" w:rsidRDefault="00C65C33" w:rsidP="00C65C33">
            <w:pPr>
              <w:pStyle w:val="ECCTabletext"/>
            </w:pPr>
            <w:r w:rsidRPr="00C65C33">
              <w:t>(ETSI TS 136.101</w:t>
            </w:r>
            <w:r w:rsidR="00BB3F7A">
              <w:t xml:space="preserve"> </w:t>
            </w:r>
            <w:r w:rsidR="00BB3F7A">
              <w:fldChar w:fldCharType="begin"/>
            </w:r>
            <w:r w:rsidR="00BB3F7A">
              <w:instrText xml:space="preserve"> REF _Ref103939963 \r \h </w:instrText>
            </w:r>
            <w:r w:rsidR="00BB3F7A">
              <w:fldChar w:fldCharType="separate"/>
            </w:r>
            <w:r w:rsidR="009464FD">
              <w:t>[9]</w:t>
            </w:r>
            <w:r w:rsidR="00BB3F7A">
              <w:fldChar w:fldCharType="end"/>
            </w:r>
            <w:r w:rsidRPr="00C65C33">
              <w:t>)</w:t>
            </w:r>
          </w:p>
        </w:tc>
        <w:tc>
          <w:tcPr>
            <w:tcW w:w="1616" w:type="pct"/>
            <w:tcBorders>
              <w:top w:val="single" w:sz="4" w:space="0" w:color="FFFFFF" w:themeColor="background1"/>
            </w:tcBorders>
            <w:hideMark/>
          </w:tcPr>
          <w:p w14:paraId="677B6D21" w14:textId="77777777" w:rsidR="00C65C33" w:rsidRPr="00C65C33" w:rsidRDefault="00C65C33" w:rsidP="005107F9">
            <w:pPr>
              <w:pStyle w:val="ECCTabletext"/>
              <w:spacing w:before="120" w:after="60"/>
              <w:rPr>
                <w:lang w:val="fr-FR"/>
              </w:rPr>
            </w:pPr>
            <w:r w:rsidRPr="00934288">
              <w:rPr>
                <w:lang w:val="fr-FR"/>
              </w:rPr>
              <w:t>5G NR UE</w:t>
            </w:r>
          </w:p>
          <w:p w14:paraId="677B6D22" w14:textId="3583EFA1" w:rsidR="00C65C33" w:rsidRPr="00934288" w:rsidRDefault="00C65C33" w:rsidP="00C65C33">
            <w:pPr>
              <w:pStyle w:val="ECCTabletext"/>
              <w:rPr>
                <w:lang w:val="fr-FR"/>
              </w:rPr>
            </w:pPr>
            <w:r w:rsidRPr="00934288">
              <w:rPr>
                <w:lang w:val="fr-FR"/>
              </w:rPr>
              <w:t>(ETSI TS 138.101</w:t>
            </w:r>
            <w:r w:rsidR="00BB3F7A">
              <w:rPr>
                <w:lang w:val="fr-FR"/>
              </w:rPr>
              <w:t xml:space="preserve"> </w:t>
            </w:r>
            <w:r w:rsidR="00BB3F7A">
              <w:rPr>
                <w:lang w:val="fr-FR"/>
              </w:rPr>
              <w:fldChar w:fldCharType="begin"/>
            </w:r>
            <w:r w:rsidR="00BB3F7A">
              <w:rPr>
                <w:lang w:val="fr-FR"/>
              </w:rPr>
              <w:instrText xml:space="preserve"> REF _Ref103939990 \r \h </w:instrText>
            </w:r>
            <w:r w:rsidR="00BB3F7A">
              <w:rPr>
                <w:lang w:val="fr-FR"/>
              </w:rPr>
            </w:r>
            <w:r w:rsidR="00BB3F7A">
              <w:rPr>
                <w:lang w:val="fr-FR"/>
              </w:rPr>
              <w:fldChar w:fldCharType="separate"/>
            </w:r>
            <w:r w:rsidR="009464FD">
              <w:rPr>
                <w:lang w:val="fr-FR"/>
              </w:rPr>
              <w:t>[10]</w:t>
            </w:r>
            <w:r w:rsidR="00BB3F7A">
              <w:rPr>
                <w:lang w:val="fr-FR"/>
              </w:rPr>
              <w:fldChar w:fldCharType="end"/>
            </w:r>
            <w:r w:rsidRPr="00934288">
              <w:rPr>
                <w:lang w:val="fr-FR"/>
              </w:rPr>
              <w:t>)</w:t>
            </w:r>
          </w:p>
        </w:tc>
      </w:tr>
      <w:tr w:rsidR="00C65C33" w14:paraId="677B6D27" w14:textId="77777777" w:rsidTr="00C1083C">
        <w:trPr>
          <w:trHeight w:val="13"/>
        </w:trPr>
        <w:tc>
          <w:tcPr>
            <w:tcW w:w="1764" w:type="pct"/>
            <w:tcBorders>
              <w:top w:val="single" w:sz="4" w:space="0" w:color="D22A23"/>
              <w:left w:val="single" w:sz="4" w:space="0" w:color="D22A23"/>
              <w:bottom w:val="single" w:sz="4" w:space="0" w:color="D22A23"/>
              <w:right w:val="single" w:sz="4" w:space="0" w:color="D22A23"/>
            </w:tcBorders>
            <w:hideMark/>
          </w:tcPr>
          <w:p w14:paraId="677B6D24" w14:textId="3BE16B49" w:rsidR="00C65C33" w:rsidRPr="00C65C33" w:rsidRDefault="00C65C33" w:rsidP="00510D7B">
            <w:pPr>
              <w:pStyle w:val="ECCTabletext"/>
              <w:jc w:val="left"/>
            </w:pPr>
            <w:r w:rsidRPr="00C65C33">
              <w:t>Maximum transmit power (dBm/</w:t>
            </w:r>
            <w:r w:rsidR="00BA1DCA">
              <w:t>c</w:t>
            </w:r>
            <w:r w:rsidRPr="00C65C33">
              <w:t>hannel) (Class 3)</w:t>
            </w:r>
          </w:p>
        </w:tc>
        <w:tc>
          <w:tcPr>
            <w:tcW w:w="1620" w:type="pct"/>
            <w:tcBorders>
              <w:top w:val="single" w:sz="4" w:space="0" w:color="D22A23"/>
              <w:left w:val="single" w:sz="4" w:space="0" w:color="D22A23"/>
              <w:bottom w:val="single" w:sz="4" w:space="0" w:color="D22A23"/>
              <w:right w:val="single" w:sz="4" w:space="0" w:color="D22A23"/>
            </w:tcBorders>
            <w:hideMark/>
          </w:tcPr>
          <w:p w14:paraId="677B6D25" w14:textId="51DD9B59" w:rsidR="00C65C33" w:rsidRPr="00C65C33" w:rsidRDefault="00C65C33" w:rsidP="00510D7B">
            <w:pPr>
              <w:pStyle w:val="ECCTabletext"/>
              <w:jc w:val="left"/>
            </w:pPr>
            <w:r w:rsidRPr="00C65C33">
              <w:t>23</w:t>
            </w:r>
          </w:p>
        </w:tc>
        <w:tc>
          <w:tcPr>
            <w:tcW w:w="0" w:type="pct"/>
            <w:tcBorders>
              <w:top w:val="single" w:sz="4" w:space="0" w:color="D22A23"/>
              <w:left w:val="single" w:sz="4" w:space="0" w:color="D22A23"/>
              <w:bottom w:val="single" w:sz="4" w:space="0" w:color="D22A23"/>
              <w:right w:val="single" w:sz="4" w:space="0" w:color="D22A23"/>
            </w:tcBorders>
            <w:hideMark/>
          </w:tcPr>
          <w:p w14:paraId="677B6D26" w14:textId="3D9D7847" w:rsidR="00C65C33" w:rsidRPr="00C65C33" w:rsidRDefault="00C65C33" w:rsidP="00510D7B">
            <w:pPr>
              <w:pStyle w:val="ECCTabletext"/>
              <w:jc w:val="left"/>
            </w:pPr>
            <w:r w:rsidRPr="00C65C33">
              <w:t>23</w:t>
            </w:r>
          </w:p>
        </w:tc>
      </w:tr>
      <w:tr w:rsidR="00C65C33" w:rsidRPr="00C65C33" w14:paraId="677B6D2B" w14:textId="77777777" w:rsidTr="00C1083C">
        <w:trPr>
          <w:trHeight w:val="247"/>
        </w:trPr>
        <w:tc>
          <w:tcPr>
            <w:tcW w:w="1764" w:type="pct"/>
            <w:tcBorders>
              <w:top w:val="single" w:sz="4" w:space="0" w:color="D22A23"/>
              <w:left w:val="single" w:sz="4" w:space="0" w:color="D22A23"/>
              <w:bottom w:val="single" w:sz="4" w:space="0" w:color="D22A23"/>
              <w:right w:val="single" w:sz="4" w:space="0" w:color="D22A23"/>
            </w:tcBorders>
            <w:hideMark/>
          </w:tcPr>
          <w:p w14:paraId="677B6D28" w14:textId="77777777" w:rsidR="00C65C33" w:rsidRPr="00C65C33" w:rsidRDefault="00C65C33" w:rsidP="00510D7B">
            <w:pPr>
              <w:pStyle w:val="ECCTabletext"/>
              <w:jc w:val="left"/>
            </w:pPr>
            <w:r w:rsidRPr="00C65C33">
              <w:t>UE transmit power dynamic range for 5, 10, 15, 20 MHz channel</w:t>
            </w:r>
          </w:p>
        </w:tc>
        <w:tc>
          <w:tcPr>
            <w:tcW w:w="1620" w:type="pct"/>
            <w:tcBorders>
              <w:top w:val="single" w:sz="4" w:space="0" w:color="D22A23"/>
              <w:left w:val="single" w:sz="4" w:space="0" w:color="D22A23"/>
              <w:bottom w:val="single" w:sz="4" w:space="0" w:color="D22A23"/>
              <w:right w:val="single" w:sz="4" w:space="0" w:color="D22A23"/>
            </w:tcBorders>
            <w:hideMark/>
          </w:tcPr>
          <w:p w14:paraId="677B6D29" w14:textId="5D1C188E" w:rsidR="00C65C33" w:rsidRPr="00C65C33" w:rsidRDefault="00C65C33" w:rsidP="00510D7B">
            <w:pPr>
              <w:pStyle w:val="ECCTabletext"/>
              <w:jc w:val="left"/>
            </w:pPr>
            <w:r w:rsidRPr="00C65C33">
              <w:t>63 dB (from 23 dBm to -40 dBm)</w:t>
            </w:r>
          </w:p>
        </w:tc>
        <w:tc>
          <w:tcPr>
            <w:tcW w:w="0" w:type="pct"/>
            <w:tcBorders>
              <w:top w:val="single" w:sz="4" w:space="0" w:color="D22A23"/>
              <w:left w:val="single" w:sz="4" w:space="0" w:color="D22A23"/>
              <w:bottom w:val="single" w:sz="4" w:space="0" w:color="D22A23"/>
              <w:right w:val="single" w:sz="4" w:space="0" w:color="D22A23"/>
            </w:tcBorders>
            <w:hideMark/>
          </w:tcPr>
          <w:p w14:paraId="677B6D2A" w14:textId="0E303B83" w:rsidR="00C65C33" w:rsidRPr="00C65C33" w:rsidRDefault="00C65C33" w:rsidP="00510D7B">
            <w:pPr>
              <w:pStyle w:val="ECCTabletext"/>
              <w:jc w:val="left"/>
            </w:pPr>
            <w:r w:rsidRPr="00C65C33">
              <w:t>63 dB (from 23 dBm to -40 dBm)</w:t>
            </w:r>
          </w:p>
        </w:tc>
      </w:tr>
      <w:tr w:rsidR="00C65C33" w14:paraId="677B6D2F" w14:textId="77777777" w:rsidTr="00C1083C">
        <w:trPr>
          <w:trHeight w:val="247"/>
        </w:trPr>
        <w:tc>
          <w:tcPr>
            <w:tcW w:w="1764" w:type="pct"/>
            <w:tcBorders>
              <w:top w:val="single" w:sz="4" w:space="0" w:color="D22A23"/>
              <w:left w:val="single" w:sz="4" w:space="0" w:color="D22A23"/>
              <w:bottom w:val="single" w:sz="4" w:space="0" w:color="D22A23"/>
              <w:right w:val="single" w:sz="4" w:space="0" w:color="D22A23"/>
            </w:tcBorders>
            <w:hideMark/>
          </w:tcPr>
          <w:p w14:paraId="677B6D2C" w14:textId="77777777" w:rsidR="00C65C33" w:rsidRPr="00C65C33" w:rsidRDefault="00C65C33" w:rsidP="00510D7B">
            <w:pPr>
              <w:pStyle w:val="ECCTabletext"/>
              <w:jc w:val="left"/>
            </w:pPr>
            <w:r w:rsidRPr="00C65C33">
              <w:t>ACLR (For Tx Power Class 3) (dB)</w:t>
            </w:r>
          </w:p>
        </w:tc>
        <w:tc>
          <w:tcPr>
            <w:tcW w:w="1620" w:type="pct"/>
            <w:tcBorders>
              <w:top w:val="single" w:sz="4" w:space="0" w:color="D22A23"/>
              <w:left w:val="single" w:sz="4" w:space="0" w:color="D22A23"/>
              <w:bottom w:val="single" w:sz="4" w:space="0" w:color="D22A23"/>
              <w:right w:val="single" w:sz="4" w:space="0" w:color="D22A23"/>
            </w:tcBorders>
            <w:hideMark/>
          </w:tcPr>
          <w:p w14:paraId="677B6D2D" w14:textId="19E6D47B" w:rsidR="00C65C33" w:rsidRPr="00C65C33" w:rsidRDefault="00C65C33" w:rsidP="00510D7B">
            <w:pPr>
              <w:pStyle w:val="ECCTabletext"/>
              <w:jc w:val="left"/>
            </w:pPr>
            <w:r w:rsidRPr="00C65C33">
              <w:t>30</w:t>
            </w:r>
          </w:p>
        </w:tc>
        <w:tc>
          <w:tcPr>
            <w:tcW w:w="0" w:type="pct"/>
            <w:tcBorders>
              <w:top w:val="single" w:sz="4" w:space="0" w:color="D22A23"/>
              <w:left w:val="single" w:sz="4" w:space="0" w:color="D22A23"/>
              <w:bottom w:val="single" w:sz="4" w:space="0" w:color="D22A23"/>
              <w:right w:val="single" w:sz="4" w:space="0" w:color="D22A23"/>
            </w:tcBorders>
            <w:hideMark/>
          </w:tcPr>
          <w:p w14:paraId="677B6D2E" w14:textId="477244CE" w:rsidR="00C65C33" w:rsidRPr="00C65C33" w:rsidRDefault="00C65C33" w:rsidP="00510D7B">
            <w:pPr>
              <w:pStyle w:val="ECCTabletext"/>
              <w:jc w:val="left"/>
            </w:pPr>
            <w:r w:rsidRPr="00C65C33">
              <w:t>30</w:t>
            </w:r>
          </w:p>
        </w:tc>
      </w:tr>
    </w:tbl>
    <w:p w14:paraId="677B6D30" w14:textId="6B67D6A5" w:rsidR="00C65C33" w:rsidRPr="00C65C33" w:rsidRDefault="00C65C33" w:rsidP="00C65C33">
      <w:r w:rsidRPr="00C65C33">
        <w:t>Even though there is a slight difference of channel occupancy rate between LTE UE and 5G NR UE, they have the same in-band and adjacent band transmitter characteristics.</w:t>
      </w:r>
    </w:p>
    <w:p w14:paraId="677B6D31" w14:textId="3904B219" w:rsidR="00C65C33" w:rsidRPr="0057475B" w:rsidRDefault="00C65C33" w:rsidP="00C65C33">
      <w:pPr>
        <w:rPr>
          <w:rStyle w:val="ECCParagraph"/>
        </w:rPr>
      </w:pPr>
      <w:r w:rsidRPr="00C65C33">
        <w:t>Consequently, it can be concluded that the technical conditions such as</w:t>
      </w:r>
      <w:r w:rsidR="00462A07">
        <w:t xml:space="preserve"> no-</w:t>
      </w:r>
      <w:r w:rsidR="00344C17">
        <w:t>transmit</w:t>
      </w:r>
      <w:r w:rsidR="00462A07">
        <w:t xml:space="preserve"> zone</w:t>
      </w:r>
      <w:r w:rsidRPr="00C65C33">
        <w:t xml:space="preserve"> or OOBE limits</w:t>
      </w:r>
      <w:r w:rsidR="00D917BB">
        <w:t xml:space="preserve"> </w:t>
      </w:r>
      <w:r w:rsidRPr="0057475B">
        <w:rPr>
          <w:rStyle w:val="ECCParagraph"/>
        </w:rPr>
        <w:t xml:space="preserve">based on the studies from the ECC </w:t>
      </w:r>
      <w:r w:rsidR="00344C17" w:rsidRPr="0057475B">
        <w:rPr>
          <w:rStyle w:val="ECCParagraph"/>
        </w:rPr>
        <w:t>R</w:t>
      </w:r>
      <w:r w:rsidRPr="0057475B">
        <w:rPr>
          <w:rStyle w:val="ECCParagraph"/>
        </w:rPr>
        <w:t>eport 309 are valid for both LTE and 5G NR aerial UE.</w:t>
      </w:r>
    </w:p>
    <w:p w14:paraId="677B6D32" w14:textId="1C47CEE1" w:rsidR="00C65C33" w:rsidRPr="0057475B" w:rsidRDefault="00C65C33" w:rsidP="00C65C33">
      <w:pPr>
        <w:rPr>
          <w:rStyle w:val="ECCParagraph"/>
        </w:rPr>
      </w:pPr>
      <w:r w:rsidRPr="0057475B">
        <w:rPr>
          <w:rStyle w:val="ECCParagraph"/>
        </w:rPr>
        <w:t xml:space="preserve">Moreover, since characteristics and usage of AAS are similar for both LTE and 5G NR </w:t>
      </w:r>
      <w:r w:rsidR="00CB1EF7" w:rsidRPr="0057475B">
        <w:rPr>
          <w:rStyle w:val="ECCParagraph"/>
        </w:rPr>
        <w:t>b</w:t>
      </w:r>
      <w:r w:rsidRPr="0057475B">
        <w:rPr>
          <w:rStyle w:val="ECCParagraph"/>
        </w:rPr>
        <w:t xml:space="preserve">ase </w:t>
      </w:r>
      <w:r w:rsidR="00CB1EF7" w:rsidRPr="0057475B">
        <w:rPr>
          <w:rStyle w:val="ECCParagraph"/>
        </w:rPr>
        <w:t>s</w:t>
      </w:r>
      <w:r w:rsidRPr="0057475B">
        <w:rPr>
          <w:rStyle w:val="ECCParagraph"/>
        </w:rPr>
        <w:t xml:space="preserve">tations, it can </w:t>
      </w:r>
      <w:r w:rsidR="00EB43F4" w:rsidRPr="0057475B">
        <w:rPr>
          <w:rStyle w:val="ECCParagraph"/>
        </w:rPr>
        <w:t>also</w:t>
      </w:r>
      <w:r w:rsidR="00EB43F4" w:rsidRPr="00FD3236">
        <w:rPr>
          <w:rStyle w:val="ECCParagraph"/>
        </w:rPr>
        <w:t xml:space="preserve"> </w:t>
      </w:r>
      <w:r w:rsidRPr="00FD3236">
        <w:rPr>
          <w:rStyle w:val="ECCParagraph"/>
        </w:rPr>
        <w:t>be</w:t>
      </w:r>
      <w:r w:rsidRPr="0057475B">
        <w:rPr>
          <w:rStyle w:val="ECCParagraph"/>
        </w:rPr>
        <w:t xml:space="preserve"> deduced </w:t>
      </w:r>
      <w:r w:rsidR="00750A7C" w:rsidRPr="0057475B">
        <w:rPr>
          <w:rStyle w:val="ECCParagraph"/>
        </w:rPr>
        <w:t xml:space="preserve">from </w:t>
      </w:r>
      <w:r w:rsidR="00EC6822" w:rsidRPr="0057475B">
        <w:rPr>
          <w:rStyle w:val="ECCParagraph"/>
        </w:rPr>
        <w:t xml:space="preserve">a </w:t>
      </w:r>
      <w:r w:rsidR="00750A7C" w:rsidRPr="0057475B">
        <w:rPr>
          <w:rStyle w:val="ECCParagraph"/>
        </w:rPr>
        <w:t xml:space="preserve">purely technology perspective </w:t>
      </w:r>
      <w:r w:rsidRPr="0057475B">
        <w:rPr>
          <w:rStyle w:val="ECCParagraph"/>
        </w:rPr>
        <w:t xml:space="preserve">that the possible risk of interference from AAS BS </w:t>
      </w:r>
      <w:r w:rsidR="00EC6822" w:rsidRPr="0057475B">
        <w:rPr>
          <w:rStyle w:val="ECCParagraph"/>
        </w:rPr>
        <w:t xml:space="preserve">to </w:t>
      </w:r>
      <w:r w:rsidRPr="0057475B">
        <w:rPr>
          <w:rStyle w:val="ECCParagraph"/>
        </w:rPr>
        <w:t xml:space="preserve">adjacent systems when operating with aerial UE will be the same for </w:t>
      </w:r>
      <w:r w:rsidR="001F0ECD" w:rsidRPr="0057475B">
        <w:rPr>
          <w:rStyle w:val="ECCParagraph"/>
        </w:rPr>
        <w:t xml:space="preserve">both </w:t>
      </w:r>
      <w:r w:rsidRPr="0057475B">
        <w:rPr>
          <w:rStyle w:val="ECCParagraph"/>
        </w:rPr>
        <w:t>LTE and 5G NR technologies used for MFCN.</w:t>
      </w:r>
    </w:p>
    <w:p w14:paraId="677B6D33" w14:textId="477D9E81" w:rsidR="00C65C33" w:rsidRPr="00C65C33" w:rsidRDefault="00C65C33" w:rsidP="00C65C33">
      <w:r>
        <w:t xml:space="preserve">In consequence, </w:t>
      </w:r>
      <w:r w:rsidR="001F0ECD" w:rsidRPr="001F0ECD">
        <w:t>when defining the regulatory measures applicable for aerial UE usage in relevant harmonised MFCN bands</w:t>
      </w:r>
      <w:r w:rsidR="001F0ECD">
        <w:t>,</w:t>
      </w:r>
      <w:r w:rsidR="001F0ECD" w:rsidRPr="001F0ECD">
        <w:t xml:space="preserve"> </w:t>
      </w:r>
      <w:r>
        <w:t>there is no need to differentiate between LTE and 5G NR</w:t>
      </w:r>
      <w:r w:rsidR="001F0ECD">
        <w:t>. Relevant analysis shall only focus on non</w:t>
      </w:r>
      <w:r w:rsidR="00344C17">
        <w:t>-</w:t>
      </w:r>
      <w:r w:rsidR="001F0ECD">
        <w:t>AAS and AAS</w:t>
      </w:r>
      <w:r w:rsidR="00FD5E02">
        <w:t xml:space="preserve"> MFCN</w:t>
      </w:r>
      <w:r w:rsidR="001F0ECD">
        <w:t xml:space="preserve"> issues.</w:t>
      </w:r>
    </w:p>
    <w:p w14:paraId="677B6D34" w14:textId="77777777" w:rsidR="00A52A19" w:rsidRPr="00A52A19" w:rsidRDefault="00A52A19" w:rsidP="00A52A19">
      <w:pPr>
        <w:pStyle w:val="Heading1"/>
        <w:rPr>
          <w:rStyle w:val="ECCParagraph"/>
        </w:rPr>
      </w:pPr>
      <w:bookmarkStart w:id="35" w:name="_Toc119582842"/>
      <w:r w:rsidRPr="00CF6B3A">
        <w:rPr>
          <w:rStyle w:val="ECCParagraph"/>
        </w:rPr>
        <w:lastRenderedPageBreak/>
        <w:t>1.8 GHz Band</w:t>
      </w:r>
      <w:bookmarkEnd w:id="35"/>
    </w:p>
    <w:p w14:paraId="677B6D35" w14:textId="77777777" w:rsidR="00A52A19" w:rsidRPr="00A52A19" w:rsidRDefault="00A52A19" w:rsidP="00A52A19">
      <w:pPr>
        <w:pStyle w:val="Heading2"/>
      </w:pPr>
      <w:bookmarkStart w:id="36" w:name="_Toc119582843"/>
      <w:r>
        <w:t>Frequency Arrangement</w:t>
      </w:r>
      <w:bookmarkEnd w:id="36"/>
    </w:p>
    <w:p w14:paraId="677B6D36" w14:textId="02A994A1" w:rsidR="00A52A19" w:rsidRDefault="00A52A19" w:rsidP="00A52A19">
      <w:r>
        <w:t>The following figure illustrates the current frequency arrangement in the 1.8 GHz band</w:t>
      </w:r>
      <w:r w:rsidR="006E1BD1">
        <w:t>:</w:t>
      </w:r>
    </w:p>
    <w:p w14:paraId="677B6D37" w14:textId="4005139D" w:rsidR="00A52A19" w:rsidRPr="00CF6B3A" w:rsidRDefault="00A52A19" w:rsidP="00A52A19"/>
    <w:p w14:paraId="677B6D38" w14:textId="77777777" w:rsidR="00A52A19" w:rsidRDefault="00A52A19" w:rsidP="00A52A19">
      <w:pPr>
        <w:pStyle w:val="ECCTablenote"/>
        <w:rPr>
          <w:rStyle w:val="ECCParagraph"/>
        </w:rPr>
      </w:pPr>
      <w:r w:rsidRPr="00A52A19">
        <w:rPr>
          <w:rStyle w:val="ECCParagraph"/>
          <w:noProof/>
          <w:lang w:val="de-DE" w:eastAsia="de-DE"/>
        </w:rPr>
        <w:drawing>
          <wp:inline distT="0" distB="0" distL="0" distR="0" wp14:anchorId="677B6F37" wp14:editId="677B6F38">
            <wp:extent cx="6260074" cy="581942"/>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5372" cy="598238"/>
                    </a:xfrm>
                    <a:prstGeom prst="rect">
                      <a:avLst/>
                    </a:prstGeom>
                    <a:noFill/>
                  </pic:spPr>
                </pic:pic>
              </a:graphicData>
            </a:graphic>
          </wp:inline>
        </w:drawing>
      </w:r>
    </w:p>
    <w:p w14:paraId="677B6D39" w14:textId="1E5846AB" w:rsidR="00A52A19" w:rsidRPr="00510D7B" w:rsidRDefault="00C31EF6" w:rsidP="00C31EF6">
      <w:pPr>
        <w:pStyle w:val="Caption"/>
        <w:rPr>
          <w:lang w:val="en-GB"/>
        </w:rPr>
      </w:pPr>
      <w:bookmarkStart w:id="37" w:name="_Ref103696987"/>
      <w:bookmarkStart w:id="38" w:name="_Ref103696979"/>
      <w:r w:rsidRPr="00510D7B">
        <w:rPr>
          <w:lang w:val="en-GB"/>
        </w:rPr>
        <w:t xml:space="preserve">Figure </w:t>
      </w:r>
      <w:r>
        <w:fldChar w:fldCharType="begin"/>
      </w:r>
      <w:r w:rsidRPr="00425E5A">
        <w:rPr>
          <w:lang w:val="en-GB"/>
        </w:rPr>
        <w:instrText xml:space="preserve"> SEQ Figure \* ARABIC </w:instrText>
      </w:r>
      <w:r>
        <w:fldChar w:fldCharType="separate"/>
      </w:r>
      <w:r w:rsidR="009464FD">
        <w:rPr>
          <w:noProof/>
          <w:lang w:val="en-GB"/>
        </w:rPr>
        <w:t>1</w:t>
      </w:r>
      <w:r>
        <w:fldChar w:fldCharType="end"/>
      </w:r>
      <w:bookmarkEnd w:id="37"/>
      <w:r w:rsidR="00A52A19" w:rsidRPr="00425E5A">
        <w:rPr>
          <w:lang w:val="en-GB"/>
        </w:rPr>
        <w:t>:</w:t>
      </w:r>
      <w:r w:rsidR="00A52A19" w:rsidRPr="00510D7B">
        <w:rPr>
          <w:lang w:val="en-GB"/>
        </w:rPr>
        <w:t xml:space="preserve"> Frequency </w:t>
      </w:r>
      <w:r w:rsidR="00A256A8" w:rsidRPr="00425E5A">
        <w:rPr>
          <w:lang w:val="en-GB"/>
        </w:rPr>
        <w:t>a</w:t>
      </w:r>
      <w:r w:rsidR="00A52A19" w:rsidRPr="00425E5A">
        <w:rPr>
          <w:lang w:val="en-GB"/>
        </w:rPr>
        <w:t>rrang</w:t>
      </w:r>
      <w:r w:rsidR="00BB3F7A">
        <w:rPr>
          <w:lang w:val="en-GB"/>
        </w:rPr>
        <w:t>e</w:t>
      </w:r>
      <w:r w:rsidR="00A52A19" w:rsidRPr="00425E5A">
        <w:rPr>
          <w:lang w:val="en-GB"/>
        </w:rPr>
        <w:t>ment</w:t>
      </w:r>
      <w:r w:rsidR="00A52A19" w:rsidRPr="00510D7B">
        <w:rPr>
          <w:lang w:val="en-GB"/>
        </w:rPr>
        <w:t xml:space="preserve"> in the 1.8 GHz </w:t>
      </w:r>
      <w:r w:rsidR="00A256A8" w:rsidRPr="00510D7B">
        <w:rPr>
          <w:lang w:val="en-GB"/>
        </w:rPr>
        <w:t>b</w:t>
      </w:r>
      <w:r w:rsidR="00A52A19" w:rsidRPr="00510D7B">
        <w:rPr>
          <w:lang w:val="en-GB"/>
        </w:rPr>
        <w:t>and</w:t>
      </w:r>
      <w:bookmarkEnd w:id="38"/>
    </w:p>
    <w:p w14:paraId="677B6D3A" w14:textId="77777777" w:rsidR="00A52A19" w:rsidRDefault="00A52A19" w:rsidP="00A52A19">
      <w:pPr>
        <w:pStyle w:val="Heading2"/>
      </w:pPr>
      <w:bookmarkStart w:id="39" w:name="_Toc119582844"/>
      <w:r>
        <w:t>Compatibility Discussions</w:t>
      </w:r>
      <w:bookmarkEnd w:id="39"/>
    </w:p>
    <w:p w14:paraId="677B6D3B" w14:textId="535A709C" w:rsidR="00A52A19" w:rsidRPr="0057475B" w:rsidRDefault="00A52A19" w:rsidP="00A52A19">
      <w:pPr>
        <w:rPr>
          <w:rStyle w:val="ECCParagraph"/>
        </w:rPr>
      </w:pPr>
      <w:r w:rsidRPr="0057475B">
        <w:rPr>
          <w:rStyle w:val="ECCParagraph"/>
        </w:rPr>
        <w:t xml:space="preserve">The BS transmission in 1805-1880 MHz with AAS features is </w:t>
      </w:r>
      <w:r w:rsidR="00F27734" w:rsidRPr="00FD3236">
        <w:rPr>
          <w:rStyle w:val="ECCParagraph"/>
        </w:rPr>
        <w:t>permitted</w:t>
      </w:r>
      <w:r w:rsidRPr="0057475B">
        <w:rPr>
          <w:rStyle w:val="ECCParagraph"/>
        </w:rPr>
        <w:t xml:space="preserve"> by the revised ECC </w:t>
      </w:r>
      <w:r w:rsidR="00A256A8" w:rsidRPr="0057475B">
        <w:rPr>
          <w:rStyle w:val="ECCParagraph"/>
        </w:rPr>
        <w:t>Decision </w:t>
      </w:r>
      <w:r w:rsidRPr="0057475B">
        <w:rPr>
          <w:rStyle w:val="ECCParagraph"/>
        </w:rPr>
        <w:t xml:space="preserve">(06)13 </w:t>
      </w:r>
      <w:r w:rsidR="00641CEE" w:rsidRPr="0057475B">
        <w:rPr>
          <w:rStyle w:val="ECCParagraph"/>
        </w:rPr>
        <w:fldChar w:fldCharType="begin"/>
      </w:r>
      <w:r w:rsidR="00641CEE" w:rsidRPr="0057475B">
        <w:rPr>
          <w:rStyle w:val="ECCParagraph"/>
        </w:rPr>
        <w:instrText xml:space="preserve"> REF _Ref103695367 \r \h </w:instrText>
      </w:r>
      <w:r w:rsidR="00641CEE" w:rsidRPr="0057475B">
        <w:rPr>
          <w:rStyle w:val="ECCParagraph"/>
        </w:rPr>
      </w:r>
      <w:r w:rsidR="00641CEE" w:rsidRPr="0057475B">
        <w:rPr>
          <w:rStyle w:val="ECCParagraph"/>
        </w:rPr>
        <w:fldChar w:fldCharType="separate"/>
      </w:r>
      <w:r w:rsidR="009464FD">
        <w:rPr>
          <w:rStyle w:val="ECCParagraph"/>
        </w:rPr>
        <w:t>[1]</w:t>
      </w:r>
      <w:r w:rsidR="00641CEE" w:rsidRPr="0057475B">
        <w:rPr>
          <w:rStyle w:val="ECCParagraph"/>
        </w:rPr>
        <w:fldChar w:fldCharType="end"/>
      </w:r>
      <w:r w:rsidRPr="0057475B">
        <w:rPr>
          <w:rStyle w:val="ECCParagraph"/>
        </w:rPr>
        <w:t xml:space="preserve">. This </w:t>
      </w:r>
      <w:r w:rsidR="00BB3F7A" w:rsidRPr="0057475B">
        <w:rPr>
          <w:rStyle w:val="ECCParagraph"/>
        </w:rPr>
        <w:t>D</w:t>
      </w:r>
      <w:r w:rsidRPr="0057475B">
        <w:rPr>
          <w:rStyle w:val="ECCParagraph"/>
        </w:rPr>
        <w:t xml:space="preserve">ecision and the associated report (ECC Report 297 </w:t>
      </w:r>
      <w:r w:rsidR="00BB3F7A" w:rsidRPr="0057475B">
        <w:rPr>
          <w:rStyle w:val="ECCParagraph"/>
        </w:rPr>
        <w:fldChar w:fldCharType="begin"/>
      </w:r>
      <w:r w:rsidR="00BB3F7A" w:rsidRPr="0057475B">
        <w:rPr>
          <w:rStyle w:val="ECCParagraph"/>
        </w:rPr>
        <w:instrText xml:space="preserve"> REF _Ref104306287 \r \h </w:instrText>
      </w:r>
      <w:r w:rsidR="00BB3F7A" w:rsidRPr="0057475B">
        <w:rPr>
          <w:rStyle w:val="ECCParagraph"/>
        </w:rPr>
      </w:r>
      <w:r w:rsidR="00BB3F7A" w:rsidRPr="0057475B">
        <w:rPr>
          <w:rStyle w:val="ECCParagraph"/>
        </w:rPr>
        <w:fldChar w:fldCharType="separate"/>
      </w:r>
      <w:r w:rsidR="009464FD">
        <w:rPr>
          <w:rStyle w:val="ECCParagraph"/>
        </w:rPr>
        <w:t>[11]</w:t>
      </w:r>
      <w:r w:rsidR="00BB3F7A" w:rsidRPr="0057475B">
        <w:rPr>
          <w:rStyle w:val="ECCParagraph"/>
        </w:rPr>
        <w:fldChar w:fldCharType="end"/>
      </w:r>
      <w:r w:rsidRPr="0057475B">
        <w:rPr>
          <w:rStyle w:val="ECCParagraph"/>
        </w:rPr>
        <w:t>) identify</w:t>
      </w:r>
      <w:r w:rsidR="00BB3F7A" w:rsidRPr="0057475B">
        <w:rPr>
          <w:rStyle w:val="ECCParagraph"/>
        </w:rPr>
        <w:t xml:space="preserve"> </w:t>
      </w:r>
      <w:r w:rsidRPr="0057475B">
        <w:rPr>
          <w:rStyle w:val="ECCParagraph"/>
        </w:rPr>
        <w:t xml:space="preserve">specific restrictions </w:t>
      </w:r>
      <w:r w:rsidR="00CD7385" w:rsidRPr="00FD3236">
        <w:rPr>
          <w:rStyle w:val="ECCParagraph"/>
        </w:rPr>
        <w:t>and</w:t>
      </w:r>
      <w:r w:rsidR="00CD7385" w:rsidRPr="0057475B">
        <w:rPr>
          <w:rStyle w:val="ECCParagraph"/>
        </w:rPr>
        <w:t xml:space="preserve"> </w:t>
      </w:r>
      <w:r w:rsidRPr="0057475B">
        <w:rPr>
          <w:rStyle w:val="ECCParagraph"/>
        </w:rPr>
        <w:t>mitigation measures to ensure coexistence with systems operating in adjacent bands.</w:t>
      </w:r>
    </w:p>
    <w:p w14:paraId="677B6D3C" w14:textId="73452227" w:rsidR="001253B8" w:rsidRPr="0057475B" w:rsidRDefault="00A52A19" w:rsidP="00A52A19">
      <w:pPr>
        <w:rPr>
          <w:rStyle w:val="ECCParagraph"/>
        </w:rPr>
      </w:pPr>
      <w:r w:rsidRPr="0057475B">
        <w:rPr>
          <w:rStyle w:val="ECCParagraph"/>
        </w:rPr>
        <w:t>For the 1.8 GHz</w:t>
      </w:r>
      <w:r w:rsidR="008571C9" w:rsidRPr="0057475B">
        <w:rPr>
          <w:rStyle w:val="ECCParagraph"/>
        </w:rPr>
        <w:t xml:space="preserve"> frequency</w:t>
      </w:r>
      <w:r w:rsidRPr="0057475B">
        <w:rPr>
          <w:rStyle w:val="ECCParagraph"/>
        </w:rPr>
        <w:t xml:space="preserve"> band</w:t>
      </w:r>
      <w:r w:rsidR="001253B8" w:rsidRPr="0057475B">
        <w:rPr>
          <w:rStyle w:val="ECCParagraph"/>
        </w:rPr>
        <w:t xml:space="preserve">, all adjacent applications </w:t>
      </w:r>
      <w:r w:rsidR="006C21E7" w:rsidRPr="00FD3236">
        <w:rPr>
          <w:rStyle w:val="ECCParagraph"/>
        </w:rPr>
        <w:t>only</w:t>
      </w:r>
      <w:r w:rsidR="00502614" w:rsidRPr="00FD3236">
        <w:rPr>
          <w:rStyle w:val="ECCParagraph"/>
        </w:rPr>
        <w:t xml:space="preserve"> use</w:t>
      </w:r>
      <w:r w:rsidR="00A831C2">
        <w:rPr>
          <w:rStyle w:val="ECCParagraph"/>
        </w:rPr>
        <w:t xml:space="preserve"> </w:t>
      </w:r>
      <w:r w:rsidR="001253B8" w:rsidRPr="00FD3236">
        <w:rPr>
          <w:rStyle w:val="ECCParagraph"/>
        </w:rPr>
        <w:t>ground</w:t>
      </w:r>
      <w:r w:rsidR="001253B8" w:rsidRPr="0057475B">
        <w:rPr>
          <w:rStyle w:val="ECCParagraph"/>
        </w:rPr>
        <w:t xml:space="preserve"> receivers: </w:t>
      </w:r>
      <w:r w:rsidR="00162983" w:rsidRPr="00FD3236">
        <w:rPr>
          <w:rStyle w:val="ECCParagraph"/>
        </w:rPr>
        <w:t>MetSat</w:t>
      </w:r>
      <w:r w:rsidR="00162983" w:rsidRPr="0057475B">
        <w:rPr>
          <w:rStyle w:val="ECCParagraph"/>
        </w:rPr>
        <w:t xml:space="preserve"> </w:t>
      </w:r>
      <w:r w:rsidRPr="0057475B">
        <w:rPr>
          <w:rStyle w:val="ECCParagraph"/>
        </w:rPr>
        <w:t>(</w:t>
      </w:r>
      <w:r w:rsidR="00A256A8" w:rsidRPr="0057475B">
        <w:rPr>
          <w:rStyle w:val="ECCParagraph"/>
        </w:rPr>
        <w:t>s</w:t>
      </w:r>
      <w:r w:rsidRPr="0057475B">
        <w:rPr>
          <w:rStyle w:val="ECCParagraph"/>
        </w:rPr>
        <w:t>pace</w:t>
      </w:r>
      <w:r w:rsidR="00ED3064" w:rsidRPr="0057475B">
        <w:rPr>
          <w:rStyle w:val="ECCParagraph"/>
        </w:rPr>
        <w:t>-</w:t>
      </w:r>
      <w:r w:rsidRPr="0057475B">
        <w:rPr>
          <w:rStyle w:val="ECCParagraph"/>
        </w:rPr>
        <w:t>to</w:t>
      </w:r>
      <w:r w:rsidR="00ED3064" w:rsidRPr="0057475B">
        <w:rPr>
          <w:rStyle w:val="ECCParagraph"/>
        </w:rPr>
        <w:t>-</w:t>
      </w:r>
      <w:r w:rsidRPr="0057475B">
        <w:rPr>
          <w:rStyle w:val="ECCParagraph"/>
        </w:rPr>
        <w:t xml:space="preserve">Earth), </w:t>
      </w:r>
      <w:r w:rsidR="00A256A8" w:rsidRPr="0057475B">
        <w:rPr>
          <w:rStyle w:val="ECCParagraph"/>
        </w:rPr>
        <w:t>r</w:t>
      </w:r>
      <w:r w:rsidRPr="0057475B">
        <w:rPr>
          <w:rStyle w:val="ECCParagraph"/>
        </w:rPr>
        <w:t xml:space="preserve">adio microphones, </w:t>
      </w:r>
      <w:r w:rsidR="00BB3F7A" w:rsidRPr="0057475B">
        <w:rPr>
          <w:rStyle w:val="ECCParagraph"/>
        </w:rPr>
        <w:t xml:space="preserve">fixed services </w:t>
      </w:r>
      <w:r w:rsidRPr="0057475B">
        <w:rPr>
          <w:rStyle w:val="ECCParagraph"/>
        </w:rPr>
        <w:t>and DECT.</w:t>
      </w:r>
    </w:p>
    <w:p w14:paraId="677B6D3D" w14:textId="1F88EA67" w:rsidR="00A52A19" w:rsidRPr="0057475B" w:rsidRDefault="001253B8" w:rsidP="00A52A19">
      <w:pPr>
        <w:rPr>
          <w:rStyle w:val="ECCParagraph"/>
        </w:rPr>
      </w:pPr>
      <w:r w:rsidRPr="0057475B">
        <w:rPr>
          <w:rStyle w:val="ECCParagraph"/>
        </w:rPr>
        <w:t xml:space="preserve">In line with </w:t>
      </w:r>
      <w:r w:rsidR="001B387B" w:rsidRPr="0057475B">
        <w:rPr>
          <w:rStyle w:val="ECCParagraph"/>
        </w:rPr>
        <w:t xml:space="preserve">the </w:t>
      </w:r>
      <w:r w:rsidRPr="0057475B">
        <w:rPr>
          <w:rStyle w:val="ECCParagraph"/>
        </w:rPr>
        <w:t xml:space="preserve">main assumptions (section </w:t>
      </w:r>
      <w:r w:rsidR="001953B6" w:rsidRPr="0057475B">
        <w:rPr>
          <w:rStyle w:val="ECCParagraph"/>
        </w:rPr>
        <w:fldChar w:fldCharType="begin"/>
      </w:r>
      <w:r w:rsidR="001953B6" w:rsidRPr="0057475B">
        <w:rPr>
          <w:rStyle w:val="ECCParagraph"/>
        </w:rPr>
        <w:instrText xml:space="preserve"> REF _Ref103696493 \r \h </w:instrText>
      </w:r>
      <w:r w:rsidR="001953B6" w:rsidRPr="0057475B">
        <w:rPr>
          <w:rStyle w:val="ECCParagraph"/>
        </w:rPr>
      </w:r>
      <w:r w:rsidR="001953B6" w:rsidRPr="0057475B">
        <w:rPr>
          <w:rStyle w:val="ECCParagraph"/>
        </w:rPr>
        <w:fldChar w:fldCharType="separate"/>
      </w:r>
      <w:r w:rsidR="009464FD">
        <w:rPr>
          <w:rStyle w:val="ECCParagraph"/>
        </w:rPr>
        <w:t>3</w:t>
      </w:r>
      <w:r w:rsidR="001953B6" w:rsidRPr="0057475B">
        <w:rPr>
          <w:rStyle w:val="ECCParagraph"/>
        </w:rPr>
        <w:fldChar w:fldCharType="end"/>
      </w:r>
      <w:r w:rsidRPr="0057475B">
        <w:rPr>
          <w:rStyle w:val="ECCParagraph"/>
        </w:rPr>
        <w:t xml:space="preserve">) </w:t>
      </w:r>
      <w:r w:rsidR="00A52A19" w:rsidRPr="0057475B">
        <w:rPr>
          <w:rStyle w:val="ECCParagraph"/>
        </w:rPr>
        <w:t xml:space="preserve">for this band, the use of MFCN AAS BS to serve aerial UE </w:t>
      </w:r>
      <w:r w:rsidR="00BB3F7A" w:rsidRPr="0057475B">
        <w:rPr>
          <w:rStyle w:val="ECCParagraph"/>
        </w:rPr>
        <w:t xml:space="preserve">does </w:t>
      </w:r>
      <w:r w:rsidR="00A52A19" w:rsidRPr="0057475B">
        <w:rPr>
          <w:rStyle w:val="ECCParagraph"/>
        </w:rPr>
        <w:t>not lead to additional interference cases to be studied.</w:t>
      </w:r>
    </w:p>
    <w:p w14:paraId="677B6D3E" w14:textId="77777777" w:rsidR="00A52A19" w:rsidRPr="0057475B" w:rsidRDefault="00A52A19" w:rsidP="00A52A19">
      <w:pPr>
        <w:pStyle w:val="Heading2"/>
        <w:rPr>
          <w:rStyle w:val="ECCParagraph"/>
        </w:rPr>
      </w:pPr>
      <w:bookmarkStart w:id="40" w:name="_Toc119582845"/>
      <w:r w:rsidRPr="0057475B">
        <w:rPr>
          <w:rStyle w:val="ECCParagraph"/>
        </w:rPr>
        <w:t>Summary</w:t>
      </w:r>
      <w:bookmarkEnd w:id="40"/>
    </w:p>
    <w:p w14:paraId="677B6D3F" w14:textId="0E817932" w:rsidR="00A52A19" w:rsidRPr="0057475B" w:rsidRDefault="00A52A19" w:rsidP="00A52A19">
      <w:pPr>
        <w:rPr>
          <w:rStyle w:val="ECCParagraph"/>
        </w:rPr>
      </w:pPr>
      <w:r w:rsidRPr="00A52A19">
        <w:t>T</w:t>
      </w:r>
      <w:r w:rsidRPr="0057475B">
        <w:rPr>
          <w:rStyle w:val="ECCParagraph"/>
        </w:rPr>
        <w:t xml:space="preserve">he usage of MFCN by </w:t>
      </w:r>
      <w:r w:rsidR="006E1BD1" w:rsidRPr="0057475B">
        <w:rPr>
          <w:rStyle w:val="ECCParagraph"/>
        </w:rPr>
        <w:t>a</w:t>
      </w:r>
      <w:r w:rsidRPr="0057475B">
        <w:rPr>
          <w:rStyle w:val="ECCParagraph"/>
        </w:rPr>
        <w:t xml:space="preserve">erial UE </w:t>
      </w:r>
      <w:r w:rsidR="00162983" w:rsidRPr="00FD3236">
        <w:rPr>
          <w:rStyle w:val="ECCParagraph"/>
        </w:rPr>
        <w:t>where</w:t>
      </w:r>
      <w:r w:rsidR="00162983" w:rsidRPr="0057475B">
        <w:rPr>
          <w:rStyle w:val="ECCParagraph"/>
        </w:rPr>
        <w:t xml:space="preserve"> </w:t>
      </w:r>
      <w:r w:rsidRPr="0057475B">
        <w:rPr>
          <w:rStyle w:val="ECCParagraph"/>
        </w:rPr>
        <w:t xml:space="preserve">AAS BS are deployed </w:t>
      </w:r>
      <w:r w:rsidR="00D11C16" w:rsidRPr="0057475B">
        <w:rPr>
          <w:rStyle w:val="ECCParagraph"/>
        </w:rPr>
        <w:t xml:space="preserve">does </w:t>
      </w:r>
      <w:r w:rsidRPr="0057475B">
        <w:rPr>
          <w:rStyle w:val="ECCParagraph"/>
        </w:rPr>
        <w:t xml:space="preserve">not </w:t>
      </w:r>
      <w:r w:rsidR="00D11C16" w:rsidRPr="0057475B">
        <w:rPr>
          <w:rStyle w:val="ECCParagraph"/>
        </w:rPr>
        <w:t>require</w:t>
      </w:r>
      <w:r w:rsidRPr="0057475B">
        <w:rPr>
          <w:rStyle w:val="ECCParagraph"/>
        </w:rPr>
        <w:t xml:space="preserve"> additional mitigation measures in the </w:t>
      </w:r>
      <w:r w:rsidR="00D11C16" w:rsidRPr="0057475B">
        <w:rPr>
          <w:rStyle w:val="ECCParagraph"/>
        </w:rPr>
        <w:t>1.8</w:t>
      </w:r>
      <w:r w:rsidRPr="0057475B">
        <w:rPr>
          <w:rStyle w:val="ECCParagraph"/>
        </w:rPr>
        <w:t xml:space="preserve"> GHz band </w:t>
      </w:r>
      <w:r w:rsidR="001B387B" w:rsidRPr="0057475B">
        <w:rPr>
          <w:rStyle w:val="ECCParagraph"/>
        </w:rPr>
        <w:t xml:space="preserve">other </w:t>
      </w:r>
      <w:r w:rsidRPr="0057475B">
        <w:rPr>
          <w:rStyle w:val="ECCParagraph"/>
        </w:rPr>
        <w:t xml:space="preserve">than </w:t>
      </w:r>
      <w:r w:rsidR="001B387B" w:rsidRPr="0057475B">
        <w:rPr>
          <w:rStyle w:val="ECCParagraph"/>
        </w:rPr>
        <w:t>those</w:t>
      </w:r>
      <w:r w:rsidRPr="0057475B">
        <w:rPr>
          <w:rStyle w:val="ECCParagraph"/>
        </w:rPr>
        <w:t xml:space="preserve"> (if any) already identified in ECC Report 309 </w:t>
      </w:r>
      <w:r w:rsidR="002718A7" w:rsidRPr="00FD3236">
        <w:rPr>
          <w:rStyle w:val="ECCParagraph"/>
        </w:rPr>
        <w:fldChar w:fldCharType="begin"/>
      </w:r>
      <w:r w:rsidR="002718A7" w:rsidRPr="00FD3236">
        <w:rPr>
          <w:rStyle w:val="ECCParagraph"/>
        </w:rPr>
        <w:instrText xml:space="preserve"> REF _Ref103695135 \r \h </w:instrText>
      </w:r>
      <w:r w:rsidR="002718A7" w:rsidRPr="00FD3236">
        <w:rPr>
          <w:rStyle w:val="ECCParagraph"/>
        </w:rPr>
      </w:r>
      <w:r w:rsidR="002718A7" w:rsidRPr="00FD3236">
        <w:rPr>
          <w:rStyle w:val="ECCParagraph"/>
        </w:rPr>
        <w:fldChar w:fldCharType="separate"/>
      </w:r>
      <w:r w:rsidR="009464FD">
        <w:rPr>
          <w:rStyle w:val="ECCParagraph"/>
        </w:rPr>
        <w:t>[4]</w:t>
      </w:r>
      <w:r w:rsidR="002718A7" w:rsidRPr="00FD3236">
        <w:rPr>
          <w:rStyle w:val="ECCParagraph"/>
        </w:rPr>
        <w:fldChar w:fldCharType="end"/>
      </w:r>
      <w:r w:rsidRPr="0057475B">
        <w:rPr>
          <w:rStyle w:val="ECCParagraph"/>
        </w:rPr>
        <w:t>.</w:t>
      </w:r>
    </w:p>
    <w:p w14:paraId="677B6D40" w14:textId="77777777" w:rsidR="00A52A19" w:rsidRPr="00A52A19" w:rsidRDefault="00A52A19" w:rsidP="00A52A19">
      <w:pPr>
        <w:pStyle w:val="Heading1"/>
        <w:rPr>
          <w:rStyle w:val="ECCParagraph"/>
        </w:rPr>
      </w:pPr>
      <w:bookmarkStart w:id="41" w:name="_Toc119582846"/>
      <w:r w:rsidRPr="00CF6B3A">
        <w:rPr>
          <w:rStyle w:val="ECCParagraph"/>
        </w:rPr>
        <w:lastRenderedPageBreak/>
        <w:t>2 GHz Band</w:t>
      </w:r>
      <w:bookmarkEnd w:id="41"/>
    </w:p>
    <w:p w14:paraId="677B6D41" w14:textId="73810879" w:rsidR="00A52A19" w:rsidRPr="00A52A19" w:rsidRDefault="00A52A19" w:rsidP="00A52A19">
      <w:pPr>
        <w:pStyle w:val="Heading2"/>
      </w:pPr>
      <w:bookmarkStart w:id="42" w:name="_Toc119582847"/>
      <w:r>
        <w:t xml:space="preserve">Frequency </w:t>
      </w:r>
      <w:r w:rsidR="00A7713A" w:rsidRPr="00A7713A">
        <w:t>Arrangement</w:t>
      </w:r>
      <w:bookmarkEnd w:id="42"/>
    </w:p>
    <w:p w14:paraId="677B6D42" w14:textId="0B99BAAC" w:rsidR="00A52A19" w:rsidRDefault="00A52A19" w:rsidP="00A52A19">
      <w:r>
        <w:t>The following figure illustrates the current frequency arrangement in the 2 GHz band</w:t>
      </w:r>
      <w:r w:rsidR="006E1BD1">
        <w:t>:</w:t>
      </w:r>
    </w:p>
    <w:p w14:paraId="677B6D43" w14:textId="77777777" w:rsidR="00A52A19" w:rsidRDefault="00A52A19" w:rsidP="00A52A19">
      <w:pPr>
        <w:pStyle w:val="ECCTablenote"/>
        <w:rPr>
          <w:rStyle w:val="ECCParagraph"/>
        </w:rPr>
      </w:pPr>
    </w:p>
    <w:p w14:paraId="677B6D44" w14:textId="77777777" w:rsidR="00A52A19" w:rsidRDefault="00A52A19" w:rsidP="00A52A19">
      <w:pPr>
        <w:pStyle w:val="ECCTablenote"/>
        <w:rPr>
          <w:rStyle w:val="ECCParagraph"/>
        </w:rPr>
      </w:pPr>
      <w:r w:rsidRPr="00A52A19">
        <w:rPr>
          <w:noProof/>
          <w:lang w:val="de-DE" w:eastAsia="de-DE"/>
        </w:rPr>
        <w:drawing>
          <wp:inline distT="0" distB="0" distL="0" distR="0" wp14:anchorId="677B6F39" wp14:editId="677B6F3A">
            <wp:extent cx="5976664" cy="1008112"/>
            <wp:effectExtent l="0" t="0" r="5080" b="1905"/>
            <wp:docPr id="18" name="Picture 3"/>
            <wp:cNvGraphicFramePr/>
            <a:graphic xmlns:a="http://schemas.openxmlformats.org/drawingml/2006/main">
              <a:graphicData uri="http://schemas.openxmlformats.org/drawingml/2006/picture">
                <pic:pic xmlns:pic="http://schemas.openxmlformats.org/drawingml/2006/picture">
                  <pic:nvPicPr>
                    <pic:cNvPr id="24"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6664" cy="1008112"/>
                    </a:xfrm>
                    <a:prstGeom prst="rect">
                      <a:avLst/>
                    </a:prstGeom>
                    <a:noFill/>
                    <a:ln>
                      <a:noFill/>
                    </a:ln>
                  </pic:spPr>
                </pic:pic>
              </a:graphicData>
            </a:graphic>
          </wp:inline>
        </w:drawing>
      </w:r>
    </w:p>
    <w:p w14:paraId="677B6D45" w14:textId="49FC94B1" w:rsidR="00A52A19" w:rsidRPr="00510D7B" w:rsidRDefault="00C31EF6" w:rsidP="00C31EF6">
      <w:pPr>
        <w:pStyle w:val="Caption"/>
        <w:rPr>
          <w:lang w:val="en-GB"/>
        </w:rPr>
      </w:pPr>
      <w:bookmarkStart w:id="43" w:name="_Ref103697046"/>
      <w:r w:rsidRPr="00510D7B">
        <w:rPr>
          <w:lang w:val="en-GB"/>
        </w:rPr>
        <w:t xml:space="preserve">Figure </w:t>
      </w:r>
      <w:r>
        <w:fldChar w:fldCharType="begin"/>
      </w:r>
      <w:r w:rsidRPr="00425E5A">
        <w:rPr>
          <w:lang w:val="en-GB"/>
        </w:rPr>
        <w:instrText xml:space="preserve"> SEQ Figure \* ARABIC </w:instrText>
      </w:r>
      <w:r>
        <w:fldChar w:fldCharType="separate"/>
      </w:r>
      <w:r w:rsidR="009464FD">
        <w:rPr>
          <w:noProof/>
          <w:lang w:val="en-GB"/>
        </w:rPr>
        <w:t>2</w:t>
      </w:r>
      <w:r>
        <w:fldChar w:fldCharType="end"/>
      </w:r>
      <w:bookmarkEnd w:id="43"/>
      <w:r w:rsidRPr="00425E5A">
        <w:rPr>
          <w:lang w:val="en-GB"/>
        </w:rPr>
        <w:t>:</w:t>
      </w:r>
      <w:r w:rsidR="00A52A19" w:rsidRPr="00510D7B">
        <w:rPr>
          <w:lang w:val="en-GB"/>
        </w:rPr>
        <w:t xml:space="preserve"> Frequency </w:t>
      </w:r>
      <w:r w:rsidR="006E1BD1" w:rsidRPr="00425E5A">
        <w:rPr>
          <w:lang w:val="en-GB"/>
        </w:rPr>
        <w:t>a</w:t>
      </w:r>
      <w:r w:rsidR="00A52A19" w:rsidRPr="00425E5A">
        <w:rPr>
          <w:lang w:val="en-GB"/>
        </w:rPr>
        <w:t>rrang</w:t>
      </w:r>
      <w:r w:rsidR="00BB3F7A">
        <w:rPr>
          <w:lang w:val="en-GB"/>
        </w:rPr>
        <w:t>e</w:t>
      </w:r>
      <w:r w:rsidR="00A52A19" w:rsidRPr="00425E5A">
        <w:rPr>
          <w:lang w:val="en-GB"/>
        </w:rPr>
        <w:t>ment</w:t>
      </w:r>
      <w:r w:rsidR="00A52A19" w:rsidRPr="00510D7B">
        <w:rPr>
          <w:lang w:val="en-GB"/>
        </w:rPr>
        <w:t xml:space="preserve"> in the 2 GHz </w:t>
      </w:r>
      <w:r w:rsidR="006E1BD1" w:rsidRPr="00510D7B">
        <w:rPr>
          <w:lang w:val="en-GB"/>
        </w:rPr>
        <w:t>b</w:t>
      </w:r>
      <w:r w:rsidR="00A52A19" w:rsidRPr="00510D7B">
        <w:rPr>
          <w:lang w:val="en-GB"/>
        </w:rPr>
        <w:t>and</w:t>
      </w:r>
    </w:p>
    <w:p w14:paraId="677B6D46" w14:textId="05991C7A" w:rsidR="00A52A19" w:rsidRPr="00A52A19" w:rsidRDefault="00A7713A" w:rsidP="00A52A19">
      <w:pPr>
        <w:pStyle w:val="Heading2"/>
        <w:rPr>
          <w:rStyle w:val="ECCParagraph"/>
        </w:rPr>
      </w:pPr>
      <w:bookmarkStart w:id="44" w:name="_Toc119582848"/>
      <w:r w:rsidRPr="00A7713A">
        <w:t xml:space="preserve">Compatibility </w:t>
      </w:r>
      <w:r w:rsidR="00A52A19">
        <w:rPr>
          <w:rStyle w:val="ECCParagraph"/>
        </w:rPr>
        <w:t>Discussions</w:t>
      </w:r>
      <w:bookmarkEnd w:id="44"/>
    </w:p>
    <w:p w14:paraId="677B6D47" w14:textId="04C531F0" w:rsidR="00A52A19" w:rsidRPr="0057475B" w:rsidRDefault="00A52A19" w:rsidP="00A52A19">
      <w:pPr>
        <w:rPr>
          <w:rStyle w:val="ECCParagraph"/>
        </w:rPr>
      </w:pPr>
      <w:r w:rsidRPr="0057475B">
        <w:rPr>
          <w:rStyle w:val="ECCParagraph"/>
        </w:rPr>
        <w:t xml:space="preserve">The BS transmission in 2110-2170 MHz with AAS </w:t>
      </w:r>
      <w:r w:rsidR="0075528A" w:rsidRPr="0057475B">
        <w:rPr>
          <w:rStyle w:val="ECCParagraph"/>
        </w:rPr>
        <w:t>antenna</w:t>
      </w:r>
      <w:r w:rsidRPr="0057475B">
        <w:rPr>
          <w:rStyle w:val="ECCParagraph"/>
        </w:rPr>
        <w:t xml:space="preserve"> is </w:t>
      </w:r>
      <w:r w:rsidR="004E6722" w:rsidRPr="00FD3236">
        <w:rPr>
          <w:rStyle w:val="ECCParagraph"/>
        </w:rPr>
        <w:t>permitted</w:t>
      </w:r>
      <w:r w:rsidR="004E6722" w:rsidRPr="0057475B">
        <w:rPr>
          <w:rStyle w:val="ECCParagraph"/>
        </w:rPr>
        <w:t xml:space="preserve"> </w:t>
      </w:r>
      <w:r w:rsidRPr="0057475B">
        <w:rPr>
          <w:rStyle w:val="ECCParagraph"/>
        </w:rPr>
        <w:t xml:space="preserve">by the revised ECC </w:t>
      </w:r>
      <w:r w:rsidR="006E1BD1" w:rsidRPr="0057475B">
        <w:rPr>
          <w:rStyle w:val="ECCParagraph"/>
        </w:rPr>
        <w:t>Decision </w:t>
      </w:r>
      <w:r w:rsidRPr="0057475B">
        <w:rPr>
          <w:rStyle w:val="ECCParagraph"/>
        </w:rPr>
        <w:t xml:space="preserve">(06)01 </w:t>
      </w:r>
      <w:r w:rsidR="00A92275" w:rsidRPr="0057475B">
        <w:rPr>
          <w:rStyle w:val="ECCParagraph"/>
        </w:rPr>
        <w:fldChar w:fldCharType="begin"/>
      </w:r>
      <w:r w:rsidR="00A92275" w:rsidRPr="0057475B">
        <w:rPr>
          <w:rStyle w:val="ECCParagraph"/>
        </w:rPr>
        <w:instrText xml:space="preserve"> REF _Ref103695429 \r \h </w:instrText>
      </w:r>
      <w:r w:rsidR="00A92275" w:rsidRPr="0057475B">
        <w:rPr>
          <w:rStyle w:val="ECCParagraph"/>
        </w:rPr>
      </w:r>
      <w:r w:rsidR="00A92275" w:rsidRPr="0057475B">
        <w:rPr>
          <w:rStyle w:val="ECCParagraph"/>
        </w:rPr>
        <w:fldChar w:fldCharType="separate"/>
      </w:r>
      <w:r w:rsidR="009464FD">
        <w:rPr>
          <w:rStyle w:val="ECCParagraph"/>
        </w:rPr>
        <w:t>[2]</w:t>
      </w:r>
      <w:r w:rsidR="00A92275" w:rsidRPr="0057475B">
        <w:rPr>
          <w:rStyle w:val="ECCParagraph"/>
        </w:rPr>
        <w:fldChar w:fldCharType="end"/>
      </w:r>
      <w:r w:rsidRPr="0057475B">
        <w:rPr>
          <w:rStyle w:val="ECCParagraph"/>
        </w:rPr>
        <w:t xml:space="preserve">. This </w:t>
      </w:r>
      <w:r w:rsidR="00C841CD" w:rsidRPr="0057475B">
        <w:rPr>
          <w:rStyle w:val="ECCParagraph"/>
        </w:rPr>
        <w:t xml:space="preserve">Decision </w:t>
      </w:r>
      <w:r w:rsidRPr="0057475B">
        <w:rPr>
          <w:rStyle w:val="ECCParagraph"/>
        </w:rPr>
        <w:t xml:space="preserve">and the associated </w:t>
      </w:r>
      <w:r w:rsidR="007F4FAC" w:rsidRPr="0057475B">
        <w:rPr>
          <w:rStyle w:val="ECCParagraph"/>
        </w:rPr>
        <w:t>R</w:t>
      </w:r>
      <w:r w:rsidRPr="0057475B">
        <w:rPr>
          <w:rStyle w:val="ECCParagraph"/>
        </w:rPr>
        <w:t>eport (ECC Report 298</w:t>
      </w:r>
      <w:r w:rsidR="007F4FAC" w:rsidRPr="0057475B">
        <w:rPr>
          <w:rStyle w:val="ECCParagraph"/>
        </w:rPr>
        <w:t xml:space="preserve"> </w:t>
      </w:r>
      <w:r w:rsidR="007F4FAC" w:rsidRPr="0057475B">
        <w:rPr>
          <w:rStyle w:val="ECCParagraph"/>
        </w:rPr>
        <w:fldChar w:fldCharType="begin"/>
      </w:r>
      <w:r w:rsidR="007F4FAC" w:rsidRPr="0057475B">
        <w:rPr>
          <w:rStyle w:val="ECCParagraph"/>
        </w:rPr>
        <w:instrText xml:space="preserve"> REF _Ref104306422 \r \h </w:instrText>
      </w:r>
      <w:r w:rsidR="007F4FAC" w:rsidRPr="0057475B">
        <w:rPr>
          <w:rStyle w:val="ECCParagraph"/>
        </w:rPr>
      </w:r>
      <w:r w:rsidR="007F4FAC" w:rsidRPr="0057475B">
        <w:rPr>
          <w:rStyle w:val="ECCParagraph"/>
        </w:rPr>
        <w:fldChar w:fldCharType="separate"/>
      </w:r>
      <w:r w:rsidR="009464FD">
        <w:rPr>
          <w:rStyle w:val="ECCParagraph"/>
        </w:rPr>
        <w:t>[12]</w:t>
      </w:r>
      <w:r w:rsidR="007F4FAC" w:rsidRPr="0057475B">
        <w:rPr>
          <w:rStyle w:val="ECCParagraph"/>
        </w:rPr>
        <w:fldChar w:fldCharType="end"/>
      </w:r>
      <w:r w:rsidRPr="0057475B">
        <w:rPr>
          <w:rStyle w:val="ECCParagraph"/>
        </w:rPr>
        <w:t xml:space="preserve">) identify specific restrictions </w:t>
      </w:r>
      <w:r w:rsidR="004E6722" w:rsidRPr="00FD3236">
        <w:rPr>
          <w:rStyle w:val="ECCParagraph"/>
        </w:rPr>
        <w:t>and</w:t>
      </w:r>
      <w:r w:rsidR="004E6722" w:rsidRPr="0057475B">
        <w:rPr>
          <w:rStyle w:val="ECCParagraph"/>
        </w:rPr>
        <w:t xml:space="preserve"> </w:t>
      </w:r>
      <w:r w:rsidRPr="0057475B">
        <w:rPr>
          <w:rStyle w:val="ECCParagraph"/>
        </w:rPr>
        <w:t>specific mitigation measures to ensure coexistence with systems operating in adjacent bands.</w:t>
      </w:r>
    </w:p>
    <w:p w14:paraId="677B6D48" w14:textId="4A02E674" w:rsidR="00A52A19" w:rsidRPr="0057475B" w:rsidRDefault="00A52A19" w:rsidP="0081119F">
      <w:pPr>
        <w:rPr>
          <w:rStyle w:val="ECCParagraph"/>
        </w:rPr>
      </w:pPr>
      <w:r w:rsidRPr="0057475B">
        <w:rPr>
          <w:rStyle w:val="ECCParagraph"/>
        </w:rPr>
        <w:t xml:space="preserve">For the 2 GHz </w:t>
      </w:r>
      <w:r w:rsidR="008571C9" w:rsidRPr="0057475B">
        <w:rPr>
          <w:rStyle w:val="ECCParagraph"/>
        </w:rPr>
        <w:t xml:space="preserve">frequency </w:t>
      </w:r>
      <w:r w:rsidRPr="0057475B">
        <w:rPr>
          <w:rStyle w:val="ECCParagraph"/>
        </w:rPr>
        <w:t>band</w:t>
      </w:r>
      <w:r w:rsidR="001253B8" w:rsidRPr="00FD3236">
        <w:rPr>
          <w:rStyle w:val="ECCParagraph"/>
        </w:rPr>
        <w:t>,</w:t>
      </w:r>
      <w:r w:rsidR="001253B8" w:rsidRPr="0057475B">
        <w:rPr>
          <w:rStyle w:val="ECCParagraph"/>
        </w:rPr>
        <w:t xml:space="preserve"> the cases relating to victim receiver</w:t>
      </w:r>
      <w:r w:rsidR="00FF3983" w:rsidRPr="0057475B">
        <w:rPr>
          <w:rStyle w:val="ECCParagraph"/>
        </w:rPr>
        <w:t>s</w:t>
      </w:r>
      <w:r w:rsidR="001253B8" w:rsidRPr="0057475B">
        <w:rPr>
          <w:rStyle w:val="ECCParagraph"/>
        </w:rPr>
        <w:t xml:space="preserve"> not on the ground are the following</w:t>
      </w:r>
      <w:r w:rsidRPr="0057475B">
        <w:rPr>
          <w:rStyle w:val="ECCParagraph"/>
        </w:rPr>
        <w:t>:</w:t>
      </w:r>
    </w:p>
    <w:p w14:paraId="677B6D49" w14:textId="6A5EE2B8" w:rsidR="00A52A19" w:rsidRPr="0057475B" w:rsidRDefault="00A52A19" w:rsidP="0081119F">
      <w:pPr>
        <w:pStyle w:val="ECCBulletsLv1"/>
        <w:rPr>
          <w:rStyle w:val="ECCParagraph"/>
        </w:rPr>
      </w:pPr>
      <w:r w:rsidRPr="0057475B">
        <w:rPr>
          <w:rStyle w:val="ECCParagraph"/>
        </w:rPr>
        <w:t>MSS in 1980-2010 MHz (Earth-to-</w:t>
      </w:r>
      <w:r w:rsidR="006E1BD1" w:rsidRPr="0057475B">
        <w:rPr>
          <w:rStyle w:val="ECCParagraph"/>
        </w:rPr>
        <w:t>s</w:t>
      </w:r>
      <w:r w:rsidRPr="0057475B">
        <w:rPr>
          <w:rStyle w:val="ECCParagraph"/>
        </w:rPr>
        <w:t>pace)</w:t>
      </w:r>
      <w:r w:rsidR="006E1BD1" w:rsidRPr="0057475B">
        <w:rPr>
          <w:rStyle w:val="ECCParagraph"/>
        </w:rPr>
        <w:t>:</w:t>
      </w:r>
      <w:r w:rsidRPr="0057475B">
        <w:rPr>
          <w:rStyle w:val="ECCParagraph"/>
        </w:rPr>
        <w:t xml:space="preserve"> </w:t>
      </w:r>
      <w:r w:rsidR="001253B8" w:rsidRPr="0057475B">
        <w:rPr>
          <w:rStyle w:val="ECCParagraph"/>
        </w:rPr>
        <w:t>As</w:t>
      </w:r>
      <w:r w:rsidR="00132116" w:rsidRPr="0057475B">
        <w:rPr>
          <w:rStyle w:val="ECCParagraph"/>
        </w:rPr>
        <w:t xml:space="preserve"> there is at least 100 MHz frequency separation from MFCN </w:t>
      </w:r>
      <w:r w:rsidR="00FF3983" w:rsidRPr="00FD3236">
        <w:rPr>
          <w:rStyle w:val="ECCParagraph"/>
        </w:rPr>
        <w:t>downlink</w:t>
      </w:r>
      <w:r w:rsidR="00FF3983" w:rsidRPr="0057475B">
        <w:rPr>
          <w:rStyle w:val="ECCParagraph"/>
        </w:rPr>
        <w:t xml:space="preserve"> </w:t>
      </w:r>
      <w:r w:rsidR="00132116" w:rsidRPr="0057475B">
        <w:rPr>
          <w:rStyle w:val="ECCParagraph"/>
        </w:rPr>
        <w:t>(starting above 2110 MHz) and the satellite MSS receiver bands (ending at 2010 MHz), there is no risk that the emission levels (in the spurious domain</w:t>
      </w:r>
      <w:r w:rsidR="00EE2B2D" w:rsidRPr="0057475B">
        <w:rPr>
          <w:rStyle w:val="ECCParagraph"/>
        </w:rPr>
        <w:t>,</w:t>
      </w:r>
      <w:r w:rsidR="00132116" w:rsidRPr="0057475B">
        <w:rPr>
          <w:rStyle w:val="ECCParagraph"/>
        </w:rPr>
        <w:t xml:space="preserve"> i.e. not higher than -30 dBm/MHz) from AAS BS would cause any interference to MSS receivers</w:t>
      </w:r>
      <w:r w:rsidR="00C12ABB" w:rsidRPr="0057475B">
        <w:rPr>
          <w:rStyle w:val="ECCParagraph"/>
        </w:rPr>
        <w:t>;</w:t>
      </w:r>
    </w:p>
    <w:p w14:paraId="60DB8B0B" w14:textId="17486E91" w:rsidR="00C129C7" w:rsidRPr="00FD3236" w:rsidRDefault="00A52A19" w:rsidP="00ED3A4D">
      <w:pPr>
        <w:pStyle w:val="ECCBulletsLv1"/>
        <w:rPr>
          <w:rStyle w:val="ECCParagraph"/>
        </w:rPr>
      </w:pPr>
      <w:r w:rsidRPr="0057475B">
        <w:rPr>
          <w:rStyle w:val="ECCParagraph"/>
        </w:rPr>
        <w:t xml:space="preserve">Satellite </w:t>
      </w:r>
      <w:r w:rsidR="00EE2B2D" w:rsidRPr="0057475B">
        <w:rPr>
          <w:rStyle w:val="ECCParagraph"/>
        </w:rPr>
        <w:t xml:space="preserve">services </w:t>
      </w:r>
      <w:r w:rsidRPr="0057475B">
        <w:rPr>
          <w:rStyle w:val="ECCParagraph"/>
        </w:rPr>
        <w:t>operating in 2025-2110 MHz (Earth-to-</w:t>
      </w:r>
      <w:r w:rsidR="005D5C2D" w:rsidRPr="0057475B">
        <w:rPr>
          <w:rStyle w:val="ECCParagraph"/>
        </w:rPr>
        <w:t>s</w:t>
      </w:r>
      <w:r w:rsidRPr="0057475B">
        <w:rPr>
          <w:rStyle w:val="ECCParagraph"/>
        </w:rPr>
        <w:t>pace</w:t>
      </w:r>
      <w:r w:rsidR="0083187C" w:rsidRPr="00FD3236">
        <w:rPr>
          <w:rStyle w:val="ECCParagraph"/>
        </w:rPr>
        <w:t>)</w:t>
      </w:r>
      <w:r w:rsidR="00C129C7" w:rsidRPr="00FD3236">
        <w:rPr>
          <w:rStyle w:val="ECCParagraph"/>
        </w:rPr>
        <w:t xml:space="preserve"> with space station receiver</w:t>
      </w:r>
      <w:r w:rsidR="0057475B">
        <w:rPr>
          <w:rStyle w:val="ECCParagraph"/>
        </w:rPr>
        <w:t>;</w:t>
      </w:r>
    </w:p>
    <w:p w14:paraId="677B6D4C" w14:textId="50C67A68" w:rsidR="004B0B44" w:rsidRPr="0057475B" w:rsidRDefault="00A52A19" w:rsidP="00ED3A4D">
      <w:pPr>
        <w:pStyle w:val="ECCBulletsLv1"/>
        <w:rPr>
          <w:rStyle w:val="ECCParagraph"/>
        </w:rPr>
      </w:pPr>
      <w:r w:rsidRPr="0057475B">
        <w:rPr>
          <w:rStyle w:val="ECCParagraph"/>
        </w:rPr>
        <w:t>MSS/CGC in 2170-2200 MHz</w:t>
      </w:r>
      <w:r w:rsidR="00350397" w:rsidRPr="00FD3236">
        <w:rPr>
          <w:rStyle w:val="ECCParagraph"/>
        </w:rPr>
        <w:t>:</w:t>
      </w:r>
      <w:r w:rsidRPr="0057475B">
        <w:rPr>
          <w:rStyle w:val="ECCParagraph"/>
        </w:rPr>
        <w:t xml:space="preserve"> the MSS airborne receiver (</w:t>
      </w:r>
      <w:r w:rsidR="005D5C2D" w:rsidRPr="0057475B">
        <w:rPr>
          <w:rStyle w:val="ECCParagraph"/>
        </w:rPr>
        <w:t>s</w:t>
      </w:r>
      <w:r w:rsidRPr="0057475B">
        <w:rPr>
          <w:rStyle w:val="ECCParagraph"/>
        </w:rPr>
        <w:t>pace</w:t>
      </w:r>
      <w:r w:rsidR="005D5C2D" w:rsidRPr="0057475B">
        <w:rPr>
          <w:rStyle w:val="ECCParagraph"/>
        </w:rPr>
        <w:t>-</w:t>
      </w:r>
      <w:r w:rsidRPr="0057475B">
        <w:rPr>
          <w:rStyle w:val="ECCParagraph"/>
        </w:rPr>
        <w:t>to</w:t>
      </w:r>
      <w:r w:rsidR="005D5C2D" w:rsidRPr="0057475B">
        <w:rPr>
          <w:rStyle w:val="ECCParagraph"/>
        </w:rPr>
        <w:t>-</w:t>
      </w:r>
      <w:r w:rsidRPr="0057475B">
        <w:rPr>
          <w:rStyle w:val="ECCParagraph"/>
        </w:rPr>
        <w:t xml:space="preserve">Earth) as well as the airborne CGC receiver (CGC </w:t>
      </w:r>
      <w:r w:rsidR="00534AB2" w:rsidRPr="00FD3236">
        <w:rPr>
          <w:rStyle w:val="ECCParagraph"/>
        </w:rPr>
        <w:t>downlink</w:t>
      </w:r>
      <w:r w:rsidRPr="0057475B">
        <w:rPr>
          <w:rStyle w:val="ECCParagraph"/>
        </w:rPr>
        <w:t>) may be interfered by MFCN AAS BS transmissions</w:t>
      </w:r>
      <w:r w:rsidR="005D5C2D" w:rsidRPr="0057475B">
        <w:rPr>
          <w:rStyle w:val="ECCParagraph"/>
        </w:rPr>
        <w:t>.</w:t>
      </w:r>
    </w:p>
    <w:p w14:paraId="0444115E" w14:textId="77777777" w:rsidR="009B605E" w:rsidRPr="00A52A19" w:rsidRDefault="009B605E" w:rsidP="009B605E">
      <w:pPr>
        <w:pStyle w:val="Heading2"/>
      </w:pPr>
      <w:bookmarkStart w:id="45" w:name="_Toc119582849"/>
      <w:r>
        <w:t>Summary</w:t>
      </w:r>
      <w:bookmarkEnd w:id="45"/>
    </w:p>
    <w:p w14:paraId="677B6D4D" w14:textId="09BDB0A5" w:rsidR="00C24DA8" w:rsidRDefault="00C259E6" w:rsidP="00A52A19">
      <w:r>
        <w:t>T</w:t>
      </w:r>
      <w:r w:rsidR="00C24DA8">
        <w:t>he conclusion</w:t>
      </w:r>
      <w:r w:rsidR="00534AB2">
        <w:t>s</w:t>
      </w:r>
      <w:r w:rsidR="00C24DA8">
        <w:t xml:space="preserve"> of th</w:t>
      </w:r>
      <w:r w:rsidR="008B216C">
        <w:t xml:space="preserve">is </w:t>
      </w:r>
      <w:r w:rsidR="000D0CFF">
        <w:t>R</w:t>
      </w:r>
      <w:r w:rsidR="008B216C">
        <w:t>eport</w:t>
      </w:r>
      <w:r w:rsidR="00C24DA8">
        <w:t xml:space="preserve"> confirm the following</w:t>
      </w:r>
      <w:r w:rsidR="005D5C2D">
        <w:t>:</w:t>
      </w:r>
    </w:p>
    <w:p w14:paraId="19BE81D7" w14:textId="36601049" w:rsidR="00496669" w:rsidRPr="00496669" w:rsidRDefault="00496669" w:rsidP="00496669">
      <w:pPr>
        <w:pStyle w:val="ECCBulletsLv1"/>
      </w:pPr>
      <w:r w:rsidRPr="00496669">
        <w:t xml:space="preserve">No additional protection measure is identified with </w:t>
      </w:r>
      <w:r w:rsidR="00534AB2">
        <w:t>s</w:t>
      </w:r>
      <w:r w:rsidR="00534AB2" w:rsidRPr="00496669">
        <w:t xml:space="preserve">atellite </w:t>
      </w:r>
      <w:r w:rsidR="00534AB2">
        <w:t>s</w:t>
      </w:r>
      <w:r w:rsidR="00534AB2" w:rsidRPr="00496669">
        <w:t xml:space="preserve">ervices </w:t>
      </w:r>
      <w:r w:rsidR="00C24DA8" w:rsidRPr="00496669">
        <w:t>operating in 2025-2110 MHz (Earth-to-</w:t>
      </w:r>
      <w:r w:rsidR="005D5C2D" w:rsidRPr="00496669">
        <w:t>s</w:t>
      </w:r>
      <w:r w:rsidR="00C24DA8" w:rsidRPr="00496669">
        <w:t>pace)</w:t>
      </w:r>
      <w:r w:rsidR="003F0287" w:rsidRPr="00496669">
        <w:t xml:space="preserve"> (</w:t>
      </w:r>
      <w:r w:rsidR="005E083F">
        <w:fldChar w:fldCharType="begin"/>
      </w:r>
      <w:r w:rsidR="005E083F">
        <w:instrText xml:space="preserve"> REF _Ref103695469 \r \h </w:instrText>
      </w:r>
      <w:r w:rsidR="005E083F">
        <w:fldChar w:fldCharType="separate"/>
      </w:r>
      <w:r w:rsidR="000C011B">
        <w:t>A</w:t>
      </w:r>
      <w:r w:rsidR="00A02D97">
        <w:t>nnex</w:t>
      </w:r>
      <w:r w:rsidR="000C011B">
        <w:t xml:space="preserve"> 1</w:t>
      </w:r>
      <w:r w:rsidR="005E083F">
        <w:fldChar w:fldCharType="end"/>
      </w:r>
      <w:r w:rsidR="003F0287" w:rsidRPr="00496669">
        <w:t>)</w:t>
      </w:r>
      <w:r w:rsidR="00C12ABB">
        <w:t>;</w:t>
      </w:r>
    </w:p>
    <w:p w14:paraId="4F58E065" w14:textId="5A94A16A" w:rsidR="005C5D94" w:rsidRPr="00496669" w:rsidRDefault="00C24DA8" w:rsidP="00496669">
      <w:pPr>
        <w:pStyle w:val="ECCBulletsLv1"/>
        <w:numPr>
          <w:ilvl w:val="0"/>
          <w:numId w:val="0"/>
        </w:numPr>
        <w:ind w:left="340"/>
        <w:rPr>
          <w:rStyle w:val="ECCParagraph"/>
          <w:shd w:val="solid" w:color="FFFF00" w:fill="auto"/>
        </w:rPr>
      </w:pPr>
      <w:r w:rsidRPr="00521D47">
        <w:rPr>
          <w:rStyle w:val="ECCParagraph"/>
        </w:rPr>
        <w:t>The use of AAS BS for the coverage of aerial UE does not cause more interference than the current use of non-AAS BS covering terrestrial UE. The coverage of aerial UE in addition to the current coverage of terrestrial UE by AAS BS does not change the current interference environment and would not cause additional interference to satellite receivers</w:t>
      </w:r>
      <w:r w:rsidR="00C12ABB">
        <w:rPr>
          <w:rStyle w:val="ECCParagraph"/>
        </w:rPr>
        <w:t>;</w:t>
      </w:r>
      <w:r w:rsidR="00100D91" w:rsidRPr="008C58C6">
        <w:rPr>
          <w:rStyle w:val="ECCParagraph"/>
        </w:rPr>
        <w:tab/>
      </w:r>
    </w:p>
    <w:p w14:paraId="677B6D56" w14:textId="7F7B15F6" w:rsidR="00A52A19" w:rsidRPr="00496669" w:rsidRDefault="00EA73E5" w:rsidP="00496669">
      <w:pPr>
        <w:pStyle w:val="ECCBulletsLv1"/>
      </w:pPr>
      <w:r w:rsidRPr="00496669">
        <w:t>No additional protection measure is identified with MSS/CGC in 2170-2200 MHz</w:t>
      </w:r>
      <w:r w:rsidR="00C12ABB">
        <w:t>.</w:t>
      </w:r>
    </w:p>
    <w:p w14:paraId="677B6D57" w14:textId="77777777" w:rsidR="00A52A19" w:rsidRPr="00A52A19" w:rsidRDefault="00A52A19" w:rsidP="00A52A19">
      <w:pPr>
        <w:pStyle w:val="Heading1"/>
        <w:rPr>
          <w:rStyle w:val="ECCParagraph"/>
        </w:rPr>
      </w:pPr>
      <w:bookmarkStart w:id="46" w:name="_Toc119582850"/>
      <w:r w:rsidRPr="00CF6B3A">
        <w:rPr>
          <w:rStyle w:val="ECCParagraph"/>
        </w:rPr>
        <w:lastRenderedPageBreak/>
        <w:t>2.6 GHz Band</w:t>
      </w:r>
      <w:bookmarkEnd w:id="46"/>
    </w:p>
    <w:p w14:paraId="677B6D58" w14:textId="7B41AB21" w:rsidR="00A52A19" w:rsidRPr="00A52A19" w:rsidRDefault="00A52A19" w:rsidP="00A52A19">
      <w:pPr>
        <w:pStyle w:val="Heading2"/>
        <w:rPr>
          <w:rStyle w:val="ECCParagraph"/>
        </w:rPr>
      </w:pPr>
      <w:bookmarkStart w:id="47" w:name="_Toc119582851"/>
      <w:r>
        <w:rPr>
          <w:rStyle w:val="ECCParagraph"/>
        </w:rPr>
        <w:t xml:space="preserve">Frequency </w:t>
      </w:r>
      <w:r w:rsidR="00A7713A" w:rsidRPr="00A7713A">
        <w:t>Arrangement</w:t>
      </w:r>
      <w:bookmarkEnd w:id="47"/>
    </w:p>
    <w:p w14:paraId="677B6D59" w14:textId="787C7400" w:rsidR="00A52A19" w:rsidRDefault="003F1C93" w:rsidP="00A52A19">
      <w:r>
        <w:fldChar w:fldCharType="begin"/>
      </w:r>
      <w:r>
        <w:instrText xml:space="preserve"> REF _Ref103696525 \h </w:instrText>
      </w:r>
      <w:r>
        <w:fldChar w:fldCharType="separate"/>
      </w:r>
      <w:r w:rsidR="000C011B" w:rsidRPr="000C011B">
        <w:t xml:space="preserve">Figure </w:t>
      </w:r>
      <w:r w:rsidR="000C011B">
        <w:rPr>
          <w:noProof/>
        </w:rPr>
        <w:t>3</w:t>
      </w:r>
      <w:r>
        <w:fldChar w:fldCharType="end"/>
      </w:r>
      <w:r w:rsidR="00A52A19">
        <w:t xml:space="preserve"> illustrates the current frequency arrangement in the 2.6 GHz band. </w:t>
      </w:r>
    </w:p>
    <w:p w14:paraId="677B6D5A" w14:textId="77777777" w:rsidR="00A52A19" w:rsidRDefault="00A52A19" w:rsidP="00A52A19">
      <w:r w:rsidRPr="00A52A19">
        <w:rPr>
          <w:noProof/>
          <w:lang w:val="de-DE" w:eastAsia="de-DE"/>
        </w:rPr>
        <w:drawing>
          <wp:inline distT="0" distB="0" distL="0" distR="0" wp14:anchorId="677B6F3B" wp14:editId="677B6F3C">
            <wp:extent cx="6048717" cy="665492"/>
            <wp:effectExtent l="0" t="0" r="952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5238" cy="675011"/>
                    </a:xfrm>
                    <a:prstGeom prst="rect">
                      <a:avLst/>
                    </a:prstGeom>
                    <a:noFill/>
                  </pic:spPr>
                </pic:pic>
              </a:graphicData>
            </a:graphic>
          </wp:inline>
        </w:drawing>
      </w:r>
    </w:p>
    <w:p w14:paraId="677B6D5B" w14:textId="414638D9" w:rsidR="00A52A19" w:rsidRPr="00510D7B" w:rsidRDefault="00C31EF6" w:rsidP="00C31EF6">
      <w:pPr>
        <w:pStyle w:val="Caption"/>
        <w:rPr>
          <w:lang w:val="en-GB"/>
        </w:rPr>
      </w:pPr>
      <w:bookmarkStart w:id="48" w:name="_Ref103696525"/>
      <w:r w:rsidRPr="00510D7B">
        <w:rPr>
          <w:lang w:val="en-GB"/>
        </w:rPr>
        <w:t xml:space="preserve">Figure </w:t>
      </w:r>
      <w:r>
        <w:fldChar w:fldCharType="begin"/>
      </w:r>
      <w:r w:rsidRPr="00425E5A">
        <w:rPr>
          <w:lang w:val="en-GB"/>
        </w:rPr>
        <w:instrText xml:space="preserve"> SEQ Figure \* ARABIC </w:instrText>
      </w:r>
      <w:r>
        <w:fldChar w:fldCharType="separate"/>
      </w:r>
      <w:r w:rsidR="009464FD">
        <w:rPr>
          <w:noProof/>
          <w:lang w:val="en-GB"/>
        </w:rPr>
        <w:t>3</w:t>
      </w:r>
      <w:r>
        <w:fldChar w:fldCharType="end"/>
      </w:r>
      <w:bookmarkEnd w:id="48"/>
      <w:r w:rsidR="00A52A19" w:rsidRPr="00425E5A">
        <w:rPr>
          <w:lang w:val="en-GB"/>
        </w:rPr>
        <w:t>:</w:t>
      </w:r>
      <w:r w:rsidR="00A52A19" w:rsidRPr="00510D7B">
        <w:rPr>
          <w:lang w:val="en-GB"/>
        </w:rPr>
        <w:t xml:space="preserve"> Frequency </w:t>
      </w:r>
      <w:r w:rsidR="00F31A4D" w:rsidRPr="00425E5A">
        <w:rPr>
          <w:lang w:val="en-GB"/>
        </w:rPr>
        <w:t>arrangement</w:t>
      </w:r>
      <w:r w:rsidR="00A52A19" w:rsidRPr="00510D7B">
        <w:rPr>
          <w:lang w:val="en-GB"/>
        </w:rPr>
        <w:t xml:space="preserve"> in the 2.6 GHz </w:t>
      </w:r>
      <w:r w:rsidR="005D5C2D" w:rsidRPr="00510D7B">
        <w:rPr>
          <w:lang w:val="en-GB"/>
        </w:rPr>
        <w:t>b</w:t>
      </w:r>
      <w:r w:rsidR="00A52A19" w:rsidRPr="00510D7B">
        <w:rPr>
          <w:lang w:val="en-GB"/>
        </w:rPr>
        <w:t>and</w:t>
      </w:r>
    </w:p>
    <w:p w14:paraId="677B6D5C" w14:textId="2AC8621D" w:rsidR="00A52A19" w:rsidRPr="00A52A19" w:rsidRDefault="00A7713A" w:rsidP="00A52A19">
      <w:pPr>
        <w:pStyle w:val="Heading2"/>
      </w:pPr>
      <w:bookmarkStart w:id="49" w:name="_Toc119582852"/>
      <w:r w:rsidRPr="00A7713A">
        <w:t>Compatibility Discussions</w:t>
      </w:r>
      <w:bookmarkEnd w:id="49"/>
    </w:p>
    <w:p w14:paraId="677B6D5D" w14:textId="6E7CE4DF" w:rsidR="00A52A19" w:rsidRPr="00FD3236" w:rsidRDefault="00A52A19" w:rsidP="00A52A19">
      <w:pPr>
        <w:rPr>
          <w:rStyle w:val="ECCParagraph"/>
        </w:rPr>
      </w:pPr>
      <w:r w:rsidRPr="00FD3236">
        <w:rPr>
          <w:rStyle w:val="ECCParagraph"/>
        </w:rPr>
        <w:t xml:space="preserve">The BS transmission in 2620-2690 MHz with AAS is </w:t>
      </w:r>
      <w:r w:rsidR="00F27734" w:rsidRPr="00FD3236">
        <w:rPr>
          <w:rStyle w:val="ECCParagraph"/>
        </w:rPr>
        <w:t>permitted</w:t>
      </w:r>
      <w:r w:rsidRPr="00FD3236">
        <w:rPr>
          <w:rStyle w:val="ECCParagraph"/>
        </w:rPr>
        <w:t xml:space="preserve"> by the revised ECC </w:t>
      </w:r>
      <w:r w:rsidR="005D5C2D" w:rsidRPr="00FD3236">
        <w:rPr>
          <w:rStyle w:val="ECCParagraph"/>
        </w:rPr>
        <w:t>Decision </w:t>
      </w:r>
      <w:r w:rsidRPr="00FD3236">
        <w:rPr>
          <w:rStyle w:val="ECCParagraph"/>
        </w:rPr>
        <w:t xml:space="preserve">(05)05 </w:t>
      </w:r>
      <w:r w:rsidR="005E083F" w:rsidRPr="00FD3236">
        <w:rPr>
          <w:rStyle w:val="ECCParagraph"/>
        </w:rPr>
        <w:fldChar w:fldCharType="begin"/>
      </w:r>
      <w:r w:rsidR="005E083F" w:rsidRPr="00FD3236">
        <w:rPr>
          <w:rStyle w:val="ECCParagraph"/>
        </w:rPr>
        <w:instrText xml:space="preserve"> REF _Ref103695483 \r \h </w:instrText>
      </w:r>
      <w:r w:rsidR="005E083F" w:rsidRPr="00FD3236">
        <w:rPr>
          <w:rStyle w:val="ECCParagraph"/>
        </w:rPr>
      </w:r>
      <w:r w:rsidR="005E083F" w:rsidRPr="00FD3236">
        <w:rPr>
          <w:rStyle w:val="ECCParagraph"/>
        </w:rPr>
        <w:fldChar w:fldCharType="separate"/>
      </w:r>
      <w:r w:rsidR="009464FD">
        <w:rPr>
          <w:rStyle w:val="ECCParagraph"/>
        </w:rPr>
        <w:t>[3]</w:t>
      </w:r>
      <w:r w:rsidR="005E083F" w:rsidRPr="00FD3236">
        <w:rPr>
          <w:rStyle w:val="ECCParagraph"/>
        </w:rPr>
        <w:fldChar w:fldCharType="end"/>
      </w:r>
      <w:r w:rsidRPr="00FD3236">
        <w:rPr>
          <w:rStyle w:val="ECCParagraph"/>
        </w:rPr>
        <w:t xml:space="preserve">. This </w:t>
      </w:r>
      <w:r w:rsidR="001A4775" w:rsidRPr="00FD3236">
        <w:rPr>
          <w:rStyle w:val="ECCParagraph"/>
        </w:rPr>
        <w:t xml:space="preserve">Decision </w:t>
      </w:r>
      <w:r w:rsidRPr="00FD3236">
        <w:rPr>
          <w:rStyle w:val="ECCParagraph"/>
        </w:rPr>
        <w:t>and the associated report (ECC Report 308</w:t>
      </w:r>
      <w:r w:rsidR="00486FC5" w:rsidRPr="00FD3236">
        <w:rPr>
          <w:rStyle w:val="ECCParagraph"/>
        </w:rPr>
        <w:t xml:space="preserve"> </w:t>
      </w:r>
      <w:r w:rsidR="00486FC5" w:rsidRPr="00FD3236">
        <w:rPr>
          <w:rStyle w:val="ECCParagraph"/>
        </w:rPr>
        <w:fldChar w:fldCharType="begin"/>
      </w:r>
      <w:r w:rsidR="00486FC5" w:rsidRPr="00FD3236">
        <w:rPr>
          <w:rStyle w:val="ECCParagraph"/>
        </w:rPr>
        <w:instrText xml:space="preserve"> REF _Ref103695497 \r \h </w:instrText>
      </w:r>
      <w:r w:rsidR="00486FC5" w:rsidRPr="00FD3236">
        <w:rPr>
          <w:rStyle w:val="ECCParagraph"/>
        </w:rPr>
      </w:r>
      <w:r w:rsidR="00486FC5" w:rsidRPr="00FD3236">
        <w:rPr>
          <w:rStyle w:val="ECCParagraph"/>
        </w:rPr>
        <w:fldChar w:fldCharType="separate"/>
      </w:r>
      <w:r w:rsidR="009464FD">
        <w:rPr>
          <w:rStyle w:val="ECCParagraph"/>
        </w:rPr>
        <w:t>[5]</w:t>
      </w:r>
      <w:r w:rsidR="00486FC5" w:rsidRPr="00FD3236">
        <w:rPr>
          <w:rStyle w:val="ECCParagraph"/>
        </w:rPr>
        <w:fldChar w:fldCharType="end"/>
      </w:r>
      <w:r w:rsidRPr="00FD3236">
        <w:rPr>
          <w:rStyle w:val="ECCParagraph"/>
        </w:rPr>
        <w:t>) identify</w:t>
      </w:r>
      <w:r w:rsidR="001A4775" w:rsidRPr="00FD3236">
        <w:rPr>
          <w:rStyle w:val="ECCParagraph"/>
        </w:rPr>
        <w:t xml:space="preserve"> </w:t>
      </w:r>
      <w:r w:rsidRPr="00FD3236">
        <w:rPr>
          <w:rStyle w:val="ECCParagraph"/>
        </w:rPr>
        <w:t xml:space="preserve">specific restrictions </w:t>
      </w:r>
      <w:r w:rsidR="00F27734" w:rsidRPr="00FD3236">
        <w:rPr>
          <w:rStyle w:val="ECCParagraph"/>
        </w:rPr>
        <w:t xml:space="preserve">and </w:t>
      </w:r>
      <w:r w:rsidRPr="00FD3236">
        <w:rPr>
          <w:rStyle w:val="ECCParagraph"/>
        </w:rPr>
        <w:t>mitigation measures to ensure coexistence with systems operating in adjacent bands.</w:t>
      </w:r>
    </w:p>
    <w:p w14:paraId="677B6D5E" w14:textId="21CDA6BC" w:rsidR="006C0872" w:rsidRPr="00FD3236" w:rsidRDefault="00A52A19" w:rsidP="00A52A19">
      <w:pPr>
        <w:rPr>
          <w:rStyle w:val="ECCParagraph"/>
        </w:rPr>
      </w:pPr>
      <w:r w:rsidRPr="00FD3236">
        <w:rPr>
          <w:rStyle w:val="ECCParagraph"/>
        </w:rPr>
        <w:t>For the 2.6 GHz</w:t>
      </w:r>
      <w:r w:rsidR="008571C9" w:rsidRPr="00FD3236">
        <w:rPr>
          <w:rStyle w:val="ECCParagraph"/>
        </w:rPr>
        <w:t xml:space="preserve"> frequency band</w:t>
      </w:r>
      <w:r w:rsidRPr="00FD3236">
        <w:rPr>
          <w:rStyle w:val="ECCParagraph"/>
        </w:rPr>
        <w:t xml:space="preserve">, </w:t>
      </w:r>
      <w:r w:rsidR="00CC3B1D" w:rsidRPr="00FD3236">
        <w:rPr>
          <w:rStyle w:val="ECCParagraph"/>
        </w:rPr>
        <w:t xml:space="preserve">the </w:t>
      </w:r>
      <w:r w:rsidR="001253B8" w:rsidRPr="00FD3236">
        <w:rPr>
          <w:rStyle w:val="ECCParagraph"/>
        </w:rPr>
        <w:t xml:space="preserve">adjacent applications </w:t>
      </w:r>
      <w:r w:rsidRPr="00FD3236">
        <w:rPr>
          <w:rStyle w:val="ECCParagraph"/>
        </w:rPr>
        <w:t>RAS</w:t>
      </w:r>
      <w:r w:rsidR="009B605E" w:rsidRPr="00FD3236">
        <w:rPr>
          <w:rStyle w:val="ECCParagraph"/>
        </w:rPr>
        <w:t xml:space="preserve"> and</w:t>
      </w:r>
      <w:r w:rsidRPr="00FD3236">
        <w:rPr>
          <w:rStyle w:val="ECCParagraph"/>
        </w:rPr>
        <w:t xml:space="preserve"> radars </w:t>
      </w:r>
      <w:r w:rsidR="00237B6B" w:rsidRPr="00FD3236">
        <w:rPr>
          <w:rStyle w:val="ECCParagraph"/>
        </w:rPr>
        <w:t xml:space="preserve">(ATC, </w:t>
      </w:r>
      <w:r w:rsidR="00635CF0" w:rsidRPr="00FD3236">
        <w:rPr>
          <w:rStyle w:val="ECCParagraph"/>
        </w:rPr>
        <w:t xml:space="preserve">military </w:t>
      </w:r>
      <w:r w:rsidRPr="00FD3236">
        <w:rPr>
          <w:rStyle w:val="ECCParagraph"/>
        </w:rPr>
        <w:t xml:space="preserve">and </w:t>
      </w:r>
      <w:proofErr w:type="spellStart"/>
      <w:r w:rsidRPr="00FD3236">
        <w:rPr>
          <w:rStyle w:val="ECCParagraph"/>
        </w:rPr>
        <w:t>Meteo</w:t>
      </w:r>
      <w:proofErr w:type="spellEnd"/>
      <w:r w:rsidR="00237B6B" w:rsidRPr="00FD3236">
        <w:rPr>
          <w:rStyle w:val="ECCParagraph"/>
        </w:rPr>
        <w:t>)</w:t>
      </w:r>
      <w:r w:rsidRPr="00FD3236">
        <w:rPr>
          <w:rStyle w:val="ECCParagraph"/>
        </w:rPr>
        <w:t xml:space="preserve"> </w:t>
      </w:r>
      <w:r w:rsidR="00E421EF" w:rsidRPr="00FD3236">
        <w:rPr>
          <w:rStyle w:val="ECCParagraph"/>
        </w:rPr>
        <w:t>only</w:t>
      </w:r>
      <w:r w:rsidR="00502614" w:rsidRPr="00FD3236">
        <w:rPr>
          <w:rStyle w:val="ECCParagraph"/>
        </w:rPr>
        <w:t xml:space="preserve"> use</w:t>
      </w:r>
      <w:r w:rsidR="00E421EF" w:rsidRPr="00FD3236">
        <w:rPr>
          <w:rStyle w:val="ECCParagraph"/>
        </w:rPr>
        <w:t xml:space="preserve"> ground receivers</w:t>
      </w:r>
      <w:r w:rsidRPr="00FD3236">
        <w:rPr>
          <w:rStyle w:val="ECCParagraph"/>
        </w:rPr>
        <w:t>.</w:t>
      </w:r>
    </w:p>
    <w:p w14:paraId="677B6D5F" w14:textId="6E81F1E0" w:rsidR="00A52A19" w:rsidRPr="00FD3236" w:rsidRDefault="006C0872" w:rsidP="00A52A19">
      <w:pPr>
        <w:rPr>
          <w:rStyle w:val="ECCParagraph"/>
        </w:rPr>
      </w:pPr>
      <w:r w:rsidRPr="00FD3236">
        <w:rPr>
          <w:rStyle w:val="ECCParagraph"/>
        </w:rPr>
        <w:t>T</w:t>
      </w:r>
      <w:r w:rsidR="00E421EF" w:rsidRPr="00FD3236">
        <w:rPr>
          <w:rStyle w:val="ECCParagraph"/>
        </w:rPr>
        <w:t>herefore</w:t>
      </w:r>
      <w:r w:rsidR="009B605E" w:rsidRPr="00FD3236">
        <w:rPr>
          <w:rStyle w:val="ECCParagraph"/>
        </w:rPr>
        <w:t>,</w:t>
      </w:r>
      <w:r w:rsidR="00A52A19" w:rsidRPr="00FD3236">
        <w:rPr>
          <w:rStyle w:val="ECCParagraph"/>
        </w:rPr>
        <w:t xml:space="preserve"> for this band the usage of MFCN AAS BS to serve aerial UE</w:t>
      </w:r>
      <w:r w:rsidR="00D75D97" w:rsidRPr="00FD3236">
        <w:rPr>
          <w:rStyle w:val="ECCParagraph"/>
        </w:rPr>
        <w:t xml:space="preserve"> under the additional regulatory measure</w:t>
      </w:r>
      <w:r w:rsidR="00FA57A7" w:rsidRPr="00FD3236">
        <w:rPr>
          <w:rStyle w:val="ECCParagraph"/>
        </w:rPr>
        <w:t>s</w:t>
      </w:r>
      <w:r w:rsidR="00D75D97" w:rsidRPr="00FD3236">
        <w:rPr>
          <w:rStyle w:val="ECCParagraph"/>
        </w:rPr>
        <w:t xml:space="preserve"> required according to ECC </w:t>
      </w:r>
      <w:r w:rsidR="00254931" w:rsidRPr="00FD3236">
        <w:rPr>
          <w:rStyle w:val="ECCParagraph"/>
        </w:rPr>
        <w:t>R</w:t>
      </w:r>
      <w:r w:rsidR="00D75D97" w:rsidRPr="00FD3236">
        <w:rPr>
          <w:rStyle w:val="ECCParagraph"/>
        </w:rPr>
        <w:t>eport</w:t>
      </w:r>
      <w:r w:rsidR="008F6153" w:rsidRPr="00FD3236">
        <w:rPr>
          <w:rStyle w:val="ECCParagraph"/>
        </w:rPr>
        <w:t xml:space="preserve"> 308</w:t>
      </w:r>
      <w:r w:rsidR="00EF49F3" w:rsidRPr="00FD3236">
        <w:rPr>
          <w:rStyle w:val="ECCParagraph"/>
        </w:rPr>
        <w:t xml:space="preserve"> </w:t>
      </w:r>
      <w:r w:rsidR="00BF26BA" w:rsidRPr="00FD3236">
        <w:rPr>
          <w:rStyle w:val="ECCParagraph"/>
        </w:rPr>
        <w:fldChar w:fldCharType="begin"/>
      </w:r>
      <w:r w:rsidR="00BF26BA" w:rsidRPr="00FD3236">
        <w:rPr>
          <w:rStyle w:val="ECCParagraph"/>
        </w:rPr>
        <w:instrText xml:space="preserve"> REF _Ref104305307 \r \h </w:instrText>
      </w:r>
      <w:r w:rsidR="00BF26BA" w:rsidRPr="00FD3236">
        <w:rPr>
          <w:rStyle w:val="ECCParagraph"/>
        </w:rPr>
      </w:r>
      <w:r w:rsidR="00BF26BA" w:rsidRPr="00FD3236">
        <w:rPr>
          <w:rStyle w:val="ECCParagraph"/>
        </w:rPr>
        <w:fldChar w:fldCharType="separate"/>
      </w:r>
      <w:r w:rsidR="009464FD">
        <w:rPr>
          <w:rStyle w:val="ECCParagraph"/>
        </w:rPr>
        <w:t>[6]</w:t>
      </w:r>
      <w:r w:rsidR="00BF26BA" w:rsidRPr="00FD3236">
        <w:rPr>
          <w:rStyle w:val="ECCParagraph"/>
        </w:rPr>
        <w:fldChar w:fldCharType="end"/>
      </w:r>
      <w:r w:rsidR="008F6153" w:rsidRPr="00FD3236">
        <w:rPr>
          <w:rStyle w:val="ECCParagraph"/>
        </w:rPr>
        <w:t xml:space="preserve"> </w:t>
      </w:r>
      <w:r w:rsidR="000B521E" w:rsidRPr="00FD3236">
        <w:rPr>
          <w:rStyle w:val="ECCParagraph"/>
        </w:rPr>
        <w:t xml:space="preserve">does </w:t>
      </w:r>
      <w:r w:rsidR="00A52A19" w:rsidRPr="00FD3236">
        <w:rPr>
          <w:rStyle w:val="ECCParagraph"/>
        </w:rPr>
        <w:t>not lead to additional interference cases to be studied.</w:t>
      </w:r>
    </w:p>
    <w:p w14:paraId="677B6D60" w14:textId="69823916" w:rsidR="008F6153" w:rsidRPr="00FD3236" w:rsidRDefault="008F6153" w:rsidP="00A52A19">
      <w:pPr>
        <w:rPr>
          <w:rStyle w:val="ECCParagraph"/>
        </w:rPr>
      </w:pPr>
      <w:r w:rsidRPr="00FD3236">
        <w:rPr>
          <w:rStyle w:val="ECCParagraph"/>
        </w:rPr>
        <w:t>In particular</w:t>
      </w:r>
      <w:r w:rsidR="005462C5" w:rsidRPr="00FD3236">
        <w:rPr>
          <w:rStyle w:val="ECCParagraph"/>
        </w:rPr>
        <w:t>,</w:t>
      </w:r>
      <w:r w:rsidRPr="00FD3236">
        <w:rPr>
          <w:rStyle w:val="ECCParagraph"/>
        </w:rPr>
        <w:t xml:space="preserve"> according to ECC </w:t>
      </w:r>
      <w:r w:rsidR="00254931" w:rsidRPr="00FD3236">
        <w:rPr>
          <w:rStyle w:val="ECCParagraph"/>
        </w:rPr>
        <w:t>R</w:t>
      </w:r>
      <w:r w:rsidRPr="00FD3236">
        <w:rPr>
          <w:rStyle w:val="ECCParagraph"/>
        </w:rPr>
        <w:t>eport 308</w:t>
      </w:r>
      <w:r w:rsidR="00322586" w:rsidRPr="00FD3236">
        <w:rPr>
          <w:rStyle w:val="ECCParagraph"/>
        </w:rPr>
        <w:t xml:space="preserve">, the following analysis/conclusions are </w:t>
      </w:r>
      <w:r w:rsidR="00D863A7" w:rsidRPr="00FD3236">
        <w:rPr>
          <w:rStyle w:val="ECCParagraph"/>
        </w:rPr>
        <w:t>noted</w:t>
      </w:r>
      <w:r w:rsidR="00322586" w:rsidRPr="00FD3236">
        <w:rPr>
          <w:rStyle w:val="ECCParagraph"/>
        </w:rPr>
        <w:t>:</w:t>
      </w:r>
    </w:p>
    <w:p w14:paraId="677B6D61" w14:textId="0554F653" w:rsidR="008F6153" w:rsidRPr="00865D58" w:rsidRDefault="008F6153" w:rsidP="00865D58">
      <w:pPr>
        <w:pStyle w:val="ECCBulletsLv1"/>
        <w:rPr>
          <w:rStyle w:val="ECCParagraph"/>
        </w:rPr>
      </w:pPr>
      <w:r w:rsidRPr="00865D58">
        <w:rPr>
          <w:rStyle w:val="ECCParagraph"/>
        </w:rPr>
        <w:t>Concerning radars, when AAS is not point</w:t>
      </w:r>
      <w:r w:rsidR="008C35C6" w:rsidRPr="00865D58">
        <w:rPr>
          <w:rStyle w:val="ECCParagraph"/>
        </w:rPr>
        <w:t xml:space="preserve">ing towards such </w:t>
      </w:r>
      <w:r w:rsidRPr="00865D58">
        <w:rPr>
          <w:rStyle w:val="ECCParagraph"/>
        </w:rPr>
        <w:t>stations, AAS is not expected to cause more interference than non-AAS BS</w:t>
      </w:r>
      <w:r w:rsidR="00837094">
        <w:rPr>
          <w:rStyle w:val="ECCParagraph"/>
        </w:rPr>
        <w:t>;</w:t>
      </w:r>
    </w:p>
    <w:p w14:paraId="677B6D62" w14:textId="1B3A394F" w:rsidR="008F6153" w:rsidRPr="00865D58" w:rsidRDefault="008F6153" w:rsidP="00865D58">
      <w:pPr>
        <w:pStyle w:val="ECCBulletsLv1"/>
        <w:rPr>
          <w:rStyle w:val="ECCParagraph"/>
        </w:rPr>
      </w:pPr>
      <w:r w:rsidRPr="00865D58">
        <w:rPr>
          <w:rStyle w:val="ECCParagraph"/>
        </w:rPr>
        <w:t>Concerning RAS sites (2690-2700 MHz), an additional baseline at 2690-2700 MHz is implemented for AAS FDD base stations including one to reduce the size of the coordination zone with radio astronomy sites</w:t>
      </w:r>
      <w:r w:rsidR="005462C5">
        <w:rPr>
          <w:rStyle w:val="ECCParagraph"/>
        </w:rPr>
        <w:t>.</w:t>
      </w:r>
    </w:p>
    <w:p w14:paraId="677B6D63" w14:textId="77777777" w:rsidR="00A52A19" w:rsidRPr="00A52A19" w:rsidRDefault="00A52A19" w:rsidP="00A52A19">
      <w:pPr>
        <w:pStyle w:val="Heading2"/>
      </w:pPr>
      <w:bookmarkStart w:id="50" w:name="_Toc119582853"/>
      <w:r>
        <w:t>Summary</w:t>
      </w:r>
      <w:bookmarkEnd w:id="50"/>
    </w:p>
    <w:p w14:paraId="677B6D64" w14:textId="1CA085F2" w:rsidR="00A52A19" w:rsidRPr="00FD3236" w:rsidRDefault="00A52A19" w:rsidP="00A52A19">
      <w:pPr>
        <w:rPr>
          <w:rStyle w:val="ECCParagraph"/>
        </w:rPr>
      </w:pPr>
      <w:r w:rsidRPr="00341EB6">
        <w:rPr>
          <w:rStyle w:val="ECCParagraph"/>
        </w:rPr>
        <w:t xml:space="preserve">The use of MFCN by </w:t>
      </w:r>
      <w:r w:rsidR="008571C9" w:rsidRPr="00341EB6">
        <w:rPr>
          <w:rStyle w:val="ECCParagraph"/>
        </w:rPr>
        <w:t>a</w:t>
      </w:r>
      <w:r w:rsidRPr="00341EB6">
        <w:rPr>
          <w:rStyle w:val="ECCParagraph"/>
        </w:rPr>
        <w:t xml:space="preserve">erial </w:t>
      </w:r>
      <w:r w:rsidRPr="00FD3236">
        <w:rPr>
          <w:rStyle w:val="ECCParagraph"/>
        </w:rPr>
        <w:t xml:space="preserve">UE when AAS BS are deployed </w:t>
      </w:r>
      <w:r w:rsidR="00835CA8" w:rsidRPr="00FD3236">
        <w:rPr>
          <w:rStyle w:val="ECCParagraph"/>
        </w:rPr>
        <w:t>require</w:t>
      </w:r>
      <w:r w:rsidR="00D70C33" w:rsidRPr="00FD3236">
        <w:rPr>
          <w:rStyle w:val="ECCParagraph"/>
        </w:rPr>
        <w:t>s</w:t>
      </w:r>
      <w:r w:rsidR="0030362E" w:rsidRPr="00FD3236">
        <w:rPr>
          <w:rStyle w:val="ECCParagraph"/>
        </w:rPr>
        <w:t xml:space="preserve"> mitigation</w:t>
      </w:r>
      <w:r w:rsidRPr="00FD3236">
        <w:rPr>
          <w:rStyle w:val="ECCParagraph"/>
        </w:rPr>
        <w:t xml:space="preserve"> measures in the 2.6 GHz band</w:t>
      </w:r>
      <w:r w:rsidR="00D70C33" w:rsidRPr="00FD3236">
        <w:rPr>
          <w:rStyle w:val="ECCParagraph"/>
        </w:rPr>
        <w:t xml:space="preserve"> </w:t>
      </w:r>
      <w:r w:rsidR="00EE7F3E" w:rsidRPr="00FD3236">
        <w:rPr>
          <w:rStyle w:val="ECCParagraph"/>
        </w:rPr>
        <w:t xml:space="preserve">similar </w:t>
      </w:r>
      <w:r w:rsidR="00D70C33" w:rsidRPr="00FD3236">
        <w:rPr>
          <w:rStyle w:val="ECCParagraph"/>
        </w:rPr>
        <w:t>to</w:t>
      </w:r>
      <w:r w:rsidRPr="00FD3236">
        <w:rPr>
          <w:rStyle w:val="ECCParagraph"/>
        </w:rPr>
        <w:t xml:space="preserve"> </w:t>
      </w:r>
      <w:r w:rsidR="00B47C3F" w:rsidRPr="00FD3236">
        <w:rPr>
          <w:rStyle w:val="ECCParagraph"/>
        </w:rPr>
        <w:t>those</w:t>
      </w:r>
      <w:r w:rsidRPr="00FD3236">
        <w:rPr>
          <w:rStyle w:val="ECCParagraph"/>
        </w:rPr>
        <w:t xml:space="preserve"> already identified in ECC Report 309 </w:t>
      </w:r>
      <w:r w:rsidR="004E792B" w:rsidRPr="00FD3236">
        <w:rPr>
          <w:rStyle w:val="ECCParagraph"/>
        </w:rPr>
        <w:fldChar w:fldCharType="begin"/>
      </w:r>
      <w:r w:rsidR="004E792B" w:rsidRPr="00FD3236">
        <w:rPr>
          <w:rStyle w:val="ECCParagraph"/>
        </w:rPr>
        <w:instrText xml:space="preserve"> REF _Ref103695135 \r \h </w:instrText>
      </w:r>
      <w:r w:rsidR="004E792B" w:rsidRPr="00FD3236">
        <w:rPr>
          <w:rStyle w:val="ECCParagraph"/>
        </w:rPr>
      </w:r>
      <w:r w:rsidR="004E792B" w:rsidRPr="00FD3236">
        <w:rPr>
          <w:rStyle w:val="ECCParagraph"/>
        </w:rPr>
        <w:fldChar w:fldCharType="separate"/>
      </w:r>
      <w:r w:rsidR="009464FD">
        <w:rPr>
          <w:rStyle w:val="ECCParagraph"/>
        </w:rPr>
        <w:t>[4]</w:t>
      </w:r>
      <w:r w:rsidR="004E792B" w:rsidRPr="00FD3236">
        <w:rPr>
          <w:rStyle w:val="ECCParagraph"/>
        </w:rPr>
        <w:fldChar w:fldCharType="end"/>
      </w:r>
      <w:r w:rsidR="004E792B" w:rsidRPr="00FD3236">
        <w:rPr>
          <w:rStyle w:val="ECCParagraph"/>
        </w:rPr>
        <w:t xml:space="preserve"> </w:t>
      </w:r>
      <w:r w:rsidR="00AE3B4F" w:rsidRPr="00FD3236">
        <w:rPr>
          <w:rStyle w:val="ECCParagraph"/>
        </w:rPr>
        <w:t xml:space="preserve">which are </w:t>
      </w:r>
      <w:r w:rsidR="00D70C33" w:rsidRPr="00FD3236">
        <w:rPr>
          <w:rStyle w:val="ECCParagraph"/>
        </w:rPr>
        <w:t xml:space="preserve">taken into consideration </w:t>
      </w:r>
      <w:r w:rsidR="008571C9" w:rsidRPr="00FD3236">
        <w:rPr>
          <w:rStyle w:val="ECCParagraph"/>
        </w:rPr>
        <w:t xml:space="preserve">by the </w:t>
      </w:r>
      <w:r w:rsidR="00D70C33" w:rsidRPr="00FD3236">
        <w:rPr>
          <w:rStyle w:val="ECCParagraph"/>
        </w:rPr>
        <w:t xml:space="preserve">current harmonised MFCN framework based on CEPT </w:t>
      </w:r>
      <w:r w:rsidR="00254931" w:rsidRPr="00FD3236">
        <w:rPr>
          <w:rStyle w:val="ECCParagraph"/>
        </w:rPr>
        <w:t>Re</w:t>
      </w:r>
      <w:r w:rsidR="00D70C33" w:rsidRPr="00FD3236">
        <w:rPr>
          <w:rStyle w:val="ECCParagraph"/>
        </w:rPr>
        <w:t>port 72</w:t>
      </w:r>
      <w:r w:rsidR="00BF26BA" w:rsidRPr="00FD3236">
        <w:rPr>
          <w:rStyle w:val="ECCParagraph"/>
        </w:rPr>
        <w:t xml:space="preserve"> </w:t>
      </w:r>
      <w:r w:rsidR="00BF26BA" w:rsidRPr="00FD3236">
        <w:rPr>
          <w:rStyle w:val="ECCParagraph"/>
        </w:rPr>
        <w:fldChar w:fldCharType="begin"/>
      </w:r>
      <w:r w:rsidR="00BF26BA" w:rsidRPr="00FD3236">
        <w:rPr>
          <w:rStyle w:val="ECCParagraph"/>
        </w:rPr>
        <w:instrText xml:space="preserve"> REF _Ref104305284 \r \h </w:instrText>
      </w:r>
      <w:r w:rsidR="00BF26BA" w:rsidRPr="00FD3236">
        <w:rPr>
          <w:rStyle w:val="ECCParagraph"/>
        </w:rPr>
      </w:r>
      <w:r w:rsidR="00BF26BA" w:rsidRPr="00FD3236">
        <w:rPr>
          <w:rStyle w:val="ECCParagraph"/>
        </w:rPr>
        <w:fldChar w:fldCharType="separate"/>
      </w:r>
      <w:r w:rsidR="009464FD">
        <w:rPr>
          <w:rStyle w:val="ECCParagraph"/>
        </w:rPr>
        <w:t>[5]</w:t>
      </w:r>
      <w:r w:rsidR="00BF26BA" w:rsidRPr="00FD3236">
        <w:rPr>
          <w:rStyle w:val="ECCParagraph"/>
        </w:rPr>
        <w:fldChar w:fldCharType="end"/>
      </w:r>
      <w:r w:rsidR="00BF26BA" w:rsidRPr="00FD3236">
        <w:rPr>
          <w:rStyle w:val="ECCParagraph"/>
        </w:rPr>
        <w:t xml:space="preserve"> </w:t>
      </w:r>
      <w:r w:rsidR="00837094" w:rsidRPr="00FD3236">
        <w:rPr>
          <w:rStyle w:val="ECCParagraph"/>
        </w:rPr>
        <w:t xml:space="preserve">and </w:t>
      </w:r>
      <w:r w:rsidR="00D70C33" w:rsidRPr="00FD3236">
        <w:rPr>
          <w:rStyle w:val="ECCParagraph"/>
        </w:rPr>
        <w:t xml:space="preserve">ECC </w:t>
      </w:r>
      <w:r w:rsidR="00254931" w:rsidRPr="00FD3236">
        <w:rPr>
          <w:rStyle w:val="ECCParagraph"/>
        </w:rPr>
        <w:t>R</w:t>
      </w:r>
      <w:r w:rsidR="00D70C33" w:rsidRPr="00FD3236">
        <w:rPr>
          <w:rStyle w:val="ECCParagraph"/>
        </w:rPr>
        <w:t>eport 308</w:t>
      </w:r>
      <w:r w:rsidR="00837094" w:rsidRPr="00FD3236">
        <w:rPr>
          <w:rStyle w:val="ECCParagraph"/>
        </w:rPr>
        <w:t xml:space="preserve"> </w:t>
      </w:r>
      <w:r w:rsidR="00BF26BA" w:rsidRPr="00FD3236">
        <w:rPr>
          <w:rStyle w:val="ECCParagraph"/>
        </w:rPr>
        <w:fldChar w:fldCharType="begin"/>
      </w:r>
      <w:r w:rsidR="00BF26BA" w:rsidRPr="00FD3236">
        <w:rPr>
          <w:rStyle w:val="ECCParagraph"/>
        </w:rPr>
        <w:instrText xml:space="preserve"> REF _Ref104305307 \r \h </w:instrText>
      </w:r>
      <w:r w:rsidR="00BF26BA" w:rsidRPr="00FD3236">
        <w:rPr>
          <w:rStyle w:val="ECCParagraph"/>
        </w:rPr>
      </w:r>
      <w:r w:rsidR="00BF26BA" w:rsidRPr="00FD3236">
        <w:rPr>
          <w:rStyle w:val="ECCParagraph"/>
        </w:rPr>
        <w:fldChar w:fldCharType="separate"/>
      </w:r>
      <w:r w:rsidR="009464FD">
        <w:rPr>
          <w:rStyle w:val="ECCParagraph"/>
        </w:rPr>
        <w:t>[6]</w:t>
      </w:r>
      <w:r w:rsidR="00BF26BA" w:rsidRPr="00FD3236">
        <w:rPr>
          <w:rStyle w:val="ECCParagraph"/>
        </w:rPr>
        <w:fldChar w:fldCharType="end"/>
      </w:r>
      <w:r w:rsidR="00D70C33" w:rsidRPr="00FD3236">
        <w:rPr>
          <w:rStyle w:val="ECCParagraph"/>
        </w:rPr>
        <w:t>.</w:t>
      </w:r>
    </w:p>
    <w:p w14:paraId="677B6D65" w14:textId="780C18B6" w:rsidR="000D637B" w:rsidRPr="00FD3236" w:rsidRDefault="000D637B" w:rsidP="00A52A19">
      <w:pPr>
        <w:rPr>
          <w:rStyle w:val="ECCParagraph"/>
        </w:rPr>
      </w:pPr>
      <w:r w:rsidRPr="00FD3236">
        <w:rPr>
          <w:rStyle w:val="ECCParagraph"/>
        </w:rPr>
        <w:t>Operational conditions refer to no</w:t>
      </w:r>
      <w:r w:rsidR="00E17AEF" w:rsidRPr="00FD3236">
        <w:rPr>
          <w:rStyle w:val="ECCParagraph"/>
        </w:rPr>
        <w:t>-</w:t>
      </w:r>
      <w:r w:rsidR="00D70017" w:rsidRPr="00FD3236">
        <w:rPr>
          <w:rStyle w:val="ECCParagraph"/>
        </w:rPr>
        <w:t>transmit</w:t>
      </w:r>
      <w:r w:rsidRPr="00FD3236">
        <w:rPr>
          <w:rStyle w:val="ECCParagraph"/>
        </w:rPr>
        <w:t xml:space="preserve"> zone</w:t>
      </w:r>
      <w:r w:rsidR="00E17AEF" w:rsidRPr="00FD3236">
        <w:rPr>
          <w:rStyle w:val="ECCParagraph"/>
        </w:rPr>
        <w:t>s</w:t>
      </w:r>
      <w:r w:rsidRPr="00FD3236">
        <w:rPr>
          <w:rStyle w:val="ECCParagraph"/>
        </w:rPr>
        <w:t xml:space="preserve"> or alternative measures (e.g. additional filtering) to protect radars above 2700 MHz, where appropriate</w:t>
      </w:r>
      <w:r w:rsidR="007A623C" w:rsidRPr="00FD3236">
        <w:rPr>
          <w:rStyle w:val="ECCParagraph"/>
        </w:rPr>
        <w:t>,</w:t>
      </w:r>
      <w:r w:rsidRPr="00FD3236">
        <w:rPr>
          <w:rStyle w:val="ECCParagraph"/>
        </w:rPr>
        <w:t xml:space="preserve"> and no-</w:t>
      </w:r>
      <w:r w:rsidR="00D70017" w:rsidRPr="00FD3236">
        <w:rPr>
          <w:rStyle w:val="ECCParagraph"/>
        </w:rPr>
        <w:t>transmit</w:t>
      </w:r>
      <w:r w:rsidRPr="00FD3236">
        <w:rPr>
          <w:rStyle w:val="ECCParagraph"/>
        </w:rPr>
        <w:t xml:space="preserve"> zone</w:t>
      </w:r>
      <w:r w:rsidR="005462C5" w:rsidRPr="00FD3236">
        <w:rPr>
          <w:rStyle w:val="ECCParagraph"/>
        </w:rPr>
        <w:t>s</w:t>
      </w:r>
      <w:r w:rsidRPr="00FD3236">
        <w:rPr>
          <w:rStyle w:val="ECCParagraph"/>
        </w:rPr>
        <w:t xml:space="preserve"> around RAS sites operating in 2690-2700 MHz.</w:t>
      </w:r>
    </w:p>
    <w:p w14:paraId="677B6D66" w14:textId="7AD6D2D2" w:rsidR="000D637B" w:rsidRPr="00FD3236" w:rsidRDefault="000D637B" w:rsidP="00A52A19">
      <w:pPr>
        <w:rPr>
          <w:rStyle w:val="ECCParagraph"/>
        </w:rPr>
      </w:pPr>
      <w:r w:rsidRPr="00FD3236">
        <w:rPr>
          <w:rStyle w:val="ECCParagraph"/>
        </w:rPr>
        <w:t>When establishing these no</w:t>
      </w:r>
      <w:r w:rsidR="005462C5" w:rsidRPr="00FD3236">
        <w:rPr>
          <w:rStyle w:val="ECCParagraph"/>
        </w:rPr>
        <w:t>-</w:t>
      </w:r>
      <w:r w:rsidR="00D70017" w:rsidRPr="00FD3236">
        <w:rPr>
          <w:rStyle w:val="ECCParagraph"/>
        </w:rPr>
        <w:t>transmit zones</w:t>
      </w:r>
      <w:r w:rsidRPr="00FD3236">
        <w:rPr>
          <w:rStyle w:val="ECCParagraph"/>
        </w:rPr>
        <w:t xml:space="preserve">, in particular to RAS sites, administrations shall </w:t>
      </w:r>
      <w:r w:rsidR="00D70C33" w:rsidRPr="00FD3236">
        <w:rPr>
          <w:rStyle w:val="ECCParagraph"/>
        </w:rPr>
        <w:t xml:space="preserve">also </w:t>
      </w:r>
      <w:r w:rsidR="008F6153" w:rsidRPr="00FD3236">
        <w:rPr>
          <w:rStyle w:val="ECCParagraph"/>
        </w:rPr>
        <w:t>consider the coordination zone</w:t>
      </w:r>
      <w:r w:rsidR="00AC1C08" w:rsidRPr="00FD3236">
        <w:rPr>
          <w:rStyle w:val="ECCParagraph"/>
        </w:rPr>
        <w:t>s</w:t>
      </w:r>
      <w:r w:rsidR="008F6153" w:rsidRPr="00FD3236">
        <w:rPr>
          <w:rStyle w:val="ECCParagraph"/>
        </w:rPr>
        <w:t xml:space="preserve"> with radio astronomy sites</w:t>
      </w:r>
      <w:r w:rsidRPr="00FD3236">
        <w:rPr>
          <w:rStyle w:val="ECCParagraph"/>
        </w:rPr>
        <w:t xml:space="preserve"> </w:t>
      </w:r>
      <w:r w:rsidR="008C35C6" w:rsidRPr="00FD3236">
        <w:rPr>
          <w:rStyle w:val="ECCParagraph"/>
        </w:rPr>
        <w:t xml:space="preserve">already </w:t>
      </w:r>
      <w:r w:rsidR="008F6153" w:rsidRPr="00FD3236">
        <w:rPr>
          <w:rStyle w:val="ECCParagraph"/>
        </w:rPr>
        <w:t xml:space="preserve">implemented according to ECC </w:t>
      </w:r>
      <w:r w:rsidR="007A623C" w:rsidRPr="00FD3236">
        <w:rPr>
          <w:rStyle w:val="ECCParagraph"/>
        </w:rPr>
        <w:t>Decision </w:t>
      </w:r>
      <w:r w:rsidR="00E17AEF" w:rsidRPr="00FD3236">
        <w:rPr>
          <w:rStyle w:val="ECCParagraph"/>
        </w:rPr>
        <w:t>(</w:t>
      </w:r>
      <w:r w:rsidR="008F6153" w:rsidRPr="00FD3236">
        <w:rPr>
          <w:rStyle w:val="ECCParagraph"/>
        </w:rPr>
        <w:t>05</w:t>
      </w:r>
      <w:r w:rsidR="00E17AEF" w:rsidRPr="00FD3236">
        <w:rPr>
          <w:rStyle w:val="ECCParagraph"/>
        </w:rPr>
        <w:t>)</w:t>
      </w:r>
      <w:r w:rsidR="008F6153" w:rsidRPr="00FD3236">
        <w:rPr>
          <w:rStyle w:val="ECCParagraph"/>
        </w:rPr>
        <w:t>05</w:t>
      </w:r>
      <w:r w:rsidR="00D42C73" w:rsidRPr="00FD3236">
        <w:rPr>
          <w:rStyle w:val="ECCParagraph"/>
        </w:rPr>
        <w:t xml:space="preserve"> </w:t>
      </w:r>
      <w:r w:rsidR="00BF26BA" w:rsidRPr="00FD3236">
        <w:rPr>
          <w:rStyle w:val="ECCParagraph"/>
        </w:rPr>
        <w:fldChar w:fldCharType="begin"/>
      </w:r>
      <w:r w:rsidR="00BF26BA" w:rsidRPr="00FD3236">
        <w:rPr>
          <w:rStyle w:val="ECCParagraph"/>
        </w:rPr>
        <w:instrText xml:space="preserve"> REF _Ref107478128 \r \h </w:instrText>
      </w:r>
      <w:r w:rsidR="00BF26BA" w:rsidRPr="00FD3236">
        <w:rPr>
          <w:rStyle w:val="ECCParagraph"/>
        </w:rPr>
      </w:r>
      <w:r w:rsidR="00BF26BA" w:rsidRPr="00FD3236">
        <w:rPr>
          <w:rStyle w:val="ECCParagraph"/>
        </w:rPr>
        <w:fldChar w:fldCharType="separate"/>
      </w:r>
      <w:r w:rsidR="009464FD">
        <w:rPr>
          <w:rStyle w:val="ECCParagraph"/>
        </w:rPr>
        <w:t>[3]</w:t>
      </w:r>
      <w:r w:rsidR="00BF26BA" w:rsidRPr="00FD3236">
        <w:rPr>
          <w:rStyle w:val="ECCParagraph"/>
        </w:rPr>
        <w:fldChar w:fldCharType="end"/>
      </w:r>
      <w:r w:rsidR="009761FE" w:rsidRPr="00FD3236">
        <w:rPr>
          <w:rStyle w:val="ECCParagraph"/>
        </w:rPr>
        <w:t xml:space="preserve"> </w:t>
      </w:r>
      <w:r w:rsidR="00D42C73" w:rsidRPr="00FD3236">
        <w:rPr>
          <w:rStyle w:val="ECCParagraph"/>
        </w:rPr>
        <w:t>(</w:t>
      </w:r>
      <w:r w:rsidR="005D61F1" w:rsidRPr="00FD3236">
        <w:rPr>
          <w:rStyle w:val="ECCParagraph"/>
        </w:rPr>
        <w:t>based on</w:t>
      </w:r>
      <w:r w:rsidR="00D42C73" w:rsidRPr="00FD3236">
        <w:rPr>
          <w:rStyle w:val="ECCParagraph"/>
        </w:rPr>
        <w:t xml:space="preserve"> CEPT </w:t>
      </w:r>
      <w:r w:rsidR="00254931" w:rsidRPr="00FD3236">
        <w:rPr>
          <w:rStyle w:val="ECCParagraph"/>
        </w:rPr>
        <w:t>R</w:t>
      </w:r>
      <w:r w:rsidR="00D42C73" w:rsidRPr="00FD3236">
        <w:rPr>
          <w:rStyle w:val="ECCParagraph"/>
        </w:rPr>
        <w:t xml:space="preserve">eport 72 and ECC </w:t>
      </w:r>
      <w:r w:rsidR="00254931" w:rsidRPr="00FD3236">
        <w:rPr>
          <w:rStyle w:val="ECCParagraph"/>
        </w:rPr>
        <w:t>R</w:t>
      </w:r>
      <w:r w:rsidR="00D42C73" w:rsidRPr="00FD3236">
        <w:rPr>
          <w:rStyle w:val="ECCParagraph"/>
        </w:rPr>
        <w:t>eport 308)</w:t>
      </w:r>
      <w:r w:rsidR="008C35C6" w:rsidRPr="00FD3236">
        <w:rPr>
          <w:rStyle w:val="ECCParagraph"/>
        </w:rPr>
        <w:t>.</w:t>
      </w:r>
    </w:p>
    <w:p w14:paraId="677B6D67" w14:textId="4D42547E" w:rsidR="00A52A19" w:rsidRDefault="00A52A19" w:rsidP="00A52A19">
      <w:pPr>
        <w:pStyle w:val="Heading1"/>
        <w:rPr>
          <w:rStyle w:val="ECCParagraph"/>
        </w:rPr>
      </w:pPr>
      <w:bookmarkStart w:id="51" w:name="_Toc119582854"/>
      <w:r w:rsidRPr="00CF6B3A">
        <w:rPr>
          <w:rStyle w:val="ECCParagraph"/>
        </w:rPr>
        <w:lastRenderedPageBreak/>
        <w:t>Conclusion</w:t>
      </w:r>
      <w:bookmarkEnd w:id="51"/>
    </w:p>
    <w:p w14:paraId="7EDA7347" w14:textId="4C78FCC8" w:rsidR="00934288" w:rsidRPr="00FD3236" w:rsidRDefault="00934288" w:rsidP="00934288">
      <w:pPr>
        <w:rPr>
          <w:rStyle w:val="ECCParagraph"/>
        </w:rPr>
      </w:pPr>
      <w:r w:rsidRPr="00FD3236">
        <w:rPr>
          <w:rStyle w:val="ECCParagraph"/>
        </w:rPr>
        <w:t>This Report address</w:t>
      </w:r>
      <w:r w:rsidR="005D61F1" w:rsidRPr="00FD3236">
        <w:rPr>
          <w:rStyle w:val="ECCParagraph"/>
        </w:rPr>
        <w:t>es</w:t>
      </w:r>
      <w:r w:rsidRPr="00FD3236">
        <w:rPr>
          <w:rStyle w:val="ECCParagraph"/>
        </w:rPr>
        <w:t xml:space="preserve"> the usage of aerial UE in 1.8 GHz, 2 GHz and 2.6 GHz </w:t>
      </w:r>
      <w:r w:rsidR="0081711B" w:rsidRPr="00FD3236">
        <w:rPr>
          <w:rStyle w:val="ECCParagraph"/>
        </w:rPr>
        <w:t xml:space="preserve">MFCN harmonised frequency bands </w:t>
      </w:r>
      <w:r w:rsidRPr="00FD3236">
        <w:rPr>
          <w:rStyle w:val="ECCParagraph"/>
        </w:rPr>
        <w:t>with AAS base stations (BS) operating according to the ECC framework in those bands (see relevant ECC Decisions</w:t>
      </w:r>
      <w:r w:rsidRPr="007E0A4F">
        <w:rPr>
          <w:rStyle w:val="ECCParagraph"/>
          <w:vertAlign w:val="superscript"/>
        </w:rPr>
        <w:footnoteReference w:id="5"/>
      </w:r>
      <w:r w:rsidRPr="00FD3236">
        <w:rPr>
          <w:rStyle w:val="ECCParagraph"/>
        </w:rPr>
        <w:t xml:space="preserve">). This </w:t>
      </w:r>
      <w:r w:rsidR="000D0CFF" w:rsidRPr="00FD3236">
        <w:rPr>
          <w:rStyle w:val="ECCParagraph"/>
        </w:rPr>
        <w:t>R</w:t>
      </w:r>
      <w:r w:rsidRPr="00FD3236">
        <w:rPr>
          <w:rStyle w:val="ECCParagraph"/>
        </w:rPr>
        <w:t xml:space="preserve">eport </w:t>
      </w:r>
      <w:r w:rsidR="005D61F1" w:rsidRPr="00FD3236">
        <w:rPr>
          <w:rStyle w:val="ECCParagraph"/>
        </w:rPr>
        <w:t xml:space="preserve">complements </w:t>
      </w:r>
      <w:r w:rsidRPr="00FD3236">
        <w:rPr>
          <w:rStyle w:val="ECCParagraph"/>
        </w:rPr>
        <w:t xml:space="preserve">ECC Report 309 </w:t>
      </w:r>
      <w:r w:rsidR="004E792B" w:rsidRPr="00FD3236">
        <w:rPr>
          <w:rStyle w:val="ECCParagraph"/>
        </w:rPr>
        <w:fldChar w:fldCharType="begin"/>
      </w:r>
      <w:r w:rsidR="004E792B" w:rsidRPr="00FD3236">
        <w:rPr>
          <w:rStyle w:val="ECCParagraph"/>
        </w:rPr>
        <w:instrText xml:space="preserve"> REF _Ref103695135 \r \h </w:instrText>
      </w:r>
      <w:r w:rsidR="004E792B" w:rsidRPr="00FD3236">
        <w:rPr>
          <w:rStyle w:val="ECCParagraph"/>
        </w:rPr>
      </w:r>
      <w:r w:rsidR="004E792B" w:rsidRPr="00FD3236">
        <w:rPr>
          <w:rStyle w:val="ECCParagraph"/>
        </w:rPr>
        <w:fldChar w:fldCharType="separate"/>
      </w:r>
      <w:r w:rsidR="009464FD">
        <w:rPr>
          <w:rStyle w:val="ECCParagraph"/>
        </w:rPr>
        <w:t>[4]</w:t>
      </w:r>
      <w:r w:rsidR="004E792B" w:rsidRPr="00FD3236">
        <w:rPr>
          <w:rStyle w:val="ECCParagraph"/>
        </w:rPr>
        <w:fldChar w:fldCharType="end"/>
      </w:r>
      <w:r w:rsidR="004E792B" w:rsidRPr="00FD3236">
        <w:rPr>
          <w:rStyle w:val="ECCParagraph"/>
        </w:rPr>
        <w:t xml:space="preserve"> </w:t>
      </w:r>
      <w:r w:rsidRPr="00FD3236">
        <w:rPr>
          <w:rStyle w:val="ECCParagraph"/>
        </w:rPr>
        <w:t xml:space="preserve">by analysing possible additional risk of interference created by AAS BS on adjacent systems when serving aerial UE or by aerial UE communicating with AAS BS. Potential MFCN intra-network interference </w:t>
      </w:r>
      <w:r w:rsidR="005422F6" w:rsidRPr="00FD3236">
        <w:rPr>
          <w:rStyle w:val="ECCParagraph"/>
        </w:rPr>
        <w:t xml:space="preserve">is </w:t>
      </w:r>
      <w:r w:rsidRPr="00FD3236">
        <w:rPr>
          <w:rStyle w:val="ECCParagraph"/>
        </w:rPr>
        <w:t xml:space="preserve">not covered by this </w:t>
      </w:r>
      <w:r w:rsidR="000D0CFF" w:rsidRPr="00FD3236">
        <w:rPr>
          <w:rStyle w:val="ECCParagraph"/>
        </w:rPr>
        <w:t>R</w:t>
      </w:r>
      <w:r w:rsidRPr="00FD3236">
        <w:rPr>
          <w:rStyle w:val="ECCParagraph"/>
        </w:rPr>
        <w:t xml:space="preserve">eport. This </w:t>
      </w:r>
      <w:r w:rsidR="000D0CFF" w:rsidRPr="00FD3236">
        <w:rPr>
          <w:rStyle w:val="ECCParagraph"/>
        </w:rPr>
        <w:t>R</w:t>
      </w:r>
      <w:r w:rsidRPr="00FD3236">
        <w:rPr>
          <w:rStyle w:val="ECCParagraph"/>
        </w:rPr>
        <w:t xml:space="preserve">eport </w:t>
      </w:r>
      <w:r w:rsidR="000C53C3" w:rsidRPr="00FD3236">
        <w:rPr>
          <w:rStyle w:val="ECCParagraph"/>
        </w:rPr>
        <w:t xml:space="preserve">also assesses </w:t>
      </w:r>
      <w:r w:rsidRPr="00FD3236">
        <w:rPr>
          <w:rStyle w:val="ECCParagraph"/>
        </w:rPr>
        <w:t>any impact from MFCN technologies (LTE, 5G NR) serving aerial UE.</w:t>
      </w:r>
    </w:p>
    <w:p w14:paraId="1D855532" w14:textId="762B51A7" w:rsidR="00934288" w:rsidRDefault="00934288" w:rsidP="00934288">
      <w:r w:rsidRPr="00341EB6">
        <w:rPr>
          <w:rStyle w:val="ECCParagraph"/>
        </w:rPr>
        <w:t xml:space="preserve">Due </w:t>
      </w:r>
      <w:r w:rsidR="000C53C3" w:rsidRPr="00341EB6">
        <w:rPr>
          <w:rStyle w:val="ECCParagraph"/>
        </w:rPr>
        <w:t xml:space="preserve">to </w:t>
      </w:r>
      <w:r w:rsidRPr="00341EB6">
        <w:rPr>
          <w:rStyle w:val="ECCParagraph"/>
        </w:rPr>
        <w:t>the current state of the technology</w:t>
      </w:r>
      <w:r>
        <w:t xml:space="preserve">, usage of AAS BS is not foreseen in the 700 MHz, 800 MHz, 900 MHz MFCN harmonised frequency bands. </w:t>
      </w:r>
      <w:r w:rsidR="004E16F9">
        <w:t>C</w:t>
      </w:r>
      <w:r>
        <w:t>onsequen</w:t>
      </w:r>
      <w:r w:rsidR="004E16F9">
        <w:t>tly</w:t>
      </w:r>
      <w:r>
        <w:t xml:space="preserve">, those MFCN harmonised bands have not been considered in this </w:t>
      </w:r>
      <w:r w:rsidR="000D0CFF">
        <w:t>R</w:t>
      </w:r>
      <w:r>
        <w:t>eport.</w:t>
      </w:r>
    </w:p>
    <w:p w14:paraId="1F221B7C" w14:textId="4B312C1C" w:rsidR="00934288" w:rsidRPr="00462A07" w:rsidRDefault="00934288" w:rsidP="00934288">
      <w:r w:rsidRPr="00462A07">
        <w:t xml:space="preserve">MFCN AAS BS serving aerial UE may offer a different interference scenario compared to serving UE that are located on the ground, </w:t>
      </w:r>
      <w:r w:rsidR="00845610">
        <w:t xml:space="preserve">and </w:t>
      </w:r>
      <w:r w:rsidRPr="00462A07">
        <w:t>hence</w:t>
      </w:r>
      <w:r w:rsidR="00845610">
        <w:t xml:space="preserve"> are</w:t>
      </w:r>
      <w:r w:rsidRPr="00462A07">
        <w:t xml:space="preserve"> relevant to systems indicated in </w:t>
      </w:r>
      <w:r w:rsidR="00175087">
        <w:t>the following table</w:t>
      </w:r>
      <w:r w:rsidRPr="00462A07">
        <w:t>.</w:t>
      </w:r>
    </w:p>
    <w:p w14:paraId="7A851FFC" w14:textId="3875FC06" w:rsidR="00934288" w:rsidRDefault="00934288" w:rsidP="00934288">
      <w:r>
        <w:t>The conclusions of the analysis are summari</w:t>
      </w:r>
      <w:r w:rsidR="00486FC5">
        <w:t>s</w:t>
      </w:r>
      <w:r>
        <w:t>ed in the following table:</w:t>
      </w:r>
    </w:p>
    <w:p w14:paraId="602912BC" w14:textId="5CC08C10" w:rsidR="00934288" w:rsidRPr="0053007A" w:rsidRDefault="00934288" w:rsidP="000C011B">
      <w:pPr>
        <w:pStyle w:val="Caption"/>
        <w:rPr>
          <w:lang w:val="en-GB"/>
        </w:rPr>
      </w:pPr>
      <w:r w:rsidRPr="00510D7B">
        <w:rPr>
          <w:rFonts w:eastAsia="Calibri"/>
          <w:lang w:val="en-GB"/>
        </w:rPr>
        <w:t xml:space="preserve">Table </w:t>
      </w:r>
      <w:r w:rsidR="00A83286">
        <w:fldChar w:fldCharType="begin"/>
      </w:r>
      <w:r w:rsidR="00A83286" w:rsidRPr="00425E5A">
        <w:rPr>
          <w:lang w:val="en-GB"/>
        </w:rPr>
        <w:instrText xml:space="preserve"> SEQ Table \* ARABIC </w:instrText>
      </w:r>
      <w:r w:rsidR="00A83286">
        <w:fldChar w:fldCharType="separate"/>
      </w:r>
      <w:r w:rsidR="009464FD">
        <w:rPr>
          <w:noProof/>
          <w:lang w:val="en-GB"/>
        </w:rPr>
        <w:t>4</w:t>
      </w:r>
      <w:r w:rsidR="00A83286">
        <w:rPr>
          <w:noProof/>
        </w:rPr>
        <w:fldChar w:fldCharType="end"/>
      </w:r>
      <w:r w:rsidRPr="00510D7B">
        <w:rPr>
          <w:rFonts w:eastAsia="Calibri"/>
          <w:lang w:val="en-GB"/>
        </w:rPr>
        <w:t>: Frequency bands where aerial UE connected to AAS MFCN BS in 1.8 GHz, 2 GHz and 2.6 GHz and associated required regulatory measures (in addition to those identified by ECC Report 309)</w:t>
      </w:r>
    </w:p>
    <w:tbl>
      <w:tblPr>
        <w:tblStyle w:val="ECCTable-redheader"/>
        <w:tblW w:w="5000" w:type="pct"/>
        <w:tblInd w:w="0" w:type="dxa"/>
        <w:tblLook w:val="04A0" w:firstRow="1" w:lastRow="0" w:firstColumn="1" w:lastColumn="0" w:noHBand="0" w:noVBand="1"/>
      </w:tblPr>
      <w:tblGrid>
        <w:gridCol w:w="1173"/>
        <w:gridCol w:w="1518"/>
        <w:gridCol w:w="2407"/>
        <w:gridCol w:w="4531"/>
      </w:tblGrid>
      <w:tr w:rsidR="0053007A" w:rsidRPr="006E730B" w14:paraId="1A25524B" w14:textId="77777777" w:rsidTr="00425E5A">
        <w:trPr>
          <w:cnfStyle w:val="100000000000" w:firstRow="1" w:lastRow="0" w:firstColumn="0" w:lastColumn="0" w:oddVBand="0" w:evenVBand="0" w:oddHBand="0" w:evenHBand="0" w:firstRowFirstColumn="0" w:firstRowLastColumn="0" w:lastRowFirstColumn="0" w:lastRowLastColumn="0"/>
          <w:trHeight w:val="700"/>
        </w:trPr>
        <w:tc>
          <w:tcPr>
            <w:tcW w:w="609" w:type="pct"/>
          </w:tcPr>
          <w:p w14:paraId="554BA800" w14:textId="55849B37" w:rsidR="00934288" w:rsidRPr="00934288" w:rsidRDefault="00934288" w:rsidP="00845610">
            <w:r w:rsidRPr="006E730B">
              <w:t>Aerial UE frequency band</w:t>
            </w:r>
            <w:r w:rsidR="00845610">
              <w:br/>
            </w:r>
            <w:r>
              <w:t>(</w:t>
            </w:r>
            <w:r w:rsidRPr="00934288">
              <w:t>MHz)</w:t>
            </w:r>
          </w:p>
        </w:tc>
        <w:tc>
          <w:tcPr>
            <w:tcW w:w="788" w:type="pct"/>
          </w:tcPr>
          <w:p w14:paraId="2156DD28" w14:textId="70833A26" w:rsidR="00934288" w:rsidRPr="00934288" w:rsidRDefault="00934288" w:rsidP="00845610">
            <w:r>
              <w:t xml:space="preserve">MFCN </w:t>
            </w:r>
            <w:r w:rsidRPr="00934288">
              <w:t>BS AAS</w:t>
            </w:r>
            <w:r w:rsidR="00845610">
              <w:br/>
            </w:r>
            <w:r>
              <w:t>F</w:t>
            </w:r>
            <w:r w:rsidRPr="00934288">
              <w:t xml:space="preserve">requency band </w:t>
            </w:r>
            <w:r w:rsidR="00845610">
              <w:br/>
            </w:r>
            <w:r>
              <w:t>(</w:t>
            </w:r>
            <w:r w:rsidRPr="00934288">
              <w:t>MHz)</w:t>
            </w:r>
          </w:p>
        </w:tc>
        <w:tc>
          <w:tcPr>
            <w:tcW w:w="1250" w:type="pct"/>
          </w:tcPr>
          <w:p w14:paraId="6B43CF01" w14:textId="6C4A6F60" w:rsidR="00934288" w:rsidRPr="00934288" w:rsidRDefault="00934288" w:rsidP="00845610">
            <w:r>
              <w:t>Additional r</w:t>
            </w:r>
            <w:r w:rsidRPr="00934288">
              <w:t>egulatory measure required</w:t>
            </w:r>
            <w:r w:rsidR="00845610">
              <w:br/>
            </w:r>
            <w:r>
              <w:t xml:space="preserve">(in addition to those identified by </w:t>
            </w:r>
            <w:r>
              <w:br/>
              <w:t xml:space="preserve">ECC </w:t>
            </w:r>
            <w:r w:rsidRPr="00934288">
              <w:t>Report 309)</w:t>
            </w:r>
          </w:p>
        </w:tc>
        <w:tc>
          <w:tcPr>
            <w:tcW w:w="2353" w:type="pct"/>
          </w:tcPr>
          <w:p w14:paraId="23694FC1" w14:textId="4FB6EFFE" w:rsidR="00934288" w:rsidRPr="00934288" w:rsidRDefault="00934288" w:rsidP="00934288">
            <w:r w:rsidRPr="006E730B">
              <w:t>Victim system</w:t>
            </w:r>
            <w:r w:rsidRPr="00934288">
              <w:t xml:space="preserve"> (on receiver on board flying platform)</w:t>
            </w:r>
          </w:p>
        </w:tc>
      </w:tr>
      <w:tr w:rsidR="00934288" w:rsidRPr="006E730B" w14:paraId="5299432C" w14:textId="77777777" w:rsidTr="00B34E6B">
        <w:trPr>
          <w:trHeight w:val="391"/>
        </w:trPr>
        <w:tc>
          <w:tcPr>
            <w:tcW w:w="0" w:type="pct"/>
          </w:tcPr>
          <w:p w14:paraId="24D2BD0C" w14:textId="77777777" w:rsidR="00934288" w:rsidRPr="00934288" w:rsidRDefault="00934288" w:rsidP="00934288">
            <w:r>
              <w:t>1710-1785</w:t>
            </w:r>
          </w:p>
        </w:tc>
        <w:tc>
          <w:tcPr>
            <w:tcW w:w="0" w:type="pct"/>
          </w:tcPr>
          <w:p w14:paraId="43AB38DF" w14:textId="77777777" w:rsidR="00934288" w:rsidRPr="00934288" w:rsidRDefault="00934288" w:rsidP="00934288">
            <w:r>
              <w:t>1805</w:t>
            </w:r>
            <w:r w:rsidRPr="00934288">
              <w:t>-1880</w:t>
            </w:r>
          </w:p>
        </w:tc>
        <w:tc>
          <w:tcPr>
            <w:tcW w:w="0" w:type="pct"/>
          </w:tcPr>
          <w:p w14:paraId="1AB18FBE" w14:textId="5D132BD4" w:rsidR="00934288" w:rsidRPr="00934288" w:rsidRDefault="00934288" w:rsidP="00934288">
            <w:r>
              <w:t>N</w:t>
            </w:r>
            <w:r w:rsidRPr="00934288">
              <w:t>one</w:t>
            </w:r>
          </w:p>
        </w:tc>
        <w:tc>
          <w:tcPr>
            <w:tcW w:w="0" w:type="pct"/>
          </w:tcPr>
          <w:p w14:paraId="28E41F80" w14:textId="051E3738" w:rsidR="00934288" w:rsidRPr="00934288" w:rsidRDefault="00934288" w:rsidP="00934288">
            <w:r>
              <w:t>N</w:t>
            </w:r>
            <w:r w:rsidRPr="00934288">
              <w:t>one</w:t>
            </w:r>
          </w:p>
        </w:tc>
      </w:tr>
      <w:tr w:rsidR="0053007A" w:rsidRPr="006E730B" w14:paraId="61321BE5" w14:textId="77777777" w:rsidTr="00B34E6B">
        <w:trPr>
          <w:trHeight w:val="356"/>
        </w:trPr>
        <w:tc>
          <w:tcPr>
            <w:tcW w:w="0" w:type="pct"/>
            <w:vMerge w:val="restart"/>
          </w:tcPr>
          <w:p w14:paraId="5CB2C85F" w14:textId="77777777" w:rsidR="00934288" w:rsidRPr="00934288" w:rsidRDefault="00934288" w:rsidP="00934288">
            <w:r>
              <w:t>1920-1980</w:t>
            </w:r>
          </w:p>
        </w:tc>
        <w:tc>
          <w:tcPr>
            <w:tcW w:w="0" w:type="pct"/>
            <w:vMerge w:val="restart"/>
          </w:tcPr>
          <w:p w14:paraId="51BDD919" w14:textId="3821BB9D" w:rsidR="00934288" w:rsidRPr="00934288" w:rsidRDefault="00934288" w:rsidP="00934288">
            <w:r>
              <w:t>2110</w:t>
            </w:r>
            <w:r w:rsidRPr="00934288">
              <w:t>-2170</w:t>
            </w:r>
          </w:p>
        </w:tc>
        <w:tc>
          <w:tcPr>
            <w:tcW w:w="0" w:type="pct"/>
            <w:tcBorders>
              <w:bottom w:val="single" w:sz="4" w:space="0" w:color="D2232A"/>
            </w:tcBorders>
          </w:tcPr>
          <w:p w14:paraId="7B3E8632" w14:textId="4385511D" w:rsidR="00934288" w:rsidRPr="00934288" w:rsidRDefault="00934288" w:rsidP="00934288">
            <w:r>
              <w:t>N</w:t>
            </w:r>
            <w:r w:rsidRPr="00934288">
              <w:t>one</w:t>
            </w:r>
          </w:p>
        </w:tc>
        <w:tc>
          <w:tcPr>
            <w:tcW w:w="0" w:type="pct"/>
            <w:tcBorders>
              <w:bottom w:val="single" w:sz="4" w:space="0" w:color="D2232A"/>
            </w:tcBorders>
          </w:tcPr>
          <w:p w14:paraId="28AF1E82" w14:textId="77777777" w:rsidR="00934288" w:rsidRPr="00934288" w:rsidRDefault="00934288" w:rsidP="00934288">
            <w:r>
              <w:t>S</w:t>
            </w:r>
            <w:r w:rsidRPr="00934288">
              <w:t>atellite MSS 1980-2010 MHz</w:t>
            </w:r>
          </w:p>
        </w:tc>
      </w:tr>
      <w:tr w:rsidR="0053007A" w:rsidRPr="006E730B" w14:paraId="0C9E66AB" w14:textId="77777777" w:rsidTr="00B34E6B">
        <w:trPr>
          <w:trHeight w:val="362"/>
        </w:trPr>
        <w:tc>
          <w:tcPr>
            <w:tcW w:w="0" w:type="pct"/>
            <w:vMerge/>
          </w:tcPr>
          <w:p w14:paraId="5A6502A5" w14:textId="77777777" w:rsidR="00934288" w:rsidRPr="006E730B" w:rsidRDefault="00934288" w:rsidP="00934288"/>
        </w:tc>
        <w:tc>
          <w:tcPr>
            <w:tcW w:w="0" w:type="pct"/>
            <w:vMerge/>
          </w:tcPr>
          <w:p w14:paraId="702367B4" w14:textId="77777777" w:rsidR="00934288" w:rsidRPr="006E730B" w:rsidRDefault="00934288" w:rsidP="00934288"/>
        </w:tc>
        <w:tc>
          <w:tcPr>
            <w:tcW w:w="0" w:type="pct"/>
            <w:tcBorders>
              <w:top w:val="single" w:sz="4" w:space="0" w:color="D2232A"/>
              <w:bottom w:val="single" w:sz="4" w:space="0" w:color="D2232A"/>
              <w:right w:val="single" w:sz="4" w:space="0" w:color="D2232A"/>
            </w:tcBorders>
          </w:tcPr>
          <w:p w14:paraId="194E5696" w14:textId="77777777" w:rsidR="00934288" w:rsidRPr="00934288" w:rsidRDefault="00934288" w:rsidP="00934288">
            <w:r w:rsidRPr="00A249AC">
              <w:t>None</w:t>
            </w:r>
          </w:p>
        </w:tc>
        <w:tc>
          <w:tcPr>
            <w:tcW w:w="0" w:type="pct"/>
            <w:tcBorders>
              <w:top w:val="single" w:sz="4" w:space="0" w:color="D2232A"/>
              <w:left w:val="single" w:sz="4" w:space="0" w:color="D2232A"/>
              <w:bottom w:val="single" w:sz="4" w:space="0" w:color="D2232A"/>
              <w:right w:val="single" w:sz="4" w:space="0" w:color="D2232A"/>
            </w:tcBorders>
          </w:tcPr>
          <w:p w14:paraId="6D5C6512" w14:textId="720D590D" w:rsidR="00934288" w:rsidRPr="00934288" w:rsidRDefault="00934288" w:rsidP="00934288">
            <w:r>
              <w:t>S</w:t>
            </w:r>
            <w:r w:rsidRPr="00934288">
              <w:t>atellite services 2025-2110 MHz</w:t>
            </w:r>
          </w:p>
        </w:tc>
      </w:tr>
      <w:tr w:rsidR="0053007A" w:rsidRPr="006E730B" w14:paraId="2300F1A4" w14:textId="77777777" w:rsidTr="00B34E6B">
        <w:trPr>
          <w:trHeight w:val="637"/>
        </w:trPr>
        <w:tc>
          <w:tcPr>
            <w:tcW w:w="0" w:type="pct"/>
            <w:vMerge/>
            <w:tcBorders>
              <w:bottom w:val="single" w:sz="4" w:space="0" w:color="D2232A"/>
            </w:tcBorders>
          </w:tcPr>
          <w:p w14:paraId="33D55CCD" w14:textId="77777777" w:rsidR="00934288" w:rsidRPr="006E730B" w:rsidRDefault="00934288" w:rsidP="00934288"/>
        </w:tc>
        <w:tc>
          <w:tcPr>
            <w:tcW w:w="0" w:type="pct"/>
            <w:vMerge/>
            <w:tcBorders>
              <w:bottom w:val="single" w:sz="4" w:space="0" w:color="D2232A"/>
            </w:tcBorders>
          </w:tcPr>
          <w:p w14:paraId="1B560489" w14:textId="77777777" w:rsidR="00934288" w:rsidRPr="006E730B" w:rsidRDefault="00934288" w:rsidP="00934288"/>
        </w:tc>
        <w:tc>
          <w:tcPr>
            <w:tcW w:w="0" w:type="pct"/>
            <w:tcBorders>
              <w:top w:val="single" w:sz="4" w:space="0" w:color="D2232A"/>
              <w:bottom w:val="single" w:sz="4" w:space="0" w:color="D2232A"/>
              <w:right w:val="single" w:sz="4" w:space="0" w:color="D2232A"/>
            </w:tcBorders>
          </w:tcPr>
          <w:p w14:paraId="4DF8AA00" w14:textId="6C859675" w:rsidR="00934288" w:rsidRPr="00934288" w:rsidRDefault="00934288" w:rsidP="00934288">
            <w:pPr>
              <w:rPr>
                <w:rStyle w:val="ECCParagraph"/>
              </w:rPr>
            </w:pPr>
            <w:r w:rsidRPr="00934288">
              <w:rPr>
                <w:rStyle w:val="ECCParagraph"/>
              </w:rPr>
              <w:t>None</w:t>
            </w:r>
          </w:p>
        </w:tc>
        <w:tc>
          <w:tcPr>
            <w:tcW w:w="0" w:type="pct"/>
            <w:tcBorders>
              <w:top w:val="single" w:sz="4" w:space="0" w:color="D2232A"/>
              <w:left w:val="single" w:sz="4" w:space="0" w:color="D2232A"/>
              <w:bottom w:val="single" w:sz="4" w:space="0" w:color="D2232A"/>
              <w:right w:val="single" w:sz="4" w:space="0" w:color="D2232A"/>
            </w:tcBorders>
          </w:tcPr>
          <w:p w14:paraId="579E9E9C" w14:textId="77777777" w:rsidR="00934288" w:rsidRPr="00934288" w:rsidRDefault="00934288" w:rsidP="00934288">
            <w:r>
              <w:t xml:space="preserve">MSS </w:t>
            </w:r>
            <w:r w:rsidRPr="00934288">
              <w:t xml:space="preserve">/CGC 2170-2200 MHz </w:t>
            </w:r>
          </w:p>
          <w:p w14:paraId="7B37B3FD" w14:textId="374D5656" w:rsidR="00934288" w:rsidRPr="00934288" w:rsidRDefault="00934288" w:rsidP="00934288">
            <w:r>
              <w:t>(</w:t>
            </w:r>
            <w:r w:rsidRPr="00934288">
              <w:t>MSS airborne receiver, airborne CGC receiver)</w:t>
            </w:r>
          </w:p>
        </w:tc>
      </w:tr>
      <w:tr w:rsidR="0053007A" w:rsidRPr="006E730B" w14:paraId="4B11217F" w14:textId="77777777" w:rsidTr="00425E5A">
        <w:trPr>
          <w:trHeight w:val="700"/>
        </w:trPr>
        <w:tc>
          <w:tcPr>
            <w:tcW w:w="609" w:type="pct"/>
            <w:tcBorders>
              <w:top w:val="single" w:sz="4" w:space="0" w:color="D2232A"/>
              <w:left w:val="single" w:sz="4" w:space="0" w:color="D2232A"/>
              <w:bottom w:val="single" w:sz="4" w:space="0" w:color="D2232A"/>
              <w:right w:val="single" w:sz="4" w:space="0" w:color="D2232A"/>
            </w:tcBorders>
          </w:tcPr>
          <w:p w14:paraId="7642D673" w14:textId="77777777" w:rsidR="00934288" w:rsidRPr="00934288" w:rsidRDefault="00934288" w:rsidP="00934288">
            <w:r>
              <w:t>2500-2570</w:t>
            </w:r>
          </w:p>
          <w:p w14:paraId="7D29EA9E" w14:textId="77777777" w:rsidR="00934288" w:rsidRPr="00934288" w:rsidRDefault="00934288" w:rsidP="00934288">
            <w:r>
              <w:t>2570</w:t>
            </w:r>
            <w:r w:rsidRPr="00934288">
              <w:t>-2620</w:t>
            </w:r>
          </w:p>
        </w:tc>
        <w:tc>
          <w:tcPr>
            <w:tcW w:w="788" w:type="pct"/>
            <w:tcBorders>
              <w:top w:val="single" w:sz="4" w:space="0" w:color="D2232A"/>
              <w:left w:val="single" w:sz="4" w:space="0" w:color="D2232A"/>
              <w:bottom w:val="single" w:sz="4" w:space="0" w:color="D2232A"/>
              <w:right w:val="single" w:sz="4" w:space="0" w:color="D2232A"/>
            </w:tcBorders>
          </w:tcPr>
          <w:p w14:paraId="4C1A9E84" w14:textId="77777777" w:rsidR="00934288" w:rsidRPr="00934288" w:rsidRDefault="00934288" w:rsidP="00934288">
            <w:r>
              <w:t>2620</w:t>
            </w:r>
            <w:r w:rsidRPr="00934288">
              <w:t>-2690</w:t>
            </w:r>
          </w:p>
          <w:p w14:paraId="3440162E" w14:textId="77777777" w:rsidR="00934288" w:rsidRPr="00934288" w:rsidRDefault="00934288" w:rsidP="00934288">
            <w:r>
              <w:t>2570</w:t>
            </w:r>
            <w:r w:rsidRPr="00934288">
              <w:t>-2620</w:t>
            </w:r>
          </w:p>
        </w:tc>
        <w:tc>
          <w:tcPr>
            <w:tcW w:w="1250" w:type="pct"/>
            <w:tcBorders>
              <w:top w:val="single" w:sz="4" w:space="0" w:color="D2232A"/>
              <w:left w:val="single" w:sz="4" w:space="0" w:color="D2232A"/>
              <w:bottom w:val="single" w:sz="4" w:space="0" w:color="D2232A"/>
              <w:right w:val="single" w:sz="4" w:space="0" w:color="D2232A"/>
            </w:tcBorders>
          </w:tcPr>
          <w:p w14:paraId="199FAF97" w14:textId="77777777" w:rsidR="00934288" w:rsidRPr="00934288" w:rsidRDefault="00934288" w:rsidP="00934288">
            <w:r>
              <w:t>(see hereafter)</w:t>
            </w:r>
          </w:p>
        </w:tc>
        <w:tc>
          <w:tcPr>
            <w:tcW w:w="2353" w:type="pct"/>
            <w:tcBorders>
              <w:top w:val="single" w:sz="4" w:space="0" w:color="D2232A"/>
              <w:left w:val="single" w:sz="4" w:space="0" w:color="D2232A"/>
              <w:bottom w:val="single" w:sz="4" w:space="0" w:color="D2232A"/>
              <w:right w:val="single" w:sz="4" w:space="0" w:color="D2232A"/>
            </w:tcBorders>
          </w:tcPr>
          <w:p w14:paraId="1E1FF545" w14:textId="77777777" w:rsidR="00934288" w:rsidRPr="00934288" w:rsidRDefault="00934288" w:rsidP="00934288">
            <w:r>
              <w:t>N</w:t>
            </w:r>
            <w:r w:rsidRPr="00934288">
              <w:t>one</w:t>
            </w:r>
          </w:p>
        </w:tc>
      </w:tr>
    </w:tbl>
    <w:p w14:paraId="6B3EDF46" w14:textId="0415121B" w:rsidR="00934288" w:rsidRPr="00FD3236" w:rsidRDefault="00934288" w:rsidP="00934288">
      <w:pPr>
        <w:rPr>
          <w:rStyle w:val="ECCParagraph"/>
        </w:rPr>
      </w:pPr>
      <w:r>
        <w:t xml:space="preserve">At 2.6 GHz, </w:t>
      </w:r>
      <w:r w:rsidRPr="00865D58">
        <w:rPr>
          <w:rStyle w:val="ECCParagraph"/>
        </w:rPr>
        <w:t>adjacent applications: RAS</w:t>
      </w:r>
      <w:r>
        <w:rPr>
          <w:rStyle w:val="ECCParagraph"/>
        </w:rPr>
        <w:t xml:space="preserve"> and</w:t>
      </w:r>
      <w:r w:rsidRPr="00865D58">
        <w:rPr>
          <w:rStyle w:val="ECCParagraph"/>
        </w:rPr>
        <w:t xml:space="preserve"> radars (ATC, </w:t>
      </w:r>
      <w:r w:rsidR="00635CF0">
        <w:rPr>
          <w:rStyle w:val="ECCParagraph"/>
        </w:rPr>
        <w:t>military</w:t>
      </w:r>
      <w:r w:rsidRPr="00865D58">
        <w:rPr>
          <w:rStyle w:val="ECCParagraph"/>
        </w:rPr>
        <w:t xml:space="preserve"> and </w:t>
      </w:r>
      <w:proofErr w:type="spellStart"/>
      <w:r w:rsidRPr="00865D58">
        <w:rPr>
          <w:rStyle w:val="ECCParagraph"/>
        </w:rPr>
        <w:t>Meteo</w:t>
      </w:r>
      <w:proofErr w:type="spellEnd"/>
      <w:r w:rsidRPr="00865D58">
        <w:rPr>
          <w:rStyle w:val="ECCParagraph"/>
        </w:rPr>
        <w:t xml:space="preserve">) refer only to ground receivers. </w:t>
      </w:r>
      <w:r w:rsidRPr="00341EB6">
        <w:rPr>
          <w:rStyle w:val="ECCParagraph"/>
        </w:rPr>
        <w:t xml:space="preserve">The usage of MFCN by aerial </w:t>
      </w:r>
      <w:r w:rsidRPr="00FD3236">
        <w:rPr>
          <w:rStyle w:val="ECCParagraph"/>
        </w:rPr>
        <w:t xml:space="preserve">UE when AAS BS are deployed requires similar mitigation measures in the 2.6 GHz frequency band to those already identified in ECC Report 309 </w:t>
      </w:r>
      <w:r w:rsidR="00DC2D6E" w:rsidRPr="00FD3236">
        <w:rPr>
          <w:rStyle w:val="ECCParagraph"/>
        </w:rPr>
        <w:t xml:space="preserve">which are </w:t>
      </w:r>
      <w:r w:rsidRPr="00FD3236">
        <w:rPr>
          <w:rStyle w:val="ECCParagraph"/>
        </w:rPr>
        <w:t>taken into consideration in the current harmonised MFCN framework based on CEPT Report 72</w:t>
      </w:r>
      <w:r w:rsidR="00EE60FE" w:rsidRPr="00FD3236">
        <w:rPr>
          <w:rStyle w:val="ECCParagraph"/>
        </w:rPr>
        <w:t xml:space="preserve"> </w:t>
      </w:r>
      <w:r w:rsidR="00BF26BA" w:rsidRPr="00FD3236">
        <w:rPr>
          <w:rStyle w:val="ECCParagraph"/>
        </w:rPr>
        <w:fldChar w:fldCharType="begin"/>
      </w:r>
      <w:r w:rsidR="00BF26BA" w:rsidRPr="00FD3236">
        <w:rPr>
          <w:rStyle w:val="ECCParagraph"/>
        </w:rPr>
        <w:instrText xml:space="preserve"> REF _Ref104305284 \r \h </w:instrText>
      </w:r>
      <w:r w:rsidR="00BF26BA" w:rsidRPr="00FD3236">
        <w:rPr>
          <w:rStyle w:val="ECCParagraph"/>
        </w:rPr>
      </w:r>
      <w:r w:rsidR="00BF26BA" w:rsidRPr="00FD3236">
        <w:rPr>
          <w:rStyle w:val="ECCParagraph"/>
        </w:rPr>
        <w:fldChar w:fldCharType="separate"/>
      </w:r>
      <w:r w:rsidR="009464FD">
        <w:rPr>
          <w:rStyle w:val="ECCParagraph"/>
        </w:rPr>
        <w:t>[5]</w:t>
      </w:r>
      <w:r w:rsidR="00BF26BA" w:rsidRPr="00FD3236">
        <w:rPr>
          <w:rStyle w:val="ECCParagraph"/>
        </w:rPr>
        <w:fldChar w:fldCharType="end"/>
      </w:r>
      <w:r w:rsidR="00EE60FE" w:rsidRPr="00FD3236">
        <w:rPr>
          <w:rStyle w:val="ECCParagraph"/>
        </w:rPr>
        <w:t xml:space="preserve"> and</w:t>
      </w:r>
      <w:r w:rsidR="005D0AA4" w:rsidRPr="00FD3236">
        <w:rPr>
          <w:rStyle w:val="ECCParagraph"/>
        </w:rPr>
        <w:t xml:space="preserve"> </w:t>
      </w:r>
      <w:r w:rsidRPr="00FD3236">
        <w:rPr>
          <w:rStyle w:val="ECCParagraph"/>
        </w:rPr>
        <w:t>ECC Report 308</w:t>
      </w:r>
      <w:r w:rsidR="005D0AA4" w:rsidRPr="00FD3236">
        <w:rPr>
          <w:rStyle w:val="ECCParagraph"/>
        </w:rPr>
        <w:t xml:space="preserve"> </w:t>
      </w:r>
      <w:r w:rsidR="00BF26BA" w:rsidRPr="00FD3236">
        <w:rPr>
          <w:rStyle w:val="ECCParagraph"/>
        </w:rPr>
        <w:fldChar w:fldCharType="begin"/>
      </w:r>
      <w:r w:rsidR="00BF26BA" w:rsidRPr="00FD3236">
        <w:rPr>
          <w:rStyle w:val="ECCParagraph"/>
        </w:rPr>
        <w:instrText xml:space="preserve"> REF _Ref104305307 \r \h </w:instrText>
      </w:r>
      <w:r w:rsidR="00BF26BA" w:rsidRPr="00FD3236">
        <w:rPr>
          <w:rStyle w:val="ECCParagraph"/>
        </w:rPr>
      </w:r>
      <w:r w:rsidR="00BF26BA" w:rsidRPr="00FD3236">
        <w:rPr>
          <w:rStyle w:val="ECCParagraph"/>
        </w:rPr>
        <w:fldChar w:fldCharType="separate"/>
      </w:r>
      <w:r w:rsidR="009464FD">
        <w:rPr>
          <w:rStyle w:val="ECCParagraph"/>
        </w:rPr>
        <w:t>[6]</w:t>
      </w:r>
      <w:r w:rsidR="00BF26BA" w:rsidRPr="00FD3236">
        <w:rPr>
          <w:rStyle w:val="ECCParagraph"/>
        </w:rPr>
        <w:fldChar w:fldCharType="end"/>
      </w:r>
      <w:r w:rsidRPr="00FD3236">
        <w:rPr>
          <w:rStyle w:val="ECCParagraph"/>
        </w:rPr>
        <w:t>.</w:t>
      </w:r>
    </w:p>
    <w:p w14:paraId="00BA1C40" w14:textId="77777777" w:rsidR="00934288" w:rsidRPr="00341EB6" w:rsidRDefault="00934288" w:rsidP="008D36E6">
      <w:pPr>
        <w:rPr>
          <w:rStyle w:val="ECCParagraph"/>
        </w:rPr>
      </w:pPr>
    </w:p>
    <w:p w14:paraId="677B6D69" w14:textId="59DF2C3E" w:rsidR="004566D4" w:rsidRPr="00510D7B" w:rsidRDefault="004566D4" w:rsidP="00CD28AE">
      <w:pPr>
        <w:pStyle w:val="ECCAnnexheading1"/>
        <w:rPr>
          <w:lang w:val="en-GB"/>
        </w:rPr>
      </w:pPr>
      <w:bookmarkStart w:id="52" w:name="_Ref103695469"/>
      <w:bookmarkStart w:id="53" w:name="_Ref112245286"/>
      <w:bookmarkStart w:id="54" w:name="_Toc119582855"/>
      <w:bookmarkStart w:id="55" w:name="_Toc169147730"/>
      <w:bookmarkStart w:id="56" w:name="_Toc380059616"/>
      <w:bookmarkStart w:id="57" w:name="_Toc380059758"/>
      <w:r w:rsidRPr="00510D7B">
        <w:rPr>
          <w:lang w:val="en-GB"/>
        </w:rPr>
        <w:lastRenderedPageBreak/>
        <w:t>Impact of AAS BS serving Aerial UE in the 2110-2170 MHz on Satellite Services operating in 2025-2110 MHz (Earth-to-Space)</w:t>
      </w:r>
      <w:bookmarkEnd w:id="52"/>
      <w:bookmarkEnd w:id="53"/>
      <w:bookmarkEnd w:id="54"/>
    </w:p>
    <w:p w14:paraId="677B6D72" w14:textId="5C5B6C1E" w:rsidR="00B822F0" w:rsidRDefault="00B822F0" w:rsidP="008A41F5">
      <w:pPr>
        <w:pStyle w:val="ECCAnnexheading2"/>
      </w:pPr>
      <w:r>
        <w:t>Introduction</w:t>
      </w:r>
    </w:p>
    <w:p w14:paraId="677B6D73" w14:textId="00B667DF" w:rsidR="00B822F0" w:rsidRDefault="00B822F0" w:rsidP="00B822F0">
      <w:r>
        <w:t>The analysis in this section presents a study to estimate the evolution of the interference environment in the case where AAS BS, currently used for terrestrial UE coverage, were also used to provide service to aerial UE. The result of this potential use-case is then compared to the current use of AAS and non-AAS BS serving only ground users.</w:t>
      </w:r>
    </w:p>
    <w:p w14:paraId="677B6D74" w14:textId="1D1D0A0A" w:rsidR="00EA4B37" w:rsidRPr="00462A07" w:rsidRDefault="00EA4B37" w:rsidP="00B822F0">
      <w:pPr>
        <w:rPr>
          <w:rStyle w:val="ECCParagraph"/>
        </w:rPr>
      </w:pPr>
      <w:r w:rsidRPr="00462A07">
        <w:rPr>
          <w:rStyle w:val="ECCParagraph"/>
        </w:rPr>
        <w:t xml:space="preserve">This </w:t>
      </w:r>
      <w:r w:rsidR="00C01295" w:rsidRPr="00462A07">
        <w:rPr>
          <w:rStyle w:val="ECCParagraph"/>
        </w:rPr>
        <w:t>study follow</w:t>
      </w:r>
      <w:r w:rsidR="003F2D7F">
        <w:rPr>
          <w:rStyle w:val="ECCParagraph"/>
        </w:rPr>
        <w:t>s</w:t>
      </w:r>
      <w:r w:rsidR="00C01295" w:rsidRPr="00462A07">
        <w:rPr>
          <w:rStyle w:val="ECCParagraph"/>
        </w:rPr>
        <w:t xml:space="preserve"> a similar methodology than the one used in the former ECC Report 298</w:t>
      </w:r>
      <w:r w:rsidR="0005496D">
        <w:rPr>
          <w:rStyle w:val="ECCParagraph"/>
        </w:rPr>
        <w:t xml:space="preserve"> </w:t>
      </w:r>
      <w:r w:rsidR="0005496D">
        <w:rPr>
          <w:rStyle w:val="ECCParagraph"/>
        </w:rPr>
        <w:fldChar w:fldCharType="begin"/>
      </w:r>
      <w:r w:rsidR="0005496D">
        <w:rPr>
          <w:rStyle w:val="ECCParagraph"/>
        </w:rPr>
        <w:instrText xml:space="preserve"> REF _Ref104306422 \r \h </w:instrText>
      </w:r>
      <w:r w:rsidR="0005496D">
        <w:rPr>
          <w:rStyle w:val="ECCParagraph"/>
        </w:rPr>
      </w:r>
      <w:r w:rsidR="0005496D">
        <w:rPr>
          <w:rStyle w:val="ECCParagraph"/>
        </w:rPr>
        <w:fldChar w:fldCharType="separate"/>
      </w:r>
      <w:r w:rsidR="009464FD">
        <w:rPr>
          <w:rStyle w:val="ECCParagraph"/>
        </w:rPr>
        <w:t>[12]</w:t>
      </w:r>
      <w:r w:rsidR="0005496D">
        <w:rPr>
          <w:rStyle w:val="ECCParagraph"/>
        </w:rPr>
        <w:fldChar w:fldCharType="end"/>
      </w:r>
      <w:r w:rsidR="00C01295" w:rsidRPr="00462A07">
        <w:rPr>
          <w:rStyle w:val="ECCParagraph"/>
        </w:rPr>
        <w:t xml:space="preserve">. The analysis is performed regarding the co-channel interference generated by </w:t>
      </w:r>
      <w:r w:rsidR="00FE41DF" w:rsidRPr="00462A07">
        <w:rPr>
          <w:rStyle w:val="ECCParagraph"/>
        </w:rPr>
        <w:t xml:space="preserve">either </w:t>
      </w:r>
      <w:r w:rsidR="00C01295" w:rsidRPr="00462A07">
        <w:rPr>
          <w:rStyle w:val="ECCParagraph"/>
        </w:rPr>
        <w:t>4G or 5G networks even if the considered systems are operating in adjacent bands (see section 6.1).</w:t>
      </w:r>
      <w:r w:rsidR="007A623C">
        <w:rPr>
          <w:rStyle w:val="ECCParagraph"/>
        </w:rPr>
        <w:t xml:space="preserve"> </w:t>
      </w:r>
      <w:r w:rsidR="00C01295" w:rsidRPr="00462A07">
        <w:rPr>
          <w:rStyle w:val="ECCParagraph"/>
        </w:rPr>
        <w:t xml:space="preserve">As standard 4G/5G AAS and non-AAS base stations </w:t>
      </w:r>
      <w:r w:rsidR="00AC277C" w:rsidRPr="00462A07">
        <w:rPr>
          <w:rStyle w:val="ECCParagraph"/>
        </w:rPr>
        <w:t>hav</w:t>
      </w:r>
      <w:r w:rsidR="00AC277C">
        <w:rPr>
          <w:rStyle w:val="ECCParagraph"/>
        </w:rPr>
        <w:t>e</w:t>
      </w:r>
      <w:r w:rsidR="00AC277C" w:rsidRPr="00462A07">
        <w:rPr>
          <w:rStyle w:val="ECCParagraph"/>
        </w:rPr>
        <w:t xml:space="preserve"> </w:t>
      </w:r>
      <w:r w:rsidR="00C01295" w:rsidRPr="00462A07">
        <w:rPr>
          <w:rStyle w:val="ECCParagraph"/>
        </w:rPr>
        <w:t xml:space="preserve">similar specifications in the </w:t>
      </w:r>
      <w:r w:rsidR="00AC277C" w:rsidRPr="00462A07">
        <w:rPr>
          <w:rStyle w:val="ECCParagraph"/>
        </w:rPr>
        <w:t>out</w:t>
      </w:r>
      <w:r w:rsidR="00AC277C">
        <w:rPr>
          <w:rStyle w:val="ECCParagraph"/>
        </w:rPr>
        <w:t>-</w:t>
      </w:r>
      <w:r w:rsidR="004428D1" w:rsidRPr="00462A07">
        <w:rPr>
          <w:rStyle w:val="ECCParagraph"/>
        </w:rPr>
        <w:t>of</w:t>
      </w:r>
      <w:r w:rsidR="00AC277C">
        <w:rPr>
          <w:rStyle w:val="ECCParagraph"/>
        </w:rPr>
        <w:t>-</w:t>
      </w:r>
      <w:r w:rsidR="00C01295" w:rsidRPr="00462A07">
        <w:rPr>
          <w:rStyle w:val="ECCParagraph"/>
        </w:rPr>
        <w:t xml:space="preserve">band domain, it is understood that the </w:t>
      </w:r>
      <w:r w:rsidR="004428D1" w:rsidRPr="00462A07">
        <w:rPr>
          <w:rStyle w:val="ECCParagraph"/>
        </w:rPr>
        <w:t>comparison of the</w:t>
      </w:r>
      <w:r w:rsidR="00C01295" w:rsidRPr="00462A07">
        <w:rPr>
          <w:rStyle w:val="ECCParagraph"/>
        </w:rPr>
        <w:t xml:space="preserve"> impact</w:t>
      </w:r>
      <w:r w:rsidR="00AE4FAA" w:rsidRPr="00462A07">
        <w:rPr>
          <w:rStyle w:val="ECCParagraph"/>
        </w:rPr>
        <w:t>s</w:t>
      </w:r>
      <w:r w:rsidR="00C01295" w:rsidRPr="00462A07">
        <w:rPr>
          <w:rStyle w:val="ECCParagraph"/>
        </w:rPr>
        <w:t xml:space="preserve"> </w:t>
      </w:r>
      <w:r w:rsidR="004428D1" w:rsidRPr="00462A07">
        <w:rPr>
          <w:rStyle w:val="ECCParagraph"/>
        </w:rPr>
        <w:t>created by any type of considered base stations (</w:t>
      </w:r>
      <w:r w:rsidR="00AE4FAA" w:rsidRPr="00462A07">
        <w:rPr>
          <w:rStyle w:val="ECCParagraph"/>
        </w:rPr>
        <w:t>AAS o</w:t>
      </w:r>
      <w:r w:rsidR="00F430F8" w:rsidRPr="00462A07">
        <w:rPr>
          <w:rStyle w:val="ECCParagraph"/>
        </w:rPr>
        <w:t>r</w:t>
      </w:r>
      <w:r w:rsidR="00AE4FAA" w:rsidRPr="00462A07">
        <w:rPr>
          <w:rStyle w:val="ECCParagraph"/>
        </w:rPr>
        <w:t xml:space="preserve"> non-AAS and </w:t>
      </w:r>
      <w:r w:rsidR="004428D1" w:rsidRPr="00462A07">
        <w:rPr>
          <w:rStyle w:val="ECCParagraph"/>
        </w:rPr>
        <w:t xml:space="preserve">serving or not </w:t>
      </w:r>
      <w:r w:rsidR="00AE4FAA" w:rsidRPr="00462A07">
        <w:rPr>
          <w:rStyle w:val="ECCParagraph"/>
        </w:rPr>
        <w:t>aerial</w:t>
      </w:r>
      <w:r w:rsidR="004428D1" w:rsidRPr="00462A07">
        <w:rPr>
          <w:rStyle w:val="ECCParagraph"/>
        </w:rPr>
        <w:t xml:space="preserve"> UE)</w:t>
      </w:r>
      <w:r w:rsidR="00AE4FAA" w:rsidRPr="00462A07">
        <w:rPr>
          <w:rStyle w:val="ECCParagraph"/>
        </w:rPr>
        <w:t xml:space="preserve"> in the </w:t>
      </w:r>
      <w:r w:rsidR="00FE41DF" w:rsidRPr="00462A07">
        <w:rPr>
          <w:rStyle w:val="ECCParagraph"/>
        </w:rPr>
        <w:t>MFCN band</w:t>
      </w:r>
      <w:r w:rsidR="00AE4FAA" w:rsidRPr="00462A07">
        <w:rPr>
          <w:rStyle w:val="ECCParagraph"/>
        </w:rPr>
        <w:t xml:space="preserve"> will lead to similar </w:t>
      </w:r>
      <w:r w:rsidR="00AE4FAA" w:rsidRPr="00FD3236">
        <w:rPr>
          <w:rStyle w:val="ECCParagraph"/>
        </w:rPr>
        <w:t xml:space="preserve">conclusions </w:t>
      </w:r>
      <w:r w:rsidR="000630C7" w:rsidRPr="00FD3236">
        <w:rPr>
          <w:rStyle w:val="ECCParagraph"/>
        </w:rPr>
        <w:t xml:space="preserve">as </w:t>
      </w:r>
      <w:r w:rsidR="00AE4FAA" w:rsidRPr="00FD3236">
        <w:rPr>
          <w:rStyle w:val="ECCParagraph"/>
        </w:rPr>
        <w:t>the comparison</w:t>
      </w:r>
      <w:r w:rsidR="00AE4FAA" w:rsidRPr="00462A07">
        <w:rPr>
          <w:rStyle w:val="ECCParagraph"/>
        </w:rPr>
        <w:t xml:space="preserve"> of their impacts in the adjacent band</w:t>
      </w:r>
      <w:r w:rsidR="00FE41DF" w:rsidRPr="00462A07">
        <w:rPr>
          <w:rStyle w:val="ECCParagraph"/>
        </w:rPr>
        <w:t xml:space="preserve"> used by satellite services</w:t>
      </w:r>
      <w:r w:rsidR="00AE4FAA" w:rsidRPr="00462A07">
        <w:rPr>
          <w:rStyle w:val="ECCParagraph"/>
        </w:rPr>
        <w:t>.</w:t>
      </w:r>
    </w:p>
    <w:p w14:paraId="677B6D75" w14:textId="77777777" w:rsidR="00B822F0" w:rsidRDefault="00B822F0" w:rsidP="008A41F5">
      <w:pPr>
        <w:pStyle w:val="ECCAnnexheading2"/>
      </w:pPr>
      <w:r>
        <w:t>study Characterisitics</w:t>
      </w:r>
    </w:p>
    <w:p w14:paraId="677B6D76" w14:textId="77777777" w:rsidR="00B822F0" w:rsidRPr="00510D7B" w:rsidRDefault="00B822F0" w:rsidP="008A41F5">
      <w:pPr>
        <w:pStyle w:val="ECCAnnexheading3"/>
        <w:rPr>
          <w:lang w:val="en-GB"/>
        </w:rPr>
      </w:pPr>
      <w:bookmarkStart w:id="58" w:name="_Ref103692626"/>
      <w:r w:rsidRPr="00510D7B">
        <w:rPr>
          <w:lang w:val="en-GB"/>
        </w:rPr>
        <w:t>AAS and non AAS BS transmitter characteristics</w:t>
      </w:r>
      <w:bookmarkEnd w:id="58"/>
    </w:p>
    <w:p w14:paraId="677B6D77" w14:textId="4EFFCD91" w:rsidR="00B822F0" w:rsidRDefault="00B822F0" w:rsidP="00B822F0">
      <w:r>
        <w:t xml:space="preserve">The following characteristics have been extracted from Table 9 of Annex 4.4 to the WP5D chairman's report </w:t>
      </w:r>
      <w:r w:rsidRPr="00CE195D">
        <w:t>5D/716</w:t>
      </w:r>
      <w:r w:rsidR="000435D3">
        <w:t xml:space="preserve"> </w:t>
      </w:r>
      <w:r w:rsidR="000435D3">
        <w:fldChar w:fldCharType="begin"/>
      </w:r>
      <w:r w:rsidR="000435D3">
        <w:instrText xml:space="preserve"> REF _Ref103940627 \r \h </w:instrText>
      </w:r>
      <w:r w:rsidR="000435D3">
        <w:fldChar w:fldCharType="separate"/>
      </w:r>
      <w:r w:rsidR="009464FD">
        <w:t>[13]</w:t>
      </w:r>
      <w:r w:rsidR="000435D3">
        <w:fldChar w:fldCharType="end"/>
      </w:r>
      <w:r>
        <w:t>:</w:t>
      </w:r>
    </w:p>
    <w:p w14:paraId="677B6D78" w14:textId="40877B91" w:rsidR="00B822F0" w:rsidRPr="008B01FA" w:rsidRDefault="008B01FA" w:rsidP="00B166C7">
      <w:pPr>
        <w:pStyle w:val="Caption"/>
        <w:keepNext/>
        <w:rPr>
          <w:lang w:val="en-GB"/>
        </w:rPr>
      </w:pPr>
      <w:bookmarkStart w:id="59" w:name="_Ref107571864"/>
      <w:r w:rsidRPr="00B166C7">
        <w:rPr>
          <w:lang w:val="en-GB"/>
        </w:rPr>
        <w:t xml:space="preserve">Table </w:t>
      </w:r>
      <w:r>
        <w:fldChar w:fldCharType="begin"/>
      </w:r>
      <w:r w:rsidRPr="00B166C7">
        <w:rPr>
          <w:lang w:val="en-GB"/>
        </w:rPr>
        <w:instrText xml:space="preserve"> SEQ Table \* ARABIC </w:instrText>
      </w:r>
      <w:r>
        <w:fldChar w:fldCharType="separate"/>
      </w:r>
      <w:r w:rsidR="009464FD">
        <w:rPr>
          <w:noProof/>
          <w:lang w:val="en-GB"/>
        </w:rPr>
        <w:t>5</w:t>
      </w:r>
      <w:r>
        <w:fldChar w:fldCharType="end"/>
      </w:r>
      <w:bookmarkEnd w:id="59"/>
      <w:r w:rsidR="00B822F0" w:rsidRPr="00510D7B">
        <w:rPr>
          <w:lang w:val="en-GB"/>
        </w:rPr>
        <w:t xml:space="preserve">: Beamforming antenna characteristics for IMT in </w:t>
      </w:r>
      <w:r w:rsidR="00B822F0" w:rsidRPr="006F4D8C">
        <w:rPr>
          <w:lang w:val="en-GB"/>
        </w:rPr>
        <w:t>1710-4990</w:t>
      </w:r>
      <w:r w:rsidR="00B822F0" w:rsidRPr="00510D7B">
        <w:rPr>
          <w:lang w:val="en-GB"/>
        </w:rPr>
        <w:t xml:space="preserve"> MHz </w:t>
      </w:r>
    </w:p>
    <w:tbl>
      <w:tblPr>
        <w:tblStyle w:val="ECCTable-redheader"/>
        <w:tblW w:w="4929" w:type="pct"/>
        <w:tblInd w:w="0" w:type="dxa"/>
        <w:tblLook w:val="04A0" w:firstRow="1" w:lastRow="0" w:firstColumn="1" w:lastColumn="0" w:noHBand="0" w:noVBand="1"/>
      </w:tblPr>
      <w:tblGrid>
        <w:gridCol w:w="607"/>
        <w:gridCol w:w="2791"/>
        <w:gridCol w:w="1986"/>
        <w:gridCol w:w="1984"/>
        <w:gridCol w:w="2124"/>
      </w:tblGrid>
      <w:tr w:rsidR="0053007A" w:rsidRPr="00253EFD" w14:paraId="677B6D7E" w14:textId="77777777" w:rsidTr="00C2101E">
        <w:trPr>
          <w:cnfStyle w:val="100000000000" w:firstRow="1" w:lastRow="0" w:firstColumn="0" w:lastColumn="0" w:oddVBand="0" w:evenVBand="0" w:oddHBand="0" w:evenHBand="0" w:firstRowFirstColumn="0" w:firstRowLastColumn="0" w:lastRowFirstColumn="0" w:lastRowLastColumn="0"/>
        </w:trPr>
        <w:tc>
          <w:tcPr>
            <w:tcW w:w="320" w:type="pct"/>
          </w:tcPr>
          <w:p w14:paraId="677B6D79" w14:textId="77777777" w:rsidR="00B822F0" w:rsidRPr="00CE195D" w:rsidRDefault="00B822F0" w:rsidP="006548B5"/>
        </w:tc>
        <w:tc>
          <w:tcPr>
            <w:tcW w:w="1470" w:type="pct"/>
          </w:tcPr>
          <w:p w14:paraId="677B6D7A" w14:textId="77777777" w:rsidR="00B822F0" w:rsidRPr="00CE195D" w:rsidRDefault="00B822F0" w:rsidP="006548B5"/>
        </w:tc>
        <w:tc>
          <w:tcPr>
            <w:tcW w:w="1046" w:type="pct"/>
          </w:tcPr>
          <w:p w14:paraId="677B6D7B" w14:textId="77777777" w:rsidR="00B822F0" w:rsidRPr="00CE195D" w:rsidRDefault="00B822F0" w:rsidP="006548B5">
            <w:r w:rsidRPr="00CE195D">
              <w:t>Rural macro</w:t>
            </w:r>
          </w:p>
        </w:tc>
        <w:tc>
          <w:tcPr>
            <w:tcW w:w="1045" w:type="pct"/>
          </w:tcPr>
          <w:p w14:paraId="677B6D7C" w14:textId="77777777" w:rsidR="00B822F0" w:rsidRPr="00CE195D" w:rsidRDefault="00B822F0" w:rsidP="006548B5">
            <w:r w:rsidRPr="00CE195D">
              <w:t>Suburban macro</w:t>
            </w:r>
          </w:p>
        </w:tc>
        <w:tc>
          <w:tcPr>
            <w:tcW w:w="1120" w:type="pct"/>
          </w:tcPr>
          <w:p w14:paraId="677B6D7D" w14:textId="77777777" w:rsidR="00B822F0" w:rsidRPr="00CE195D" w:rsidRDefault="00B822F0" w:rsidP="006548B5">
            <w:r w:rsidRPr="00CE195D">
              <w:t>Urban macro</w:t>
            </w:r>
          </w:p>
        </w:tc>
      </w:tr>
      <w:tr w:rsidR="00B822F0" w:rsidRPr="00253EFD" w14:paraId="677B6D81" w14:textId="77777777" w:rsidTr="00510D7B">
        <w:tc>
          <w:tcPr>
            <w:tcW w:w="320" w:type="pct"/>
          </w:tcPr>
          <w:p w14:paraId="677B6D7F" w14:textId="77777777" w:rsidR="00B822F0" w:rsidRPr="00CE195D" w:rsidRDefault="00B822F0" w:rsidP="00510D7B">
            <w:pPr>
              <w:jc w:val="left"/>
            </w:pPr>
            <w:r w:rsidRPr="00CE195D">
              <w:t>1</w:t>
            </w:r>
          </w:p>
        </w:tc>
        <w:tc>
          <w:tcPr>
            <w:tcW w:w="4680" w:type="pct"/>
            <w:gridSpan w:val="4"/>
          </w:tcPr>
          <w:p w14:paraId="677B6D80" w14:textId="77777777" w:rsidR="00B822F0" w:rsidRPr="00CE195D" w:rsidRDefault="00B822F0" w:rsidP="00510D7B">
            <w:pPr>
              <w:jc w:val="left"/>
            </w:pPr>
            <w:r w:rsidRPr="00CE195D">
              <w:t>Base station antenna characteristics</w:t>
            </w:r>
          </w:p>
        </w:tc>
      </w:tr>
      <w:tr w:rsidR="0053007A" w:rsidRPr="00253EFD" w14:paraId="677B6D85" w14:textId="77777777" w:rsidTr="00C44CFA">
        <w:tc>
          <w:tcPr>
            <w:tcW w:w="320" w:type="pct"/>
          </w:tcPr>
          <w:p w14:paraId="677B6D82" w14:textId="77777777" w:rsidR="00B822F0" w:rsidRPr="00CE195D" w:rsidRDefault="00B822F0" w:rsidP="00510D7B">
            <w:pPr>
              <w:jc w:val="left"/>
            </w:pPr>
            <w:r w:rsidRPr="00253EFD">
              <w:t>1.1</w:t>
            </w:r>
          </w:p>
        </w:tc>
        <w:tc>
          <w:tcPr>
            <w:tcW w:w="1470" w:type="pct"/>
          </w:tcPr>
          <w:p w14:paraId="677B6D83" w14:textId="77777777" w:rsidR="00B822F0" w:rsidRPr="00CE195D" w:rsidRDefault="00B822F0" w:rsidP="00510D7B">
            <w:pPr>
              <w:jc w:val="left"/>
            </w:pPr>
            <w:r w:rsidRPr="00253EFD">
              <w:t xml:space="preserve">Antenna pattern </w:t>
            </w:r>
          </w:p>
        </w:tc>
        <w:tc>
          <w:tcPr>
            <w:tcW w:w="3211" w:type="pct"/>
            <w:gridSpan w:val="3"/>
          </w:tcPr>
          <w:p w14:paraId="677B6D84" w14:textId="77777777" w:rsidR="00B822F0" w:rsidRPr="00CE195D" w:rsidRDefault="00B822F0" w:rsidP="00510D7B">
            <w:pPr>
              <w:jc w:val="left"/>
            </w:pPr>
            <w:r w:rsidRPr="00253EFD">
              <w:t>Refer to the extended AAS model in Table A of Annex</w:t>
            </w:r>
            <w:r w:rsidRPr="00CE195D">
              <w:t> 3</w:t>
            </w:r>
          </w:p>
        </w:tc>
      </w:tr>
      <w:tr w:rsidR="0053007A" w:rsidRPr="00253EFD" w14:paraId="677B6D8B" w14:textId="77777777" w:rsidTr="00C2101E">
        <w:tc>
          <w:tcPr>
            <w:tcW w:w="320" w:type="pct"/>
          </w:tcPr>
          <w:p w14:paraId="677B6D86" w14:textId="77777777" w:rsidR="00B822F0" w:rsidRPr="00CE195D" w:rsidRDefault="00B822F0" w:rsidP="00510D7B">
            <w:pPr>
              <w:jc w:val="left"/>
            </w:pPr>
            <w:r w:rsidRPr="00253EFD">
              <w:t>1.2</w:t>
            </w:r>
          </w:p>
        </w:tc>
        <w:tc>
          <w:tcPr>
            <w:tcW w:w="1470" w:type="pct"/>
          </w:tcPr>
          <w:p w14:paraId="677B6D87" w14:textId="77777777" w:rsidR="00B822F0" w:rsidRPr="00CE195D" w:rsidRDefault="00B822F0" w:rsidP="00510D7B">
            <w:pPr>
              <w:jc w:val="left"/>
            </w:pPr>
            <w:r w:rsidRPr="00253EFD">
              <w:t xml:space="preserve">Element gain (dBi) </w:t>
            </w:r>
            <w:r w:rsidRPr="00CE195D">
              <w:t>(Note 1)</w:t>
            </w:r>
          </w:p>
        </w:tc>
        <w:tc>
          <w:tcPr>
            <w:tcW w:w="1046" w:type="pct"/>
          </w:tcPr>
          <w:p w14:paraId="677B6D88" w14:textId="6CCCE5EE" w:rsidR="00B822F0" w:rsidRPr="00CE195D" w:rsidRDefault="00B822F0" w:rsidP="00510D7B">
            <w:pPr>
              <w:jc w:val="left"/>
            </w:pPr>
            <w:r w:rsidRPr="00253EFD">
              <w:t>6.4</w:t>
            </w:r>
          </w:p>
        </w:tc>
        <w:tc>
          <w:tcPr>
            <w:tcW w:w="1045" w:type="pct"/>
          </w:tcPr>
          <w:p w14:paraId="677B6D89" w14:textId="0B9DC3EA" w:rsidR="00B822F0" w:rsidRPr="00CE195D" w:rsidRDefault="00B822F0" w:rsidP="00510D7B">
            <w:pPr>
              <w:jc w:val="left"/>
            </w:pPr>
            <w:r w:rsidRPr="00253EFD">
              <w:t>6.4</w:t>
            </w:r>
          </w:p>
        </w:tc>
        <w:tc>
          <w:tcPr>
            <w:tcW w:w="1120" w:type="pct"/>
          </w:tcPr>
          <w:p w14:paraId="677B6D8A" w14:textId="77777777" w:rsidR="00B822F0" w:rsidRPr="00CE195D" w:rsidRDefault="00B822F0" w:rsidP="00510D7B">
            <w:pPr>
              <w:jc w:val="left"/>
            </w:pPr>
            <w:r w:rsidRPr="00253EFD">
              <w:t>6.4</w:t>
            </w:r>
          </w:p>
        </w:tc>
      </w:tr>
      <w:tr w:rsidR="0053007A" w:rsidRPr="00C8566D" w14:paraId="677B6D91" w14:textId="77777777" w:rsidTr="00C2101E">
        <w:tc>
          <w:tcPr>
            <w:tcW w:w="320" w:type="pct"/>
          </w:tcPr>
          <w:p w14:paraId="677B6D8C" w14:textId="77777777" w:rsidR="00B822F0" w:rsidRPr="00CE195D" w:rsidRDefault="00B822F0" w:rsidP="00510D7B">
            <w:pPr>
              <w:jc w:val="left"/>
            </w:pPr>
            <w:r w:rsidRPr="00253EFD">
              <w:t>1.3</w:t>
            </w:r>
          </w:p>
        </w:tc>
        <w:tc>
          <w:tcPr>
            <w:tcW w:w="1470" w:type="pct"/>
          </w:tcPr>
          <w:p w14:paraId="677B6D8D" w14:textId="77777777" w:rsidR="00B822F0" w:rsidRPr="00CE195D" w:rsidRDefault="00B822F0" w:rsidP="00510D7B">
            <w:pPr>
              <w:jc w:val="left"/>
            </w:pPr>
            <w:r w:rsidRPr="00253EFD">
              <w:t xml:space="preserve">Horizontal/vertical 3 dB beam width of single element (degree) </w:t>
            </w:r>
          </w:p>
        </w:tc>
        <w:tc>
          <w:tcPr>
            <w:tcW w:w="1046" w:type="pct"/>
          </w:tcPr>
          <w:p w14:paraId="677B6D8E" w14:textId="3E71A394" w:rsidR="00B822F0" w:rsidRPr="00510D7B" w:rsidRDefault="00B822F0" w:rsidP="00510D7B">
            <w:pPr>
              <w:jc w:val="left"/>
              <w:rPr>
                <w:lang w:val="da-DK"/>
              </w:rPr>
            </w:pPr>
            <w:r w:rsidRPr="00510D7B">
              <w:rPr>
                <w:lang w:val="da-DK"/>
              </w:rPr>
              <w:t>90º for H</w:t>
            </w:r>
            <w:r w:rsidRPr="00510D7B">
              <w:rPr>
                <w:lang w:val="da-DK"/>
              </w:rPr>
              <w:br/>
              <w:t>65º for V</w:t>
            </w:r>
          </w:p>
        </w:tc>
        <w:tc>
          <w:tcPr>
            <w:tcW w:w="1045" w:type="pct"/>
          </w:tcPr>
          <w:p w14:paraId="677B6D8F" w14:textId="289D27C1" w:rsidR="00B822F0" w:rsidRPr="00510D7B" w:rsidRDefault="00B822F0" w:rsidP="00510D7B">
            <w:pPr>
              <w:jc w:val="left"/>
              <w:rPr>
                <w:lang w:val="da-DK"/>
              </w:rPr>
            </w:pPr>
            <w:r w:rsidRPr="00510D7B">
              <w:rPr>
                <w:lang w:val="da-DK"/>
              </w:rPr>
              <w:t>90º for H</w:t>
            </w:r>
            <w:r w:rsidRPr="00510D7B">
              <w:rPr>
                <w:lang w:val="da-DK"/>
              </w:rPr>
              <w:br/>
              <w:t>65º for V</w:t>
            </w:r>
          </w:p>
        </w:tc>
        <w:tc>
          <w:tcPr>
            <w:tcW w:w="1120" w:type="pct"/>
          </w:tcPr>
          <w:p w14:paraId="677B6D90" w14:textId="77777777" w:rsidR="00B822F0" w:rsidRPr="00510D7B" w:rsidRDefault="00B822F0" w:rsidP="00510D7B">
            <w:pPr>
              <w:jc w:val="left"/>
              <w:rPr>
                <w:lang w:val="da-DK"/>
              </w:rPr>
            </w:pPr>
            <w:r w:rsidRPr="00510D7B">
              <w:rPr>
                <w:lang w:val="da-DK"/>
              </w:rPr>
              <w:t>90º for H</w:t>
            </w:r>
            <w:r w:rsidRPr="00510D7B">
              <w:rPr>
                <w:lang w:val="da-DK"/>
              </w:rPr>
              <w:br/>
              <w:t>65º for V</w:t>
            </w:r>
          </w:p>
        </w:tc>
      </w:tr>
      <w:tr w:rsidR="0053007A" w:rsidRPr="00253EFD" w14:paraId="677B6D97" w14:textId="77777777" w:rsidTr="00C2101E">
        <w:tc>
          <w:tcPr>
            <w:tcW w:w="320" w:type="pct"/>
          </w:tcPr>
          <w:p w14:paraId="677B6D92" w14:textId="77777777" w:rsidR="00B822F0" w:rsidRPr="00CE195D" w:rsidRDefault="00B822F0" w:rsidP="00510D7B">
            <w:pPr>
              <w:jc w:val="left"/>
            </w:pPr>
            <w:r w:rsidRPr="00253EFD">
              <w:t>1.4</w:t>
            </w:r>
          </w:p>
        </w:tc>
        <w:tc>
          <w:tcPr>
            <w:tcW w:w="1470" w:type="pct"/>
          </w:tcPr>
          <w:p w14:paraId="677B6D93" w14:textId="77777777" w:rsidR="00B822F0" w:rsidRPr="00CE195D" w:rsidRDefault="00B822F0" w:rsidP="00510D7B">
            <w:pPr>
              <w:jc w:val="left"/>
            </w:pPr>
            <w:r w:rsidRPr="00253EFD">
              <w:t>Horizontal/vertical front</w:t>
            </w:r>
            <w:r w:rsidRPr="00253EFD">
              <w:noBreakHyphen/>
              <w:t>to</w:t>
            </w:r>
            <w:r w:rsidRPr="00253EFD">
              <w:noBreakHyphen/>
              <w:t>back ratio (dB)</w:t>
            </w:r>
          </w:p>
        </w:tc>
        <w:tc>
          <w:tcPr>
            <w:tcW w:w="1046" w:type="pct"/>
          </w:tcPr>
          <w:p w14:paraId="677B6D94" w14:textId="77777777" w:rsidR="00B822F0" w:rsidRPr="00CE195D" w:rsidRDefault="00B822F0" w:rsidP="00510D7B">
            <w:pPr>
              <w:jc w:val="left"/>
            </w:pPr>
            <w:r w:rsidRPr="00253EFD">
              <w:t>30 for both H/V</w:t>
            </w:r>
          </w:p>
        </w:tc>
        <w:tc>
          <w:tcPr>
            <w:tcW w:w="1045" w:type="pct"/>
          </w:tcPr>
          <w:p w14:paraId="677B6D95" w14:textId="77777777" w:rsidR="00B822F0" w:rsidRPr="00CE195D" w:rsidRDefault="00B822F0" w:rsidP="00510D7B">
            <w:pPr>
              <w:jc w:val="left"/>
            </w:pPr>
            <w:r w:rsidRPr="00253EFD">
              <w:t>30 for both H/V</w:t>
            </w:r>
          </w:p>
        </w:tc>
        <w:tc>
          <w:tcPr>
            <w:tcW w:w="1120" w:type="pct"/>
          </w:tcPr>
          <w:p w14:paraId="677B6D96" w14:textId="77777777" w:rsidR="00B822F0" w:rsidRPr="00CE195D" w:rsidRDefault="00B822F0" w:rsidP="00510D7B">
            <w:pPr>
              <w:jc w:val="left"/>
            </w:pPr>
            <w:r w:rsidRPr="00253EFD">
              <w:t>30 for both H/V</w:t>
            </w:r>
          </w:p>
        </w:tc>
      </w:tr>
      <w:tr w:rsidR="0053007A" w:rsidRPr="00253EFD" w14:paraId="677B6D9D" w14:textId="77777777" w:rsidTr="00C2101E">
        <w:tc>
          <w:tcPr>
            <w:tcW w:w="320" w:type="pct"/>
          </w:tcPr>
          <w:p w14:paraId="677B6D98" w14:textId="77777777" w:rsidR="00B822F0" w:rsidRPr="00CE195D" w:rsidRDefault="00B822F0" w:rsidP="00510D7B">
            <w:pPr>
              <w:jc w:val="left"/>
            </w:pPr>
            <w:r w:rsidRPr="00253EFD">
              <w:t>1.5</w:t>
            </w:r>
          </w:p>
        </w:tc>
        <w:tc>
          <w:tcPr>
            <w:tcW w:w="1470" w:type="pct"/>
          </w:tcPr>
          <w:p w14:paraId="677B6D99" w14:textId="300AD96D" w:rsidR="00B822F0" w:rsidRPr="00CE195D" w:rsidRDefault="00B822F0" w:rsidP="00510D7B">
            <w:pPr>
              <w:jc w:val="left"/>
            </w:pPr>
            <w:r w:rsidRPr="00253EFD">
              <w:t xml:space="preserve">Antenna </w:t>
            </w:r>
            <w:r w:rsidR="003A1206" w:rsidRPr="00253EFD">
              <w:t>polari</w:t>
            </w:r>
            <w:r w:rsidR="003A1206">
              <w:t>s</w:t>
            </w:r>
            <w:r w:rsidR="003A1206" w:rsidRPr="00253EFD">
              <w:t xml:space="preserve">ation </w:t>
            </w:r>
          </w:p>
        </w:tc>
        <w:tc>
          <w:tcPr>
            <w:tcW w:w="1046" w:type="pct"/>
          </w:tcPr>
          <w:p w14:paraId="677B6D9A" w14:textId="77777777" w:rsidR="00B822F0" w:rsidRPr="00CE195D" w:rsidRDefault="00B822F0" w:rsidP="00510D7B">
            <w:pPr>
              <w:jc w:val="left"/>
            </w:pPr>
            <w:r w:rsidRPr="00253EFD">
              <w:t>Linear ±45º</w:t>
            </w:r>
          </w:p>
        </w:tc>
        <w:tc>
          <w:tcPr>
            <w:tcW w:w="1045" w:type="pct"/>
          </w:tcPr>
          <w:p w14:paraId="677B6D9B" w14:textId="77777777" w:rsidR="00B822F0" w:rsidRPr="00CE195D" w:rsidRDefault="00B822F0" w:rsidP="00510D7B">
            <w:pPr>
              <w:jc w:val="left"/>
            </w:pPr>
            <w:r w:rsidRPr="00253EFD">
              <w:t>Linear ±45º</w:t>
            </w:r>
          </w:p>
        </w:tc>
        <w:tc>
          <w:tcPr>
            <w:tcW w:w="1120" w:type="pct"/>
          </w:tcPr>
          <w:p w14:paraId="677B6D9C" w14:textId="77777777" w:rsidR="00B822F0" w:rsidRPr="00CE195D" w:rsidRDefault="00B822F0" w:rsidP="00510D7B">
            <w:pPr>
              <w:jc w:val="left"/>
            </w:pPr>
            <w:r w:rsidRPr="00253EFD">
              <w:t>Linear ±45º</w:t>
            </w:r>
          </w:p>
        </w:tc>
      </w:tr>
      <w:tr w:rsidR="0053007A" w:rsidRPr="00253EFD" w14:paraId="677B6DA3" w14:textId="77777777" w:rsidTr="00C2101E">
        <w:tc>
          <w:tcPr>
            <w:tcW w:w="320" w:type="pct"/>
          </w:tcPr>
          <w:p w14:paraId="677B6D9E" w14:textId="77777777" w:rsidR="00B822F0" w:rsidRPr="00CE195D" w:rsidRDefault="00B822F0" w:rsidP="00510D7B">
            <w:pPr>
              <w:jc w:val="left"/>
            </w:pPr>
            <w:r w:rsidRPr="00253EFD">
              <w:t>1.6</w:t>
            </w:r>
          </w:p>
        </w:tc>
        <w:tc>
          <w:tcPr>
            <w:tcW w:w="1470" w:type="pct"/>
          </w:tcPr>
          <w:p w14:paraId="677B6D9F" w14:textId="77777777" w:rsidR="00B822F0" w:rsidRPr="00CE195D" w:rsidRDefault="00B822F0" w:rsidP="00510D7B">
            <w:pPr>
              <w:jc w:val="left"/>
            </w:pPr>
            <w:r w:rsidRPr="00253EFD">
              <w:t xml:space="preserve">Antenna array configuration (Row × Column) </w:t>
            </w:r>
            <w:r w:rsidRPr="00CE195D">
              <w:t>(Note 2)</w:t>
            </w:r>
          </w:p>
        </w:tc>
        <w:tc>
          <w:tcPr>
            <w:tcW w:w="1046" w:type="pct"/>
          </w:tcPr>
          <w:p w14:paraId="677B6DA0" w14:textId="2B43FAEC" w:rsidR="00B822F0" w:rsidRPr="00CE195D" w:rsidRDefault="00B822F0" w:rsidP="00510D7B">
            <w:pPr>
              <w:jc w:val="left"/>
            </w:pPr>
            <w:r w:rsidRPr="00253EFD">
              <w:t>4 × 8 elements</w:t>
            </w:r>
          </w:p>
        </w:tc>
        <w:tc>
          <w:tcPr>
            <w:tcW w:w="1045" w:type="pct"/>
          </w:tcPr>
          <w:p w14:paraId="677B6DA1" w14:textId="77777777" w:rsidR="00B822F0" w:rsidRPr="00CE195D" w:rsidRDefault="00B822F0" w:rsidP="00510D7B">
            <w:pPr>
              <w:jc w:val="left"/>
            </w:pPr>
            <w:r w:rsidRPr="00253EFD">
              <w:t xml:space="preserve"> 4 × 8 elements</w:t>
            </w:r>
          </w:p>
        </w:tc>
        <w:tc>
          <w:tcPr>
            <w:tcW w:w="1120" w:type="pct"/>
          </w:tcPr>
          <w:p w14:paraId="677B6DA2" w14:textId="77777777" w:rsidR="00B822F0" w:rsidRPr="00CE195D" w:rsidRDefault="00B822F0" w:rsidP="00510D7B">
            <w:pPr>
              <w:jc w:val="left"/>
            </w:pPr>
            <w:r w:rsidRPr="00253EFD">
              <w:t xml:space="preserve"> 4 × 8 elements</w:t>
            </w:r>
          </w:p>
        </w:tc>
      </w:tr>
      <w:tr w:rsidR="0053007A" w:rsidRPr="00253EFD" w14:paraId="677B6DAA" w14:textId="77777777" w:rsidTr="00C2101E">
        <w:tc>
          <w:tcPr>
            <w:tcW w:w="320" w:type="pct"/>
          </w:tcPr>
          <w:p w14:paraId="677B6DA4" w14:textId="77777777" w:rsidR="00B822F0" w:rsidRPr="00CE195D" w:rsidRDefault="00B822F0" w:rsidP="00510D7B">
            <w:pPr>
              <w:jc w:val="left"/>
            </w:pPr>
            <w:r w:rsidRPr="00253EFD">
              <w:t>1.7</w:t>
            </w:r>
          </w:p>
        </w:tc>
        <w:tc>
          <w:tcPr>
            <w:tcW w:w="1470" w:type="pct"/>
          </w:tcPr>
          <w:p w14:paraId="677B6DA6" w14:textId="176D080A" w:rsidR="00B822F0" w:rsidRPr="00253EFD" w:rsidRDefault="00B822F0" w:rsidP="00510D7B">
            <w:pPr>
              <w:jc w:val="left"/>
            </w:pPr>
            <w:r w:rsidRPr="00253EFD">
              <w:t xml:space="preserve">Horizontal/Vertical radiating element/sub-array spacing, </w:t>
            </w:r>
            <w:r w:rsidRPr="00CE195D">
              <w:t>d</w:t>
            </w:r>
            <w:r w:rsidRPr="00510D7B">
              <w:rPr>
                <w:rStyle w:val="ECCHLsubscript"/>
              </w:rPr>
              <w:t>h</w:t>
            </w:r>
            <w:r w:rsidRPr="00CE195D">
              <w:t xml:space="preserve"> /d</w:t>
            </w:r>
            <w:r w:rsidRPr="00510D7B">
              <w:rPr>
                <w:rStyle w:val="ECCHLsubscript"/>
              </w:rPr>
              <w:t>v</w:t>
            </w:r>
            <w:r w:rsidRPr="00CE195D">
              <w:t xml:space="preserve"> </w:t>
            </w:r>
          </w:p>
        </w:tc>
        <w:tc>
          <w:tcPr>
            <w:tcW w:w="1046" w:type="pct"/>
          </w:tcPr>
          <w:p w14:paraId="677B6DA7" w14:textId="77777777" w:rsidR="00B822F0" w:rsidRPr="00CE195D" w:rsidRDefault="00B822F0" w:rsidP="00510D7B">
            <w:pPr>
              <w:jc w:val="left"/>
            </w:pPr>
            <w:r w:rsidRPr="00253EFD">
              <w:t>0.5 of wavelength for H, 2.1 of wavelength for V</w:t>
            </w:r>
          </w:p>
        </w:tc>
        <w:tc>
          <w:tcPr>
            <w:tcW w:w="1045" w:type="pct"/>
          </w:tcPr>
          <w:p w14:paraId="677B6DA8" w14:textId="77777777" w:rsidR="00B822F0" w:rsidRPr="00CE195D" w:rsidRDefault="00B822F0" w:rsidP="00510D7B">
            <w:pPr>
              <w:jc w:val="left"/>
            </w:pPr>
            <w:r w:rsidRPr="00253EFD">
              <w:t>0.5</w:t>
            </w:r>
            <w:r w:rsidRPr="00CE195D">
              <w:t xml:space="preserve"> of wavelength for H, 2.1 of wavelength for V</w:t>
            </w:r>
          </w:p>
        </w:tc>
        <w:tc>
          <w:tcPr>
            <w:tcW w:w="1120" w:type="pct"/>
          </w:tcPr>
          <w:p w14:paraId="677B6DA9" w14:textId="77777777" w:rsidR="00B822F0" w:rsidRPr="00CE195D" w:rsidRDefault="00B822F0" w:rsidP="00B511D8">
            <w:pPr>
              <w:jc w:val="left"/>
            </w:pPr>
            <w:r w:rsidRPr="00253EFD">
              <w:t>0.5 of wavelength for H, 2.1 of wavelength for V</w:t>
            </w:r>
          </w:p>
        </w:tc>
      </w:tr>
      <w:tr w:rsidR="0053007A" w:rsidRPr="00253EFD" w14:paraId="677B6DB0" w14:textId="77777777" w:rsidTr="00C2101E">
        <w:tc>
          <w:tcPr>
            <w:tcW w:w="320" w:type="pct"/>
          </w:tcPr>
          <w:p w14:paraId="677B6DAB" w14:textId="77777777" w:rsidR="00B822F0" w:rsidRPr="00CE195D" w:rsidRDefault="00B822F0" w:rsidP="00510D7B">
            <w:pPr>
              <w:jc w:val="left"/>
            </w:pPr>
            <w:r w:rsidRPr="00CE195D">
              <w:t>1.7a</w:t>
            </w:r>
          </w:p>
        </w:tc>
        <w:tc>
          <w:tcPr>
            <w:tcW w:w="1470" w:type="pct"/>
          </w:tcPr>
          <w:p w14:paraId="677B6DAC" w14:textId="77777777" w:rsidR="00B822F0" w:rsidRPr="00CE195D" w:rsidRDefault="00B822F0" w:rsidP="00510D7B">
            <w:pPr>
              <w:jc w:val="left"/>
            </w:pPr>
            <w:r w:rsidRPr="00CE195D">
              <w:t xml:space="preserve">Number of element rows in sub-array, </w:t>
            </w:r>
            <w:proofErr w:type="spellStart"/>
            <w:r w:rsidRPr="00CE195D">
              <w:t>M</w:t>
            </w:r>
            <w:r w:rsidRPr="00510D7B">
              <w:rPr>
                <w:rStyle w:val="ECCHLsubscript"/>
              </w:rPr>
              <w:t>sub</w:t>
            </w:r>
            <w:proofErr w:type="spellEnd"/>
          </w:p>
        </w:tc>
        <w:tc>
          <w:tcPr>
            <w:tcW w:w="1046" w:type="pct"/>
          </w:tcPr>
          <w:p w14:paraId="677B6DAD" w14:textId="77777777" w:rsidR="00B822F0" w:rsidRPr="00CE195D" w:rsidRDefault="00B822F0" w:rsidP="00510D7B">
            <w:pPr>
              <w:jc w:val="left"/>
            </w:pPr>
            <w:r w:rsidRPr="00CE195D">
              <w:t>3</w:t>
            </w:r>
          </w:p>
        </w:tc>
        <w:tc>
          <w:tcPr>
            <w:tcW w:w="1045" w:type="pct"/>
          </w:tcPr>
          <w:p w14:paraId="677B6DAE" w14:textId="77777777" w:rsidR="00B822F0" w:rsidRPr="00CE195D" w:rsidRDefault="00B822F0" w:rsidP="00510D7B">
            <w:pPr>
              <w:jc w:val="left"/>
            </w:pPr>
            <w:r w:rsidRPr="00CE195D">
              <w:t>3</w:t>
            </w:r>
          </w:p>
        </w:tc>
        <w:tc>
          <w:tcPr>
            <w:tcW w:w="1120" w:type="pct"/>
          </w:tcPr>
          <w:p w14:paraId="677B6DAF" w14:textId="77777777" w:rsidR="00B822F0" w:rsidRPr="00CE195D" w:rsidRDefault="00B822F0" w:rsidP="00510D7B">
            <w:pPr>
              <w:jc w:val="left"/>
            </w:pPr>
            <w:r w:rsidRPr="00CE195D">
              <w:t>3</w:t>
            </w:r>
          </w:p>
        </w:tc>
      </w:tr>
      <w:tr w:rsidR="0053007A" w:rsidRPr="00253EFD" w14:paraId="677B6DB6" w14:textId="77777777" w:rsidTr="00C2101E">
        <w:tc>
          <w:tcPr>
            <w:tcW w:w="320" w:type="pct"/>
          </w:tcPr>
          <w:p w14:paraId="677B6DB1" w14:textId="77777777" w:rsidR="00B822F0" w:rsidRPr="00CE195D" w:rsidRDefault="00B822F0" w:rsidP="00510D7B">
            <w:pPr>
              <w:jc w:val="left"/>
            </w:pPr>
            <w:r w:rsidRPr="00CE195D">
              <w:t>1.7b</w:t>
            </w:r>
          </w:p>
        </w:tc>
        <w:tc>
          <w:tcPr>
            <w:tcW w:w="1470" w:type="pct"/>
          </w:tcPr>
          <w:p w14:paraId="677B6DB2" w14:textId="77777777" w:rsidR="00B822F0" w:rsidRPr="00CE195D" w:rsidRDefault="00B822F0" w:rsidP="00510D7B">
            <w:pPr>
              <w:jc w:val="left"/>
            </w:pPr>
            <w:r w:rsidRPr="00CE195D">
              <w:t xml:space="preserve">Vertical radiating element spacing in sub-array, </w:t>
            </w:r>
            <w:proofErr w:type="spellStart"/>
            <w:r w:rsidRPr="00CE195D">
              <w:t>d</w:t>
            </w:r>
            <w:r w:rsidRPr="00510D7B">
              <w:rPr>
                <w:rStyle w:val="ECCHLsubscript"/>
              </w:rPr>
              <w:t>v,sub</w:t>
            </w:r>
            <w:proofErr w:type="spellEnd"/>
          </w:p>
        </w:tc>
        <w:tc>
          <w:tcPr>
            <w:tcW w:w="1046" w:type="pct"/>
          </w:tcPr>
          <w:p w14:paraId="677B6DB3" w14:textId="77777777" w:rsidR="00B822F0" w:rsidRPr="00CE195D" w:rsidRDefault="00B822F0" w:rsidP="00510D7B">
            <w:pPr>
              <w:jc w:val="left"/>
            </w:pPr>
            <w:r w:rsidRPr="00CE195D">
              <w:t>0.7 of wavelength of V</w:t>
            </w:r>
          </w:p>
        </w:tc>
        <w:tc>
          <w:tcPr>
            <w:tcW w:w="1045" w:type="pct"/>
          </w:tcPr>
          <w:p w14:paraId="677B6DB4" w14:textId="77777777" w:rsidR="00B822F0" w:rsidRPr="00CE195D" w:rsidRDefault="00B822F0" w:rsidP="00510D7B">
            <w:pPr>
              <w:jc w:val="left"/>
            </w:pPr>
            <w:r w:rsidRPr="00CE195D">
              <w:t>0.7 of wavelength of V</w:t>
            </w:r>
          </w:p>
        </w:tc>
        <w:tc>
          <w:tcPr>
            <w:tcW w:w="1120" w:type="pct"/>
          </w:tcPr>
          <w:p w14:paraId="677B6DB5" w14:textId="77777777" w:rsidR="00B822F0" w:rsidRPr="00CE195D" w:rsidRDefault="00B822F0" w:rsidP="00510D7B">
            <w:pPr>
              <w:jc w:val="left"/>
            </w:pPr>
            <w:r w:rsidRPr="00CE195D">
              <w:t>0.7 of wavelength of V</w:t>
            </w:r>
          </w:p>
        </w:tc>
      </w:tr>
      <w:tr w:rsidR="0053007A" w:rsidRPr="00253EFD" w14:paraId="677B6DBC" w14:textId="77777777" w:rsidTr="00C2101E">
        <w:tc>
          <w:tcPr>
            <w:tcW w:w="320" w:type="pct"/>
          </w:tcPr>
          <w:p w14:paraId="677B6DB7" w14:textId="77777777" w:rsidR="00B822F0" w:rsidRPr="00CE195D" w:rsidRDefault="00B822F0" w:rsidP="00510D7B">
            <w:pPr>
              <w:jc w:val="left"/>
            </w:pPr>
            <w:r w:rsidRPr="00CE195D">
              <w:lastRenderedPageBreak/>
              <w:t>1.7c</w:t>
            </w:r>
          </w:p>
        </w:tc>
        <w:tc>
          <w:tcPr>
            <w:tcW w:w="1470" w:type="pct"/>
          </w:tcPr>
          <w:p w14:paraId="677B6DB8" w14:textId="77777777" w:rsidR="00B822F0" w:rsidRPr="00CE195D" w:rsidRDefault="00B822F0" w:rsidP="00510D7B">
            <w:pPr>
              <w:jc w:val="left"/>
            </w:pPr>
            <w:r w:rsidRPr="00CE195D">
              <w:t xml:space="preserve">Pre-set sub-array down-tilt, </w:t>
            </w:r>
            <w:proofErr w:type="spellStart"/>
            <w:r w:rsidRPr="00CE195D">
              <w:t>θ</w:t>
            </w:r>
            <w:r w:rsidRPr="00510D7B">
              <w:rPr>
                <w:rStyle w:val="ECCHLsubscript"/>
              </w:rPr>
              <w:t>subtilt</w:t>
            </w:r>
            <w:proofErr w:type="spellEnd"/>
            <w:r w:rsidRPr="00510D7B">
              <w:rPr>
                <w:rStyle w:val="ECCHLsubscript"/>
              </w:rPr>
              <w:t xml:space="preserve"> </w:t>
            </w:r>
            <w:r w:rsidRPr="00CE195D">
              <w:t>(degrees)</w:t>
            </w:r>
          </w:p>
        </w:tc>
        <w:tc>
          <w:tcPr>
            <w:tcW w:w="1046" w:type="pct"/>
          </w:tcPr>
          <w:p w14:paraId="677B6DB9" w14:textId="77777777" w:rsidR="00B822F0" w:rsidRPr="00CE195D" w:rsidRDefault="00B822F0" w:rsidP="00510D7B">
            <w:pPr>
              <w:jc w:val="left"/>
            </w:pPr>
            <w:r w:rsidRPr="00CE195D">
              <w:t>3</w:t>
            </w:r>
          </w:p>
        </w:tc>
        <w:tc>
          <w:tcPr>
            <w:tcW w:w="1045" w:type="pct"/>
          </w:tcPr>
          <w:p w14:paraId="677B6DBA" w14:textId="77777777" w:rsidR="00B822F0" w:rsidRPr="00CE195D" w:rsidRDefault="00B822F0" w:rsidP="00510D7B">
            <w:pPr>
              <w:jc w:val="left"/>
            </w:pPr>
            <w:r w:rsidRPr="00CE195D">
              <w:t>3</w:t>
            </w:r>
          </w:p>
        </w:tc>
        <w:tc>
          <w:tcPr>
            <w:tcW w:w="1120" w:type="pct"/>
          </w:tcPr>
          <w:p w14:paraId="677B6DBB" w14:textId="77777777" w:rsidR="00B822F0" w:rsidRPr="00CE195D" w:rsidRDefault="00B822F0" w:rsidP="00510D7B">
            <w:pPr>
              <w:jc w:val="left"/>
            </w:pPr>
            <w:r w:rsidRPr="00CE195D">
              <w:t>3</w:t>
            </w:r>
          </w:p>
        </w:tc>
      </w:tr>
      <w:tr w:rsidR="0053007A" w:rsidRPr="00253EFD" w14:paraId="677B6DC2" w14:textId="77777777" w:rsidTr="00C2101E">
        <w:tc>
          <w:tcPr>
            <w:tcW w:w="320" w:type="pct"/>
          </w:tcPr>
          <w:p w14:paraId="677B6DBD" w14:textId="77777777" w:rsidR="00B822F0" w:rsidRPr="00CE195D" w:rsidRDefault="00B822F0" w:rsidP="00510D7B">
            <w:pPr>
              <w:jc w:val="left"/>
            </w:pPr>
            <w:r w:rsidRPr="00253EFD">
              <w:t>1.8</w:t>
            </w:r>
          </w:p>
        </w:tc>
        <w:tc>
          <w:tcPr>
            <w:tcW w:w="1470" w:type="pct"/>
          </w:tcPr>
          <w:p w14:paraId="677B6DBE" w14:textId="77777777" w:rsidR="00B822F0" w:rsidRPr="00CE195D" w:rsidRDefault="00B822F0" w:rsidP="00510D7B">
            <w:pPr>
              <w:jc w:val="left"/>
            </w:pPr>
            <w:r w:rsidRPr="00253EFD">
              <w:t xml:space="preserve">Array Ohmic loss (dB) </w:t>
            </w:r>
            <w:r w:rsidRPr="00CE195D">
              <w:t>(Note 1)</w:t>
            </w:r>
          </w:p>
        </w:tc>
        <w:tc>
          <w:tcPr>
            <w:tcW w:w="1046" w:type="pct"/>
          </w:tcPr>
          <w:p w14:paraId="677B6DBF" w14:textId="77777777" w:rsidR="00B822F0" w:rsidRPr="00CE195D" w:rsidRDefault="00B822F0" w:rsidP="00510D7B">
            <w:pPr>
              <w:jc w:val="left"/>
            </w:pPr>
            <w:r w:rsidRPr="00253EFD">
              <w:t>2</w:t>
            </w:r>
          </w:p>
        </w:tc>
        <w:tc>
          <w:tcPr>
            <w:tcW w:w="1045" w:type="pct"/>
          </w:tcPr>
          <w:p w14:paraId="677B6DC0" w14:textId="77777777" w:rsidR="00B822F0" w:rsidRPr="00CE195D" w:rsidRDefault="00B822F0" w:rsidP="00510D7B">
            <w:pPr>
              <w:jc w:val="left"/>
            </w:pPr>
            <w:r w:rsidRPr="00253EFD">
              <w:t>2</w:t>
            </w:r>
          </w:p>
        </w:tc>
        <w:tc>
          <w:tcPr>
            <w:tcW w:w="1120" w:type="pct"/>
          </w:tcPr>
          <w:p w14:paraId="677B6DC1" w14:textId="77777777" w:rsidR="00B822F0" w:rsidRPr="00CE195D" w:rsidRDefault="00B822F0" w:rsidP="00510D7B">
            <w:pPr>
              <w:jc w:val="left"/>
            </w:pPr>
            <w:r w:rsidRPr="00253EFD">
              <w:t>2</w:t>
            </w:r>
          </w:p>
        </w:tc>
      </w:tr>
      <w:tr w:rsidR="0053007A" w:rsidRPr="00253EFD" w14:paraId="677B6DC8" w14:textId="77777777" w:rsidTr="00C2101E">
        <w:tc>
          <w:tcPr>
            <w:tcW w:w="320" w:type="pct"/>
          </w:tcPr>
          <w:p w14:paraId="677B6DC3" w14:textId="77777777" w:rsidR="00B822F0" w:rsidRPr="00CE195D" w:rsidRDefault="00B822F0" w:rsidP="00510D7B">
            <w:pPr>
              <w:jc w:val="left"/>
            </w:pPr>
            <w:r w:rsidRPr="00253EFD">
              <w:t>1.9</w:t>
            </w:r>
          </w:p>
        </w:tc>
        <w:tc>
          <w:tcPr>
            <w:tcW w:w="1470" w:type="pct"/>
          </w:tcPr>
          <w:p w14:paraId="677B6DC4" w14:textId="77777777" w:rsidR="00B822F0" w:rsidRPr="00CE195D" w:rsidRDefault="00B822F0" w:rsidP="00510D7B">
            <w:pPr>
              <w:jc w:val="left"/>
            </w:pPr>
            <w:r w:rsidRPr="00253EFD">
              <w:t xml:space="preserve">Conducted power (before Ohmic loss) per antenna element/sub-array (dBm) </w:t>
            </w:r>
            <w:r w:rsidRPr="00CE195D">
              <w:t xml:space="preserve">(Note 5, 6) </w:t>
            </w:r>
          </w:p>
        </w:tc>
        <w:tc>
          <w:tcPr>
            <w:tcW w:w="1046" w:type="pct"/>
          </w:tcPr>
          <w:p w14:paraId="677B6DC5" w14:textId="77777777" w:rsidR="00B822F0" w:rsidRPr="00CE195D" w:rsidRDefault="00B822F0" w:rsidP="00510D7B">
            <w:pPr>
              <w:jc w:val="left"/>
            </w:pPr>
            <w:r w:rsidRPr="00253EFD">
              <w:t>28</w:t>
            </w:r>
          </w:p>
        </w:tc>
        <w:tc>
          <w:tcPr>
            <w:tcW w:w="1045" w:type="pct"/>
          </w:tcPr>
          <w:p w14:paraId="677B6DC6" w14:textId="77777777" w:rsidR="00B822F0" w:rsidRPr="00CE195D" w:rsidRDefault="00B822F0" w:rsidP="00510D7B">
            <w:pPr>
              <w:jc w:val="left"/>
            </w:pPr>
            <w:r w:rsidRPr="00253EFD">
              <w:t>28</w:t>
            </w:r>
          </w:p>
        </w:tc>
        <w:tc>
          <w:tcPr>
            <w:tcW w:w="1120" w:type="pct"/>
          </w:tcPr>
          <w:p w14:paraId="677B6DC7" w14:textId="77777777" w:rsidR="00B822F0" w:rsidRPr="00CE195D" w:rsidRDefault="00B822F0" w:rsidP="00510D7B">
            <w:pPr>
              <w:jc w:val="left"/>
            </w:pPr>
            <w:r w:rsidRPr="00253EFD">
              <w:t>28</w:t>
            </w:r>
          </w:p>
        </w:tc>
      </w:tr>
      <w:tr w:rsidR="0053007A" w:rsidRPr="00253EFD" w14:paraId="677B6DCE" w14:textId="77777777" w:rsidTr="00C2101E">
        <w:tc>
          <w:tcPr>
            <w:tcW w:w="320" w:type="pct"/>
          </w:tcPr>
          <w:p w14:paraId="677B6DC9" w14:textId="77777777" w:rsidR="00B822F0" w:rsidRPr="00CE195D" w:rsidRDefault="00B822F0" w:rsidP="00510D7B">
            <w:pPr>
              <w:jc w:val="left"/>
            </w:pPr>
            <w:r w:rsidRPr="00253EFD">
              <w:t>1.10</w:t>
            </w:r>
          </w:p>
        </w:tc>
        <w:tc>
          <w:tcPr>
            <w:tcW w:w="1470" w:type="pct"/>
          </w:tcPr>
          <w:p w14:paraId="677B6DCA" w14:textId="77777777" w:rsidR="00B822F0" w:rsidRPr="00CE195D" w:rsidRDefault="00B822F0" w:rsidP="00510D7B">
            <w:pPr>
              <w:jc w:val="left"/>
            </w:pPr>
            <w:r w:rsidRPr="00253EFD">
              <w:t>Base station horizontal coverage range (degrees)</w:t>
            </w:r>
          </w:p>
        </w:tc>
        <w:tc>
          <w:tcPr>
            <w:tcW w:w="1046" w:type="pct"/>
          </w:tcPr>
          <w:p w14:paraId="677B6DCB" w14:textId="77777777" w:rsidR="00B822F0" w:rsidRPr="00CE195D" w:rsidRDefault="00B822F0" w:rsidP="00510D7B">
            <w:pPr>
              <w:jc w:val="left"/>
            </w:pPr>
            <w:r w:rsidRPr="00253EFD">
              <w:t>±60</w:t>
            </w:r>
          </w:p>
        </w:tc>
        <w:tc>
          <w:tcPr>
            <w:tcW w:w="1045" w:type="pct"/>
          </w:tcPr>
          <w:p w14:paraId="677B6DCC" w14:textId="77777777" w:rsidR="00B822F0" w:rsidRPr="00CE195D" w:rsidRDefault="00B822F0" w:rsidP="00510D7B">
            <w:pPr>
              <w:jc w:val="left"/>
            </w:pPr>
            <w:r w:rsidRPr="00253EFD">
              <w:t>±60</w:t>
            </w:r>
          </w:p>
        </w:tc>
        <w:tc>
          <w:tcPr>
            <w:tcW w:w="1120" w:type="pct"/>
          </w:tcPr>
          <w:p w14:paraId="677B6DCD" w14:textId="77777777" w:rsidR="00B822F0" w:rsidRPr="00CE195D" w:rsidRDefault="00B822F0" w:rsidP="00510D7B">
            <w:pPr>
              <w:jc w:val="left"/>
            </w:pPr>
            <w:r w:rsidRPr="00253EFD">
              <w:t>±60</w:t>
            </w:r>
          </w:p>
        </w:tc>
      </w:tr>
      <w:tr w:rsidR="0053007A" w:rsidRPr="00253EFD" w14:paraId="677B6DD4" w14:textId="77777777" w:rsidTr="00C2101E">
        <w:tc>
          <w:tcPr>
            <w:tcW w:w="320" w:type="pct"/>
          </w:tcPr>
          <w:p w14:paraId="677B6DCF" w14:textId="77777777" w:rsidR="00B822F0" w:rsidRPr="00CE195D" w:rsidRDefault="00B822F0" w:rsidP="00510D7B">
            <w:pPr>
              <w:jc w:val="left"/>
            </w:pPr>
            <w:r w:rsidRPr="00253EFD">
              <w:t>1.11</w:t>
            </w:r>
          </w:p>
        </w:tc>
        <w:tc>
          <w:tcPr>
            <w:tcW w:w="1470" w:type="pct"/>
          </w:tcPr>
          <w:p w14:paraId="677B6DD0" w14:textId="77777777" w:rsidR="00B822F0" w:rsidRPr="00CE195D" w:rsidRDefault="00B822F0" w:rsidP="00510D7B">
            <w:pPr>
              <w:jc w:val="left"/>
            </w:pPr>
            <w:r w:rsidRPr="00253EFD">
              <w:t xml:space="preserve">Base station vertical coverage range (degrees) </w:t>
            </w:r>
            <w:r w:rsidRPr="00CE195D">
              <w:t>(Notes 3, 4, 7)</w:t>
            </w:r>
          </w:p>
        </w:tc>
        <w:tc>
          <w:tcPr>
            <w:tcW w:w="1046" w:type="pct"/>
          </w:tcPr>
          <w:p w14:paraId="677B6DD1" w14:textId="77777777" w:rsidR="00B822F0" w:rsidRPr="00CE195D" w:rsidRDefault="00B822F0" w:rsidP="00510D7B">
            <w:pPr>
              <w:jc w:val="left"/>
            </w:pPr>
            <w:r w:rsidRPr="00253EFD">
              <w:t>90-100</w:t>
            </w:r>
          </w:p>
        </w:tc>
        <w:tc>
          <w:tcPr>
            <w:tcW w:w="1045" w:type="pct"/>
          </w:tcPr>
          <w:p w14:paraId="677B6DD2" w14:textId="77777777" w:rsidR="00B822F0" w:rsidRPr="00CE195D" w:rsidRDefault="00B822F0" w:rsidP="00510D7B">
            <w:pPr>
              <w:jc w:val="left"/>
            </w:pPr>
            <w:r w:rsidRPr="00253EFD">
              <w:t>90-100</w:t>
            </w:r>
          </w:p>
        </w:tc>
        <w:tc>
          <w:tcPr>
            <w:tcW w:w="1120" w:type="pct"/>
          </w:tcPr>
          <w:p w14:paraId="677B6DD3" w14:textId="77777777" w:rsidR="00B822F0" w:rsidRPr="00CE195D" w:rsidRDefault="00B822F0" w:rsidP="00510D7B">
            <w:pPr>
              <w:jc w:val="left"/>
            </w:pPr>
            <w:r w:rsidRPr="00253EFD">
              <w:t>90-100</w:t>
            </w:r>
          </w:p>
        </w:tc>
      </w:tr>
      <w:tr w:rsidR="0053007A" w:rsidRPr="00253EFD" w14:paraId="677B6DDA" w14:textId="77777777" w:rsidTr="00C2101E">
        <w:tc>
          <w:tcPr>
            <w:tcW w:w="320" w:type="pct"/>
          </w:tcPr>
          <w:p w14:paraId="677B6DD5" w14:textId="77777777" w:rsidR="00B822F0" w:rsidRPr="00CE195D" w:rsidRDefault="00B822F0" w:rsidP="00510D7B">
            <w:pPr>
              <w:jc w:val="left"/>
            </w:pPr>
            <w:r w:rsidRPr="00253EFD">
              <w:t>1.12</w:t>
            </w:r>
          </w:p>
        </w:tc>
        <w:tc>
          <w:tcPr>
            <w:tcW w:w="1470" w:type="pct"/>
          </w:tcPr>
          <w:p w14:paraId="677B6DD6" w14:textId="77777777" w:rsidR="00B822F0" w:rsidRPr="00CE195D" w:rsidRDefault="00B822F0" w:rsidP="00510D7B">
            <w:pPr>
              <w:jc w:val="left"/>
            </w:pPr>
            <w:r w:rsidRPr="00253EFD">
              <w:t xml:space="preserve">Mechanical downtilt (degrees) </w:t>
            </w:r>
            <w:r w:rsidRPr="00CE195D">
              <w:t>(Note 4)</w:t>
            </w:r>
          </w:p>
        </w:tc>
        <w:tc>
          <w:tcPr>
            <w:tcW w:w="1046" w:type="pct"/>
          </w:tcPr>
          <w:p w14:paraId="677B6DD7" w14:textId="77777777" w:rsidR="00B822F0" w:rsidRPr="00CE195D" w:rsidRDefault="00B822F0" w:rsidP="00510D7B">
            <w:pPr>
              <w:jc w:val="left"/>
            </w:pPr>
            <w:r w:rsidRPr="00253EFD">
              <w:t>3</w:t>
            </w:r>
          </w:p>
        </w:tc>
        <w:tc>
          <w:tcPr>
            <w:tcW w:w="1045" w:type="pct"/>
          </w:tcPr>
          <w:p w14:paraId="677B6DD8" w14:textId="77777777" w:rsidR="00B822F0" w:rsidRPr="00CE195D" w:rsidRDefault="00B822F0" w:rsidP="00510D7B">
            <w:pPr>
              <w:jc w:val="left"/>
            </w:pPr>
            <w:r w:rsidRPr="00253EFD">
              <w:t>6</w:t>
            </w:r>
          </w:p>
        </w:tc>
        <w:tc>
          <w:tcPr>
            <w:tcW w:w="1120" w:type="pct"/>
          </w:tcPr>
          <w:p w14:paraId="677B6DD9" w14:textId="77777777" w:rsidR="00B822F0" w:rsidRPr="00CE195D" w:rsidRDefault="00B822F0" w:rsidP="00510D7B">
            <w:pPr>
              <w:jc w:val="left"/>
            </w:pPr>
            <w:r w:rsidRPr="00253EFD">
              <w:t>6</w:t>
            </w:r>
          </w:p>
        </w:tc>
      </w:tr>
      <w:tr w:rsidR="0053007A" w:rsidRPr="00253EFD" w14:paraId="677B6DE0" w14:textId="77777777" w:rsidTr="00C2101E">
        <w:tc>
          <w:tcPr>
            <w:tcW w:w="320" w:type="pct"/>
          </w:tcPr>
          <w:p w14:paraId="677B6DDB" w14:textId="77777777" w:rsidR="00B822F0" w:rsidRPr="00CE195D" w:rsidRDefault="00B822F0" w:rsidP="00510D7B">
            <w:pPr>
              <w:jc w:val="left"/>
            </w:pPr>
            <w:r w:rsidRPr="00253EFD">
              <w:t>1.13</w:t>
            </w:r>
          </w:p>
        </w:tc>
        <w:tc>
          <w:tcPr>
            <w:tcW w:w="1470" w:type="pct"/>
          </w:tcPr>
          <w:p w14:paraId="677B6DDC" w14:textId="77777777" w:rsidR="00B822F0" w:rsidRPr="00CE195D" w:rsidRDefault="00B822F0" w:rsidP="00510D7B">
            <w:pPr>
              <w:jc w:val="left"/>
            </w:pPr>
            <w:r w:rsidRPr="00253EFD">
              <w:t>Maximum base station output power/sector (e.i.r.p.) (dBm)</w:t>
            </w:r>
          </w:p>
        </w:tc>
        <w:tc>
          <w:tcPr>
            <w:tcW w:w="1046" w:type="pct"/>
          </w:tcPr>
          <w:p w14:paraId="677B6DDD" w14:textId="77777777" w:rsidR="00B822F0" w:rsidRPr="00CE195D" w:rsidRDefault="00B822F0" w:rsidP="00510D7B">
            <w:pPr>
              <w:jc w:val="left"/>
            </w:pPr>
            <w:r w:rsidRPr="00253EFD">
              <w:t>72.28</w:t>
            </w:r>
          </w:p>
        </w:tc>
        <w:tc>
          <w:tcPr>
            <w:tcW w:w="1045" w:type="pct"/>
          </w:tcPr>
          <w:p w14:paraId="677B6DDE" w14:textId="77777777" w:rsidR="00B822F0" w:rsidRPr="00CE195D" w:rsidRDefault="00B822F0" w:rsidP="00510D7B">
            <w:pPr>
              <w:jc w:val="left"/>
            </w:pPr>
            <w:r w:rsidRPr="00253EFD">
              <w:t>72.28</w:t>
            </w:r>
          </w:p>
        </w:tc>
        <w:tc>
          <w:tcPr>
            <w:tcW w:w="1120" w:type="pct"/>
          </w:tcPr>
          <w:p w14:paraId="677B6DDF" w14:textId="77777777" w:rsidR="00B822F0" w:rsidRPr="00CE195D" w:rsidRDefault="00B822F0" w:rsidP="00510D7B">
            <w:pPr>
              <w:jc w:val="left"/>
            </w:pPr>
            <w:r w:rsidRPr="00253EFD">
              <w:t>72.28</w:t>
            </w:r>
          </w:p>
        </w:tc>
      </w:tr>
      <w:tr w:rsidR="00B822F0" w:rsidRPr="00253EFD" w14:paraId="677B6DE8" w14:textId="77777777" w:rsidTr="00510D7B">
        <w:tc>
          <w:tcPr>
            <w:tcW w:w="0" w:type="pct"/>
            <w:gridSpan w:val="5"/>
          </w:tcPr>
          <w:p w14:paraId="677B6DE1" w14:textId="77777777" w:rsidR="00B822F0" w:rsidRPr="00CE195D" w:rsidRDefault="00B822F0" w:rsidP="00510D7B">
            <w:pPr>
              <w:pStyle w:val="ECCTablenote"/>
            </w:pPr>
            <w:r w:rsidRPr="00CE195D">
              <w:t xml:space="preserve">Note 1: The element gain in row 1.2 includes the loss given in row 1.8 and is per polarization. This means that this parameter in row 1.8 is not needed for the calculation of the BS composite antenna gain and e.i.r.p. </w:t>
            </w:r>
          </w:p>
          <w:p w14:paraId="677B6DE2" w14:textId="77777777" w:rsidR="00B822F0" w:rsidRPr="00CE195D" w:rsidRDefault="00B822F0" w:rsidP="00510D7B">
            <w:pPr>
              <w:pStyle w:val="ECCTablenote"/>
            </w:pPr>
            <w:r w:rsidRPr="00CE195D">
              <w:t xml:space="preserve">Note 2: </w:t>
            </w:r>
            <w:bookmarkStart w:id="60" w:name="_Hlk42108662"/>
            <w:r w:rsidRPr="00CE195D">
              <w:t xml:space="preserve">For the small/micro cell case, 8 × 8 means there are 8 vertical and 8 horizontal radiating elements. </w:t>
            </w:r>
            <w:bookmarkEnd w:id="60"/>
            <w:r w:rsidRPr="00CE195D">
              <w:t>For the extended AAS model case, 4 × 8 means there are 4 vertical and 8 horizontal radiating sub-arrays.</w:t>
            </w:r>
          </w:p>
          <w:p w14:paraId="677B6DE3" w14:textId="77777777" w:rsidR="00B822F0" w:rsidRPr="00CE195D" w:rsidRDefault="00B822F0" w:rsidP="00510D7B">
            <w:pPr>
              <w:pStyle w:val="ECCTablenote"/>
            </w:pPr>
            <w:r w:rsidRPr="00CE195D">
              <w:t>Note 3: The vertical coverage range is given in global coordinate system, i.e. 90° being at the horizon.</w:t>
            </w:r>
          </w:p>
          <w:p w14:paraId="677B6DE4" w14:textId="77777777" w:rsidR="00B822F0" w:rsidRPr="00CE195D" w:rsidRDefault="00B822F0" w:rsidP="00510D7B">
            <w:pPr>
              <w:pStyle w:val="ECCTablenote"/>
            </w:pPr>
            <w:r w:rsidRPr="00CE195D">
              <w:t>Note 4: The vertical coverage range in row 1.11 includes the mechanical downtilt given in row 1.12.</w:t>
            </w:r>
          </w:p>
          <w:p w14:paraId="677B6DE5" w14:textId="4CDA2646" w:rsidR="00B822F0" w:rsidRPr="00CE195D" w:rsidRDefault="00B822F0" w:rsidP="00510D7B">
            <w:pPr>
              <w:pStyle w:val="ECCTablenote"/>
            </w:pPr>
            <w:r w:rsidRPr="00CE195D">
              <w:t>Note 5: The conducted power per element assumes 8 × 8 × 2 elements for the micro/small cell case, and 4 x 8 x 2 sub-arrays for the macro case (i.e. power per H/V polari</w:t>
            </w:r>
            <w:r w:rsidR="00486FC5">
              <w:t>s</w:t>
            </w:r>
            <w:r w:rsidRPr="00CE195D">
              <w:t xml:space="preserve">ed element). </w:t>
            </w:r>
          </w:p>
          <w:p w14:paraId="677B6DE6" w14:textId="77777777" w:rsidR="00B822F0" w:rsidRPr="00CE195D" w:rsidRDefault="00B822F0" w:rsidP="00510D7B">
            <w:pPr>
              <w:pStyle w:val="ECCTablenote"/>
            </w:pPr>
            <w:r w:rsidRPr="00CE195D">
              <w:t>Note 6: In sharing studies, the transmit power calculated using row 1.9 is applied to the typical channel bandwidth given in Table 5-1 and 6-1 respectively for the corresponding frequency bands.</w:t>
            </w:r>
          </w:p>
          <w:p w14:paraId="677B6DE7" w14:textId="29FC8AEC" w:rsidR="00B822F0" w:rsidRPr="00CE195D" w:rsidRDefault="00B822F0" w:rsidP="00510D7B">
            <w:pPr>
              <w:pStyle w:val="ECCTablenote"/>
            </w:pPr>
            <w:r w:rsidRPr="00CE195D">
              <w:t>Note 7: In sharing studies, the UE that are below the base station vertical coverage range can be considered to be served by the “lower” bound of the electrical beam, i.e. beam steered towards the max. coverage angle. A minimum BS-UE distance along the ground of 35</w:t>
            </w:r>
            <w:r w:rsidR="00BC3834">
              <w:t xml:space="preserve"> </w:t>
            </w:r>
            <w:r w:rsidRPr="00CE195D">
              <w:t>m should be used for urban/suburban and rural macro environments, 5 m for micro/outdoor small cell, and 2 m for indoor small cell/urban scenarios.</w:t>
            </w:r>
          </w:p>
        </w:tc>
      </w:tr>
    </w:tbl>
    <w:p w14:paraId="677B6DEA" w14:textId="06E5DF60" w:rsidR="00B822F0" w:rsidRDefault="00B822F0" w:rsidP="00B822F0">
      <w:r>
        <w:t xml:space="preserve">Similarly, Table 5-1 of Annex 4.4 to the WP5D Chairman's Report </w:t>
      </w:r>
      <w:r w:rsidRPr="00CE195D">
        <w:t>5D/716</w:t>
      </w:r>
      <w:r>
        <w:t xml:space="preserve"> provides the list of deployment assumptions to consider for both AAS and non AAS BS in the 2-3 GHz band.</w:t>
      </w:r>
    </w:p>
    <w:p w14:paraId="677B6DEB" w14:textId="5A4CFA23" w:rsidR="00B822F0" w:rsidRPr="00510D7B" w:rsidRDefault="00AA49BF" w:rsidP="00AA49BF">
      <w:pPr>
        <w:pStyle w:val="Caption"/>
        <w:rPr>
          <w:lang w:val="en-GB"/>
        </w:rPr>
      </w:pPr>
      <w:r w:rsidRPr="00C2101E">
        <w:rPr>
          <w:lang w:val="en-GB"/>
        </w:rPr>
        <w:t xml:space="preserve">Table </w:t>
      </w:r>
      <w:r>
        <w:fldChar w:fldCharType="begin"/>
      </w:r>
      <w:r w:rsidRPr="00C2101E">
        <w:rPr>
          <w:lang w:val="en-GB"/>
        </w:rPr>
        <w:instrText xml:space="preserve"> SEQ Table \* ARABIC </w:instrText>
      </w:r>
      <w:r>
        <w:fldChar w:fldCharType="separate"/>
      </w:r>
      <w:r w:rsidR="009464FD">
        <w:rPr>
          <w:noProof/>
          <w:lang w:val="en-GB"/>
        </w:rPr>
        <w:t>6</w:t>
      </w:r>
      <w:r>
        <w:fldChar w:fldCharType="end"/>
      </w:r>
      <w:r w:rsidRPr="00C2101E">
        <w:rPr>
          <w:lang w:val="en-GB"/>
        </w:rPr>
        <w:t>:</w:t>
      </w:r>
      <w:r w:rsidRPr="00510D7B">
        <w:rPr>
          <w:lang w:val="en-GB"/>
        </w:rPr>
        <w:t xml:space="preserve"> </w:t>
      </w:r>
      <w:r w:rsidR="00B822F0" w:rsidRPr="00510D7B">
        <w:rPr>
          <w:lang w:val="en-GB"/>
        </w:rPr>
        <w:t>Deployment-related parameters for bands between 1 and 3 GHz</w:t>
      </w:r>
    </w:p>
    <w:tbl>
      <w:tblPr>
        <w:tblStyle w:val="ECCTable-redheader"/>
        <w:tblW w:w="5000" w:type="pct"/>
        <w:tblInd w:w="0" w:type="dxa"/>
        <w:tblLayout w:type="fixed"/>
        <w:tblLook w:val="04A0" w:firstRow="1" w:lastRow="0" w:firstColumn="1" w:lastColumn="0" w:noHBand="0" w:noVBand="1"/>
      </w:tblPr>
      <w:tblGrid>
        <w:gridCol w:w="3210"/>
        <w:gridCol w:w="3210"/>
        <w:gridCol w:w="3209"/>
      </w:tblGrid>
      <w:tr w:rsidR="00B822F0" w:rsidRPr="00253EFD" w14:paraId="677B6DEF" w14:textId="77777777" w:rsidTr="00510D7B">
        <w:trPr>
          <w:cnfStyle w:val="100000000000" w:firstRow="1" w:lastRow="0" w:firstColumn="0" w:lastColumn="0" w:oddVBand="0" w:evenVBand="0" w:oddHBand="0" w:evenHBand="0" w:firstRowFirstColumn="0" w:firstRowLastColumn="0" w:lastRowFirstColumn="0" w:lastRowLastColumn="0"/>
        </w:trPr>
        <w:tc>
          <w:tcPr>
            <w:tcW w:w="0" w:type="pct"/>
          </w:tcPr>
          <w:p w14:paraId="677B6DEC" w14:textId="77777777" w:rsidR="00B822F0" w:rsidRPr="00F91071" w:rsidRDefault="00B822F0" w:rsidP="006548B5"/>
        </w:tc>
        <w:tc>
          <w:tcPr>
            <w:tcW w:w="0" w:type="pct"/>
          </w:tcPr>
          <w:p w14:paraId="677B6DED" w14:textId="77777777" w:rsidR="00B822F0" w:rsidRPr="00F91071" w:rsidRDefault="00B822F0" w:rsidP="006548B5">
            <w:r w:rsidRPr="00F91071">
              <w:t xml:space="preserve">Rural macro </w:t>
            </w:r>
          </w:p>
        </w:tc>
        <w:tc>
          <w:tcPr>
            <w:tcW w:w="0" w:type="pct"/>
          </w:tcPr>
          <w:p w14:paraId="677B6DEE" w14:textId="77777777" w:rsidR="00B822F0" w:rsidRPr="00F91071" w:rsidRDefault="00B822F0" w:rsidP="006548B5">
            <w:r w:rsidRPr="00F91071">
              <w:t>Urban/suburban macro</w:t>
            </w:r>
            <w:r w:rsidRPr="00F91071" w:rsidDel="00FB60D4">
              <w:t xml:space="preserve"> </w:t>
            </w:r>
          </w:p>
        </w:tc>
      </w:tr>
      <w:tr w:rsidR="00B822F0" w:rsidRPr="00253EFD" w14:paraId="677B6DF1" w14:textId="77777777" w:rsidTr="00510D7B">
        <w:tc>
          <w:tcPr>
            <w:tcW w:w="0" w:type="pct"/>
            <w:gridSpan w:val="3"/>
            <w:hideMark/>
          </w:tcPr>
          <w:p w14:paraId="677B6DF0" w14:textId="77777777" w:rsidR="00B822F0" w:rsidRPr="00F91071" w:rsidRDefault="00B822F0" w:rsidP="00510D7B">
            <w:pPr>
              <w:pStyle w:val="ECCTabletext"/>
              <w:jc w:val="left"/>
            </w:pPr>
            <w:r w:rsidRPr="00F91071">
              <w:t>Base station characteristics/Cell structure</w:t>
            </w:r>
          </w:p>
        </w:tc>
      </w:tr>
      <w:tr w:rsidR="00B822F0" w:rsidRPr="00253EFD" w14:paraId="677B6DF5" w14:textId="77777777" w:rsidTr="00510D7B">
        <w:tc>
          <w:tcPr>
            <w:tcW w:w="0" w:type="pct"/>
          </w:tcPr>
          <w:p w14:paraId="677B6DF2" w14:textId="61557A9C" w:rsidR="00B822F0" w:rsidRPr="00F91071" w:rsidRDefault="00B822F0" w:rsidP="00510D7B">
            <w:pPr>
              <w:pStyle w:val="ECCTabletext"/>
              <w:jc w:val="left"/>
            </w:pPr>
            <w:r w:rsidRPr="00253EFD">
              <w:t xml:space="preserve">Cell radius/Deployment density (for bands between 2 and 3 GHz) </w:t>
            </w:r>
            <w:r w:rsidRPr="00253EFD">
              <w:br/>
              <w:t>(Report ITU-R M.2292</w:t>
            </w:r>
            <w:r w:rsidR="005D495E">
              <w:t xml:space="preserve"> </w:t>
            </w:r>
            <w:r w:rsidR="005D495E">
              <w:fldChar w:fldCharType="begin"/>
            </w:r>
            <w:r w:rsidR="005D495E">
              <w:instrText xml:space="preserve"> REF _Ref107571454 \r \h </w:instrText>
            </w:r>
            <w:r w:rsidR="005D495E">
              <w:fldChar w:fldCharType="separate"/>
            </w:r>
            <w:r w:rsidR="009464FD">
              <w:t>[17]</w:t>
            </w:r>
            <w:r w:rsidR="005D495E">
              <w:fldChar w:fldCharType="end"/>
            </w:r>
            <w:r w:rsidRPr="00253EFD">
              <w:t>)</w:t>
            </w:r>
          </w:p>
        </w:tc>
        <w:tc>
          <w:tcPr>
            <w:tcW w:w="0" w:type="pct"/>
          </w:tcPr>
          <w:p w14:paraId="677B6DF3" w14:textId="77777777" w:rsidR="00B822F0" w:rsidRPr="00F91071" w:rsidRDefault="00B822F0" w:rsidP="00510D7B">
            <w:pPr>
              <w:pStyle w:val="ECCTabletext"/>
              <w:jc w:val="left"/>
            </w:pPr>
            <w:r w:rsidRPr="00253EFD">
              <w:t>&gt;</w:t>
            </w:r>
            <w:r w:rsidRPr="00F91071">
              <w:t xml:space="preserve"> 2 km</w:t>
            </w:r>
            <w:r w:rsidRPr="00F91071">
              <w:br/>
              <w:t>(typical value to be used in sharing studies 4 km)</w:t>
            </w:r>
          </w:p>
        </w:tc>
        <w:tc>
          <w:tcPr>
            <w:tcW w:w="0" w:type="pct"/>
          </w:tcPr>
          <w:p w14:paraId="677B6DF4" w14:textId="77777777" w:rsidR="00B822F0" w:rsidRPr="00F91071" w:rsidRDefault="00B822F0" w:rsidP="00510D7B">
            <w:pPr>
              <w:pStyle w:val="ECCTabletext"/>
              <w:jc w:val="left"/>
            </w:pPr>
            <w:r w:rsidRPr="00253EFD">
              <w:t>0.2-0.8 km urban / 0.4-2.5 km suburban (typical value to be used in sharing studies for urban macro 0.4 km and for suburban macro 0.8 km)</w:t>
            </w:r>
          </w:p>
        </w:tc>
      </w:tr>
      <w:tr w:rsidR="00B822F0" w:rsidRPr="00253EFD" w14:paraId="677B6DF9" w14:textId="77777777" w:rsidTr="00510D7B">
        <w:tc>
          <w:tcPr>
            <w:tcW w:w="0" w:type="pct"/>
          </w:tcPr>
          <w:p w14:paraId="677B6DF6" w14:textId="77777777" w:rsidR="00B822F0" w:rsidRPr="00F91071" w:rsidRDefault="00B822F0" w:rsidP="00510D7B">
            <w:pPr>
              <w:pStyle w:val="ECCTabletext"/>
              <w:jc w:val="left"/>
            </w:pPr>
            <w:r w:rsidRPr="00253EFD">
              <w:t xml:space="preserve">Antenna height </w:t>
            </w:r>
            <w:r w:rsidRPr="00253EFD">
              <w:br/>
              <w:t>(Report ITU-R M.2292)</w:t>
            </w:r>
          </w:p>
        </w:tc>
        <w:tc>
          <w:tcPr>
            <w:tcW w:w="0" w:type="pct"/>
          </w:tcPr>
          <w:p w14:paraId="677B6DF7" w14:textId="77777777" w:rsidR="00B822F0" w:rsidRPr="00F91071" w:rsidRDefault="00B822F0" w:rsidP="00510D7B">
            <w:pPr>
              <w:pStyle w:val="ECCTabletext"/>
              <w:jc w:val="left"/>
            </w:pPr>
            <w:r w:rsidRPr="00253EFD">
              <w:t xml:space="preserve">30 m </w:t>
            </w:r>
          </w:p>
        </w:tc>
        <w:tc>
          <w:tcPr>
            <w:tcW w:w="0" w:type="pct"/>
          </w:tcPr>
          <w:p w14:paraId="677B6DF8" w14:textId="77777777" w:rsidR="00B822F0" w:rsidRPr="00F91071" w:rsidRDefault="00B822F0" w:rsidP="00510D7B">
            <w:pPr>
              <w:pStyle w:val="ECCTabletext"/>
              <w:jc w:val="left"/>
            </w:pPr>
            <w:r w:rsidRPr="00253EFD">
              <w:t>20 m urban / 25 m suburban (2-3 GHz)</w:t>
            </w:r>
          </w:p>
        </w:tc>
      </w:tr>
      <w:tr w:rsidR="00B822F0" w:rsidRPr="00253EFD" w14:paraId="677B6DFD" w14:textId="77777777" w:rsidTr="00510D7B">
        <w:tc>
          <w:tcPr>
            <w:tcW w:w="0" w:type="pct"/>
          </w:tcPr>
          <w:p w14:paraId="677B6DFA" w14:textId="77777777" w:rsidR="00B822F0" w:rsidRPr="00F91071" w:rsidRDefault="00B822F0" w:rsidP="00510D7B">
            <w:pPr>
              <w:pStyle w:val="ECCTabletext"/>
              <w:jc w:val="left"/>
            </w:pPr>
            <w:r w:rsidRPr="00253EFD">
              <w:br w:type="page"/>
              <w:t>Sectorization</w:t>
            </w:r>
          </w:p>
        </w:tc>
        <w:tc>
          <w:tcPr>
            <w:tcW w:w="0" w:type="pct"/>
          </w:tcPr>
          <w:p w14:paraId="677B6DFB" w14:textId="77777777" w:rsidR="00B822F0" w:rsidRPr="00F91071" w:rsidRDefault="00B822F0" w:rsidP="00510D7B">
            <w:pPr>
              <w:pStyle w:val="ECCTabletext"/>
              <w:jc w:val="left"/>
            </w:pPr>
            <w:r w:rsidRPr="00253EFD">
              <w:t>3 sectors</w:t>
            </w:r>
          </w:p>
        </w:tc>
        <w:tc>
          <w:tcPr>
            <w:tcW w:w="0" w:type="pct"/>
          </w:tcPr>
          <w:p w14:paraId="677B6DFC" w14:textId="77777777" w:rsidR="00B822F0" w:rsidRPr="00F91071" w:rsidRDefault="00B822F0" w:rsidP="00510D7B">
            <w:pPr>
              <w:pStyle w:val="ECCTabletext"/>
              <w:jc w:val="left"/>
            </w:pPr>
            <w:r w:rsidRPr="00253EFD">
              <w:t>3 sectors</w:t>
            </w:r>
          </w:p>
        </w:tc>
      </w:tr>
      <w:tr w:rsidR="00B822F0" w:rsidRPr="00253EFD" w14:paraId="677B6E01" w14:textId="77777777" w:rsidTr="00510D7B">
        <w:tc>
          <w:tcPr>
            <w:tcW w:w="0" w:type="pct"/>
          </w:tcPr>
          <w:p w14:paraId="677B6DFE" w14:textId="77777777" w:rsidR="00B822F0" w:rsidRPr="00F91071" w:rsidRDefault="00B822F0" w:rsidP="00510D7B">
            <w:pPr>
              <w:pStyle w:val="ECCTabletext"/>
              <w:jc w:val="left"/>
            </w:pPr>
            <w:r w:rsidRPr="00253EFD">
              <w:lastRenderedPageBreak/>
              <w:t xml:space="preserve">Non-AAS BS downtilt </w:t>
            </w:r>
            <w:r w:rsidRPr="00253EFD">
              <w:br/>
            </w:r>
            <w:r w:rsidRPr="00F91071">
              <w:t xml:space="preserve">(Report ITU-R M.2292) </w:t>
            </w:r>
            <w:r w:rsidRPr="00F91071">
              <w:br/>
              <w:t>(Note 1)</w:t>
            </w:r>
          </w:p>
        </w:tc>
        <w:tc>
          <w:tcPr>
            <w:tcW w:w="0" w:type="pct"/>
          </w:tcPr>
          <w:p w14:paraId="677B6DFF" w14:textId="77777777" w:rsidR="00B822F0" w:rsidRPr="00F91071" w:rsidRDefault="00B822F0" w:rsidP="00510D7B">
            <w:pPr>
              <w:pStyle w:val="ECCTabletext"/>
              <w:jc w:val="left"/>
            </w:pPr>
            <w:r w:rsidRPr="00253EFD">
              <w:t xml:space="preserve">3 degrees </w:t>
            </w:r>
          </w:p>
        </w:tc>
        <w:tc>
          <w:tcPr>
            <w:tcW w:w="0" w:type="pct"/>
          </w:tcPr>
          <w:p w14:paraId="677B6E00" w14:textId="5BBC8EFC" w:rsidR="00B822F0" w:rsidRPr="00F91071" w:rsidRDefault="00B822F0" w:rsidP="00510D7B">
            <w:pPr>
              <w:pStyle w:val="ECCTabletext"/>
              <w:jc w:val="left"/>
            </w:pPr>
            <w:r w:rsidRPr="00253EFD">
              <w:t>10 degrees urban/6 degrees suburban</w:t>
            </w:r>
          </w:p>
        </w:tc>
      </w:tr>
      <w:tr w:rsidR="00B822F0" w:rsidRPr="00253EFD" w14:paraId="677B6E05" w14:textId="77777777" w:rsidTr="00510D7B">
        <w:tc>
          <w:tcPr>
            <w:tcW w:w="0" w:type="pct"/>
          </w:tcPr>
          <w:p w14:paraId="677B6E02" w14:textId="77777777" w:rsidR="00B822F0" w:rsidRPr="00F91071" w:rsidRDefault="00B822F0" w:rsidP="00510D7B">
            <w:pPr>
              <w:pStyle w:val="ECCTabletext"/>
              <w:jc w:val="left"/>
            </w:pPr>
            <w:r w:rsidRPr="00253EFD">
              <w:t>Frequency reuse</w:t>
            </w:r>
          </w:p>
        </w:tc>
        <w:tc>
          <w:tcPr>
            <w:tcW w:w="0" w:type="pct"/>
          </w:tcPr>
          <w:p w14:paraId="677B6E03" w14:textId="77777777" w:rsidR="00B822F0" w:rsidRPr="00F91071" w:rsidRDefault="00B822F0" w:rsidP="00510D7B">
            <w:pPr>
              <w:pStyle w:val="ECCTabletext"/>
              <w:jc w:val="left"/>
            </w:pPr>
            <w:r w:rsidRPr="00253EFD">
              <w:t>1</w:t>
            </w:r>
          </w:p>
        </w:tc>
        <w:tc>
          <w:tcPr>
            <w:tcW w:w="0" w:type="pct"/>
          </w:tcPr>
          <w:p w14:paraId="677B6E04" w14:textId="77777777" w:rsidR="00B822F0" w:rsidRPr="00F91071" w:rsidRDefault="00B822F0" w:rsidP="00510D7B">
            <w:pPr>
              <w:pStyle w:val="ECCTabletext"/>
              <w:jc w:val="left"/>
            </w:pPr>
            <w:r w:rsidRPr="00253EFD">
              <w:t>1</w:t>
            </w:r>
          </w:p>
        </w:tc>
      </w:tr>
      <w:tr w:rsidR="00B822F0" w:rsidRPr="008F5F56" w14:paraId="677B6E0E" w14:textId="77777777" w:rsidTr="00510D7B">
        <w:tc>
          <w:tcPr>
            <w:tcW w:w="0" w:type="pct"/>
          </w:tcPr>
          <w:p w14:paraId="677B6E06" w14:textId="77777777" w:rsidR="00B822F0" w:rsidRPr="00F91071" w:rsidRDefault="00B822F0" w:rsidP="00510D7B">
            <w:pPr>
              <w:pStyle w:val="ECCTabletext"/>
              <w:jc w:val="left"/>
            </w:pPr>
            <w:r w:rsidRPr="00253EFD">
              <w:t xml:space="preserve">Non-AAS BS antenna pattern </w:t>
            </w:r>
            <w:r w:rsidRPr="00F91071">
              <w:t>(Note 1)</w:t>
            </w:r>
          </w:p>
        </w:tc>
        <w:tc>
          <w:tcPr>
            <w:tcW w:w="0" w:type="pct"/>
            <w:gridSpan w:val="2"/>
          </w:tcPr>
          <w:p w14:paraId="677B6E07" w14:textId="67AC5163" w:rsidR="00B822F0" w:rsidRPr="00C420F7" w:rsidRDefault="00B822F0" w:rsidP="00510D7B">
            <w:pPr>
              <w:pStyle w:val="ECCTabletext"/>
              <w:jc w:val="left"/>
            </w:pPr>
            <w:r w:rsidRPr="0009467C">
              <w:t xml:space="preserve">Recommendation ITU-R F.1336 (recommends 3.1) </w:t>
            </w:r>
            <w:r w:rsidR="003076A8">
              <w:fldChar w:fldCharType="begin"/>
            </w:r>
            <w:r w:rsidR="003076A8">
              <w:instrText xml:space="preserve"> REF _Ref104907242 \r \h </w:instrText>
            </w:r>
            <w:r w:rsidR="003076A8">
              <w:fldChar w:fldCharType="separate"/>
            </w:r>
            <w:r w:rsidR="009464FD">
              <w:t>[14]</w:t>
            </w:r>
            <w:r w:rsidR="003076A8">
              <w:fldChar w:fldCharType="end"/>
            </w:r>
            <w:r w:rsidRPr="0009467C">
              <w:br/>
            </w:r>
            <w:r w:rsidRPr="0009467C">
              <w:tab/>
              <w:t>ka = 0.7</w:t>
            </w:r>
          </w:p>
          <w:p w14:paraId="677B6E08" w14:textId="77777777" w:rsidR="00B822F0" w:rsidRPr="00F91071" w:rsidRDefault="00B822F0" w:rsidP="00510D7B">
            <w:pPr>
              <w:pStyle w:val="ECCTabletext"/>
              <w:jc w:val="left"/>
            </w:pPr>
            <w:r w:rsidRPr="00BB6966">
              <w:tab/>
            </w:r>
            <w:proofErr w:type="spellStart"/>
            <w:r w:rsidRPr="00F91071">
              <w:t>kp</w:t>
            </w:r>
            <w:proofErr w:type="spellEnd"/>
            <w:r w:rsidRPr="00F91071">
              <w:t xml:space="preserve"> = 0.7</w:t>
            </w:r>
          </w:p>
          <w:p w14:paraId="677B6E09" w14:textId="77777777" w:rsidR="00B822F0" w:rsidRPr="00F91071" w:rsidRDefault="00B822F0" w:rsidP="00510D7B">
            <w:pPr>
              <w:pStyle w:val="ECCTabletext"/>
              <w:jc w:val="left"/>
            </w:pPr>
            <w:r w:rsidRPr="00253EFD">
              <w:tab/>
            </w:r>
            <w:proofErr w:type="spellStart"/>
            <w:r w:rsidRPr="00F91071">
              <w:t>kh</w:t>
            </w:r>
            <w:proofErr w:type="spellEnd"/>
            <w:r w:rsidRPr="00F91071">
              <w:t xml:space="preserve"> = 0.7</w:t>
            </w:r>
          </w:p>
          <w:p w14:paraId="677B6E0A" w14:textId="77777777" w:rsidR="00B822F0" w:rsidRPr="00F91071" w:rsidRDefault="00B822F0" w:rsidP="00510D7B">
            <w:pPr>
              <w:pStyle w:val="ECCTabletext"/>
              <w:jc w:val="left"/>
            </w:pPr>
            <w:r w:rsidRPr="00253EFD">
              <w:tab/>
            </w:r>
            <w:proofErr w:type="spellStart"/>
            <w:r w:rsidRPr="00F91071">
              <w:t>kv</w:t>
            </w:r>
            <w:proofErr w:type="spellEnd"/>
            <w:r w:rsidRPr="00F91071">
              <w:t xml:space="preserve"> = 0.3</w:t>
            </w:r>
          </w:p>
          <w:p w14:paraId="677B6E0B" w14:textId="77777777" w:rsidR="00B822F0" w:rsidRPr="00F91071" w:rsidRDefault="00B822F0" w:rsidP="00510D7B">
            <w:pPr>
              <w:pStyle w:val="ECCTabletext"/>
              <w:jc w:val="left"/>
            </w:pPr>
            <w:r w:rsidRPr="00253EFD">
              <w:t xml:space="preserve">Horizontal 3 dB </w:t>
            </w:r>
            <w:r w:rsidRPr="00F91071">
              <w:t>beamwidth: 65 degrees</w:t>
            </w:r>
          </w:p>
          <w:p w14:paraId="677B6E0C" w14:textId="77777777" w:rsidR="00B822F0" w:rsidRPr="00F91071" w:rsidRDefault="00B822F0" w:rsidP="00510D7B">
            <w:pPr>
              <w:pStyle w:val="ECCTabletext"/>
              <w:jc w:val="left"/>
            </w:pPr>
            <w:r w:rsidRPr="00253EFD">
              <w:t>Vertical 3 dB beamwidth: determined from the horizontal beamwidth by equations in Recommendation ITU-R F.1336.</w:t>
            </w:r>
          </w:p>
          <w:p w14:paraId="677B6E0D" w14:textId="77777777" w:rsidR="00B822F0" w:rsidRPr="00F91071" w:rsidRDefault="00B822F0" w:rsidP="00510D7B">
            <w:pPr>
              <w:pStyle w:val="ECCTabletext"/>
              <w:jc w:val="left"/>
            </w:pPr>
            <w:r w:rsidRPr="00253EFD">
              <w:t>Vertical beamwidths of actual antennas may also be used when available.</w:t>
            </w:r>
          </w:p>
        </w:tc>
      </w:tr>
      <w:tr w:rsidR="00B822F0" w:rsidRPr="00253EFD" w14:paraId="677B6E12" w14:textId="77777777" w:rsidTr="00510D7B">
        <w:tc>
          <w:tcPr>
            <w:tcW w:w="0" w:type="pct"/>
          </w:tcPr>
          <w:p w14:paraId="677B6E0F" w14:textId="6BC644FE" w:rsidR="00B822F0" w:rsidRPr="008C6D51" w:rsidRDefault="00B822F0" w:rsidP="00510D7B">
            <w:pPr>
              <w:pStyle w:val="ECCTabletext"/>
              <w:jc w:val="left"/>
            </w:pPr>
            <w:r w:rsidRPr="008C6D51">
              <w:t xml:space="preserve">Non-AAS BS antenna </w:t>
            </w:r>
            <w:r w:rsidR="003076A8" w:rsidRPr="008C6D51">
              <w:t xml:space="preserve">polarisation </w:t>
            </w:r>
            <w:r w:rsidRPr="008C6D51">
              <w:t>(Note 1)</w:t>
            </w:r>
          </w:p>
        </w:tc>
        <w:tc>
          <w:tcPr>
            <w:tcW w:w="0" w:type="pct"/>
          </w:tcPr>
          <w:p w14:paraId="677B6E10" w14:textId="77777777" w:rsidR="00B822F0" w:rsidRPr="00F91071" w:rsidRDefault="00B822F0" w:rsidP="00510D7B">
            <w:pPr>
              <w:pStyle w:val="ECCTabletext"/>
              <w:jc w:val="left"/>
            </w:pPr>
            <w:r w:rsidRPr="00253EFD">
              <w:t>Linear/±45 degrees</w:t>
            </w:r>
          </w:p>
        </w:tc>
        <w:tc>
          <w:tcPr>
            <w:tcW w:w="0" w:type="pct"/>
          </w:tcPr>
          <w:p w14:paraId="677B6E11" w14:textId="77777777" w:rsidR="00B822F0" w:rsidRPr="00F91071" w:rsidRDefault="00B822F0" w:rsidP="00510D7B">
            <w:pPr>
              <w:pStyle w:val="ECCTabletext"/>
              <w:jc w:val="left"/>
            </w:pPr>
            <w:r w:rsidRPr="00253EFD">
              <w:t>Linear/±45 degrees</w:t>
            </w:r>
          </w:p>
        </w:tc>
      </w:tr>
      <w:tr w:rsidR="00B822F0" w:rsidRPr="00253EFD" w14:paraId="677B6E16" w14:textId="77777777" w:rsidTr="00510D7B">
        <w:tc>
          <w:tcPr>
            <w:tcW w:w="0" w:type="pct"/>
          </w:tcPr>
          <w:p w14:paraId="677B6E13" w14:textId="77777777" w:rsidR="00B822F0" w:rsidRPr="00F91071" w:rsidRDefault="00B822F0" w:rsidP="00510D7B">
            <w:pPr>
              <w:pStyle w:val="ECCTabletext"/>
              <w:jc w:val="left"/>
            </w:pPr>
            <w:r w:rsidRPr="00253EFD">
              <w:t>Indoor base station deployment</w:t>
            </w:r>
          </w:p>
        </w:tc>
        <w:tc>
          <w:tcPr>
            <w:tcW w:w="0" w:type="pct"/>
          </w:tcPr>
          <w:p w14:paraId="677B6E14" w14:textId="77777777" w:rsidR="00B822F0" w:rsidRPr="00F91071" w:rsidRDefault="00B822F0" w:rsidP="00510D7B">
            <w:pPr>
              <w:pStyle w:val="ECCTabletext"/>
              <w:jc w:val="left"/>
            </w:pPr>
            <w:proofErr w:type="spellStart"/>
            <w:r w:rsidRPr="00253EFD">
              <w:t>n.a.</w:t>
            </w:r>
            <w:proofErr w:type="spellEnd"/>
          </w:p>
        </w:tc>
        <w:tc>
          <w:tcPr>
            <w:tcW w:w="0" w:type="pct"/>
          </w:tcPr>
          <w:p w14:paraId="677B6E15" w14:textId="77777777" w:rsidR="00B822F0" w:rsidRPr="00F91071" w:rsidRDefault="00B822F0" w:rsidP="00510D7B">
            <w:pPr>
              <w:pStyle w:val="ECCTabletext"/>
              <w:jc w:val="left"/>
            </w:pPr>
            <w:proofErr w:type="spellStart"/>
            <w:r w:rsidRPr="00253EFD">
              <w:t>n.a.</w:t>
            </w:r>
            <w:proofErr w:type="spellEnd"/>
          </w:p>
        </w:tc>
      </w:tr>
      <w:tr w:rsidR="00B822F0" w:rsidRPr="00253EFD" w14:paraId="677B6E1A" w14:textId="77777777" w:rsidTr="00510D7B">
        <w:tc>
          <w:tcPr>
            <w:tcW w:w="0" w:type="pct"/>
          </w:tcPr>
          <w:p w14:paraId="677B6E17" w14:textId="77777777" w:rsidR="00B822F0" w:rsidRPr="00F91071" w:rsidRDefault="00B822F0" w:rsidP="00510D7B">
            <w:pPr>
              <w:pStyle w:val="ECCTabletext"/>
              <w:jc w:val="left"/>
            </w:pPr>
            <w:r w:rsidRPr="00253EFD">
              <w:t>Indoor base station penetration loss</w:t>
            </w:r>
          </w:p>
        </w:tc>
        <w:tc>
          <w:tcPr>
            <w:tcW w:w="0" w:type="pct"/>
          </w:tcPr>
          <w:p w14:paraId="677B6E18" w14:textId="77777777" w:rsidR="00B822F0" w:rsidRPr="00F91071" w:rsidRDefault="00B822F0" w:rsidP="00510D7B">
            <w:pPr>
              <w:pStyle w:val="ECCTabletext"/>
              <w:jc w:val="left"/>
            </w:pPr>
            <w:proofErr w:type="spellStart"/>
            <w:r w:rsidRPr="00253EFD">
              <w:t>n.a.</w:t>
            </w:r>
            <w:proofErr w:type="spellEnd"/>
          </w:p>
        </w:tc>
        <w:tc>
          <w:tcPr>
            <w:tcW w:w="0" w:type="pct"/>
          </w:tcPr>
          <w:p w14:paraId="677B6E19" w14:textId="77777777" w:rsidR="00B822F0" w:rsidRPr="00F91071" w:rsidRDefault="00B822F0" w:rsidP="00510D7B">
            <w:pPr>
              <w:pStyle w:val="ECCTabletext"/>
              <w:jc w:val="left"/>
            </w:pPr>
            <w:proofErr w:type="spellStart"/>
            <w:r w:rsidRPr="00253EFD">
              <w:t>n.a.</w:t>
            </w:r>
            <w:proofErr w:type="spellEnd"/>
          </w:p>
        </w:tc>
      </w:tr>
      <w:tr w:rsidR="00B822F0" w:rsidRPr="00253EFD" w14:paraId="677B6E1E" w14:textId="77777777" w:rsidTr="00510D7B">
        <w:tc>
          <w:tcPr>
            <w:tcW w:w="0" w:type="pct"/>
          </w:tcPr>
          <w:p w14:paraId="677B6E1B" w14:textId="77777777" w:rsidR="00B822F0" w:rsidRPr="00F91071" w:rsidRDefault="00B822F0" w:rsidP="00510D7B">
            <w:pPr>
              <w:pStyle w:val="ECCTabletext"/>
              <w:jc w:val="left"/>
            </w:pPr>
            <w:r w:rsidRPr="00253EFD">
              <w:t xml:space="preserve">Below rooftop base station antenna </w:t>
            </w:r>
            <w:r w:rsidRPr="00F91071">
              <w:t>deployment (Report ITU-R M.2292)</w:t>
            </w:r>
          </w:p>
        </w:tc>
        <w:tc>
          <w:tcPr>
            <w:tcW w:w="0" w:type="pct"/>
          </w:tcPr>
          <w:p w14:paraId="677B6E1C" w14:textId="77777777" w:rsidR="00B822F0" w:rsidRPr="00F91071" w:rsidRDefault="00B822F0" w:rsidP="00510D7B">
            <w:pPr>
              <w:pStyle w:val="ECCTabletext"/>
              <w:jc w:val="left"/>
            </w:pPr>
            <w:r w:rsidRPr="00253EFD">
              <w:t>0%</w:t>
            </w:r>
          </w:p>
        </w:tc>
        <w:tc>
          <w:tcPr>
            <w:tcW w:w="0" w:type="pct"/>
          </w:tcPr>
          <w:p w14:paraId="677B6E1D" w14:textId="77777777" w:rsidR="00B822F0" w:rsidRPr="00F91071" w:rsidRDefault="00B822F0" w:rsidP="00510D7B">
            <w:pPr>
              <w:pStyle w:val="ECCTabletext"/>
              <w:jc w:val="left"/>
            </w:pPr>
            <w:r w:rsidRPr="00253EFD">
              <w:t>Urban: 30% (1-2 GHz), 50% (2-3 GHz)</w:t>
            </w:r>
            <w:r w:rsidRPr="00253EFD">
              <w:br/>
              <w:t>Suburban: 0%</w:t>
            </w:r>
          </w:p>
        </w:tc>
      </w:tr>
      <w:tr w:rsidR="00B822F0" w:rsidRPr="00253EFD" w14:paraId="677B6E22" w14:textId="77777777" w:rsidTr="00510D7B">
        <w:tc>
          <w:tcPr>
            <w:tcW w:w="0" w:type="pct"/>
          </w:tcPr>
          <w:p w14:paraId="677B6E1F" w14:textId="77777777" w:rsidR="00B822F0" w:rsidRPr="00F91071" w:rsidRDefault="00B822F0" w:rsidP="00510D7B">
            <w:pPr>
              <w:pStyle w:val="ECCTabletext"/>
              <w:jc w:val="left"/>
            </w:pPr>
            <w:r w:rsidRPr="00253EFD">
              <w:br w:type="page"/>
              <w:t xml:space="preserve">Non-AAS BS feeder loss </w:t>
            </w:r>
            <w:r w:rsidRPr="00F91071">
              <w:t>(Note 1)</w:t>
            </w:r>
          </w:p>
        </w:tc>
        <w:tc>
          <w:tcPr>
            <w:tcW w:w="0" w:type="pct"/>
          </w:tcPr>
          <w:p w14:paraId="677B6E20" w14:textId="77777777" w:rsidR="00B822F0" w:rsidRPr="00F91071" w:rsidRDefault="00B822F0" w:rsidP="00510D7B">
            <w:pPr>
              <w:pStyle w:val="ECCTabletext"/>
              <w:jc w:val="left"/>
            </w:pPr>
            <w:r w:rsidRPr="00253EFD">
              <w:t>3 dB</w:t>
            </w:r>
          </w:p>
        </w:tc>
        <w:tc>
          <w:tcPr>
            <w:tcW w:w="0" w:type="pct"/>
          </w:tcPr>
          <w:p w14:paraId="677B6E21" w14:textId="77777777" w:rsidR="00B822F0" w:rsidRPr="00F91071" w:rsidRDefault="00B822F0" w:rsidP="00510D7B">
            <w:pPr>
              <w:pStyle w:val="ECCTabletext"/>
              <w:jc w:val="left"/>
            </w:pPr>
            <w:r w:rsidRPr="00253EFD">
              <w:t>3 dB</w:t>
            </w:r>
          </w:p>
        </w:tc>
      </w:tr>
      <w:tr w:rsidR="00B822F0" w:rsidRPr="00253EFD" w14:paraId="677B6E26" w14:textId="77777777" w:rsidTr="00510D7B">
        <w:tc>
          <w:tcPr>
            <w:tcW w:w="0" w:type="pct"/>
          </w:tcPr>
          <w:p w14:paraId="677B6E23" w14:textId="77777777" w:rsidR="00B822F0" w:rsidRPr="00F91071" w:rsidRDefault="00B822F0" w:rsidP="00510D7B">
            <w:pPr>
              <w:pStyle w:val="ECCTabletext"/>
              <w:jc w:val="left"/>
            </w:pPr>
            <w:r w:rsidRPr="00253EFD">
              <w:t>Typical channel bandwidth</w:t>
            </w:r>
          </w:p>
        </w:tc>
        <w:tc>
          <w:tcPr>
            <w:tcW w:w="0" w:type="pct"/>
          </w:tcPr>
          <w:p w14:paraId="677B6E24" w14:textId="77777777" w:rsidR="00B822F0" w:rsidRPr="00F91071" w:rsidRDefault="00B822F0" w:rsidP="00510D7B">
            <w:pPr>
              <w:pStyle w:val="ECCTabletext"/>
              <w:jc w:val="left"/>
            </w:pPr>
            <w:r w:rsidRPr="00253EFD">
              <w:t>10 MHz</w:t>
            </w:r>
          </w:p>
        </w:tc>
        <w:tc>
          <w:tcPr>
            <w:tcW w:w="0" w:type="pct"/>
          </w:tcPr>
          <w:p w14:paraId="677B6E25" w14:textId="77777777" w:rsidR="00B822F0" w:rsidRPr="00F91071" w:rsidRDefault="00B822F0" w:rsidP="00510D7B">
            <w:pPr>
              <w:pStyle w:val="ECCTabletext"/>
              <w:jc w:val="left"/>
            </w:pPr>
            <w:r w:rsidRPr="00253EFD">
              <w:t>10 MHz</w:t>
            </w:r>
          </w:p>
        </w:tc>
      </w:tr>
      <w:tr w:rsidR="00B822F0" w:rsidRPr="00253EFD" w14:paraId="677B6E2A" w14:textId="77777777" w:rsidTr="00510D7B">
        <w:tc>
          <w:tcPr>
            <w:tcW w:w="0" w:type="pct"/>
          </w:tcPr>
          <w:p w14:paraId="677B6E27" w14:textId="77777777" w:rsidR="00B822F0" w:rsidRPr="00F91071" w:rsidRDefault="00B822F0" w:rsidP="00510D7B">
            <w:pPr>
              <w:pStyle w:val="ECCTabletext"/>
              <w:jc w:val="left"/>
            </w:pPr>
            <w:r w:rsidRPr="00253EFD">
              <w:t xml:space="preserve">Maximum Non-AAS BS output power (in 10 or 20 MHz) (Report ITU-R M.2292) </w:t>
            </w:r>
            <w:r w:rsidRPr="00F91071">
              <w:t>(Note 1)</w:t>
            </w:r>
          </w:p>
        </w:tc>
        <w:tc>
          <w:tcPr>
            <w:tcW w:w="0" w:type="pct"/>
          </w:tcPr>
          <w:p w14:paraId="677B6E28" w14:textId="77777777" w:rsidR="00B822F0" w:rsidRPr="00F91071" w:rsidRDefault="00B822F0" w:rsidP="00510D7B">
            <w:pPr>
              <w:pStyle w:val="ECCTabletext"/>
              <w:jc w:val="left"/>
            </w:pPr>
            <w:r w:rsidRPr="00253EFD">
              <w:t>46 dBm</w:t>
            </w:r>
          </w:p>
        </w:tc>
        <w:tc>
          <w:tcPr>
            <w:tcW w:w="0" w:type="pct"/>
          </w:tcPr>
          <w:p w14:paraId="677B6E29" w14:textId="77777777" w:rsidR="00B822F0" w:rsidRPr="00F91071" w:rsidRDefault="00B822F0" w:rsidP="00510D7B">
            <w:pPr>
              <w:pStyle w:val="ECCTabletext"/>
              <w:jc w:val="left"/>
            </w:pPr>
            <w:r w:rsidRPr="00253EFD">
              <w:t>46 dBm</w:t>
            </w:r>
          </w:p>
        </w:tc>
      </w:tr>
      <w:tr w:rsidR="00B822F0" w:rsidRPr="00253EFD" w14:paraId="677B6E2E" w14:textId="77777777" w:rsidTr="00510D7B">
        <w:tc>
          <w:tcPr>
            <w:tcW w:w="0" w:type="pct"/>
          </w:tcPr>
          <w:p w14:paraId="677B6E2B" w14:textId="77777777" w:rsidR="00B822F0" w:rsidRPr="00F91071" w:rsidRDefault="00B822F0" w:rsidP="00510D7B">
            <w:pPr>
              <w:pStyle w:val="ECCTabletext"/>
              <w:jc w:val="left"/>
            </w:pPr>
            <w:r w:rsidRPr="00253EFD">
              <w:t xml:space="preserve">Maximum Non-AAS BS antenna gain (Report ITU-R M.2292) </w:t>
            </w:r>
            <w:r w:rsidRPr="00F91071">
              <w:t>(Note 1)</w:t>
            </w:r>
          </w:p>
        </w:tc>
        <w:tc>
          <w:tcPr>
            <w:tcW w:w="0" w:type="pct"/>
          </w:tcPr>
          <w:p w14:paraId="677B6E2C" w14:textId="77777777" w:rsidR="00B822F0" w:rsidRPr="00F91071" w:rsidRDefault="00B822F0" w:rsidP="00510D7B">
            <w:pPr>
              <w:pStyle w:val="ECCTabletext"/>
              <w:jc w:val="left"/>
            </w:pPr>
            <w:r w:rsidRPr="00253EFD">
              <w:t>1</w:t>
            </w:r>
            <w:r w:rsidRPr="00F91071">
              <w:t>8 dBi</w:t>
            </w:r>
          </w:p>
        </w:tc>
        <w:tc>
          <w:tcPr>
            <w:tcW w:w="0" w:type="pct"/>
          </w:tcPr>
          <w:p w14:paraId="677B6E2D" w14:textId="77777777" w:rsidR="00B822F0" w:rsidRPr="00F91071" w:rsidRDefault="00B822F0" w:rsidP="00510D7B">
            <w:pPr>
              <w:pStyle w:val="ECCTabletext"/>
              <w:jc w:val="left"/>
            </w:pPr>
            <w:r w:rsidRPr="00253EFD">
              <w:t>1</w:t>
            </w:r>
            <w:r w:rsidRPr="00F91071">
              <w:t>6 dBi</w:t>
            </w:r>
          </w:p>
        </w:tc>
      </w:tr>
      <w:tr w:rsidR="00B822F0" w:rsidRPr="00253EFD" w14:paraId="677B6E32" w14:textId="77777777" w:rsidTr="00510D7B">
        <w:tc>
          <w:tcPr>
            <w:tcW w:w="0" w:type="pct"/>
          </w:tcPr>
          <w:p w14:paraId="677B6E2F" w14:textId="77777777" w:rsidR="00B822F0" w:rsidRPr="00F91071" w:rsidRDefault="00B822F0" w:rsidP="00510D7B">
            <w:pPr>
              <w:pStyle w:val="ECCTabletext"/>
              <w:jc w:val="left"/>
            </w:pPr>
            <w:r w:rsidRPr="00253EFD">
              <w:t xml:space="preserve">Maximum Non-AAS BS output power/sector (e.i.r.p.) </w:t>
            </w:r>
            <w:r w:rsidRPr="00F91071">
              <w:t>(Note 1)</w:t>
            </w:r>
          </w:p>
        </w:tc>
        <w:tc>
          <w:tcPr>
            <w:tcW w:w="0" w:type="pct"/>
          </w:tcPr>
          <w:p w14:paraId="677B6E30" w14:textId="77777777" w:rsidR="00B822F0" w:rsidRPr="00F91071" w:rsidRDefault="00B822F0" w:rsidP="00510D7B">
            <w:pPr>
              <w:pStyle w:val="ECCTabletext"/>
              <w:jc w:val="left"/>
            </w:pPr>
            <w:r>
              <w:t>61</w:t>
            </w:r>
            <w:r w:rsidRPr="00F91071">
              <w:t xml:space="preserve"> dBm</w:t>
            </w:r>
          </w:p>
        </w:tc>
        <w:tc>
          <w:tcPr>
            <w:tcW w:w="0" w:type="pct"/>
          </w:tcPr>
          <w:p w14:paraId="677B6E31" w14:textId="77777777" w:rsidR="00B822F0" w:rsidRPr="00F91071" w:rsidRDefault="00B822F0" w:rsidP="00510D7B">
            <w:pPr>
              <w:pStyle w:val="ECCTabletext"/>
              <w:jc w:val="left"/>
            </w:pPr>
            <w:r>
              <w:t>59</w:t>
            </w:r>
            <w:r w:rsidRPr="00F91071">
              <w:t xml:space="preserve"> dBm</w:t>
            </w:r>
          </w:p>
        </w:tc>
      </w:tr>
      <w:tr w:rsidR="00B822F0" w:rsidRPr="00253EFD" w14:paraId="677B6E36" w14:textId="77777777" w:rsidTr="00510D7B">
        <w:tc>
          <w:tcPr>
            <w:tcW w:w="0" w:type="pct"/>
          </w:tcPr>
          <w:p w14:paraId="677B6E33" w14:textId="4BA79DAB" w:rsidR="00B822F0" w:rsidRPr="00F91071" w:rsidRDefault="00B822F0" w:rsidP="00510D7B">
            <w:pPr>
              <w:pStyle w:val="ECCTabletext"/>
              <w:jc w:val="left"/>
              <w:rPr>
                <w:highlight w:val="yellow"/>
              </w:rPr>
            </w:pPr>
            <w:r w:rsidRPr="00253EFD">
              <w:t xml:space="preserve">Network loading factor (base station load probability X%) (see </w:t>
            </w:r>
            <w:r w:rsidR="00950354">
              <w:t xml:space="preserve"> a</w:t>
            </w:r>
            <w:r w:rsidR="00CB3CB5" w:rsidRPr="00526312">
              <w:rPr>
                <w:rStyle w:val="ECCParagraph"/>
              </w:rPr>
              <w:t>nnex 4</w:t>
            </w:r>
            <w:r w:rsidRPr="00950354">
              <w:t>.4</w:t>
            </w:r>
            <w:r w:rsidR="005D495E">
              <w:t xml:space="preserve"> of </w:t>
            </w:r>
            <w:r w:rsidR="008A7D75">
              <w:fldChar w:fldCharType="begin"/>
            </w:r>
            <w:r w:rsidR="008A7D75">
              <w:instrText xml:space="preserve"> REF _Ref107571504 \r \h </w:instrText>
            </w:r>
            <w:r w:rsidR="008A7D75">
              <w:fldChar w:fldCharType="separate"/>
            </w:r>
            <w:r w:rsidR="009464FD">
              <w:t>[13]</w:t>
            </w:r>
            <w:r w:rsidR="008A7D75">
              <w:fldChar w:fldCharType="end"/>
            </w:r>
            <w:r w:rsidRPr="00253EFD">
              <w:t xml:space="preserve"> and Rec</w:t>
            </w:r>
            <w:r w:rsidR="009F5D71">
              <w:t>ommendation</w:t>
            </w:r>
            <w:r w:rsidRPr="00253EFD">
              <w:t xml:space="preserve"> ITU-R M.2101 Annex 1, section 3.4.1 and 6</w:t>
            </w:r>
            <w:r w:rsidR="00484AE6">
              <w:t xml:space="preserve"> </w:t>
            </w:r>
            <w:r w:rsidR="00484AE6" w:rsidRPr="00484AE6">
              <w:fldChar w:fldCharType="begin"/>
            </w:r>
            <w:r w:rsidR="00484AE6" w:rsidRPr="00484AE6">
              <w:instrText xml:space="preserve"> REF _Ref104907282 \r \h </w:instrText>
            </w:r>
            <w:r w:rsidR="00484AE6" w:rsidRPr="00484AE6">
              <w:fldChar w:fldCharType="separate"/>
            </w:r>
            <w:r w:rsidR="009464FD">
              <w:t>[15]</w:t>
            </w:r>
            <w:r w:rsidR="00484AE6" w:rsidRPr="00484AE6">
              <w:fldChar w:fldCharType="end"/>
            </w:r>
            <w:r w:rsidRPr="00253EFD">
              <w:t>)</w:t>
            </w:r>
          </w:p>
        </w:tc>
        <w:tc>
          <w:tcPr>
            <w:tcW w:w="0" w:type="pct"/>
          </w:tcPr>
          <w:p w14:paraId="677B6E34" w14:textId="77777777" w:rsidR="00B822F0" w:rsidRPr="00F91071" w:rsidRDefault="00B822F0" w:rsidP="00510D7B">
            <w:pPr>
              <w:pStyle w:val="ECCTabletext"/>
              <w:jc w:val="left"/>
            </w:pPr>
            <w:r w:rsidRPr="00253EFD">
              <w:t>20%, 50%</w:t>
            </w:r>
          </w:p>
        </w:tc>
        <w:tc>
          <w:tcPr>
            <w:tcW w:w="0" w:type="pct"/>
          </w:tcPr>
          <w:p w14:paraId="677B6E35" w14:textId="77777777" w:rsidR="00B822F0" w:rsidRPr="00F91071" w:rsidRDefault="00B822F0" w:rsidP="00510D7B">
            <w:pPr>
              <w:pStyle w:val="ECCTabletext"/>
              <w:jc w:val="left"/>
            </w:pPr>
            <w:r w:rsidRPr="00253EFD">
              <w:t>20%, 50%</w:t>
            </w:r>
          </w:p>
        </w:tc>
      </w:tr>
      <w:tr w:rsidR="00B822F0" w:rsidRPr="00253EFD" w14:paraId="677B6E3A" w14:textId="77777777" w:rsidTr="00510D7B">
        <w:tc>
          <w:tcPr>
            <w:tcW w:w="0" w:type="pct"/>
          </w:tcPr>
          <w:p w14:paraId="677B6E37" w14:textId="77777777" w:rsidR="00B822F0" w:rsidRPr="00F91071" w:rsidRDefault="00B822F0" w:rsidP="00510D7B">
            <w:pPr>
              <w:pStyle w:val="ECCTabletext"/>
              <w:jc w:val="left"/>
            </w:pPr>
            <w:r w:rsidRPr="00253EFD">
              <w:t>Average Non-AAS BS power/sector (e.i.r.p</w:t>
            </w:r>
            <w:r w:rsidRPr="00F91071">
              <w:t>.) taking into account activity factor (Note 1)</w:t>
            </w:r>
          </w:p>
        </w:tc>
        <w:tc>
          <w:tcPr>
            <w:tcW w:w="0" w:type="pct"/>
          </w:tcPr>
          <w:p w14:paraId="677B6E38" w14:textId="79510A42" w:rsidR="00B822F0" w:rsidRPr="00F91071" w:rsidRDefault="00B822F0" w:rsidP="00510D7B">
            <w:pPr>
              <w:pStyle w:val="ECCTabletext"/>
              <w:jc w:val="left"/>
            </w:pPr>
            <w:r w:rsidRPr="00253EFD">
              <w:t>Use Rec</w:t>
            </w:r>
            <w:r w:rsidR="009F5D71">
              <w:t>ommendation</w:t>
            </w:r>
            <w:r w:rsidRPr="00253EFD">
              <w:t xml:space="preserve"> ITU-R M.2101 (see section 3.4</w:t>
            </w:r>
            <w:r w:rsidR="008A7D75">
              <w:t xml:space="preserve"> of </w:t>
            </w:r>
            <w:r w:rsidR="008A7D75">
              <w:fldChar w:fldCharType="begin"/>
            </w:r>
            <w:r w:rsidR="008A7D75">
              <w:instrText xml:space="preserve"> REF _Ref107571504 \r \h </w:instrText>
            </w:r>
            <w:r w:rsidR="008A7D75">
              <w:fldChar w:fldCharType="separate"/>
            </w:r>
            <w:r w:rsidR="009464FD">
              <w:t>[13]</w:t>
            </w:r>
            <w:r w:rsidR="008A7D75">
              <w:fldChar w:fldCharType="end"/>
            </w:r>
            <w:r w:rsidRPr="00253EFD">
              <w:t>)</w:t>
            </w:r>
          </w:p>
        </w:tc>
        <w:tc>
          <w:tcPr>
            <w:tcW w:w="0" w:type="pct"/>
          </w:tcPr>
          <w:p w14:paraId="677B6E39" w14:textId="5FEC8ABD" w:rsidR="00B822F0" w:rsidRPr="00F91071" w:rsidRDefault="00B822F0" w:rsidP="00510D7B">
            <w:pPr>
              <w:pStyle w:val="ECCTabletext"/>
              <w:jc w:val="left"/>
            </w:pPr>
            <w:r w:rsidRPr="00253EFD">
              <w:t>Use Rec</w:t>
            </w:r>
            <w:r w:rsidR="009F5D71">
              <w:t>ommendation</w:t>
            </w:r>
            <w:r w:rsidRPr="00253EFD">
              <w:t xml:space="preserve"> ITU-R M.2101 (see section 3.4</w:t>
            </w:r>
            <w:r w:rsidR="008A7D75">
              <w:t xml:space="preserve"> of </w:t>
            </w:r>
            <w:r w:rsidR="008A7D75">
              <w:fldChar w:fldCharType="begin"/>
            </w:r>
            <w:r w:rsidR="008A7D75">
              <w:instrText xml:space="preserve"> REF _Ref107571504 \r \h </w:instrText>
            </w:r>
            <w:r w:rsidR="008A7D75">
              <w:fldChar w:fldCharType="separate"/>
            </w:r>
            <w:r w:rsidR="009464FD">
              <w:t>[13]</w:t>
            </w:r>
            <w:r w:rsidR="008A7D75">
              <w:fldChar w:fldCharType="end"/>
            </w:r>
            <w:r w:rsidRPr="00253EFD">
              <w:t>)</w:t>
            </w:r>
          </w:p>
        </w:tc>
      </w:tr>
      <w:tr w:rsidR="00B822F0" w:rsidRPr="00253EFD" w14:paraId="677B6E3E" w14:textId="77777777" w:rsidTr="00510D7B">
        <w:tc>
          <w:tcPr>
            <w:tcW w:w="0" w:type="pct"/>
          </w:tcPr>
          <w:p w14:paraId="677B6E3B" w14:textId="3B0BF6E0" w:rsidR="00B822F0" w:rsidRPr="00F91071" w:rsidRDefault="00B822F0" w:rsidP="00510D7B">
            <w:pPr>
              <w:pStyle w:val="ECCTabletext"/>
              <w:jc w:val="left"/>
            </w:pPr>
            <w:r w:rsidRPr="00253EFD">
              <w:t>TDD/FDD</w:t>
            </w:r>
          </w:p>
        </w:tc>
        <w:tc>
          <w:tcPr>
            <w:tcW w:w="0" w:type="pct"/>
          </w:tcPr>
          <w:p w14:paraId="677B6E3C" w14:textId="77777777" w:rsidR="00B822F0" w:rsidRPr="00F91071" w:rsidRDefault="00B822F0" w:rsidP="00510D7B">
            <w:pPr>
              <w:pStyle w:val="ECCTabletext"/>
              <w:jc w:val="left"/>
            </w:pPr>
            <w:r w:rsidRPr="00253EFD">
              <w:t xml:space="preserve">Depending on </w:t>
            </w:r>
            <w:r w:rsidRPr="00F91071">
              <w:t>band</w:t>
            </w:r>
          </w:p>
        </w:tc>
        <w:tc>
          <w:tcPr>
            <w:tcW w:w="0" w:type="pct"/>
          </w:tcPr>
          <w:p w14:paraId="677B6E3D" w14:textId="77777777" w:rsidR="00B822F0" w:rsidRPr="00F91071" w:rsidRDefault="00B822F0" w:rsidP="00510D7B">
            <w:pPr>
              <w:pStyle w:val="ECCTabletext"/>
              <w:jc w:val="left"/>
            </w:pPr>
            <w:r w:rsidRPr="00253EFD">
              <w:t>Depending on band</w:t>
            </w:r>
          </w:p>
        </w:tc>
      </w:tr>
      <w:tr w:rsidR="00B822F0" w:rsidRPr="00253EFD" w14:paraId="677B6E42" w14:textId="77777777" w:rsidTr="00510D7B">
        <w:tc>
          <w:tcPr>
            <w:tcW w:w="0" w:type="pct"/>
          </w:tcPr>
          <w:p w14:paraId="677B6E3F" w14:textId="77777777" w:rsidR="00B822F0" w:rsidRPr="00F91071" w:rsidRDefault="00B822F0" w:rsidP="00510D7B">
            <w:pPr>
              <w:pStyle w:val="ECCTabletext"/>
              <w:jc w:val="left"/>
            </w:pPr>
            <w:r w:rsidRPr="00253EFD">
              <w:t>BS TDD activity factor</w:t>
            </w:r>
          </w:p>
        </w:tc>
        <w:tc>
          <w:tcPr>
            <w:tcW w:w="0" w:type="pct"/>
          </w:tcPr>
          <w:p w14:paraId="677B6E40" w14:textId="77777777" w:rsidR="00B822F0" w:rsidRPr="00F91071" w:rsidRDefault="00B822F0" w:rsidP="00510D7B">
            <w:pPr>
              <w:pStyle w:val="ECCTabletext"/>
              <w:jc w:val="left"/>
            </w:pPr>
            <w:r w:rsidRPr="00253EFD">
              <w:t>75%</w:t>
            </w:r>
          </w:p>
        </w:tc>
        <w:tc>
          <w:tcPr>
            <w:tcW w:w="0" w:type="pct"/>
          </w:tcPr>
          <w:p w14:paraId="677B6E41" w14:textId="77777777" w:rsidR="00B822F0" w:rsidRPr="00F91071" w:rsidRDefault="00B822F0" w:rsidP="00510D7B">
            <w:pPr>
              <w:pStyle w:val="ECCTabletext"/>
              <w:jc w:val="left"/>
            </w:pPr>
            <w:r w:rsidRPr="00253EFD">
              <w:t>75%</w:t>
            </w:r>
          </w:p>
        </w:tc>
      </w:tr>
      <w:tr w:rsidR="00B822F0" w:rsidRPr="00253EFD" w14:paraId="677B6E44" w14:textId="77777777" w:rsidTr="00510D7B">
        <w:tc>
          <w:tcPr>
            <w:tcW w:w="0" w:type="pct"/>
            <w:gridSpan w:val="3"/>
          </w:tcPr>
          <w:p w14:paraId="677B6E43" w14:textId="25E1CC0A" w:rsidR="00B822F0" w:rsidRPr="00F91071" w:rsidRDefault="00B822F0" w:rsidP="00510D7B">
            <w:pPr>
              <w:pStyle w:val="ECCTablenote"/>
            </w:pPr>
            <w:r w:rsidRPr="00F91071">
              <w:t>Note 1: This parameter is only applicable for non-AAS base stations. Antenna characteristics for AAS base stations (for frequency bands above 1 710 MHz) are provided in</w:t>
            </w:r>
            <w:r w:rsidR="00F42CA5">
              <w:t xml:space="preserve"> </w:t>
            </w:r>
            <w:r w:rsidR="00F42CA5">
              <w:fldChar w:fldCharType="begin"/>
            </w:r>
            <w:r w:rsidR="00F42CA5">
              <w:instrText xml:space="preserve"> REF _Ref107571864 \h </w:instrText>
            </w:r>
            <w:r w:rsidR="00F42CA5">
              <w:fldChar w:fldCharType="separate"/>
            </w:r>
            <w:r w:rsidR="00F42CA5" w:rsidRPr="00F42CA5">
              <w:t xml:space="preserve">Table </w:t>
            </w:r>
            <w:r w:rsidR="00F42CA5" w:rsidRPr="00F42CA5">
              <w:rPr>
                <w:noProof/>
              </w:rPr>
              <w:t>5</w:t>
            </w:r>
            <w:r w:rsidR="00F42CA5">
              <w:fldChar w:fldCharType="end"/>
            </w:r>
            <w:r w:rsidRPr="00F91071">
              <w:t>.</w:t>
            </w:r>
          </w:p>
        </w:tc>
      </w:tr>
    </w:tbl>
    <w:p w14:paraId="677B6E45" w14:textId="6F34A236" w:rsidR="00B822F0" w:rsidRDefault="00B822F0" w:rsidP="00B822F0">
      <w:r>
        <w:t xml:space="preserve">ECC </w:t>
      </w:r>
      <w:r w:rsidR="00AA3C7A">
        <w:t>R</w:t>
      </w:r>
      <w:r>
        <w:t>eport 298</w:t>
      </w:r>
      <w:r w:rsidR="00BF26BA">
        <w:t xml:space="preserve"> </w:t>
      </w:r>
      <w:r w:rsidR="00BF26BA">
        <w:fldChar w:fldCharType="begin"/>
      </w:r>
      <w:r w:rsidR="00BF26BA">
        <w:instrText xml:space="preserve"> REF _Ref104306422 \r \h </w:instrText>
      </w:r>
      <w:r w:rsidR="00BF26BA">
        <w:fldChar w:fldCharType="separate"/>
      </w:r>
      <w:r w:rsidR="009464FD">
        <w:t>[12]</w:t>
      </w:r>
      <w:r w:rsidR="00BF26BA">
        <w:fldChar w:fldCharType="end"/>
      </w:r>
      <w:r w:rsidR="00BF26BA">
        <w:t xml:space="preserve"> </w:t>
      </w:r>
      <w:r>
        <w:t xml:space="preserve">also puts forward a list of assumptions to model large area deployment in the form of an average cell radius distance of 6.8 km. When looking at the resulting number of BS in the ECC </w:t>
      </w:r>
      <w:r w:rsidR="00AA3C7A">
        <w:t>R</w:t>
      </w:r>
      <w:r>
        <w:t xml:space="preserve">eport </w:t>
      </w:r>
      <w:r w:rsidR="0046752E">
        <w:t xml:space="preserve">298 </w:t>
      </w:r>
      <w:r>
        <w:lastRenderedPageBreak/>
        <w:t>study summary, one can understand this 6.8</w:t>
      </w:r>
      <w:r w:rsidR="005C29E7">
        <w:t xml:space="preserve"> </w:t>
      </w:r>
      <w:r>
        <w:t xml:space="preserve">km as the average radius of BS deployment, meaning that the BS are deployed with a distance of 6.8x2 = 13.6 km separating each one of them </w:t>
      </w:r>
      <w:r w:rsidR="005C29E7">
        <w:t>o</w:t>
      </w:r>
      <w:r>
        <w:t xml:space="preserve">n average, for the case of a disk cell shape. In this study, both the Ra/Rb and the ECC </w:t>
      </w:r>
      <w:r w:rsidR="00516BA1">
        <w:t>R</w:t>
      </w:r>
      <w:r>
        <w:t xml:space="preserve">eport 298 approaches will be </w:t>
      </w:r>
      <w:r w:rsidR="00881D1C">
        <w:t>considered,</w:t>
      </w:r>
      <w:r>
        <w:t xml:space="preserve"> and their results compared.</w:t>
      </w:r>
    </w:p>
    <w:p w14:paraId="677B6E46" w14:textId="48A37D62" w:rsidR="00B822F0" w:rsidRDefault="00B822F0" w:rsidP="00B822F0">
      <w:r>
        <w:t xml:space="preserve">As described in the introduction, the aim of the study is to compare the evolution of the interference environment in the case where currently used AAS BS were to provide service to aerial UE. In order to simulate this scenario where AAS BS provide service to both terrestrial and aerial UE, it is assumed in this study that the repartition of the UE would be: </w:t>
      </w:r>
      <w:r w:rsidR="00F90386">
        <w:t>67</w:t>
      </w:r>
      <w:r>
        <w:t>% terrestrial UE and 3</w:t>
      </w:r>
      <w:r w:rsidR="00F90386">
        <w:t>3</w:t>
      </w:r>
      <w:r>
        <w:t>% aerial UE.</w:t>
      </w:r>
    </w:p>
    <w:p w14:paraId="677B6E47" w14:textId="77777777" w:rsidR="00B822F0" w:rsidRDefault="00B822F0" w:rsidP="008A41F5">
      <w:pPr>
        <w:pStyle w:val="ECCAnnexheading3"/>
      </w:pPr>
      <w:r>
        <w:t>Satellite receiver characteristics</w:t>
      </w:r>
    </w:p>
    <w:p w14:paraId="677B6E48" w14:textId="1A8F153F" w:rsidR="00B822F0" w:rsidRDefault="00B822F0" w:rsidP="00B822F0">
      <w:r>
        <w:t xml:space="preserve">Similar to the previous section, the characteristics of the satellite receiver are based on ECC </w:t>
      </w:r>
      <w:r w:rsidR="00AA3C7A">
        <w:t>R</w:t>
      </w:r>
      <w:r>
        <w:t>eport 298</w:t>
      </w:r>
      <w:r w:rsidR="00E2597D">
        <w:t xml:space="preserve"> </w:t>
      </w:r>
      <w:r w:rsidR="00E2597D">
        <w:fldChar w:fldCharType="begin"/>
      </w:r>
      <w:r w:rsidR="00E2597D">
        <w:instrText xml:space="preserve"> REF _Ref104306422 \r \h </w:instrText>
      </w:r>
      <w:r w:rsidR="00E2597D">
        <w:fldChar w:fldCharType="separate"/>
      </w:r>
      <w:r w:rsidR="009464FD">
        <w:t>[12]</w:t>
      </w:r>
      <w:r w:rsidR="00E2597D">
        <w:fldChar w:fldCharType="end"/>
      </w:r>
      <w:r>
        <w:t>. The study therefore considers a satellite receiver at an altitude of 250</w:t>
      </w:r>
      <w:r w:rsidR="00516BA1">
        <w:t> </w:t>
      </w:r>
      <w:r>
        <w:t>km.</w:t>
      </w:r>
    </w:p>
    <w:p w14:paraId="677B6E49" w14:textId="6586D93D" w:rsidR="00B822F0" w:rsidRPr="00B838C6" w:rsidRDefault="00B822F0" w:rsidP="00B822F0">
      <w:r>
        <w:t xml:space="preserve">According to section 4.2 of Annex 1 to Recommendation </w:t>
      </w:r>
      <w:r w:rsidR="00516BA1">
        <w:t xml:space="preserve">ITU-R </w:t>
      </w:r>
      <w:r>
        <w:t>SA.1154</w:t>
      </w:r>
      <w:r w:rsidR="00E2597D">
        <w:t xml:space="preserve"> </w:t>
      </w:r>
      <w:r w:rsidR="00E2597D">
        <w:fldChar w:fldCharType="begin"/>
      </w:r>
      <w:r w:rsidR="00E2597D">
        <w:instrText xml:space="preserve"> REF _Ref104907490 \r \h </w:instrText>
      </w:r>
      <w:r w:rsidR="00E2597D">
        <w:fldChar w:fldCharType="separate"/>
      </w:r>
      <w:r w:rsidR="009464FD">
        <w:t>[16]</w:t>
      </w:r>
      <w:r w:rsidR="00E2597D">
        <w:fldChar w:fldCharType="end"/>
      </w:r>
      <w:r>
        <w:t>, the satellite receiver gain could be considered as quasi omnidirectional: "</w:t>
      </w:r>
      <w:r w:rsidRPr="00B838C6">
        <w:t xml:space="preserve">The average gain of a </w:t>
      </w:r>
      <w:proofErr w:type="spellStart"/>
      <w:r w:rsidRPr="00B838C6">
        <w:t>quasi omnidirectional</w:t>
      </w:r>
      <w:proofErr w:type="spellEnd"/>
      <w:r w:rsidRPr="00B838C6">
        <w:t xml:space="preserve"> antenna is around 0 dBi with gain minima </w:t>
      </w:r>
      <w:proofErr w:type="gramStart"/>
      <w:r w:rsidRPr="00B838C6">
        <w:t>exceeding</w:t>
      </w:r>
      <w:proofErr w:type="gramEnd"/>
      <w:r w:rsidRPr="004644F4">
        <w:t xml:space="preserve"> </w:t>
      </w:r>
      <w:r w:rsidRPr="00B838C6">
        <w:t>occasionally –6 dBi</w:t>
      </w:r>
      <w:r>
        <w:t xml:space="preserve"> ". For this study, a 0</w:t>
      </w:r>
      <w:r w:rsidR="00C45313">
        <w:t> </w:t>
      </w:r>
      <w:r>
        <w:t>dBi gain was assumed in all directions for the satellite receiving antenna.</w:t>
      </w:r>
    </w:p>
    <w:p w14:paraId="677B6E4A" w14:textId="77777777" w:rsidR="00B822F0" w:rsidRDefault="00B822F0" w:rsidP="008A41F5">
      <w:pPr>
        <w:pStyle w:val="ECCAnnexheading2"/>
      </w:pPr>
      <w:r>
        <w:t>Analysis steps and results</w:t>
      </w:r>
    </w:p>
    <w:p w14:paraId="677B6E4B" w14:textId="77777777" w:rsidR="00B822F0" w:rsidRPr="004566D4" w:rsidRDefault="00B822F0" w:rsidP="00510D7B">
      <w:pPr>
        <w:pStyle w:val="ECCNumberedList"/>
        <w:numPr>
          <w:ilvl w:val="0"/>
          <w:numId w:val="22"/>
        </w:numPr>
      </w:pPr>
      <w:r>
        <w:t xml:space="preserve">Step 1: Consider </w:t>
      </w:r>
      <w:r w:rsidRPr="004566D4">
        <w:t>1 satellite 250 km (worst case) above (90° elevation) an MFCN central cell</w:t>
      </w:r>
      <w:r>
        <w:t xml:space="preserve"> (tri-sector).</w:t>
      </w:r>
    </w:p>
    <w:p w14:paraId="677B6E4C" w14:textId="1023544D" w:rsidR="00B822F0" w:rsidRDefault="00B822F0">
      <w:pPr>
        <w:pStyle w:val="ECCNumberedList"/>
      </w:pPr>
      <w:r>
        <w:t>Step 2: Divide the satellite visibility coverage (Elevation</w:t>
      </w:r>
      <w:r w:rsidR="00C45313">
        <w:t xml:space="preserve"> </w:t>
      </w:r>
      <w:r>
        <w:t xml:space="preserve">&gt;=0°) into elemental grid cells with a step of 0.1° in latitude and 0.1° in longitude. Calculate the elementary surface linked to each grid cell. </w:t>
      </w:r>
      <w:r w:rsidRPr="00685DC8">
        <w:t>The result is dependent on the elementary surface latitude as shown in the following figure</w:t>
      </w:r>
      <w:r>
        <w:t>s. The figure on the left is for a satellite receiver at longitude 0° and latitude 0° and is the standard case considered for the rest of the study presented below. The figure on the right shows a projection of the satellite footprint and elementary cell surfaces for a satellite at longitude 5° and latitude 45° (covering part of Europe).</w:t>
      </w:r>
    </w:p>
    <w:tbl>
      <w:tblPr>
        <w:tblW w:w="5000" w:type="pct"/>
        <w:tblLook w:val="0000" w:firstRow="0" w:lastRow="0" w:firstColumn="0" w:lastColumn="0" w:noHBand="0" w:noVBand="0"/>
      </w:tblPr>
      <w:tblGrid>
        <w:gridCol w:w="4872"/>
        <w:gridCol w:w="4767"/>
      </w:tblGrid>
      <w:tr w:rsidR="00B822F0" w14:paraId="677B6E4F" w14:textId="77777777" w:rsidTr="007E0A4F">
        <w:tc>
          <w:tcPr>
            <w:tcW w:w="2523" w:type="pct"/>
          </w:tcPr>
          <w:p w14:paraId="677B6E4D" w14:textId="77777777" w:rsidR="00B822F0" w:rsidRPr="007E5D95" w:rsidRDefault="00B822F0" w:rsidP="00510D7B">
            <w:pPr>
              <w:keepNext/>
              <w:keepLines/>
            </w:pPr>
            <w:r>
              <w:t>Satellite @ (Lat, Long) = (0°, 0°)</w:t>
            </w:r>
          </w:p>
        </w:tc>
        <w:tc>
          <w:tcPr>
            <w:tcW w:w="2477" w:type="pct"/>
          </w:tcPr>
          <w:p w14:paraId="677B6E4E" w14:textId="77777777" w:rsidR="00B822F0" w:rsidRPr="007E5D95" w:rsidRDefault="00B822F0" w:rsidP="00510D7B">
            <w:pPr>
              <w:keepNext/>
              <w:keepLines/>
            </w:pPr>
            <w:r>
              <w:t>Satellite @ (Lat, Long) = (45°, 5°)</w:t>
            </w:r>
          </w:p>
        </w:tc>
      </w:tr>
      <w:tr w:rsidR="00B822F0" w14:paraId="677B6E52" w14:textId="77777777" w:rsidTr="007E0A4F">
        <w:tc>
          <w:tcPr>
            <w:tcW w:w="2523" w:type="pct"/>
          </w:tcPr>
          <w:p w14:paraId="677B6E50" w14:textId="5EF49C32" w:rsidR="00B822F0" w:rsidRDefault="00B822F0" w:rsidP="00510D7B">
            <w:pPr>
              <w:keepNext/>
              <w:keepLines/>
            </w:pPr>
            <w:r w:rsidRPr="00B822F0">
              <w:rPr>
                <w:noProof/>
                <w:lang w:val="de-DE" w:eastAsia="de-DE"/>
              </w:rPr>
              <w:drawing>
                <wp:inline distT="0" distB="0" distL="0" distR="0" wp14:anchorId="677B6F3D" wp14:editId="0DBED3D6">
                  <wp:extent cx="3175200" cy="2520000"/>
                  <wp:effectExtent l="0" t="0" r="6350" b="0"/>
                  <wp:docPr id="40" name="Image 40" descr="C:\Users\eisenhauer\Documents\MATLAB\UEs (terrestrial and UAV) into satellite\Figures\ElementarySurface_k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Users\eisenhauer\Documents\MATLAB\UEs (terrestrial and UAV) into satellite\Figures\ElementarySurface_km2.png"/>
                          <pic:cNvPicPr>
                            <a:picLocks noChangeAspect="1" noChangeArrowheads="1"/>
                          </pic:cNvPicPr>
                        </pic:nvPicPr>
                        <pic:blipFill>
                          <a:blip r:embed="rId11">
                            <a:extLst>
                              <a:ext uri="{28A0092B-C50C-407E-A947-70E740481C1C}">
                                <a14:useLocalDpi xmlns:a14="http://schemas.microsoft.com/office/drawing/2010/main" val="0"/>
                              </a:ext>
                            </a:extLst>
                          </a:blip>
                          <a:srcRect l="2965" r="3964"/>
                          <a:stretch>
                            <a:fillRect/>
                          </a:stretch>
                        </pic:blipFill>
                        <pic:spPr bwMode="auto">
                          <a:xfrm>
                            <a:off x="0" y="0"/>
                            <a:ext cx="3175200" cy="2520000"/>
                          </a:xfrm>
                          <a:prstGeom prst="rect">
                            <a:avLst/>
                          </a:prstGeom>
                          <a:noFill/>
                          <a:ln>
                            <a:noFill/>
                          </a:ln>
                        </pic:spPr>
                      </pic:pic>
                    </a:graphicData>
                  </a:graphic>
                </wp:inline>
              </w:drawing>
            </w:r>
          </w:p>
        </w:tc>
        <w:tc>
          <w:tcPr>
            <w:tcW w:w="2477" w:type="pct"/>
          </w:tcPr>
          <w:p w14:paraId="677B6E51" w14:textId="69191CE1" w:rsidR="00B822F0" w:rsidRDefault="00B822F0" w:rsidP="00510D7B">
            <w:pPr>
              <w:keepNext/>
              <w:keepLines/>
            </w:pPr>
            <w:r w:rsidRPr="00B822F0">
              <w:rPr>
                <w:noProof/>
                <w:lang w:val="de-DE" w:eastAsia="de-DE"/>
              </w:rPr>
              <w:drawing>
                <wp:inline distT="0" distB="0" distL="0" distR="0" wp14:anchorId="677B6F3F" wp14:editId="6E69D884">
                  <wp:extent cx="3110400" cy="2520000"/>
                  <wp:effectExtent l="0" t="0" r="0" b="0"/>
                  <wp:docPr id="39" name="Image 39" descr="C:\Users\eisenhauer\Documents\MATLAB\UEs (terrestrial and UAV) into satellite\Figures\ElementarySurface_km2_250kmAlt(Lat45Lon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descr="C:\Users\eisenhauer\Documents\MATLAB\UEs (terrestrial and UAV) into satellite\Figures\ElementarySurface_km2_250kmAlt(Lat45Long5).png"/>
                          <pic:cNvPicPr>
                            <a:picLocks noChangeAspect="1" noChangeArrowheads="1"/>
                          </pic:cNvPicPr>
                        </pic:nvPicPr>
                        <pic:blipFill>
                          <a:blip r:embed="rId12">
                            <a:extLst>
                              <a:ext uri="{28A0092B-C50C-407E-A947-70E740481C1C}">
                                <a14:useLocalDpi xmlns:a14="http://schemas.microsoft.com/office/drawing/2010/main" val="0"/>
                              </a:ext>
                            </a:extLst>
                          </a:blip>
                          <a:srcRect l="3738" r="3738"/>
                          <a:stretch>
                            <a:fillRect/>
                          </a:stretch>
                        </pic:blipFill>
                        <pic:spPr bwMode="auto">
                          <a:xfrm>
                            <a:off x="0" y="0"/>
                            <a:ext cx="3110400" cy="2520000"/>
                          </a:xfrm>
                          <a:prstGeom prst="rect">
                            <a:avLst/>
                          </a:prstGeom>
                          <a:noFill/>
                          <a:ln>
                            <a:noFill/>
                          </a:ln>
                        </pic:spPr>
                      </pic:pic>
                    </a:graphicData>
                  </a:graphic>
                </wp:inline>
              </w:drawing>
            </w:r>
          </w:p>
        </w:tc>
      </w:tr>
    </w:tbl>
    <w:p w14:paraId="7F09E2B7" w14:textId="73004A86" w:rsidR="007D2CBA" w:rsidRPr="00D14D34" w:rsidRDefault="007D2CBA" w:rsidP="007A4779">
      <w:pPr>
        <w:pStyle w:val="Caption"/>
        <w:rPr>
          <w:lang w:val="en-GB"/>
        </w:rPr>
      </w:pPr>
      <w:r w:rsidRPr="00C2101E">
        <w:rPr>
          <w:lang w:val="en-GB"/>
        </w:rPr>
        <w:t xml:space="preserve">Figure </w:t>
      </w:r>
      <w:r>
        <w:fldChar w:fldCharType="begin"/>
      </w:r>
      <w:r w:rsidRPr="00C2101E">
        <w:rPr>
          <w:lang w:val="en-GB"/>
        </w:rPr>
        <w:instrText xml:space="preserve"> SEQ Figure \* ARABIC </w:instrText>
      </w:r>
      <w:r>
        <w:fldChar w:fldCharType="separate"/>
      </w:r>
      <w:r w:rsidR="009464FD">
        <w:rPr>
          <w:noProof/>
          <w:lang w:val="en-GB"/>
        </w:rPr>
        <w:t>4</w:t>
      </w:r>
      <w:r>
        <w:fldChar w:fldCharType="end"/>
      </w:r>
      <w:r w:rsidR="003B785C" w:rsidRPr="00B0240D">
        <w:rPr>
          <w:lang w:val="en-GB"/>
        </w:rPr>
        <w:t xml:space="preserve">: </w:t>
      </w:r>
      <w:r w:rsidR="002F3BA4" w:rsidRPr="00B0240D">
        <w:rPr>
          <w:lang w:val="en-GB"/>
        </w:rPr>
        <w:t xml:space="preserve">Elementary surface </w:t>
      </w:r>
      <w:r w:rsidR="00D14D34" w:rsidRPr="00B0240D">
        <w:rPr>
          <w:lang w:val="en-GB"/>
        </w:rPr>
        <w:t>for longitude 0°</w:t>
      </w:r>
      <w:r w:rsidR="001E6716" w:rsidRPr="00B0240D">
        <w:rPr>
          <w:lang w:val="en-GB"/>
        </w:rPr>
        <w:t xml:space="preserve">, </w:t>
      </w:r>
      <w:r w:rsidR="00D14D34" w:rsidRPr="00B0240D">
        <w:rPr>
          <w:lang w:val="en-GB"/>
        </w:rPr>
        <w:t>latitude 0° (left)</w:t>
      </w:r>
      <w:r w:rsidR="001E6716" w:rsidRPr="00B0240D">
        <w:rPr>
          <w:lang w:val="en-GB"/>
        </w:rPr>
        <w:t>,</w:t>
      </w:r>
      <w:r w:rsidR="00D14D34" w:rsidRPr="00B0240D">
        <w:rPr>
          <w:lang w:val="en-GB"/>
        </w:rPr>
        <w:t xml:space="preserve"> and longitude 5°</w:t>
      </w:r>
      <w:r w:rsidR="001E6716" w:rsidRPr="00B0240D">
        <w:rPr>
          <w:lang w:val="en-GB"/>
        </w:rPr>
        <w:t xml:space="preserve">, </w:t>
      </w:r>
      <w:r w:rsidR="00D14D34" w:rsidRPr="00B0240D">
        <w:rPr>
          <w:lang w:val="en-GB"/>
        </w:rPr>
        <w:t>latitude 45 (right)</w:t>
      </w:r>
    </w:p>
    <w:p w14:paraId="677B6E53" w14:textId="0375C11A" w:rsidR="00B822F0" w:rsidRDefault="00B822F0" w:rsidP="00510D7B">
      <w:pPr>
        <w:pStyle w:val="ECCNumberedList"/>
      </w:pPr>
      <w:r>
        <w:t>Step 3: Calculate the number of BS per grid cell.</w:t>
      </w:r>
    </w:p>
    <w:p w14:paraId="677B6E54" w14:textId="577DC25C" w:rsidR="00B822F0" w:rsidRPr="00C63448" w:rsidRDefault="00B822F0" w:rsidP="00510D7B">
      <w:pPr>
        <w:pStyle w:val="ECCLetteredList"/>
        <w:rPr>
          <w:lang w:val="en-US"/>
        </w:rPr>
      </w:pPr>
      <w:r w:rsidRPr="00510D7B">
        <w:rPr>
          <w:rFonts w:eastAsia="Calibri"/>
          <w:lang w:val="en-GB"/>
        </w:rPr>
        <w:t xml:space="preserve">Step 3.1: </w:t>
      </w:r>
      <w:r w:rsidR="005347AD" w:rsidRPr="00D024B6">
        <w:rPr>
          <w:lang w:val="en-GB"/>
        </w:rPr>
        <w:t>Use</w:t>
      </w:r>
      <w:r w:rsidR="005347AD" w:rsidRPr="00510D7B">
        <w:rPr>
          <w:rFonts w:eastAsia="Calibri"/>
          <w:lang w:val="en-GB"/>
        </w:rPr>
        <w:t xml:space="preserve"> </w:t>
      </w:r>
      <w:r w:rsidRPr="00510D7B">
        <w:rPr>
          <w:rFonts w:eastAsia="Calibri"/>
          <w:lang w:val="en-GB"/>
        </w:rPr>
        <w:t>the Ra/Rb methodology</w:t>
      </w:r>
    </w:p>
    <w:p w14:paraId="677B6E55" w14:textId="32A4E058" w:rsidR="00B822F0" w:rsidRDefault="00B822F0" w:rsidP="00B822F0">
      <w:r>
        <w:lastRenderedPageBreak/>
        <w:t>As mentioned in the d</w:t>
      </w:r>
      <w:r w:rsidRPr="00F91071">
        <w:t>eployment-related parameters</w:t>
      </w:r>
      <w:r>
        <w:t xml:space="preserve"> table in section </w:t>
      </w:r>
      <w:r w:rsidR="003E29A0">
        <w:fldChar w:fldCharType="begin"/>
      </w:r>
      <w:r w:rsidR="003E29A0">
        <w:instrText xml:space="preserve"> REF _Ref103692626 \r \h </w:instrText>
      </w:r>
      <w:r w:rsidR="003E29A0">
        <w:fldChar w:fldCharType="separate"/>
      </w:r>
      <w:r w:rsidR="009464FD">
        <w:t>A1.2.1</w:t>
      </w:r>
      <w:r w:rsidR="003E29A0">
        <w:fldChar w:fldCharType="end"/>
      </w:r>
      <w:r>
        <w:t xml:space="preserve"> above, the cell radius is defined in </w:t>
      </w:r>
      <w:r w:rsidR="00485FBB">
        <w:t xml:space="preserve">Report </w:t>
      </w:r>
      <w:r w:rsidRPr="00253EFD">
        <w:t>ITU-R M.2292</w:t>
      </w:r>
      <w:r>
        <w:t xml:space="preserve"> </w:t>
      </w:r>
      <w:r w:rsidR="005347AD">
        <w:fldChar w:fldCharType="begin"/>
      </w:r>
      <w:r w:rsidR="005347AD">
        <w:instrText xml:space="preserve"> REF _Ref104907783 \r \h </w:instrText>
      </w:r>
      <w:r w:rsidR="005347AD">
        <w:fldChar w:fldCharType="separate"/>
      </w:r>
      <w:r w:rsidR="009464FD">
        <w:t>[17]</w:t>
      </w:r>
      <w:r w:rsidR="005347AD">
        <w:fldChar w:fldCharType="end"/>
      </w:r>
      <w:r w:rsidR="005347AD">
        <w:t xml:space="preserve"> </w:t>
      </w:r>
      <w:r w:rsidR="00A82984">
        <w:t>as</w:t>
      </w:r>
      <w:r>
        <w:t xml:space="preserve"> the distance (A) in </w:t>
      </w:r>
      <w:r w:rsidR="001C4B73">
        <w:fldChar w:fldCharType="begin"/>
      </w:r>
      <w:r w:rsidR="001C4B73">
        <w:instrText xml:space="preserve"> REF _Ref103697159 \h </w:instrText>
      </w:r>
      <w:r w:rsidR="001C4B73">
        <w:fldChar w:fldCharType="separate"/>
      </w:r>
      <w:r w:rsidR="000C011B" w:rsidRPr="00C2101E">
        <w:t xml:space="preserve">Figure </w:t>
      </w:r>
      <w:r w:rsidR="000C011B">
        <w:rPr>
          <w:noProof/>
        </w:rPr>
        <w:t>5</w:t>
      </w:r>
      <w:r w:rsidR="001C4B73">
        <w:fldChar w:fldCharType="end"/>
      </w:r>
      <w:r>
        <w:t>:</w:t>
      </w:r>
    </w:p>
    <w:p w14:paraId="677B6E56" w14:textId="77777777" w:rsidR="00B822F0" w:rsidRDefault="00B822F0" w:rsidP="00510D7B">
      <w:pPr>
        <w:jc w:val="center"/>
      </w:pPr>
      <w:r w:rsidRPr="00B822F0">
        <w:rPr>
          <w:noProof/>
          <w:lang w:val="de-DE" w:eastAsia="de-DE"/>
        </w:rPr>
        <w:drawing>
          <wp:inline distT="0" distB="0" distL="0" distR="0" wp14:anchorId="677B6F41" wp14:editId="40FC90BE">
            <wp:extent cx="3541853" cy="3295566"/>
            <wp:effectExtent l="0" t="0" r="1905" b="63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4313" cy="3307160"/>
                    </a:xfrm>
                    <a:prstGeom prst="rect">
                      <a:avLst/>
                    </a:prstGeom>
                    <a:noFill/>
                    <a:ln>
                      <a:noFill/>
                    </a:ln>
                  </pic:spPr>
                </pic:pic>
              </a:graphicData>
            </a:graphic>
          </wp:inline>
        </w:drawing>
      </w:r>
    </w:p>
    <w:p w14:paraId="02F6B51E" w14:textId="276798F4" w:rsidR="007D2CBA" w:rsidRPr="00485FBB" w:rsidRDefault="007D2CBA" w:rsidP="007A4779">
      <w:pPr>
        <w:pStyle w:val="Caption"/>
        <w:rPr>
          <w:lang w:val="en-GB"/>
        </w:rPr>
      </w:pPr>
      <w:bookmarkStart w:id="61" w:name="_Ref103697159"/>
      <w:r w:rsidRPr="00C2101E">
        <w:rPr>
          <w:lang w:val="en-GB"/>
        </w:rPr>
        <w:t xml:space="preserve">Figure </w:t>
      </w:r>
      <w:r>
        <w:fldChar w:fldCharType="begin"/>
      </w:r>
      <w:r w:rsidRPr="00C2101E">
        <w:rPr>
          <w:lang w:val="en-GB"/>
        </w:rPr>
        <w:instrText xml:space="preserve"> SEQ Figure \* ARABIC </w:instrText>
      </w:r>
      <w:r>
        <w:fldChar w:fldCharType="separate"/>
      </w:r>
      <w:r w:rsidR="009464FD">
        <w:rPr>
          <w:noProof/>
          <w:lang w:val="en-GB"/>
        </w:rPr>
        <w:t>5</w:t>
      </w:r>
      <w:r>
        <w:fldChar w:fldCharType="end"/>
      </w:r>
      <w:bookmarkEnd w:id="61"/>
      <w:r w:rsidR="00FF374B" w:rsidRPr="00C2101E">
        <w:rPr>
          <w:lang w:val="en-GB"/>
        </w:rPr>
        <w:t>:</w:t>
      </w:r>
      <w:r w:rsidR="00485FBB" w:rsidRPr="001A2CEF">
        <w:rPr>
          <w:lang w:val="en-GB"/>
        </w:rPr>
        <w:t xml:space="preserve"> Macro cell geomet</w:t>
      </w:r>
      <w:r w:rsidR="00485FBB" w:rsidRPr="00D024B6">
        <w:rPr>
          <w:lang w:val="en-GB"/>
        </w:rPr>
        <w:t>ry</w:t>
      </w:r>
    </w:p>
    <w:p w14:paraId="677B6E57" w14:textId="77777777" w:rsidR="00B822F0" w:rsidRDefault="00B822F0" w:rsidP="00B822F0">
      <w:r>
        <w:t>Based on this definition, one can calculate the density of AAS BS sectors in the various deployment environments using the following formula: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8"/>
        <w:gridCol w:w="461"/>
      </w:tblGrid>
      <w:tr w:rsidR="00FE6741" w:rsidRPr="00650C6C" w14:paraId="2323A4D8" w14:textId="77777777" w:rsidTr="00950354">
        <w:tc>
          <w:tcPr>
            <w:tcW w:w="4761" w:type="pct"/>
          </w:tcPr>
          <w:p w14:paraId="05454F02" w14:textId="15D7E2CC" w:rsidR="001C4AAC" w:rsidRPr="00FE650D" w:rsidRDefault="00FE650D" w:rsidP="007A4779">
            <w:pPr>
              <w:rPr>
                <w:rStyle w:val="ECCParagraph"/>
                <w:rFonts w:eastAsiaTheme="minorEastAsia" w:cstheme="minorBidi"/>
                <w:bCs/>
                <w:lang w:eastAsia="da-DK"/>
              </w:rPr>
            </w:pPr>
            <m:oMathPara>
              <m:oMathParaPr>
                <m:jc m:val="center"/>
              </m:oMathParaPr>
              <m:oMath>
                <m:r>
                  <w:rPr>
                    <w:rFonts w:ascii="Cambria Math" w:hAnsi="Cambria Math"/>
                  </w:rPr>
                  <m:t>Ds=1/</m:t>
                </m:r>
                <m:sSub>
                  <m:sSubPr>
                    <m:ctrlPr>
                      <w:rPr>
                        <w:rFonts w:ascii="Cambria Math" w:hAnsi="Cambria Math"/>
                        <w:bCs/>
                      </w:rPr>
                    </m:ctrlPr>
                  </m:sSubPr>
                  <m:e>
                    <m:r>
                      <w:rPr>
                        <w:rFonts w:ascii="Cambria Math" w:hAnsi="Cambria Math"/>
                      </w:rPr>
                      <m:t>A</m:t>
                    </m:r>
                  </m:e>
                  <m:sub>
                    <m:r>
                      <w:rPr>
                        <w:rFonts w:ascii="Cambria Math" w:hAnsi="Cambria Math"/>
                      </w:rPr>
                      <m:t>s</m:t>
                    </m:r>
                  </m:sub>
                </m:sSub>
              </m:oMath>
            </m:oMathPara>
          </w:p>
        </w:tc>
        <w:tc>
          <w:tcPr>
            <w:tcW w:w="239" w:type="pct"/>
          </w:tcPr>
          <w:p w14:paraId="4EF4A09F" w14:textId="698CCCE2" w:rsidR="001C4AAC" w:rsidRPr="007A4779" w:rsidRDefault="007A4779" w:rsidP="00104BC8">
            <w:pPr>
              <w:spacing w:before="120" w:after="60"/>
              <w:jc w:val="right"/>
              <w:rPr>
                <w:rStyle w:val="ECCParagraph"/>
                <w:rFonts w:eastAsiaTheme="minorEastAsia"/>
                <w:b/>
                <w:bCs/>
                <w:lang w:eastAsia="da-DK"/>
              </w:rPr>
            </w:pPr>
            <w:r>
              <w:rPr>
                <w:rStyle w:val="ECCParagraph"/>
              </w:rPr>
              <w:t>(</w:t>
            </w:r>
            <w:r w:rsidR="001C4AAC" w:rsidRPr="007A4779">
              <w:fldChar w:fldCharType="begin"/>
            </w:r>
            <w:r w:rsidR="001C4AAC" w:rsidRPr="007A4779">
              <w:instrText xml:space="preserve"> SEQ Equation \* ARABIC </w:instrText>
            </w:r>
            <w:r w:rsidR="001C4AAC" w:rsidRPr="007A4779">
              <w:fldChar w:fldCharType="separate"/>
            </w:r>
            <w:r w:rsidR="009464FD">
              <w:rPr>
                <w:noProof/>
              </w:rPr>
              <w:t>1</w:t>
            </w:r>
            <w:r w:rsidR="001C4AAC" w:rsidRPr="007A4779">
              <w:fldChar w:fldCharType="end"/>
            </w:r>
            <w:r w:rsidR="001C4AAC" w:rsidRPr="007A4779">
              <w:rPr>
                <w:b/>
                <w:bCs/>
              </w:rPr>
              <w:t>)</w:t>
            </w:r>
            <w:r w:rsidRPr="007A4779">
              <w:rPr>
                <w:rStyle w:val="ECCParagraph"/>
              </w:rPr>
              <w:t xml:space="preserve"> </w:t>
            </w:r>
          </w:p>
        </w:tc>
      </w:tr>
    </w:tbl>
    <w:p w14:paraId="677B6E59" w14:textId="77777777" w:rsidR="00B822F0" w:rsidRDefault="00B822F0" w:rsidP="00B822F0">
      <w:r>
        <w:t xml:space="preserve">With </w:t>
      </w:r>
      <m:oMath>
        <m:sSub>
          <m:sSubPr>
            <m:ctrlPr>
              <w:rPr>
                <w:rFonts w:ascii="Cambria Math" w:hAnsi="Cambria Math"/>
              </w:rPr>
            </m:ctrlPr>
          </m:sSubPr>
          <m:e>
            <m:r>
              <w:rPr>
                <w:rFonts w:ascii="Cambria Math" w:hAnsi="Cambria Math"/>
              </w:rPr>
              <m:t>A</m:t>
            </m:r>
          </m:e>
          <m:sub>
            <m:r>
              <w:rPr>
                <w:rFonts w:ascii="Cambria Math" w:hAnsi="Cambria Math"/>
              </w:rPr>
              <m:t>s</m:t>
            </m:r>
          </m:sub>
        </m:sSub>
      </m:oMath>
      <w:r>
        <w:t xml:space="preserve"> the area covered by one BS sector (corresponding to a regular hexagon) defined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708"/>
      </w:tblGrid>
      <w:tr w:rsidR="00FE6741" w14:paraId="39D5B8FC" w14:textId="77777777" w:rsidTr="00950354">
        <w:tc>
          <w:tcPr>
            <w:tcW w:w="4633" w:type="pct"/>
          </w:tcPr>
          <w:p w14:paraId="1C0ED43C" w14:textId="029DA51D" w:rsidR="001C4AAC" w:rsidRPr="00144C97" w:rsidRDefault="00AF7F19" w:rsidP="00D443CB">
            <w:pPr>
              <w:spacing w:before="120" w:after="60"/>
              <w:rPr>
                <w:rStyle w:val="ECCParagraph"/>
                <w:rFonts w:eastAsiaTheme="minorEastAsia" w:cstheme="minorBidi"/>
                <w:lang w:eastAsia="da-DK"/>
              </w:rPr>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s</m:t>
                    </m:r>
                  </m:sub>
                </m:sSub>
                <m:r>
                  <w:rPr>
                    <w:rFonts w:ascii="Cambria Math" w:hAnsi="Cambria Math"/>
                  </w:rPr>
                  <m:t>=</m:t>
                </m:r>
                <m:f>
                  <m:fPr>
                    <m:ctrlPr>
                      <w:rPr>
                        <w:rFonts w:ascii="Cambria Math" w:hAnsi="Cambria Math"/>
                      </w:rPr>
                    </m:ctrlPr>
                  </m:fPr>
                  <m:num>
                    <m:r>
                      <w:rPr>
                        <w:rFonts w:ascii="Cambria Math" w:hAnsi="Cambria Math"/>
                      </w:rPr>
                      <m:t>3</m:t>
                    </m:r>
                    <m:rad>
                      <m:radPr>
                        <m:degHide m:val="1"/>
                        <m:ctrlPr>
                          <w:rPr>
                            <w:rFonts w:ascii="Cambria Math" w:hAnsi="Cambria Math"/>
                          </w:rPr>
                        </m:ctrlPr>
                      </m:radPr>
                      <m:deg/>
                      <m:e>
                        <m:r>
                          <w:rPr>
                            <w:rFonts w:ascii="Cambria Math" w:hAnsi="Cambria Math"/>
                          </w:rPr>
                          <m:t>3</m:t>
                        </m:r>
                      </m:e>
                    </m:rad>
                  </m:num>
                  <m:den>
                    <m:r>
                      <w:rPr>
                        <w:rFonts w:ascii="Cambria Math" w:hAnsi="Cambria Math"/>
                      </w:rPr>
                      <m:t>2</m:t>
                    </m:r>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cell</m:t>
                            </m:r>
                            <m:r>
                              <w:rPr>
                                <w:rFonts w:ascii="Cambria Math" w:hAnsi="Cambria Math"/>
                              </w:rPr>
                              <m:t>_</m:t>
                            </m:r>
                            <m:r>
                              <w:rPr>
                                <w:rFonts w:ascii="Cambria Math" w:hAnsi="Cambria Math"/>
                              </w:rPr>
                              <m:t>radius</m:t>
                            </m:r>
                          </m:num>
                          <m:den>
                            <m:r>
                              <w:rPr>
                                <w:rFonts w:ascii="Cambria Math" w:hAnsi="Cambria Math"/>
                              </w:rPr>
                              <m:t>2</m:t>
                            </m:r>
                          </m:den>
                        </m:f>
                      </m:e>
                    </m:d>
                  </m:e>
                  <m:sup>
                    <m:r>
                      <w:rPr>
                        <w:rFonts w:ascii="Cambria Math" w:hAnsi="Cambria Math"/>
                      </w:rPr>
                      <m:t>2</m:t>
                    </m:r>
                  </m:sup>
                </m:sSup>
              </m:oMath>
            </m:oMathPara>
          </w:p>
        </w:tc>
        <w:tc>
          <w:tcPr>
            <w:tcW w:w="367" w:type="pct"/>
          </w:tcPr>
          <w:p w14:paraId="7FF0B246" w14:textId="4C837122" w:rsidR="001C4AAC" w:rsidRDefault="001C4AAC" w:rsidP="00D443CB">
            <w:pPr>
              <w:spacing w:before="120" w:after="60"/>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9464FD">
              <w:rPr>
                <w:noProof/>
              </w:rPr>
              <w:t>2</w:t>
            </w:r>
            <w:r>
              <w:fldChar w:fldCharType="end"/>
            </w:r>
            <w:r>
              <w:t>)</w:t>
            </w:r>
          </w:p>
        </w:tc>
      </w:tr>
    </w:tbl>
    <w:p w14:paraId="677B6E5B" w14:textId="69C02A6D" w:rsidR="00B822F0" w:rsidRDefault="00FF374B" w:rsidP="00B822F0">
      <w:r>
        <w:fldChar w:fldCharType="begin"/>
      </w:r>
      <w:r>
        <w:instrText xml:space="preserve"> REF _Ref103697235 \h </w:instrText>
      </w:r>
      <w:r>
        <w:fldChar w:fldCharType="separate"/>
      </w:r>
      <w:r w:rsidR="00884AEB" w:rsidRPr="001A2CEF">
        <w:t xml:space="preserve">Table </w:t>
      </w:r>
      <w:r w:rsidR="00884AEB">
        <w:rPr>
          <w:noProof/>
        </w:rPr>
        <w:t>7</w:t>
      </w:r>
      <w:r>
        <w:fldChar w:fldCharType="end"/>
      </w:r>
      <w:r w:rsidR="00B822F0">
        <w:t xml:space="preserve"> provides the corresponding AAS BS sector density per square km:</w:t>
      </w:r>
    </w:p>
    <w:p w14:paraId="3DE4EE85" w14:textId="0ED52C1D" w:rsidR="007D2CBA" w:rsidRPr="001A2CEF" w:rsidRDefault="003E29A0" w:rsidP="00C40FDF">
      <w:pPr>
        <w:pStyle w:val="Caption"/>
        <w:rPr>
          <w:lang w:val="en-GB"/>
        </w:rPr>
      </w:pPr>
      <w:bookmarkStart w:id="62" w:name="_Ref103697235"/>
      <w:r w:rsidRPr="001A2CEF">
        <w:rPr>
          <w:lang w:val="en-GB"/>
        </w:rPr>
        <w:t xml:space="preserve">Table </w:t>
      </w:r>
      <w:r w:rsidR="002C4827">
        <w:fldChar w:fldCharType="begin"/>
      </w:r>
      <w:r w:rsidR="002C4827" w:rsidRPr="001A2CEF">
        <w:rPr>
          <w:lang w:val="en-GB"/>
        </w:rPr>
        <w:instrText xml:space="preserve"> SEQ Table \* ARABIC </w:instrText>
      </w:r>
      <w:r w:rsidR="002C4827">
        <w:fldChar w:fldCharType="separate"/>
      </w:r>
      <w:r w:rsidR="009464FD">
        <w:rPr>
          <w:noProof/>
          <w:lang w:val="en-GB"/>
        </w:rPr>
        <w:t>7</w:t>
      </w:r>
      <w:r w:rsidR="002C4827">
        <w:rPr>
          <w:noProof/>
        </w:rPr>
        <w:fldChar w:fldCharType="end"/>
      </w:r>
      <w:bookmarkEnd w:id="62"/>
      <w:r w:rsidR="00BF5FDE" w:rsidRPr="001A2CEF">
        <w:rPr>
          <w:lang w:val="en-GB"/>
        </w:rPr>
        <w:t>:</w:t>
      </w:r>
      <w:r w:rsidR="000826A7" w:rsidRPr="001A2CEF">
        <w:rPr>
          <w:lang w:val="en-GB"/>
        </w:rPr>
        <w:t xml:space="preserve"> AAS BS sector density per square km</w:t>
      </w:r>
    </w:p>
    <w:tbl>
      <w:tblPr>
        <w:tblStyle w:val="ECCTable-redheader"/>
        <w:tblW w:w="4635" w:type="pct"/>
        <w:tblInd w:w="0" w:type="dxa"/>
        <w:tblLook w:val="0020" w:firstRow="1" w:lastRow="0" w:firstColumn="0" w:lastColumn="0" w:noHBand="0" w:noVBand="0"/>
      </w:tblPr>
      <w:tblGrid>
        <w:gridCol w:w="2092"/>
        <w:gridCol w:w="2089"/>
        <w:gridCol w:w="4745"/>
      </w:tblGrid>
      <w:tr w:rsidR="00B822F0" w14:paraId="677B6E5F" w14:textId="77777777" w:rsidTr="00510D7B">
        <w:trPr>
          <w:cnfStyle w:val="100000000000" w:firstRow="1" w:lastRow="0" w:firstColumn="0" w:lastColumn="0" w:oddVBand="0" w:evenVBand="0" w:oddHBand="0" w:evenHBand="0" w:firstRowFirstColumn="0" w:firstRowLastColumn="0" w:lastRowFirstColumn="0" w:lastRowLastColumn="0"/>
        </w:trPr>
        <w:tc>
          <w:tcPr>
            <w:tcW w:w="1172" w:type="pct"/>
          </w:tcPr>
          <w:p w14:paraId="677B6E5C" w14:textId="77777777" w:rsidR="00B822F0" w:rsidRPr="00B822F0" w:rsidRDefault="00B822F0" w:rsidP="00B822F0">
            <w:r>
              <w:t>Deployment environment</w:t>
            </w:r>
          </w:p>
        </w:tc>
        <w:tc>
          <w:tcPr>
            <w:tcW w:w="1170" w:type="pct"/>
          </w:tcPr>
          <w:p w14:paraId="677B6E5D" w14:textId="77777777" w:rsidR="00B822F0" w:rsidRPr="00B822F0" w:rsidRDefault="00B822F0" w:rsidP="00B822F0">
            <w:r>
              <w:t>Cell radius</w:t>
            </w:r>
            <w:r w:rsidRPr="00B822F0">
              <w:t xml:space="preserve"> in km</w:t>
            </w:r>
          </w:p>
        </w:tc>
        <w:tc>
          <w:tcPr>
            <w:tcW w:w="2658" w:type="pct"/>
          </w:tcPr>
          <w:p w14:paraId="677B6E5E" w14:textId="77777777" w:rsidR="00B822F0" w:rsidRPr="00B822F0" w:rsidRDefault="00B822F0" w:rsidP="00B822F0">
            <w:r>
              <w:t>Sectoral AAS BS density, Ds per square km</w:t>
            </w:r>
          </w:p>
        </w:tc>
      </w:tr>
      <w:tr w:rsidR="00B822F0" w14:paraId="677B6E63" w14:textId="77777777" w:rsidTr="00510D7B">
        <w:tc>
          <w:tcPr>
            <w:tcW w:w="1172" w:type="pct"/>
          </w:tcPr>
          <w:p w14:paraId="677B6E60" w14:textId="77777777" w:rsidR="00B822F0" w:rsidRPr="00B822F0" w:rsidRDefault="00B822F0" w:rsidP="00B822F0">
            <w:r>
              <w:t>U</w:t>
            </w:r>
            <w:r w:rsidRPr="00B822F0">
              <w:t>rban</w:t>
            </w:r>
          </w:p>
        </w:tc>
        <w:tc>
          <w:tcPr>
            <w:tcW w:w="1170" w:type="pct"/>
          </w:tcPr>
          <w:p w14:paraId="677B6E61" w14:textId="77777777" w:rsidR="00B822F0" w:rsidRPr="00B822F0" w:rsidRDefault="00B822F0" w:rsidP="00B822F0">
            <w:r>
              <w:t xml:space="preserve">0.4 </w:t>
            </w:r>
          </w:p>
        </w:tc>
        <w:tc>
          <w:tcPr>
            <w:tcW w:w="2658" w:type="pct"/>
          </w:tcPr>
          <w:p w14:paraId="677B6E62" w14:textId="4073CCB8" w:rsidR="00B822F0" w:rsidRPr="00B822F0" w:rsidRDefault="00B822F0" w:rsidP="00B822F0">
            <w:r w:rsidRPr="00D032CD">
              <w:t>9.62 BS/km</w:t>
            </w:r>
            <w:r w:rsidR="003C3330">
              <w:t>²</w:t>
            </w:r>
          </w:p>
        </w:tc>
      </w:tr>
      <w:tr w:rsidR="00B822F0" w14:paraId="677B6E67" w14:textId="77777777" w:rsidTr="00510D7B">
        <w:tc>
          <w:tcPr>
            <w:tcW w:w="1172" w:type="pct"/>
          </w:tcPr>
          <w:p w14:paraId="677B6E64" w14:textId="77777777" w:rsidR="00B822F0" w:rsidRPr="00B822F0" w:rsidRDefault="00B822F0" w:rsidP="00B822F0">
            <w:r>
              <w:t>Suburban</w:t>
            </w:r>
          </w:p>
        </w:tc>
        <w:tc>
          <w:tcPr>
            <w:tcW w:w="1170" w:type="pct"/>
          </w:tcPr>
          <w:p w14:paraId="677B6E65" w14:textId="77777777" w:rsidR="00B822F0" w:rsidRPr="00B822F0" w:rsidRDefault="00B822F0" w:rsidP="00B822F0">
            <w:r>
              <w:t xml:space="preserve">0.8 </w:t>
            </w:r>
          </w:p>
        </w:tc>
        <w:tc>
          <w:tcPr>
            <w:tcW w:w="2658" w:type="pct"/>
          </w:tcPr>
          <w:p w14:paraId="677B6E66" w14:textId="435A4AC9" w:rsidR="00B822F0" w:rsidRPr="00B822F0" w:rsidRDefault="00B822F0" w:rsidP="00B822F0">
            <w:r w:rsidRPr="00A909D9">
              <w:t>2.4056</w:t>
            </w:r>
            <w:r w:rsidRPr="00B822F0">
              <w:t xml:space="preserve"> BS/km</w:t>
            </w:r>
            <w:r w:rsidR="003C3330">
              <w:t>²</w:t>
            </w:r>
          </w:p>
        </w:tc>
      </w:tr>
    </w:tbl>
    <w:p w14:paraId="677B6E68" w14:textId="77777777" w:rsidR="00B822F0" w:rsidRDefault="00B822F0" w:rsidP="00B822F0">
      <w:r>
        <w:t>Since this study assumes a deployment of AAS BS over the entire visibility of the satellite receiver, it is proposed to implement the R</w:t>
      </w:r>
      <w:r w:rsidRPr="001225CD">
        <w:t>a</w:t>
      </w:r>
      <w:r>
        <w:t>/R</w:t>
      </w:r>
      <w:r w:rsidRPr="001225CD">
        <w:t>b</w:t>
      </w:r>
      <w:r>
        <w:t xml:space="preserve"> methodology to calculate the total number of BS to be considered in the study.</w:t>
      </w:r>
    </w:p>
    <w:p w14:paraId="677B6E69" w14:textId="18711A19" w:rsidR="00B822F0" w:rsidRDefault="00B822F0" w:rsidP="00B822F0">
      <w:r>
        <w:t>The Rb factor is independent of frequency as it relates to the ratio of built areas over total area. The following values proposed to be used in this study are based on option 1 of Table 11 (6-8 GHz band) of the Annex 4.4 to the WP5D chairman's report</w:t>
      </w:r>
      <w:r w:rsidR="00C90383">
        <w:t xml:space="preserve"> </w:t>
      </w:r>
      <w:r w:rsidR="00C90383">
        <w:fldChar w:fldCharType="begin"/>
      </w:r>
      <w:r w:rsidR="00C90383">
        <w:instrText xml:space="preserve"> REF _Ref104908991 \r \h </w:instrText>
      </w:r>
      <w:r w:rsidR="00C90383">
        <w:fldChar w:fldCharType="separate"/>
      </w:r>
      <w:r w:rsidR="009464FD">
        <w:t>[13]</w:t>
      </w:r>
      <w:r w:rsidR="00C90383">
        <w:fldChar w:fldCharType="end"/>
      </w:r>
      <w:r>
        <w:t>:</w:t>
      </w:r>
    </w:p>
    <w:p w14:paraId="545DF068" w14:textId="3E211D6F" w:rsidR="00DF1610" w:rsidRDefault="00DF1610" w:rsidP="001A2CEF">
      <w:pPr>
        <w:pStyle w:val="Caption"/>
        <w:keepNext/>
      </w:pPr>
      <w:r>
        <w:lastRenderedPageBreak/>
        <w:t xml:space="preserve">Table </w:t>
      </w:r>
      <w:r w:rsidR="00AF7F19">
        <w:fldChar w:fldCharType="begin"/>
      </w:r>
      <w:r w:rsidR="00AF7F19">
        <w:instrText xml:space="preserve"> SEQ Table \* ARABIC </w:instrText>
      </w:r>
      <w:r w:rsidR="00AF7F19">
        <w:fldChar w:fldCharType="separate"/>
      </w:r>
      <w:r w:rsidR="009464FD">
        <w:rPr>
          <w:noProof/>
        </w:rPr>
        <w:t>8</w:t>
      </w:r>
      <w:r w:rsidR="00AF7F19">
        <w:rPr>
          <w:noProof/>
        </w:rPr>
        <w:fldChar w:fldCharType="end"/>
      </w:r>
      <w:r>
        <w:t>: Values of Rb</w:t>
      </w:r>
    </w:p>
    <w:tbl>
      <w:tblPr>
        <w:tblStyle w:val="ECCTable-redheader"/>
        <w:tblW w:w="7089" w:type="dxa"/>
        <w:tblInd w:w="0" w:type="dxa"/>
        <w:tblLook w:val="04A0" w:firstRow="1" w:lastRow="0" w:firstColumn="1" w:lastColumn="0" w:noHBand="0" w:noVBand="1"/>
      </w:tblPr>
      <w:tblGrid>
        <w:gridCol w:w="3829"/>
        <w:gridCol w:w="3260"/>
      </w:tblGrid>
      <w:tr w:rsidR="00BF26BA" w:rsidRPr="00253EFD" w14:paraId="1B4452E9" w14:textId="77777777" w:rsidTr="00510D7B">
        <w:trPr>
          <w:cnfStyle w:val="100000000000" w:firstRow="1" w:lastRow="0" w:firstColumn="0" w:lastColumn="0" w:oddVBand="0" w:evenVBand="0" w:oddHBand="0" w:evenHBand="0" w:firstRowFirstColumn="0" w:firstRowLastColumn="0" w:lastRowFirstColumn="0" w:lastRowLastColumn="0"/>
          <w:trHeight w:val="422"/>
        </w:trPr>
        <w:tc>
          <w:tcPr>
            <w:tcW w:w="2701" w:type="pct"/>
          </w:tcPr>
          <w:p w14:paraId="6EA03FB9" w14:textId="77777777" w:rsidR="00BF26BA" w:rsidRPr="009C3C20" w:rsidRDefault="00BF26BA" w:rsidP="001A2CEF">
            <w:pPr>
              <w:pStyle w:val="ECCTableHeaderwhitefont"/>
              <w:rPr>
                <w:b w:val="0"/>
              </w:rPr>
            </w:pPr>
            <w:r>
              <w:t>Parameter</w:t>
            </w:r>
          </w:p>
        </w:tc>
        <w:tc>
          <w:tcPr>
            <w:tcW w:w="2299" w:type="pct"/>
          </w:tcPr>
          <w:p w14:paraId="00ECAEF5" w14:textId="7C873D09" w:rsidR="00BF26BA" w:rsidRPr="009C3C20" w:rsidRDefault="00BF26BA" w:rsidP="001A2CEF">
            <w:pPr>
              <w:pStyle w:val="ECCTableHeaderwhitefont"/>
            </w:pPr>
            <w:r>
              <w:t>Value</w:t>
            </w:r>
          </w:p>
        </w:tc>
      </w:tr>
      <w:tr w:rsidR="00BF26BA" w:rsidRPr="00253EFD" w14:paraId="677B6E6D" w14:textId="77777777" w:rsidTr="00510D7B">
        <w:trPr>
          <w:trHeight w:val="422"/>
        </w:trPr>
        <w:tc>
          <w:tcPr>
            <w:tcW w:w="2701" w:type="pct"/>
            <w:hideMark/>
          </w:tcPr>
          <w:p w14:paraId="677B6E6A" w14:textId="77777777" w:rsidR="00BF26BA" w:rsidRPr="00BD2C0F" w:rsidRDefault="00BF26BA" w:rsidP="007E0A4F">
            <w:pPr>
              <w:pStyle w:val="ECCTabletext"/>
              <w:jc w:val="left"/>
            </w:pPr>
            <w:r w:rsidRPr="009C3C20">
              <w:t>Rb (depending on the area under study)</w:t>
            </w:r>
          </w:p>
        </w:tc>
        <w:tc>
          <w:tcPr>
            <w:tcW w:w="2299" w:type="pct"/>
            <w:hideMark/>
          </w:tcPr>
          <w:p w14:paraId="677B6E6C" w14:textId="01B7A388" w:rsidR="00BF26BA" w:rsidRPr="00BD2C0F" w:rsidRDefault="00BF26BA" w:rsidP="007E0A4F">
            <w:pPr>
              <w:pStyle w:val="ECCTabletext"/>
              <w:jc w:val="left"/>
            </w:pPr>
            <w:r w:rsidRPr="009C3C20">
              <w:t>5% (area &lt; 200000 km</w:t>
            </w:r>
            <w:r w:rsidRPr="00510D7B">
              <w:rPr>
                <w:rStyle w:val="ECCHLsuperscript"/>
              </w:rPr>
              <w:t>2</w:t>
            </w:r>
            <w:r w:rsidRPr="009C3C20">
              <w:t>)</w:t>
            </w:r>
            <w:r w:rsidRPr="009C3C20">
              <w:br/>
              <w:t>2% (200000 - 1000000 km</w:t>
            </w:r>
            <w:r w:rsidRPr="00510D7B">
              <w:rPr>
                <w:rStyle w:val="ECCHLsuperscript"/>
              </w:rPr>
              <w:t>2</w:t>
            </w:r>
            <w:r w:rsidRPr="009C3C20">
              <w:t>)</w:t>
            </w:r>
            <w:r w:rsidRPr="009C3C20">
              <w:br/>
              <w:t>1% (area &gt; 1000000 km</w:t>
            </w:r>
            <w:r w:rsidRPr="00510D7B">
              <w:rPr>
                <w:rStyle w:val="ECCHLsuperscript"/>
              </w:rPr>
              <w:t>2</w:t>
            </w:r>
            <w:r w:rsidRPr="009C3C20">
              <w:t>)</w:t>
            </w:r>
          </w:p>
        </w:tc>
      </w:tr>
    </w:tbl>
    <w:p w14:paraId="677B6E6E" w14:textId="73A47153" w:rsidR="00B822F0" w:rsidRDefault="00B822F0" w:rsidP="00B822F0">
      <w:r>
        <w:t>Given that the total area of visibility for a satellite at 250</w:t>
      </w:r>
      <w:r w:rsidR="00C45313">
        <w:t xml:space="preserve"> </w:t>
      </w:r>
      <w:r>
        <w:t>km is equal to about 9.64 million square km, the 1% R</w:t>
      </w:r>
      <w:r w:rsidRPr="001225CD">
        <w:t>b</w:t>
      </w:r>
      <w:r>
        <w:t xml:space="preserve"> value is assumed for BS deployment in this area.</w:t>
      </w:r>
    </w:p>
    <w:p w14:paraId="677B6E6F" w14:textId="4B45CFB5" w:rsidR="00B822F0" w:rsidRDefault="00B822F0" w:rsidP="00B822F0">
      <w:r>
        <w:t>No R</w:t>
      </w:r>
      <w:r w:rsidRPr="001225CD">
        <w:t>a</w:t>
      </w:r>
      <w:r>
        <w:t xml:space="preserve"> factors were provided for the 1-3 GHz frequency band in the </w:t>
      </w:r>
      <w:r w:rsidRPr="009C3C20">
        <w:t xml:space="preserve">Annex 4.4 to the WP5D chairman's </w:t>
      </w:r>
      <w:proofErr w:type="spellStart"/>
      <w:r w:rsidRPr="009C3C20">
        <w:t>report</w:t>
      </w:r>
      <w:r>
        <w:t>.</w:t>
      </w:r>
      <w:proofErr w:type="spellEnd"/>
      <w:r>
        <w:t xml:space="preserve"> However, for this study a R</w:t>
      </w:r>
      <w:r w:rsidRPr="001225CD">
        <w:t>a</w:t>
      </w:r>
      <w:r>
        <w:t xml:space="preserve"> factor of 80% is assumed to be representative for the suburban/urban deployment case.</w:t>
      </w:r>
    </w:p>
    <w:p w14:paraId="677B6E70" w14:textId="77777777" w:rsidR="00B822F0" w:rsidRDefault="00B822F0" w:rsidP="00B822F0">
      <w:r>
        <w:t>The total number of BS for each element surface in the satellite visibility can then be calculated using the following formula: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8"/>
        <w:gridCol w:w="461"/>
      </w:tblGrid>
      <w:tr w:rsidR="005373C0" w14:paraId="0FD2C543" w14:textId="77777777" w:rsidTr="00950354">
        <w:tc>
          <w:tcPr>
            <w:tcW w:w="4761" w:type="pct"/>
          </w:tcPr>
          <w:p w14:paraId="75846A89" w14:textId="4A83B38C" w:rsidR="001C4AAC" w:rsidRPr="00144C97" w:rsidRDefault="00AF7F19" w:rsidP="00D443CB">
            <w:pPr>
              <w:spacing w:before="120" w:after="60"/>
              <w:rPr>
                <w:rStyle w:val="ECCParagraph"/>
                <w:rFonts w:eastAsiaTheme="minorEastAsia" w:cstheme="minorBidi"/>
                <w:lang w:eastAsia="da-DK"/>
              </w:rPr>
            </w:pPr>
            <m:oMathPara>
              <m:oMathParaPr>
                <m:jc m:val="center"/>
              </m:oMathParaPr>
              <m:oMath>
                <m:sSub>
                  <m:sSubPr>
                    <m:ctrlPr>
                      <w:rPr>
                        <w:rFonts w:ascii="Cambria Math" w:hAnsi="Cambria Math"/>
                        <w:lang w:val="fr-FR" w:eastAsia="ko-KR"/>
                      </w:rPr>
                    </m:ctrlPr>
                  </m:sSubPr>
                  <m:e>
                    <m:r>
                      <w:rPr>
                        <w:rFonts w:ascii="Cambria Math" w:hAnsi="Cambria Math"/>
                      </w:rPr>
                      <m:t>N</m:t>
                    </m:r>
                  </m:e>
                  <m:sub>
                    <m:r>
                      <w:rPr>
                        <w:rFonts w:ascii="Cambria Math" w:hAnsi="Cambria Math"/>
                      </w:rPr>
                      <m:t>To</m:t>
                    </m:r>
                    <m:r>
                      <w:rPr>
                        <w:rFonts w:ascii="Cambria Math" w:hAnsi="Cambria Math"/>
                      </w:rPr>
                      <m:t>t</m:t>
                    </m:r>
                    <m:r>
                      <m:rPr>
                        <m:sty m:val="p"/>
                      </m:rPr>
                      <w:rPr>
                        <w:rFonts w:ascii="Cambria Math" w:hAnsi="Cambria Math"/>
                      </w:rPr>
                      <m:t>_</m:t>
                    </m:r>
                    <m:r>
                      <w:rPr>
                        <w:rFonts w:ascii="Cambria Math" w:hAnsi="Cambria Math"/>
                      </w:rPr>
                      <m:t>BS</m:t>
                    </m:r>
                  </m:sub>
                </m:sSub>
                <m:r>
                  <m:rPr>
                    <m:sty m:val="p"/>
                  </m:rPr>
                  <w:rPr>
                    <w:rFonts w:ascii="Cambria Math" w:hAnsi="Cambria Math"/>
                  </w:rPr>
                  <m:t xml:space="preserve">= </m:t>
                </m:r>
                <m:nary>
                  <m:naryPr>
                    <m:chr m:val="∑"/>
                    <m:limLoc m:val="undOvr"/>
                    <m:ctrlPr>
                      <w:rPr>
                        <w:rFonts w:ascii="Cambria Math" w:hAnsi="Cambria Math"/>
                        <w:lang w:val="fr-FR" w:eastAsia="ko-KR"/>
                      </w:rPr>
                    </m:ctrlPr>
                  </m:naryPr>
                  <m:sub>
                    <m:r>
                      <w:rPr>
                        <w:rFonts w:ascii="Cambria Math" w:hAnsi="Cambria Math"/>
                      </w:rPr>
                      <m:t>i</m:t>
                    </m:r>
                    <m:r>
                      <m:rPr>
                        <m:sty m:val="p"/>
                      </m:rPr>
                      <w:rPr>
                        <w:rFonts w:ascii="Cambria Math" w:hAnsi="Cambria Math"/>
                      </w:rPr>
                      <m:t>=1</m:t>
                    </m:r>
                  </m:sub>
                  <m:sup>
                    <m:r>
                      <w:rPr>
                        <w:rFonts w:ascii="Cambria Math" w:hAnsi="Cambria Math"/>
                      </w:rPr>
                      <m:t>M</m:t>
                    </m:r>
                  </m:sup>
                  <m:e>
                    <m:sSub>
                      <m:sSubPr>
                        <m:ctrlPr>
                          <w:rPr>
                            <w:rFonts w:ascii="Cambria Math" w:hAnsi="Cambria Math"/>
                            <w:lang w:val="fr-FR" w:eastAsia="ko-KR"/>
                          </w:rPr>
                        </m:ctrlPr>
                      </m:sSubPr>
                      <m:e>
                        <m:r>
                          <w:rPr>
                            <w:rFonts w:ascii="Cambria Math" w:hAnsi="Cambria Math"/>
                          </w:rPr>
                          <m:t>S</m:t>
                        </m:r>
                      </m:e>
                      <m:sub>
                        <m:r>
                          <w:rPr>
                            <w:rFonts w:ascii="Cambria Math" w:hAnsi="Cambria Math"/>
                          </w:rPr>
                          <m:t>area</m:t>
                        </m:r>
                      </m:sub>
                    </m:sSub>
                  </m:e>
                </m:nary>
                <m:r>
                  <m:rPr>
                    <m:sty m:val="p"/>
                  </m:rPr>
                  <w:rPr>
                    <w:rFonts w:ascii="Cambria Math" w:hAnsi="Cambria Math"/>
                  </w:rPr>
                  <m:t>∙</m:t>
                </m:r>
                <m:sSub>
                  <m:sSubPr>
                    <m:ctrlPr>
                      <w:rPr>
                        <w:rFonts w:ascii="Cambria Math" w:hAnsi="Cambria Math"/>
                        <w:lang w:val="fr-FR" w:eastAsia="ko-KR"/>
                      </w:rPr>
                    </m:ctrlPr>
                  </m:sSubPr>
                  <m:e>
                    <m:r>
                      <w:rPr>
                        <w:rFonts w:ascii="Cambria Math" w:hAnsi="Cambria Math"/>
                      </w:rPr>
                      <m:t>D</m:t>
                    </m:r>
                  </m:e>
                  <m:sub>
                    <m:r>
                      <w:rPr>
                        <w:rFonts w:ascii="Cambria Math" w:hAnsi="Cambria Math"/>
                      </w:rPr>
                      <m:t>s</m:t>
                    </m:r>
                    <m:r>
                      <m:rPr>
                        <m:sty m:val="p"/>
                      </m:rPr>
                      <w:rPr>
                        <w:rFonts w:ascii="Cambria Math" w:hAnsi="Cambria Math"/>
                      </w:rPr>
                      <m:t>_</m:t>
                    </m:r>
                    <m:r>
                      <w:rPr>
                        <w:rFonts w:ascii="Cambria Math" w:hAnsi="Cambria Math"/>
                      </w:rPr>
                      <m:t>BS</m:t>
                    </m:r>
                    <m:r>
                      <m:rPr>
                        <m:sty m:val="p"/>
                      </m:rPr>
                      <w:rPr>
                        <w:rFonts w:ascii="Cambria Math" w:hAnsi="Cambria Math"/>
                      </w:rPr>
                      <m:t>_</m:t>
                    </m:r>
                    <m:r>
                      <w:rPr>
                        <w:rFonts w:ascii="Cambria Math" w:hAnsi="Cambria Math"/>
                      </w:rPr>
                      <m:t>i</m:t>
                    </m:r>
                  </m:sub>
                </m:sSub>
                <m:r>
                  <m:rPr>
                    <m:sty m:val="p"/>
                  </m:rPr>
                  <w:rPr>
                    <w:rFonts w:ascii="Cambria Math" w:hAnsi="Cambria Math"/>
                  </w:rPr>
                  <m:t>∙</m:t>
                </m:r>
                <m:sSub>
                  <m:sSubPr>
                    <m:ctrlPr>
                      <w:rPr>
                        <w:rFonts w:ascii="Cambria Math" w:hAnsi="Cambria Math"/>
                        <w:lang w:val="fr-FR" w:eastAsia="ko-KR"/>
                      </w:rPr>
                    </m:ctrlPr>
                  </m:sSubPr>
                  <m:e>
                    <m:r>
                      <w:rPr>
                        <w:rFonts w:ascii="Cambria Math" w:hAnsi="Cambria Math"/>
                      </w:rPr>
                      <m:t>R</m:t>
                    </m:r>
                  </m:e>
                  <m:sub>
                    <m:r>
                      <w:rPr>
                        <w:rFonts w:ascii="Cambria Math" w:hAnsi="Cambria Math"/>
                      </w:rPr>
                      <m:t>a</m:t>
                    </m:r>
                    <m:r>
                      <m:rPr>
                        <m:sty m:val="p"/>
                      </m:rPr>
                      <w:rPr>
                        <w:rFonts w:ascii="Cambria Math" w:hAnsi="Cambria Math"/>
                      </w:rPr>
                      <m:t>_</m:t>
                    </m:r>
                    <m:r>
                      <w:rPr>
                        <w:rFonts w:ascii="Cambria Math" w:hAnsi="Cambria Math"/>
                      </w:rPr>
                      <m:t>i</m:t>
                    </m:r>
                  </m:sub>
                </m:sSub>
                <m:r>
                  <m:rPr>
                    <m:sty m:val="p"/>
                  </m:rPr>
                  <w:rPr>
                    <w:rFonts w:ascii="Cambria Math" w:hAnsi="Cambria Math"/>
                  </w:rPr>
                  <m:t>∙</m:t>
                </m:r>
                <m:sSub>
                  <m:sSubPr>
                    <m:ctrlPr>
                      <w:rPr>
                        <w:rFonts w:ascii="Cambria Math" w:hAnsi="Cambria Math"/>
                        <w:lang w:val="fr-FR" w:eastAsia="ko-KR"/>
                      </w:rPr>
                    </m:ctrlPr>
                  </m:sSubPr>
                  <m:e>
                    <m:r>
                      <w:rPr>
                        <w:rFonts w:ascii="Cambria Math" w:hAnsi="Cambria Math"/>
                      </w:rPr>
                      <m:t>R</m:t>
                    </m:r>
                  </m:e>
                  <m:sub>
                    <m:r>
                      <w:rPr>
                        <w:rFonts w:ascii="Cambria Math" w:hAnsi="Cambria Math"/>
                      </w:rPr>
                      <m:t>b</m:t>
                    </m:r>
                  </m:sub>
                </m:sSub>
              </m:oMath>
            </m:oMathPara>
          </w:p>
        </w:tc>
        <w:tc>
          <w:tcPr>
            <w:tcW w:w="239" w:type="pct"/>
          </w:tcPr>
          <w:p w14:paraId="73F7F151" w14:textId="11202FFC" w:rsidR="001C4AAC" w:rsidRDefault="001C4AAC" w:rsidP="00D443CB">
            <w:pPr>
              <w:spacing w:before="120" w:after="60"/>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9464FD">
              <w:rPr>
                <w:noProof/>
              </w:rPr>
              <w:t>3</w:t>
            </w:r>
            <w:r>
              <w:fldChar w:fldCharType="end"/>
            </w:r>
            <w:r>
              <w:t>)</w:t>
            </w:r>
          </w:p>
        </w:tc>
      </w:tr>
    </w:tbl>
    <w:p w14:paraId="677B6E72" w14:textId="77777777" w:rsidR="00B822F0" w:rsidRDefault="00B822F0" w:rsidP="00B822F0">
      <w:r>
        <w:t>With:</w:t>
      </w:r>
    </w:p>
    <w:p w14:paraId="677B6E73" w14:textId="1077A88D" w:rsidR="00B822F0" w:rsidRPr="00B822F0" w:rsidRDefault="00AF7F19" w:rsidP="00B822F0">
      <w:pPr>
        <w:pStyle w:val="ECCBulletsLv1"/>
      </w:pPr>
      <m:oMath>
        <m:sSub>
          <m:sSubPr>
            <m:ctrlPr>
              <w:rPr>
                <w:rFonts w:ascii="Cambria Math" w:hAnsi="Cambria Math"/>
                <w:lang w:val="fr-FR" w:eastAsia="ko-KR"/>
              </w:rPr>
            </m:ctrlPr>
          </m:sSubPr>
          <m:e>
            <m:r>
              <w:rPr>
                <w:rFonts w:ascii="Cambria Math" w:hAnsi="Cambria Math"/>
              </w:rPr>
              <m:t>N</m:t>
            </m:r>
          </m:e>
          <m:sub>
            <m:r>
              <w:rPr>
                <w:rFonts w:ascii="Cambria Math" w:hAnsi="Cambria Math"/>
              </w:rPr>
              <m:t>Tot</m:t>
            </m:r>
            <m:r>
              <m:rPr>
                <m:sty m:val="p"/>
              </m:rPr>
              <w:rPr>
                <w:rFonts w:ascii="Cambria Math" w:hAnsi="Cambria Math"/>
              </w:rPr>
              <m:t>_</m:t>
            </m:r>
            <m:r>
              <w:rPr>
                <w:rFonts w:ascii="Cambria Math" w:hAnsi="Cambria Math"/>
              </w:rPr>
              <m:t>BS</m:t>
            </m:r>
          </m:sub>
        </m:sSub>
      </m:oMath>
      <w:r w:rsidR="00B822F0">
        <w:t>: the total number of BS in a given elemental surface, corresponding to the sum of suburban and urban IMT deployment</w:t>
      </w:r>
      <w:r w:rsidR="00650C6C">
        <w:t>;</w:t>
      </w:r>
    </w:p>
    <w:p w14:paraId="677B6E74" w14:textId="0C3064AA" w:rsidR="00B822F0" w:rsidRPr="00B822F0" w:rsidRDefault="00AF7F19" w:rsidP="00B822F0">
      <w:pPr>
        <w:pStyle w:val="ECCBulletsLv1"/>
      </w:pPr>
      <m:oMath>
        <m:sSub>
          <m:sSubPr>
            <m:ctrlPr>
              <w:rPr>
                <w:rFonts w:ascii="Cambria Math" w:hAnsi="Cambria Math"/>
                <w:lang w:val="fr-FR" w:eastAsia="ko-KR"/>
              </w:rPr>
            </m:ctrlPr>
          </m:sSubPr>
          <m:e>
            <m:r>
              <w:rPr>
                <w:rFonts w:ascii="Cambria Math" w:hAnsi="Cambria Math"/>
              </w:rPr>
              <m:t>S</m:t>
            </m:r>
          </m:e>
          <m:sub>
            <m:r>
              <w:rPr>
                <w:rFonts w:ascii="Cambria Math" w:hAnsi="Cambria Math"/>
              </w:rPr>
              <m:t>area</m:t>
            </m:r>
          </m:sub>
        </m:sSub>
      </m:oMath>
      <w:r w:rsidR="00B822F0">
        <w:t>: the elemental surface area within the satellite visibility area</w:t>
      </w:r>
      <w:r w:rsidR="00650C6C">
        <w:t>;</w:t>
      </w:r>
      <w:r w:rsidR="00B822F0">
        <w:t xml:space="preserve"> </w:t>
      </w:r>
    </w:p>
    <w:p w14:paraId="677B6E75" w14:textId="5989EB4F" w:rsidR="00B822F0" w:rsidRPr="00B822F0" w:rsidRDefault="00AF7F19" w:rsidP="00B822F0">
      <w:pPr>
        <w:pStyle w:val="ECCBulletsLv1"/>
      </w:pPr>
      <m:oMath>
        <m:sSub>
          <m:sSubPr>
            <m:ctrlPr>
              <w:rPr>
                <w:rFonts w:ascii="Cambria Math" w:hAnsi="Cambria Math"/>
                <w:lang w:val="fr-FR" w:eastAsia="ko-KR"/>
              </w:rPr>
            </m:ctrlPr>
          </m:sSubPr>
          <m:e>
            <m:r>
              <w:rPr>
                <w:rFonts w:ascii="Cambria Math" w:hAnsi="Cambria Math"/>
              </w:rPr>
              <m:t>D</m:t>
            </m:r>
          </m:e>
          <m:sub>
            <m:r>
              <w:rPr>
                <w:rFonts w:ascii="Cambria Math" w:hAnsi="Cambria Math"/>
              </w:rPr>
              <m:t>s</m:t>
            </m:r>
            <m:r>
              <m:rPr>
                <m:sty m:val="p"/>
              </m:rPr>
              <w:rPr>
                <w:rFonts w:ascii="Cambria Math" w:hAnsi="Cambria Math"/>
              </w:rPr>
              <m:t>_</m:t>
            </m:r>
            <m:r>
              <w:rPr>
                <w:rFonts w:ascii="Cambria Math" w:hAnsi="Cambria Math"/>
              </w:rPr>
              <m:t>BS</m:t>
            </m:r>
            <m:r>
              <m:rPr>
                <m:sty m:val="p"/>
              </m:rPr>
              <w:rPr>
                <w:rFonts w:ascii="Cambria Math" w:hAnsi="Cambria Math"/>
              </w:rPr>
              <m:t>_</m:t>
            </m:r>
            <m:r>
              <w:rPr>
                <w:rFonts w:ascii="Cambria Math" w:hAnsi="Cambria Math"/>
              </w:rPr>
              <m:t>i</m:t>
            </m:r>
          </m:sub>
        </m:sSub>
      </m:oMath>
      <w:r w:rsidR="00B822F0">
        <w:t>: the BS deployment density for the different deployment environment i, in this case suburban and urban (values presented in table above)</w:t>
      </w:r>
      <w:r w:rsidR="00650C6C">
        <w:t>;</w:t>
      </w:r>
    </w:p>
    <w:p w14:paraId="677B6E76" w14:textId="3BCE2DE8" w:rsidR="00B822F0" w:rsidRPr="00B822F0" w:rsidRDefault="00AF7F19" w:rsidP="00B822F0">
      <w:pPr>
        <w:pStyle w:val="ECCBulletsLv1"/>
      </w:pPr>
      <m:oMath>
        <m:sSub>
          <m:sSubPr>
            <m:ctrlPr>
              <w:rPr>
                <w:rFonts w:ascii="Cambria Math" w:hAnsi="Cambria Math"/>
                <w:lang w:val="fr-FR" w:eastAsia="ko-KR"/>
              </w:rPr>
            </m:ctrlPr>
          </m:sSubPr>
          <m:e>
            <m:r>
              <w:rPr>
                <w:rFonts w:ascii="Cambria Math" w:hAnsi="Cambria Math"/>
              </w:rPr>
              <m:t>R</m:t>
            </m:r>
          </m:e>
          <m:sub>
            <m:r>
              <w:rPr>
                <w:rFonts w:ascii="Cambria Math" w:hAnsi="Cambria Math"/>
              </w:rPr>
              <m:t>a</m:t>
            </m:r>
            <m:r>
              <m:rPr>
                <m:sty m:val="p"/>
              </m:rPr>
              <w:rPr>
                <w:rFonts w:ascii="Cambria Math" w:hAnsi="Cambria Math"/>
              </w:rPr>
              <m:t>_</m:t>
            </m:r>
            <m:r>
              <w:rPr>
                <w:rFonts w:ascii="Cambria Math" w:hAnsi="Cambria Math"/>
              </w:rPr>
              <m:t>i</m:t>
            </m:r>
          </m:sub>
        </m:sSub>
      </m:oMath>
      <w:r w:rsidR="00B822F0">
        <w:t>: the Ra factor for the different deployment environment i, in this case the Ra fac</w:t>
      </w:r>
      <w:r w:rsidR="00C45313">
        <w:t>t</w:t>
      </w:r>
      <w:r w:rsidR="00B822F0">
        <w:t>or is assumed to be 80% for both suburban and urban deployments</w:t>
      </w:r>
      <w:r w:rsidR="00650C6C">
        <w:t>;</w:t>
      </w:r>
    </w:p>
    <w:p w14:paraId="677B6E77" w14:textId="60E631A6" w:rsidR="00B822F0" w:rsidRPr="00B822F0" w:rsidRDefault="00AF7F19" w:rsidP="00B822F0">
      <w:pPr>
        <w:pStyle w:val="ECCBulletsLv1"/>
      </w:pPr>
      <m:oMath>
        <m:sSub>
          <m:sSubPr>
            <m:ctrlPr>
              <w:rPr>
                <w:rFonts w:ascii="Cambria Math" w:hAnsi="Cambria Math"/>
                <w:lang w:val="fr-FR" w:eastAsia="ko-KR"/>
              </w:rPr>
            </m:ctrlPr>
          </m:sSubPr>
          <m:e>
            <m:r>
              <w:rPr>
                <w:rFonts w:ascii="Cambria Math" w:hAnsi="Cambria Math"/>
              </w:rPr>
              <m:t>R</m:t>
            </m:r>
          </m:e>
          <m:sub>
            <m:r>
              <w:rPr>
                <w:rFonts w:ascii="Cambria Math" w:hAnsi="Cambria Math"/>
              </w:rPr>
              <m:t>b</m:t>
            </m:r>
          </m:sub>
        </m:sSub>
      </m:oMath>
      <w:r w:rsidR="00B822F0">
        <w:t xml:space="preserve">: </w:t>
      </w:r>
      <w:r w:rsidR="00B822F0" w:rsidRPr="00AF6D6F">
        <w:t>ratio of built areas to total area of region in study</w:t>
      </w:r>
      <w:r w:rsidR="00B822F0">
        <w:t>, defined in the table above</w:t>
      </w:r>
      <w:r w:rsidR="00650C6C">
        <w:t>.</w:t>
      </w:r>
    </w:p>
    <w:p w14:paraId="677B6E78" w14:textId="0A65FB64" w:rsidR="00B822F0" w:rsidRDefault="00B822F0" w:rsidP="00B822F0">
      <w:r>
        <w:t xml:space="preserve">With </w:t>
      </w:r>
      <m:oMath>
        <m:r>
          <w:rPr>
            <w:rFonts w:ascii="Cambria Math" w:hAnsi="Cambria Math"/>
          </w:rPr>
          <m:t>Surfac</m:t>
        </m:r>
        <m:sSub>
          <m:sSubPr>
            <m:ctrlPr>
              <w:rPr>
                <w:rFonts w:ascii="Cambria Math" w:hAnsi="Cambria Math"/>
              </w:rPr>
            </m:ctrlPr>
          </m:sSubPr>
          <m:e>
            <m:r>
              <w:rPr>
                <w:rFonts w:ascii="Cambria Math" w:hAnsi="Cambria Math"/>
              </w:rPr>
              <m:t>e</m:t>
            </m:r>
          </m:e>
          <m:sub>
            <m:r>
              <w:rPr>
                <w:rFonts w:ascii="Cambria Math" w:hAnsi="Cambria Math"/>
              </w:rPr>
              <m:t>i</m:t>
            </m:r>
          </m:sub>
        </m:sSub>
      </m:oMath>
      <w:r>
        <w:t xml:space="preserve"> the i-th elemental surface defined in step 2 within the satellite visibility. </w:t>
      </w:r>
      <w:r w:rsidR="00B950A0">
        <w:fldChar w:fldCharType="begin"/>
      </w:r>
      <w:r w:rsidR="00B950A0">
        <w:instrText xml:space="preserve"> REF _Ref103697395 \h </w:instrText>
      </w:r>
      <w:r w:rsidR="00D479F9">
        <w:instrText xml:space="preserve"> \* MERGEFORMAT </w:instrText>
      </w:r>
      <w:r w:rsidR="00B950A0">
        <w:fldChar w:fldCharType="separate"/>
      </w:r>
      <w:r w:rsidR="000C011B" w:rsidRPr="00C2101E">
        <w:t xml:space="preserve">Figure </w:t>
      </w:r>
      <w:r w:rsidR="000C011B" w:rsidRPr="00D479F9">
        <w:rPr>
          <w:noProof/>
        </w:rPr>
        <w:t>6</w:t>
      </w:r>
      <w:r w:rsidR="00B950A0">
        <w:fldChar w:fldCharType="end"/>
      </w:r>
      <w:r>
        <w:t xml:space="preserve"> shows the number of BS per elemental surface (</w:t>
      </w:r>
      <m:oMath>
        <m:sSub>
          <m:sSubPr>
            <m:ctrlPr>
              <w:rPr>
                <w:rFonts w:ascii="Cambria Math" w:hAnsi="Cambria Math"/>
              </w:rPr>
            </m:ctrlPr>
          </m:sSubPr>
          <m:e>
            <m:r>
              <w:rPr>
                <w:rFonts w:ascii="Cambria Math" w:hAnsi="Cambria Math"/>
              </w:rPr>
              <m:t>N</m:t>
            </m:r>
          </m:e>
          <m:sub>
            <m:r>
              <w:rPr>
                <w:rFonts w:ascii="Cambria Math" w:hAnsi="Cambria Math"/>
              </w:rPr>
              <m:t>B</m:t>
            </m:r>
            <m:sSub>
              <m:sSubPr>
                <m:ctrlPr>
                  <w:rPr>
                    <w:rFonts w:ascii="Cambria Math" w:hAnsi="Cambria Math"/>
                  </w:rPr>
                </m:ctrlPr>
              </m:sSubPr>
              <m:e>
                <m:r>
                  <w:rPr>
                    <w:rFonts w:ascii="Cambria Math" w:hAnsi="Cambria Math"/>
                  </w:rPr>
                  <m:t>S</m:t>
                </m:r>
              </m:e>
              <m:sub>
                <m:r>
                  <w:rPr>
                    <w:rFonts w:ascii="Cambria Math" w:hAnsi="Cambria Math"/>
                  </w:rPr>
                  <m:t>i</m:t>
                </m:r>
              </m:sub>
            </m:sSub>
          </m:sub>
        </m:sSub>
      </m:oMath>
      <w:r>
        <w:t>) over the satellite visibility area for the suburban, urban and finally combined deployment environment cases.</w:t>
      </w:r>
    </w:p>
    <w:tbl>
      <w:tblPr>
        <w:tblW w:w="5000" w:type="pct"/>
        <w:tblLook w:val="0000" w:firstRow="0" w:lastRow="0" w:firstColumn="0" w:lastColumn="0" w:noHBand="0" w:noVBand="0"/>
      </w:tblPr>
      <w:tblGrid>
        <w:gridCol w:w="4819"/>
        <w:gridCol w:w="4820"/>
      </w:tblGrid>
      <w:tr w:rsidR="00B822F0" w14:paraId="677B6E7C" w14:textId="77777777" w:rsidTr="007E0A4F">
        <w:tc>
          <w:tcPr>
            <w:tcW w:w="2500" w:type="pct"/>
          </w:tcPr>
          <w:p w14:paraId="677B6E7A" w14:textId="77777777" w:rsidR="00B822F0" w:rsidRDefault="00B822F0" w:rsidP="00510D7B">
            <w:pPr>
              <w:keepNext/>
              <w:keepLines/>
            </w:pPr>
            <w:r>
              <w:lastRenderedPageBreak/>
              <w:t>Suburban BS deployment per elemental surface</w:t>
            </w:r>
          </w:p>
        </w:tc>
        <w:tc>
          <w:tcPr>
            <w:tcW w:w="2500" w:type="pct"/>
          </w:tcPr>
          <w:p w14:paraId="677B6E7B" w14:textId="77777777" w:rsidR="00B822F0" w:rsidRDefault="00B822F0" w:rsidP="00510D7B">
            <w:pPr>
              <w:keepNext/>
              <w:keepLines/>
            </w:pPr>
            <w:r>
              <w:t>Urban BS deployment per elemental surface</w:t>
            </w:r>
          </w:p>
        </w:tc>
      </w:tr>
      <w:tr w:rsidR="00B822F0" w14:paraId="677B6E7F" w14:textId="77777777" w:rsidTr="007E0A4F">
        <w:tc>
          <w:tcPr>
            <w:tcW w:w="2500" w:type="pct"/>
          </w:tcPr>
          <w:p w14:paraId="677B6E7D" w14:textId="77777777" w:rsidR="00B822F0" w:rsidRDefault="00B822F0" w:rsidP="00510D7B">
            <w:pPr>
              <w:keepNext/>
              <w:keepLines/>
            </w:pPr>
            <w:r w:rsidRPr="00B822F0">
              <w:rPr>
                <w:noProof/>
                <w:lang w:val="de-DE" w:eastAsia="de-DE"/>
              </w:rPr>
              <w:drawing>
                <wp:inline distT="0" distB="0" distL="0" distR="0" wp14:anchorId="677B6F43" wp14:editId="677B6F44">
                  <wp:extent cx="3419475" cy="2762250"/>
                  <wp:effectExtent l="0" t="0" r="9525" b="0"/>
                  <wp:docPr id="37" name="Image 37" descr="C:\Users\eisenhauer\Documents\MATLAB\UEs (terrestrial and UAV) into satellite\Figures\N_BS_250kmAlt_suburb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C:\Users\eisenhauer\Documents\MATLAB\UEs (terrestrial and UAV) into satellite\Figures\N_BS_250kmAlt_suburba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9475" cy="2762250"/>
                          </a:xfrm>
                          <a:prstGeom prst="rect">
                            <a:avLst/>
                          </a:prstGeom>
                          <a:noFill/>
                          <a:ln>
                            <a:noFill/>
                          </a:ln>
                        </pic:spPr>
                      </pic:pic>
                    </a:graphicData>
                  </a:graphic>
                </wp:inline>
              </w:drawing>
            </w:r>
          </w:p>
        </w:tc>
        <w:tc>
          <w:tcPr>
            <w:tcW w:w="2500" w:type="pct"/>
          </w:tcPr>
          <w:p w14:paraId="677B6E7E" w14:textId="77777777" w:rsidR="00B822F0" w:rsidRDefault="00B822F0" w:rsidP="00510D7B">
            <w:pPr>
              <w:keepNext/>
              <w:keepLines/>
            </w:pPr>
            <w:r w:rsidRPr="00B822F0">
              <w:rPr>
                <w:noProof/>
                <w:lang w:val="de-DE" w:eastAsia="de-DE"/>
              </w:rPr>
              <w:drawing>
                <wp:inline distT="0" distB="0" distL="0" distR="0" wp14:anchorId="677B6F45" wp14:editId="677B6F46">
                  <wp:extent cx="3419475" cy="2762250"/>
                  <wp:effectExtent l="0" t="0" r="9525" b="0"/>
                  <wp:docPr id="36" name="Image 36" descr="C:\Users\eisenhauer\Documents\MATLAB\UEs (terrestrial and UAV) into satellite\Figures\N_BS_250kmAlt_urb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descr="C:\Users\eisenhauer\Documents\MATLAB\UEs (terrestrial and UAV) into satellite\Figures\N_BS_250kmAlt_urban.png"/>
                          <pic:cNvPicPr>
                            <a:picLocks noChangeAspect="1" noChangeArrowheads="1"/>
                          </pic:cNvPicPr>
                        </pic:nvPicPr>
                        <pic:blipFill>
                          <a:blip r:embed="rId15">
                            <a:extLst>
                              <a:ext uri="{28A0092B-C50C-407E-A947-70E740481C1C}">
                                <a14:useLocalDpi xmlns:a14="http://schemas.microsoft.com/office/drawing/2010/main" val="0"/>
                              </a:ext>
                            </a:extLst>
                          </a:blip>
                          <a:srcRect l="3287" r="3763"/>
                          <a:stretch>
                            <a:fillRect/>
                          </a:stretch>
                        </pic:blipFill>
                        <pic:spPr bwMode="auto">
                          <a:xfrm>
                            <a:off x="0" y="0"/>
                            <a:ext cx="3419475" cy="2762250"/>
                          </a:xfrm>
                          <a:prstGeom prst="rect">
                            <a:avLst/>
                          </a:prstGeom>
                          <a:noFill/>
                          <a:ln>
                            <a:noFill/>
                          </a:ln>
                        </pic:spPr>
                      </pic:pic>
                    </a:graphicData>
                  </a:graphic>
                </wp:inline>
              </w:drawing>
            </w:r>
          </w:p>
        </w:tc>
      </w:tr>
      <w:tr w:rsidR="00B822F0" w14:paraId="677B6E81" w14:textId="77777777" w:rsidTr="007E0A4F">
        <w:tc>
          <w:tcPr>
            <w:tcW w:w="5000" w:type="pct"/>
            <w:gridSpan w:val="2"/>
          </w:tcPr>
          <w:p w14:paraId="677B6E80" w14:textId="77777777" w:rsidR="00B822F0" w:rsidRDefault="00B822F0" w:rsidP="00510D7B">
            <w:pPr>
              <w:keepNext/>
              <w:keepLines/>
            </w:pPr>
            <w:r>
              <w:t>Total BS deployment considered in the study (sum of the row above)</w:t>
            </w:r>
          </w:p>
        </w:tc>
      </w:tr>
      <w:tr w:rsidR="00B822F0" w14:paraId="677B6E83" w14:textId="77777777" w:rsidTr="007E0A4F">
        <w:tc>
          <w:tcPr>
            <w:tcW w:w="5000" w:type="pct"/>
            <w:gridSpan w:val="2"/>
          </w:tcPr>
          <w:p w14:paraId="677B6E82" w14:textId="77777777" w:rsidR="00B822F0" w:rsidRDefault="00B822F0" w:rsidP="00510D7B">
            <w:pPr>
              <w:keepNext/>
              <w:keepLines/>
            </w:pPr>
            <w:r w:rsidRPr="00B822F0">
              <w:rPr>
                <w:noProof/>
                <w:lang w:val="de-DE" w:eastAsia="de-DE"/>
              </w:rPr>
              <w:drawing>
                <wp:inline distT="0" distB="0" distL="0" distR="0" wp14:anchorId="677B6F47" wp14:editId="677B6F48">
                  <wp:extent cx="3571875" cy="2676525"/>
                  <wp:effectExtent l="0" t="0" r="9525" b="9525"/>
                  <wp:docPr id="35" name="Image 35" descr="C:\Users\eisenhauer\Documents\MATLAB\UEs (terrestrial and UAV) into satellite\Figures\N_BS_250kmAlt_to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descr="C:\Users\eisenhauer\Documents\MATLAB\UEs (terrestrial and UAV) into satellite\Figures\N_BS_250kmAlt_total.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71875" cy="2676525"/>
                          </a:xfrm>
                          <a:prstGeom prst="rect">
                            <a:avLst/>
                          </a:prstGeom>
                          <a:noFill/>
                          <a:ln>
                            <a:noFill/>
                          </a:ln>
                        </pic:spPr>
                      </pic:pic>
                    </a:graphicData>
                  </a:graphic>
                </wp:inline>
              </w:drawing>
            </w:r>
          </w:p>
        </w:tc>
      </w:tr>
    </w:tbl>
    <w:p w14:paraId="36B6B142" w14:textId="7CFD0CC6" w:rsidR="00A55AE0" w:rsidRPr="001A2CEF" w:rsidRDefault="00A55AE0" w:rsidP="001D0473">
      <w:pPr>
        <w:pStyle w:val="Caption"/>
        <w:rPr>
          <w:lang w:val="en-GB"/>
        </w:rPr>
      </w:pPr>
      <w:bookmarkStart w:id="63" w:name="_Ref103697395"/>
      <w:r w:rsidRPr="00C2101E">
        <w:rPr>
          <w:lang w:val="en-GB"/>
        </w:rPr>
        <w:t xml:space="preserve">Figure </w:t>
      </w:r>
      <w:r w:rsidRPr="001D0473">
        <w:fldChar w:fldCharType="begin"/>
      </w:r>
      <w:r w:rsidRPr="00950354">
        <w:rPr>
          <w:rFonts w:eastAsia="Calibri"/>
          <w:lang w:val="en-GB"/>
        </w:rPr>
        <w:instrText xml:space="preserve"> SEQ Figure \* ARABIC </w:instrText>
      </w:r>
      <w:r w:rsidRPr="001D0473">
        <w:fldChar w:fldCharType="separate"/>
      </w:r>
      <w:r w:rsidR="009464FD">
        <w:rPr>
          <w:rFonts w:eastAsia="Calibri"/>
          <w:noProof/>
          <w:lang w:val="en-GB"/>
        </w:rPr>
        <w:t>6</w:t>
      </w:r>
      <w:r w:rsidRPr="001D0473">
        <w:fldChar w:fldCharType="end"/>
      </w:r>
      <w:bookmarkEnd w:id="63"/>
      <w:r w:rsidR="00723706" w:rsidRPr="001A2CEF">
        <w:rPr>
          <w:lang w:val="en-GB"/>
        </w:rPr>
        <w:t xml:space="preserve">: </w:t>
      </w:r>
      <w:r w:rsidR="008F7CB1" w:rsidRPr="001A2CEF">
        <w:rPr>
          <w:lang w:val="en-GB"/>
        </w:rPr>
        <w:t>Number of BS per elemental surface</w:t>
      </w:r>
    </w:p>
    <w:p w14:paraId="677B6E84" w14:textId="78642F24" w:rsidR="00B822F0" w:rsidRDefault="00B822F0" w:rsidP="00B822F0">
      <w:r>
        <w:t>When summing the number of BS deployed in the elemental surfaces over the area footprint, the total number of BS deployed in the satellite visibility area equates to about 9</w:t>
      </w:r>
      <w:r w:rsidRPr="008B4229">
        <w:t>27</w:t>
      </w:r>
      <w:r>
        <w:t xml:space="preserve">241 BS. One can note that when applying the above formula to the entire satellite visibility instead to each elemental cells, the total number of BS amounts to </w:t>
      </w:r>
      <w:r w:rsidRPr="008B4229">
        <w:t>927697</w:t>
      </w:r>
      <w:r>
        <w:t xml:space="preserve">. This is linked to the accuracy based on </w:t>
      </w:r>
      <w:r w:rsidRPr="008B4229">
        <w:t>the elemental surface cell spacing of 0.1</w:t>
      </w:r>
      <w:r w:rsidR="00B667E9">
        <w:t xml:space="preserve"> </w:t>
      </w:r>
      <w:r w:rsidRPr="008B4229">
        <w:t>deg</w:t>
      </w:r>
      <w:r w:rsidR="00B667E9">
        <w:t>ree</w:t>
      </w:r>
      <w:r w:rsidRPr="008B4229">
        <w:t xml:space="preserve"> steps in latitude and longitude</w:t>
      </w:r>
      <w:r>
        <w:t xml:space="preserve">. There is only about 0.05% between these two numbers showing that the 0.1 degree cell step is </w:t>
      </w:r>
      <w:r w:rsidR="00B667E9">
        <w:t xml:space="preserve">granular </w:t>
      </w:r>
      <w:r>
        <w:t xml:space="preserve">enough for this study. </w:t>
      </w:r>
    </w:p>
    <w:p w14:paraId="677B6E85" w14:textId="735884F5" w:rsidR="00B822F0" w:rsidRPr="00C63448" w:rsidRDefault="00B822F0" w:rsidP="00510D7B">
      <w:pPr>
        <w:pStyle w:val="ECCLetteredList"/>
        <w:rPr>
          <w:lang w:val="en-US"/>
        </w:rPr>
      </w:pPr>
      <w:r w:rsidRPr="00510D7B">
        <w:rPr>
          <w:rFonts w:eastAsia="Calibri"/>
          <w:lang w:val="en-GB"/>
        </w:rPr>
        <w:t xml:space="preserve">Step 3.2: </w:t>
      </w:r>
      <w:r w:rsidR="00F14E55" w:rsidRPr="00D024B6">
        <w:rPr>
          <w:lang w:val="en-GB"/>
        </w:rPr>
        <w:t>Use</w:t>
      </w:r>
      <w:r w:rsidR="00F14E55" w:rsidRPr="00510D7B">
        <w:rPr>
          <w:rFonts w:eastAsia="Calibri"/>
          <w:lang w:val="en-GB"/>
        </w:rPr>
        <w:t xml:space="preserve"> </w:t>
      </w:r>
      <w:r w:rsidRPr="00510D7B">
        <w:rPr>
          <w:rFonts w:eastAsia="Calibri"/>
          <w:lang w:val="en-GB"/>
        </w:rPr>
        <w:t xml:space="preserve">the ECC </w:t>
      </w:r>
      <w:r w:rsidR="008B788B" w:rsidRPr="00510D7B">
        <w:rPr>
          <w:rFonts w:eastAsia="Calibri"/>
          <w:lang w:val="en-GB"/>
        </w:rPr>
        <w:t>R</w:t>
      </w:r>
      <w:r w:rsidRPr="00510D7B">
        <w:rPr>
          <w:rFonts w:eastAsia="Calibri"/>
          <w:lang w:val="en-GB"/>
        </w:rPr>
        <w:t>eport 298</w:t>
      </w:r>
      <w:r w:rsidRPr="00510D7B">
        <w:rPr>
          <w:lang w:val="en-GB"/>
        </w:rPr>
        <w:t xml:space="preserve"> </w:t>
      </w:r>
      <w:r w:rsidR="0084648D">
        <w:fldChar w:fldCharType="begin"/>
      </w:r>
      <w:r w:rsidR="0084648D" w:rsidRPr="00D024B6">
        <w:rPr>
          <w:lang w:val="en-GB"/>
        </w:rPr>
        <w:instrText xml:space="preserve"> REF _Ref104306422 \r \h </w:instrText>
      </w:r>
      <w:r w:rsidR="0084648D">
        <w:fldChar w:fldCharType="separate"/>
      </w:r>
      <w:r w:rsidR="009464FD">
        <w:rPr>
          <w:lang w:val="en-GB"/>
        </w:rPr>
        <w:t>[12]</w:t>
      </w:r>
      <w:r w:rsidR="0084648D">
        <w:fldChar w:fldCharType="end"/>
      </w:r>
      <w:r w:rsidR="0084648D" w:rsidRPr="00510D7B">
        <w:rPr>
          <w:lang w:val="en-GB"/>
        </w:rPr>
        <w:t xml:space="preserve"> </w:t>
      </w:r>
      <w:r w:rsidRPr="00510D7B">
        <w:rPr>
          <w:rFonts w:eastAsia="Calibri"/>
          <w:lang w:val="en-GB"/>
        </w:rPr>
        <w:t>methodology</w:t>
      </w:r>
    </w:p>
    <w:p w14:paraId="677B6E86" w14:textId="1B418B98" w:rsidR="00B822F0" w:rsidRDefault="00B822F0" w:rsidP="00B822F0">
      <w:r>
        <w:t>One can compare the</w:t>
      </w:r>
      <w:r w:rsidRPr="0005420D">
        <w:t xml:space="preserve"> result </w:t>
      </w:r>
      <w:r>
        <w:t xml:space="preserve">of the above step 3.1 </w:t>
      </w:r>
      <w:r w:rsidRPr="0005420D">
        <w:t xml:space="preserve">to the total number of BS calculated in ECC </w:t>
      </w:r>
      <w:r w:rsidR="008B788B">
        <w:t>R</w:t>
      </w:r>
      <w:r w:rsidRPr="0005420D">
        <w:t xml:space="preserve">eport 298. </w:t>
      </w:r>
      <w:r w:rsidR="008B788B">
        <w:t xml:space="preserve">ECC </w:t>
      </w:r>
      <w:r>
        <w:t xml:space="preserve">Report 298 assumes an average BS </w:t>
      </w:r>
      <w:proofErr w:type="spellStart"/>
      <w:r>
        <w:t>intersite</w:t>
      </w:r>
      <w:proofErr w:type="spellEnd"/>
      <w:r>
        <w:t xml:space="preserve"> distance of 6.8 x 2 = 13.6 km. The average area per BS is therefore calculated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8"/>
        <w:gridCol w:w="461"/>
      </w:tblGrid>
      <w:tr w:rsidR="005373C0" w14:paraId="1D905167" w14:textId="77777777" w:rsidTr="00950354">
        <w:tc>
          <w:tcPr>
            <w:tcW w:w="4761" w:type="pct"/>
          </w:tcPr>
          <w:p w14:paraId="3ABEC9CC" w14:textId="00DEA932" w:rsidR="001C4AAC" w:rsidRPr="00144C97" w:rsidRDefault="00AF7F19" w:rsidP="00D443CB">
            <w:pPr>
              <w:spacing w:before="120" w:after="60"/>
              <w:rPr>
                <w:rStyle w:val="ECCParagraph"/>
                <w:rFonts w:eastAsiaTheme="minorEastAsia" w:cstheme="minorBidi"/>
                <w:lang w:eastAsia="da-DK"/>
              </w:rPr>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grid</m:t>
                    </m:r>
                  </m:sub>
                </m:sSub>
                <m:r>
                  <w:rPr>
                    <w:rFonts w:ascii="Cambria Math" w:hAnsi="Cambria Math"/>
                  </w:rPr>
                  <m:t>=</m:t>
                </m:r>
                <m:r>
                  <w:rPr>
                    <w:rFonts w:ascii="Cambria Math" w:hAnsi="Cambria Math"/>
                  </w:rPr>
                  <m:t>π</m:t>
                </m:r>
                <m:sSup>
                  <m:sSupPr>
                    <m:ctrlPr>
                      <w:rPr>
                        <w:rFonts w:ascii="Cambria Math" w:hAnsi="Cambria Math"/>
                      </w:rPr>
                    </m:ctrlPr>
                  </m:sSupPr>
                  <m:e>
                    <m:sSub>
                      <m:sSubPr>
                        <m:ctrlPr>
                          <w:rPr>
                            <w:rFonts w:ascii="Cambria Math" w:hAnsi="Cambria Math"/>
                          </w:rPr>
                        </m:ctrlPr>
                      </m:sSubPr>
                      <m:e>
                        <m:r>
                          <w:rPr>
                            <w:rFonts w:ascii="Cambria Math" w:hAnsi="Cambria Math"/>
                          </w:rPr>
                          <m:t>r</m:t>
                        </m:r>
                      </m:e>
                      <m:sub>
                        <m:r>
                          <w:rPr>
                            <w:rFonts w:ascii="Cambria Math" w:hAnsi="Cambria Math"/>
                          </w:rPr>
                          <m:t>grid</m:t>
                        </m:r>
                      </m:sub>
                    </m:sSub>
                  </m:e>
                  <m:sup>
                    <m:r>
                      <w:rPr>
                        <w:rFonts w:ascii="Cambria Math" w:hAnsi="Cambria Math"/>
                      </w:rPr>
                      <m:t>2</m:t>
                    </m:r>
                  </m:sup>
                </m:sSup>
                <m:r>
                  <w:rPr>
                    <w:rFonts w:ascii="Cambria Math" w:hAnsi="Cambria Math"/>
                  </w:rPr>
                  <m:t xml:space="preserve">=147.3 </m:t>
                </m:r>
                <m:r>
                  <w:rPr>
                    <w:rFonts w:ascii="Cambria Math" w:hAnsi="Cambria Math"/>
                  </w:rPr>
                  <m:t>k</m:t>
                </m:r>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239" w:type="pct"/>
          </w:tcPr>
          <w:p w14:paraId="44507A17" w14:textId="35430AC3" w:rsidR="001C4AAC" w:rsidRDefault="001C4AAC" w:rsidP="00D443CB">
            <w:pPr>
              <w:spacing w:before="120" w:after="60"/>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9464FD">
              <w:rPr>
                <w:noProof/>
              </w:rPr>
              <w:t>4</w:t>
            </w:r>
            <w:r>
              <w:fldChar w:fldCharType="end"/>
            </w:r>
            <w:r>
              <w:t>)</w:t>
            </w:r>
          </w:p>
        </w:tc>
      </w:tr>
    </w:tbl>
    <w:p w14:paraId="32C124EC" w14:textId="01C956B8" w:rsidR="00A25752" w:rsidRDefault="00B822F0" w:rsidP="00B822F0">
      <w:r w:rsidRPr="0005420D">
        <w:t>With</w:t>
      </w:r>
      <w:r w:rsidR="00A25752">
        <w:t>.</w:t>
      </w:r>
      <w:r w:rsidRPr="0005420D">
        <w:t xml:space="preserve"> </w:t>
      </w:r>
    </w:p>
    <w:p w14:paraId="5E12DB7F" w14:textId="29F300FB" w:rsidR="00A25752" w:rsidRDefault="00AF7F19" w:rsidP="00C2101E">
      <w:pPr>
        <w:pStyle w:val="ECCBulletsLv1"/>
      </w:pPr>
      <m:oMath>
        <m:sSub>
          <m:sSubPr>
            <m:ctrlPr>
              <w:rPr>
                <w:rFonts w:ascii="Cambria Math" w:hAnsi="Cambria Math"/>
              </w:rPr>
            </m:ctrlPr>
          </m:sSubPr>
          <m:e>
            <m:r>
              <w:rPr>
                <w:rFonts w:ascii="Cambria Math" w:hAnsi="Cambria Math"/>
              </w:rPr>
              <m:t>A</m:t>
            </m:r>
          </m:e>
          <m:sub>
            <m:r>
              <w:rPr>
                <w:rFonts w:ascii="Cambria Math" w:hAnsi="Cambria Math"/>
              </w:rPr>
              <m:t>grid</m:t>
            </m:r>
          </m:sub>
        </m:sSub>
      </m:oMath>
      <w:r w:rsidR="00B822F0" w:rsidRPr="0005420D">
        <w:t xml:space="preserve"> the </w:t>
      </w:r>
      <w:r w:rsidR="00B822F0">
        <w:t>MFCN</w:t>
      </w:r>
      <w:r w:rsidR="00B822F0" w:rsidRPr="0005420D">
        <w:t xml:space="preserve"> </w:t>
      </w:r>
      <w:r w:rsidR="00B822F0">
        <w:t xml:space="preserve">average </w:t>
      </w:r>
      <w:proofErr w:type="spellStart"/>
      <w:r w:rsidR="00B822F0">
        <w:t>intersite</w:t>
      </w:r>
      <w:proofErr w:type="spellEnd"/>
      <w:r w:rsidR="00B822F0">
        <w:t xml:space="preserve"> </w:t>
      </w:r>
      <w:r w:rsidR="00B822F0" w:rsidRPr="0005420D">
        <w:t>area</w:t>
      </w:r>
      <w:r w:rsidR="00A25752">
        <w:t>;</w:t>
      </w:r>
    </w:p>
    <w:p w14:paraId="677B6E88" w14:textId="1A98416E" w:rsidR="00B822F0" w:rsidRDefault="00AF7F19" w:rsidP="00510D7B">
      <w:pPr>
        <w:pStyle w:val="ECCBulletsLv1"/>
      </w:pPr>
      <m:oMath>
        <m:sSub>
          <m:sSubPr>
            <m:ctrlPr>
              <w:rPr>
                <w:rFonts w:ascii="Cambria Math" w:hAnsi="Cambria Math"/>
              </w:rPr>
            </m:ctrlPr>
          </m:sSubPr>
          <m:e>
            <m:r>
              <w:rPr>
                <w:rFonts w:ascii="Cambria Math" w:hAnsi="Cambria Math"/>
              </w:rPr>
              <m:t>r</m:t>
            </m:r>
          </m:e>
          <m:sub>
            <m:r>
              <w:rPr>
                <w:rFonts w:ascii="Cambria Math" w:hAnsi="Cambria Math"/>
              </w:rPr>
              <m:t>grid</m:t>
            </m:r>
          </m:sub>
        </m:sSub>
      </m:oMath>
      <w:r w:rsidR="00B822F0" w:rsidRPr="0005420D">
        <w:t xml:space="preserve">the average </w:t>
      </w:r>
      <w:r w:rsidR="00B822F0">
        <w:t>MFCN</w:t>
      </w:r>
      <w:r w:rsidR="00B822F0" w:rsidRPr="0005420D">
        <w:t xml:space="preserve"> </w:t>
      </w:r>
      <w:proofErr w:type="spellStart"/>
      <w:r w:rsidR="00B822F0">
        <w:t>intersite</w:t>
      </w:r>
      <w:proofErr w:type="spellEnd"/>
      <w:r w:rsidR="00B822F0" w:rsidRPr="0005420D">
        <w:t xml:space="preserve"> radius</w:t>
      </w:r>
      <w:r w:rsidR="00B822F0">
        <w:t xml:space="preserve"> (=6.8</w:t>
      </w:r>
      <w:r w:rsidR="008B788B">
        <w:t> </w:t>
      </w:r>
      <w:r w:rsidR="00B822F0">
        <w:t xml:space="preserve">km as per ECC </w:t>
      </w:r>
      <w:r w:rsidR="008B788B">
        <w:t>R</w:t>
      </w:r>
      <w:r w:rsidR="00B822F0">
        <w:t>eport 298)</w:t>
      </w:r>
      <w:r w:rsidR="00B822F0" w:rsidRPr="0005420D">
        <w:t>.</w:t>
      </w:r>
    </w:p>
    <w:p w14:paraId="677B6E89" w14:textId="11D3E261" w:rsidR="00B822F0" w:rsidRPr="0005420D" w:rsidRDefault="00B822F0" w:rsidP="00B822F0">
      <w:r>
        <w:t xml:space="preserve">Using these assumptions, ECC </w:t>
      </w:r>
      <w:r w:rsidR="003F71AF">
        <w:t>R</w:t>
      </w:r>
      <w:r>
        <w:t xml:space="preserve">eport </w:t>
      </w:r>
      <w:r w:rsidR="00C97A59">
        <w:t xml:space="preserve">298 </w:t>
      </w:r>
      <w:r>
        <w:t xml:space="preserve">approximated the number of MFCN sites within the visibility footprint of a satellite at 250 km </w:t>
      </w:r>
      <w:r w:rsidRPr="00950354">
        <w:rPr>
          <w:rStyle w:val="ECCParagraph"/>
        </w:rPr>
        <w:t xml:space="preserve">altitude to </w:t>
      </w:r>
      <w:r w:rsidRPr="00D71ABA">
        <w:t>66700</w:t>
      </w:r>
      <w:r w:rsidRPr="00950354">
        <w:rPr>
          <w:rStyle w:val="ECCParagraph"/>
        </w:rPr>
        <w:t xml:space="preserve"> MFCN</w:t>
      </w:r>
      <w:r w:rsidRPr="00D71ABA">
        <w:t xml:space="preserve"> sites</w:t>
      </w:r>
      <w:r>
        <w:t xml:space="preserve">. One can obtain this number by simply dividing the total area by the above </w:t>
      </w:r>
      <w:r w:rsidRPr="00D71ABA">
        <w:t xml:space="preserve">average </w:t>
      </w:r>
      <w:proofErr w:type="spellStart"/>
      <w:r w:rsidRPr="00D71ABA">
        <w:t>intersite</w:t>
      </w:r>
      <w:proofErr w:type="spellEnd"/>
      <w:r w:rsidRPr="00D71ABA">
        <w:t xml:space="preserve"> area</w:t>
      </w:r>
      <w:r>
        <w:t xml:space="preserve"> </w:t>
      </w:r>
      <m:oMath>
        <m:sSub>
          <m:sSubPr>
            <m:ctrlPr>
              <w:rPr>
                <w:rFonts w:ascii="Cambria Math" w:hAnsi="Cambria Math"/>
              </w:rPr>
            </m:ctrlPr>
          </m:sSubPr>
          <m:e>
            <m:r>
              <w:rPr>
                <w:rFonts w:ascii="Cambria Math" w:hAnsi="Cambria Math"/>
              </w:rPr>
              <m:t>A</m:t>
            </m:r>
          </m:e>
          <m:sub>
            <m:r>
              <w:rPr>
                <w:rFonts w:ascii="Cambria Math" w:hAnsi="Cambria Math"/>
              </w:rPr>
              <m:t>grid</m:t>
            </m:r>
          </m:sub>
        </m:sSub>
        <m:r>
          <w:rPr>
            <w:rFonts w:ascii="Cambria Math" w:hAnsi="Cambria Math"/>
          </w:rPr>
          <m:t>.</m:t>
        </m:r>
      </m:oMath>
      <w:r>
        <w:t xml:space="preserve"> Taking into account the tri-sector assumption, this amounts to about 200 100 BS.</w:t>
      </w:r>
    </w:p>
    <w:p w14:paraId="677B6E8A" w14:textId="4C4177BA" w:rsidR="00B822F0" w:rsidRDefault="00B822F0" w:rsidP="00B822F0">
      <w:r>
        <w:t>This same methodology can be adapted to</w:t>
      </w:r>
      <w:r w:rsidRPr="0005420D">
        <w:t xml:space="preserve"> calculate the average BS per elementary surface cell</w:t>
      </w:r>
      <w:r>
        <w:t>. T</w:t>
      </w:r>
      <w:r w:rsidRPr="0005420D">
        <w:t>he</w:t>
      </w:r>
      <w:r>
        <w:t xml:space="preserve"> elementary</w:t>
      </w:r>
      <w:r w:rsidRPr="0005420D">
        <w:t xml:space="preserve"> surface</w:t>
      </w:r>
      <w:r>
        <w:t>s</w:t>
      </w:r>
      <w:r w:rsidRPr="0005420D">
        <w:t xml:space="preserve"> can be divided by </w:t>
      </w:r>
      <m:oMath>
        <m:sSub>
          <m:sSubPr>
            <m:ctrlPr>
              <w:rPr>
                <w:rFonts w:ascii="Cambria Math" w:hAnsi="Cambria Math"/>
              </w:rPr>
            </m:ctrlPr>
          </m:sSubPr>
          <m:e>
            <m:r>
              <w:rPr>
                <w:rFonts w:ascii="Cambria Math" w:hAnsi="Cambria Math"/>
              </w:rPr>
              <m:t>A</m:t>
            </m:r>
          </m:e>
          <m:sub>
            <m:r>
              <w:rPr>
                <w:rFonts w:ascii="Cambria Math" w:hAnsi="Cambria Math"/>
              </w:rPr>
              <m:t>grid</m:t>
            </m:r>
          </m:sub>
        </m:sSub>
      </m:oMath>
      <w:r w:rsidRPr="0005420D">
        <w:t xml:space="preserve"> surface and</w:t>
      </w:r>
      <w:r>
        <w:t xml:space="preserve"> the output multiplied</w:t>
      </w:r>
      <w:r w:rsidRPr="0005420D">
        <w:t xml:space="preserve"> by 3 to take into account the tri-sector assumption. </w:t>
      </w:r>
      <w:r w:rsidR="001C4B73">
        <w:fldChar w:fldCharType="begin"/>
      </w:r>
      <w:r w:rsidR="001C4B73">
        <w:instrText xml:space="preserve"> REF _Ref103697121 \h </w:instrText>
      </w:r>
      <w:r w:rsidR="001C4B73">
        <w:fldChar w:fldCharType="separate"/>
      </w:r>
      <w:r w:rsidR="000C011B" w:rsidRPr="001030C2">
        <w:t xml:space="preserve">Figure </w:t>
      </w:r>
      <w:r w:rsidR="000C011B">
        <w:rPr>
          <w:noProof/>
        </w:rPr>
        <w:t>7</w:t>
      </w:r>
      <w:r w:rsidR="001C4B73">
        <w:fldChar w:fldCharType="end"/>
      </w:r>
      <w:r w:rsidRPr="0005420D">
        <w:t xml:space="preserve"> provides the result of this calculation</w:t>
      </w:r>
      <w:r>
        <w:t>:</w:t>
      </w:r>
    </w:p>
    <w:p w14:paraId="677B6E8B" w14:textId="34CBB3EA" w:rsidR="00B822F0" w:rsidRDefault="00B822F0" w:rsidP="00510D7B">
      <w:pPr>
        <w:jc w:val="center"/>
      </w:pPr>
      <w:r w:rsidRPr="00B822F0">
        <w:rPr>
          <w:noProof/>
          <w:lang w:val="de-DE" w:eastAsia="de-DE"/>
        </w:rPr>
        <w:drawing>
          <wp:inline distT="0" distB="0" distL="0" distR="0" wp14:anchorId="677B6F49" wp14:editId="2AB9F9ED">
            <wp:extent cx="4514572" cy="3391382"/>
            <wp:effectExtent l="0" t="0" r="635" b="0"/>
            <wp:docPr id="34" name="Image 34" descr="C:\Users\eisenhauer\Documents\MATLAB\UEs (terrestrial and UAV) into satellite\Figures\N_BS_250kmAlt_ECC298_to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C:\Users\eisenhauer\Documents\MATLAB\UEs (terrestrial and UAV) into satellite\Figures\N_BS_250kmAlt_ECC298_total.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42106" cy="3412066"/>
                    </a:xfrm>
                    <a:prstGeom prst="rect">
                      <a:avLst/>
                    </a:prstGeom>
                    <a:noFill/>
                    <a:ln>
                      <a:noFill/>
                    </a:ln>
                  </pic:spPr>
                </pic:pic>
              </a:graphicData>
            </a:graphic>
          </wp:inline>
        </w:drawing>
      </w:r>
    </w:p>
    <w:p w14:paraId="366AA796" w14:textId="6C647A55" w:rsidR="00A55AE0" w:rsidRPr="001030C2" w:rsidRDefault="00A55AE0" w:rsidP="007A4779">
      <w:pPr>
        <w:pStyle w:val="Caption"/>
        <w:rPr>
          <w:lang w:val="en-GB"/>
        </w:rPr>
      </w:pPr>
      <w:bookmarkStart w:id="64" w:name="_Ref103697121"/>
      <w:r w:rsidRPr="001030C2">
        <w:rPr>
          <w:lang w:val="en-GB"/>
        </w:rPr>
        <w:t xml:space="preserve">Figure </w:t>
      </w:r>
      <w:r w:rsidR="00EF1CC9">
        <w:fldChar w:fldCharType="begin"/>
      </w:r>
      <w:r w:rsidR="00EF1CC9" w:rsidRPr="001030C2">
        <w:rPr>
          <w:lang w:val="en-GB"/>
        </w:rPr>
        <w:instrText xml:space="preserve"> SEQ Figure \* ARABIC </w:instrText>
      </w:r>
      <w:r w:rsidR="00EF1CC9">
        <w:fldChar w:fldCharType="separate"/>
      </w:r>
      <w:r w:rsidR="009464FD">
        <w:rPr>
          <w:noProof/>
          <w:lang w:val="en-GB"/>
        </w:rPr>
        <w:t>7</w:t>
      </w:r>
      <w:r w:rsidR="00EF1CC9">
        <w:rPr>
          <w:noProof/>
        </w:rPr>
        <w:fldChar w:fldCharType="end"/>
      </w:r>
      <w:bookmarkEnd w:id="64"/>
      <w:r w:rsidR="00C97A59" w:rsidRPr="001030C2">
        <w:rPr>
          <w:lang w:val="en-GB"/>
        </w:rPr>
        <w:t>: Average BS per elementary surface cell</w:t>
      </w:r>
    </w:p>
    <w:p w14:paraId="677B6E8C" w14:textId="0C3A9B11" w:rsidR="00B822F0" w:rsidRDefault="00B822F0" w:rsidP="00B822F0">
      <w:r>
        <w:t>When summing the number of BS deployed in the elemental surfaces over the area footprint, the total number of BS deployed in the satellite visibility area equates to about 1</w:t>
      </w:r>
      <w:r w:rsidRPr="00B75871">
        <w:t>99</w:t>
      </w:r>
      <w:r w:rsidR="00C3657B">
        <w:t xml:space="preserve"> </w:t>
      </w:r>
      <w:r>
        <w:t>002</w:t>
      </w:r>
      <w:r w:rsidRPr="00B75871">
        <w:t xml:space="preserve"> </w:t>
      </w:r>
      <w:r>
        <w:t>BS</w:t>
      </w:r>
      <w:r w:rsidRPr="0005420D">
        <w:t>.</w:t>
      </w:r>
      <w:r>
        <w:t xml:space="preserve"> There is therefore a factor 4.6 between the two deployment methodologies presented above. The ratio of </w:t>
      </w:r>
      <w:r w:rsidR="008511C8">
        <w:t>suburban</w:t>
      </w:r>
      <w:r>
        <w:t xml:space="preserve"> BS versus urban BS within each cell is derived from the Ra/Rb methodology and is applied to the other deployment methodology presented in ECC </w:t>
      </w:r>
      <w:r w:rsidR="008B788B">
        <w:t>R</w:t>
      </w:r>
      <w:r>
        <w:t>eport 298</w:t>
      </w:r>
      <w:r w:rsidR="003E586F">
        <w:t xml:space="preserve"> </w:t>
      </w:r>
      <w:r w:rsidR="00BF26BA">
        <w:fldChar w:fldCharType="begin"/>
      </w:r>
      <w:r w:rsidR="00BF26BA">
        <w:instrText xml:space="preserve"> REF _Ref104306422 \r \h </w:instrText>
      </w:r>
      <w:r w:rsidR="00BF26BA">
        <w:fldChar w:fldCharType="separate"/>
      </w:r>
      <w:r w:rsidR="009464FD">
        <w:t>[12]</w:t>
      </w:r>
      <w:r w:rsidR="00BF26BA">
        <w:fldChar w:fldCharType="end"/>
      </w:r>
      <w:r>
        <w:t>.</w:t>
      </w:r>
    </w:p>
    <w:p w14:paraId="677B6E8D" w14:textId="7A9DDA55" w:rsidR="00B822F0" w:rsidRPr="00B822F0" w:rsidRDefault="00B822F0" w:rsidP="00B822F0">
      <w:r>
        <w:t xml:space="preserve">In order to compare these results with </w:t>
      </w:r>
      <w:r w:rsidRPr="00950354">
        <w:rPr>
          <w:rStyle w:val="ECCParagraph"/>
        </w:rPr>
        <w:t>concrete examples, one can look at national deployments in the band. When looking at</w:t>
      </w:r>
      <w:r w:rsidR="00183274" w:rsidRPr="00950354">
        <w:rPr>
          <w:rStyle w:val="ECCParagraph"/>
        </w:rPr>
        <w:t xml:space="preserve"> </w:t>
      </w:r>
      <w:r w:rsidR="00183274" w:rsidRPr="00FD3236">
        <w:rPr>
          <w:rStyle w:val="ECCParagraph"/>
        </w:rPr>
        <w:t>the</w:t>
      </w:r>
      <w:r w:rsidRPr="00FD3236">
        <w:rPr>
          <w:rStyle w:val="ECCParagraph"/>
        </w:rPr>
        <w:t xml:space="preserve"> </w:t>
      </w:r>
      <w:r w:rsidRPr="00950354">
        <w:rPr>
          <w:rStyle w:val="ECCParagraph"/>
        </w:rPr>
        <w:t xml:space="preserve">French national deployment, there are </w:t>
      </w:r>
      <w:r>
        <w:t>17000</w:t>
      </w:r>
      <w:r w:rsidRPr="00950354">
        <w:rPr>
          <w:rStyle w:val="ECCParagraph"/>
        </w:rPr>
        <w:t xml:space="preserve"> sites or </w:t>
      </w:r>
      <w:r>
        <w:t>51000</w:t>
      </w:r>
      <w:r w:rsidRPr="00950354">
        <w:rPr>
          <w:rStyle w:val="ECCParagraph"/>
        </w:rPr>
        <w:t xml:space="preserve"> BS over the territory of </w:t>
      </w:r>
      <w:r w:rsidRPr="00FD3236">
        <w:rPr>
          <w:rStyle w:val="ECCParagraph"/>
        </w:rPr>
        <w:t>643801</w:t>
      </w:r>
      <w:r w:rsidRPr="00950354">
        <w:rPr>
          <w:rStyle w:val="ECCParagraph"/>
        </w:rPr>
        <w:t xml:space="preserve"> square km. When extrapolating that number to the total satellite visibility of 9.64 million square km, this amounts to about 764000 BS which falls between the total BS</w:t>
      </w:r>
      <w:r>
        <w:t xml:space="preserve"> numbers calculated following the two methods presented above. Of course, this extrapolation is not necessarily representative as there most likely will be some expanses of water within the satellite visibility as well as variation of deployment density from country to country.</w:t>
      </w:r>
    </w:p>
    <w:p w14:paraId="677B6E8E" w14:textId="77777777" w:rsidR="00B822F0" w:rsidRDefault="00B822F0" w:rsidP="00510D7B">
      <w:pPr>
        <w:pStyle w:val="ECCNumberedList"/>
      </w:pPr>
      <w:r>
        <w:t>Step 4: Calculate the elevation angle from the ground towards the satellite receiver for each elementary surface.</w:t>
      </w:r>
    </w:p>
    <w:p w14:paraId="677B6E8F" w14:textId="77777777" w:rsidR="00B822F0" w:rsidRDefault="00B822F0" w:rsidP="00510D7B">
      <w:pPr>
        <w:jc w:val="center"/>
      </w:pPr>
      <w:r w:rsidRPr="00B822F0">
        <w:rPr>
          <w:noProof/>
          <w:lang w:val="de-DE" w:eastAsia="de-DE"/>
        </w:rPr>
        <w:lastRenderedPageBreak/>
        <w:drawing>
          <wp:inline distT="0" distB="0" distL="0" distR="0" wp14:anchorId="677B6F4B" wp14:editId="677B6F4C">
            <wp:extent cx="3524250" cy="2638425"/>
            <wp:effectExtent l="0" t="0" r="0" b="9525"/>
            <wp:docPr id="33" name="Image 33" descr="C:\Users\eisenhauer\Documents\MATLAB\UEs (terrestrial and UAV) into satellite\Figures\Elevation_250kmA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C:\Users\eisenhauer\Documents\MATLAB\UEs (terrestrial and UAV) into satellite\Figures\Elevation_250kmAlt.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4250" cy="2638425"/>
                    </a:xfrm>
                    <a:prstGeom prst="rect">
                      <a:avLst/>
                    </a:prstGeom>
                    <a:noFill/>
                    <a:ln>
                      <a:noFill/>
                    </a:ln>
                  </pic:spPr>
                </pic:pic>
              </a:graphicData>
            </a:graphic>
          </wp:inline>
        </w:drawing>
      </w:r>
    </w:p>
    <w:p w14:paraId="21EFC31A" w14:textId="32E6F7FF" w:rsidR="00A55AE0" w:rsidRPr="001030C2" w:rsidRDefault="00A55AE0" w:rsidP="007A4779">
      <w:pPr>
        <w:pStyle w:val="Caption"/>
        <w:rPr>
          <w:lang w:val="en-GB"/>
        </w:rPr>
      </w:pPr>
      <w:r w:rsidRPr="001030C2">
        <w:rPr>
          <w:lang w:val="en-GB"/>
        </w:rPr>
        <w:t xml:space="preserve">Figure </w:t>
      </w:r>
      <w:r w:rsidR="002C4827">
        <w:fldChar w:fldCharType="begin"/>
      </w:r>
      <w:r w:rsidR="002C4827" w:rsidRPr="001030C2">
        <w:rPr>
          <w:lang w:val="en-GB"/>
        </w:rPr>
        <w:instrText xml:space="preserve"> SEQ Figure \* ARABIC </w:instrText>
      </w:r>
      <w:r w:rsidR="002C4827">
        <w:fldChar w:fldCharType="separate"/>
      </w:r>
      <w:r w:rsidR="009464FD">
        <w:rPr>
          <w:noProof/>
          <w:lang w:val="en-GB"/>
        </w:rPr>
        <w:t>8</w:t>
      </w:r>
      <w:r w:rsidR="002C4827">
        <w:rPr>
          <w:noProof/>
        </w:rPr>
        <w:fldChar w:fldCharType="end"/>
      </w:r>
      <w:r w:rsidR="00C3657B" w:rsidRPr="001030C2">
        <w:rPr>
          <w:lang w:val="en-GB"/>
        </w:rPr>
        <w:t>: Elevation angle towards the satellite</w:t>
      </w:r>
    </w:p>
    <w:p w14:paraId="677B6E90" w14:textId="040C15E3" w:rsidR="00B822F0" w:rsidRDefault="00B822F0" w:rsidP="00510D7B">
      <w:pPr>
        <w:pStyle w:val="ECCNumberedList"/>
      </w:pPr>
      <w:r>
        <w:t xml:space="preserve">Step 5: Calculate propagation losses. Only free space loss was considered for this study and the result is presented in </w:t>
      </w:r>
      <w:r w:rsidR="00521B66">
        <w:fldChar w:fldCharType="begin"/>
      </w:r>
      <w:r w:rsidR="00521B66">
        <w:instrText xml:space="preserve"> REF _Ref103697716 \h </w:instrText>
      </w:r>
      <w:r w:rsidR="00521B66">
        <w:fldChar w:fldCharType="separate"/>
      </w:r>
      <w:r w:rsidR="000C011B" w:rsidRPr="00C2101E">
        <w:t xml:space="preserve">Figure </w:t>
      </w:r>
      <w:r w:rsidR="000C011B">
        <w:rPr>
          <w:noProof/>
        </w:rPr>
        <w:t>9</w:t>
      </w:r>
      <w:r w:rsidR="00521B66">
        <w:fldChar w:fldCharType="end"/>
      </w:r>
      <w:r>
        <w:t>:</w:t>
      </w:r>
    </w:p>
    <w:p w14:paraId="677B6E91" w14:textId="77777777" w:rsidR="00B822F0" w:rsidRDefault="00B822F0" w:rsidP="00510D7B">
      <w:pPr>
        <w:jc w:val="center"/>
      </w:pPr>
      <w:r w:rsidRPr="00B822F0">
        <w:rPr>
          <w:noProof/>
          <w:lang w:val="de-DE" w:eastAsia="de-DE"/>
        </w:rPr>
        <w:drawing>
          <wp:inline distT="0" distB="0" distL="0" distR="0" wp14:anchorId="677B6F4D" wp14:editId="677B6F4E">
            <wp:extent cx="3057525" cy="2476500"/>
            <wp:effectExtent l="0" t="0" r="9525" b="0"/>
            <wp:docPr id="32" name="Image 32" descr="C:\Users\eisenhauer\Documents\MATLAB\UEs (terrestrial and UAV) into satellite\Figures\FSL_250kmA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descr="C:\Users\eisenhauer\Documents\MATLAB\UEs (terrestrial and UAV) into satellite\Figures\FSL_250kmAlt.png"/>
                    <pic:cNvPicPr>
                      <a:picLocks noChangeAspect="1" noChangeArrowheads="1"/>
                    </pic:cNvPicPr>
                  </pic:nvPicPr>
                  <pic:blipFill>
                    <a:blip r:embed="rId19">
                      <a:extLst>
                        <a:ext uri="{28A0092B-C50C-407E-A947-70E740481C1C}">
                          <a14:useLocalDpi xmlns:a14="http://schemas.microsoft.com/office/drawing/2010/main" val="0"/>
                        </a:ext>
                      </a:extLst>
                    </a:blip>
                    <a:srcRect l="3012" r="4512"/>
                    <a:stretch>
                      <a:fillRect/>
                    </a:stretch>
                  </pic:blipFill>
                  <pic:spPr bwMode="auto">
                    <a:xfrm>
                      <a:off x="0" y="0"/>
                      <a:ext cx="3057525" cy="2476500"/>
                    </a:xfrm>
                    <a:prstGeom prst="rect">
                      <a:avLst/>
                    </a:prstGeom>
                    <a:noFill/>
                    <a:ln>
                      <a:noFill/>
                    </a:ln>
                  </pic:spPr>
                </pic:pic>
              </a:graphicData>
            </a:graphic>
          </wp:inline>
        </w:drawing>
      </w:r>
    </w:p>
    <w:p w14:paraId="7FB80EB1" w14:textId="568033F3" w:rsidR="00A55AE0" w:rsidRPr="00C3657B" w:rsidRDefault="00A55AE0" w:rsidP="007A4779">
      <w:pPr>
        <w:pStyle w:val="Caption"/>
        <w:rPr>
          <w:lang w:val="en-GB"/>
        </w:rPr>
      </w:pPr>
      <w:bookmarkStart w:id="65" w:name="_Ref103697716"/>
      <w:r w:rsidRPr="00C2101E">
        <w:rPr>
          <w:lang w:val="en-GB"/>
        </w:rPr>
        <w:t xml:space="preserve">Figure </w:t>
      </w:r>
      <w:r>
        <w:fldChar w:fldCharType="begin"/>
      </w:r>
      <w:r w:rsidRPr="00C2101E">
        <w:rPr>
          <w:lang w:val="en-GB"/>
        </w:rPr>
        <w:instrText xml:space="preserve"> SEQ Figure \* ARABIC </w:instrText>
      </w:r>
      <w:r>
        <w:fldChar w:fldCharType="separate"/>
      </w:r>
      <w:r w:rsidR="009464FD">
        <w:rPr>
          <w:noProof/>
          <w:lang w:val="en-GB"/>
        </w:rPr>
        <w:t>9</w:t>
      </w:r>
      <w:r>
        <w:fldChar w:fldCharType="end"/>
      </w:r>
      <w:bookmarkEnd w:id="65"/>
      <w:r w:rsidR="00C3657B" w:rsidRPr="001030C2">
        <w:rPr>
          <w:lang w:val="en-GB"/>
        </w:rPr>
        <w:t>: Free space propa</w:t>
      </w:r>
      <w:r w:rsidR="0067715B" w:rsidRPr="001030C2">
        <w:rPr>
          <w:lang w:val="en-GB"/>
        </w:rPr>
        <w:t>g</w:t>
      </w:r>
      <w:r w:rsidR="00C3657B" w:rsidRPr="001030C2">
        <w:rPr>
          <w:lang w:val="en-GB"/>
        </w:rPr>
        <w:t>ation loss</w:t>
      </w:r>
    </w:p>
    <w:p w14:paraId="677B6E92" w14:textId="77777777" w:rsidR="00B822F0" w:rsidRDefault="00B822F0" w:rsidP="00510D7B">
      <w:pPr>
        <w:pStyle w:val="ECCNumberedList"/>
      </w:pPr>
      <w:r>
        <w:t>Step 6: Calculate the average AAS BS antenna gain as a function of the elevation angle (towards the satellite). To calculate the average gain, this study assumes the following scheme of BS use and deployment:</w:t>
      </w:r>
    </w:p>
    <w:p w14:paraId="677B6E93" w14:textId="1F5AEB15" w:rsidR="00B822F0" w:rsidRPr="00C63448" w:rsidRDefault="00B822F0" w:rsidP="00510D7B">
      <w:pPr>
        <w:pStyle w:val="ECCLetteredList"/>
        <w:numPr>
          <w:ilvl w:val="1"/>
          <w:numId w:val="23"/>
        </w:numPr>
        <w:rPr>
          <w:lang w:val="en-US"/>
        </w:rPr>
      </w:pPr>
      <w:r w:rsidRPr="00D024B6">
        <w:rPr>
          <w:rFonts w:eastAsia="Calibri"/>
          <w:lang w:val="en-GB"/>
        </w:rPr>
        <w:t>BS serving UE on the ground within a cell radius of 800</w:t>
      </w:r>
      <w:r w:rsidR="008B788B" w:rsidRPr="00D024B6">
        <w:rPr>
          <w:rFonts w:eastAsia="Calibri"/>
          <w:lang w:val="en-GB"/>
        </w:rPr>
        <w:t> </w:t>
      </w:r>
      <w:r w:rsidRPr="00D024B6">
        <w:rPr>
          <w:rFonts w:eastAsia="Calibri"/>
          <w:lang w:val="en-GB"/>
        </w:rPr>
        <w:t>m (suburban) or 400</w:t>
      </w:r>
      <w:r w:rsidR="008B788B" w:rsidRPr="00D024B6">
        <w:rPr>
          <w:rFonts w:eastAsia="Calibri"/>
          <w:lang w:val="en-GB"/>
        </w:rPr>
        <w:t> </w:t>
      </w:r>
      <w:r w:rsidRPr="00D024B6">
        <w:rPr>
          <w:rFonts w:eastAsia="Calibri"/>
          <w:lang w:val="en-GB"/>
        </w:rPr>
        <w:t xml:space="preserve">m (urban). This deployment is assumed to represent </w:t>
      </w:r>
      <w:r w:rsidR="006548B5" w:rsidRPr="00D024B6">
        <w:rPr>
          <w:rFonts w:eastAsia="Calibri"/>
          <w:lang w:val="en-GB"/>
        </w:rPr>
        <w:t>67</w:t>
      </w:r>
      <w:r w:rsidRPr="00D024B6">
        <w:rPr>
          <w:rFonts w:eastAsia="Calibri"/>
          <w:lang w:val="en-GB"/>
        </w:rPr>
        <w:t>% of the BS usage.</w:t>
      </w:r>
    </w:p>
    <w:p w14:paraId="677B6E94" w14:textId="310F7425" w:rsidR="00B822F0" w:rsidRPr="00EF38DD" w:rsidRDefault="00B822F0" w:rsidP="00510D7B">
      <w:pPr>
        <w:pStyle w:val="ECCNumberedList"/>
        <w:numPr>
          <w:ilvl w:val="0"/>
          <w:numId w:val="0"/>
        </w:numPr>
        <w:ind w:left="360"/>
      </w:pPr>
      <w:r w:rsidRPr="00EF38DD">
        <w:t>Deploying uniformly UE over the area of coverage from the BS, the CDF of elevation can be determined for suburban and urban deployment cases. It is important to note that the BS vertical coverage range is limited to 90-100° for the suburban and urban deployment cases, equivalent to a limitation of elevation from 0° (horizon) to -10° (under the horizon). Therefore</w:t>
      </w:r>
      <w:r w:rsidR="00462A07" w:rsidRPr="00EF38DD">
        <w:t>,</w:t>
      </w:r>
      <w:r w:rsidRPr="00EF38DD">
        <w:t xml:space="preserve"> for all UE deployments seen at elevation angles lower than -10°, the elevation angle of the BS to cover these UE will be set to -10° and the UE will be covered with the BS side-lobes. Similarly</w:t>
      </w:r>
      <w:r w:rsidR="005428FA" w:rsidRPr="00EF38DD">
        <w:t>,</w:t>
      </w:r>
      <w:r w:rsidRPr="00EF38DD">
        <w:t xml:space="preserve"> if an aerial UE is seen at an elevation greater than 0°, the BS is assumed to be pointing at an elevation of 0° and would be covering this aerial UE with its side lobes.</w:t>
      </w:r>
    </w:p>
    <w:p w14:paraId="677B6E95" w14:textId="3317BA78" w:rsidR="00B822F0" w:rsidRPr="00EF38DD" w:rsidRDefault="00B822F0" w:rsidP="005F7F90">
      <w:pPr>
        <w:pStyle w:val="ECCNumberedList"/>
        <w:numPr>
          <w:ilvl w:val="0"/>
          <w:numId w:val="0"/>
        </w:numPr>
        <w:ind w:left="360"/>
      </w:pPr>
      <w:r w:rsidRPr="00EF38DD">
        <w:lastRenderedPageBreak/>
        <w:t>The resulting elevation CDFs are presented below noting that the range of elevation is limited to the 10° range as explained above and are applicable for both AAS and non AAS BS. The difference in suburban and urban deployment comes from the difference of the cell radius and the BS antenna height. This explains that the elevation for the suburban case (cell radius of 0.8</w:t>
      </w:r>
      <w:r w:rsidR="008B788B" w:rsidRPr="00EF38DD">
        <w:t> </w:t>
      </w:r>
      <w:r w:rsidRPr="00EF38DD">
        <w:t>km) is contained between 1.8° and 10° and for the urban case between 2.6° to 10° (cell radius of 0.4 km).</w:t>
      </w:r>
    </w:p>
    <w:p w14:paraId="677B6E97" w14:textId="5901839B" w:rsidR="00B822F0" w:rsidRPr="005F7F90" w:rsidRDefault="00B822F0" w:rsidP="00D479F9">
      <w:pPr>
        <w:pStyle w:val="Caption"/>
        <w:contextualSpacing w:val="0"/>
        <w:rPr>
          <w:lang w:val="en-GB"/>
        </w:rPr>
      </w:pPr>
      <w:r w:rsidRPr="00B822F0">
        <w:rPr>
          <w:b w:val="0"/>
          <w:bCs w:val="0"/>
          <w:noProof/>
          <w:lang w:val="de-DE" w:eastAsia="de-DE"/>
        </w:rPr>
        <w:drawing>
          <wp:inline distT="0" distB="0" distL="0" distR="0" wp14:anchorId="677B6F4F" wp14:editId="502C026B">
            <wp:extent cx="5581650" cy="3278505"/>
            <wp:effectExtent l="0" t="0" r="0" b="0"/>
            <wp:docPr id="41" name="Image 41" descr="C:\Users\eisenhauer\Documents\MATLAB\UEs (terrestrial and UAV) into satellite\Figures\AASsub_Elev_CDF_UE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C:\Users\eisenhauer\Documents\MATLAB\UEs (terrestrial and UAV) into satellite\Figures\AASsub_Elev_CDF_UE_v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81650" cy="3278505"/>
                    </a:xfrm>
                    <a:prstGeom prst="rect">
                      <a:avLst/>
                    </a:prstGeom>
                    <a:noFill/>
                    <a:ln>
                      <a:noFill/>
                    </a:ln>
                  </pic:spPr>
                </pic:pic>
              </a:graphicData>
            </a:graphic>
          </wp:inline>
        </w:drawing>
      </w:r>
      <w:r w:rsidRPr="00C2101E">
        <w:rPr>
          <w:lang w:val="en-GB"/>
        </w:rPr>
        <w:br w:type="textWrapping" w:clear="all"/>
      </w:r>
      <w:r w:rsidR="00A55AE0" w:rsidRPr="005F7F90">
        <w:rPr>
          <w:lang w:val="en-GB"/>
        </w:rPr>
        <w:t xml:space="preserve">Figure </w:t>
      </w:r>
      <w:r w:rsidR="00A55AE0" w:rsidRPr="005F7F90">
        <w:fldChar w:fldCharType="begin"/>
      </w:r>
      <w:r w:rsidR="00A55AE0" w:rsidRPr="005F7F90">
        <w:rPr>
          <w:lang w:val="en-GB"/>
        </w:rPr>
        <w:instrText xml:space="preserve"> SEQ Figure \* ARABIC </w:instrText>
      </w:r>
      <w:r w:rsidR="00A55AE0" w:rsidRPr="005F7F90">
        <w:fldChar w:fldCharType="separate"/>
      </w:r>
      <w:r w:rsidR="009464FD">
        <w:rPr>
          <w:noProof/>
          <w:lang w:val="en-GB"/>
        </w:rPr>
        <w:t>10</w:t>
      </w:r>
      <w:r w:rsidR="00A55AE0" w:rsidRPr="005F7F90">
        <w:fldChar w:fldCharType="end"/>
      </w:r>
      <w:r w:rsidR="00A55AE0" w:rsidRPr="005F7F90">
        <w:rPr>
          <w:lang w:val="en-GB"/>
        </w:rPr>
        <w:t xml:space="preserve">: </w:t>
      </w:r>
      <w:r w:rsidR="0052503E" w:rsidRPr="005F7F90">
        <w:rPr>
          <w:lang w:val="en-GB"/>
        </w:rPr>
        <w:t xml:space="preserve">Suburban BS elevation CCDF </w:t>
      </w:r>
    </w:p>
    <w:p w14:paraId="677B6E98" w14:textId="4A40D157" w:rsidR="00B822F0" w:rsidRDefault="00B822F0" w:rsidP="005F7F90">
      <w:pPr>
        <w:pStyle w:val="ECCFiguregraphcentered"/>
      </w:pPr>
      <w:r w:rsidRPr="00B822F0">
        <w:drawing>
          <wp:inline distT="0" distB="0" distL="0" distR="0" wp14:anchorId="677B6F51" wp14:editId="28D04535">
            <wp:extent cx="5715000" cy="3571875"/>
            <wp:effectExtent l="0" t="0" r="5080" b="3175"/>
            <wp:docPr id="68" name="Image 31" descr="C:\Users\eisenhauer\Documents\MATLAB\UEs (terrestrial and UAV) into satellite\Figures\AASurb_Elev_CDF_UE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C:\Users\eisenhauer\Documents\MATLAB\UEs (terrestrial and UAV) into satellite\Figures\AASurb_Elev_CDF_UE_v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3571875"/>
                    </a:xfrm>
                    <a:prstGeom prst="rect">
                      <a:avLst/>
                    </a:prstGeom>
                    <a:noFill/>
                    <a:ln>
                      <a:noFill/>
                    </a:ln>
                  </pic:spPr>
                </pic:pic>
              </a:graphicData>
            </a:graphic>
          </wp:inline>
        </w:drawing>
      </w:r>
    </w:p>
    <w:p w14:paraId="12C0C6E1" w14:textId="53551E25" w:rsidR="00A55AE0" w:rsidRPr="00510D7B" w:rsidRDefault="00A55AE0" w:rsidP="005F7F90">
      <w:pPr>
        <w:pStyle w:val="Caption"/>
        <w:contextualSpacing w:val="0"/>
        <w:rPr>
          <w:lang w:val="en-GB"/>
        </w:rPr>
      </w:pPr>
      <w:r w:rsidRPr="00C2101E">
        <w:rPr>
          <w:lang w:val="en-GB"/>
        </w:rPr>
        <w:t xml:space="preserve">Figure </w:t>
      </w:r>
      <w:r>
        <w:fldChar w:fldCharType="begin"/>
      </w:r>
      <w:r w:rsidRPr="00C2101E">
        <w:rPr>
          <w:lang w:val="en-GB"/>
        </w:rPr>
        <w:instrText xml:space="preserve"> SEQ Figure \* ARABIC </w:instrText>
      </w:r>
      <w:r>
        <w:fldChar w:fldCharType="separate"/>
      </w:r>
      <w:r w:rsidR="009464FD">
        <w:rPr>
          <w:noProof/>
          <w:lang w:val="en-GB"/>
        </w:rPr>
        <w:t>11</w:t>
      </w:r>
      <w:r>
        <w:fldChar w:fldCharType="end"/>
      </w:r>
      <w:r w:rsidR="0052503E" w:rsidRPr="001030C2">
        <w:rPr>
          <w:lang w:val="en-GB"/>
        </w:rPr>
        <w:t xml:space="preserve">: </w:t>
      </w:r>
      <w:r w:rsidR="0052503E" w:rsidRPr="00510D7B">
        <w:rPr>
          <w:lang w:val="en-GB"/>
        </w:rPr>
        <w:t>Urban BS elevation CCDF</w:t>
      </w:r>
    </w:p>
    <w:p w14:paraId="677B6E99" w14:textId="77777777" w:rsidR="00B822F0" w:rsidRDefault="00B822F0" w:rsidP="00510D7B">
      <w:pPr>
        <w:pStyle w:val="ECCNumberedList"/>
        <w:numPr>
          <w:ilvl w:val="0"/>
          <w:numId w:val="0"/>
        </w:numPr>
        <w:ind w:left="360"/>
      </w:pPr>
      <w:r>
        <w:lastRenderedPageBreak/>
        <w:t>These plotted elevation CDFs are a contribution of the BS mechanical tilt and electrical tilt. Assuming a mechanical tilt of 6°, the BS electrical tilt CDF can be derived from the previous elevation distribution by a simple translation of 6°.</w:t>
      </w:r>
    </w:p>
    <w:p w14:paraId="217B30FC" w14:textId="71FE58A2" w:rsidR="00A61EF1" w:rsidRPr="00A61EF1" w:rsidRDefault="00B822F0" w:rsidP="00510D7B">
      <w:pPr>
        <w:pStyle w:val="ECCLetteredList"/>
        <w:rPr>
          <w:rStyle w:val="ECCParagraph"/>
          <w:szCs w:val="22"/>
        </w:rPr>
      </w:pPr>
      <w:r w:rsidRPr="00ED3A4D">
        <w:rPr>
          <w:rStyle w:val="ECCParagraph"/>
        </w:rPr>
        <w:t xml:space="preserve">BS serving aerial UE in visibility. This deployment is assumed to represent </w:t>
      </w:r>
      <w:r w:rsidR="00134C26" w:rsidRPr="00ED3A4D">
        <w:rPr>
          <w:rStyle w:val="ECCParagraph"/>
        </w:rPr>
        <w:t>either 6.7% or 33</w:t>
      </w:r>
      <w:r w:rsidRPr="00ED3A4D">
        <w:rPr>
          <w:rStyle w:val="ECCParagraph"/>
        </w:rPr>
        <w:t>% of the BS usage.</w:t>
      </w:r>
    </w:p>
    <w:p w14:paraId="677B6E9A" w14:textId="52D01A0D" w:rsidR="00B822F0" w:rsidRPr="009954EA" w:rsidRDefault="00B822F0" w:rsidP="00FA4719">
      <w:pPr>
        <w:rPr>
          <w:rStyle w:val="ECCParagraph"/>
        </w:rPr>
      </w:pPr>
      <w:r w:rsidRPr="009954EA">
        <w:rPr>
          <w:rStyle w:val="ECCParagraph"/>
        </w:rPr>
        <w:t>The aim of this study is to see whether the current BS deployments serving terrestrial UE can be used to serve aerial U</w:t>
      </w:r>
      <w:r w:rsidR="008B788B" w:rsidRPr="009954EA">
        <w:rPr>
          <w:rStyle w:val="ECCParagraph"/>
        </w:rPr>
        <w:t>E</w:t>
      </w:r>
      <w:r w:rsidRPr="009954EA">
        <w:rPr>
          <w:rStyle w:val="ECCParagraph"/>
        </w:rPr>
        <w:t>. As such, the same vertical coverage range of 90-100° is considered for this case. This means that since the elevation of the BS main beam will not exceed 0°, the aerial UE will always perceive the side-lobe of the BS. Therefore</w:t>
      </w:r>
      <w:r w:rsidR="00462A07" w:rsidRPr="009954EA">
        <w:rPr>
          <w:rStyle w:val="ECCParagraph"/>
        </w:rPr>
        <w:t>,</w:t>
      </w:r>
      <w:r w:rsidRPr="009954EA">
        <w:rPr>
          <w:rStyle w:val="ECCParagraph"/>
        </w:rPr>
        <w:t xml:space="preserve"> all BS covering aerial UE are assumed to be pointing at 0° elevation in the direction of the aerial UE. The altitude of the aerial UE is therefore irrelevant as it will always be seen from the BS at elevations above the horizon. </w:t>
      </w:r>
      <w:r w:rsidR="00134C26" w:rsidRPr="009954EA">
        <w:rPr>
          <w:rStyle w:val="ECCParagraph"/>
        </w:rPr>
        <w:t>The proposed densit</w:t>
      </w:r>
      <w:r w:rsidR="007C16DC" w:rsidRPr="009954EA">
        <w:rPr>
          <w:rStyle w:val="ECCParagraph"/>
        </w:rPr>
        <w:t>y</w:t>
      </w:r>
      <w:r w:rsidR="00C420F7" w:rsidRPr="009954EA">
        <w:rPr>
          <w:rStyle w:val="ECCParagraph"/>
        </w:rPr>
        <w:t xml:space="preserve"> </w:t>
      </w:r>
      <w:r w:rsidR="00134C26" w:rsidRPr="009954EA">
        <w:rPr>
          <w:rStyle w:val="ECCParagraph"/>
        </w:rPr>
        <w:t>for aerial UE 6.7%</w:t>
      </w:r>
      <w:r w:rsidR="00BB6966" w:rsidRPr="009954EA">
        <w:rPr>
          <w:rStyle w:val="ECCParagraph"/>
        </w:rPr>
        <w:t xml:space="preserve"> </w:t>
      </w:r>
      <w:r w:rsidR="00134C26" w:rsidRPr="009954EA">
        <w:rPr>
          <w:rStyle w:val="ECCParagraph"/>
        </w:rPr>
        <w:t>ha</w:t>
      </w:r>
      <w:r w:rsidR="007C16DC" w:rsidRPr="009954EA">
        <w:rPr>
          <w:rStyle w:val="ECCParagraph"/>
        </w:rPr>
        <w:t>s</w:t>
      </w:r>
      <w:r w:rsidR="00134C26" w:rsidRPr="009954EA">
        <w:rPr>
          <w:rStyle w:val="ECCParagraph"/>
        </w:rPr>
        <w:t xml:space="preserve"> been extracted from ECC Report 309 (Annex </w:t>
      </w:r>
      <w:r w:rsidR="00134C26" w:rsidRPr="00FD3236">
        <w:rPr>
          <w:rStyle w:val="ECCParagraph"/>
        </w:rPr>
        <w:t xml:space="preserve">13) </w:t>
      </w:r>
      <w:r w:rsidR="0075390E">
        <w:rPr>
          <w:rStyle w:val="ECCParagraph"/>
        </w:rPr>
        <w:fldChar w:fldCharType="begin"/>
      </w:r>
      <w:r w:rsidR="0075390E">
        <w:rPr>
          <w:rStyle w:val="ECCParagraph"/>
        </w:rPr>
        <w:instrText xml:space="preserve"> REF _Ref103695135 \r \h </w:instrText>
      </w:r>
      <w:r w:rsidR="0075390E">
        <w:rPr>
          <w:rStyle w:val="ECCParagraph"/>
        </w:rPr>
      </w:r>
      <w:r w:rsidR="0075390E">
        <w:rPr>
          <w:rStyle w:val="ECCParagraph"/>
        </w:rPr>
        <w:fldChar w:fldCharType="separate"/>
      </w:r>
      <w:r w:rsidR="009464FD">
        <w:rPr>
          <w:rStyle w:val="ECCParagraph"/>
        </w:rPr>
        <w:t>[4]</w:t>
      </w:r>
      <w:r w:rsidR="0075390E">
        <w:rPr>
          <w:rStyle w:val="ECCParagraph"/>
        </w:rPr>
        <w:fldChar w:fldCharType="end"/>
      </w:r>
      <w:r w:rsidR="0075390E" w:rsidRPr="00FD3236">
        <w:rPr>
          <w:rStyle w:val="ECCParagraph"/>
        </w:rPr>
        <w:t xml:space="preserve"> </w:t>
      </w:r>
      <w:r w:rsidR="00134C26" w:rsidRPr="00FD3236">
        <w:rPr>
          <w:rStyle w:val="ECCParagraph"/>
        </w:rPr>
        <w:t>and represent</w:t>
      </w:r>
      <w:r w:rsidR="007C16DC" w:rsidRPr="00FD3236">
        <w:rPr>
          <w:rStyle w:val="ECCParagraph"/>
        </w:rPr>
        <w:t>s</w:t>
      </w:r>
      <w:r w:rsidR="00134C26" w:rsidRPr="009954EA">
        <w:rPr>
          <w:rStyle w:val="ECCParagraph"/>
        </w:rPr>
        <w:t xml:space="preserve"> an average case taking into consideration that a significant </w:t>
      </w:r>
      <w:r w:rsidR="007C16DC" w:rsidRPr="009954EA">
        <w:rPr>
          <w:rStyle w:val="ECCParagraph"/>
        </w:rPr>
        <w:t xml:space="preserve">high </w:t>
      </w:r>
      <w:r w:rsidR="00134C26" w:rsidRPr="009954EA">
        <w:rPr>
          <w:rStyle w:val="ECCParagraph"/>
        </w:rPr>
        <w:t>number of cells may not be used to provide aerial coverage</w:t>
      </w:r>
      <w:r w:rsidR="007C16DC" w:rsidRPr="009954EA">
        <w:rPr>
          <w:rStyle w:val="ECCParagraph"/>
        </w:rPr>
        <w:t xml:space="preserve"> at max</w:t>
      </w:r>
      <w:r w:rsidR="005428FA" w:rsidRPr="009954EA">
        <w:rPr>
          <w:rStyle w:val="ECCParagraph"/>
        </w:rPr>
        <w:t>.</w:t>
      </w:r>
      <w:r w:rsidR="007C16DC" w:rsidRPr="009954EA">
        <w:rPr>
          <w:rStyle w:val="ECCParagraph"/>
        </w:rPr>
        <w:t xml:space="preserve"> payload (33%).</w:t>
      </w:r>
      <w:r w:rsidR="00407437" w:rsidRPr="009954EA">
        <w:rPr>
          <w:rStyle w:val="ECCParagraph"/>
        </w:rPr>
        <w:t xml:space="preserve"> Since the simulation area for this study is hugely larger (tens </w:t>
      </w:r>
      <w:r w:rsidR="005428FA" w:rsidRPr="009954EA">
        <w:rPr>
          <w:rStyle w:val="ECCParagraph"/>
        </w:rPr>
        <w:t xml:space="preserve">of </w:t>
      </w:r>
      <w:r w:rsidR="00407437" w:rsidRPr="009954EA">
        <w:rPr>
          <w:rStyle w:val="ECCParagraph"/>
        </w:rPr>
        <w:t>t</w:t>
      </w:r>
      <w:r w:rsidR="0056075D" w:rsidRPr="009954EA">
        <w:rPr>
          <w:rStyle w:val="ECCParagraph"/>
        </w:rPr>
        <w:t>h</w:t>
      </w:r>
      <w:r w:rsidR="00407437" w:rsidRPr="009954EA">
        <w:rPr>
          <w:rStyle w:val="ECCParagraph"/>
        </w:rPr>
        <w:t>ousands of cells) than the one considered in ECC Report 309 (61 cells), it is expected that the aerial UE payload, if uniformly distributed over this larger area, would be lower than 6.7% because it is understood that there may be likely large sub-areas with no aerial UE operation</w:t>
      </w:r>
      <w:r w:rsidR="00AA3C7A" w:rsidRPr="009954EA">
        <w:rPr>
          <w:rStyle w:val="ECCParagraph"/>
        </w:rPr>
        <w:t>.</w:t>
      </w:r>
      <w:r w:rsidR="007C16DC" w:rsidRPr="009954EA">
        <w:rPr>
          <w:rStyle w:val="ECCParagraph"/>
        </w:rPr>
        <w:t xml:space="preserve"> </w:t>
      </w:r>
      <w:r w:rsidR="0075390E" w:rsidRPr="009954EA">
        <w:rPr>
          <w:rStyle w:val="ECCParagraph"/>
        </w:rPr>
        <w:t xml:space="preserve">This </w:t>
      </w:r>
      <w:r w:rsidR="00407437" w:rsidRPr="009954EA">
        <w:rPr>
          <w:rStyle w:val="ECCParagraph"/>
        </w:rPr>
        <w:t xml:space="preserve">assumption (6.7%) is then considered as conservative when applied to such </w:t>
      </w:r>
      <w:r w:rsidR="00AA3C7A" w:rsidRPr="009954EA">
        <w:rPr>
          <w:rStyle w:val="ECCParagraph"/>
        </w:rPr>
        <w:t xml:space="preserve">a </w:t>
      </w:r>
      <w:r w:rsidR="00407437" w:rsidRPr="009954EA">
        <w:rPr>
          <w:rStyle w:val="ECCParagraph"/>
        </w:rPr>
        <w:t xml:space="preserve">large area. </w:t>
      </w:r>
      <w:r w:rsidR="007C16DC" w:rsidRPr="009954EA">
        <w:rPr>
          <w:rStyle w:val="ECCParagraph"/>
        </w:rPr>
        <w:t>Results for the max</w:t>
      </w:r>
      <w:r w:rsidR="00012C24" w:rsidRPr="009954EA">
        <w:rPr>
          <w:rStyle w:val="ECCParagraph"/>
        </w:rPr>
        <w:t>imum</w:t>
      </w:r>
      <w:r w:rsidR="007C16DC" w:rsidRPr="009954EA">
        <w:rPr>
          <w:rStyle w:val="ECCParagraph"/>
        </w:rPr>
        <w:t xml:space="preserve"> payload (33%) of the aerial UE scenario are provided for information in this </w:t>
      </w:r>
      <w:r w:rsidR="000D0CFF" w:rsidRPr="009954EA">
        <w:rPr>
          <w:rStyle w:val="ECCParagraph"/>
        </w:rPr>
        <w:t>R</w:t>
      </w:r>
      <w:r w:rsidR="007C16DC" w:rsidRPr="009954EA">
        <w:rPr>
          <w:rStyle w:val="ECCParagraph"/>
        </w:rPr>
        <w:t>eport although it remains unrealistic for so many cells.</w:t>
      </w:r>
    </w:p>
    <w:p w14:paraId="677B6E9C" w14:textId="637BD68C" w:rsidR="00B822F0" w:rsidRPr="00ED3A4D" w:rsidRDefault="00B822F0" w:rsidP="00B822F0">
      <w:pPr>
        <w:rPr>
          <w:rStyle w:val="ECCParagraph"/>
        </w:rPr>
      </w:pPr>
      <w:r w:rsidRPr="00ED3A4D">
        <w:rPr>
          <w:rStyle w:val="ECCParagraph"/>
        </w:rPr>
        <w:t xml:space="preserve">One can then generate a randomised distribution of IMT BS following the elevation distributions (taking into account the electrical tilts and mechanical antenna tilts) explained above with their associated weighting: </w:t>
      </w:r>
      <w:r w:rsidR="00134C26" w:rsidRPr="00ED3A4D">
        <w:rPr>
          <w:rStyle w:val="ECCParagraph"/>
        </w:rPr>
        <w:t>67</w:t>
      </w:r>
      <w:r w:rsidRPr="00ED3A4D">
        <w:rPr>
          <w:rStyle w:val="ECCParagraph"/>
        </w:rPr>
        <w:t>% of ground UE and</w:t>
      </w:r>
      <w:r w:rsidR="00BB6966" w:rsidRPr="00ED3A4D">
        <w:rPr>
          <w:rStyle w:val="ECCParagraph"/>
        </w:rPr>
        <w:t xml:space="preserve"> </w:t>
      </w:r>
      <w:r w:rsidR="00134C26" w:rsidRPr="00ED3A4D">
        <w:rPr>
          <w:rStyle w:val="ECCParagraph"/>
        </w:rPr>
        <w:t>33</w:t>
      </w:r>
      <w:r w:rsidRPr="00ED3A4D">
        <w:rPr>
          <w:rStyle w:val="ECCParagraph"/>
        </w:rPr>
        <w:t>% of A</w:t>
      </w:r>
      <w:r w:rsidR="00A03880" w:rsidRPr="00ED3A4D">
        <w:rPr>
          <w:rStyle w:val="ECCParagraph"/>
        </w:rPr>
        <w:t xml:space="preserve">erial </w:t>
      </w:r>
      <w:r w:rsidRPr="00ED3A4D">
        <w:rPr>
          <w:rStyle w:val="ECCParagraph"/>
        </w:rPr>
        <w:t>UE</w:t>
      </w:r>
      <w:r w:rsidR="00134C26" w:rsidRPr="00ED3A4D">
        <w:rPr>
          <w:rStyle w:val="ECCParagraph"/>
        </w:rPr>
        <w:t xml:space="preserve"> </w:t>
      </w:r>
      <w:r w:rsidR="0061256B" w:rsidRPr="00ED3A4D">
        <w:rPr>
          <w:rStyle w:val="ECCParagraph"/>
        </w:rPr>
        <w:t>or</w:t>
      </w:r>
      <w:r w:rsidR="00134C26" w:rsidRPr="00ED3A4D">
        <w:rPr>
          <w:rStyle w:val="ECCParagraph"/>
        </w:rPr>
        <w:t xml:space="preserve"> </w:t>
      </w:r>
      <w:r w:rsidR="0061256B" w:rsidRPr="00ED3A4D">
        <w:rPr>
          <w:rStyle w:val="ECCParagraph"/>
        </w:rPr>
        <w:t>93.3% of ground UE and 6.7% of Ground UE.</w:t>
      </w:r>
    </w:p>
    <w:p w14:paraId="677B6E9E" w14:textId="22CA181A" w:rsidR="00B822F0" w:rsidRDefault="00B822F0" w:rsidP="00B822F0">
      <w:pPr>
        <w:pStyle w:val="ECCBulletsLv1"/>
        <w:numPr>
          <w:ilvl w:val="0"/>
          <w:numId w:val="0"/>
        </w:numPr>
      </w:pPr>
      <w:r w:rsidRPr="009275E3">
        <w:t xml:space="preserve">The average gain considering the two deployment cases </w:t>
      </w:r>
      <w:r>
        <w:t>(</w:t>
      </w:r>
      <w:r w:rsidRPr="00FA4719">
        <w:rPr>
          <w:rStyle w:val="ECCParagraph"/>
        </w:rPr>
        <w:t xml:space="preserve">terrestrial and aerial UE coverage) can then be calculated by implementing the Recommendation </w:t>
      </w:r>
      <w:r w:rsidR="008B788B" w:rsidRPr="00FA4719">
        <w:rPr>
          <w:rStyle w:val="ECCParagraph"/>
        </w:rPr>
        <w:t xml:space="preserve">ITU-R </w:t>
      </w:r>
      <w:r w:rsidRPr="00FA4719">
        <w:rPr>
          <w:rStyle w:val="ECCParagraph"/>
        </w:rPr>
        <w:t xml:space="preserve">F.1336 </w:t>
      </w:r>
      <w:r w:rsidR="002D5C44" w:rsidRPr="00FD3236">
        <w:rPr>
          <w:rStyle w:val="ECCParagraph"/>
        </w:rPr>
        <w:fldChar w:fldCharType="begin"/>
      </w:r>
      <w:r w:rsidR="002D5C44" w:rsidRPr="00FD3236">
        <w:rPr>
          <w:rStyle w:val="ECCParagraph"/>
        </w:rPr>
        <w:instrText xml:space="preserve"> REF _Ref112245387 \r \h </w:instrText>
      </w:r>
      <w:r w:rsidR="005A30F8" w:rsidRPr="00FD3236">
        <w:rPr>
          <w:rStyle w:val="ECCParagraph"/>
        </w:rPr>
        <w:instrText xml:space="preserve"> \* MERGEFORMAT </w:instrText>
      </w:r>
      <w:r w:rsidR="002D5C44" w:rsidRPr="00FD3236">
        <w:rPr>
          <w:rStyle w:val="ECCParagraph"/>
        </w:rPr>
      </w:r>
      <w:r w:rsidR="002D5C44" w:rsidRPr="00FD3236">
        <w:rPr>
          <w:rStyle w:val="ECCParagraph"/>
        </w:rPr>
        <w:fldChar w:fldCharType="separate"/>
      </w:r>
      <w:r w:rsidR="009464FD">
        <w:rPr>
          <w:rStyle w:val="ECCParagraph"/>
        </w:rPr>
        <w:t>[14]</w:t>
      </w:r>
      <w:r w:rsidR="002D5C44" w:rsidRPr="00FD3236">
        <w:rPr>
          <w:rStyle w:val="ECCParagraph"/>
        </w:rPr>
        <w:fldChar w:fldCharType="end"/>
      </w:r>
      <w:r w:rsidR="002D5C44" w:rsidRPr="00FD3236">
        <w:rPr>
          <w:rStyle w:val="ECCParagraph"/>
        </w:rPr>
        <w:t xml:space="preserve"> </w:t>
      </w:r>
      <w:r w:rsidRPr="00FA4719">
        <w:rPr>
          <w:rStyle w:val="ECCParagraph"/>
        </w:rPr>
        <w:t>for</w:t>
      </w:r>
      <w:r>
        <w:t xml:space="preserve"> non AAS BS and the antenna pattern as defined in </w:t>
      </w:r>
      <w:r w:rsidRPr="00253EFD">
        <w:t>Table A of Annex</w:t>
      </w:r>
      <w:r w:rsidRPr="002B795A">
        <w:t> 3</w:t>
      </w:r>
      <w:r>
        <w:t xml:space="preserve"> contained in Annex 4.4 to the WP5D chairman's report </w:t>
      </w:r>
      <w:r w:rsidR="007632C7">
        <w:fldChar w:fldCharType="begin"/>
      </w:r>
      <w:r w:rsidR="007632C7">
        <w:instrText xml:space="preserve"> REF _Ref104910220 \r \h </w:instrText>
      </w:r>
      <w:r w:rsidR="007632C7">
        <w:fldChar w:fldCharType="separate"/>
      </w:r>
      <w:r w:rsidR="009464FD">
        <w:t>[13]</w:t>
      </w:r>
      <w:r w:rsidR="007632C7">
        <w:fldChar w:fldCharType="end"/>
      </w:r>
      <w:r w:rsidR="007632C7">
        <w:t xml:space="preserve"> </w:t>
      </w:r>
      <w:r>
        <w:t xml:space="preserve">for AAS BS operating in the range </w:t>
      </w:r>
      <w:r w:rsidRPr="002B795A">
        <w:t>1710-4990 MHz</w:t>
      </w:r>
      <w:r>
        <w:t>. The minimum gain for the AAS BS was set to -30</w:t>
      </w:r>
      <w:r w:rsidR="007632C7">
        <w:t xml:space="preserve"> </w:t>
      </w:r>
      <w:r>
        <w:t xml:space="preserve">dBi as it is assumed that lower levels are not necessarily representative. The following average gain versus elevation was generated based on the assumptions presented above. In other words, the average gain in a specific elevation direction was taken for 100000 BS deployment cases and averaged (70000 cases where the BS is serving terrestrial UE and 30000 cases where the BS is serving aerial UE). </w:t>
      </w:r>
      <w:r w:rsidR="00561D60">
        <w:t>The left side of the</w:t>
      </w:r>
      <w:r>
        <w:t xml:space="preserve"> figure</w:t>
      </w:r>
      <w:r w:rsidR="005428FA">
        <w:t>s</w:t>
      </w:r>
      <w:r>
        <w:t xml:space="preserve"> considers a suburban deployment while the </w:t>
      </w:r>
      <w:r w:rsidR="00561D60">
        <w:t>right ride</w:t>
      </w:r>
      <w:r w:rsidR="005428FA">
        <w:t xml:space="preserve"> considers</w:t>
      </w:r>
      <w:r>
        <w:t xml:space="preserve"> an urban deployment for the terrestrial UE. Only the AAS are assumed to be providing service to the aerial UE.</w:t>
      </w:r>
    </w:p>
    <w:tbl>
      <w:tblPr>
        <w:tblW w:w="9644" w:type="dxa"/>
        <w:tblInd w:w="-5" w:type="dxa"/>
        <w:tblLook w:val="0000" w:firstRow="0" w:lastRow="0" w:firstColumn="0" w:lastColumn="0" w:noHBand="0" w:noVBand="0"/>
      </w:tblPr>
      <w:tblGrid>
        <w:gridCol w:w="4822"/>
        <w:gridCol w:w="3343"/>
        <w:gridCol w:w="1479"/>
      </w:tblGrid>
      <w:tr w:rsidR="001D1C48" w14:paraId="677B6EA0" w14:textId="77777777" w:rsidTr="00510D7B">
        <w:trPr>
          <w:gridAfter w:val="1"/>
          <w:wAfter w:w="1482" w:type="dxa"/>
        </w:trPr>
        <w:tc>
          <w:tcPr>
            <w:tcW w:w="8162" w:type="dxa"/>
            <w:gridSpan w:val="2"/>
          </w:tcPr>
          <w:p w14:paraId="677B6E9F" w14:textId="25461376" w:rsidR="00B822F0" w:rsidRPr="00B822F0" w:rsidRDefault="00B822F0" w:rsidP="00BC366A">
            <w:pPr>
              <w:pStyle w:val="ECCBulletsLv1"/>
              <w:numPr>
                <w:ilvl w:val="0"/>
                <w:numId w:val="0"/>
              </w:numPr>
            </w:pPr>
          </w:p>
        </w:tc>
      </w:tr>
      <w:tr w:rsidR="005373C0" w:rsidRPr="00C21E63" w14:paraId="126A4D78" w14:textId="77777777" w:rsidTr="00FE6741">
        <w:tc>
          <w:tcPr>
            <w:tcW w:w="4840" w:type="dxa"/>
          </w:tcPr>
          <w:p w14:paraId="344A109F" w14:textId="77777777" w:rsidR="003F566E" w:rsidRPr="00BC400E" w:rsidRDefault="001C30A0" w:rsidP="00BC400E">
            <w:r w:rsidRPr="008C6D51">
              <w:rPr>
                <w:noProof/>
              </w:rPr>
              <w:drawing>
                <wp:inline distT="0" distB="0" distL="0" distR="0" wp14:anchorId="79B89BB5" wp14:editId="3A3A776C">
                  <wp:extent cx="3479920" cy="2609850"/>
                  <wp:effectExtent l="0" t="0" r="6350" b="0"/>
                  <wp:docPr id="52"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uburban BS_33.png"/>
                          <pic:cNvPicPr/>
                        </pic:nvPicPr>
                        <pic:blipFill>
                          <a:blip r:embed="rId22">
                            <a:extLst>
                              <a:ext uri="{28A0092B-C50C-407E-A947-70E740481C1C}">
                                <a14:useLocalDpi xmlns:a14="http://schemas.microsoft.com/office/drawing/2010/main" val="0"/>
                              </a:ext>
                            </a:extLst>
                          </a:blip>
                          <a:stretch>
                            <a:fillRect/>
                          </a:stretch>
                        </pic:blipFill>
                        <pic:spPr>
                          <a:xfrm>
                            <a:off x="0" y="0"/>
                            <a:ext cx="3508508" cy="2631290"/>
                          </a:xfrm>
                          <a:prstGeom prst="rect">
                            <a:avLst/>
                          </a:prstGeom>
                        </pic:spPr>
                      </pic:pic>
                    </a:graphicData>
                  </a:graphic>
                </wp:inline>
              </w:drawing>
            </w:r>
          </w:p>
        </w:tc>
        <w:tc>
          <w:tcPr>
            <w:tcW w:w="4804" w:type="dxa"/>
            <w:gridSpan w:val="2"/>
          </w:tcPr>
          <w:p w14:paraId="186C62EE" w14:textId="77777777" w:rsidR="003F566E" w:rsidRPr="00BC400E" w:rsidRDefault="001D1C48" w:rsidP="00BC400E">
            <w:r w:rsidRPr="008C6D51">
              <w:rPr>
                <w:noProof/>
              </w:rPr>
              <w:drawing>
                <wp:inline distT="0" distB="0" distL="0" distR="0" wp14:anchorId="7004500F" wp14:editId="708049E1">
                  <wp:extent cx="3478530" cy="2608808"/>
                  <wp:effectExtent l="0" t="0" r="7620" b="1270"/>
                  <wp:docPr id="53"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Urban BS_33.png"/>
                          <pic:cNvPicPr/>
                        </pic:nvPicPr>
                        <pic:blipFill>
                          <a:blip r:embed="rId23">
                            <a:extLst>
                              <a:ext uri="{28A0092B-C50C-407E-A947-70E740481C1C}">
                                <a14:useLocalDpi xmlns:a14="http://schemas.microsoft.com/office/drawing/2010/main" val="0"/>
                              </a:ext>
                            </a:extLst>
                          </a:blip>
                          <a:stretch>
                            <a:fillRect/>
                          </a:stretch>
                        </pic:blipFill>
                        <pic:spPr>
                          <a:xfrm>
                            <a:off x="0" y="0"/>
                            <a:ext cx="3490767" cy="2617986"/>
                          </a:xfrm>
                          <a:prstGeom prst="rect">
                            <a:avLst/>
                          </a:prstGeom>
                        </pic:spPr>
                      </pic:pic>
                    </a:graphicData>
                  </a:graphic>
                </wp:inline>
              </w:drawing>
            </w:r>
          </w:p>
        </w:tc>
      </w:tr>
    </w:tbl>
    <w:p w14:paraId="677B6EA7" w14:textId="4ADEA1AF" w:rsidR="005F00DC" w:rsidRPr="00BF6CBE" w:rsidRDefault="00A55AE0" w:rsidP="007E0A4F">
      <w:pPr>
        <w:pStyle w:val="Caption"/>
      </w:pPr>
      <w:r w:rsidRPr="008A7B26">
        <w:rPr>
          <w:lang w:val="en-GB"/>
        </w:rPr>
        <w:t xml:space="preserve">Figure </w:t>
      </w:r>
      <w:r>
        <w:fldChar w:fldCharType="begin"/>
      </w:r>
      <w:r w:rsidRPr="008A7B26">
        <w:rPr>
          <w:lang w:val="en-GB"/>
        </w:rPr>
        <w:instrText xml:space="preserve"> SEQ Figure \* ARABIC </w:instrText>
      </w:r>
      <w:r>
        <w:fldChar w:fldCharType="separate"/>
      </w:r>
      <w:r w:rsidR="009464FD">
        <w:rPr>
          <w:noProof/>
          <w:lang w:val="en-GB"/>
        </w:rPr>
        <w:t>12</w:t>
      </w:r>
      <w:r>
        <w:fldChar w:fldCharType="end"/>
      </w:r>
      <w:r w:rsidRPr="008A7B26">
        <w:rPr>
          <w:lang w:val="en-GB"/>
        </w:rPr>
        <w:t>:</w:t>
      </w:r>
      <w:r w:rsidR="00B50FF1" w:rsidRPr="008A7B26">
        <w:rPr>
          <w:lang w:val="en-GB"/>
        </w:rPr>
        <w:t xml:space="preserve"> </w:t>
      </w:r>
      <w:r w:rsidR="008A7B26">
        <w:rPr>
          <w:lang w:val="en-GB"/>
        </w:rPr>
        <w:t>A</w:t>
      </w:r>
      <w:r w:rsidR="00B50FF1" w:rsidRPr="008A7B26">
        <w:rPr>
          <w:lang w:val="en-GB"/>
        </w:rPr>
        <w:t xml:space="preserve">AS BS average gain for terrestrial and aerial UE servicing </w:t>
      </w:r>
      <w:r w:rsidR="00B50FF1" w:rsidRPr="009B43AF">
        <w:rPr>
          <w:rStyle w:val="ECCParagraph"/>
        </w:rPr>
        <w:t>(33% aerial UE payload)</w:t>
      </w:r>
    </w:p>
    <w:tbl>
      <w:tblPr>
        <w:tblW w:w="5000" w:type="pct"/>
        <w:tblLook w:val="0000" w:firstRow="0" w:lastRow="0" w:firstColumn="0" w:lastColumn="0" w:noHBand="0" w:noVBand="0"/>
      </w:tblPr>
      <w:tblGrid>
        <w:gridCol w:w="5035"/>
        <w:gridCol w:w="4604"/>
      </w:tblGrid>
      <w:tr w:rsidR="001D1C48" w:rsidRPr="00C21E63" w14:paraId="677B6EAC" w14:textId="77777777" w:rsidTr="00510D7B">
        <w:tc>
          <w:tcPr>
            <w:tcW w:w="5000" w:type="pct"/>
            <w:gridSpan w:val="2"/>
          </w:tcPr>
          <w:p w14:paraId="677B6EAB" w14:textId="5E5430C4" w:rsidR="001C30A0" w:rsidRPr="00ED3A4D" w:rsidDel="001C30A0" w:rsidRDefault="001C30A0" w:rsidP="00FB378F">
            <w:pPr>
              <w:pStyle w:val="ECCBulletsLv1"/>
              <w:numPr>
                <w:ilvl w:val="0"/>
                <w:numId w:val="0"/>
              </w:numPr>
              <w:ind w:left="340" w:hanging="340"/>
              <w:rPr>
                <w:rStyle w:val="ECCParagraph"/>
              </w:rPr>
            </w:pPr>
          </w:p>
        </w:tc>
      </w:tr>
      <w:tr w:rsidR="001D1C48" w:rsidRPr="00C21E63" w14:paraId="677B6EAF" w14:textId="77777777" w:rsidTr="00FE6741">
        <w:tc>
          <w:tcPr>
            <w:tcW w:w="2612" w:type="pct"/>
          </w:tcPr>
          <w:p w14:paraId="677B6EAD" w14:textId="090B0257" w:rsidR="001C30A0" w:rsidRPr="00FE6741" w:rsidDel="001C30A0" w:rsidRDefault="001C30A0" w:rsidP="00FE6741">
            <w:r w:rsidRPr="008C6D51">
              <w:rPr>
                <w:noProof/>
              </w:rPr>
              <w:lastRenderedPageBreak/>
              <w:drawing>
                <wp:inline distT="0" distB="0" distL="0" distR="0" wp14:anchorId="677B6F57" wp14:editId="6EFE3B9A">
                  <wp:extent cx="2520000" cy="189000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uburban BS_6.7.png"/>
                          <pic:cNvPicPr/>
                        </pic:nvPicPr>
                        <pic:blipFill>
                          <a:blip r:embed="rId24">
                            <a:extLst>
                              <a:ext uri="{28A0092B-C50C-407E-A947-70E740481C1C}">
                                <a14:useLocalDpi xmlns:a14="http://schemas.microsoft.com/office/drawing/2010/main" val="0"/>
                              </a:ext>
                            </a:extLst>
                          </a:blip>
                          <a:stretch>
                            <a:fillRect/>
                          </a:stretch>
                        </pic:blipFill>
                        <pic:spPr>
                          <a:xfrm>
                            <a:off x="0" y="0"/>
                            <a:ext cx="2520000" cy="1890000"/>
                          </a:xfrm>
                          <a:prstGeom prst="rect">
                            <a:avLst/>
                          </a:prstGeom>
                        </pic:spPr>
                      </pic:pic>
                    </a:graphicData>
                  </a:graphic>
                </wp:inline>
              </w:drawing>
            </w:r>
          </w:p>
        </w:tc>
        <w:tc>
          <w:tcPr>
            <w:tcW w:w="2388" w:type="pct"/>
          </w:tcPr>
          <w:p w14:paraId="677B6EAE" w14:textId="1C7B3F02" w:rsidR="001C30A0" w:rsidRPr="00FE6741" w:rsidDel="001C30A0" w:rsidRDefault="001C30A0" w:rsidP="00FE6741">
            <w:r w:rsidRPr="008C6D51">
              <w:rPr>
                <w:noProof/>
              </w:rPr>
              <w:drawing>
                <wp:inline distT="0" distB="0" distL="0" distR="0" wp14:anchorId="677B6F59" wp14:editId="0F44AD43">
                  <wp:extent cx="2520000" cy="1890000"/>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Urban BS_6.7.png"/>
                          <pic:cNvPicPr/>
                        </pic:nvPicPr>
                        <pic:blipFill>
                          <a:blip r:embed="rId25">
                            <a:extLst>
                              <a:ext uri="{28A0092B-C50C-407E-A947-70E740481C1C}">
                                <a14:useLocalDpi xmlns:a14="http://schemas.microsoft.com/office/drawing/2010/main" val="0"/>
                              </a:ext>
                            </a:extLst>
                          </a:blip>
                          <a:stretch>
                            <a:fillRect/>
                          </a:stretch>
                        </pic:blipFill>
                        <pic:spPr>
                          <a:xfrm>
                            <a:off x="0" y="0"/>
                            <a:ext cx="2520000" cy="1890000"/>
                          </a:xfrm>
                          <a:prstGeom prst="rect">
                            <a:avLst/>
                          </a:prstGeom>
                        </pic:spPr>
                      </pic:pic>
                    </a:graphicData>
                  </a:graphic>
                </wp:inline>
              </w:drawing>
            </w:r>
          </w:p>
        </w:tc>
      </w:tr>
    </w:tbl>
    <w:p w14:paraId="677B6EB0" w14:textId="3BC77601" w:rsidR="0061256B" w:rsidRPr="00510D7B" w:rsidRDefault="00A55AE0" w:rsidP="00510D7B">
      <w:pPr>
        <w:pStyle w:val="Caption"/>
        <w:rPr>
          <w:lang w:val="en-US"/>
        </w:rPr>
      </w:pPr>
      <w:r w:rsidRPr="008A7B26">
        <w:rPr>
          <w:lang w:val="en-GB"/>
        </w:rPr>
        <w:t xml:space="preserve">Figure </w:t>
      </w:r>
      <w:r>
        <w:fldChar w:fldCharType="begin"/>
      </w:r>
      <w:r w:rsidRPr="008A7B26">
        <w:rPr>
          <w:lang w:val="en-GB"/>
        </w:rPr>
        <w:instrText xml:space="preserve"> SEQ Figure \* ARABIC </w:instrText>
      </w:r>
      <w:r>
        <w:fldChar w:fldCharType="separate"/>
      </w:r>
      <w:r w:rsidR="009464FD">
        <w:rPr>
          <w:noProof/>
          <w:lang w:val="en-GB"/>
        </w:rPr>
        <w:t>13</w:t>
      </w:r>
      <w:r>
        <w:fldChar w:fldCharType="end"/>
      </w:r>
      <w:r w:rsidR="001B1943" w:rsidRPr="008A7B26">
        <w:rPr>
          <w:lang w:val="en-GB"/>
        </w:rPr>
        <w:t xml:space="preserve">: </w:t>
      </w:r>
      <w:r w:rsidR="001B1943" w:rsidRPr="00ED3A4D">
        <w:rPr>
          <w:rStyle w:val="ECCParagraph"/>
        </w:rPr>
        <w:t>AAS BS average gain for terrestrial and aerial UE servicing (6.7% aerial UE payload)</w:t>
      </w:r>
    </w:p>
    <w:p w14:paraId="677B6EB1" w14:textId="0C6BD8B7" w:rsidR="00B822F0" w:rsidRPr="00ED3A4D" w:rsidRDefault="00B822F0" w:rsidP="00B822F0">
      <w:pPr>
        <w:pStyle w:val="ECCBulletsLv1"/>
        <w:numPr>
          <w:ilvl w:val="0"/>
          <w:numId w:val="0"/>
        </w:numPr>
        <w:rPr>
          <w:rStyle w:val="ECCParagraph"/>
        </w:rPr>
      </w:pPr>
      <w:r w:rsidRPr="00ED3A4D">
        <w:rPr>
          <w:rStyle w:val="ECCParagraph"/>
        </w:rPr>
        <w:t>The above average gain distributions consider</w:t>
      </w:r>
      <w:r w:rsidR="00BB6966" w:rsidRPr="00ED3A4D">
        <w:rPr>
          <w:rStyle w:val="ECCParagraph"/>
        </w:rPr>
        <w:t xml:space="preserve"> </w:t>
      </w:r>
      <w:r w:rsidR="0061256B" w:rsidRPr="00ED3A4D">
        <w:rPr>
          <w:rStyle w:val="ECCParagraph"/>
        </w:rPr>
        <w:t>6.7 or 33</w:t>
      </w:r>
      <w:r w:rsidRPr="00ED3A4D">
        <w:rPr>
          <w:rStyle w:val="ECCParagraph"/>
        </w:rPr>
        <w:t xml:space="preserve">% of the served UE being aerial UE. </w:t>
      </w:r>
      <w:r w:rsidR="0061256B" w:rsidRPr="00ED3A4D">
        <w:rPr>
          <w:rStyle w:val="ECCParagraph"/>
        </w:rPr>
        <w:t>For the two considered densities, o</w:t>
      </w:r>
      <w:r w:rsidRPr="00ED3A4D">
        <w:rPr>
          <w:rStyle w:val="ECCParagraph"/>
        </w:rPr>
        <w:t>ne can note that these AAS beamforming antennas present side lobes with higher gains on average and that the gain does not decrease monotonously.</w:t>
      </w:r>
    </w:p>
    <w:p w14:paraId="677B6EB2" w14:textId="1EE4EEB6" w:rsidR="00B822F0" w:rsidRPr="006B13B3" w:rsidRDefault="00B822F0" w:rsidP="00B822F0">
      <w:pPr>
        <w:pStyle w:val="ECCBulletsLv1"/>
        <w:numPr>
          <w:ilvl w:val="0"/>
          <w:numId w:val="0"/>
        </w:numPr>
        <w:rPr>
          <w:rStyle w:val="ECCParagraph"/>
        </w:rPr>
      </w:pPr>
      <w:r>
        <w:t>In order to quantify the impact of servicing aerial UE, this study will also calculate the impact of MFCN AAS and non</w:t>
      </w:r>
      <w:r w:rsidR="00AA3C7A">
        <w:t>-</w:t>
      </w:r>
      <w:r>
        <w:t xml:space="preserve">AAS BS deployment servicing only terrestrial UE. The </w:t>
      </w:r>
      <w:r w:rsidRPr="006B13B3">
        <w:rPr>
          <w:rStyle w:val="ECCParagraph"/>
        </w:rPr>
        <w:t xml:space="preserve">following average BS gains were calculated using the same methodology as above but this time considering all </w:t>
      </w:r>
      <w:r>
        <w:t>100000</w:t>
      </w:r>
      <w:r w:rsidRPr="006B13B3">
        <w:rPr>
          <w:rStyle w:val="ECCParagraph"/>
        </w:rPr>
        <w:t xml:space="preserve"> BS deployment cases to be serving terrestrial UE.</w:t>
      </w:r>
    </w:p>
    <w:p w14:paraId="677B6EB3" w14:textId="77777777" w:rsidR="00B822F0" w:rsidRPr="00B822F0" w:rsidRDefault="00B822F0" w:rsidP="00B822F0">
      <w:pPr>
        <w:pStyle w:val="ECCBulletsLv1"/>
        <w:numPr>
          <w:ilvl w:val="0"/>
          <w:numId w:val="0"/>
        </w:numPr>
        <w:rPr>
          <w:rStyle w:val="ECCHLyellow"/>
          <w:shd w:val="clear" w:color="auto" w:fill="auto"/>
        </w:rPr>
      </w:pPr>
    </w:p>
    <w:tbl>
      <w:tblPr>
        <w:tblW w:w="5000" w:type="pct"/>
        <w:tblLook w:val="0000" w:firstRow="0" w:lastRow="0" w:firstColumn="0" w:lastColumn="0" w:noHBand="0" w:noVBand="0"/>
      </w:tblPr>
      <w:tblGrid>
        <w:gridCol w:w="4833"/>
        <w:gridCol w:w="4806"/>
      </w:tblGrid>
      <w:tr w:rsidR="00B822F0" w14:paraId="677B6EB5" w14:textId="77777777" w:rsidTr="00510D7B">
        <w:tc>
          <w:tcPr>
            <w:tcW w:w="5000" w:type="pct"/>
            <w:gridSpan w:val="2"/>
          </w:tcPr>
          <w:p w14:paraId="677B6EB4" w14:textId="77777777" w:rsidR="00B822F0" w:rsidRDefault="00B822F0" w:rsidP="00646843">
            <w:pPr>
              <w:pStyle w:val="ECCBulletsLv1"/>
              <w:keepLines/>
              <w:numPr>
                <w:ilvl w:val="0"/>
                <w:numId w:val="0"/>
              </w:numPr>
            </w:pPr>
            <w:r>
              <w:t>AAS BS average gain for terrestrial servicing only</w:t>
            </w:r>
          </w:p>
        </w:tc>
      </w:tr>
      <w:tr w:rsidR="00B822F0" w14:paraId="677B6EB8" w14:textId="77777777" w:rsidTr="00510D7B">
        <w:tc>
          <w:tcPr>
            <w:tcW w:w="2507" w:type="pct"/>
          </w:tcPr>
          <w:p w14:paraId="677B6EB6" w14:textId="77777777" w:rsidR="00B822F0" w:rsidRPr="00B822F0" w:rsidRDefault="00B822F0" w:rsidP="00646843">
            <w:pPr>
              <w:pStyle w:val="ECCBulletsLv1"/>
              <w:keepLines/>
              <w:numPr>
                <w:ilvl w:val="0"/>
                <w:numId w:val="0"/>
              </w:numPr>
            </w:pPr>
            <w:r w:rsidRPr="00B822F0">
              <w:rPr>
                <w:noProof/>
                <w:lang w:val="de-DE" w:eastAsia="de-DE"/>
              </w:rPr>
              <w:drawing>
                <wp:inline distT="0" distB="0" distL="0" distR="0" wp14:anchorId="677B6F5B" wp14:editId="05078C78">
                  <wp:extent cx="2520000" cy="2163600"/>
                  <wp:effectExtent l="0" t="0" r="0" b="8255"/>
                  <wp:docPr id="28" name="Image 28" descr="C:\Users\eisenhauer\Documents\MATLAB\UEs (terrestrial and UAV) into satellite\Figures\AAS_sub_AveGain_NO_AUE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descr="C:\Users\eisenhauer\Documents\MATLAB\UEs (terrestrial and UAV) into satellite\Figures\AAS_sub_AveGain_NO_AUE_v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20000" cy="2163600"/>
                          </a:xfrm>
                          <a:prstGeom prst="rect">
                            <a:avLst/>
                          </a:prstGeom>
                          <a:noFill/>
                          <a:ln>
                            <a:noFill/>
                          </a:ln>
                        </pic:spPr>
                      </pic:pic>
                    </a:graphicData>
                  </a:graphic>
                </wp:inline>
              </w:drawing>
            </w:r>
          </w:p>
        </w:tc>
        <w:tc>
          <w:tcPr>
            <w:tcW w:w="2493" w:type="pct"/>
          </w:tcPr>
          <w:p w14:paraId="677B6EB7" w14:textId="77777777" w:rsidR="00B822F0" w:rsidRPr="00B822F0" w:rsidRDefault="00B822F0" w:rsidP="00646843">
            <w:pPr>
              <w:pStyle w:val="ECCBulletsLv1"/>
              <w:keepLines/>
              <w:numPr>
                <w:ilvl w:val="0"/>
                <w:numId w:val="0"/>
              </w:numPr>
            </w:pPr>
            <w:r w:rsidRPr="00B822F0">
              <w:rPr>
                <w:noProof/>
                <w:lang w:val="de-DE" w:eastAsia="de-DE"/>
              </w:rPr>
              <w:drawing>
                <wp:inline distT="0" distB="0" distL="0" distR="0" wp14:anchorId="677B6F5D" wp14:editId="1AA65F40">
                  <wp:extent cx="2520000" cy="2127600"/>
                  <wp:effectExtent l="0" t="0" r="0" b="6350"/>
                  <wp:docPr id="27" name="Image 27" descr="C:\Users\eisenhauer\Documents\MATLAB\UEs (terrestrial and UAV) into satellite\Figures\AAS_urb_AveGain_NO_AUE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descr="C:\Users\eisenhauer\Documents\MATLAB\UEs (terrestrial and UAV) into satellite\Figures\AAS_urb_AveGain_NO_AUE_v3.png"/>
                          <pic:cNvPicPr>
                            <a:picLocks noChangeAspect="1" noChangeArrowheads="1"/>
                          </pic:cNvPicPr>
                        </pic:nvPicPr>
                        <pic:blipFill>
                          <a:blip r:embed="rId27">
                            <a:extLst>
                              <a:ext uri="{28A0092B-C50C-407E-A947-70E740481C1C}">
                                <a14:useLocalDpi xmlns:a14="http://schemas.microsoft.com/office/drawing/2010/main" val="0"/>
                              </a:ext>
                            </a:extLst>
                          </a:blip>
                          <a:srcRect l="4869" r="7536"/>
                          <a:stretch>
                            <a:fillRect/>
                          </a:stretch>
                        </pic:blipFill>
                        <pic:spPr bwMode="auto">
                          <a:xfrm>
                            <a:off x="0" y="0"/>
                            <a:ext cx="2520000" cy="2127600"/>
                          </a:xfrm>
                          <a:prstGeom prst="rect">
                            <a:avLst/>
                          </a:prstGeom>
                          <a:noFill/>
                          <a:ln>
                            <a:noFill/>
                          </a:ln>
                        </pic:spPr>
                      </pic:pic>
                    </a:graphicData>
                  </a:graphic>
                </wp:inline>
              </w:drawing>
            </w:r>
          </w:p>
        </w:tc>
      </w:tr>
      <w:tr w:rsidR="00B822F0" w14:paraId="677B6EBA" w14:textId="77777777" w:rsidTr="00510D7B">
        <w:tc>
          <w:tcPr>
            <w:tcW w:w="5000" w:type="pct"/>
            <w:gridSpan w:val="2"/>
          </w:tcPr>
          <w:p w14:paraId="677B6EB9" w14:textId="77777777" w:rsidR="00B822F0" w:rsidRPr="00B822F0" w:rsidRDefault="00B822F0" w:rsidP="00646843">
            <w:pPr>
              <w:pStyle w:val="ECCBulletsLv1"/>
              <w:keepLines/>
              <w:numPr>
                <w:ilvl w:val="0"/>
                <w:numId w:val="0"/>
              </w:numPr>
            </w:pPr>
            <w:r>
              <w:t xml:space="preserve">Non AAS BS </w:t>
            </w:r>
            <w:r w:rsidRPr="00B822F0">
              <w:t>average gain for terrestrial servicing only</w:t>
            </w:r>
          </w:p>
        </w:tc>
      </w:tr>
      <w:tr w:rsidR="00B822F0" w14:paraId="677B6EBD" w14:textId="77777777" w:rsidTr="00510D7B">
        <w:tc>
          <w:tcPr>
            <w:tcW w:w="2507" w:type="pct"/>
          </w:tcPr>
          <w:p w14:paraId="677B6EBB" w14:textId="77777777" w:rsidR="00B822F0" w:rsidRPr="00B822F0" w:rsidRDefault="00B822F0" w:rsidP="00646843">
            <w:pPr>
              <w:pStyle w:val="ECCBulletsLv1"/>
              <w:keepLines/>
              <w:numPr>
                <w:ilvl w:val="0"/>
                <w:numId w:val="0"/>
              </w:numPr>
            </w:pPr>
            <w:r w:rsidRPr="00B822F0">
              <w:rPr>
                <w:noProof/>
                <w:lang w:val="de-DE" w:eastAsia="de-DE"/>
              </w:rPr>
              <w:drawing>
                <wp:inline distT="0" distB="0" distL="0" distR="0" wp14:anchorId="677B6F5F" wp14:editId="0F929D16">
                  <wp:extent cx="2520000" cy="2156400"/>
                  <wp:effectExtent l="0" t="0" r="0" b="0"/>
                  <wp:docPr id="26" name="Image 26" descr="C:\Users\eisenhauer\Documents\MATLAB\UEs (terrestrial and UAV) into satellite\Figures\nonAAS_sub_AveGain_NO_AUE_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C:\Users\eisenhauer\Documents\MATLAB\UEs (terrestrial and UAV) into satellite\Figures\nonAAS_sub_AveGain_NO_AUE_v4.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20000" cy="2156400"/>
                          </a:xfrm>
                          <a:prstGeom prst="rect">
                            <a:avLst/>
                          </a:prstGeom>
                          <a:noFill/>
                          <a:ln>
                            <a:noFill/>
                          </a:ln>
                        </pic:spPr>
                      </pic:pic>
                    </a:graphicData>
                  </a:graphic>
                </wp:inline>
              </w:drawing>
            </w:r>
          </w:p>
        </w:tc>
        <w:tc>
          <w:tcPr>
            <w:tcW w:w="2493" w:type="pct"/>
          </w:tcPr>
          <w:p w14:paraId="677B6EBC" w14:textId="77777777" w:rsidR="00B822F0" w:rsidRPr="00B822F0" w:rsidRDefault="00B822F0" w:rsidP="00646843">
            <w:pPr>
              <w:pStyle w:val="ECCBulletsLv1"/>
              <w:keepLines/>
              <w:numPr>
                <w:ilvl w:val="0"/>
                <w:numId w:val="0"/>
              </w:numPr>
            </w:pPr>
            <w:r w:rsidRPr="00B822F0">
              <w:rPr>
                <w:noProof/>
                <w:lang w:val="de-DE" w:eastAsia="de-DE"/>
              </w:rPr>
              <w:drawing>
                <wp:inline distT="0" distB="0" distL="0" distR="0" wp14:anchorId="677B6F61" wp14:editId="2D0C7469">
                  <wp:extent cx="2520000" cy="2163600"/>
                  <wp:effectExtent l="0" t="0" r="0" b="8255"/>
                  <wp:docPr id="25" name="Image 25" descr="C:\Users\eisenhauer\Documents\MATLAB\UEs (terrestrial and UAV) into satellite\Figures\nonAAS_urb_AveGain_NO_AUE_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descr="C:\Users\eisenhauer\Documents\MATLAB\UEs (terrestrial and UAV) into satellite\Figures\nonAAS_urb_AveGain_NO_AUE_v4.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20000" cy="2163600"/>
                          </a:xfrm>
                          <a:prstGeom prst="rect">
                            <a:avLst/>
                          </a:prstGeom>
                          <a:noFill/>
                          <a:ln>
                            <a:noFill/>
                          </a:ln>
                        </pic:spPr>
                      </pic:pic>
                    </a:graphicData>
                  </a:graphic>
                </wp:inline>
              </w:drawing>
            </w:r>
          </w:p>
        </w:tc>
      </w:tr>
    </w:tbl>
    <w:p w14:paraId="2A8D2313" w14:textId="685C8A9D" w:rsidR="00A55AE0" w:rsidRPr="00CC5618" w:rsidRDefault="00A55AE0" w:rsidP="00646843">
      <w:pPr>
        <w:pStyle w:val="Caption"/>
        <w:rPr>
          <w:rStyle w:val="ECCHLgreen"/>
        </w:rPr>
      </w:pPr>
      <w:r w:rsidRPr="008A7B26">
        <w:rPr>
          <w:lang w:val="en-GB"/>
        </w:rPr>
        <w:t xml:space="preserve">Figure </w:t>
      </w:r>
      <w:r>
        <w:rPr>
          <w:b w:val="0"/>
          <w:bCs w:val="0"/>
        </w:rPr>
        <w:fldChar w:fldCharType="begin"/>
      </w:r>
      <w:r w:rsidRPr="008A7B26">
        <w:rPr>
          <w:lang w:val="en-GB"/>
        </w:rPr>
        <w:instrText xml:space="preserve"> SEQ Figure \* ARABIC </w:instrText>
      </w:r>
      <w:r>
        <w:rPr>
          <w:b w:val="0"/>
          <w:bCs w:val="0"/>
        </w:rPr>
        <w:fldChar w:fldCharType="separate"/>
      </w:r>
      <w:r w:rsidR="009464FD">
        <w:rPr>
          <w:noProof/>
          <w:lang w:val="en-GB"/>
        </w:rPr>
        <w:t>14</w:t>
      </w:r>
      <w:r>
        <w:rPr>
          <w:b w:val="0"/>
          <w:bCs w:val="0"/>
        </w:rPr>
        <w:fldChar w:fldCharType="end"/>
      </w:r>
      <w:r w:rsidR="008E53DE" w:rsidRPr="00DB6238">
        <w:rPr>
          <w:lang w:val="en-GB"/>
        </w:rPr>
        <w:t xml:space="preserve">: </w:t>
      </w:r>
      <w:r w:rsidR="008E53DE" w:rsidRPr="00DB6238">
        <w:rPr>
          <w:rStyle w:val="ECCHLgreen"/>
          <w:shd w:val="clear" w:color="auto" w:fill="auto"/>
        </w:rPr>
        <w:t>AAS and non-AAS BS average gain for terrestrial</w:t>
      </w:r>
      <w:r w:rsidR="00BF5F34" w:rsidRPr="00DB6238">
        <w:rPr>
          <w:rStyle w:val="ECCHLgreen"/>
          <w:shd w:val="clear" w:color="auto" w:fill="auto"/>
        </w:rPr>
        <w:t xml:space="preserve"> UE</w:t>
      </w:r>
      <w:r w:rsidR="008E53DE" w:rsidRPr="00DB6238">
        <w:rPr>
          <w:rStyle w:val="ECCHLgreen"/>
          <w:shd w:val="clear" w:color="auto" w:fill="auto"/>
        </w:rPr>
        <w:t xml:space="preserve"> servicing only</w:t>
      </w:r>
    </w:p>
    <w:p w14:paraId="677B6EBE" w14:textId="370AF3AD" w:rsidR="00B822F0" w:rsidRDefault="00B822F0" w:rsidP="00B822F0">
      <w:r>
        <w:lastRenderedPageBreak/>
        <w:t>Step 6: Compute the interference level from each elemental cell, considering the number of BS deployed in each cell and making distinction between suburban and urban deployments. The following formula were used to calculate the interference per cell: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8"/>
        <w:gridCol w:w="461"/>
      </w:tblGrid>
      <w:tr w:rsidR="0050634E" w14:paraId="66C32806" w14:textId="77777777" w:rsidTr="00DA027A">
        <w:tc>
          <w:tcPr>
            <w:tcW w:w="4761" w:type="pct"/>
          </w:tcPr>
          <w:p w14:paraId="3D21F613" w14:textId="14C6B576" w:rsidR="00484EBE" w:rsidRPr="00B31FC1" w:rsidRDefault="00AF7F19" w:rsidP="00484EBE">
            <m:oMathPara>
              <m:oMath>
                <m:sSub>
                  <m:sSubPr>
                    <m:ctrlPr>
                      <w:rPr>
                        <w:rFonts w:ascii="Cambria Math" w:hAnsi="Cambria Math"/>
                      </w:rPr>
                    </m:ctrlPr>
                  </m:sSubPr>
                  <m:e>
                    <m:sSub>
                      <m:sSubPr>
                        <m:ctrlPr>
                          <w:rPr>
                            <w:rFonts w:ascii="Cambria Math" w:hAnsi="Cambria Math"/>
                          </w:rPr>
                        </m:ctrlPr>
                      </m:sSubPr>
                      <m:e>
                        <m:r>
                          <w:rPr>
                            <w:rFonts w:ascii="Cambria Math" w:hAnsi="Cambria Math"/>
                          </w:rPr>
                          <m:t>I</m:t>
                        </m:r>
                      </m:e>
                      <m:sub>
                        <m:r>
                          <w:rPr>
                            <w:rFonts w:ascii="Cambria Math" w:hAnsi="Cambria Math"/>
                          </w:rPr>
                          <m:t>sub</m:t>
                        </m:r>
                      </m:sub>
                    </m:sSub>
                  </m:e>
                  <m:sub>
                    <m:r>
                      <w:rPr>
                        <w:rFonts w:ascii="Cambria Math" w:hAnsi="Cambria Math"/>
                      </w:rPr>
                      <m:t>i</m:t>
                    </m:r>
                  </m:sub>
                </m:sSub>
                <m:r>
                  <w:rPr>
                    <w:rFonts w:ascii="Cambria Math" w:hAnsi="Cambria Math"/>
                  </w:rPr>
                  <m:t xml:space="preserve"> = </m:t>
                </m:r>
                <m:r>
                  <w:rPr>
                    <w:rFonts w:ascii="Cambria Math" w:hAnsi="Cambria Math"/>
                  </w:rPr>
                  <m:t>PSD</m:t>
                </m:r>
                <m:r>
                  <w:rPr>
                    <w:rFonts w:ascii="Cambria Math" w:hAnsi="Cambria Math"/>
                  </w:rPr>
                  <m:t xml:space="preserve"> + </m:t>
                </m:r>
                <m:sSub>
                  <m:sSubPr>
                    <m:ctrlPr>
                      <w:rPr>
                        <w:rFonts w:ascii="Cambria Math" w:hAnsi="Cambria Math"/>
                      </w:rPr>
                    </m:ctrlPr>
                  </m:sSubPr>
                  <m:e>
                    <m:r>
                      <w:rPr>
                        <w:rFonts w:ascii="Cambria Math" w:hAnsi="Cambria Math"/>
                      </w:rPr>
                      <m:t>G</m:t>
                    </m:r>
                  </m:e>
                  <m:sub>
                    <m:r>
                      <w:rPr>
                        <w:rFonts w:ascii="Cambria Math" w:hAnsi="Cambria Math"/>
                      </w:rPr>
                      <m:t>B</m:t>
                    </m:r>
                    <m:sSub>
                      <m:sSubPr>
                        <m:ctrlPr>
                          <w:rPr>
                            <w:rFonts w:ascii="Cambria Math" w:hAnsi="Cambria Math"/>
                          </w:rPr>
                        </m:ctrlPr>
                      </m:sSubPr>
                      <m:e>
                        <m:r>
                          <w:rPr>
                            <w:rFonts w:ascii="Cambria Math" w:hAnsi="Cambria Math"/>
                          </w:rPr>
                          <m:t>S</m:t>
                        </m:r>
                      </m:e>
                      <m:sub>
                        <m:r>
                          <w:rPr>
                            <w:rFonts w:ascii="Cambria Math" w:hAnsi="Cambria Math"/>
                          </w:rPr>
                          <m:t>sub</m:t>
                        </m:r>
                      </m:sub>
                    </m:sSub>
                    <m:r>
                      <w:rPr>
                        <w:rFonts w:ascii="Cambria Math" w:hAnsi="Cambria Math"/>
                      </w:rPr>
                      <m:t>→</m:t>
                    </m:r>
                    <m:r>
                      <w:rPr>
                        <w:rFonts w:ascii="Cambria Math" w:hAnsi="Cambria Math"/>
                      </w:rPr>
                      <m:t>SAT</m:t>
                    </m:r>
                  </m:sub>
                </m:sSub>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l</m:t>
                        </m:r>
                      </m:e>
                      <m:sub>
                        <m:r>
                          <w:rPr>
                            <w:rFonts w:ascii="Cambria Math" w:hAnsi="Cambria Math"/>
                          </w:rPr>
                          <m:t>i</m:t>
                        </m:r>
                      </m:sub>
                    </m:sSub>
                  </m:e>
                </m:d>
                <m:r>
                  <w:rPr>
                    <w:rFonts w:ascii="Cambria Math" w:hAnsi="Cambria Math"/>
                  </w:rPr>
                  <m:t>+ 10∙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B</m:t>
                            </m:r>
                            <m:sSub>
                              <m:sSubPr>
                                <m:ctrlPr>
                                  <w:rPr>
                                    <w:rFonts w:ascii="Cambria Math" w:hAnsi="Cambria Math"/>
                                  </w:rPr>
                                </m:ctrlPr>
                              </m:sSubPr>
                              <m:e>
                                <m:sSub>
                                  <m:sSubPr>
                                    <m:ctrlPr>
                                      <w:rPr>
                                        <w:rFonts w:ascii="Cambria Math" w:hAnsi="Cambria Math"/>
                                      </w:rPr>
                                    </m:ctrlPr>
                                  </m:sSubPr>
                                  <m:e>
                                    <m:r>
                                      <w:rPr>
                                        <w:rFonts w:ascii="Cambria Math" w:hAnsi="Cambria Math"/>
                                      </w:rPr>
                                      <m:t>S</m:t>
                                    </m:r>
                                  </m:e>
                                  <m:sub>
                                    <m:r>
                                      <w:rPr>
                                        <w:rFonts w:ascii="Cambria Math" w:hAnsi="Cambria Math"/>
                                      </w:rPr>
                                      <m:t>sub</m:t>
                                    </m:r>
                                  </m:sub>
                                </m:sSub>
                              </m:e>
                              <m:sub>
                                <m:r>
                                  <w:rPr>
                                    <w:rFonts w:ascii="Cambria Math" w:hAnsi="Cambria Math"/>
                                  </w:rPr>
                                  <m:t>i</m:t>
                                </m:r>
                              </m:sub>
                            </m:sSub>
                          </m:sub>
                        </m:sSub>
                        <m:r>
                          <w:rPr>
                            <w:rFonts w:ascii="Cambria Math" w:hAnsi="Cambria Math"/>
                          </w:rPr>
                          <m:t>∙</m:t>
                        </m:r>
                        <m:r>
                          <w:rPr>
                            <w:rFonts w:ascii="Cambria Math" w:hAnsi="Cambria Math"/>
                          </w:rPr>
                          <m:t>NLF</m:t>
                        </m:r>
                      </m:e>
                    </m:d>
                  </m:e>
                </m:func>
                <m:r>
                  <w:rPr>
                    <w:rFonts w:ascii="Cambria Math" w:hAnsi="Cambria Math"/>
                  </w:rPr>
                  <m:t xml:space="preserve"> + </m:t>
                </m:r>
                <m:sSub>
                  <m:sSubPr>
                    <m:ctrlPr>
                      <w:rPr>
                        <w:rFonts w:ascii="Cambria Math" w:hAnsi="Cambria Math"/>
                      </w:rPr>
                    </m:ctrlPr>
                  </m:sSubPr>
                  <m:e>
                    <m:r>
                      <w:rPr>
                        <w:rFonts w:ascii="Cambria Math" w:hAnsi="Cambria Math"/>
                      </w:rPr>
                      <m:t>G</m:t>
                    </m:r>
                  </m:e>
                  <m:sub>
                    <m:r>
                      <w:rPr>
                        <w:rFonts w:ascii="Cambria Math" w:hAnsi="Cambria Math"/>
                      </w:rPr>
                      <m:t>SA</m:t>
                    </m:r>
                    <m:sSub>
                      <m:sSubPr>
                        <m:ctrlPr>
                          <w:rPr>
                            <w:rFonts w:ascii="Cambria Math" w:hAnsi="Cambria Math"/>
                          </w:rPr>
                        </m:ctrlPr>
                      </m:sSubPr>
                      <m:e>
                        <m:r>
                          <w:rPr>
                            <w:rFonts w:ascii="Cambria Math" w:hAnsi="Cambria Math"/>
                          </w:rPr>
                          <m:t>T</m:t>
                        </m:r>
                      </m:e>
                      <m:sub>
                        <m:r>
                          <w:rPr>
                            <w:rFonts w:ascii="Cambria Math" w:hAnsi="Cambria Math"/>
                          </w:rPr>
                          <m:t>i</m:t>
                        </m:r>
                      </m:sub>
                    </m:sSub>
                  </m:sub>
                </m:sSub>
                <m:r>
                  <w:rPr>
                    <w:rFonts w:ascii="Cambria Math" w:hAnsi="Cambria Math"/>
                  </w:rPr>
                  <m:t xml:space="preserve"> - </m:t>
                </m:r>
                <m:sSub>
                  <m:sSubPr>
                    <m:ctrlPr>
                      <w:rPr>
                        <w:rFonts w:ascii="Cambria Math" w:hAnsi="Cambria Math"/>
                      </w:rPr>
                    </m:ctrlPr>
                  </m:sSubPr>
                  <m:e>
                    <m:r>
                      <w:rPr>
                        <w:rFonts w:ascii="Cambria Math" w:hAnsi="Cambria Math"/>
                      </w:rPr>
                      <m:t>FSL</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P</m:t>
                    </m:r>
                  </m:e>
                  <m:sub>
                    <m:r>
                      <w:rPr>
                        <w:rFonts w:ascii="Cambria Math" w:hAnsi="Cambria Math"/>
                      </w:rPr>
                      <m:t>L</m:t>
                    </m:r>
                  </m:sub>
                </m:sSub>
              </m:oMath>
            </m:oMathPara>
          </w:p>
          <w:p w14:paraId="5AEA06ED" w14:textId="77777777" w:rsidR="00484EBE" w:rsidRPr="0039559B" w:rsidRDefault="00AF7F19" w:rsidP="00484EBE">
            <m:oMathPara>
              <m:oMath>
                <m:sSub>
                  <m:sSubPr>
                    <m:ctrlPr>
                      <w:rPr>
                        <w:rFonts w:ascii="Cambria Math" w:hAnsi="Cambria Math"/>
                      </w:rPr>
                    </m:ctrlPr>
                  </m:sSubPr>
                  <m:e>
                    <m:sSub>
                      <m:sSubPr>
                        <m:ctrlPr>
                          <w:rPr>
                            <w:rFonts w:ascii="Cambria Math" w:hAnsi="Cambria Math"/>
                          </w:rPr>
                        </m:ctrlPr>
                      </m:sSubPr>
                      <m:e>
                        <m:r>
                          <w:rPr>
                            <w:rFonts w:ascii="Cambria Math" w:hAnsi="Cambria Math"/>
                          </w:rPr>
                          <m:t>I</m:t>
                        </m:r>
                      </m:e>
                      <m:sub>
                        <m:r>
                          <w:rPr>
                            <w:rFonts w:ascii="Cambria Math" w:hAnsi="Cambria Math"/>
                          </w:rPr>
                          <m:t>urb</m:t>
                        </m:r>
                      </m:sub>
                    </m:sSub>
                  </m:e>
                  <m:sub>
                    <m:r>
                      <w:rPr>
                        <w:rFonts w:ascii="Cambria Math" w:hAnsi="Cambria Math"/>
                      </w:rPr>
                      <m:t>i</m:t>
                    </m:r>
                  </m:sub>
                </m:sSub>
                <m:r>
                  <w:rPr>
                    <w:rFonts w:ascii="Cambria Math" w:hAnsi="Cambria Math"/>
                  </w:rPr>
                  <m:t xml:space="preserve"> = </m:t>
                </m:r>
                <m:r>
                  <w:rPr>
                    <w:rFonts w:ascii="Cambria Math" w:hAnsi="Cambria Math"/>
                  </w:rPr>
                  <m:t>PSD</m:t>
                </m:r>
                <m:r>
                  <w:rPr>
                    <w:rFonts w:ascii="Cambria Math" w:hAnsi="Cambria Math"/>
                  </w:rPr>
                  <m:t xml:space="preserve"> + </m:t>
                </m:r>
                <m:sSub>
                  <m:sSubPr>
                    <m:ctrlPr>
                      <w:rPr>
                        <w:rFonts w:ascii="Cambria Math" w:hAnsi="Cambria Math"/>
                      </w:rPr>
                    </m:ctrlPr>
                  </m:sSubPr>
                  <m:e>
                    <m:r>
                      <w:rPr>
                        <w:rFonts w:ascii="Cambria Math" w:hAnsi="Cambria Math"/>
                      </w:rPr>
                      <m:t>G</m:t>
                    </m:r>
                  </m:e>
                  <m:sub>
                    <m:r>
                      <w:rPr>
                        <w:rFonts w:ascii="Cambria Math" w:hAnsi="Cambria Math"/>
                      </w:rPr>
                      <m:t>B</m:t>
                    </m:r>
                    <m:sSub>
                      <m:sSubPr>
                        <m:ctrlPr>
                          <w:rPr>
                            <w:rFonts w:ascii="Cambria Math" w:hAnsi="Cambria Math"/>
                          </w:rPr>
                        </m:ctrlPr>
                      </m:sSubPr>
                      <m:e>
                        <m:r>
                          <w:rPr>
                            <w:rFonts w:ascii="Cambria Math" w:hAnsi="Cambria Math"/>
                          </w:rPr>
                          <m:t>S</m:t>
                        </m:r>
                      </m:e>
                      <m:sub>
                        <m:r>
                          <w:rPr>
                            <w:rFonts w:ascii="Cambria Math" w:hAnsi="Cambria Math"/>
                          </w:rPr>
                          <m:t>urb</m:t>
                        </m:r>
                      </m:sub>
                    </m:sSub>
                    <m:r>
                      <w:rPr>
                        <w:rFonts w:ascii="Cambria Math" w:hAnsi="Cambria Math"/>
                      </w:rPr>
                      <m:t>→</m:t>
                    </m:r>
                    <m:r>
                      <w:rPr>
                        <w:rFonts w:ascii="Cambria Math" w:hAnsi="Cambria Math"/>
                      </w:rPr>
                      <m:t>SAT</m:t>
                    </m:r>
                  </m:sub>
                </m:sSub>
                <m:r>
                  <w:rPr>
                    <w:rFonts w:ascii="Cambria Math" w:hAnsi="Cambria Math"/>
                  </w:rPr>
                  <m:t>(</m:t>
                </m:r>
                <m:r>
                  <w:rPr>
                    <w:rFonts w:ascii="Cambria Math" w:hAnsi="Cambria Math"/>
                  </w:rPr>
                  <m:t>e</m:t>
                </m:r>
                <m:sSub>
                  <m:sSubPr>
                    <m:ctrlPr>
                      <w:rPr>
                        <w:rFonts w:ascii="Cambria Math" w:hAnsi="Cambria Math"/>
                      </w:rPr>
                    </m:ctrlPr>
                  </m:sSubPr>
                  <m:e>
                    <m:r>
                      <w:rPr>
                        <w:rFonts w:ascii="Cambria Math" w:hAnsi="Cambria Math"/>
                      </w:rPr>
                      <m:t>l</m:t>
                    </m:r>
                  </m:e>
                  <m:sub>
                    <m:r>
                      <w:rPr>
                        <w:rFonts w:ascii="Cambria Math" w:hAnsi="Cambria Math"/>
                      </w:rPr>
                      <m:t>i</m:t>
                    </m:r>
                  </m:sub>
                </m:sSub>
                <m:r>
                  <w:rPr>
                    <w:rFonts w:ascii="Cambria Math" w:hAnsi="Cambria Math"/>
                  </w:rPr>
                  <m:t>) + 10∙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B</m:t>
                            </m:r>
                            <m:sSub>
                              <m:sSubPr>
                                <m:ctrlPr>
                                  <w:rPr>
                                    <w:rFonts w:ascii="Cambria Math" w:hAnsi="Cambria Math"/>
                                  </w:rPr>
                                </m:ctrlPr>
                              </m:sSubPr>
                              <m:e>
                                <m:sSub>
                                  <m:sSubPr>
                                    <m:ctrlPr>
                                      <w:rPr>
                                        <w:rFonts w:ascii="Cambria Math" w:hAnsi="Cambria Math"/>
                                      </w:rPr>
                                    </m:ctrlPr>
                                  </m:sSubPr>
                                  <m:e>
                                    <m:r>
                                      <w:rPr>
                                        <w:rFonts w:ascii="Cambria Math" w:hAnsi="Cambria Math"/>
                                      </w:rPr>
                                      <m:t>S</m:t>
                                    </m:r>
                                  </m:e>
                                  <m:sub>
                                    <m:r>
                                      <w:rPr>
                                        <w:rFonts w:ascii="Cambria Math" w:hAnsi="Cambria Math"/>
                                      </w:rPr>
                                      <m:t>urb</m:t>
                                    </m:r>
                                  </m:sub>
                                </m:sSub>
                              </m:e>
                              <m:sub>
                                <m:r>
                                  <w:rPr>
                                    <w:rFonts w:ascii="Cambria Math" w:hAnsi="Cambria Math"/>
                                  </w:rPr>
                                  <m:t>i</m:t>
                                </m:r>
                              </m:sub>
                            </m:sSub>
                          </m:sub>
                        </m:sSub>
                        <m:r>
                          <w:rPr>
                            <w:rFonts w:ascii="Cambria Math" w:hAnsi="Cambria Math"/>
                          </w:rPr>
                          <m:t>∙</m:t>
                        </m:r>
                        <m:r>
                          <w:rPr>
                            <w:rFonts w:ascii="Cambria Math" w:hAnsi="Cambria Math"/>
                          </w:rPr>
                          <m:t>NLF</m:t>
                        </m:r>
                      </m:e>
                    </m:d>
                  </m:e>
                </m:func>
                <m:r>
                  <w:rPr>
                    <w:rFonts w:ascii="Cambria Math" w:hAnsi="Cambria Math"/>
                  </w:rPr>
                  <m:t xml:space="preserve"> + </m:t>
                </m:r>
                <m:sSub>
                  <m:sSubPr>
                    <m:ctrlPr>
                      <w:rPr>
                        <w:rFonts w:ascii="Cambria Math" w:hAnsi="Cambria Math"/>
                      </w:rPr>
                    </m:ctrlPr>
                  </m:sSubPr>
                  <m:e>
                    <m:r>
                      <w:rPr>
                        <w:rFonts w:ascii="Cambria Math" w:hAnsi="Cambria Math"/>
                      </w:rPr>
                      <m:t>G</m:t>
                    </m:r>
                  </m:e>
                  <m:sub>
                    <m:r>
                      <w:rPr>
                        <w:rFonts w:ascii="Cambria Math" w:hAnsi="Cambria Math"/>
                      </w:rPr>
                      <m:t>SA</m:t>
                    </m:r>
                    <m:sSub>
                      <m:sSubPr>
                        <m:ctrlPr>
                          <w:rPr>
                            <w:rFonts w:ascii="Cambria Math" w:hAnsi="Cambria Math"/>
                          </w:rPr>
                        </m:ctrlPr>
                      </m:sSubPr>
                      <m:e>
                        <m:r>
                          <w:rPr>
                            <w:rFonts w:ascii="Cambria Math" w:hAnsi="Cambria Math"/>
                          </w:rPr>
                          <m:t>T</m:t>
                        </m:r>
                      </m:e>
                      <m:sub>
                        <m:r>
                          <w:rPr>
                            <w:rFonts w:ascii="Cambria Math" w:hAnsi="Cambria Math"/>
                          </w:rPr>
                          <m:t>i</m:t>
                        </m:r>
                      </m:sub>
                    </m:sSub>
                  </m:sub>
                </m:sSub>
                <m:r>
                  <w:rPr>
                    <w:rFonts w:ascii="Cambria Math" w:hAnsi="Cambria Math"/>
                  </w:rPr>
                  <m:t xml:space="preserve"> - </m:t>
                </m:r>
                <m:sSub>
                  <m:sSubPr>
                    <m:ctrlPr>
                      <w:rPr>
                        <w:rFonts w:ascii="Cambria Math" w:hAnsi="Cambria Math"/>
                      </w:rPr>
                    </m:ctrlPr>
                  </m:sSubPr>
                  <m:e>
                    <m:r>
                      <w:rPr>
                        <w:rFonts w:ascii="Cambria Math" w:hAnsi="Cambria Math"/>
                      </w:rPr>
                      <m:t>FSL</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P</m:t>
                    </m:r>
                  </m:e>
                  <m:sub>
                    <m:r>
                      <w:rPr>
                        <w:rFonts w:ascii="Cambria Math" w:hAnsi="Cambria Math"/>
                      </w:rPr>
                      <m:t>L</m:t>
                    </m:r>
                  </m:sub>
                </m:sSub>
              </m:oMath>
            </m:oMathPara>
          </w:p>
          <w:p w14:paraId="666FDD49" w14:textId="7A8A0B5B" w:rsidR="0050634E" w:rsidRPr="00144C97" w:rsidRDefault="00AF7F19" w:rsidP="00D443CB">
            <w:pPr>
              <w:spacing w:before="120" w:after="60"/>
              <w:rPr>
                <w:rStyle w:val="ECCParagraph"/>
                <w:rFonts w:eastAsiaTheme="minorEastAsia" w:cstheme="minorBidi"/>
                <w:lang w:eastAsia="da-DK"/>
              </w:rPr>
            </w:pPr>
            <m:oMathPara>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 xml:space="preserve"> =10∙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rPr>
                        </m:ctrlPr>
                      </m:dPr>
                      <m:e>
                        <m:sSup>
                          <m:sSupPr>
                            <m:ctrlPr>
                              <w:rPr>
                                <w:rFonts w:ascii="Cambria Math" w:hAnsi="Cambria Math"/>
                              </w:rPr>
                            </m:ctrlPr>
                          </m:sSupPr>
                          <m:e>
                            <m:r>
                              <w:rPr>
                                <w:rFonts w:ascii="Cambria Math" w:hAnsi="Cambria Math"/>
                              </w:rPr>
                              <m:t>10</m:t>
                            </m:r>
                          </m:e>
                          <m:sup>
                            <m:f>
                              <m:fPr>
                                <m:type m:val="lin"/>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w:rPr>
                                            <w:rFonts w:ascii="Cambria Math" w:hAnsi="Cambria Math"/>
                                          </w:rPr>
                                          <m:t>I</m:t>
                                        </m:r>
                                      </m:e>
                                      <m:sub>
                                        <m:r>
                                          <w:rPr>
                                            <w:rFonts w:ascii="Cambria Math" w:hAnsi="Cambria Math"/>
                                          </w:rPr>
                                          <m:t>sub</m:t>
                                        </m:r>
                                      </m:sub>
                                    </m:sSub>
                                  </m:e>
                                  <m:sub>
                                    <m:r>
                                      <w:rPr>
                                        <w:rFonts w:ascii="Cambria Math" w:hAnsi="Cambria Math"/>
                                      </w:rPr>
                                      <m:t>i</m:t>
                                    </m:r>
                                  </m:sub>
                                </m:sSub>
                              </m:num>
                              <m:den>
                                <m:r>
                                  <w:rPr>
                                    <w:rFonts w:ascii="Cambria Math" w:hAnsi="Cambria Math"/>
                                  </w:rPr>
                                  <m:t>10</m:t>
                                </m:r>
                              </m:den>
                            </m:f>
                          </m:sup>
                        </m:sSup>
                        <m:r>
                          <w:rPr>
                            <w:rFonts w:ascii="Cambria Math" w:hAnsi="Cambria Math"/>
                          </w:rPr>
                          <m:t>+</m:t>
                        </m:r>
                        <m:sSup>
                          <m:sSupPr>
                            <m:ctrlPr>
                              <w:rPr>
                                <w:rFonts w:ascii="Cambria Math" w:hAnsi="Cambria Math"/>
                              </w:rPr>
                            </m:ctrlPr>
                          </m:sSupPr>
                          <m:e>
                            <m:r>
                              <w:rPr>
                                <w:rFonts w:ascii="Cambria Math" w:hAnsi="Cambria Math"/>
                              </w:rPr>
                              <m:t>10</m:t>
                            </m:r>
                          </m:e>
                          <m:sup>
                            <m:f>
                              <m:fPr>
                                <m:type m:val="lin"/>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w:rPr>
                                            <w:rFonts w:ascii="Cambria Math" w:hAnsi="Cambria Math"/>
                                          </w:rPr>
                                          <m:t>I</m:t>
                                        </m:r>
                                      </m:e>
                                      <m:sub>
                                        <m:r>
                                          <w:rPr>
                                            <w:rFonts w:ascii="Cambria Math" w:hAnsi="Cambria Math"/>
                                          </w:rPr>
                                          <m:t>urb</m:t>
                                        </m:r>
                                      </m:sub>
                                    </m:sSub>
                                  </m:e>
                                  <m:sub>
                                    <m:r>
                                      <w:rPr>
                                        <w:rFonts w:ascii="Cambria Math" w:hAnsi="Cambria Math"/>
                                      </w:rPr>
                                      <m:t>i</m:t>
                                    </m:r>
                                  </m:sub>
                                </m:sSub>
                              </m:num>
                              <m:den>
                                <m:r>
                                  <w:rPr>
                                    <w:rFonts w:ascii="Cambria Math" w:hAnsi="Cambria Math"/>
                                  </w:rPr>
                                  <m:t>10</m:t>
                                </m:r>
                              </m:den>
                            </m:f>
                          </m:sup>
                        </m:sSup>
                      </m:e>
                    </m:d>
                  </m:e>
                </m:func>
              </m:oMath>
            </m:oMathPara>
          </w:p>
        </w:tc>
        <w:tc>
          <w:tcPr>
            <w:tcW w:w="239" w:type="pct"/>
          </w:tcPr>
          <w:p w14:paraId="6C893500" w14:textId="05DE948F" w:rsidR="0050634E" w:rsidRDefault="0050634E" w:rsidP="00D443CB">
            <w:pPr>
              <w:spacing w:before="120" w:after="60"/>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9464FD">
              <w:rPr>
                <w:noProof/>
              </w:rPr>
              <w:t>5</w:t>
            </w:r>
            <w:r>
              <w:fldChar w:fldCharType="end"/>
            </w:r>
            <w:r>
              <w:t>)</w:t>
            </w:r>
          </w:p>
        </w:tc>
      </w:tr>
    </w:tbl>
    <w:p w14:paraId="677B6EC2" w14:textId="77777777" w:rsidR="00B822F0" w:rsidRDefault="00B822F0" w:rsidP="00B822F0">
      <w:r>
        <w:t>With:</w:t>
      </w:r>
    </w:p>
    <w:p w14:paraId="677B6EC3" w14:textId="77777777" w:rsidR="00B822F0" w:rsidRDefault="00AF7F19" w:rsidP="00B822F0">
      <w:pPr>
        <w:pStyle w:val="ECCBulletsLv1"/>
      </w:pPr>
      <m:oMath>
        <m:sSub>
          <m:sSubPr>
            <m:ctrlPr>
              <w:rPr>
                <w:rFonts w:ascii="Cambria Math" w:hAnsi="Cambria Math"/>
              </w:rPr>
            </m:ctrlPr>
          </m:sSubPr>
          <m:e>
            <m:sSub>
              <m:sSubPr>
                <m:ctrlPr>
                  <w:rPr>
                    <w:rFonts w:ascii="Cambria Math" w:hAnsi="Cambria Math"/>
                  </w:rPr>
                </m:ctrlPr>
              </m:sSubPr>
              <m:e>
                <m:r>
                  <w:rPr>
                    <w:rFonts w:ascii="Cambria Math" w:hAnsi="Cambria Math"/>
                  </w:rPr>
                  <m:t>I</m:t>
                </m:r>
              </m:e>
              <m:sub>
                <m:r>
                  <w:rPr>
                    <w:rFonts w:ascii="Cambria Math" w:hAnsi="Cambria Math"/>
                  </w:rPr>
                  <m:t>sub</m:t>
                </m:r>
                <m:r>
                  <w:rPr>
                    <w:rFonts w:ascii="Cambria Math" w:hAnsi="Cambria Math"/>
                  </w:rPr>
                  <m:t>/</m:t>
                </m:r>
                <m:r>
                  <w:rPr>
                    <w:rFonts w:ascii="Cambria Math" w:hAnsi="Cambria Math"/>
                  </w:rPr>
                  <m:t>urb</m:t>
                </m:r>
              </m:sub>
            </m:sSub>
          </m:e>
          <m:sub>
            <m:r>
              <w:rPr>
                <w:rFonts w:ascii="Cambria Math" w:hAnsi="Cambria Math"/>
              </w:rPr>
              <m:t>i</m:t>
            </m:r>
          </m:sub>
        </m:sSub>
      </m:oMath>
      <w:r w:rsidR="00B822F0">
        <w:t xml:space="preserve"> the interference from suburban/urban AAS in the cell;</w:t>
      </w:r>
    </w:p>
    <w:p w14:paraId="677B6EC4" w14:textId="77777777" w:rsidR="00B822F0" w:rsidRDefault="00AF7F19" w:rsidP="00B822F0">
      <w:pPr>
        <w:pStyle w:val="ECCBulletsLv1"/>
      </w:pPr>
      <m:oMath>
        <m:sSub>
          <m:sSubPr>
            <m:ctrlPr>
              <w:rPr>
                <w:rFonts w:ascii="Cambria Math" w:hAnsi="Cambria Math"/>
              </w:rPr>
            </m:ctrlPr>
          </m:sSubPr>
          <m:e>
            <m:r>
              <w:rPr>
                <w:rFonts w:ascii="Cambria Math" w:hAnsi="Cambria Math"/>
              </w:rPr>
              <m:t>I</m:t>
            </m:r>
          </m:e>
          <m:sub>
            <m:r>
              <w:rPr>
                <w:rFonts w:ascii="Cambria Math" w:hAnsi="Cambria Math"/>
              </w:rPr>
              <m:t>i</m:t>
            </m:r>
          </m:sub>
        </m:sSub>
      </m:oMath>
      <w:r w:rsidR="00B822F0">
        <w:t xml:space="preserve"> the total interference of cell i in dBW/Hz;</w:t>
      </w:r>
    </w:p>
    <w:p w14:paraId="677B6EC5" w14:textId="397B3408" w:rsidR="00B822F0" w:rsidRDefault="00B822F0" w:rsidP="00B822F0">
      <w:pPr>
        <w:pStyle w:val="ECCBulletsLv1"/>
      </w:pPr>
      <m:oMath>
        <m:r>
          <w:rPr>
            <w:rFonts w:ascii="Cambria Math" w:hAnsi="Cambria Math"/>
          </w:rPr>
          <m:t>PSD</m:t>
        </m:r>
      </m:oMath>
      <w:r>
        <w:t>: Power spectral density of the BS in dBW/Hz</w:t>
      </w:r>
      <w:r w:rsidR="003001A0">
        <w:t>;</w:t>
      </w:r>
    </w:p>
    <w:p w14:paraId="677B6EC6" w14:textId="77777777" w:rsidR="00B822F0" w:rsidRDefault="00AF7F19" w:rsidP="00B822F0">
      <w:pPr>
        <w:pStyle w:val="ECCBulletsLv1"/>
      </w:pPr>
      <m:oMath>
        <m:sSub>
          <m:sSubPr>
            <m:ctrlPr>
              <w:rPr>
                <w:rFonts w:ascii="Cambria Math" w:hAnsi="Cambria Math"/>
              </w:rPr>
            </m:ctrlPr>
          </m:sSubPr>
          <m:e>
            <m:r>
              <w:rPr>
                <w:rFonts w:ascii="Cambria Math" w:hAnsi="Cambria Math"/>
              </w:rPr>
              <m:t>G</m:t>
            </m:r>
          </m:e>
          <m:sub>
            <m:r>
              <w:rPr>
                <w:rFonts w:ascii="Cambria Math" w:hAnsi="Cambria Math"/>
              </w:rPr>
              <m:t>BS</m:t>
            </m:r>
            <m:r>
              <w:rPr>
                <w:rFonts w:ascii="Cambria Math" w:hAnsi="Cambria Math"/>
              </w:rPr>
              <m:t>→</m:t>
            </m:r>
            <m:r>
              <w:rPr>
                <w:rFonts w:ascii="Cambria Math" w:hAnsi="Cambria Math"/>
              </w:rPr>
              <m:t>SAT</m:t>
            </m:r>
          </m:sub>
        </m:sSub>
        <m:r>
          <w:rPr>
            <w:rFonts w:ascii="Cambria Math" w:hAnsi="Cambria Math"/>
          </w:rPr>
          <m:t>(</m:t>
        </m:r>
        <m:r>
          <w:rPr>
            <w:rFonts w:ascii="Cambria Math" w:hAnsi="Cambria Math"/>
          </w:rPr>
          <m:t>e</m:t>
        </m:r>
        <m:sSub>
          <m:sSubPr>
            <m:ctrlPr>
              <w:rPr>
                <w:rFonts w:ascii="Cambria Math" w:hAnsi="Cambria Math"/>
              </w:rPr>
            </m:ctrlPr>
          </m:sSubPr>
          <m:e>
            <m:r>
              <w:rPr>
                <w:rFonts w:ascii="Cambria Math" w:hAnsi="Cambria Math"/>
              </w:rPr>
              <m:t>l</m:t>
            </m:r>
          </m:e>
          <m:sub>
            <m:r>
              <w:rPr>
                <w:rFonts w:ascii="Cambria Math" w:hAnsi="Cambria Math"/>
              </w:rPr>
              <m:t>i</m:t>
            </m:r>
          </m:sub>
        </m:sSub>
        <m:r>
          <w:rPr>
            <w:rFonts w:ascii="Cambria Math" w:hAnsi="Cambria Math"/>
          </w:rPr>
          <m:t>)</m:t>
        </m:r>
      </m:oMath>
      <w:r w:rsidR="00B822F0">
        <w:t xml:space="preserve"> the average BS gain of cell i towards the satellite receiver seen at the elevation </w:t>
      </w:r>
      <m:oMath>
        <m:r>
          <w:rPr>
            <w:rFonts w:ascii="Cambria Math" w:hAnsi="Cambria Math"/>
          </w:rPr>
          <m:t>e</m:t>
        </m:r>
        <m:sSub>
          <m:sSubPr>
            <m:ctrlPr>
              <w:rPr>
                <w:rFonts w:ascii="Cambria Math" w:hAnsi="Cambria Math"/>
              </w:rPr>
            </m:ctrlPr>
          </m:sSubPr>
          <m:e>
            <m:r>
              <w:rPr>
                <w:rFonts w:ascii="Cambria Math" w:hAnsi="Cambria Math"/>
              </w:rPr>
              <m:t>l</m:t>
            </m:r>
          </m:e>
          <m:sub>
            <m:r>
              <w:rPr>
                <w:rFonts w:ascii="Cambria Math" w:hAnsi="Cambria Math"/>
              </w:rPr>
              <m:t>i</m:t>
            </m:r>
          </m:sub>
        </m:sSub>
      </m:oMath>
      <w:r w:rsidR="00B822F0">
        <w:t>;</w:t>
      </w:r>
    </w:p>
    <w:p w14:paraId="677B6EC7" w14:textId="77777777" w:rsidR="00B822F0" w:rsidRDefault="00AF7F19" w:rsidP="00B822F0">
      <w:pPr>
        <w:pStyle w:val="ECCBulletsLv1"/>
      </w:pPr>
      <m:oMath>
        <m:sSub>
          <m:sSubPr>
            <m:ctrlPr>
              <w:rPr>
                <w:rFonts w:ascii="Cambria Math" w:hAnsi="Cambria Math"/>
              </w:rPr>
            </m:ctrlPr>
          </m:sSubPr>
          <m:e>
            <m:r>
              <w:rPr>
                <w:rFonts w:ascii="Cambria Math" w:hAnsi="Cambria Math"/>
              </w:rPr>
              <m:t>N</m:t>
            </m:r>
          </m:e>
          <m:sub>
            <m:r>
              <w:rPr>
                <w:rFonts w:ascii="Cambria Math" w:hAnsi="Cambria Math"/>
              </w:rPr>
              <m:t>B</m:t>
            </m:r>
            <m:sSub>
              <m:sSubPr>
                <m:ctrlPr>
                  <w:rPr>
                    <w:rFonts w:ascii="Cambria Math" w:hAnsi="Cambria Math"/>
                  </w:rPr>
                </m:ctrlPr>
              </m:sSubPr>
              <m:e>
                <m:sSub>
                  <m:sSubPr>
                    <m:ctrlPr>
                      <w:rPr>
                        <w:rFonts w:ascii="Cambria Math" w:hAnsi="Cambria Math"/>
                      </w:rPr>
                    </m:ctrlPr>
                  </m:sSubPr>
                  <m:e>
                    <m:r>
                      <w:rPr>
                        <w:rFonts w:ascii="Cambria Math" w:hAnsi="Cambria Math"/>
                      </w:rPr>
                      <m:t>S</m:t>
                    </m:r>
                  </m:e>
                  <m:sub>
                    <m:r>
                      <w:rPr>
                        <w:rFonts w:ascii="Cambria Math" w:hAnsi="Cambria Math"/>
                      </w:rPr>
                      <m:t>sub</m:t>
                    </m:r>
                    <m:r>
                      <w:rPr>
                        <w:rFonts w:ascii="Cambria Math" w:hAnsi="Cambria Math"/>
                      </w:rPr>
                      <m:t>/</m:t>
                    </m:r>
                    <m:r>
                      <w:rPr>
                        <w:rFonts w:ascii="Cambria Math" w:hAnsi="Cambria Math"/>
                      </w:rPr>
                      <m:t>urb</m:t>
                    </m:r>
                  </m:sub>
                </m:sSub>
              </m:e>
              <m:sub>
                <m:r>
                  <w:rPr>
                    <w:rFonts w:ascii="Cambria Math" w:hAnsi="Cambria Math"/>
                  </w:rPr>
                  <m:t>i</m:t>
                </m:r>
              </m:sub>
            </m:sSub>
          </m:sub>
        </m:sSub>
      </m:oMath>
      <w:r w:rsidR="00B822F0">
        <w:t xml:space="preserve"> the number of BS (suburban or urban) for cell i;</w:t>
      </w:r>
    </w:p>
    <w:p w14:paraId="677B6EC8" w14:textId="62AE4171" w:rsidR="00B822F0" w:rsidRPr="00F55183" w:rsidRDefault="00AF7F19" w:rsidP="00B822F0">
      <w:pPr>
        <w:pStyle w:val="ECCBulletsLv1"/>
        <w:rPr>
          <w:rStyle w:val="ECCParagraph"/>
        </w:rPr>
      </w:pPr>
      <m:oMath>
        <m:sSub>
          <m:sSubPr>
            <m:ctrlPr>
              <w:rPr>
                <w:rFonts w:ascii="Cambria Math" w:hAnsi="Cambria Math"/>
              </w:rPr>
            </m:ctrlPr>
          </m:sSubPr>
          <m:e>
            <m:r>
              <w:rPr>
                <w:rFonts w:ascii="Cambria Math" w:hAnsi="Cambria Math"/>
              </w:rPr>
              <m:t>G</m:t>
            </m:r>
          </m:e>
          <m:sub>
            <m:r>
              <w:rPr>
                <w:rFonts w:ascii="Cambria Math" w:hAnsi="Cambria Math"/>
              </w:rPr>
              <m:t>SA</m:t>
            </m:r>
            <m:sSub>
              <m:sSubPr>
                <m:ctrlPr>
                  <w:rPr>
                    <w:rFonts w:ascii="Cambria Math" w:hAnsi="Cambria Math"/>
                  </w:rPr>
                </m:ctrlPr>
              </m:sSubPr>
              <m:e>
                <m:r>
                  <w:rPr>
                    <w:rFonts w:ascii="Cambria Math" w:hAnsi="Cambria Math"/>
                  </w:rPr>
                  <m:t>T</m:t>
                </m:r>
              </m:e>
              <m:sub>
                <m:r>
                  <w:rPr>
                    <w:rFonts w:ascii="Cambria Math" w:hAnsi="Cambria Math"/>
                  </w:rPr>
                  <m:t>i</m:t>
                </m:r>
              </m:sub>
            </m:sSub>
          </m:sub>
        </m:sSub>
      </m:oMath>
      <w:r w:rsidR="00B822F0">
        <w:t xml:space="preserve">the gain of the satellite receiver towards cell i, taken here </w:t>
      </w:r>
      <w:r w:rsidR="00B822F0" w:rsidRPr="00F55183">
        <w:rPr>
          <w:rStyle w:val="ECCParagraph"/>
        </w:rPr>
        <w:t xml:space="preserve">as </w:t>
      </w:r>
      <w:r w:rsidR="00B822F0" w:rsidRPr="00526312">
        <w:rPr>
          <w:rStyle w:val="ECCParagraph"/>
        </w:rPr>
        <w:t>0</w:t>
      </w:r>
      <w:r w:rsidR="00BF5F34" w:rsidRPr="00526312">
        <w:rPr>
          <w:rStyle w:val="ECCParagraph"/>
        </w:rPr>
        <w:t xml:space="preserve"> </w:t>
      </w:r>
      <w:r w:rsidR="00B822F0" w:rsidRPr="00526312">
        <w:rPr>
          <w:rStyle w:val="ECCParagraph"/>
        </w:rPr>
        <w:t>dBi</w:t>
      </w:r>
      <w:r w:rsidR="00B822F0" w:rsidRPr="00F55183">
        <w:rPr>
          <w:rStyle w:val="ECCParagraph"/>
        </w:rPr>
        <w:t xml:space="preserve"> since assumed to be an isotropic antenna;</w:t>
      </w:r>
    </w:p>
    <w:p w14:paraId="677B6EC9" w14:textId="77777777" w:rsidR="00B822F0" w:rsidRPr="006335F3" w:rsidRDefault="00AF7F19" w:rsidP="00B822F0">
      <w:pPr>
        <w:pStyle w:val="ECCBulletsLv1"/>
        <w:rPr>
          <w:rStyle w:val="ECCParagraph"/>
        </w:rPr>
      </w:pPr>
      <m:oMath>
        <m:sSub>
          <m:sSubPr>
            <m:ctrlPr>
              <w:rPr>
                <w:rStyle w:val="ECCParagraph"/>
                <w:rFonts w:ascii="Cambria Math" w:hAnsi="Cambria Math"/>
              </w:rPr>
            </m:ctrlPr>
          </m:sSubPr>
          <m:e>
            <m:r>
              <w:rPr>
                <w:rStyle w:val="ECCParagraph"/>
                <w:rFonts w:ascii="Cambria Math" w:hAnsi="Cambria Math"/>
              </w:rPr>
              <m:t>FSL</m:t>
            </m:r>
          </m:e>
          <m:sub>
            <m:r>
              <w:rPr>
                <w:rStyle w:val="ECCParagraph"/>
                <w:rFonts w:ascii="Cambria Math" w:hAnsi="Cambria Math"/>
              </w:rPr>
              <m:t>i</m:t>
            </m:r>
          </m:sub>
        </m:sSub>
      </m:oMath>
      <w:r w:rsidR="00B822F0" w:rsidRPr="006335F3">
        <w:rPr>
          <w:rStyle w:val="ECCParagraph"/>
        </w:rPr>
        <w:t xml:space="preserve"> the free space loss from cell i in dB (step 4);</w:t>
      </w:r>
    </w:p>
    <w:p w14:paraId="677B6ECA" w14:textId="77777777" w:rsidR="00B822F0" w:rsidRPr="006335F3" w:rsidRDefault="00AF7F19" w:rsidP="00B822F0">
      <w:pPr>
        <w:pStyle w:val="ECCBulletsLv1"/>
        <w:rPr>
          <w:rStyle w:val="ECCParagraph"/>
        </w:rPr>
      </w:pPr>
      <m:oMath>
        <m:sSub>
          <m:sSubPr>
            <m:ctrlPr>
              <w:rPr>
                <w:rStyle w:val="ECCParagraph"/>
                <w:rFonts w:ascii="Cambria Math" w:hAnsi="Cambria Math"/>
              </w:rPr>
            </m:ctrlPr>
          </m:sSubPr>
          <m:e>
            <m:r>
              <w:rPr>
                <w:rStyle w:val="ECCParagraph"/>
                <w:rFonts w:ascii="Cambria Math" w:hAnsi="Cambria Math"/>
              </w:rPr>
              <m:t>P</m:t>
            </m:r>
          </m:e>
          <m:sub>
            <m:r>
              <w:rPr>
                <w:rStyle w:val="ECCParagraph"/>
                <w:rFonts w:ascii="Cambria Math" w:hAnsi="Cambria Math"/>
              </w:rPr>
              <m:t>L</m:t>
            </m:r>
          </m:sub>
        </m:sSub>
      </m:oMath>
      <w:r w:rsidR="00B822F0" w:rsidRPr="006335F3">
        <w:rPr>
          <w:rStyle w:val="ECCParagraph"/>
        </w:rPr>
        <w:t xml:space="preserve"> additional losses (3dB feeder loss for the non AAS case, the polarisation loss of AAS antennas are included in the element gain);</w:t>
      </w:r>
    </w:p>
    <w:p w14:paraId="677B6ECB" w14:textId="77777777" w:rsidR="00B822F0" w:rsidRPr="006335F3" w:rsidRDefault="00B822F0" w:rsidP="00B822F0">
      <w:pPr>
        <w:pStyle w:val="ECCBulletsLv1"/>
        <w:rPr>
          <w:rStyle w:val="ECCParagraph"/>
        </w:rPr>
      </w:pPr>
      <m:oMath>
        <m:r>
          <w:rPr>
            <w:rStyle w:val="ECCParagraph"/>
            <w:rFonts w:ascii="Cambria Math" w:hAnsi="Cambria Math"/>
          </w:rPr>
          <m:t>NLF</m:t>
        </m:r>
      </m:oMath>
      <w:r w:rsidRPr="006335F3">
        <w:rPr>
          <w:rStyle w:val="ECCParagraph"/>
        </w:rPr>
        <w:t xml:space="preserve"> the network loading factor (20% assumed)</w:t>
      </w:r>
    </w:p>
    <w:p w14:paraId="677B6ECC" w14:textId="52118249" w:rsidR="00B822F0" w:rsidRPr="006335F3" w:rsidRDefault="00B822F0" w:rsidP="00B822F0">
      <w:pPr>
        <w:rPr>
          <w:rStyle w:val="ECCParagraph"/>
        </w:rPr>
      </w:pPr>
      <w:r w:rsidRPr="006335F3">
        <w:rPr>
          <w:rStyle w:val="ECCParagraph"/>
        </w:rPr>
        <w:t xml:space="preserve">The left columns provide the results for the deployment methodology following ECC </w:t>
      </w:r>
      <w:r w:rsidR="00AA3C7A" w:rsidRPr="006335F3">
        <w:rPr>
          <w:rStyle w:val="ECCParagraph"/>
        </w:rPr>
        <w:t>R</w:t>
      </w:r>
      <w:r w:rsidRPr="006335F3">
        <w:rPr>
          <w:rStyle w:val="ECCParagraph"/>
        </w:rPr>
        <w:t>eport 298 (total of 199100 BS deployed</w:t>
      </w:r>
      <w:proofErr w:type="gramStart"/>
      <w:r w:rsidRPr="006335F3">
        <w:rPr>
          <w:rStyle w:val="ECCParagraph"/>
        </w:rPr>
        <w:t>)</w:t>
      </w:r>
      <w:proofErr w:type="gramEnd"/>
      <w:r w:rsidRPr="006335F3">
        <w:rPr>
          <w:rStyle w:val="ECCParagraph"/>
        </w:rPr>
        <w:t xml:space="preserve"> and the right column follows the Ra/Rb methodology (total of </w:t>
      </w:r>
      <w:r>
        <w:t>927241</w:t>
      </w:r>
      <w:r w:rsidRPr="006335F3">
        <w:rPr>
          <w:rStyle w:val="ECCParagraph"/>
        </w:rPr>
        <w:t xml:space="preserve"> BS deployed).</w:t>
      </w:r>
    </w:p>
    <w:p w14:paraId="4F298C21" w14:textId="614FE3A1" w:rsidR="005373C0" w:rsidRPr="006335F3" w:rsidRDefault="005373C0" w:rsidP="00510D7B">
      <w:pPr>
        <w:pStyle w:val="Caption"/>
        <w:keepNext/>
        <w:rPr>
          <w:rStyle w:val="ECCParagraph"/>
        </w:rPr>
      </w:pPr>
      <w:r w:rsidRPr="006335F3">
        <w:rPr>
          <w:rStyle w:val="ECCParagraph"/>
        </w:rPr>
        <w:t xml:space="preserve">Table </w:t>
      </w:r>
      <w:r w:rsidR="008C6D51" w:rsidRPr="006335F3">
        <w:rPr>
          <w:rStyle w:val="ECCParagraph"/>
        </w:rPr>
        <w:fldChar w:fldCharType="begin"/>
      </w:r>
      <w:r w:rsidR="008C6D51" w:rsidRPr="006335F3">
        <w:rPr>
          <w:rStyle w:val="ECCParagraph"/>
        </w:rPr>
        <w:instrText xml:space="preserve"> SEQ Table \* ARABIC </w:instrText>
      </w:r>
      <w:r w:rsidR="008C6D51" w:rsidRPr="006335F3">
        <w:rPr>
          <w:rStyle w:val="ECCParagraph"/>
        </w:rPr>
        <w:fldChar w:fldCharType="separate"/>
      </w:r>
      <w:r w:rsidR="009464FD">
        <w:rPr>
          <w:rStyle w:val="ECCParagraph"/>
          <w:noProof/>
        </w:rPr>
        <w:t>9</w:t>
      </w:r>
      <w:r w:rsidR="008C6D51" w:rsidRPr="006335F3">
        <w:rPr>
          <w:rStyle w:val="ECCParagraph"/>
        </w:rPr>
        <w:fldChar w:fldCharType="end"/>
      </w:r>
      <w:r w:rsidRPr="006335F3">
        <w:rPr>
          <w:rStyle w:val="ECCParagraph"/>
        </w:rPr>
        <w:t>: Deployment methodology comparison</w:t>
      </w:r>
    </w:p>
    <w:tbl>
      <w:tblPr>
        <w:tblStyle w:val="ECCTable-redheader"/>
        <w:tblW w:w="0" w:type="auto"/>
        <w:jc w:val="left"/>
        <w:tblInd w:w="0" w:type="dxa"/>
        <w:tblLook w:val="0020" w:firstRow="1" w:lastRow="0" w:firstColumn="0" w:lastColumn="0" w:noHBand="0" w:noVBand="0"/>
      </w:tblPr>
      <w:tblGrid>
        <w:gridCol w:w="4673"/>
        <w:gridCol w:w="4868"/>
      </w:tblGrid>
      <w:tr w:rsidR="005373C0" w14:paraId="33E70C86" w14:textId="77777777" w:rsidTr="00510D7B">
        <w:trPr>
          <w:cnfStyle w:val="100000000000" w:firstRow="1" w:lastRow="0" w:firstColumn="0" w:lastColumn="0" w:oddVBand="0" w:evenVBand="0" w:oddHBand="0" w:evenHBand="0" w:firstRowFirstColumn="0" w:firstRowLastColumn="0" w:lastRowFirstColumn="0" w:lastRowLastColumn="0"/>
          <w:jc w:val="left"/>
        </w:trPr>
        <w:tc>
          <w:tcPr>
            <w:tcW w:w="4673" w:type="dxa"/>
          </w:tcPr>
          <w:p w14:paraId="5F1D4BA0" w14:textId="3946F7E3" w:rsidR="005373C0" w:rsidRPr="005373C0" w:rsidRDefault="005373C0" w:rsidP="005373C0">
            <w:pPr>
              <w:pStyle w:val="ECCTableHeaderwhitefont"/>
              <w:rPr>
                <w:rStyle w:val="ECCHLbold"/>
              </w:rPr>
            </w:pPr>
            <w:r w:rsidRPr="0023596C">
              <w:t xml:space="preserve">Deployment Methodology: ECC Report 298 </w:t>
            </w:r>
            <w:r w:rsidR="00107C93">
              <w:fldChar w:fldCharType="begin"/>
            </w:r>
            <w:r w:rsidR="00107C93">
              <w:rPr>
                <w:b w:val="0"/>
              </w:rPr>
              <w:instrText xml:space="preserve"> </w:instrText>
            </w:r>
            <w:r w:rsidR="00107C93">
              <w:instrText xml:space="preserve">REF </w:instrText>
            </w:r>
            <w:r w:rsidR="00107C93">
              <w:rPr>
                <w:b w:val="0"/>
              </w:rPr>
              <w:instrText xml:space="preserve">_Ref104306422 \r \h </w:instrText>
            </w:r>
            <w:r w:rsidR="00107C93">
              <w:fldChar w:fldCharType="separate"/>
            </w:r>
            <w:r w:rsidR="009464FD">
              <w:t>[12]</w:t>
            </w:r>
            <w:r w:rsidR="00107C93">
              <w:fldChar w:fldCharType="end"/>
            </w:r>
            <w:r w:rsidR="00107C93">
              <w:t xml:space="preserve"> </w:t>
            </w:r>
            <w:r w:rsidRPr="0023596C">
              <w:t>(step 3.2) results</w:t>
            </w:r>
          </w:p>
        </w:tc>
        <w:tc>
          <w:tcPr>
            <w:tcW w:w="4868" w:type="dxa"/>
          </w:tcPr>
          <w:p w14:paraId="01EB1DE8" w14:textId="77777777" w:rsidR="005373C0" w:rsidRPr="005373C0" w:rsidRDefault="005373C0" w:rsidP="005373C0">
            <w:pPr>
              <w:pStyle w:val="ECCTableHeaderwhitefont"/>
              <w:rPr>
                <w:rStyle w:val="ECCHLbold"/>
              </w:rPr>
            </w:pPr>
            <w:r w:rsidRPr="0023596C">
              <w:t>Deployment Methodology: Ra/Rb (step 3.1)</w:t>
            </w:r>
            <w:r w:rsidRPr="005373C0">
              <w:t xml:space="preserve"> results</w:t>
            </w:r>
          </w:p>
        </w:tc>
      </w:tr>
      <w:tr w:rsidR="005373C0" w14:paraId="1DB06709" w14:textId="77777777" w:rsidTr="000762FE">
        <w:trPr>
          <w:jc w:val="left"/>
        </w:trPr>
        <w:tc>
          <w:tcPr>
            <w:tcW w:w="0" w:type="auto"/>
            <w:gridSpan w:val="2"/>
          </w:tcPr>
          <w:p w14:paraId="41D82FD9" w14:textId="77777777" w:rsidR="005373C0" w:rsidRPr="005373C0" w:rsidRDefault="005373C0" w:rsidP="005373C0">
            <w:pPr>
              <w:rPr>
                <w:rStyle w:val="ECCHLbold"/>
              </w:rPr>
            </w:pPr>
            <w:r w:rsidRPr="00C069E0">
              <w:rPr>
                <w:rStyle w:val="ECCHLbold"/>
              </w:rPr>
              <w:t xml:space="preserve">AAS BS (both suburban and urban deployment) with aerial UE </w:t>
            </w:r>
            <w:r w:rsidRPr="005373C0">
              <w:rPr>
                <w:rStyle w:val="ECCHLbold"/>
              </w:rPr>
              <w:t>coverage (33% aerial UE payload)</w:t>
            </w:r>
          </w:p>
        </w:tc>
      </w:tr>
      <w:tr w:rsidR="005373C0" w14:paraId="2FDD572B" w14:textId="77777777" w:rsidTr="00815E23">
        <w:trPr>
          <w:trHeight w:val="405"/>
          <w:jc w:val="left"/>
        </w:trPr>
        <w:tc>
          <w:tcPr>
            <w:tcW w:w="4673" w:type="dxa"/>
          </w:tcPr>
          <w:p w14:paraId="136D7786" w14:textId="7CACEB49" w:rsidR="005373C0" w:rsidRPr="005373C0" w:rsidRDefault="002E4F6A" w:rsidP="005373C0">
            <w:pPr>
              <w:rPr>
                <w:rStyle w:val="ECCParagraph"/>
              </w:rPr>
            </w:pPr>
            <w:r w:rsidRPr="00C069E0">
              <w:rPr>
                <w:rStyle w:val="ECCParagraph"/>
              </w:rPr>
              <w:t>I</w:t>
            </w:r>
            <w:r w:rsidRPr="00D82DF6">
              <w:rPr>
                <w:rStyle w:val="ECCParagraph"/>
                <w:vertAlign w:val="subscript"/>
              </w:rPr>
              <w:t>agg</w:t>
            </w:r>
            <w:r w:rsidR="005373C0" w:rsidRPr="00C069E0">
              <w:t xml:space="preserve"> = </w:t>
            </w:r>
            <w:r w:rsidR="005373C0" w:rsidRPr="005373C0">
              <w:rPr>
                <w:rStyle w:val="ECCParagraph"/>
              </w:rPr>
              <w:t>-168,18 dBW/Hz</w:t>
            </w:r>
          </w:p>
        </w:tc>
        <w:tc>
          <w:tcPr>
            <w:tcW w:w="4868" w:type="dxa"/>
          </w:tcPr>
          <w:p w14:paraId="698F0C72" w14:textId="77777777" w:rsidR="005373C0" w:rsidRPr="005373C0" w:rsidRDefault="005373C0" w:rsidP="005373C0">
            <w:r w:rsidRPr="00C069E0">
              <w:rPr>
                <w:rStyle w:val="ECCParagraph"/>
              </w:rPr>
              <w:t>I</w:t>
            </w:r>
            <w:r w:rsidRPr="002E4F6A">
              <w:rPr>
                <w:rStyle w:val="ECCParagraph"/>
                <w:vertAlign w:val="subscript"/>
              </w:rPr>
              <w:t>agg</w:t>
            </w:r>
            <w:r w:rsidRPr="00C069E0">
              <w:rPr>
                <w:rStyle w:val="ECCParagraph"/>
              </w:rPr>
              <w:t xml:space="preserve"> = -161.49 dBW/Hz</w:t>
            </w:r>
          </w:p>
        </w:tc>
      </w:tr>
      <w:tr w:rsidR="005373C0" w:rsidRPr="009F052C" w14:paraId="335E6487" w14:textId="77777777" w:rsidTr="000762FE">
        <w:trPr>
          <w:jc w:val="left"/>
        </w:trPr>
        <w:tc>
          <w:tcPr>
            <w:tcW w:w="0" w:type="auto"/>
            <w:gridSpan w:val="2"/>
          </w:tcPr>
          <w:p w14:paraId="5965D9B9" w14:textId="34657052" w:rsidR="005373C0" w:rsidRPr="005373C0" w:rsidRDefault="005373C0" w:rsidP="005373C0">
            <w:pPr>
              <w:rPr>
                <w:rStyle w:val="ECCHLbold"/>
              </w:rPr>
            </w:pPr>
            <w:r w:rsidRPr="005B79FC">
              <w:rPr>
                <w:rStyle w:val="ECCHLbold"/>
              </w:rPr>
              <w:t>AAS BS (both suburban and urban deployment) with aerial UE coverage (6.7% aerial UE payload</w:t>
            </w:r>
            <w:r w:rsidRPr="005373C0" w:rsidDel="00A03880">
              <w:rPr>
                <w:rStyle w:val="ECCHLbold"/>
              </w:rPr>
              <w:t xml:space="preserve"> </w:t>
            </w:r>
            <w:r w:rsidRPr="005373C0">
              <w:rPr>
                <w:rStyle w:val="ECCHLbold"/>
              </w:rPr>
              <w:t>)</w:t>
            </w:r>
          </w:p>
        </w:tc>
      </w:tr>
      <w:tr w:rsidR="005373C0" w:rsidRPr="00C21E63" w14:paraId="4F2FEA4E" w14:textId="77777777" w:rsidTr="00510D7B">
        <w:trPr>
          <w:jc w:val="left"/>
        </w:trPr>
        <w:tc>
          <w:tcPr>
            <w:tcW w:w="4673" w:type="dxa"/>
          </w:tcPr>
          <w:p w14:paraId="47434C1C" w14:textId="10CB5904" w:rsidR="005373C0" w:rsidRPr="005373C0" w:rsidRDefault="002E4F6A" w:rsidP="005373C0">
            <w:pPr>
              <w:rPr>
                <w:rStyle w:val="ECCParagraph"/>
              </w:rPr>
            </w:pPr>
            <w:r w:rsidRPr="00C069E0">
              <w:rPr>
                <w:rStyle w:val="ECCParagraph"/>
              </w:rPr>
              <w:t>I</w:t>
            </w:r>
            <w:r w:rsidRPr="00D82DF6">
              <w:rPr>
                <w:rStyle w:val="ECCParagraph"/>
                <w:vertAlign w:val="subscript"/>
              </w:rPr>
              <w:t>agg</w:t>
            </w:r>
            <w:r w:rsidR="005373C0" w:rsidRPr="005373C0">
              <w:rPr>
                <w:rStyle w:val="ECCParagraph"/>
              </w:rPr>
              <w:t xml:space="preserve"> = -170.02 dBW/Hz</w:t>
            </w:r>
          </w:p>
        </w:tc>
        <w:tc>
          <w:tcPr>
            <w:tcW w:w="4868" w:type="dxa"/>
          </w:tcPr>
          <w:p w14:paraId="7BCBA96E" w14:textId="77777777" w:rsidR="005373C0" w:rsidRPr="005373C0" w:rsidRDefault="005373C0" w:rsidP="005373C0">
            <w:pPr>
              <w:rPr>
                <w:rStyle w:val="ECCParagraph"/>
              </w:rPr>
            </w:pPr>
            <w:r w:rsidRPr="00C069E0">
              <w:rPr>
                <w:rStyle w:val="ECCParagraph"/>
              </w:rPr>
              <w:t>I</w:t>
            </w:r>
            <w:r w:rsidRPr="00815E23">
              <w:rPr>
                <w:rStyle w:val="ECCParagraph"/>
                <w:vertAlign w:val="subscript"/>
              </w:rPr>
              <w:t>agg</w:t>
            </w:r>
            <w:r w:rsidRPr="00C069E0">
              <w:rPr>
                <w:rStyle w:val="ECCParagraph"/>
              </w:rPr>
              <w:t xml:space="preserve"> = -163.34 dBW/Hz</w:t>
            </w:r>
          </w:p>
        </w:tc>
      </w:tr>
      <w:tr w:rsidR="005373C0" w14:paraId="398FAF62" w14:textId="77777777" w:rsidTr="000762FE">
        <w:trPr>
          <w:jc w:val="left"/>
        </w:trPr>
        <w:tc>
          <w:tcPr>
            <w:tcW w:w="0" w:type="auto"/>
            <w:gridSpan w:val="2"/>
          </w:tcPr>
          <w:p w14:paraId="7C3C8A39" w14:textId="77777777" w:rsidR="005373C0" w:rsidRPr="005373C0" w:rsidRDefault="005373C0" w:rsidP="005373C0">
            <w:pPr>
              <w:rPr>
                <w:rStyle w:val="ECCHLbold"/>
              </w:rPr>
            </w:pPr>
            <w:r w:rsidRPr="00C069E0">
              <w:rPr>
                <w:rStyle w:val="ECCHLbold"/>
              </w:rPr>
              <w:t>AAS BS (both suburban and urban deployment) without aerial UE coverage</w:t>
            </w:r>
          </w:p>
        </w:tc>
      </w:tr>
      <w:tr w:rsidR="005373C0" w14:paraId="11F2FAD8" w14:textId="77777777" w:rsidTr="00510D7B">
        <w:trPr>
          <w:jc w:val="left"/>
        </w:trPr>
        <w:tc>
          <w:tcPr>
            <w:tcW w:w="4673" w:type="dxa"/>
          </w:tcPr>
          <w:p w14:paraId="5848140C" w14:textId="6422ADEA" w:rsidR="005373C0" w:rsidRPr="005373C0" w:rsidRDefault="002E4F6A" w:rsidP="005373C0">
            <w:r w:rsidRPr="00C069E0">
              <w:rPr>
                <w:rStyle w:val="ECCParagraph"/>
              </w:rPr>
              <w:t>I</w:t>
            </w:r>
            <w:r w:rsidRPr="00D82DF6">
              <w:rPr>
                <w:rStyle w:val="ECCParagraph"/>
                <w:vertAlign w:val="subscript"/>
              </w:rPr>
              <w:t>agg</w:t>
            </w:r>
            <w:r w:rsidR="005373C0" w:rsidRPr="00C069E0">
              <w:t xml:space="preserve"> = -170.65 </w:t>
            </w:r>
            <w:r w:rsidR="005373C0" w:rsidRPr="005373C0">
              <w:rPr>
                <w:rStyle w:val="ECCParagraph"/>
              </w:rPr>
              <w:t>dBW/Hz</w:t>
            </w:r>
          </w:p>
        </w:tc>
        <w:tc>
          <w:tcPr>
            <w:tcW w:w="4868" w:type="dxa"/>
          </w:tcPr>
          <w:p w14:paraId="6035FB35" w14:textId="77777777" w:rsidR="005373C0" w:rsidRPr="005373C0" w:rsidRDefault="005373C0" w:rsidP="005373C0">
            <w:r w:rsidRPr="00C069E0">
              <w:rPr>
                <w:rStyle w:val="ECCParagraph"/>
              </w:rPr>
              <w:t>I</w:t>
            </w:r>
            <w:r w:rsidRPr="00815E23">
              <w:rPr>
                <w:rStyle w:val="ECCParagraph"/>
                <w:vertAlign w:val="subscript"/>
              </w:rPr>
              <w:t>agg</w:t>
            </w:r>
            <w:r w:rsidRPr="00C069E0">
              <w:rPr>
                <w:rStyle w:val="ECCParagraph"/>
              </w:rPr>
              <w:t xml:space="preserve"> = -163.96 dBW/Hz</w:t>
            </w:r>
          </w:p>
        </w:tc>
      </w:tr>
      <w:tr w:rsidR="005373C0" w14:paraId="2EE6C4A0" w14:textId="77777777" w:rsidTr="000762FE">
        <w:trPr>
          <w:jc w:val="left"/>
        </w:trPr>
        <w:tc>
          <w:tcPr>
            <w:tcW w:w="0" w:type="auto"/>
            <w:gridSpan w:val="2"/>
          </w:tcPr>
          <w:p w14:paraId="318DFB19" w14:textId="77777777" w:rsidR="005373C0" w:rsidRPr="005373C0" w:rsidRDefault="005373C0" w:rsidP="005373C0">
            <w:pPr>
              <w:rPr>
                <w:rStyle w:val="ECCHLbold"/>
              </w:rPr>
            </w:pPr>
            <w:r w:rsidRPr="00C069E0">
              <w:rPr>
                <w:rStyle w:val="ECCHLbold"/>
              </w:rPr>
              <w:t>Non AAS BS without aerial coverage</w:t>
            </w:r>
          </w:p>
        </w:tc>
      </w:tr>
      <w:tr w:rsidR="005373C0" w14:paraId="5345BA49" w14:textId="77777777" w:rsidTr="00510D7B">
        <w:trPr>
          <w:jc w:val="left"/>
        </w:trPr>
        <w:tc>
          <w:tcPr>
            <w:tcW w:w="4673" w:type="dxa"/>
          </w:tcPr>
          <w:p w14:paraId="66120018" w14:textId="2176E471" w:rsidR="005373C0" w:rsidRPr="005373C0" w:rsidRDefault="002E4F6A" w:rsidP="005373C0">
            <w:r w:rsidRPr="00C069E0">
              <w:rPr>
                <w:rStyle w:val="ECCParagraph"/>
              </w:rPr>
              <w:t>I</w:t>
            </w:r>
            <w:r w:rsidRPr="00D82DF6">
              <w:rPr>
                <w:rStyle w:val="ECCParagraph"/>
                <w:vertAlign w:val="subscript"/>
              </w:rPr>
              <w:t>agg</w:t>
            </w:r>
            <w:r w:rsidR="005373C0" w:rsidRPr="00C069E0">
              <w:t xml:space="preserve"> = -168.76 </w:t>
            </w:r>
            <w:r w:rsidR="005373C0" w:rsidRPr="005373C0">
              <w:rPr>
                <w:rStyle w:val="ECCParagraph"/>
              </w:rPr>
              <w:t>dBW/Hz</w:t>
            </w:r>
          </w:p>
        </w:tc>
        <w:tc>
          <w:tcPr>
            <w:tcW w:w="4868" w:type="dxa"/>
          </w:tcPr>
          <w:p w14:paraId="5B9A8DFB" w14:textId="3F91BB5E" w:rsidR="005373C0" w:rsidRPr="005373C0" w:rsidRDefault="00815E23" w:rsidP="005373C0">
            <w:r w:rsidRPr="00C069E0">
              <w:rPr>
                <w:rStyle w:val="ECCParagraph"/>
              </w:rPr>
              <w:t>I</w:t>
            </w:r>
            <w:r w:rsidRPr="00D82DF6">
              <w:rPr>
                <w:rStyle w:val="ECCParagraph"/>
                <w:vertAlign w:val="subscript"/>
              </w:rPr>
              <w:t>agg</w:t>
            </w:r>
            <w:r w:rsidR="005373C0" w:rsidRPr="00C069E0">
              <w:t xml:space="preserve"> = -162.07 dBW/Hz</w:t>
            </w:r>
          </w:p>
        </w:tc>
      </w:tr>
    </w:tbl>
    <w:p w14:paraId="677B6EF5" w14:textId="0F286CB7" w:rsidR="00B822F0" w:rsidRPr="009F052C" w:rsidRDefault="00AB6078" w:rsidP="00B822F0">
      <w:pPr>
        <w:rPr>
          <w:rStyle w:val="ECCParagraph"/>
        </w:rPr>
      </w:pPr>
      <w:r w:rsidRPr="009F052C">
        <w:rPr>
          <w:rStyle w:val="ECCParagraph"/>
        </w:rPr>
        <w:t>To take into account the possible clutter attenuation</w:t>
      </w:r>
      <w:r w:rsidR="00ED2446" w:rsidRPr="009F052C">
        <w:rPr>
          <w:rStyle w:val="ECCParagraph"/>
        </w:rPr>
        <w:t xml:space="preserve"> </w:t>
      </w:r>
      <w:r w:rsidR="00ED2446" w:rsidRPr="00ED3A4D">
        <w:rPr>
          <w:rStyle w:val="ECCParagraph"/>
        </w:rPr>
        <w:t>between every active BS antenna and the satellite,</w:t>
      </w:r>
      <w:r w:rsidRPr="009F052C">
        <w:rPr>
          <w:rStyle w:val="ECCParagraph"/>
        </w:rPr>
        <w:t xml:space="preserve"> the following </w:t>
      </w:r>
      <w:r w:rsidR="00B822F0" w:rsidRPr="009F052C">
        <w:rPr>
          <w:rStyle w:val="ECCParagraph"/>
        </w:rPr>
        <w:t xml:space="preserve">input parameters </w:t>
      </w:r>
      <w:r w:rsidRPr="009F052C">
        <w:rPr>
          <w:rStyle w:val="ECCParagraph"/>
        </w:rPr>
        <w:t xml:space="preserve">and assumptions </w:t>
      </w:r>
      <w:r w:rsidR="00B822F0" w:rsidRPr="009F052C">
        <w:rPr>
          <w:rStyle w:val="ECCParagraph"/>
        </w:rPr>
        <w:t>were taken:</w:t>
      </w:r>
    </w:p>
    <w:p w14:paraId="677B6EF6" w14:textId="2B2F6AE2" w:rsidR="00B822F0" w:rsidRPr="009F052C" w:rsidRDefault="00B822F0" w:rsidP="00B822F0">
      <w:pPr>
        <w:pStyle w:val="ECCBulletsLv1"/>
        <w:rPr>
          <w:rStyle w:val="ECCParagraph"/>
        </w:rPr>
      </w:pPr>
      <w:r w:rsidRPr="009F052C">
        <w:rPr>
          <w:rStyle w:val="ECCParagraph"/>
        </w:rPr>
        <w:t>Height of the base station: 20</w:t>
      </w:r>
      <w:r w:rsidR="00142B48">
        <w:rPr>
          <w:rStyle w:val="ECCParagraph"/>
        </w:rPr>
        <w:t> </w:t>
      </w:r>
      <w:r w:rsidRPr="009F052C">
        <w:rPr>
          <w:rStyle w:val="ECCParagraph"/>
        </w:rPr>
        <w:t>m</w:t>
      </w:r>
      <w:r w:rsidR="00AB6078" w:rsidRPr="009F052C">
        <w:rPr>
          <w:rStyle w:val="ECCParagraph"/>
        </w:rPr>
        <w:t xml:space="preserve"> </w:t>
      </w:r>
      <w:r w:rsidR="00AB6078" w:rsidRPr="00ED3A4D">
        <w:rPr>
          <w:rStyle w:val="ECCParagraph"/>
        </w:rPr>
        <w:t>(Urban environment)</w:t>
      </w:r>
      <w:r w:rsidR="006A7FFD">
        <w:rPr>
          <w:rStyle w:val="ECCParagraph"/>
        </w:rPr>
        <w:t>;</w:t>
      </w:r>
    </w:p>
    <w:p w14:paraId="677B6EF7" w14:textId="168D925B" w:rsidR="00B822F0" w:rsidRPr="009F052C" w:rsidRDefault="00B822F0" w:rsidP="00B822F0">
      <w:pPr>
        <w:pStyle w:val="ECCBulletsLv1"/>
        <w:rPr>
          <w:rStyle w:val="ECCParagraph"/>
        </w:rPr>
      </w:pPr>
      <w:r w:rsidRPr="009F052C">
        <w:rPr>
          <w:rStyle w:val="ECCParagraph"/>
        </w:rPr>
        <w:t>Shielding building height: 25</w:t>
      </w:r>
      <w:r w:rsidR="00142B48">
        <w:rPr>
          <w:rStyle w:val="ECCParagraph"/>
        </w:rPr>
        <w:t> </w:t>
      </w:r>
      <w:r w:rsidRPr="009F052C">
        <w:rPr>
          <w:rStyle w:val="ECCParagraph"/>
        </w:rPr>
        <w:t xml:space="preserve">m. This is based on the Recommendation </w:t>
      </w:r>
      <w:r w:rsidR="00142B48" w:rsidRPr="00142B48">
        <w:rPr>
          <w:rStyle w:val="ECCParagraph"/>
        </w:rPr>
        <w:t xml:space="preserve">ITU-R </w:t>
      </w:r>
      <w:r w:rsidRPr="009F052C">
        <w:rPr>
          <w:rStyle w:val="ECCParagraph"/>
        </w:rPr>
        <w:t xml:space="preserve">P.452 </w:t>
      </w:r>
      <w:r w:rsidR="008F3F9C">
        <w:rPr>
          <w:rStyle w:val="ECCParagraph"/>
        </w:rPr>
        <w:fldChar w:fldCharType="begin"/>
      </w:r>
      <w:r w:rsidR="008F3F9C">
        <w:rPr>
          <w:rStyle w:val="ECCParagraph"/>
        </w:rPr>
        <w:instrText xml:space="preserve"> REF _Ref104912679 \r \h </w:instrText>
      </w:r>
      <w:r w:rsidR="008F3F9C">
        <w:rPr>
          <w:rStyle w:val="ECCParagraph"/>
        </w:rPr>
      </w:r>
      <w:r w:rsidR="008F3F9C">
        <w:rPr>
          <w:rStyle w:val="ECCParagraph"/>
        </w:rPr>
        <w:fldChar w:fldCharType="separate"/>
      </w:r>
      <w:r w:rsidR="009464FD">
        <w:rPr>
          <w:rStyle w:val="ECCParagraph"/>
        </w:rPr>
        <w:t>[18]</w:t>
      </w:r>
      <w:r w:rsidR="008F3F9C">
        <w:rPr>
          <w:rStyle w:val="ECCParagraph"/>
        </w:rPr>
        <w:fldChar w:fldCharType="end"/>
      </w:r>
      <w:r w:rsidR="008F3F9C">
        <w:rPr>
          <w:rStyle w:val="ECCParagraph"/>
        </w:rPr>
        <w:t xml:space="preserve"> </w:t>
      </w:r>
      <w:r w:rsidRPr="009F052C">
        <w:rPr>
          <w:rStyle w:val="ECCParagraph"/>
        </w:rPr>
        <w:t>nominal height for dense urban environment and was taken for this urban case as it is above the 20</w:t>
      </w:r>
      <w:r w:rsidR="00142B48">
        <w:rPr>
          <w:rStyle w:val="ECCParagraph"/>
        </w:rPr>
        <w:t> </w:t>
      </w:r>
      <w:r w:rsidRPr="009F052C">
        <w:rPr>
          <w:rStyle w:val="ECCParagraph"/>
        </w:rPr>
        <w:t>m height of the urban BS</w:t>
      </w:r>
      <w:r w:rsidR="006A7FFD">
        <w:rPr>
          <w:rStyle w:val="ECCParagraph"/>
        </w:rPr>
        <w:t>;</w:t>
      </w:r>
    </w:p>
    <w:p w14:paraId="677B6EF8" w14:textId="7CDAD9E1" w:rsidR="00B822F0" w:rsidRPr="009F052C" w:rsidRDefault="00B822F0" w:rsidP="00B822F0">
      <w:pPr>
        <w:pStyle w:val="ECCBulletsLv1"/>
        <w:rPr>
          <w:rStyle w:val="ECCParagraph"/>
        </w:rPr>
      </w:pPr>
      <w:r w:rsidRPr="009F052C">
        <w:rPr>
          <w:rStyle w:val="ECCParagraph"/>
        </w:rPr>
        <w:t>Frequency: 2.110 GHz</w:t>
      </w:r>
      <w:r w:rsidR="006A7FFD">
        <w:rPr>
          <w:rStyle w:val="ECCParagraph"/>
        </w:rPr>
        <w:t>;</w:t>
      </w:r>
    </w:p>
    <w:p w14:paraId="677B6EF9" w14:textId="1A1315B9" w:rsidR="00B822F0" w:rsidRPr="009F052C" w:rsidRDefault="00B822F0" w:rsidP="00B822F0">
      <w:pPr>
        <w:pStyle w:val="ECCBulletsLv1"/>
        <w:rPr>
          <w:rStyle w:val="ECCParagraph"/>
        </w:rPr>
      </w:pPr>
      <w:r w:rsidRPr="009F052C">
        <w:rPr>
          <w:rStyle w:val="ECCParagraph"/>
        </w:rPr>
        <w:t>Elevation angle: elevation of the corresponding urban BS towards the satellite receiver as calculated above</w:t>
      </w:r>
      <w:r w:rsidR="006A7FFD">
        <w:rPr>
          <w:rStyle w:val="ECCParagraph"/>
        </w:rPr>
        <w:t>;</w:t>
      </w:r>
    </w:p>
    <w:p w14:paraId="677B6EFA" w14:textId="55242BB4" w:rsidR="00B822F0" w:rsidRPr="009F052C" w:rsidRDefault="00B822F0" w:rsidP="00B822F0">
      <w:pPr>
        <w:pStyle w:val="ECCBulletsLv1"/>
        <w:rPr>
          <w:rStyle w:val="ECCParagraph"/>
        </w:rPr>
      </w:pPr>
      <w:r w:rsidRPr="009F052C">
        <w:rPr>
          <w:rStyle w:val="ECCParagraph"/>
        </w:rPr>
        <w:lastRenderedPageBreak/>
        <w:t>Percentage of location: randomised following a uniform distribution between 0 and 100%</w:t>
      </w:r>
      <w:r w:rsidR="006A7FFD">
        <w:rPr>
          <w:rStyle w:val="ECCParagraph"/>
        </w:rPr>
        <w:t>;</w:t>
      </w:r>
    </w:p>
    <w:p w14:paraId="677B6EFB" w14:textId="4F31A6C0" w:rsidR="00BB6966" w:rsidRPr="00ED3A4D" w:rsidRDefault="00B822F0" w:rsidP="00B822F0">
      <w:pPr>
        <w:pStyle w:val="ECCBulletsLv1"/>
        <w:rPr>
          <w:rStyle w:val="ECCParagraph"/>
        </w:rPr>
      </w:pPr>
      <w:r w:rsidRPr="00ED3A4D">
        <w:rPr>
          <w:rStyle w:val="ECCParagraph"/>
        </w:rPr>
        <w:t xml:space="preserve">Clutter </w:t>
      </w:r>
      <w:r w:rsidR="00F06A63" w:rsidRPr="00ED3A4D">
        <w:rPr>
          <w:rStyle w:val="ECCParagraph"/>
        </w:rPr>
        <w:t>a</w:t>
      </w:r>
      <w:r w:rsidRPr="00ED3A4D">
        <w:rPr>
          <w:rStyle w:val="ECCParagraph"/>
        </w:rPr>
        <w:t xml:space="preserve">pplied to </w:t>
      </w:r>
      <w:r w:rsidR="000A171D" w:rsidRPr="00ED3A4D">
        <w:rPr>
          <w:rStyle w:val="ECCParagraph"/>
        </w:rPr>
        <w:t xml:space="preserve">all </w:t>
      </w:r>
      <w:r w:rsidRPr="00ED3A4D">
        <w:rPr>
          <w:rStyle w:val="ECCParagraph"/>
        </w:rPr>
        <w:t>urban BS</w:t>
      </w:r>
      <w:r w:rsidR="006A7FFD">
        <w:rPr>
          <w:rStyle w:val="ECCParagraph"/>
        </w:rPr>
        <w:t>;</w:t>
      </w:r>
    </w:p>
    <w:p w14:paraId="677B6EFC" w14:textId="059960E0" w:rsidR="000A171D" w:rsidRPr="00ED3A4D" w:rsidRDefault="000A171D" w:rsidP="00B822F0">
      <w:pPr>
        <w:pStyle w:val="ECCBulletsLv1"/>
        <w:rPr>
          <w:rStyle w:val="ECCParagraph"/>
        </w:rPr>
      </w:pPr>
      <w:r w:rsidRPr="00ED3A4D">
        <w:rPr>
          <w:rStyle w:val="ECCParagraph"/>
        </w:rPr>
        <w:t xml:space="preserve">No clutter attenuation considered for the suburban case as the considered antenna height (25 m) is above the building heights indicated by </w:t>
      </w:r>
      <w:r w:rsidR="00ED2446" w:rsidRPr="00ED3A4D">
        <w:rPr>
          <w:rStyle w:val="ECCParagraph"/>
        </w:rPr>
        <w:t>Rec</w:t>
      </w:r>
      <w:r w:rsidR="00142B48">
        <w:rPr>
          <w:rStyle w:val="ECCParagraph"/>
        </w:rPr>
        <w:t>ommendation</w:t>
      </w:r>
      <w:r w:rsidR="00ED2446" w:rsidRPr="00ED3A4D">
        <w:rPr>
          <w:rStyle w:val="ECCParagraph"/>
        </w:rPr>
        <w:t xml:space="preserve"> </w:t>
      </w:r>
      <w:r w:rsidR="00142B48" w:rsidRPr="00142B48">
        <w:rPr>
          <w:rStyle w:val="ECCParagraph"/>
        </w:rPr>
        <w:t xml:space="preserve">ITU-R </w:t>
      </w:r>
      <w:r w:rsidRPr="00ED3A4D">
        <w:rPr>
          <w:rStyle w:val="ECCParagraph"/>
        </w:rPr>
        <w:t xml:space="preserve">P.452 for suburban (9 </w:t>
      </w:r>
      <w:r w:rsidR="003A3EB2" w:rsidRPr="00ED3A4D">
        <w:rPr>
          <w:rStyle w:val="ECCParagraph"/>
        </w:rPr>
        <w:t>met</w:t>
      </w:r>
      <w:r w:rsidR="003A3EB2">
        <w:rPr>
          <w:rStyle w:val="ECCParagraph"/>
        </w:rPr>
        <w:t>re</w:t>
      </w:r>
      <w:r w:rsidR="003A3EB2" w:rsidRPr="00ED3A4D">
        <w:rPr>
          <w:rStyle w:val="ECCParagraph"/>
        </w:rPr>
        <w:t>s</w:t>
      </w:r>
      <w:r w:rsidRPr="00ED3A4D">
        <w:rPr>
          <w:rStyle w:val="ECCParagraph"/>
        </w:rPr>
        <w:t xml:space="preserve">) and dense suburban (12 </w:t>
      </w:r>
      <w:r w:rsidR="003A3EB2" w:rsidRPr="00ED3A4D">
        <w:rPr>
          <w:rStyle w:val="ECCParagraph"/>
        </w:rPr>
        <w:t>met</w:t>
      </w:r>
      <w:r w:rsidR="003A3EB2">
        <w:rPr>
          <w:rStyle w:val="ECCParagraph"/>
        </w:rPr>
        <w:t>re</w:t>
      </w:r>
      <w:r w:rsidR="003A3EB2" w:rsidRPr="00ED3A4D">
        <w:rPr>
          <w:rStyle w:val="ECCParagraph"/>
        </w:rPr>
        <w:t>s</w:t>
      </w:r>
      <w:r w:rsidRPr="00ED3A4D">
        <w:rPr>
          <w:rStyle w:val="ECCParagraph"/>
        </w:rPr>
        <w:t>) environments</w:t>
      </w:r>
      <w:r w:rsidR="006A7FFD">
        <w:rPr>
          <w:rStyle w:val="ECCParagraph"/>
        </w:rPr>
        <w:t>-</w:t>
      </w:r>
    </w:p>
    <w:p w14:paraId="677B6EFE" w14:textId="0520312B" w:rsidR="00B822F0" w:rsidRPr="009F052C" w:rsidRDefault="00B822F0" w:rsidP="00510D7B">
      <w:pPr>
        <w:pStyle w:val="ECCBulletsLv1"/>
        <w:numPr>
          <w:ilvl w:val="0"/>
          <w:numId w:val="0"/>
        </w:numPr>
        <w:spacing w:before="240" w:after="60"/>
        <w:rPr>
          <w:rStyle w:val="ECCParagraph"/>
        </w:rPr>
      </w:pPr>
      <w:r w:rsidRPr="009F052C">
        <w:rPr>
          <w:rStyle w:val="ECCParagraph"/>
        </w:rPr>
        <w:t xml:space="preserve">The following aggregate interference results are obtained when applying the clutter model </w:t>
      </w:r>
      <w:r w:rsidR="009D2245" w:rsidRPr="00ED3A4D">
        <w:rPr>
          <w:rStyle w:val="ECCParagraph"/>
        </w:rPr>
        <w:t xml:space="preserve">as defined in Document 3K/178 Annex 6 and Annex 1 Section 3.3 </w:t>
      </w:r>
      <w:r w:rsidR="003A3EB2">
        <w:rPr>
          <w:rStyle w:val="ECCParagraph"/>
        </w:rPr>
        <w:fldChar w:fldCharType="begin"/>
      </w:r>
      <w:r w:rsidR="003A3EB2">
        <w:rPr>
          <w:rStyle w:val="ECCParagraph"/>
        </w:rPr>
        <w:instrText xml:space="preserve"> REF _Ref104912723 \r \h </w:instrText>
      </w:r>
      <w:r w:rsidR="003A3EB2">
        <w:rPr>
          <w:rStyle w:val="ECCParagraph"/>
        </w:rPr>
      </w:r>
      <w:r w:rsidR="003A3EB2">
        <w:rPr>
          <w:rStyle w:val="ECCParagraph"/>
        </w:rPr>
        <w:fldChar w:fldCharType="separate"/>
      </w:r>
      <w:r w:rsidR="009464FD">
        <w:rPr>
          <w:rStyle w:val="ECCParagraph"/>
        </w:rPr>
        <w:t>[19]</w:t>
      </w:r>
      <w:r w:rsidR="003A3EB2">
        <w:rPr>
          <w:rStyle w:val="ECCParagraph"/>
        </w:rPr>
        <w:fldChar w:fldCharType="end"/>
      </w:r>
      <w:r w:rsidR="003A3EB2">
        <w:rPr>
          <w:rStyle w:val="ECCParagraph"/>
        </w:rPr>
        <w:t xml:space="preserve"> </w:t>
      </w:r>
      <w:r w:rsidRPr="009F052C">
        <w:rPr>
          <w:rStyle w:val="ECCParagraph"/>
        </w:rPr>
        <w:t>to the above calculation:</w:t>
      </w:r>
    </w:p>
    <w:p w14:paraId="677B6EFF" w14:textId="77777777" w:rsidR="00B822F0" w:rsidRDefault="00B822F0" w:rsidP="00B822F0">
      <w:pPr>
        <w:pStyle w:val="ECCBulletsLv1"/>
        <w:numPr>
          <w:ilvl w:val="0"/>
          <w:numId w:val="0"/>
        </w:numPr>
        <w:rPr>
          <w:rStyle w:val="ECCParagraph"/>
        </w:rPr>
      </w:pPr>
    </w:p>
    <w:p w14:paraId="5E2A15CD" w14:textId="146CA9DA" w:rsidR="00927573" w:rsidRPr="00D024B6" w:rsidRDefault="00927573" w:rsidP="006A7FFD">
      <w:pPr>
        <w:pStyle w:val="Caption"/>
        <w:keepNext/>
        <w:rPr>
          <w:lang w:val="en-GB"/>
        </w:rPr>
      </w:pPr>
      <w:r w:rsidRPr="006A7FFD">
        <w:rPr>
          <w:lang w:val="en-GB"/>
        </w:rPr>
        <w:t xml:space="preserve">Table </w:t>
      </w:r>
      <w:r>
        <w:fldChar w:fldCharType="begin"/>
      </w:r>
      <w:r w:rsidRPr="006A7FFD">
        <w:rPr>
          <w:lang w:val="en-GB"/>
        </w:rPr>
        <w:instrText xml:space="preserve"> SEQ Table \* ARABIC </w:instrText>
      </w:r>
      <w:r>
        <w:fldChar w:fldCharType="separate"/>
      </w:r>
      <w:r w:rsidR="009464FD">
        <w:rPr>
          <w:noProof/>
          <w:lang w:val="en-GB"/>
        </w:rPr>
        <w:t>10</w:t>
      </w:r>
      <w:r>
        <w:fldChar w:fldCharType="end"/>
      </w:r>
      <w:r w:rsidR="003A3EB2" w:rsidRPr="006A7FFD">
        <w:rPr>
          <w:lang w:val="en-GB"/>
        </w:rPr>
        <w:t xml:space="preserve">: </w:t>
      </w:r>
      <w:r w:rsidR="003A3EB2">
        <w:rPr>
          <w:rStyle w:val="ECCParagraph"/>
        </w:rPr>
        <w:t>A</w:t>
      </w:r>
      <w:r w:rsidR="003A3EB2" w:rsidRPr="003A3EB2">
        <w:rPr>
          <w:rStyle w:val="ECCParagraph"/>
        </w:rPr>
        <w:t>ggregate interference results</w:t>
      </w:r>
      <w:r w:rsidR="003A3EB2">
        <w:rPr>
          <w:rStyle w:val="ECCParagraph"/>
        </w:rPr>
        <w:t xml:space="preserve"> with clutter loss</w:t>
      </w:r>
    </w:p>
    <w:tbl>
      <w:tblPr>
        <w:tblStyle w:val="ECCTable-redheader"/>
        <w:tblW w:w="8755" w:type="dxa"/>
        <w:tblInd w:w="0" w:type="dxa"/>
        <w:tblLook w:val="0020" w:firstRow="1" w:lastRow="0" w:firstColumn="0" w:lastColumn="0" w:noHBand="0" w:noVBand="0"/>
      </w:tblPr>
      <w:tblGrid>
        <w:gridCol w:w="4248"/>
        <w:gridCol w:w="2126"/>
        <w:gridCol w:w="2381"/>
      </w:tblGrid>
      <w:tr w:rsidR="00B822F0" w:rsidRPr="009F052C" w14:paraId="677B6F01" w14:textId="77777777" w:rsidTr="00510D7B">
        <w:trPr>
          <w:cnfStyle w:val="100000000000" w:firstRow="1" w:lastRow="0" w:firstColumn="0" w:lastColumn="0" w:oddVBand="0" w:evenVBand="0" w:oddHBand="0" w:evenHBand="0" w:firstRowFirstColumn="0" w:firstRowLastColumn="0" w:lastRowFirstColumn="0" w:lastRowLastColumn="0"/>
        </w:trPr>
        <w:tc>
          <w:tcPr>
            <w:tcW w:w="0" w:type="dxa"/>
            <w:gridSpan w:val="3"/>
            <w:tcBorders>
              <w:bottom w:val="single" w:sz="4" w:space="0" w:color="FFFFFF" w:themeColor="background1"/>
            </w:tcBorders>
          </w:tcPr>
          <w:p w14:paraId="677B6F00" w14:textId="77777777" w:rsidR="00B822F0" w:rsidRPr="00510D7B" w:rsidRDefault="00B822F0" w:rsidP="00510D7B">
            <w:pPr>
              <w:pStyle w:val="ECCTabletext"/>
              <w:keepNext/>
              <w:keepLines/>
              <w:spacing w:before="120"/>
              <w:rPr>
                <w:rStyle w:val="ECCParagraph"/>
                <w:b w:val="0"/>
                <w:color w:val="auto"/>
              </w:rPr>
            </w:pPr>
            <w:r w:rsidRPr="00ED3A4D">
              <w:rPr>
                <w:rStyle w:val="ECCParagraph"/>
              </w:rPr>
              <w:t>Aggregate interference with clutter loss considerations (dBW/Hz)</w:t>
            </w:r>
          </w:p>
        </w:tc>
      </w:tr>
      <w:tr w:rsidR="0053007A" w:rsidRPr="009F052C" w14:paraId="677B6F05" w14:textId="77777777" w:rsidTr="00A21AD2">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77B6F02" w14:textId="77777777" w:rsidR="00B822F0" w:rsidRPr="00510D7B" w:rsidRDefault="00B822F0" w:rsidP="00510D7B">
            <w:pPr>
              <w:pStyle w:val="ECCTabletext"/>
              <w:keepNext/>
              <w:keepLines/>
              <w:spacing w:before="120" w:after="120"/>
              <w:rPr>
                <w:rStyle w:val="ECCParagraph"/>
                <w:b/>
                <w:color w:val="FFFFFF" w:themeColor="background1"/>
              </w:rPr>
            </w:pP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77B6F03" w14:textId="118C9DCD" w:rsidR="00B822F0" w:rsidRPr="00510D7B" w:rsidRDefault="00B822F0" w:rsidP="00510D7B">
            <w:pPr>
              <w:pStyle w:val="ECCTabletext"/>
              <w:keepNext/>
              <w:keepLines/>
              <w:spacing w:before="120" w:after="120"/>
              <w:jc w:val="center"/>
              <w:rPr>
                <w:rStyle w:val="ECCParagraph"/>
                <w:b/>
                <w:color w:val="FFFFFF" w:themeColor="background1"/>
              </w:rPr>
            </w:pPr>
            <w:r w:rsidRPr="00510D7B">
              <w:rPr>
                <w:rStyle w:val="ECCParagraph"/>
                <w:b/>
                <w:color w:val="FFFFFF" w:themeColor="background1"/>
              </w:rPr>
              <w:t>Deployment methodology:</w:t>
            </w:r>
            <w:r w:rsidR="00142B48" w:rsidRPr="00510D7B">
              <w:rPr>
                <w:rStyle w:val="ECCParagraph"/>
                <w:b/>
                <w:color w:val="FFFFFF" w:themeColor="background1"/>
              </w:rPr>
              <w:t xml:space="preserve"> </w:t>
            </w:r>
            <w:r w:rsidRPr="00510D7B">
              <w:rPr>
                <w:rStyle w:val="ECCParagraph"/>
                <w:b/>
                <w:color w:val="FFFFFF" w:themeColor="background1"/>
              </w:rPr>
              <w:t>ECC Rep</w:t>
            </w:r>
            <w:r w:rsidR="00142B48" w:rsidRPr="00510D7B">
              <w:rPr>
                <w:rStyle w:val="ECCParagraph"/>
                <w:b/>
                <w:color w:val="FFFFFF" w:themeColor="background1"/>
              </w:rPr>
              <w:t>ort</w:t>
            </w:r>
            <w:r w:rsidRPr="00510D7B">
              <w:rPr>
                <w:rStyle w:val="ECCParagraph"/>
                <w:b/>
                <w:color w:val="FFFFFF" w:themeColor="background1"/>
              </w:rPr>
              <w:t xml:space="preserve"> 298</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77B6F04" w14:textId="5FA7F5C9" w:rsidR="00B822F0" w:rsidRPr="00510D7B" w:rsidRDefault="00B822F0" w:rsidP="00510D7B">
            <w:pPr>
              <w:pStyle w:val="ECCTabletext"/>
              <w:keepNext/>
              <w:keepLines/>
              <w:spacing w:before="120" w:after="120"/>
              <w:jc w:val="center"/>
              <w:rPr>
                <w:rStyle w:val="ECCParagraph"/>
                <w:b/>
                <w:color w:val="FFFFFF" w:themeColor="background1"/>
              </w:rPr>
            </w:pPr>
            <w:r w:rsidRPr="00510D7B">
              <w:rPr>
                <w:rStyle w:val="ECCParagraph"/>
                <w:b/>
                <w:color w:val="FFFFFF" w:themeColor="background1"/>
              </w:rPr>
              <w:t>Deployment methodology: Ra/Rb</w:t>
            </w:r>
          </w:p>
        </w:tc>
      </w:tr>
      <w:tr w:rsidR="00B822F0" w:rsidRPr="009F052C" w14:paraId="677B6F09" w14:textId="77777777" w:rsidTr="00510D7B">
        <w:tc>
          <w:tcPr>
            <w:tcW w:w="4248" w:type="dxa"/>
            <w:tcBorders>
              <w:top w:val="single" w:sz="4" w:space="0" w:color="FFFFFF" w:themeColor="background1"/>
            </w:tcBorders>
          </w:tcPr>
          <w:p w14:paraId="677B6F06" w14:textId="4EBFE6EF" w:rsidR="00B822F0" w:rsidRPr="009F052C" w:rsidRDefault="00B822F0" w:rsidP="00510D7B">
            <w:pPr>
              <w:pStyle w:val="ECCTabletext"/>
              <w:keepNext/>
              <w:keepLines/>
              <w:jc w:val="left"/>
              <w:rPr>
                <w:rStyle w:val="ECCParagraph"/>
                <w:lang w:eastAsia="en-US"/>
              </w:rPr>
            </w:pPr>
            <w:r w:rsidRPr="00ED3A4D">
              <w:rPr>
                <w:rStyle w:val="ECCParagraph"/>
              </w:rPr>
              <w:t xml:space="preserve">AAS with </w:t>
            </w:r>
            <w:r w:rsidR="00E17AEF">
              <w:rPr>
                <w:rStyle w:val="ECCParagraph"/>
              </w:rPr>
              <w:t xml:space="preserve">aerial </w:t>
            </w:r>
            <w:r w:rsidRPr="00ED3A4D">
              <w:rPr>
                <w:rStyle w:val="ECCParagraph"/>
              </w:rPr>
              <w:t>UE</w:t>
            </w:r>
            <w:r w:rsidR="00920480" w:rsidRPr="00ED3A4D">
              <w:rPr>
                <w:rStyle w:val="ECCParagraph"/>
              </w:rPr>
              <w:t xml:space="preserve"> (</w:t>
            </w:r>
            <w:r w:rsidR="00D5443B" w:rsidRPr="00ED3A4D">
              <w:rPr>
                <w:rStyle w:val="ECCParagraph"/>
              </w:rPr>
              <w:t xml:space="preserve">33% </w:t>
            </w:r>
            <w:r w:rsidR="00E17AEF">
              <w:rPr>
                <w:rStyle w:val="ECCParagraph"/>
              </w:rPr>
              <w:t>aer</w:t>
            </w:r>
            <w:r w:rsidR="00142B48">
              <w:rPr>
                <w:rStyle w:val="ECCParagraph"/>
              </w:rPr>
              <w:t>i</w:t>
            </w:r>
            <w:r w:rsidR="00E17AEF">
              <w:rPr>
                <w:rStyle w:val="ECCParagraph"/>
              </w:rPr>
              <w:t xml:space="preserve">al </w:t>
            </w:r>
            <w:r w:rsidR="00D5443B" w:rsidRPr="00ED3A4D">
              <w:rPr>
                <w:rStyle w:val="ECCParagraph"/>
              </w:rPr>
              <w:t>UE payload</w:t>
            </w:r>
            <w:r w:rsidR="00920480" w:rsidRPr="00ED3A4D">
              <w:rPr>
                <w:rStyle w:val="ECCParagraph"/>
              </w:rPr>
              <w:t>)</w:t>
            </w:r>
          </w:p>
        </w:tc>
        <w:tc>
          <w:tcPr>
            <w:tcW w:w="2126" w:type="dxa"/>
            <w:tcBorders>
              <w:top w:val="single" w:sz="4" w:space="0" w:color="FFFFFF" w:themeColor="background1"/>
            </w:tcBorders>
          </w:tcPr>
          <w:p w14:paraId="677B6F07" w14:textId="498CFF67" w:rsidR="00B822F0" w:rsidRPr="009F052C" w:rsidRDefault="00AD55E4" w:rsidP="00510D7B">
            <w:pPr>
              <w:pStyle w:val="ECCTabletext"/>
              <w:keepNext/>
              <w:keepLines/>
              <w:rPr>
                <w:rStyle w:val="ECCParagraph"/>
                <w:lang w:eastAsia="en-US"/>
              </w:rPr>
            </w:pPr>
            <w:r w:rsidRPr="00ED3A4D">
              <w:rPr>
                <w:rStyle w:val="ECCParagraph"/>
              </w:rPr>
              <w:t xml:space="preserve"> -</w:t>
            </w:r>
            <w:r w:rsidR="00920480" w:rsidRPr="00ED3A4D">
              <w:rPr>
                <w:rStyle w:val="ECCParagraph"/>
              </w:rPr>
              <w:t>17</w:t>
            </w:r>
            <w:r w:rsidR="000A171D" w:rsidRPr="00ED3A4D">
              <w:rPr>
                <w:rStyle w:val="ECCParagraph"/>
              </w:rPr>
              <w:t>3</w:t>
            </w:r>
            <w:r w:rsidR="008F3F9C">
              <w:rPr>
                <w:rStyle w:val="ECCParagraph"/>
              </w:rPr>
              <w:t>.</w:t>
            </w:r>
            <w:r w:rsidR="000A171D" w:rsidRPr="00ED3A4D">
              <w:rPr>
                <w:rStyle w:val="ECCParagraph"/>
              </w:rPr>
              <w:t>7</w:t>
            </w:r>
          </w:p>
        </w:tc>
        <w:tc>
          <w:tcPr>
            <w:tcW w:w="2381" w:type="dxa"/>
            <w:tcBorders>
              <w:top w:val="single" w:sz="4" w:space="0" w:color="FFFFFF" w:themeColor="background1"/>
            </w:tcBorders>
          </w:tcPr>
          <w:p w14:paraId="677B6F08" w14:textId="37487C6C" w:rsidR="00B822F0" w:rsidRPr="00ED3A4D" w:rsidRDefault="00AD55E4" w:rsidP="00510D7B">
            <w:pPr>
              <w:pStyle w:val="ECCTabletext"/>
              <w:keepNext/>
              <w:keepLines/>
              <w:rPr>
                <w:rStyle w:val="ECCParagraph"/>
                <w:lang w:eastAsia="en-US"/>
              </w:rPr>
            </w:pPr>
            <w:r w:rsidRPr="00ED3A4D">
              <w:rPr>
                <w:rStyle w:val="ECCParagraph"/>
              </w:rPr>
              <w:t xml:space="preserve"> </w:t>
            </w:r>
            <w:r w:rsidR="00C21E63" w:rsidRPr="00ED3A4D">
              <w:rPr>
                <w:rStyle w:val="ECCParagraph"/>
              </w:rPr>
              <w:t>-16</w:t>
            </w:r>
            <w:r w:rsidR="0074357F" w:rsidRPr="00ED3A4D">
              <w:rPr>
                <w:rStyle w:val="ECCParagraph"/>
              </w:rPr>
              <w:t>7.0</w:t>
            </w:r>
          </w:p>
        </w:tc>
      </w:tr>
      <w:tr w:rsidR="00920480" w:rsidRPr="009F052C" w14:paraId="677B6F0D" w14:textId="77777777" w:rsidTr="00510D7B">
        <w:tc>
          <w:tcPr>
            <w:tcW w:w="4248" w:type="dxa"/>
          </w:tcPr>
          <w:p w14:paraId="677B6F0A" w14:textId="0B71DA65" w:rsidR="00920480" w:rsidRPr="00ED3A4D" w:rsidRDefault="00920480" w:rsidP="00510D7B">
            <w:pPr>
              <w:pStyle w:val="ECCTabletext"/>
              <w:keepNext/>
              <w:keepLines/>
              <w:jc w:val="left"/>
              <w:rPr>
                <w:rStyle w:val="ECCParagraph"/>
                <w:lang w:eastAsia="en-US"/>
              </w:rPr>
            </w:pPr>
            <w:r w:rsidRPr="00ED3A4D">
              <w:rPr>
                <w:rStyle w:val="ECCParagraph"/>
              </w:rPr>
              <w:t xml:space="preserve">AAS with </w:t>
            </w:r>
            <w:r w:rsidR="009F052C" w:rsidRPr="00ED3A4D">
              <w:rPr>
                <w:rStyle w:val="ECCParagraph"/>
              </w:rPr>
              <w:t>aerial UE</w:t>
            </w:r>
            <w:r w:rsidRPr="00ED3A4D">
              <w:rPr>
                <w:rStyle w:val="ECCParagraph"/>
              </w:rPr>
              <w:t>(</w:t>
            </w:r>
            <w:r w:rsidR="00D5443B" w:rsidRPr="00ED3A4D">
              <w:rPr>
                <w:rStyle w:val="ECCParagraph"/>
              </w:rPr>
              <w:t xml:space="preserve">6.7% </w:t>
            </w:r>
            <w:r w:rsidR="009F052C" w:rsidRPr="00ED3A4D">
              <w:rPr>
                <w:rStyle w:val="ECCParagraph"/>
              </w:rPr>
              <w:t>aerial UE</w:t>
            </w:r>
            <w:r w:rsidR="00D5443B" w:rsidRPr="00ED3A4D">
              <w:rPr>
                <w:rStyle w:val="ECCParagraph"/>
              </w:rPr>
              <w:t xml:space="preserve"> payload</w:t>
            </w:r>
            <w:r w:rsidRPr="00ED3A4D">
              <w:rPr>
                <w:rStyle w:val="ECCParagraph"/>
              </w:rPr>
              <w:t>)</w:t>
            </w:r>
          </w:p>
        </w:tc>
        <w:tc>
          <w:tcPr>
            <w:tcW w:w="2126" w:type="dxa"/>
          </w:tcPr>
          <w:p w14:paraId="677B6F0B" w14:textId="412EF506" w:rsidR="00920480" w:rsidRPr="00ED3A4D" w:rsidRDefault="003179AB" w:rsidP="00510D7B">
            <w:pPr>
              <w:pStyle w:val="ECCTabletext"/>
              <w:keepNext/>
              <w:keepLines/>
              <w:rPr>
                <w:rStyle w:val="ECCParagraph"/>
                <w:lang w:eastAsia="en-US"/>
              </w:rPr>
            </w:pPr>
            <w:r w:rsidRPr="00ED3A4D">
              <w:rPr>
                <w:rStyle w:val="ECCParagraph"/>
              </w:rPr>
              <w:t xml:space="preserve"> -174</w:t>
            </w:r>
            <w:r w:rsidR="008F3F9C">
              <w:rPr>
                <w:rStyle w:val="ECCParagraph"/>
              </w:rPr>
              <w:t>.</w:t>
            </w:r>
            <w:r w:rsidRPr="00ED3A4D">
              <w:rPr>
                <w:rStyle w:val="ECCParagraph"/>
              </w:rPr>
              <w:t>8</w:t>
            </w:r>
          </w:p>
        </w:tc>
        <w:tc>
          <w:tcPr>
            <w:tcW w:w="2381" w:type="dxa"/>
          </w:tcPr>
          <w:p w14:paraId="677B6F0C" w14:textId="4597F350" w:rsidR="00920480" w:rsidRPr="00ED3A4D" w:rsidRDefault="0074357F" w:rsidP="00510D7B">
            <w:pPr>
              <w:pStyle w:val="ECCTabletext"/>
              <w:keepNext/>
              <w:keepLines/>
              <w:rPr>
                <w:rStyle w:val="ECCParagraph"/>
                <w:lang w:eastAsia="en-US"/>
              </w:rPr>
            </w:pPr>
            <w:r w:rsidRPr="00ED3A4D">
              <w:rPr>
                <w:rStyle w:val="ECCParagraph"/>
              </w:rPr>
              <w:t xml:space="preserve"> -168.2</w:t>
            </w:r>
          </w:p>
        </w:tc>
      </w:tr>
      <w:tr w:rsidR="00B822F0" w:rsidRPr="009F052C" w14:paraId="677B6F11" w14:textId="77777777" w:rsidTr="00510D7B">
        <w:tc>
          <w:tcPr>
            <w:tcW w:w="4248" w:type="dxa"/>
          </w:tcPr>
          <w:p w14:paraId="677B6F0E" w14:textId="330B3657" w:rsidR="00B822F0" w:rsidRPr="009F052C" w:rsidRDefault="00B822F0" w:rsidP="00510D7B">
            <w:pPr>
              <w:pStyle w:val="ECCTabletext"/>
              <w:keepNext/>
              <w:keepLines/>
              <w:jc w:val="left"/>
              <w:rPr>
                <w:rStyle w:val="ECCParagraph"/>
                <w:lang w:eastAsia="en-US"/>
              </w:rPr>
            </w:pPr>
            <w:r w:rsidRPr="00ED3A4D">
              <w:rPr>
                <w:rStyle w:val="ECCParagraph"/>
              </w:rPr>
              <w:t xml:space="preserve">AAS without </w:t>
            </w:r>
            <w:r w:rsidR="00E17AEF">
              <w:rPr>
                <w:rStyle w:val="ECCParagraph"/>
              </w:rPr>
              <w:t xml:space="preserve">aerial </w:t>
            </w:r>
            <w:r w:rsidRPr="00ED3A4D">
              <w:rPr>
                <w:rStyle w:val="ECCParagraph"/>
              </w:rPr>
              <w:t>UE</w:t>
            </w:r>
          </w:p>
        </w:tc>
        <w:tc>
          <w:tcPr>
            <w:tcW w:w="2126" w:type="dxa"/>
          </w:tcPr>
          <w:p w14:paraId="677B6F0F" w14:textId="715E1069" w:rsidR="00B822F0" w:rsidRPr="00ED3A4D" w:rsidRDefault="003179AB" w:rsidP="00510D7B">
            <w:pPr>
              <w:pStyle w:val="ECCTabletext"/>
              <w:keepNext/>
              <w:keepLines/>
              <w:rPr>
                <w:rStyle w:val="ECCParagraph"/>
                <w:lang w:eastAsia="en-US"/>
              </w:rPr>
            </w:pPr>
            <w:r w:rsidRPr="00ED3A4D">
              <w:rPr>
                <w:rStyle w:val="ECCParagraph"/>
              </w:rPr>
              <w:t xml:space="preserve"> </w:t>
            </w:r>
            <w:r w:rsidR="00105FC7" w:rsidRPr="00ED3A4D">
              <w:rPr>
                <w:rStyle w:val="ECCParagraph"/>
              </w:rPr>
              <w:t>-175.3</w:t>
            </w:r>
          </w:p>
        </w:tc>
        <w:tc>
          <w:tcPr>
            <w:tcW w:w="2381" w:type="dxa"/>
          </w:tcPr>
          <w:p w14:paraId="677B6F10" w14:textId="1FBF927A" w:rsidR="00B822F0" w:rsidRPr="00ED3A4D" w:rsidRDefault="002F5290" w:rsidP="00510D7B">
            <w:pPr>
              <w:pStyle w:val="ECCTabletext"/>
              <w:keepNext/>
              <w:keepLines/>
              <w:rPr>
                <w:rStyle w:val="ECCParagraph"/>
                <w:lang w:eastAsia="en-US"/>
              </w:rPr>
            </w:pPr>
            <w:r>
              <w:rPr>
                <w:rStyle w:val="ECCParagraph"/>
              </w:rPr>
              <w:t xml:space="preserve"> </w:t>
            </w:r>
            <w:r w:rsidR="0074357F" w:rsidRPr="00ED3A4D">
              <w:rPr>
                <w:rStyle w:val="ECCParagraph"/>
              </w:rPr>
              <w:t>-168.6</w:t>
            </w:r>
          </w:p>
        </w:tc>
      </w:tr>
      <w:tr w:rsidR="00B822F0" w:rsidRPr="009F052C" w14:paraId="677B6F15" w14:textId="77777777" w:rsidTr="00510D7B">
        <w:tc>
          <w:tcPr>
            <w:tcW w:w="4248" w:type="dxa"/>
          </w:tcPr>
          <w:p w14:paraId="677B6F12" w14:textId="50308770" w:rsidR="00B822F0" w:rsidRPr="009F052C" w:rsidRDefault="00B822F0" w:rsidP="00510D7B">
            <w:pPr>
              <w:pStyle w:val="ECCTabletext"/>
              <w:keepNext/>
              <w:keepLines/>
              <w:jc w:val="left"/>
              <w:rPr>
                <w:rStyle w:val="ECCParagraph"/>
                <w:lang w:eastAsia="en-US"/>
              </w:rPr>
            </w:pPr>
            <w:r w:rsidRPr="00ED3A4D">
              <w:rPr>
                <w:rStyle w:val="ECCParagraph"/>
              </w:rPr>
              <w:t xml:space="preserve">non AAS without </w:t>
            </w:r>
            <w:r w:rsidR="00142B48">
              <w:rPr>
                <w:rStyle w:val="ECCParagraph"/>
              </w:rPr>
              <w:t xml:space="preserve">aerial </w:t>
            </w:r>
            <w:r w:rsidRPr="00ED3A4D">
              <w:rPr>
                <w:rStyle w:val="ECCParagraph"/>
              </w:rPr>
              <w:t>UE</w:t>
            </w:r>
          </w:p>
        </w:tc>
        <w:tc>
          <w:tcPr>
            <w:tcW w:w="2126" w:type="dxa"/>
          </w:tcPr>
          <w:p w14:paraId="677B6F13" w14:textId="1DA41E14" w:rsidR="00B822F0" w:rsidRPr="00ED3A4D" w:rsidRDefault="00105FC7" w:rsidP="00510D7B">
            <w:pPr>
              <w:pStyle w:val="ECCTabletext"/>
              <w:keepNext/>
              <w:keepLines/>
              <w:rPr>
                <w:rStyle w:val="ECCParagraph"/>
                <w:lang w:eastAsia="en-US"/>
              </w:rPr>
            </w:pPr>
            <w:r w:rsidRPr="00ED3A4D">
              <w:rPr>
                <w:rStyle w:val="ECCParagraph"/>
              </w:rPr>
              <w:t xml:space="preserve"> -175.2</w:t>
            </w:r>
          </w:p>
        </w:tc>
        <w:tc>
          <w:tcPr>
            <w:tcW w:w="2381" w:type="dxa"/>
          </w:tcPr>
          <w:p w14:paraId="677B6F14" w14:textId="3C22A45B" w:rsidR="00B822F0" w:rsidRPr="00ED3A4D" w:rsidRDefault="0074357F" w:rsidP="00510D7B">
            <w:pPr>
              <w:pStyle w:val="ECCTabletext"/>
              <w:keepNext/>
              <w:keepLines/>
              <w:rPr>
                <w:rStyle w:val="ECCParagraph"/>
                <w:lang w:eastAsia="en-US"/>
              </w:rPr>
            </w:pPr>
            <w:r w:rsidRPr="00ED3A4D">
              <w:rPr>
                <w:rStyle w:val="ECCParagraph"/>
              </w:rPr>
              <w:t xml:space="preserve"> -</w:t>
            </w:r>
            <w:r w:rsidR="004053EC" w:rsidRPr="00ED3A4D">
              <w:rPr>
                <w:rStyle w:val="ECCParagraph"/>
              </w:rPr>
              <w:t>167.1</w:t>
            </w:r>
          </w:p>
        </w:tc>
      </w:tr>
    </w:tbl>
    <w:p w14:paraId="677B6F17" w14:textId="45890829" w:rsidR="0089726E" w:rsidRPr="009F052C" w:rsidRDefault="00B822F0" w:rsidP="00720AED">
      <w:pPr>
        <w:pStyle w:val="ECCBulletsLv1"/>
        <w:numPr>
          <w:ilvl w:val="0"/>
          <w:numId w:val="0"/>
        </w:numPr>
        <w:spacing w:before="240" w:after="60"/>
        <w:rPr>
          <w:rStyle w:val="ECCParagraph"/>
        </w:rPr>
      </w:pPr>
      <w:r w:rsidRPr="009F052C">
        <w:rPr>
          <w:rStyle w:val="ECCParagraph"/>
        </w:rPr>
        <w:t>One can note that</w:t>
      </w:r>
      <w:r w:rsidR="0089726E" w:rsidRPr="009F052C">
        <w:rPr>
          <w:rStyle w:val="ECCParagraph"/>
        </w:rPr>
        <w:t>:</w:t>
      </w:r>
    </w:p>
    <w:p w14:paraId="677B6F18" w14:textId="4109B7F4" w:rsidR="0089726E" w:rsidRPr="00ED3A4D" w:rsidRDefault="0089726E" w:rsidP="000940E0">
      <w:pPr>
        <w:pStyle w:val="ECCLetteredList"/>
        <w:numPr>
          <w:ilvl w:val="1"/>
          <w:numId w:val="24"/>
        </w:numPr>
        <w:ind w:left="340"/>
        <w:rPr>
          <w:rStyle w:val="ECCParagraph"/>
          <w:rFonts w:eastAsia="Calibri"/>
          <w:szCs w:val="22"/>
        </w:rPr>
      </w:pPr>
      <w:r w:rsidRPr="009F052C">
        <w:rPr>
          <w:rStyle w:val="ECCParagraph"/>
        </w:rPr>
        <w:t xml:space="preserve">The </w:t>
      </w:r>
      <w:r w:rsidRPr="003A3EB2">
        <w:rPr>
          <w:rStyle w:val="ECCParagraph"/>
        </w:rPr>
        <w:t>choice</w:t>
      </w:r>
      <w:r w:rsidRPr="009F052C">
        <w:rPr>
          <w:rStyle w:val="ECCParagraph"/>
        </w:rPr>
        <w:t xml:space="preserve"> of deployment methodology </w:t>
      </w:r>
      <w:r w:rsidR="003A3EB2" w:rsidRPr="009F052C">
        <w:rPr>
          <w:rStyle w:val="ECCParagraph"/>
        </w:rPr>
        <w:t>lead</w:t>
      </w:r>
      <w:r w:rsidR="003A3EB2">
        <w:rPr>
          <w:rStyle w:val="ECCParagraph"/>
        </w:rPr>
        <w:t>s</w:t>
      </w:r>
      <w:r w:rsidR="003A3EB2" w:rsidRPr="009F052C">
        <w:rPr>
          <w:rStyle w:val="ECCParagraph"/>
        </w:rPr>
        <w:t xml:space="preserve"> </w:t>
      </w:r>
      <w:r w:rsidRPr="009F052C">
        <w:rPr>
          <w:rStyle w:val="ECCParagraph"/>
        </w:rPr>
        <w:t xml:space="preserve">to a difference of 6-7 </w:t>
      </w:r>
      <w:r w:rsidRPr="00526312">
        <w:rPr>
          <w:rStyle w:val="ECCParagraph"/>
        </w:rPr>
        <w:t xml:space="preserve">dB </w:t>
      </w:r>
      <w:r w:rsidR="001D0920" w:rsidRPr="00526312">
        <w:rPr>
          <w:rStyle w:val="ECCParagraph"/>
        </w:rPr>
        <w:t xml:space="preserve">regardless of </w:t>
      </w:r>
      <w:r w:rsidRPr="00526312">
        <w:rPr>
          <w:rStyle w:val="ECCParagraph"/>
        </w:rPr>
        <w:t>the</w:t>
      </w:r>
      <w:r w:rsidRPr="009F052C">
        <w:rPr>
          <w:rStyle w:val="ECCParagraph"/>
        </w:rPr>
        <w:t xml:space="preserve"> other parameters (BS configuration, </w:t>
      </w:r>
      <w:r w:rsidR="002F5290">
        <w:rPr>
          <w:rStyle w:val="ECCParagraph"/>
        </w:rPr>
        <w:t>a</w:t>
      </w:r>
      <w:r w:rsidRPr="009F052C">
        <w:rPr>
          <w:rStyle w:val="ECCParagraph"/>
        </w:rPr>
        <w:t xml:space="preserve">erial UE </w:t>
      </w:r>
      <w:r w:rsidR="002F5290">
        <w:rPr>
          <w:rStyle w:val="ECCParagraph"/>
        </w:rPr>
        <w:t>s</w:t>
      </w:r>
      <w:r w:rsidRPr="009F052C">
        <w:rPr>
          <w:rStyle w:val="ECCParagraph"/>
        </w:rPr>
        <w:t xml:space="preserve">ervice or not, </w:t>
      </w:r>
      <w:r w:rsidR="002F5290">
        <w:rPr>
          <w:rStyle w:val="ECCParagraph"/>
        </w:rPr>
        <w:t>c</w:t>
      </w:r>
      <w:r w:rsidRPr="009F052C">
        <w:rPr>
          <w:rStyle w:val="ECCParagraph"/>
        </w:rPr>
        <w:t>lutter attenuation or not)</w:t>
      </w:r>
      <w:r w:rsidR="00E17AEF">
        <w:rPr>
          <w:rStyle w:val="ECCParagraph"/>
        </w:rPr>
        <w:t>.</w:t>
      </w:r>
    </w:p>
    <w:p w14:paraId="677B6F19" w14:textId="1D852BE7" w:rsidR="0089726E" w:rsidRPr="00ED3A4D" w:rsidRDefault="0089726E" w:rsidP="000940E0">
      <w:pPr>
        <w:pStyle w:val="ECCLetteredList"/>
        <w:ind w:left="340"/>
        <w:rPr>
          <w:rStyle w:val="ECCParagraph"/>
        </w:rPr>
      </w:pPr>
      <w:r w:rsidRPr="009F052C">
        <w:rPr>
          <w:rStyle w:val="ECCParagraph"/>
        </w:rPr>
        <w:t>The AAS BS serving ground-based UE generat</w:t>
      </w:r>
      <w:r w:rsidR="004E16F9">
        <w:rPr>
          <w:rStyle w:val="ECCParagraph"/>
        </w:rPr>
        <w:t>es</w:t>
      </w:r>
      <w:r w:rsidRPr="009F052C">
        <w:rPr>
          <w:rStyle w:val="ECCParagraph"/>
        </w:rPr>
        <w:t xml:space="preserve"> less interferences (in the range of 0 to </w:t>
      </w:r>
      <w:r w:rsidR="00680865" w:rsidRPr="00ED3A4D">
        <w:rPr>
          <w:rStyle w:val="ECCParagraph"/>
        </w:rPr>
        <w:t>1.5</w:t>
      </w:r>
      <w:r w:rsidRPr="009F052C">
        <w:rPr>
          <w:rStyle w:val="ECCParagraph"/>
        </w:rPr>
        <w:t xml:space="preserve"> dB) than non-AAS BS serving </w:t>
      </w:r>
      <w:r w:rsidRPr="00D024B6">
        <w:rPr>
          <w:rStyle w:val="ECCParagraph"/>
        </w:rPr>
        <w:t>ground</w:t>
      </w:r>
      <w:r w:rsidRPr="009F052C">
        <w:rPr>
          <w:rStyle w:val="ECCParagraph"/>
        </w:rPr>
        <w:t>-based UE</w:t>
      </w:r>
      <w:r w:rsidR="00E17AEF">
        <w:rPr>
          <w:rStyle w:val="ECCParagraph"/>
        </w:rPr>
        <w:t>.</w:t>
      </w:r>
    </w:p>
    <w:p w14:paraId="677B6F1A" w14:textId="18E5BA2A" w:rsidR="0089726E" w:rsidRPr="009F052C" w:rsidRDefault="00D1557B" w:rsidP="000940E0">
      <w:pPr>
        <w:pStyle w:val="ECCLetteredList"/>
        <w:ind w:left="340"/>
        <w:rPr>
          <w:rStyle w:val="ECCParagraph"/>
        </w:rPr>
      </w:pPr>
      <w:r w:rsidRPr="00ED3A4D">
        <w:rPr>
          <w:rStyle w:val="ECCParagraph"/>
        </w:rPr>
        <w:t xml:space="preserve">When serving </w:t>
      </w:r>
      <w:r w:rsidR="002F5290">
        <w:rPr>
          <w:rStyle w:val="ECCParagraph"/>
        </w:rPr>
        <w:t>a</w:t>
      </w:r>
      <w:r w:rsidRPr="00ED3A4D">
        <w:rPr>
          <w:rStyle w:val="ECCParagraph"/>
        </w:rPr>
        <w:t xml:space="preserve">erial </w:t>
      </w:r>
      <w:r w:rsidRPr="008F3F9C">
        <w:rPr>
          <w:rStyle w:val="ECCParagraph"/>
        </w:rPr>
        <w:t>UE</w:t>
      </w:r>
      <w:r w:rsidRPr="00ED3A4D">
        <w:rPr>
          <w:rStyle w:val="ECCParagraph"/>
        </w:rPr>
        <w:t xml:space="preserve"> and for a reasonable density of </w:t>
      </w:r>
      <w:r w:rsidR="00B82DDE">
        <w:rPr>
          <w:rStyle w:val="ECCParagraph"/>
        </w:rPr>
        <w:t>a</w:t>
      </w:r>
      <w:r w:rsidRPr="00ED3A4D">
        <w:rPr>
          <w:rStyle w:val="ECCParagraph"/>
        </w:rPr>
        <w:t>erial UE</w:t>
      </w:r>
      <w:r w:rsidR="00680865" w:rsidRPr="00ED3A4D">
        <w:rPr>
          <w:rStyle w:val="ECCParagraph"/>
        </w:rPr>
        <w:t xml:space="preserve"> (i.e. 6.7%)</w:t>
      </w:r>
      <w:r w:rsidRPr="00ED3A4D">
        <w:rPr>
          <w:rStyle w:val="ECCParagraph"/>
        </w:rPr>
        <w:t xml:space="preserve">, AAS BS </w:t>
      </w:r>
      <w:r w:rsidR="0050150F" w:rsidRPr="00ED3A4D">
        <w:rPr>
          <w:rStyle w:val="ECCParagraph"/>
        </w:rPr>
        <w:t>generat</w:t>
      </w:r>
      <w:r w:rsidR="0050150F">
        <w:rPr>
          <w:rStyle w:val="ECCParagraph"/>
        </w:rPr>
        <w:t>e</w:t>
      </w:r>
      <w:r w:rsidR="0050150F" w:rsidRPr="00ED3A4D">
        <w:rPr>
          <w:rStyle w:val="ECCParagraph"/>
        </w:rPr>
        <w:t xml:space="preserve"> </w:t>
      </w:r>
      <w:r w:rsidR="00680865" w:rsidRPr="00ED3A4D">
        <w:rPr>
          <w:rStyle w:val="ECCParagraph"/>
        </w:rPr>
        <w:t>limited additional interference</w:t>
      </w:r>
      <w:r w:rsidRPr="00ED3A4D">
        <w:rPr>
          <w:rStyle w:val="ECCParagraph"/>
        </w:rPr>
        <w:t xml:space="preserve"> (up to </w:t>
      </w:r>
      <w:r w:rsidR="00680865" w:rsidRPr="00ED3A4D">
        <w:rPr>
          <w:rStyle w:val="ECCParagraph"/>
        </w:rPr>
        <w:t>0.5</w:t>
      </w:r>
      <w:r w:rsidRPr="00ED3A4D">
        <w:rPr>
          <w:rStyle w:val="ECCParagraph"/>
        </w:rPr>
        <w:t xml:space="preserve"> dB) </w:t>
      </w:r>
      <w:r w:rsidR="004E16F9">
        <w:rPr>
          <w:rStyle w:val="ECCParagraph"/>
        </w:rPr>
        <w:t>compared to</w:t>
      </w:r>
      <w:r w:rsidRPr="00ED3A4D">
        <w:rPr>
          <w:rStyle w:val="ECCParagraph"/>
        </w:rPr>
        <w:t xml:space="preserve"> </w:t>
      </w:r>
      <w:r w:rsidR="00680865" w:rsidRPr="00ED3A4D">
        <w:rPr>
          <w:rStyle w:val="ECCParagraph"/>
        </w:rPr>
        <w:t xml:space="preserve">when </w:t>
      </w:r>
      <w:r w:rsidRPr="00ED3A4D">
        <w:rPr>
          <w:rStyle w:val="ECCParagraph"/>
        </w:rPr>
        <w:t>serving</w:t>
      </w:r>
      <w:r w:rsidR="00680865" w:rsidRPr="00ED3A4D">
        <w:rPr>
          <w:rStyle w:val="ECCParagraph"/>
        </w:rPr>
        <w:t xml:space="preserve"> only</w:t>
      </w:r>
      <w:r w:rsidRPr="00ED3A4D">
        <w:rPr>
          <w:rStyle w:val="ECCParagraph"/>
        </w:rPr>
        <w:t xml:space="preserve"> ground-based UE</w:t>
      </w:r>
      <w:r w:rsidR="00E17AEF">
        <w:rPr>
          <w:rStyle w:val="ECCParagraph"/>
        </w:rPr>
        <w:t>.</w:t>
      </w:r>
    </w:p>
    <w:p w14:paraId="677B6F1D" w14:textId="77777777" w:rsidR="00B822F0" w:rsidRDefault="00B822F0" w:rsidP="008A41F5">
      <w:pPr>
        <w:pStyle w:val="ECCAnnexheading2"/>
      </w:pPr>
      <w:r>
        <w:t>Conclusion</w:t>
      </w:r>
    </w:p>
    <w:p w14:paraId="677B6F1E" w14:textId="5FD593DB" w:rsidR="004053EC" w:rsidRPr="009F052C" w:rsidRDefault="00B822F0" w:rsidP="00B822F0">
      <w:pPr>
        <w:rPr>
          <w:rStyle w:val="ECCParagraph"/>
        </w:rPr>
      </w:pPr>
      <w:r w:rsidRPr="009F052C">
        <w:rPr>
          <w:rStyle w:val="ECCParagraph"/>
        </w:rPr>
        <w:t>The results in the table</w:t>
      </w:r>
      <w:r w:rsidR="001F7F54" w:rsidRPr="009F052C">
        <w:rPr>
          <w:rStyle w:val="ECCParagraph"/>
        </w:rPr>
        <w:t>s above</w:t>
      </w:r>
      <w:r w:rsidRPr="009F052C">
        <w:rPr>
          <w:rStyle w:val="ECCParagraph"/>
        </w:rPr>
        <w:t xml:space="preserve"> show that the coverage of aerial UE by AAS BS in addition to their current coverage of terrestrial UE causes a slight increase of </w:t>
      </w:r>
      <w:r w:rsidR="001F7F54" w:rsidRPr="009F052C">
        <w:rPr>
          <w:rStyle w:val="ECCParagraph"/>
        </w:rPr>
        <w:t xml:space="preserve">co-channel </w:t>
      </w:r>
      <w:r w:rsidRPr="009F052C">
        <w:rPr>
          <w:rStyle w:val="ECCParagraph"/>
        </w:rPr>
        <w:t xml:space="preserve">interference of about </w:t>
      </w:r>
      <w:r w:rsidR="00C21E63" w:rsidRPr="009F052C">
        <w:rPr>
          <w:rStyle w:val="ECCParagraph"/>
        </w:rPr>
        <w:t xml:space="preserve">0.5 dB, </w:t>
      </w:r>
      <w:r w:rsidR="00695F62" w:rsidRPr="009F052C">
        <w:rPr>
          <w:rStyle w:val="ECCParagraph"/>
        </w:rPr>
        <w:t xml:space="preserve">considering a </w:t>
      </w:r>
      <w:r w:rsidR="00A26B87" w:rsidRPr="009F052C">
        <w:rPr>
          <w:rStyle w:val="ECCParagraph"/>
        </w:rPr>
        <w:t>reasonable</w:t>
      </w:r>
      <w:r w:rsidR="00C21E63" w:rsidRPr="009F052C">
        <w:rPr>
          <w:rStyle w:val="ECCParagraph"/>
        </w:rPr>
        <w:t xml:space="preserve"> aerial UE density,</w:t>
      </w:r>
      <w:r w:rsidRPr="009F052C">
        <w:rPr>
          <w:rStyle w:val="ECCParagraph"/>
        </w:rPr>
        <w:t xml:space="preserve"> compared to the AAS BS deployments covering only terrestrial UE.</w:t>
      </w:r>
    </w:p>
    <w:p w14:paraId="677B6F1F" w14:textId="50B22C44" w:rsidR="00B822F0" w:rsidRPr="009F052C" w:rsidRDefault="001F7F54" w:rsidP="00B822F0">
      <w:pPr>
        <w:rPr>
          <w:rStyle w:val="ECCParagraph"/>
        </w:rPr>
      </w:pPr>
      <w:r w:rsidRPr="009F052C">
        <w:rPr>
          <w:rStyle w:val="ECCParagraph"/>
        </w:rPr>
        <w:t>Moreover</w:t>
      </w:r>
      <w:r w:rsidR="00B822F0" w:rsidRPr="009F052C">
        <w:rPr>
          <w:rStyle w:val="ECCParagraph"/>
        </w:rPr>
        <w:t xml:space="preserve">, the use of AAS BS for the coverage of aerial UE does not cause more </w:t>
      </w:r>
      <w:r w:rsidR="004053EC" w:rsidRPr="009F052C">
        <w:rPr>
          <w:rStyle w:val="ECCParagraph"/>
        </w:rPr>
        <w:t xml:space="preserve">co-channel </w:t>
      </w:r>
      <w:r w:rsidR="00B822F0" w:rsidRPr="009F052C">
        <w:rPr>
          <w:rStyle w:val="ECCParagraph"/>
        </w:rPr>
        <w:t>interference than the current use of non-AAS BS covering terrestrial UE.</w:t>
      </w:r>
    </w:p>
    <w:p w14:paraId="677B6F21" w14:textId="02CC85A1" w:rsidR="004566D4" w:rsidRPr="0053007A" w:rsidRDefault="00B822F0" w:rsidP="004566D4">
      <w:r w:rsidRPr="009F052C">
        <w:rPr>
          <w:rStyle w:val="ECCParagraph"/>
        </w:rPr>
        <w:t xml:space="preserve">Thus, </w:t>
      </w:r>
      <w:r w:rsidR="004053EC" w:rsidRPr="009F052C">
        <w:rPr>
          <w:rStyle w:val="ECCParagraph"/>
        </w:rPr>
        <w:t xml:space="preserve">considering the similar behaviour of AAS and non-AAS base stations in the </w:t>
      </w:r>
      <w:r w:rsidR="00476226" w:rsidRPr="009F052C">
        <w:rPr>
          <w:rStyle w:val="ECCParagraph"/>
        </w:rPr>
        <w:t>out</w:t>
      </w:r>
      <w:r w:rsidR="00476226">
        <w:rPr>
          <w:rStyle w:val="ECCParagraph"/>
        </w:rPr>
        <w:t>-</w:t>
      </w:r>
      <w:r w:rsidR="004053EC" w:rsidRPr="009F052C">
        <w:rPr>
          <w:rStyle w:val="ECCParagraph"/>
        </w:rPr>
        <w:t>of</w:t>
      </w:r>
      <w:r w:rsidR="00476226">
        <w:rPr>
          <w:rStyle w:val="ECCParagraph"/>
        </w:rPr>
        <w:t>-</w:t>
      </w:r>
      <w:r w:rsidR="004053EC" w:rsidRPr="009F052C">
        <w:rPr>
          <w:rStyle w:val="ECCParagraph"/>
        </w:rPr>
        <w:t xml:space="preserve">band domain, </w:t>
      </w:r>
      <w:r w:rsidRPr="009F052C">
        <w:rPr>
          <w:rStyle w:val="ECCParagraph"/>
        </w:rPr>
        <w:t>the coverage of aerial UE in addition to the current coverage of terrestrial UE by AAS BS does not change the current interference environment and would not cause additional interference to satellite receivers.</w:t>
      </w:r>
    </w:p>
    <w:p w14:paraId="677B6F24" w14:textId="3BCD1D31" w:rsidR="008A54FC" w:rsidRPr="00BC03FD" w:rsidRDefault="008A54FC" w:rsidP="00E2303A">
      <w:pPr>
        <w:pStyle w:val="ECCAnnexheading1"/>
        <w:rPr>
          <w:lang w:val="en-GB"/>
        </w:rPr>
      </w:pPr>
      <w:bookmarkStart w:id="66" w:name="_Toc380059620"/>
      <w:bookmarkStart w:id="67" w:name="_Toc380059762"/>
      <w:bookmarkStart w:id="68" w:name="_Toc396383876"/>
      <w:bookmarkStart w:id="69" w:name="_Toc396917309"/>
      <w:bookmarkStart w:id="70" w:name="_Toc396917420"/>
      <w:bookmarkStart w:id="71" w:name="_Toc396917640"/>
      <w:bookmarkStart w:id="72" w:name="_Toc396917655"/>
      <w:bookmarkStart w:id="73" w:name="_Toc396917760"/>
      <w:bookmarkStart w:id="74" w:name="_Toc119582856"/>
      <w:bookmarkEnd w:id="55"/>
      <w:bookmarkEnd w:id="56"/>
      <w:bookmarkEnd w:id="57"/>
      <w:r w:rsidRPr="00BC03FD">
        <w:rPr>
          <w:lang w:val="en-GB"/>
        </w:rPr>
        <w:lastRenderedPageBreak/>
        <w:t xml:space="preserve">List of </w:t>
      </w:r>
      <w:r w:rsidR="00C72D9E" w:rsidRPr="00BC03FD">
        <w:rPr>
          <w:lang w:val="en-GB"/>
        </w:rPr>
        <w:t>R</w:t>
      </w:r>
      <w:r w:rsidRPr="00BC03FD">
        <w:rPr>
          <w:lang w:val="en-GB"/>
        </w:rPr>
        <w:t>eference</w:t>
      </w:r>
      <w:bookmarkEnd w:id="66"/>
      <w:bookmarkEnd w:id="67"/>
      <w:bookmarkEnd w:id="68"/>
      <w:bookmarkEnd w:id="69"/>
      <w:bookmarkEnd w:id="70"/>
      <w:bookmarkEnd w:id="71"/>
      <w:bookmarkEnd w:id="72"/>
      <w:bookmarkEnd w:id="73"/>
      <w:r w:rsidR="00850BF7">
        <w:t>s</w:t>
      </w:r>
      <w:bookmarkEnd w:id="74"/>
    </w:p>
    <w:bookmarkStart w:id="75" w:name="_Ref103695367"/>
    <w:p w14:paraId="677B6F26" w14:textId="3068D50E" w:rsidR="00CD28AE" w:rsidRPr="004369A0" w:rsidRDefault="007830A1" w:rsidP="00510D7B">
      <w:pPr>
        <w:pStyle w:val="ECCReference"/>
        <w:spacing w:before="60" w:after="60"/>
      </w:pPr>
      <w:r w:rsidRPr="004369A0">
        <w:fldChar w:fldCharType="begin"/>
      </w:r>
      <w:r w:rsidR="004369A0" w:rsidRPr="004369A0">
        <w:instrText>HYPERLINK "https://docdb.cept.org/document/406"</w:instrText>
      </w:r>
      <w:r w:rsidRPr="004369A0">
        <w:fldChar w:fldCharType="separate"/>
      </w:r>
      <w:r w:rsidR="004369A0" w:rsidRPr="004369A0">
        <w:rPr>
          <w:rStyle w:val="Hyperlink"/>
        </w:rPr>
        <w:t>ECC Decision (06)13</w:t>
      </w:r>
      <w:r w:rsidRPr="004369A0">
        <w:fldChar w:fldCharType="end"/>
      </w:r>
      <w:r w:rsidR="00830549" w:rsidRPr="004369A0">
        <w:t xml:space="preserve">: </w:t>
      </w:r>
      <w:r w:rsidR="007F2BB8" w:rsidRPr="004369A0">
        <w:t>“</w:t>
      </w:r>
      <w:r w:rsidR="00021E50">
        <w:t>H</w:t>
      </w:r>
      <w:r w:rsidR="007F2BB8" w:rsidRPr="004369A0">
        <w:t>armonised technical conditions for mobile/fixed communications networks (MFCN) including terrestrial IMT systems, other than GSM and EC-GSM IoT, in the bands 880-915/925-960 MHz and 1710-1785/1805-1880 MHz</w:t>
      </w:r>
      <w:r w:rsidR="008B60BE" w:rsidRPr="008B60BE">
        <w:t>”</w:t>
      </w:r>
      <w:r w:rsidR="007F2BB8" w:rsidRPr="004369A0">
        <w:t xml:space="preserve">, </w:t>
      </w:r>
      <w:r w:rsidR="00021E50">
        <w:t xml:space="preserve">approved December </w:t>
      </w:r>
      <w:r w:rsidR="00021E50" w:rsidRPr="004369A0">
        <w:t>200</w:t>
      </w:r>
      <w:r w:rsidR="00021E50">
        <w:t xml:space="preserve">6, </w:t>
      </w:r>
      <w:r w:rsidR="007F2BB8" w:rsidRPr="004369A0">
        <w:t>latest amended March 2022</w:t>
      </w:r>
      <w:bookmarkEnd w:id="75"/>
    </w:p>
    <w:bookmarkStart w:id="76" w:name="_Ref103695429"/>
    <w:p w14:paraId="677B6F28" w14:textId="23AC172B" w:rsidR="008A54FC" w:rsidRPr="004369A0" w:rsidRDefault="00B20329" w:rsidP="00510D7B">
      <w:pPr>
        <w:pStyle w:val="ECCReference"/>
        <w:spacing w:before="60" w:after="60"/>
      </w:pPr>
      <w:r w:rsidRPr="004369A0">
        <w:fldChar w:fldCharType="begin"/>
      </w:r>
      <w:r w:rsidR="004369A0" w:rsidRPr="004369A0">
        <w:instrText>HYPERLINK "https://docdb.cept.org/document/394"</w:instrText>
      </w:r>
      <w:r w:rsidRPr="004369A0">
        <w:fldChar w:fldCharType="separate"/>
      </w:r>
      <w:r w:rsidR="004369A0" w:rsidRPr="004369A0">
        <w:rPr>
          <w:rStyle w:val="Hyperlink"/>
        </w:rPr>
        <w:t>ECC Decision (06)01</w:t>
      </w:r>
      <w:r w:rsidRPr="004369A0">
        <w:fldChar w:fldCharType="end"/>
      </w:r>
      <w:r w:rsidR="00A06DCA" w:rsidRPr="004369A0">
        <w:t>: “</w:t>
      </w:r>
      <w:r w:rsidR="00387B09">
        <w:t>T</w:t>
      </w:r>
      <w:r w:rsidR="00A06DCA" w:rsidRPr="004369A0">
        <w:t xml:space="preserve">he harmonised utilisation of the bands1920-1980 MHz and 2110-2170 MHz for mobile/fixed communications networks (MFCN) including terrestrial IMT”, </w:t>
      </w:r>
      <w:r w:rsidR="00387B09">
        <w:t xml:space="preserve">approved March </w:t>
      </w:r>
      <w:r w:rsidR="00387B09" w:rsidRPr="004369A0">
        <w:t>200</w:t>
      </w:r>
      <w:r w:rsidR="00387B09">
        <w:t xml:space="preserve">6, </w:t>
      </w:r>
      <w:r w:rsidR="00A06DCA" w:rsidRPr="004369A0">
        <w:t>latest amended on 8 March 2019.</w:t>
      </w:r>
      <w:bookmarkEnd w:id="76"/>
    </w:p>
    <w:bookmarkStart w:id="77" w:name="_Ref107478128"/>
    <w:bookmarkStart w:id="78" w:name="_Ref103695483"/>
    <w:p w14:paraId="677B6F2A" w14:textId="580D0B99" w:rsidR="00CD28AE" w:rsidRDefault="005F5DE7" w:rsidP="00510D7B">
      <w:pPr>
        <w:pStyle w:val="ECCReference"/>
        <w:spacing w:before="60" w:after="60"/>
      </w:pPr>
      <w:r w:rsidRPr="004369A0">
        <w:fldChar w:fldCharType="begin"/>
      </w:r>
      <w:r w:rsidR="004369A0" w:rsidRPr="004369A0">
        <w:instrText>HYPERLINK "https://docdb.cept.org/document/388"</w:instrText>
      </w:r>
      <w:r w:rsidRPr="004369A0">
        <w:fldChar w:fldCharType="separate"/>
      </w:r>
      <w:r w:rsidR="004369A0" w:rsidRPr="004369A0">
        <w:rPr>
          <w:rStyle w:val="Hyperlink"/>
        </w:rPr>
        <w:t>ECC Decision (05)05</w:t>
      </w:r>
      <w:r w:rsidRPr="004369A0">
        <w:fldChar w:fldCharType="end"/>
      </w:r>
      <w:r w:rsidR="000C0B1A" w:rsidRPr="004369A0">
        <w:t>: “</w:t>
      </w:r>
      <w:r w:rsidR="00021E50">
        <w:t>H</w:t>
      </w:r>
      <w:r w:rsidR="0052130B" w:rsidRPr="004369A0">
        <w:t>armonised utilisation of spectrum for Mobile/Fixed Communications Networks (MFCN) operating within the band 2500-2690 MHz</w:t>
      </w:r>
      <w:r w:rsidR="008B60BE" w:rsidRPr="008B60BE">
        <w:t>”</w:t>
      </w:r>
      <w:r w:rsidR="0052130B" w:rsidRPr="004369A0">
        <w:t xml:space="preserve">, </w:t>
      </w:r>
      <w:r w:rsidR="002F77FD">
        <w:t xml:space="preserve">approved </w:t>
      </w:r>
      <w:r w:rsidR="002F77FD" w:rsidRPr="004369A0">
        <w:t>March 2005</w:t>
      </w:r>
      <w:r w:rsidR="002F77FD">
        <w:t xml:space="preserve">, </w:t>
      </w:r>
      <w:r w:rsidR="0052130B" w:rsidRPr="004369A0">
        <w:t>latest corrected March 2022</w:t>
      </w:r>
      <w:bookmarkEnd w:id="77"/>
      <w:bookmarkEnd w:id="78"/>
    </w:p>
    <w:bookmarkStart w:id="79" w:name="_Ref103342543"/>
    <w:bookmarkStart w:id="80" w:name="_Ref103695135"/>
    <w:p w14:paraId="54E58C83" w14:textId="77777777" w:rsidR="0088544B" w:rsidRPr="004369A0" w:rsidRDefault="0088544B" w:rsidP="002618D1">
      <w:pPr>
        <w:pStyle w:val="reference"/>
        <w:numPr>
          <w:ilvl w:val="0"/>
          <w:numId w:val="5"/>
        </w:numPr>
        <w:spacing w:before="60" w:after="60"/>
      </w:pPr>
      <w:r w:rsidRPr="004369A0">
        <w:fldChar w:fldCharType="begin"/>
      </w:r>
      <w:r w:rsidRPr="004369A0">
        <w:instrText>HYPERLINK "https://docdb.cept.org/document/15236"</w:instrText>
      </w:r>
      <w:r w:rsidRPr="004369A0">
        <w:fldChar w:fldCharType="separate"/>
      </w:r>
      <w:r w:rsidRPr="004369A0">
        <w:rPr>
          <w:rStyle w:val="Hyperlink"/>
        </w:rPr>
        <w:t>ECC Report 309</w:t>
      </w:r>
      <w:r w:rsidRPr="004369A0">
        <w:fldChar w:fldCharType="end"/>
      </w:r>
      <w:bookmarkEnd w:id="79"/>
      <w:r w:rsidRPr="004369A0">
        <w:t>: “Analysis of the usage of aerial UE for communication in current MFCN harmonised bands</w:t>
      </w:r>
      <w:r>
        <w:t xml:space="preserve">”, </w:t>
      </w:r>
      <w:r w:rsidRPr="004369A0">
        <w:t>approved July 2020</w:t>
      </w:r>
      <w:bookmarkEnd w:id="80"/>
    </w:p>
    <w:bookmarkStart w:id="81" w:name="_Ref104305284"/>
    <w:bookmarkStart w:id="82" w:name="_Ref103695497"/>
    <w:bookmarkStart w:id="83" w:name="_Ref103342414"/>
    <w:p w14:paraId="5DC3D97F" w14:textId="77777777" w:rsidR="00AD618C" w:rsidRPr="000455DE" w:rsidRDefault="00AD618C" w:rsidP="002618D1">
      <w:pPr>
        <w:pStyle w:val="ECCReference"/>
        <w:spacing w:before="60" w:after="60"/>
        <w:rPr>
          <w:rStyle w:val="ECCParagraph"/>
          <w:rFonts w:eastAsia="Times New Roman"/>
          <w:szCs w:val="24"/>
        </w:rPr>
      </w:pPr>
      <w:r>
        <w:rPr>
          <w:rStyle w:val="ECCParagraph"/>
        </w:rPr>
        <w:fldChar w:fldCharType="begin"/>
      </w:r>
      <w:r>
        <w:rPr>
          <w:rStyle w:val="ECCParagraph"/>
        </w:rPr>
        <w:instrText>HYPERLINK "https://docdb.cept.org/document/12367"</w:instrText>
      </w:r>
      <w:r>
        <w:rPr>
          <w:rStyle w:val="ECCParagraph"/>
        </w:rPr>
      </w:r>
      <w:r>
        <w:rPr>
          <w:rStyle w:val="ECCParagraph"/>
        </w:rPr>
        <w:fldChar w:fldCharType="separate"/>
      </w:r>
      <w:r>
        <w:rPr>
          <w:rStyle w:val="Hyperlink"/>
        </w:rPr>
        <w:t>CEPT Report 72</w:t>
      </w:r>
      <w:r>
        <w:rPr>
          <w:rStyle w:val="ECCParagraph"/>
        </w:rPr>
        <w:fldChar w:fldCharType="end"/>
      </w:r>
      <w:r>
        <w:rPr>
          <w:rStyle w:val="ECCParagraph"/>
        </w:rPr>
        <w:t>: “</w:t>
      </w:r>
      <w:r w:rsidRPr="000455DE">
        <w:rPr>
          <w:rStyle w:val="ECCParagraph"/>
          <w:rFonts w:eastAsia="Times New Roman"/>
          <w:szCs w:val="24"/>
        </w:rPr>
        <w:t>Report from CEPT to the European Commission in response to the Mandate</w:t>
      </w:r>
      <w:bookmarkEnd w:id="81"/>
    </w:p>
    <w:p w14:paraId="3D7BB27B" w14:textId="77777777" w:rsidR="00AD618C" w:rsidRDefault="00AD618C" w:rsidP="00F477AC">
      <w:pPr>
        <w:pStyle w:val="ECCReference"/>
        <w:numPr>
          <w:ilvl w:val="0"/>
          <w:numId w:val="0"/>
        </w:numPr>
        <w:spacing w:before="20" w:after="20"/>
        <w:ind w:left="397"/>
        <w:rPr>
          <w:rStyle w:val="ECCParagraph"/>
          <w:rFonts w:eastAsia="Times New Roman"/>
          <w:szCs w:val="24"/>
        </w:rPr>
      </w:pPr>
      <w:r w:rsidRPr="000455DE">
        <w:rPr>
          <w:rStyle w:val="ECCParagraph"/>
          <w:rFonts w:eastAsia="Times New Roman"/>
          <w:szCs w:val="24"/>
        </w:rPr>
        <w:t>“to review the harmonised technical conditions for certain EU-harmonised frequency bands and to develop least restrictive harmonised technical conditions suitable for next-generation (5G) terrestrial wireless systems”</w:t>
      </w:r>
      <w:r>
        <w:rPr>
          <w:rStyle w:val="ECCParagraph"/>
          <w:rFonts w:eastAsia="Times New Roman"/>
          <w:szCs w:val="24"/>
        </w:rPr>
        <w:t xml:space="preserve"> </w:t>
      </w:r>
    </w:p>
    <w:p w14:paraId="38C7CD2B" w14:textId="67C1C9EC" w:rsidR="00AD618C" w:rsidRDefault="00AD618C" w:rsidP="00F477AC">
      <w:pPr>
        <w:pStyle w:val="ECCReference"/>
        <w:numPr>
          <w:ilvl w:val="0"/>
          <w:numId w:val="0"/>
        </w:numPr>
        <w:spacing w:before="20" w:after="20"/>
        <w:ind w:left="397"/>
      </w:pPr>
      <w:r w:rsidRPr="000455DE">
        <w:rPr>
          <w:rStyle w:val="ECCParagraph"/>
          <w:rFonts w:eastAsia="Times New Roman"/>
          <w:szCs w:val="24"/>
        </w:rPr>
        <w:t>Report A: Review of technical conditions in the paired terrestrial 2 GHz and the 2.6 GHz frequency bands, and the usage feasibility of the 900 MHz and 1800 MHz frequency bands</w:t>
      </w:r>
      <w:r w:rsidR="008B60BE" w:rsidRPr="008B60BE">
        <w:t>”</w:t>
      </w:r>
      <w:r>
        <w:rPr>
          <w:rStyle w:val="ECCParagraph"/>
          <w:rFonts w:eastAsia="Times New Roman"/>
          <w:szCs w:val="24"/>
        </w:rPr>
        <w:t>, approved July 2019</w:t>
      </w:r>
      <w:r>
        <w:rPr>
          <w:rStyle w:val="ECCParagraph"/>
        </w:rPr>
        <w:t xml:space="preserve"> </w:t>
      </w:r>
    </w:p>
    <w:bookmarkStart w:id="84" w:name="_Ref104305307"/>
    <w:p w14:paraId="3DF629B8" w14:textId="24FD7253" w:rsidR="00E73E6F" w:rsidRDefault="00E73E6F" w:rsidP="002618D1">
      <w:pPr>
        <w:pStyle w:val="reference"/>
        <w:numPr>
          <w:ilvl w:val="0"/>
          <w:numId w:val="5"/>
        </w:numPr>
        <w:spacing w:before="60" w:after="60"/>
        <w:jc w:val="both"/>
      </w:pPr>
      <w:r w:rsidRPr="004369A0">
        <w:fldChar w:fldCharType="begin"/>
      </w:r>
      <w:r w:rsidRPr="004369A0">
        <w:instrText xml:space="preserve"> HYPERLINK "https://docdb.cept.org/document/13861" </w:instrText>
      </w:r>
      <w:r w:rsidRPr="004369A0">
        <w:fldChar w:fldCharType="separate"/>
      </w:r>
      <w:r w:rsidRPr="004369A0">
        <w:rPr>
          <w:rStyle w:val="Hyperlink"/>
        </w:rPr>
        <w:t>ECC Report 308</w:t>
      </w:r>
      <w:r w:rsidRPr="004369A0">
        <w:rPr>
          <w:rStyle w:val="Hyperlink"/>
        </w:rPr>
        <w:fldChar w:fldCharType="end"/>
      </w:r>
      <w:r w:rsidRPr="004369A0">
        <w:t>: “Analysis of the suitability and update of the regulatory technical conditions for 5G MFCN and AAS operation in the 2500-2690 MHz band</w:t>
      </w:r>
      <w:r w:rsidR="008B60BE" w:rsidRPr="008B60BE">
        <w:t>”</w:t>
      </w:r>
      <w:r w:rsidRPr="004369A0">
        <w:t>, approved March 2020</w:t>
      </w:r>
      <w:bookmarkEnd w:id="82"/>
      <w:bookmarkEnd w:id="84"/>
    </w:p>
    <w:bookmarkStart w:id="85" w:name="_Ref103339015"/>
    <w:bookmarkEnd w:id="83"/>
    <w:p w14:paraId="7942BDCC" w14:textId="71C302AE" w:rsidR="00FC3A9F" w:rsidRDefault="00FC3A9F" w:rsidP="002618D1">
      <w:pPr>
        <w:pStyle w:val="reference"/>
        <w:numPr>
          <w:ilvl w:val="0"/>
          <w:numId w:val="5"/>
        </w:numPr>
        <w:spacing w:before="60" w:after="60"/>
        <w:jc w:val="both"/>
      </w:pPr>
      <w:r w:rsidRPr="004369A0">
        <w:fldChar w:fldCharType="begin"/>
      </w:r>
      <w:r w:rsidRPr="004369A0">
        <w:instrText>HYPERLINK "https://docdb.cept.org/document/403"</w:instrText>
      </w:r>
      <w:r w:rsidRPr="004369A0">
        <w:fldChar w:fldCharType="separate"/>
      </w:r>
      <w:r w:rsidRPr="004369A0">
        <w:rPr>
          <w:rStyle w:val="Hyperlink"/>
        </w:rPr>
        <w:t>ECC Decision (06)09</w:t>
      </w:r>
      <w:r w:rsidRPr="004369A0">
        <w:fldChar w:fldCharType="end"/>
      </w:r>
      <w:r w:rsidRPr="004369A0">
        <w:t>: “</w:t>
      </w:r>
      <w:r w:rsidR="00387B09">
        <w:t>T</w:t>
      </w:r>
      <w:r w:rsidRPr="004369A0">
        <w:t>he designation of the bands 1980-2010 MHz and 2170-2200 MHz for use by systems in the Mobile-Satellite Service including those supplemented by a Complementary Ground Component (CGC)</w:t>
      </w:r>
      <w:r w:rsidR="008B60BE" w:rsidRPr="008B60BE">
        <w:t>”</w:t>
      </w:r>
      <w:r w:rsidRPr="004369A0">
        <w:t xml:space="preserve">, </w:t>
      </w:r>
      <w:r w:rsidR="008B6300">
        <w:t xml:space="preserve">approved December </w:t>
      </w:r>
      <w:r w:rsidR="008B6300" w:rsidRPr="004369A0">
        <w:t>200</w:t>
      </w:r>
      <w:r w:rsidR="008B6300">
        <w:t xml:space="preserve">6, </w:t>
      </w:r>
      <w:r w:rsidRPr="004369A0">
        <w:t>amended 5 September 2007</w:t>
      </w:r>
    </w:p>
    <w:bookmarkStart w:id="86" w:name="_Ref103939904"/>
    <w:p w14:paraId="7919B241" w14:textId="3A4F292F" w:rsidR="00AE1898" w:rsidRDefault="001A4999" w:rsidP="002618D1">
      <w:pPr>
        <w:pStyle w:val="ECCReference"/>
        <w:spacing w:before="60" w:after="60"/>
      </w:pPr>
      <w:r>
        <w:fldChar w:fldCharType="begin"/>
      </w:r>
      <w:r>
        <w:instrText>HYPERLINK "https://docdb.cept.org/document/22513"</w:instrText>
      </w:r>
      <w:r>
        <w:fldChar w:fldCharType="separate"/>
      </w:r>
      <w:r>
        <w:rPr>
          <w:rStyle w:val="Hyperlink"/>
        </w:rPr>
        <w:t>CEPT Report 81</w:t>
      </w:r>
      <w:r>
        <w:fldChar w:fldCharType="end"/>
      </w:r>
      <w:bookmarkEnd w:id="86"/>
      <w:r w:rsidR="00AE1898">
        <w:t>: “Report from CEPT to the European Commission in response to</w:t>
      </w:r>
    </w:p>
    <w:p w14:paraId="69D857DB" w14:textId="77777777" w:rsidR="00AE1898" w:rsidRDefault="00AE1898" w:rsidP="002618D1">
      <w:pPr>
        <w:pStyle w:val="ECCReference"/>
        <w:numPr>
          <w:ilvl w:val="0"/>
          <w:numId w:val="0"/>
        </w:numPr>
        <w:spacing w:before="60" w:after="60"/>
        <w:ind w:left="397"/>
      </w:pPr>
      <w:r>
        <w:t>Task 1 of the Mandate “Study and assess conditions to operate 5G non-AAS connectivity for MCA in the 1800 MHz (1710-1785 MHz and 1805-1880 MHz) frequency band” and</w:t>
      </w:r>
    </w:p>
    <w:p w14:paraId="6A482EBE" w14:textId="5450EF0C" w:rsidR="00907EE2" w:rsidRPr="0054381D" w:rsidRDefault="00AE1898" w:rsidP="002618D1">
      <w:pPr>
        <w:pStyle w:val="ECCReference"/>
        <w:numPr>
          <w:ilvl w:val="0"/>
          <w:numId w:val="0"/>
        </w:numPr>
        <w:spacing w:before="60" w:after="60"/>
        <w:ind w:left="397"/>
      </w:pPr>
      <w:r>
        <w:t>Task 2 of the Mandate “Study and assess whether, and under what conditions, the usage of an NCU in MCA operations could be made optional”</w:t>
      </w:r>
      <w:r w:rsidR="00AC36CE" w:rsidRPr="00AC36CE">
        <w:t>”</w:t>
      </w:r>
      <w:r w:rsidR="0099389A">
        <w:t>, approved November</w:t>
      </w:r>
      <w:r w:rsidR="00021E50">
        <w:t xml:space="preserve"> </w:t>
      </w:r>
      <w:r w:rsidR="0099389A" w:rsidRPr="0054381D">
        <w:t>2021</w:t>
      </w:r>
    </w:p>
    <w:p w14:paraId="25596228" w14:textId="74F814DB" w:rsidR="00BA1DCA" w:rsidRPr="0054381D" w:rsidRDefault="00BA1DCA" w:rsidP="002618D1">
      <w:pPr>
        <w:pStyle w:val="ECCReference"/>
        <w:spacing w:before="60" w:after="60"/>
      </w:pPr>
      <w:bookmarkStart w:id="87" w:name="_Ref103939963"/>
      <w:r w:rsidRPr="0054381D">
        <w:t>ETSI TS 136.101</w:t>
      </w:r>
      <w:bookmarkEnd w:id="87"/>
      <w:r w:rsidR="00BD0D56" w:rsidRPr="0054381D">
        <w:t>: “LTE; Evolved Universal Terrestrial Radio Access (E-UTRA); User Equipment (UE) radio transmission and reception (3GPP TS 36.101 version 15.5.0 Release 15)</w:t>
      </w:r>
      <w:r w:rsidR="00EA764E" w:rsidRPr="00EA764E">
        <w:t>”</w:t>
      </w:r>
    </w:p>
    <w:p w14:paraId="0A6401CB" w14:textId="2D1D968B" w:rsidR="00BA1DCA" w:rsidRPr="0054381D" w:rsidRDefault="00BA1DCA" w:rsidP="002618D1">
      <w:pPr>
        <w:pStyle w:val="ECCReference"/>
        <w:spacing w:before="60" w:after="60"/>
      </w:pPr>
      <w:bookmarkStart w:id="88" w:name="_Ref103939990"/>
      <w:r w:rsidRPr="0054381D">
        <w:t>ETSI TS 138.101</w:t>
      </w:r>
      <w:bookmarkEnd w:id="88"/>
      <w:r w:rsidR="002618D1" w:rsidRPr="0054381D">
        <w:t>: “5G</w:t>
      </w:r>
      <w:r w:rsidR="00D01C7D">
        <w:t xml:space="preserve"> </w:t>
      </w:r>
      <w:r w:rsidR="002618D1" w:rsidRPr="0054381D">
        <w:t>NR; User Equipment (UE) radio transmission and reception; Part 4: Performance requirements (3GPP TS 38.101-4 version 15.7.0 Release 15)</w:t>
      </w:r>
      <w:r w:rsidR="00EA764E" w:rsidRPr="00EA764E">
        <w:t>”</w:t>
      </w:r>
    </w:p>
    <w:bookmarkStart w:id="89" w:name="_Ref104306287"/>
    <w:p w14:paraId="7BD03305" w14:textId="07155460" w:rsidR="00BB3F7A" w:rsidRPr="0054381D" w:rsidRDefault="00BB3F7A" w:rsidP="002618D1">
      <w:pPr>
        <w:pStyle w:val="reference"/>
        <w:numPr>
          <w:ilvl w:val="0"/>
          <w:numId w:val="5"/>
        </w:numPr>
        <w:spacing w:before="60" w:after="60"/>
        <w:jc w:val="both"/>
        <w:rPr>
          <w:lang w:val="en-GB"/>
        </w:rPr>
      </w:pPr>
      <w:r w:rsidRPr="0054381D">
        <w:fldChar w:fldCharType="begin"/>
      </w:r>
      <w:r w:rsidRPr="0054381D">
        <w:rPr>
          <w:lang w:val="en-GB"/>
        </w:rPr>
        <w:instrText xml:space="preserve"> HYPERLINK "https://docdb.cept.org/document/9068" </w:instrText>
      </w:r>
      <w:r w:rsidRPr="0054381D">
        <w:fldChar w:fldCharType="separate"/>
      </w:r>
      <w:r w:rsidRPr="0054381D">
        <w:rPr>
          <w:rStyle w:val="Hyperlink"/>
          <w:lang w:val="en-GB"/>
        </w:rPr>
        <w:t>ECC Report 297</w:t>
      </w:r>
      <w:r w:rsidRPr="0054381D">
        <w:rPr>
          <w:rStyle w:val="Hyperlink"/>
          <w:lang w:val="en-GB"/>
        </w:rPr>
        <w:fldChar w:fldCharType="end"/>
      </w:r>
      <w:r w:rsidRPr="0054381D">
        <w:rPr>
          <w:lang w:val="en-GB"/>
        </w:rPr>
        <w:t>: “Analysis of the suitability and update of the regulatory technical conditions for 5G MFCN and AAS operation in the 900 MHz and 1800 MHz bands</w:t>
      </w:r>
      <w:r w:rsidR="00EA764E" w:rsidRPr="00EA764E">
        <w:t>”</w:t>
      </w:r>
      <w:r w:rsidRPr="0054381D">
        <w:rPr>
          <w:lang w:val="en-GB"/>
        </w:rPr>
        <w:t>, approved March 2019</w:t>
      </w:r>
      <w:bookmarkEnd w:id="89"/>
    </w:p>
    <w:bookmarkStart w:id="90" w:name="_Ref104306422"/>
    <w:p w14:paraId="1DF9F139" w14:textId="2B38E378" w:rsidR="00BB3F7A" w:rsidRPr="0054381D" w:rsidRDefault="00BB3F7A" w:rsidP="002618D1">
      <w:pPr>
        <w:pStyle w:val="ECCReference"/>
        <w:spacing w:before="60" w:after="60"/>
      </w:pPr>
      <w:r w:rsidRPr="0054381D">
        <w:fldChar w:fldCharType="begin"/>
      </w:r>
      <w:r w:rsidRPr="0054381D">
        <w:instrText xml:space="preserve"> HYPERLINK "https://docdb.cept.org/document/9069" </w:instrText>
      </w:r>
      <w:r w:rsidRPr="0054381D">
        <w:fldChar w:fldCharType="separate"/>
      </w:r>
      <w:r w:rsidRPr="0054381D">
        <w:rPr>
          <w:rStyle w:val="Hyperlink"/>
        </w:rPr>
        <w:t>ECC Report 298</w:t>
      </w:r>
      <w:r w:rsidRPr="0054381D">
        <w:rPr>
          <w:rStyle w:val="Hyperlink"/>
        </w:rPr>
        <w:fldChar w:fldCharType="end"/>
      </w:r>
      <w:r w:rsidRPr="0054381D">
        <w:t>: “Analysis of the suitability and update of the regulatory technical conditions for 5G MFCN and AAS operation in the 1920-1980 MHz and 2110-2170 MHz band</w:t>
      </w:r>
      <w:r w:rsidR="00AC36CE" w:rsidRPr="00AC36CE">
        <w:t>”</w:t>
      </w:r>
      <w:r w:rsidRPr="0054381D">
        <w:t>, approved March 2019</w:t>
      </w:r>
      <w:bookmarkEnd w:id="90"/>
    </w:p>
    <w:p w14:paraId="3D915B17" w14:textId="24C5B3E7" w:rsidR="003076A8" w:rsidRPr="0054381D" w:rsidRDefault="00081E8A" w:rsidP="002618D1">
      <w:pPr>
        <w:pStyle w:val="ECCReference"/>
        <w:spacing w:before="60" w:after="60"/>
      </w:pPr>
      <w:bookmarkStart w:id="91" w:name="_Ref104908991"/>
      <w:bookmarkStart w:id="92" w:name="_Ref104910220"/>
      <w:bookmarkStart w:id="93" w:name="_Ref107571504"/>
      <w:bookmarkStart w:id="94" w:name="_Ref103940627"/>
      <w:r w:rsidRPr="0054381D">
        <w:t xml:space="preserve">ITU-R </w:t>
      </w:r>
      <w:r w:rsidR="003A3EB2" w:rsidRPr="0054381D">
        <w:t xml:space="preserve">Document </w:t>
      </w:r>
      <w:r w:rsidR="008B56C0" w:rsidRPr="0054381D">
        <w:t>5D/716</w:t>
      </w:r>
      <w:bookmarkEnd w:id="91"/>
      <w:r w:rsidRPr="0054381D">
        <w:t xml:space="preserve">: </w:t>
      </w:r>
      <w:r w:rsidR="00AC36CE" w:rsidRPr="00AC36CE">
        <w:t>“</w:t>
      </w:r>
      <w:r w:rsidRPr="0054381D">
        <w:rPr>
          <w:lang w:eastAsia="en-US"/>
        </w:rPr>
        <w:t>Report on the 38th meeting of Working Party 5D</w:t>
      </w:r>
      <w:r w:rsidR="00024C7B">
        <w:rPr>
          <w:lang w:eastAsia="en-US"/>
        </w:rPr>
        <w:t>”,</w:t>
      </w:r>
      <w:r w:rsidRPr="0054381D">
        <w:rPr>
          <w:lang w:eastAsia="en-US"/>
        </w:rPr>
        <w:t xml:space="preserve"> e-Meeting, 7-18 June 2021</w:t>
      </w:r>
      <w:bookmarkEnd w:id="92"/>
      <w:bookmarkEnd w:id="93"/>
    </w:p>
    <w:p w14:paraId="26BA96CF" w14:textId="2C52F51D" w:rsidR="008B56C0" w:rsidRDefault="003076A8" w:rsidP="002618D1">
      <w:pPr>
        <w:pStyle w:val="ECCReference"/>
        <w:spacing w:before="60" w:after="60"/>
      </w:pPr>
      <w:bookmarkStart w:id="95" w:name="_Ref104907242"/>
      <w:bookmarkStart w:id="96" w:name="_Ref112245387"/>
      <w:r w:rsidRPr="0054381D">
        <w:t>Recommendation ITU-R F.1336</w:t>
      </w:r>
      <w:bookmarkEnd w:id="94"/>
      <w:bookmarkEnd w:id="95"/>
      <w:r w:rsidR="00E747AE" w:rsidRPr="0054381D">
        <w:t xml:space="preserve">: </w:t>
      </w:r>
      <w:r w:rsidR="00D024B6" w:rsidRPr="00D024B6">
        <w:t>“</w:t>
      </w:r>
      <w:r w:rsidR="00E747AE" w:rsidRPr="0054381D">
        <w:t>Reference radiation patterns of omnidirectional, sectoral and other antennas for the fixed and mobile service for use in sharing st</w:t>
      </w:r>
      <w:r w:rsidR="00E747AE" w:rsidRPr="00E747AE">
        <w:t>udies in the frequency range from 400 MHz to about 70 GHz</w:t>
      </w:r>
      <w:r w:rsidR="00AC36CE" w:rsidRPr="00AC36CE">
        <w:t>”</w:t>
      </w:r>
      <w:bookmarkEnd w:id="96"/>
    </w:p>
    <w:p w14:paraId="1CB56A03" w14:textId="73E5214A" w:rsidR="00C666AD" w:rsidRDefault="00C666AD" w:rsidP="002618D1">
      <w:pPr>
        <w:pStyle w:val="ECCReference"/>
        <w:spacing w:before="60" w:after="60"/>
      </w:pPr>
      <w:bookmarkStart w:id="97" w:name="_Ref104907282"/>
      <w:r w:rsidRPr="0009467C">
        <w:t xml:space="preserve">Recommendation </w:t>
      </w:r>
      <w:r w:rsidRPr="00253EFD">
        <w:t>ITU-R M.2101</w:t>
      </w:r>
      <w:bookmarkEnd w:id="97"/>
      <w:r w:rsidR="00F956F9">
        <w:t xml:space="preserve">: </w:t>
      </w:r>
      <w:r w:rsidR="00D024B6" w:rsidRPr="00D024B6">
        <w:t>“</w:t>
      </w:r>
      <w:r w:rsidR="00F956F9" w:rsidRPr="00F956F9">
        <w:t>Modelling and simulation of IMT networks and systems for use in sharing and compatibility studies</w:t>
      </w:r>
      <w:r w:rsidR="00AC36CE" w:rsidRPr="00AC36CE">
        <w:t>”</w:t>
      </w:r>
    </w:p>
    <w:p w14:paraId="237AF352" w14:textId="4EB7B391" w:rsidR="00E2597D" w:rsidRDefault="00E2597D" w:rsidP="002618D1">
      <w:pPr>
        <w:pStyle w:val="ECCReference"/>
        <w:spacing w:before="60" w:after="60"/>
      </w:pPr>
      <w:bookmarkStart w:id="98" w:name="_Ref104907490"/>
      <w:r>
        <w:t>Recommendation ITU-R SA.1154</w:t>
      </w:r>
      <w:bookmarkEnd w:id="98"/>
      <w:r w:rsidR="00614883">
        <w:t xml:space="preserve">: </w:t>
      </w:r>
      <w:r w:rsidR="00D024B6" w:rsidRPr="00D024B6">
        <w:t>“</w:t>
      </w:r>
      <w:r w:rsidR="00A84C06" w:rsidRPr="00A84C06">
        <w:t>Provisions to protect the space research (SR), space operations (SO) and Earth exploration-satellite services (EESS) and to facilitate sharing with the mobile service in the 2 025-2 110 MHz and 2 200-2 290 MHz bands</w:t>
      </w:r>
      <w:r w:rsidR="00AC36CE" w:rsidRPr="00AC36CE">
        <w:t>”</w:t>
      </w:r>
    </w:p>
    <w:p w14:paraId="74485CD6" w14:textId="390F4E54" w:rsidR="00485FBB" w:rsidRDefault="00485FBB" w:rsidP="002618D1">
      <w:pPr>
        <w:pStyle w:val="ECCReference"/>
        <w:spacing w:before="60" w:after="60"/>
        <w:jc w:val="left"/>
      </w:pPr>
      <w:bookmarkStart w:id="99" w:name="_Ref104907783"/>
      <w:bookmarkStart w:id="100" w:name="_Ref107571454"/>
      <w:r>
        <w:t xml:space="preserve">Report </w:t>
      </w:r>
      <w:r w:rsidRPr="00253EFD">
        <w:t>ITU-R M.2292</w:t>
      </w:r>
      <w:bookmarkEnd w:id="99"/>
      <w:r w:rsidR="006A22F7">
        <w:t xml:space="preserve">: </w:t>
      </w:r>
      <w:r w:rsidR="00D024B6" w:rsidRPr="00D024B6">
        <w:t>“</w:t>
      </w:r>
      <w:r w:rsidR="006A22F7" w:rsidRPr="006A22F7">
        <w:t>Characteristics of terrestrial IMT-Advanced systems for frequency sharing/interference analyses</w:t>
      </w:r>
      <w:r w:rsidR="00C20B7A">
        <w:t>”</w:t>
      </w:r>
      <w:bookmarkEnd w:id="100"/>
    </w:p>
    <w:p w14:paraId="5C16D468" w14:textId="0472EFAB" w:rsidR="008F3F9C" w:rsidRDefault="008F3F9C" w:rsidP="002618D1">
      <w:pPr>
        <w:pStyle w:val="ECCReference"/>
        <w:spacing w:before="60" w:after="60"/>
        <w:rPr>
          <w:rStyle w:val="ECCParagraph"/>
        </w:rPr>
      </w:pPr>
      <w:bookmarkStart w:id="101" w:name="_Ref104912679"/>
      <w:r w:rsidRPr="008F3F9C">
        <w:rPr>
          <w:rStyle w:val="ECCParagraph"/>
        </w:rPr>
        <w:t>Recommendation ITU-R P.452</w:t>
      </w:r>
      <w:bookmarkEnd w:id="101"/>
      <w:r w:rsidR="00100DF5">
        <w:rPr>
          <w:rStyle w:val="ECCParagraph"/>
        </w:rPr>
        <w:t xml:space="preserve">: </w:t>
      </w:r>
      <w:r w:rsidR="00D024B6" w:rsidRPr="00D024B6">
        <w:t>“</w:t>
      </w:r>
      <w:r w:rsidR="00100DF5" w:rsidRPr="00100DF5">
        <w:rPr>
          <w:rStyle w:val="ECCParagraph"/>
        </w:rPr>
        <w:t>Prediction procedure for the evaluation of interference between stations on the surface of the Earth at frequencies above about 0.1 GHz</w:t>
      </w:r>
      <w:r w:rsidR="00100DF5">
        <w:rPr>
          <w:rStyle w:val="ECCParagraph"/>
        </w:rPr>
        <w:t>”</w:t>
      </w:r>
    </w:p>
    <w:p w14:paraId="522737DB" w14:textId="41171A9D" w:rsidR="003A3EB2" w:rsidRDefault="003A3EB2" w:rsidP="002618D1">
      <w:pPr>
        <w:pStyle w:val="ECCReference"/>
        <w:spacing w:before="60" w:after="60"/>
      </w:pPr>
      <w:bookmarkStart w:id="102" w:name="_Ref104912723"/>
      <w:r>
        <w:rPr>
          <w:rStyle w:val="ECCParagraph"/>
        </w:rPr>
        <w:t xml:space="preserve">ITU-R </w:t>
      </w:r>
      <w:r w:rsidRPr="003A3EB2">
        <w:rPr>
          <w:rStyle w:val="ECCParagraph"/>
        </w:rPr>
        <w:t>Document 3K/178</w:t>
      </w:r>
      <w:bookmarkEnd w:id="102"/>
      <w:r w:rsidR="005D098C">
        <w:rPr>
          <w:rStyle w:val="ECCParagraph"/>
        </w:rPr>
        <w:t xml:space="preserve">: </w:t>
      </w:r>
      <w:r w:rsidR="00AC36CE" w:rsidRPr="00AC36CE">
        <w:t>“</w:t>
      </w:r>
      <w:r w:rsidR="005D098C" w:rsidRPr="005D098C">
        <w:rPr>
          <w:lang w:eastAsia="en-US"/>
        </w:rPr>
        <w:t>Report on the meeting of Working Party 3K</w:t>
      </w:r>
      <w:r w:rsidR="00024C7B">
        <w:rPr>
          <w:lang w:eastAsia="en-US"/>
        </w:rPr>
        <w:t>”,</w:t>
      </w:r>
      <w:r w:rsidR="005D098C" w:rsidRPr="005D098C">
        <w:rPr>
          <w:lang w:eastAsia="en-US"/>
        </w:rPr>
        <w:t xml:space="preserve"> e-Meeting, 21 June - 1 July 2021</w:t>
      </w:r>
    </w:p>
    <w:bookmarkEnd w:id="85"/>
    <w:p w14:paraId="677B6F2E" w14:textId="03D00D9E" w:rsidR="004566D4" w:rsidRPr="004566D4" w:rsidRDefault="004566D4" w:rsidP="004566D4">
      <w:pPr>
        <w:pStyle w:val="ECCTablenote"/>
        <w:ind w:left="0" w:firstLine="0"/>
        <w:rPr>
          <w:sz w:val="20"/>
        </w:rPr>
      </w:pPr>
    </w:p>
    <w:sectPr w:rsidR="004566D4" w:rsidRPr="004566D4" w:rsidSect="009B022D">
      <w:headerReference w:type="even" r:id="rId30"/>
      <w:headerReference w:type="default" r:id="rId31"/>
      <w:footerReference w:type="even" r:id="rId32"/>
      <w:footerReference w:type="default" r:id="rId33"/>
      <w:headerReference w:type="first" r:id="rId34"/>
      <w:footerReference w:type="first" r:id="rId35"/>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AD36" w14:textId="77777777" w:rsidR="00BB0A75" w:rsidRDefault="00BB0A75" w:rsidP="004930E1">
      <w:r>
        <w:separator/>
      </w:r>
    </w:p>
    <w:p w14:paraId="693CD984" w14:textId="77777777" w:rsidR="00BB0A75" w:rsidRDefault="00BB0A75" w:rsidP="004930E1"/>
  </w:endnote>
  <w:endnote w:type="continuationSeparator" w:id="0">
    <w:p w14:paraId="439C07C3" w14:textId="77777777" w:rsidR="00BB0A75" w:rsidRDefault="00BB0A75" w:rsidP="004930E1">
      <w:r>
        <w:continuationSeparator/>
      </w:r>
    </w:p>
    <w:p w14:paraId="53E290A4" w14:textId="77777777" w:rsidR="00BB0A75" w:rsidRDefault="00BB0A75" w:rsidP="004930E1"/>
  </w:endnote>
  <w:endnote w:type="continuationNotice" w:id="1">
    <w:p w14:paraId="1821D785" w14:textId="77777777" w:rsidR="00BB0A75" w:rsidRDefault="00BB0A7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6F6D" w14:textId="77777777" w:rsidR="00100D91" w:rsidRDefault="00100D91">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6F6E" w14:textId="77777777" w:rsidR="00100D91" w:rsidRDefault="00100D91">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6F74" w14:textId="77777777" w:rsidR="00100D91" w:rsidRDefault="00100D91">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EEA04" w14:textId="77777777" w:rsidR="00BB0A75" w:rsidRPr="00F7440E" w:rsidRDefault="00BB0A75" w:rsidP="004930E1">
      <w:pPr>
        <w:pStyle w:val="FootnoteText"/>
      </w:pPr>
      <w:r>
        <w:separator/>
      </w:r>
    </w:p>
  </w:footnote>
  <w:footnote w:type="continuationSeparator" w:id="0">
    <w:p w14:paraId="4AF90A49" w14:textId="77777777" w:rsidR="00BB0A75" w:rsidRPr="00F7440E" w:rsidRDefault="00BB0A75" w:rsidP="004930E1">
      <w:r>
        <w:continuationSeparator/>
      </w:r>
    </w:p>
  </w:footnote>
  <w:footnote w:type="continuationNotice" w:id="1">
    <w:p w14:paraId="29164912" w14:textId="77777777" w:rsidR="00BB0A75" w:rsidRPr="00CD07E7" w:rsidRDefault="00BB0A75" w:rsidP="004930E1"/>
  </w:footnote>
  <w:footnote w:id="2">
    <w:p w14:paraId="677B6F7E" w14:textId="20D4B689" w:rsidR="00100D91" w:rsidRPr="007E0A4F" w:rsidRDefault="00100D91" w:rsidP="0034724F">
      <w:pPr>
        <w:pStyle w:val="FootnoteText"/>
        <w:rPr>
          <w:lang w:val="en-GB"/>
        </w:rPr>
      </w:pPr>
      <w:r w:rsidRPr="00197929">
        <w:rPr>
          <w:rStyle w:val="FootnoteReference"/>
        </w:rPr>
        <w:footnoteRef/>
      </w:r>
      <w:r w:rsidRPr="0034724F">
        <w:rPr>
          <w:lang w:val="en-GB"/>
        </w:rPr>
        <w:t xml:space="preserve"> </w:t>
      </w:r>
      <w:r w:rsidR="00F930CC" w:rsidRPr="0034724F">
        <w:rPr>
          <w:lang w:val="en-GB"/>
        </w:rPr>
        <w:t>ECC Decision</w:t>
      </w:r>
      <w:r w:rsidR="00197929" w:rsidRPr="0034724F">
        <w:rPr>
          <w:lang w:val="en-GB"/>
        </w:rPr>
        <w:t xml:space="preserve"> </w:t>
      </w:r>
      <w:r w:rsidRPr="0034724F">
        <w:rPr>
          <w:lang w:val="en-GB"/>
        </w:rPr>
        <w:t>(06)13</w:t>
      </w:r>
      <w:r w:rsidR="00AD646C" w:rsidRPr="0034724F">
        <w:rPr>
          <w:lang w:val="en-GB"/>
        </w:rPr>
        <w:t xml:space="preserve"> </w:t>
      </w:r>
      <w:r w:rsidR="00AD646C" w:rsidRPr="00197929">
        <w:fldChar w:fldCharType="begin"/>
      </w:r>
      <w:r w:rsidR="00AD646C" w:rsidRPr="008C6D51">
        <w:rPr>
          <w:lang w:val="en-GB"/>
        </w:rPr>
        <w:instrText xml:space="preserve"> REF _Ref103695367 \r \h </w:instrText>
      </w:r>
      <w:r w:rsidR="001A159C" w:rsidRPr="008C6D51">
        <w:rPr>
          <w:lang w:val="en-GB"/>
        </w:rPr>
        <w:instrText xml:space="preserve"> \* MERGEFORMAT </w:instrText>
      </w:r>
      <w:r w:rsidR="00AD646C" w:rsidRPr="00197929">
        <w:fldChar w:fldCharType="separate"/>
      </w:r>
      <w:r w:rsidR="009464FD">
        <w:rPr>
          <w:lang w:val="en-GB"/>
        </w:rPr>
        <w:t>[1]</w:t>
      </w:r>
      <w:r w:rsidR="00AD646C" w:rsidRPr="00197929">
        <w:fldChar w:fldCharType="end"/>
      </w:r>
      <w:r w:rsidR="00744649" w:rsidRPr="0034724F">
        <w:rPr>
          <w:lang w:val="en-GB"/>
        </w:rPr>
        <w:t xml:space="preserve">, </w:t>
      </w:r>
      <w:r w:rsidR="00F930CC" w:rsidRPr="0034724F">
        <w:rPr>
          <w:lang w:val="en-GB"/>
        </w:rPr>
        <w:t>ECC Decision</w:t>
      </w:r>
      <w:r w:rsidR="00197929" w:rsidRPr="0034724F">
        <w:rPr>
          <w:lang w:val="en-GB"/>
        </w:rPr>
        <w:t xml:space="preserve"> </w:t>
      </w:r>
      <w:r w:rsidRPr="0034724F">
        <w:rPr>
          <w:lang w:val="en-GB"/>
        </w:rPr>
        <w:t>(06)01</w:t>
      </w:r>
      <w:r w:rsidR="00307FA7" w:rsidRPr="0034724F">
        <w:rPr>
          <w:lang w:val="en-GB"/>
        </w:rPr>
        <w:t xml:space="preserve"> </w:t>
      </w:r>
      <w:r w:rsidR="00307FA7" w:rsidRPr="002A2C11">
        <w:fldChar w:fldCharType="begin"/>
      </w:r>
      <w:r w:rsidR="00307FA7" w:rsidRPr="008C6D51">
        <w:rPr>
          <w:lang w:val="en-GB"/>
        </w:rPr>
        <w:instrText xml:space="preserve"> REF _Ref103695429 \r \h </w:instrText>
      </w:r>
      <w:r w:rsidR="001A159C" w:rsidRPr="008C6D51">
        <w:rPr>
          <w:lang w:val="en-GB"/>
        </w:rPr>
        <w:instrText xml:space="preserve"> \* MERGEFORMAT </w:instrText>
      </w:r>
      <w:r w:rsidR="00307FA7" w:rsidRPr="002A2C11">
        <w:fldChar w:fldCharType="separate"/>
      </w:r>
      <w:r w:rsidR="009464FD">
        <w:rPr>
          <w:lang w:val="en-GB"/>
        </w:rPr>
        <w:t>[2]</w:t>
      </w:r>
      <w:r w:rsidR="00307FA7" w:rsidRPr="002A2C11">
        <w:fldChar w:fldCharType="end"/>
      </w:r>
      <w:r w:rsidR="008A6AF9" w:rsidRPr="0034724F">
        <w:rPr>
          <w:lang w:val="en-GB"/>
        </w:rPr>
        <w:t xml:space="preserve"> and</w:t>
      </w:r>
      <w:r w:rsidRPr="0034724F">
        <w:rPr>
          <w:lang w:val="en-GB"/>
        </w:rPr>
        <w:t xml:space="preserve"> </w:t>
      </w:r>
      <w:r w:rsidR="00F930CC" w:rsidRPr="0034724F">
        <w:rPr>
          <w:lang w:val="en-GB"/>
        </w:rPr>
        <w:t>ECC Decision</w:t>
      </w:r>
      <w:r w:rsidR="005A4C09" w:rsidRPr="0034724F">
        <w:rPr>
          <w:lang w:val="en-GB"/>
        </w:rPr>
        <w:t xml:space="preserve"> </w:t>
      </w:r>
      <w:r w:rsidRPr="0034724F">
        <w:rPr>
          <w:lang w:val="en-GB"/>
        </w:rPr>
        <w:t>(05)05</w:t>
      </w:r>
      <w:r w:rsidR="008C6D51" w:rsidRPr="0034724F">
        <w:rPr>
          <w:lang w:val="en-GB"/>
        </w:rPr>
        <w:t xml:space="preserve"> </w:t>
      </w:r>
      <w:r w:rsidR="00307FA7" w:rsidRPr="002A2C11">
        <w:fldChar w:fldCharType="begin"/>
      </w:r>
      <w:r w:rsidR="00307FA7" w:rsidRPr="008C6D51">
        <w:rPr>
          <w:lang w:val="en-GB"/>
        </w:rPr>
        <w:instrText xml:space="preserve"> REF _Ref103695483 \r \h </w:instrText>
      </w:r>
      <w:r w:rsidR="001A159C" w:rsidRPr="008C6D51">
        <w:rPr>
          <w:lang w:val="en-GB"/>
        </w:rPr>
        <w:instrText xml:space="preserve"> \* MERGEFORMAT </w:instrText>
      </w:r>
      <w:r w:rsidR="00307FA7" w:rsidRPr="002A2C11">
        <w:fldChar w:fldCharType="separate"/>
      </w:r>
      <w:r w:rsidR="009464FD">
        <w:rPr>
          <w:lang w:val="en-GB"/>
        </w:rPr>
        <w:t>[3]</w:t>
      </w:r>
      <w:r w:rsidR="00307FA7" w:rsidRPr="002A2C11">
        <w:fldChar w:fldCharType="end"/>
      </w:r>
    </w:p>
  </w:footnote>
  <w:footnote w:id="3">
    <w:p w14:paraId="0E001EA5" w14:textId="5733CB9A" w:rsidR="00100D91" w:rsidRPr="00510D7B" w:rsidRDefault="00100D91">
      <w:pPr>
        <w:pStyle w:val="FootnoteText"/>
        <w:rPr>
          <w:lang w:val="en-GB"/>
        </w:rPr>
      </w:pPr>
      <w:r>
        <w:rPr>
          <w:rStyle w:val="FootnoteReference"/>
        </w:rPr>
        <w:footnoteRef/>
      </w:r>
      <w:r w:rsidRPr="00510D7B">
        <w:rPr>
          <w:lang w:val="en-GB"/>
        </w:rPr>
        <w:t xml:space="preserve"> 1800 MHz (1710-1785 and 1805-1880 MHz): </w:t>
      </w:r>
      <w:r w:rsidR="00F930CC" w:rsidRPr="00510D7B">
        <w:rPr>
          <w:lang w:val="en-GB"/>
        </w:rPr>
        <w:t xml:space="preserve">ECC </w:t>
      </w:r>
      <w:r w:rsidR="00F930CC" w:rsidRPr="00847407">
        <w:rPr>
          <w:lang w:val="en-GB"/>
        </w:rPr>
        <w:t>Decision</w:t>
      </w:r>
      <w:r w:rsidRPr="00510D7B">
        <w:rPr>
          <w:lang w:val="en-GB"/>
        </w:rPr>
        <w:t xml:space="preserve"> (06)13</w:t>
      </w:r>
      <w:r w:rsidR="00AD646C" w:rsidRPr="00510D7B">
        <w:rPr>
          <w:lang w:val="en-GB"/>
        </w:rPr>
        <w:t xml:space="preserve"> </w:t>
      </w:r>
      <w:r w:rsidR="00AD646C">
        <w:fldChar w:fldCharType="begin"/>
      </w:r>
      <w:r w:rsidR="00AD646C" w:rsidRPr="00847407">
        <w:rPr>
          <w:lang w:val="en-GB"/>
        </w:rPr>
        <w:instrText xml:space="preserve"> REF _Ref103695367 \r \h </w:instrText>
      </w:r>
      <w:r w:rsidR="00AD646C">
        <w:fldChar w:fldCharType="separate"/>
      </w:r>
      <w:r w:rsidR="009464FD">
        <w:rPr>
          <w:lang w:val="en-GB"/>
        </w:rPr>
        <w:t>[1]</w:t>
      </w:r>
      <w:r w:rsidR="00AD646C">
        <w:fldChar w:fldCharType="end"/>
      </w:r>
      <w:r w:rsidRPr="00847407">
        <w:rPr>
          <w:lang w:val="en-GB"/>
        </w:rPr>
        <w:t>;</w:t>
      </w:r>
      <w:r w:rsidRPr="00510D7B">
        <w:rPr>
          <w:lang w:val="en-GB"/>
        </w:rPr>
        <w:t xml:space="preserve"> 2 G</w:t>
      </w:r>
      <w:r w:rsidRPr="0057475B">
        <w:rPr>
          <w:lang w:val="en-GB"/>
        </w:rPr>
        <w:t>Hz</w:t>
      </w:r>
      <w:r w:rsidR="001A159C" w:rsidRPr="0057475B">
        <w:rPr>
          <w:lang w:val="en-GB"/>
        </w:rPr>
        <w:t>(</w:t>
      </w:r>
      <w:r w:rsidRPr="0057475B">
        <w:rPr>
          <w:lang w:val="en-GB"/>
        </w:rPr>
        <w:t xml:space="preserve">1920-1980 MHz </w:t>
      </w:r>
      <w:r w:rsidR="00127AB9" w:rsidRPr="007E0A4F">
        <w:rPr>
          <w:lang w:val="en-GB"/>
        </w:rPr>
        <w:t>and</w:t>
      </w:r>
      <w:r w:rsidRPr="0057475B">
        <w:rPr>
          <w:lang w:val="en-GB"/>
        </w:rPr>
        <w:t xml:space="preserve"> 2110-2170 MHz</w:t>
      </w:r>
      <w:r w:rsidR="001A159C" w:rsidRPr="0057475B">
        <w:rPr>
          <w:lang w:val="en-GB"/>
        </w:rPr>
        <w:t>)</w:t>
      </w:r>
      <w:r w:rsidRPr="0057475B">
        <w:rPr>
          <w:lang w:val="en-GB"/>
        </w:rPr>
        <w:t xml:space="preserve">: </w:t>
      </w:r>
      <w:r w:rsidR="00F930CC" w:rsidRPr="0057475B">
        <w:rPr>
          <w:lang w:val="en-GB"/>
        </w:rPr>
        <w:t>ECC Decision</w:t>
      </w:r>
      <w:r w:rsidRPr="0057475B">
        <w:rPr>
          <w:lang w:val="en-GB"/>
        </w:rPr>
        <w:t xml:space="preserve"> (06)01</w:t>
      </w:r>
      <w:r w:rsidR="00AD646C" w:rsidRPr="0057475B">
        <w:rPr>
          <w:lang w:val="en-GB"/>
        </w:rPr>
        <w:t xml:space="preserve"> </w:t>
      </w:r>
      <w:r w:rsidR="00A92275" w:rsidRPr="0057475B">
        <w:fldChar w:fldCharType="begin"/>
      </w:r>
      <w:r w:rsidR="00A92275" w:rsidRPr="0057475B">
        <w:rPr>
          <w:lang w:val="en-GB"/>
        </w:rPr>
        <w:instrText xml:space="preserve"> REF _Ref103695429 \r \h </w:instrText>
      </w:r>
      <w:r w:rsidR="0057475B" w:rsidRPr="007E0A4F">
        <w:rPr>
          <w:lang w:val="en-GB"/>
        </w:rPr>
        <w:instrText xml:space="preserve"> \* MERGEFORMAT </w:instrText>
      </w:r>
      <w:r w:rsidR="00A92275" w:rsidRPr="0057475B">
        <w:fldChar w:fldCharType="separate"/>
      </w:r>
      <w:r w:rsidR="009464FD">
        <w:rPr>
          <w:lang w:val="en-GB"/>
        </w:rPr>
        <w:t>[2]</w:t>
      </w:r>
      <w:r w:rsidR="00A92275" w:rsidRPr="0057475B">
        <w:fldChar w:fldCharType="end"/>
      </w:r>
      <w:r w:rsidRPr="0057475B">
        <w:rPr>
          <w:lang w:val="en-GB"/>
        </w:rPr>
        <w:t xml:space="preserve">; 2.6 GHz (2500-2690 </w:t>
      </w:r>
      <w:r w:rsidRPr="007E0A4F">
        <w:rPr>
          <w:lang w:val="en-GB"/>
        </w:rPr>
        <w:t>MHz</w:t>
      </w:r>
      <w:r w:rsidR="00644CC6" w:rsidRPr="007E0A4F">
        <w:rPr>
          <w:lang w:val="en-GB"/>
        </w:rPr>
        <w:t>)</w:t>
      </w:r>
      <w:r w:rsidRPr="007E0A4F">
        <w:rPr>
          <w:lang w:val="en-GB"/>
        </w:rPr>
        <w:t>)</w:t>
      </w:r>
      <w:r w:rsidR="001A159C" w:rsidRPr="007E0A4F">
        <w:rPr>
          <w:lang w:val="en-GB"/>
        </w:rPr>
        <w:t>:</w:t>
      </w:r>
      <w:r w:rsidR="00F930CC" w:rsidRPr="00524CC0">
        <w:rPr>
          <w:lang w:val="en-GB"/>
        </w:rPr>
        <w:t>E</w:t>
      </w:r>
      <w:r w:rsidR="00F930CC" w:rsidRPr="0057475B">
        <w:rPr>
          <w:lang w:val="en-GB"/>
        </w:rPr>
        <w:t>CC D</w:t>
      </w:r>
      <w:r w:rsidR="00701CA1" w:rsidRPr="0057475B">
        <w:rPr>
          <w:lang w:val="en-GB"/>
        </w:rPr>
        <w:t>ec</w:t>
      </w:r>
      <w:r w:rsidR="00701CA1" w:rsidRPr="00847407">
        <w:rPr>
          <w:lang w:val="en-GB"/>
        </w:rPr>
        <w:t>ision</w:t>
      </w:r>
      <w:r w:rsidRPr="00510D7B">
        <w:rPr>
          <w:lang w:val="en-GB"/>
        </w:rPr>
        <w:t xml:space="preserve"> (05)05</w:t>
      </w:r>
      <w:r w:rsidR="009860DC" w:rsidRPr="00847407">
        <w:rPr>
          <w:lang w:val="en-GB"/>
        </w:rPr>
        <w:t xml:space="preserve"> </w:t>
      </w:r>
      <w:r w:rsidR="009860DC">
        <w:fldChar w:fldCharType="begin"/>
      </w:r>
      <w:r w:rsidR="009860DC" w:rsidRPr="00847407">
        <w:rPr>
          <w:lang w:val="en-GB"/>
        </w:rPr>
        <w:instrText xml:space="preserve"> REF _Ref103695483 \r \h </w:instrText>
      </w:r>
      <w:r w:rsidR="009860DC">
        <w:fldChar w:fldCharType="separate"/>
      </w:r>
      <w:r w:rsidR="009464FD">
        <w:rPr>
          <w:lang w:val="en-GB"/>
        </w:rPr>
        <w:t>[3]</w:t>
      </w:r>
      <w:r w:rsidR="009860DC">
        <w:fldChar w:fldCharType="end"/>
      </w:r>
    </w:p>
  </w:footnote>
  <w:footnote w:id="4">
    <w:p w14:paraId="1618EA7A" w14:textId="59BE37FF" w:rsidR="00100D91" w:rsidRPr="00510D7B" w:rsidRDefault="00100D91">
      <w:pPr>
        <w:pStyle w:val="FootnoteText"/>
        <w:rPr>
          <w:lang w:val="en-GB"/>
        </w:rPr>
      </w:pPr>
      <w:r>
        <w:rPr>
          <w:rStyle w:val="FootnoteReference"/>
        </w:rPr>
        <w:footnoteRef/>
      </w:r>
      <w:r w:rsidRPr="00510D7B">
        <w:rPr>
          <w:lang w:val="en-GB"/>
        </w:rPr>
        <w:t xml:space="preserve"> No-fly zones from ECC Report 309 are </w:t>
      </w:r>
      <w:r w:rsidR="00AE268A" w:rsidRPr="00AE268A">
        <w:rPr>
          <w:lang w:val="en-GB"/>
        </w:rPr>
        <w:t>referred</w:t>
      </w:r>
      <w:r w:rsidRPr="00510D7B">
        <w:rPr>
          <w:lang w:val="en-GB"/>
        </w:rPr>
        <w:t xml:space="preserve"> to as no-transmit zones in this </w:t>
      </w:r>
      <w:r w:rsidR="000D0CFF" w:rsidRPr="00AE268A">
        <w:rPr>
          <w:lang w:val="en-GB"/>
        </w:rPr>
        <w:t>R</w:t>
      </w:r>
      <w:r w:rsidRPr="00AE268A">
        <w:rPr>
          <w:lang w:val="en-GB"/>
        </w:rPr>
        <w:t>eport</w:t>
      </w:r>
      <w:r w:rsidRPr="00510D7B">
        <w:rPr>
          <w:lang w:val="en-GB"/>
        </w:rPr>
        <w:t>.</w:t>
      </w:r>
    </w:p>
  </w:footnote>
  <w:footnote w:id="5">
    <w:p w14:paraId="66086DF9" w14:textId="611D1144" w:rsidR="00934288" w:rsidRPr="00341EB6" w:rsidRDefault="00934288" w:rsidP="00934288">
      <w:r>
        <w:rPr>
          <w:rStyle w:val="FootnoteReference"/>
        </w:rPr>
        <w:footnoteRef/>
      </w:r>
      <w:r w:rsidRPr="00341EB6">
        <w:t xml:space="preserve"> </w:t>
      </w:r>
      <w:r w:rsidR="00F930CC" w:rsidRPr="00341EB6">
        <w:t>ECC Decision</w:t>
      </w:r>
      <w:r w:rsidR="00305055" w:rsidRPr="00341EB6">
        <w:t xml:space="preserve"> </w:t>
      </w:r>
      <w:r w:rsidRPr="00341EB6">
        <w:t>(06)13</w:t>
      </w:r>
      <w:r w:rsidR="00305055" w:rsidRPr="00341EB6">
        <w:t xml:space="preserve"> </w:t>
      </w:r>
      <w:r w:rsidR="00305055" w:rsidRPr="00341EB6">
        <w:fldChar w:fldCharType="begin"/>
      </w:r>
      <w:r w:rsidR="00305055" w:rsidRPr="00341EB6">
        <w:instrText xml:space="preserve"> REF _Ref103695367 \r \h </w:instrText>
      </w:r>
      <w:r w:rsidR="00305055" w:rsidRPr="00341EB6">
        <w:fldChar w:fldCharType="separate"/>
      </w:r>
      <w:r w:rsidR="009464FD">
        <w:t>[1]</w:t>
      </w:r>
      <w:r w:rsidR="00305055" w:rsidRPr="00341EB6">
        <w:fldChar w:fldCharType="end"/>
      </w:r>
      <w:r w:rsidR="00175087" w:rsidRPr="00341EB6">
        <w:t>,</w:t>
      </w:r>
      <w:r w:rsidRPr="00341EB6">
        <w:t xml:space="preserve"> </w:t>
      </w:r>
      <w:r w:rsidR="00F930CC" w:rsidRPr="00341EB6">
        <w:t>ECC Decision</w:t>
      </w:r>
      <w:r w:rsidRPr="00341EB6">
        <w:t>(06)01</w:t>
      </w:r>
      <w:r w:rsidR="00175087" w:rsidRPr="00341EB6">
        <w:t xml:space="preserve"> </w:t>
      </w:r>
      <w:r w:rsidR="00A92275" w:rsidRPr="008C6D51">
        <w:fldChar w:fldCharType="begin"/>
      </w:r>
      <w:r w:rsidR="00A92275" w:rsidRPr="008C6D51">
        <w:instrText xml:space="preserve"> REF _Ref103695429 \r \h </w:instrText>
      </w:r>
      <w:r w:rsidR="00A92275" w:rsidRPr="008C6D51">
        <w:fldChar w:fldCharType="separate"/>
      </w:r>
      <w:r w:rsidR="009464FD">
        <w:t>[2]</w:t>
      </w:r>
      <w:r w:rsidR="00A92275" w:rsidRPr="008C6D51">
        <w:fldChar w:fldCharType="end"/>
      </w:r>
      <w:r w:rsidR="00A92275" w:rsidRPr="008C6D51">
        <w:t xml:space="preserve"> </w:t>
      </w:r>
      <w:r w:rsidR="00175087" w:rsidRPr="00341EB6">
        <w:t xml:space="preserve">and </w:t>
      </w:r>
      <w:r w:rsidR="00F930CC" w:rsidRPr="00341EB6">
        <w:t>ECC Decision</w:t>
      </w:r>
      <w:r w:rsidR="001F099F" w:rsidRPr="00341EB6">
        <w:t xml:space="preserve"> </w:t>
      </w:r>
      <w:r w:rsidRPr="00341EB6">
        <w:t>(05)05</w:t>
      </w:r>
      <w:r w:rsidR="00305055" w:rsidRPr="00341EB6">
        <w:t xml:space="preserve"> </w:t>
      </w:r>
      <w:r w:rsidR="00305055" w:rsidRPr="00341EB6">
        <w:fldChar w:fldCharType="begin"/>
      </w:r>
      <w:r w:rsidR="00305055" w:rsidRPr="00341EB6">
        <w:instrText xml:space="preserve"> REF _Ref103695483 \r \h </w:instrText>
      </w:r>
      <w:r w:rsidR="00305055" w:rsidRPr="00341EB6">
        <w:fldChar w:fldCharType="separate"/>
      </w:r>
      <w:r w:rsidR="009464FD">
        <w:t>[3]</w:t>
      </w:r>
      <w:r w:rsidR="00305055" w:rsidRPr="00341EB6">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6F6A" w14:textId="3BCAE3C5" w:rsidR="00100D91" w:rsidRPr="00AD1BE1" w:rsidRDefault="00100D91" w:rsidP="00AD1BE1">
    <w:pPr>
      <w:pStyle w:val="ECCpageHeader"/>
    </w:pPr>
    <w:r w:rsidRPr="00AD1BE1">
      <w:t xml:space="preserve">ECC REPORT </w:t>
    </w:r>
    <w:r w:rsidR="00672801">
      <w:t>348</w:t>
    </w:r>
    <w:r w:rsidRPr="00AD1BE1">
      <w:t xml:space="preserve"> - Page </w:t>
    </w:r>
    <w:r w:rsidRPr="00AD1BE1">
      <w:fldChar w:fldCharType="begin"/>
    </w:r>
    <w:r w:rsidRPr="00AD1BE1">
      <w:instrText xml:space="preserve"> PAGE  \* Arabic  \* MERGEFORMAT </w:instrText>
    </w:r>
    <w:r w:rsidRPr="00AD1BE1">
      <w:fldChar w:fldCharType="separate"/>
    </w:r>
    <w:r w:rsidR="005B24FA">
      <w:rPr>
        <w:noProof/>
      </w:rPr>
      <w:t>12</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6F6B" w14:textId="23260C3E" w:rsidR="00100D91" w:rsidRPr="00966560" w:rsidRDefault="00100D91" w:rsidP="00E36601">
    <w:pPr>
      <w:pStyle w:val="ECCpageHeader"/>
      <w:rPr>
        <w:lang w:val="en-GB"/>
      </w:rPr>
    </w:pPr>
    <w:r w:rsidRPr="00966560">
      <w:rPr>
        <w:lang w:val="en-GB"/>
      </w:rPr>
      <w:tab/>
    </w:r>
    <w:r w:rsidRPr="00966560">
      <w:rPr>
        <w:lang w:val="en-GB"/>
      </w:rPr>
      <w:tab/>
      <w:t xml:space="preserve">ECC REPORT </w:t>
    </w:r>
    <w:r w:rsidR="00672801">
      <w:t>348</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5B24FA">
      <w:rPr>
        <w:noProof/>
        <w:lang w:val="en-GB"/>
      </w:rPr>
      <w:t>13</w:t>
    </w:r>
    <w:r w:rsidRPr="00296C44">
      <w:fldChar w:fldCharType="end"/>
    </w:r>
  </w:p>
  <w:p w14:paraId="677B6F6C" w14:textId="77777777" w:rsidR="00100D91" w:rsidRDefault="00100D91" w:rsidP="004930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6F6F" w14:textId="27B92811" w:rsidR="00100D91" w:rsidRPr="005611D0" w:rsidRDefault="00100D91" w:rsidP="009B022D">
    <w:pPr>
      <w:pStyle w:val="ECCpageHeader"/>
    </w:pPr>
    <w:r w:rsidRPr="00F7440E">
      <w:rPr>
        <w:noProof/>
        <w:lang w:val="de-DE" w:eastAsia="de-DE"/>
      </w:rPr>
      <w:drawing>
        <wp:anchor distT="0" distB="0" distL="114300" distR="114300" simplePos="0" relativeHeight="251658752" behindDoc="0" locked="0" layoutInCell="1" allowOverlap="1" wp14:anchorId="677B6F78" wp14:editId="677B6F79">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val="de-DE" w:eastAsia="de-DE"/>
      </w:rPr>
      <w:drawing>
        <wp:anchor distT="0" distB="0" distL="114300" distR="114300" simplePos="0" relativeHeight="251657728" behindDoc="0" locked="0" layoutInCell="1" allowOverlap="1" wp14:anchorId="677B6F7A" wp14:editId="677B6F7B">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677B6F70" w14:textId="77777777" w:rsidR="00100D91" w:rsidRPr="005611D0" w:rsidRDefault="00100D91" w:rsidP="000F0A57">
    <w:pPr>
      <w:pStyle w:val="ECCpageHeader"/>
    </w:pPr>
  </w:p>
  <w:p w14:paraId="677B6F71" w14:textId="77777777" w:rsidR="00100D91" w:rsidRPr="005611D0" w:rsidRDefault="00100D91" w:rsidP="000F0A57">
    <w:pPr>
      <w:pStyle w:val="ECCpageHeader"/>
    </w:pPr>
  </w:p>
  <w:p w14:paraId="677B6F72" w14:textId="0566C546" w:rsidR="00100D91" w:rsidRPr="005611D0" w:rsidRDefault="00100D91" w:rsidP="000F0A57">
    <w:pPr>
      <w:pStyle w:val="ECCpageHeader"/>
    </w:pPr>
  </w:p>
  <w:p w14:paraId="677B6F73" w14:textId="77777777" w:rsidR="00100D91" w:rsidRPr="005611D0" w:rsidRDefault="00100D91" w:rsidP="000F0A57">
    <w:pPr>
      <w:pStyle w:val="ECCpage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2pt;height:59.35pt" o:bullet="t">
        <v:imagedata r:id="rId1" o:title="Editor's Note"/>
      </v:shape>
    </w:pict>
  </w:numPicBullet>
  <w:abstractNum w:abstractNumId="0" w15:restartNumberingAfterBreak="0">
    <w:nsid w:val="04E4590D"/>
    <w:multiLevelType w:val="hybridMultilevel"/>
    <w:tmpl w:val="F6049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E0FA4"/>
    <w:multiLevelType w:val="hybridMultilevel"/>
    <w:tmpl w:val="6BF87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5C537A0"/>
    <w:multiLevelType w:val="hybridMultilevel"/>
    <w:tmpl w:val="0040E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0A7C33"/>
    <w:multiLevelType w:val="hybridMultilevel"/>
    <w:tmpl w:val="81E804EC"/>
    <w:lvl w:ilvl="0" w:tplc="2718434E">
      <w:start w:val="1"/>
      <w:numFmt w:val="decimal"/>
      <w:pStyle w:val="ECCEditorsNote"/>
      <w:lvlText w:val="Editor's Note %1:"/>
      <w:lvlJc w:val="left"/>
      <w:pPr>
        <w:tabs>
          <w:tab w:val="num" w:pos="6521"/>
        </w:tabs>
        <w:ind w:left="6521"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725" w:hanging="360"/>
      </w:pPr>
    </w:lvl>
    <w:lvl w:ilvl="2" w:tplc="0407001B" w:tentative="1">
      <w:start w:val="1"/>
      <w:numFmt w:val="lowerRoman"/>
      <w:lvlText w:val="%3."/>
      <w:lvlJc w:val="right"/>
      <w:pPr>
        <w:ind w:left="2445" w:hanging="180"/>
      </w:pPr>
    </w:lvl>
    <w:lvl w:ilvl="3" w:tplc="0407000F" w:tentative="1">
      <w:start w:val="1"/>
      <w:numFmt w:val="decimal"/>
      <w:lvlText w:val="%4."/>
      <w:lvlJc w:val="left"/>
      <w:pPr>
        <w:ind w:left="3165" w:hanging="360"/>
      </w:pPr>
    </w:lvl>
    <w:lvl w:ilvl="4" w:tplc="04070019" w:tentative="1">
      <w:start w:val="1"/>
      <w:numFmt w:val="lowerLetter"/>
      <w:lvlText w:val="%5."/>
      <w:lvlJc w:val="left"/>
      <w:pPr>
        <w:ind w:left="3885" w:hanging="360"/>
      </w:pPr>
    </w:lvl>
    <w:lvl w:ilvl="5" w:tplc="0407001B" w:tentative="1">
      <w:start w:val="1"/>
      <w:numFmt w:val="lowerRoman"/>
      <w:lvlText w:val="%6."/>
      <w:lvlJc w:val="right"/>
      <w:pPr>
        <w:ind w:left="4605" w:hanging="180"/>
      </w:pPr>
    </w:lvl>
    <w:lvl w:ilvl="6" w:tplc="0407000F" w:tentative="1">
      <w:start w:val="1"/>
      <w:numFmt w:val="decimal"/>
      <w:lvlText w:val="%7."/>
      <w:lvlJc w:val="left"/>
      <w:pPr>
        <w:ind w:left="5325" w:hanging="360"/>
      </w:pPr>
    </w:lvl>
    <w:lvl w:ilvl="7" w:tplc="04070019" w:tentative="1">
      <w:start w:val="1"/>
      <w:numFmt w:val="lowerLetter"/>
      <w:lvlText w:val="%8."/>
      <w:lvlJc w:val="left"/>
      <w:pPr>
        <w:ind w:left="6045" w:hanging="360"/>
      </w:pPr>
    </w:lvl>
    <w:lvl w:ilvl="8" w:tplc="0407001B" w:tentative="1">
      <w:start w:val="1"/>
      <w:numFmt w:val="lowerRoman"/>
      <w:lvlText w:val="%9."/>
      <w:lvlJc w:val="right"/>
      <w:pPr>
        <w:ind w:left="6765" w:hanging="180"/>
      </w:pPr>
    </w:lvl>
  </w:abstractNum>
  <w:abstractNum w:abstractNumId="6" w15:restartNumberingAfterBreak="0">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7" w15:restartNumberingAfterBreak="0">
    <w:nsid w:val="33D411C2"/>
    <w:multiLevelType w:val="hybridMultilevel"/>
    <w:tmpl w:val="160AF222"/>
    <w:lvl w:ilvl="0" w:tplc="F7DEA914">
      <w:start w:val="1"/>
      <w:numFmt w:val="lowerLetter"/>
      <w:lvlText w:val="%1)"/>
      <w:lvlJc w:val="left"/>
      <w:pPr>
        <w:ind w:left="1800" w:hanging="36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8" w15:restartNumberingAfterBreak="0">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EF50F65"/>
    <w:multiLevelType w:val="hybridMultilevel"/>
    <w:tmpl w:val="905C800E"/>
    <w:lvl w:ilvl="0" w:tplc="6E588F52">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F524F7B0" w:tentative="1">
      <w:start w:val="1"/>
      <w:numFmt w:val="bullet"/>
      <w:lvlText w:val=""/>
      <w:lvlJc w:val="left"/>
      <w:pPr>
        <w:tabs>
          <w:tab w:val="num" w:pos="2160"/>
        </w:tabs>
        <w:ind w:left="2160" w:hanging="360"/>
      </w:pPr>
      <w:rPr>
        <w:rFonts w:ascii="Wingdings" w:hAnsi="Wingdings" w:hint="default"/>
      </w:rPr>
    </w:lvl>
    <w:lvl w:ilvl="3" w:tplc="B41A0024" w:tentative="1">
      <w:start w:val="1"/>
      <w:numFmt w:val="bullet"/>
      <w:lvlText w:val=""/>
      <w:lvlJc w:val="left"/>
      <w:pPr>
        <w:tabs>
          <w:tab w:val="num" w:pos="2880"/>
        </w:tabs>
        <w:ind w:left="2880" w:hanging="360"/>
      </w:pPr>
      <w:rPr>
        <w:rFonts w:ascii="Wingdings" w:hAnsi="Wingdings" w:hint="default"/>
      </w:rPr>
    </w:lvl>
    <w:lvl w:ilvl="4" w:tplc="A2D42646" w:tentative="1">
      <w:start w:val="1"/>
      <w:numFmt w:val="bullet"/>
      <w:lvlText w:val=""/>
      <w:lvlJc w:val="left"/>
      <w:pPr>
        <w:tabs>
          <w:tab w:val="num" w:pos="3600"/>
        </w:tabs>
        <w:ind w:left="3600" w:hanging="360"/>
      </w:pPr>
      <w:rPr>
        <w:rFonts w:ascii="Wingdings" w:hAnsi="Wingdings" w:hint="default"/>
      </w:rPr>
    </w:lvl>
    <w:lvl w:ilvl="5" w:tplc="8E04B1F4" w:tentative="1">
      <w:start w:val="1"/>
      <w:numFmt w:val="bullet"/>
      <w:lvlText w:val=""/>
      <w:lvlJc w:val="left"/>
      <w:pPr>
        <w:tabs>
          <w:tab w:val="num" w:pos="4320"/>
        </w:tabs>
        <w:ind w:left="4320" w:hanging="360"/>
      </w:pPr>
      <w:rPr>
        <w:rFonts w:ascii="Wingdings" w:hAnsi="Wingdings" w:hint="default"/>
      </w:rPr>
    </w:lvl>
    <w:lvl w:ilvl="6" w:tplc="5726C336" w:tentative="1">
      <w:start w:val="1"/>
      <w:numFmt w:val="bullet"/>
      <w:lvlText w:val=""/>
      <w:lvlJc w:val="left"/>
      <w:pPr>
        <w:tabs>
          <w:tab w:val="num" w:pos="5040"/>
        </w:tabs>
        <w:ind w:left="5040" w:hanging="360"/>
      </w:pPr>
      <w:rPr>
        <w:rFonts w:ascii="Wingdings" w:hAnsi="Wingdings" w:hint="default"/>
      </w:rPr>
    </w:lvl>
    <w:lvl w:ilvl="7" w:tplc="7D384CAC" w:tentative="1">
      <w:start w:val="1"/>
      <w:numFmt w:val="bullet"/>
      <w:lvlText w:val=""/>
      <w:lvlJc w:val="left"/>
      <w:pPr>
        <w:tabs>
          <w:tab w:val="num" w:pos="5760"/>
        </w:tabs>
        <w:ind w:left="5760" w:hanging="360"/>
      </w:pPr>
      <w:rPr>
        <w:rFonts w:ascii="Wingdings" w:hAnsi="Wingdings" w:hint="default"/>
      </w:rPr>
    </w:lvl>
    <w:lvl w:ilvl="8" w:tplc="C022925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BE4C9A"/>
    <w:multiLevelType w:val="multilevel"/>
    <w:tmpl w:val="8E12CC2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15:restartNumberingAfterBreak="0">
    <w:nsid w:val="618756A9"/>
    <w:multiLevelType w:val="hybridMultilevel"/>
    <w:tmpl w:val="B7248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09889255">
    <w:abstractNumId w:val="3"/>
  </w:num>
  <w:num w:numId="2" w16cid:durableId="485247565">
    <w:abstractNumId w:val="1"/>
  </w:num>
  <w:num w:numId="3" w16cid:durableId="984622582">
    <w:abstractNumId w:val="12"/>
  </w:num>
  <w:num w:numId="4" w16cid:durableId="738745727">
    <w:abstractNumId w:val="6"/>
  </w:num>
  <w:num w:numId="5" w16cid:durableId="845897813">
    <w:abstractNumId w:val="10"/>
  </w:num>
  <w:num w:numId="6" w16cid:durableId="1167398854">
    <w:abstractNumId w:val="8"/>
  </w:num>
  <w:num w:numId="7" w16cid:durableId="1329791965">
    <w:abstractNumId w:val="11"/>
  </w:num>
  <w:num w:numId="8" w16cid:durableId="1716929365">
    <w:abstractNumId w:val="5"/>
  </w:num>
  <w:num w:numId="9" w16cid:durableId="1221863255">
    <w:abstractNumId w:val="5"/>
  </w:num>
  <w:num w:numId="10" w16cid:durableId="1958680037">
    <w:abstractNumId w:val="9"/>
  </w:num>
  <w:num w:numId="11" w16cid:durableId="602692840">
    <w:abstractNumId w:val="4"/>
  </w:num>
  <w:num w:numId="12" w16cid:durableId="732509166">
    <w:abstractNumId w:val="2"/>
  </w:num>
  <w:num w:numId="13" w16cid:durableId="1327516068">
    <w:abstractNumId w:val="13"/>
  </w:num>
  <w:num w:numId="14" w16cid:durableId="533082942">
    <w:abstractNumId w:val="0"/>
  </w:num>
  <w:num w:numId="15" w16cid:durableId="1157384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914357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73718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2426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8600031">
    <w:abstractNumId w:val="14"/>
  </w:num>
  <w:num w:numId="20" w16cid:durableId="1615137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5341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40368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497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4384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AES" w:cryptAlgorithmClass="hash" w:cryptAlgorithmType="typeAny" w:cryptAlgorithmSid="14" w:cryptSpinCount="100000" w:hash="DND4XQywWBbZdtb4LSlxJQxBols6xJENq2SG2gcIlyVHXWqBGrJKwjoWjmGv0vj6jYUmxXvpVZdUkSkNf2TMDA==" w:salt="PANBw6uCkYfTTzH2nUjqeQ=="/>
  <w:styleLockTheme/>
  <w:defaultTabStop w:val="567"/>
  <w:hyphenationZone w:val="425"/>
  <w:evenAndOddHeaders/>
  <w:characterSpacingControl w:val="doNotCompress"/>
  <w:hdrShapeDefaults>
    <o:shapedefaults v:ext="edit" spidmax="3073">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F2B"/>
    <w:rsid w:val="00001055"/>
    <w:rsid w:val="00002163"/>
    <w:rsid w:val="00005FA5"/>
    <w:rsid w:val="000070C9"/>
    <w:rsid w:val="00010E48"/>
    <w:rsid w:val="0001112E"/>
    <w:rsid w:val="00011629"/>
    <w:rsid w:val="00012C24"/>
    <w:rsid w:val="00012E3B"/>
    <w:rsid w:val="00016C34"/>
    <w:rsid w:val="00020871"/>
    <w:rsid w:val="00021789"/>
    <w:rsid w:val="00021E50"/>
    <w:rsid w:val="0002217A"/>
    <w:rsid w:val="00023C04"/>
    <w:rsid w:val="00024C7B"/>
    <w:rsid w:val="0003509E"/>
    <w:rsid w:val="00040716"/>
    <w:rsid w:val="00041A18"/>
    <w:rsid w:val="0004224A"/>
    <w:rsid w:val="000435D3"/>
    <w:rsid w:val="00043846"/>
    <w:rsid w:val="000455DE"/>
    <w:rsid w:val="00050B4D"/>
    <w:rsid w:val="00054937"/>
    <w:rsid w:val="0005496D"/>
    <w:rsid w:val="00054DD5"/>
    <w:rsid w:val="00055E17"/>
    <w:rsid w:val="00061156"/>
    <w:rsid w:val="000630C7"/>
    <w:rsid w:val="0006438A"/>
    <w:rsid w:val="00067793"/>
    <w:rsid w:val="00070AD1"/>
    <w:rsid w:val="0007336E"/>
    <w:rsid w:val="0007526D"/>
    <w:rsid w:val="00080D4D"/>
    <w:rsid w:val="00080D86"/>
    <w:rsid w:val="00081E8A"/>
    <w:rsid w:val="0008235C"/>
    <w:rsid w:val="000826A7"/>
    <w:rsid w:val="00082DD7"/>
    <w:rsid w:val="0008588F"/>
    <w:rsid w:val="00086D6F"/>
    <w:rsid w:val="00092EBA"/>
    <w:rsid w:val="000940E0"/>
    <w:rsid w:val="0009467C"/>
    <w:rsid w:val="00095620"/>
    <w:rsid w:val="00096242"/>
    <w:rsid w:val="0009733B"/>
    <w:rsid w:val="000A0C46"/>
    <w:rsid w:val="000A127C"/>
    <w:rsid w:val="000A14D9"/>
    <w:rsid w:val="000A171D"/>
    <w:rsid w:val="000A19D0"/>
    <w:rsid w:val="000A3246"/>
    <w:rsid w:val="000A3940"/>
    <w:rsid w:val="000A4C8E"/>
    <w:rsid w:val="000A5255"/>
    <w:rsid w:val="000B41D2"/>
    <w:rsid w:val="000B521E"/>
    <w:rsid w:val="000B6D45"/>
    <w:rsid w:val="000C011B"/>
    <w:rsid w:val="000C028F"/>
    <w:rsid w:val="000C0B1A"/>
    <w:rsid w:val="000C0C4A"/>
    <w:rsid w:val="000C2C9D"/>
    <w:rsid w:val="000C53C3"/>
    <w:rsid w:val="000C71E9"/>
    <w:rsid w:val="000D00D3"/>
    <w:rsid w:val="000D0CFF"/>
    <w:rsid w:val="000D1710"/>
    <w:rsid w:val="000D2FEF"/>
    <w:rsid w:val="000D4225"/>
    <w:rsid w:val="000D43BB"/>
    <w:rsid w:val="000D637B"/>
    <w:rsid w:val="000D7558"/>
    <w:rsid w:val="000D7B70"/>
    <w:rsid w:val="000E42F5"/>
    <w:rsid w:val="000E7E33"/>
    <w:rsid w:val="000F0594"/>
    <w:rsid w:val="000F0A57"/>
    <w:rsid w:val="000F0CA8"/>
    <w:rsid w:val="000F24F5"/>
    <w:rsid w:val="000F2ED9"/>
    <w:rsid w:val="000F320D"/>
    <w:rsid w:val="000F50C0"/>
    <w:rsid w:val="000F7232"/>
    <w:rsid w:val="001006CA"/>
    <w:rsid w:val="00100D91"/>
    <w:rsid w:val="00100DF5"/>
    <w:rsid w:val="00100F8B"/>
    <w:rsid w:val="00102172"/>
    <w:rsid w:val="001030C2"/>
    <w:rsid w:val="00105FC7"/>
    <w:rsid w:val="00107C93"/>
    <w:rsid w:val="00110652"/>
    <w:rsid w:val="00113CB7"/>
    <w:rsid w:val="00114182"/>
    <w:rsid w:val="001143B0"/>
    <w:rsid w:val="00114FB5"/>
    <w:rsid w:val="00120A17"/>
    <w:rsid w:val="00121906"/>
    <w:rsid w:val="001225CD"/>
    <w:rsid w:val="001253B8"/>
    <w:rsid w:val="00127AB9"/>
    <w:rsid w:val="00132116"/>
    <w:rsid w:val="00132D45"/>
    <w:rsid w:val="0013483B"/>
    <w:rsid w:val="00134C26"/>
    <w:rsid w:val="00142141"/>
    <w:rsid w:val="00142B48"/>
    <w:rsid w:val="001526A2"/>
    <w:rsid w:val="00155514"/>
    <w:rsid w:val="001555E1"/>
    <w:rsid w:val="00155FF2"/>
    <w:rsid w:val="00156314"/>
    <w:rsid w:val="00162983"/>
    <w:rsid w:val="00164B2E"/>
    <w:rsid w:val="001655A1"/>
    <w:rsid w:val="00172801"/>
    <w:rsid w:val="00172B28"/>
    <w:rsid w:val="00175087"/>
    <w:rsid w:val="00175949"/>
    <w:rsid w:val="00183274"/>
    <w:rsid w:val="00183FE0"/>
    <w:rsid w:val="0018553F"/>
    <w:rsid w:val="0019367A"/>
    <w:rsid w:val="001953B6"/>
    <w:rsid w:val="00197929"/>
    <w:rsid w:val="001A159C"/>
    <w:rsid w:val="001A2CEF"/>
    <w:rsid w:val="001A4775"/>
    <w:rsid w:val="001A4792"/>
    <w:rsid w:val="001A4999"/>
    <w:rsid w:val="001A54DF"/>
    <w:rsid w:val="001A7130"/>
    <w:rsid w:val="001B190A"/>
    <w:rsid w:val="001B1943"/>
    <w:rsid w:val="001B387B"/>
    <w:rsid w:val="001C30A0"/>
    <w:rsid w:val="001C30A8"/>
    <w:rsid w:val="001C4AAC"/>
    <w:rsid w:val="001C4B73"/>
    <w:rsid w:val="001D0473"/>
    <w:rsid w:val="001D0920"/>
    <w:rsid w:val="001D1C48"/>
    <w:rsid w:val="001D5377"/>
    <w:rsid w:val="001E09F4"/>
    <w:rsid w:val="001E32E7"/>
    <w:rsid w:val="001E33A9"/>
    <w:rsid w:val="001E5A64"/>
    <w:rsid w:val="001E6716"/>
    <w:rsid w:val="001E6ABA"/>
    <w:rsid w:val="001F099F"/>
    <w:rsid w:val="001F0ECD"/>
    <w:rsid w:val="001F3197"/>
    <w:rsid w:val="001F56F5"/>
    <w:rsid w:val="001F6009"/>
    <w:rsid w:val="001F64B8"/>
    <w:rsid w:val="001F69A2"/>
    <w:rsid w:val="001F7F54"/>
    <w:rsid w:val="0020051D"/>
    <w:rsid w:val="0020079A"/>
    <w:rsid w:val="00200A0B"/>
    <w:rsid w:val="00204216"/>
    <w:rsid w:val="00204B42"/>
    <w:rsid w:val="00210414"/>
    <w:rsid w:val="00211AA4"/>
    <w:rsid w:val="002165FE"/>
    <w:rsid w:val="00220299"/>
    <w:rsid w:val="00221147"/>
    <w:rsid w:val="00222F9E"/>
    <w:rsid w:val="002302A9"/>
    <w:rsid w:val="00232176"/>
    <w:rsid w:val="00233C9E"/>
    <w:rsid w:val="0023596C"/>
    <w:rsid w:val="00235C7B"/>
    <w:rsid w:val="00237B6B"/>
    <w:rsid w:val="002456A1"/>
    <w:rsid w:val="00245D3E"/>
    <w:rsid w:val="00245DF4"/>
    <w:rsid w:val="00251CD0"/>
    <w:rsid w:val="00254931"/>
    <w:rsid w:val="002563AE"/>
    <w:rsid w:val="002618D1"/>
    <w:rsid w:val="00264464"/>
    <w:rsid w:val="002668D6"/>
    <w:rsid w:val="002705EC"/>
    <w:rsid w:val="002718A7"/>
    <w:rsid w:val="0027196F"/>
    <w:rsid w:val="00274F84"/>
    <w:rsid w:val="0027787F"/>
    <w:rsid w:val="0028060B"/>
    <w:rsid w:val="0028120C"/>
    <w:rsid w:val="00281547"/>
    <w:rsid w:val="00281857"/>
    <w:rsid w:val="00282D8F"/>
    <w:rsid w:val="00283417"/>
    <w:rsid w:val="00285314"/>
    <w:rsid w:val="00293BD6"/>
    <w:rsid w:val="00295827"/>
    <w:rsid w:val="00295F16"/>
    <w:rsid w:val="002960DF"/>
    <w:rsid w:val="00296C44"/>
    <w:rsid w:val="002A033F"/>
    <w:rsid w:val="002A2C11"/>
    <w:rsid w:val="002B053F"/>
    <w:rsid w:val="002B3134"/>
    <w:rsid w:val="002B414D"/>
    <w:rsid w:val="002B42A0"/>
    <w:rsid w:val="002B654D"/>
    <w:rsid w:val="002B6C4A"/>
    <w:rsid w:val="002B7B01"/>
    <w:rsid w:val="002B7C91"/>
    <w:rsid w:val="002C2431"/>
    <w:rsid w:val="002C2DD8"/>
    <w:rsid w:val="002C4827"/>
    <w:rsid w:val="002C6515"/>
    <w:rsid w:val="002C6DC3"/>
    <w:rsid w:val="002C7E54"/>
    <w:rsid w:val="002D008C"/>
    <w:rsid w:val="002D0F06"/>
    <w:rsid w:val="002D1FA9"/>
    <w:rsid w:val="002D2977"/>
    <w:rsid w:val="002D2A50"/>
    <w:rsid w:val="002D48C1"/>
    <w:rsid w:val="002D50A3"/>
    <w:rsid w:val="002D564F"/>
    <w:rsid w:val="002D5C44"/>
    <w:rsid w:val="002D6053"/>
    <w:rsid w:val="002E2675"/>
    <w:rsid w:val="002E4F6A"/>
    <w:rsid w:val="002E56D5"/>
    <w:rsid w:val="002E5FAD"/>
    <w:rsid w:val="002E7FD0"/>
    <w:rsid w:val="002F3BA4"/>
    <w:rsid w:val="002F4A3C"/>
    <w:rsid w:val="002F5290"/>
    <w:rsid w:val="002F6804"/>
    <w:rsid w:val="002F77FD"/>
    <w:rsid w:val="003001A0"/>
    <w:rsid w:val="0030254B"/>
    <w:rsid w:val="0030362E"/>
    <w:rsid w:val="00304A8D"/>
    <w:rsid w:val="00305055"/>
    <w:rsid w:val="003076A8"/>
    <w:rsid w:val="00307A79"/>
    <w:rsid w:val="00307FA7"/>
    <w:rsid w:val="00314642"/>
    <w:rsid w:val="00315992"/>
    <w:rsid w:val="00316F14"/>
    <w:rsid w:val="003179AB"/>
    <w:rsid w:val="003204D5"/>
    <w:rsid w:val="00322586"/>
    <w:rsid w:val="003226D8"/>
    <w:rsid w:val="00322E6A"/>
    <w:rsid w:val="003314A0"/>
    <w:rsid w:val="003352C5"/>
    <w:rsid w:val="003370BA"/>
    <w:rsid w:val="00337AB4"/>
    <w:rsid w:val="00340B38"/>
    <w:rsid w:val="00341EB6"/>
    <w:rsid w:val="0034263E"/>
    <w:rsid w:val="00344C17"/>
    <w:rsid w:val="00345B8E"/>
    <w:rsid w:val="0034724F"/>
    <w:rsid w:val="00350397"/>
    <w:rsid w:val="00351BE6"/>
    <w:rsid w:val="003625E6"/>
    <w:rsid w:val="00363BDD"/>
    <w:rsid w:val="00365484"/>
    <w:rsid w:val="0037045E"/>
    <w:rsid w:val="00372D70"/>
    <w:rsid w:val="00373494"/>
    <w:rsid w:val="003767F7"/>
    <w:rsid w:val="00381169"/>
    <w:rsid w:val="0038358E"/>
    <w:rsid w:val="00387AB8"/>
    <w:rsid w:val="00387B09"/>
    <w:rsid w:val="00387DDE"/>
    <w:rsid w:val="003904BE"/>
    <w:rsid w:val="003907CE"/>
    <w:rsid w:val="003910EB"/>
    <w:rsid w:val="00391A01"/>
    <w:rsid w:val="003932D5"/>
    <w:rsid w:val="003A0BC8"/>
    <w:rsid w:val="003A0EB5"/>
    <w:rsid w:val="003A1206"/>
    <w:rsid w:val="003A3EB2"/>
    <w:rsid w:val="003A5711"/>
    <w:rsid w:val="003A6D93"/>
    <w:rsid w:val="003B0A21"/>
    <w:rsid w:val="003B1553"/>
    <w:rsid w:val="003B1F2B"/>
    <w:rsid w:val="003B5FD3"/>
    <w:rsid w:val="003B6454"/>
    <w:rsid w:val="003B785C"/>
    <w:rsid w:val="003C3330"/>
    <w:rsid w:val="003C64D9"/>
    <w:rsid w:val="003D1518"/>
    <w:rsid w:val="003D2AC0"/>
    <w:rsid w:val="003D51E7"/>
    <w:rsid w:val="003E02F1"/>
    <w:rsid w:val="003E29A0"/>
    <w:rsid w:val="003E2E42"/>
    <w:rsid w:val="003E404A"/>
    <w:rsid w:val="003E54B0"/>
    <w:rsid w:val="003E586F"/>
    <w:rsid w:val="003E70E0"/>
    <w:rsid w:val="003F0287"/>
    <w:rsid w:val="003F1C93"/>
    <w:rsid w:val="003F2917"/>
    <w:rsid w:val="003F2D7F"/>
    <w:rsid w:val="003F566E"/>
    <w:rsid w:val="003F5EA9"/>
    <w:rsid w:val="003F71AF"/>
    <w:rsid w:val="004001D9"/>
    <w:rsid w:val="004036CF"/>
    <w:rsid w:val="00403CE6"/>
    <w:rsid w:val="00404D49"/>
    <w:rsid w:val="0040530A"/>
    <w:rsid w:val="004053EC"/>
    <w:rsid w:val="00407437"/>
    <w:rsid w:val="004110CA"/>
    <w:rsid w:val="0041160E"/>
    <w:rsid w:val="00412289"/>
    <w:rsid w:val="004124BA"/>
    <w:rsid w:val="00416357"/>
    <w:rsid w:val="004165CE"/>
    <w:rsid w:val="0042269B"/>
    <w:rsid w:val="00422DD4"/>
    <w:rsid w:val="00423E2F"/>
    <w:rsid w:val="00425E5A"/>
    <w:rsid w:val="00431162"/>
    <w:rsid w:val="00433334"/>
    <w:rsid w:val="00433F68"/>
    <w:rsid w:val="004369A0"/>
    <w:rsid w:val="00437E16"/>
    <w:rsid w:val="00442828"/>
    <w:rsid w:val="004428D1"/>
    <w:rsid w:val="00443482"/>
    <w:rsid w:val="00450308"/>
    <w:rsid w:val="00451478"/>
    <w:rsid w:val="00451BA7"/>
    <w:rsid w:val="00453BC3"/>
    <w:rsid w:val="004566D4"/>
    <w:rsid w:val="00457AD1"/>
    <w:rsid w:val="00461A7F"/>
    <w:rsid w:val="00461B50"/>
    <w:rsid w:val="00462A07"/>
    <w:rsid w:val="0046376B"/>
    <w:rsid w:val="00463D7F"/>
    <w:rsid w:val="0046427F"/>
    <w:rsid w:val="00465F13"/>
    <w:rsid w:val="0046752E"/>
    <w:rsid w:val="00471289"/>
    <w:rsid w:val="00471F0A"/>
    <w:rsid w:val="00476226"/>
    <w:rsid w:val="004771BE"/>
    <w:rsid w:val="0047784A"/>
    <w:rsid w:val="004830E3"/>
    <w:rsid w:val="0048319C"/>
    <w:rsid w:val="00484AE6"/>
    <w:rsid w:val="00484EBE"/>
    <w:rsid w:val="00485665"/>
    <w:rsid w:val="00485FBB"/>
    <w:rsid w:val="00486FC5"/>
    <w:rsid w:val="0048723E"/>
    <w:rsid w:val="00490680"/>
    <w:rsid w:val="00491977"/>
    <w:rsid w:val="00491B22"/>
    <w:rsid w:val="004930E1"/>
    <w:rsid w:val="004931CB"/>
    <w:rsid w:val="00496669"/>
    <w:rsid w:val="00497E6D"/>
    <w:rsid w:val="004A1329"/>
    <w:rsid w:val="004A6FB3"/>
    <w:rsid w:val="004B07D7"/>
    <w:rsid w:val="004B0B44"/>
    <w:rsid w:val="004C0657"/>
    <w:rsid w:val="004C11EA"/>
    <w:rsid w:val="004C1652"/>
    <w:rsid w:val="004C18E1"/>
    <w:rsid w:val="004C4A2E"/>
    <w:rsid w:val="004C55C0"/>
    <w:rsid w:val="004C5FE4"/>
    <w:rsid w:val="004D3911"/>
    <w:rsid w:val="004D4560"/>
    <w:rsid w:val="004E057E"/>
    <w:rsid w:val="004E1562"/>
    <w:rsid w:val="004E16F9"/>
    <w:rsid w:val="004E3984"/>
    <w:rsid w:val="004E4094"/>
    <w:rsid w:val="004E44C8"/>
    <w:rsid w:val="004E53BE"/>
    <w:rsid w:val="004E6722"/>
    <w:rsid w:val="004E7512"/>
    <w:rsid w:val="004E792B"/>
    <w:rsid w:val="004E7F82"/>
    <w:rsid w:val="004F359A"/>
    <w:rsid w:val="004F4806"/>
    <w:rsid w:val="004F4A78"/>
    <w:rsid w:val="00500232"/>
    <w:rsid w:val="0050150F"/>
    <w:rsid w:val="00501992"/>
    <w:rsid w:val="00502614"/>
    <w:rsid w:val="00503BC8"/>
    <w:rsid w:val="00505820"/>
    <w:rsid w:val="0050634E"/>
    <w:rsid w:val="005107F9"/>
    <w:rsid w:val="00510D7B"/>
    <w:rsid w:val="00511840"/>
    <w:rsid w:val="00512FD3"/>
    <w:rsid w:val="00516BA1"/>
    <w:rsid w:val="00520FAB"/>
    <w:rsid w:val="0052130B"/>
    <w:rsid w:val="00521B66"/>
    <w:rsid w:val="00521D47"/>
    <w:rsid w:val="00524CC0"/>
    <w:rsid w:val="0052503E"/>
    <w:rsid w:val="00526312"/>
    <w:rsid w:val="00526635"/>
    <w:rsid w:val="0052698A"/>
    <w:rsid w:val="0053007A"/>
    <w:rsid w:val="0053062A"/>
    <w:rsid w:val="00530CA0"/>
    <w:rsid w:val="00533F4B"/>
    <w:rsid w:val="005347AD"/>
    <w:rsid w:val="00534AB2"/>
    <w:rsid w:val="00535050"/>
    <w:rsid w:val="0053505F"/>
    <w:rsid w:val="00536F3C"/>
    <w:rsid w:val="005373C0"/>
    <w:rsid w:val="00541483"/>
    <w:rsid w:val="005422F6"/>
    <w:rsid w:val="0054260E"/>
    <w:rsid w:val="005428FA"/>
    <w:rsid w:val="0054381D"/>
    <w:rsid w:val="00543AF5"/>
    <w:rsid w:val="00544FE9"/>
    <w:rsid w:val="005462C5"/>
    <w:rsid w:val="00550D79"/>
    <w:rsid w:val="00551A9D"/>
    <w:rsid w:val="00554115"/>
    <w:rsid w:val="005559AC"/>
    <w:rsid w:val="00555FB3"/>
    <w:rsid w:val="00557317"/>
    <w:rsid w:val="00557B5A"/>
    <w:rsid w:val="0056075D"/>
    <w:rsid w:val="005611D0"/>
    <w:rsid w:val="00561D60"/>
    <w:rsid w:val="00562EB6"/>
    <w:rsid w:val="005636FF"/>
    <w:rsid w:val="00566BD4"/>
    <w:rsid w:val="005725A2"/>
    <w:rsid w:val="0057475B"/>
    <w:rsid w:val="005756CD"/>
    <w:rsid w:val="00575B6A"/>
    <w:rsid w:val="00577CAF"/>
    <w:rsid w:val="00580223"/>
    <w:rsid w:val="0058564F"/>
    <w:rsid w:val="00585C27"/>
    <w:rsid w:val="00594186"/>
    <w:rsid w:val="005A05D1"/>
    <w:rsid w:val="005A1421"/>
    <w:rsid w:val="005A30F8"/>
    <w:rsid w:val="005A37D5"/>
    <w:rsid w:val="005A4C09"/>
    <w:rsid w:val="005A5056"/>
    <w:rsid w:val="005A53B8"/>
    <w:rsid w:val="005A74EE"/>
    <w:rsid w:val="005B0A18"/>
    <w:rsid w:val="005B1438"/>
    <w:rsid w:val="005B202B"/>
    <w:rsid w:val="005B24FA"/>
    <w:rsid w:val="005B79FC"/>
    <w:rsid w:val="005C10EB"/>
    <w:rsid w:val="005C29E7"/>
    <w:rsid w:val="005C3465"/>
    <w:rsid w:val="005C3EA9"/>
    <w:rsid w:val="005C4B6E"/>
    <w:rsid w:val="005C5A96"/>
    <w:rsid w:val="005C5D94"/>
    <w:rsid w:val="005C6FD6"/>
    <w:rsid w:val="005D0613"/>
    <w:rsid w:val="005D098C"/>
    <w:rsid w:val="005D0AA4"/>
    <w:rsid w:val="005D2041"/>
    <w:rsid w:val="005D210D"/>
    <w:rsid w:val="005D371D"/>
    <w:rsid w:val="005D495E"/>
    <w:rsid w:val="005D4B17"/>
    <w:rsid w:val="005D5C2D"/>
    <w:rsid w:val="005D61F1"/>
    <w:rsid w:val="005E083F"/>
    <w:rsid w:val="005E1075"/>
    <w:rsid w:val="005E71F3"/>
    <w:rsid w:val="005E7495"/>
    <w:rsid w:val="005E7830"/>
    <w:rsid w:val="005F00DC"/>
    <w:rsid w:val="005F3231"/>
    <w:rsid w:val="005F5DE7"/>
    <w:rsid w:val="005F7F90"/>
    <w:rsid w:val="00600D29"/>
    <w:rsid w:val="006043A4"/>
    <w:rsid w:val="00604EF0"/>
    <w:rsid w:val="00605511"/>
    <w:rsid w:val="006119D2"/>
    <w:rsid w:val="0061256B"/>
    <w:rsid w:val="00614883"/>
    <w:rsid w:val="00621C12"/>
    <w:rsid w:val="00622252"/>
    <w:rsid w:val="00623E18"/>
    <w:rsid w:val="00625C5D"/>
    <w:rsid w:val="00626112"/>
    <w:rsid w:val="00626655"/>
    <w:rsid w:val="00631B60"/>
    <w:rsid w:val="006335F3"/>
    <w:rsid w:val="00633C61"/>
    <w:rsid w:val="0063480F"/>
    <w:rsid w:val="00635A22"/>
    <w:rsid w:val="00635CF0"/>
    <w:rsid w:val="00640C16"/>
    <w:rsid w:val="00641CEE"/>
    <w:rsid w:val="00642083"/>
    <w:rsid w:val="00644CC6"/>
    <w:rsid w:val="006457C5"/>
    <w:rsid w:val="00646843"/>
    <w:rsid w:val="00646D9D"/>
    <w:rsid w:val="00647F0D"/>
    <w:rsid w:val="00650C6C"/>
    <w:rsid w:val="006517FA"/>
    <w:rsid w:val="00651CBA"/>
    <w:rsid w:val="006548B5"/>
    <w:rsid w:val="0065550D"/>
    <w:rsid w:val="00657D87"/>
    <w:rsid w:val="00664295"/>
    <w:rsid w:val="00665364"/>
    <w:rsid w:val="00667B35"/>
    <w:rsid w:val="00670EA2"/>
    <w:rsid w:val="00672801"/>
    <w:rsid w:val="00673A9B"/>
    <w:rsid w:val="0067715B"/>
    <w:rsid w:val="00680865"/>
    <w:rsid w:val="006818A3"/>
    <w:rsid w:val="006824CD"/>
    <w:rsid w:val="006847DA"/>
    <w:rsid w:val="00685790"/>
    <w:rsid w:val="006868D6"/>
    <w:rsid w:val="006876A8"/>
    <w:rsid w:val="006923A3"/>
    <w:rsid w:val="00692DE7"/>
    <w:rsid w:val="00693A7E"/>
    <w:rsid w:val="00693D06"/>
    <w:rsid w:val="00695F62"/>
    <w:rsid w:val="006A22F7"/>
    <w:rsid w:val="006A49E3"/>
    <w:rsid w:val="006A7FFD"/>
    <w:rsid w:val="006B0375"/>
    <w:rsid w:val="006B13B3"/>
    <w:rsid w:val="006B1C61"/>
    <w:rsid w:val="006B1EFD"/>
    <w:rsid w:val="006B2033"/>
    <w:rsid w:val="006B2E12"/>
    <w:rsid w:val="006B3331"/>
    <w:rsid w:val="006B34A0"/>
    <w:rsid w:val="006B4B01"/>
    <w:rsid w:val="006B4E2D"/>
    <w:rsid w:val="006B6EE9"/>
    <w:rsid w:val="006C0872"/>
    <w:rsid w:val="006C14E4"/>
    <w:rsid w:val="006C21E7"/>
    <w:rsid w:val="006C3025"/>
    <w:rsid w:val="006C5D9B"/>
    <w:rsid w:val="006C6DA8"/>
    <w:rsid w:val="006C7084"/>
    <w:rsid w:val="006C7F61"/>
    <w:rsid w:val="006D3C78"/>
    <w:rsid w:val="006D407F"/>
    <w:rsid w:val="006D668A"/>
    <w:rsid w:val="006E1BD1"/>
    <w:rsid w:val="006E207B"/>
    <w:rsid w:val="006E6988"/>
    <w:rsid w:val="006E730B"/>
    <w:rsid w:val="006F0442"/>
    <w:rsid w:val="006F19FD"/>
    <w:rsid w:val="006F22AD"/>
    <w:rsid w:val="006F246F"/>
    <w:rsid w:val="006F4D8C"/>
    <w:rsid w:val="006F6FD5"/>
    <w:rsid w:val="0070148E"/>
    <w:rsid w:val="00701CA1"/>
    <w:rsid w:val="007037B0"/>
    <w:rsid w:val="00710CEF"/>
    <w:rsid w:val="00711E33"/>
    <w:rsid w:val="00712C23"/>
    <w:rsid w:val="007160BE"/>
    <w:rsid w:val="007161DE"/>
    <w:rsid w:val="00720649"/>
    <w:rsid w:val="00720AED"/>
    <w:rsid w:val="00722F65"/>
    <w:rsid w:val="00723706"/>
    <w:rsid w:val="007257CD"/>
    <w:rsid w:val="0073241A"/>
    <w:rsid w:val="007334C3"/>
    <w:rsid w:val="00734A4F"/>
    <w:rsid w:val="00735C8C"/>
    <w:rsid w:val="007403AC"/>
    <w:rsid w:val="007414C6"/>
    <w:rsid w:val="0074357F"/>
    <w:rsid w:val="00743F7D"/>
    <w:rsid w:val="00744649"/>
    <w:rsid w:val="00746479"/>
    <w:rsid w:val="00750A7C"/>
    <w:rsid w:val="007530C9"/>
    <w:rsid w:val="007533D6"/>
    <w:rsid w:val="0075390E"/>
    <w:rsid w:val="00753C88"/>
    <w:rsid w:val="0075528A"/>
    <w:rsid w:val="00755525"/>
    <w:rsid w:val="00756E3E"/>
    <w:rsid w:val="00757F24"/>
    <w:rsid w:val="00760C16"/>
    <w:rsid w:val="007628DB"/>
    <w:rsid w:val="007629AD"/>
    <w:rsid w:val="00762BCC"/>
    <w:rsid w:val="007632C7"/>
    <w:rsid w:val="00763BA3"/>
    <w:rsid w:val="00764792"/>
    <w:rsid w:val="00765B58"/>
    <w:rsid w:val="00765B66"/>
    <w:rsid w:val="00767BB2"/>
    <w:rsid w:val="0077159C"/>
    <w:rsid w:val="007761AB"/>
    <w:rsid w:val="00776268"/>
    <w:rsid w:val="00780376"/>
    <w:rsid w:val="00780EE3"/>
    <w:rsid w:val="007830A1"/>
    <w:rsid w:val="007874F6"/>
    <w:rsid w:val="00791AAC"/>
    <w:rsid w:val="00797D4C"/>
    <w:rsid w:val="007A1250"/>
    <w:rsid w:val="007A1434"/>
    <w:rsid w:val="007A4779"/>
    <w:rsid w:val="007A4B78"/>
    <w:rsid w:val="007A4EB4"/>
    <w:rsid w:val="007A623C"/>
    <w:rsid w:val="007A7E7C"/>
    <w:rsid w:val="007B1576"/>
    <w:rsid w:val="007B1E73"/>
    <w:rsid w:val="007B319A"/>
    <w:rsid w:val="007C0E7E"/>
    <w:rsid w:val="007C16DC"/>
    <w:rsid w:val="007C4098"/>
    <w:rsid w:val="007C4A30"/>
    <w:rsid w:val="007D06F4"/>
    <w:rsid w:val="007D17C5"/>
    <w:rsid w:val="007D2CBA"/>
    <w:rsid w:val="007D4565"/>
    <w:rsid w:val="007D52EC"/>
    <w:rsid w:val="007E0A4F"/>
    <w:rsid w:val="007E35C4"/>
    <w:rsid w:val="007F109D"/>
    <w:rsid w:val="007F1CEE"/>
    <w:rsid w:val="007F2BB8"/>
    <w:rsid w:val="007F3990"/>
    <w:rsid w:val="007F4FAC"/>
    <w:rsid w:val="007F644E"/>
    <w:rsid w:val="007F7214"/>
    <w:rsid w:val="007F7964"/>
    <w:rsid w:val="007F7F84"/>
    <w:rsid w:val="008023C2"/>
    <w:rsid w:val="00802AE5"/>
    <w:rsid w:val="00803FED"/>
    <w:rsid w:val="008074B5"/>
    <w:rsid w:val="0081119F"/>
    <w:rsid w:val="00813888"/>
    <w:rsid w:val="008150AF"/>
    <w:rsid w:val="00815E23"/>
    <w:rsid w:val="0081711B"/>
    <w:rsid w:val="00826493"/>
    <w:rsid w:val="00827940"/>
    <w:rsid w:val="008279BA"/>
    <w:rsid w:val="00830549"/>
    <w:rsid w:val="0083187C"/>
    <w:rsid w:val="0083391C"/>
    <w:rsid w:val="0083393D"/>
    <w:rsid w:val="00834E0C"/>
    <w:rsid w:val="00835CA8"/>
    <w:rsid w:val="00837094"/>
    <w:rsid w:val="00837537"/>
    <w:rsid w:val="00837C3F"/>
    <w:rsid w:val="00842766"/>
    <w:rsid w:val="00844650"/>
    <w:rsid w:val="008446F0"/>
    <w:rsid w:val="00845610"/>
    <w:rsid w:val="0084648D"/>
    <w:rsid w:val="00847407"/>
    <w:rsid w:val="00850BF7"/>
    <w:rsid w:val="008511C8"/>
    <w:rsid w:val="00852E6F"/>
    <w:rsid w:val="00854314"/>
    <w:rsid w:val="008554C2"/>
    <w:rsid w:val="00855759"/>
    <w:rsid w:val="008571C9"/>
    <w:rsid w:val="0086094D"/>
    <w:rsid w:val="00862180"/>
    <w:rsid w:val="00864508"/>
    <w:rsid w:val="00865D58"/>
    <w:rsid w:val="00870EE7"/>
    <w:rsid w:val="00872382"/>
    <w:rsid w:val="00881D1C"/>
    <w:rsid w:val="00884AEB"/>
    <w:rsid w:val="0088528B"/>
    <w:rsid w:val="0088544B"/>
    <w:rsid w:val="00887CF6"/>
    <w:rsid w:val="008912FE"/>
    <w:rsid w:val="0089482B"/>
    <w:rsid w:val="0089726E"/>
    <w:rsid w:val="008A245D"/>
    <w:rsid w:val="008A28E8"/>
    <w:rsid w:val="008A3B60"/>
    <w:rsid w:val="008A41F5"/>
    <w:rsid w:val="008A4E64"/>
    <w:rsid w:val="008A54DF"/>
    <w:rsid w:val="008A54FC"/>
    <w:rsid w:val="008A580E"/>
    <w:rsid w:val="008A6AF9"/>
    <w:rsid w:val="008A6ECE"/>
    <w:rsid w:val="008A7B26"/>
    <w:rsid w:val="008A7D75"/>
    <w:rsid w:val="008B01FA"/>
    <w:rsid w:val="008B0B74"/>
    <w:rsid w:val="008B15E9"/>
    <w:rsid w:val="008B180A"/>
    <w:rsid w:val="008B216C"/>
    <w:rsid w:val="008B56C0"/>
    <w:rsid w:val="008B60BE"/>
    <w:rsid w:val="008B6300"/>
    <w:rsid w:val="008B70CD"/>
    <w:rsid w:val="008B7349"/>
    <w:rsid w:val="008B788B"/>
    <w:rsid w:val="008C023F"/>
    <w:rsid w:val="008C0447"/>
    <w:rsid w:val="008C1ABF"/>
    <w:rsid w:val="008C351D"/>
    <w:rsid w:val="008C35C6"/>
    <w:rsid w:val="008C3987"/>
    <w:rsid w:val="008C58C6"/>
    <w:rsid w:val="008C6D51"/>
    <w:rsid w:val="008D141C"/>
    <w:rsid w:val="008D2C13"/>
    <w:rsid w:val="008D36E6"/>
    <w:rsid w:val="008D5396"/>
    <w:rsid w:val="008E0F5C"/>
    <w:rsid w:val="008E214E"/>
    <w:rsid w:val="008E3577"/>
    <w:rsid w:val="008E53DE"/>
    <w:rsid w:val="008E6109"/>
    <w:rsid w:val="008E743F"/>
    <w:rsid w:val="008F09D6"/>
    <w:rsid w:val="008F2BA8"/>
    <w:rsid w:val="008F3F1C"/>
    <w:rsid w:val="008F3F9C"/>
    <w:rsid w:val="008F47AB"/>
    <w:rsid w:val="008F6153"/>
    <w:rsid w:val="008F7CB1"/>
    <w:rsid w:val="00901D9A"/>
    <w:rsid w:val="00903524"/>
    <w:rsid w:val="009042F6"/>
    <w:rsid w:val="00907EE2"/>
    <w:rsid w:val="00910E18"/>
    <w:rsid w:val="00911992"/>
    <w:rsid w:val="00912C6D"/>
    <w:rsid w:val="00913811"/>
    <w:rsid w:val="00914EAA"/>
    <w:rsid w:val="009170EA"/>
    <w:rsid w:val="00917D42"/>
    <w:rsid w:val="00920480"/>
    <w:rsid w:val="0092076F"/>
    <w:rsid w:val="00921274"/>
    <w:rsid w:val="0092178D"/>
    <w:rsid w:val="00927573"/>
    <w:rsid w:val="00930439"/>
    <w:rsid w:val="00934288"/>
    <w:rsid w:val="0093587F"/>
    <w:rsid w:val="00937AEB"/>
    <w:rsid w:val="009410BC"/>
    <w:rsid w:val="0094133F"/>
    <w:rsid w:val="00941D3A"/>
    <w:rsid w:val="00943147"/>
    <w:rsid w:val="00944439"/>
    <w:rsid w:val="009464FD"/>
    <w:rsid w:val="009465E0"/>
    <w:rsid w:val="00947954"/>
    <w:rsid w:val="00950354"/>
    <w:rsid w:val="009531C0"/>
    <w:rsid w:val="00956777"/>
    <w:rsid w:val="0095793E"/>
    <w:rsid w:val="009620A2"/>
    <w:rsid w:val="009655AE"/>
    <w:rsid w:val="009662E3"/>
    <w:rsid w:val="00966560"/>
    <w:rsid w:val="00966DD9"/>
    <w:rsid w:val="00970924"/>
    <w:rsid w:val="00973905"/>
    <w:rsid w:val="00974B86"/>
    <w:rsid w:val="00975AEC"/>
    <w:rsid w:val="009761FE"/>
    <w:rsid w:val="00980DFC"/>
    <w:rsid w:val="00981314"/>
    <w:rsid w:val="00982B3A"/>
    <w:rsid w:val="009834CA"/>
    <w:rsid w:val="009835D6"/>
    <w:rsid w:val="009860DC"/>
    <w:rsid w:val="00986677"/>
    <w:rsid w:val="00987D17"/>
    <w:rsid w:val="00990DCF"/>
    <w:rsid w:val="00991B65"/>
    <w:rsid w:val="0099389A"/>
    <w:rsid w:val="0099421C"/>
    <w:rsid w:val="009954EA"/>
    <w:rsid w:val="009A2F3A"/>
    <w:rsid w:val="009A3F70"/>
    <w:rsid w:val="009A76F9"/>
    <w:rsid w:val="009A7A45"/>
    <w:rsid w:val="009B022D"/>
    <w:rsid w:val="009B10A6"/>
    <w:rsid w:val="009B1732"/>
    <w:rsid w:val="009B43AF"/>
    <w:rsid w:val="009B605E"/>
    <w:rsid w:val="009C0AE4"/>
    <w:rsid w:val="009C3803"/>
    <w:rsid w:val="009D0920"/>
    <w:rsid w:val="009D222E"/>
    <w:rsid w:val="009D2245"/>
    <w:rsid w:val="009D2C13"/>
    <w:rsid w:val="009D3BA5"/>
    <w:rsid w:val="009D460D"/>
    <w:rsid w:val="009D4BA1"/>
    <w:rsid w:val="009D55CD"/>
    <w:rsid w:val="009D6AEE"/>
    <w:rsid w:val="009D7D5A"/>
    <w:rsid w:val="009E47EB"/>
    <w:rsid w:val="009E4895"/>
    <w:rsid w:val="009E6354"/>
    <w:rsid w:val="009E65CE"/>
    <w:rsid w:val="009F052C"/>
    <w:rsid w:val="009F08FC"/>
    <w:rsid w:val="009F10E1"/>
    <w:rsid w:val="009F3A37"/>
    <w:rsid w:val="009F52E0"/>
    <w:rsid w:val="009F5D71"/>
    <w:rsid w:val="009F6EA2"/>
    <w:rsid w:val="009F70FA"/>
    <w:rsid w:val="00A01F84"/>
    <w:rsid w:val="00A02090"/>
    <w:rsid w:val="00A020FE"/>
    <w:rsid w:val="00A02245"/>
    <w:rsid w:val="00A02D97"/>
    <w:rsid w:val="00A03731"/>
    <w:rsid w:val="00A03880"/>
    <w:rsid w:val="00A061CE"/>
    <w:rsid w:val="00A06DCA"/>
    <w:rsid w:val="00A076B5"/>
    <w:rsid w:val="00A12604"/>
    <w:rsid w:val="00A17F69"/>
    <w:rsid w:val="00A21AD2"/>
    <w:rsid w:val="00A21C06"/>
    <w:rsid w:val="00A21D38"/>
    <w:rsid w:val="00A22CF5"/>
    <w:rsid w:val="00A23292"/>
    <w:rsid w:val="00A23870"/>
    <w:rsid w:val="00A249AC"/>
    <w:rsid w:val="00A256A8"/>
    <w:rsid w:val="00A25752"/>
    <w:rsid w:val="00A26AC6"/>
    <w:rsid w:val="00A26B87"/>
    <w:rsid w:val="00A274DB"/>
    <w:rsid w:val="00A37187"/>
    <w:rsid w:val="00A3773F"/>
    <w:rsid w:val="00A42BE0"/>
    <w:rsid w:val="00A52A19"/>
    <w:rsid w:val="00A55AE0"/>
    <w:rsid w:val="00A567B1"/>
    <w:rsid w:val="00A5720B"/>
    <w:rsid w:val="00A612FE"/>
    <w:rsid w:val="00A61EF1"/>
    <w:rsid w:val="00A6411D"/>
    <w:rsid w:val="00A654ED"/>
    <w:rsid w:val="00A66F1C"/>
    <w:rsid w:val="00A73298"/>
    <w:rsid w:val="00A7461B"/>
    <w:rsid w:val="00A7713A"/>
    <w:rsid w:val="00A77E92"/>
    <w:rsid w:val="00A82984"/>
    <w:rsid w:val="00A831C2"/>
    <w:rsid w:val="00A83286"/>
    <w:rsid w:val="00A83E8A"/>
    <w:rsid w:val="00A84C06"/>
    <w:rsid w:val="00A87AE3"/>
    <w:rsid w:val="00A90997"/>
    <w:rsid w:val="00A92275"/>
    <w:rsid w:val="00A95ACB"/>
    <w:rsid w:val="00A95D7E"/>
    <w:rsid w:val="00A97942"/>
    <w:rsid w:val="00AA079B"/>
    <w:rsid w:val="00AA086A"/>
    <w:rsid w:val="00AA101B"/>
    <w:rsid w:val="00AA3C7A"/>
    <w:rsid w:val="00AA49BF"/>
    <w:rsid w:val="00AA6213"/>
    <w:rsid w:val="00AA7870"/>
    <w:rsid w:val="00AB0FA9"/>
    <w:rsid w:val="00AB4D2E"/>
    <w:rsid w:val="00AB5391"/>
    <w:rsid w:val="00AB6078"/>
    <w:rsid w:val="00AB7A72"/>
    <w:rsid w:val="00AC0EA5"/>
    <w:rsid w:val="00AC1C08"/>
    <w:rsid w:val="00AC2686"/>
    <w:rsid w:val="00AC277C"/>
    <w:rsid w:val="00AC29D1"/>
    <w:rsid w:val="00AC36CE"/>
    <w:rsid w:val="00AC5A35"/>
    <w:rsid w:val="00AD1BE1"/>
    <w:rsid w:val="00AD55E4"/>
    <w:rsid w:val="00AD618C"/>
    <w:rsid w:val="00AD646C"/>
    <w:rsid w:val="00AD6D06"/>
    <w:rsid w:val="00AD6D76"/>
    <w:rsid w:val="00AD7257"/>
    <w:rsid w:val="00AE0A49"/>
    <w:rsid w:val="00AE1898"/>
    <w:rsid w:val="00AE268A"/>
    <w:rsid w:val="00AE3B4F"/>
    <w:rsid w:val="00AE4974"/>
    <w:rsid w:val="00AE4FAA"/>
    <w:rsid w:val="00AE5B0C"/>
    <w:rsid w:val="00AE782F"/>
    <w:rsid w:val="00AE7DE8"/>
    <w:rsid w:val="00AF2D0C"/>
    <w:rsid w:val="00AF2F28"/>
    <w:rsid w:val="00AF4C0E"/>
    <w:rsid w:val="00AF5BA3"/>
    <w:rsid w:val="00AF5BF7"/>
    <w:rsid w:val="00AF7B89"/>
    <w:rsid w:val="00AF7F19"/>
    <w:rsid w:val="00B0240D"/>
    <w:rsid w:val="00B02878"/>
    <w:rsid w:val="00B05EA0"/>
    <w:rsid w:val="00B14E5E"/>
    <w:rsid w:val="00B166C7"/>
    <w:rsid w:val="00B20329"/>
    <w:rsid w:val="00B22780"/>
    <w:rsid w:val="00B25910"/>
    <w:rsid w:val="00B2602E"/>
    <w:rsid w:val="00B26973"/>
    <w:rsid w:val="00B30D3B"/>
    <w:rsid w:val="00B32C94"/>
    <w:rsid w:val="00B34E6B"/>
    <w:rsid w:val="00B41AB0"/>
    <w:rsid w:val="00B424EF"/>
    <w:rsid w:val="00B42F70"/>
    <w:rsid w:val="00B432D4"/>
    <w:rsid w:val="00B44E71"/>
    <w:rsid w:val="00B466A6"/>
    <w:rsid w:val="00B47C3F"/>
    <w:rsid w:val="00B50FF1"/>
    <w:rsid w:val="00B511D8"/>
    <w:rsid w:val="00B52911"/>
    <w:rsid w:val="00B5315C"/>
    <w:rsid w:val="00B54296"/>
    <w:rsid w:val="00B56032"/>
    <w:rsid w:val="00B576D7"/>
    <w:rsid w:val="00B61952"/>
    <w:rsid w:val="00B62274"/>
    <w:rsid w:val="00B667E9"/>
    <w:rsid w:val="00B66B4D"/>
    <w:rsid w:val="00B70A0B"/>
    <w:rsid w:val="00B7620A"/>
    <w:rsid w:val="00B80892"/>
    <w:rsid w:val="00B822F0"/>
    <w:rsid w:val="00B82735"/>
    <w:rsid w:val="00B82DDE"/>
    <w:rsid w:val="00B90517"/>
    <w:rsid w:val="00B908A8"/>
    <w:rsid w:val="00B90EA6"/>
    <w:rsid w:val="00B92306"/>
    <w:rsid w:val="00B9235D"/>
    <w:rsid w:val="00B92861"/>
    <w:rsid w:val="00B9312B"/>
    <w:rsid w:val="00B938CC"/>
    <w:rsid w:val="00B93D43"/>
    <w:rsid w:val="00B950A0"/>
    <w:rsid w:val="00B9522F"/>
    <w:rsid w:val="00B96899"/>
    <w:rsid w:val="00B97106"/>
    <w:rsid w:val="00BA1970"/>
    <w:rsid w:val="00BA1DCA"/>
    <w:rsid w:val="00BA310B"/>
    <w:rsid w:val="00BA7A69"/>
    <w:rsid w:val="00BB0A75"/>
    <w:rsid w:val="00BB15E2"/>
    <w:rsid w:val="00BB3C5F"/>
    <w:rsid w:val="00BB3F7A"/>
    <w:rsid w:val="00BB6966"/>
    <w:rsid w:val="00BB6979"/>
    <w:rsid w:val="00BC03FD"/>
    <w:rsid w:val="00BC0BF2"/>
    <w:rsid w:val="00BC366A"/>
    <w:rsid w:val="00BC3834"/>
    <w:rsid w:val="00BC400E"/>
    <w:rsid w:val="00BD0D56"/>
    <w:rsid w:val="00BD181A"/>
    <w:rsid w:val="00BD28DF"/>
    <w:rsid w:val="00BD3D7C"/>
    <w:rsid w:val="00BD6876"/>
    <w:rsid w:val="00BE2060"/>
    <w:rsid w:val="00BE2864"/>
    <w:rsid w:val="00BE32A1"/>
    <w:rsid w:val="00BE5D1B"/>
    <w:rsid w:val="00BE6620"/>
    <w:rsid w:val="00BF26BA"/>
    <w:rsid w:val="00BF51EF"/>
    <w:rsid w:val="00BF5F34"/>
    <w:rsid w:val="00BF5FDE"/>
    <w:rsid w:val="00BF6CBE"/>
    <w:rsid w:val="00BF7325"/>
    <w:rsid w:val="00BF7BF1"/>
    <w:rsid w:val="00C00565"/>
    <w:rsid w:val="00C01295"/>
    <w:rsid w:val="00C069E0"/>
    <w:rsid w:val="00C076BF"/>
    <w:rsid w:val="00C1083C"/>
    <w:rsid w:val="00C129C7"/>
    <w:rsid w:val="00C12ABB"/>
    <w:rsid w:val="00C14C12"/>
    <w:rsid w:val="00C20B7A"/>
    <w:rsid w:val="00C2101E"/>
    <w:rsid w:val="00C212B5"/>
    <w:rsid w:val="00C21942"/>
    <w:rsid w:val="00C21E63"/>
    <w:rsid w:val="00C24DA8"/>
    <w:rsid w:val="00C24E9A"/>
    <w:rsid w:val="00C251E2"/>
    <w:rsid w:val="00C259E6"/>
    <w:rsid w:val="00C25F81"/>
    <w:rsid w:val="00C27F02"/>
    <w:rsid w:val="00C31ED8"/>
    <w:rsid w:val="00C31EF6"/>
    <w:rsid w:val="00C3322A"/>
    <w:rsid w:val="00C363BF"/>
    <w:rsid w:val="00C3657B"/>
    <w:rsid w:val="00C37BCD"/>
    <w:rsid w:val="00C40A64"/>
    <w:rsid w:val="00C40B8D"/>
    <w:rsid w:val="00C40FDF"/>
    <w:rsid w:val="00C418C5"/>
    <w:rsid w:val="00C420F7"/>
    <w:rsid w:val="00C43ED2"/>
    <w:rsid w:val="00C44908"/>
    <w:rsid w:val="00C44A55"/>
    <w:rsid w:val="00C44CFA"/>
    <w:rsid w:val="00C45313"/>
    <w:rsid w:val="00C504F4"/>
    <w:rsid w:val="00C5166E"/>
    <w:rsid w:val="00C55C7C"/>
    <w:rsid w:val="00C56F3A"/>
    <w:rsid w:val="00C57E85"/>
    <w:rsid w:val="00C63448"/>
    <w:rsid w:val="00C65BB4"/>
    <w:rsid w:val="00C65C33"/>
    <w:rsid w:val="00C666AD"/>
    <w:rsid w:val="00C66B74"/>
    <w:rsid w:val="00C67EBF"/>
    <w:rsid w:val="00C712AC"/>
    <w:rsid w:val="00C719CD"/>
    <w:rsid w:val="00C72D9E"/>
    <w:rsid w:val="00C7780A"/>
    <w:rsid w:val="00C80145"/>
    <w:rsid w:val="00C8071C"/>
    <w:rsid w:val="00C816CB"/>
    <w:rsid w:val="00C82461"/>
    <w:rsid w:val="00C841CD"/>
    <w:rsid w:val="00C8566D"/>
    <w:rsid w:val="00C86A0E"/>
    <w:rsid w:val="00C90383"/>
    <w:rsid w:val="00C91E3B"/>
    <w:rsid w:val="00C96C4E"/>
    <w:rsid w:val="00C97A59"/>
    <w:rsid w:val="00C97EB9"/>
    <w:rsid w:val="00C97F6E"/>
    <w:rsid w:val="00CA07CC"/>
    <w:rsid w:val="00CA0EAE"/>
    <w:rsid w:val="00CA25B5"/>
    <w:rsid w:val="00CA4FCE"/>
    <w:rsid w:val="00CA5782"/>
    <w:rsid w:val="00CA5F8F"/>
    <w:rsid w:val="00CA6D48"/>
    <w:rsid w:val="00CB1EF7"/>
    <w:rsid w:val="00CB3CB5"/>
    <w:rsid w:val="00CB54D2"/>
    <w:rsid w:val="00CB6310"/>
    <w:rsid w:val="00CB76D9"/>
    <w:rsid w:val="00CC1C98"/>
    <w:rsid w:val="00CC2396"/>
    <w:rsid w:val="00CC3B1D"/>
    <w:rsid w:val="00CC4344"/>
    <w:rsid w:val="00CC493A"/>
    <w:rsid w:val="00CC5618"/>
    <w:rsid w:val="00CC5A6F"/>
    <w:rsid w:val="00CD07E7"/>
    <w:rsid w:val="00CD1F81"/>
    <w:rsid w:val="00CD28AE"/>
    <w:rsid w:val="00CD31A5"/>
    <w:rsid w:val="00CD52DF"/>
    <w:rsid w:val="00CD6948"/>
    <w:rsid w:val="00CD7385"/>
    <w:rsid w:val="00CD7F7A"/>
    <w:rsid w:val="00CE0C82"/>
    <w:rsid w:val="00CE271A"/>
    <w:rsid w:val="00CE2C82"/>
    <w:rsid w:val="00CE2D90"/>
    <w:rsid w:val="00CE2E30"/>
    <w:rsid w:val="00CE56C5"/>
    <w:rsid w:val="00CE6FF5"/>
    <w:rsid w:val="00CF0374"/>
    <w:rsid w:val="00CF4621"/>
    <w:rsid w:val="00CF5245"/>
    <w:rsid w:val="00CF5839"/>
    <w:rsid w:val="00D01C7D"/>
    <w:rsid w:val="00D024B6"/>
    <w:rsid w:val="00D05FE7"/>
    <w:rsid w:val="00D0647F"/>
    <w:rsid w:val="00D06683"/>
    <w:rsid w:val="00D07275"/>
    <w:rsid w:val="00D07AB4"/>
    <w:rsid w:val="00D07B1A"/>
    <w:rsid w:val="00D1167E"/>
    <w:rsid w:val="00D11C16"/>
    <w:rsid w:val="00D14732"/>
    <w:rsid w:val="00D14D34"/>
    <w:rsid w:val="00D1557B"/>
    <w:rsid w:val="00D15639"/>
    <w:rsid w:val="00D20341"/>
    <w:rsid w:val="00D2053D"/>
    <w:rsid w:val="00D234E7"/>
    <w:rsid w:val="00D253C7"/>
    <w:rsid w:val="00D30960"/>
    <w:rsid w:val="00D30D74"/>
    <w:rsid w:val="00D30E46"/>
    <w:rsid w:val="00D42512"/>
    <w:rsid w:val="00D42C73"/>
    <w:rsid w:val="00D479F9"/>
    <w:rsid w:val="00D47EF6"/>
    <w:rsid w:val="00D504A7"/>
    <w:rsid w:val="00D50AC8"/>
    <w:rsid w:val="00D534FB"/>
    <w:rsid w:val="00D5443B"/>
    <w:rsid w:val="00D565C6"/>
    <w:rsid w:val="00D573EB"/>
    <w:rsid w:val="00D60A44"/>
    <w:rsid w:val="00D61523"/>
    <w:rsid w:val="00D62761"/>
    <w:rsid w:val="00D64092"/>
    <w:rsid w:val="00D65223"/>
    <w:rsid w:val="00D65B32"/>
    <w:rsid w:val="00D66A88"/>
    <w:rsid w:val="00D70017"/>
    <w:rsid w:val="00D70C33"/>
    <w:rsid w:val="00D72FDB"/>
    <w:rsid w:val="00D7390F"/>
    <w:rsid w:val="00D74F04"/>
    <w:rsid w:val="00D74F75"/>
    <w:rsid w:val="00D758F2"/>
    <w:rsid w:val="00D75D97"/>
    <w:rsid w:val="00D7640C"/>
    <w:rsid w:val="00D813C4"/>
    <w:rsid w:val="00D863A7"/>
    <w:rsid w:val="00D8693F"/>
    <w:rsid w:val="00D90578"/>
    <w:rsid w:val="00D917BB"/>
    <w:rsid w:val="00D927B1"/>
    <w:rsid w:val="00D92BEC"/>
    <w:rsid w:val="00D95C7C"/>
    <w:rsid w:val="00D9767E"/>
    <w:rsid w:val="00DA027A"/>
    <w:rsid w:val="00DA0DC3"/>
    <w:rsid w:val="00DA18F2"/>
    <w:rsid w:val="00DA2E73"/>
    <w:rsid w:val="00DA30AE"/>
    <w:rsid w:val="00DA7B68"/>
    <w:rsid w:val="00DB17F9"/>
    <w:rsid w:val="00DB1C74"/>
    <w:rsid w:val="00DB6238"/>
    <w:rsid w:val="00DB6EE9"/>
    <w:rsid w:val="00DC08CE"/>
    <w:rsid w:val="00DC18E2"/>
    <w:rsid w:val="00DC2D6E"/>
    <w:rsid w:val="00DC3DCA"/>
    <w:rsid w:val="00DD21BD"/>
    <w:rsid w:val="00DD5E14"/>
    <w:rsid w:val="00DD5F00"/>
    <w:rsid w:val="00DD6973"/>
    <w:rsid w:val="00DE044E"/>
    <w:rsid w:val="00DE64F2"/>
    <w:rsid w:val="00DE6F7C"/>
    <w:rsid w:val="00DF02C7"/>
    <w:rsid w:val="00DF131A"/>
    <w:rsid w:val="00DF1610"/>
    <w:rsid w:val="00DF1804"/>
    <w:rsid w:val="00DF2C67"/>
    <w:rsid w:val="00DF3AE2"/>
    <w:rsid w:val="00DF759C"/>
    <w:rsid w:val="00DF76C1"/>
    <w:rsid w:val="00DF7D1E"/>
    <w:rsid w:val="00DF7D21"/>
    <w:rsid w:val="00E014FF"/>
    <w:rsid w:val="00E059C5"/>
    <w:rsid w:val="00E05A82"/>
    <w:rsid w:val="00E06D6F"/>
    <w:rsid w:val="00E07F66"/>
    <w:rsid w:val="00E07FF8"/>
    <w:rsid w:val="00E11D7E"/>
    <w:rsid w:val="00E12D9D"/>
    <w:rsid w:val="00E14334"/>
    <w:rsid w:val="00E15F66"/>
    <w:rsid w:val="00E1638F"/>
    <w:rsid w:val="00E17AD6"/>
    <w:rsid w:val="00E17AEF"/>
    <w:rsid w:val="00E224B0"/>
    <w:rsid w:val="00E22E58"/>
    <w:rsid w:val="00E2303A"/>
    <w:rsid w:val="00E23844"/>
    <w:rsid w:val="00E24D37"/>
    <w:rsid w:val="00E2597D"/>
    <w:rsid w:val="00E263D3"/>
    <w:rsid w:val="00E2678E"/>
    <w:rsid w:val="00E30E7B"/>
    <w:rsid w:val="00E31AB8"/>
    <w:rsid w:val="00E331DD"/>
    <w:rsid w:val="00E343BD"/>
    <w:rsid w:val="00E348D9"/>
    <w:rsid w:val="00E35199"/>
    <w:rsid w:val="00E36601"/>
    <w:rsid w:val="00E36B97"/>
    <w:rsid w:val="00E421EF"/>
    <w:rsid w:val="00E52BF1"/>
    <w:rsid w:val="00E53993"/>
    <w:rsid w:val="00E54ED9"/>
    <w:rsid w:val="00E55A9A"/>
    <w:rsid w:val="00E57017"/>
    <w:rsid w:val="00E60351"/>
    <w:rsid w:val="00E61193"/>
    <w:rsid w:val="00E668CE"/>
    <w:rsid w:val="00E6707E"/>
    <w:rsid w:val="00E71AE7"/>
    <w:rsid w:val="00E720FD"/>
    <w:rsid w:val="00E73A09"/>
    <w:rsid w:val="00E73E6F"/>
    <w:rsid w:val="00E747AE"/>
    <w:rsid w:val="00E752E6"/>
    <w:rsid w:val="00E76414"/>
    <w:rsid w:val="00E76DC4"/>
    <w:rsid w:val="00E779E2"/>
    <w:rsid w:val="00E93A86"/>
    <w:rsid w:val="00E97641"/>
    <w:rsid w:val="00EA2ED5"/>
    <w:rsid w:val="00EA3234"/>
    <w:rsid w:val="00EA3A19"/>
    <w:rsid w:val="00EA4B37"/>
    <w:rsid w:val="00EA6088"/>
    <w:rsid w:val="00EA73E5"/>
    <w:rsid w:val="00EA764E"/>
    <w:rsid w:val="00EB1930"/>
    <w:rsid w:val="00EB1CEE"/>
    <w:rsid w:val="00EB2B58"/>
    <w:rsid w:val="00EB38DF"/>
    <w:rsid w:val="00EB43F4"/>
    <w:rsid w:val="00EC1A2C"/>
    <w:rsid w:val="00EC53E9"/>
    <w:rsid w:val="00EC6822"/>
    <w:rsid w:val="00EC6A8B"/>
    <w:rsid w:val="00EC6B48"/>
    <w:rsid w:val="00EC7D58"/>
    <w:rsid w:val="00ED2446"/>
    <w:rsid w:val="00ED2C10"/>
    <w:rsid w:val="00ED3064"/>
    <w:rsid w:val="00ED3A4D"/>
    <w:rsid w:val="00EE2B2D"/>
    <w:rsid w:val="00EE5D1A"/>
    <w:rsid w:val="00EE60FE"/>
    <w:rsid w:val="00EE7F3E"/>
    <w:rsid w:val="00EF13D4"/>
    <w:rsid w:val="00EF1CC9"/>
    <w:rsid w:val="00EF38DD"/>
    <w:rsid w:val="00EF49F3"/>
    <w:rsid w:val="00EF7153"/>
    <w:rsid w:val="00EF78BD"/>
    <w:rsid w:val="00F01F37"/>
    <w:rsid w:val="00F02BFC"/>
    <w:rsid w:val="00F02CAC"/>
    <w:rsid w:val="00F0300D"/>
    <w:rsid w:val="00F0331A"/>
    <w:rsid w:val="00F06A63"/>
    <w:rsid w:val="00F06D3D"/>
    <w:rsid w:val="00F10A40"/>
    <w:rsid w:val="00F112B7"/>
    <w:rsid w:val="00F116CC"/>
    <w:rsid w:val="00F12DA9"/>
    <w:rsid w:val="00F14E55"/>
    <w:rsid w:val="00F161E5"/>
    <w:rsid w:val="00F212EB"/>
    <w:rsid w:val="00F23D13"/>
    <w:rsid w:val="00F246EC"/>
    <w:rsid w:val="00F258A2"/>
    <w:rsid w:val="00F27734"/>
    <w:rsid w:val="00F31A4D"/>
    <w:rsid w:val="00F32FCE"/>
    <w:rsid w:val="00F34A6C"/>
    <w:rsid w:val="00F356CD"/>
    <w:rsid w:val="00F3630F"/>
    <w:rsid w:val="00F4084E"/>
    <w:rsid w:val="00F4273C"/>
    <w:rsid w:val="00F42C84"/>
    <w:rsid w:val="00F42CA5"/>
    <w:rsid w:val="00F430F8"/>
    <w:rsid w:val="00F43E24"/>
    <w:rsid w:val="00F448D7"/>
    <w:rsid w:val="00F465D3"/>
    <w:rsid w:val="00F477AC"/>
    <w:rsid w:val="00F51424"/>
    <w:rsid w:val="00F51BD6"/>
    <w:rsid w:val="00F542CE"/>
    <w:rsid w:val="00F55183"/>
    <w:rsid w:val="00F558E0"/>
    <w:rsid w:val="00F56A2D"/>
    <w:rsid w:val="00F56F06"/>
    <w:rsid w:val="00F56F62"/>
    <w:rsid w:val="00F611A3"/>
    <w:rsid w:val="00F61862"/>
    <w:rsid w:val="00F640BF"/>
    <w:rsid w:val="00F703D8"/>
    <w:rsid w:val="00F7129E"/>
    <w:rsid w:val="00F71CBE"/>
    <w:rsid w:val="00F73815"/>
    <w:rsid w:val="00F73FD0"/>
    <w:rsid w:val="00F7440E"/>
    <w:rsid w:val="00F77680"/>
    <w:rsid w:val="00F7770D"/>
    <w:rsid w:val="00F804EA"/>
    <w:rsid w:val="00F90386"/>
    <w:rsid w:val="00F90D69"/>
    <w:rsid w:val="00F91FA6"/>
    <w:rsid w:val="00F930CC"/>
    <w:rsid w:val="00F93115"/>
    <w:rsid w:val="00F94096"/>
    <w:rsid w:val="00F95685"/>
    <w:rsid w:val="00F956F9"/>
    <w:rsid w:val="00FA4719"/>
    <w:rsid w:val="00FA4C33"/>
    <w:rsid w:val="00FA5792"/>
    <w:rsid w:val="00FA57A7"/>
    <w:rsid w:val="00FB04BE"/>
    <w:rsid w:val="00FB200D"/>
    <w:rsid w:val="00FB3571"/>
    <w:rsid w:val="00FB378F"/>
    <w:rsid w:val="00FB4DA3"/>
    <w:rsid w:val="00FB4F1D"/>
    <w:rsid w:val="00FC38B7"/>
    <w:rsid w:val="00FC3A9F"/>
    <w:rsid w:val="00FC3D22"/>
    <w:rsid w:val="00FD0391"/>
    <w:rsid w:val="00FD03E9"/>
    <w:rsid w:val="00FD2B55"/>
    <w:rsid w:val="00FD3236"/>
    <w:rsid w:val="00FD3891"/>
    <w:rsid w:val="00FD5E02"/>
    <w:rsid w:val="00FD634E"/>
    <w:rsid w:val="00FE39FD"/>
    <w:rsid w:val="00FE41DF"/>
    <w:rsid w:val="00FE650D"/>
    <w:rsid w:val="00FE6741"/>
    <w:rsid w:val="00FE7EEC"/>
    <w:rsid w:val="00FF048C"/>
    <w:rsid w:val="00FF20D8"/>
    <w:rsid w:val="00FF3075"/>
    <w:rsid w:val="00FF374B"/>
    <w:rsid w:val="00FF3983"/>
    <w:rsid w:val="00FF64C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7b6c58,#887e6e,#b0a696"/>
    </o:shapedefaults>
    <o:shapelayout v:ext="edit">
      <o:idmap v:ext="edit" data="2"/>
    </o:shapelayout>
  </w:shapeDefaults>
  <w:decimalSymbol w:val="."/>
  <w:listSeparator w:val=","/>
  <w14:docId w14:val="677B6C4A"/>
  <w15:docId w15:val="{1E2D44A4-CF62-438E-8475-AC579638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locked="0" w:uiPriority="0"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uiPriority w:val="9"/>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uiPriority w:val="9"/>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uiPriority w:val="9"/>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uiPriority w:val="9"/>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qFormat/>
    <w:locked/>
    <w:rsid w:val="009E47EB"/>
    <w:pPr>
      <w:numPr>
        <w:ilvl w:val="4"/>
        <w:numId w:val="6"/>
      </w:numPr>
      <w:outlineLvl w:val="4"/>
    </w:pPr>
    <w:rPr>
      <w:b/>
      <w:bCs/>
      <w:i/>
      <w:iCs/>
      <w:sz w:val="26"/>
      <w:szCs w:val="26"/>
    </w:rPr>
  </w:style>
  <w:style w:type="paragraph" w:styleId="Heading6">
    <w:name w:val="heading 6"/>
    <w:basedOn w:val="Normal"/>
    <w:next w:val="Normal"/>
    <w:qFormat/>
    <w:locked/>
    <w:rsid w:val="009E47EB"/>
    <w:pPr>
      <w:numPr>
        <w:ilvl w:val="5"/>
        <w:numId w:val="6"/>
      </w:numPr>
      <w:outlineLvl w:val="5"/>
    </w:pPr>
    <w:rPr>
      <w:b/>
      <w:bCs/>
      <w:sz w:val="22"/>
    </w:rPr>
  </w:style>
  <w:style w:type="paragraph" w:styleId="Heading7">
    <w:name w:val="heading 7"/>
    <w:basedOn w:val="Normal"/>
    <w:next w:val="Normal"/>
    <w:qFormat/>
    <w:locked/>
    <w:rsid w:val="009E47EB"/>
    <w:pPr>
      <w:numPr>
        <w:ilvl w:val="6"/>
        <w:numId w:val="6"/>
      </w:numPr>
      <w:outlineLvl w:val="6"/>
    </w:pPr>
    <w:rPr>
      <w:sz w:val="24"/>
    </w:rPr>
  </w:style>
  <w:style w:type="paragraph" w:styleId="Heading8">
    <w:name w:val="heading 8"/>
    <w:basedOn w:val="Normal"/>
    <w:next w:val="Normal"/>
    <w:qFormat/>
    <w:locked/>
    <w:rsid w:val="009E47EB"/>
    <w:pPr>
      <w:numPr>
        <w:ilvl w:val="7"/>
        <w:numId w:val="6"/>
      </w:numPr>
      <w:outlineLvl w:val="7"/>
    </w:pPr>
    <w:rPr>
      <w:i/>
      <w:iCs/>
      <w:sz w:val="24"/>
    </w:rPr>
  </w:style>
  <w:style w:type="paragraph" w:styleId="Heading9">
    <w:name w:val="heading 9"/>
    <w:basedOn w:val="Normal"/>
    <w:next w:val="Normal"/>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uiPriority w:val="99"/>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uiPriority w:val="99"/>
    <w:qFormat/>
    <w:rsid w:val="00CD1F81"/>
    <w:rPr>
      <w:rFonts w:eastAsia="Calibri"/>
      <w:sz w:val="16"/>
      <w:szCs w:val="16"/>
      <w14:cntxtAlts/>
    </w:rPr>
  </w:style>
  <w:style w:type="character" w:styleId="FootnoteReference">
    <w:name w:val="footnote reference"/>
    <w:aliases w:val="ECC Footnote number"/>
    <w:basedOn w:val="DefaultParagraphFont"/>
    <w:qFormat/>
    <w:rsid w:val="00DB17F9"/>
    <w:rPr>
      <w:rFonts w:ascii="Arial" w:hAnsi="Arial"/>
      <w:sz w:val="20"/>
      <w:vertAlign w:val="superscript"/>
    </w:rPr>
  </w:style>
  <w:style w:type="paragraph" w:styleId="Caption">
    <w:name w:val="caption"/>
    <w:aliases w:val="ECC Caption,cap,cap Char,Caption Char,Caption Char1 Char,cap Char Char1,Caption Char Char1 Char,cap Char2 Char,Ca,RptCaption,cap1,cap2,cap11"/>
    <w:next w:val="Normal"/>
    <w:uiPriority w:val="35"/>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qFormat/>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uiPriority w:val="59"/>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styleId="NormalWeb">
    <w:name w:val="Normal (Web)"/>
    <w:basedOn w:val="Normal"/>
    <w:uiPriority w:val="99"/>
    <w:semiHidden/>
    <w:unhideWhenUsed/>
    <w:locked/>
    <w:rsid w:val="002B7B01"/>
    <w:rPr>
      <w:rFonts w:ascii="Times New Roman" w:hAnsi="Times New Roman"/>
      <w:sz w:val="24"/>
      <w:szCs w:val="24"/>
    </w:rPr>
  </w:style>
  <w:style w:type="character" w:styleId="CommentReference">
    <w:name w:val="annotation reference"/>
    <w:basedOn w:val="DefaultParagraphFont"/>
    <w:uiPriority w:val="99"/>
    <w:semiHidden/>
    <w:unhideWhenUsed/>
    <w:locked/>
    <w:rsid w:val="004566D4"/>
    <w:rPr>
      <w:sz w:val="16"/>
      <w:szCs w:val="16"/>
    </w:rPr>
  </w:style>
  <w:style w:type="paragraph" w:styleId="CommentText">
    <w:name w:val="annotation text"/>
    <w:basedOn w:val="Normal"/>
    <w:link w:val="CommentTextChar"/>
    <w:uiPriority w:val="99"/>
    <w:unhideWhenUsed/>
    <w:locked/>
    <w:rsid w:val="004566D4"/>
    <w:rPr>
      <w:szCs w:val="20"/>
    </w:rPr>
  </w:style>
  <w:style w:type="character" w:customStyle="1" w:styleId="CommentTextChar">
    <w:name w:val="Comment Text Char"/>
    <w:basedOn w:val="DefaultParagraphFont"/>
    <w:link w:val="CommentText"/>
    <w:uiPriority w:val="99"/>
    <w:rsid w:val="004566D4"/>
    <w:rPr>
      <w:rFonts w:eastAsia="Calibri"/>
      <w:lang w:val="en-GB"/>
    </w:rPr>
  </w:style>
  <w:style w:type="paragraph" w:styleId="CommentSubject">
    <w:name w:val="annotation subject"/>
    <w:basedOn w:val="CommentText"/>
    <w:next w:val="CommentText"/>
    <w:link w:val="CommentSubjectChar"/>
    <w:uiPriority w:val="99"/>
    <w:semiHidden/>
    <w:unhideWhenUsed/>
    <w:locked/>
    <w:rsid w:val="00E421EF"/>
    <w:rPr>
      <w:b/>
      <w:bCs/>
    </w:rPr>
  </w:style>
  <w:style w:type="character" w:customStyle="1" w:styleId="CommentSubjectChar">
    <w:name w:val="Comment Subject Char"/>
    <w:basedOn w:val="CommentTextChar"/>
    <w:link w:val="CommentSubject"/>
    <w:uiPriority w:val="99"/>
    <w:semiHidden/>
    <w:rsid w:val="00E421EF"/>
    <w:rPr>
      <w:rFonts w:eastAsia="Calibri"/>
      <w:b/>
      <w:bCs/>
      <w:lang w:val="en-GB"/>
    </w:rPr>
  </w:style>
  <w:style w:type="paragraph" w:styleId="Revision">
    <w:name w:val="Revision"/>
    <w:hidden/>
    <w:uiPriority w:val="99"/>
    <w:semiHidden/>
    <w:rsid w:val="00A5720B"/>
    <w:pPr>
      <w:spacing w:before="0" w:after="0"/>
      <w:jc w:val="left"/>
    </w:pPr>
    <w:rPr>
      <w:rFonts w:eastAsia="Calibri"/>
      <w:szCs w:val="22"/>
      <w:lang w:val="en-GB"/>
    </w:rPr>
  </w:style>
  <w:style w:type="paragraph" w:customStyle="1" w:styleId="Reporttitledescription">
    <w:name w:val="Report title/description"/>
    <w:basedOn w:val="Normal"/>
    <w:rsid w:val="00054DD5"/>
    <w:pPr>
      <w:spacing w:before="600" w:after="0" w:line="288" w:lineRule="auto"/>
      <w:ind w:left="3402"/>
      <w:jc w:val="left"/>
    </w:pPr>
    <w:rPr>
      <w:rFonts w:eastAsia="Times New Roman"/>
      <w:color w:val="57433E"/>
      <w:sz w:val="24"/>
      <w:szCs w:val="24"/>
      <w:lang w:val="en-US"/>
    </w:rPr>
  </w:style>
  <w:style w:type="paragraph" w:customStyle="1" w:styleId="Lastupdated">
    <w:name w:val="Last updated"/>
    <w:basedOn w:val="Normal"/>
    <w:rsid w:val="00054DD5"/>
    <w:pPr>
      <w:spacing w:before="120" w:after="120"/>
      <w:ind w:left="3402"/>
      <w:jc w:val="left"/>
    </w:pPr>
    <w:rPr>
      <w:rFonts w:eastAsia="Times New Roman"/>
      <w:bCs/>
      <w:sz w:val="18"/>
      <w:szCs w:val="24"/>
      <w:lang w:val="en-US"/>
    </w:rPr>
  </w:style>
  <w:style w:type="paragraph" w:customStyle="1" w:styleId="reference">
    <w:name w:val="reference"/>
    <w:basedOn w:val="Normal"/>
    <w:rsid w:val="000070C9"/>
    <w:pPr>
      <w:tabs>
        <w:tab w:val="num" w:pos="397"/>
      </w:tabs>
      <w:spacing w:before="0" w:after="0"/>
      <w:ind w:left="397" w:hanging="397"/>
      <w:jc w:val="left"/>
    </w:pPr>
    <w:rPr>
      <w:rFonts w:eastAsia="Times New Roman"/>
      <w:szCs w:val="24"/>
      <w:lang w:val="en-US" w:eastAsia="ja-JP"/>
    </w:rPr>
  </w:style>
  <w:style w:type="paragraph" w:customStyle="1" w:styleId="ECCTabletitle">
    <w:name w:val="ECC Table title"/>
    <w:basedOn w:val="Normal"/>
    <w:autoRedefine/>
    <w:rsid w:val="00FC3A9F"/>
    <w:pPr>
      <w:numPr>
        <w:numId w:val="19"/>
      </w:numPr>
      <w:spacing w:before="360" w:after="240"/>
      <w:jc w:val="center"/>
    </w:pPr>
    <w:rPr>
      <w:rFonts w:eastAsia="Times New Roman"/>
      <w:b/>
      <w:color w:val="D2232A"/>
      <w:szCs w:val="24"/>
    </w:rPr>
  </w:style>
  <w:style w:type="character" w:styleId="UnresolvedMention">
    <w:name w:val="Unresolved Mention"/>
    <w:basedOn w:val="DefaultParagraphFont"/>
    <w:uiPriority w:val="99"/>
    <w:semiHidden/>
    <w:unhideWhenUsed/>
    <w:rsid w:val="007830A1"/>
    <w:rPr>
      <w:color w:val="605E5C"/>
      <w:shd w:val="clear" w:color="auto" w:fill="E1DFDD"/>
    </w:rPr>
  </w:style>
  <w:style w:type="character" w:styleId="PlaceholderText">
    <w:name w:val="Placeholder Text"/>
    <w:basedOn w:val="DefaultParagraphFont"/>
    <w:uiPriority w:val="99"/>
    <w:semiHidden/>
    <w:locked/>
    <w:rsid w:val="001C4AAC"/>
    <w:rPr>
      <w:color w:val="808080"/>
    </w:rPr>
  </w:style>
  <w:style w:type="character" w:styleId="FollowedHyperlink">
    <w:name w:val="FollowedHyperlink"/>
    <w:basedOn w:val="DefaultParagraphFont"/>
    <w:uiPriority w:val="99"/>
    <w:semiHidden/>
    <w:unhideWhenUsed/>
    <w:locked/>
    <w:rsid w:val="002F77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64807">
      <w:bodyDiv w:val="1"/>
      <w:marLeft w:val="0"/>
      <w:marRight w:val="0"/>
      <w:marTop w:val="0"/>
      <w:marBottom w:val="0"/>
      <w:divBdr>
        <w:top w:val="none" w:sz="0" w:space="0" w:color="auto"/>
        <w:left w:val="none" w:sz="0" w:space="0" w:color="auto"/>
        <w:bottom w:val="none" w:sz="0" w:space="0" w:color="auto"/>
        <w:right w:val="none" w:sz="0" w:space="0" w:color="auto"/>
      </w:divBdr>
    </w:div>
    <w:div w:id="278147954">
      <w:bodyDiv w:val="1"/>
      <w:marLeft w:val="0"/>
      <w:marRight w:val="0"/>
      <w:marTop w:val="0"/>
      <w:marBottom w:val="0"/>
      <w:divBdr>
        <w:top w:val="none" w:sz="0" w:space="0" w:color="auto"/>
        <w:left w:val="none" w:sz="0" w:space="0" w:color="auto"/>
        <w:bottom w:val="none" w:sz="0" w:space="0" w:color="auto"/>
        <w:right w:val="none" w:sz="0" w:space="0" w:color="auto"/>
      </w:divBdr>
    </w:div>
    <w:div w:id="605425978">
      <w:bodyDiv w:val="1"/>
      <w:marLeft w:val="0"/>
      <w:marRight w:val="0"/>
      <w:marTop w:val="0"/>
      <w:marBottom w:val="0"/>
      <w:divBdr>
        <w:top w:val="none" w:sz="0" w:space="0" w:color="auto"/>
        <w:left w:val="none" w:sz="0" w:space="0" w:color="auto"/>
        <w:bottom w:val="none" w:sz="0" w:space="0" w:color="auto"/>
        <w:right w:val="none" w:sz="0" w:space="0" w:color="auto"/>
      </w:divBdr>
    </w:div>
    <w:div w:id="653215412">
      <w:bodyDiv w:val="1"/>
      <w:marLeft w:val="0"/>
      <w:marRight w:val="0"/>
      <w:marTop w:val="0"/>
      <w:marBottom w:val="0"/>
      <w:divBdr>
        <w:top w:val="none" w:sz="0" w:space="0" w:color="auto"/>
        <w:left w:val="none" w:sz="0" w:space="0" w:color="auto"/>
        <w:bottom w:val="none" w:sz="0" w:space="0" w:color="auto"/>
        <w:right w:val="none" w:sz="0" w:space="0" w:color="auto"/>
      </w:divBdr>
    </w:div>
    <w:div w:id="775098129">
      <w:bodyDiv w:val="1"/>
      <w:marLeft w:val="0"/>
      <w:marRight w:val="0"/>
      <w:marTop w:val="0"/>
      <w:marBottom w:val="0"/>
      <w:divBdr>
        <w:top w:val="none" w:sz="0" w:space="0" w:color="auto"/>
        <w:left w:val="none" w:sz="0" w:space="0" w:color="auto"/>
        <w:bottom w:val="none" w:sz="0" w:space="0" w:color="auto"/>
        <w:right w:val="none" w:sz="0" w:space="0" w:color="auto"/>
      </w:divBdr>
    </w:div>
    <w:div w:id="819927656">
      <w:bodyDiv w:val="1"/>
      <w:marLeft w:val="0"/>
      <w:marRight w:val="0"/>
      <w:marTop w:val="0"/>
      <w:marBottom w:val="0"/>
      <w:divBdr>
        <w:top w:val="none" w:sz="0" w:space="0" w:color="auto"/>
        <w:left w:val="none" w:sz="0" w:space="0" w:color="auto"/>
        <w:bottom w:val="none" w:sz="0" w:space="0" w:color="auto"/>
        <w:right w:val="none" w:sz="0" w:space="0" w:color="auto"/>
      </w:divBdr>
    </w:div>
    <w:div w:id="956181283">
      <w:bodyDiv w:val="1"/>
      <w:marLeft w:val="0"/>
      <w:marRight w:val="0"/>
      <w:marTop w:val="0"/>
      <w:marBottom w:val="0"/>
      <w:divBdr>
        <w:top w:val="none" w:sz="0" w:space="0" w:color="auto"/>
        <w:left w:val="none" w:sz="0" w:space="0" w:color="auto"/>
        <w:bottom w:val="none" w:sz="0" w:space="0" w:color="auto"/>
        <w:right w:val="none" w:sz="0" w:space="0" w:color="auto"/>
      </w:divBdr>
    </w:div>
    <w:div w:id="1132020395">
      <w:bodyDiv w:val="1"/>
      <w:marLeft w:val="0"/>
      <w:marRight w:val="0"/>
      <w:marTop w:val="0"/>
      <w:marBottom w:val="0"/>
      <w:divBdr>
        <w:top w:val="none" w:sz="0" w:space="0" w:color="auto"/>
        <w:left w:val="none" w:sz="0" w:space="0" w:color="auto"/>
        <w:bottom w:val="none" w:sz="0" w:space="0" w:color="auto"/>
        <w:right w:val="none" w:sz="0" w:space="0" w:color="auto"/>
      </w:divBdr>
    </w:div>
    <w:div w:id="1153061542">
      <w:bodyDiv w:val="1"/>
      <w:marLeft w:val="0"/>
      <w:marRight w:val="0"/>
      <w:marTop w:val="0"/>
      <w:marBottom w:val="0"/>
      <w:divBdr>
        <w:top w:val="none" w:sz="0" w:space="0" w:color="auto"/>
        <w:left w:val="none" w:sz="0" w:space="0" w:color="auto"/>
        <w:bottom w:val="none" w:sz="0" w:space="0" w:color="auto"/>
        <w:right w:val="none" w:sz="0" w:space="0" w:color="auto"/>
      </w:divBdr>
    </w:div>
    <w:div w:id="1555773051">
      <w:bodyDiv w:val="1"/>
      <w:marLeft w:val="0"/>
      <w:marRight w:val="0"/>
      <w:marTop w:val="0"/>
      <w:marBottom w:val="0"/>
      <w:divBdr>
        <w:top w:val="none" w:sz="0" w:space="0" w:color="auto"/>
        <w:left w:val="none" w:sz="0" w:space="0" w:color="auto"/>
        <w:bottom w:val="none" w:sz="0" w:space="0" w:color="auto"/>
        <w:right w:val="none" w:sz="0" w:space="0" w:color="auto"/>
      </w:divBdr>
    </w:div>
    <w:div w:id="1637099544">
      <w:bodyDiv w:val="1"/>
      <w:marLeft w:val="0"/>
      <w:marRight w:val="0"/>
      <w:marTop w:val="0"/>
      <w:marBottom w:val="0"/>
      <w:divBdr>
        <w:top w:val="none" w:sz="0" w:space="0" w:color="auto"/>
        <w:left w:val="none" w:sz="0" w:space="0" w:color="auto"/>
        <w:bottom w:val="none" w:sz="0" w:space="0" w:color="auto"/>
        <w:right w:val="none" w:sz="0" w:space="0" w:color="auto"/>
      </w:divBdr>
    </w:div>
    <w:div w:id="2017682039">
      <w:bodyDiv w:val="1"/>
      <w:marLeft w:val="0"/>
      <w:marRight w:val="0"/>
      <w:marTop w:val="0"/>
      <w:marBottom w:val="0"/>
      <w:divBdr>
        <w:top w:val="none" w:sz="0" w:space="0" w:color="auto"/>
        <w:left w:val="none" w:sz="0" w:space="0" w:color="auto"/>
        <w:bottom w:val="none" w:sz="0" w:space="0" w:color="auto"/>
        <w:right w:val="none" w:sz="0" w:space="0" w:color="auto"/>
      </w:divBdr>
    </w:div>
    <w:div w:id="2058124819">
      <w:bodyDiv w:val="1"/>
      <w:marLeft w:val="0"/>
      <w:marRight w:val="0"/>
      <w:marTop w:val="0"/>
      <w:marBottom w:val="0"/>
      <w:divBdr>
        <w:top w:val="none" w:sz="0" w:space="0" w:color="auto"/>
        <w:left w:val="none" w:sz="0" w:space="0" w:color="auto"/>
        <w:bottom w:val="none" w:sz="0" w:space="0" w:color="auto"/>
        <w:right w:val="none" w:sz="0" w:space="0" w:color="auto"/>
      </w:divBdr>
    </w:div>
    <w:div w:id="205908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5.emf"/><Relationship Id="rId1" Type="http://schemas.openxmlformats.org/officeDocument/2006/relationships/image" Target="media/image2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6355-B774-4242-8574-95CBC8638FE1}">
  <ds:schemaRefs>
    <ds:schemaRef ds:uri="http://schemas.openxmlformats.org/officeDocument/2006/bibliography"/>
  </ds:schemaRefs>
</ds:datastoreItem>
</file>

<file path=docMetadata/LabelInfo.xml><?xml version="1.0" encoding="utf-8"?>
<clbl:labelList xmlns:clbl="http://schemas.microsoft.com/office/2020/mipLabelMetadata">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Normal</Template>
  <TotalTime>6</TotalTime>
  <Pages>26</Pages>
  <Words>7628</Words>
  <Characters>43483</Characters>
  <Application>Microsoft Office Word</Application>
  <DocSecurity>0</DocSecurity>
  <Lines>362</Lines>
  <Paragraphs>102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Draft ECC Report 348</vt:lpstr>
      <vt:lpstr>Draft ECC Report 348</vt:lpstr>
      <vt:lpstr/>
    </vt:vector>
  </TitlesOfParts>
  <Company/>
  <LinksUpToDate>false</LinksUpToDate>
  <CharactersWithSpaces>51009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Report 348</dc:title>
  <dc:creator>ECC</dc:creator>
  <cp:keywords>ECC Report 348</cp:keywords>
  <cp:lastModifiedBy>ECO </cp:lastModifiedBy>
  <cp:revision>6</cp:revision>
  <cp:lastPrinted>2022-11-22T08:52:00Z</cp:lastPrinted>
  <dcterms:created xsi:type="dcterms:W3CDTF">2022-11-24T10:02:00Z</dcterms:created>
  <dcterms:modified xsi:type="dcterms:W3CDTF">2022-11-24T10:08:00Z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2022-11-15T21:08:58Z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ad333ddf-8529-429b-8b16-3208f8be114d</vt:lpwstr>
  </property>
  <property fmtid="{D5CDD505-2E9C-101B-9397-08002B2CF9AE}" pid="8" name="MSIP_Label_5a50d26f-5c2c-4137-8396-1b24eb24286c_ContentBits">
    <vt:lpwstr>0</vt:lpwstr>
  </property>
</Properties>
</file>