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DC00" w14:textId="523E2BA0" w:rsidR="006C03D0" w:rsidRDefault="006C03D0"/>
    <w:p w14:paraId="19D6DC01" w14:textId="77777777" w:rsidR="006C03D0" w:rsidRPr="0010769E" w:rsidRDefault="006C03D0" w:rsidP="006C03D0">
      <w:pPr>
        <w:jc w:val="center"/>
      </w:pPr>
    </w:p>
    <w:p w14:paraId="19D6DC02" w14:textId="77777777" w:rsidR="006C03D0" w:rsidRPr="0010769E" w:rsidRDefault="006C03D0" w:rsidP="006C03D0">
      <w:pPr>
        <w:jc w:val="center"/>
      </w:pPr>
    </w:p>
    <w:p w14:paraId="19D6DC03" w14:textId="77777777" w:rsidR="006C03D0" w:rsidRPr="0010769E" w:rsidRDefault="006C03D0" w:rsidP="006C03D0"/>
    <w:p w14:paraId="19D6DC04" w14:textId="77777777" w:rsidR="006C03D0" w:rsidRPr="0010769E" w:rsidRDefault="006C03D0" w:rsidP="006C03D0"/>
    <w:p w14:paraId="19D6DC05" w14:textId="77777777" w:rsidR="006C03D0" w:rsidRPr="0010769E" w:rsidRDefault="006C03D0" w:rsidP="006C03D0">
      <w:pPr>
        <w:jc w:val="center"/>
        <w:rPr>
          <w:b/>
          <w:sz w:val="24"/>
        </w:rPr>
      </w:pPr>
    </w:p>
    <w:p w14:paraId="19D6DC06" w14:textId="77777777" w:rsidR="006C03D0" w:rsidRPr="0010769E" w:rsidRDefault="00F97C29" w:rsidP="006C03D0">
      <w:pPr>
        <w:jc w:val="center"/>
        <w:rPr>
          <w:b/>
          <w:sz w:val="24"/>
        </w:rPr>
      </w:pPr>
      <w:r>
        <w:rPr>
          <w:b/>
          <w:noProof/>
          <w:sz w:val="24"/>
          <w:szCs w:val="20"/>
          <w:lang w:val="da-DK" w:eastAsia="da-DK"/>
        </w:rPr>
        <mc:AlternateContent>
          <mc:Choice Requires="wpg">
            <w:drawing>
              <wp:anchor distT="0" distB="0" distL="114300" distR="114300" simplePos="0" relativeHeight="251658240" behindDoc="0" locked="0" layoutInCell="1" allowOverlap="1" wp14:anchorId="19D6DE94" wp14:editId="19D6DE95">
                <wp:simplePos x="0" y="0"/>
                <wp:positionH relativeFrom="column">
                  <wp:posOffset>-716280</wp:posOffset>
                </wp:positionH>
                <wp:positionV relativeFrom="paragraph">
                  <wp:posOffset>121285</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6DEAB" w14:textId="77777777" w:rsidR="00605D32" w:rsidRPr="00FE1795" w:rsidRDefault="00605D32" w:rsidP="006C03D0">
                              <w:pPr>
                                <w:rPr>
                                  <w:color w:val="57433E"/>
                                  <w:sz w:val="68"/>
                                </w:rPr>
                              </w:pPr>
                              <w:r w:rsidRPr="00FE1795">
                                <w:rPr>
                                  <w:color w:val="FFFFFF"/>
                                  <w:sz w:val="68"/>
                                </w:rPr>
                                <w:t xml:space="preserve">ECC Decision </w:t>
                              </w:r>
                              <w:r w:rsidRPr="001E2FAA">
                                <w:rPr>
                                  <w:color w:val="887E6E"/>
                                  <w:sz w:val="68"/>
                                </w:rPr>
                                <w:t>(</w:t>
                              </w:r>
                              <w:r>
                                <w:rPr>
                                  <w:color w:val="887E6E"/>
                                  <w:sz w:val="68"/>
                                </w:rPr>
                                <w:t>07</w:t>
                              </w:r>
                              <w:r w:rsidRPr="001E2FAA">
                                <w:rPr>
                                  <w:color w:val="887E6E"/>
                                  <w:sz w:val="68"/>
                                </w:rPr>
                                <w:t>)</w:t>
                              </w:r>
                              <w:r>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D6DE94" id="Group 28" o:spid="_x0000_s1026" style="position:absolute;left:0;text-align:left;margin-left:-56.4pt;margin-top:9.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9D6DEAB" w14:textId="77777777" w:rsidR="00605D32" w:rsidRPr="00FE1795" w:rsidRDefault="00605D32" w:rsidP="006C03D0">
                        <w:pPr>
                          <w:rPr>
                            <w:color w:val="57433E"/>
                            <w:sz w:val="68"/>
                          </w:rPr>
                        </w:pPr>
                        <w:r w:rsidRPr="00FE1795">
                          <w:rPr>
                            <w:color w:val="FFFFFF"/>
                            <w:sz w:val="68"/>
                          </w:rPr>
                          <w:t xml:space="preserve">ECC Decision </w:t>
                        </w:r>
                        <w:r w:rsidRPr="001E2FAA">
                          <w:rPr>
                            <w:color w:val="887E6E"/>
                            <w:sz w:val="68"/>
                          </w:rPr>
                          <w:t>(</w:t>
                        </w:r>
                        <w:r>
                          <w:rPr>
                            <w:color w:val="887E6E"/>
                            <w:sz w:val="68"/>
                          </w:rPr>
                          <w:t>07</w:t>
                        </w:r>
                        <w:r w:rsidRPr="001E2FAA">
                          <w:rPr>
                            <w:color w:val="887E6E"/>
                            <w:sz w:val="68"/>
                          </w:rPr>
                          <w:t>)</w:t>
                        </w:r>
                        <w:r>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9D6DC07" w14:textId="77777777" w:rsidR="006C03D0" w:rsidRPr="0010769E" w:rsidRDefault="006C03D0" w:rsidP="006C03D0">
      <w:pPr>
        <w:jc w:val="center"/>
        <w:rPr>
          <w:b/>
          <w:sz w:val="24"/>
        </w:rPr>
      </w:pPr>
    </w:p>
    <w:p w14:paraId="19D6DC08" w14:textId="77777777" w:rsidR="006C03D0" w:rsidRPr="0010769E" w:rsidRDefault="006C03D0" w:rsidP="006C03D0">
      <w:pPr>
        <w:jc w:val="center"/>
        <w:rPr>
          <w:b/>
          <w:sz w:val="24"/>
        </w:rPr>
      </w:pPr>
    </w:p>
    <w:p w14:paraId="19D6DC09" w14:textId="77777777" w:rsidR="006C03D0" w:rsidRPr="0010769E" w:rsidRDefault="006C03D0" w:rsidP="006C03D0">
      <w:pPr>
        <w:jc w:val="center"/>
        <w:rPr>
          <w:b/>
          <w:sz w:val="24"/>
        </w:rPr>
      </w:pPr>
    </w:p>
    <w:p w14:paraId="19D6DC0A" w14:textId="77777777" w:rsidR="006C03D0" w:rsidRPr="0010769E" w:rsidRDefault="006C03D0" w:rsidP="006C03D0">
      <w:pPr>
        <w:jc w:val="center"/>
        <w:rPr>
          <w:b/>
          <w:sz w:val="24"/>
        </w:rPr>
      </w:pPr>
    </w:p>
    <w:p w14:paraId="19D6DC0B" w14:textId="77777777" w:rsidR="006C03D0" w:rsidRPr="0010769E" w:rsidRDefault="006C03D0" w:rsidP="006C03D0">
      <w:pPr>
        <w:jc w:val="center"/>
        <w:rPr>
          <w:b/>
          <w:sz w:val="24"/>
        </w:rPr>
      </w:pPr>
    </w:p>
    <w:p w14:paraId="19D6DC0C" w14:textId="77777777" w:rsidR="006C03D0" w:rsidRPr="0010769E" w:rsidRDefault="006C03D0" w:rsidP="006C03D0">
      <w:pPr>
        <w:jc w:val="center"/>
        <w:rPr>
          <w:b/>
          <w:sz w:val="24"/>
        </w:rPr>
      </w:pPr>
    </w:p>
    <w:p w14:paraId="19D6DC0D" w14:textId="77777777" w:rsidR="006C03D0" w:rsidRPr="0010769E" w:rsidRDefault="006C03D0" w:rsidP="006C03D0">
      <w:pPr>
        <w:jc w:val="center"/>
        <w:rPr>
          <w:b/>
          <w:sz w:val="24"/>
        </w:rPr>
      </w:pPr>
    </w:p>
    <w:p w14:paraId="19D6DC0E" w14:textId="77777777" w:rsidR="006C03D0" w:rsidRPr="0010769E" w:rsidRDefault="006C03D0" w:rsidP="006C03D0">
      <w:pPr>
        <w:jc w:val="center"/>
        <w:rPr>
          <w:b/>
          <w:sz w:val="24"/>
        </w:rPr>
      </w:pPr>
    </w:p>
    <w:p w14:paraId="19D6DC0F" w14:textId="77777777" w:rsidR="006C03D0" w:rsidRPr="0010769E" w:rsidRDefault="006C03D0" w:rsidP="006C03D0">
      <w:pPr>
        <w:jc w:val="center"/>
        <w:rPr>
          <w:b/>
          <w:sz w:val="24"/>
        </w:rPr>
      </w:pPr>
    </w:p>
    <w:p w14:paraId="19D6DC10" w14:textId="77777777" w:rsidR="006C03D0" w:rsidRPr="0010769E" w:rsidRDefault="006C03D0" w:rsidP="006C03D0">
      <w:pPr>
        <w:rPr>
          <w:b/>
          <w:sz w:val="24"/>
        </w:rPr>
      </w:pPr>
    </w:p>
    <w:p w14:paraId="19D6DC11" w14:textId="77777777" w:rsidR="006C03D0" w:rsidRPr="0010769E" w:rsidRDefault="006C03D0" w:rsidP="006C03D0">
      <w:pPr>
        <w:jc w:val="center"/>
        <w:rPr>
          <w:b/>
          <w:sz w:val="24"/>
        </w:rPr>
      </w:pPr>
    </w:p>
    <w:p w14:paraId="19D6DC12" w14:textId="0A66BEEF" w:rsidR="006C03D0" w:rsidRPr="005A00E5" w:rsidRDefault="00605D32" w:rsidP="006C03D0">
      <w:pPr>
        <w:pStyle w:val="Reporttitledescription"/>
        <w:rPr>
          <w:color w:val="auto"/>
        </w:rPr>
      </w:pPr>
      <w:r>
        <w:rPr>
          <w:color w:val="auto"/>
        </w:rPr>
        <w:fldChar w:fldCharType="begin">
          <w:ffData>
            <w:name w:val="Text7"/>
            <w:enabled/>
            <w:calcOnExit w:val="0"/>
            <w:textInput>
              <w:default w:val="The harmonised use, exemption from individual licensing and free circulation of Material Sensing Devices using Ultra-Wideband (UWB) technology"/>
            </w:textInput>
          </w:ffData>
        </w:fldChar>
      </w:r>
      <w:bookmarkStart w:id="0" w:name="Text7"/>
      <w:r>
        <w:rPr>
          <w:color w:val="auto"/>
        </w:rPr>
        <w:instrText xml:space="preserve"> FORMTEXT </w:instrText>
      </w:r>
      <w:r>
        <w:rPr>
          <w:color w:val="auto"/>
        </w:rPr>
      </w:r>
      <w:r>
        <w:rPr>
          <w:color w:val="auto"/>
        </w:rPr>
        <w:fldChar w:fldCharType="separate"/>
      </w:r>
      <w:r>
        <w:rPr>
          <w:noProof/>
          <w:color w:val="auto"/>
        </w:rPr>
        <w:t>The harmonised use, exemption from individual licensing and free circulation of Material Sensing Devices using Ultra-Wideband (UWB) technology</w:t>
      </w:r>
      <w:r>
        <w:rPr>
          <w:color w:val="auto"/>
        </w:rPr>
        <w:fldChar w:fldCharType="end"/>
      </w:r>
      <w:bookmarkEnd w:id="0"/>
      <w:r w:rsidR="009C3EB0">
        <w:rPr>
          <w:rStyle w:val="FootnoteReference"/>
          <w:color w:val="auto"/>
          <w:lang w:val="en-GB"/>
        </w:rPr>
        <w:footnoteReference w:id="2"/>
      </w:r>
    </w:p>
    <w:p w14:paraId="5D531CF3" w14:textId="406C5AEB" w:rsidR="00605D32" w:rsidRPr="005A00E5" w:rsidRDefault="001209B1" w:rsidP="00605D32">
      <w:pPr>
        <w:pStyle w:val="Reporttitledescription"/>
        <w:rPr>
          <w:b/>
          <w:color w:val="auto"/>
          <w:sz w:val="18"/>
        </w:rPr>
      </w:pPr>
      <w:r>
        <w:rPr>
          <w:b/>
          <w:color w:val="auto"/>
          <w:sz w:val="18"/>
        </w:rPr>
        <w:fldChar w:fldCharType="begin">
          <w:ffData>
            <w:name w:val="Text8"/>
            <w:enabled/>
            <w:calcOnExit w:val="0"/>
            <w:textInput>
              <w:default w:val="approved 30 March 2007"/>
            </w:textInput>
          </w:ffData>
        </w:fldChar>
      </w:r>
      <w:r>
        <w:rPr>
          <w:b/>
          <w:color w:val="auto"/>
          <w:sz w:val="18"/>
        </w:rPr>
        <w:instrText xml:space="preserve"> </w:instrText>
      </w:r>
      <w:bookmarkStart w:id="1"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30 March 2007</w:t>
      </w:r>
      <w:r>
        <w:rPr>
          <w:b/>
          <w:color w:val="auto"/>
          <w:sz w:val="18"/>
        </w:rPr>
        <w:fldChar w:fldCharType="end"/>
      </w:r>
      <w:bookmarkEnd w:id="1"/>
    </w:p>
    <w:p w14:paraId="0A5758F3" w14:textId="598FA987" w:rsidR="00947993" w:rsidRPr="00072B81" w:rsidRDefault="001209B1" w:rsidP="00605D32">
      <w:pPr>
        <w:pStyle w:val="Lastupdated"/>
        <w:rPr>
          <w:b/>
        </w:rPr>
      </w:pPr>
      <w:r>
        <w:rPr>
          <w:b/>
        </w:rPr>
        <w:fldChar w:fldCharType="begin">
          <w:ffData>
            <w:name w:val=""/>
            <w:enabled/>
            <w:calcOnExit w:val="0"/>
            <w:textInput>
              <w:default w:val="updated 1 July 2022"/>
            </w:textInput>
          </w:ffData>
        </w:fldChar>
      </w:r>
      <w:r>
        <w:rPr>
          <w:b/>
        </w:rPr>
        <w:instrText xml:space="preserve"> FORMTEXT </w:instrText>
      </w:r>
      <w:r>
        <w:rPr>
          <w:b/>
        </w:rPr>
      </w:r>
      <w:r>
        <w:rPr>
          <w:b/>
        </w:rPr>
        <w:fldChar w:fldCharType="separate"/>
      </w:r>
      <w:r>
        <w:rPr>
          <w:b/>
          <w:noProof/>
        </w:rPr>
        <w:t>updated 1 July 2022</w:t>
      </w:r>
      <w:r>
        <w:rPr>
          <w:b/>
        </w:rPr>
        <w:fldChar w:fldCharType="end"/>
      </w:r>
    </w:p>
    <w:p w14:paraId="19D6DC17" w14:textId="77777777" w:rsidR="006C03D0" w:rsidRDefault="00FA274F" w:rsidP="00BA0502">
      <w:pPr>
        <w:pStyle w:val="Heading1"/>
      </w:pPr>
      <w:r>
        <w:lastRenderedPageBreak/>
        <w:t>explanatory memorandum</w:t>
      </w:r>
    </w:p>
    <w:p w14:paraId="19D6DC18" w14:textId="77777777" w:rsidR="006C03D0" w:rsidRDefault="00FA274F" w:rsidP="006C03D0">
      <w:pPr>
        <w:pStyle w:val="Heading2"/>
      </w:pPr>
      <w:r>
        <w:t>INTRODUCTION</w:t>
      </w:r>
    </w:p>
    <w:p w14:paraId="19D6DC19" w14:textId="7E3F2AB5" w:rsidR="00FA274F" w:rsidRDefault="00FA274F" w:rsidP="00FA274F">
      <w:pPr>
        <w:pStyle w:val="ECCParagraph"/>
      </w:pPr>
      <w:r>
        <w:t xml:space="preserve">This ECC Decision has been developed in response to market demands for </w:t>
      </w:r>
      <w:r w:rsidR="00413988" w:rsidRPr="00413988">
        <w:t xml:space="preserve">Material Sensing </w:t>
      </w:r>
      <w:r>
        <w:t xml:space="preserve"> devices using UWB technology. The ECC Decision should ensure that frequency bands are available on a harmonised basis to enable the introduction of UWB devices in a timely manner and ensuring economies of scale while ensuring protection of existing applications or services.</w:t>
      </w:r>
    </w:p>
    <w:p w14:paraId="19D6DC1A" w14:textId="0B286A28" w:rsidR="00FA274F" w:rsidRDefault="00FA274F" w:rsidP="00FA274F">
      <w:pPr>
        <w:pStyle w:val="ECCParagraph"/>
      </w:pPr>
      <w:r>
        <w:t>It should be noted that this ECC Decision is designed to be part of a “regulatory package” on UWB, with various regulatory and legal provisions. The generic regulation for UWB devices in Europe consists of Decision ECC</w:t>
      </w:r>
      <w:r w:rsidR="003A2960">
        <w:t xml:space="preserve"> Decision</w:t>
      </w:r>
      <w:r w:rsidR="00D32603">
        <w:t xml:space="preserve"> </w:t>
      </w:r>
      <w:r>
        <w:t>(06)04 and was developed to respond primarily to the core market demand for communication applications and cable replacement. It enables also various types of radiodetermination applications using UWB technology in bands below 10.6 GHz e.g. location-tracking, sensor technologies. In addition, Decision ECC</w:t>
      </w:r>
      <w:r w:rsidR="003A2960">
        <w:t xml:space="preserve"> Decision</w:t>
      </w:r>
      <w:r>
        <w:t>(06)08 on the conditions for use of the radio spectrum by Ground- and Wall- Probing Radar (GPR/WPR) imaging systems was developed to respond to a specific UWB requirement that shall be subject to a</w:t>
      </w:r>
      <w:r w:rsidR="009C3EB0">
        <w:t>n appropriate licensing regime.</w:t>
      </w:r>
    </w:p>
    <w:p w14:paraId="19D6DC1B" w14:textId="77777777" w:rsidR="00FA274F" w:rsidRDefault="00FA274F" w:rsidP="00FA274F">
      <w:pPr>
        <w:pStyle w:val="ECCParagraph"/>
      </w:pPr>
      <w:r>
        <w:t>In CEPT Report 10 developed in response to an EC Mandate on UWB Specific Applications, it was emphasi</w:t>
      </w:r>
      <w:r w:rsidR="00F2787B">
        <w:t>s</w:t>
      </w:r>
      <w:r>
        <w:t xml:space="preserve">ed that the generic UWB regulation shall remain the cornerstone of European regulatory package on UWB. Additional ECC Decisions for specific UWB applications, which could result in confusion for the industry, spectrum users and market surveillance </w:t>
      </w:r>
      <w:r w:rsidR="009C3EB0">
        <w:t>authorities, should be avoided.</w:t>
      </w:r>
    </w:p>
    <w:p w14:paraId="19D6DC1C" w14:textId="77777777" w:rsidR="00FA274F" w:rsidRDefault="00FA274F" w:rsidP="00FA274F">
      <w:pPr>
        <w:pStyle w:val="ECCParagraph"/>
      </w:pPr>
      <w:r>
        <w:t>Requirements from the industry for specific UWB applications ought obviously to be considered for applications with clear benefits from using UWB technology that cannot fit under the generic Decision on UWB. The use of UWB technology in accurate imaging applications is expected to be the main application for which the development of specific UWB regulations can be justified because of physical reasons (e.g. reflections of clutter and penetration depth). The narrow pulses used by UWB imaging systems enable them to make sophisticated signal measurements, allowing material differentiation and analysis in 3-dimensional immediate vicinity on a millimetre-level positioning.</w:t>
      </w:r>
    </w:p>
    <w:p w14:paraId="19D6DC1D" w14:textId="0CACBFBD" w:rsidR="00FA274F" w:rsidRDefault="00413988" w:rsidP="00FA274F">
      <w:pPr>
        <w:pStyle w:val="ECCParagraph"/>
      </w:pPr>
      <w:r>
        <w:t>Material sensing</w:t>
      </w:r>
      <w:r w:rsidR="00FA274F">
        <w:t xml:space="preserve"> devices will have a direct impact in a number of markets, such as workplace, security, and manufacturing. Development of this market will depend on the high accuracy and reliability provided by UWB systems. </w:t>
      </w:r>
    </w:p>
    <w:p w14:paraId="19D6DC1E" w14:textId="5A445C52" w:rsidR="006C03D0" w:rsidRPr="00FE1795" w:rsidRDefault="00FA274F" w:rsidP="00FA274F">
      <w:pPr>
        <w:pStyle w:val="ECCParagraph"/>
      </w:pPr>
      <w:r>
        <w:t xml:space="preserve">Users of </w:t>
      </w:r>
      <w:r w:rsidR="00413988">
        <w:t xml:space="preserve">material sensing </w:t>
      </w:r>
      <w:r>
        <w:t>devices include skilled workers, experts, art historians, arch</w:t>
      </w:r>
      <w:r w:rsidR="009C3EB0">
        <w:t>itects, planners, environmental</w:t>
      </w:r>
      <w:r>
        <w:t>ists, civil engineers as well as ordinary DIYs (“do-it-yourself”). The markets and applications for this technology are expected to primarily involve professional usage and low density deployments.</w:t>
      </w:r>
    </w:p>
    <w:p w14:paraId="19D6DC1F" w14:textId="77777777" w:rsidR="006C03D0" w:rsidRDefault="005F7AD5" w:rsidP="006C03D0">
      <w:pPr>
        <w:pStyle w:val="Heading2"/>
      </w:pPr>
      <w:r>
        <w:t xml:space="preserve">BACKGROUND </w:t>
      </w:r>
    </w:p>
    <w:p w14:paraId="19D6DC20" w14:textId="0B96AB81" w:rsidR="00FA274F" w:rsidRDefault="00FA274F" w:rsidP="00605D32">
      <w:pPr>
        <w:pStyle w:val="ECCParagraph"/>
      </w:pPr>
      <w:r>
        <w:t xml:space="preserve">In response to demands brought to the attention of ECC by industry, harmonised frequency bands are required for the introduction of </w:t>
      </w:r>
      <w:r w:rsidR="00413988">
        <w:t>material sensing</w:t>
      </w:r>
      <w:r>
        <w:t xml:space="preserve"> devices ensuring economies of scale and a harmonised introduction of these devices inside CEPT.</w:t>
      </w:r>
    </w:p>
    <w:p w14:paraId="19D6DC21" w14:textId="77777777" w:rsidR="00907E80" w:rsidRDefault="00907E80" w:rsidP="00605D32">
      <w:pPr>
        <w:pStyle w:val="ECCParagraph"/>
      </w:pPr>
      <w:r w:rsidRPr="000B7791">
        <w:t xml:space="preserve">Material </w:t>
      </w:r>
      <w:r w:rsidR="003A2960">
        <w:t>s</w:t>
      </w:r>
      <w:r w:rsidRPr="000B7791">
        <w:t xml:space="preserve">ensing Devices can </w:t>
      </w:r>
      <w:r w:rsidRPr="000B7791">
        <w:rPr>
          <w:rFonts w:eastAsia="Calibri"/>
        </w:rPr>
        <w:t xml:space="preserve">use the generic UWB regulation in </w:t>
      </w:r>
      <w:r>
        <w:rPr>
          <w:rFonts w:eastAsia="Calibri"/>
        </w:rPr>
        <w:t xml:space="preserve">ECC Decision (06)04 </w:t>
      </w:r>
      <w:r w:rsidRPr="000B7791">
        <w:rPr>
          <w:rFonts w:eastAsia="Calibri"/>
        </w:rPr>
        <w:t>without any violation of the technical requirements set out in the generic UWB regulation</w:t>
      </w:r>
      <w:r w:rsidRPr="000B7791">
        <w:t>.</w:t>
      </w:r>
    </w:p>
    <w:p w14:paraId="19D6DC23" w14:textId="77777777" w:rsidR="00907E80" w:rsidRDefault="00907E80" w:rsidP="00605D32">
      <w:pPr>
        <w:pStyle w:val="ECCParagraph"/>
      </w:pPr>
      <w:r w:rsidRPr="000B7791">
        <w:t xml:space="preserve">It should be noted that the generic </w:t>
      </w:r>
      <w:r w:rsidR="0010592E">
        <w:t xml:space="preserve">UWB </w:t>
      </w:r>
      <w:r w:rsidRPr="000B7791">
        <w:t xml:space="preserve">regulation excludes fixed outdoor installations. </w:t>
      </w:r>
      <w:r>
        <w:t>E</w:t>
      </w:r>
      <w:r w:rsidRPr="000B7791">
        <w:t xml:space="preserve">missions into the air from a material sensing device shall not exceed the limits of the generic </w:t>
      </w:r>
      <w:r w:rsidR="00557113">
        <w:t xml:space="preserve">UWB </w:t>
      </w:r>
      <w:r w:rsidRPr="000B7791">
        <w:t xml:space="preserve">regulation. </w:t>
      </w:r>
      <w:r>
        <w:t>M</w:t>
      </w:r>
      <w:r w:rsidRPr="000B7791">
        <w:t>aterial sensing devices have to fulfil the mitigation techniques defined in the generic rules.</w:t>
      </w:r>
    </w:p>
    <w:p w14:paraId="19D6DC25" w14:textId="77777777" w:rsidR="00907E80" w:rsidRDefault="00907E80" w:rsidP="00605D32">
      <w:pPr>
        <w:pStyle w:val="ECCParagraph"/>
        <w:rPr>
          <w:rFonts w:eastAsia="Calibri"/>
        </w:rPr>
      </w:pPr>
      <w:r w:rsidRPr="000B7791">
        <w:rPr>
          <w:rFonts w:eastAsia="Calibri"/>
        </w:rPr>
        <w:t>This approach support</w:t>
      </w:r>
      <w:r w:rsidRPr="000B7791">
        <w:t>s</w:t>
      </w:r>
      <w:r w:rsidRPr="000B7791">
        <w:rPr>
          <w:rFonts w:eastAsia="Calibri"/>
        </w:rPr>
        <w:t xml:space="preserve"> the over-all harmonisation of the UWB regulatory framework. Furthermore, the deployment of these devices in the core UWB bands 3.1 to 4.8 GHz and 6.0 to 9.0 GHz would be encouraged.</w:t>
      </w:r>
    </w:p>
    <w:p w14:paraId="19D6DC27" w14:textId="77777777" w:rsidR="00907E80" w:rsidRPr="000B7791" w:rsidRDefault="00907E80" w:rsidP="00907E80">
      <w:pPr>
        <w:rPr>
          <w:rFonts w:eastAsia="Calibri"/>
          <w:lang w:val="en-GB"/>
        </w:rPr>
      </w:pPr>
      <w:r w:rsidRPr="000B7791">
        <w:rPr>
          <w:rFonts w:eastAsia="Calibri"/>
          <w:lang w:val="en-GB"/>
        </w:rPr>
        <w:t xml:space="preserve">Material sensing devices </w:t>
      </w:r>
      <w:r w:rsidRPr="000B7791">
        <w:rPr>
          <w:lang w:val="en-GB"/>
        </w:rPr>
        <w:t xml:space="preserve">are </w:t>
      </w:r>
      <w:r w:rsidRPr="000B7791">
        <w:rPr>
          <w:rFonts w:eastAsia="Calibri"/>
          <w:lang w:val="en-GB"/>
        </w:rPr>
        <w:t>split into two classes of sensing and imaging devices. These classes are:</w:t>
      </w:r>
    </w:p>
    <w:p w14:paraId="19D6DC29" w14:textId="77777777" w:rsidR="00907E80" w:rsidRPr="000B7791" w:rsidRDefault="00907E80" w:rsidP="00907E80">
      <w:pPr>
        <w:pStyle w:val="ECCBulletsLv1"/>
      </w:pPr>
      <w:r w:rsidRPr="000B7791">
        <w:lastRenderedPageBreak/>
        <w:t>Contact-based sensors and imaging devices. The UWB transmitter is only switched on when in direct contact with the material under investigation;</w:t>
      </w:r>
    </w:p>
    <w:p w14:paraId="19D6DC2A" w14:textId="77777777" w:rsidR="00907E80" w:rsidRPr="000B7791" w:rsidRDefault="00907E80" w:rsidP="00907E80">
      <w:pPr>
        <w:pStyle w:val="ECCBulletsLv1"/>
      </w:pPr>
      <w:r w:rsidRPr="000B7791">
        <w:t>Non-contact-based sensor and imaging devices. The UWB transmitter is only switched on when in close proximity with the investigated material and the UWB transmitter is directed into the direction of the material under investigation (e.g. manually, by using a proximity sensor or by mechanical design).</w:t>
      </w:r>
    </w:p>
    <w:p w14:paraId="19D6DC2B" w14:textId="58A4EFC3" w:rsidR="003A2960" w:rsidRDefault="003A2960" w:rsidP="00FA274F">
      <w:pPr>
        <w:pStyle w:val="ECCParagraph"/>
      </w:pPr>
    </w:p>
    <w:p w14:paraId="19D6DC35" w14:textId="03648C15" w:rsidR="00FA274F" w:rsidRDefault="00FA274F" w:rsidP="00FA274F">
      <w:pPr>
        <w:pStyle w:val="ECCParagraph"/>
      </w:pPr>
      <w:r w:rsidRPr="003E0811">
        <w:t xml:space="preserve">The detailed compatibility studies performed by CEPT considered the specific deployment scenarios and mitigation factors of </w:t>
      </w:r>
      <w:r w:rsidR="00907E80">
        <w:t xml:space="preserve">material sensing devices </w:t>
      </w:r>
      <w:r w:rsidRPr="003E0811">
        <w:t xml:space="preserve">and have led to highly specific requirements in different frequency bands, taking into account specificities of the victim services and operational requirements for </w:t>
      </w:r>
      <w:r w:rsidR="00907E80">
        <w:t>material sensing devices</w:t>
      </w:r>
      <w:r w:rsidRPr="003E0811">
        <w:t>.</w:t>
      </w:r>
    </w:p>
    <w:p w14:paraId="19D6DC36" w14:textId="77777777" w:rsidR="006C03D0" w:rsidRDefault="005F7AD5" w:rsidP="006C03D0">
      <w:pPr>
        <w:pStyle w:val="Heading2"/>
      </w:pPr>
      <w:r>
        <w:t>REQUIREMENT FOR AN ECC DECISION</w:t>
      </w:r>
    </w:p>
    <w:p w14:paraId="19D6DC37" w14:textId="77777777" w:rsidR="006C03D0" w:rsidRDefault="00FA274F" w:rsidP="006C03D0">
      <w:pPr>
        <w:pStyle w:val="ECCParagraph"/>
        <w:rPr>
          <w:lang w:val="en-US"/>
        </w:rPr>
      </w:pPr>
      <w:r w:rsidRPr="00FA274F">
        <w:rPr>
          <w:lang w:val="en-US"/>
        </w:rPr>
        <w:t xml:space="preserve">The allocation or designation of frequency bands under specified conditions in CEPT member countries is laid down by law, </w:t>
      </w:r>
      <w:proofErr w:type="gramStart"/>
      <w:r w:rsidRPr="00FA274F">
        <w:rPr>
          <w:lang w:val="en-US"/>
        </w:rPr>
        <w:t>regulation</w:t>
      </w:r>
      <w:proofErr w:type="gramEnd"/>
      <w:r w:rsidRPr="00FA274F">
        <w:rPr>
          <w:lang w:val="en-US"/>
        </w:rPr>
        <w:t xml:space="preserve"> or administrative action. ECC Decisions are required to deal with the carriage and use of equipment throughout Europe. The ECC also </w:t>
      </w:r>
      <w:r w:rsidRPr="00D32603">
        <w:t>recogni</w:t>
      </w:r>
      <w:r w:rsidR="00F2787B" w:rsidRPr="00D32603">
        <w:t>s</w:t>
      </w:r>
      <w:r w:rsidRPr="00D32603">
        <w:t>es</w:t>
      </w:r>
      <w:r w:rsidRPr="00FA274F">
        <w:rPr>
          <w:lang w:val="en-US"/>
        </w:rPr>
        <w:t xml:space="preserve"> that for UWB devices to be introduced successfully throughout Europe, confidence must be given on the one hand to manufacturers to make the necessary investment in the new pan European Radiocommunications systems and services and on the other hand to users of existing services that their protection will be ensured.</w:t>
      </w:r>
    </w:p>
    <w:p w14:paraId="19D6DC38" w14:textId="77777777" w:rsidR="00FA274F" w:rsidRDefault="00FA274F" w:rsidP="00FA274F">
      <w:pPr>
        <w:pStyle w:val="ECCParagraph"/>
      </w:pPr>
      <w:r>
        <w:t>The harmonisation on a European basis would support the aims of Directive 2014/53/EU of the European Parliament and of the Council of 16 April 2014 on the harmonisation of the laws of the Member States relating to the making available on the market of radio equipment.</w:t>
      </w:r>
    </w:p>
    <w:p w14:paraId="19D6DC39" w14:textId="77777777" w:rsidR="00FA274F" w:rsidRPr="00BE4A2C" w:rsidRDefault="00FA274F" w:rsidP="00FA274F">
      <w:pPr>
        <w:pStyle w:val="ECCParagraph"/>
      </w:pPr>
      <w:r w:rsidRPr="00FA274F">
        <w:rPr>
          <w:lang w:val="en-US"/>
        </w:rPr>
        <w:t>A commitment by CEPT member countries to implement an ECC Decision will provide a clear indication that the required frequency range will be made available on time and on a Europe-wide basis and that the means to ensure protection of existing services will be applied.</w:t>
      </w:r>
    </w:p>
    <w:p w14:paraId="19D6DC3A" w14:textId="0988BE65" w:rsidR="006C03D0" w:rsidRPr="00FE1795" w:rsidRDefault="005F7AD5" w:rsidP="00BA0502">
      <w:pPr>
        <w:pStyle w:val="Heading1"/>
      </w:pPr>
      <w:r w:rsidRPr="00FE1795">
        <w:lastRenderedPageBreak/>
        <w:t>ECC Decision of</w:t>
      </w:r>
      <w:r w:rsidR="00A8085A">
        <w:t xml:space="preserve"> </w:t>
      </w:r>
      <w:r w:rsidR="00FA274F">
        <w:t>30 March 2007</w:t>
      </w:r>
      <w:r w:rsidR="00A8085A">
        <w:t xml:space="preserve"> </w:t>
      </w:r>
      <w:r w:rsidRPr="00FE1795">
        <w:t>on</w:t>
      </w:r>
      <w:r w:rsidR="00A8085A">
        <w:t xml:space="preserve"> </w:t>
      </w:r>
      <w:r w:rsidR="00FA274F" w:rsidRPr="00FA274F">
        <w:rPr>
          <w:lang w:val="en-US"/>
        </w:rPr>
        <w:t>Material Sensing devices using Ultra-Wideband (UWB) technology</w:t>
      </w:r>
      <w:r w:rsidR="00A8085A">
        <w:t xml:space="preserve"> (</w:t>
      </w:r>
      <w:r w:rsidR="00FA274F">
        <w:t>ECC</w:t>
      </w:r>
      <w:r w:rsidR="008B2778">
        <w:t xml:space="preserve"> DECISIon</w:t>
      </w:r>
      <w:r w:rsidR="00FA274F">
        <w:t>(07)01)</w:t>
      </w:r>
      <w:r w:rsidR="00BA0502">
        <w:t>,</w:t>
      </w:r>
      <w:r w:rsidR="009C3EB0">
        <w:t xml:space="preserve"> </w:t>
      </w:r>
      <w:r w:rsidR="00395E07">
        <w:t xml:space="preserve">amended </w:t>
      </w:r>
      <w:r w:rsidR="003A2960">
        <w:t xml:space="preserve">on </w:t>
      </w:r>
      <w:r w:rsidR="007B669D">
        <w:t xml:space="preserve">8 </w:t>
      </w:r>
      <w:r w:rsidR="00395E07">
        <w:t>March 2019</w:t>
      </w:r>
      <w:r w:rsidR="004E09D3">
        <w:t xml:space="preserve"> and latest updated on 1</w:t>
      </w:r>
      <w:r w:rsidR="00BA0502">
        <w:t> </w:t>
      </w:r>
      <w:r w:rsidR="004E09D3">
        <w:t>july 2022</w:t>
      </w:r>
    </w:p>
    <w:p w14:paraId="19D6DC3B" w14:textId="77777777" w:rsidR="006C03D0" w:rsidRDefault="005F7AD5" w:rsidP="006C03D0">
      <w:pPr>
        <w:pStyle w:val="ECCParagraph"/>
      </w:pPr>
      <w:r>
        <w:t>“The European Conference of Postal and Telecommunications Administrations,</w:t>
      </w:r>
    </w:p>
    <w:p w14:paraId="19D6DC3C" w14:textId="77777777" w:rsidR="006C03D0" w:rsidRDefault="009C3EB0" w:rsidP="006C03D0">
      <w:pPr>
        <w:pStyle w:val="ECCParagraph"/>
        <w:rPr>
          <w:i/>
          <w:color w:val="D2232A"/>
        </w:rPr>
      </w:pPr>
      <w:r>
        <w:rPr>
          <w:i/>
          <w:color w:val="D2232A"/>
        </w:rPr>
        <w:t>considering</w:t>
      </w:r>
    </w:p>
    <w:p w14:paraId="19D6DC3D" w14:textId="5661058E" w:rsidR="00E65E22" w:rsidRPr="003E77A5" w:rsidRDefault="00566F65" w:rsidP="00E73D39">
      <w:pPr>
        <w:pStyle w:val="ListParagraph"/>
        <w:numPr>
          <w:ilvl w:val="0"/>
          <w:numId w:val="17"/>
        </w:numPr>
        <w:tabs>
          <w:tab w:val="left" w:pos="567"/>
        </w:tabs>
        <w:spacing w:after="240"/>
        <w:ind w:left="567" w:hanging="567"/>
        <w:contextualSpacing w:val="0"/>
      </w:pPr>
      <w:r>
        <w:rPr>
          <w:lang w:val="en-GB"/>
        </w:rPr>
        <w:t>that D</w:t>
      </w:r>
      <w:r w:rsidR="009C3EB0" w:rsidRPr="009C3EB0">
        <w:rPr>
          <w:lang w:val="en-GB"/>
        </w:rPr>
        <w:t xml:space="preserve">ecision </w:t>
      </w:r>
      <w:r w:rsidR="00BA70F4">
        <w:rPr>
          <w:lang w:val="en-GB"/>
        </w:rPr>
        <w:t>(EU)</w:t>
      </w:r>
      <w:r w:rsidR="005D6E82">
        <w:rPr>
          <w:lang w:val="en-GB"/>
        </w:rPr>
        <w:t xml:space="preserve"> 2019/785</w:t>
      </w:r>
      <w:r w:rsidR="00F97C29">
        <w:rPr>
          <w:lang w:val="en-GB"/>
        </w:rPr>
        <w:t xml:space="preserve"> </w:t>
      </w:r>
      <w:r w:rsidR="009C3EB0" w:rsidRPr="009C3EB0">
        <w:rPr>
          <w:lang w:val="en-GB"/>
        </w:rPr>
        <w:t xml:space="preserve">on allowing the use of the radio spectrum for equipment using ultra-wideband technology in a harmonised manner in the Community defines conditions of use of the spectrum for </w:t>
      </w:r>
      <w:r w:rsidR="00907E80">
        <w:rPr>
          <w:lang w:val="en-GB"/>
        </w:rPr>
        <w:t xml:space="preserve">material sensing </w:t>
      </w:r>
      <w:r w:rsidR="009C3EB0" w:rsidRPr="009C3EB0">
        <w:rPr>
          <w:lang w:val="en-GB"/>
        </w:rPr>
        <w:t xml:space="preserve"> devices</w:t>
      </w:r>
      <w:r w:rsidR="009C3EB0">
        <w:rPr>
          <w:lang w:val="en-GB"/>
        </w:rPr>
        <w:t>;</w:t>
      </w:r>
    </w:p>
    <w:p w14:paraId="19D6DC3E" w14:textId="77777777" w:rsidR="00E65E22" w:rsidRPr="003E77A5" w:rsidRDefault="009C3EB0" w:rsidP="00E73D39">
      <w:pPr>
        <w:pStyle w:val="ListParagraph"/>
        <w:numPr>
          <w:ilvl w:val="0"/>
          <w:numId w:val="17"/>
        </w:numPr>
        <w:tabs>
          <w:tab w:val="left" w:pos="567"/>
        </w:tabs>
        <w:spacing w:after="240"/>
        <w:ind w:left="567" w:hanging="567"/>
        <w:contextualSpacing w:val="0"/>
      </w:pPr>
      <w:r w:rsidRPr="009C3EB0">
        <w:rPr>
          <w:lang w:val="en-GB"/>
        </w:rPr>
        <w:t>that Ultra-Wideband (</w:t>
      </w:r>
      <w:r w:rsidRPr="009C3EB0">
        <w:rPr>
          <w:iCs/>
          <w:lang w:val="en-GB"/>
        </w:rPr>
        <w:t>UWB) technology</w:t>
      </w:r>
      <w:r w:rsidRPr="009C3EB0">
        <w:rPr>
          <w:lang w:val="en-GB"/>
        </w:rPr>
        <w:t xml:space="preserve"> shall mean technology for short-range radiocommunication, involving the intentional generation and transmission of radio-frequency energy that spreads over a very large frequency range, which may overlap several frequency bands allocated to radiocommunication services</w:t>
      </w:r>
      <w:r w:rsidR="00E65E22">
        <w:t>;</w:t>
      </w:r>
    </w:p>
    <w:p w14:paraId="19D6DC3F" w14:textId="1E2393CE" w:rsidR="00E65E22" w:rsidRPr="003E77A5" w:rsidRDefault="009C3EB0" w:rsidP="00E73D39">
      <w:pPr>
        <w:pStyle w:val="ListParagraph"/>
        <w:numPr>
          <w:ilvl w:val="0"/>
          <w:numId w:val="17"/>
        </w:numPr>
        <w:tabs>
          <w:tab w:val="left" w:pos="567"/>
        </w:tabs>
        <w:spacing w:after="240"/>
        <w:ind w:left="567" w:hanging="567"/>
        <w:contextualSpacing w:val="0"/>
      </w:pPr>
      <w:r w:rsidRPr="009C3EB0">
        <w:rPr>
          <w:lang w:val="en-GB"/>
        </w:rPr>
        <w:t>that the generic UWB regulation consisting of Decision ECC</w:t>
      </w:r>
      <w:r w:rsidR="003A2960">
        <w:rPr>
          <w:lang w:val="en-GB"/>
        </w:rPr>
        <w:t xml:space="preserve"> Decision</w:t>
      </w:r>
      <w:r w:rsidRPr="009C3EB0">
        <w:rPr>
          <w:lang w:val="en-GB"/>
        </w:rPr>
        <w:t xml:space="preserve">(06)04 should primarily be used for applications using UWB technology in bands below </w:t>
      </w:r>
      <w:r>
        <w:rPr>
          <w:lang w:val="en-GB"/>
        </w:rPr>
        <w:br/>
      </w:r>
      <w:r w:rsidRPr="009C3EB0">
        <w:rPr>
          <w:lang w:val="en-GB"/>
        </w:rPr>
        <w:t>10.6 GHz</w:t>
      </w:r>
      <w:r w:rsidR="00E65E22">
        <w:t>;</w:t>
      </w:r>
    </w:p>
    <w:p w14:paraId="19D6DC40" w14:textId="55EA1868" w:rsidR="00E65E22" w:rsidRPr="009C3EB0" w:rsidRDefault="009C3EB0" w:rsidP="001354B5">
      <w:pPr>
        <w:pStyle w:val="ListParagraph"/>
        <w:numPr>
          <w:ilvl w:val="0"/>
          <w:numId w:val="17"/>
        </w:numPr>
        <w:tabs>
          <w:tab w:val="left" w:pos="567"/>
          <w:tab w:val="left" w:pos="993"/>
        </w:tabs>
        <w:spacing w:after="120"/>
        <w:ind w:left="567" w:hanging="567"/>
        <w:contextualSpacing w:val="0"/>
      </w:pPr>
      <w:r w:rsidRPr="009C3EB0">
        <w:rPr>
          <w:lang w:val="en-GB"/>
        </w:rPr>
        <w:t xml:space="preserve">that, in order to allow the introduction of </w:t>
      </w:r>
      <w:r w:rsidR="00907E80">
        <w:rPr>
          <w:lang w:val="en-GB"/>
        </w:rPr>
        <w:t xml:space="preserve">material sensing devices </w:t>
      </w:r>
      <w:r w:rsidRPr="009C3EB0">
        <w:rPr>
          <w:lang w:val="en-GB"/>
        </w:rPr>
        <w:t>using UWB technology within the CEPT, the use of the frequency range 2.2 to 8.5 GHz has been requested by the industry because:</w:t>
      </w:r>
    </w:p>
    <w:p w14:paraId="19D6DC41" w14:textId="5E6F054F" w:rsidR="009C3EB0" w:rsidRDefault="009C3EB0" w:rsidP="001354B5">
      <w:pPr>
        <w:pStyle w:val="ECCParBulleted"/>
        <w:tabs>
          <w:tab w:val="clear" w:pos="360"/>
          <w:tab w:val="left" w:pos="567"/>
          <w:tab w:val="left" w:pos="993"/>
        </w:tabs>
        <w:spacing w:after="60"/>
        <w:ind w:left="992" w:hanging="425"/>
      </w:pPr>
      <w:r>
        <w:t>there is a need for higher emission limits than those contained in ECC</w:t>
      </w:r>
      <w:r w:rsidR="003A2960">
        <w:t xml:space="preserve"> Decision</w:t>
      </w:r>
      <w:r>
        <w:t>(06</w:t>
      </w:r>
      <w:r w:rsidR="00A972BC">
        <w:t>)04 in certain frequency ranges;</w:t>
      </w:r>
    </w:p>
    <w:p w14:paraId="19D6DC42" w14:textId="77777777" w:rsidR="009C3EB0" w:rsidRDefault="009C3EB0" w:rsidP="001354B5">
      <w:pPr>
        <w:pStyle w:val="ECCParBulleted"/>
        <w:tabs>
          <w:tab w:val="clear" w:pos="360"/>
          <w:tab w:val="left" w:pos="567"/>
          <w:tab w:val="left" w:pos="993"/>
        </w:tabs>
        <w:spacing w:after="60"/>
        <w:ind w:left="992" w:hanging="425"/>
      </w:pPr>
      <w:r>
        <w:t xml:space="preserve">a larger bandwidth is </w:t>
      </w:r>
      <w:r w:rsidR="00A972BC">
        <w:t>required for spatial resolution;</w:t>
      </w:r>
    </w:p>
    <w:p w14:paraId="19D6DC43" w14:textId="77777777" w:rsidR="009C3EB0" w:rsidRDefault="009C3EB0" w:rsidP="001354B5">
      <w:pPr>
        <w:pStyle w:val="ECCParBulleted"/>
        <w:tabs>
          <w:tab w:val="clear" w:pos="360"/>
          <w:tab w:val="left" w:pos="567"/>
          <w:tab w:val="left" w:pos="993"/>
        </w:tabs>
        <w:spacing w:after="60"/>
        <w:ind w:left="992" w:hanging="425"/>
      </w:pPr>
      <w:r>
        <w:t>lower frequency bands are required for material penet</w:t>
      </w:r>
      <w:r w:rsidR="00A972BC">
        <w:t>ration and clutter suppression;</w:t>
      </w:r>
    </w:p>
    <w:p w14:paraId="19D6DC44" w14:textId="77777777" w:rsidR="009C3EB0" w:rsidRPr="003E77A5" w:rsidRDefault="009C3EB0" w:rsidP="001354B5">
      <w:pPr>
        <w:pStyle w:val="ECCParBulleted"/>
        <w:tabs>
          <w:tab w:val="clear" w:pos="360"/>
          <w:tab w:val="left" w:pos="567"/>
          <w:tab w:val="left" w:pos="993"/>
        </w:tabs>
        <w:ind w:left="993" w:hanging="426"/>
      </w:pPr>
      <w:r>
        <w:t>the technology is available;</w:t>
      </w:r>
    </w:p>
    <w:p w14:paraId="19D6DC45" w14:textId="642B9E4F" w:rsidR="00E65E22" w:rsidRPr="003E77A5" w:rsidRDefault="001354B5" w:rsidP="00E73D39">
      <w:pPr>
        <w:pStyle w:val="ListParagraph"/>
        <w:numPr>
          <w:ilvl w:val="0"/>
          <w:numId w:val="17"/>
        </w:numPr>
        <w:tabs>
          <w:tab w:val="left" w:pos="567"/>
        </w:tabs>
        <w:spacing w:after="240"/>
        <w:ind w:left="567" w:hanging="567"/>
        <w:contextualSpacing w:val="0"/>
      </w:pPr>
      <w:r w:rsidRPr="001354B5">
        <w:rPr>
          <w:lang w:val="en-GB"/>
        </w:rPr>
        <w:t xml:space="preserve">that the radiated emissions of </w:t>
      </w:r>
      <w:r w:rsidR="00907E80">
        <w:rPr>
          <w:lang w:val="en-GB"/>
        </w:rPr>
        <w:t xml:space="preserve">material sensing devices </w:t>
      </w:r>
      <w:r w:rsidRPr="001354B5">
        <w:rPr>
          <w:lang w:val="en-GB"/>
        </w:rPr>
        <w:t>are intended to be transmitted into a structure or material for the purpose of detecting the location of objects within the structure or to determine the physical properties of the material</w:t>
      </w:r>
      <w:r w:rsidR="00E65E22">
        <w:t>;</w:t>
      </w:r>
    </w:p>
    <w:p w14:paraId="19D6DC46" w14:textId="78652B24" w:rsidR="00E65E22" w:rsidRPr="003E77A5" w:rsidRDefault="001354B5" w:rsidP="00E73D39">
      <w:pPr>
        <w:pStyle w:val="ListParagraph"/>
        <w:numPr>
          <w:ilvl w:val="0"/>
          <w:numId w:val="17"/>
        </w:numPr>
        <w:tabs>
          <w:tab w:val="left" w:pos="567"/>
        </w:tabs>
        <w:spacing w:after="240"/>
        <w:ind w:left="567" w:hanging="567"/>
        <w:contextualSpacing w:val="0"/>
      </w:pPr>
      <w:r w:rsidRPr="001354B5">
        <w:rPr>
          <w:lang w:val="en-GB"/>
        </w:rPr>
        <w:t xml:space="preserve">that a regulatory framework for specific licence-exempt material sensing devices using UWB technology will enable the operation of </w:t>
      </w:r>
      <w:r w:rsidR="00907E80">
        <w:rPr>
          <w:lang w:val="en-GB"/>
        </w:rPr>
        <w:t xml:space="preserve">such </w:t>
      </w:r>
      <w:r w:rsidRPr="001354B5">
        <w:rPr>
          <w:lang w:val="en-GB"/>
        </w:rPr>
        <w:t>devices as well as other types of radiodetermination applications with similar characteristics</w:t>
      </w:r>
      <w:r w:rsidR="00E65E22">
        <w:t>;</w:t>
      </w:r>
    </w:p>
    <w:p w14:paraId="19D6DC48" w14:textId="60E2154D" w:rsidR="009714E3" w:rsidRPr="003A2960" w:rsidRDefault="009714E3" w:rsidP="003A2960">
      <w:pPr>
        <w:pStyle w:val="ListParagraph"/>
        <w:numPr>
          <w:ilvl w:val="0"/>
          <w:numId w:val="17"/>
        </w:numPr>
        <w:tabs>
          <w:tab w:val="left" w:pos="567"/>
        </w:tabs>
        <w:spacing w:after="240"/>
        <w:ind w:left="567" w:hanging="567"/>
        <w:contextualSpacing w:val="0"/>
        <w:rPr>
          <w:lang w:val="en-GB"/>
        </w:rPr>
      </w:pPr>
      <w:r w:rsidRPr="003A2960">
        <w:rPr>
          <w:lang w:val="en-GB"/>
        </w:rPr>
        <w:t>that CEPT Report 69 in response to the Permanent Mandate to CEPT on Ultra</w:t>
      </w:r>
      <w:r w:rsidR="004005AF" w:rsidRPr="003A2960">
        <w:rPr>
          <w:lang w:val="en-GB"/>
        </w:rPr>
        <w:t>-w</w:t>
      </w:r>
      <w:r w:rsidRPr="003A2960">
        <w:rPr>
          <w:lang w:val="en-GB"/>
        </w:rPr>
        <w:t>ide</w:t>
      </w:r>
      <w:r w:rsidR="004005AF" w:rsidRPr="003A2960">
        <w:rPr>
          <w:lang w:val="en-GB"/>
        </w:rPr>
        <w:t>b</w:t>
      </w:r>
      <w:r w:rsidRPr="003A2960">
        <w:rPr>
          <w:lang w:val="en-GB"/>
        </w:rPr>
        <w:t>and technology includes a review of the regulatory approach for material sensing devices and concluded that an approach in a more neutral fashion is needed in order to allow for innovative material sensing solutions;</w:t>
      </w:r>
    </w:p>
    <w:p w14:paraId="19D6DC49" w14:textId="77777777" w:rsidR="009714E3" w:rsidRPr="003A2960" w:rsidRDefault="009714E3" w:rsidP="003A2960">
      <w:pPr>
        <w:pStyle w:val="ListParagraph"/>
        <w:numPr>
          <w:ilvl w:val="0"/>
          <w:numId w:val="17"/>
        </w:numPr>
        <w:tabs>
          <w:tab w:val="left" w:pos="567"/>
        </w:tabs>
        <w:spacing w:after="240"/>
        <w:ind w:left="567" w:hanging="567"/>
        <w:contextualSpacing w:val="0"/>
        <w:rPr>
          <w:lang w:val="en-GB"/>
        </w:rPr>
      </w:pPr>
      <w:r w:rsidRPr="003A2960">
        <w:rPr>
          <w:lang w:val="en-GB"/>
        </w:rPr>
        <w:t>that CEPT Report 69 also clarified the possibility to use the generic UWB regulation in ECC Decision (06)04 for material sensing applications without any violation of the technical requirements set out in the generic UWB regulation;</w:t>
      </w:r>
    </w:p>
    <w:p w14:paraId="19D6DC4D" w14:textId="6EF409EC" w:rsidR="00E65E22" w:rsidRPr="003E77A5" w:rsidRDefault="001354B5" w:rsidP="00E73D39">
      <w:pPr>
        <w:pStyle w:val="ListParagraph"/>
        <w:numPr>
          <w:ilvl w:val="0"/>
          <w:numId w:val="17"/>
        </w:numPr>
        <w:tabs>
          <w:tab w:val="left" w:pos="567"/>
        </w:tabs>
        <w:spacing w:after="240"/>
        <w:ind w:left="567" w:hanging="567"/>
        <w:contextualSpacing w:val="0"/>
      </w:pPr>
      <w:r w:rsidRPr="001354B5">
        <w:rPr>
          <w:lang w:val="en-GB"/>
        </w:rPr>
        <w:t xml:space="preserve">that these </w:t>
      </w:r>
      <w:r w:rsidR="009714E3">
        <w:rPr>
          <w:lang w:val="en-GB"/>
        </w:rPr>
        <w:t xml:space="preserve">material sensing </w:t>
      </w:r>
      <w:r w:rsidRPr="001354B5">
        <w:rPr>
          <w:lang w:val="en-GB"/>
        </w:rPr>
        <w:t>devices are not intended for communications purposes</w:t>
      </w:r>
      <w:r w:rsidR="00E65E22">
        <w:t>;</w:t>
      </w:r>
    </w:p>
    <w:p w14:paraId="19D6DC4E" w14:textId="24497253" w:rsidR="00E65E22" w:rsidRPr="003E77A5" w:rsidRDefault="001354B5" w:rsidP="00E73D39">
      <w:pPr>
        <w:pStyle w:val="ListParagraph"/>
        <w:numPr>
          <w:ilvl w:val="0"/>
          <w:numId w:val="17"/>
        </w:numPr>
        <w:tabs>
          <w:tab w:val="left" w:pos="567"/>
        </w:tabs>
        <w:spacing w:after="240"/>
        <w:ind w:left="567" w:hanging="567"/>
        <w:contextualSpacing w:val="0"/>
      </w:pPr>
      <w:r w:rsidRPr="001354B5">
        <w:rPr>
          <w:lang w:val="en-GB"/>
        </w:rPr>
        <w:t xml:space="preserve">that the consideration of the specific deployment scenarios and mitigation factors of </w:t>
      </w:r>
      <w:r w:rsidR="009714E3">
        <w:rPr>
          <w:lang w:val="en-GB"/>
        </w:rPr>
        <w:t>material sensing devices</w:t>
      </w:r>
      <w:r w:rsidRPr="001354B5">
        <w:rPr>
          <w:lang w:val="en-GB"/>
        </w:rPr>
        <w:t xml:space="preserve"> has led to specific requirements in different frequency bands, taking into account also specificities of the victim services and operational requirements for </w:t>
      </w:r>
      <w:r w:rsidR="009714E3">
        <w:rPr>
          <w:lang w:val="en-GB"/>
        </w:rPr>
        <w:t xml:space="preserve">material sensing devices </w:t>
      </w:r>
      <w:r w:rsidRPr="001354B5">
        <w:rPr>
          <w:lang w:val="en-GB"/>
        </w:rPr>
        <w:t>compared to the generic regulation for UWB</w:t>
      </w:r>
      <w:r w:rsidR="00E65E22">
        <w:t>;</w:t>
      </w:r>
    </w:p>
    <w:p w14:paraId="19D6DC57" w14:textId="10E6B222" w:rsidR="00E65E22" w:rsidRDefault="001354B5" w:rsidP="00E65E22">
      <w:pPr>
        <w:pStyle w:val="ECCParagraph"/>
        <w:numPr>
          <w:ilvl w:val="0"/>
          <w:numId w:val="17"/>
        </w:numPr>
        <w:ind w:left="567" w:hanging="567"/>
      </w:pPr>
      <w:r w:rsidRPr="001354B5">
        <w:rPr>
          <w:lang w:val="en-US"/>
        </w:rPr>
        <w:t xml:space="preserve">that technical requirements for LBT mechanisms given in this ECC Decision need to be supplemented by adequate guidance on LBT measurement procedures and test patterns as defined in the relevant </w:t>
      </w:r>
      <w:r w:rsidR="003A2960">
        <w:rPr>
          <w:lang w:val="en-US"/>
        </w:rPr>
        <w:t>H</w:t>
      </w:r>
      <w:r w:rsidRPr="001354B5">
        <w:rPr>
          <w:lang w:val="en-US"/>
        </w:rPr>
        <w:t xml:space="preserve">armonised European </w:t>
      </w:r>
      <w:r w:rsidR="003A2960">
        <w:rPr>
          <w:lang w:val="en-US"/>
        </w:rPr>
        <w:t>S</w:t>
      </w:r>
      <w:r w:rsidRPr="001354B5">
        <w:rPr>
          <w:lang w:val="en-US"/>
        </w:rPr>
        <w:t>tandard EN 302 065-4</w:t>
      </w:r>
      <w:r w:rsidR="000162BF">
        <w:rPr>
          <w:lang w:val="en-US"/>
        </w:rPr>
        <w:t>-1</w:t>
      </w:r>
      <w:r w:rsidRPr="001354B5">
        <w:rPr>
          <w:lang w:val="en-US"/>
        </w:rPr>
        <w:t xml:space="preserve"> adopted under Directive 2014/53/EU</w:t>
      </w:r>
      <w:r w:rsidR="00E65E22" w:rsidRPr="003E77A5">
        <w:t>.</w:t>
      </w:r>
    </w:p>
    <w:p w14:paraId="19D6DC58" w14:textId="408908A6" w:rsidR="009123D0" w:rsidRPr="009123D0" w:rsidRDefault="009123D0" w:rsidP="00E65E22">
      <w:pPr>
        <w:pStyle w:val="ECCParagraph"/>
        <w:numPr>
          <w:ilvl w:val="0"/>
          <w:numId w:val="17"/>
        </w:numPr>
        <w:ind w:left="567" w:hanging="567"/>
      </w:pPr>
      <w:r w:rsidRPr="009123D0">
        <w:rPr>
          <w:lang w:val="en-US"/>
        </w:rPr>
        <w:t xml:space="preserve">that the LBT mechanism for </w:t>
      </w:r>
      <w:r w:rsidR="009714E3">
        <w:rPr>
          <w:lang w:val="en-US"/>
        </w:rPr>
        <w:t xml:space="preserve">material sensing </w:t>
      </w:r>
      <w:r w:rsidRPr="009123D0">
        <w:rPr>
          <w:lang w:val="en-US"/>
        </w:rPr>
        <w:t xml:space="preserve">devices may not be fully efficient to detect meteorological radars in some of their specific operational modes but that, </w:t>
      </w:r>
      <w:proofErr w:type="spellStart"/>
      <w:r w:rsidRPr="009123D0">
        <w:rPr>
          <w:lang w:val="en-US"/>
        </w:rPr>
        <w:t>recognising</w:t>
      </w:r>
      <w:proofErr w:type="spellEnd"/>
      <w:r w:rsidRPr="009123D0">
        <w:rPr>
          <w:lang w:val="en-US"/>
        </w:rPr>
        <w:t xml:space="preserve"> the low activity factor of </w:t>
      </w:r>
      <w:r w:rsidR="0019789E">
        <w:rPr>
          <w:lang w:val="en-US"/>
        </w:rPr>
        <w:t xml:space="preserve">material </w:t>
      </w:r>
      <w:r w:rsidR="0019789E">
        <w:rPr>
          <w:lang w:val="en-US"/>
        </w:rPr>
        <w:lastRenderedPageBreak/>
        <w:t>sensing devices</w:t>
      </w:r>
      <w:r w:rsidRPr="009123D0">
        <w:rPr>
          <w:lang w:val="en-US"/>
        </w:rPr>
        <w:t>, potential corresponding interference situations are assumed as relating to very low interference probability;</w:t>
      </w:r>
    </w:p>
    <w:p w14:paraId="19D6DC59" w14:textId="77777777" w:rsidR="009123D0" w:rsidRPr="009123D0" w:rsidRDefault="009123D0" w:rsidP="00E65E22">
      <w:pPr>
        <w:pStyle w:val="ECCParagraph"/>
        <w:numPr>
          <w:ilvl w:val="0"/>
          <w:numId w:val="17"/>
        </w:numPr>
        <w:ind w:left="567" w:hanging="567"/>
      </w:pPr>
      <w:r w:rsidRPr="009123D0">
        <w:rPr>
          <w:lang w:val="en-US"/>
        </w:rPr>
        <w:t>that the efficiency of LBT may need to be further investigated for the protection of mobile terminals in idle mode</w:t>
      </w:r>
      <w:r>
        <w:rPr>
          <w:lang w:val="en-US"/>
        </w:rPr>
        <w:t>;</w:t>
      </w:r>
    </w:p>
    <w:p w14:paraId="19D6DC5A" w14:textId="641D8D50" w:rsidR="009123D0" w:rsidRPr="009123D0" w:rsidRDefault="009123D0" w:rsidP="00E65E22">
      <w:pPr>
        <w:pStyle w:val="ECCParagraph"/>
        <w:numPr>
          <w:ilvl w:val="0"/>
          <w:numId w:val="17"/>
        </w:numPr>
        <w:ind w:left="567" w:hanging="567"/>
      </w:pPr>
      <w:r w:rsidRPr="009123D0">
        <w:rPr>
          <w:lang w:val="en-US"/>
        </w:rPr>
        <w:t xml:space="preserve">that the aggregate power in radio astronomy receivers that would result from the operation of </w:t>
      </w:r>
      <w:r w:rsidRPr="00D32603">
        <w:t>licence</w:t>
      </w:r>
      <w:r w:rsidRPr="009123D0">
        <w:rPr>
          <w:lang w:val="en-US"/>
        </w:rPr>
        <w:t xml:space="preserve">-exempt </w:t>
      </w:r>
      <w:r w:rsidR="00907E80">
        <w:rPr>
          <w:lang w:val="en-US"/>
        </w:rPr>
        <w:t xml:space="preserve">material sensing </w:t>
      </w:r>
      <w:r w:rsidRPr="009123D0">
        <w:rPr>
          <w:lang w:val="en-US"/>
        </w:rPr>
        <w:t>devices in bands allocated to the Radio Astronomy Service may exceed the threshold levels of interference detrimental to radio astronomy observations given in ITU-R Recommendation RA.769;</w:t>
      </w:r>
    </w:p>
    <w:p w14:paraId="19D6DC5B" w14:textId="5CC31B10" w:rsidR="009123D0" w:rsidRPr="009123D0" w:rsidRDefault="009123D0" w:rsidP="00E65E22">
      <w:pPr>
        <w:pStyle w:val="ECCParagraph"/>
        <w:numPr>
          <w:ilvl w:val="0"/>
          <w:numId w:val="17"/>
        </w:numPr>
        <w:ind w:left="567" w:hanging="567"/>
      </w:pPr>
      <w:r w:rsidRPr="009123D0">
        <w:rPr>
          <w:lang w:val="en-US"/>
        </w:rPr>
        <w:t xml:space="preserve">that administrations are encouraged to monitor the impact of </w:t>
      </w:r>
      <w:r w:rsidR="00907E80">
        <w:rPr>
          <w:lang w:val="en-US"/>
        </w:rPr>
        <w:t xml:space="preserve">material sensing </w:t>
      </w:r>
      <w:r w:rsidRPr="009123D0">
        <w:rPr>
          <w:lang w:val="en-US"/>
        </w:rPr>
        <w:t>devices on radiocommunication services, especially on RAS;</w:t>
      </w:r>
    </w:p>
    <w:p w14:paraId="19D6DC5D" w14:textId="172642EC" w:rsidR="009123D0" w:rsidRPr="009123D0" w:rsidRDefault="009123D0" w:rsidP="00E65E22">
      <w:pPr>
        <w:pStyle w:val="ECCParagraph"/>
        <w:numPr>
          <w:ilvl w:val="0"/>
          <w:numId w:val="17"/>
        </w:numPr>
        <w:ind w:left="567" w:hanging="567"/>
      </w:pPr>
      <w:r w:rsidRPr="009123D0">
        <w:rPr>
          <w:lang w:val="en-US"/>
        </w:rPr>
        <w:t>that in EU/EFTA countries the radio equipment that is under the scope of this Decision shall comply with the RE</w:t>
      </w:r>
      <w:r w:rsidR="00A972BC">
        <w:rPr>
          <w:lang w:val="en-US"/>
        </w:rPr>
        <w:t xml:space="preserve"> Directive. </w:t>
      </w:r>
      <w:r w:rsidRPr="009123D0">
        <w:rPr>
          <w:lang w:val="en-US"/>
        </w:rPr>
        <w:t xml:space="preserve">Conformity with the essential requirements of the RE Directive may be demonstrated by compliance with the applicable </w:t>
      </w:r>
      <w:r w:rsidR="000162BF">
        <w:rPr>
          <w:lang w:val="en-US"/>
        </w:rPr>
        <w:t xml:space="preserve">relevant versions of the </w:t>
      </w:r>
      <w:r w:rsidR="003A2960">
        <w:rPr>
          <w:lang w:val="en-US"/>
        </w:rPr>
        <w:t>H</w:t>
      </w:r>
      <w:r w:rsidRPr="009123D0">
        <w:rPr>
          <w:lang w:val="en-US"/>
        </w:rPr>
        <w:t xml:space="preserve">armonised European </w:t>
      </w:r>
      <w:r w:rsidR="003A2960">
        <w:rPr>
          <w:lang w:val="en-US"/>
        </w:rPr>
        <w:t>S</w:t>
      </w:r>
      <w:r w:rsidRPr="009123D0">
        <w:rPr>
          <w:lang w:val="en-US"/>
        </w:rPr>
        <w:t>tandard</w:t>
      </w:r>
      <w:r w:rsidR="001E5E9C">
        <w:rPr>
          <w:lang w:val="en-US"/>
        </w:rPr>
        <w:t xml:space="preserve"> </w:t>
      </w:r>
      <w:r w:rsidR="00F87726">
        <w:rPr>
          <w:lang w:val="en-US"/>
        </w:rPr>
        <w:t>EN 302 065</w:t>
      </w:r>
      <w:r w:rsidRPr="009123D0">
        <w:rPr>
          <w:lang w:val="en-US"/>
        </w:rPr>
        <w:t xml:space="preserve"> or by using the other conformity assessment procedures set out in the RE Directive</w:t>
      </w:r>
      <w:r>
        <w:rPr>
          <w:lang w:val="en-US"/>
        </w:rPr>
        <w:t>.</w:t>
      </w:r>
    </w:p>
    <w:p w14:paraId="19D6DC5E" w14:textId="77777777" w:rsidR="009123D0" w:rsidRDefault="009123D0" w:rsidP="009123D0">
      <w:pPr>
        <w:pStyle w:val="ECCParagraph"/>
        <w:ind w:left="567"/>
      </w:pPr>
    </w:p>
    <w:p w14:paraId="19D6DC5F" w14:textId="77777777" w:rsidR="006C03D0" w:rsidRPr="00C10DC9" w:rsidRDefault="005F7AD5" w:rsidP="006C03D0">
      <w:pPr>
        <w:pStyle w:val="ECCParagraph"/>
        <w:rPr>
          <w:color w:val="D2232A"/>
        </w:rPr>
      </w:pPr>
      <w:r w:rsidRPr="00C10DC9">
        <w:rPr>
          <w:i/>
          <w:color w:val="D2232A"/>
        </w:rPr>
        <w:t>DECIDES</w:t>
      </w:r>
    </w:p>
    <w:p w14:paraId="19D6DC60" w14:textId="4A7869E6" w:rsidR="006C03D0" w:rsidRDefault="009123D0" w:rsidP="00E73D39">
      <w:pPr>
        <w:pStyle w:val="NumberedList"/>
        <w:spacing w:after="120"/>
      </w:pPr>
      <w:r>
        <w:t xml:space="preserve">that this ECC Decision </w:t>
      </w:r>
      <w:r w:rsidRPr="009123D0">
        <w:rPr>
          <w:lang w:val="en-US"/>
        </w:rPr>
        <w:t xml:space="preserve">defines harmonised conditions for the use in CEPT countries of </w:t>
      </w:r>
      <w:r w:rsidR="005B059A">
        <w:rPr>
          <w:lang w:val="en-US"/>
        </w:rPr>
        <w:t>m</w:t>
      </w:r>
      <w:r w:rsidRPr="009123D0">
        <w:rPr>
          <w:lang w:val="en-US"/>
        </w:rPr>
        <w:t xml:space="preserve">aterial </w:t>
      </w:r>
      <w:r w:rsidR="005B059A">
        <w:rPr>
          <w:lang w:val="en-US"/>
        </w:rPr>
        <w:t>s</w:t>
      </w:r>
      <w:r w:rsidRPr="009123D0">
        <w:rPr>
          <w:lang w:val="en-US"/>
        </w:rPr>
        <w:t>ensing devices using UWB technology</w:t>
      </w:r>
      <w:r>
        <w:rPr>
          <w:lang w:val="en-US"/>
        </w:rPr>
        <w:t>;</w:t>
      </w:r>
    </w:p>
    <w:p w14:paraId="19D6DC61" w14:textId="08836C95" w:rsidR="006C03D0" w:rsidRDefault="009123D0" w:rsidP="005B059A">
      <w:pPr>
        <w:pStyle w:val="NumberedList"/>
      </w:pPr>
      <w:r w:rsidRPr="009123D0">
        <w:rPr>
          <w:lang w:val="en-US"/>
        </w:rPr>
        <w:t xml:space="preserve">that, for the purpose of this Decision, </w:t>
      </w:r>
      <w:r w:rsidR="005B059A">
        <w:rPr>
          <w:lang w:val="en-US"/>
        </w:rPr>
        <w:t>m</w:t>
      </w:r>
      <w:r w:rsidR="005B059A" w:rsidRPr="005B059A">
        <w:rPr>
          <w:lang w:val="en-US"/>
        </w:rPr>
        <w:t xml:space="preserve">aterial sensing devices </w:t>
      </w:r>
      <w:r w:rsidR="005B059A">
        <w:rPr>
          <w:lang w:val="en-US"/>
        </w:rPr>
        <w:t xml:space="preserve">using UWB technology </w:t>
      </w:r>
      <w:r w:rsidR="005B059A" w:rsidRPr="005B059A">
        <w:rPr>
          <w:lang w:val="en-US"/>
        </w:rPr>
        <w:t xml:space="preserve">are split into two classes of sensing and imaging devices. These classes </w:t>
      </w:r>
      <w:proofErr w:type="gramStart"/>
      <w:r w:rsidR="005B059A" w:rsidRPr="005B059A">
        <w:rPr>
          <w:lang w:val="en-US"/>
        </w:rPr>
        <w:t>are:</w:t>
      </w:r>
      <w:r>
        <w:rPr>
          <w:lang w:val="en-US"/>
        </w:rPr>
        <w:t>:</w:t>
      </w:r>
      <w:proofErr w:type="gramEnd"/>
    </w:p>
    <w:p w14:paraId="19D6DC62" w14:textId="77777777" w:rsidR="005B059A" w:rsidRDefault="005B059A" w:rsidP="005B059A">
      <w:pPr>
        <w:pStyle w:val="ListParagraph"/>
        <w:numPr>
          <w:ilvl w:val="1"/>
          <w:numId w:val="10"/>
        </w:numPr>
      </w:pPr>
      <w:r w:rsidRPr="005B059A">
        <w:t>Contact-based sensors and imaging devices. The UWB transmitter is only switched on when in direct contact with the material under investigation;</w:t>
      </w:r>
    </w:p>
    <w:p w14:paraId="19D6DC63" w14:textId="77777777" w:rsidR="005B059A" w:rsidRPr="005B059A" w:rsidRDefault="005B059A" w:rsidP="005B059A">
      <w:pPr>
        <w:pStyle w:val="ECCBulletsLv1"/>
        <w:numPr>
          <w:ilvl w:val="1"/>
          <w:numId w:val="10"/>
        </w:numPr>
      </w:pPr>
      <w:r w:rsidRPr="000B7791">
        <w:t>Non-contact-based sensor and imaging devices. The UWB transmitter is only switched on when in close proximity with the investigated material and the UWB transmitter is directed into the direction of the material under investigation (e.g. manually, by using a proximity sensor or by mechanical design).</w:t>
      </w:r>
    </w:p>
    <w:p w14:paraId="19D6DC64" w14:textId="0DF22CAC" w:rsidR="006C03D0" w:rsidRDefault="006C03D0" w:rsidP="007B669D">
      <w:pPr>
        <w:pStyle w:val="NumberedList"/>
        <w:numPr>
          <w:ilvl w:val="0"/>
          <w:numId w:val="0"/>
        </w:numPr>
        <w:spacing w:after="60"/>
        <w:ind w:left="737"/>
      </w:pPr>
    </w:p>
    <w:p w14:paraId="19D6DC66" w14:textId="77777777" w:rsidR="000F3919" w:rsidRDefault="008D475B" w:rsidP="000F3919">
      <w:pPr>
        <w:pStyle w:val="NumberedList"/>
      </w:pPr>
      <w:r w:rsidRPr="008D475B">
        <w:rPr>
          <w:lang w:val="en-US"/>
        </w:rPr>
        <w:t>that the devices permitted under this ECC Decision are exempt from individual licensing and shall operate on a non-interference, non-protected basis</w:t>
      </w:r>
      <w:r w:rsidR="00713DBA" w:rsidRPr="003E77A5">
        <w:t>;</w:t>
      </w:r>
    </w:p>
    <w:p w14:paraId="19D6DC67" w14:textId="77777777" w:rsidR="003C73AC" w:rsidRDefault="003C73AC" w:rsidP="000F3919">
      <w:pPr>
        <w:pStyle w:val="NumberedList"/>
      </w:pPr>
      <w:r>
        <w:t>that CEPT administrations shall exempt from individual licensing and allow free circulation and use of material sensing devices using UWB technology;</w:t>
      </w:r>
    </w:p>
    <w:p w14:paraId="19D6DC68" w14:textId="329EBC9F" w:rsidR="000F3919" w:rsidRDefault="008D475B" w:rsidP="007B669D">
      <w:pPr>
        <w:pStyle w:val="NumberedList"/>
        <w:widowControl w:val="0"/>
      </w:pPr>
      <w:r w:rsidRPr="008D475B">
        <w:rPr>
          <w:lang w:val="en-US"/>
        </w:rPr>
        <w:t xml:space="preserve">that the technical requirements detailed in Annex 1 apply to </w:t>
      </w:r>
      <w:r w:rsidR="003C73AC">
        <w:rPr>
          <w:lang w:val="en-US"/>
        </w:rPr>
        <w:t>m</w:t>
      </w:r>
      <w:r w:rsidRPr="008D475B">
        <w:rPr>
          <w:lang w:val="en-US"/>
        </w:rPr>
        <w:t xml:space="preserve">aterial </w:t>
      </w:r>
      <w:r w:rsidR="003C73AC">
        <w:rPr>
          <w:lang w:val="en-US"/>
        </w:rPr>
        <w:t>s</w:t>
      </w:r>
      <w:r w:rsidRPr="008D475B">
        <w:rPr>
          <w:lang w:val="en-US"/>
        </w:rPr>
        <w:t xml:space="preserve">ensing device </w:t>
      </w:r>
      <w:r>
        <w:rPr>
          <w:lang w:val="en-US"/>
        </w:rPr>
        <w:t>devices</w:t>
      </w:r>
      <w:r w:rsidRPr="008D475B">
        <w:rPr>
          <w:lang w:val="en-US"/>
        </w:rPr>
        <w:t xml:space="preserve"> permitted under this ECC Decision</w:t>
      </w:r>
      <w:r w:rsidR="00713DBA" w:rsidRPr="003E77A5">
        <w:t>;</w:t>
      </w:r>
    </w:p>
    <w:p w14:paraId="19D6DC6A" w14:textId="0DDC7063" w:rsidR="00713DBA" w:rsidRDefault="00713DBA" w:rsidP="007B669D">
      <w:pPr>
        <w:pStyle w:val="NumberedList"/>
        <w:widowControl w:val="0"/>
      </w:pPr>
      <w:r w:rsidRPr="003E77A5">
        <w:t xml:space="preserve">that this Decision </w:t>
      </w:r>
      <w:r w:rsidRPr="003E77A5">
        <w:rPr>
          <w:b/>
        </w:rPr>
        <w:t>enters into force</w:t>
      </w:r>
      <w:r w:rsidRPr="003E77A5">
        <w:t xml:space="preserve"> on</w:t>
      </w:r>
      <w:r w:rsidR="008D475B">
        <w:t xml:space="preserve"> </w:t>
      </w:r>
      <w:r w:rsidR="00F35B05">
        <w:t>8</w:t>
      </w:r>
      <w:r w:rsidR="0019789E">
        <w:t xml:space="preserve"> March 2019</w:t>
      </w:r>
      <w:r w:rsidRPr="003E77A5">
        <w:t>;</w:t>
      </w:r>
    </w:p>
    <w:p w14:paraId="19D6DC6B" w14:textId="7D00F32F" w:rsidR="00713DBA" w:rsidRDefault="00D90B0A" w:rsidP="007B669D">
      <w:pPr>
        <w:pStyle w:val="NumberedList"/>
        <w:widowControl w:val="0"/>
      </w:pPr>
      <w:r>
        <w:t>that the preferred</w:t>
      </w:r>
      <w:r w:rsidR="00713DBA" w:rsidRPr="003E77A5">
        <w:t xml:space="preserve"> </w:t>
      </w:r>
      <w:r w:rsidR="00713DBA" w:rsidRPr="003E77A5">
        <w:rPr>
          <w:b/>
        </w:rPr>
        <w:t>date for implementation</w:t>
      </w:r>
      <w:r w:rsidR="00713DBA" w:rsidRPr="003E77A5">
        <w:t xml:space="preserve"> of this Decision shall be </w:t>
      </w:r>
      <w:r w:rsidR="00F35B05">
        <w:t>8</w:t>
      </w:r>
      <w:r w:rsidR="008D475B">
        <w:t xml:space="preserve"> </w:t>
      </w:r>
      <w:r w:rsidR="0019789E">
        <w:t>September</w:t>
      </w:r>
      <w:r w:rsidR="008D475B">
        <w:t xml:space="preserve"> 20</w:t>
      </w:r>
      <w:r w:rsidR="0019789E">
        <w:t>19</w:t>
      </w:r>
      <w:r w:rsidR="00713DBA" w:rsidRPr="003E77A5">
        <w:t>;</w:t>
      </w:r>
    </w:p>
    <w:p w14:paraId="19D6DC6C" w14:textId="77777777" w:rsidR="006C03D0" w:rsidRDefault="008D475B" w:rsidP="007B669D">
      <w:pPr>
        <w:pStyle w:val="NumberedList"/>
        <w:widowControl w:val="0"/>
      </w:pPr>
      <w:r>
        <w:t>t</w:t>
      </w:r>
      <w:r w:rsidRPr="003E77A5">
        <w:t xml:space="preserve">hat CEPT </w:t>
      </w:r>
      <w:r w:rsidRPr="003E77A5">
        <w:rPr>
          <w:b/>
        </w:rPr>
        <w:t>administrations shall</w:t>
      </w:r>
      <w:r>
        <w:rPr>
          <w:b/>
        </w:rPr>
        <w:t xml:space="preserve"> </w:t>
      </w:r>
      <w:r w:rsidR="00713DBA" w:rsidRPr="003E77A5">
        <w:t xml:space="preserve">communicate the </w:t>
      </w:r>
      <w:r w:rsidR="00713DBA" w:rsidRPr="003E77A5">
        <w:rPr>
          <w:b/>
        </w:rPr>
        <w:t>national measures</w:t>
      </w:r>
      <w:r w:rsidR="00713DBA" w:rsidRPr="003E77A5">
        <w:t xml:space="preserve"> implementing this Decision to the ECC Chairman and the Office when th</w:t>
      </w:r>
      <w:r w:rsidR="00F32EE8">
        <w:t>is ECC</w:t>
      </w:r>
      <w:r w:rsidR="00713DBA" w:rsidRPr="003E77A5">
        <w:t xml:space="preserve"> Decision is nationally implemented.</w:t>
      </w:r>
      <w:r w:rsidR="00713DBA">
        <w:t>”</w:t>
      </w:r>
    </w:p>
    <w:p w14:paraId="19D6DC6E" w14:textId="77777777" w:rsidR="009763E0" w:rsidRDefault="009763E0" w:rsidP="007B669D">
      <w:pPr>
        <w:pStyle w:val="ECCParagraph"/>
        <w:widowControl w:val="0"/>
      </w:pPr>
    </w:p>
    <w:p w14:paraId="19D6DC6F" w14:textId="77777777" w:rsidR="001C46EA" w:rsidRPr="00FE1795" w:rsidRDefault="001C46EA" w:rsidP="007B669D">
      <w:pPr>
        <w:pStyle w:val="ECCParagraph"/>
        <w:widowControl w:val="0"/>
        <w:rPr>
          <w:i/>
          <w:color w:val="D2232A"/>
        </w:rPr>
      </w:pPr>
      <w:r w:rsidRPr="00FE1795">
        <w:rPr>
          <w:i/>
          <w:color w:val="D2232A"/>
        </w:rPr>
        <w:t xml:space="preserve">Note: </w:t>
      </w:r>
    </w:p>
    <w:p w14:paraId="19D6DC70" w14:textId="269DD066" w:rsidR="001C46EA" w:rsidRDefault="001C46EA" w:rsidP="007B669D">
      <w:pPr>
        <w:pStyle w:val="ECCParagraph"/>
        <w:widowControl w:val="0"/>
      </w:pPr>
      <w:r w:rsidRPr="00E80C5C">
        <w:rPr>
          <w:i/>
          <w:szCs w:val="20"/>
        </w:rPr>
        <w:t xml:space="preserve">Please check the Office </w:t>
      </w:r>
      <w:r>
        <w:rPr>
          <w:i/>
          <w:szCs w:val="20"/>
        </w:rPr>
        <w:t>documentation database</w:t>
      </w:r>
      <w:r w:rsidRPr="00E80C5C">
        <w:rPr>
          <w:i/>
          <w:szCs w:val="20"/>
        </w:rPr>
        <w:t xml:space="preserve"> </w:t>
      </w:r>
      <w:hyperlink r:id="rId8" w:history="1">
        <w:r w:rsidR="00082B97" w:rsidRPr="00E4600E">
          <w:rPr>
            <w:rStyle w:val="Hyperlink"/>
            <w:i/>
            <w:szCs w:val="20"/>
          </w:rPr>
          <w:t>https://docdb.cept.org</w:t>
        </w:r>
      </w:hyperlink>
      <w:r w:rsidR="00C81EE5" w:rsidRPr="00C81EE5">
        <w:rPr>
          <w:i/>
          <w:szCs w:val="20"/>
        </w:rPr>
        <w:t xml:space="preserve">/ </w:t>
      </w:r>
      <w:r>
        <w:rPr>
          <w:i/>
          <w:szCs w:val="20"/>
        </w:rPr>
        <w:t>for</w:t>
      </w:r>
      <w:r w:rsidRPr="00E80C5C">
        <w:rPr>
          <w:i/>
          <w:szCs w:val="20"/>
        </w:rPr>
        <w:t xml:space="preserve"> the up to date position on the implementation of this and other ECC Decisions.</w:t>
      </w:r>
    </w:p>
    <w:p w14:paraId="19D6DC71" w14:textId="77777777" w:rsidR="006C03D0" w:rsidRDefault="00A972BC" w:rsidP="00BA0502">
      <w:pPr>
        <w:pStyle w:val="ECCAnnex-heading1"/>
      </w:pPr>
      <w:r w:rsidRPr="00A972BC">
        <w:lastRenderedPageBreak/>
        <w:t>Technical requirements for Material Sensing devices using UWB technology</w:t>
      </w:r>
    </w:p>
    <w:p w14:paraId="19D6DCE5" w14:textId="77777777" w:rsidR="005B059A" w:rsidRDefault="005B059A" w:rsidP="00D32603">
      <w:pPr>
        <w:pStyle w:val="ECCParagraph"/>
        <w:rPr>
          <w:rFonts w:eastAsia="Calibri"/>
        </w:rPr>
      </w:pPr>
      <w:r w:rsidRPr="005B059A">
        <w:rPr>
          <w:rFonts w:eastAsia="Calibri"/>
        </w:rPr>
        <w:t xml:space="preserve">In the following Tables </w:t>
      </w:r>
      <w:r>
        <w:rPr>
          <w:rFonts w:eastAsia="Calibri"/>
        </w:rPr>
        <w:t>1</w:t>
      </w:r>
      <w:r w:rsidR="00416D92">
        <w:rPr>
          <w:rFonts w:eastAsia="Calibri"/>
        </w:rPr>
        <w:t xml:space="preserve"> to 3</w:t>
      </w:r>
      <w:r w:rsidRPr="005B059A">
        <w:rPr>
          <w:rFonts w:eastAsia="Calibri"/>
        </w:rPr>
        <w:t xml:space="preserve">, the harmonised limits including the mitigation techniques are depicted. </w:t>
      </w:r>
    </w:p>
    <w:p w14:paraId="19D6DCE7" w14:textId="77777777" w:rsidR="002E61DE" w:rsidRPr="005B059A" w:rsidRDefault="005B059A" w:rsidP="00D32603">
      <w:pPr>
        <w:pStyle w:val="ECCParagraph"/>
      </w:pPr>
      <w:r w:rsidRPr="005B059A">
        <w:t xml:space="preserve">Emissions radiating from material sensing devices permitted under this Decision shall be kept to a minimum and in any case </w:t>
      </w:r>
      <w:proofErr w:type="gramStart"/>
      <w:r w:rsidRPr="005B059A">
        <w:t>not exceed</w:t>
      </w:r>
      <w:proofErr w:type="gramEnd"/>
      <w:r w:rsidRPr="005B059A">
        <w:t xml:space="preserve"> the emission limits within the following Tables. The compliance with the limits has to be ensured with the device on a representative structure of the investigated material.</w:t>
      </w:r>
      <w:r w:rsidR="007A1B56">
        <w:t xml:space="preserve"> </w:t>
      </w:r>
      <w:r w:rsidR="002E61DE" w:rsidRPr="002E61DE">
        <w:t xml:space="preserve">The limits </w:t>
      </w:r>
      <w:r w:rsidR="004613CF">
        <w:t xml:space="preserve">defined </w:t>
      </w:r>
      <w:r w:rsidR="002E61DE" w:rsidRPr="002E61DE">
        <w:t xml:space="preserve">in Tables 1 and 2 are applicable in all environments for material sensing devices, only note 4 in Tables </w:t>
      </w:r>
      <w:r w:rsidR="002E61DE">
        <w:t>1</w:t>
      </w:r>
      <w:r w:rsidR="002E61DE" w:rsidRPr="002E61DE">
        <w:t xml:space="preserve"> and </w:t>
      </w:r>
      <w:r w:rsidR="002E61DE">
        <w:t>2</w:t>
      </w:r>
      <w:r w:rsidR="002E61DE" w:rsidRPr="002E61DE">
        <w:t xml:space="preserve"> excludes fixed outdoor application in some applicable frequency ranges.</w:t>
      </w:r>
    </w:p>
    <w:p w14:paraId="19D6DCE8" w14:textId="77777777" w:rsidR="005B059A" w:rsidRDefault="005B059A" w:rsidP="00FA5D41">
      <w:pPr>
        <w:spacing w:before="240" w:after="240"/>
        <w:jc w:val="center"/>
        <w:rPr>
          <w:b/>
          <w:color w:val="D2232A"/>
          <w:lang w:val="en-GB"/>
        </w:rPr>
      </w:pPr>
      <w:r w:rsidRPr="005B059A">
        <w:rPr>
          <w:b/>
          <w:color w:val="D2232A"/>
          <w:lang w:val="en-GB"/>
        </w:rPr>
        <w:t xml:space="preserve">Table </w:t>
      </w:r>
      <w:r>
        <w:rPr>
          <w:b/>
          <w:color w:val="D2232A"/>
          <w:lang w:val="en-GB"/>
        </w:rPr>
        <w:t>1</w:t>
      </w:r>
      <w:r w:rsidRPr="005B059A">
        <w:rPr>
          <w:b/>
          <w:color w:val="D2232A"/>
          <w:lang w:val="en-GB"/>
        </w:rPr>
        <w:t>: Limits for contact based UWB material sensing devices</w:t>
      </w:r>
    </w:p>
    <w:tbl>
      <w:tblPr>
        <w:tblW w:w="5000" w:type="pct"/>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48"/>
        <w:gridCol w:w="3154"/>
        <w:gridCol w:w="3027"/>
      </w:tblGrid>
      <w:tr w:rsidR="000651DD" w:rsidRPr="000651DD" w14:paraId="19D6DCED" w14:textId="77777777" w:rsidTr="00BF5D64">
        <w:trPr>
          <w:tblHeader/>
          <w:jc w:val="center"/>
        </w:trPr>
        <w:tc>
          <w:tcPr>
            <w:tcW w:w="1790" w:type="pct"/>
            <w:tcBorders>
              <w:right w:val="single" w:sz="4" w:space="0" w:color="FFFFFF" w:themeColor="background1"/>
            </w:tcBorders>
            <w:shd w:val="clear" w:color="auto" w:fill="D2232A"/>
          </w:tcPr>
          <w:p w14:paraId="19D6DCE9" w14:textId="6AD3A492" w:rsidR="000651DD" w:rsidRPr="000651DD" w:rsidRDefault="000651DD" w:rsidP="00BF5D64">
            <w:pPr>
              <w:spacing w:before="120" w:after="120"/>
              <w:rPr>
                <w:rFonts w:eastAsia="Calibri"/>
                <w:b/>
                <w:bCs/>
                <w:color w:val="FFFFFF" w:themeColor="background1"/>
                <w:szCs w:val="20"/>
                <w:lang w:val="en-GB" w:eastAsia="de-DE"/>
              </w:rPr>
            </w:pPr>
            <w:r w:rsidRPr="000651DD">
              <w:rPr>
                <w:rFonts w:eastAsia="Calibri"/>
                <w:b/>
                <w:bCs/>
                <w:color w:val="FFFFFF" w:themeColor="background1"/>
                <w:szCs w:val="20"/>
                <w:lang w:val="en-GB" w:eastAsia="de-DE"/>
              </w:rPr>
              <w:t>Frequency range</w:t>
            </w:r>
          </w:p>
        </w:tc>
        <w:tc>
          <w:tcPr>
            <w:tcW w:w="1638" w:type="pct"/>
            <w:tcBorders>
              <w:left w:val="single" w:sz="4" w:space="0" w:color="FFFFFF" w:themeColor="background1"/>
              <w:right w:val="single" w:sz="4" w:space="0" w:color="FFFFFF" w:themeColor="background1"/>
            </w:tcBorders>
            <w:shd w:val="clear" w:color="auto" w:fill="D2232A"/>
          </w:tcPr>
          <w:p w14:paraId="19D6DCEA" w14:textId="77777777" w:rsidR="000651DD" w:rsidRPr="000651DD" w:rsidRDefault="000651DD" w:rsidP="00BF5D64">
            <w:pPr>
              <w:spacing w:before="120" w:after="120"/>
              <w:rPr>
                <w:rFonts w:eastAsia="Calibri"/>
                <w:b/>
                <w:bCs/>
                <w:color w:val="FFFFFF" w:themeColor="background1"/>
                <w:szCs w:val="20"/>
                <w:lang w:val="en-GB" w:eastAsia="de-DE"/>
              </w:rPr>
            </w:pPr>
            <w:r w:rsidRPr="000651DD">
              <w:rPr>
                <w:rFonts w:eastAsia="Calibri"/>
                <w:b/>
                <w:bCs/>
                <w:color w:val="FFFFFF" w:themeColor="background1"/>
                <w:szCs w:val="22"/>
                <w:lang w:val="en-GB" w:eastAsia="de-DE"/>
              </w:rPr>
              <w:t>Maximum mean e.i.r.p. spectral density</w:t>
            </w:r>
          </w:p>
        </w:tc>
        <w:tc>
          <w:tcPr>
            <w:tcW w:w="1572" w:type="pct"/>
            <w:tcBorders>
              <w:left w:val="single" w:sz="4" w:space="0" w:color="FFFFFF" w:themeColor="background1"/>
              <w:right w:val="single" w:sz="4" w:space="0" w:color="FFFFFF" w:themeColor="background1"/>
            </w:tcBorders>
            <w:shd w:val="clear" w:color="auto" w:fill="D2232A"/>
          </w:tcPr>
          <w:p w14:paraId="19D6DCEB" w14:textId="77777777" w:rsidR="000651DD" w:rsidRPr="000651DD" w:rsidRDefault="000651DD" w:rsidP="00BF5D64">
            <w:pPr>
              <w:spacing w:before="120" w:after="120"/>
              <w:rPr>
                <w:rFonts w:eastAsia="Calibri"/>
                <w:b/>
                <w:bCs/>
                <w:color w:val="FFFFFF" w:themeColor="background1"/>
                <w:szCs w:val="22"/>
                <w:lang w:val="en-GB" w:eastAsia="de-DE"/>
              </w:rPr>
            </w:pPr>
            <w:r w:rsidRPr="000651DD">
              <w:rPr>
                <w:rFonts w:eastAsia="Calibri"/>
                <w:b/>
                <w:bCs/>
                <w:color w:val="FFFFFF" w:themeColor="background1"/>
                <w:szCs w:val="22"/>
                <w:lang w:val="en-GB" w:eastAsia="de-DE"/>
              </w:rPr>
              <w:t>Maximum peak e.i.r.p.</w:t>
            </w:r>
          </w:p>
          <w:p w14:paraId="19D6DCEC" w14:textId="77777777" w:rsidR="000651DD" w:rsidRPr="000651DD" w:rsidRDefault="000651DD" w:rsidP="00BF5D64">
            <w:pPr>
              <w:spacing w:before="120" w:after="120"/>
              <w:rPr>
                <w:rFonts w:eastAsia="Calibri"/>
                <w:b/>
                <w:bCs/>
                <w:color w:val="FFFFFF" w:themeColor="background1"/>
                <w:szCs w:val="20"/>
                <w:lang w:val="en-GB" w:eastAsia="de-DE"/>
              </w:rPr>
            </w:pPr>
            <w:r w:rsidRPr="000651DD">
              <w:rPr>
                <w:rFonts w:eastAsia="Calibri"/>
                <w:b/>
                <w:bCs/>
                <w:color w:val="FFFFFF" w:themeColor="background1"/>
                <w:szCs w:val="22"/>
                <w:lang w:val="en-GB" w:eastAsia="de-DE"/>
              </w:rPr>
              <w:t>(defined in 50 MHz)</w:t>
            </w:r>
          </w:p>
        </w:tc>
      </w:tr>
      <w:tr w:rsidR="000651DD" w:rsidRPr="000651DD" w14:paraId="19D6DCF1" w14:textId="77777777" w:rsidTr="00BF5D64">
        <w:trPr>
          <w:jc w:val="center"/>
        </w:trPr>
        <w:tc>
          <w:tcPr>
            <w:tcW w:w="1790" w:type="pct"/>
          </w:tcPr>
          <w:p w14:paraId="19D6DCEE" w14:textId="77777777" w:rsidR="000651DD" w:rsidRPr="000651DD" w:rsidRDefault="000651DD" w:rsidP="00BF5D64">
            <w:pPr>
              <w:spacing w:before="60" w:after="60"/>
              <w:rPr>
                <w:rFonts w:eastAsia="Calibri"/>
                <w:szCs w:val="22"/>
                <w:lang w:val="en-GB"/>
              </w:rPr>
            </w:pPr>
            <w:r w:rsidRPr="000651DD">
              <w:rPr>
                <w:rFonts w:eastAsia="Calibri"/>
                <w:szCs w:val="22"/>
                <w:lang w:val="en-GB"/>
              </w:rPr>
              <w:t>Below 1.73 GHz</w:t>
            </w:r>
          </w:p>
        </w:tc>
        <w:tc>
          <w:tcPr>
            <w:tcW w:w="1638" w:type="pct"/>
          </w:tcPr>
          <w:p w14:paraId="19D6DCEF" w14:textId="77777777" w:rsidR="000651DD" w:rsidRPr="000651DD" w:rsidRDefault="000651DD" w:rsidP="00BF5D64">
            <w:pPr>
              <w:spacing w:before="60" w:after="60"/>
              <w:rPr>
                <w:rFonts w:eastAsia="Calibri"/>
                <w:szCs w:val="22"/>
                <w:lang w:val="en-GB"/>
              </w:rPr>
            </w:pPr>
            <w:r w:rsidRPr="000651DD">
              <w:rPr>
                <w:rFonts w:eastAsia="Calibri"/>
                <w:szCs w:val="22"/>
                <w:lang w:val="en-GB"/>
              </w:rPr>
              <w:t>-85 dBm/MHz</w:t>
            </w:r>
            <w:r w:rsidRPr="000651DD">
              <w:rPr>
                <w:rFonts w:eastAsia="Calibri"/>
                <w:szCs w:val="22"/>
                <w:lang w:val="en-GB"/>
              </w:rPr>
              <w:br/>
              <w:t>(see note 1)</w:t>
            </w:r>
          </w:p>
        </w:tc>
        <w:tc>
          <w:tcPr>
            <w:tcW w:w="1572" w:type="pct"/>
          </w:tcPr>
          <w:p w14:paraId="19D6DCF0"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-45 dBm</w:t>
            </w:r>
          </w:p>
        </w:tc>
      </w:tr>
      <w:tr w:rsidR="000651DD" w:rsidRPr="000651DD" w14:paraId="19D6DCF5" w14:textId="77777777" w:rsidTr="00BF5D64">
        <w:trPr>
          <w:jc w:val="center"/>
        </w:trPr>
        <w:tc>
          <w:tcPr>
            <w:tcW w:w="1790" w:type="pct"/>
          </w:tcPr>
          <w:p w14:paraId="19D6DCF2" w14:textId="77777777" w:rsidR="000651DD" w:rsidRPr="000651DD" w:rsidRDefault="000651DD" w:rsidP="00BF5D64">
            <w:pPr>
              <w:spacing w:before="60" w:after="60"/>
              <w:rPr>
                <w:rFonts w:eastAsia="Calibri"/>
                <w:szCs w:val="22"/>
                <w:lang w:val="en-GB"/>
              </w:rPr>
            </w:pPr>
            <w:r w:rsidRPr="000651DD">
              <w:rPr>
                <w:rFonts w:eastAsia="Calibri"/>
                <w:szCs w:val="22"/>
                <w:lang w:val="en-GB"/>
              </w:rPr>
              <w:t>1.73 to 2.2 GHz</w:t>
            </w:r>
          </w:p>
        </w:tc>
        <w:tc>
          <w:tcPr>
            <w:tcW w:w="1638" w:type="pct"/>
          </w:tcPr>
          <w:p w14:paraId="19D6DCF3" w14:textId="77777777" w:rsidR="000651DD" w:rsidRPr="000651DD" w:rsidRDefault="000651DD" w:rsidP="00BF5D64">
            <w:pPr>
              <w:spacing w:before="60" w:after="60"/>
              <w:rPr>
                <w:rFonts w:eastAsia="Calibri"/>
                <w:szCs w:val="22"/>
                <w:lang w:val="en-GB"/>
              </w:rPr>
            </w:pPr>
            <w:r w:rsidRPr="000651DD">
              <w:rPr>
                <w:rFonts w:eastAsia="Calibri"/>
                <w:szCs w:val="22"/>
                <w:lang w:val="en-GB"/>
              </w:rPr>
              <w:t>-65 dBm/MHz</w:t>
            </w:r>
            <w:r w:rsidRPr="000651DD" w:rsidDel="00536526">
              <w:rPr>
                <w:rFonts w:eastAsia="Calibri" w:cs="Arial"/>
                <w:szCs w:val="22"/>
                <w:lang w:val="en-GB"/>
              </w:rPr>
              <w:t xml:space="preserve"> </w:t>
            </w:r>
          </w:p>
        </w:tc>
        <w:tc>
          <w:tcPr>
            <w:tcW w:w="1572" w:type="pct"/>
          </w:tcPr>
          <w:p w14:paraId="19D6DCF4"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-25 dBm</w:t>
            </w:r>
          </w:p>
        </w:tc>
      </w:tr>
      <w:tr w:rsidR="000651DD" w:rsidRPr="000651DD" w14:paraId="19D6DCF9" w14:textId="77777777" w:rsidTr="00BF5D64">
        <w:trPr>
          <w:jc w:val="center"/>
        </w:trPr>
        <w:tc>
          <w:tcPr>
            <w:tcW w:w="1790" w:type="pct"/>
          </w:tcPr>
          <w:p w14:paraId="19D6DCF6" w14:textId="77777777" w:rsidR="000651DD" w:rsidRPr="000651DD" w:rsidRDefault="000651DD" w:rsidP="00BF5D64">
            <w:pPr>
              <w:spacing w:before="60" w:after="60"/>
              <w:rPr>
                <w:rFonts w:eastAsia="Calibri"/>
                <w:szCs w:val="22"/>
                <w:lang w:val="en-GB"/>
              </w:rPr>
            </w:pPr>
            <w:r w:rsidRPr="000651DD">
              <w:rPr>
                <w:rFonts w:eastAsia="Calibri"/>
                <w:szCs w:val="22"/>
                <w:lang w:val="en-GB"/>
              </w:rPr>
              <w:t xml:space="preserve">2.2 to 2.5 GHz </w:t>
            </w:r>
          </w:p>
        </w:tc>
        <w:tc>
          <w:tcPr>
            <w:tcW w:w="1638" w:type="pct"/>
          </w:tcPr>
          <w:p w14:paraId="19D6DCF7"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r w:rsidRPr="000651DD" w:rsidDel="00536526">
              <w:rPr>
                <w:rFonts w:eastAsia="Calibri" w:cs="Arial"/>
                <w:szCs w:val="22"/>
                <w:lang w:val="en-GB"/>
              </w:rPr>
              <w:t xml:space="preserve"> </w:t>
            </w:r>
          </w:p>
        </w:tc>
        <w:tc>
          <w:tcPr>
            <w:tcW w:w="1572" w:type="pct"/>
          </w:tcPr>
          <w:p w14:paraId="19D6DCF8"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CFD" w14:textId="77777777" w:rsidTr="00BF5D64">
        <w:trPr>
          <w:jc w:val="center"/>
        </w:trPr>
        <w:tc>
          <w:tcPr>
            <w:tcW w:w="1790" w:type="pct"/>
          </w:tcPr>
          <w:p w14:paraId="19D6DCFA" w14:textId="77777777" w:rsidR="000651DD" w:rsidRPr="000651DD" w:rsidRDefault="000651DD" w:rsidP="00BF5D64">
            <w:pPr>
              <w:spacing w:before="60" w:after="60"/>
              <w:rPr>
                <w:rFonts w:eastAsia="Calibri"/>
                <w:szCs w:val="22"/>
                <w:lang w:val="en-GB"/>
              </w:rPr>
            </w:pPr>
            <w:r w:rsidRPr="000651DD">
              <w:rPr>
                <w:rFonts w:eastAsia="Calibri"/>
                <w:szCs w:val="22"/>
                <w:lang w:val="en-GB"/>
              </w:rPr>
              <w:t>2.5 to 2.69 GHz</w:t>
            </w:r>
          </w:p>
        </w:tc>
        <w:tc>
          <w:tcPr>
            <w:tcW w:w="1638" w:type="pct"/>
          </w:tcPr>
          <w:p w14:paraId="19D6DCFB" w14:textId="77777777" w:rsidR="000651DD" w:rsidRPr="000651DD" w:rsidRDefault="000651DD" w:rsidP="00BF5D64">
            <w:pPr>
              <w:spacing w:before="60" w:after="60"/>
              <w:rPr>
                <w:rFonts w:eastAsia="Calibri"/>
                <w:szCs w:val="22"/>
                <w:lang w:val="en-GB"/>
              </w:rPr>
            </w:pPr>
            <w:r w:rsidRPr="000651DD">
              <w:rPr>
                <w:rFonts w:eastAsia="Calibri"/>
                <w:szCs w:val="22"/>
                <w:lang w:val="en-GB"/>
              </w:rPr>
              <w:t>-65</w:t>
            </w:r>
            <w:r>
              <w:rPr>
                <w:rFonts w:eastAsia="Calibri"/>
                <w:szCs w:val="22"/>
                <w:lang w:val="en-GB"/>
              </w:rPr>
              <w:t xml:space="preserve"> </w:t>
            </w:r>
            <w:r w:rsidRPr="000651DD">
              <w:rPr>
                <w:rFonts w:eastAsia="Calibri"/>
                <w:szCs w:val="22"/>
                <w:lang w:val="en-GB"/>
              </w:rPr>
              <w:t>dBm/MHz</w:t>
            </w:r>
            <w:r w:rsidRPr="000651DD">
              <w:rPr>
                <w:rFonts w:eastAsia="Calibri"/>
                <w:szCs w:val="22"/>
                <w:lang w:val="en-GB"/>
              </w:rPr>
              <w:br/>
              <w:t>(see notes 1 and 2)</w:t>
            </w:r>
          </w:p>
        </w:tc>
        <w:tc>
          <w:tcPr>
            <w:tcW w:w="1572" w:type="pct"/>
          </w:tcPr>
          <w:p w14:paraId="19D6DCFC"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-25 dBm</w:t>
            </w:r>
          </w:p>
        </w:tc>
      </w:tr>
      <w:tr w:rsidR="000651DD" w:rsidRPr="000651DD" w14:paraId="19D6DD02" w14:textId="77777777" w:rsidTr="00BF5D64">
        <w:trPr>
          <w:jc w:val="center"/>
        </w:trPr>
        <w:tc>
          <w:tcPr>
            <w:tcW w:w="1790" w:type="pct"/>
          </w:tcPr>
          <w:p w14:paraId="19D6DCFE" w14:textId="77777777" w:rsidR="000651DD" w:rsidRPr="000651DD" w:rsidRDefault="000651DD" w:rsidP="00BF5D64">
            <w:pPr>
              <w:spacing w:before="60" w:after="60"/>
              <w:rPr>
                <w:rFonts w:eastAsia="Calibri"/>
                <w:szCs w:val="22"/>
                <w:lang w:val="en-GB"/>
              </w:rPr>
            </w:pPr>
            <w:r w:rsidRPr="000651DD">
              <w:rPr>
                <w:rFonts w:eastAsia="Calibri"/>
                <w:szCs w:val="22"/>
                <w:lang w:val="en-GB"/>
              </w:rPr>
              <w:t>2.69 to 2.7 GHz</w:t>
            </w:r>
          </w:p>
          <w:p w14:paraId="19D6DCFF"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(see note 3)</w:t>
            </w:r>
          </w:p>
        </w:tc>
        <w:tc>
          <w:tcPr>
            <w:tcW w:w="1638" w:type="pct"/>
          </w:tcPr>
          <w:p w14:paraId="19D6DD00" w14:textId="77777777" w:rsidR="000651DD" w:rsidRPr="000651DD" w:rsidRDefault="000651DD" w:rsidP="00BF5D64">
            <w:pPr>
              <w:spacing w:before="60" w:after="60"/>
              <w:rPr>
                <w:rFonts w:eastAsia="Calibri"/>
                <w:szCs w:val="22"/>
                <w:lang w:val="en-GB"/>
              </w:rPr>
            </w:pPr>
            <w:r w:rsidRPr="000651DD">
              <w:rPr>
                <w:rFonts w:eastAsia="Calibri"/>
                <w:szCs w:val="22"/>
                <w:lang w:val="en-GB"/>
              </w:rPr>
              <w:t>-55 dBm/MHz</w:t>
            </w:r>
            <w:r w:rsidRPr="000651DD">
              <w:rPr>
                <w:rFonts w:eastAsia="Calibri"/>
                <w:szCs w:val="22"/>
                <w:lang w:val="en-GB"/>
              </w:rPr>
              <w:br/>
              <w:t>(see note 2*)</w:t>
            </w:r>
          </w:p>
        </w:tc>
        <w:tc>
          <w:tcPr>
            <w:tcW w:w="1572" w:type="pct"/>
          </w:tcPr>
          <w:p w14:paraId="19D6DD01"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-15 dBm</w:t>
            </w:r>
          </w:p>
        </w:tc>
      </w:tr>
      <w:tr w:rsidR="000651DD" w:rsidRPr="000651DD" w14:paraId="19D6DD06" w14:textId="77777777" w:rsidTr="00BF5D64">
        <w:trPr>
          <w:jc w:val="center"/>
        </w:trPr>
        <w:tc>
          <w:tcPr>
            <w:tcW w:w="1790" w:type="pct"/>
          </w:tcPr>
          <w:p w14:paraId="19D6DD03"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2.7 to 2.9 GHz</w:t>
            </w:r>
          </w:p>
        </w:tc>
        <w:tc>
          <w:tcPr>
            <w:tcW w:w="1638" w:type="pct"/>
          </w:tcPr>
          <w:p w14:paraId="19D6DD04" w14:textId="77777777" w:rsidR="000651DD" w:rsidRPr="000651DD" w:rsidRDefault="000651DD" w:rsidP="00BF5D64">
            <w:pPr>
              <w:spacing w:before="60" w:after="60"/>
              <w:rPr>
                <w:rFonts w:eastAsia="Calibri"/>
                <w:szCs w:val="22"/>
                <w:lang w:val="en-GB"/>
              </w:rPr>
            </w:pPr>
            <w:r w:rsidRPr="000651DD">
              <w:rPr>
                <w:rFonts w:eastAsia="Calibri"/>
                <w:szCs w:val="22"/>
                <w:lang w:val="en-GB"/>
              </w:rPr>
              <w:t>-70 dBm/MHz</w:t>
            </w:r>
            <w:r w:rsidRPr="000651DD">
              <w:rPr>
                <w:rFonts w:eastAsia="Calibri"/>
                <w:szCs w:val="22"/>
                <w:lang w:val="en-GB"/>
              </w:rPr>
              <w:br/>
              <w:t>(see note 1)</w:t>
            </w:r>
          </w:p>
        </w:tc>
        <w:tc>
          <w:tcPr>
            <w:tcW w:w="1572" w:type="pct"/>
          </w:tcPr>
          <w:p w14:paraId="19D6DD05"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-30 dBm</w:t>
            </w:r>
          </w:p>
        </w:tc>
      </w:tr>
      <w:tr w:rsidR="000651DD" w:rsidRPr="000651DD" w14:paraId="19D6DD0A" w14:textId="77777777" w:rsidTr="00BF5D64">
        <w:trPr>
          <w:jc w:val="center"/>
        </w:trPr>
        <w:tc>
          <w:tcPr>
            <w:tcW w:w="1790" w:type="pct"/>
          </w:tcPr>
          <w:p w14:paraId="19D6DD07"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2.9 to 3.4 GHz</w:t>
            </w:r>
          </w:p>
        </w:tc>
        <w:tc>
          <w:tcPr>
            <w:tcW w:w="1638" w:type="pct"/>
          </w:tcPr>
          <w:p w14:paraId="19D6DD08" w14:textId="77777777" w:rsidR="000651DD" w:rsidRPr="000651DD" w:rsidRDefault="000651DD" w:rsidP="00BF5D64">
            <w:pPr>
              <w:spacing w:before="60" w:after="60"/>
              <w:rPr>
                <w:rFonts w:eastAsia="Calibri"/>
                <w:szCs w:val="22"/>
                <w:lang w:val="en-GB"/>
              </w:rPr>
            </w:pPr>
            <w:r w:rsidRPr="000651DD">
              <w:rPr>
                <w:rFonts w:eastAsia="Calibri"/>
                <w:szCs w:val="22"/>
                <w:lang w:val="en-GB"/>
              </w:rPr>
              <w:t>-70 dBm/MHz</w:t>
            </w:r>
            <w:r w:rsidRPr="000651DD">
              <w:rPr>
                <w:rFonts w:eastAsia="Calibri"/>
                <w:szCs w:val="22"/>
                <w:lang w:val="en-GB"/>
              </w:rPr>
              <w:br/>
              <w:t>(see notes 1, 5 and 5*)</w:t>
            </w:r>
          </w:p>
        </w:tc>
        <w:tc>
          <w:tcPr>
            <w:tcW w:w="1572" w:type="pct"/>
          </w:tcPr>
          <w:p w14:paraId="19D6DD09"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-30 dBm</w:t>
            </w:r>
          </w:p>
        </w:tc>
      </w:tr>
      <w:tr w:rsidR="000651DD" w:rsidRPr="000651DD" w14:paraId="19D6DD10" w14:textId="77777777" w:rsidTr="00BF5D64">
        <w:trPr>
          <w:jc w:val="center"/>
        </w:trPr>
        <w:tc>
          <w:tcPr>
            <w:tcW w:w="1790" w:type="pct"/>
          </w:tcPr>
          <w:p w14:paraId="19D6DD0B" w14:textId="77777777" w:rsidR="000651DD" w:rsidRPr="000651DD" w:rsidRDefault="000651DD" w:rsidP="00BF5D64">
            <w:pPr>
              <w:spacing w:before="60" w:after="60"/>
              <w:rPr>
                <w:rFonts w:eastAsia="Calibri"/>
                <w:szCs w:val="22"/>
                <w:lang w:val="en-GB"/>
              </w:rPr>
            </w:pPr>
            <w:r w:rsidRPr="000651DD">
              <w:rPr>
                <w:rFonts w:eastAsia="Calibri"/>
                <w:szCs w:val="22"/>
                <w:lang w:val="en-GB"/>
              </w:rPr>
              <w:t xml:space="preserve">3.4 to 3.8 GHz </w:t>
            </w:r>
          </w:p>
          <w:p w14:paraId="19D6DD0C"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(see note 3)</w:t>
            </w:r>
          </w:p>
        </w:tc>
        <w:tc>
          <w:tcPr>
            <w:tcW w:w="1638" w:type="pct"/>
          </w:tcPr>
          <w:p w14:paraId="19D6DD0D" w14:textId="77777777" w:rsidR="000651DD" w:rsidRPr="000651DD" w:rsidRDefault="000651DD" w:rsidP="00BF5D64">
            <w:pPr>
              <w:spacing w:before="60" w:after="60"/>
              <w:rPr>
                <w:rFonts w:eastAsia="Calibri" w:cs="Arial"/>
                <w:szCs w:val="22"/>
                <w:lang w:val="en-GB"/>
              </w:rPr>
            </w:pPr>
            <w:r w:rsidRPr="000651DD">
              <w:rPr>
                <w:rFonts w:eastAsia="Calibri" w:cs="Arial"/>
                <w:szCs w:val="22"/>
                <w:lang w:val="en-GB"/>
              </w:rPr>
              <w:t>- 50 dBm/MHz</w:t>
            </w:r>
          </w:p>
          <w:p w14:paraId="19D6DD0E" w14:textId="77777777" w:rsidR="000651DD" w:rsidRPr="000651DD" w:rsidRDefault="000651DD" w:rsidP="00BF5D64">
            <w:pPr>
              <w:spacing w:before="60" w:after="60"/>
              <w:rPr>
                <w:rFonts w:eastAsia="Calibri"/>
                <w:szCs w:val="22"/>
                <w:lang w:val="en-GB"/>
              </w:rPr>
            </w:pPr>
            <w:r w:rsidRPr="000651DD">
              <w:rPr>
                <w:rFonts w:eastAsia="Calibri" w:cs="Arial"/>
                <w:szCs w:val="22"/>
                <w:lang w:val="en-GB"/>
              </w:rPr>
              <w:t>(see notes 2, 5 and 5*)</w:t>
            </w:r>
          </w:p>
        </w:tc>
        <w:tc>
          <w:tcPr>
            <w:tcW w:w="1572" w:type="pct"/>
          </w:tcPr>
          <w:p w14:paraId="19D6DD0F"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15" w14:textId="77777777" w:rsidTr="00BF5D64">
        <w:trPr>
          <w:jc w:val="center"/>
        </w:trPr>
        <w:tc>
          <w:tcPr>
            <w:tcW w:w="1790" w:type="pct"/>
          </w:tcPr>
          <w:p w14:paraId="19D6DD11" w14:textId="77777777" w:rsidR="000651DD" w:rsidRPr="000651DD" w:rsidRDefault="000651DD" w:rsidP="00BF5D64">
            <w:pPr>
              <w:spacing w:before="60" w:after="60"/>
              <w:rPr>
                <w:rFonts w:eastAsia="Calibri"/>
                <w:szCs w:val="22"/>
                <w:lang w:val="en-GB"/>
              </w:rPr>
            </w:pPr>
            <w:r w:rsidRPr="000651DD">
              <w:rPr>
                <w:rFonts w:eastAsia="Calibri"/>
                <w:szCs w:val="22"/>
                <w:lang w:val="en-GB"/>
              </w:rPr>
              <w:t xml:space="preserve">3.8 to 4.8 GHz </w:t>
            </w:r>
          </w:p>
        </w:tc>
        <w:tc>
          <w:tcPr>
            <w:tcW w:w="1638" w:type="pct"/>
          </w:tcPr>
          <w:p w14:paraId="19D6DD12" w14:textId="77777777" w:rsidR="000651DD" w:rsidRPr="000651DD" w:rsidRDefault="000651DD" w:rsidP="00BF5D64">
            <w:pPr>
              <w:spacing w:before="60" w:after="60"/>
              <w:rPr>
                <w:rFonts w:eastAsia="Calibri" w:cs="Arial"/>
                <w:szCs w:val="22"/>
                <w:lang w:val="en-GB"/>
              </w:rPr>
            </w:pPr>
            <w:r w:rsidRPr="000651DD">
              <w:rPr>
                <w:rFonts w:eastAsia="Calibri" w:cs="Arial"/>
                <w:szCs w:val="22"/>
                <w:lang w:val="en-GB"/>
              </w:rPr>
              <w:t>- 50 dBm/MHz</w:t>
            </w:r>
          </w:p>
          <w:p w14:paraId="19D6DD13" w14:textId="77777777" w:rsidR="000651DD" w:rsidRPr="000651DD" w:rsidRDefault="000651DD" w:rsidP="00BF5D64">
            <w:pPr>
              <w:spacing w:before="60" w:after="60"/>
              <w:rPr>
                <w:rFonts w:eastAsia="Calibri"/>
                <w:szCs w:val="22"/>
                <w:lang w:val="en-GB"/>
              </w:rPr>
            </w:pPr>
            <w:r w:rsidRPr="000651DD">
              <w:rPr>
                <w:rFonts w:eastAsia="Calibri" w:cs="Arial"/>
                <w:szCs w:val="22"/>
                <w:lang w:val="en-GB"/>
              </w:rPr>
              <w:t>(see notes 5 and 5*)</w:t>
            </w:r>
          </w:p>
        </w:tc>
        <w:tc>
          <w:tcPr>
            <w:tcW w:w="1572" w:type="pct"/>
          </w:tcPr>
          <w:p w14:paraId="19D6DD14"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1A" w14:textId="77777777" w:rsidTr="00BF5D64">
        <w:trPr>
          <w:jc w:val="center"/>
        </w:trPr>
        <w:tc>
          <w:tcPr>
            <w:tcW w:w="1790" w:type="pct"/>
          </w:tcPr>
          <w:p w14:paraId="19D6DD16" w14:textId="77777777" w:rsidR="000651DD" w:rsidRPr="000651DD" w:rsidRDefault="000651DD" w:rsidP="00BF5D64">
            <w:pPr>
              <w:spacing w:before="60" w:after="60"/>
              <w:rPr>
                <w:rFonts w:eastAsia="Calibri"/>
                <w:szCs w:val="22"/>
                <w:lang w:val="en-GB"/>
              </w:rPr>
            </w:pPr>
            <w:r w:rsidRPr="000651DD">
              <w:rPr>
                <w:rFonts w:eastAsia="Calibri"/>
                <w:szCs w:val="22"/>
                <w:lang w:val="en-GB"/>
              </w:rPr>
              <w:t>4.8 to 5.0 GHz</w:t>
            </w:r>
          </w:p>
          <w:p w14:paraId="19D6DD17" w14:textId="4B20D7C9" w:rsidR="000651DD" w:rsidRPr="000651DD" w:rsidRDefault="000651DD" w:rsidP="00BF5D64">
            <w:pPr>
              <w:spacing w:before="60" w:after="60"/>
              <w:jc w:val="both"/>
              <w:rPr>
                <w:rFonts w:eastAsia="Calibri"/>
                <w:szCs w:val="22"/>
                <w:lang w:val="en-GB"/>
              </w:rPr>
            </w:pPr>
            <w:r w:rsidRPr="000651DD">
              <w:rPr>
                <w:rFonts w:eastAsia="Calibri"/>
                <w:szCs w:val="22"/>
                <w:lang w:val="en-GB"/>
              </w:rPr>
              <w:t>(see note 3</w:t>
            </w:r>
            <w:r w:rsidR="004749E3">
              <w:rPr>
                <w:rFonts w:eastAsia="Calibri"/>
                <w:szCs w:val="22"/>
                <w:lang w:val="en-GB"/>
              </w:rPr>
              <w:t>)</w:t>
            </w:r>
          </w:p>
        </w:tc>
        <w:tc>
          <w:tcPr>
            <w:tcW w:w="1638" w:type="pct"/>
          </w:tcPr>
          <w:p w14:paraId="19D6DD18" w14:textId="77777777" w:rsidR="000651DD" w:rsidRPr="000651DD" w:rsidRDefault="000651DD" w:rsidP="00BF5D64">
            <w:pPr>
              <w:spacing w:before="60" w:after="60"/>
              <w:rPr>
                <w:rFonts w:eastAsia="Calibri"/>
                <w:szCs w:val="22"/>
                <w:lang w:val="en-GB"/>
              </w:rPr>
            </w:pPr>
            <w:r w:rsidRPr="000651DD">
              <w:rPr>
                <w:rFonts w:eastAsia="Calibri"/>
                <w:szCs w:val="22"/>
                <w:lang w:val="en-GB"/>
              </w:rPr>
              <w:t>-55 dBm/MHz</w:t>
            </w:r>
            <w:r w:rsidRPr="000651DD">
              <w:rPr>
                <w:rFonts w:eastAsia="Calibri"/>
                <w:szCs w:val="22"/>
                <w:lang w:val="en-GB"/>
              </w:rPr>
              <w:br/>
              <w:t>(see notes 2 and 2*)</w:t>
            </w:r>
          </w:p>
        </w:tc>
        <w:tc>
          <w:tcPr>
            <w:tcW w:w="1572" w:type="pct"/>
          </w:tcPr>
          <w:p w14:paraId="19D6DD19"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w:t>
            </w:r>
            <w:r w:rsidR="00FB6AD2">
              <w:rPr>
                <w:rFonts w:eastAsia="Calibri"/>
                <w:szCs w:val="22"/>
                <w:lang w:val="en-GB"/>
              </w:rPr>
              <w:t>5</w:t>
            </w:r>
            <w:r w:rsidRPr="000651DD">
              <w:rPr>
                <w:rFonts w:eastAsia="Calibri"/>
                <w:szCs w:val="22"/>
                <w:lang w:val="en-GB"/>
              </w:rPr>
              <w:t xml:space="preserve"> dBm</w:t>
            </w:r>
          </w:p>
        </w:tc>
      </w:tr>
      <w:tr w:rsidR="000651DD" w:rsidRPr="000651DD" w14:paraId="19D6DD1E" w14:textId="77777777" w:rsidTr="00BF5D64">
        <w:trPr>
          <w:jc w:val="center"/>
        </w:trPr>
        <w:tc>
          <w:tcPr>
            <w:tcW w:w="1790" w:type="pct"/>
          </w:tcPr>
          <w:p w14:paraId="19D6DD1B" w14:textId="77777777" w:rsidR="000651DD" w:rsidRPr="000651DD" w:rsidRDefault="000651DD" w:rsidP="00BF5D64">
            <w:pPr>
              <w:spacing w:before="60" w:after="60"/>
              <w:rPr>
                <w:rFonts w:eastAsia="Calibri"/>
                <w:szCs w:val="22"/>
                <w:lang w:val="en-GB"/>
              </w:rPr>
            </w:pPr>
            <w:r w:rsidRPr="000651DD">
              <w:rPr>
                <w:rFonts w:eastAsia="Calibri"/>
                <w:szCs w:val="22"/>
                <w:lang w:val="en-GB"/>
              </w:rPr>
              <w:t>5.0 to 5.25 GHz</w:t>
            </w:r>
          </w:p>
        </w:tc>
        <w:tc>
          <w:tcPr>
            <w:tcW w:w="1638" w:type="pct"/>
          </w:tcPr>
          <w:p w14:paraId="19D6DD1C"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p>
        </w:tc>
        <w:tc>
          <w:tcPr>
            <w:tcW w:w="1572" w:type="pct"/>
          </w:tcPr>
          <w:p w14:paraId="19D6DD1D"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22" w14:textId="77777777" w:rsidTr="00BF5D64">
        <w:trPr>
          <w:jc w:val="center"/>
        </w:trPr>
        <w:tc>
          <w:tcPr>
            <w:tcW w:w="1790" w:type="pct"/>
          </w:tcPr>
          <w:p w14:paraId="19D6DD1F" w14:textId="77777777" w:rsidR="000651DD" w:rsidRPr="000651DD" w:rsidRDefault="000651DD" w:rsidP="00BF5D64">
            <w:pPr>
              <w:spacing w:before="60" w:after="60"/>
              <w:rPr>
                <w:rFonts w:eastAsia="Calibri"/>
                <w:szCs w:val="22"/>
                <w:lang w:val="en-GB"/>
              </w:rPr>
            </w:pPr>
            <w:r w:rsidRPr="000651DD">
              <w:rPr>
                <w:rFonts w:eastAsia="Calibri"/>
                <w:szCs w:val="22"/>
                <w:lang w:val="en-GB"/>
              </w:rPr>
              <w:t>5.25 to 5.35 GHz</w:t>
            </w:r>
          </w:p>
        </w:tc>
        <w:tc>
          <w:tcPr>
            <w:tcW w:w="1638" w:type="pct"/>
          </w:tcPr>
          <w:p w14:paraId="19D6DD20"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p>
        </w:tc>
        <w:tc>
          <w:tcPr>
            <w:tcW w:w="1572" w:type="pct"/>
          </w:tcPr>
          <w:p w14:paraId="19D6DD21"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26" w14:textId="77777777" w:rsidTr="00BF5D64">
        <w:trPr>
          <w:jc w:val="center"/>
        </w:trPr>
        <w:tc>
          <w:tcPr>
            <w:tcW w:w="1790" w:type="pct"/>
          </w:tcPr>
          <w:p w14:paraId="19D6DD23" w14:textId="77777777" w:rsidR="000651DD" w:rsidRPr="000651DD" w:rsidRDefault="000651DD" w:rsidP="00BF5D64">
            <w:pPr>
              <w:spacing w:before="60" w:after="60"/>
              <w:rPr>
                <w:rFonts w:eastAsia="Calibri"/>
                <w:szCs w:val="22"/>
                <w:lang w:val="en-GB"/>
              </w:rPr>
            </w:pPr>
            <w:r w:rsidRPr="000651DD">
              <w:rPr>
                <w:rFonts w:eastAsia="Calibri"/>
                <w:szCs w:val="22"/>
                <w:lang w:val="en-GB"/>
              </w:rPr>
              <w:t>5.35 to 5.6 GHz</w:t>
            </w:r>
          </w:p>
        </w:tc>
        <w:tc>
          <w:tcPr>
            <w:tcW w:w="1638" w:type="pct"/>
          </w:tcPr>
          <w:p w14:paraId="19D6DD24"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p>
        </w:tc>
        <w:tc>
          <w:tcPr>
            <w:tcW w:w="1572" w:type="pct"/>
          </w:tcPr>
          <w:p w14:paraId="19D6DD25"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2A" w14:textId="77777777" w:rsidTr="00BF5D64">
        <w:trPr>
          <w:jc w:val="center"/>
        </w:trPr>
        <w:tc>
          <w:tcPr>
            <w:tcW w:w="1790" w:type="pct"/>
          </w:tcPr>
          <w:p w14:paraId="19D6DD27" w14:textId="77777777" w:rsidR="000651DD" w:rsidRPr="000651DD" w:rsidRDefault="000651DD" w:rsidP="00BF5D64">
            <w:pPr>
              <w:spacing w:before="60" w:after="60"/>
              <w:rPr>
                <w:rFonts w:eastAsia="Calibri"/>
                <w:szCs w:val="22"/>
                <w:lang w:val="en-GB"/>
              </w:rPr>
            </w:pPr>
            <w:r w:rsidRPr="000651DD">
              <w:rPr>
                <w:rFonts w:eastAsia="Calibri"/>
                <w:szCs w:val="22"/>
                <w:lang w:val="en-GB"/>
              </w:rPr>
              <w:t>5.6 to 5.65 GHz</w:t>
            </w:r>
          </w:p>
        </w:tc>
        <w:tc>
          <w:tcPr>
            <w:tcW w:w="1638" w:type="pct"/>
          </w:tcPr>
          <w:p w14:paraId="19D6DD28"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p>
        </w:tc>
        <w:tc>
          <w:tcPr>
            <w:tcW w:w="1572" w:type="pct"/>
          </w:tcPr>
          <w:p w14:paraId="19D6DD29"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2E" w14:textId="77777777" w:rsidTr="00BF5D64">
        <w:trPr>
          <w:jc w:val="center"/>
        </w:trPr>
        <w:tc>
          <w:tcPr>
            <w:tcW w:w="1790" w:type="pct"/>
          </w:tcPr>
          <w:p w14:paraId="19D6DD2B" w14:textId="77777777" w:rsidR="000651DD" w:rsidRPr="000651DD" w:rsidRDefault="000651DD" w:rsidP="00BF5D64">
            <w:pPr>
              <w:spacing w:before="60" w:after="60"/>
              <w:rPr>
                <w:rFonts w:eastAsia="Calibri"/>
                <w:szCs w:val="22"/>
                <w:lang w:val="en-GB"/>
              </w:rPr>
            </w:pPr>
            <w:r w:rsidRPr="000651DD">
              <w:rPr>
                <w:rFonts w:eastAsia="Calibri"/>
                <w:szCs w:val="22"/>
                <w:lang w:val="en-GB"/>
              </w:rPr>
              <w:t>5.65 to 5.725 GHz</w:t>
            </w:r>
          </w:p>
        </w:tc>
        <w:tc>
          <w:tcPr>
            <w:tcW w:w="1638" w:type="pct"/>
          </w:tcPr>
          <w:p w14:paraId="19D6DD2C"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p>
        </w:tc>
        <w:tc>
          <w:tcPr>
            <w:tcW w:w="1572" w:type="pct"/>
          </w:tcPr>
          <w:p w14:paraId="19D6DD2D"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32" w14:textId="77777777" w:rsidTr="00BF5D64">
        <w:trPr>
          <w:jc w:val="center"/>
        </w:trPr>
        <w:tc>
          <w:tcPr>
            <w:tcW w:w="1790" w:type="pct"/>
          </w:tcPr>
          <w:p w14:paraId="19D6DD2F" w14:textId="77777777" w:rsidR="000651DD" w:rsidRPr="000651DD" w:rsidRDefault="000651DD" w:rsidP="00BF5D64">
            <w:pPr>
              <w:spacing w:before="60" w:after="60"/>
              <w:rPr>
                <w:rFonts w:eastAsia="Calibri"/>
                <w:szCs w:val="22"/>
                <w:lang w:val="en-GB"/>
              </w:rPr>
            </w:pPr>
            <w:r w:rsidRPr="000651DD">
              <w:rPr>
                <w:rFonts w:eastAsia="Calibri"/>
                <w:szCs w:val="22"/>
                <w:lang w:val="en-GB"/>
              </w:rPr>
              <w:t>5.725 to 6.0 GHz</w:t>
            </w:r>
          </w:p>
        </w:tc>
        <w:tc>
          <w:tcPr>
            <w:tcW w:w="1638" w:type="pct"/>
          </w:tcPr>
          <w:p w14:paraId="19D6DD30" w14:textId="77777777" w:rsidR="000651DD" w:rsidRPr="000651DD" w:rsidRDefault="000651DD" w:rsidP="00BF5D64">
            <w:pPr>
              <w:spacing w:before="60" w:after="60"/>
              <w:rPr>
                <w:rFonts w:eastAsia="Calibri"/>
                <w:szCs w:val="22"/>
                <w:lang w:val="en-GB"/>
              </w:rPr>
            </w:pPr>
            <w:r w:rsidRPr="000651DD">
              <w:rPr>
                <w:rFonts w:eastAsia="Calibri"/>
                <w:szCs w:val="22"/>
                <w:lang w:val="en-GB"/>
              </w:rPr>
              <w:t>-50 dBm/MHz</w:t>
            </w:r>
          </w:p>
        </w:tc>
        <w:tc>
          <w:tcPr>
            <w:tcW w:w="1572" w:type="pct"/>
          </w:tcPr>
          <w:p w14:paraId="19D6DD31"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-10 dBm</w:t>
            </w:r>
          </w:p>
        </w:tc>
      </w:tr>
      <w:tr w:rsidR="000651DD" w:rsidRPr="000651DD" w14:paraId="19D6DD36" w14:textId="77777777" w:rsidTr="00BF5D64">
        <w:trPr>
          <w:jc w:val="center"/>
        </w:trPr>
        <w:tc>
          <w:tcPr>
            <w:tcW w:w="1790" w:type="pct"/>
          </w:tcPr>
          <w:p w14:paraId="19D6DD33" w14:textId="77777777" w:rsidR="000651DD" w:rsidRPr="000651DD" w:rsidRDefault="000651DD" w:rsidP="00BF5D64">
            <w:pPr>
              <w:spacing w:before="60" w:after="60"/>
              <w:rPr>
                <w:rFonts w:eastAsia="Calibri"/>
                <w:szCs w:val="22"/>
                <w:lang w:val="en-GB"/>
              </w:rPr>
            </w:pPr>
            <w:r w:rsidRPr="000651DD">
              <w:rPr>
                <w:rFonts w:eastAsia="Calibri"/>
                <w:szCs w:val="22"/>
                <w:lang w:val="en-GB"/>
              </w:rPr>
              <w:t>6.0 to 8.5 GHz</w:t>
            </w:r>
          </w:p>
        </w:tc>
        <w:tc>
          <w:tcPr>
            <w:tcW w:w="1638" w:type="pct"/>
          </w:tcPr>
          <w:p w14:paraId="19D6DD34" w14:textId="77777777" w:rsidR="000651DD" w:rsidRPr="000651DD" w:rsidRDefault="000651DD" w:rsidP="00BF5D64">
            <w:pPr>
              <w:spacing w:before="60" w:after="60"/>
              <w:rPr>
                <w:rFonts w:eastAsia="Calibri"/>
                <w:szCs w:val="22"/>
                <w:lang w:val="en-GB"/>
              </w:rPr>
            </w:pPr>
            <w:r w:rsidRPr="000651DD">
              <w:rPr>
                <w:rFonts w:eastAsia="Calibri"/>
                <w:szCs w:val="22"/>
                <w:lang w:val="en-GB"/>
              </w:rPr>
              <w:t>-41.3 dBm/MHz</w:t>
            </w:r>
            <w:r w:rsidRPr="000651DD">
              <w:rPr>
                <w:rFonts w:eastAsia="Calibri"/>
                <w:szCs w:val="22"/>
                <w:lang w:val="en-GB"/>
              </w:rPr>
              <w:br/>
              <w:t>(see note 4)</w:t>
            </w:r>
          </w:p>
        </w:tc>
        <w:tc>
          <w:tcPr>
            <w:tcW w:w="1572" w:type="pct"/>
          </w:tcPr>
          <w:p w14:paraId="19D6DD35"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-0 dBm</w:t>
            </w:r>
          </w:p>
        </w:tc>
      </w:tr>
      <w:tr w:rsidR="000651DD" w:rsidRPr="000651DD" w14:paraId="19D6DD3B" w14:textId="77777777" w:rsidTr="00BF5D64">
        <w:trPr>
          <w:jc w:val="center"/>
        </w:trPr>
        <w:tc>
          <w:tcPr>
            <w:tcW w:w="1790" w:type="pct"/>
          </w:tcPr>
          <w:p w14:paraId="19D6DD37" w14:textId="77777777" w:rsidR="000651DD" w:rsidRPr="000651DD" w:rsidRDefault="000651DD" w:rsidP="00BF5D64">
            <w:pPr>
              <w:spacing w:before="60" w:after="60"/>
              <w:rPr>
                <w:rFonts w:eastAsia="Calibri"/>
                <w:szCs w:val="22"/>
                <w:lang w:val="en-GB"/>
              </w:rPr>
            </w:pPr>
            <w:r w:rsidRPr="000651DD">
              <w:rPr>
                <w:rFonts w:eastAsia="Calibri"/>
                <w:szCs w:val="22"/>
                <w:lang w:val="en-GB"/>
              </w:rPr>
              <w:t xml:space="preserve">8.5 to 9.0 GHz </w:t>
            </w:r>
          </w:p>
        </w:tc>
        <w:tc>
          <w:tcPr>
            <w:tcW w:w="1638" w:type="pct"/>
          </w:tcPr>
          <w:p w14:paraId="19D6DD38" w14:textId="77777777" w:rsidR="000651DD" w:rsidRPr="000651DD" w:rsidRDefault="000651DD" w:rsidP="00BF5D64">
            <w:pPr>
              <w:spacing w:before="60" w:after="60"/>
              <w:rPr>
                <w:rFonts w:eastAsia="Calibri"/>
                <w:szCs w:val="22"/>
                <w:lang w:val="en-GB"/>
              </w:rPr>
            </w:pPr>
            <w:r w:rsidRPr="000651DD">
              <w:rPr>
                <w:rFonts w:eastAsia="Calibri"/>
                <w:szCs w:val="22"/>
                <w:lang w:val="en-GB"/>
              </w:rPr>
              <w:t>-65 dBm/MHz</w:t>
            </w:r>
          </w:p>
          <w:p w14:paraId="19D6DD39" w14:textId="77777777" w:rsidR="000651DD" w:rsidRPr="000651DD" w:rsidRDefault="000651DD" w:rsidP="00BF5D64">
            <w:pPr>
              <w:spacing w:before="60" w:after="60"/>
              <w:rPr>
                <w:rFonts w:eastAsia="Calibri"/>
                <w:szCs w:val="22"/>
                <w:lang w:val="en-GB"/>
              </w:rPr>
            </w:pPr>
            <w:r w:rsidRPr="000651DD">
              <w:rPr>
                <w:rFonts w:eastAsia="Calibri"/>
                <w:szCs w:val="22"/>
                <w:lang w:val="en-GB"/>
              </w:rPr>
              <w:t>(see note 5*)</w:t>
            </w:r>
          </w:p>
        </w:tc>
        <w:tc>
          <w:tcPr>
            <w:tcW w:w="1572" w:type="pct"/>
          </w:tcPr>
          <w:p w14:paraId="19D6DD3A"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-25 dBm</w:t>
            </w:r>
          </w:p>
        </w:tc>
      </w:tr>
      <w:tr w:rsidR="000651DD" w:rsidRPr="000651DD" w14:paraId="19D6DD3F" w14:textId="77777777" w:rsidTr="00BF5D64">
        <w:trPr>
          <w:jc w:val="center"/>
        </w:trPr>
        <w:tc>
          <w:tcPr>
            <w:tcW w:w="1790" w:type="pct"/>
          </w:tcPr>
          <w:p w14:paraId="19D6DD3C" w14:textId="77777777" w:rsidR="000651DD" w:rsidRPr="000651DD" w:rsidRDefault="000651DD" w:rsidP="00BF5D64">
            <w:pPr>
              <w:spacing w:before="60" w:after="60"/>
              <w:rPr>
                <w:rFonts w:eastAsia="Calibri"/>
                <w:szCs w:val="22"/>
                <w:lang w:val="en-GB"/>
              </w:rPr>
            </w:pPr>
            <w:r w:rsidRPr="000651DD">
              <w:rPr>
                <w:rFonts w:eastAsia="Calibri"/>
                <w:szCs w:val="22"/>
                <w:lang w:val="en-GB"/>
              </w:rPr>
              <w:t xml:space="preserve">9.0 to 10.6 GHz </w:t>
            </w:r>
          </w:p>
        </w:tc>
        <w:tc>
          <w:tcPr>
            <w:tcW w:w="1638" w:type="pct"/>
          </w:tcPr>
          <w:p w14:paraId="19D6DD3D" w14:textId="77777777" w:rsidR="000651DD" w:rsidRPr="000651DD" w:rsidRDefault="000651DD" w:rsidP="00BF5D64">
            <w:pPr>
              <w:spacing w:before="60" w:after="60"/>
              <w:rPr>
                <w:rFonts w:eastAsia="Calibri"/>
                <w:szCs w:val="22"/>
                <w:lang w:val="en-GB"/>
              </w:rPr>
            </w:pPr>
            <w:r w:rsidRPr="000651DD">
              <w:rPr>
                <w:rFonts w:eastAsia="Calibri"/>
                <w:szCs w:val="22"/>
                <w:lang w:val="en-GB"/>
              </w:rPr>
              <w:t>-65 dBm/MHz</w:t>
            </w:r>
          </w:p>
        </w:tc>
        <w:tc>
          <w:tcPr>
            <w:tcW w:w="1572" w:type="pct"/>
          </w:tcPr>
          <w:p w14:paraId="19D6DD3E"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-25 dBm</w:t>
            </w:r>
          </w:p>
        </w:tc>
      </w:tr>
      <w:tr w:rsidR="000651DD" w:rsidRPr="000651DD" w14:paraId="19D6DD43" w14:textId="77777777" w:rsidTr="00BF5D64">
        <w:trPr>
          <w:jc w:val="center"/>
        </w:trPr>
        <w:tc>
          <w:tcPr>
            <w:tcW w:w="1790" w:type="pct"/>
          </w:tcPr>
          <w:p w14:paraId="19D6DD40" w14:textId="77777777" w:rsidR="000651DD" w:rsidRPr="000651DD" w:rsidRDefault="000651DD" w:rsidP="00BF5D64">
            <w:pPr>
              <w:spacing w:before="60" w:after="60"/>
              <w:rPr>
                <w:rFonts w:eastAsia="Calibri"/>
                <w:szCs w:val="22"/>
                <w:lang w:val="en-GB"/>
              </w:rPr>
            </w:pPr>
            <w:r w:rsidRPr="000651DD">
              <w:rPr>
                <w:rFonts w:eastAsia="Calibri"/>
                <w:szCs w:val="22"/>
                <w:lang w:val="en-GB"/>
              </w:rPr>
              <w:lastRenderedPageBreak/>
              <w:t>Above 10.6 GHz</w:t>
            </w:r>
          </w:p>
        </w:tc>
        <w:tc>
          <w:tcPr>
            <w:tcW w:w="1638" w:type="pct"/>
          </w:tcPr>
          <w:p w14:paraId="19D6DD41" w14:textId="77777777" w:rsidR="000651DD" w:rsidRPr="000651DD" w:rsidRDefault="000651DD" w:rsidP="00BF5D64">
            <w:pPr>
              <w:spacing w:before="60" w:after="60"/>
              <w:rPr>
                <w:rFonts w:eastAsia="Calibri"/>
                <w:szCs w:val="22"/>
                <w:lang w:val="en-GB"/>
              </w:rPr>
            </w:pPr>
            <w:r w:rsidRPr="000651DD">
              <w:rPr>
                <w:rFonts w:eastAsia="Calibri"/>
                <w:szCs w:val="22"/>
                <w:lang w:val="en-GB"/>
              </w:rPr>
              <w:t>-85 dBm/MHz</w:t>
            </w:r>
          </w:p>
        </w:tc>
        <w:tc>
          <w:tcPr>
            <w:tcW w:w="1572" w:type="pct"/>
          </w:tcPr>
          <w:p w14:paraId="19D6DD42" w14:textId="77777777" w:rsidR="000651DD" w:rsidRPr="000651DD" w:rsidRDefault="000651DD" w:rsidP="00BF5D64">
            <w:pPr>
              <w:spacing w:before="60" w:after="60"/>
              <w:jc w:val="both"/>
              <w:rPr>
                <w:rFonts w:eastAsia="Calibri"/>
                <w:szCs w:val="22"/>
                <w:lang w:val="en-GB"/>
              </w:rPr>
            </w:pPr>
            <w:r w:rsidRPr="000651DD">
              <w:rPr>
                <w:rFonts w:eastAsia="Calibri"/>
                <w:szCs w:val="22"/>
                <w:lang w:val="en-GB"/>
              </w:rPr>
              <w:t>-45 dBm</w:t>
            </w:r>
          </w:p>
        </w:tc>
      </w:tr>
      <w:tr w:rsidR="00082B97" w:rsidRPr="000651DD" w14:paraId="6C88AB15" w14:textId="77777777" w:rsidTr="00BF5D64">
        <w:trPr>
          <w:jc w:val="center"/>
        </w:trPr>
        <w:tc>
          <w:tcPr>
            <w:tcW w:w="5000" w:type="pct"/>
            <w:gridSpan w:val="3"/>
          </w:tcPr>
          <w:p w14:paraId="10848B70" w14:textId="77777777" w:rsidR="00082B97" w:rsidRPr="000651DD" w:rsidRDefault="00082B97" w:rsidP="00082B97">
            <w:pPr>
              <w:ind w:left="1134" w:hanging="850"/>
              <w:jc w:val="both"/>
              <w:rPr>
                <w:sz w:val="16"/>
                <w:szCs w:val="16"/>
                <w:lang w:val="en-GB"/>
              </w:rPr>
            </w:pPr>
            <w:r w:rsidRPr="000651DD">
              <w:rPr>
                <w:sz w:val="16"/>
                <w:szCs w:val="16"/>
                <w:lang w:val="en-GB"/>
              </w:rPr>
              <w:t>NOTE 1:</w:t>
            </w:r>
            <w:r w:rsidRPr="000651DD">
              <w:rPr>
                <w:sz w:val="16"/>
                <w:szCs w:val="16"/>
                <w:lang w:val="en-GB"/>
              </w:rPr>
              <w:tab/>
              <w:t xml:space="preserve">Devices using a Listen Before Talk (LBT) mechanism or other equivalent mechanisms, as described in the </w:t>
            </w:r>
            <w:r>
              <w:rPr>
                <w:sz w:val="16"/>
                <w:szCs w:val="16"/>
                <w:lang w:val="en-GB"/>
              </w:rPr>
              <w:t>H</w:t>
            </w:r>
            <w:r w:rsidRPr="000651DD">
              <w:rPr>
                <w:sz w:val="16"/>
                <w:szCs w:val="16"/>
                <w:lang w:val="en-GB"/>
              </w:rPr>
              <w:t xml:space="preserve">armonised European </w:t>
            </w:r>
            <w:r>
              <w:rPr>
                <w:sz w:val="16"/>
                <w:szCs w:val="16"/>
                <w:lang w:val="en-GB"/>
              </w:rPr>
              <w:t>S</w:t>
            </w:r>
            <w:r w:rsidRPr="000651DD">
              <w:rPr>
                <w:sz w:val="16"/>
                <w:szCs w:val="16"/>
                <w:lang w:val="en-GB"/>
              </w:rPr>
              <w:t>tandard ETSI EN 302 065-4</w:t>
            </w:r>
            <w:r>
              <w:rPr>
                <w:sz w:val="16"/>
                <w:szCs w:val="16"/>
                <w:lang w:val="en-GB"/>
              </w:rPr>
              <w:t>-1</w:t>
            </w:r>
            <w:r w:rsidRPr="000651DD">
              <w:rPr>
                <w:sz w:val="16"/>
                <w:szCs w:val="16"/>
                <w:lang w:val="en-GB"/>
              </w:rPr>
              <w:t xml:space="preserve"> are permitted to operate in frequency range 1.215 GHz to 1.73 GHz with a maximum mean e.i.r.p. spectral density of -70 dBm/MHz and in the frequency ranges 2.5 GHz to 2.69 GHz and 2.7 GHz to 3.4 GHz with a maximum mean e.i.r.p. spectral density of -50 dBm/MHz. and a maximum peak e.i.r.p of -10dBm/50MHz.</w:t>
            </w:r>
          </w:p>
          <w:p w14:paraId="47E5F58B" w14:textId="77777777" w:rsidR="00082B97" w:rsidRPr="000651DD" w:rsidRDefault="00082B97" w:rsidP="00082B97">
            <w:pPr>
              <w:ind w:left="1134" w:hanging="850"/>
              <w:jc w:val="both"/>
              <w:rPr>
                <w:sz w:val="16"/>
                <w:szCs w:val="16"/>
                <w:lang w:val="en-GB"/>
              </w:rPr>
            </w:pPr>
            <w:r w:rsidRPr="000651DD">
              <w:rPr>
                <w:sz w:val="16"/>
                <w:szCs w:val="16"/>
                <w:lang w:val="en-GB"/>
              </w:rPr>
              <w:t>NOTE 2:</w:t>
            </w:r>
            <w:r w:rsidRPr="000651DD">
              <w:rPr>
                <w:sz w:val="16"/>
                <w:szCs w:val="16"/>
                <w:lang w:val="en-GB"/>
              </w:rPr>
              <w:tab/>
              <w:t>To protect the radio services</w:t>
            </w:r>
            <w:r>
              <w:rPr>
                <w:sz w:val="16"/>
                <w:szCs w:val="16"/>
                <w:lang w:val="en-GB"/>
              </w:rPr>
              <w:t xml:space="preserve"> as defined by the ITU Radio Regulations</w:t>
            </w:r>
            <w:r w:rsidRPr="000651DD">
              <w:rPr>
                <w:sz w:val="16"/>
                <w:szCs w:val="16"/>
                <w:lang w:val="en-GB"/>
              </w:rPr>
              <w:t xml:space="preserve">, non-fixed installations must fulfil the following requirement for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w:t>
            </w:r>
            <w:r>
              <w:rPr>
                <w:sz w:val="16"/>
                <w:szCs w:val="16"/>
                <w:lang w:val="en-GB"/>
              </w:rPr>
              <w:t xml:space="preserve"> spectral density</w:t>
            </w:r>
            <w:r w:rsidRPr="000651DD">
              <w:rPr>
                <w:sz w:val="16"/>
                <w:szCs w:val="16"/>
                <w:lang w:val="en-GB"/>
              </w:rPr>
              <w:t>:</w:t>
            </w:r>
          </w:p>
          <w:p w14:paraId="5C09B5A1" w14:textId="77777777" w:rsidR="00082B97" w:rsidRPr="000651DD" w:rsidRDefault="00082B97" w:rsidP="00082B97">
            <w:pPr>
              <w:ind w:left="1134" w:hanging="850"/>
              <w:jc w:val="both"/>
              <w:rPr>
                <w:sz w:val="16"/>
                <w:szCs w:val="16"/>
                <w:lang w:val="en-GB"/>
              </w:rPr>
            </w:pPr>
            <w:r w:rsidRPr="000651DD">
              <w:rPr>
                <w:sz w:val="16"/>
                <w:szCs w:val="16"/>
                <w:lang w:val="en-GB"/>
              </w:rPr>
              <w:tab/>
              <w:t>a)</w:t>
            </w:r>
            <w:r>
              <w:rPr>
                <w:sz w:val="16"/>
                <w:szCs w:val="16"/>
                <w:lang w:val="en-GB"/>
              </w:rPr>
              <w:t xml:space="preserve"> </w:t>
            </w:r>
            <w:r w:rsidRPr="000651DD">
              <w:rPr>
                <w:sz w:val="16"/>
                <w:szCs w:val="16"/>
                <w:lang w:val="en-GB"/>
              </w:rPr>
              <w:t xml:space="preserve">In the frequency ranges 2.5 GHz to 2.69 GHz and 4.8 GHz to 5 GHz, the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 spectral density has to be 10 dB below the max e.i.r.p. spectral density.</w:t>
            </w:r>
          </w:p>
          <w:p w14:paraId="7B89BD0C" w14:textId="77777777" w:rsidR="00082B97" w:rsidRPr="000651DD" w:rsidRDefault="00082B97" w:rsidP="00082B97">
            <w:pPr>
              <w:ind w:left="1134" w:hanging="850"/>
              <w:jc w:val="both"/>
              <w:rPr>
                <w:sz w:val="16"/>
                <w:szCs w:val="16"/>
                <w:lang w:val="en-GB"/>
              </w:rPr>
            </w:pPr>
            <w:r w:rsidRPr="000651DD">
              <w:rPr>
                <w:sz w:val="16"/>
                <w:szCs w:val="16"/>
                <w:lang w:val="en-GB"/>
              </w:rPr>
              <w:tab/>
              <w:t>b)</w:t>
            </w:r>
            <w:r>
              <w:rPr>
                <w:sz w:val="16"/>
                <w:szCs w:val="16"/>
                <w:lang w:val="en-GB"/>
              </w:rPr>
              <w:t xml:space="preserve"> </w:t>
            </w:r>
            <w:r w:rsidRPr="000651DD">
              <w:rPr>
                <w:sz w:val="16"/>
                <w:szCs w:val="16"/>
                <w:lang w:val="en-GB"/>
              </w:rPr>
              <w:t xml:space="preserve">In the frequency ranges 3.4 GHz to 3.8 GHz, the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 spectral density has to be 5 dB below the max e.i.r.p. spectral density.</w:t>
            </w:r>
          </w:p>
          <w:p w14:paraId="6E267436" w14:textId="77777777" w:rsidR="00082B97" w:rsidRPr="000651DD" w:rsidRDefault="00082B97" w:rsidP="00082B97">
            <w:pPr>
              <w:ind w:left="1134" w:hanging="850"/>
              <w:jc w:val="both"/>
              <w:rPr>
                <w:sz w:val="16"/>
                <w:szCs w:val="16"/>
                <w:lang w:val="en-GB"/>
              </w:rPr>
            </w:pPr>
            <w:r w:rsidRPr="000651DD">
              <w:rPr>
                <w:sz w:val="16"/>
                <w:szCs w:val="16"/>
                <w:lang w:val="en-GB"/>
              </w:rPr>
              <w:t>NOTE 2*:</w:t>
            </w:r>
            <w:r w:rsidRPr="000651DD">
              <w:rPr>
                <w:sz w:val="16"/>
                <w:szCs w:val="16"/>
                <w:lang w:val="en-GB"/>
              </w:rPr>
              <w:tab/>
              <w:t xml:space="preserve">To protect the </w:t>
            </w:r>
            <w:r>
              <w:rPr>
                <w:sz w:val="16"/>
                <w:szCs w:val="16"/>
                <w:lang w:val="en-GB"/>
              </w:rPr>
              <w:t>frequency bands</w:t>
            </w:r>
            <w:r w:rsidRPr="000651DD">
              <w:rPr>
                <w:sz w:val="16"/>
                <w:szCs w:val="16"/>
                <w:lang w:val="en-GB"/>
              </w:rPr>
              <w:t xml:space="preserve"> 2.69 GHz to 2.7 GHz and 4.8 GHz to 5 GHz</w:t>
            </w:r>
            <w:r>
              <w:rPr>
                <w:sz w:val="16"/>
                <w:szCs w:val="16"/>
                <w:lang w:val="en-GB"/>
              </w:rPr>
              <w:t xml:space="preserve"> used by the radio astronomy service</w:t>
            </w:r>
            <w:r w:rsidRPr="000651DD">
              <w:rPr>
                <w:sz w:val="16"/>
                <w:szCs w:val="16"/>
                <w:lang w:val="en-GB"/>
              </w:rPr>
              <w:t xml:space="preserve">, the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 spectral density has to be below -65 dBm/MHz.</w:t>
            </w:r>
          </w:p>
          <w:p w14:paraId="54452963" w14:textId="77777777" w:rsidR="00082B97" w:rsidRPr="000651DD" w:rsidRDefault="00082B97" w:rsidP="00082B97">
            <w:pPr>
              <w:ind w:left="1134" w:hanging="850"/>
              <w:jc w:val="both"/>
              <w:rPr>
                <w:sz w:val="16"/>
                <w:szCs w:val="16"/>
                <w:lang w:val="en-GB"/>
              </w:rPr>
            </w:pPr>
            <w:r w:rsidRPr="000651DD">
              <w:rPr>
                <w:sz w:val="16"/>
                <w:szCs w:val="16"/>
                <w:lang w:val="en-GB"/>
              </w:rPr>
              <w:t>NOTE 3:</w:t>
            </w:r>
            <w:r w:rsidRPr="000651DD">
              <w:rPr>
                <w:sz w:val="16"/>
                <w:szCs w:val="16"/>
                <w:lang w:val="en-GB"/>
              </w:rPr>
              <w:tab/>
              <w:t>Limitation of the Duty Cycle to 10 % per second.</w:t>
            </w:r>
          </w:p>
          <w:p w14:paraId="7C5198D9" w14:textId="77777777" w:rsidR="00082B97" w:rsidRPr="000651DD" w:rsidRDefault="00082B97" w:rsidP="00082B97">
            <w:pPr>
              <w:ind w:left="1134" w:hanging="850"/>
              <w:jc w:val="both"/>
              <w:rPr>
                <w:sz w:val="16"/>
                <w:szCs w:val="16"/>
                <w:lang w:val="en-GB"/>
              </w:rPr>
            </w:pPr>
            <w:r w:rsidRPr="000651DD">
              <w:rPr>
                <w:sz w:val="16"/>
                <w:szCs w:val="16"/>
                <w:lang w:val="en-GB"/>
              </w:rPr>
              <w:t>NOTE 4:</w:t>
            </w:r>
            <w:r w:rsidRPr="000651DD">
              <w:rPr>
                <w:sz w:val="16"/>
                <w:szCs w:val="16"/>
                <w:lang w:val="en-GB"/>
              </w:rPr>
              <w:tab/>
              <w:t>No fixed outdoor permitted.</w:t>
            </w:r>
          </w:p>
          <w:p w14:paraId="6161AD86" w14:textId="77777777" w:rsidR="00082B97" w:rsidRPr="000651DD" w:rsidRDefault="00082B97" w:rsidP="00082B97">
            <w:pPr>
              <w:ind w:left="1134" w:hanging="850"/>
              <w:jc w:val="both"/>
              <w:rPr>
                <w:sz w:val="16"/>
                <w:szCs w:val="16"/>
                <w:lang w:val="en-GB"/>
              </w:rPr>
            </w:pPr>
            <w:r w:rsidRPr="000651DD">
              <w:rPr>
                <w:sz w:val="16"/>
                <w:szCs w:val="16"/>
                <w:lang w:val="en-GB"/>
              </w:rPr>
              <w:t>NOTE 5:</w:t>
            </w:r>
            <w:r w:rsidRPr="000651DD">
              <w:rPr>
                <w:sz w:val="16"/>
                <w:szCs w:val="16"/>
                <w:lang w:val="en-GB"/>
              </w:rPr>
              <w:tab/>
              <w:t>Within the band 3.1 GHz – 4.8 GHz, devices implementing Low Duty Cycle (LDC) mitigation technique are permitted to operate with a maximum mean e.i.r.p. spectral density of -41.3 dBm/MHz and a maximum peak e.i.r.p. of 0 dBm defined in 50 MHz. The L</w:t>
            </w:r>
            <w:r>
              <w:rPr>
                <w:sz w:val="16"/>
                <w:szCs w:val="16"/>
                <w:lang w:val="en-GB"/>
              </w:rPr>
              <w:t>DC</w:t>
            </w:r>
            <w:r w:rsidRPr="000651DD">
              <w:rPr>
                <w:sz w:val="16"/>
                <w:szCs w:val="16"/>
                <w:lang w:val="en-GB"/>
              </w:rPr>
              <w:t xml:space="preserve"> mitigation technique and its limits is defined in the </w:t>
            </w:r>
            <w:r>
              <w:rPr>
                <w:sz w:val="16"/>
                <w:szCs w:val="16"/>
                <w:lang w:val="en-GB"/>
              </w:rPr>
              <w:t>relevant version of the H</w:t>
            </w:r>
            <w:r w:rsidRPr="000651DD">
              <w:rPr>
                <w:sz w:val="16"/>
                <w:szCs w:val="16"/>
                <w:lang w:val="en-GB"/>
              </w:rPr>
              <w:t>armonised European Standard ETSI EN 302 065-1. When LDC is implemented, Note 4 applies.</w:t>
            </w:r>
          </w:p>
          <w:p w14:paraId="060AEF3D" w14:textId="24050F83" w:rsidR="00082B97" w:rsidRPr="000651DD" w:rsidRDefault="00082B97" w:rsidP="00082B97">
            <w:pPr>
              <w:ind w:left="1134" w:hanging="850"/>
              <w:jc w:val="both"/>
              <w:rPr>
                <w:rFonts w:eastAsia="Calibri"/>
                <w:szCs w:val="22"/>
                <w:lang w:val="en-GB"/>
              </w:rPr>
            </w:pPr>
            <w:r w:rsidRPr="000651DD">
              <w:rPr>
                <w:sz w:val="16"/>
                <w:szCs w:val="16"/>
                <w:lang w:val="en-GB"/>
              </w:rPr>
              <w:t>NOTE 5*:</w:t>
            </w:r>
            <w:r w:rsidRPr="000651DD">
              <w:rPr>
                <w:sz w:val="16"/>
                <w:szCs w:val="16"/>
                <w:lang w:val="en-GB"/>
              </w:rPr>
              <w:tab/>
              <w:t xml:space="preserve">Within the bands 3.1 GHz – 4.8 GHz and 8.5 GHz - 9 GHz, devices implementing Detect And Avoid (DAA) mitigation technique are permitted to operate with a maximum mean e.i.r.p. spectral density of </w:t>
            </w:r>
            <w:r w:rsidRPr="000651DD">
              <w:rPr>
                <w:sz w:val="16"/>
                <w:szCs w:val="16"/>
                <w:lang w:val="en-GB"/>
              </w:rPr>
              <w:noBreakHyphen/>
              <w:t xml:space="preserve">41.3 dBm/MHz and a maximum peak e.i.r.p. of 0 dBm defined in 50 </w:t>
            </w:r>
            <w:r w:rsidR="00EA0F3F" w:rsidRPr="000651DD">
              <w:rPr>
                <w:sz w:val="16"/>
                <w:szCs w:val="16"/>
                <w:lang w:val="en-GB"/>
              </w:rPr>
              <w:t>MHz</w:t>
            </w:r>
            <w:r w:rsidR="0023001E">
              <w:rPr>
                <w:sz w:val="16"/>
                <w:szCs w:val="16"/>
                <w:lang w:val="en-GB"/>
              </w:rPr>
              <w:t>.</w:t>
            </w:r>
            <w:r w:rsidRPr="000651DD">
              <w:rPr>
                <w:sz w:val="16"/>
                <w:szCs w:val="16"/>
                <w:lang w:val="en-GB"/>
              </w:rPr>
              <w:t xml:space="preserve"> The </w:t>
            </w:r>
            <w:r>
              <w:rPr>
                <w:sz w:val="16"/>
                <w:szCs w:val="16"/>
                <w:lang w:val="en-GB"/>
              </w:rPr>
              <w:t>DAA</w:t>
            </w:r>
            <w:r w:rsidRPr="000651DD">
              <w:rPr>
                <w:sz w:val="16"/>
                <w:szCs w:val="16"/>
                <w:lang w:val="en-GB"/>
              </w:rPr>
              <w:t xml:space="preserve"> mitigation technique and its limits is defined in the </w:t>
            </w:r>
            <w:r>
              <w:rPr>
                <w:sz w:val="16"/>
                <w:szCs w:val="16"/>
                <w:lang w:val="en-GB"/>
              </w:rPr>
              <w:t>relevant version of the H</w:t>
            </w:r>
            <w:r w:rsidRPr="000651DD">
              <w:rPr>
                <w:sz w:val="16"/>
                <w:szCs w:val="16"/>
                <w:lang w:val="en-GB"/>
              </w:rPr>
              <w:t>armonised European Standard EN 302 065-1. W</w:t>
            </w:r>
            <w:r>
              <w:rPr>
                <w:sz w:val="16"/>
                <w:szCs w:val="16"/>
                <w:lang w:val="en-GB"/>
              </w:rPr>
              <w:t>hen</w:t>
            </w:r>
            <w:r w:rsidRPr="000651DD">
              <w:rPr>
                <w:sz w:val="16"/>
                <w:szCs w:val="16"/>
                <w:lang w:val="en-GB"/>
              </w:rPr>
              <w:t xml:space="preserve"> DAA is implemented, Note 4 applies.</w:t>
            </w:r>
          </w:p>
        </w:tc>
      </w:tr>
    </w:tbl>
    <w:p w14:paraId="19D6DD4F" w14:textId="77777777" w:rsidR="005B059A" w:rsidRDefault="005B059A" w:rsidP="00FA5D41">
      <w:pPr>
        <w:spacing w:before="240" w:after="240"/>
        <w:jc w:val="center"/>
        <w:rPr>
          <w:b/>
          <w:color w:val="D2232A"/>
          <w:lang w:val="en-GB"/>
        </w:rPr>
      </w:pPr>
      <w:r w:rsidRPr="005B059A">
        <w:rPr>
          <w:b/>
          <w:color w:val="D2232A"/>
          <w:lang w:val="en-GB"/>
        </w:rPr>
        <w:t xml:space="preserve">Table </w:t>
      </w:r>
      <w:r>
        <w:rPr>
          <w:b/>
          <w:color w:val="D2232A"/>
          <w:lang w:val="en-GB"/>
        </w:rPr>
        <w:t>2</w:t>
      </w:r>
      <w:r w:rsidRPr="005B059A">
        <w:rPr>
          <w:b/>
          <w:color w:val="D2232A"/>
          <w:lang w:val="en-GB"/>
        </w:rPr>
        <w:t>: Limits for non-contact based UWB material sensing devices</w:t>
      </w:r>
    </w:p>
    <w:tbl>
      <w:tblPr>
        <w:tblStyle w:val="ECCTable-redheader"/>
        <w:tblW w:w="5000" w:type="pct"/>
        <w:tblInd w:w="0" w:type="dxa"/>
        <w:tblLook w:val="04A0" w:firstRow="1" w:lastRow="0" w:firstColumn="1" w:lastColumn="0" w:noHBand="0" w:noVBand="1"/>
      </w:tblPr>
      <w:tblGrid>
        <w:gridCol w:w="2941"/>
        <w:gridCol w:w="3247"/>
        <w:gridCol w:w="3441"/>
      </w:tblGrid>
      <w:tr w:rsidR="000651DD" w:rsidRPr="000651DD" w14:paraId="19D6DD54" w14:textId="77777777" w:rsidTr="00AF7192">
        <w:trPr>
          <w:cnfStyle w:val="100000000000" w:firstRow="1" w:lastRow="0" w:firstColumn="0" w:lastColumn="0" w:oddVBand="0" w:evenVBand="0" w:oddHBand="0" w:evenHBand="0" w:firstRowFirstColumn="0" w:firstRowLastColumn="0" w:lastRowFirstColumn="0" w:lastRowLastColumn="0"/>
        </w:trPr>
        <w:tc>
          <w:tcPr>
            <w:tcW w:w="1527" w:type="pct"/>
            <w:vAlign w:val="top"/>
          </w:tcPr>
          <w:p w14:paraId="19D6DD50" w14:textId="77777777" w:rsidR="000651DD" w:rsidRPr="000651DD" w:rsidRDefault="000651DD" w:rsidP="007B14CF">
            <w:pPr>
              <w:keepNext/>
              <w:spacing w:before="120" w:after="120"/>
              <w:rPr>
                <w:szCs w:val="22"/>
                <w:lang w:val="en-GB"/>
              </w:rPr>
            </w:pPr>
            <w:r w:rsidRPr="000651DD">
              <w:rPr>
                <w:szCs w:val="22"/>
                <w:lang w:val="en-GB"/>
              </w:rPr>
              <w:t>Frequency range</w:t>
            </w:r>
          </w:p>
        </w:tc>
        <w:tc>
          <w:tcPr>
            <w:tcW w:w="1686" w:type="pct"/>
            <w:vAlign w:val="top"/>
          </w:tcPr>
          <w:p w14:paraId="19D6DD51" w14:textId="77777777" w:rsidR="000651DD" w:rsidRPr="000651DD" w:rsidRDefault="000651DD" w:rsidP="007B14CF">
            <w:pPr>
              <w:keepNext/>
              <w:spacing w:before="120" w:after="120"/>
              <w:rPr>
                <w:szCs w:val="22"/>
                <w:lang w:val="en-GB"/>
              </w:rPr>
            </w:pPr>
            <w:r w:rsidRPr="000651DD">
              <w:rPr>
                <w:szCs w:val="22"/>
                <w:lang w:val="en-GB"/>
              </w:rPr>
              <w:t>Maximum mean e.i.r.p. spectral density</w:t>
            </w:r>
          </w:p>
        </w:tc>
        <w:tc>
          <w:tcPr>
            <w:tcW w:w="1787" w:type="pct"/>
            <w:vAlign w:val="top"/>
          </w:tcPr>
          <w:p w14:paraId="19D6DD52" w14:textId="77777777" w:rsidR="000651DD" w:rsidRPr="000651DD" w:rsidRDefault="000651DD" w:rsidP="007B14CF">
            <w:pPr>
              <w:keepNext/>
              <w:spacing w:before="120" w:after="120"/>
              <w:rPr>
                <w:szCs w:val="22"/>
                <w:lang w:val="en-GB"/>
              </w:rPr>
            </w:pPr>
            <w:r w:rsidRPr="000651DD">
              <w:rPr>
                <w:szCs w:val="22"/>
                <w:lang w:val="en-GB"/>
              </w:rPr>
              <w:t>Maximum peak e.i.r.p.</w:t>
            </w:r>
          </w:p>
          <w:p w14:paraId="19D6DD53" w14:textId="77777777" w:rsidR="000651DD" w:rsidRPr="000651DD" w:rsidRDefault="000651DD" w:rsidP="007B14CF">
            <w:pPr>
              <w:keepNext/>
              <w:spacing w:before="120" w:after="120"/>
              <w:rPr>
                <w:szCs w:val="22"/>
                <w:lang w:val="en-GB"/>
              </w:rPr>
            </w:pPr>
            <w:r w:rsidRPr="000651DD">
              <w:rPr>
                <w:szCs w:val="22"/>
                <w:lang w:val="en-GB"/>
              </w:rPr>
              <w:t>(defined in 50 MHz)</w:t>
            </w:r>
          </w:p>
        </w:tc>
      </w:tr>
      <w:tr w:rsidR="000651DD" w:rsidRPr="000651DD" w14:paraId="19D6DD58" w14:textId="77777777" w:rsidTr="00AF7192">
        <w:trPr>
          <w:trHeight w:val="265"/>
        </w:trPr>
        <w:tc>
          <w:tcPr>
            <w:tcW w:w="1527" w:type="pct"/>
            <w:vAlign w:val="top"/>
          </w:tcPr>
          <w:p w14:paraId="19D6DD55" w14:textId="77777777" w:rsidR="000651DD" w:rsidRPr="000651DD" w:rsidRDefault="000651DD" w:rsidP="007B14CF">
            <w:pPr>
              <w:rPr>
                <w:szCs w:val="22"/>
                <w:lang w:val="en-GB"/>
              </w:rPr>
            </w:pPr>
            <w:r w:rsidRPr="000651DD">
              <w:rPr>
                <w:szCs w:val="22"/>
                <w:lang w:val="en-GB"/>
              </w:rPr>
              <w:t>Below 1.73 GHz</w:t>
            </w:r>
          </w:p>
        </w:tc>
        <w:tc>
          <w:tcPr>
            <w:tcW w:w="1686" w:type="pct"/>
            <w:vAlign w:val="top"/>
          </w:tcPr>
          <w:p w14:paraId="19D6DD56" w14:textId="77777777" w:rsidR="000651DD" w:rsidRPr="000651DD" w:rsidRDefault="000651DD" w:rsidP="007B14CF">
            <w:pPr>
              <w:jc w:val="left"/>
              <w:rPr>
                <w:szCs w:val="22"/>
                <w:lang w:val="en-GB"/>
              </w:rPr>
            </w:pPr>
            <w:r w:rsidRPr="000651DD">
              <w:rPr>
                <w:szCs w:val="22"/>
                <w:lang w:val="en-GB"/>
              </w:rPr>
              <w:t>-85 dBm/MHz</w:t>
            </w:r>
            <w:r w:rsidRPr="000651DD">
              <w:rPr>
                <w:szCs w:val="22"/>
                <w:lang w:val="en-GB"/>
              </w:rPr>
              <w:br/>
            </w:r>
            <w:r w:rsidRPr="000651DD">
              <w:rPr>
                <w:rFonts w:cs="Arial"/>
                <w:szCs w:val="22"/>
                <w:lang w:val="en-GB"/>
              </w:rPr>
              <w:t>(see note 1)</w:t>
            </w:r>
          </w:p>
        </w:tc>
        <w:tc>
          <w:tcPr>
            <w:tcW w:w="1787" w:type="pct"/>
            <w:vAlign w:val="top"/>
          </w:tcPr>
          <w:p w14:paraId="19D6DD57" w14:textId="77777777" w:rsidR="000651DD" w:rsidRPr="000651DD" w:rsidRDefault="000651DD" w:rsidP="007B14CF">
            <w:pPr>
              <w:rPr>
                <w:szCs w:val="22"/>
                <w:lang w:val="en-GB"/>
              </w:rPr>
            </w:pPr>
            <w:r w:rsidRPr="000651DD">
              <w:rPr>
                <w:szCs w:val="22"/>
                <w:lang w:val="en-GB"/>
              </w:rPr>
              <w:t>-60 dBm</w:t>
            </w:r>
          </w:p>
        </w:tc>
      </w:tr>
      <w:tr w:rsidR="000651DD" w:rsidRPr="000651DD" w14:paraId="19D6DD5C" w14:textId="77777777" w:rsidTr="00AF7192">
        <w:trPr>
          <w:trHeight w:val="265"/>
        </w:trPr>
        <w:tc>
          <w:tcPr>
            <w:tcW w:w="1527" w:type="pct"/>
            <w:vAlign w:val="top"/>
          </w:tcPr>
          <w:p w14:paraId="19D6DD59" w14:textId="77777777" w:rsidR="000651DD" w:rsidRPr="000651DD" w:rsidRDefault="000651DD" w:rsidP="007B14CF">
            <w:pPr>
              <w:rPr>
                <w:szCs w:val="22"/>
                <w:lang w:val="en-GB"/>
              </w:rPr>
            </w:pPr>
            <w:r w:rsidRPr="000651DD">
              <w:rPr>
                <w:szCs w:val="22"/>
                <w:lang w:val="en-GB"/>
              </w:rPr>
              <w:t>1.73 to 2.2 GHz</w:t>
            </w:r>
          </w:p>
        </w:tc>
        <w:tc>
          <w:tcPr>
            <w:tcW w:w="1686" w:type="pct"/>
            <w:vAlign w:val="top"/>
          </w:tcPr>
          <w:p w14:paraId="19D6DD5A" w14:textId="77777777" w:rsidR="000651DD" w:rsidRPr="000651DD" w:rsidRDefault="000651DD" w:rsidP="007B14CF">
            <w:pPr>
              <w:jc w:val="left"/>
              <w:rPr>
                <w:szCs w:val="22"/>
                <w:lang w:val="en-GB"/>
              </w:rPr>
            </w:pPr>
            <w:r w:rsidRPr="000651DD">
              <w:rPr>
                <w:rFonts w:cs="Arial"/>
                <w:szCs w:val="22"/>
                <w:lang w:val="en-GB"/>
              </w:rPr>
              <w:t>- 70 dBm/MHz</w:t>
            </w:r>
            <w:r w:rsidRPr="000651DD" w:rsidDel="004777BE">
              <w:rPr>
                <w:rFonts w:cs="Arial"/>
                <w:szCs w:val="22"/>
                <w:lang w:val="en-GB"/>
              </w:rPr>
              <w:t xml:space="preserve"> </w:t>
            </w:r>
          </w:p>
        </w:tc>
        <w:tc>
          <w:tcPr>
            <w:tcW w:w="1787" w:type="pct"/>
            <w:vAlign w:val="top"/>
          </w:tcPr>
          <w:p w14:paraId="19D6DD5B" w14:textId="77777777" w:rsidR="000651DD" w:rsidRPr="000651DD" w:rsidRDefault="000651DD" w:rsidP="007B14CF">
            <w:pPr>
              <w:rPr>
                <w:szCs w:val="22"/>
                <w:lang w:val="en-GB"/>
              </w:rPr>
            </w:pPr>
            <w:r w:rsidRPr="000651DD">
              <w:rPr>
                <w:szCs w:val="22"/>
                <w:lang w:val="en-GB"/>
              </w:rPr>
              <w:t>-45 dBm</w:t>
            </w:r>
          </w:p>
        </w:tc>
      </w:tr>
      <w:tr w:rsidR="000651DD" w:rsidRPr="000651DD" w14:paraId="19D6DD60" w14:textId="77777777" w:rsidTr="00AF7192">
        <w:trPr>
          <w:trHeight w:val="265"/>
        </w:trPr>
        <w:tc>
          <w:tcPr>
            <w:tcW w:w="1527" w:type="pct"/>
            <w:vAlign w:val="top"/>
          </w:tcPr>
          <w:p w14:paraId="19D6DD5D" w14:textId="77777777" w:rsidR="000651DD" w:rsidRPr="000651DD" w:rsidRDefault="000651DD" w:rsidP="007B14CF">
            <w:pPr>
              <w:rPr>
                <w:szCs w:val="22"/>
                <w:lang w:val="en-GB"/>
              </w:rPr>
            </w:pPr>
            <w:r w:rsidRPr="000651DD">
              <w:rPr>
                <w:szCs w:val="22"/>
                <w:lang w:val="en-GB"/>
              </w:rPr>
              <w:t xml:space="preserve">2.2 to 2.5 GHz </w:t>
            </w:r>
          </w:p>
        </w:tc>
        <w:tc>
          <w:tcPr>
            <w:tcW w:w="1686" w:type="pct"/>
            <w:vAlign w:val="top"/>
          </w:tcPr>
          <w:p w14:paraId="19D6DD5E" w14:textId="77777777" w:rsidR="000651DD" w:rsidRPr="000651DD" w:rsidRDefault="000651DD" w:rsidP="007B14CF">
            <w:pPr>
              <w:jc w:val="left"/>
              <w:rPr>
                <w:szCs w:val="22"/>
                <w:lang w:val="en-GB"/>
              </w:rPr>
            </w:pPr>
            <w:r w:rsidRPr="000651DD">
              <w:rPr>
                <w:szCs w:val="22"/>
                <w:lang w:val="en-GB"/>
              </w:rPr>
              <w:t>-50 dBm/MHz</w:t>
            </w:r>
          </w:p>
        </w:tc>
        <w:tc>
          <w:tcPr>
            <w:tcW w:w="1787" w:type="pct"/>
            <w:vAlign w:val="top"/>
          </w:tcPr>
          <w:p w14:paraId="19D6DD5F" w14:textId="77777777" w:rsidR="000651DD" w:rsidRPr="000651DD" w:rsidRDefault="000651DD" w:rsidP="007B14CF">
            <w:pPr>
              <w:rPr>
                <w:szCs w:val="22"/>
                <w:lang w:val="en-GB"/>
              </w:rPr>
            </w:pPr>
            <w:r w:rsidRPr="000651DD">
              <w:rPr>
                <w:szCs w:val="22"/>
                <w:lang w:val="en-GB"/>
              </w:rPr>
              <w:t>-25 dBm</w:t>
            </w:r>
          </w:p>
        </w:tc>
      </w:tr>
      <w:tr w:rsidR="000651DD" w:rsidRPr="000651DD" w14:paraId="19D6DD64" w14:textId="77777777" w:rsidTr="00AF7192">
        <w:trPr>
          <w:trHeight w:val="265"/>
        </w:trPr>
        <w:tc>
          <w:tcPr>
            <w:tcW w:w="1527" w:type="pct"/>
            <w:vAlign w:val="top"/>
          </w:tcPr>
          <w:p w14:paraId="19D6DD61" w14:textId="77777777" w:rsidR="000651DD" w:rsidRPr="000651DD" w:rsidRDefault="000651DD" w:rsidP="007B14CF">
            <w:pPr>
              <w:rPr>
                <w:szCs w:val="22"/>
                <w:lang w:val="en-GB"/>
              </w:rPr>
            </w:pPr>
            <w:r w:rsidRPr="000651DD">
              <w:rPr>
                <w:szCs w:val="22"/>
                <w:lang w:val="en-GB"/>
              </w:rPr>
              <w:t>2.5 to 2.69 GHz</w:t>
            </w:r>
          </w:p>
        </w:tc>
        <w:tc>
          <w:tcPr>
            <w:tcW w:w="1686" w:type="pct"/>
            <w:vAlign w:val="top"/>
          </w:tcPr>
          <w:p w14:paraId="19D6DD62" w14:textId="265606FD" w:rsidR="000651DD" w:rsidRPr="000651DD" w:rsidRDefault="000651DD" w:rsidP="007B14CF">
            <w:pPr>
              <w:jc w:val="left"/>
              <w:rPr>
                <w:szCs w:val="22"/>
                <w:lang w:val="en-GB"/>
              </w:rPr>
            </w:pPr>
            <w:r w:rsidRPr="000651DD">
              <w:rPr>
                <w:szCs w:val="22"/>
                <w:lang w:val="en-GB"/>
              </w:rPr>
              <w:t>-65 dBm/MHz</w:t>
            </w:r>
            <w:r w:rsidRPr="000651DD">
              <w:rPr>
                <w:szCs w:val="22"/>
                <w:lang w:val="en-GB"/>
              </w:rPr>
              <w:br/>
              <w:t>(see notes 1 and 2)</w:t>
            </w:r>
          </w:p>
        </w:tc>
        <w:tc>
          <w:tcPr>
            <w:tcW w:w="1787" w:type="pct"/>
            <w:vAlign w:val="top"/>
          </w:tcPr>
          <w:p w14:paraId="19D6DD63" w14:textId="77777777" w:rsidR="000651DD" w:rsidRPr="000651DD" w:rsidRDefault="000651DD" w:rsidP="007B14CF">
            <w:pPr>
              <w:rPr>
                <w:szCs w:val="22"/>
                <w:lang w:val="en-GB"/>
              </w:rPr>
            </w:pPr>
            <w:r w:rsidRPr="000651DD">
              <w:rPr>
                <w:szCs w:val="22"/>
                <w:lang w:val="en-GB"/>
              </w:rPr>
              <w:t>-40 dBm</w:t>
            </w:r>
          </w:p>
        </w:tc>
      </w:tr>
      <w:tr w:rsidR="000651DD" w:rsidRPr="000651DD" w14:paraId="19D6DD69" w14:textId="77777777" w:rsidTr="00AF7192">
        <w:trPr>
          <w:trHeight w:val="265"/>
        </w:trPr>
        <w:tc>
          <w:tcPr>
            <w:tcW w:w="1527" w:type="pct"/>
            <w:vAlign w:val="top"/>
          </w:tcPr>
          <w:p w14:paraId="19D6DD65" w14:textId="77777777" w:rsidR="000651DD" w:rsidRPr="000651DD" w:rsidRDefault="000651DD" w:rsidP="007B14CF">
            <w:pPr>
              <w:rPr>
                <w:szCs w:val="22"/>
                <w:lang w:val="en-GB"/>
              </w:rPr>
            </w:pPr>
            <w:r w:rsidRPr="000651DD">
              <w:rPr>
                <w:szCs w:val="22"/>
                <w:lang w:val="en-GB"/>
              </w:rPr>
              <w:t>2.69 to 2.7 GHz</w:t>
            </w:r>
          </w:p>
          <w:p w14:paraId="19D6DD66" w14:textId="77777777" w:rsidR="000651DD" w:rsidRPr="000651DD" w:rsidRDefault="000651DD" w:rsidP="007B14CF">
            <w:pPr>
              <w:rPr>
                <w:szCs w:val="22"/>
                <w:lang w:val="en-GB"/>
              </w:rPr>
            </w:pPr>
            <w:r w:rsidRPr="000651DD">
              <w:rPr>
                <w:szCs w:val="22"/>
                <w:lang w:val="en-GB"/>
              </w:rPr>
              <w:t>(see note 3)</w:t>
            </w:r>
          </w:p>
        </w:tc>
        <w:tc>
          <w:tcPr>
            <w:tcW w:w="1686" w:type="pct"/>
            <w:vAlign w:val="top"/>
          </w:tcPr>
          <w:p w14:paraId="19D6DD67" w14:textId="77777777" w:rsidR="000651DD" w:rsidRPr="000651DD" w:rsidRDefault="000651DD" w:rsidP="007B14CF">
            <w:pPr>
              <w:jc w:val="left"/>
              <w:rPr>
                <w:szCs w:val="22"/>
                <w:lang w:val="en-GB"/>
              </w:rPr>
            </w:pPr>
            <w:r w:rsidRPr="000651DD">
              <w:rPr>
                <w:szCs w:val="22"/>
                <w:lang w:val="en-GB"/>
              </w:rPr>
              <w:t>-70 dBm/MHz</w:t>
            </w:r>
            <w:r w:rsidRPr="000651DD">
              <w:rPr>
                <w:szCs w:val="22"/>
                <w:lang w:val="en-GB"/>
              </w:rPr>
              <w:br/>
              <w:t>(see note 2*)</w:t>
            </w:r>
          </w:p>
        </w:tc>
        <w:tc>
          <w:tcPr>
            <w:tcW w:w="1787" w:type="pct"/>
            <w:vAlign w:val="top"/>
          </w:tcPr>
          <w:p w14:paraId="19D6DD68" w14:textId="77777777" w:rsidR="000651DD" w:rsidRPr="000651DD" w:rsidRDefault="000651DD" w:rsidP="007B14CF">
            <w:pPr>
              <w:rPr>
                <w:szCs w:val="22"/>
                <w:lang w:val="en-GB"/>
              </w:rPr>
            </w:pPr>
            <w:r w:rsidRPr="000651DD">
              <w:rPr>
                <w:szCs w:val="22"/>
                <w:lang w:val="en-GB"/>
              </w:rPr>
              <w:t>-45 dBm</w:t>
            </w:r>
          </w:p>
        </w:tc>
      </w:tr>
      <w:tr w:rsidR="000651DD" w:rsidRPr="000651DD" w14:paraId="19D6DD6E" w14:textId="77777777" w:rsidTr="00AF7192">
        <w:trPr>
          <w:trHeight w:val="265"/>
        </w:trPr>
        <w:tc>
          <w:tcPr>
            <w:tcW w:w="1527" w:type="pct"/>
            <w:vAlign w:val="top"/>
          </w:tcPr>
          <w:p w14:paraId="19D6DD6A" w14:textId="77777777" w:rsidR="000651DD" w:rsidRPr="000651DD" w:rsidRDefault="000651DD" w:rsidP="007B14CF">
            <w:pPr>
              <w:rPr>
                <w:szCs w:val="22"/>
                <w:lang w:val="en-GB"/>
              </w:rPr>
            </w:pPr>
            <w:r w:rsidRPr="000651DD">
              <w:rPr>
                <w:szCs w:val="22"/>
                <w:lang w:val="en-GB"/>
              </w:rPr>
              <w:t>2.7 to 2.9 GHz</w:t>
            </w:r>
          </w:p>
        </w:tc>
        <w:tc>
          <w:tcPr>
            <w:tcW w:w="1686" w:type="pct"/>
            <w:vAlign w:val="top"/>
          </w:tcPr>
          <w:p w14:paraId="19D6DD6B" w14:textId="77777777" w:rsidR="000651DD" w:rsidRPr="000651DD" w:rsidRDefault="000651DD" w:rsidP="007B14CF">
            <w:pPr>
              <w:jc w:val="left"/>
              <w:rPr>
                <w:szCs w:val="22"/>
                <w:lang w:val="en-GB"/>
              </w:rPr>
            </w:pPr>
            <w:r w:rsidRPr="000651DD">
              <w:rPr>
                <w:szCs w:val="22"/>
                <w:lang w:val="en-GB"/>
              </w:rPr>
              <w:t>- 70 dBm/MHz</w:t>
            </w:r>
          </w:p>
          <w:p w14:paraId="19D6DD6C" w14:textId="77777777" w:rsidR="000651DD" w:rsidRPr="000651DD" w:rsidRDefault="000651DD" w:rsidP="007B14CF">
            <w:pPr>
              <w:jc w:val="left"/>
              <w:rPr>
                <w:szCs w:val="22"/>
                <w:lang w:val="en-GB"/>
              </w:rPr>
            </w:pPr>
            <w:r w:rsidRPr="000651DD">
              <w:rPr>
                <w:rFonts w:cs="Arial"/>
                <w:szCs w:val="22"/>
                <w:lang w:val="en-GB"/>
              </w:rPr>
              <w:t>(see note 1)</w:t>
            </w:r>
          </w:p>
        </w:tc>
        <w:tc>
          <w:tcPr>
            <w:tcW w:w="1787" w:type="pct"/>
            <w:vAlign w:val="top"/>
          </w:tcPr>
          <w:p w14:paraId="19D6DD6D" w14:textId="77777777" w:rsidR="000651DD" w:rsidRPr="000651DD" w:rsidRDefault="000651DD" w:rsidP="007B14CF">
            <w:pPr>
              <w:rPr>
                <w:szCs w:val="22"/>
                <w:lang w:val="en-GB"/>
              </w:rPr>
            </w:pPr>
            <w:r w:rsidRPr="000651DD">
              <w:rPr>
                <w:szCs w:val="22"/>
                <w:lang w:val="en-GB"/>
              </w:rPr>
              <w:t>-45 dBm</w:t>
            </w:r>
          </w:p>
        </w:tc>
      </w:tr>
      <w:tr w:rsidR="000651DD" w:rsidRPr="000651DD" w14:paraId="19D6DD72" w14:textId="77777777" w:rsidTr="00AF7192">
        <w:trPr>
          <w:trHeight w:val="265"/>
        </w:trPr>
        <w:tc>
          <w:tcPr>
            <w:tcW w:w="1527" w:type="pct"/>
            <w:vAlign w:val="top"/>
          </w:tcPr>
          <w:p w14:paraId="19D6DD6F" w14:textId="77777777" w:rsidR="000651DD" w:rsidRPr="000651DD" w:rsidRDefault="000651DD" w:rsidP="007B14CF">
            <w:pPr>
              <w:rPr>
                <w:szCs w:val="22"/>
                <w:lang w:val="en-GB"/>
              </w:rPr>
            </w:pPr>
            <w:r w:rsidRPr="000651DD">
              <w:rPr>
                <w:szCs w:val="22"/>
                <w:lang w:val="en-GB"/>
              </w:rPr>
              <w:t>2.9 to 3.4 GHz</w:t>
            </w:r>
          </w:p>
        </w:tc>
        <w:tc>
          <w:tcPr>
            <w:tcW w:w="1686" w:type="pct"/>
            <w:vAlign w:val="top"/>
          </w:tcPr>
          <w:p w14:paraId="19D6DD70" w14:textId="77777777" w:rsidR="000651DD" w:rsidRPr="000651DD" w:rsidRDefault="000651DD" w:rsidP="007B14CF">
            <w:pPr>
              <w:jc w:val="left"/>
              <w:rPr>
                <w:szCs w:val="22"/>
                <w:lang w:val="en-GB"/>
              </w:rPr>
            </w:pPr>
            <w:r w:rsidRPr="000651DD">
              <w:rPr>
                <w:szCs w:val="22"/>
                <w:lang w:val="en-GB"/>
              </w:rPr>
              <w:t>-70 dBm/MHz</w:t>
            </w:r>
            <w:r w:rsidRPr="000651DD">
              <w:rPr>
                <w:szCs w:val="22"/>
                <w:lang w:val="en-GB"/>
              </w:rPr>
              <w:br/>
              <w:t>(see note 1, 5 and 5*)</w:t>
            </w:r>
          </w:p>
        </w:tc>
        <w:tc>
          <w:tcPr>
            <w:tcW w:w="1787" w:type="pct"/>
            <w:vAlign w:val="top"/>
          </w:tcPr>
          <w:p w14:paraId="19D6DD71" w14:textId="77777777" w:rsidR="000651DD" w:rsidRPr="000651DD" w:rsidRDefault="000651DD" w:rsidP="007B14CF">
            <w:pPr>
              <w:rPr>
                <w:szCs w:val="22"/>
                <w:lang w:val="en-GB"/>
              </w:rPr>
            </w:pPr>
            <w:r w:rsidRPr="000651DD">
              <w:rPr>
                <w:szCs w:val="22"/>
                <w:lang w:val="en-GB"/>
              </w:rPr>
              <w:t>-45 dBm</w:t>
            </w:r>
          </w:p>
        </w:tc>
      </w:tr>
      <w:tr w:rsidR="000651DD" w:rsidRPr="000651DD" w14:paraId="19D6DD78" w14:textId="77777777" w:rsidTr="00AF7192">
        <w:trPr>
          <w:trHeight w:val="265"/>
        </w:trPr>
        <w:tc>
          <w:tcPr>
            <w:tcW w:w="1527" w:type="pct"/>
            <w:vAlign w:val="top"/>
          </w:tcPr>
          <w:p w14:paraId="19D6DD73" w14:textId="77777777" w:rsidR="000651DD" w:rsidRPr="000651DD" w:rsidRDefault="000651DD" w:rsidP="007B14CF">
            <w:pPr>
              <w:rPr>
                <w:szCs w:val="22"/>
                <w:lang w:val="en-GB"/>
              </w:rPr>
            </w:pPr>
            <w:r w:rsidRPr="000651DD">
              <w:rPr>
                <w:szCs w:val="22"/>
                <w:lang w:val="en-GB"/>
              </w:rPr>
              <w:t xml:space="preserve">3.4 to 3.8 GHz </w:t>
            </w:r>
          </w:p>
          <w:p w14:paraId="19D6DD74" w14:textId="77777777" w:rsidR="000651DD" w:rsidRPr="000651DD" w:rsidRDefault="000651DD" w:rsidP="007B14CF">
            <w:pPr>
              <w:rPr>
                <w:szCs w:val="22"/>
                <w:lang w:val="en-GB"/>
              </w:rPr>
            </w:pPr>
            <w:r w:rsidRPr="000651DD">
              <w:rPr>
                <w:szCs w:val="22"/>
                <w:lang w:val="en-GB"/>
              </w:rPr>
              <w:t>(see note 3)</w:t>
            </w:r>
          </w:p>
        </w:tc>
        <w:tc>
          <w:tcPr>
            <w:tcW w:w="1686" w:type="pct"/>
            <w:vAlign w:val="top"/>
          </w:tcPr>
          <w:p w14:paraId="19D6DD75" w14:textId="77777777" w:rsidR="000651DD" w:rsidRPr="000651DD" w:rsidRDefault="000651DD" w:rsidP="007B14CF">
            <w:pPr>
              <w:jc w:val="left"/>
              <w:rPr>
                <w:rFonts w:cs="Arial"/>
                <w:szCs w:val="22"/>
                <w:lang w:val="en-GB"/>
              </w:rPr>
            </w:pPr>
            <w:r w:rsidRPr="000651DD">
              <w:rPr>
                <w:rFonts w:cs="Arial"/>
                <w:szCs w:val="22"/>
                <w:lang w:val="en-GB"/>
              </w:rPr>
              <w:t>- 70 dBm/MHz</w:t>
            </w:r>
          </w:p>
          <w:p w14:paraId="19D6DD76" w14:textId="77777777" w:rsidR="000651DD" w:rsidRPr="000651DD" w:rsidRDefault="000651DD" w:rsidP="007B14CF">
            <w:pPr>
              <w:jc w:val="left"/>
              <w:rPr>
                <w:szCs w:val="22"/>
                <w:lang w:val="en-GB"/>
              </w:rPr>
            </w:pPr>
            <w:r w:rsidRPr="000651DD">
              <w:rPr>
                <w:rFonts w:cs="Arial"/>
                <w:szCs w:val="22"/>
                <w:lang w:val="en-GB"/>
              </w:rPr>
              <w:t>(see notes 2, 5 and 5*)</w:t>
            </w:r>
          </w:p>
        </w:tc>
        <w:tc>
          <w:tcPr>
            <w:tcW w:w="1787" w:type="pct"/>
            <w:vAlign w:val="top"/>
          </w:tcPr>
          <w:p w14:paraId="19D6DD77" w14:textId="77777777" w:rsidR="000651DD" w:rsidRPr="000651DD" w:rsidRDefault="000651DD" w:rsidP="007B14CF">
            <w:pPr>
              <w:rPr>
                <w:szCs w:val="22"/>
                <w:lang w:val="en-GB"/>
              </w:rPr>
            </w:pPr>
            <w:r w:rsidRPr="000651DD">
              <w:rPr>
                <w:szCs w:val="22"/>
                <w:lang w:val="en-GB"/>
              </w:rPr>
              <w:t>-45 dBm</w:t>
            </w:r>
          </w:p>
        </w:tc>
      </w:tr>
      <w:tr w:rsidR="000651DD" w:rsidRPr="000651DD" w14:paraId="19D6DD7D" w14:textId="77777777" w:rsidTr="00AF7192">
        <w:trPr>
          <w:trHeight w:val="265"/>
        </w:trPr>
        <w:tc>
          <w:tcPr>
            <w:tcW w:w="1527" w:type="pct"/>
            <w:vAlign w:val="top"/>
          </w:tcPr>
          <w:p w14:paraId="19D6DD79" w14:textId="77777777" w:rsidR="000651DD" w:rsidRPr="000651DD" w:rsidRDefault="000651DD" w:rsidP="007B14CF">
            <w:pPr>
              <w:rPr>
                <w:szCs w:val="22"/>
                <w:lang w:val="en-GB"/>
              </w:rPr>
            </w:pPr>
            <w:r w:rsidRPr="000651DD">
              <w:rPr>
                <w:szCs w:val="22"/>
                <w:lang w:val="en-GB"/>
              </w:rPr>
              <w:t xml:space="preserve">3.8 to 4.8 GHz </w:t>
            </w:r>
          </w:p>
        </w:tc>
        <w:tc>
          <w:tcPr>
            <w:tcW w:w="1686" w:type="pct"/>
            <w:vAlign w:val="top"/>
          </w:tcPr>
          <w:p w14:paraId="19D6DD7A" w14:textId="77777777" w:rsidR="000651DD" w:rsidRPr="000651DD" w:rsidRDefault="000651DD" w:rsidP="007B14CF">
            <w:pPr>
              <w:jc w:val="left"/>
              <w:rPr>
                <w:rFonts w:cs="Arial"/>
                <w:szCs w:val="22"/>
                <w:lang w:val="en-GB"/>
              </w:rPr>
            </w:pPr>
            <w:r w:rsidRPr="000651DD">
              <w:rPr>
                <w:rFonts w:cs="Arial"/>
                <w:szCs w:val="22"/>
                <w:lang w:val="en-GB"/>
              </w:rPr>
              <w:t>-50 dBm/MHz</w:t>
            </w:r>
          </w:p>
          <w:p w14:paraId="19D6DD7B" w14:textId="77777777" w:rsidR="000651DD" w:rsidRPr="000651DD" w:rsidRDefault="000651DD" w:rsidP="007B14CF">
            <w:pPr>
              <w:jc w:val="left"/>
              <w:rPr>
                <w:szCs w:val="22"/>
                <w:lang w:val="en-GB"/>
              </w:rPr>
            </w:pPr>
            <w:r w:rsidRPr="000651DD">
              <w:rPr>
                <w:rFonts w:cs="Arial"/>
                <w:szCs w:val="22"/>
                <w:lang w:val="en-GB"/>
              </w:rPr>
              <w:t>(see notes 5 and 5*)</w:t>
            </w:r>
          </w:p>
        </w:tc>
        <w:tc>
          <w:tcPr>
            <w:tcW w:w="1787" w:type="pct"/>
            <w:vAlign w:val="top"/>
          </w:tcPr>
          <w:p w14:paraId="19D6DD7C" w14:textId="77777777" w:rsidR="000651DD" w:rsidRPr="000651DD" w:rsidRDefault="000651DD" w:rsidP="007B14CF">
            <w:pPr>
              <w:rPr>
                <w:szCs w:val="22"/>
                <w:lang w:val="en-GB"/>
              </w:rPr>
            </w:pPr>
            <w:r w:rsidRPr="000651DD">
              <w:rPr>
                <w:szCs w:val="22"/>
                <w:lang w:val="en-GB"/>
              </w:rPr>
              <w:t>-25 dBm</w:t>
            </w:r>
          </w:p>
        </w:tc>
      </w:tr>
      <w:tr w:rsidR="000651DD" w:rsidRPr="000651DD" w14:paraId="19D6DD83" w14:textId="77777777" w:rsidTr="00AF7192">
        <w:trPr>
          <w:trHeight w:val="265"/>
        </w:trPr>
        <w:tc>
          <w:tcPr>
            <w:tcW w:w="1527" w:type="pct"/>
            <w:vAlign w:val="top"/>
          </w:tcPr>
          <w:p w14:paraId="19D6DD7E" w14:textId="77777777" w:rsidR="000651DD" w:rsidRPr="000651DD" w:rsidRDefault="000651DD" w:rsidP="007B14CF">
            <w:pPr>
              <w:rPr>
                <w:szCs w:val="22"/>
                <w:lang w:val="en-GB"/>
              </w:rPr>
            </w:pPr>
            <w:r w:rsidRPr="000651DD">
              <w:rPr>
                <w:szCs w:val="22"/>
                <w:lang w:val="en-GB"/>
              </w:rPr>
              <w:t xml:space="preserve">4.8 to 5.0 GHz </w:t>
            </w:r>
          </w:p>
          <w:p w14:paraId="19D6DD7F" w14:textId="77777777" w:rsidR="000651DD" w:rsidRPr="000651DD" w:rsidRDefault="000651DD" w:rsidP="007B14CF">
            <w:pPr>
              <w:rPr>
                <w:szCs w:val="22"/>
                <w:lang w:val="en-GB"/>
              </w:rPr>
            </w:pPr>
            <w:r w:rsidRPr="000651DD">
              <w:rPr>
                <w:szCs w:val="22"/>
                <w:lang w:val="en-GB"/>
              </w:rPr>
              <w:t>(see note 3)</w:t>
            </w:r>
          </w:p>
        </w:tc>
        <w:tc>
          <w:tcPr>
            <w:tcW w:w="1686" w:type="pct"/>
            <w:vAlign w:val="top"/>
          </w:tcPr>
          <w:p w14:paraId="19D6DD80" w14:textId="77777777" w:rsidR="000651DD" w:rsidRPr="000651DD" w:rsidRDefault="000651DD" w:rsidP="007B14CF">
            <w:pPr>
              <w:jc w:val="left"/>
              <w:rPr>
                <w:rFonts w:cs="Arial"/>
                <w:szCs w:val="22"/>
                <w:lang w:val="en-GB"/>
              </w:rPr>
            </w:pPr>
            <w:r w:rsidRPr="000651DD">
              <w:rPr>
                <w:rFonts w:cs="Arial"/>
                <w:szCs w:val="22"/>
                <w:lang w:val="en-GB"/>
              </w:rPr>
              <w:t>-5</w:t>
            </w:r>
            <w:r w:rsidR="00FB6AD2">
              <w:rPr>
                <w:rFonts w:cs="Arial"/>
                <w:szCs w:val="22"/>
                <w:lang w:val="en-GB"/>
              </w:rPr>
              <w:t>5</w:t>
            </w:r>
            <w:r w:rsidRPr="000651DD">
              <w:rPr>
                <w:rFonts w:cs="Arial"/>
                <w:szCs w:val="22"/>
                <w:lang w:val="en-GB"/>
              </w:rPr>
              <w:t xml:space="preserve"> dBm/MHz</w:t>
            </w:r>
          </w:p>
          <w:p w14:paraId="19D6DD81" w14:textId="77777777" w:rsidR="000651DD" w:rsidRPr="000651DD" w:rsidRDefault="000651DD" w:rsidP="007B14CF">
            <w:pPr>
              <w:jc w:val="left"/>
              <w:rPr>
                <w:szCs w:val="22"/>
                <w:lang w:val="en-GB"/>
              </w:rPr>
            </w:pPr>
            <w:r w:rsidRPr="000651DD">
              <w:rPr>
                <w:rFonts w:cs="Arial"/>
                <w:szCs w:val="22"/>
                <w:lang w:val="en-GB"/>
              </w:rPr>
              <w:t>(see notes 2 and 2*)</w:t>
            </w:r>
          </w:p>
        </w:tc>
        <w:tc>
          <w:tcPr>
            <w:tcW w:w="1787" w:type="pct"/>
            <w:vAlign w:val="top"/>
          </w:tcPr>
          <w:p w14:paraId="19D6DD82" w14:textId="77777777" w:rsidR="000651DD" w:rsidRPr="000651DD" w:rsidRDefault="000651DD" w:rsidP="007B14CF">
            <w:pPr>
              <w:rPr>
                <w:szCs w:val="22"/>
                <w:lang w:val="en-GB"/>
              </w:rPr>
            </w:pPr>
            <w:r w:rsidRPr="000651DD">
              <w:rPr>
                <w:szCs w:val="22"/>
                <w:lang w:val="en-GB"/>
              </w:rPr>
              <w:t>-</w:t>
            </w:r>
            <w:r w:rsidR="00FB6AD2">
              <w:rPr>
                <w:szCs w:val="22"/>
                <w:lang w:val="en-GB"/>
              </w:rPr>
              <w:t>30</w:t>
            </w:r>
            <w:r w:rsidRPr="000651DD">
              <w:rPr>
                <w:szCs w:val="22"/>
                <w:lang w:val="en-GB"/>
              </w:rPr>
              <w:t xml:space="preserve"> dBm</w:t>
            </w:r>
          </w:p>
        </w:tc>
      </w:tr>
      <w:tr w:rsidR="000651DD" w:rsidRPr="000651DD" w14:paraId="19D6DD87" w14:textId="77777777" w:rsidTr="00AF7192">
        <w:trPr>
          <w:trHeight w:val="265"/>
        </w:trPr>
        <w:tc>
          <w:tcPr>
            <w:tcW w:w="1527" w:type="pct"/>
            <w:vAlign w:val="top"/>
          </w:tcPr>
          <w:p w14:paraId="19D6DD84" w14:textId="77777777" w:rsidR="000651DD" w:rsidRPr="000651DD" w:rsidRDefault="000651DD" w:rsidP="007B14CF">
            <w:pPr>
              <w:rPr>
                <w:szCs w:val="22"/>
                <w:lang w:val="en-GB"/>
              </w:rPr>
            </w:pPr>
            <w:r w:rsidRPr="000651DD">
              <w:rPr>
                <w:szCs w:val="22"/>
                <w:lang w:val="en-GB"/>
              </w:rPr>
              <w:t>5.0 to 5.25 GHz</w:t>
            </w:r>
          </w:p>
        </w:tc>
        <w:tc>
          <w:tcPr>
            <w:tcW w:w="1686" w:type="pct"/>
            <w:vAlign w:val="top"/>
          </w:tcPr>
          <w:p w14:paraId="19D6DD85" w14:textId="761382A4" w:rsidR="000651DD" w:rsidRPr="000651DD" w:rsidRDefault="000651DD" w:rsidP="007B14CF">
            <w:pPr>
              <w:jc w:val="left"/>
              <w:rPr>
                <w:szCs w:val="22"/>
                <w:lang w:val="en-GB"/>
              </w:rPr>
            </w:pPr>
            <w:r w:rsidRPr="000651DD">
              <w:rPr>
                <w:szCs w:val="22"/>
                <w:lang w:val="en-GB"/>
              </w:rPr>
              <w:t>-55 dBm/MHz</w:t>
            </w:r>
          </w:p>
        </w:tc>
        <w:tc>
          <w:tcPr>
            <w:tcW w:w="1787" w:type="pct"/>
            <w:vAlign w:val="top"/>
          </w:tcPr>
          <w:p w14:paraId="19D6DD86" w14:textId="77777777" w:rsidR="000651DD" w:rsidRPr="000651DD" w:rsidRDefault="000651DD" w:rsidP="007B14CF">
            <w:pPr>
              <w:rPr>
                <w:szCs w:val="22"/>
                <w:lang w:val="en-GB"/>
              </w:rPr>
            </w:pPr>
            <w:r w:rsidRPr="000651DD">
              <w:rPr>
                <w:szCs w:val="22"/>
                <w:lang w:val="en-GB"/>
              </w:rPr>
              <w:t>-30 dBm</w:t>
            </w:r>
          </w:p>
        </w:tc>
      </w:tr>
      <w:tr w:rsidR="000651DD" w:rsidRPr="000651DD" w14:paraId="19D6DD8B" w14:textId="77777777" w:rsidTr="00AF7192">
        <w:trPr>
          <w:trHeight w:val="265"/>
        </w:trPr>
        <w:tc>
          <w:tcPr>
            <w:tcW w:w="1527" w:type="pct"/>
            <w:vAlign w:val="top"/>
          </w:tcPr>
          <w:p w14:paraId="19D6DD88" w14:textId="77777777" w:rsidR="000651DD" w:rsidRPr="000651DD" w:rsidRDefault="000651DD" w:rsidP="007B14CF">
            <w:pPr>
              <w:rPr>
                <w:szCs w:val="22"/>
                <w:lang w:val="en-GB"/>
              </w:rPr>
            </w:pPr>
            <w:r w:rsidRPr="000651DD">
              <w:rPr>
                <w:szCs w:val="22"/>
                <w:lang w:val="en-GB"/>
              </w:rPr>
              <w:lastRenderedPageBreak/>
              <w:t>5.25 to 5.35 GHz</w:t>
            </w:r>
          </w:p>
        </w:tc>
        <w:tc>
          <w:tcPr>
            <w:tcW w:w="1686" w:type="pct"/>
            <w:vAlign w:val="top"/>
          </w:tcPr>
          <w:p w14:paraId="19D6DD89" w14:textId="77777777" w:rsidR="000651DD" w:rsidRPr="000651DD" w:rsidRDefault="000651DD" w:rsidP="007B14CF">
            <w:pPr>
              <w:jc w:val="left"/>
              <w:rPr>
                <w:szCs w:val="22"/>
                <w:lang w:val="en-GB"/>
              </w:rPr>
            </w:pPr>
            <w:r w:rsidRPr="000651DD">
              <w:rPr>
                <w:szCs w:val="22"/>
                <w:lang w:val="en-GB"/>
              </w:rPr>
              <w:t>-50 dBm/MHz</w:t>
            </w:r>
          </w:p>
        </w:tc>
        <w:tc>
          <w:tcPr>
            <w:tcW w:w="1787" w:type="pct"/>
            <w:vAlign w:val="top"/>
          </w:tcPr>
          <w:p w14:paraId="19D6DD8A" w14:textId="77777777" w:rsidR="000651DD" w:rsidRPr="000651DD" w:rsidRDefault="000651DD" w:rsidP="007B14CF">
            <w:pPr>
              <w:rPr>
                <w:szCs w:val="22"/>
                <w:lang w:val="en-GB"/>
              </w:rPr>
            </w:pPr>
            <w:r w:rsidRPr="000651DD">
              <w:rPr>
                <w:szCs w:val="22"/>
                <w:lang w:val="en-GB"/>
              </w:rPr>
              <w:t>-25 dBm</w:t>
            </w:r>
          </w:p>
        </w:tc>
      </w:tr>
      <w:tr w:rsidR="000651DD" w:rsidRPr="000651DD" w14:paraId="19D6DD8F" w14:textId="77777777" w:rsidTr="00AF7192">
        <w:trPr>
          <w:trHeight w:val="265"/>
        </w:trPr>
        <w:tc>
          <w:tcPr>
            <w:tcW w:w="1527" w:type="pct"/>
            <w:vAlign w:val="top"/>
          </w:tcPr>
          <w:p w14:paraId="19D6DD8C" w14:textId="77777777" w:rsidR="000651DD" w:rsidRPr="000651DD" w:rsidRDefault="000651DD" w:rsidP="007B14CF">
            <w:pPr>
              <w:rPr>
                <w:szCs w:val="22"/>
                <w:lang w:val="en-GB"/>
              </w:rPr>
            </w:pPr>
            <w:r w:rsidRPr="000651DD">
              <w:rPr>
                <w:szCs w:val="22"/>
                <w:lang w:val="en-GB"/>
              </w:rPr>
              <w:t>5.35 to 5.6 GHz</w:t>
            </w:r>
          </w:p>
        </w:tc>
        <w:tc>
          <w:tcPr>
            <w:tcW w:w="1686" w:type="pct"/>
            <w:vAlign w:val="top"/>
          </w:tcPr>
          <w:p w14:paraId="19D6DD8D" w14:textId="77777777" w:rsidR="000651DD" w:rsidRPr="000651DD" w:rsidRDefault="000651DD" w:rsidP="007B14CF">
            <w:pPr>
              <w:jc w:val="left"/>
              <w:rPr>
                <w:szCs w:val="22"/>
                <w:lang w:val="en-GB"/>
              </w:rPr>
            </w:pPr>
            <w:r w:rsidRPr="000651DD">
              <w:rPr>
                <w:szCs w:val="22"/>
                <w:lang w:val="en-GB"/>
              </w:rPr>
              <w:t>-50 dBm/MHz</w:t>
            </w:r>
          </w:p>
        </w:tc>
        <w:tc>
          <w:tcPr>
            <w:tcW w:w="1787" w:type="pct"/>
            <w:vAlign w:val="top"/>
          </w:tcPr>
          <w:p w14:paraId="19D6DD8E" w14:textId="77777777" w:rsidR="000651DD" w:rsidRPr="000651DD" w:rsidRDefault="000651DD" w:rsidP="007B14CF">
            <w:pPr>
              <w:rPr>
                <w:szCs w:val="22"/>
                <w:lang w:val="en-GB"/>
              </w:rPr>
            </w:pPr>
            <w:r w:rsidRPr="000651DD">
              <w:rPr>
                <w:szCs w:val="22"/>
                <w:lang w:val="en-GB"/>
              </w:rPr>
              <w:t>-25 dBm</w:t>
            </w:r>
          </w:p>
        </w:tc>
      </w:tr>
      <w:tr w:rsidR="000651DD" w:rsidRPr="000651DD" w14:paraId="19D6DD93" w14:textId="77777777" w:rsidTr="00AF7192">
        <w:trPr>
          <w:trHeight w:val="265"/>
        </w:trPr>
        <w:tc>
          <w:tcPr>
            <w:tcW w:w="1527" w:type="pct"/>
            <w:vAlign w:val="top"/>
          </w:tcPr>
          <w:p w14:paraId="19D6DD90" w14:textId="77777777" w:rsidR="000651DD" w:rsidRPr="000651DD" w:rsidRDefault="000651DD" w:rsidP="007B14CF">
            <w:pPr>
              <w:rPr>
                <w:szCs w:val="22"/>
                <w:lang w:val="en-GB"/>
              </w:rPr>
            </w:pPr>
            <w:r w:rsidRPr="000651DD">
              <w:rPr>
                <w:szCs w:val="22"/>
                <w:lang w:val="en-GB"/>
              </w:rPr>
              <w:t>5.6 to 5.65 GHz</w:t>
            </w:r>
          </w:p>
        </w:tc>
        <w:tc>
          <w:tcPr>
            <w:tcW w:w="1686" w:type="pct"/>
            <w:vAlign w:val="top"/>
          </w:tcPr>
          <w:p w14:paraId="19D6DD91" w14:textId="77777777" w:rsidR="000651DD" w:rsidRPr="000651DD" w:rsidRDefault="000651DD" w:rsidP="007B14CF">
            <w:pPr>
              <w:jc w:val="left"/>
              <w:rPr>
                <w:szCs w:val="22"/>
                <w:lang w:val="en-GB"/>
              </w:rPr>
            </w:pPr>
            <w:r w:rsidRPr="000651DD">
              <w:rPr>
                <w:szCs w:val="22"/>
                <w:lang w:val="en-GB"/>
              </w:rPr>
              <w:t>-50 dBm/MHz</w:t>
            </w:r>
          </w:p>
        </w:tc>
        <w:tc>
          <w:tcPr>
            <w:tcW w:w="1787" w:type="pct"/>
            <w:vAlign w:val="top"/>
          </w:tcPr>
          <w:p w14:paraId="19D6DD92" w14:textId="77777777" w:rsidR="000651DD" w:rsidRPr="000651DD" w:rsidRDefault="000651DD" w:rsidP="007B14CF">
            <w:pPr>
              <w:rPr>
                <w:szCs w:val="22"/>
                <w:lang w:val="en-GB"/>
              </w:rPr>
            </w:pPr>
            <w:r w:rsidRPr="000651DD">
              <w:rPr>
                <w:szCs w:val="22"/>
                <w:lang w:val="en-GB"/>
              </w:rPr>
              <w:t>-25 dBm</w:t>
            </w:r>
          </w:p>
        </w:tc>
      </w:tr>
      <w:tr w:rsidR="000651DD" w:rsidRPr="000651DD" w14:paraId="19D6DD97" w14:textId="77777777" w:rsidTr="00AF7192">
        <w:trPr>
          <w:trHeight w:val="265"/>
        </w:trPr>
        <w:tc>
          <w:tcPr>
            <w:tcW w:w="1527" w:type="pct"/>
            <w:vAlign w:val="top"/>
          </w:tcPr>
          <w:p w14:paraId="19D6DD94" w14:textId="77777777" w:rsidR="000651DD" w:rsidRPr="000651DD" w:rsidRDefault="000651DD" w:rsidP="007B14CF">
            <w:pPr>
              <w:rPr>
                <w:szCs w:val="22"/>
                <w:lang w:val="en-GB"/>
              </w:rPr>
            </w:pPr>
            <w:r w:rsidRPr="000651DD">
              <w:rPr>
                <w:szCs w:val="22"/>
                <w:lang w:val="en-GB"/>
              </w:rPr>
              <w:t>5.65 to 5.725 GHz</w:t>
            </w:r>
          </w:p>
        </w:tc>
        <w:tc>
          <w:tcPr>
            <w:tcW w:w="1686" w:type="pct"/>
            <w:vAlign w:val="top"/>
          </w:tcPr>
          <w:p w14:paraId="19D6DD95" w14:textId="77777777" w:rsidR="000651DD" w:rsidRPr="000651DD" w:rsidRDefault="000651DD" w:rsidP="007B14CF">
            <w:pPr>
              <w:jc w:val="left"/>
              <w:rPr>
                <w:szCs w:val="22"/>
                <w:lang w:val="en-GB"/>
              </w:rPr>
            </w:pPr>
            <w:r w:rsidRPr="000651DD">
              <w:rPr>
                <w:szCs w:val="22"/>
                <w:lang w:val="en-GB"/>
              </w:rPr>
              <w:t>-65 dBm/MHz</w:t>
            </w:r>
          </w:p>
        </w:tc>
        <w:tc>
          <w:tcPr>
            <w:tcW w:w="1787" w:type="pct"/>
            <w:vAlign w:val="top"/>
          </w:tcPr>
          <w:p w14:paraId="19D6DD96" w14:textId="77777777" w:rsidR="000651DD" w:rsidRPr="000651DD" w:rsidRDefault="000651DD" w:rsidP="007B14CF">
            <w:pPr>
              <w:rPr>
                <w:szCs w:val="22"/>
                <w:lang w:val="en-GB"/>
              </w:rPr>
            </w:pPr>
            <w:r w:rsidRPr="000651DD">
              <w:rPr>
                <w:szCs w:val="22"/>
                <w:lang w:val="en-GB"/>
              </w:rPr>
              <w:t>-40 dBm</w:t>
            </w:r>
          </w:p>
        </w:tc>
      </w:tr>
      <w:tr w:rsidR="000651DD" w:rsidRPr="000651DD" w14:paraId="19D6DD9B" w14:textId="77777777" w:rsidTr="00AF7192">
        <w:trPr>
          <w:trHeight w:val="265"/>
        </w:trPr>
        <w:tc>
          <w:tcPr>
            <w:tcW w:w="1527" w:type="pct"/>
            <w:vAlign w:val="top"/>
          </w:tcPr>
          <w:p w14:paraId="19D6DD98" w14:textId="77777777" w:rsidR="000651DD" w:rsidRPr="000651DD" w:rsidRDefault="000651DD" w:rsidP="007B14CF">
            <w:pPr>
              <w:rPr>
                <w:szCs w:val="22"/>
                <w:lang w:val="en-GB"/>
              </w:rPr>
            </w:pPr>
            <w:r w:rsidRPr="000651DD">
              <w:rPr>
                <w:szCs w:val="22"/>
                <w:lang w:val="en-GB"/>
              </w:rPr>
              <w:t>5.725 to 6.0 GHz</w:t>
            </w:r>
          </w:p>
        </w:tc>
        <w:tc>
          <w:tcPr>
            <w:tcW w:w="1686" w:type="pct"/>
            <w:vAlign w:val="top"/>
          </w:tcPr>
          <w:p w14:paraId="19D6DD99" w14:textId="77777777" w:rsidR="000651DD" w:rsidRPr="000651DD" w:rsidRDefault="000651DD" w:rsidP="007B14CF">
            <w:pPr>
              <w:jc w:val="left"/>
              <w:rPr>
                <w:szCs w:val="22"/>
                <w:lang w:val="en-GB"/>
              </w:rPr>
            </w:pPr>
            <w:r w:rsidRPr="000651DD">
              <w:rPr>
                <w:szCs w:val="22"/>
                <w:lang w:val="en-GB"/>
              </w:rPr>
              <w:t>-60 dBm/MHz</w:t>
            </w:r>
          </w:p>
        </w:tc>
        <w:tc>
          <w:tcPr>
            <w:tcW w:w="1787" w:type="pct"/>
            <w:vAlign w:val="top"/>
          </w:tcPr>
          <w:p w14:paraId="19D6DD9A" w14:textId="77777777" w:rsidR="000651DD" w:rsidRPr="000651DD" w:rsidRDefault="000651DD" w:rsidP="007B14CF">
            <w:pPr>
              <w:rPr>
                <w:szCs w:val="22"/>
                <w:lang w:val="en-GB"/>
              </w:rPr>
            </w:pPr>
            <w:r w:rsidRPr="000651DD">
              <w:rPr>
                <w:szCs w:val="22"/>
                <w:lang w:val="en-GB"/>
              </w:rPr>
              <w:t>-35 dBm</w:t>
            </w:r>
          </w:p>
        </w:tc>
      </w:tr>
      <w:tr w:rsidR="000651DD" w:rsidRPr="000651DD" w14:paraId="19D6DDA0" w14:textId="77777777" w:rsidTr="00AF7192">
        <w:trPr>
          <w:trHeight w:val="265"/>
        </w:trPr>
        <w:tc>
          <w:tcPr>
            <w:tcW w:w="1527" w:type="pct"/>
            <w:vAlign w:val="top"/>
          </w:tcPr>
          <w:p w14:paraId="19D6DD9C" w14:textId="77777777" w:rsidR="000651DD" w:rsidRPr="000651DD" w:rsidRDefault="000651DD" w:rsidP="007B14CF">
            <w:pPr>
              <w:rPr>
                <w:szCs w:val="22"/>
                <w:lang w:val="en-GB"/>
              </w:rPr>
            </w:pPr>
            <w:r w:rsidRPr="000651DD">
              <w:rPr>
                <w:szCs w:val="22"/>
                <w:lang w:val="en-GB"/>
              </w:rPr>
              <w:t>6.0 to 8.5 GHz</w:t>
            </w:r>
          </w:p>
        </w:tc>
        <w:tc>
          <w:tcPr>
            <w:tcW w:w="1686" w:type="pct"/>
            <w:vAlign w:val="top"/>
          </w:tcPr>
          <w:p w14:paraId="19D6DD9D" w14:textId="77777777" w:rsidR="000651DD" w:rsidRPr="000651DD" w:rsidRDefault="000651DD" w:rsidP="007B14CF">
            <w:pPr>
              <w:jc w:val="left"/>
              <w:rPr>
                <w:szCs w:val="22"/>
                <w:lang w:val="en-GB"/>
              </w:rPr>
            </w:pPr>
            <w:r w:rsidRPr="000651DD">
              <w:rPr>
                <w:szCs w:val="22"/>
                <w:lang w:val="en-GB"/>
              </w:rPr>
              <w:t>-41.3 dBm/MHz</w:t>
            </w:r>
          </w:p>
          <w:p w14:paraId="19D6DD9E" w14:textId="77777777" w:rsidR="000651DD" w:rsidRPr="000651DD" w:rsidRDefault="000651DD" w:rsidP="007B14CF">
            <w:pPr>
              <w:jc w:val="left"/>
              <w:rPr>
                <w:szCs w:val="22"/>
                <w:lang w:val="en-GB"/>
              </w:rPr>
            </w:pPr>
            <w:r w:rsidRPr="000651DD">
              <w:rPr>
                <w:szCs w:val="22"/>
                <w:lang w:val="en-GB"/>
              </w:rPr>
              <w:t>(see note 4)</w:t>
            </w:r>
          </w:p>
        </w:tc>
        <w:tc>
          <w:tcPr>
            <w:tcW w:w="1787" w:type="pct"/>
            <w:vAlign w:val="top"/>
          </w:tcPr>
          <w:p w14:paraId="19D6DD9F" w14:textId="77777777" w:rsidR="000651DD" w:rsidRPr="000651DD" w:rsidRDefault="000651DD" w:rsidP="007B14CF">
            <w:pPr>
              <w:rPr>
                <w:szCs w:val="22"/>
                <w:lang w:val="en-GB"/>
              </w:rPr>
            </w:pPr>
            <w:r w:rsidRPr="000651DD">
              <w:rPr>
                <w:szCs w:val="22"/>
                <w:lang w:val="en-GB"/>
              </w:rPr>
              <w:t>0 dBm</w:t>
            </w:r>
          </w:p>
        </w:tc>
      </w:tr>
      <w:tr w:rsidR="000651DD" w:rsidRPr="000651DD" w14:paraId="19D6DDA4" w14:textId="77777777" w:rsidTr="00AF7192">
        <w:trPr>
          <w:trHeight w:val="265"/>
        </w:trPr>
        <w:tc>
          <w:tcPr>
            <w:tcW w:w="1527" w:type="pct"/>
            <w:vAlign w:val="top"/>
          </w:tcPr>
          <w:p w14:paraId="19D6DDA1" w14:textId="77777777" w:rsidR="000651DD" w:rsidRPr="000651DD" w:rsidRDefault="000651DD" w:rsidP="007B14CF">
            <w:pPr>
              <w:rPr>
                <w:szCs w:val="22"/>
                <w:lang w:val="en-GB"/>
              </w:rPr>
            </w:pPr>
            <w:r w:rsidRPr="000651DD">
              <w:rPr>
                <w:szCs w:val="22"/>
                <w:lang w:val="en-GB"/>
              </w:rPr>
              <w:t xml:space="preserve">8.5 to 9.0 GHz </w:t>
            </w:r>
          </w:p>
        </w:tc>
        <w:tc>
          <w:tcPr>
            <w:tcW w:w="1686" w:type="pct"/>
            <w:vAlign w:val="top"/>
          </w:tcPr>
          <w:p w14:paraId="19D6DDA2" w14:textId="77777777" w:rsidR="000651DD" w:rsidRPr="000651DD" w:rsidRDefault="000651DD" w:rsidP="007B14CF">
            <w:pPr>
              <w:jc w:val="left"/>
              <w:rPr>
                <w:szCs w:val="22"/>
                <w:lang w:val="en-GB"/>
              </w:rPr>
            </w:pPr>
            <w:r w:rsidRPr="000651DD">
              <w:rPr>
                <w:szCs w:val="22"/>
                <w:lang w:val="en-GB"/>
              </w:rPr>
              <w:t>-65 dBm/MHz</w:t>
            </w:r>
            <w:r w:rsidRPr="000651DD">
              <w:rPr>
                <w:szCs w:val="22"/>
                <w:lang w:val="en-GB"/>
              </w:rPr>
              <w:br/>
              <w:t>(see note 5*)</w:t>
            </w:r>
          </w:p>
        </w:tc>
        <w:tc>
          <w:tcPr>
            <w:tcW w:w="1787" w:type="pct"/>
            <w:vAlign w:val="top"/>
          </w:tcPr>
          <w:p w14:paraId="19D6DDA3" w14:textId="77777777" w:rsidR="000651DD" w:rsidRPr="000651DD" w:rsidRDefault="000651DD" w:rsidP="007B14CF">
            <w:pPr>
              <w:rPr>
                <w:szCs w:val="22"/>
                <w:lang w:val="en-GB"/>
              </w:rPr>
            </w:pPr>
            <w:r w:rsidRPr="000651DD">
              <w:rPr>
                <w:szCs w:val="22"/>
                <w:lang w:val="en-GB"/>
              </w:rPr>
              <w:t>-25 dBm</w:t>
            </w:r>
          </w:p>
        </w:tc>
      </w:tr>
      <w:tr w:rsidR="000651DD" w:rsidRPr="000651DD" w14:paraId="19D6DDA9" w14:textId="77777777" w:rsidTr="00AF7192">
        <w:trPr>
          <w:trHeight w:val="265"/>
        </w:trPr>
        <w:tc>
          <w:tcPr>
            <w:tcW w:w="1527" w:type="pct"/>
            <w:vAlign w:val="top"/>
          </w:tcPr>
          <w:p w14:paraId="19D6DDA5" w14:textId="77777777" w:rsidR="000651DD" w:rsidRPr="000651DD" w:rsidRDefault="000651DD" w:rsidP="007B14CF">
            <w:pPr>
              <w:rPr>
                <w:szCs w:val="22"/>
                <w:lang w:val="en-GB"/>
              </w:rPr>
            </w:pPr>
            <w:r w:rsidRPr="000651DD">
              <w:rPr>
                <w:szCs w:val="22"/>
                <w:lang w:val="en-GB"/>
              </w:rPr>
              <w:t xml:space="preserve">9.0 to 10.6 GHz </w:t>
            </w:r>
          </w:p>
        </w:tc>
        <w:tc>
          <w:tcPr>
            <w:tcW w:w="1686" w:type="pct"/>
            <w:vAlign w:val="top"/>
          </w:tcPr>
          <w:p w14:paraId="19D6DDA7" w14:textId="5B88BBFA" w:rsidR="000651DD" w:rsidRPr="000651DD" w:rsidRDefault="000651DD" w:rsidP="007B14CF">
            <w:pPr>
              <w:jc w:val="left"/>
              <w:rPr>
                <w:szCs w:val="22"/>
                <w:lang w:val="en-GB"/>
              </w:rPr>
            </w:pPr>
            <w:r w:rsidRPr="000651DD">
              <w:rPr>
                <w:szCs w:val="22"/>
                <w:lang w:val="en-GB"/>
              </w:rPr>
              <w:t>-65 dBm/MHz</w:t>
            </w:r>
          </w:p>
        </w:tc>
        <w:tc>
          <w:tcPr>
            <w:tcW w:w="1787" w:type="pct"/>
            <w:vAlign w:val="top"/>
          </w:tcPr>
          <w:p w14:paraId="19D6DDA8" w14:textId="77777777" w:rsidR="000651DD" w:rsidRPr="000651DD" w:rsidRDefault="000651DD" w:rsidP="007B14CF">
            <w:pPr>
              <w:rPr>
                <w:szCs w:val="22"/>
                <w:lang w:val="en-GB"/>
              </w:rPr>
            </w:pPr>
            <w:r w:rsidRPr="000651DD">
              <w:rPr>
                <w:szCs w:val="22"/>
                <w:lang w:val="en-GB"/>
              </w:rPr>
              <w:t>-25 dBm</w:t>
            </w:r>
          </w:p>
        </w:tc>
      </w:tr>
      <w:tr w:rsidR="000651DD" w:rsidRPr="000651DD" w14:paraId="19D6DDAD" w14:textId="77777777" w:rsidTr="00AF7192">
        <w:trPr>
          <w:trHeight w:val="265"/>
        </w:trPr>
        <w:tc>
          <w:tcPr>
            <w:tcW w:w="1527" w:type="pct"/>
            <w:vAlign w:val="top"/>
          </w:tcPr>
          <w:p w14:paraId="19D6DDAA" w14:textId="77777777" w:rsidR="000651DD" w:rsidRPr="000651DD" w:rsidRDefault="000651DD" w:rsidP="007B14CF">
            <w:pPr>
              <w:rPr>
                <w:szCs w:val="22"/>
                <w:lang w:val="en-GB"/>
              </w:rPr>
            </w:pPr>
            <w:r w:rsidRPr="000651DD">
              <w:rPr>
                <w:szCs w:val="22"/>
                <w:lang w:val="en-GB"/>
              </w:rPr>
              <w:t>Above 10.6 GHz</w:t>
            </w:r>
          </w:p>
        </w:tc>
        <w:tc>
          <w:tcPr>
            <w:tcW w:w="1686" w:type="pct"/>
            <w:vAlign w:val="top"/>
          </w:tcPr>
          <w:p w14:paraId="19D6DDAB" w14:textId="77777777" w:rsidR="000651DD" w:rsidRPr="000651DD" w:rsidRDefault="000651DD" w:rsidP="007B14CF">
            <w:pPr>
              <w:jc w:val="left"/>
              <w:rPr>
                <w:szCs w:val="22"/>
                <w:lang w:val="en-GB"/>
              </w:rPr>
            </w:pPr>
            <w:r w:rsidRPr="000651DD">
              <w:rPr>
                <w:szCs w:val="22"/>
                <w:lang w:val="en-GB"/>
              </w:rPr>
              <w:t>-85 dBm/MHz</w:t>
            </w:r>
          </w:p>
        </w:tc>
        <w:tc>
          <w:tcPr>
            <w:tcW w:w="1787" w:type="pct"/>
            <w:vAlign w:val="top"/>
          </w:tcPr>
          <w:p w14:paraId="19D6DDAC" w14:textId="77777777" w:rsidR="000651DD" w:rsidRPr="000651DD" w:rsidRDefault="000651DD" w:rsidP="007B14CF">
            <w:pPr>
              <w:rPr>
                <w:szCs w:val="22"/>
                <w:lang w:val="en-GB"/>
              </w:rPr>
            </w:pPr>
            <w:r w:rsidRPr="000651DD">
              <w:rPr>
                <w:szCs w:val="22"/>
                <w:lang w:val="en-GB"/>
              </w:rPr>
              <w:t>-45 dBm</w:t>
            </w:r>
          </w:p>
        </w:tc>
      </w:tr>
      <w:tr w:rsidR="006E58AF" w:rsidRPr="000651DD" w14:paraId="5BEE1DE3" w14:textId="77777777" w:rsidTr="00AF7192">
        <w:trPr>
          <w:trHeight w:val="265"/>
        </w:trPr>
        <w:tc>
          <w:tcPr>
            <w:tcW w:w="5000" w:type="pct"/>
            <w:gridSpan w:val="3"/>
            <w:vAlign w:val="top"/>
          </w:tcPr>
          <w:p w14:paraId="4EAA809E" w14:textId="77777777" w:rsidR="006E58AF" w:rsidRPr="000651DD" w:rsidRDefault="006E58AF" w:rsidP="00A15C31">
            <w:pPr>
              <w:spacing w:before="40" w:after="40"/>
              <w:ind w:left="851" w:hanging="709"/>
              <w:rPr>
                <w:sz w:val="16"/>
                <w:szCs w:val="16"/>
                <w:lang w:val="en-GB"/>
              </w:rPr>
            </w:pPr>
            <w:r w:rsidRPr="000651DD">
              <w:rPr>
                <w:sz w:val="16"/>
                <w:szCs w:val="16"/>
                <w:lang w:val="en-GB"/>
              </w:rPr>
              <w:t xml:space="preserve">NOTE 1: Devices using a Listen Before Talk (LBT) mechanism or other equivalent mechanisms, as described in the </w:t>
            </w:r>
            <w:r>
              <w:rPr>
                <w:sz w:val="16"/>
                <w:szCs w:val="16"/>
                <w:lang w:val="en-GB"/>
              </w:rPr>
              <w:t>H</w:t>
            </w:r>
            <w:r w:rsidRPr="000651DD">
              <w:rPr>
                <w:sz w:val="16"/>
                <w:szCs w:val="16"/>
                <w:lang w:val="en-GB"/>
              </w:rPr>
              <w:t xml:space="preserve">armonised European </w:t>
            </w:r>
            <w:r>
              <w:rPr>
                <w:sz w:val="16"/>
                <w:szCs w:val="16"/>
                <w:lang w:val="en-GB"/>
              </w:rPr>
              <w:t>S</w:t>
            </w:r>
            <w:r w:rsidRPr="000651DD">
              <w:rPr>
                <w:sz w:val="16"/>
                <w:szCs w:val="16"/>
                <w:lang w:val="en-GB"/>
              </w:rPr>
              <w:t>tandard ETSI EN 302 065-4</w:t>
            </w:r>
            <w:r>
              <w:rPr>
                <w:sz w:val="16"/>
                <w:szCs w:val="16"/>
                <w:lang w:val="en-GB"/>
              </w:rPr>
              <w:t>-1</w:t>
            </w:r>
            <w:r w:rsidRPr="000651DD">
              <w:rPr>
                <w:sz w:val="16"/>
                <w:szCs w:val="16"/>
                <w:lang w:val="en-GB"/>
              </w:rPr>
              <w:t xml:space="preserve"> are permitted to operate in frequency range 1.215 GHz to 1.73 GHz with a maximum mean e.i.r.p. spectral density of -70 dBm/MHz and in the frequency ranges 2.5 GHz to 2.69 GHz and 2.7 GHz to 3.4 GHz with a maximum mean e.i.r.p. spectral density of -50 dBm/MHz  and a maximum peak e.i.r.p of -10dBm/50MHz.</w:t>
            </w:r>
          </w:p>
          <w:p w14:paraId="7E150A02" w14:textId="77777777" w:rsidR="006E58AF" w:rsidRPr="000651DD" w:rsidRDefault="006E58AF" w:rsidP="00A15C31">
            <w:pPr>
              <w:spacing w:before="40" w:after="40"/>
              <w:ind w:left="851" w:hanging="709"/>
              <w:rPr>
                <w:sz w:val="16"/>
                <w:szCs w:val="16"/>
                <w:lang w:val="en-GB"/>
              </w:rPr>
            </w:pPr>
            <w:r w:rsidRPr="000651DD">
              <w:rPr>
                <w:sz w:val="16"/>
                <w:szCs w:val="16"/>
                <w:lang w:val="en-GB"/>
              </w:rPr>
              <w:t>NOTE 2: To protect the radio services</w:t>
            </w:r>
            <w:r>
              <w:rPr>
                <w:sz w:val="16"/>
                <w:szCs w:val="16"/>
                <w:lang w:val="en-GB"/>
              </w:rPr>
              <w:t xml:space="preserve"> </w:t>
            </w:r>
            <w:r w:rsidRPr="00F22277">
              <w:rPr>
                <w:sz w:val="16"/>
                <w:szCs w:val="16"/>
                <w:lang w:val="en-GB"/>
              </w:rPr>
              <w:t>as defined by the ITU Radio Regulations</w:t>
            </w:r>
            <w:r w:rsidRPr="000651DD">
              <w:rPr>
                <w:sz w:val="16"/>
                <w:szCs w:val="16"/>
                <w:lang w:val="en-GB"/>
              </w:rPr>
              <w:t xml:space="preserve">, non-fixed installations must fulfil the following requirement for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w:t>
            </w:r>
            <w:r>
              <w:rPr>
                <w:sz w:val="16"/>
                <w:szCs w:val="16"/>
                <w:lang w:val="en-GB"/>
              </w:rPr>
              <w:t xml:space="preserve"> spectral density</w:t>
            </w:r>
            <w:r w:rsidRPr="000651DD">
              <w:rPr>
                <w:sz w:val="16"/>
                <w:szCs w:val="16"/>
                <w:lang w:val="en-GB"/>
              </w:rPr>
              <w:t>:</w:t>
            </w:r>
          </w:p>
          <w:p w14:paraId="082DDC0D" w14:textId="77777777" w:rsidR="006E58AF" w:rsidRPr="000651DD" w:rsidRDefault="006E58AF" w:rsidP="00A15C31">
            <w:pPr>
              <w:spacing w:before="40" w:after="40"/>
              <w:ind w:left="851" w:hanging="709"/>
              <w:rPr>
                <w:sz w:val="16"/>
                <w:szCs w:val="16"/>
                <w:lang w:val="en-GB"/>
              </w:rPr>
            </w:pPr>
            <w:r w:rsidRPr="000651DD">
              <w:rPr>
                <w:sz w:val="16"/>
                <w:szCs w:val="16"/>
                <w:lang w:val="en-GB"/>
              </w:rPr>
              <w:tab/>
              <w:t>a)</w:t>
            </w:r>
            <w:r>
              <w:rPr>
                <w:sz w:val="16"/>
                <w:szCs w:val="16"/>
                <w:lang w:val="en-GB"/>
              </w:rPr>
              <w:t xml:space="preserve"> </w:t>
            </w:r>
            <w:r w:rsidRPr="000651DD">
              <w:rPr>
                <w:sz w:val="16"/>
                <w:szCs w:val="16"/>
                <w:lang w:val="en-GB"/>
              </w:rPr>
              <w:t xml:space="preserve">In the frequency ranges 2.5 GHz to 2.69 GHz and 4.8 GHz to 5 GHz, the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 xml:space="preserve">ower </w:t>
            </w:r>
            <w:r>
              <w:rPr>
                <w:sz w:val="16"/>
                <w:szCs w:val="16"/>
                <w:lang w:val="en-GB"/>
              </w:rPr>
              <w:t>s</w:t>
            </w:r>
            <w:r w:rsidRPr="000651DD">
              <w:rPr>
                <w:sz w:val="16"/>
                <w:szCs w:val="16"/>
                <w:lang w:val="en-GB"/>
              </w:rPr>
              <w:t xml:space="preserve">pectral </w:t>
            </w:r>
            <w:r>
              <w:rPr>
                <w:sz w:val="16"/>
                <w:szCs w:val="16"/>
                <w:lang w:val="en-GB"/>
              </w:rPr>
              <w:t>d</w:t>
            </w:r>
            <w:r w:rsidRPr="000651DD">
              <w:rPr>
                <w:sz w:val="16"/>
                <w:szCs w:val="16"/>
                <w:lang w:val="en-GB"/>
              </w:rPr>
              <w:t>ensity has to be 10 dB below the max e.i.r.p. spectral density.</w:t>
            </w:r>
          </w:p>
          <w:p w14:paraId="625F92CC" w14:textId="77777777" w:rsidR="006E58AF" w:rsidRPr="000651DD" w:rsidRDefault="006E58AF" w:rsidP="00A15C31">
            <w:pPr>
              <w:spacing w:before="40" w:after="40"/>
              <w:ind w:left="851" w:hanging="709"/>
              <w:rPr>
                <w:sz w:val="16"/>
                <w:szCs w:val="16"/>
                <w:lang w:val="en-GB"/>
              </w:rPr>
            </w:pPr>
            <w:r w:rsidRPr="000651DD">
              <w:rPr>
                <w:sz w:val="16"/>
                <w:szCs w:val="16"/>
                <w:lang w:val="en-GB"/>
              </w:rPr>
              <w:tab/>
              <w:t>b)</w:t>
            </w:r>
            <w:r>
              <w:rPr>
                <w:sz w:val="16"/>
                <w:szCs w:val="16"/>
                <w:lang w:val="en-GB"/>
              </w:rPr>
              <w:t xml:space="preserve"> </w:t>
            </w:r>
            <w:r w:rsidRPr="000651DD">
              <w:rPr>
                <w:sz w:val="16"/>
                <w:szCs w:val="16"/>
                <w:lang w:val="en-GB"/>
              </w:rPr>
              <w:t xml:space="preserve">In the frequency ranges 3.4 GHz to 3.8 GHz, the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 spectral density has to be 5 dB below the max e.i.r.p. spectral density.</w:t>
            </w:r>
          </w:p>
          <w:p w14:paraId="078F7F2B" w14:textId="77777777" w:rsidR="006E58AF" w:rsidRPr="000651DD" w:rsidRDefault="006E58AF" w:rsidP="00A15C31">
            <w:pPr>
              <w:spacing w:before="40" w:after="40"/>
              <w:ind w:left="851" w:hanging="709"/>
              <w:rPr>
                <w:sz w:val="16"/>
                <w:szCs w:val="16"/>
                <w:lang w:val="en-GB"/>
              </w:rPr>
            </w:pPr>
            <w:r w:rsidRPr="000651DD">
              <w:rPr>
                <w:sz w:val="16"/>
                <w:szCs w:val="16"/>
                <w:lang w:val="en-GB"/>
              </w:rPr>
              <w:t>NOTE 2*:</w:t>
            </w:r>
            <w:r w:rsidRPr="000651DD">
              <w:rPr>
                <w:sz w:val="16"/>
                <w:szCs w:val="16"/>
                <w:lang w:val="en-GB"/>
              </w:rPr>
              <w:tab/>
              <w:t xml:space="preserve">To protect the </w:t>
            </w:r>
            <w:r>
              <w:rPr>
                <w:sz w:val="16"/>
                <w:szCs w:val="16"/>
                <w:lang w:val="en-GB"/>
              </w:rPr>
              <w:t xml:space="preserve">frequency </w:t>
            </w:r>
            <w:r w:rsidRPr="000651DD">
              <w:rPr>
                <w:sz w:val="16"/>
                <w:szCs w:val="16"/>
                <w:lang w:val="en-GB"/>
              </w:rPr>
              <w:t>bands 2.69 GHz to 2.7 GHz and 4.8 GHz to 5 GHz</w:t>
            </w:r>
            <w:r>
              <w:rPr>
                <w:sz w:val="16"/>
                <w:szCs w:val="16"/>
                <w:lang w:val="en-GB"/>
              </w:rPr>
              <w:t xml:space="preserve"> used by the radio astronomy service</w:t>
            </w:r>
            <w:r w:rsidRPr="000651DD">
              <w:rPr>
                <w:sz w:val="16"/>
                <w:szCs w:val="16"/>
                <w:lang w:val="en-GB"/>
              </w:rPr>
              <w:t xml:space="preserve">, the </w:t>
            </w:r>
            <w:r>
              <w:rPr>
                <w:sz w:val="16"/>
                <w:szCs w:val="16"/>
                <w:lang w:val="en-GB"/>
              </w:rPr>
              <w:t>t</w:t>
            </w:r>
            <w:r w:rsidRPr="000651DD">
              <w:rPr>
                <w:sz w:val="16"/>
                <w:szCs w:val="16"/>
                <w:lang w:val="en-GB"/>
              </w:rPr>
              <w:t xml:space="preserve">otal </w:t>
            </w:r>
            <w:r>
              <w:rPr>
                <w:sz w:val="16"/>
                <w:szCs w:val="16"/>
                <w:lang w:val="en-GB"/>
              </w:rPr>
              <w:t>r</w:t>
            </w:r>
            <w:r w:rsidRPr="000651DD">
              <w:rPr>
                <w:sz w:val="16"/>
                <w:szCs w:val="16"/>
                <w:lang w:val="en-GB"/>
              </w:rPr>
              <w:t xml:space="preserve">adiated </w:t>
            </w:r>
            <w:r>
              <w:rPr>
                <w:sz w:val="16"/>
                <w:szCs w:val="16"/>
                <w:lang w:val="en-GB"/>
              </w:rPr>
              <w:t>p</w:t>
            </w:r>
            <w:r w:rsidRPr="000651DD">
              <w:rPr>
                <w:sz w:val="16"/>
                <w:szCs w:val="16"/>
                <w:lang w:val="en-GB"/>
              </w:rPr>
              <w:t>ower spectral density has to be below -65 dBm/MHz.</w:t>
            </w:r>
          </w:p>
          <w:p w14:paraId="270E4D0B" w14:textId="77777777" w:rsidR="006E58AF" w:rsidRPr="000651DD" w:rsidRDefault="006E58AF" w:rsidP="00A15C31">
            <w:pPr>
              <w:spacing w:before="40" w:after="40"/>
              <w:ind w:left="851" w:hanging="709"/>
              <w:rPr>
                <w:sz w:val="16"/>
                <w:szCs w:val="16"/>
                <w:lang w:val="en-GB"/>
              </w:rPr>
            </w:pPr>
            <w:r w:rsidRPr="000651DD">
              <w:rPr>
                <w:sz w:val="16"/>
                <w:szCs w:val="16"/>
                <w:lang w:val="en-GB"/>
              </w:rPr>
              <w:t>NOTE 3:</w:t>
            </w:r>
            <w:r w:rsidRPr="000651DD">
              <w:rPr>
                <w:sz w:val="16"/>
                <w:szCs w:val="16"/>
                <w:lang w:val="en-GB"/>
              </w:rPr>
              <w:tab/>
              <w:t>Limitation of the Duty Cycle to 10 % per second.</w:t>
            </w:r>
          </w:p>
          <w:p w14:paraId="6AAE7037" w14:textId="77777777" w:rsidR="006E58AF" w:rsidRPr="000651DD" w:rsidRDefault="006E58AF" w:rsidP="00A15C31">
            <w:pPr>
              <w:spacing w:before="40" w:after="40"/>
              <w:ind w:left="851" w:hanging="709"/>
              <w:rPr>
                <w:sz w:val="16"/>
                <w:szCs w:val="16"/>
                <w:lang w:val="en-GB"/>
              </w:rPr>
            </w:pPr>
            <w:r w:rsidRPr="000651DD">
              <w:rPr>
                <w:sz w:val="16"/>
                <w:szCs w:val="16"/>
                <w:lang w:val="en-GB"/>
              </w:rPr>
              <w:t>NOTE 4:</w:t>
            </w:r>
            <w:r w:rsidRPr="000651DD">
              <w:rPr>
                <w:sz w:val="16"/>
                <w:szCs w:val="16"/>
                <w:lang w:val="en-GB"/>
              </w:rPr>
              <w:tab/>
              <w:t>No fixed outdoor permitted.</w:t>
            </w:r>
          </w:p>
          <w:p w14:paraId="4113EA49" w14:textId="77777777" w:rsidR="006E58AF" w:rsidRPr="000651DD" w:rsidRDefault="006E58AF" w:rsidP="00A15C31">
            <w:pPr>
              <w:spacing w:before="40" w:after="40"/>
              <w:ind w:left="851" w:hanging="709"/>
              <w:rPr>
                <w:sz w:val="16"/>
                <w:szCs w:val="16"/>
                <w:lang w:val="en-GB"/>
              </w:rPr>
            </w:pPr>
            <w:r w:rsidRPr="000651DD">
              <w:rPr>
                <w:sz w:val="16"/>
                <w:szCs w:val="16"/>
                <w:lang w:val="en-GB"/>
              </w:rPr>
              <w:t>NOTE 5:</w:t>
            </w:r>
            <w:r w:rsidRPr="000651DD">
              <w:rPr>
                <w:sz w:val="16"/>
                <w:szCs w:val="16"/>
                <w:lang w:val="en-GB"/>
              </w:rPr>
              <w:tab/>
              <w:t>Within the band 3.1 GHz – 4.8 GHz, devices implementing Low Duty Cycle (LDC) mitigation technique are permitted to operate with a maximum mean e.i.r.p. spectral density of -41.3 dBm/MHz and a maximum peak e.i.r.p. of 0 dBm defined in 50 MHz. The L</w:t>
            </w:r>
            <w:r>
              <w:rPr>
                <w:sz w:val="16"/>
                <w:szCs w:val="16"/>
                <w:lang w:val="en-GB"/>
              </w:rPr>
              <w:t>DC</w:t>
            </w:r>
            <w:r w:rsidRPr="000651DD">
              <w:rPr>
                <w:sz w:val="16"/>
                <w:szCs w:val="16"/>
                <w:lang w:val="en-GB"/>
              </w:rPr>
              <w:t xml:space="preserve"> mitigation technique and its limits is defined in the </w:t>
            </w:r>
            <w:r>
              <w:rPr>
                <w:sz w:val="16"/>
                <w:szCs w:val="16"/>
                <w:lang w:val="en-GB"/>
              </w:rPr>
              <w:t>relevant version of the H</w:t>
            </w:r>
            <w:r w:rsidRPr="000651DD">
              <w:rPr>
                <w:sz w:val="16"/>
                <w:szCs w:val="16"/>
                <w:lang w:val="en-GB"/>
              </w:rPr>
              <w:t>armonised European Standard ETSI EN 302 065-1. When LDC is implemented, Note 4 applies.</w:t>
            </w:r>
          </w:p>
          <w:p w14:paraId="79EB88DA" w14:textId="41635F77" w:rsidR="006E58AF" w:rsidRPr="000651DD" w:rsidRDefault="006E58AF" w:rsidP="00A15C31">
            <w:pPr>
              <w:spacing w:before="40" w:after="40"/>
              <w:ind w:left="851" w:hanging="709"/>
              <w:rPr>
                <w:szCs w:val="22"/>
                <w:lang w:val="en-GB"/>
              </w:rPr>
            </w:pPr>
            <w:r w:rsidRPr="000651DD">
              <w:rPr>
                <w:sz w:val="16"/>
                <w:szCs w:val="16"/>
                <w:lang w:val="en-GB"/>
              </w:rPr>
              <w:t>NOTE 5*:</w:t>
            </w:r>
            <w:r w:rsidRPr="000651DD">
              <w:rPr>
                <w:sz w:val="16"/>
                <w:szCs w:val="16"/>
                <w:lang w:val="en-GB"/>
              </w:rPr>
              <w:tab/>
              <w:t xml:space="preserve">Within the bands 3.1 GHz – 4.8 GHz and 8.5 GHz - 9 GHz, devices implementing Detect And Avoid (DAA) mitigation technique are permitted to operate with a maximum mean e.i.r.p. spectral density of </w:t>
            </w:r>
            <w:r w:rsidRPr="000651DD">
              <w:rPr>
                <w:sz w:val="16"/>
                <w:szCs w:val="16"/>
                <w:lang w:val="en-GB"/>
              </w:rPr>
              <w:noBreakHyphen/>
              <w:t xml:space="preserve">41.3 dBm/MHz and a maximum peak e.i.r.p. of 0 dBm defined in 50 MHz. The </w:t>
            </w:r>
            <w:r>
              <w:rPr>
                <w:sz w:val="16"/>
                <w:szCs w:val="16"/>
                <w:lang w:val="en-GB"/>
              </w:rPr>
              <w:t>DAA</w:t>
            </w:r>
            <w:r w:rsidRPr="000651DD">
              <w:rPr>
                <w:sz w:val="16"/>
                <w:szCs w:val="16"/>
                <w:lang w:val="en-GB"/>
              </w:rPr>
              <w:t xml:space="preserve"> mitigation technique and its limits is defined in the </w:t>
            </w:r>
            <w:r>
              <w:rPr>
                <w:sz w:val="16"/>
                <w:szCs w:val="16"/>
                <w:lang w:val="en-GB"/>
              </w:rPr>
              <w:t>relevant version of the H</w:t>
            </w:r>
            <w:r w:rsidRPr="000651DD">
              <w:rPr>
                <w:sz w:val="16"/>
                <w:szCs w:val="16"/>
                <w:lang w:val="en-GB"/>
              </w:rPr>
              <w:t>armonised European Standard EN 302 065-1. When DAA is implemented, Note 4 applies.</w:t>
            </w:r>
          </w:p>
        </w:tc>
      </w:tr>
    </w:tbl>
    <w:p w14:paraId="19D6DDBE" w14:textId="492C9088" w:rsidR="00B55487" w:rsidRDefault="00B55487" w:rsidP="00FA5D41">
      <w:pPr>
        <w:pStyle w:val="ECCParagraph"/>
        <w:spacing w:before="240" w:after="60"/>
      </w:pPr>
      <w:r w:rsidRPr="00B55487">
        <w:t>Peak power threshold value</w:t>
      </w:r>
      <w:r w:rsidR="00416D92">
        <w:t>s</w:t>
      </w:r>
      <w:r w:rsidRPr="00B55487">
        <w:t xml:space="preserve"> for the “Listen Before Talk” (LBT) mechanism to ensure the protection of the listed </w:t>
      </w:r>
      <w:r w:rsidR="00F22277">
        <w:t xml:space="preserve">radio </w:t>
      </w:r>
      <w:r w:rsidRPr="00B55487">
        <w:t xml:space="preserve">services are defined within Table </w:t>
      </w:r>
      <w:r w:rsidR="005B059A">
        <w:t>3</w:t>
      </w:r>
      <w:r w:rsidRPr="00B55487">
        <w:t xml:space="preserve"> below</w:t>
      </w:r>
      <w:r>
        <w:t>.</w:t>
      </w:r>
    </w:p>
    <w:p w14:paraId="19D6DDC0" w14:textId="4DB19E47" w:rsidR="00566F65" w:rsidRPr="00566F65" w:rsidRDefault="00566F65" w:rsidP="00FA5D41">
      <w:pPr>
        <w:spacing w:before="240" w:after="240"/>
        <w:jc w:val="center"/>
        <w:rPr>
          <w:b/>
          <w:color w:val="D2232A"/>
        </w:rPr>
      </w:pPr>
      <w:r w:rsidRPr="00566F65">
        <w:rPr>
          <w:b/>
          <w:color w:val="D2232A"/>
        </w:rPr>
        <w:t xml:space="preserve">Table </w:t>
      </w:r>
      <w:r w:rsidR="005B059A">
        <w:rPr>
          <w:b/>
          <w:color w:val="D2232A"/>
        </w:rPr>
        <w:t>3</w:t>
      </w:r>
      <w:r w:rsidR="00416D92">
        <w:rPr>
          <w:b/>
          <w:color w:val="D2232A"/>
        </w:rPr>
        <w:t xml:space="preserve">: </w:t>
      </w:r>
      <w:r w:rsidR="00416D92" w:rsidRPr="00416D92">
        <w:rPr>
          <w:b/>
          <w:color w:val="D2232A"/>
        </w:rPr>
        <w:t>Technical Requirements of the “Listen Before Talk” Mechanism for Material Sensing Devices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26"/>
        <w:gridCol w:w="3685"/>
        <w:gridCol w:w="3261"/>
      </w:tblGrid>
      <w:tr w:rsidR="00B55487" w:rsidRPr="00FE1795" w14:paraId="19D6DDC4" w14:textId="77777777" w:rsidTr="00E03162">
        <w:trPr>
          <w:tblHeader/>
        </w:trPr>
        <w:tc>
          <w:tcPr>
            <w:tcW w:w="2126"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9D6DDC1" w14:textId="77777777" w:rsidR="00B55487" w:rsidRPr="00FE1795" w:rsidRDefault="00B55487" w:rsidP="00AF7192">
            <w:pPr>
              <w:spacing w:before="120" w:after="120"/>
              <w:jc w:val="center"/>
              <w:rPr>
                <w:b/>
                <w:color w:val="FFFFFF"/>
              </w:rPr>
            </w:pPr>
            <w:r>
              <w:rPr>
                <w:b/>
                <w:color w:val="FFFFFF"/>
              </w:rPr>
              <w:t>Frequency range</w:t>
            </w:r>
          </w:p>
        </w:tc>
        <w:tc>
          <w:tcPr>
            <w:tcW w:w="3685"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9D6DDC2" w14:textId="77777777" w:rsidR="00B55487" w:rsidRPr="00FE1795" w:rsidRDefault="00B55487" w:rsidP="00AF7192">
            <w:pPr>
              <w:spacing w:before="120" w:after="120"/>
              <w:jc w:val="center"/>
              <w:rPr>
                <w:b/>
                <w:color w:val="FFFFFF"/>
              </w:rPr>
            </w:pPr>
            <w:r>
              <w:rPr>
                <w:b/>
                <w:color w:val="FFFFFF"/>
              </w:rPr>
              <w:t>Radio service to be detected</w:t>
            </w:r>
          </w:p>
        </w:tc>
        <w:tc>
          <w:tcPr>
            <w:tcW w:w="3261"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19D6DDC3" w14:textId="77777777" w:rsidR="00B55487" w:rsidRPr="00FE1795" w:rsidRDefault="00B55487" w:rsidP="00AF7192">
            <w:pPr>
              <w:spacing w:before="120" w:after="120"/>
              <w:jc w:val="center"/>
              <w:rPr>
                <w:b/>
                <w:color w:val="FFFFFF"/>
              </w:rPr>
            </w:pPr>
            <w:r>
              <w:rPr>
                <w:b/>
                <w:color w:val="FFFFFF"/>
              </w:rPr>
              <w:t>Peak power threshold value</w:t>
            </w:r>
          </w:p>
        </w:tc>
      </w:tr>
      <w:tr w:rsidR="00E03162" w:rsidRPr="003E0811" w14:paraId="19D6DDC8" w14:textId="77777777" w:rsidTr="00E03162">
        <w:tc>
          <w:tcPr>
            <w:tcW w:w="2126" w:type="dxa"/>
            <w:tcBorders>
              <w:top w:val="single" w:sz="4" w:space="0" w:color="D2232A"/>
              <w:left w:val="single" w:sz="4" w:space="0" w:color="D2232A"/>
              <w:bottom w:val="single" w:sz="4" w:space="0" w:color="D2232A"/>
              <w:right w:val="single" w:sz="4" w:space="0" w:color="D2232A"/>
            </w:tcBorders>
          </w:tcPr>
          <w:p w14:paraId="19D6DDC5" w14:textId="5C15AA45" w:rsidR="00E03162" w:rsidRPr="003E0811" w:rsidRDefault="00E03162" w:rsidP="00305790">
            <w:pPr>
              <w:spacing w:before="60" w:after="60"/>
              <w:rPr>
                <w:color w:val="000000"/>
                <w:szCs w:val="20"/>
              </w:rPr>
            </w:pPr>
            <w:r w:rsidRPr="003E0811">
              <w:rPr>
                <w:color w:val="000000"/>
                <w:szCs w:val="20"/>
              </w:rPr>
              <w:t>1.215-1.4 GHz</w:t>
            </w:r>
          </w:p>
        </w:tc>
        <w:tc>
          <w:tcPr>
            <w:tcW w:w="3685" w:type="dxa"/>
            <w:tcBorders>
              <w:top w:val="single" w:sz="4" w:space="0" w:color="D2232A"/>
              <w:left w:val="single" w:sz="4" w:space="0" w:color="D2232A"/>
              <w:bottom w:val="single" w:sz="4" w:space="0" w:color="D2232A"/>
              <w:right w:val="single" w:sz="4" w:space="0" w:color="D2232A"/>
            </w:tcBorders>
          </w:tcPr>
          <w:p w14:paraId="19D6DDC6" w14:textId="77777777" w:rsidR="00E03162" w:rsidRPr="003E0811" w:rsidRDefault="00E03162" w:rsidP="00305790">
            <w:pPr>
              <w:spacing w:before="60" w:after="60"/>
              <w:rPr>
                <w:color w:val="000000"/>
                <w:szCs w:val="20"/>
              </w:rPr>
            </w:pPr>
            <w:r w:rsidRPr="003E0811">
              <w:rPr>
                <w:color w:val="000000"/>
                <w:szCs w:val="20"/>
              </w:rPr>
              <w:t>Radiodetermination Service</w:t>
            </w:r>
          </w:p>
        </w:tc>
        <w:tc>
          <w:tcPr>
            <w:tcW w:w="3261" w:type="dxa"/>
            <w:tcBorders>
              <w:top w:val="single" w:sz="4" w:space="0" w:color="D2232A"/>
              <w:left w:val="single" w:sz="4" w:space="0" w:color="D2232A"/>
              <w:bottom w:val="single" w:sz="4" w:space="0" w:color="D2232A"/>
              <w:right w:val="single" w:sz="4" w:space="0" w:color="D2232A"/>
            </w:tcBorders>
          </w:tcPr>
          <w:p w14:paraId="19D6DDC7" w14:textId="77777777" w:rsidR="00E03162" w:rsidRPr="003E0811" w:rsidRDefault="00E03162" w:rsidP="00305790">
            <w:pPr>
              <w:spacing w:before="60" w:after="60"/>
              <w:rPr>
                <w:color w:val="000000"/>
                <w:szCs w:val="20"/>
              </w:rPr>
            </w:pPr>
            <w:r w:rsidRPr="003E0811">
              <w:rPr>
                <w:color w:val="000000"/>
                <w:szCs w:val="20"/>
              </w:rPr>
              <w:t>+8 dBm/MHz</w:t>
            </w:r>
          </w:p>
        </w:tc>
      </w:tr>
      <w:tr w:rsidR="00E03162" w:rsidRPr="003E0811" w14:paraId="19D6DDCC" w14:textId="77777777" w:rsidTr="00E03162">
        <w:tc>
          <w:tcPr>
            <w:tcW w:w="2126" w:type="dxa"/>
            <w:tcBorders>
              <w:top w:val="single" w:sz="4" w:space="0" w:color="D2232A"/>
              <w:left w:val="single" w:sz="4" w:space="0" w:color="D2232A"/>
              <w:bottom w:val="single" w:sz="4" w:space="0" w:color="D2232A"/>
              <w:right w:val="single" w:sz="4" w:space="0" w:color="D2232A"/>
            </w:tcBorders>
          </w:tcPr>
          <w:p w14:paraId="19D6DDC9" w14:textId="04B6862A" w:rsidR="00E03162" w:rsidRPr="003E0811" w:rsidRDefault="00E03162" w:rsidP="00305790">
            <w:pPr>
              <w:spacing w:before="60" w:after="60"/>
              <w:rPr>
                <w:color w:val="000000"/>
                <w:szCs w:val="20"/>
              </w:rPr>
            </w:pPr>
            <w:r w:rsidRPr="003E0811">
              <w:rPr>
                <w:color w:val="000000"/>
                <w:szCs w:val="20"/>
              </w:rPr>
              <w:t>1.61-1.66 GHz</w:t>
            </w:r>
          </w:p>
        </w:tc>
        <w:tc>
          <w:tcPr>
            <w:tcW w:w="3685" w:type="dxa"/>
            <w:tcBorders>
              <w:top w:val="single" w:sz="4" w:space="0" w:color="D2232A"/>
              <w:left w:val="single" w:sz="4" w:space="0" w:color="D2232A"/>
              <w:bottom w:val="single" w:sz="4" w:space="0" w:color="D2232A"/>
              <w:right w:val="single" w:sz="4" w:space="0" w:color="D2232A"/>
            </w:tcBorders>
          </w:tcPr>
          <w:p w14:paraId="19D6DDCA" w14:textId="77777777" w:rsidR="00E03162" w:rsidRPr="003E0811" w:rsidRDefault="00E03162" w:rsidP="00305790">
            <w:pPr>
              <w:spacing w:before="60" w:after="60"/>
              <w:rPr>
                <w:color w:val="000000"/>
                <w:szCs w:val="20"/>
              </w:rPr>
            </w:pPr>
            <w:r w:rsidRPr="003E0811">
              <w:rPr>
                <w:color w:val="000000"/>
                <w:szCs w:val="20"/>
              </w:rPr>
              <w:t>Mobile Satellite service</w:t>
            </w:r>
          </w:p>
        </w:tc>
        <w:tc>
          <w:tcPr>
            <w:tcW w:w="3261" w:type="dxa"/>
            <w:tcBorders>
              <w:top w:val="single" w:sz="4" w:space="0" w:color="D2232A"/>
              <w:left w:val="single" w:sz="4" w:space="0" w:color="D2232A"/>
              <w:bottom w:val="single" w:sz="4" w:space="0" w:color="D2232A"/>
              <w:right w:val="single" w:sz="4" w:space="0" w:color="D2232A"/>
            </w:tcBorders>
          </w:tcPr>
          <w:p w14:paraId="19D6DDCB" w14:textId="77777777" w:rsidR="00E03162" w:rsidRPr="003E0811" w:rsidRDefault="00E03162" w:rsidP="00305790">
            <w:pPr>
              <w:spacing w:before="60" w:after="60"/>
              <w:rPr>
                <w:color w:val="000000"/>
                <w:szCs w:val="20"/>
              </w:rPr>
            </w:pPr>
            <w:r w:rsidRPr="003E0811">
              <w:rPr>
                <w:color w:val="000000"/>
                <w:szCs w:val="20"/>
              </w:rPr>
              <w:t>-43 dBm/MHz</w:t>
            </w:r>
          </w:p>
        </w:tc>
      </w:tr>
      <w:tr w:rsidR="00B55487" w14:paraId="19D6DDD0" w14:textId="77777777" w:rsidTr="00E03162">
        <w:tc>
          <w:tcPr>
            <w:tcW w:w="2126" w:type="dxa"/>
            <w:tcBorders>
              <w:top w:val="single" w:sz="4" w:space="0" w:color="D2232A"/>
              <w:left w:val="single" w:sz="4" w:space="0" w:color="D2232A"/>
              <w:bottom w:val="single" w:sz="4" w:space="0" w:color="D2232A"/>
              <w:right w:val="single" w:sz="4" w:space="0" w:color="D2232A"/>
            </w:tcBorders>
            <w:vAlign w:val="center"/>
          </w:tcPr>
          <w:p w14:paraId="19D6DDCD" w14:textId="4DBC566E" w:rsidR="00B55487" w:rsidRDefault="00B55487" w:rsidP="00B66772">
            <w:pPr>
              <w:spacing w:before="60" w:after="60"/>
            </w:pPr>
            <w:r>
              <w:t>2.5</w:t>
            </w:r>
            <w:r w:rsidR="00304773">
              <w:t>-</w:t>
            </w:r>
            <w:r>
              <w:t>2.69 GHz</w:t>
            </w:r>
          </w:p>
        </w:tc>
        <w:tc>
          <w:tcPr>
            <w:tcW w:w="3685" w:type="dxa"/>
            <w:tcBorders>
              <w:top w:val="single" w:sz="4" w:space="0" w:color="D2232A"/>
              <w:left w:val="single" w:sz="4" w:space="0" w:color="D2232A"/>
              <w:bottom w:val="single" w:sz="4" w:space="0" w:color="D2232A"/>
              <w:right w:val="single" w:sz="4" w:space="0" w:color="D2232A"/>
            </w:tcBorders>
            <w:vAlign w:val="center"/>
          </w:tcPr>
          <w:p w14:paraId="19D6DDCE" w14:textId="77777777" w:rsidR="00B55487" w:rsidRDefault="00566F65" w:rsidP="00B66772">
            <w:pPr>
              <w:spacing w:before="60" w:after="60"/>
            </w:pPr>
            <w:r>
              <w:t>Land m</w:t>
            </w:r>
            <w:r w:rsidR="00B55487">
              <w:t>obile service</w:t>
            </w:r>
          </w:p>
        </w:tc>
        <w:tc>
          <w:tcPr>
            <w:tcW w:w="3261" w:type="dxa"/>
            <w:tcBorders>
              <w:top w:val="single" w:sz="4" w:space="0" w:color="D2232A"/>
              <w:left w:val="single" w:sz="4" w:space="0" w:color="D2232A"/>
              <w:bottom w:val="single" w:sz="4" w:space="0" w:color="D2232A"/>
              <w:right w:val="single" w:sz="4" w:space="0" w:color="D2232A"/>
            </w:tcBorders>
            <w:vAlign w:val="center"/>
          </w:tcPr>
          <w:p w14:paraId="19D6DDCF" w14:textId="77777777" w:rsidR="00B55487" w:rsidRDefault="00B55487" w:rsidP="00B66772">
            <w:pPr>
              <w:spacing w:before="60" w:after="60"/>
            </w:pPr>
            <w:r>
              <w:t>-50 dBm/MHz</w:t>
            </w:r>
          </w:p>
        </w:tc>
      </w:tr>
      <w:tr w:rsidR="00B55487" w14:paraId="19D6DDD4" w14:textId="77777777" w:rsidTr="00E03162">
        <w:tc>
          <w:tcPr>
            <w:tcW w:w="2126" w:type="dxa"/>
            <w:tcBorders>
              <w:top w:val="single" w:sz="4" w:space="0" w:color="D2232A"/>
              <w:left w:val="single" w:sz="4" w:space="0" w:color="D2232A"/>
              <w:bottom w:val="single" w:sz="4" w:space="0" w:color="D2232A"/>
              <w:right w:val="single" w:sz="4" w:space="0" w:color="D2232A"/>
            </w:tcBorders>
            <w:vAlign w:val="center"/>
          </w:tcPr>
          <w:p w14:paraId="19D6DDD1" w14:textId="4D4CA5B5" w:rsidR="00B55487" w:rsidRDefault="00B55487" w:rsidP="00B66772">
            <w:pPr>
              <w:spacing w:before="60" w:after="60"/>
            </w:pPr>
            <w:r>
              <w:t>2.9</w:t>
            </w:r>
            <w:r w:rsidR="00304773">
              <w:t>-</w:t>
            </w:r>
            <w:r>
              <w:t>3.4 GHz</w:t>
            </w:r>
          </w:p>
        </w:tc>
        <w:tc>
          <w:tcPr>
            <w:tcW w:w="3685" w:type="dxa"/>
            <w:tcBorders>
              <w:top w:val="single" w:sz="4" w:space="0" w:color="D2232A"/>
              <w:left w:val="single" w:sz="4" w:space="0" w:color="D2232A"/>
              <w:bottom w:val="single" w:sz="4" w:space="0" w:color="D2232A"/>
              <w:right w:val="single" w:sz="4" w:space="0" w:color="D2232A"/>
            </w:tcBorders>
            <w:vAlign w:val="center"/>
          </w:tcPr>
          <w:p w14:paraId="19D6DDD2" w14:textId="77777777" w:rsidR="00B55487" w:rsidRDefault="00B55487" w:rsidP="00B66772">
            <w:pPr>
              <w:spacing w:before="60" w:after="60"/>
            </w:pPr>
            <w:r>
              <w:t>Radiodetermination service</w:t>
            </w:r>
          </w:p>
        </w:tc>
        <w:tc>
          <w:tcPr>
            <w:tcW w:w="3261" w:type="dxa"/>
            <w:tcBorders>
              <w:top w:val="single" w:sz="4" w:space="0" w:color="D2232A"/>
              <w:left w:val="single" w:sz="4" w:space="0" w:color="D2232A"/>
              <w:bottom w:val="single" w:sz="4" w:space="0" w:color="D2232A"/>
              <w:right w:val="single" w:sz="4" w:space="0" w:color="D2232A"/>
            </w:tcBorders>
            <w:vAlign w:val="center"/>
          </w:tcPr>
          <w:p w14:paraId="19D6DDD3" w14:textId="77777777" w:rsidR="00B55487" w:rsidRDefault="00B55487" w:rsidP="00B66772">
            <w:pPr>
              <w:spacing w:before="60" w:after="60"/>
            </w:pPr>
            <w:r>
              <w:t>-7 dBm/MHz</w:t>
            </w:r>
          </w:p>
        </w:tc>
      </w:tr>
    </w:tbl>
    <w:p w14:paraId="19D6DDD6" w14:textId="774DD11D" w:rsidR="00B55487" w:rsidRPr="00B55487" w:rsidRDefault="00B55487" w:rsidP="00FA5D41">
      <w:pPr>
        <w:pStyle w:val="ECCParagraph"/>
        <w:spacing w:before="240" w:after="60"/>
      </w:pPr>
      <w:r w:rsidRPr="00B55487">
        <w:t xml:space="preserve">Additional requirements for Radar detection: Continuously listening and automatic switch-off within 10ms for the related frequency range if the threshold value is exceeded (Table </w:t>
      </w:r>
      <w:r w:rsidR="005B059A">
        <w:t>3</w:t>
      </w:r>
      <w:r w:rsidRPr="00B55487">
        <w:t>). A si</w:t>
      </w:r>
      <w:r>
        <w:t>lent time of at least 12s while</w:t>
      </w:r>
      <w:r w:rsidRPr="00B55487">
        <w:t xml:space="preserve"> </w:t>
      </w:r>
      <w:r w:rsidRPr="00B55487">
        <w:lastRenderedPageBreak/>
        <w:t xml:space="preserve">listening continuously is necessary before the transmitter can be switched on again. This silent time during which only the LBT receiver is active has to be ensured even after the device is switched </w:t>
      </w:r>
      <w:r w:rsidR="00FF64E7" w:rsidRPr="00B55487">
        <w:t>off.</w:t>
      </w:r>
    </w:p>
    <w:p w14:paraId="19D6DDD7" w14:textId="77777777" w:rsidR="00B55487" w:rsidRDefault="00B55487" w:rsidP="00B55487">
      <w:pPr>
        <w:pStyle w:val="ECCNumbered-LetteredList"/>
        <w:numPr>
          <w:ilvl w:val="0"/>
          <w:numId w:val="0"/>
        </w:numPr>
        <w:ind w:left="340" w:hanging="340"/>
        <w:rPr>
          <w:lang w:val="en-GB"/>
        </w:rPr>
      </w:pPr>
    </w:p>
    <w:p w14:paraId="19D6DE48" w14:textId="77777777" w:rsidR="00C802C5" w:rsidRPr="00C802C5" w:rsidRDefault="00C802C5" w:rsidP="00C802C5">
      <w:pPr>
        <w:pStyle w:val="ECCParagraph"/>
        <w:rPr>
          <w:b/>
          <w:lang w:val="en-US"/>
        </w:rPr>
      </w:pPr>
      <w:r w:rsidRPr="00C802C5">
        <w:rPr>
          <w:b/>
          <w:lang w:val="en-US"/>
        </w:rPr>
        <w:t>OTHER REQUIREMENTS</w:t>
      </w:r>
    </w:p>
    <w:p w14:paraId="19D6DE49" w14:textId="77777777" w:rsidR="00062258" w:rsidRPr="00062258" w:rsidRDefault="00062258" w:rsidP="00062258">
      <w:pPr>
        <w:pStyle w:val="ECCParBulleted"/>
      </w:pPr>
      <w:r w:rsidRPr="00062258">
        <w:rPr>
          <w:b/>
          <w:lang w:val="en-US"/>
        </w:rPr>
        <w:t>Pulse Repetition Frequency (PRF)</w:t>
      </w:r>
    </w:p>
    <w:p w14:paraId="19D6DE4A" w14:textId="77777777" w:rsidR="00062258" w:rsidRDefault="00062258" w:rsidP="00062258">
      <w:pPr>
        <w:pStyle w:val="ECCParBulleted"/>
        <w:numPr>
          <w:ilvl w:val="0"/>
          <w:numId w:val="0"/>
        </w:numPr>
        <w:ind w:left="360"/>
        <w:rPr>
          <w:lang w:val="en-US"/>
        </w:rPr>
      </w:pPr>
      <w:r w:rsidRPr="00062258">
        <w:rPr>
          <w:lang w:val="en-US"/>
        </w:rPr>
        <w:t>The pulse re</w:t>
      </w:r>
      <w:smartTag w:uri="urn:schemas-microsoft-com:office:smarttags" w:element="PersonName">
        <w:r w:rsidRPr="00062258">
          <w:rPr>
            <w:lang w:val="en-US"/>
          </w:rPr>
          <w:t>petit</w:t>
        </w:r>
      </w:smartTag>
      <w:r w:rsidRPr="00062258">
        <w:rPr>
          <w:lang w:val="en-US"/>
        </w:rPr>
        <w:t>ion frequency (PRF) for pulsed UWB devices shall not be less than 5MHz. This restriction does not apply to burst re</w:t>
      </w:r>
      <w:smartTag w:uri="urn:schemas-microsoft-com:office:smarttags" w:element="PersonName">
        <w:r w:rsidRPr="00062258">
          <w:rPr>
            <w:lang w:val="en-US"/>
          </w:rPr>
          <w:t>petit</w:t>
        </w:r>
      </w:smartTag>
      <w:r w:rsidRPr="00062258">
        <w:rPr>
          <w:lang w:val="en-US"/>
        </w:rPr>
        <w:t>ion frequency.</w:t>
      </w:r>
    </w:p>
    <w:p w14:paraId="19D6DE4B" w14:textId="77777777" w:rsidR="00062258" w:rsidRPr="00062258" w:rsidRDefault="00062258" w:rsidP="00062258">
      <w:pPr>
        <w:pStyle w:val="ECCParBulleted"/>
      </w:pPr>
      <w:r w:rsidRPr="00062258">
        <w:rPr>
          <w:b/>
          <w:lang w:val="en-US"/>
        </w:rPr>
        <w:t>Maximum Peak Power</w:t>
      </w:r>
    </w:p>
    <w:p w14:paraId="19D6DE4C" w14:textId="5AD8647C" w:rsidR="00062258" w:rsidRDefault="00062258" w:rsidP="00062258">
      <w:pPr>
        <w:pStyle w:val="ECCParBulleted"/>
        <w:numPr>
          <w:ilvl w:val="0"/>
          <w:numId w:val="0"/>
        </w:numPr>
        <w:ind w:left="360"/>
        <w:rPr>
          <w:lang w:val="en-US"/>
        </w:rPr>
      </w:pPr>
      <w:r w:rsidRPr="00062258">
        <w:rPr>
          <w:lang w:val="en-US"/>
        </w:rPr>
        <w:t xml:space="preserve">The peak e.i.r.p. (in dBm) measured in a bandwidth of 50MHz shall be less than a limit that is obtained by adding a conversion factor (in dB) to the ‘maximum mean e.i.r.p. spectral density’ (in dBm/MHz) limit. </w:t>
      </w:r>
      <w:r w:rsidR="00416D92">
        <w:rPr>
          <w:lang w:val="en-US"/>
        </w:rPr>
        <w:t xml:space="preserve">The default </w:t>
      </w:r>
      <w:r w:rsidRPr="00062258">
        <w:rPr>
          <w:lang w:val="en-US"/>
        </w:rPr>
        <w:t>conversion factor</w:t>
      </w:r>
      <w:r w:rsidR="00416D92">
        <w:rPr>
          <w:lang w:val="en-US"/>
        </w:rPr>
        <w:t xml:space="preserve">s are in Tables 1 and 2 of this Annex </w:t>
      </w:r>
      <w:r w:rsidR="00816C2E">
        <w:rPr>
          <w:lang w:val="en-US"/>
        </w:rPr>
        <w:t>for contact-based and non-</w:t>
      </w:r>
      <w:proofErr w:type="gramStart"/>
      <w:r w:rsidR="00816C2E">
        <w:rPr>
          <w:lang w:val="en-US"/>
        </w:rPr>
        <w:t>contact based</w:t>
      </w:r>
      <w:proofErr w:type="gramEnd"/>
      <w:r w:rsidR="00816C2E">
        <w:rPr>
          <w:lang w:val="en-US"/>
        </w:rPr>
        <w:t xml:space="preserve"> material sensing devices.</w:t>
      </w:r>
    </w:p>
    <w:p w14:paraId="19D6DE4D" w14:textId="77777777" w:rsidR="00C802C5" w:rsidRPr="00062258" w:rsidRDefault="00C802C5" w:rsidP="00C802C5">
      <w:pPr>
        <w:pStyle w:val="ECCParBulleted"/>
        <w:numPr>
          <w:ilvl w:val="0"/>
          <w:numId w:val="0"/>
        </w:numPr>
        <w:spacing w:after="0"/>
        <w:ind w:left="357" w:hanging="357"/>
      </w:pPr>
    </w:p>
    <w:p w14:paraId="19D6DE4E" w14:textId="77777777" w:rsidR="00062258" w:rsidRDefault="00C802C5" w:rsidP="00C802C5">
      <w:pPr>
        <w:rPr>
          <w:b/>
        </w:rPr>
      </w:pPr>
      <w:r w:rsidRPr="00C802C5">
        <w:rPr>
          <w:b/>
        </w:rPr>
        <w:t>DEFINITIONS</w:t>
      </w:r>
    </w:p>
    <w:p w14:paraId="19D6DE4F" w14:textId="77777777" w:rsidR="00C802C5" w:rsidRPr="00C802C5" w:rsidRDefault="00C802C5" w:rsidP="00C802C5">
      <w:pPr>
        <w:rPr>
          <w:b/>
        </w:rPr>
      </w:pPr>
    </w:p>
    <w:p w14:paraId="19D6DE50" w14:textId="77777777" w:rsidR="00062258" w:rsidRPr="00062258" w:rsidRDefault="00062258" w:rsidP="00062258">
      <w:pPr>
        <w:pStyle w:val="ECCParBulleted"/>
      </w:pPr>
      <w:r w:rsidRPr="00062258">
        <w:rPr>
          <w:b/>
          <w:lang w:val="en-US"/>
        </w:rPr>
        <w:t>Maximum mean e.i.r.p. spectral density</w:t>
      </w:r>
    </w:p>
    <w:p w14:paraId="19D6DE51" w14:textId="77777777" w:rsidR="00062258" w:rsidRDefault="00062258" w:rsidP="00062258">
      <w:pPr>
        <w:pStyle w:val="ECCParBulleted"/>
        <w:numPr>
          <w:ilvl w:val="0"/>
          <w:numId w:val="0"/>
        </w:numPr>
        <w:ind w:left="360"/>
        <w:rPr>
          <w:lang w:val="en-US"/>
        </w:rPr>
      </w:pPr>
      <w:r w:rsidRPr="00062258">
        <w:rPr>
          <w:lang w:val="en-US"/>
        </w:rPr>
        <w:t xml:space="preserve">The highest signal strength measured in any direction at any frequency within the defined range. The mean e.i.r.p. spectral density is measured with a 1MHz resolution bandwidth, an RMS </w:t>
      </w:r>
      <w:proofErr w:type="gramStart"/>
      <w:r w:rsidRPr="00062258">
        <w:rPr>
          <w:lang w:val="en-US"/>
        </w:rPr>
        <w:t>detector</w:t>
      </w:r>
      <w:proofErr w:type="gramEnd"/>
      <w:r w:rsidRPr="00062258">
        <w:rPr>
          <w:lang w:val="en-US"/>
        </w:rPr>
        <w:t xml:space="preserve"> and an averaging time of 1ms or less.</w:t>
      </w:r>
    </w:p>
    <w:p w14:paraId="19D6DE52" w14:textId="77777777" w:rsidR="00062258" w:rsidRPr="00062258" w:rsidRDefault="00062258" w:rsidP="00062258">
      <w:pPr>
        <w:pStyle w:val="ECCParBulleted"/>
      </w:pPr>
      <w:r w:rsidRPr="00062258">
        <w:rPr>
          <w:b/>
          <w:lang w:val="en-US"/>
        </w:rPr>
        <w:t>Maximum peak e.i.r.p.</w:t>
      </w:r>
    </w:p>
    <w:p w14:paraId="19D6DE53" w14:textId="77777777" w:rsidR="00062258" w:rsidRDefault="00062258" w:rsidP="00062258">
      <w:pPr>
        <w:pStyle w:val="ECCParBulleted"/>
        <w:numPr>
          <w:ilvl w:val="0"/>
          <w:numId w:val="0"/>
        </w:numPr>
        <w:ind w:left="360"/>
        <w:rPr>
          <w:lang w:val="en-US"/>
        </w:rPr>
      </w:pPr>
      <w:r w:rsidRPr="00062258">
        <w:rPr>
          <w:lang w:val="en-US"/>
        </w:rPr>
        <w:t xml:space="preserve">The highest signal strength measured in any direction at any frequency within the defined range. The peak e.i.r.p. is measured within a 50 MHz bandwidth </w:t>
      </w:r>
      <w:proofErr w:type="spellStart"/>
      <w:r w:rsidRPr="00062258">
        <w:rPr>
          <w:lang w:val="en-US"/>
        </w:rPr>
        <w:t>centred</w:t>
      </w:r>
      <w:proofErr w:type="spellEnd"/>
      <w:r w:rsidRPr="00062258">
        <w:rPr>
          <w:lang w:val="en-US"/>
        </w:rPr>
        <w:t xml:space="preserve"> on the frequency at which the highest mean radiated power occurs</w:t>
      </w:r>
      <w:r>
        <w:rPr>
          <w:lang w:val="en-US"/>
        </w:rPr>
        <w:t>.</w:t>
      </w:r>
    </w:p>
    <w:p w14:paraId="19D6DE54" w14:textId="5254C860" w:rsidR="00062258" w:rsidRPr="00D7379D" w:rsidRDefault="00D7379D" w:rsidP="00062258">
      <w:pPr>
        <w:pStyle w:val="ECCParBulleted"/>
      </w:pPr>
      <w:r w:rsidRPr="00D7379D">
        <w:rPr>
          <w:b/>
          <w:lang w:val="en-US"/>
        </w:rPr>
        <w:t xml:space="preserve">Total </w:t>
      </w:r>
      <w:r w:rsidR="004613CF">
        <w:rPr>
          <w:b/>
          <w:lang w:val="en-US"/>
        </w:rPr>
        <w:t>r</w:t>
      </w:r>
      <w:r w:rsidRPr="00D7379D">
        <w:rPr>
          <w:b/>
          <w:lang w:val="en-US"/>
        </w:rPr>
        <w:t xml:space="preserve">adiated </w:t>
      </w:r>
      <w:r w:rsidR="004613CF">
        <w:rPr>
          <w:b/>
          <w:lang w:val="en-US"/>
        </w:rPr>
        <w:t>p</w:t>
      </w:r>
      <w:r w:rsidRPr="00D7379D">
        <w:rPr>
          <w:b/>
          <w:lang w:val="en-US"/>
        </w:rPr>
        <w:t>ower spectral density</w:t>
      </w:r>
    </w:p>
    <w:p w14:paraId="19D6DE55" w14:textId="77777777" w:rsidR="00D7379D" w:rsidRDefault="00D7379D" w:rsidP="00D7379D">
      <w:pPr>
        <w:pStyle w:val="ECCParBulleted"/>
        <w:numPr>
          <w:ilvl w:val="0"/>
          <w:numId w:val="0"/>
        </w:numPr>
        <w:ind w:left="360"/>
        <w:rPr>
          <w:bCs/>
          <w:lang w:val="en-US"/>
        </w:rPr>
      </w:pPr>
      <w:r w:rsidRPr="00D7379D">
        <w:rPr>
          <w:bCs/>
          <w:lang w:val="en-US"/>
        </w:rPr>
        <w:t>The average of the mean e.i.r.p. spectral density values measured over a sphere around the measurement scenario with a re</w:t>
      </w:r>
      <w:r w:rsidR="00F104ED">
        <w:rPr>
          <w:bCs/>
          <w:lang w:val="en-US"/>
        </w:rPr>
        <w:t xml:space="preserve">solution of at least 15 </w:t>
      </w:r>
      <w:proofErr w:type="gramStart"/>
      <w:r w:rsidR="00F104ED">
        <w:rPr>
          <w:bCs/>
          <w:lang w:val="en-US"/>
        </w:rPr>
        <w:t>degree</w:t>
      </w:r>
      <w:proofErr w:type="gramEnd"/>
      <w:r w:rsidR="00F104ED">
        <w:rPr>
          <w:bCs/>
          <w:lang w:val="en-US"/>
        </w:rPr>
        <w:t xml:space="preserve">. </w:t>
      </w:r>
      <w:r w:rsidRPr="00D7379D">
        <w:rPr>
          <w:bCs/>
          <w:lang w:val="en-US"/>
        </w:rPr>
        <w:t>The detailed measuring setup is contained within ETSI EN 302 065-4</w:t>
      </w:r>
      <w:r w:rsidR="000162BF">
        <w:rPr>
          <w:bCs/>
          <w:lang w:val="en-US"/>
        </w:rPr>
        <w:t>-1</w:t>
      </w:r>
      <w:r>
        <w:rPr>
          <w:bCs/>
          <w:lang w:val="en-US"/>
        </w:rPr>
        <w:t>.</w:t>
      </w:r>
    </w:p>
    <w:p w14:paraId="19D6DE56" w14:textId="77777777" w:rsidR="00D7379D" w:rsidRPr="00D7379D" w:rsidRDefault="00D7379D" w:rsidP="00D7379D">
      <w:pPr>
        <w:pStyle w:val="ECCParBulleted"/>
      </w:pPr>
      <w:r w:rsidRPr="00D7379D">
        <w:rPr>
          <w:b/>
          <w:lang w:val="en-US"/>
        </w:rPr>
        <w:t>Representative wall</w:t>
      </w:r>
    </w:p>
    <w:p w14:paraId="19D6DE57" w14:textId="0723E949" w:rsidR="00D7379D" w:rsidRDefault="00D7379D" w:rsidP="00D7379D">
      <w:pPr>
        <w:pStyle w:val="ECCParBulleted"/>
        <w:numPr>
          <w:ilvl w:val="0"/>
          <w:numId w:val="0"/>
        </w:numPr>
        <w:ind w:left="360"/>
        <w:rPr>
          <w:lang w:val="en-US"/>
        </w:rPr>
      </w:pPr>
      <w:r w:rsidRPr="00D7379D">
        <w:rPr>
          <w:lang w:val="en-US"/>
        </w:rPr>
        <w:t xml:space="preserve">The radiations into the air </w:t>
      </w:r>
      <w:proofErr w:type="gramStart"/>
      <w:r w:rsidRPr="00D7379D">
        <w:rPr>
          <w:lang w:val="en-US"/>
        </w:rPr>
        <w:t>as a result of</w:t>
      </w:r>
      <w:proofErr w:type="gramEnd"/>
      <w:r w:rsidRPr="00D7379D">
        <w:rPr>
          <w:lang w:val="en-US"/>
        </w:rPr>
        <w:t xml:space="preserve"> the operation of </w:t>
      </w:r>
      <w:r w:rsidR="00416D92">
        <w:rPr>
          <w:lang w:val="en-US"/>
        </w:rPr>
        <w:t>m</w:t>
      </w:r>
      <w:r w:rsidRPr="00D7379D">
        <w:rPr>
          <w:lang w:val="en-US"/>
        </w:rPr>
        <w:t xml:space="preserve">aterial </w:t>
      </w:r>
      <w:r w:rsidR="00416D92">
        <w:rPr>
          <w:lang w:val="en-US"/>
        </w:rPr>
        <w:t>s</w:t>
      </w:r>
      <w:r w:rsidRPr="00D7379D">
        <w:rPr>
          <w:lang w:val="en-US"/>
        </w:rPr>
        <w:t>ensing devices are highly dependent on the operational conditions and are only meaningful if coupled with the material being investigated</w:t>
      </w:r>
      <w:r w:rsidRPr="00D7379D">
        <w:rPr>
          <w:bCs/>
          <w:lang w:val="en-US"/>
        </w:rPr>
        <w:t xml:space="preserve">; therefore a measurement scenario with a representative </w:t>
      </w:r>
      <w:r w:rsidR="00416D92">
        <w:rPr>
          <w:bCs/>
          <w:lang w:val="en-US"/>
        </w:rPr>
        <w:t xml:space="preserve">structure </w:t>
      </w:r>
      <w:r w:rsidRPr="00D7379D">
        <w:rPr>
          <w:bCs/>
          <w:lang w:val="en-US"/>
        </w:rPr>
        <w:t>is necessary and is defined within ETSI EN 302 065-4</w:t>
      </w:r>
      <w:r w:rsidR="000162BF">
        <w:rPr>
          <w:bCs/>
          <w:lang w:val="en-US"/>
        </w:rPr>
        <w:t>-1</w:t>
      </w:r>
      <w:r w:rsidR="00416D92">
        <w:rPr>
          <w:bCs/>
          <w:lang w:val="en-US"/>
        </w:rPr>
        <w:t>. For material sensing devices investigating wall structures</w:t>
      </w:r>
      <w:r w:rsidRPr="00D7379D">
        <w:rPr>
          <w:lang w:val="en-US"/>
        </w:rPr>
        <w:t xml:space="preserve">; the representative wall </w:t>
      </w:r>
      <w:proofErr w:type="gramStart"/>
      <w:r w:rsidRPr="00D7379D">
        <w:rPr>
          <w:lang w:val="en-US"/>
        </w:rPr>
        <w:t>has to</w:t>
      </w:r>
      <w:proofErr w:type="gramEnd"/>
      <w:r w:rsidRPr="00D7379D">
        <w:rPr>
          <w:lang w:val="en-US"/>
        </w:rPr>
        <w:t xml:space="preserve"> meet the wall attenuation values within Table </w:t>
      </w:r>
      <w:r w:rsidR="00416D92">
        <w:rPr>
          <w:lang w:val="en-US"/>
        </w:rPr>
        <w:t>4</w:t>
      </w:r>
      <w:r w:rsidRPr="00D7379D">
        <w:rPr>
          <w:lang w:val="en-US"/>
        </w:rPr>
        <w:t xml:space="preserve"> of this Decision:</w:t>
      </w:r>
    </w:p>
    <w:p w14:paraId="19D6DE58" w14:textId="07B93C1D" w:rsidR="00D7379D" w:rsidRDefault="00C802C5" w:rsidP="00FA5D41">
      <w:pPr>
        <w:spacing w:before="240" w:after="240"/>
        <w:jc w:val="center"/>
        <w:rPr>
          <w:b/>
          <w:color w:val="D2232A"/>
        </w:rPr>
      </w:pPr>
      <w:r w:rsidRPr="00566F65">
        <w:rPr>
          <w:b/>
          <w:color w:val="D2232A"/>
        </w:rPr>
        <w:t xml:space="preserve">Table </w:t>
      </w:r>
      <w:r w:rsidR="00416D92">
        <w:rPr>
          <w:b/>
          <w:color w:val="D2232A"/>
        </w:rPr>
        <w:t>4: Representative wall</w:t>
      </w:r>
    </w:p>
    <w:tbl>
      <w:tblPr>
        <w:tblpPr w:leftFromText="141" w:rightFromText="141" w:vertAnchor="text" w:tblpX="120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451"/>
        <w:gridCol w:w="1842"/>
        <w:gridCol w:w="1918"/>
        <w:gridCol w:w="1843"/>
      </w:tblGrid>
      <w:tr w:rsidR="00D7379D" w:rsidRPr="00FE1795" w14:paraId="19D6DE5C" w14:textId="77777777" w:rsidTr="00C802C5">
        <w:trPr>
          <w:trHeight w:val="490"/>
          <w:tblHeader/>
        </w:trPr>
        <w:tc>
          <w:tcPr>
            <w:tcW w:w="1451" w:type="dxa"/>
            <w:vMerge w:val="restart"/>
            <w:tcBorders>
              <w:top w:val="single" w:sz="4" w:space="0" w:color="D2232A"/>
              <w:left w:val="single" w:sz="4" w:space="0" w:color="FFFFFF" w:themeColor="background1"/>
              <w:right w:val="single" w:sz="4" w:space="0" w:color="FFFFFF" w:themeColor="background1"/>
            </w:tcBorders>
            <w:shd w:val="clear" w:color="auto" w:fill="D2232A"/>
            <w:vAlign w:val="center"/>
          </w:tcPr>
          <w:p w14:paraId="19D6DE59" w14:textId="77777777" w:rsidR="00D7379D" w:rsidRDefault="00D7379D" w:rsidP="004749E3">
            <w:pPr>
              <w:jc w:val="center"/>
              <w:rPr>
                <w:b/>
                <w:color w:val="FFFFFF"/>
              </w:rPr>
            </w:pPr>
            <w:r>
              <w:rPr>
                <w:b/>
                <w:color w:val="FFFFFF"/>
              </w:rPr>
              <w:t xml:space="preserve">Frequency </w:t>
            </w:r>
          </w:p>
          <w:p w14:paraId="19D6DE5A" w14:textId="77777777" w:rsidR="00D7379D" w:rsidRPr="00FE1795" w:rsidRDefault="00D7379D" w:rsidP="004749E3">
            <w:pPr>
              <w:jc w:val="center"/>
              <w:rPr>
                <w:b/>
                <w:color w:val="FFFFFF"/>
              </w:rPr>
            </w:pPr>
            <w:r>
              <w:rPr>
                <w:b/>
                <w:color w:val="FFFFFF"/>
              </w:rPr>
              <w:t>GHz</w:t>
            </w:r>
          </w:p>
        </w:tc>
        <w:tc>
          <w:tcPr>
            <w:tcW w:w="5603" w:type="dxa"/>
            <w:gridSpan w:val="3"/>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19D6DE5B" w14:textId="77777777" w:rsidR="00D7379D" w:rsidRPr="00FE1795" w:rsidRDefault="00D7379D" w:rsidP="004749E3">
            <w:pPr>
              <w:jc w:val="center"/>
              <w:rPr>
                <w:b/>
                <w:color w:val="FFFFFF"/>
              </w:rPr>
            </w:pPr>
            <w:r>
              <w:rPr>
                <w:b/>
                <w:color w:val="FFFFFF"/>
              </w:rPr>
              <w:t>Wall attenuation values for the representative wall dB</w:t>
            </w:r>
          </w:p>
        </w:tc>
      </w:tr>
      <w:tr w:rsidR="00D7379D" w:rsidRPr="00FE1795" w14:paraId="19D6DE61" w14:textId="77777777" w:rsidTr="00C802C5">
        <w:trPr>
          <w:trHeight w:val="372"/>
          <w:tblHeader/>
        </w:trPr>
        <w:tc>
          <w:tcPr>
            <w:tcW w:w="1451" w:type="dxa"/>
            <w:vMerge/>
            <w:tcBorders>
              <w:left w:val="single" w:sz="4" w:space="0" w:color="FFFFFF" w:themeColor="background1"/>
              <w:bottom w:val="single" w:sz="4" w:space="0" w:color="D2232A"/>
              <w:right w:val="single" w:sz="4" w:space="0" w:color="FFFFFF" w:themeColor="background1"/>
            </w:tcBorders>
            <w:shd w:val="clear" w:color="auto" w:fill="D2232A"/>
            <w:vAlign w:val="center"/>
          </w:tcPr>
          <w:p w14:paraId="19D6DE5D" w14:textId="77777777" w:rsidR="00D7379D" w:rsidRDefault="00D7379D" w:rsidP="00DC3DE2">
            <w:pPr>
              <w:jc w:val="center"/>
              <w:rPr>
                <w:b/>
                <w:color w:val="FFFFFF"/>
              </w:rPr>
            </w:pPr>
          </w:p>
        </w:tc>
        <w:tc>
          <w:tcPr>
            <w:tcW w:w="184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19D6DE5E" w14:textId="069701F7" w:rsidR="00D7379D" w:rsidRPr="00FE1795" w:rsidRDefault="00D7379D" w:rsidP="00DC3DE2">
            <w:pPr>
              <w:jc w:val="center"/>
              <w:rPr>
                <w:b/>
                <w:color w:val="FFFFFF"/>
              </w:rPr>
            </w:pPr>
            <w:r>
              <w:rPr>
                <w:b/>
                <w:color w:val="FFFFFF"/>
              </w:rPr>
              <w:t>Min</w:t>
            </w:r>
            <w:r w:rsidR="00D32603">
              <w:rPr>
                <w:b/>
                <w:color w:val="FFFFFF"/>
              </w:rPr>
              <w:t>.</w:t>
            </w:r>
          </w:p>
        </w:tc>
        <w:tc>
          <w:tcPr>
            <w:tcW w:w="1918"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19D6DE5F" w14:textId="77777777" w:rsidR="00D7379D" w:rsidRPr="00FE1795" w:rsidRDefault="00D7379D" w:rsidP="00DC3DE2">
            <w:pPr>
              <w:jc w:val="center"/>
              <w:rPr>
                <w:b/>
                <w:color w:val="FFFFFF"/>
              </w:rPr>
            </w:pPr>
            <w:r>
              <w:rPr>
                <w:b/>
                <w:color w:val="FFFFFF"/>
              </w:rPr>
              <w:t>Average</w:t>
            </w:r>
          </w:p>
        </w:tc>
        <w:tc>
          <w:tcPr>
            <w:tcW w:w="1843"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19D6DE60" w14:textId="4057FBE1" w:rsidR="00D7379D" w:rsidRPr="00FE1795" w:rsidRDefault="00D32603" w:rsidP="00DC3DE2">
            <w:pPr>
              <w:jc w:val="center"/>
              <w:rPr>
                <w:b/>
                <w:color w:val="FFFFFF"/>
              </w:rPr>
            </w:pPr>
            <w:r>
              <w:rPr>
                <w:b/>
                <w:color w:val="FFFFFF"/>
              </w:rPr>
              <w:t>M</w:t>
            </w:r>
            <w:r w:rsidR="00D7379D">
              <w:rPr>
                <w:b/>
                <w:color w:val="FFFFFF"/>
              </w:rPr>
              <w:t>ax</w:t>
            </w:r>
            <w:r>
              <w:rPr>
                <w:b/>
                <w:color w:val="FFFFFF"/>
              </w:rPr>
              <w:t>.</w:t>
            </w:r>
          </w:p>
        </w:tc>
      </w:tr>
      <w:tr w:rsidR="00D7379D" w:rsidRPr="003E0811" w14:paraId="19D6DE66"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62" w14:textId="77777777" w:rsidR="00D7379D" w:rsidRPr="003E0811" w:rsidRDefault="00D7379D" w:rsidP="00D7379D">
            <w:pPr>
              <w:spacing w:before="60"/>
              <w:rPr>
                <w:rFonts w:eastAsia="Arial Unicode MS"/>
                <w:color w:val="000000"/>
                <w:szCs w:val="20"/>
              </w:rPr>
            </w:pPr>
            <w:r w:rsidRPr="003E0811">
              <w:rPr>
                <w:color w:val="000000"/>
                <w:szCs w:val="20"/>
              </w:rPr>
              <w:t>1</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63" w14:textId="77777777" w:rsidR="00D7379D" w:rsidRPr="003E0811" w:rsidRDefault="00D7379D" w:rsidP="00D7379D">
            <w:pPr>
              <w:spacing w:before="60"/>
              <w:rPr>
                <w:rFonts w:eastAsia="Arial Unicode MS"/>
                <w:color w:val="000000"/>
                <w:szCs w:val="20"/>
              </w:rPr>
            </w:pPr>
            <w:r w:rsidRPr="003E0811">
              <w:rPr>
                <w:color w:val="000000"/>
                <w:szCs w:val="20"/>
              </w:rPr>
              <w:t>5</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64" w14:textId="77777777" w:rsidR="00D7379D" w:rsidRPr="003E0811" w:rsidRDefault="00D7379D" w:rsidP="00D7379D">
            <w:pPr>
              <w:spacing w:before="60"/>
              <w:rPr>
                <w:rFonts w:eastAsia="Arial Unicode MS"/>
                <w:color w:val="000000"/>
                <w:szCs w:val="20"/>
              </w:rPr>
            </w:pPr>
            <w:r w:rsidRPr="003E0811">
              <w:rPr>
                <w:color w:val="000000"/>
                <w:szCs w:val="20"/>
              </w:rPr>
              <w:t>7</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65" w14:textId="77777777" w:rsidR="00D7379D" w:rsidRPr="003E0811" w:rsidRDefault="00D7379D" w:rsidP="00D7379D">
            <w:pPr>
              <w:spacing w:before="60"/>
              <w:rPr>
                <w:rFonts w:eastAsia="Arial Unicode MS"/>
                <w:color w:val="000000"/>
                <w:szCs w:val="20"/>
              </w:rPr>
            </w:pPr>
            <w:r w:rsidRPr="003E0811">
              <w:rPr>
                <w:color w:val="000000"/>
                <w:szCs w:val="20"/>
              </w:rPr>
              <w:t>9</w:t>
            </w:r>
          </w:p>
        </w:tc>
      </w:tr>
      <w:tr w:rsidR="00D7379D" w:rsidRPr="003E0811" w14:paraId="19D6DE6B"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67" w14:textId="77777777" w:rsidR="00D7379D" w:rsidRPr="003E0811" w:rsidRDefault="00D7379D" w:rsidP="00D7379D">
            <w:pPr>
              <w:spacing w:before="60"/>
              <w:rPr>
                <w:rFonts w:eastAsia="Arial Unicode MS"/>
                <w:color w:val="000000"/>
                <w:szCs w:val="20"/>
              </w:rPr>
            </w:pPr>
            <w:r w:rsidRPr="003E0811">
              <w:rPr>
                <w:color w:val="000000"/>
                <w:szCs w:val="20"/>
              </w:rPr>
              <w:t>2</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68" w14:textId="77777777" w:rsidR="00D7379D" w:rsidRPr="003E0811" w:rsidRDefault="00D7379D" w:rsidP="00D7379D">
            <w:pPr>
              <w:spacing w:before="60"/>
              <w:rPr>
                <w:rFonts w:eastAsia="Arial Unicode MS"/>
                <w:color w:val="000000"/>
                <w:szCs w:val="20"/>
              </w:rPr>
            </w:pPr>
            <w:r w:rsidRPr="003E0811">
              <w:rPr>
                <w:color w:val="000000"/>
                <w:szCs w:val="20"/>
              </w:rPr>
              <w:t>8</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69" w14:textId="77777777" w:rsidR="00D7379D" w:rsidRPr="003E0811" w:rsidRDefault="00D7379D" w:rsidP="00D7379D">
            <w:pPr>
              <w:spacing w:before="60"/>
              <w:rPr>
                <w:rFonts w:eastAsia="Arial Unicode MS"/>
                <w:color w:val="000000"/>
                <w:szCs w:val="20"/>
              </w:rPr>
            </w:pPr>
            <w:r w:rsidRPr="003E0811">
              <w:rPr>
                <w:color w:val="000000"/>
                <w:szCs w:val="20"/>
              </w:rPr>
              <w:t>10</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6A" w14:textId="77777777" w:rsidR="00D7379D" w:rsidRPr="003E0811" w:rsidRDefault="00D7379D" w:rsidP="00D7379D">
            <w:pPr>
              <w:spacing w:before="60"/>
              <w:rPr>
                <w:rFonts w:eastAsia="Arial Unicode MS"/>
                <w:color w:val="000000"/>
                <w:szCs w:val="20"/>
              </w:rPr>
            </w:pPr>
            <w:r w:rsidRPr="003E0811">
              <w:rPr>
                <w:color w:val="000000"/>
                <w:szCs w:val="20"/>
              </w:rPr>
              <w:t>12</w:t>
            </w:r>
          </w:p>
        </w:tc>
      </w:tr>
      <w:tr w:rsidR="00D7379D" w:rsidRPr="003E0811" w14:paraId="19D6DE70"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6C" w14:textId="77777777" w:rsidR="00D7379D" w:rsidRPr="003E0811" w:rsidRDefault="00D7379D" w:rsidP="00D7379D">
            <w:pPr>
              <w:spacing w:before="60"/>
              <w:rPr>
                <w:rFonts w:eastAsia="Arial Unicode MS"/>
                <w:color w:val="000000"/>
                <w:szCs w:val="20"/>
              </w:rPr>
            </w:pPr>
            <w:r w:rsidRPr="003E0811">
              <w:rPr>
                <w:color w:val="000000"/>
                <w:szCs w:val="20"/>
              </w:rPr>
              <w:t>3</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6D" w14:textId="77777777" w:rsidR="00D7379D" w:rsidRPr="003E0811" w:rsidRDefault="00D7379D" w:rsidP="00D7379D">
            <w:pPr>
              <w:spacing w:before="60"/>
              <w:rPr>
                <w:rFonts w:eastAsia="Arial Unicode MS"/>
                <w:color w:val="000000"/>
                <w:szCs w:val="20"/>
              </w:rPr>
            </w:pPr>
            <w:r w:rsidRPr="003E0811">
              <w:rPr>
                <w:color w:val="000000"/>
                <w:szCs w:val="20"/>
              </w:rPr>
              <w:t>10</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6E" w14:textId="77777777" w:rsidR="00D7379D" w:rsidRPr="003E0811" w:rsidRDefault="00D7379D" w:rsidP="00D7379D">
            <w:pPr>
              <w:spacing w:before="60"/>
              <w:rPr>
                <w:rFonts w:eastAsia="Arial Unicode MS"/>
                <w:color w:val="000000"/>
                <w:szCs w:val="20"/>
              </w:rPr>
            </w:pPr>
            <w:r w:rsidRPr="003E0811">
              <w:rPr>
                <w:color w:val="000000"/>
                <w:szCs w:val="20"/>
              </w:rPr>
              <w:t>12</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6F" w14:textId="77777777" w:rsidR="00D7379D" w:rsidRPr="003E0811" w:rsidRDefault="00D7379D" w:rsidP="00D7379D">
            <w:pPr>
              <w:spacing w:before="60"/>
              <w:rPr>
                <w:rFonts w:eastAsia="Arial Unicode MS"/>
                <w:color w:val="000000"/>
                <w:szCs w:val="20"/>
              </w:rPr>
            </w:pPr>
            <w:r w:rsidRPr="003E0811">
              <w:rPr>
                <w:color w:val="000000"/>
                <w:szCs w:val="20"/>
              </w:rPr>
              <w:t>14</w:t>
            </w:r>
          </w:p>
        </w:tc>
      </w:tr>
      <w:tr w:rsidR="00D7379D" w:rsidRPr="003E0811" w14:paraId="19D6DE75"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71" w14:textId="77777777" w:rsidR="00D7379D" w:rsidRPr="003E0811" w:rsidRDefault="00D7379D" w:rsidP="00D7379D">
            <w:pPr>
              <w:spacing w:before="60"/>
              <w:rPr>
                <w:rFonts w:eastAsia="Arial Unicode MS"/>
                <w:color w:val="000000"/>
                <w:szCs w:val="20"/>
              </w:rPr>
            </w:pPr>
            <w:r w:rsidRPr="003E0811">
              <w:rPr>
                <w:color w:val="000000"/>
                <w:szCs w:val="20"/>
              </w:rPr>
              <w:t>4</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72" w14:textId="77777777" w:rsidR="00D7379D" w:rsidRPr="003E0811" w:rsidRDefault="00D7379D" w:rsidP="00D7379D">
            <w:pPr>
              <w:spacing w:before="60"/>
              <w:rPr>
                <w:rFonts w:eastAsia="Arial Unicode MS"/>
                <w:color w:val="000000"/>
                <w:szCs w:val="20"/>
              </w:rPr>
            </w:pPr>
            <w:r w:rsidRPr="003E0811">
              <w:rPr>
                <w:color w:val="000000"/>
                <w:szCs w:val="20"/>
              </w:rPr>
              <w:t>12</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73" w14:textId="77777777" w:rsidR="00D7379D" w:rsidRPr="003E0811" w:rsidRDefault="00D7379D" w:rsidP="00D7379D">
            <w:pPr>
              <w:spacing w:before="60"/>
              <w:rPr>
                <w:rFonts w:eastAsia="Arial Unicode MS"/>
                <w:color w:val="000000"/>
                <w:szCs w:val="20"/>
              </w:rPr>
            </w:pPr>
            <w:r w:rsidRPr="003E0811">
              <w:rPr>
                <w:color w:val="000000"/>
                <w:szCs w:val="20"/>
              </w:rPr>
              <w:t>14</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74" w14:textId="77777777" w:rsidR="00D7379D" w:rsidRPr="003E0811" w:rsidRDefault="00D7379D" w:rsidP="00D7379D">
            <w:pPr>
              <w:spacing w:before="60"/>
              <w:rPr>
                <w:rFonts w:eastAsia="Arial Unicode MS"/>
                <w:color w:val="000000"/>
                <w:szCs w:val="20"/>
              </w:rPr>
            </w:pPr>
            <w:r w:rsidRPr="003E0811">
              <w:rPr>
                <w:color w:val="000000"/>
                <w:szCs w:val="20"/>
              </w:rPr>
              <w:t>16</w:t>
            </w:r>
          </w:p>
        </w:tc>
      </w:tr>
      <w:tr w:rsidR="00D7379D" w:rsidRPr="003E0811" w14:paraId="19D6DE7A"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76" w14:textId="77777777" w:rsidR="00D7379D" w:rsidRPr="003E0811" w:rsidRDefault="00D7379D" w:rsidP="00D7379D">
            <w:pPr>
              <w:spacing w:before="60"/>
              <w:rPr>
                <w:rFonts w:eastAsia="Arial Unicode MS"/>
                <w:color w:val="000000"/>
                <w:szCs w:val="20"/>
              </w:rPr>
            </w:pPr>
            <w:r w:rsidRPr="003E0811">
              <w:rPr>
                <w:color w:val="000000"/>
                <w:szCs w:val="20"/>
              </w:rPr>
              <w:t>5</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77" w14:textId="77777777" w:rsidR="00D7379D" w:rsidRPr="003E0811" w:rsidRDefault="00D7379D" w:rsidP="00D7379D">
            <w:pPr>
              <w:spacing w:before="60"/>
              <w:rPr>
                <w:rFonts w:eastAsia="Arial Unicode MS"/>
                <w:color w:val="000000"/>
                <w:szCs w:val="20"/>
              </w:rPr>
            </w:pPr>
            <w:r w:rsidRPr="003E0811">
              <w:rPr>
                <w:color w:val="000000"/>
                <w:szCs w:val="20"/>
              </w:rPr>
              <w:t>14</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78" w14:textId="77777777" w:rsidR="00D7379D" w:rsidRPr="003E0811" w:rsidRDefault="00D7379D" w:rsidP="00D7379D">
            <w:pPr>
              <w:spacing w:before="60"/>
              <w:rPr>
                <w:rFonts w:eastAsia="Arial Unicode MS"/>
                <w:color w:val="000000"/>
                <w:szCs w:val="20"/>
              </w:rPr>
            </w:pPr>
            <w:r w:rsidRPr="003E0811">
              <w:rPr>
                <w:color w:val="000000"/>
                <w:szCs w:val="20"/>
              </w:rPr>
              <w:t>16</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79" w14:textId="77777777" w:rsidR="00D7379D" w:rsidRPr="003E0811" w:rsidRDefault="00D7379D" w:rsidP="00D7379D">
            <w:pPr>
              <w:spacing w:before="60"/>
              <w:rPr>
                <w:rFonts w:eastAsia="Arial Unicode MS"/>
                <w:color w:val="000000"/>
                <w:szCs w:val="20"/>
              </w:rPr>
            </w:pPr>
            <w:r w:rsidRPr="003E0811">
              <w:rPr>
                <w:color w:val="000000"/>
                <w:szCs w:val="20"/>
              </w:rPr>
              <w:t>18</w:t>
            </w:r>
          </w:p>
        </w:tc>
      </w:tr>
      <w:tr w:rsidR="00D7379D" w:rsidRPr="003E0811" w14:paraId="19D6DE7F"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7B" w14:textId="77777777" w:rsidR="00D7379D" w:rsidRPr="003E0811" w:rsidRDefault="00D7379D" w:rsidP="00D7379D">
            <w:pPr>
              <w:spacing w:before="60"/>
              <w:rPr>
                <w:rFonts w:eastAsia="Arial Unicode MS"/>
                <w:color w:val="000000"/>
                <w:szCs w:val="20"/>
              </w:rPr>
            </w:pPr>
            <w:r w:rsidRPr="003E0811">
              <w:rPr>
                <w:color w:val="000000"/>
                <w:szCs w:val="20"/>
              </w:rPr>
              <w:t>6</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7C" w14:textId="77777777" w:rsidR="00D7379D" w:rsidRPr="003E0811" w:rsidRDefault="00D7379D" w:rsidP="00D7379D">
            <w:pPr>
              <w:spacing w:before="60"/>
              <w:rPr>
                <w:rFonts w:eastAsia="Arial Unicode MS"/>
                <w:color w:val="000000"/>
                <w:szCs w:val="20"/>
              </w:rPr>
            </w:pPr>
            <w:r w:rsidRPr="003E0811">
              <w:rPr>
                <w:color w:val="000000"/>
                <w:szCs w:val="20"/>
              </w:rPr>
              <w:t>16</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7D" w14:textId="77777777" w:rsidR="00D7379D" w:rsidRPr="003E0811" w:rsidRDefault="00D7379D" w:rsidP="00D7379D">
            <w:pPr>
              <w:spacing w:before="60"/>
              <w:rPr>
                <w:rFonts w:eastAsia="Arial Unicode MS"/>
                <w:color w:val="000000"/>
                <w:szCs w:val="20"/>
              </w:rPr>
            </w:pPr>
            <w:r w:rsidRPr="003E0811">
              <w:rPr>
                <w:color w:val="000000"/>
                <w:szCs w:val="20"/>
              </w:rPr>
              <w:t>18</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7E" w14:textId="77777777" w:rsidR="00D7379D" w:rsidRPr="003E0811" w:rsidRDefault="00D7379D" w:rsidP="00D7379D">
            <w:pPr>
              <w:spacing w:before="60"/>
              <w:rPr>
                <w:rFonts w:eastAsia="Arial Unicode MS"/>
                <w:color w:val="000000"/>
                <w:szCs w:val="20"/>
              </w:rPr>
            </w:pPr>
            <w:r w:rsidRPr="003E0811">
              <w:rPr>
                <w:color w:val="000000"/>
                <w:szCs w:val="20"/>
              </w:rPr>
              <w:t>20</w:t>
            </w:r>
          </w:p>
        </w:tc>
      </w:tr>
      <w:tr w:rsidR="00D7379D" w:rsidRPr="003E0811" w14:paraId="19D6DE84"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80" w14:textId="77777777" w:rsidR="00D7379D" w:rsidRPr="003E0811" w:rsidRDefault="00D7379D" w:rsidP="00D7379D">
            <w:pPr>
              <w:spacing w:before="60"/>
              <w:rPr>
                <w:rFonts w:eastAsia="Arial Unicode MS"/>
                <w:color w:val="000000"/>
                <w:szCs w:val="20"/>
              </w:rPr>
            </w:pPr>
            <w:r w:rsidRPr="003E0811">
              <w:rPr>
                <w:color w:val="000000"/>
                <w:szCs w:val="20"/>
              </w:rPr>
              <w:t>7</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81" w14:textId="77777777" w:rsidR="00D7379D" w:rsidRPr="003E0811" w:rsidRDefault="00D7379D" w:rsidP="00D7379D">
            <w:pPr>
              <w:spacing w:before="60"/>
              <w:rPr>
                <w:rFonts w:eastAsia="Arial Unicode MS"/>
                <w:color w:val="000000"/>
                <w:szCs w:val="20"/>
              </w:rPr>
            </w:pPr>
            <w:r w:rsidRPr="003E0811">
              <w:rPr>
                <w:color w:val="000000"/>
                <w:szCs w:val="20"/>
              </w:rPr>
              <w:t>18</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82" w14:textId="77777777" w:rsidR="00D7379D" w:rsidRPr="003E0811" w:rsidRDefault="00D7379D" w:rsidP="00D7379D">
            <w:pPr>
              <w:spacing w:before="60"/>
              <w:rPr>
                <w:rFonts w:eastAsia="Arial Unicode MS"/>
                <w:color w:val="000000"/>
                <w:szCs w:val="20"/>
              </w:rPr>
            </w:pPr>
            <w:r w:rsidRPr="003E0811">
              <w:rPr>
                <w:color w:val="000000"/>
                <w:szCs w:val="20"/>
              </w:rPr>
              <w:t>20</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83" w14:textId="77777777" w:rsidR="00D7379D" w:rsidRPr="003E0811" w:rsidRDefault="00D7379D" w:rsidP="00D7379D">
            <w:pPr>
              <w:spacing w:before="60"/>
              <w:rPr>
                <w:rFonts w:eastAsia="Arial Unicode MS"/>
                <w:color w:val="000000"/>
                <w:szCs w:val="20"/>
              </w:rPr>
            </w:pPr>
            <w:r w:rsidRPr="003E0811">
              <w:rPr>
                <w:color w:val="000000"/>
                <w:szCs w:val="20"/>
              </w:rPr>
              <w:t>22</w:t>
            </w:r>
          </w:p>
        </w:tc>
      </w:tr>
      <w:tr w:rsidR="00D7379D" w:rsidRPr="003E0811" w14:paraId="19D6DE89" w14:textId="77777777" w:rsidTr="00C802C5">
        <w:tc>
          <w:tcPr>
            <w:tcW w:w="1451" w:type="dxa"/>
            <w:tcBorders>
              <w:top w:val="single" w:sz="4" w:space="0" w:color="D2232A"/>
              <w:left w:val="single" w:sz="4" w:space="0" w:color="D2232A"/>
              <w:bottom w:val="single" w:sz="4" w:space="0" w:color="D2232A"/>
              <w:right w:val="single" w:sz="4" w:space="0" w:color="D2232A"/>
            </w:tcBorders>
            <w:vAlign w:val="bottom"/>
          </w:tcPr>
          <w:p w14:paraId="19D6DE85" w14:textId="77777777" w:rsidR="00D7379D" w:rsidRPr="003E0811" w:rsidRDefault="00D7379D" w:rsidP="00D7379D">
            <w:pPr>
              <w:spacing w:before="60"/>
              <w:rPr>
                <w:rFonts w:eastAsia="Arial Unicode MS"/>
                <w:color w:val="000000"/>
                <w:szCs w:val="20"/>
              </w:rPr>
            </w:pPr>
            <w:r w:rsidRPr="003E0811">
              <w:rPr>
                <w:color w:val="000000"/>
                <w:szCs w:val="20"/>
              </w:rPr>
              <w:t>8</w:t>
            </w:r>
          </w:p>
        </w:tc>
        <w:tc>
          <w:tcPr>
            <w:tcW w:w="1842" w:type="dxa"/>
            <w:tcBorders>
              <w:top w:val="single" w:sz="4" w:space="0" w:color="D2232A"/>
              <w:left w:val="single" w:sz="4" w:space="0" w:color="D2232A"/>
              <w:bottom w:val="single" w:sz="4" w:space="0" w:color="D2232A"/>
              <w:right w:val="single" w:sz="4" w:space="0" w:color="D2232A"/>
            </w:tcBorders>
            <w:vAlign w:val="bottom"/>
          </w:tcPr>
          <w:p w14:paraId="19D6DE86" w14:textId="77777777" w:rsidR="00D7379D" w:rsidRPr="003E0811" w:rsidRDefault="00D7379D" w:rsidP="00D7379D">
            <w:pPr>
              <w:spacing w:before="60"/>
              <w:rPr>
                <w:rFonts w:eastAsia="Arial Unicode MS"/>
                <w:color w:val="000000"/>
                <w:szCs w:val="20"/>
              </w:rPr>
            </w:pPr>
            <w:r w:rsidRPr="003E0811">
              <w:rPr>
                <w:color w:val="000000"/>
                <w:szCs w:val="20"/>
              </w:rPr>
              <w:t>20</w:t>
            </w:r>
          </w:p>
        </w:tc>
        <w:tc>
          <w:tcPr>
            <w:tcW w:w="1918" w:type="dxa"/>
            <w:tcBorders>
              <w:top w:val="single" w:sz="4" w:space="0" w:color="D2232A"/>
              <w:left w:val="single" w:sz="4" w:space="0" w:color="D2232A"/>
              <w:bottom w:val="single" w:sz="4" w:space="0" w:color="D2232A"/>
              <w:right w:val="single" w:sz="4" w:space="0" w:color="D2232A"/>
            </w:tcBorders>
            <w:vAlign w:val="bottom"/>
          </w:tcPr>
          <w:p w14:paraId="19D6DE87" w14:textId="77777777" w:rsidR="00D7379D" w:rsidRPr="003E0811" w:rsidRDefault="00D7379D" w:rsidP="00D7379D">
            <w:pPr>
              <w:spacing w:before="60"/>
              <w:rPr>
                <w:rFonts w:eastAsia="Arial Unicode MS"/>
                <w:color w:val="000000"/>
                <w:szCs w:val="20"/>
              </w:rPr>
            </w:pPr>
            <w:r w:rsidRPr="003E0811">
              <w:rPr>
                <w:color w:val="000000"/>
                <w:szCs w:val="20"/>
              </w:rPr>
              <w:t>22</w:t>
            </w:r>
          </w:p>
        </w:tc>
        <w:tc>
          <w:tcPr>
            <w:tcW w:w="1843" w:type="dxa"/>
            <w:tcBorders>
              <w:top w:val="single" w:sz="4" w:space="0" w:color="D2232A"/>
              <w:left w:val="single" w:sz="4" w:space="0" w:color="D2232A"/>
              <w:bottom w:val="single" w:sz="4" w:space="0" w:color="D2232A"/>
              <w:right w:val="single" w:sz="4" w:space="0" w:color="D2232A"/>
            </w:tcBorders>
            <w:vAlign w:val="bottom"/>
          </w:tcPr>
          <w:p w14:paraId="19D6DE88" w14:textId="77777777" w:rsidR="00D7379D" w:rsidRPr="003E0811" w:rsidRDefault="00D7379D" w:rsidP="00D7379D">
            <w:pPr>
              <w:spacing w:before="60"/>
              <w:rPr>
                <w:rFonts w:eastAsia="Arial Unicode MS"/>
                <w:color w:val="000000"/>
                <w:szCs w:val="20"/>
              </w:rPr>
            </w:pPr>
            <w:r w:rsidRPr="003E0811">
              <w:rPr>
                <w:color w:val="000000"/>
                <w:szCs w:val="20"/>
              </w:rPr>
              <w:t>24</w:t>
            </w:r>
          </w:p>
        </w:tc>
      </w:tr>
    </w:tbl>
    <w:p w14:paraId="19D6DE8A" w14:textId="77777777" w:rsidR="00D7379D" w:rsidRDefault="00D7379D" w:rsidP="00D7379D">
      <w:pPr>
        <w:pStyle w:val="ECCParagraph"/>
      </w:pPr>
    </w:p>
    <w:p w14:paraId="19D6DE8B" w14:textId="77777777" w:rsidR="00D7379D" w:rsidRDefault="00D7379D" w:rsidP="00D7379D">
      <w:pPr>
        <w:pStyle w:val="ECCParagraph"/>
      </w:pPr>
    </w:p>
    <w:p w14:paraId="19D6DE8C" w14:textId="77777777" w:rsidR="00D7379D" w:rsidRDefault="00D7379D" w:rsidP="00D7379D">
      <w:pPr>
        <w:pStyle w:val="ECCParagraph"/>
      </w:pPr>
    </w:p>
    <w:p w14:paraId="19D6DE8D" w14:textId="77777777" w:rsidR="00D7379D" w:rsidRDefault="00D7379D" w:rsidP="00D7379D">
      <w:pPr>
        <w:pStyle w:val="ECCParagraph"/>
      </w:pPr>
    </w:p>
    <w:p w14:paraId="19D6DE8E" w14:textId="77777777" w:rsidR="00D7379D" w:rsidRDefault="00D7379D" w:rsidP="00D7379D">
      <w:pPr>
        <w:pStyle w:val="ECCParagraph"/>
      </w:pPr>
    </w:p>
    <w:p w14:paraId="19D6DE8F" w14:textId="77777777" w:rsidR="00D7379D" w:rsidRDefault="00D7379D" w:rsidP="00D7379D">
      <w:pPr>
        <w:pStyle w:val="ECCParagraph"/>
      </w:pPr>
    </w:p>
    <w:p w14:paraId="19D6DE90" w14:textId="77777777" w:rsidR="00D7379D" w:rsidRDefault="00D7379D" w:rsidP="00D7379D">
      <w:pPr>
        <w:pStyle w:val="ECCParagraph"/>
      </w:pPr>
    </w:p>
    <w:p w14:paraId="19D6DE91" w14:textId="77777777" w:rsidR="00D7379D" w:rsidRPr="00D7379D" w:rsidRDefault="00D7379D" w:rsidP="00D7379D">
      <w:pPr>
        <w:pStyle w:val="ECCParagraph"/>
      </w:pPr>
    </w:p>
    <w:sectPr w:rsidR="00D7379D" w:rsidRPr="00D7379D"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1690" w14:textId="77777777" w:rsidR="003D5845" w:rsidRDefault="003D5845" w:rsidP="006C03D0">
      <w:r>
        <w:separator/>
      </w:r>
    </w:p>
    <w:p w14:paraId="49C542CA" w14:textId="77777777" w:rsidR="003D5845" w:rsidRDefault="003D5845"/>
  </w:endnote>
  <w:endnote w:type="continuationSeparator" w:id="0">
    <w:p w14:paraId="2EF3EEDA" w14:textId="77777777" w:rsidR="003D5845" w:rsidRDefault="003D5845" w:rsidP="006C03D0">
      <w:r>
        <w:continuationSeparator/>
      </w:r>
    </w:p>
    <w:p w14:paraId="5F1EE06F" w14:textId="77777777" w:rsidR="003D5845" w:rsidRDefault="003D5845"/>
  </w:endnote>
  <w:endnote w:type="continuationNotice" w:id="1">
    <w:p w14:paraId="13F2764F" w14:textId="77777777" w:rsidR="003100D1" w:rsidRDefault="00310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A14D" w14:textId="77777777" w:rsidR="003D5845" w:rsidRDefault="003D5845" w:rsidP="006C03D0">
      <w:r>
        <w:separator/>
      </w:r>
    </w:p>
    <w:p w14:paraId="6594C4C9" w14:textId="77777777" w:rsidR="003D5845" w:rsidRDefault="003D5845"/>
  </w:footnote>
  <w:footnote w:type="continuationSeparator" w:id="0">
    <w:p w14:paraId="3203ED14" w14:textId="77777777" w:rsidR="003D5845" w:rsidRDefault="003D5845" w:rsidP="006C03D0">
      <w:r>
        <w:continuationSeparator/>
      </w:r>
    </w:p>
    <w:p w14:paraId="5BAAF3D4" w14:textId="77777777" w:rsidR="003D5845" w:rsidRDefault="003D5845"/>
  </w:footnote>
  <w:footnote w:type="continuationNotice" w:id="1">
    <w:p w14:paraId="1DE2F44B" w14:textId="77777777" w:rsidR="003100D1" w:rsidRDefault="003100D1"/>
  </w:footnote>
  <w:footnote w:id="2">
    <w:p w14:paraId="19D6DEA9" w14:textId="5014137B" w:rsidR="00605D32" w:rsidRPr="009C3EB0" w:rsidRDefault="00605D32">
      <w:pPr>
        <w:pStyle w:val="FootnoteText"/>
        <w:rPr>
          <w:lang w:val="en-GB"/>
        </w:rPr>
      </w:pPr>
      <w:r>
        <w:rPr>
          <w:rStyle w:val="FootnoteReference"/>
        </w:rPr>
        <w:footnoteRef/>
      </w:r>
      <w:r>
        <w:t xml:space="preserve"> </w:t>
      </w:r>
      <w:r w:rsidRPr="009C3EB0">
        <w:rPr>
          <w:lang w:val="en-GB"/>
        </w:rPr>
        <w:t xml:space="preserve">Comparable technical specifications to those in this ECC Decision are given in Decision </w:t>
      </w:r>
      <w:r w:rsidR="00DD40E6">
        <w:t>(EU) 2019/785</w:t>
      </w:r>
      <w:r w:rsidRPr="009C3EB0">
        <w:rPr>
          <w:lang w:val="en-GB"/>
        </w:rPr>
        <w:t xml:space="preserve">. EU member states and, if </w:t>
      </w:r>
      <w:proofErr w:type="gramStart"/>
      <w:r w:rsidRPr="009C3EB0">
        <w:rPr>
          <w:lang w:val="en-GB"/>
        </w:rPr>
        <w:t>so</w:t>
      </w:r>
      <w:proofErr w:type="gramEnd"/>
      <w:r w:rsidRPr="009C3EB0">
        <w:rPr>
          <w:lang w:val="en-GB"/>
        </w:rPr>
        <w:t xml:space="preserve"> approved by the EEA Joint Committee, Iceland, Liechtenstein and Norway are obliged to implement the EC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DE9F" w14:textId="7C517CE1" w:rsidR="00605D32" w:rsidRDefault="00605D32" w:rsidP="00F33621">
    <w:pPr>
      <w:pStyle w:val="Header"/>
    </w:pPr>
    <w:r w:rsidRPr="00633DBA">
      <w:rPr>
        <w:lang w:val="en-GB"/>
      </w:rPr>
      <w:t xml:space="preserve">ECC/DEC/(07)01 </w:t>
    </w:r>
    <w:r w:rsidRPr="00633DBA">
      <w:rPr>
        <w:szCs w:val="16"/>
        <w:lang w:val="en-GB"/>
      </w:rPr>
      <w:t xml:space="preserve">Page </w:t>
    </w:r>
    <w:r>
      <w:fldChar w:fldCharType="begin"/>
    </w:r>
    <w:r>
      <w:instrText xml:space="preserve"> PAGE  \* Arabic  \* MERGEFORMAT </w:instrText>
    </w:r>
    <w:r>
      <w:fldChar w:fldCharType="separate"/>
    </w:r>
    <w:r w:rsidR="00DC3DE2" w:rsidRPr="00DC3DE2">
      <w:rPr>
        <w:noProof/>
        <w:szCs w:val="16"/>
        <w:lang w:val="en-GB"/>
      </w:rPr>
      <w:t>6</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DEA0" w14:textId="5D30B242" w:rsidR="00605D32" w:rsidRPr="00B03482" w:rsidRDefault="00605D32" w:rsidP="006C03D0">
    <w:pPr>
      <w:pStyle w:val="Header"/>
      <w:jc w:val="right"/>
      <w:rPr>
        <w:szCs w:val="16"/>
        <w:lang w:val="en-GB"/>
      </w:rPr>
    </w:pPr>
    <w:r w:rsidRPr="00B03482">
      <w:rPr>
        <w:lang w:val="en-GB"/>
      </w:rPr>
      <w:t xml:space="preserve">ECC/DEC/(07)01 </w:t>
    </w:r>
    <w:r w:rsidRPr="00B03482">
      <w:rPr>
        <w:szCs w:val="16"/>
        <w:lang w:val="en-GB"/>
      </w:rPr>
      <w:t xml:space="preserve">Page </w:t>
    </w:r>
    <w:r>
      <w:fldChar w:fldCharType="begin"/>
    </w:r>
    <w:r>
      <w:instrText xml:space="preserve"> PAGE  \* Arabic  \* MERGEFORMAT </w:instrText>
    </w:r>
    <w:r>
      <w:fldChar w:fldCharType="separate"/>
    </w:r>
    <w:r w:rsidR="00DC3DE2" w:rsidRPr="00DC3DE2">
      <w:rPr>
        <w:noProof/>
        <w:szCs w:val="16"/>
        <w:lang w:val="en-GB"/>
      </w:rPr>
      <w:t>5</w:t>
    </w:r>
    <w:r>
      <w:rPr>
        <w:noProof/>
        <w:szCs w:val="16"/>
        <w:lang w:val="da-DK"/>
      </w:rPr>
      <w:fldChar w:fldCharType="end"/>
    </w:r>
  </w:p>
  <w:p w14:paraId="19D6DEA1" w14:textId="77777777" w:rsidR="00605D32" w:rsidRDefault="00605D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DEA2" w14:textId="20B9273F" w:rsidR="00605D32" w:rsidRDefault="00605D32">
    <w:pPr>
      <w:pStyle w:val="Header"/>
    </w:pPr>
    <w:r>
      <w:rPr>
        <w:noProof/>
        <w:szCs w:val="20"/>
        <w:lang w:val="da-DK" w:eastAsia="da-DK"/>
      </w:rPr>
      <w:drawing>
        <wp:anchor distT="0" distB="0" distL="114300" distR="114300" simplePos="0" relativeHeight="251658241" behindDoc="0" locked="0" layoutInCell="1" allowOverlap="1" wp14:anchorId="19D6DEA5" wp14:editId="19D6DEA6">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8240" behindDoc="0" locked="0" layoutInCell="1" allowOverlap="1" wp14:anchorId="19D6DEA7" wp14:editId="19D6DEA8">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1C3C53F3"/>
    <w:multiLevelType w:val="multilevel"/>
    <w:tmpl w:val="C9D22F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4"/>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285"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6DD601C6"/>
    <w:multiLevelType w:val="hybridMultilevel"/>
    <w:tmpl w:val="8ECA66C4"/>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9113000">
    <w:abstractNumId w:val="13"/>
  </w:num>
  <w:num w:numId="2" w16cid:durableId="1172648446">
    <w:abstractNumId w:val="22"/>
  </w:num>
  <w:num w:numId="3" w16cid:durableId="1796832186">
    <w:abstractNumId w:val="16"/>
  </w:num>
  <w:num w:numId="4" w16cid:durableId="1323663207">
    <w:abstractNumId w:val="6"/>
  </w:num>
  <w:num w:numId="5" w16cid:durableId="1315451961">
    <w:abstractNumId w:val="17"/>
  </w:num>
  <w:num w:numId="6" w16cid:durableId="478811228">
    <w:abstractNumId w:val="10"/>
  </w:num>
  <w:num w:numId="7" w16cid:durableId="1351760108">
    <w:abstractNumId w:val="9"/>
  </w:num>
  <w:num w:numId="8" w16cid:durableId="955405920">
    <w:abstractNumId w:val="15"/>
  </w:num>
  <w:num w:numId="9" w16cid:durableId="702708438">
    <w:abstractNumId w:val="14"/>
  </w:num>
  <w:num w:numId="10" w16cid:durableId="1965843410">
    <w:abstractNumId w:val="11"/>
  </w:num>
  <w:num w:numId="11" w16cid:durableId="414285015">
    <w:abstractNumId w:val="15"/>
    <w:lvlOverride w:ilvl="0">
      <w:startOverride w:val="1"/>
    </w:lvlOverride>
  </w:num>
  <w:num w:numId="12" w16cid:durableId="646469660">
    <w:abstractNumId w:val="5"/>
  </w:num>
  <w:num w:numId="13" w16cid:durableId="303702838">
    <w:abstractNumId w:val="2"/>
  </w:num>
  <w:num w:numId="14" w16cid:durableId="925068542">
    <w:abstractNumId w:val="19"/>
  </w:num>
  <w:num w:numId="15" w16cid:durableId="783773854">
    <w:abstractNumId w:val="18"/>
  </w:num>
  <w:num w:numId="16" w16cid:durableId="1219049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025981">
    <w:abstractNumId w:val="7"/>
  </w:num>
  <w:num w:numId="18" w16cid:durableId="2024748248">
    <w:abstractNumId w:val="8"/>
  </w:num>
  <w:num w:numId="19" w16cid:durableId="1272392980">
    <w:abstractNumId w:val="21"/>
  </w:num>
  <w:num w:numId="20" w16cid:durableId="1211067732">
    <w:abstractNumId w:val="12"/>
  </w:num>
  <w:num w:numId="21" w16cid:durableId="1963532659">
    <w:abstractNumId w:val="23"/>
  </w:num>
  <w:num w:numId="22" w16cid:durableId="1601987044">
    <w:abstractNumId w:val="24"/>
  </w:num>
  <w:num w:numId="23" w16cid:durableId="1101072138">
    <w:abstractNumId w:val="0"/>
  </w:num>
  <w:num w:numId="24" w16cid:durableId="1655528866">
    <w:abstractNumId w:val="3"/>
  </w:num>
  <w:num w:numId="25" w16cid:durableId="1864592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008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8893909">
    <w:abstractNumId w:val="4"/>
  </w:num>
  <w:num w:numId="28" w16cid:durableId="9956451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1985733">
    <w:abstractNumId w:val="20"/>
  </w:num>
  <w:num w:numId="30" w16cid:durableId="60365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A"/>
    <w:rsid w:val="0000256C"/>
    <w:rsid w:val="000162BF"/>
    <w:rsid w:val="00031379"/>
    <w:rsid w:val="0003316E"/>
    <w:rsid w:val="00062258"/>
    <w:rsid w:val="000651DD"/>
    <w:rsid w:val="00072B81"/>
    <w:rsid w:val="00082B97"/>
    <w:rsid w:val="000A0481"/>
    <w:rsid w:val="000C183F"/>
    <w:rsid w:val="000F1F69"/>
    <w:rsid w:val="000F3919"/>
    <w:rsid w:val="0010592E"/>
    <w:rsid w:val="001209B1"/>
    <w:rsid w:val="001225CB"/>
    <w:rsid w:val="001354B5"/>
    <w:rsid w:val="0013619B"/>
    <w:rsid w:val="001745B6"/>
    <w:rsid w:val="00175405"/>
    <w:rsid w:val="0019789E"/>
    <w:rsid w:val="001C03A7"/>
    <w:rsid w:val="001C0BB2"/>
    <w:rsid w:val="001C46EA"/>
    <w:rsid w:val="001C7C50"/>
    <w:rsid w:val="001E0C8D"/>
    <w:rsid w:val="001E5E9C"/>
    <w:rsid w:val="001F3F01"/>
    <w:rsid w:val="0021795A"/>
    <w:rsid w:val="00224011"/>
    <w:rsid w:val="0023001E"/>
    <w:rsid w:val="002741A5"/>
    <w:rsid w:val="00295085"/>
    <w:rsid w:val="002A020C"/>
    <w:rsid w:val="002D28AA"/>
    <w:rsid w:val="002E429A"/>
    <w:rsid w:val="002E61DE"/>
    <w:rsid w:val="002F470B"/>
    <w:rsid w:val="00303EE1"/>
    <w:rsid w:val="00304773"/>
    <w:rsid w:val="00305790"/>
    <w:rsid w:val="003100D1"/>
    <w:rsid w:val="00331549"/>
    <w:rsid w:val="0033495F"/>
    <w:rsid w:val="00335AA2"/>
    <w:rsid w:val="00346424"/>
    <w:rsid w:val="00376E4A"/>
    <w:rsid w:val="00390818"/>
    <w:rsid w:val="003959D1"/>
    <w:rsid w:val="00395E07"/>
    <w:rsid w:val="003A2960"/>
    <w:rsid w:val="003A4E90"/>
    <w:rsid w:val="003C73AC"/>
    <w:rsid w:val="003D5845"/>
    <w:rsid w:val="004005AF"/>
    <w:rsid w:val="00412E32"/>
    <w:rsid w:val="00413988"/>
    <w:rsid w:val="004167C6"/>
    <w:rsid w:val="00416D92"/>
    <w:rsid w:val="00447A29"/>
    <w:rsid w:val="004613CF"/>
    <w:rsid w:val="004749E3"/>
    <w:rsid w:val="004771F9"/>
    <w:rsid w:val="00487A90"/>
    <w:rsid w:val="004B35AD"/>
    <w:rsid w:val="004C730D"/>
    <w:rsid w:val="004D0990"/>
    <w:rsid w:val="004D4301"/>
    <w:rsid w:val="004E06E2"/>
    <w:rsid w:val="004E09D3"/>
    <w:rsid w:val="005152AF"/>
    <w:rsid w:val="00557113"/>
    <w:rsid w:val="00566F65"/>
    <w:rsid w:val="0058263A"/>
    <w:rsid w:val="00584DE4"/>
    <w:rsid w:val="005A6AFB"/>
    <w:rsid w:val="005B059A"/>
    <w:rsid w:val="005C2DFA"/>
    <w:rsid w:val="005D6E82"/>
    <w:rsid w:val="005F7AD5"/>
    <w:rsid w:val="00603365"/>
    <w:rsid w:val="00605D32"/>
    <w:rsid w:val="00633DBA"/>
    <w:rsid w:val="006357DB"/>
    <w:rsid w:val="0065526F"/>
    <w:rsid w:val="006A3E08"/>
    <w:rsid w:val="006B4A10"/>
    <w:rsid w:val="006C03D0"/>
    <w:rsid w:val="006E58AF"/>
    <w:rsid w:val="0070052E"/>
    <w:rsid w:val="00713DBA"/>
    <w:rsid w:val="00721760"/>
    <w:rsid w:val="00731417"/>
    <w:rsid w:val="0079210F"/>
    <w:rsid w:val="00796CD7"/>
    <w:rsid w:val="007A1B56"/>
    <w:rsid w:val="007B14CF"/>
    <w:rsid w:val="007B669D"/>
    <w:rsid w:val="007C6571"/>
    <w:rsid w:val="007E23E4"/>
    <w:rsid w:val="00812C91"/>
    <w:rsid w:val="00813F6B"/>
    <w:rsid w:val="00816C2E"/>
    <w:rsid w:val="00830141"/>
    <w:rsid w:val="0086121B"/>
    <w:rsid w:val="008712F3"/>
    <w:rsid w:val="008B2778"/>
    <w:rsid w:val="008D475B"/>
    <w:rsid w:val="00907E80"/>
    <w:rsid w:val="009123D0"/>
    <w:rsid w:val="00924B78"/>
    <w:rsid w:val="00947993"/>
    <w:rsid w:val="009714E3"/>
    <w:rsid w:val="009763E0"/>
    <w:rsid w:val="00982613"/>
    <w:rsid w:val="009C3EB0"/>
    <w:rsid w:val="009C61AB"/>
    <w:rsid w:val="009D3CEE"/>
    <w:rsid w:val="009F14FD"/>
    <w:rsid w:val="00A15C31"/>
    <w:rsid w:val="00A41673"/>
    <w:rsid w:val="00A8085A"/>
    <w:rsid w:val="00A84ACA"/>
    <w:rsid w:val="00A86EA1"/>
    <w:rsid w:val="00A972BC"/>
    <w:rsid w:val="00AB4078"/>
    <w:rsid w:val="00AD4CB7"/>
    <w:rsid w:val="00AF14F6"/>
    <w:rsid w:val="00AF7192"/>
    <w:rsid w:val="00B03382"/>
    <w:rsid w:val="00B03482"/>
    <w:rsid w:val="00B23041"/>
    <w:rsid w:val="00B262AA"/>
    <w:rsid w:val="00B27A15"/>
    <w:rsid w:val="00B42F2A"/>
    <w:rsid w:val="00B55487"/>
    <w:rsid w:val="00B66772"/>
    <w:rsid w:val="00B87849"/>
    <w:rsid w:val="00BA0502"/>
    <w:rsid w:val="00BA3266"/>
    <w:rsid w:val="00BA70F4"/>
    <w:rsid w:val="00BB6853"/>
    <w:rsid w:val="00BC0BA8"/>
    <w:rsid w:val="00BC4F43"/>
    <w:rsid w:val="00BE4A2C"/>
    <w:rsid w:val="00BE61EB"/>
    <w:rsid w:val="00BF5D64"/>
    <w:rsid w:val="00C1340F"/>
    <w:rsid w:val="00C23943"/>
    <w:rsid w:val="00C64D00"/>
    <w:rsid w:val="00C665E0"/>
    <w:rsid w:val="00C802C5"/>
    <w:rsid w:val="00C81EE5"/>
    <w:rsid w:val="00CA6384"/>
    <w:rsid w:val="00CA7E75"/>
    <w:rsid w:val="00CF05D4"/>
    <w:rsid w:val="00D32603"/>
    <w:rsid w:val="00D57129"/>
    <w:rsid w:val="00D7379D"/>
    <w:rsid w:val="00D90B0A"/>
    <w:rsid w:val="00DA090D"/>
    <w:rsid w:val="00DC0568"/>
    <w:rsid w:val="00DC23F7"/>
    <w:rsid w:val="00DC3DE2"/>
    <w:rsid w:val="00DD1288"/>
    <w:rsid w:val="00DD40E6"/>
    <w:rsid w:val="00DE3128"/>
    <w:rsid w:val="00DF0D27"/>
    <w:rsid w:val="00E03162"/>
    <w:rsid w:val="00E65E22"/>
    <w:rsid w:val="00E73D39"/>
    <w:rsid w:val="00E80CF9"/>
    <w:rsid w:val="00EA0F3F"/>
    <w:rsid w:val="00EB0A3A"/>
    <w:rsid w:val="00EC06C7"/>
    <w:rsid w:val="00F104ED"/>
    <w:rsid w:val="00F177F1"/>
    <w:rsid w:val="00F22277"/>
    <w:rsid w:val="00F2787B"/>
    <w:rsid w:val="00F32EE8"/>
    <w:rsid w:val="00F33621"/>
    <w:rsid w:val="00F35B05"/>
    <w:rsid w:val="00F421DF"/>
    <w:rsid w:val="00F54922"/>
    <w:rsid w:val="00F555DC"/>
    <w:rsid w:val="00F56FE5"/>
    <w:rsid w:val="00F87726"/>
    <w:rsid w:val="00F97C29"/>
    <w:rsid w:val="00FA274F"/>
    <w:rsid w:val="00FA4704"/>
    <w:rsid w:val="00FA5D41"/>
    <w:rsid w:val="00FB6AD2"/>
    <w:rsid w:val="00FE1979"/>
    <w:rsid w:val="00FF64E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colormru v:ext="edit" colors="#7b6c58,#887e6e,#d2232a,#57433e,#b0a696"/>
    </o:shapedefaults>
    <o:shapelayout v:ext="edit">
      <o:idmap v:ext="edit" data="2"/>
    </o:shapelayout>
  </w:shapeDefaults>
  <w:decimalSymbol w:val="."/>
  <w:listSeparator w:val=","/>
  <w14:docId w14:val="19D6DC00"/>
  <w15:docId w15:val="{F24C5EB7-9714-47AD-AB69-7BB4B7B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BA0502"/>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11"/>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6"/>
      </w:numPr>
    </w:pPr>
  </w:style>
  <w:style w:type="numbering" w:customStyle="1" w:styleId="ECCNumbers-Letters">
    <w:name w:val="ECC Numbers-Letters"/>
    <w:uiPriority w:val="99"/>
    <w:rsid w:val="007C6571"/>
    <w:pPr>
      <w:numPr>
        <w:numId w:val="28"/>
      </w:numPr>
    </w:pPr>
  </w:style>
  <w:style w:type="numbering" w:customStyle="1" w:styleId="ECCNumberedList">
    <w:name w:val="ECC Numbered List"/>
    <w:uiPriority w:val="99"/>
    <w:rsid w:val="007C6571"/>
    <w:pPr>
      <w:numPr>
        <w:numId w:val="16"/>
      </w:numPr>
    </w:pPr>
  </w:style>
  <w:style w:type="paragraph" w:customStyle="1" w:styleId="ECCNumbered-LetteredList">
    <w:name w:val="ECC Numbered-Lettered List"/>
    <w:basedOn w:val="Normal"/>
    <w:rsid w:val="007C6571"/>
    <w:pPr>
      <w:numPr>
        <w:numId w:val="28"/>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Caption">
    <w:name w:val="caption"/>
    <w:basedOn w:val="Normal"/>
    <w:next w:val="Normal"/>
    <w:uiPriority w:val="35"/>
    <w:unhideWhenUsed/>
    <w:qFormat/>
    <w:rsid w:val="00813F6B"/>
    <w:pPr>
      <w:spacing w:after="200"/>
    </w:pPr>
    <w:rPr>
      <w:b/>
      <w:bCs/>
      <w:color w:val="4F81BD" w:themeColor="accent1"/>
      <w:sz w:val="18"/>
      <w:szCs w:val="18"/>
    </w:rPr>
  </w:style>
  <w:style w:type="paragraph" w:customStyle="1" w:styleId="Note">
    <w:name w:val="Note"/>
    <w:basedOn w:val="Normal"/>
    <w:rsid w:val="00CA6384"/>
    <w:pPr>
      <w:tabs>
        <w:tab w:val="left" w:pos="284"/>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Cs w:val="20"/>
      <w:lang w:val="fr-FR"/>
    </w:rPr>
  </w:style>
  <w:style w:type="paragraph" w:styleId="CommentText">
    <w:name w:val="annotation text"/>
    <w:basedOn w:val="Normal"/>
    <w:link w:val="CommentTextChar"/>
    <w:uiPriority w:val="99"/>
    <w:semiHidden/>
    <w:unhideWhenUsed/>
    <w:rsid w:val="004B35AD"/>
    <w:rPr>
      <w:szCs w:val="20"/>
    </w:rPr>
  </w:style>
  <w:style w:type="character" w:customStyle="1" w:styleId="CommentTextChar">
    <w:name w:val="Comment Text Char"/>
    <w:basedOn w:val="DefaultParagraphFont"/>
    <w:link w:val="CommentText"/>
    <w:uiPriority w:val="99"/>
    <w:semiHidden/>
    <w:rsid w:val="004B35AD"/>
    <w:rPr>
      <w:rFonts w:ascii="Arial" w:hAnsi="Arial"/>
      <w:lang w:val="en-US"/>
    </w:rPr>
  </w:style>
  <w:style w:type="character" w:styleId="CommentReference">
    <w:name w:val="annotation reference"/>
    <w:rsid w:val="004B35AD"/>
    <w:rPr>
      <w:sz w:val="16"/>
      <w:szCs w:val="16"/>
    </w:rPr>
  </w:style>
  <w:style w:type="paragraph" w:styleId="CommentSubject">
    <w:name w:val="annotation subject"/>
    <w:basedOn w:val="CommentText"/>
    <w:next w:val="CommentText"/>
    <w:link w:val="CommentSubjectChar"/>
    <w:uiPriority w:val="99"/>
    <w:semiHidden/>
    <w:unhideWhenUsed/>
    <w:rsid w:val="00413988"/>
    <w:rPr>
      <w:b/>
      <w:bCs/>
    </w:rPr>
  </w:style>
  <w:style w:type="character" w:customStyle="1" w:styleId="CommentSubjectChar">
    <w:name w:val="Comment Subject Char"/>
    <w:basedOn w:val="CommentTextChar"/>
    <w:link w:val="CommentSubject"/>
    <w:uiPriority w:val="99"/>
    <w:semiHidden/>
    <w:rsid w:val="00413988"/>
    <w:rPr>
      <w:rFonts w:ascii="Arial" w:hAnsi="Arial"/>
      <w:b/>
      <w:bCs/>
      <w:lang w:val="en-US"/>
    </w:rPr>
  </w:style>
  <w:style w:type="paragraph" w:customStyle="1" w:styleId="ECCBulletsLv1">
    <w:name w:val="ECC Bullets Lv1"/>
    <w:basedOn w:val="Normal"/>
    <w:qFormat/>
    <w:rsid w:val="00907E80"/>
    <w:pPr>
      <w:numPr>
        <w:numId w:val="30"/>
      </w:numPr>
      <w:tabs>
        <w:tab w:val="left" w:pos="340"/>
      </w:tabs>
      <w:spacing w:before="60"/>
      <w:jc w:val="both"/>
    </w:pPr>
    <w:rPr>
      <w:rFonts w:eastAsia="Calibri"/>
      <w:szCs w:val="22"/>
      <w:lang w:val="en-GB"/>
    </w:rPr>
  </w:style>
  <w:style w:type="table" w:customStyle="1" w:styleId="ECCTable-redheader">
    <w:name w:val="ECC Table - red header"/>
    <w:basedOn w:val="TableNormal"/>
    <w:uiPriority w:val="99"/>
    <w:rsid w:val="005B059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Revision">
    <w:name w:val="Revision"/>
    <w:hidden/>
    <w:uiPriority w:val="99"/>
    <w:semiHidden/>
    <w:rsid w:val="00DE3128"/>
    <w:rPr>
      <w:rFonts w:ascii="Arial" w:hAnsi="Arial"/>
      <w:szCs w:val="24"/>
      <w:lang w:val="en-US"/>
    </w:rPr>
  </w:style>
  <w:style w:type="character" w:styleId="UnresolvedMention">
    <w:name w:val="Unresolved Mention"/>
    <w:basedOn w:val="DefaultParagraphFont"/>
    <w:uiPriority w:val="99"/>
    <w:semiHidden/>
    <w:unhideWhenUsed/>
    <w:rsid w:val="00082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Downloads\Standard%20format%20-%20ECC%20Decision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979F-02D8-4CA7-8C0C-994B68FD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Decision_June_2012</Template>
  <TotalTime>0</TotalTime>
  <Pages>9</Pages>
  <Words>3338</Words>
  <Characters>19029</Characters>
  <Application>Microsoft Office Word</Application>
  <DocSecurity>0</DocSecurity>
  <Lines>158</Lines>
  <Paragraphs>44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Draft revised ECC/DEC/(07)01</vt:lpstr>
      <vt:lpstr>Draft revised ECC/DEC/(07)01</vt:lpstr>
      <vt:lpstr>Draft revised ECC/DEC/(07)01</vt:lpstr>
    </vt:vector>
  </TitlesOfParts>
  <Company>WGFM#93</Company>
  <LinksUpToDate>false</LinksUpToDate>
  <CharactersWithSpaces>22323</CharactersWithSpaces>
  <SharedDoc>false</SharedDoc>
  <HLinks>
    <vt:vector size="6" baseType="variant">
      <vt:variant>
        <vt:i4>2949226</vt:i4>
      </vt:variant>
      <vt:variant>
        <vt:i4>9</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ECC/DEC/(07)01</dc:title>
  <dc:creator>Bente Pedersen</dc:creator>
  <cp:keywords>02/2019</cp:keywords>
  <dc:description>This template is used as guidance to draft ECC Reports.</dc:description>
  <cp:lastModifiedBy>ECO (Robin)</cp:lastModifiedBy>
  <cp:revision>2</cp:revision>
  <cp:lastPrinted>2022-07-07T09:24:00Z</cp:lastPrinted>
  <dcterms:created xsi:type="dcterms:W3CDTF">2022-07-11T06:50:00Z</dcterms:created>
  <dcterms:modified xsi:type="dcterms:W3CDTF">2022-07-11T06:50:00Z</dcterms:modified>
  <cp:contentStatus>adopted for ECC approval</cp:contentStatus>
</cp:coreProperties>
</file>