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7CA6" w14:textId="77777777" w:rsidR="006C03D0" w:rsidRPr="00216DBB" w:rsidRDefault="006C03D0">
      <w:pPr>
        <w:rPr>
          <w:lang w:val="en-GB"/>
        </w:rPr>
      </w:pPr>
    </w:p>
    <w:p w14:paraId="2658CF49" w14:textId="77777777" w:rsidR="006C03D0" w:rsidRPr="00216DBB" w:rsidRDefault="006C03D0" w:rsidP="006C03D0">
      <w:pPr>
        <w:jc w:val="center"/>
        <w:rPr>
          <w:lang w:val="en-GB"/>
        </w:rPr>
      </w:pPr>
    </w:p>
    <w:p w14:paraId="3814FB56" w14:textId="77777777" w:rsidR="006C03D0" w:rsidRPr="00216DBB" w:rsidRDefault="006C03D0" w:rsidP="006C03D0">
      <w:pPr>
        <w:jc w:val="center"/>
        <w:rPr>
          <w:lang w:val="en-GB"/>
        </w:rPr>
      </w:pPr>
    </w:p>
    <w:p w14:paraId="17FAE797" w14:textId="77777777" w:rsidR="006C03D0" w:rsidRPr="00216DBB" w:rsidRDefault="006C03D0" w:rsidP="006C03D0">
      <w:pPr>
        <w:rPr>
          <w:lang w:val="en-GB"/>
        </w:rPr>
      </w:pPr>
    </w:p>
    <w:p w14:paraId="0F933B10" w14:textId="77777777" w:rsidR="006C03D0" w:rsidRPr="00216DBB" w:rsidRDefault="006C03D0" w:rsidP="006C03D0">
      <w:pPr>
        <w:rPr>
          <w:lang w:val="en-GB"/>
        </w:rPr>
      </w:pPr>
    </w:p>
    <w:p w14:paraId="1E4D98ED" w14:textId="77777777" w:rsidR="006C03D0" w:rsidRPr="00216DBB" w:rsidRDefault="007C6571" w:rsidP="2186E169">
      <w:pPr>
        <w:jc w:val="center"/>
        <w:rPr>
          <w:b/>
          <w:bCs/>
          <w:sz w:val="24"/>
          <w:lang w:val="en-GB"/>
        </w:rPr>
      </w:pPr>
      <w:r w:rsidRPr="00216DBB">
        <w:rPr>
          <w:b/>
          <w:noProof/>
          <w:sz w:val="24"/>
          <w:szCs w:val="20"/>
          <w:lang w:val="en-GB" w:eastAsia="en-IE"/>
        </w:rPr>
        <mc:AlternateContent>
          <mc:Choice Requires="wpg">
            <w:drawing>
              <wp:anchor distT="0" distB="0" distL="114300" distR="114300" simplePos="0" relativeHeight="251657728" behindDoc="0" locked="0" layoutInCell="1" allowOverlap="1" wp14:anchorId="45294DF7" wp14:editId="5CA0C496">
                <wp:simplePos x="0" y="0"/>
                <wp:positionH relativeFrom="column">
                  <wp:posOffset>-720090</wp:posOffset>
                </wp:positionH>
                <wp:positionV relativeFrom="paragraph">
                  <wp:posOffset>69850</wp:posOffset>
                </wp:positionV>
                <wp:extent cx="7797165" cy="7564755"/>
                <wp:effectExtent l="0" t="1905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564755"/>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86203" w14:textId="0AB6F470"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F61F2">
                                <w:rPr>
                                  <w:color w:val="887E6E"/>
                                  <w:sz w:val="68"/>
                                </w:rPr>
                                <w:t>22</w:t>
                              </w:r>
                              <w:r w:rsidRPr="001E2FAA">
                                <w:rPr>
                                  <w:color w:val="887E6E"/>
                                  <w:sz w:val="68"/>
                                </w:rPr>
                                <w:t>)</w:t>
                              </w:r>
                              <w:r w:rsidR="009F61F2">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294DF7" id="Group 28" o:spid="_x0000_s1026" style="position:absolute;left:0;text-align:left;margin-left:-56.7pt;margin-top:5.5pt;width:613.95pt;height:595.65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1D386203" w14:textId="0AB6F470"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F61F2">
                          <w:rPr>
                            <w:color w:val="887E6E"/>
                            <w:sz w:val="68"/>
                          </w:rPr>
                          <w:t>22</w:t>
                        </w:r>
                        <w:r w:rsidRPr="001E2FAA">
                          <w:rPr>
                            <w:color w:val="887E6E"/>
                            <w:sz w:val="68"/>
                          </w:rPr>
                          <w:t>)</w:t>
                        </w:r>
                        <w:r w:rsidR="009F61F2">
                          <w:rPr>
                            <w:color w:val="887E6E"/>
                            <w:sz w:val="68"/>
                          </w:rPr>
                          <w:t>02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21F073D9" w14:textId="77777777" w:rsidR="006C03D0" w:rsidRPr="00216DBB" w:rsidRDefault="006C03D0" w:rsidP="006C03D0">
      <w:pPr>
        <w:jc w:val="center"/>
        <w:rPr>
          <w:b/>
          <w:sz w:val="24"/>
          <w:lang w:val="en-GB"/>
        </w:rPr>
      </w:pPr>
    </w:p>
    <w:p w14:paraId="209904B4" w14:textId="77777777" w:rsidR="006C03D0" w:rsidRPr="00216DBB" w:rsidRDefault="006C03D0" w:rsidP="006C03D0">
      <w:pPr>
        <w:jc w:val="center"/>
        <w:rPr>
          <w:b/>
          <w:sz w:val="24"/>
          <w:lang w:val="en-GB"/>
        </w:rPr>
      </w:pPr>
    </w:p>
    <w:p w14:paraId="29564210" w14:textId="77777777" w:rsidR="006C03D0" w:rsidRPr="00216DBB" w:rsidRDefault="006C03D0" w:rsidP="006C03D0">
      <w:pPr>
        <w:jc w:val="center"/>
        <w:rPr>
          <w:b/>
          <w:sz w:val="24"/>
          <w:lang w:val="en-GB"/>
        </w:rPr>
      </w:pPr>
    </w:p>
    <w:p w14:paraId="6D311D07" w14:textId="77777777" w:rsidR="006C03D0" w:rsidRPr="00216DBB" w:rsidRDefault="006C03D0" w:rsidP="006C03D0">
      <w:pPr>
        <w:jc w:val="center"/>
        <w:rPr>
          <w:b/>
          <w:sz w:val="24"/>
          <w:lang w:val="en-GB"/>
        </w:rPr>
      </w:pPr>
    </w:p>
    <w:p w14:paraId="10337EBF" w14:textId="77777777" w:rsidR="006C03D0" w:rsidRPr="00216DBB" w:rsidRDefault="006C03D0" w:rsidP="006C03D0">
      <w:pPr>
        <w:jc w:val="center"/>
        <w:rPr>
          <w:b/>
          <w:sz w:val="24"/>
          <w:lang w:val="en-GB"/>
        </w:rPr>
      </w:pPr>
    </w:p>
    <w:p w14:paraId="229219C4" w14:textId="77777777" w:rsidR="006C03D0" w:rsidRPr="00216DBB" w:rsidRDefault="006C03D0" w:rsidP="006C03D0">
      <w:pPr>
        <w:jc w:val="center"/>
        <w:rPr>
          <w:b/>
          <w:sz w:val="24"/>
          <w:lang w:val="en-GB"/>
        </w:rPr>
      </w:pPr>
    </w:p>
    <w:p w14:paraId="59F32667" w14:textId="77777777" w:rsidR="006C03D0" w:rsidRPr="00216DBB" w:rsidRDefault="006C03D0" w:rsidP="006C03D0">
      <w:pPr>
        <w:jc w:val="center"/>
        <w:rPr>
          <w:b/>
          <w:sz w:val="24"/>
          <w:lang w:val="en-GB"/>
        </w:rPr>
      </w:pPr>
    </w:p>
    <w:p w14:paraId="60153214" w14:textId="77777777" w:rsidR="006C03D0" w:rsidRPr="00216DBB" w:rsidRDefault="006C03D0" w:rsidP="006C03D0">
      <w:pPr>
        <w:jc w:val="center"/>
        <w:rPr>
          <w:b/>
          <w:sz w:val="24"/>
          <w:lang w:val="en-GB"/>
        </w:rPr>
      </w:pPr>
    </w:p>
    <w:p w14:paraId="282F225A" w14:textId="77777777" w:rsidR="006C03D0" w:rsidRPr="00216DBB" w:rsidRDefault="006C03D0" w:rsidP="006C03D0">
      <w:pPr>
        <w:jc w:val="center"/>
        <w:rPr>
          <w:b/>
          <w:sz w:val="24"/>
          <w:lang w:val="en-GB"/>
        </w:rPr>
      </w:pPr>
    </w:p>
    <w:p w14:paraId="33459E8D" w14:textId="77777777" w:rsidR="006C03D0" w:rsidRPr="00216DBB" w:rsidRDefault="006C03D0" w:rsidP="006C03D0">
      <w:pPr>
        <w:jc w:val="center"/>
        <w:rPr>
          <w:b/>
          <w:sz w:val="24"/>
          <w:lang w:val="en-GB"/>
        </w:rPr>
      </w:pPr>
    </w:p>
    <w:p w14:paraId="10E0687C" w14:textId="77777777" w:rsidR="006C03D0" w:rsidRPr="00216DBB" w:rsidRDefault="006C03D0" w:rsidP="006C03D0">
      <w:pPr>
        <w:rPr>
          <w:b/>
          <w:sz w:val="24"/>
          <w:lang w:val="en-GB"/>
        </w:rPr>
      </w:pPr>
    </w:p>
    <w:p w14:paraId="0C1507AF" w14:textId="77777777" w:rsidR="006C03D0" w:rsidRPr="00216DBB" w:rsidRDefault="006C03D0" w:rsidP="006C03D0">
      <w:pPr>
        <w:jc w:val="center"/>
        <w:rPr>
          <w:b/>
          <w:sz w:val="24"/>
          <w:lang w:val="en-GB"/>
        </w:rPr>
      </w:pPr>
    </w:p>
    <w:p w14:paraId="28A85C32" w14:textId="3C9204D4" w:rsidR="0039074D" w:rsidRDefault="0039074D" w:rsidP="006C03D0">
      <w:pPr>
        <w:pStyle w:val="Reporttitledescription"/>
        <w:rPr>
          <w:color w:val="auto"/>
        </w:rPr>
      </w:pPr>
      <w:r>
        <w:rPr>
          <w:color w:val="auto"/>
        </w:rPr>
        <w:fldChar w:fldCharType="begin">
          <w:ffData>
            <w:name w:val="Text7"/>
            <w:enabled/>
            <w:calcOnExit w:val="0"/>
            <w:textInput>
              <w:default w:val="Regulation to operate Autonomous Maritime Radio Devices (AMRD) in CEPT "/>
            </w:textInput>
          </w:ffData>
        </w:fldChar>
      </w:r>
      <w:bookmarkStart w:id="0" w:name="Text7"/>
      <w:r>
        <w:rPr>
          <w:color w:val="auto"/>
        </w:rPr>
        <w:instrText xml:space="preserve"> FORMTEXT </w:instrText>
      </w:r>
      <w:r>
        <w:rPr>
          <w:color w:val="auto"/>
        </w:rPr>
      </w:r>
      <w:r>
        <w:rPr>
          <w:color w:val="auto"/>
        </w:rPr>
        <w:fldChar w:fldCharType="separate"/>
      </w:r>
      <w:r>
        <w:rPr>
          <w:noProof/>
          <w:color w:val="auto"/>
        </w:rPr>
        <w:t xml:space="preserve">Regulation to operate Autonomous Maritime Radio Devices (AMRD) in CEPT </w:t>
      </w:r>
      <w:r>
        <w:rPr>
          <w:color w:val="auto"/>
        </w:rPr>
        <w:fldChar w:fldCharType="end"/>
      </w:r>
      <w:bookmarkEnd w:id="0"/>
    </w:p>
    <w:p w14:paraId="7D16A4FC" w14:textId="286B15FA" w:rsidR="006C03D0" w:rsidRPr="00216DBB" w:rsidRDefault="00FA0481" w:rsidP="006C03D0">
      <w:pPr>
        <w:pStyle w:val="Reporttitledescription"/>
        <w:rPr>
          <w:b/>
          <w:color w:val="auto"/>
          <w:sz w:val="18"/>
          <w:lang w:val="en-GB"/>
        </w:rPr>
      </w:pPr>
      <w:r>
        <w:rPr>
          <w:b/>
          <w:color w:val="auto"/>
          <w:sz w:val="18"/>
          <w:lang w:val="en-GB"/>
        </w:rPr>
        <w:fldChar w:fldCharType="begin">
          <w:ffData>
            <w:name w:val="Text8"/>
            <w:enabled/>
            <w:calcOnExit w:val="0"/>
            <w:textInput>
              <w:default w:val="approved 1 July 2022"/>
            </w:textInput>
          </w:ffData>
        </w:fldChar>
      </w:r>
      <w:bookmarkStart w:id="1" w:name="Text8"/>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approved 1 July 2022</w:t>
      </w:r>
      <w:r>
        <w:rPr>
          <w:b/>
          <w:color w:val="auto"/>
          <w:sz w:val="18"/>
          <w:lang w:val="en-GB"/>
        </w:rPr>
        <w:fldChar w:fldCharType="end"/>
      </w:r>
      <w:bookmarkEnd w:id="1"/>
    </w:p>
    <w:p w14:paraId="68C4464A" w14:textId="571C7354" w:rsidR="006C03D0" w:rsidRPr="00216DBB" w:rsidRDefault="006C03D0" w:rsidP="006C03D0">
      <w:pPr>
        <w:pStyle w:val="Lastupdated"/>
        <w:rPr>
          <w:b/>
          <w:lang w:val="en-GB"/>
        </w:rPr>
      </w:pPr>
    </w:p>
    <w:p w14:paraId="4CC970B4" w14:textId="322919DD" w:rsidR="006C03D0" w:rsidRPr="00216DBB" w:rsidRDefault="005F7AD5" w:rsidP="00555266">
      <w:pPr>
        <w:pStyle w:val="Heading1"/>
      </w:pPr>
      <w:r w:rsidRPr="00216DBB">
        <w:lastRenderedPageBreak/>
        <w:t>explanatory memorandum</w:t>
      </w:r>
    </w:p>
    <w:p w14:paraId="66F591D7" w14:textId="07921B9C" w:rsidR="006C03D0" w:rsidRPr="00216DBB" w:rsidRDefault="005F7AD5" w:rsidP="006C03D0">
      <w:pPr>
        <w:pStyle w:val="Heading2"/>
        <w:rPr>
          <w:lang w:val="en-GB"/>
        </w:rPr>
      </w:pPr>
      <w:r w:rsidRPr="00216DBB">
        <w:rPr>
          <w:lang w:val="en-GB"/>
        </w:rPr>
        <w:t>INTRODUCTION</w:t>
      </w:r>
    </w:p>
    <w:p w14:paraId="4FE4D632" w14:textId="2FB5B1F1" w:rsidR="001D730F" w:rsidRPr="00216DBB" w:rsidRDefault="51568414" w:rsidP="004B1097">
      <w:pPr>
        <w:pStyle w:val="ECCParagraph"/>
      </w:pPr>
      <w:r>
        <w:t xml:space="preserve">Autonomous Maritime </w:t>
      </w:r>
      <w:r w:rsidR="00F82286">
        <w:t>R</w:t>
      </w:r>
      <w:r>
        <w:t xml:space="preserve">adio </w:t>
      </w:r>
      <w:r w:rsidR="00F82286">
        <w:t>D</w:t>
      </w:r>
      <w:r>
        <w:t>evices (AMRD) reflect a new development in recent times. Due to rapid technological progress and cost-effective production, more and more of such applications in the maritime environment have been created and used in the field.</w:t>
      </w:r>
    </w:p>
    <w:p w14:paraId="5854632E" w14:textId="2AD7F200" w:rsidR="00214ED4" w:rsidRPr="00216DBB" w:rsidRDefault="000B67CC" w:rsidP="004B1097">
      <w:pPr>
        <w:pStyle w:val="ECCParagraph"/>
      </w:pPr>
      <w:r w:rsidRPr="00216DBB">
        <w:t xml:space="preserve">An AMRD is defined as a mobile station operating at sea and transmitting independently of a ship station or a coast station. </w:t>
      </w:r>
      <w:r w:rsidR="00214ED4" w:rsidRPr="00216DBB">
        <w:t>AMRD are grouped and identified as AMRD Group A that enhance the safety of navigation</w:t>
      </w:r>
      <w:r w:rsidR="00232A04" w:rsidRPr="00216DBB">
        <w:t>,</w:t>
      </w:r>
      <w:r w:rsidR="00214ED4" w:rsidRPr="00216DBB">
        <w:t xml:space="preserve"> and </w:t>
      </w:r>
      <w:r w:rsidR="00232A04" w:rsidRPr="00216DBB">
        <w:t xml:space="preserve">as </w:t>
      </w:r>
      <w:r w:rsidR="00214ED4" w:rsidRPr="00216DBB">
        <w:t>AMRD Group B that do not enhance the safety of navigation.</w:t>
      </w:r>
    </w:p>
    <w:p w14:paraId="75E8C6E2" w14:textId="020341E7" w:rsidR="006C03D0" w:rsidRPr="00216DBB" w:rsidRDefault="00D62BFF" w:rsidP="006C03D0">
      <w:pPr>
        <w:pStyle w:val="ECCParagraph"/>
      </w:pPr>
      <w:r w:rsidRPr="00216DBB">
        <w:t>The World Radiocommunication Conference 2019 (WRC-19) concluded on regulations of the use of AMRD in order to enhance safety of navigation and to ensure the integrity of the global maritime distress and safety system (GMDSS)</w:t>
      </w:r>
      <w:r w:rsidR="009F2EAE" w:rsidRPr="00216DBB">
        <w:t>,</w:t>
      </w:r>
      <w:r w:rsidRPr="00216DBB">
        <w:t xml:space="preserve"> which is the only system for distress, urgency,</w:t>
      </w:r>
      <w:r w:rsidR="00232A04" w:rsidRPr="00216DBB">
        <w:t xml:space="preserve"> and</w:t>
      </w:r>
      <w:r w:rsidRPr="00216DBB">
        <w:t xml:space="preserve"> safety communication for general shipping.</w:t>
      </w:r>
    </w:p>
    <w:p w14:paraId="4D48F2AF" w14:textId="49B960DE" w:rsidR="000B67CC" w:rsidRPr="00216DBB" w:rsidRDefault="000B67CC" w:rsidP="006C03D0">
      <w:pPr>
        <w:pStyle w:val="ECCParagraph"/>
      </w:pPr>
      <w:r w:rsidRPr="00216DBB">
        <w:t>This ECC Decision gives guidance for the harmoni</w:t>
      </w:r>
      <w:r w:rsidR="0050221A" w:rsidRPr="00216DBB">
        <w:t>s</w:t>
      </w:r>
      <w:r w:rsidRPr="00216DBB">
        <w:t>ed operation of AMRD Group A and Group B including the usage of frequencies</w:t>
      </w:r>
      <w:r w:rsidR="00C23970" w:rsidRPr="00216DBB">
        <w:t>, identification</w:t>
      </w:r>
      <w:r w:rsidR="00666E46" w:rsidRPr="00216DBB">
        <w:t>,</w:t>
      </w:r>
      <w:r w:rsidRPr="00216DBB">
        <w:t xml:space="preserve"> and registration</w:t>
      </w:r>
      <w:r w:rsidR="00C23970" w:rsidRPr="00216DBB">
        <w:t>.</w:t>
      </w:r>
      <w:r w:rsidRPr="00216DBB">
        <w:t xml:space="preserve"> </w:t>
      </w:r>
    </w:p>
    <w:p w14:paraId="7E22CDE0" w14:textId="77777777" w:rsidR="006C03D0" w:rsidRPr="00216DBB" w:rsidRDefault="005F7AD5" w:rsidP="006C03D0">
      <w:pPr>
        <w:pStyle w:val="Heading2"/>
        <w:rPr>
          <w:lang w:val="en-GB"/>
        </w:rPr>
      </w:pPr>
      <w:r w:rsidRPr="00216DBB">
        <w:rPr>
          <w:lang w:val="en-GB"/>
        </w:rPr>
        <w:t xml:space="preserve">BACKGROUND </w:t>
      </w:r>
    </w:p>
    <w:p w14:paraId="4939903C" w14:textId="67AB3018" w:rsidR="000B67CC" w:rsidRPr="00216DBB" w:rsidRDefault="00D16D60" w:rsidP="00D14457">
      <w:pPr>
        <w:pStyle w:val="ECCParagraph"/>
        <w:spacing w:after="60"/>
      </w:pPr>
      <w:r w:rsidRPr="00216DBB">
        <w:t xml:space="preserve">The relevant term for AMRD </w:t>
      </w:r>
      <w:r w:rsidR="00CC5D58" w:rsidRPr="00216DBB">
        <w:t>is</w:t>
      </w:r>
      <w:r w:rsidR="00C54AF2" w:rsidRPr="00216DBB">
        <w:t xml:space="preserve"> “</w:t>
      </w:r>
      <w:r w:rsidRPr="00216DBB">
        <w:t xml:space="preserve">safety of navigation” </w:t>
      </w:r>
      <w:r w:rsidR="00CC5D58" w:rsidRPr="00216DBB">
        <w:t xml:space="preserve">which </w:t>
      </w:r>
      <w:r w:rsidRPr="00216DBB">
        <w:t>is derived from the International Convention for the Safety of Life at Sea (SOLAS)</w:t>
      </w:r>
      <w:r w:rsidR="005D4160" w:rsidRPr="00216DBB">
        <w:t xml:space="preserve"> </w:t>
      </w:r>
      <w:r w:rsidR="00393510">
        <w:fldChar w:fldCharType="begin"/>
      </w:r>
      <w:r w:rsidR="00393510">
        <w:instrText xml:space="preserve"> REF _Ref94785884 \r \h </w:instrText>
      </w:r>
      <w:r w:rsidR="00393510">
        <w:fldChar w:fldCharType="separate"/>
      </w:r>
      <w:r w:rsidR="00393510">
        <w:t>[7]</w:t>
      </w:r>
      <w:r w:rsidR="00393510">
        <w:fldChar w:fldCharType="end"/>
      </w:r>
      <w:r w:rsidRPr="00216DBB">
        <w:t xml:space="preserve">, as amended. Within SOLAS, Chapter V is titled “Safety of navigation” and contains all relevant regulations. </w:t>
      </w:r>
      <w:r w:rsidR="006C2560" w:rsidRPr="00216DBB">
        <w:t>Concerning SOLAS the International Maritime Organi</w:t>
      </w:r>
      <w:r w:rsidR="00232A04" w:rsidRPr="00216DBB">
        <w:t>z</w:t>
      </w:r>
      <w:r w:rsidR="006C2560" w:rsidRPr="00216DBB">
        <w:t>ation (IMO) is the responsible organisation. T</w:t>
      </w:r>
      <w:r w:rsidRPr="00216DBB">
        <w:t>he criterion for distinguishing the two categories of AMRD is</w:t>
      </w:r>
      <w:r w:rsidR="006C2560" w:rsidRPr="00216DBB">
        <w:t xml:space="preserve"> the</w:t>
      </w:r>
      <w:r w:rsidR="00232A04" w:rsidRPr="00216DBB">
        <w:t>ir</w:t>
      </w:r>
      <w:r w:rsidR="006C2560" w:rsidRPr="00216DBB">
        <w:t xml:space="preserve"> </w:t>
      </w:r>
      <w:r w:rsidR="00232A04" w:rsidRPr="00216DBB">
        <w:t>impact</w:t>
      </w:r>
      <w:r w:rsidR="006C2560" w:rsidRPr="00216DBB">
        <w:t xml:space="preserve"> on the safety of navigation. Any signal or information originated by an AMRD, which reaches the navigator, may influence the safety of navigation. This includes AIS (symbols to be shown on radar and on the electronic chart display and information system (ECDIS), if equipped) and VHF (working channels, Ch</w:t>
      </w:r>
      <w:r w:rsidR="009D3670">
        <w:t>annel</w:t>
      </w:r>
      <w:r w:rsidR="006C2560" w:rsidRPr="00216DBB">
        <w:t xml:space="preserve"> 16 and Ch</w:t>
      </w:r>
      <w:r w:rsidR="009D3670">
        <w:t>annel</w:t>
      </w:r>
      <w:r w:rsidR="006C2560" w:rsidRPr="00216DBB">
        <w:t xml:space="preserve"> 70). In any case, the navigator </w:t>
      </w:r>
      <w:r w:rsidR="002113C7" w:rsidRPr="00216DBB">
        <w:t xml:space="preserve">interprets the information and </w:t>
      </w:r>
      <w:r w:rsidR="006C2560" w:rsidRPr="00216DBB">
        <w:t xml:space="preserve">needs to decide how to proceed. In a positive case, the safety of navigation will be enhanced. However, in other cases, AMRD which deliver signals or information which do not concern the vessel </w:t>
      </w:r>
      <w:r w:rsidR="00232A04" w:rsidRPr="00216DBB">
        <w:t xml:space="preserve">and </w:t>
      </w:r>
      <w:r w:rsidR="006C2560" w:rsidRPr="00216DBB">
        <w:t>can distract or mislead the navigator and degrade the safety of navigation.</w:t>
      </w:r>
    </w:p>
    <w:p w14:paraId="7C056629" w14:textId="77DB1D52" w:rsidR="006633EF" w:rsidRPr="00216DBB" w:rsidRDefault="00B75AD3" w:rsidP="00CD57A3">
      <w:pPr>
        <w:pStyle w:val="ECCParagraph"/>
        <w:spacing w:before="240" w:after="60"/>
      </w:pPr>
      <w:r w:rsidRPr="00216DBB">
        <w:t>IMO considered a list of applications for AMRD Group A and Group B and as a result, the following were identified for Group A operation only</w:t>
      </w:r>
      <w:r w:rsidR="00CA6067" w:rsidRPr="00216DBB">
        <w:t>:</w:t>
      </w:r>
    </w:p>
    <w:p w14:paraId="3D9B4896" w14:textId="7D1CF15D" w:rsidR="006633EF" w:rsidRPr="00216DBB" w:rsidRDefault="006633EF" w:rsidP="00CA6067">
      <w:pPr>
        <w:pStyle w:val="ECCParBulleted"/>
      </w:pPr>
      <w:r w:rsidRPr="00216DBB">
        <w:t>Man</w:t>
      </w:r>
      <w:r w:rsidR="0034580E" w:rsidRPr="00216DBB">
        <w:t xml:space="preserve"> </w:t>
      </w:r>
      <w:r w:rsidRPr="00216DBB">
        <w:t>over</w:t>
      </w:r>
      <w:r w:rsidR="0034580E" w:rsidRPr="00216DBB">
        <w:t>b</w:t>
      </w:r>
      <w:r w:rsidRPr="00216DBB">
        <w:t xml:space="preserve">oard devices </w:t>
      </w:r>
      <w:r w:rsidR="006553E8" w:rsidRPr="00216DBB">
        <w:t>using VHF DSC</w:t>
      </w:r>
      <w:r w:rsidR="006E4030" w:rsidRPr="00216DBB">
        <w:t xml:space="preserve"> (</w:t>
      </w:r>
      <w:r w:rsidRPr="00216DBB">
        <w:t>Class M</w:t>
      </w:r>
      <w:r w:rsidR="006E4030" w:rsidRPr="00216DBB">
        <w:t>)</w:t>
      </w:r>
      <w:r w:rsidR="00CA6067" w:rsidRPr="00216DBB">
        <w:t>;</w:t>
      </w:r>
    </w:p>
    <w:p w14:paraId="772B48FD" w14:textId="1C0EC3AB" w:rsidR="00CC5D58" w:rsidRPr="00216DBB" w:rsidRDefault="006633EF" w:rsidP="00CA6067">
      <w:pPr>
        <w:pStyle w:val="ECCParBulleted"/>
      </w:pPr>
      <w:r w:rsidRPr="00216DBB">
        <w:t>Mobile Aids to Navigation (Mobile AtoN).</w:t>
      </w:r>
    </w:p>
    <w:p w14:paraId="19408095" w14:textId="1B92D269" w:rsidR="006633EF" w:rsidRPr="00216DBB" w:rsidRDefault="00983196" w:rsidP="00CD57A3">
      <w:pPr>
        <w:pStyle w:val="ECCParagraph"/>
        <w:spacing w:before="240" w:after="60"/>
      </w:pPr>
      <w:r w:rsidRPr="00216DBB">
        <w:t xml:space="preserve">A </w:t>
      </w:r>
      <w:r w:rsidR="0034580E" w:rsidRPr="00216DBB">
        <w:t>man overboard (</w:t>
      </w:r>
      <w:r w:rsidR="006633EF" w:rsidRPr="00216DBB">
        <w:t>MOB</w:t>
      </w:r>
      <w:r w:rsidR="0034580E" w:rsidRPr="00216DBB">
        <w:t>)</w:t>
      </w:r>
      <w:r w:rsidR="006633EF" w:rsidRPr="00216DBB">
        <w:t xml:space="preserve"> </w:t>
      </w:r>
      <w:r w:rsidR="006E4030" w:rsidRPr="00216DBB">
        <w:t>using VHF DSC (</w:t>
      </w:r>
      <w:r w:rsidR="006633EF" w:rsidRPr="00216DBB">
        <w:t>Class M</w:t>
      </w:r>
      <w:r w:rsidR="006E4030" w:rsidRPr="00216DBB">
        <w:t>)</w:t>
      </w:r>
      <w:r w:rsidR="00232A04" w:rsidRPr="00216DBB">
        <w:t xml:space="preserve"> device</w:t>
      </w:r>
      <w:r w:rsidR="006633EF" w:rsidRPr="00216DBB">
        <w:t xml:space="preserve"> </w:t>
      </w:r>
      <w:r w:rsidRPr="00216DBB">
        <w:t xml:space="preserve">is personal radio equipment (PRE) which alerts via digital selective calling (DSC) and is tracked by the </w:t>
      </w:r>
      <w:r w:rsidR="00232A04" w:rsidRPr="00216DBB">
        <w:t>A</w:t>
      </w:r>
      <w:r w:rsidRPr="00216DBB">
        <w:t xml:space="preserve">utomatic </w:t>
      </w:r>
      <w:r w:rsidR="00232A04" w:rsidRPr="00216DBB">
        <w:t>I</w:t>
      </w:r>
      <w:r w:rsidRPr="00216DBB">
        <w:t xml:space="preserve">dentification </w:t>
      </w:r>
      <w:r w:rsidR="00232A04" w:rsidRPr="00216DBB">
        <w:t>S</w:t>
      </w:r>
      <w:r w:rsidRPr="00216DBB">
        <w:t xml:space="preserve">ystem (AIS). A Mobile AtoN </w:t>
      </w:r>
      <w:r w:rsidR="009D5B7F" w:rsidRPr="00216DBB">
        <w:t>is defined as a non</w:t>
      </w:r>
      <w:r w:rsidR="009D5B7F" w:rsidRPr="00216DBB">
        <w:rPr>
          <w:rFonts w:ascii="Cambria Math" w:hAnsi="Cambria Math" w:cs="Cambria Math"/>
        </w:rPr>
        <w:t>‐</w:t>
      </w:r>
      <w:r w:rsidR="009D5B7F" w:rsidRPr="00216DBB">
        <w:t>fixed or un</w:t>
      </w:r>
      <w:r w:rsidR="009D5B7F" w:rsidRPr="00216DBB">
        <w:rPr>
          <w:rFonts w:ascii="Cambria Math" w:hAnsi="Cambria Math" w:cs="Cambria Math"/>
        </w:rPr>
        <w:t>‐</w:t>
      </w:r>
      <w:r w:rsidR="009D5B7F" w:rsidRPr="00216DBB">
        <w:t>moored AtoN. The use of Mobile AtoN should be strictly controlled and authorised by a competent authority.</w:t>
      </w:r>
    </w:p>
    <w:p w14:paraId="6271D3CB" w14:textId="2D60FD4F" w:rsidR="009D5B7F" w:rsidRPr="00216DBB" w:rsidRDefault="000966F2" w:rsidP="00CD57A3">
      <w:pPr>
        <w:pStyle w:val="ECCParagraph"/>
        <w:spacing w:before="240" w:after="60"/>
      </w:pPr>
      <w:r w:rsidRPr="00216DBB">
        <w:t xml:space="preserve">The </w:t>
      </w:r>
      <w:r w:rsidR="009D5B7F" w:rsidRPr="00216DBB">
        <w:t xml:space="preserve">IMO identified all other applications of AMRD, including </w:t>
      </w:r>
      <w:r w:rsidR="00524226" w:rsidRPr="00216DBB">
        <w:t>MOB without DSC, fishnet marker,</w:t>
      </w:r>
      <w:r w:rsidR="00AE27A2" w:rsidRPr="00216DBB">
        <w:t xml:space="preserve"> diver locating device,</w:t>
      </w:r>
      <w:r w:rsidR="00524226" w:rsidRPr="00216DBB">
        <w:t xml:space="preserve"> etc</w:t>
      </w:r>
      <w:r w:rsidR="004C6411" w:rsidRPr="00216DBB">
        <w:t>.</w:t>
      </w:r>
      <w:r w:rsidR="009D5B7F" w:rsidRPr="00216DBB">
        <w:t xml:space="preserve"> as AMRD Group B. </w:t>
      </w:r>
      <w:r w:rsidRPr="00216DBB">
        <w:t xml:space="preserve">The </w:t>
      </w:r>
      <w:r w:rsidR="00524226" w:rsidRPr="00216DBB">
        <w:t xml:space="preserve">IMO suggested further that </w:t>
      </w:r>
      <w:r w:rsidRPr="00216DBB">
        <w:t xml:space="preserve">legacy </w:t>
      </w:r>
      <w:r w:rsidR="00524226" w:rsidRPr="00216DBB">
        <w:t>AMRD</w:t>
      </w:r>
      <w:r w:rsidR="00AE27A2" w:rsidRPr="00216DBB">
        <w:t>, categori</w:t>
      </w:r>
      <w:r w:rsidR="002F090B" w:rsidRPr="00216DBB">
        <w:t>s</w:t>
      </w:r>
      <w:r w:rsidR="00AE27A2" w:rsidRPr="00216DBB">
        <w:t>ed as Group B but</w:t>
      </w:r>
      <w:r w:rsidR="00524226" w:rsidRPr="00216DBB">
        <w:t xml:space="preserve"> using the VHF channels AIS</w:t>
      </w:r>
      <w:r w:rsidR="002457F5" w:rsidRPr="00216DBB">
        <w:t xml:space="preserve"> </w:t>
      </w:r>
      <w:r w:rsidR="00524226" w:rsidRPr="00216DBB">
        <w:t>1 and AIS</w:t>
      </w:r>
      <w:r w:rsidR="002457F5" w:rsidRPr="00216DBB">
        <w:t xml:space="preserve"> </w:t>
      </w:r>
      <w:r w:rsidR="00524226" w:rsidRPr="00216DBB">
        <w:t>2</w:t>
      </w:r>
      <w:r w:rsidR="00AE27A2" w:rsidRPr="00216DBB">
        <w:t>,</w:t>
      </w:r>
      <w:r w:rsidR="00524226" w:rsidRPr="00216DBB">
        <w:t xml:space="preserve"> should </w:t>
      </w:r>
      <w:r w:rsidRPr="00216DBB">
        <w:t xml:space="preserve">no longer </w:t>
      </w:r>
      <w:r w:rsidR="00524226" w:rsidRPr="00216DBB">
        <w:t>be placed on the mark</w:t>
      </w:r>
      <w:r w:rsidRPr="00216DBB">
        <w:t>et</w:t>
      </w:r>
      <w:r w:rsidR="00524226" w:rsidRPr="00216DBB">
        <w:t>.</w:t>
      </w:r>
    </w:p>
    <w:p w14:paraId="0649698D" w14:textId="7FDCF356" w:rsidR="00C54AF2" w:rsidRPr="00216DBB" w:rsidRDefault="00C54AF2" w:rsidP="00CD57A3">
      <w:pPr>
        <w:pStyle w:val="ECCParagraph"/>
        <w:spacing w:before="240" w:after="60"/>
      </w:pPr>
      <w:r w:rsidRPr="00216DBB">
        <w:t>WRC</w:t>
      </w:r>
      <w:r w:rsidR="00EC06E0" w:rsidRPr="00216DBB">
        <w:t>-</w:t>
      </w:r>
      <w:r w:rsidRPr="00216DBB">
        <w:t xml:space="preserve">19 concluded that only AMRD Group A are permitted to use RR Appendix 18 frequencies which are allocated for DSC </w:t>
      </w:r>
      <w:r w:rsidR="004C6411" w:rsidRPr="00216DBB">
        <w:t>(Ch</w:t>
      </w:r>
      <w:r w:rsidR="00847CA8">
        <w:t>annel</w:t>
      </w:r>
      <w:r w:rsidR="004C6411" w:rsidRPr="00216DBB">
        <w:t xml:space="preserve"> 70, </w:t>
      </w:r>
      <w:r w:rsidRPr="00216DBB">
        <w:t>156.525</w:t>
      </w:r>
      <w:r w:rsidR="00E354A0">
        <w:t> </w:t>
      </w:r>
      <w:r w:rsidRPr="00216DBB">
        <w:t xml:space="preserve">MHz) and </w:t>
      </w:r>
      <w:r w:rsidR="00983196" w:rsidRPr="00216DBB">
        <w:t xml:space="preserve">for </w:t>
      </w:r>
      <w:r w:rsidRPr="00216DBB">
        <w:t xml:space="preserve">the AIS </w:t>
      </w:r>
      <w:r w:rsidR="004C6411" w:rsidRPr="00216DBB">
        <w:t xml:space="preserve">(AIS 1, </w:t>
      </w:r>
      <w:r w:rsidRPr="00216DBB">
        <w:t>161.975</w:t>
      </w:r>
      <w:r w:rsidR="001C172A">
        <w:t> </w:t>
      </w:r>
      <w:r w:rsidRPr="00216DBB">
        <w:t xml:space="preserve">MHz) and </w:t>
      </w:r>
      <w:r w:rsidR="004C6411" w:rsidRPr="00216DBB">
        <w:t xml:space="preserve">(AIS 2, </w:t>
      </w:r>
      <w:r w:rsidRPr="00216DBB">
        <w:t>162.025</w:t>
      </w:r>
      <w:r w:rsidR="001C172A">
        <w:t> </w:t>
      </w:r>
      <w:r w:rsidRPr="00216DBB">
        <w:t xml:space="preserve">MHz). </w:t>
      </w:r>
    </w:p>
    <w:p w14:paraId="1840FB4B" w14:textId="162F9E30" w:rsidR="006C03D0" w:rsidRPr="00216DBB" w:rsidRDefault="000613FB" w:rsidP="00CD57A3">
      <w:pPr>
        <w:pStyle w:val="ECCParagraph"/>
        <w:spacing w:before="240" w:after="60"/>
      </w:pPr>
      <w:r w:rsidRPr="00216DBB">
        <w:t>WRC</w:t>
      </w:r>
      <w:r w:rsidR="00EC06E0" w:rsidRPr="00216DBB">
        <w:t>-</w:t>
      </w:r>
      <w:r w:rsidRPr="00216DBB">
        <w:t xml:space="preserve">19 concluded </w:t>
      </w:r>
      <w:r w:rsidR="00AE27A2" w:rsidRPr="00216DBB">
        <w:t xml:space="preserve">further </w:t>
      </w:r>
      <w:r w:rsidRPr="00216DBB">
        <w:t>that AMRD Group B may only use the frequency 160.900 MHz (Ch</w:t>
      </w:r>
      <w:r w:rsidR="009D3670">
        <w:t>annel</w:t>
      </w:r>
      <w:r w:rsidRPr="00216DBB">
        <w:t xml:space="preserve"> 2006). AMRD Group B are limited to a transmitter e.i.r.p. of 100 mW and an antenna height not exceeding 1 m above the surface of the sea.</w:t>
      </w:r>
    </w:p>
    <w:p w14:paraId="3ECEAD20" w14:textId="3BD461FE" w:rsidR="00A15965" w:rsidRPr="00216DBB" w:rsidRDefault="00C11A9E" w:rsidP="00CD57A3">
      <w:pPr>
        <w:pStyle w:val="ECCParagraph"/>
        <w:spacing w:before="240" w:after="60"/>
      </w:pPr>
      <w:r w:rsidRPr="00216DBB">
        <w:lastRenderedPageBreak/>
        <w:t xml:space="preserve">The </w:t>
      </w:r>
      <w:r w:rsidR="002A5EBF" w:rsidRPr="00216DBB">
        <w:t xml:space="preserve">ECC </w:t>
      </w:r>
      <w:r w:rsidR="001222B8" w:rsidRPr="00216DBB">
        <w:t xml:space="preserve">supports </w:t>
      </w:r>
      <w:r w:rsidR="002A5EBF" w:rsidRPr="00216DBB">
        <w:t xml:space="preserve">the </w:t>
      </w:r>
      <w:r w:rsidR="001222B8" w:rsidRPr="00216DBB">
        <w:t xml:space="preserve">capabilities of AMRD </w:t>
      </w:r>
      <w:r w:rsidR="004C6411" w:rsidRPr="00216DBB">
        <w:t>and has an interest in harmoni</w:t>
      </w:r>
      <w:r w:rsidR="0094149D">
        <w:t>s</w:t>
      </w:r>
      <w:r w:rsidR="004C6411" w:rsidRPr="00216DBB">
        <w:t>ing</w:t>
      </w:r>
      <w:r w:rsidR="001222B8" w:rsidRPr="00216DBB">
        <w:t xml:space="preserve"> the operation of AMRD Group A and Group B </w:t>
      </w:r>
      <w:r w:rsidR="004C6411" w:rsidRPr="00216DBB">
        <w:t>according to</w:t>
      </w:r>
      <w:r w:rsidR="001222B8" w:rsidRPr="00216DBB">
        <w:t xml:space="preserve"> the rules </w:t>
      </w:r>
      <w:r w:rsidR="001F30B5" w:rsidRPr="00216DBB">
        <w:t>published in the Radio Regulations 2020</w:t>
      </w:r>
      <w:r w:rsidR="0094149D">
        <w:t xml:space="preserve"> </w:t>
      </w:r>
      <w:r w:rsidR="0094149D">
        <w:fldChar w:fldCharType="begin"/>
      </w:r>
      <w:r w:rsidR="0094149D">
        <w:instrText xml:space="preserve"> REF _Ref94785851 \r \h </w:instrText>
      </w:r>
      <w:r w:rsidR="0094149D">
        <w:fldChar w:fldCharType="separate"/>
      </w:r>
      <w:r w:rsidR="0094149D">
        <w:t>[6]</w:t>
      </w:r>
      <w:r w:rsidR="0094149D">
        <w:fldChar w:fldCharType="end"/>
      </w:r>
      <w:r w:rsidR="001F30B5" w:rsidRPr="00216DBB">
        <w:t>. Based on different options of identification and registration</w:t>
      </w:r>
      <w:r w:rsidR="00E354A0">
        <w:t>,</w:t>
      </w:r>
      <w:r w:rsidR="001F30B5" w:rsidRPr="00216DBB">
        <w:t xml:space="preserve"> the development of this ECC Decision was initiated.</w:t>
      </w:r>
    </w:p>
    <w:p w14:paraId="59E2E030" w14:textId="5F12D274" w:rsidR="000B67CC" w:rsidRPr="00216DBB" w:rsidRDefault="001F30B5" w:rsidP="00CD57A3">
      <w:pPr>
        <w:pStyle w:val="ECCParagraph"/>
        <w:spacing w:before="240" w:after="60"/>
      </w:pPr>
      <w:r w:rsidRPr="00216DBB">
        <w:t>ECC identified a need of harmoni</w:t>
      </w:r>
      <w:r w:rsidR="002457F5" w:rsidRPr="00216DBB">
        <w:t>s</w:t>
      </w:r>
      <w:r w:rsidRPr="00216DBB">
        <w:t>ed action and recogni</w:t>
      </w:r>
      <w:r w:rsidR="002457F5" w:rsidRPr="00216DBB">
        <w:t>s</w:t>
      </w:r>
      <w:r w:rsidRPr="00216DBB">
        <w:t>ed that:</w:t>
      </w:r>
    </w:p>
    <w:p w14:paraId="0FF53BE6" w14:textId="02F7AA04" w:rsidR="006C03D0" w:rsidRPr="00216DBB" w:rsidRDefault="00E7491B" w:rsidP="00CD57A3">
      <w:pPr>
        <w:pStyle w:val="ECCParBulleted"/>
        <w:spacing w:after="60"/>
        <w:ind w:left="357" w:hanging="357"/>
      </w:pPr>
      <w:r w:rsidRPr="00216DBB">
        <w:t>relevant footnotes of RR Appendix 18 have to be considered and might be implemented in different ways;</w:t>
      </w:r>
    </w:p>
    <w:p w14:paraId="4E079D40" w14:textId="3C5BBEFD" w:rsidR="006C03D0" w:rsidRPr="00216DBB" w:rsidRDefault="00E65761" w:rsidP="00CD57A3">
      <w:pPr>
        <w:pStyle w:val="ECCParBulleted"/>
        <w:spacing w:after="60"/>
        <w:ind w:left="357" w:hanging="357"/>
      </w:pPr>
      <w:r w:rsidRPr="00216DBB">
        <w:t xml:space="preserve">decisions on </w:t>
      </w:r>
      <w:r w:rsidR="00673BE0" w:rsidRPr="00216DBB">
        <w:t>registration o</w:t>
      </w:r>
      <w:r w:rsidR="00730007" w:rsidRPr="00216DBB">
        <w:t>f</w:t>
      </w:r>
      <w:r w:rsidR="00673BE0" w:rsidRPr="00216DBB">
        <w:t xml:space="preserve"> different applications of AMRD need to be</w:t>
      </w:r>
      <w:r w:rsidR="004F46F6" w:rsidRPr="00216DBB">
        <w:t xml:space="preserve"> </w:t>
      </w:r>
      <w:r w:rsidR="00730007" w:rsidRPr="00216DBB">
        <w:t xml:space="preserve">considered </w:t>
      </w:r>
      <w:r w:rsidR="00673BE0" w:rsidRPr="00216DBB">
        <w:t xml:space="preserve">by </w:t>
      </w:r>
      <w:r w:rsidR="00730007" w:rsidRPr="00216DBB">
        <w:t xml:space="preserve">the </w:t>
      </w:r>
      <w:r w:rsidR="00673BE0" w:rsidRPr="00216DBB">
        <w:t>ECC;</w:t>
      </w:r>
    </w:p>
    <w:p w14:paraId="302AD960" w14:textId="6D325CBE" w:rsidR="00E65761" w:rsidRPr="00216DBB" w:rsidRDefault="00CA673D" w:rsidP="00CD57A3">
      <w:pPr>
        <w:pStyle w:val="ECCParBulleted"/>
        <w:spacing w:after="60"/>
        <w:ind w:left="357" w:hanging="357"/>
      </w:pPr>
      <w:r w:rsidRPr="00216DBB">
        <w:t xml:space="preserve">this ECC Decision takes into account that existing AMRD which have been manufactured and delivered before WRC-19 cannot </w:t>
      </w:r>
      <w:r w:rsidR="00E65761" w:rsidRPr="00216DBB">
        <w:t xml:space="preserve">be </w:t>
      </w:r>
      <w:r w:rsidR="00BD0B7D" w:rsidRPr="00216DBB">
        <w:t xml:space="preserve">addressed </w:t>
      </w:r>
      <w:r w:rsidR="00E65761" w:rsidRPr="00216DBB">
        <w:t>immediately; however,</w:t>
      </w:r>
      <w:r w:rsidR="00571D59" w:rsidRPr="00216DBB">
        <w:t xml:space="preserve"> a time limit for tolerat</w:t>
      </w:r>
      <w:r w:rsidR="00BD0B7D" w:rsidRPr="00216DBB">
        <w:t>ing</w:t>
      </w:r>
      <w:r w:rsidR="00571D59" w:rsidRPr="00216DBB">
        <w:t xml:space="preserve"> </w:t>
      </w:r>
      <w:r w:rsidR="00BD0B7D" w:rsidRPr="00216DBB">
        <w:t xml:space="preserve">the </w:t>
      </w:r>
      <w:r w:rsidR="00571D59" w:rsidRPr="00216DBB">
        <w:t>us</w:t>
      </w:r>
      <w:r w:rsidR="00BD0B7D" w:rsidRPr="00216DBB">
        <w:t>e</w:t>
      </w:r>
      <w:r w:rsidR="00571D59" w:rsidRPr="00216DBB">
        <w:t xml:space="preserve"> </w:t>
      </w:r>
      <w:r w:rsidR="00466513" w:rsidRPr="00216DBB">
        <w:t xml:space="preserve">of </w:t>
      </w:r>
      <w:r w:rsidR="00571D59" w:rsidRPr="00216DBB">
        <w:t>AIS</w:t>
      </w:r>
      <w:r w:rsidR="002457F5" w:rsidRPr="00216DBB">
        <w:t xml:space="preserve"> </w:t>
      </w:r>
      <w:r w:rsidR="00571D59" w:rsidRPr="00216DBB">
        <w:t>1 and AIS</w:t>
      </w:r>
      <w:r w:rsidR="00350E85">
        <w:t xml:space="preserve"> </w:t>
      </w:r>
      <w:r w:rsidR="00571D59" w:rsidRPr="00216DBB">
        <w:t xml:space="preserve">2 by </w:t>
      </w:r>
      <w:r w:rsidR="006B7BFB" w:rsidRPr="00216DBB">
        <w:t xml:space="preserve">legacy </w:t>
      </w:r>
      <w:r w:rsidR="00571D59" w:rsidRPr="00216DBB">
        <w:t xml:space="preserve">AMRD </w:t>
      </w:r>
      <w:r w:rsidR="006B7BFB" w:rsidRPr="00216DBB">
        <w:t xml:space="preserve">that </w:t>
      </w:r>
      <w:r w:rsidR="00571D59" w:rsidRPr="00216DBB">
        <w:t>are not in accordance with Recommendation ITU-R M.2135</w:t>
      </w:r>
      <w:r w:rsidR="006B1D15" w:rsidRPr="00216DBB">
        <w:t xml:space="preserve"> </w:t>
      </w:r>
      <w:r w:rsidR="00393510">
        <w:fldChar w:fldCharType="begin"/>
      </w:r>
      <w:r w:rsidR="00393510">
        <w:instrText xml:space="preserve"> REF _Ref94785715 \r \h </w:instrText>
      </w:r>
      <w:r w:rsidR="00393510">
        <w:fldChar w:fldCharType="separate"/>
      </w:r>
      <w:r w:rsidR="00393510">
        <w:t>[1]</w:t>
      </w:r>
      <w:r w:rsidR="00393510">
        <w:fldChar w:fldCharType="end"/>
      </w:r>
      <w:r w:rsidR="00571D59" w:rsidRPr="00216DBB">
        <w:t>, need</w:t>
      </w:r>
      <w:r w:rsidR="002B1EC6" w:rsidRPr="00216DBB">
        <w:t>s</w:t>
      </w:r>
      <w:r w:rsidR="00571D59" w:rsidRPr="00216DBB">
        <w:t xml:space="preserve"> to be decided and published</w:t>
      </w:r>
      <w:r w:rsidR="00E65761" w:rsidRPr="00216DBB">
        <w:t>.</w:t>
      </w:r>
    </w:p>
    <w:p w14:paraId="15289105" w14:textId="77777777" w:rsidR="006C03D0" w:rsidRPr="00216DBB" w:rsidRDefault="005F7AD5" w:rsidP="006C03D0">
      <w:pPr>
        <w:pStyle w:val="Heading2"/>
        <w:rPr>
          <w:lang w:val="en-GB"/>
        </w:rPr>
      </w:pPr>
      <w:r w:rsidRPr="00216DBB">
        <w:rPr>
          <w:lang w:val="en-GB"/>
        </w:rPr>
        <w:t>REQUIREMENT FOR AN ECC DECISION</w:t>
      </w:r>
    </w:p>
    <w:p w14:paraId="50502E74" w14:textId="72009A26" w:rsidR="006C03D0" w:rsidRPr="00216DBB" w:rsidRDefault="001C7122" w:rsidP="006C03D0">
      <w:pPr>
        <w:pStyle w:val="ECCParagraph"/>
      </w:pPr>
      <w:r w:rsidRPr="00216DBB">
        <w:t xml:space="preserve">The </w:t>
      </w:r>
      <w:r w:rsidR="006409C5" w:rsidRPr="00216DBB">
        <w:t xml:space="preserve">ECC recognises that there is a compelling need for clear advice to manufacturers, </w:t>
      </w:r>
      <w:r w:rsidR="00352B96" w:rsidRPr="00216DBB">
        <w:t>retailers,</w:t>
      </w:r>
      <w:r w:rsidR="006409C5" w:rsidRPr="00216DBB">
        <w:t xml:space="preserve"> and users </w:t>
      </w:r>
      <w:r w:rsidR="00DE765A" w:rsidRPr="00216DBB">
        <w:t xml:space="preserve">on the usage of frequencies by AMRD </w:t>
      </w:r>
      <w:r w:rsidR="006409C5" w:rsidRPr="00216DBB">
        <w:t>to guarantee the safety of navigation and to ensure the integrity of the GMDSS.</w:t>
      </w:r>
    </w:p>
    <w:p w14:paraId="1C269B05" w14:textId="267D8456" w:rsidR="001C7122" w:rsidRPr="00216DBB" w:rsidRDefault="001C7122" w:rsidP="006C03D0">
      <w:pPr>
        <w:pStyle w:val="ECCParagraph"/>
      </w:pPr>
      <w:r w:rsidRPr="00216DBB">
        <w:t>The ECC recognises that there is a compelling need for clear advice to manufacturers, retailers, and users on the usage of frequencies by AMRD to guarantee the safety of navigation and to ensure the integrity of the AIS.</w:t>
      </w:r>
    </w:p>
    <w:p w14:paraId="6F3C084C" w14:textId="6FA8E4FC" w:rsidR="00006BA3" w:rsidRPr="00216DBB" w:rsidRDefault="00006BA3" w:rsidP="00006BA3">
      <w:pPr>
        <w:pStyle w:val="ECCParagraph"/>
      </w:pPr>
      <w:r w:rsidRPr="00216DBB">
        <w:t>The ECC is of the view that the usage of frequencies by AMRD should take place in CEPT countries in accordance with the Radio Regulations.</w:t>
      </w:r>
    </w:p>
    <w:p w14:paraId="2F12F67A" w14:textId="6F8DADCD" w:rsidR="006C03D0" w:rsidRPr="00216DBB" w:rsidRDefault="005F7AD5" w:rsidP="00555266">
      <w:pPr>
        <w:pStyle w:val="Heading1"/>
      </w:pPr>
      <w:r w:rsidRPr="00216DBB">
        <w:lastRenderedPageBreak/>
        <w:t>ECC Decision of</w:t>
      </w:r>
      <w:r w:rsidR="00A8085A" w:rsidRPr="00216DBB">
        <w:t xml:space="preserve"> </w:t>
      </w:r>
      <w:r w:rsidR="00555266">
        <w:t>1 july 2022</w:t>
      </w:r>
      <w:r w:rsidR="00A8085A" w:rsidRPr="00216DBB">
        <w:t xml:space="preserve"> </w:t>
      </w:r>
      <w:r w:rsidRPr="00216DBB">
        <w:t>on</w:t>
      </w:r>
      <w:r w:rsidR="00A8085A" w:rsidRPr="00216DBB">
        <w:t xml:space="preserve"> </w:t>
      </w:r>
      <w:r w:rsidR="00496A48" w:rsidRPr="00216DBB">
        <w:t>Regulation to operate Autonomous Maritime Radio Devices (AMRD) in CEPT</w:t>
      </w:r>
      <w:r w:rsidR="00A8085A" w:rsidRPr="00216DBB">
        <w:t xml:space="preserve"> (</w:t>
      </w:r>
      <w:r w:rsidR="00496A48" w:rsidRPr="00216DBB">
        <w:t>ECC</w:t>
      </w:r>
      <w:r w:rsidR="00555266">
        <w:t xml:space="preserve"> decision </w:t>
      </w:r>
      <w:r w:rsidR="00496A48" w:rsidRPr="00216DBB">
        <w:t>(22)</w:t>
      </w:r>
      <w:r w:rsidR="009F61F2">
        <w:t>02</w:t>
      </w:r>
      <w:r w:rsidR="00A8085A" w:rsidRPr="00216DBB">
        <w:t>)</w:t>
      </w:r>
    </w:p>
    <w:p w14:paraId="0586741A" w14:textId="3C125526" w:rsidR="006C03D0" w:rsidRPr="00216DBB" w:rsidRDefault="005F7AD5" w:rsidP="006C03D0">
      <w:pPr>
        <w:pStyle w:val="ECCParagraph"/>
      </w:pPr>
      <w:r w:rsidRPr="00216DBB">
        <w:t>“The European Conference of Postal and Telecommunications Administrations,</w:t>
      </w:r>
    </w:p>
    <w:p w14:paraId="1220AB64" w14:textId="4C796C57" w:rsidR="006C03D0" w:rsidRPr="00216DBB" w:rsidRDefault="005F7AD5" w:rsidP="006C03D0">
      <w:pPr>
        <w:pStyle w:val="ECCParagraph"/>
        <w:rPr>
          <w:i/>
          <w:color w:val="D2232A"/>
        </w:rPr>
      </w:pPr>
      <w:r w:rsidRPr="00216DBB">
        <w:rPr>
          <w:i/>
          <w:color w:val="D2232A"/>
        </w:rPr>
        <w:t>considering</w:t>
      </w:r>
    </w:p>
    <w:p w14:paraId="00BA53C2" w14:textId="5A51E4A4" w:rsidR="00E65E22" w:rsidRPr="00216DBB" w:rsidRDefault="00E65E22" w:rsidP="00E73D39">
      <w:pPr>
        <w:pStyle w:val="ListParagraph"/>
        <w:numPr>
          <w:ilvl w:val="0"/>
          <w:numId w:val="17"/>
        </w:numPr>
        <w:tabs>
          <w:tab w:val="left" w:pos="567"/>
        </w:tabs>
        <w:spacing w:after="240"/>
        <w:ind w:left="567" w:hanging="567"/>
        <w:contextualSpacing w:val="0"/>
        <w:rPr>
          <w:lang w:val="en-GB"/>
        </w:rPr>
      </w:pPr>
      <w:r w:rsidRPr="00216DBB">
        <w:rPr>
          <w:lang w:val="en-GB"/>
        </w:rPr>
        <w:t>th</w:t>
      </w:r>
      <w:r w:rsidR="00F83D8C" w:rsidRPr="00216DBB">
        <w:rPr>
          <w:lang w:val="en-GB"/>
        </w:rPr>
        <w:t>at</w:t>
      </w:r>
      <w:r w:rsidRPr="00216DBB">
        <w:rPr>
          <w:lang w:val="en-GB"/>
        </w:rPr>
        <w:t xml:space="preserve"> </w:t>
      </w:r>
      <w:r w:rsidR="005435B9" w:rsidRPr="00216DBB">
        <w:rPr>
          <w:lang w:val="en-GB"/>
        </w:rPr>
        <w:t>WRC-19 amended the ITU Radio Regulation</w:t>
      </w:r>
      <w:r w:rsidR="0058563D" w:rsidRPr="00216DBB">
        <w:rPr>
          <w:lang w:val="en-GB"/>
        </w:rPr>
        <w:t>s</w:t>
      </w:r>
      <w:r w:rsidR="005435B9" w:rsidRPr="00216DBB">
        <w:rPr>
          <w:lang w:val="en-GB"/>
        </w:rPr>
        <w:t xml:space="preserve"> (RR) </w:t>
      </w:r>
      <w:r w:rsidR="00393510">
        <w:rPr>
          <w:lang w:val="en-GB"/>
        </w:rPr>
        <w:fldChar w:fldCharType="begin"/>
      </w:r>
      <w:r w:rsidR="00393510">
        <w:rPr>
          <w:lang w:val="en-GB"/>
        </w:rPr>
        <w:instrText xml:space="preserve"> REF _Ref94785851 \r \h </w:instrText>
      </w:r>
      <w:r w:rsidR="00393510">
        <w:rPr>
          <w:lang w:val="en-GB"/>
        </w:rPr>
      </w:r>
      <w:r w:rsidR="00393510">
        <w:rPr>
          <w:lang w:val="en-GB"/>
        </w:rPr>
        <w:fldChar w:fldCharType="separate"/>
      </w:r>
      <w:r w:rsidR="00393510">
        <w:rPr>
          <w:lang w:val="en-GB"/>
        </w:rPr>
        <w:t>[6]</w:t>
      </w:r>
      <w:r w:rsidR="00393510">
        <w:rPr>
          <w:lang w:val="en-GB"/>
        </w:rPr>
        <w:fldChar w:fldCharType="end"/>
      </w:r>
      <w:r w:rsidR="006B1D15" w:rsidRPr="00216DBB">
        <w:rPr>
          <w:lang w:val="en-GB"/>
        </w:rPr>
        <w:t xml:space="preserve"> </w:t>
      </w:r>
      <w:r w:rsidR="005435B9" w:rsidRPr="00216DBB">
        <w:rPr>
          <w:lang w:val="en-GB"/>
        </w:rPr>
        <w:t>Appendix 18</w:t>
      </w:r>
      <w:r w:rsidR="00B84CF8" w:rsidRPr="00216DBB">
        <w:rPr>
          <w:lang w:val="en-GB"/>
        </w:rPr>
        <w:t xml:space="preserve"> “Table of transmitting frequencies in the </w:t>
      </w:r>
      <w:r w:rsidR="005E1216" w:rsidRPr="00216DBB">
        <w:rPr>
          <w:lang w:val="en-GB"/>
        </w:rPr>
        <w:t>V</w:t>
      </w:r>
      <w:r w:rsidR="00B84CF8" w:rsidRPr="00216DBB">
        <w:rPr>
          <w:lang w:val="en-GB"/>
        </w:rPr>
        <w:t>HF maritime mobile band”</w:t>
      </w:r>
      <w:r w:rsidR="005435B9" w:rsidRPr="00216DBB">
        <w:rPr>
          <w:lang w:val="en-GB"/>
        </w:rPr>
        <w:t>;</w:t>
      </w:r>
    </w:p>
    <w:p w14:paraId="3590BB00" w14:textId="0A8800A0" w:rsidR="005435B9" w:rsidRPr="00216DBB" w:rsidRDefault="005435B9" w:rsidP="00E73D39">
      <w:pPr>
        <w:pStyle w:val="ListParagraph"/>
        <w:numPr>
          <w:ilvl w:val="0"/>
          <w:numId w:val="17"/>
        </w:numPr>
        <w:tabs>
          <w:tab w:val="left" w:pos="567"/>
        </w:tabs>
        <w:spacing w:after="240"/>
        <w:ind w:left="567" w:hanging="567"/>
        <w:contextualSpacing w:val="0"/>
        <w:rPr>
          <w:lang w:val="en-GB"/>
        </w:rPr>
      </w:pPr>
      <w:r w:rsidRPr="00216DBB">
        <w:rPr>
          <w:lang w:val="en-GB"/>
        </w:rPr>
        <w:t xml:space="preserve">that RR Appendix 18 footnote </w:t>
      </w:r>
      <w:r w:rsidRPr="00216DBB">
        <w:rPr>
          <w:i/>
          <w:iCs/>
          <w:lang w:val="en-GB"/>
        </w:rPr>
        <w:t>f)</w:t>
      </w:r>
      <w:r w:rsidRPr="00216DBB">
        <w:rPr>
          <w:lang w:val="en-GB"/>
        </w:rPr>
        <w:t xml:space="preserve"> allows </w:t>
      </w:r>
      <w:r w:rsidR="00944066" w:rsidRPr="00216DBB">
        <w:rPr>
          <w:lang w:val="en-GB"/>
        </w:rPr>
        <w:t xml:space="preserve">for operation of </w:t>
      </w:r>
      <w:r w:rsidRPr="00216DBB">
        <w:rPr>
          <w:lang w:val="en-GB"/>
        </w:rPr>
        <w:t xml:space="preserve">AMRD Group A </w:t>
      </w:r>
      <w:r w:rsidR="0058563D" w:rsidRPr="00216DBB">
        <w:rPr>
          <w:lang w:val="en-GB"/>
        </w:rPr>
        <w:t xml:space="preserve">on </w:t>
      </w:r>
      <w:r w:rsidRPr="00216DBB">
        <w:rPr>
          <w:lang w:val="en-GB"/>
        </w:rPr>
        <w:t xml:space="preserve">the </w:t>
      </w:r>
      <w:r w:rsidR="00944066" w:rsidRPr="00216DBB">
        <w:rPr>
          <w:lang w:val="en-GB"/>
        </w:rPr>
        <w:t>frequencies 156.525 MHz (Ch</w:t>
      </w:r>
      <w:r w:rsidR="009D3670">
        <w:t>annel</w:t>
      </w:r>
      <w:r w:rsidR="00944066" w:rsidRPr="00216DBB">
        <w:rPr>
          <w:lang w:val="en-GB"/>
        </w:rPr>
        <w:t xml:space="preserve"> 70), 161.975 MHz (Ch</w:t>
      </w:r>
      <w:r w:rsidR="009D3670">
        <w:t>annel</w:t>
      </w:r>
      <w:r w:rsidR="00944066" w:rsidRPr="00216DBB">
        <w:rPr>
          <w:lang w:val="en-GB"/>
        </w:rPr>
        <w:t xml:space="preserve"> AIS</w:t>
      </w:r>
      <w:r w:rsidR="0019253E" w:rsidRPr="00216DBB">
        <w:rPr>
          <w:lang w:val="en-GB"/>
        </w:rPr>
        <w:t xml:space="preserve"> </w:t>
      </w:r>
      <w:r w:rsidR="00944066" w:rsidRPr="00216DBB">
        <w:rPr>
          <w:lang w:val="en-GB"/>
        </w:rPr>
        <w:t>1) and 162.025 MHz (Ch</w:t>
      </w:r>
      <w:r w:rsidR="009D3670">
        <w:t>annel</w:t>
      </w:r>
      <w:r w:rsidR="00944066" w:rsidRPr="00216DBB">
        <w:rPr>
          <w:lang w:val="en-GB"/>
        </w:rPr>
        <w:t xml:space="preserve"> AIS</w:t>
      </w:r>
      <w:r w:rsidR="0019253E" w:rsidRPr="00216DBB">
        <w:rPr>
          <w:lang w:val="en-GB"/>
        </w:rPr>
        <w:t xml:space="preserve"> </w:t>
      </w:r>
      <w:r w:rsidR="00944066" w:rsidRPr="00216DBB">
        <w:rPr>
          <w:lang w:val="en-GB"/>
        </w:rPr>
        <w:t>2);</w:t>
      </w:r>
    </w:p>
    <w:p w14:paraId="2ABFE073" w14:textId="1E8CBB64" w:rsidR="00944066" w:rsidRPr="00216DBB" w:rsidRDefault="00944066" w:rsidP="00E73D39">
      <w:pPr>
        <w:pStyle w:val="ListParagraph"/>
        <w:numPr>
          <w:ilvl w:val="0"/>
          <w:numId w:val="17"/>
        </w:numPr>
        <w:tabs>
          <w:tab w:val="left" w:pos="567"/>
        </w:tabs>
        <w:spacing w:after="240"/>
        <w:ind w:left="567" w:hanging="567"/>
        <w:contextualSpacing w:val="0"/>
        <w:rPr>
          <w:lang w:val="en-GB"/>
        </w:rPr>
      </w:pPr>
      <w:r w:rsidRPr="00216DBB">
        <w:rPr>
          <w:lang w:val="en-GB"/>
        </w:rPr>
        <w:t xml:space="preserve">that RR Appendix 18 footnote </w:t>
      </w:r>
      <w:r w:rsidRPr="00216DBB">
        <w:rPr>
          <w:i/>
          <w:iCs/>
          <w:lang w:val="en-GB"/>
        </w:rPr>
        <w:t>r)</w:t>
      </w:r>
      <w:r w:rsidRPr="00216DBB">
        <w:rPr>
          <w:lang w:val="en-GB"/>
        </w:rPr>
        <w:t xml:space="preserve"> allows for operation of AMRD Group B </w:t>
      </w:r>
      <w:r w:rsidR="00BF1300" w:rsidRPr="00216DBB">
        <w:rPr>
          <w:lang w:val="en-GB"/>
        </w:rPr>
        <w:t>on</w:t>
      </w:r>
      <w:r w:rsidRPr="00216DBB">
        <w:rPr>
          <w:lang w:val="en-GB"/>
        </w:rPr>
        <w:t xml:space="preserve"> the frequency 160.900 MHz (Ch</w:t>
      </w:r>
      <w:r w:rsidR="009D3670">
        <w:t>annel</w:t>
      </w:r>
      <w:r w:rsidRPr="00216DBB">
        <w:rPr>
          <w:lang w:val="en-GB"/>
        </w:rPr>
        <w:t xml:space="preserve"> 2006);</w:t>
      </w:r>
    </w:p>
    <w:p w14:paraId="04A0910C" w14:textId="6DF0B1D5" w:rsidR="001E07E9" w:rsidRPr="00216DBB" w:rsidRDefault="001E07E9" w:rsidP="00E73D39">
      <w:pPr>
        <w:pStyle w:val="ListParagraph"/>
        <w:numPr>
          <w:ilvl w:val="0"/>
          <w:numId w:val="17"/>
        </w:numPr>
        <w:tabs>
          <w:tab w:val="left" w:pos="567"/>
        </w:tabs>
        <w:spacing w:after="240"/>
        <w:ind w:left="567" w:hanging="567"/>
        <w:contextualSpacing w:val="0"/>
        <w:rPr>
          <w:lang w:val="en-GB"/>
        </w:rPr>
      </w:pPr>
      <w:r w:rsidRPr="00216DBB">
        <w:rPr>
          <w:lang w:val="en-GB"/>
        </w:rPr>
        <w:t>that</w:t>
      </w:r>
      <w:r w:rsidR="00DB1B0C" w:rsidRPr="00216DBB">
        <w:rPr>
          <w:lang w:val="en-GB"/>
        </w:rPr>
        <w:t>, for AMRD Group B,</w:t>
      </w:r>
      <w:r w:rsidRPr="00216DBB">
        <w:rPr>
          <w:lang w:val="en-GB"/>
        </w:rPr>
        <w:t xml:space="preserve"> RR Appendix 18 footnote </w:t>
      </w:r>
      <w:r w:rsidRPr="00216DBB">
        <w:rPr>
          <w:i/>
          <w:iCs/>
          <w:lang w:val="en-GB"/>
        </w:rPr>
        <w:t>r)</w:t>
      </w:r>
      <w:r w:rsidRPr="00216DBB">
        <w:rPr>
          <w:lang w:val="en-GB"/>
        </w:rPr>
        <w:t xml:space="preserve"> limits the transmitter e.i.r.p. </w:t>
      </w:r>
      <w:r w:rsidR="00DB1B0C" w:rsidRPr="00216DBB">
        <w:rPr>
          <w:lang w:val="en-GB"/>
        </w:rPr>
        <w:t xml:space="preserve">to </w:t>
      </w:r>
      <w:r w:rsidRPr="00216DBB">
        <w:rPr>
          <w:lang w:val="en-GB"/>
        </w:rPr>
        <w:t xml:space="preserve">100 mW </w:t>
      </w:r>
      <w:r w:rsidR="00DB1B0C" w:rsidRPr="00216DBB">
        <w:rPr>
          <w:lang w:val="en-GB"/>
        </w:rPr>
        <w:t xml:space="preserve">and </w:t>
      </w:r>
      <w:r w:rsidRPr="00216DBB">
        <w:rPr>
          <w:lang w:val="en-GB"/>
        </w:rPr>
        <w:t>the antenna height to 1 m above the surface of the sea;</w:t>
      </w:r>
    </w:p>
    <w:p w14:paraId="6090981E" w14:textId="62AAAA01" w:rsidR="00585D6C" w:rsidRDefault="00585D6C" w:rsidP="001E07E9">
      <w:pPr>
        <w:pStyle w:val="ListParagraph"/>
        <w:numPr>
          <w:ilvl w:val="0"/>
          <w:numId w:val="17"/>
        </w:numPr>
        <w:tabs>
          <w:tab w:val="left" w:pos="567"/>
        </w:tabs>
        <w:spacing w:after="240"/>
        <w:ind w:left="567" w:hanging="567"/>
        <w:contextualSpacing w:val="0"/>
        <w:rPr>
          <w:lang w:val="en-GB"/>
        </w:rPr>
      </w:pPr>
      <w:r w:rsidRPr="00585D6C">
        <w:t xml:space="preserve">that the administration may consider individual registration of AMRD Group A MOB using VHF DSC (Class M) and AMRD Group B, which may use further identification on an individual equipment level by additional information transmitted, as defined by Recommendation ITU-R M.2135 </w:t>
      </w:r>
      <w:r w:rsidRPr="00585D6C">
        <w:fldChar w:fldCharType="begin"/>
      </w:r>
      <w:r w:rsidRPr="00585D6C">
        <w:instrText xml:space="preserve"> REF _Ref94785715 \r \h </w:instrText>
      </w:r>
      <w:r w:rsidRPr="00585D6C">
        <w:fldChar w:fldCharType="separate"/>
      </w:r>
      <w:r w:rsidRPr="00585D6C">
        <w:t>[1]</w:t>
      </w:r>
      <w:r w:rsidRPr="00585D6C">
        <w:rPr>
          <w:lang w:val="en-GB"/>
        </w:rPr>
        <w:fldChar w:fldCharType="end"/>
      </w:r>
      <w:r>
        <w:t>;</w:t>
      </w:r>
    </w:p>
    <w:p w14:paraId="07E8FA49" w14:textId="4B56EB60" w:rsidR="001E07E9" w:rsidRPr="00216DBB" w:rsidRDefault="001E07E9" w:rsidP="001E07E9">
      <w:pPr>
        <w:pStyle w:val="ListParagraph"/>
        <w:numPr>
          <w:ilvl w:val="0"/>
          <w:numId w:val="17"/>
        </w:numPr>
        <w:tabs>
          <w:tab w:val="left" w:pos="567"/>
        </w:tabs>
        <w:spacing w:after="240"/>
        <w:ind w:left="567" w:hanging="567"/>
        <w:contextualSpacing w:val="0"/>
        <w:rPr>
          <w:lang w:val="en-GB"/>
        </w:rPr>
      </w:pPr>
      <w:r w:rsidRPr="00216DBB">
        <w:rPr>
          <w:lang w:val="en-GB"/>
        </w:rPr>
        <w:t>that Recommendation ITU-R M</w:t>
      </w:r>
      <w:r w:rsidR="004036C9" w:rsidRPr="00216DBB">
        <w:rPr>
          <w:lang w:val="en-GB"/>
        </w:rPr>
        <w:t>.</w:t>
      </w:r>
      <w:r w:rsidRPr="00216DBB">
        <w:rPr>
          <w:lang w:val="en-GB"/>
        </w:rPr>
        <w:t>2135</w:t>
      </w:r>
      <w:r w:rsidR="006E422E" w:rsidRPr="00216DBB">
        <w:rPr>
          <w:lang w:val="en-GB"/>
        </w:rPr>
        <w:t xml:space="preserve"> “Technical characteristics of autonomous maritime radio devices operating in the frequency band 156-162.05 MHz”</w:t>
      </w:r>
      <w:r w:rsidRPr="00216DBB">
        <w:rPr>
          <w:lang w:val="en-GB"/>
        </w:rPr>
        <w:t xml:space="preserve"> </w:t>
      </w:r>
      <w:r w:rsidR="00393510">
        <w:rPr>
          <w:lang w:val="en-GB"/>
        </w:rPr>
        <w:fldChar w:fldCharType="begin"/>
      </w:r>
      <w:r w:rsidR="00393510">
        <w:rPr>
          <w:lang w:val="en-GB"/>
        </w:rPr>
        <w:instrText xml:space="preserve"> REF _Ref94785715 \r \h </w:instrText>
      </w:r>
      <w:r w:rsidR="00393510">
        <w:rPr>
          <w:lang w:val="en-GB"/>
        </w:rPr>
      </w:r>
      <w:r w:rsidR="00393510">
        <w:rPr>
          <w:lang w:val="en-GB"/>
        </w:rPr>
        <w:fldChar w:fldCharType="separate"/>
      </w:r>
      <w:r w:rsidR="00393510">
        <w:rPr>
          <w:lang w:val="en-GB"/>
        </w:rPr>
        <w:t>[1]</w:t>
      </w:r>
      <w:r w:rsidR="00393510">
        <w:rPr>
          <w:lang w:val="en-GB"/>
        </w:rPr>
        <w:fldChar w:fldCharType="end"/>
      </w:r>
      <w:r w:rsidR="006B1D15" w:rsidRPr="00216DBB">
        <w:rPr>
          <w:lang w:val="en-GB"/>
        </w:rPr>
        <w:t xml:space="preserve"> </w:t>
      </w:r>
      <w:r w:rsidRPr="00216DBB">
        <w:rPr>
          <w:lang w:val="en-GB"/>
        </w:rPr>
        <w:t xml:space="preserve">describes the technical characteristics of </w:t>
      </w:r>
      <w:r w:rsidR="006E422E" w:rsidRPr="00216DBB">
        <w:rPr>
          <w:lang w:val="en-GB"/>
        </w:rPr>
        <w:t>AMRD</w:t>
      </w:r>
      <w:r w:rsidRPr="00216DBB">
        <w:rPr>
          <w:lang w:val="en-GB"/>
        </w:rPr>
        <w:t>;</w:t>
      </w:r>
    </w:p>
    <w:p w14:paraId="3FFB75AF" w14:textId="1F4C8F34" w:rsidR="001E36DA" w:rsidRPr="00216DBB" w:rsidRDefault="001E36DA" w:rsidP="001E36DA">
      <w:pPr>
        <w:pStyle w:val="ListParagraph"/>
        <w:numPr>
          <w:ilvl w:val="0"/>
          <w:numId w:val="17"/>
        </w:numPr>
        <w:tabs>
          <w:tab w:val="left" w:pos="567"/>
        </w:tabs>
        <w:spacing w:after="240"/>
        <w:ind w:left="567" w:hanging="567"/>
        <w:contextualSpacing w:val="0"/>
        <w:rPr>
          <w:lang w:val="en-GB"/>
        </w:rPr>
      </w:pPr>
      <w:r w:rsidRPr="00216DBB">
        <w:rPr>
          <w:lang w:val="en-GB"/>
        </w:rPr>
        <w:t xml:space="preserve">that the Maritime Safety Committee (MSC) </w:t>
      </w:r>
      <w:r w:rsidR="00253DA4" w:rsidRPr="00216DBB">
        <w:rPr>
          <w:lang w:val="en-GB"/>
        </w:rPr>
        <w:t xml:space="preserve">#101 </w:t>
      </w:r>
      <w:r w:rsidR="0030298F" w:rsidRPr="00216DBB">
        <w:rPr>
          <w:lang w:val="en-GB"/>
        </w:rPr>
        <w:t>(</w:t>
      </w:r>
      <w:r w:rsidR="00253DA4" w:rsidRPr="00216DBB">
        <w:rPr>
          <w:lang w:val="en-GB"/>
        </w:rPr>
        <w:t>June 2019</w:t>
      </w:r>
      <w:r w:rsidR="0030298F" w:rsidRPr="00216DBB">
        <w:rPr>
          <w:lang w:val="en-GB"/>
        </w:rPr>
        <w:t>)</w:t>
      </w:r>
      <w:r w:rsidR="00253DA4" w:rsidRPr="00216DBB">
        <w:rPr>
          <w:lang w:val="en-GB"/>
        </w:rPr>
        <w:t xml:space="preserve"> </w:t>
      </w:r>
      <w:r w:rsidRPr="00216DBB">
        <w:rPr>
          <w:lang w:val="en-GB"/>
        </w:rPr>
        <w:t xml:space="preserve">of </w:t>
      </w:r>
      <w:r w:rsidR="00DF304F" w:rsidRPr="00216DBB">
        <w:rPr>
          <w:lang w:val="en-GB"/>
        </w:rPr>
        <w:t xml:space="preserve">the </w:t>
      </w:r>
      <w:r w:rsidRPr="00216DBB">
        <w:rPr>
          <w:lang w:val="en-GB"/>
        </w:rPr>
        <w:t xml:space="preserve">IMO decided that the only AMRD </w:t>
      </w:r>
      <w:r w:rsidR="00DF304F" w:rsidRPr="00216DBB">
        <w:rPr>
          <w:lang w:val="en-GB"/>
        </w:rPr>
        <w:t xml:space="preserve">that </w:t>
      </w:r>
      <w:r w:rsidRPr="00216DBB">
        <w:rPr>
          <w:lang w:val="en-GB"/>
        </w:rPr>
        <w:t>enhance safety of navigation are Mobile Aids to Navigation</w:t>
      </w:r>
      <w:r w:rsidR="002457F5" w:rsidRPr="00216DBB">
        <w:rPr>
          <w:lang w:val="en-GB"/>
        </w:rPr>
        <w:t xml:space="preserve"> </w:t>
      </w:r>
      <w:r w:rsidR="002457F5" w:rsidRPr="00216DBB">
        <w:rPr>
          <w:lang w:val="en-GB"/>
        </w:rPr>
        <w:fldChar w:fldCharType="begin"/>
      </w:r>
      <w:r w:rsidR="002457F5" w:rsidRPr="00216DBB">
        <w:rPr>
          <w:lang w:val="en-GB"/>
        </w:rPr>
        <w:instrText xml:space="preserve"> REF _Ref94785567 \r \h </w:instrText>
      </w:r>
      <w:r w:rsidR="002457F5" w:rsidRPr="00216DBB">
        <w:rPr>
          <w:lang w:val="en-GB"/>
        </w:rPr>
      </w:r>
      <w:r w:rsidR="002457F5" w:rsidRPr="00216DBB">
        <w:rPr>
          <w:lang w:val="en-GB"/>
        </w:rPr>
        <w:fldChar w:fldCharType="separate"/>
      </w:r>
      <w:r w:rsidR="002457F5" w:rsidRPr="00216DBB">
        <w:rPr>
          <w:lang w:val="en-GB"/>
        </w:rPr>
        <w:t>[5]</w:t>
      </w:r>
      <w:r w:rsidR="002457F5" w:rsidRPr="00216DBB">
        <w:rPr>
          <w:lang w:val="en-GB"/>
        </w:rPr>
        <w:fldChar w:fldCharType="end"/>
      </w:r>
      <w:r w:rsidR="002457F5" w:rsidRPr="00216DBB">
        <w:rPr>
          <w:lang w:val="en-GB"/>
        </w:rPr>
        <w:t xml:space="preserve"> </w:t>
      </w:r>
      <w:r w:rsidRPr="00216DBB">
        <w:rPr>
          <w:lang w:val="en-GB"/>
        </w:rPr>
        <w:t xml:space="preserve">(MAtoN) and Man </w:t>
      </w:r>
      <w:r w:rsidR="00223174" w:rsidRPr="00216DBB">
        <w:rPr>
          <w:lang w:val="en-GB"/>
        </w:rPr>
        <w:t>overboard</w:t>
      </w:r>
      <w:r w:rsidRPr="00216DBB">
        <w:rPr>
          <w:lang w:val="en-GB"/>
        </w:rPr>
        <w:t xml:space="preserve"> (MOB) devices </w:t>
      </w:r>
      <w:r w:rsidR="0034580E" w:rsidRPr="00216DBB">
        <w:rPr>
          <w:lang w:val="en-GB"/>
        </w:rPr>
        <w:t>using VHF DSC (C</w:t>
      </w:r>
      <w:r w:rsidRPr="00216DBB">
        <w:rPr>
          <w:lang w:val="en-GB"/>
        </w:rPr>
        <w:t>lass M</w:t>
      </w:r>
      <w:r w:rsidR="0034580E" w:rsidRPr="00216DBB">
        <w:rPr>
          <w:lang w:val="en-GB"/>
        </w:rPr>
        <w:t>)</w:t>
      </w:r>
      <w:r w:rsidRPr="00216DBB">
        <w:rPr>
          <w:lang w:val="en-GB"/>
        </w:rPr>
        <w:t>;</w:t>
      </w:r>
    </w:p>
    <w:p w14:paraId="7CAA78E1" w14:textId="5CF18293" w:rsidR="00C714E3" w:rsidRPr="00216DBB" w:rsidRDefault="00C714E3" w:rsidP="009263B5">
      <w:pPr>
        <w:pStyle w:val="ListParagraph"/>
        <w:numPr>
          <w:ilvl w:val="0"/>
          <w:numId w:val="17"/>
        </w:numPr>
        <w:tabs>
          <w:tab w:val="left" w:pos="567"/>
        </w:tabs>
        <w:spacing w:after="240"/>
        <w:ind w:left="567" w:hanging="567"/>
        <w:contextualSpacing w:val="0"/>
        <w:rPr>
          <w:lang w:val="en-GB"/>
        </w:rPr>
      </w:pPr>
      <w:r w:rsidRPr="00216DBB">
        <w:rPr>
          <w:lang w:val="en-GB"/>
        </w:rPr>
        <w:t>that Recommendation ITU-R M.1371</w:t>
      </w:r>
      <w:r w:rsidR="00926B06" w:rsidRPr="00216DBB">
        <w:rPr>
          <w:lang w:val="en-GB"/>
        </w:rPr>
        <w:t xml:space="preserve"> “Technical characteristics for an automatic identification system using time division multiple access in the VHF maritime mobile frequency band” </w:t>
      </w:r>
      <w:r w:rsidR="00393510">
        <w:rPr>
          <w:lang w:val="en-GB"/>
        </w:rPr>
        <w:fldChar w:fldCharType="begin"/>
      </w:r>
      <w:r w:rsidR="00393510">
        <w:rPr>
          <w:lang w:val="en-GB"/>
        </w:rPr>
        <w:instrText xml:space="preserve"> REF _Ref94786407 \r \h </w:instrText>
      </w:r>
      <w:r w:rsidR="00393510">
        <w:rPr>
          <w:lang w:val="en-GB"/>
        </w:rPr>
      </w:r>
      <w:r w:rsidR="00393510">
        <w:rPr>
          <w:lang w:val="en-GB"/>
        </w:rPr>
        <w:fldChar w:fldCharType="separate"/>
      </w:r>
      <w:r w:rsidR="00393510">
        <w:rPr>
          <w:lang w:val="en-GB"/>
        </w:rPr>
        <w:t>[3]</w:t>
      </w:r>
      <w:r w:rsidR="00393510">
        <w:rPr>
          <w:lang w:val="en-GB"/>
        </w:rPr>
        <w:fldChar w:fldCharType="end"/>
      </w:r>
      <w:r w:rsidR="006B1D15" w:rsidRPr="00216DBB">
        <w:rPr>
          <w:lang w:val="en-GB"/>
        </w:rPr>
        <w:t xml:space="preserve"> </w:t>
      </w:r>
      <w:r w:rsidRPr="00216DBB">
        <w:rPr>
          <w:lang w:val="en-GB"/>
        </w:rPr>
        <w:t>describes AIS</w:t>
      </w:r>
      <w:r w:rsidR="00926B06" w:rsidRPr="00216DBB">
        <w:rPr>
          <w:lang w:val="en-GB"/>
        </w:rPr>
        <w:t>;</w:t>
      </w:r>
    </w:p>
    <w:p w14:paraId="402E675F" w14:textId="4B3856B8" w:rsidR="00C714E3" w:rsidRPr="00216DBB" w:rsidRDefault="00C714E3" w:rsidP="001E36DA">
      <w:pPr>
        <w:pStyle w:val="ListParagraph"/>
        <w:numPr>
          <w:ilvl w:val="0"/>
          <w:numId w:val="17"/>
        </w:numPr>
        <w:tabs>
          <w:tab w:val="left" w:pos="567"/>
        </w:tabs>
        <w:spacing w:after="240"/>
        <w:ind w:left="567" w:hanging="567"/>
        <w:contextualSpacing w:val="0"/>
        <w:rPr>
          <w:lang w:val="en-GB"/>
        </w:rPr>
      </w:pPr>
      <w:r w:rsidRPr="00216DBB">
        <w:rPr>
          <w:lang w:val="en-GB"/>
        </w:rPr>
        <w:t xml:space="preserve">that Recommendation ITU-R M.493 </w:t>
      </w:r>
      <w:r w:rsidR="00926B06" w:rsidRPr="00216DBB">
        <w:rPr>
          <w:lang w:val="en-GB"/>
        </w:rPr>
        <w:t>“Digital selective-calling system for use in the maritime mobile service“</w:t>
      </w:r>
      <w:r w:rsidR="006E422E" w:rsidRPr="00216DBB">
        <w:rPr>
          <w:lang w:val="en-GB"/>
        </w:rPr>
        <w:t xml:space="preserve"> </w:t>
      </w:r>
      <w:r w:rsidR="003F41B5">
        <w:rPr>
          <w:lang w:val="en-GB"/>
        </w:rPr>
        <w:fldChar w:fldCharType="begin"/>
      </w:r>
      <w:r w:rsidR="003F41B5">
        <w:rPr>
          <w:lang w:val="en-GB"/>
        </w:rPr>
        <w:instrText xml:space="preserve"> REF _Ref94786426 \r \h </w:instrText>
      </w:r>
      <w:r w:rsidR="003F41B5">
        <w:rPr>
          <w:lang w:val="en-GB"/>
        </w:rPr>
      </w:r>
      <w:r w:rsidR="003F41B5">
        <w:rPr>
          <w:lang w:val="en-GB"/>
        </w:rPr>
        <w:fldChar w:fldCharType="separate"/>
      </w:r>
      <w:r w:rsidR="003F41B5">
        <w:rPr>
          <w:lang w:val="en-GB"/>
        </w:rPr>
        <w:t>[2]</w:t>
      </w:r>
      <w:r w:rsidR="003F41B5">
        <w:rPr>
          <w:lang w:val="en-GB"/>
        </w:rPr>
        <w:fldChar w:fldCharType="end"/>
      </w:r>
      <w:r w:rsidR="006B1D15" w:rsidRPr="00216DBB">
        <w:rPr>
          <w:lang w:val="en-GB"/>
        </w:rPr>
        <w:t xml:space="preserve"> </w:t>
      </w:r>
      <w:r w:rsidRPr="00216DBB">
        <w:rPr>
          <w:lang w:val="en-GB"/>
        </w:rPr>
        <w:t xml:space="preserve">describes </w:t>
      </w:r>
      <w:r w:rsidR="0034580E" w:rsidRPr="00216DBB">
        <w:rPr>
          <w:lang w:val="en-GB"/>
        </w:rPr>
        <w:t xml:space="preserve">MOB using VHF </w:t>
      </w:r>
      <w:r w:rsidRPr="00216DBB">
        <w:rPr>
          <w:lang w:val="en-GB"/>
        </w:rPr>
        <w:t xml:space="preserve">DSC </w:t>
      </w:r>
      <w:r w:rsidR="0034580E" w:rsidRPr="00216DBB">
        <w:rPr>
          <w:lang w:val="en-GB"/>
        </w:rPr>
        <w:t>(</w:t>
      </w:r>
      <w:r w:rsidRPr="00216DBB">
        <w:rPr>
          <w:lang w:val="en-GB"/>
        </w:rPr>
        <w:t>Class M</w:t>
      </w:r>
      <w:r w:rsidR="0034580E" w:rsidRPr="00216DBB">
        <w:rPr>
          <w:lang w:val="en-GB"/>
        </w:rPr>
        <w:t>)</w:t>
      </w:r>
      <w:r w:rsidR="007364D6" w:rsidRPr="00216DBB">
        <w:rPr>
          <w:lang w:val="en-GB"/>
        </w:rPr>
        <w:t>;</w:t>
      </w:r>
    </w:p>
    <w:p w14:paraId="17A4A99B" w14:textId="3C31C433" w:rsidR="004036C9" w:rsidRPr="00216DBB" w:rsidRDefault="004036C9" w:rsidP="001E07E9">
      <w:pPr>
        <w:pStyle w:val="ListParagraph"/>
        <w:numPr>
          <w:ilvl w:val="0"/>
          <w:numId w:val="17"/>
        </w:numPr>
        <w:tabs>
          <w:tab w:val="left" w:pos="567"/>
        </w:tabs>
        <w:spacing w:after="240"/>
        <w:ind w:left="567" w:hanging="567"/>
        <w:contextualSpacing w:val="0"/>
        <w:rPr>
          <w:lang w:val="en-GB"/>
        </w:rPr>
      </w:pPr>
      <w:r w:rsidRPr="00216DBB">
        <w:rPr>
          <w:lang w:val="en-GB"/>
        </w:rPr>
        <w:t>that Recommendation ITU-R M.585</w:t>
      </w:r>
      <w:r w:rsidR="006E422E" w:rsidRPr="00216DBB">
        <w:rPr>
          <w:lang w:val="en-GB"/>
        </w:rPr>
        <w:t xml:space="preserve"> “Assignment and use of identities in the maritime mobile service”</w:t>
      </w:r>
      <w:r w:rsidRPr="00216DBB">
        <w:rPr>
          <w:lang w:val="en-GB"/>
        </w:rPr>
        <w:t xml:space="preserve"> </w:t>
      </w:r>
      <w:r w:rsidR="003F41B5">
        <w:rPr>
          <w:lang w:val="en-GB"/>
        </w:rPr>
        <w:fldChar w:fldCharType="begin"/>
      </w:r>
      <w:r w:rsidR="003F41B5">
        <w:rPr>
          <w:lang w:val="en-GB"/>
        </w:rPr>
        <w:instrText xml:space="preserve"> REF _Ref94786443 \r \h </w:instrText>
      </w:r>
      <w:r w:rsidR="003F41B5">
        <w:rPr>
          <w:lang w:val="en-GB"/>
        </w:rPr>
      </w:r>
      <w:r w:rsidR="003F41B5">
        <w:rPr>
          <w:lang w:val="en-GB"/>
        </w:rPr>
        <w:fldChar w:fldCharType="separate"/>
      </w:r>
      <w:r w:rsidR="003F41B5">
        <w:rPr>
          <w:lang w:val="en-GB"/>
        </w:rPr>
        <w:t>[4]</w:t>
      </w:r>
      <w:r w:rsidR="003F41B5">
        <w:rPr>
          <w:lang w:val="en-GB"/>
        </w:rPr>
        <w:fldChar w:fldCharType="end"/>
      </w:r>
      <w:r w:rsidR="006B1D15" w:rsidRPr="00216DBB">
        <w:rPr>
          <w:lang w:val="en-GB"/>
        </w:rPr>
        <w:t xml:space="preserve"> </w:t>
      </w:r>
      <w:r w:rsidR="006805F0" w:rsidRPr="00216DBB">
        <w:rPr>
          <w:lang w:val="en-GB"/>
        </w:rPr>
        <w:t>describes the use of identities for AMRD Group A (MAtoN and</w:t>
      </w:r>
      <w:r w:rsidR="0034580E" w:rsidRPr="00216DBB">
        <w:rPr>
          <w:lang w:val="en-GB"/>
        </w:rPr>
        <w:t xml:space="preserve"> MOB using VHF</w:t>
      </w:r>
      <w:r w:rsidR="006805F0" w:rsidRPr="00216DBB">
        <w:rPr>
          <w:lang w:val="en-GB"/>
        </w:rPr>
        <w:t xml:space="preserve"> </w:t>
      </w:r>
      <w:r w:rsidR="00926B06" w:rsidRPr="00216DBB">
        <w:rPr>
          <w:lang w:val="en-GB"/>
        </w:rPr>
        <w:t xml:space="preserve">DSC </w:t>
      </w:r>
      <w:r w:rsidR="0034580E" w:rsidRPr="00216DBB">
        <w:rPr>
          <w:lang w:val="en-GB"/>
        </w:rPr>
        <w:t>(</w:t>
      </w:r>
      <w:r w:rsidR="006805F0" w:rsidRPr="00216DBB">
        <w:rPr>
          <w:lang w:val="en-GB"/>
        </w:rPr>
        <w:t>Class M</w:t>
      </w:r>
      <w:r w:rsidR="0034580E" w:rsidRPr="00216DBB">
        <w:rPr>
          <w:lang w:val="en-GB"/>
        </w:rPr>
        <w:t>)</w:t>
      </w:r>
      <w:r w:rsidR="006805F0" w:rsidRPr="00216DBB">
        <w:rPr>
          <w:lang w:val="en-GB"/>
        </w:rPr>
        <w:t xml:space="preserve">) and AMRD Group B; </w:t>
      </w:r>
    </w:p>
    <w:p w14:paraId="253DB6EC" w14:textId="5D08C4E9" w:rsidR="00E65E22" w:rsidRPr="00216DBB" w:rsidRDefault="00E65E22" w:rsidP="00E65E22">
      <w:pPr>
        <w:pStyle w:val="ECCParagraph"/>
        <w:numPr>
          <w:ilvl w:val="0"/>
          <w:numId w:val="17"/>
        </w:numPr>
        <w:ind w:left="567" w:hanging="567"/>
      </w:pPr>
      <w:r w:rsidRPr="00216DBB">
        <w:t xml:space="preserve">that in EU/EFTA countries the radio equipment that is under the scope of this </w:t>
      </w:r>
      <w:r w:rsidR="00244FEE">
        <w:t xml:space="preserve">ECC </w:t>
      </w:r>
      <w:r w:rsidRPr="00216DBB">
        <w:t>Decision shall comply with the RE Directive.</w:t>
      </w:r>
      <w:r w:rsidR="00AA0F9A" w:rsidRPr="00216DBB">
        <w:t xml:space="preserve"> </w:t>
      </w:r>
      <w:r w:rsidRPr="00216DBB">
        <w:t>Conformity with the essential requirements of the RE Directive may be demonstrated by compliance with the applicable harmonised European standard(s)</w:t>
      </w:r>
      <w:r w:rsidR="000E7967" w:rsidRPr="00216DBB">
        <w:t>, cited in the Official Journal (OJ) of the European Union,</w:t>
      </w:r>
      <w:r w:rsidRPr="00216DBB">
        <w:t xml:space="preserve"> or by using the other conformity assessment procedures set out in the RE Directive</w:t>
      </w:r>
      <w:r w:rsidR="00AA0F9A" w:rsidRPr="00216DBB">
        <w:t>;</w:t>
      </w:r>
    </w:p>
    <w:p w14:paraId="4B9F3401" w14:textId="19584F80" w:rsidR="006C03D0" w:rsidRPr="00216DBB" w:rsidRDefault="005F7AD5" w:rsidP="006C03D0">
      <w:pPr>
        <w:pStyle w:val="ECCParagraph"/>
        <w:rPr>
          <w:color w:val="D2232A"/>
        </w:rPr>
      </w:pPr>
      <w:r w:rsidRPr="00216DBB">
        <w:rPr>
          <w:i/>
          <w:color w:val="D2232A"/>
        </w:rPr>
        <w:t>DECIDES</w:t>
      </w:r>
    </w:p>
    <w:p w14:paraId="359AF403" w14:textId="3DB02BA5" w:rsidR="006C03D0" w:rsidRPr="00216DBB" w:rsidRDefault="00A41673" w:rsidP="00E73D39">
      <w:pPr>
        <w:pStyle w:val="NumberedList"/>
        <w:spacing w:after="120"/>
      </w:pPr>
      <w:r w:rsidRPr="00216DBB">
        <w:t xml:space="preserve">that the </w:t>
      </w:r>
      <w:r w:rsidR="00F32EE8" w:rsidRPr="00216DBB">
        <w:rPr>
          <w:b/>
        </w:rPr>
        <w:t>purpose of this ECC</w:t>
      </w:r>
      <w:r w:rsidRPr="00216DBB">
        <w:rPr>
          <w:b/>
        </w:rPr>
        <w:t xml:space="preserve"> Decision</w:t>
      </w:r>
      <w:r w:rsidRPr="00216DBB">
        <w:t xml:space="preserve"> is to:</w:t>
      </w:r>
    </w:p>
    <w:p w14:paraId="148FF547" w14:textId="2775FF4D" w:rsidR="00A41673" w:rsidRPr="00216DBB" w:rsidRDefault="00A41673" w:rsidP="00A41673">
      <w:pPr>
        <w:pStyle w:val="NumberedList"/>
        <w:numPr>
          <w:ilvl w:val="0"/>
          <w:numId w:val="22"/>
        </w:numPr>
      </w:pPr>
      <w:r w:rsidRPr="00216DBB">
        <w:t xml:space="preserve">harmonise the use of the frequency </w:t>
      </w:r>
      <w:r w:rsidR="00585D6C">
        <w:t>ranges</w:t>
      </w:r>
      <w:r w:rsidR="0009386F">
        <w:t xml:space="preserve"> for AMRD</w:t>
      </w:r>
      <w:r w:rsidR="009A2B3E" w:rsidRPr="00216DBB">
        <w:t xml:space="preserve"> equipment operating in the VHF maritime mobile band</w:t>
      </w:r>
      <w:r w:rsidR="00AA0F9A" w:rsidRPr="00216DBB">
        <w:t>,</w:t>
      </w:r>
    </w:p>
    <w:p w14:paraId="71C164A1" w14:textId="10699085" w:rsidR="00A41673" w:rsidRPr="00216DBB" w:rsidRDefault="004A4B0C" w:rsidP="00A41673">
      <w:pPr>
        <w:pStyle w:val="NumberedList"/>
        <w:numPr>
          <w:ilvl w:val="0"/>
          <w:numId w:val="22"/>
        </w:numPr>
      </w:pPr>
      <w:r w:rsidRPr="00216DBB">
        <w:t>enhance</w:t>
      </w:r>
      <w:r w:rsidR="009A2B3E" w:rsidRPr="00216DBB">
        <w:t xml:space="preserve"> the safety of navigation and to ensure the integrity of the GMDSS</w:t>
      </w:r>
      <w:r w:rsidR="0034738F" w:rsidRPr="00216DBB">
        <w:t xml:space="preserve"> and AIS</w:t>
      </w:r>
      <w:r w:rsidR="00AA0F9A" w:rsidRPr="00216DBB">
        <w:t>,</w:t>
      </w:r>
    </w:p>
    <w:p w14:paraId="009C08D7" w14:textId="128AAE7D" w:rsidR="009A2B3E" w:rsidRPr="00216DBB" w:rsidRDefault="009A2B3E" w:rsidP="00A41673">
      <w:pPr>
        <w:pStyle w:val="NumberedList"/>
        <w:numPr>
          <w:ilvl w:val="0"/>
          <w:numId w:val="22"/>
        </w:numPr>
      </w:pPr>
      <w:r w:rsidRPr="00216DBB">
        <w:t xml:space="preserve">ensure </w:t>
      </w:r>
      <w:r w:rsidR="004A4B0C" w:rsidRPr="00216DBB">
        <w:t xml:space="preserve">the </w:t>
      </w:r>
      <w:r w:rsidR="007C2AC4" w:rsidRPr="00216DBB">
        <w:t xml:space="preserve">efficient and </w:t>
      </w:r>
      <w:r w:rsidRPr="00216DBB">
        <w:t>effective usage of spectrum</w:t>
      </w:r>
      <w:r w:rsidR="00AA0F9A" w:rsidRPr="00216DBB">
        <w:t>,</w:t>
      </w:r>
    </w:p>
    <w:p w14:paraId="57849AC8" w14:textId="555F39CB" w:rsidR="009E4E45" w:rsidRPr="00216DBB" w:rsidRDefault="009E4E45" w:rsidP="00A41673">
      <w:pPr>
        <w:pStyle w:val="NumberedList"/>
        <w:numPr>
          <w:ilvl w:val="0"/>
          <w:numId w:val="21"/>
        </w:numPr>
      </w:pPr>
      <w:r w:rsidRPr="00216DBB">
        <w:t>establish a common time limit for tolerat</w:t>
      </w:r>
      <w:r w:rsidR="00D0402F" w:rsidRPr="00216DBB">
        <w:t>ing</w:t>
      </w:r>
      <w:r w:rsidRPr="00216DBB">
        <w:t xml:space="preserve"> </w:t>
      </w:r>
      <w:r w:rsidR="00D0402F" w:rsidRPr="00216DBB">
        <w:t xml:space="preserve">the </w:t>
      </w:r>
      <w:r w:rsidRPr="00216DBB">
        <w:t>us</w:t>
      </w:r>
      <w:r w:rsidR="00D0402F" w:rsidRPr="00216DBB">
        <w:t>e of</w:t>
      </w:r>
      <w:r w:rsidRPr="00216DBB">
        <w:t xml:space="preserve"> AIS</w:t>
      </w:r>
      <w:r w:rsidR="0019253E" w:rsidRPr="00216DBB">
        <w:t xml:space="preserve"> </w:t>
      </w:r>
      <w:r w:rsidRPr="00216DBB">
        <w:t>1 and AIS</w:t>
      </w:r>
      <w:r w:rsidR="0019253E" w:rsidRPr="00216DBB">
        <w:t xml:space="preserve"> </w:t>
      </w:r>
      <w:r w:rsidRPr="00216DBB">
        <w:t xml:space="preserve">2 by AMRD </w:t>
      </w:r>
      <w:r w:rsidR="00D0402F" w:rsidRPr="00216DBB">
        <w:t xml:space="preserve">that </w:t>
      </w:r>
      <w:r w:rsidRPr="00216DBB">
        <w:t>are not in accordance with Recommendation ITU-R M.2135</w:t>
      </w:r>
      <w:r w:rsidR="006B1D15" w:rsidRPr="00216DBB">
        <w:t xml:space="preserve"> </w:t>
      </w:r>
      <w:r w:rsidR="003F41B5">
        <w:fldChar w:fldCharType="begin"/>
      </w:r>
      <w:r w:rsidR="003F41B5">
        <w:instrText xml:space="preserve"> REF _Ref94785715 \r \h </w:instrText>
      </w:r>
      <w:r w:rsidR="003F41B5">
        <w:fldChar w:fldCharType="separate"/>
      </w:r>
      <w:r w:rsidR="003F41B5">
        <w:t>[1]</w:t>
      </w:r>
      <w:r w:rsidR="003F41B5">
        <w:fldChar w:fldCharType="end"/>
      </w:r>
      <w:r w:rsidR="00AA0F9A" w:rsidRPr="00216DBB">
        <w:t>;</w:t>
      </w:r>
    </w:p>
    <w:p w14:paraId="2CAB0C16" w14:textId="63A3EB97" w:rsidR="006C03D0" w:rsidRPr="00216DBB" w:rsidRDefault="00412E32" w:rsidP="00E73D39">
      <w:pPr>
        <w:pStyle w:val="NumberedList"/>
        <w:spacing w:after="120"/>
      </w:pPr>
      <w:r w:rsidRPr="00216DBB">
        <w:lastRenderedPageBreak/>
        <w:t>that, for the purpose of th</w:t>
      </w:r>
      <w:r w:rsidR="00F32EE8" w:rsidRPr="00216DBB">
        <w:t>is ECC</w:t>
      </w:r>
      <w:r w:rsidRPr="00216DBB">
        <w:t xml:space="preserve"> Decision, the following </w:t>
      </w:r>
      <w:r w:rsidRPr="00216DBB">
        <w:rPr>
          <w:b/>
        </w:rPr>
        <w:t>definitions</w:t>
      </w:r>
      <w:r w:rsidRPr="00216DBB">
        <w:t xml:space="preserve"> apply:</w:t>
      </w:r>
    </w:p>
    <w:p w14:paraId="38FB6E47" w14:textId="7210D693" w:rsidR="006C03D0" w:rsidRPr="00216DBB" w:rsidRDefault="00B55A9D" w:rsidP="009263B5">
      <w:pPr>
        <w:pStyle w:val="NumberedList"/>
        <w:numPr>
          <w:ilvl w:val="1"/>
          <w:numId w:val="10"/>
        </w:numPr>
      </w:pPr>
      <w:r w:rsidRPr="00216DBB">
        <w:t>a</w:t>
      </w:r>
      <w:r w:rsidR="007658FA" w:rsidRPr="00216DBB">
        <w:t>n AMRD is a mobile station; operating at sea and transmitting independently of a ship station or a coast station</w:t>
      </w:r>
      <w:r w:rsidR="00BB72AB" w:rsidRPr="00216DBB">
        <w:t>,</w:t>
      </w:r>
    </w:p>
    <w:p w14:paraId="20C25BCF" w14:textId="4CA2B095" w:rsidR="006C03D0" w:rsidRPr="00216DBB" w:rsidRDefault="00B55A9D" w:rsidP="009263B5">
      <w:pPr>
        <w:pStyle w:val="NumberedList"/>
        <w:numPr>
          <w:ilvl w:val="1"/>
          <w:numId w:val="10"/>
        </w:numPr>
      </w:pPr>
      <w:r w:rsidRPr="00216DBB">
        <w:t>AMRD Group A enhance the safety of navigation</w:t>
      </w:r>
      <w:r w:rsidR="00BB72AB" w:rsidRPr="00216DBB">
        <w:t>,</w:t>
      </w:r>
    </w:p>
    <w:p w14:paraId="5B48C8A6" w14:textId="46762EB9" w:rsidR="006C03D0" w:rsidRPr="00216DBB" w:rsidRDefault="00B55A9D" w:rsidP="006C03D0">
      <w:pPr>
        <w:pStyle w:val="NumberedList"/>
        <w:numPr>
          <w:ilvl w:val="1"/>
          <w:numId w:val="10"/>
        </w:numPr>
      </w:pPr>
      <w:r w:rsidRPr="00216DBB">
        <w:t>AMRD Group B do not enhance the safety of navigation (AMRD which deliver signals or information which do not concern the navigation of the vessel or do not complement vessel traffic safety)</w:t>
      </w:r>
      <w:r w:rsidR="00BB72AB" w:rsidRPr="00216DBB">
        <w:t>;</w:t>
      </w:r>
    </w:p>
    <w:p w14:paraId="124667D7" w14:textId="57EE8B34" w:rsidR="000F3919" w:rsidRPr="00216DBB" w:rsidRDefault="000F3919" w:rsidP="00E73D39">
      <w:pPr>
        <w:pStyle w:val="NumberedList"/>
        <w:spacing w:after="120"/>
      </w:pPr>
      <w:r w:rsidRPr="00216DBB">
        <w:t xml:space="preserve">that CEPT </w:t>
      </w:r>
      <w:r w:rsidRPr="00216DBB">
        <w:rPr>
          <w:b/>
        </w:rPr>
        <w:t>administrations shall</w:t>
      </w:r>
      <w:r w:rsidRPr="00216DBB">
        <w:t>:</w:t>
      </w:r>
      <w:r w:rsidR="00EF4418" w:rsidRPr="00216DBB">
        <w:t xml:space="preserve"> </w:t>
      </w:r>
    </w:p>
    <w:p w14:paraId="24744A40" w14:textId="17FDA6D3" w:rsidR="000C2D74" w:rsidRPr="00216DBB" w:rsidRDefault="000C2D74" w:rsidP="00BB72AB">
      <w:pPr>
        <w:pStyle w:val="NumberedList"/>
        <w:numPr>
          <w:ilvl w:val="0"/>
          <w:numId w:val="24"/>
        </w:numPr>
        <w:tabs>
          <w:tab w:val="clear" w:pos="397"/>
          <w:tab w:val="num" w:pos="709"/>
        </w:tabs>
        <w:ind w:left="709" w:hanging="283"/>
      </w:pPr>
      <w:r w:rsidRPr="00216DBB">
        <w:t xml:space="preserve">designate and make available </w:t>
      </w:r>
      <w:r w:rsidR="00C97719">
        <w:t>C</w:t>
      </w:r>
      <w:r w:rsidRPr="00216DBB">
        <w:t>hannels 70, AIS 1 and AIS 2 of RR Appendix 18 for AMRD Group A</w:t>
      </w:r>
      <w:r w:rsidR="00BB72AB" w:rsidRPr="00216DBB">
        <w:t>,</w:t>
      </w:r>
    </w:p>
    <w:p w14:paraId="1C5137F8" w14:textId="78F5A8AB" w:rsidR="000C2D74" w:rsidRPr="00216DBB" w:rsidRDefault="000C2D74" w:rsidP="000C2D74">
      <w:pPr>
        <w:pStyle w:val="NumberedList"/>
        <w:numPr>
          <w:ilvl w:val="0"/>
          <w:numId w:val="24"/>
        </w:numPr>
        <w:tabs>
          <w:tab w:val="clear" w:pos="397"/>
          <w:tab w:val="num" w:pos="709"/>
        </w:tabs>
        <w:ind w:left="709" w:hanging="283"/>
      </w:pPr>
      <w:r w:rsidRPr="00216DBB">
        <w:t xml:space="preserve">designate and make available </w:t>
      </w:r>
      <w:r w:rsidR="00C97719">
        <w:t>C</w:t>
      </w:r>
      <w:r w:rsidRPr="00216DBB">
        <w:t>hannel 2006 of RR Appendix 18 for AMRD Group B</w:t>
      </w:r>
      <w:r w:rsidR="00BB72AB" w:rsidRPr="00216DBB">
        <w:t>,</w:t>
      </w:r>
    </w:p>
    <w:p w14:paraId="649164E1" w14:textId="5994FE05" w:rsidR="00366A1E" w:rsidRPr="00216DBB" w:rsidRDefault="00366A1E" w:rsidP="00561118">
      <w:pPr>
        <w:pStyle w:val="NumberedList"/>
        <w:numPr>
          <w:ilvl w:val="0"/>
          <w:numId w:val="24"/>
        </w:numPr>
        <w:tabs>
          <w:tab w:val="clear" w:pos="397"/>
          <w:tab w:val="num" w:pos="709"/>
        </w:tabs>
        <w:ind w:left="709" w:hanging="283"/>
      </w:pPr>
      <w:r w:rsidRPr="00216DBB">
        <w:t xml:space="preserve">ensure </w:t>
      </w:r>
      <w:r w:rsidR="00FD15B9" w:rsidRPr="00216DBB">
        <w:t xml:space="preserve">that </w:t>
      </w:r>
      <w:r w:rsidR="00725D72" w:rsidRPr="00216DBB">
        <w:t xml:space="preserve">all </w:t>
      </w:r>
      <w:r w:rsidRPr="00216DBB">
        <w:t xml:space="preserve">AMRD comply with the conditions specified in </w:t>
      </w:r>
      <w:r w:rsidR="00C97719">
        <w:fldChar w:fldCharType="begin"/>
      </w:r>
      <w:r w:rsidR="00C97719">
        <w:instrText xml:space="preserve"> REF _Ref98745832 \r \h </w:instrText>
      </w:r>
      <w:r w:rsidR="00C97719">
        <w:fldChar w:fldCharType="separate"/>
      </w:r>
      <w:r w:rsidR="00C97719">
        <w:t>A</w:t>
      </w:r>
      <w:r w:rsidR="00BF1810">
        <w:t>nnex</w:t>
      </w:r>
      <w:r w:rsidR="00C97719">
        <w:t xml:space="preserve"> 1</w:t>
      </w:r>
      <w:r w:rsidR="00C97719">
        <w:fldChar w:fldCharType="end"/>
      </w:r>
      <w:r w:rsidR="00B51A28">
        <w:t xml:space="preserve">, </w:t>
      </w:r>
      <w:r w:rsidR="00B51A28">
        <w:fldChar w:fldCharType="begin"/>
      </w:r>
      <w:r w:rsidR="00B51A28">
        <w:instrText xml:space="preserve"> REF _Ref98745847 \r \h </w:instrText>
      </w:r>
      <w:r w:rsidR="00B51A28">
        <w:fldChar w:fldCharType="separate"/>
      </w:r>
      <w:r w:rsidR="00B51A28">
        <w:t>A</w:t>
      </w:r>
      <w:r w:rsidR="00BF1810">
        <w:t>nnex</w:t>
      </w:r>
      <w:r w:rsidR="00B51A28">
        <w:t xml:space="preserve"> 2</w:t>
      </w:r>
      <w:r w:rsidR="00B51A28">
        <w:fldChar w:fldCharType="end"/>
      </w:r>
      <w:r w:rsidR="00BE6A3D">
        <w:t xml:space="preserve"> and </w:t>
      </w:r>
      <w:r w:rsidR="00B51A28">
        <w:fldChar w:fldCharType="begin"/>
      </w:r>
      <w:r w:rsidR="00B51A28">
        <w:instrText xml:space="preserve"> REF _Ref98745850 \r \h </w:instrText>
      </w:r>
      <w:r w:rsidR="00B51A28">
        <w:fldChar w:fldCharType="separate"/>
      </w:r>
      <w:r w:rsidR="00B51A28">
        <w:t>A</w:t>
      </w:r>
      <w:r w:rsidR="00BF1810">
        <w:t>nnex</w:t>
      </w:r>
      <w:r w:rsidR="00B51A28">
        <w:t xml:space="preserve"> 3</w:t>
      </w:r>
      <w:r w:rsidR="00B51A28">
        <w:fldChar w:fldCharType="end"/>
      </w:r>
      <w:r w:rsidR="00BB72AB" w:rsidRPr="00216DBB">
        <w:t>,</w:t>
      </w:r>
    </w:p>
    <w:p w14:paraId="30CD1A48" w14:textId="52BA382D" w:rsidR="00D8391E" w:rsidRPr="00216DBB" w:rsidRDefault="00CE6859" w:rsidP="007E23E4">
      <w:pPr>
        <w:pStyle w:val="NumberedList"/>
        <w:numPr>
          <w:ilvl w:val="0"/>
          <w:numId w:val="24"/>
        </w:numPr>
        <w:tabs>
          <w:tab w:val="clear" w:pos="397"/>
          <w:tab w:val="num" w:pos="709"/>
        </w:tabs>
        <w:ind w:left="709" w:hanging="283"/>
      </w:pPr>
      <w:r w:rsidRPr="00216DBB">
        <w:t xml:space="preserve">allow for </w:t>
      </w:r>
      <w:r w:rsidR="00D8391E" w:rsidRPr="00216DBB">
        <w:t>temporary carriage and temporary operation of AMRD by foreign visitors</w:t>
      </w:r>
      <w:r w:rsidRPr="00216DBB">
        <w:t xml:space="preserve"> from other CEPT countries</w:t>
      </w:r>
      <w:r w:rsidR="0007447F" w:rsidRPr="00216DBB">
        <w:t xml:space="preserve">, </w:t>
      </w:r>
      <w:r w:rsidR="009450E3">
        <w:t>for equipment in compliance with</w:t>
      </w:r>
      <w:r w:rsidRPr="00216DBB">
        <w:t xml:space="preserve"> this ECC Decision</w:t>
      </w:r>
      <w:r w:rsidR="00BB72AB" w:rsidRPr="00216DBB">
        <w:t>;</w:t>
      </w:r>
    </w:p>
    <w:p w14:paraId="4F255D73" w14:textId="7841CEF4" w:rsidR="00315EBC" w:rsidRPr="00216DBB" w:rsidRDefault="00713DBA">
      <w:pPr>
        <w:pStyle w:val="NumberedList"/>
      </w:pPr>
      <w:r w:rsidRPr="00216DBB">
        <w:t xml:space="preserve">that CEPT administrations shall ensure </w:t>
      </w:r>
      <w:r w:rsidR="009E5458" w:rsidRPr="00216DBB">
        <w:t>the integrity of GMDSS and AIS</w:t>
      </w:r>
      <w:r w:rsidRPr="00216DBB">
        <w:t>;</w:t>
      </w:r>
    </w:p>
    <w:p w14:paraId="06E1177C" w14:textId="6EEB883C" w:rsidR="00713DBA" w:rsidRPr="00216DBB" w:rsidRDefault="00713DBA" w:rsidP="006C03D0">
      <w:pPr>
        <w:pStyle w:val="NumberedList"/>
      </w:pPr>
      <w:r w:rsidRPr="00216DBB">
        <w:t xml:space="preserve">that this Decision </w:t>
      </w:r>
      <w:r w:rsidRPr="00216DBB">
        <w:rPr>
          <w:b/>
        </w:rPr>
        <w:t>enters into force</w:t>
      </w:r>
      <w:r w:rsidRPr="00216DBB">
        <w:t xml:space="preserve"> on </w:t>
      </w:r>
      <w:r w:rsidR="00CB2947">
        <w:t>1 July</w:t>
      </w:r>
      <w:r w:rsidR="00D90B0A" w:rsidRPr="00216DBB">
        <w:t xml:space="preserve"> </w:t>
      </w:r>
      <w:r w:rsidR="00072236" w:rsidRPr="00216DBB">
        <w:t>2022</w:t>
      </w:r>
      <w:r w:rsidRPr="00216DBB">
        <w:t>;</w:t>
      </w:r>
    </w:p>
    <w:p w14:paraId="044E95D1" w14:textId="21B80E36" w:rsidR="00713DBA" w:rsidRPr="00216DBB" w:rsidRDefault="00D90B0A" w:rsidP="006C03D0">
      <w:pPr>
        <w:pStyle w:val="NumberedList"/>
      </w:pPr>
      <w:r w:rsidRPr="00216DBB">
        <w:t>that the preferred</w:t>
      </w:r>
      <w:r w:rsidR="00713DBA" w:rsidRPr="00216DBB">
        <w:t xml:space="preserve"> </w:t>
      </w:r>
      <w:r w:rsidR="00713DBA" w:rsidRPr="00216DBB">
        <w:rPr>
          <w:b/>
        </w:rPr>
        <w:t>date for implementation</w:t>
      </w:r>
      <w:r w:rsidR="00713DBA" w:rsidRPr="00216DBB">
        <w:t xml:space="preserve"> of this Decision shall be </w:t>
      </w:r>
      <w:r w:rsidR="00CB2947">
        <w:t>1 January</w:t>
      </w:r>
      <w:r w:rsidRPr="00216DBB">
        <w:t xml:space="preserve"> </w:t>
      </w:r>
      <w:r w:rsidR="00072236" w:rsidRPr="00216DBB">
        <w:t>202</w:t>
      </w:r>
      <w:r w:rsidR="00CB2947">
        <w:t>3</w:t>
      </w:r>
      <w:r w:rsidR="00713DBA" w:rsidRPr="00216DBB">
        <w:t>;</w:t>
      </w:r>
    </w:p>
    <w:p w14:paraId="2F3BA769" w14:textId="61ECA67B" w:rsidR="00072236" w:rsidRPr="00216DBB" w:rsidRDefault="00072236" w:rsidP="006C03D0">
      <w:pPr>
        <w:pStyle w:val="NumberedList"/>
      </w:pPr>
      <w:r w:rsidRPr="00216DBB">
        <w:t>that CEPT administrations shall ensure that this Decision is brought to the attention of the relevant maritime authorities;</w:t>
      </w:r>
    </w:p>
    <w:p w14:paraId="55D61504" w14:textId="25E66ED2" w:rsidR="006C03D0" w:rsidRPr="00216DBB" w:rsidRDefault="00713DBA" w:rsidP="00D90B0A">
      <w:pPr>
        <w:pStyle w:val="NumberedList"/>
        <w:keepNext/>
      </w:pPr>
      <w:r w:rsidRPr="00216DBB">
        <w:t xml:space="preserve">that CEPT administrations shall communicate the </w:t>
      </w:r>
      <w:r w:rsidRPr="00216DBB">
        <w:rPr>
          <w:b/>
        </w:rPr>
        <w:t>national measures</w:t>
      </w:r>
      <w:r w:rsidRPr="00216DBB">
        <w:t xml:space="preserve"> implementing this Decision to the </w:t>
      </w:r>
      <w:smartTag w:uri="urn:schemas-microsoft-com:office:smarttags" w:element="stockticker">
        <w:r w:rsidRPr="00216DBB">
          <w:t>ECC</w:t>
        </w:r>
      </w:smartTag>
      <w:r w:rsidRPr="00216DBB">
        <w:t xml:space="preserve"> Chairman and the Office when th</w:t>
      </w:r>
      <w:r w:rsidR="00F32EE8" w:rsidRPr="00216DBB">
        <w:t>is ECC</w:t>
      </w:r>
      <w:r w:rsidRPr="00216DBB">
        <w:t xml:space="preserve"> Decision is nationally implemented.</w:t>
      </w:r>
    </w:p>
    <w:p w14:paraId="10F12D19" w14:textId="77777777" w:rsidR="001C46EA" w:rsidRPr="00216DBB" w:rsidRDefault="001C46EA" w:rsidP="00D90B0A">
      <w:pPr>
        <w:pStyle w:val="ECCParagraph"/>
        <w:keepNext/>
      </w:pPr>
    </w:p>
    <w:p w14:paraId="0F5BC81D" w14:textId="77777777" w:rsidR="001C46EA" w:rsidRPr="00216DBB" w:rsidRDefault="001C46EA" w:rsidP="00D90B0A">
      <w:pPr>
        <w:pStyle w:val="ECCParagraph"/>
        <w:keepNext/>
        <w:rPr>
          <w:i/>
          <w:color w:val="D2232A"/>
        </w:rPr>
      </w:pPr>
      <w:r w:rsidRPr="00216DBB">
        <w:rPr>
          <w:i/>
          <w:color w:val="D2232A"/>
        </w:rPr>
        <w:t xml:space="preserve">Note: </w:t>
      </w:r>
    </w:p>
    <w:p w14:paraId="4F18C492" w14:textId="7935446D" w:rsidR="001C46EA" w:rsidRPr="00216DBB" w:rsidRDefault="001C46EA" w:rsidP="00D90B0A">
      <w:pPr>
        <w:pStyle w:val="ECCParagraph"/>
        <w:keepNext/>
      </w:pPr>
      <w:r w:rsidRPr="00216DBB">
        <w:rPr>
          <w:i/>
          <w:szCs w:val="20"/>
        </w:rPr>
        <w:t xml:space="preserve">Please check the Office documentation database </w:t>
      </w:r>
      <w:hyperlink r:id="rId8" w:history="1">
        <w:r w:rsidR="002A20FE" w:rsidRPr="00216DBB">
          <w:rPr>
            <w:rStyle w:val="Hyperlink"/>
            <w:i/>
            <w:szCs w:val="20"/>
          </w:rPr>
          <w:t>https://docdb.cept.org/</w:t>
        </w:r>
      </w:hyperlink>
      <w:r w:rsidRPr="00216DBB">
        <w:rPr>
          <w:i/>
          <w:szCs w:val="20"/>
        </w:rPr>
        <w:t xml:space="preserve"> for the up to date position on the implementation of this and other </w:t>
      </w:r>
      <w:smartTag w:uri="urn:schemas-microsoft-com:office:smarttags" w:element="stockticker">
        <w:r w:rsidRPr="00216DBB">
          <w:rPr>
            <w:i/>
            <w:szCs w:val="20"/>
          </w:rPr>
          <w:t>ECC</w:t>
        </w:r>
      </w:smartTag>
      <w:r w:rsidRPr="00216DBB">
        <w:rPr>
          <w:i/>
          <w:szCs w:val="20"/>
        </w:rPr>
        <w:t xml:space="preserve"> Decisions.</w:t>
      </w:r>
    </w:p>
    <w:p w14:paraId="0439EC2F" w14:textId="5A081043" w:rsidR="006C03D0" w:rsidRPr="00216DBB" w:rsidRDefault="00AB4F76" w:rsidP="00555266">
      <w:pPr>
        <w:pStyle w:val="ECCAnnex-heading1"/>
      </w:pPr>
      <w:bookmarkStart w:id="2" w:name="_Ref98745832"/>
      <w:r w:rsidRPr="00216DBB">
        <w:lastRenderedPageBreak/>
        <w:t>Categories and examples of</w:t>
      </w:r>
      <w:r w:rsidR="00B93F85" w:rsidRPr="00216DBB">
        <w:t xml:space="preserve"> autonomous maritime radio devices</w:t>
      </w:r>
      <w:bookmarkEnd w:id="2"/>
      <w:r w:rsidR="00B93F85" w:rsidRPr="00216DBB">
        <w:t xml:space="preserve"> </w:t>
      </w:r>
    </w:p>
    <w:p w14:paraId="3D268411" w14:textId="1278B6F9" w:rsidR="006C03D0" w:rsidRPr="00216DBB" w:rsidRDefault="00AB4F76" w:rsidP="005F7AD5">
      <w:pPr>
        <w:pStyle w:val="ECCAnnexheading2"/>
        <w:rPr>
          <w:lang w:val="en-GB"/>
        </w:rPr>
      </w:pPr>
      <w:r w:rsidRPr="00216DBB">
        <w:rPr>
          <w:lang w:val="en-GB"/>
        </w:rPr>
        <w:t>AMRD Group A</w:t>
      </w:r>
    </w:p>
    <w:p w14:paraId="3C1016FE" w14:textId="0EF413A7" w:rsidR="00AB4F76" w:rsidRPr="00216DBB" w:rsidRDefault="00AB4F76" w:rsidP="00AB4F76">
      <w:pPr>
        <w:pStyle w:val="ECCParagraph"/>
        <w:rPr>
          <w:u w:val="single"/>
        </w:rPr>
      </w:pPr>
      <w:r w:rsidRPr="00216DBB">
        <w:rPr>
          <w:u w:val="single"/>
        </w:rPr>
        <w:t>Mobile AtoN</w:t>
      </w:r>
    </w:p>
    <w:p w14:paraId="0A449951" w14:textId="2ACBC93F" w:rsidR="00F75B85" w:rsidRPr="00216DBB" w:rsidRDefault="00F75B85" w:rsidP="00AB4F76">
      <w:pPr>
        <w:pStyle w:val="ECCParagraph"/>
      </w:pPr>
      <w:r w:rsidRPr="00216DBB">
        <w:t>A marine Aid to Navigation (AtoN) is a device or system external to vessels that is designed and operated to enhance the safe and efficient navigation of vessels. It is provided to help a mariner determine position and course, to warn of dangers or of obstructions, or to give advice about the location of a best or preferred route.</w:t>
      </w:r>
    </w:p>
    <w:p w14:paraId="0DE4EA96" w14:textId="3B899148" w:rsidR="006404B7" w:rsidRPr="00216DBB" w:rsidRDefault="00BD3F78" w:rsidP="00BD3F78">
      <w:pPr>
        <w:pStyle w:val="ECCParagraph"/>
      </w:pPr>
      <w:r w:rsidRPr="00216DBB">
        <w:t>A Mobile Aid to Navigation (MAtoN) shall be defined as a non</w:t>
      </w:r>
      <w:r w:rsidRPr="00216DBB">
        <w:rPr>
          <w:rFonts w:ascii="Cambria Math" w:hAnsi="Cambria Math" w:cs="Cambria Math"/>
        </w:rPr>
        <w:t>‐</w:t>
      </w:r>
      <w:r w:rsidRPr="00216DBB">
        <w:t>fixed</w:t>
      </w:r>
      <w:r w:rsidRPr="00216DBB">
        <w:rPr>
          <w:rFonts w:cs="Arial"/>
        </w:rPr>
        <w:t xml:space="preserve"> </w:t>
      </w:r>
      <w:r w:rsidRPr="00216DBB">
        <w:t>or</w:t>
      </w:r>
      <w:r w:rsidRPr="00216DBB">
        <w:rPr>
          <w:rFonts w:cs="Arial"/>
        </w:rPr>
        <w:t xml:space="preserve"> </w:t>
      </w:r>
      <w:r w:rsidRPr="00216DBB">
        <w:t>un</w:t>
      </w:r>
      <w:r w:rsidRPr="00216DBB">
        <w:rPr>
          <w:rFonts w:ascii="Cambria Math" w:hAnsi="Cambria Math" w:cs="Cambria Math"/>
        </w:rPr>
        <w:t>‐</w:t>
      </w:r>
      <w:r w:rsidRPr="00216DBB">
        <w:t>moored</w:t>
      </w:r>
      <w:r w:rsidRPr="00216DBB">
        <w:rPr>
          <w:rFonts w:cs="Arial"/>
        </w:rPr>
        <w:t xml:space="preserve"> </w:t>
      </w:r>
      <w:r w:rsidRPr="00216DBB">
        <w:t>AtoN but</w:t>
      </w:r>
      <w:r w:rsidRPr="00216DBB">
        <w:rPr>
          <w:rFonts w:cs="Arial"/>
        </w:rPr>
        <w:t xml:space="preserve"> </w:t>
      </w:r>
      <w:r w:rsidRPr="00216DBB">
        <w:t>does</w:t>
      </w:r>
      <w:r w:rsidRPr="00216DBB">
        <w:rPr>
          <w:rFonts w:cs="Arial"/>
        </w:rPr>
        <w:t xml:space="preserve"> </w:t>
      </w:r>
      <w:r w:rsidRPr="00216DBB">
        <w:t>not</w:t>
      </w:r>
      <w:r w:rsidRPr="00216DBB">
        <w:rPr>
          <w:rFonts w:cs="Arial"/>
        </w:rPr>
        <w:t xml:space="preserve"> </w:t>
      </w:r>
      <w:r w:rsidRPr="00216DBB">
        <w:t>include</w:t>
      </w:r>
      <w:r w:rsidRPr="00216DBB">
        <w:rPr>
          <w:rFonts w:cs="Arial"/>
        </w:rPr>
        <w:t xml:space="preserve"> </w:t>
      </w:r>
      <w:r w:rsidRPr="00216DBB">
        <w:t>a</w:t>
      </w:r>
      <w:r w:rsidRPr="00216DBB">
        <w:rPr>
          <w:rFonts w:cs="Arial"/>
        </w:rPr>
        <w:t xml:space="preserve"> </w:t>
      </w:r>
      <w:r w:rsidRPr="00216DBB">
        <w:t>fixed</w:t>
      </w:r>
      <w:r w:rsidRPr="00216DBB">
        <w:rPr>
          <w:rFonts w:cs="Arial"/>
        </w:rPr>
        <w:t xml:space="preserve"> </w:t>
      </w:r>
      <w:r w:rsidRPr="00216DBB">
        <w:t>or</w:t>
      </w:r>
      <w:r w:rsidRPr="00216DBB">
        <w:rPr>
          <w:rFonts w:cs="Arial"/>
        </w:rPr>
        <w:t xml:space="preserve"> </w:t>
      </w:r>
      <w:r w:rsidRPr="00216DBB">
        <w:t>moored buoy that is adrift from station, temporary or otherwise.</w:t>
      </w:r>
    </w:p>
    <w:p w14:paraId="3033429C" w14:textId="0A01C904" w:rsidR="006404B7" w:rsidRPr="00216DBB" w:rsidRDefault="00BD3F78" w:rsidP="00BD3F78">
      <w:pPr>
        <w:pStyle w:val="ECCParagraph"/>
      </w:pPr>
      <w:r w:rsidRPr="00216DBB">
        <w:t>The use of MAtoN should be strictly controlled, authori</w:t>
      </w:r>
      <w:r w:rsidR="002A20FE" w:rsidRPr="00216DBB">
        <w:t>s</w:t>
      </w:r>
      <w:r w:rsidRPr="00216DBB">
        <w:t xml:space="preserve">ed by a competent </w:t>
      </w:r>
      <w:r w:rsidR="00BC6028" w:rsidRPr="00216DBB">
        <w:t>authority,</w:t>
      </w:r>
      <w:r w:rsidRPr="00216DBB">
        <w:t xml:space="preserve"> and only used when risk assessment has determined the requirement and benefit.</w:t>
      </w:r>
    </w:p>
    <w:p w14:paraId="49EC5ECF" w14:textId="41006DDB" w:rsidR="00955DBA" w:rsidRPr="00216DBB" w:rsidRDefault="00BC6028" w:rsidP="00955DBA">
      <w:pPr>
        <w:pStyle w:val="ECCParagraph"/>
      </w:pPr>
      <w:r w:rsidRPr="00216DBB">
        <w:t xml:space="preserve">In any case a competent authority of an administration is responsible to </w:t>
      </w:r>
      <w:r w:rsidR="00225B59" w:rsidRPr="00216DBB">
        <w:t xml:space="preserve">permit the </w:t>
      </w:r>
      <w:r w:rsidRPr="00216DBB">
        <w:t>establish</w:t>
      </w:r>
      <w:r w:rsidR="00225B59" w:rsidRPr="00216DBB">
        <w:t>ment of</w:t>
      </w:r>
      <w:r w:rsidRPr="00216DBB">
        <w:t xml:space="preserve"> a MAtoN. </w:t>
      </w:r>
    </w:p>
    <w:p w14:paraId="25E97CD7" w14:textId="48163F61" w:rsidR="00221428" w:rsidRPr="00216DBB" w:rsidRDefault="00221428" w:rsidP="00955DBA">
      <w:pPr>
        <w:pStyle w:val="ECCParagraph"/>
      </w:pPr>
      <w:r w:rsidRPr="00216DBB">
        <w:t>T</w:t>
      </w:r>
      <w:r w:rsidR="00743FFF" w:rsidRPr="00216DBB">
        <w:t>he AIS operation of MAtoN is described in Recommendation ITU-R M.1371</w:t>
      </w:r>
      <w:r w:rsidR="006B1D15" w:rsidRPr="00216DBB">
        <w:t xml:space="preserve"> </w:t>
      </w:r>
      <w:r w:rsidR="003F41B5">
        <w:fldChar w:fldCharType="begin"/>
      </w:r>
      <w:r w:rsidR="003F41B5">
        <w:instrText xml:space="preserve"> REF _Ref94786407 \r \h </w:instrText>
      </w:r>
      <w:r w:rsidR="003F41B5">
        <w:fldChar w:fldCharType="separate"/>
      </w:r>
      <w:r w:rsidR="003F41B5">
        <w:t>[3]</w:t>
      </w:r>
      <w:r w:rsidR="003F41B5">
        <w:fldChar w:fldCharType="end"/>
      </w:r>
      <w:r w:rsidR="00743FFF" w:rsidRPr="00216DBB">
        <w:t>. The identification code of a MAtoN is defined in Recommendation ITU-R M.585</w:t>
      </w:r>
      <w:r w:rsidR="006B1D15" w:rsidRPr="00216DBB">
        <w:t xml:space="preserve"> </w:t>
      </w:r>
      <w:r w:rsidR="003F41B5">
        <w:fldChar w:fldCharType="begin"/>
      </w:r>
      <w:r w:rsidR="003F41B5">
        <w:instrText xml:space="preserve"> REF _Ref94786443 \r \h </w:instrText>
      </w:r>
      <w:r w:rsidR="003F41B5">
        <w:fldChar w:fldCharType="separate"/>
      </w:r>
      <w:r w:rsidR="003F41B5">
        <w:t>[4]</w:t>
      </w:r>
      <w:r w:rsidR="003F41B5">
        <w:fldChar w:fldCharType="end"/>
      </w:r>
      <w:r w:rsidR="00743FFF" w:rsidRPr="00216DBB">
        <w:t>.</w:t>
      </w:r>
    </w:p>
    <w:p w14:paraId="0C2D083B" w14:textId="77777777" w:rsidR="002A20FE" w:rsidRPr="00216DBB" w:rsidRDefault="002A20FE" w:rsidP="00955DBA">
      <w:pPr>
        <w:pStyle w:val="ECCParagraph"/>
      </w:pPr>
    </w:p>
    <w:p w14:paraId="05651429" w14:textId="159B65A5" w:rsidR="00AB4F76" w:rsidRPr="00216DBB" w:rsidRDefault="00AB4F76" w:rsidP="00AB4F76">
      <w:pPr>
        <w:pStyle w:val="ECCParagraph"/>
        <w:rPr>
          <w:u w:val="single"/>
        </w:rPr>
      </w:pPr>
      <w:r w:rsidRPr="00216DBB">
        <w:rPr>
          <w:u w:val="single"/>
        </w:rPr>
        <w:t xml:space="preserve">MOB </w:t>
      </w:r>
      <w:r w:rsidR="0040197A" w:rsidRPr="00216DBB">
        <w:rPr>
          <w:u w:val="single"/>
        </w:rPr>
        <w:t xml:space="preserve">using VHF </w:t>
      </w:r>
      <w:r w:rsidR="00533634" w:rsidRPr="00216DBB">
        <w:rPr>
          <w:u w:val="single"/>
        </w:rPr>
        <w:t xml:space="preserve">DSC </w:t>
      </w:r>
      <w:r w:rsidR="0040197A" w:rsidRPr="00216DBB">
        <w:rPr>
          <w:u w:val="single"/>
        </w:rPr>
        <w:t>(</w:t>
      </w:r>
      <w:r w:rsidRPr="00216DBB">
        <w:rPr>
          <w:u w:val="single"/>
        </w:rPr>
        <w:t>Class M</w:t>
      </w:r>
      <w:r w:rsidR="0040197A" w:rsidRPr="00216DBB">
        <w:rPr>
          <w:u w:val="single"/>
        </w:rPr>
        <w:t>)</w:t>
      </w:r>
    </w:p>
    <w:p w14:paraId="13EF80F9" w14:textId="0009E389" w:rsidR="00CF1B6B" w:rsidRPr="00216DBB" w:rsidRDefault="00CF1B6B" w:rsidP="00AB4F76">
      <w:pPr>
        <w:pStyle w:val="ECCParagraph"/>
      </w:pPr>
      <w:r w:rsidRPr="00216DBB">
        <w:t xml:space="preserve">A MOB </w:t>
      </w:r>
      <w:r w:rsidR="0040197A" w:rsidRPr="00216DBB">
        <w:t xml:space="preserve">using VHF </w:t>
      </w:r>
      <w:r w:rsidR="00533634" w:rsidRPr="00216DBB">
        <w:t xml:space="preserve">DSC </w:t>
      </w:r>
      <w:r w:rsidR="0040197A" w:rsidRPr="00216DBB">
        <w:t>(</w:t>
      </w:r>
      <w:r w:rsidRPr="00216DBB">
        <w:t>Class M</w:t>
      </w:r>
      <w:r w:rsidR="0040197A" w:rsidRPr="00216DBB">
        <w:t>)</w:t>
      </w:r>
      <w:r w:rsidRPr="00216DBB">
        <w:t xml:space="preserve"> </w:t>
      </w:r>
      <w:r w:rsidR="00FC7078" w:rsidRPr="00216DBB">
        <w:t xml:space="preserve">device </w:t>
      </w:r>
      <w:r w:rsidRPr="00216DBB">
        <w:t xml:space="preserve">is </w:t>
      </w:r>
      <w:r w:rsidR="00221428" w:rsidRPr="00216DBB">
        <w:t xml:space="preserve">personal radio equipment using VHF digital selective calling (DSC) for alerting and AIS for tracking. </w:t>
      </w:r>
    </w:p>
    <w:p w14:paraId="619B5685" w14:textId="2D05E0F2" w:rsidR="00CF1B6B" w:rsidRPr="00216DBB" w:rsidRDefault="000915CA" w:rsidP="00AB4F76">
      <w:pPr>
        <w:pStyle w:val="ECCParagraph"/>
      </w:pPr>
      <w:r w:rsidRPr="00216DBB">
        <w:t xml:space="preserve">A MOB </w:t>
      </w:r>
      <w:r w:rsidR="0040197A" w:rsidRPr="00216DBB">
        <w:t xml:space="preserve">using VHF </w:t>
      </w:r>
      <w:r w:rsidR="00533634" w:rsidRPr="00216DBB">
        <w:t xml:space="preserve">DSC </w:t>
      </w:r>
      <w:r w:rsidR="00905DC5" w:rsidRPr="00216DBB">
        <w:t>(</w:t>
      </w:r>
      <w:r w:rsidRPr="00216DBB">
        <w:t>Class M</w:t>
      </w:r>
      <w:r w:rsidR="00905DC5" w:rsidRPr="00216DBB">
        <w:t>)</w:t>
      </w:r>
      <w:r w:rsidR="00FC7078" w:rsidRPr="00216DBB">
        <w:t xml:space="preserve"> device</w:t>
      </w:r>
      <w:r w:rsidRPr="00216DBB">
        <w:t xml:space="preserve"> is fitted with an internal electronic position fixing device</w:t>
      </w:r>
      <w:r w:rsidR="00FC7078" w:rsidRPr="00216DBB">
        <w:t xml:space="preserve"> and</w:t>
      </w:r>
      <w:r w:rsidRPr="00216DBB">
        <w:t xml:space="preserve"> a transceiver operating on VHF DSC </w:t>
      </w:r>
      <w:r w:rsidR="003763E3">
        <w:t>C</w:t>
      </w:r>
      <w:r w:rsidRPr="00216DBB">
        <w:t>hannel 70 and AIS.</w:t>
      </w:r>
    </w:p>
    <w:p w14:paraId="48CB3799" w14:textId="21BCA33B" w:rsidR="000915CA" w:rsidRPr="00216DBB" w:rsidRDefault="000915CA" w:rsidP="00AB4F76">
      <w:pPr>
        <w:pStyle w:val="ECCParagraph"/>
      </w:pPr>
      <w:r w:rsidRPr="00216DBB">
        <w:t xml:space="preserve">A MOB </w:t>
      </w:r>
      <w:r w:rsidR="00905DC5" w:rsidRPr="00216DBB">
        <w:t xml:space="preserve">using VHF </w:t>
      </w:r>
      <w:r w:rsidR="00533634" w:rsidRPr="00216DBB">
        <w:t xml:space="preserve">DSC </w:t>
      </w:r>
      <w:r w:rsidR="00905DC5" w:rsidRPr="00216DBB">
        <w:t>(</w:t>
      </w:r>
      <w:r w:rsidRPr="00216DBB">
        <w:t>Class M</w:t>
      </w:r>
      <w:r w:rsidR="00905DC5" w:rsidRPr="00216DBB">
        <w:t>)</w:t>
      </w:r>
      <w:r w:rsidR="00FC7078" w:rsidRPr="00216DBB">
        <w:t xml:space="preserve"> device</w:t>
      </w:r>
      <w:r w:rsidRPr="00216DBB">
        <w:t xml:space="preserve"> must be capable of operating as an open loop/all station device or as a closed loop/designated station device.</w:t>
      </w:r>
    </w:p>
    <w:p w14:paraId="51C8C24F" w14:textId="5880E267" w:rsidR="000915CA" w:rsidRPr="00216DBB" w:rsidRDefault="000915CA" w:rsidP="00AB4F76">
      <w:pPr>
        <w:pStyle w:val="ECCParagraph"/>
      </w:pPr>
      <w:r w:rsidRPr="00216DBB">
        <w:t>The DSC operation of MOB</w:t>
      </w:r>
      <w:r w:rsidR="00905DC5" w:rsidRPr="00216DBB">
        <w:t xml:space="preserve"> using VHF</w:t>
      </w:r>
      <w:r w:rsidRPr="00216DBB">
        <w:t xml:space="preserve"> </w:t>
      </w:r>
      <w:r w:rsidR="00533634" w:rsidRPr="00216DBB">
        <w:t xml:space="preserve">DSC </w:t>
      </w:r>
      <w:r w:rsidR="00905DC5" w:rsidRPr="00216DBB">
        <w:t>(</w:t>
      </w:r>
      <w:r w:rsidRPr="00216DBB">
        <w:t>Class M</w:t>
      </w:r>
      <w:r w:rsidR="00905DC5" w:rsidRPr="00216DBB">
        <w:t>)</w:t>
      </w:r>
      <w:r w:rsidRPr="00216DBB">
        <w:t xml:space="preserve"> </w:t>
      </w:r>
      <w:r w:rsidR="00FC7078" w:rsidRPr="00216DBB">
        <w:t xml:space="preserve">device </w:t>
      </w:r>
      <w:r w:rsidRPr="00216DBB">
        <w:t>is described in Recommendation ITU-R M.493</w:t>
      </w:r>
      <w:r w:rsidR="006B1D15" w:rsidRPr="00216DBB">
        <w:t xml:space="preserve"> </w:t>
      </w:r>
      <w:r w:rsidR="003F41B5">
        <w:fldChar w:fldCharType="begin"/>
      </w:r>
      <w:r w:rsidR="003F41B5">
        <w:instrText xml:space="preserve"> REF _Ref94786426 \r \h </w:instrText>
      </w:r>
      <w:r w:rsidR="003F41B5">
        <w:fldChar w:fldCharType="separate"/>
      </w:r>
      <w:r w:rsidR="003F41B5">
        <w:t>[2]</w:t>
      </w:r>
      <w:r w:rsidR="003F41B5">
        <w:fldChar w:fldCharType="end"/>
      </w:r>
      <w:r w:rsidRPr="00216DBB">
        <w:t xml:space="preserve">. The AIS </w:t>
      </w:r>
      <w:r w:rsidR="00D73ABE" w:rsidRPr="00216DBB">
        <w:t xml:space="preserve">operation of MOB </w:t>
      </w:r>
      <w:r w:rsidR="00905DC5" w:rsidRPr="00216DBB">
        <w:t xml:space="preserve">using VHF </w:t>
      </w:r>
      <w:r w:rsidR="00533634" w:rsidRPr="00216DBB">
        <w:t xml:space="preserve">DSC </w:t>
      </w:r>
      <w:r w:rsidR="00905DC5" w:rsidRPr="00216DBB">
        <w:t>(</w:t>
      </w:r>
      <w:r w:rsidR="00D73ABE" w:rsidRPr="00216DBB">
        <w:t>Class M</w:t>
      </w:r>
      <w:r w:rsidR="00905DC5" w:rsidRPr="00216DBB">
        <w:t>)</w:t>
      </w:r>
      <w:r w:rsidR="00D73ABE" w:rsidRPr="00216DBB">
        <w:t xml:space="preserve"> </w:t>
      </w:r>
      <w:r w:rsidR="00FC7078" w:rsidRPr="00216DBB">
        <w:t xml:space="preserve">device </w:t>
      </w:r>
      <w:r w:rsidR="00D73ABE" w:rsidRPr="00216DBB">
        <w:t>is described in Recommendation ITU-R M.1371</w:t>
      </w:r>
      <w:r w:rsidR="006B1D15" w:rsidRPr="00216DBB">
        <w:t xml:space="preserve"> </w:t>
      </w:r>
      <w:r w:rsidR="003F41B5">
        <w:fldChar w:fldCharType="begin"/>
      </w:r>
      <w:r w:rsidR="003F41B5">
        <w:instrText xml:space="preserve"> REF _Ref94786407 \r \h </w:instrText>
      </w:r>
      <w:r w:rsidR="003F41B5">
        <w:fldChar w:fldCharType="separate"/>
      </w:r>
      <w:r w:rsidR="003F41B5">
        <w:t>[3]</w:t>
      </w:r>
      <w:r w:rsidR="003F41B5">
        <w:fldChar w:fldCharType="end"/>
      </w:r>
      <w:r w:rsidR="00D73ABE" w:rsidRPr="00216DBB">
        <w:t xml:space="preserve">. The identification code of MOB </w:t>
      </w:r>
      <w:r w:rsidR="00905DC5" w:rsidRPr="00216DBB">
        <w:t xml:space="preserve">using VHF </w:t>
      </w:r>
      <w:r w:rsidR="00533634" w:rsidRPr="00216DBB">
        <w:t xml:space="preserve">DSC </w:t>
      </w:r>
      <w:r w:rsidR="00905DC5" w:rsidRPr="00216DBB">
        <w:t>(</w:t>
      </w:r>
      <w:r w:rsidR="00D73ABE" w:rsidRPr="00216DBB">
        <w:t>Class M</w:t>
      </w:r>
      <w:r w:rsidR="00905DC5" w:rsidRPr="00216DBB">
        <w:t>)</w:t>
      </w:r>
      <w:r w:rsidR="00D73ABE" w:rsidRPr="00216DBB">
        <w:t xml:space="preserve"> </w:t>
      </w:r>
      <w:r w:rsidR="00FC7078" w:rsidRPr="00216DBB">
        <w:t xml:space="preserve">device </w:t>
      </w:r>
      <w:r w:rsidR="00D73ABE" w:rsidRPr="00216DBB">
        <w:t>is defined in Recommendation ITU-R M.585</w:t>
      </w:r>
      <w:r w:rsidR="006B1D15" w:rsidRPr="00216DBB">
        <w:t xml:space="preserve"> </w:t>
      </w:r>
      <w:r w:rsidR="003F41B5">
        <w:fldChar w:fldCharType="begin"/>
      </w:r>
      <w:r w:rsidR="003F41B5">
        <w:instrText xml:space="preserve"> REF _Ref94786443 \r \h </w:instrText>
      </w:r>
      <w:r w:rsidR="003F41B5">
        <w:fldChar w:fldCharType="separate"/>
      </w:r>
      <w:r w:rsidR="003F41B5">
        <w:t>[4]</w:t>
      </w:r>
      <w:r w:rsidR="003F41B5">
        <w:fldChar w:fldCharType="end"/>
      </w:r>
      <w:r w:rsidR="00D73ABE" w:rsidRPr="00216DBB">
        <w:t>.</w:t>
      </w:r>
    </w:p>
    <w:p w14:paraId="564613C5" w14:textId="77777777" w:rsidR="002A20FE" w:rsidRPr="00216DBB" w:rsidRDefault="002A20FE" w:rsidP="00AB4F76">
      <w:pPr>
        <w:pStyle w:val="ECCParagraph"/>
        <w:rPr>
          <w:strike/>
        </w:rPr>
      </w:pPr>
    </w:p>
    <w:p w14:paraId="1315ACC9" w14:textId="5531D2AD" w:rsidR="002E00EC" w:rsidRPr="00216DBB" w:rsidRDefault="002E00EC" w:rsidP="00AB4F76">
      <w:pPr>
        <w:pStyle w:val="ECCParagraph"/>
        <w:rPr>
          <w:u w:val="single"/>
        </w:rPr>
      </w:pPr>
      <w:r w:rsidRPr="00216DBB">
        <w:rPr>
          <w:u w:val="single"/>
        </w:rPr>
        <w:t xml:space="preserve">Monitoring </w:t>
      </w:r>
      <w:r w:rsidR="00EC2331" w:rsidRPr="00216DBB">
        <w:rPr>
          <w:u w:val="single"/>
        </w:rPr>
        <w:t xml:space="preserve">of </w:t>
      </w:r>
      <w:r w:rsidRPr="00216DBB">
        <w:rPr>
          <w:u w:val="single"/>
        </w:rPr>
        <w:t>DSC</w:t>
      </w:r>
      <w:r w:rsidR="00EC2331" w:rsidRPr="00216DBB">
        <w:rPr>
          <w:u w:val="single"/>
        </w:rPr>
        <w:t xml:space="preserve"> and</w:t>
      </w:r>
      <w:r w:rsidRPr="00216DBB">
        <w:rPr>
          <w:u w:val="single"/>
        </w:rPr>
        <w:t xml:space="preserve"> AIS</w:t>
      </w:r>
      <w:r w:rsidR="00EC2331" w:rsidRPr="00216DBB">
        <w:rPr>
          <w:u w:val="single"/>
        </w:rPr>
        <w:t xml:space="preserve"> frequencies</w:t>
      </w:r>
    </w:p>
    <w:p w14:paraId="770156A2" w14:textId="0A3DAFB9" w:rsidR="00EC2331" w:rsidRPr="00216DBB" w:rsidRDefault="000E51BC" w:rsidP="00AB4F76">
      <w:pPr>
        <w:pStyle w:val="ECCParagraph"/>
      </w:pPr>
      <w:r w:rsidRPr="00216DBB">
        <w:t xml:space="preserve">ITU </w:t>
      </w:r>
      <w:r w:rsidR="00EC2331" w:rsidRPr="00216DBB">
        <w:t>R</w:t>
      </w:r>
      <w:r w:rsidRPr="00216DBB">
        <w:t xml:space="preserve">adio </w:t>
      </w:r>
      <w:r w:rsidR="00EC2331" w:rsidRPr="00216DBB">
        <w:t>R</w:t>
      </w:r>
      <w:r w:rsidRPr="00216DBB">
        <w:t>egulations</w:t>
      </w:r>
      <w:r w:rsidR="002A20FE" w:rsidRPr="00216DBB">
        <w:t>,</w:t>
      </w:r>
      <w:r w:rsidR="00EC2331" w:rsidRPr="00216DBB">
        <w:t xml:space="preserve"> Article 31</w:t>
      </w:r>
      <w:r w:rsidR="002A20FE" w:rsidRPr="00216DBB">
        <w:t>,</w:t>
      </w:r>
      <w:r w:rsidR="00EC2331" w:rsidRPr="00216DBB">
        <w:t xml:space="preserve"> Section III “watchkeeping” </w:t>
      </w:r>
      <w:r w:rsidR="002A20FE" w:rsidRPr="00216DBB">
        <w:fldChar w:fldCharType="begin"/>
      </w:r>
      <w:r w:rsidR="002A20FE" w:rsidRPr="00216DBB">
        <w:instrText xml:space="preserve"> REF _Ref94785851 \r \h </w:instrText>
      </w:r>
      <w:r w:rsidR="002A20FE" w:rsidRPr="00216DBB">
        <w:fldChar w:fldCharType="separate"/>
      </w:r>
      <w:r w:rsidR="002A20FE" w:rsidRPr="00216DBB">
        <w:t>[6]</w:t>
      </w:r>
      <w:r w:rsidR="002A20FE" w:rsidRPr="00216DBB">
        <w:fldChar w:fldCharType="end"/>
      </w:r>
      <w:r w:rsidR="002A20FE" w:rsidRPr="00216DBB">
        <w:t xml:space="preserve"> </w:t>
      </w:r>
      <w:r w:rsidRPr="00216DBB">
        <w:t xml:space="preserve">obligate coast stations and ship stations to </w:t>
      </w:r>
      <w:r w:rsidR="00EC2331" w:rsidRPr="00216DBB">
        <w:t xml:space="preserve">monitor </w:t>
      </w:r>
      <w:r w:rsidR="006516E0" w:rsidRPr="00216DBB">
        <w:t>the</w:t>
      </w:r>
      <w:r w:rsidRPr="00216DBB">
        <w:t xml:space="preserve"> GMDSS VHF DSC channel 70 (156.525 MHz). </w:t>
      </w:r>
      <w:r w:rsidR="006516E0" w:rsidRPr="00216DBB">
        <w:t>This regulation</w:t>
      </w:r>
      <w:r w:rsidRPr="00216DBB">
        <w:t xml:space="preserve"> ensures</w:t>
      </w:r>
      <w:r w:rsidR="006516E0" w:rsidRPr="00216DBB">
        <w:t xml:space="preserve"> that in any case the DSC alert of a MOB </w:t>
      </w:r>
      <w:r w:rsidR="00905DC5" w:rsidRPr="00216DBB">
        <w:t>using VHF DSC (</w:t>
      </w:r>
      <w:r w:rsidR="006516E0" w:rsidRPr="00216DBB">
        <w:t>Class M</w:t>
      </w:r>
      <w:r w:rsidR="00905DC5" w:rsidRPr="00216DBB">
        <w:t>)</w:t>
      </w:r>
      <w:r w:rsidR="006516E0" w:rsidRPr="00216DBB">
        <w:t xml:space="preserve"> </w:t>
      </w:r>
      <w:r w:rsidR="00FC7078" w:rsidRPr="00216DBB">
        <w:t xml:space="preserve">device </w:t>
      </w:r>
      <w:r w:rsidR="006516E0" w:rsidRPr="00216DBB">
        <w:t>will be received by the relevant ships in the vicinity and/or the responsible MRCC.</w:t>
      </w:r>
    </w:p>
    <w:p w14:paraId="71D259A5" w14:textId="0560F6C3" w:rsidR="00FC7078" w:rsidRPr="00216DBB" w:rsidRDefault="004674CB" w:rsidP="00AB4F76">
      <w:pPr>
        <w:pStyle w:val="ECCParagraph"/>
      </w:pPr>
      <w:r w:rsidRPr="00216DBB">
        <w:t>SOLAS</w:t>
      </w:r>
      <w:r w:rsidR="002A20FE" w:rsidRPr="00216DBB">
        <w:t>,</w:t>
      </w:r>
      <w:r w:rsidR="006B1D15" w:rsidRPr="00216DBB">
        <w:t xml:space="preserve"> </w:t>
      </w:r>
      <w:r w:rsidRPr="00216DBB">
        <w:t>Chapter V</w:t>
      </w:r>
      <w:r w:rsidR="002A20FE" w:rsidRPr="00216DBB">
        <w:t>,</w:t>
      </w:r>
      <w:r w:rsidRPr="00216DBB">
        <w:t xml:space="preserve"> Regulation 19 </w:t>
      </w:r>
      <w:r w:rsidR="002A20FE" w:rsidRPr="00216DBB">
        <w:fldChar w:fldCharType="begin"/>
      </w:r>
      <w:r w:rsidR="002A20FE" w:rsidRPr="00216DBB">
        <w:instrText xml:space="preserve"> REF _Ref94785884 \r \h </w:instrText>
      </w:r>
      <w:r w:rsidR="002A20FE" w:rsidRPr="00216DBB">
        <w:fldChar w:fldCharType="separate"/>
      </w:r>
      <w:r w:rsidR="002A20FE" w:rsidRPr="00216DBB">
        <w:t>[7]</w:t>
      </w:r>
      <w:r w:rsidR="002A20FE" w:rsidRPr="00216DBB">
        <w:fldChar w:fldCharType="end"/>
      </w:r>
      <w:r w:rsidR="002A20FE" w:rsidRPr="00216DBB">
        <w:t xml:space="preserve"> </w:t>
      </w:r>
      <w:r w:rsidRPr="00216DBB">
        <w:t xml:space="preserve">obligates to be fitted with AIS all ships of 300 gross tonnage and upwards engaged on international voyages and cargo </w:t>
      </w:r>
      <w:r w:rsidR="00312108" w:rsidRPr="00216DBB">
        <w:t>ships of 500 gross tonnage and upwards not engaged on international voyages and passenger ships irrespective of size</w:t>
      </w:r>
      <w:r w:rsidRPr="00216DBB">
        <w:t>.</w:t>
      </w:r>
      <w:r w:rsidR="00312108" w:rsidRPr="00216DBB">
        <w:t xml:space="preserve"> </w:t>
      </w:r>
    </w:p>
    <w:p w14:paraId="05F3F53B" w14:textId="559367A6" w:rsidR="004674CB" w:rsidRPr="00216DBB" w:rsidRDefault="00312108" w:rsidP="00AB4F76">
      <w:pPr>
        <w:pStyle w:val="ECCParagraph"/>
      </w:pPr>
      <w:r w:rsidRPr="00216DBB">
        <w:t xml:space="preserve">In practice many </w:t>
      </w:r>
      <w:r w:rsidR="00FC7078" w:rsidRPr="00216DBB">
        <w:t>other</w:t>
      </w:r>
      <w:r w:rsidRPr="00216DBB">
        <w:t xml:space="preserve"> </w:t>
      </w:r>
      <w:r w:rsidR="00FC7078" w:rsidRPr="00216DBB">
        <w:t>vessels</w:t>
      </w:r>
      <w:r w:rsidRPr="00216DBB">
        <w:t xml:space="preserve"> are equipped with AIS (e. g. fishing </w:t>
      </w:r>
      <w:r w:rsidR="00864789" w:rsidRPr="00216DBB">
        <w:t>vessels</w:t>
      </w:r>
      <w:r w:rsidRPr="00216DBB">
        <w:t xml:space="preserve"> and pleasure craft). </w:t>
      </w:r>
      <w:r w:rsidR="00511D72" w:rsidRPr="00216DBB">
        <w:t xml:space="preserve">The widespread use of </w:t>
      </w:r>
      <w:r w:rsidR="002F2952" w:rsidRPr="00216DBB">
        <w:t xml:space="preserve">AIS </w:t>
      </w:r>
      <w:r w:rsidR="000963C6" w:rsidRPr="00216DBB">
        <w:t>facilitates</w:t>
      </w:r>
      <w:r w:rsidR="00511D72" w:rsidRPr="00216DBB">
        <w:t xml:space="preserve"> </w:t>
      </w:r>
      <w:r w:rsidR="000963C6" w:rsidRPr="00216DBB">
        <w:t>extensive</w:t>
      </w:r>
      <w:r w:rsidR="00511D72" w:rsidRPr="00216DBB">
        <w:t xml:space="preserve"> </w:t>
      </w:r>
      <w:r w:rsidR="00E7240E" w:rsidRPr="00216DBB">
        <w:t>monitoring</w:t>
      </w:r>
      <w:r w:rsidR="00511D72" w:rsidRPr="00216DBB">
        <w:t xml:space="preserve"> </w:t>
      </w:r>
      <w:r w:rsidR="00317438" w:rsidRPr="00216DBB">
        <w:t xml:space="preserve">of </w:t>
      </w:r>
      <w:r w:rsidR="00511D72" w:rsidRPr="00216DBB">
        <w:t>the</w:t>
      </w:r>
      <w:r w:rsidR="002F2952" w:rsidRPr="00216DBB">
        <w:t xml:space="preserve"> VHF channels AIS 1 and AIS 2 (161.975 MHz and </w:t>
      </w:r>
      <w:r w:rsidR="00386AA1" w:rsidRPr="00216DBB">
        <w:t>162.025</w:t>
      </w:r>
      <w:r w:rsidR="00C80CDE">
        <w:t> </w:t>
      </w:r>
      <w:r w:rsidR="00386AA1" w:rsidRPr="00216DBB">
        <w:t xml:space="preserve">MHz). </w:t>
      </w:r>
    </w:p>
    <w:p w14:paraId="17818E53" w14:textId="77777777" w:rsidR="00BB72AB" w:rsidRPr="00216DBB" w:rsidRDefault="00BB72AB">
      <w:pPr>
        <w:rPr>
          <w:b/>
          <w:caps/>
          <w:lang w:val="en-GB"/>
        </w:rPr>
      </w:pPr>
      <w:r w:rsidRPr="00216DBB">
        <w:rPr>
          <w:lang w:val="en-GB"/>
        </w:rPr>
        <w:br w:type="page"/>
      </w:r>
    </w:p>
    <w:p w14:paraId="0B43E514" w14:textId="78881459" w:rsidR="00AB4F76" w:rsidRPr="00216DBB" w:rsidRDefault="00AB4F76" w:rsidP="00AB4F76">
      <w:pPr>
        <w:pStyle w:val="ECCAnnexheading2"/>
        <w:rPr>
          <w:lang w:val="en-GB"/>
        </w:rPr>
      </w:pPr>
      <w:r w:rsidRPr="00216DBB">
        <w:rPr>
          <w:lang w:val="en-GB"/>
        </w:rPr>
        <w:lastRenderedPageBreak/>
        <w:t>AMRD Group B</w:t>
      </w:r>
    </w:p>
    <w:p w14:paraId="283B9AE4" w14:textId="2250DA91" w:rsidR="00960C34" w:rsidRPr="00216DBB" w:rsidRDefault="00960C34" w:rsidP="00AB4F76">
      <w:pPr>
        <w:pStyle w:val="ECCParagraph"/>
        <w:rPr>
          <w:u w:val="single"/>
        </w:rPr>
      </w:pPr>
      <w:r w:rsidRPr="00216DBB">
        <w:rPr>
          <w:u w:val="single"/>
        </w:rPr>
        <w:t>Examples of applications</w:t>
      </w:r>
    </w:p>
    <w:p w14:paraId="6DB9A15B" w14:textId="391B84E4" w:rsidR="00AB4F76" w:rsidRPr="00216DBB" w:rsidRDefault="00960C34" w:rsidP="00AB4F76">
      <w:pPr>
        <w:pStyle w:val="ECCParagraph"/>
      </w:pPr>
      <w:r w:rsidRPr="00216DBB">
        <w:t xml:space="preserve">Several AMRD applications </w:t>
      </w:r>
      <w:r w:rsidR="00AA1420" w:rsidRPr="00216DBB">
        <w:t>exist</w:t>
      </w:r>
      <w:r w:rsidRPr="00216DBB">
        <w:t xml:space="preserve">, which are not accepted by </w:t>
      </w:r>
      <w:r w:rsidR="004C5C32" w:rsidRPr="00216DBB">
        <w:t xml:space="preserve">the </w:t>
      </w:r>
      <w:r w:rsidRPr="00216DBB">
        <w:t xml:space="preserve">IMO as AMRD Group A. Typical examples are </w:t>
      </w:r>
      <w:r w:rsidR="00AB4F76" w:rsidRPr="00216DBB">
        <w:t xml:space="preserve">MOB (not </w:t>
      </w:r>
      <w:r w:rsidR="00E35051" w:rsidRPr="00216DBB">
        <w:t>using VHF DSC (</w:t>
      </w:r>
      <w:r w:rsidR="00AB4F76" w:rsidRPr="00216DBB">
        <w:t>Class M</w:t>
      </w:r>
      <w:r w:rsidR="00E35051" w:rsidRPr="00216DBB">
        <w:t>)</w:t>
      </w:r>
      <w:r w:rsidR="00AB4F76" w:rsidRPr="00216DBB">
        <w:t xml:space="preserve">), </w:t>
      </w:r>
      <w:r w:rsidR="00966716" w:rsidRPr="00216DBB">
        <w:t xml:space="preserve">personal tracking in windfarms, </w:t>
      </w:r>
      <w:r w:rsidR="00AA1420" w:rsidRPr="00216DBB">
        <w:t xml:space="preserve">helicopter transit, offshore platform, </w:t>
      </w:r>
      <w:r w:rsidRPr="00216DBB">
        <w:t>f</w:t>
      </w:r>
      <w:r w:rsidR="00AB4F76" w:rsidRPr="00216DBB">
        <w:t>ishnet marker</w:t>
      </w:r>
      <w:r w:rsidRPr="00216DBB">
        <w:t xml:space="preserve"> or markers for</w:t>
      </w:r>
      <w:r w:rsidR="00AB4F76" w:rsidRPr="00216DBB">
        <w:t xml:space="preserve"> </w:t>
      </w:r>
      <w:r w:rsidRPr="00216DBB">
        <w:t>d</w:t>
      </w:r>
      <w:r w:rsidR="00AB4F76" w:rsidRPr="00216DBB">
        <w:t>iver</w:t>
      </w:r>
      <w:r w:rsidRPr="00216DBB">
        <w:t>s</w:t>
      </w:r>
      <w:r w:rsidR="00AA1420" w:rsidRPr="00216DBB">
        <w:t>, yacht races</w:t>
      </w:r>
      <w:r w:rsidRPr="00216DBB">
        <w:t xml:space="preserve">. </w:t>
      </w:r>
      <w:r w:rsidR="004C5C32" w:rsidRPr="00216DBB">
        <w:t>O</w:t>
      </w:r>
      <w:r w:rsidRPr="00216DBB">
        <w:t xml:space="preserve">ther applications are </w:t>
      </w:r>
      <w:r w:rsidR="004C5C32" w:rsidRPr="00216DBB">
        <w:t>conceivable</w:t>
      </w:r>
      <w:r w:rsidRPr="00216DBB">
        <w:t>.</w:t>
      </w:r>
      <w:r w:rsidR="00E002A3" w:rsidRPr="00216DBB">
        <w:t xml:space="preserve"> Devices not in accordance with </w:t>
      </w:r>
      <w:r w:rsidR="00E35051" w:rsidRPr="00216DBB">
        <w:t xml:space="preserve">MOB using VHF </w:t>
      </w:r>
      <w:r w:rsidR="00E5716B" w:rsidRPr="00216DBB">
        <w:t xml:space="preserve">DSC </w:t>
      </w:r>
      <w:r w:rsidR="00E35051" w:rsidRPr="00216DBB">
        <w:t>(</w:t>
      </w:r>
      <w:r w:rsidR="00251545" w:rsidRPr="00216DBB">
        <w:t>Class M</w:t>
      </w:r>
      <w:r w:rsidR="00E35051" w:rsidRPr="00216DBB">
        <w:t>)</w:t>
      </w:r>
      <w:r w:rsidR="00251545" w:rsidRPr="00216DBB">
        <w:t xml:space="preserve"> </w:t>
      </w:r>
      <w:r w:rsidR="00E002A3" w:rsidRPr="00216DBB">
        <w:t xml:space="preserve">are </w:t>
      </w:r>
      <w:r w:rsidR="00251545" w:rsidRPr="00216DBB">
        <w:t>categori</w:t>
      </w:r>
      <w:r w:rsidR="00FD3DCF" w:rsidRPr="00216DBB">
        <w:t>s</w:t>
      </w:r>
      <w:r w:rsidR="00251545" w:rsidRPr="00216DBB">
        <w:t xml:space="preserve">ed as AMRD Group B because of a missing </w:t>
      </w:r>
      <w:r w:rsidR="004C5C32" w:rsidRPr="00216DBB">
        <w:t xml:space="preserve">DSC </w:t>
      </w:r>
      <w:r w:rsidR="00251545" w:rsidRPr="00216DBB">
        <w:t xml:space="preserve">alerting function. </w:t>
      </w:r>
      <w:r w:rsidR="004C5C32" w:rsidRPr="00216DBB">
        <w:t xml:space="preserve">These devices </w:t>
      </w:r>
      <w:r w:rsidR="0097248E" w:rsidRPr="00216DBB">
        <w:t>us</w:t>
      </w:r>
      <w:r w:rsidR="00234B79" w:rsidRPr="00216DBB">
        <w:t>e</w:t>
      </w:r>
      <w:r w:rsidR="0097248E" w:rsidRPr="00216DBB">
        <w:t xml:space="preserve"> AIS technology, however</w:t>
      </w:r>
      <w:r w:rsidR="00234B79" w:rsidRPr="00216DBB">
        <w:t>,</w:t>
      </w:r>
      <w:r w:rsidR="0097248E" w:rsidRPr="00216DBB">
        <w:t xml:space="preserve"> channel</w:t>
      </w:r>
      <w:r w:rsidR="00234B79" w:rsidRPr="00216DBB">
        <w:t xml:space="preserve"> 2006 (160.900 MHz)</w:t>
      </w:r>
      <w:r w:rsidR="0097248E" w:rsidRPr="00216DBB">
        <w:t xml:space="preserve"> is </w:t>
      </w:r>
      <w:r w:rsidR="00444F64" w:rsidRPr="00216DBB">
        <w:t xml:space="preserve">currently </w:t>
      </w:r>
      <w:r w:rsidR="0097248E" w:rsidRPr="00216DBB">
        <w:t>available</w:t>
      </w:r>
      <w:r w:rsidR="004C5C32" w:rsidRPr="00216DBB">
        <w:t xml:space="preserve"> and will require special </w:t>
      </w:r>
      <w:r w:rsidR="00234B79" w:rsidRPr="00216DBB">
        <w:t>receiving equipment.</w:t>
      </w:r>
    </w:p>
    <w:p w14:paraId="6D71E87D" w14:textId="74656FC4" w:rsidR="00251545" w:rsidRPr="00216DBB" w:rsidRDefault="0097248E" w:rsidP="00AB4F76">
      <w:pPr>
        <w:pStyle w:val="ECCParagraph"/>
      </w:pPr>
      <w:r w:rsidRPr="00216DBB">
        <w:t>WRC-19 decided that AMRD Group B must be operated on VHF channel 2006 (160.900 MHz).</w:t>
      </w:r>
      <w:r w:rsidR="00615FF4" w:rsidRPr="00216DBB">
        <w:t xml:space="preserve"> </w:t>
      </w:r>
      <w:r w:rsidR="00890453" w:rsidRPr="00216DBB">
        <w:t>Using t</w:t>
      </w:r>
      <w:r w:rsidR="00615FF4" w:rsidRPr="00216DBB">
        <w:t xml:space="preserve">his frequency </w:t>
      </w:r>
      <w:r w:rsidR="00890453" w:rsidRPr="00216DBB">
        <w:t>separates AMRD Group B from other</w:t>
      </w:r>
      <w:r w:rsidR="00615FF4" w:rsidRPr="00216DBB">
        <w:t xml:space="preserve"> AIS application</w:t>
      </w:r>
      <w:r w:rsidR="00890453" w:rsidRPr="00216DBB">
        <w:t>s</w:t>
      </w:r>
      <w:r w:rsidR="00615FF4" w:rsidRPr="00216DBB">
        <w:t xml:space="preserve"> </w:t>
      </w:r>
      <w:r w:rsidR="002D23E0" w:rsidRPr="00216DBB">
        <w:t xml:space="preserve">to avoid </w:t>
      </w:r>
      <w:r w:rsidR="00615FF4" w:rsidRPr="00216DBB">
        <w:t>interfere</w:t>
      </w:r>
      <w:r w:rsidR="00890453" w:rsidRPr="00216DBB">
        <w:t>nce</w:t>
      </w:r>
      <w:r w:rsidR="00615FF4" w:rsidRPr="00216DBB">
        <w:t>.</w:t>
      </w:r>
    </w:p>
    <w:p w14:paraId="76A78ECB" w14:textId="59299609" w:rsidR="004D5FFB" w:rsidRPr="00216DBB" w:rsidRDefault="004D5FFB" w:rsidP="00AB4F76">
      <w:pPr>
        <w:pStyle w:val="ECCParagraph"/>
      </w:pPr>
    </w:p>
    <w:p w14:paraId="59F4C4A8" w14:textId="216D602F" w:rsidR="00AB4F76" w:rsidRPr="00216DBB" w:rsidRDefault="00AB4F76" w:rsidP="00AB4F76">
      <w:pPr>
        <w:pStyle w:val="ECCParagraph"/>
        <w:rPr>
          <w:u w:val="single"/>
        </w:rPr>
      </w:pPr>
      <w:r w:rsidRPr="00216DBB">
        <w:rPr>
          <w:u w:val="single"/>
        </w:rPr>
        <w:t xml:space="preserve">Monitoring </w:t>
      </w:r>
      <w:r w:rsidR="00605E59" w:rsidRPr="00216DBB">
        <w:rPr>
          <w:u w:val="single"/>
        </w:rPr>
        <w:t>VHF channel 2006 (</w:t>
      </w:r>
      <w:r w:rsidRPr="00216DBB">
        <w:rPr>
          <w:u w:val="single"/>
        </w:rPr>
        <w:t>160.900 MHz</w:t>
      </w:r>
      <w:r w:rsidR="00605E59" w:rsidRPr="00216DBB">
        <w:rPr>
          <w:u w:val="single"/>
        </w:rPr>
        <w:t>)</w:t>
      </w:r>
    </w:p>
    <w:p w14:paraId="209CD110" w14:textId="0896B6B4" w:rsidR="003944E7" w:rsidRPr="00216DBB" w:rsidRDefault="003944E7" w:rsidP="00AB4F76">
      <w:pPr>
        <w:pStyle w:val="ECCParagraph"/>
      </w:pPr>
      <w:r w:rsidRPr="00216DBB">
        <w:t xml:space="preserve">This channel will not be monitored by general shipping or coast stations </w:t>
      </w:r>
      <w:r w:rsidR="00E80B08" w:rsidRPr="00216DBB">
        <w:t xml:space="preserve">as part </w:t>
      </w:r>
      <w:r w:rsidRPr="00216DBB">
        <w:t>of GMDSS. This channel is designated for AMRD Group B application</w:t>
      </w:r>
      <w:r w:rsidR="00C560D8" w:rsidRPr="00216DBB">
        <w:t>s</w:t>
      </w:r>
      <w:r w:rsidRPr="00216DBB">
        <w:t xml:space="preserve">. This channel </w:t>
      </w:r>
      <w:r w:rsidR="00F25F12" w:rsidRPr="00216DBB">
        <w:t>may</w:t>
      </w:r>
      <w:r w:rsidRPr="00216DBB">
        <w:t xml:space="preserve"> be </w:t>
      </w:r>
      <w:r w:rsidR="00F25F12" w:rsidRPr="00216DBB">
        <w:t>monitored</w:t>
      </w:r>
      <w:r w:rsidRPr="00216DBB">
        <w:t xml:space="preserve"> by e.g. fishermen, divers</w:t>
      </w:r>
      <w:r w:rsidR="00966716" w:rsidRPr="00216DBB">
        <w:t xml:space="preserve">, operators of windfarms, etc. </w:t>
      </w:r>
      <w:r w:rsidR="00F25F12" w:rsidRPr="00216DBB">
        <w:t>Suitable monitoring equipment for channel 2006 requires development.</w:t>
      </w:r>
    </w:p>
    <w:p w14:paraId="38248BF2" w14:textId="3F12A015" w:rsidR="004D5FFB" w:rsidRPr="00216DBB" w:rsidRDefault="004D5FFB" w:rsidP="00AB4F76">
      <w:pPr>
        <w:pStyle w:val="ECCParagraph"/>
      </w:pPr>
    </w:p>
    <w:p w14:paraId="41C38D99" w14:textId="4AED4FCD" w:rsidR="00AB4F76" w:rsidRPr="00216DBB" w:rsidRDefault="00AB4F76" w:rsidP="00555266">
      <w:pPr>
        <w:pStyle w:val="ECCAnnex-heading1"/>
      </w:pPr>
      <w:bookmarkStart w:id="3" w:name="_Ref98745847"/>
      <w:r w:rsidRPr="00216DBB">
        <w:lastRenderedPageBreak/>
        <w:t>Relevant Footnotes of Appendix 18</w:t>
      </w:r>
      <w:r w:rsidR="002437AA" w:rsidRPr="00216DBB">
        <w:t>, cOMMENTS AND REQUIREMENTS</w:t>
      </w:r>
      <w:r w:rsidRPr="00216DBB">
        <w:t xml:space="preserve"> concerning autonomous maritime radio devices (radio Regulations 2020) </w:t>
      </w:r>
      <w:r w:rsidR="00890AAF" w:rsidRPr="00216DBB">
        <w:fldChar w:fldCharType="begin"/>
      </w:r>
      <w:r w:rsidR="00890AAF" w:rsidRPr="00216DBB">
        <w:instrText xml:space="preserve"> REF _Ref94785851 \r \h </w:instrText>
      </w:r>
      <w:r w:rsidR="00890AAF" w:rsidRPr="00216DBB">
        <w:fldChar w:fldCharType="separate"/>
      </w:r>
      <w:r w:rsidR="00890AAF" w:rsidRPr="00216DBB">
        <w:t>[6]</w:t>
      </w:r>
      <w:r w:rsidR="00890AAF" w:rsidRPr="00216DBB">
        <w:fldChar w:fldCharType="end"/>
      </w:r>
      <w:bookmarkEnd w:id="3"/>
    </w:p>
    <w:p w14:paraId="061C02AC" w14:textId="6E7D9788" w:rsidR="00AB4F76" w:rsidRPr="00216DBB" w:rsidRDefault="00AB4F76" w:rsidP="00AB4F76">
      <w:pPr>
        <w:pStyle w:val="ECCAnnexheading2"/>
        <w:rPr>
          <w:lang w:val="en-GB"/>
        </w:rPr>
      </w:pPr>
      <w:r w:rsidRPr="00216DBB">
        <w:rPr>
          <w:lang w:val="en-GB"/>
        </w:rPr>
        <w:t>Footnotes</w:t>
      </w:r>
      <w:r w:rsidR="00F11F61" w:rsidRPr="00216DBB">
        <w:rPr>
          <w:lang w:val="en-GB"/>
        </w:rPr>
        <w:t xml:space="preserve"> and Comments</w:t>
      </w:r>
    </w:p>
    <w:p w14:paraId="7B9F3D06" w14:textId="77777777" w:rsidR="00AB4F76" w:rsidRPr="00216DBB" w:rsidRDefault="00AB4F76" w:rsidP="00AB4F76">
      <w:pPr>
        <w:pStyle w:val="ECCParagraph"/>
        <w:ind w:left="567" w:hanging="567"/>
        <w:rPr>
          <w:rFonts w:cs="Arial"/>
          <w:sz w:val="18"/>
          <w:szCs w:val="18"/>
        </w:rPr>
      </w:pPr>
      <w:r w:rsidRPr="00216DBB">
        <w:rPr>
          <w:rFonts w:cs="Arial"/>
          <w:i/>
          <w:iCs/>
        </w:rPr>
        <w:t>f)</w:t>
      </w:r>
      <w:r w:rsidRPr="00216DBB">
        <w:rPr>
          <w:rFonts w:cs="Arial"/>
        </w:rPr>
        <w:tab/>
        <w:t>The frequencies 156.300 MHz (channel 06), 156.525 MHz (channel 70), 156.800 MHz (channel 16), 161.975 MHz (AIS 1) and 162.025 MHz (AIS 2) may also be used by aircraft stations for the purpose of search and rescue operations and other safety-related communication. The frequencies 156.525 MHz (channel 70), 161.975 MHz (AIS 1) and 162.025 MHz (AIS 2) may also be used by autonomous maritime radio devices Group A that enhance the safety of navigation, using digital selective calling and/or AIS technology. Such use should be in accordance with the most recent version of Recommendation ITU-R M.2135.</w:t>
      </w:r>
      <w:r w:rsidRPr="00216DBB">
        <w:rPr>
          <w:rFonts w:cs="Arial"/>
        </w:rPr>
        <w:tab/>
      </w:r>
      <w:r w:rsidRPr="00216DBB">
        <w:rPr>
          <w:rFonts w:cs="Arial"/>
          <w:sz w:val="18"/>
          <w:szCs w:val="18"/>
        </w:rPr>
        <w:t>(WRC-19)</w:t>
      </w:r>
    </w:p>
    <w:p w14:paraId="176458BC" w14:textId="202B1C34" w:rsidR="00F11F61" w:rsidRPr="00216DBB" w:rsidRDefault="00F11F61" w:rsidP="00F11F61">
      <w:pPr>
        <w:pStyle w:val="ECCParagraph"/>
        <w:rPr>
          <w:u w:val="single"/>
        </w:rPr>
      </w:pPr>
      <w:r w:rsidRPr="00216DBB">
        <w:rPr>
          <w:u w:val="single"/>
        </w:rPr>
        <w:t>Comments:</w:t>
      </w:r>
    </w:p>
    <w:p w14:paraId="7FACD346" w14:textId="4CE4A17F" w:rsidR="00F11F61" w:rsidRPr="00216DBB" w:rsidRDefault="00F11F61" w:rsidP="00F11F61">
      <w:pPr>
        <w:pStyle w:val="ECCParagraph"/>
      </w:pPr>
      <w:r w:rsidRPr="00216DBB">
        <w:t>This footnote deal</w:t>
      </w:r>
      <w:r w:rsidR="00AC0817" w:rsidRPr="00216DBB">
        <w:t>s</w:t>
      </w:r>
      <w:r w:rsidRPr="00216DBB">
        <w:t xml:space="preserve"> with the most important VHF frequencies for general shipping. </w:t>
      </w:r>
      <w:r w:rsidR="00AC0817" w:rsidRPr="00216DBB">
        <w:t>These</w:t>
      </w:r>
      <w:r w:rsidRPr="00216DBB">
        <w:t xml:space="preserve"> frequencies are designated for safety-related communication and for collision avoidance. The operational procedures and the usage of the frequencies are well established in the RR and the relevant ITU Recommendations. </w:t>
      </w:r>
    </w:p>
    <w:p w14:paraId="2432205D" w14:textId="2C2FA1BE" w:rsidR="00F11F61" w:rsidRPr="00216DBB" w:rsidRDefault="00F11F61" w:rsidP="00F11F61">
      <w:pPr>
        <w:pStyle w:val="ECCParagraph"/>
      </w:pPr>
      <w:r w:rsidRPr="00216DBB">
        <w:t xml:space="preserve">AMRD is a new type of station </w:t>
      </w:r>
      <w:r w:rsidR="00B76D09" w:rsidRPr="00216DBB">
        <w:t>that</w:t>
      </w:r>
      <w:r w:rsidRPr="00216DBB">
        <w:t xml:space="preserve"> use frequencies in the VHF maritime mobile band. Following the basic definition of the maritime mobile service given in RR 1.28, the operation of AMRD is not included in this service. In principle the listed frequencies in Appendix 18 are not intended to be used by AMRD.</w:t>
      </w:r>
    </w:p>
    <w:p w14:paraId="3210540C" w14:textId="12FC2CF0" w:rsidR="00F11F61" w:rsidRPr="00216DBB" w:rsidRDefault="00F11F61" w:rsidP="00F11F61">
      <w:pPr>
        <w:pStyle w:val="ECCParagraph"/>
      </w:pPr>
      <w:r w:rsidRPr="00216DBB">
        <w:t xml:space="preserve">WRC-19 </w:t>
      </w:r>
      <w:r w:rsidR="00890AAF" w:rsidRPr="00216DBB">
        <w:fldChar w:fldCharType="begin"/>
      </w:r>
      <w:r w:rsidR="00890AAF" w:rsidRPr="00216DBB">
        <w:instrText xml:space="preserve"> REF _Ref94785851 \r \h </w:instrText>
      </w:r>
      <w:r w:rsidR="00890AAF" w:rsidRPr="00216DBB">
        <w:fldChar w:fldCharType="separate"/>
      </w:r>
      <w:r w:rsidR="00890AAF" w:rsidRPr="00216DBB">
        <w:t>[6]</w:t>
      </w:r>
      <w:r w:rsidR="00890AAF" w:rsidRPr="00216DBB">
        <w:fldChar w:fldCharType="end"/>
      </w:r>
      <w:r w:rsidR="00890AAF" w:rsidRPr="00216DBB">
        <w:t xml:space="preserve"> </w:t>
      </w:r>
      <w:r w:rsidRPr="00216DBB">
        <w:t>concluded to allow AMRD Group A t</w:t>
      </w:r>
      <w:r w:rsidR="00B76D09" w:rsidRPr="00216DBB">
        <w:t>o</w:t>
      </w:r>
      <w:r w:rsidRPr="00216DBB">
        <w:t xml:space="preserve"> use the frequencies 156.525 MHz (channel 70), 161.975</w:t>
      </w:r>
      <w:r w:rsidR="00675CE1">
        <w:t> </w:t>
      </w:r>
      <w:r w:rsidRPr="00216DBB">
        <w:t>MHz (AIS</w:t>
      </w:r>
      <w:r w:rsidR="00890AAF" w:rsidRPr="00216DBB">
        <w:t xml:space="preserve"> </w:t>
      </w:r>
      <w:r w:rsidRPr="00216DBB">
        <w:t>1) and 162.025 MHz (AIS</w:t>
      </w:r>
      <w:r w:rsidR="00890AAF" w:rsidRPr="00216DBB">
        <w:t xml:space="preserve"> </w:t>
      </w:r>
      <w:r w:rsidRPr="00216DBB">
        <w:t xml:space="preserve">2). This </w:t>
      </w:r>
      <w:r w:rsidR="00B76D09" w:rsidRPr="00216DBB">
        <w:t>exception to</w:t>
      </w:r>
      <w:r w:rsidRPr="00216DBB">
        <w:t xml:space="preserve"> the general rules of the maritime mobile service is restricted to Mobile AtoN and MOB </w:t>
      </w:r>
      <w:r w:rsidR="00E35051" w:rsidRPr="00216DBB">
        <w:t xml:space="preserve">using VHF </w:t>
      </w:r>
      <w:r w:rsidR="00A532AB" w:rsidRPr="00216DBB">
        <w:t xml:space="preserve">DSC </w:t>
      </w:r>
      <w:r w:rsidR="00E35051" w:rsidRPr="00216DBB">
        <w:t>(</w:t>
      </w:r>
      <w:r w:rsidRPr="00216DBB">
        <w:t>Class M</w:t>
      </w:r>
      <w:r w:rsidR="00E35051" w:rsidRPr="00216DBB">
        <w:t>)</w:t>
      </w:r>
      <w:r w:rsidRPr="00216DBB">
        <w:t xml:space="preserve">, which are the only AMRD accepted by </w:t>
      </w:r>
      <w:r w:rsidR="00B76D09" w:rsidRPr="00216DBB">
        <w:t xml:space="preserve">the </w:t>
      </w:r>
      <w:r w:rsidRPr="00216DBB">
        <w:t xml:space="preserve">IMO </w:t>
      </w:r>
      <w:r w:rsidR="00B76D09" w:rsidRPr="00216DBB">
        <w:t xml:space="preserve">as </w:t>
      </w:r>
      <w:r w:rsidRPr="00216DBB">
        <w:t xml:space="preserve">enhancing the safety of navigation. </w:t>
      </w:r>
    </w:p>
    <w:p w14:paraId="26F50664" w14:textId="77777777" w:rsidR="00AB4F76" w:rsidRPr="00216DBB" w:rsidRDefault="00AB4F76" w:rsidP="00AB4F76">
      <w:pPr>
        <w:pStyle w:val="ECCParagraph"/>
        <w:rPr>
          <w:rFonts w:cs="Arial"/>
        </w:rPr>
      </w:pPr>
    </w:p>
    <w:p w14:paraId="210303DF" w14:textId="77777777" w:rsidR="00AB4F76" w:rsidRPr="00216DBB" w:rsidRDefault="00AB4F76" w:rsidP="00AB4F76">
      <w:pPr>
        <w:pStyle w:val="ECCParagraph"/>
        <w:ind w:left="567" w:hanging="567"/>
        <w:rPr>
          <w:rFonts w:cs="Arial"/>
        </w:rPr>
      </w:pPr>
      <w:r w:rsidRPr="00216DBB">
        <w:rPr>
          <w:rFonts w:cs="Arial"/>
          <w:i/>
          <w:iCs/>
        </w:rPr>
        <w:t>r)</w:t>
      </w:r>
      <w:r w:rsidRPr="00216DBB">
        <w:rPr>
          <w:rFonts w:cs="Arial"/>
        </w:rPr>
        <w:tab/>
        <w:t>In the maritime mobile service, the frequency 160.9 MHz (channel 2006) is designated for autonomous maritime radio devices Group B that do not enhance the safety of navigation, using AIS technology, in accordance with the most recent version of Recommendation ITU-R M.2135. Autonomous maritime radio devices Group B are limited to a transmitter e.i.r.p. of 100 mW and an antenna height not exceeding 1 m above the surface of the sea.</w:t>
      </w:r>
    </w:p>
    <w:p w14:paraId="0BB837D0" w14:textId="435F1C39" w:rsidR="00AB4F76" w:rsidRPr="00216DBB" w:rsidRDefault="00AB4F76" w:rsidP="00AB4F76">
      <w:pPr>
        <w:pStyle w:val="ECCParagraph"/>
        <w:ind w:left="567"/>
        <w:rPr>
          <w:rFonts w:cs="Arial"/>
          <w:sz w:val="18"/>
          <w:szCs w:val="18"/>
        </w:rPr>
      </w:pPr>
      <w:r w:rsidRPr="00216DBB">
        <w:rPr>
          <w:rFonts w:cs="Arial"/>
        </w:rPr>
        <w:t xml:space="preserve">In the maritime mobile service, this frequency may also be used for experimental use for future applications or systems (e.g. new AIS applications, man </w:t>
      </w:r>
      <w:proofErr w:type="gramStart"/>
      <w:r w:rsidRPr="00216DBB">
        <w:rPr>
          <w:rFonts w:cs="Arial"/>
        </w:rPr>
        <w:t>over board</w:t>
      </w:r>
      <w:proofErr w:type="gramEnd"/>
      <w:r w:rsidRPr="00216DBB">
        <w:rPr>
          <w:rFonts w:cs="Arial"/>
        </w:rPr>
        <w:t xml:space="preserve"> systems, etc.). If authori</w:t>
      </w:r>
      <w:r w:rsidR="00890AAF" w:rsidRPr="00216DBB">
        <w:rPr>
          <w:rFonts w:cs="Arial"/>
        </w:rPr>
        <w:t>s</w:t>
      </w:r>
      <w:r w:rsidRPr="00216DBB">
        <w:rPr>
          <w:rFonts w:cs="Arial"/>
        </w:rPr>
        <w:t>ed by administrations for experimental use, the operation shall not cause harmful interference to, or claim protection from, stations operating in the fixed and mobile services, including the use of autonomous maritime radio devices Group B.</w:t>
      </w:r>
      <w:r w:rsidRPr="00216DBB">
        <w:rPr>
          <w:rFonts w:cs="Arial"/>
        </w:rPr>
        <w:tab/>
      </w:r>
      <w:r w:rsidRPr="00216DBB">
        <w:rPr>
          <w:rFonts w:cs="Arial"/>
          <w:sz w:val="18"/>
          <w:szCs w:val="18"/>
        </w:rPr>
        <w:t>(WRC-19)</w:t>
      </w:r>
    </w:p>
    <w:p w14:paraId="30814A22" w14:textId="6403727C" w:rsidR="00F11F61" w:rsidRPr="00216DBB" w:rsidRDefault="00F11F61" w:rsidP="00F11F61">
      <w:pPr>
        <w:pStyle w:val="ECCParagraph"/>
      </w:pPr>
      <w:r w:rsidRPr="00216DBB">
        <w:t>Comments:</w:t>
      </w:r>
    </w:p>
    <w:p w14:paraId="7E558534" w14:textId="6F54C0A9" w:rsidR="00F11F61" w:rsidRPr="00216DBB" w:rsidRDefault="00F11F61" w:rsidP="00F11F61">
      <w:pPr>
        <w:pStyle w:val="ECCParagraph"/>
      </w:pPr>
      <w:r w:rsidRPr="00216DBB">
        <w:t>WRC-19 considered many different AMRD applications using AIS technology which are of interest for special users (e.</w:t>
      </w:r>
      <w:r w:rsidR="00C776F2" w:rsidRPr="00216DBB">
        <w:t xml:space="preserve"> </w:t>
      </w:r>
      <w:r w:rsidRPr="00216DBB">
        <w:t xml:space="preserve">g. </w:t>
      </w:r>
      <w:r w:rsidR="005F2BF5" w:rsidRPr="00216DBB">
        <w:t xml:space="preserve">offshore workers, </w:t>
      </w:r>
      <w:r w:rsidRPr="00216DBB">
        <w:t>fishermen, divers, windsurfers, etc.) but not for general shipping. To satisfy these special users in the maritime environment WRC-19 concluded to allocate the frequency 160.900 MHz (</w:t>
      </w:r>
      <w:r w:rsidR="0040405E">
        <w:t>C</w:t>
      </w:r>
      <w:r w:rsidRPr="00216DBB">
        <w:t>hannel 2006) for the use of AMRD Group B with restricted power and antenna height.</w:t>
      </w:r>
      <w:r w:rsidR="008635B6" w:rsidRPr="00216DBB">
        <w:t xml:space="preserve"> </w:t>
      </w:r>
    </w:p>
    <w:p w14:paraId="4C298408" w14:textId="21700C8E" w:rsidR="005F44A7" w:rsidRPr="00216DBB" w:rsidRDefault="005F44A7" w:rsidP="005F44A7">
      <w:pPr>
        <w:pStyle w:val="ECCParagraph"/>
      </w:pPr>
      <w:r w:rsidRPr="00216DBB">
        <w:t xml:space="preserve">This footnote also provides a channel for experimental use for future applications or systems. Any use of </w:t>
      </w:r>
      <w:r w:rsidR="0040405E">
        <w:t>C</w:t>
      </w:r>
      <w:r w:rsidRPr="00216DBB">
        <w:t>hannel 2006 must not cause interference to other uses of radio and may not claim protection from them.</w:t>
      </w:r>
    </w:p>
    <w:p w14:paraId="6E29EB1F" w14:textId="2B6DAE90" w:rsidR="00AB4F76" w:rsidRPr="00216DBB" w:rsidRDefault="00F51F12" w:rsidP="00AB4F76">
      <w:pPr>
        <w:pStyle w:val="ECCAnnexheading2"/>
        <w:rPr>
          <w:lang w:val="en-GB"/>
        </w:rPr>
      </w:pPr>
      <w:r w:rsidRPr="00216DBB">
        <w:rPr>
          <w:lang w:val="en-GB"/>
        </w:rPr>
        <w:t xml:space="preserve">Requirements </w:t>
      </w:r>
    </w:p>
    <w:p w14:paraId="592E048A" w14:textId="30941934" w:rsidR="00AB4F76" w:rsidRPr="00216DBB" w:rsidRDefault="00AB4F76" w:rsidP="00AB4F76">
      <w:pPr>
        <w:pStyle w:val="ECCParagraph"/>
      </w:pPr>
      <w:r w:rsidRPr="00216DBB">
        <w:t>The revisions concluded by WRC-19 are implemented in</w:t>
      </w:r>
      <w:r w:rsidR="00CA1688">
        <w:t xml:space="preserve"> the</w:t>
      </w:r>
      <w:r w:rsidRPr="00216DBB">
        <w:t xml:space="preserve"> </w:t>
      </w:r>
      <w:r w:rsidR="00851D4B" w:rsidRPr="00216DBB">
        <w:t>ITU Radio Regulations</w:t>
      </w:r>
      <w:r w:rsidR="00851D4B">
        <w:t>,</w:t>
      </w:r>
      <w:r w:rsidR="00851D4B" w:rsidRPr="00216DBB">
        <w:t xml:space="preserve"> </w:t>
      </w:r>
      <w:r w:rsidRPr="00216DBB">
        <w:t>Edition 2020</w:t>
      </w:r>
      <w:r w:rsidR="006B1D15" w:rsidRPr="00216DBB">
        <w:t xml:space="preserve"> </w:t>
      </w:r>
      <w:r w:rsidR="00240A32">
        <w:fldChar w:fldCharType="begin"/>
      </w:r>
      <w:r w:rsidR="00240A32">
        <w:instrText xml:space="preserve"> REF _Ref94785851 \r \h </w:instrText>
      </w:r>
      <w:r w:rsidR="00240A32">
        <w:fldChar w:fldCharType="separate"/>
      </w:r>
      <w:r w:rsidR="00240A32">
        <w:t>[6]</w:t>
      </w:r>
      <w:r w:rsidR="00240A32">
        <w:fldChar w:fldCharType="end"/>
      </w:r>
      <w:r w:rsidRPr="00216DBB">
        <w:t xml:space="preserve"> which enter</w:t>
      </w:r>
      <w:r w:rsidR="007558B1" w:rsidRPr="00216DBB">
        <w:t>ed</w:t>
      </w:r>
      <w:r w:rsidRPr="00216DBB">
        <w:t xml:space="preserve"> into force on </w:t>
      </w:r>
      <w:r w:rsidR="00BA5F70">
        <w:t>1 January 2021</w:t>
      </w:r>
      <w:r w:rsidRPr="00216DBB">
        <w:t xml:space="preserve">. This means AMRD must </w:t>
      </w:r>
      <w:r w:rsidR="007558B1" w:rsidRPr="00216DBB">
        <w:t xml:space="preserve">comply with </w:t>
      </w:r>
      <w:r w:rsidRPr="00216DBB">
        <w:t xml:space="preserve">the </w:t>
      </w:r>
      <w:r w:rsidR="00851D4B" w:rsidRPr="00216DBB">
        <w:t>ITU Radio Regulations</w:t>
      </w:r>
      <w:r w:rsidR="00851D4B">
        <w:t>, Edition</w:t>
      </w:r>
      <w:r w:rsidRPr="00216DBB">
        <w:t xml:space="preserve"> 2020 after this date. </w:t>
      </w:r>
    </w:p>
    <w:p w14:paraId="6A515332" w14:textId="3D216270" w:rsidR="00AB4F76" w:rsidRPr="00216DBB" w:rsidRDefault="00AB4F76" w:rsidP="00AB4F76">
      <w:pPr>
        <w:pStyle w:val="ECCParagraph"/>
      </w:pPr>
      <w:r w:rsidRPr="00216DBB">
        <w:lastRenderedPageBreak/>
        <w:t>In CEPT countries</w:t>
      </w:r>
      <w:r w:rsidR="00EE7A2C">
        <w:t>,</w:t>
      </w:r>
      <w:r w:rsidRPr="00216DBB">
        <w:t xml:space="preserve"> only AMRD G</w:t>
      </w:r>
      <w:r w:rsidR="002D23E0" w:rsidRPr="00216DBB">
        <w:t>r</w:t>
      </w:r>
      <w:r w:rsidRPr="00216DBB">
        <w:t xml:space="preserve">oup A (mobile AtoN and MOB </w:t>
      </w:r>
      <w:r w:rsidR="00E64DCE" w:rsidRPr="00216DBB">
        <w:t xml:space="preserve">using VHF </w:t>
      </w:r>
      <w:r w:rsidR="007664C2" w:rsidRPr="00216DBB">
        <w:t xml:space="preserve">DSC </w:t>
      </w:r>
      <w:r w:rsidR="00E64DCE" w:rsidRPr="00216DBB">
        <w:t>(</w:t>
      </w:r>
      <w:r w:rsidRPr="00216DBB">
        <w:t>Class M</w:t>
      </w:r>
      <w:r w:rsidR="00E64DCE" w:rsidRPr="00216DBB">
        <w:t>)</w:t>
      </w:r>
      <w:r w:rsidRPr="00216DBB">
        <w:t xml:space="preserve">) are </w:t>
      </w:r>
      <w:r w:rsidR="007558B1" w:rsidRPr="00216DBB">
        <w:t xml:space="preserve">permitted </w:t>
      </w:r>
      <w:r w:rsidRPr="00216DBB">
        <w:t xml:space="preserve">to use the </w:t>
      </w:r>
      <w:r w:rsidR="0082219D" w:rsidRPr="00216DBB">
        <w:t xml:space="preserve">frequencies </w:t>
      </w:r>
      <w:r w:rsidRPr="00216DBB">
        <w:t>156.525 MHz (channel 70), 161.975 MHz (AIS</w:t>
      </w:r>
      <w:r w:rsidR="00B504AE" w:rsidRPr="00216DBB">
        <w:t xml:space="preserve"> </w:t>
      </w:r>
      <w:r w:rsidRPr="00216DBB">
        <w:t>1) and 162.025 MHz (AIS</w:t>
      </w:r>
      <w:r w:rsidR="00B504AE" w:rsidRPr="00216DBB">
        <w:t xml:space="preserve"> </w:t>
      </w:r>
      <w:r w:rsidRPr="00216DBB">
        <w:t>2).</w:t>
      </w:r>
    </w:p>
    <w:p w14:paraId="4CF19A20" w14:textId="5B66755B" w:rsidR="00AB4F76" w:rsidRPr="00216DBB" w:rsidRDefault="00AB4F76" w:rsidP="00AB4F76">
      <w:pPr>
        <w:pStyle w:val="ECCParagraph"/>
      </w:pPr>
      <w:r w:rsidRPr="00216DBB">
        <w:t>In CEPT countries</w:t>
      </w:r>
      <w:r w:rsidR="00EE7A2C">
        <w:t>,</w:t>
      </w:r>
      <w:r w:rsidRPr="00216DBB">
        <w:t xml:space="preserve"> AMRD Group B must use the </w:t>
      </w:r>
      <w:r w:rsidR="0082219D" w:rsidRPr="00216DBB">
        <w:t xml:space="preserve">frequency </w:t>
      </w:r>
      <w:r w:rsidRPr="00216DBB">
        <w:t>160.900 MHz (</w:t>
      </w:r>
      <w:r w:rsidR="0040405E">
        <w:t>C</w:t>
      </w:r>
      <w:r w:rsidRPr="00216DBB">
        <w:t xml:space="preserve">hannel 2006) </w:t>
      </w:r>
      <w:r w:rsidR="00F618F7" w:rsidRPr="00216DBB">
        <w:t xml:space="preserve">and </w:t>
      </w:r>
      <w:r w:rsidRPr="00216DBB">
        <w:t>are limited to a transmitter e.i.r.p. of 100 mW and an antenna height not exceeding 1 m above the surface of the sea</w:t>
      </w:r>
      <w:r w:rsidR="001B1F86">
        <w:t>.</w:t>
      </w:r>
    </w:p>
    <w:p w14:paraId="6D87C762" w14:textId="6A4D918A" w:rsidR="003A774A" w:rsidRPr="00216DBB" w:rsidRDefault="00F618F7" w:rsidP="00AB4F76">
      <w:pPr>
        <w:pStyle w:val="ECCParagraph"/>
      </w:pPr>
      <w:r w:rsidRPr="00216DBB">
        <w:t>In CEPT countries</w:t>
      </w:r>
      <w:r w:rsidR="003A774A" w:rsidRPr="00216DBB">
        <w:t>, that currently permit</w:t>
      </w:r>
      <w:r w:rsidRPr="00216DBB">
        <w:t xml:space="preserve"> the operation of </w:t>
      </w:r>
      <w:r w:rsidR="007558B1" w:rsidRPr="00216DBB">
        <w:t xml:space="preserve">legacy MOB devices </w:t>
      </w:r>
      <w:r w:rsidRPr="00216DBB">
        <w:t xml:space="preserve">on the </w:t>
      </w:r>
      <w:r w:rsidR="0082219D" w:rsidRPr="00216DBB">
        <w:t>frequencies</w:t>
      </w:r>
      <w:r w:rsidRPr="00216DBB">
        <w:t xml:space="preserve"> </w:t>
      </w:r>
      <w:r w:rsidR="0082219D" w:rsidRPr="00216DBB">
        <w:t>161.975 MHz (</w:t>
      </w:r>
      <w:r w:rsidRPr="00216DBB">
        <w:t>AIS</w:t>
      </w:r>
      <w:r w:rsidR="00B504AE" w:rsidRPr="00216DBB">
        <w:t xml:space="preserve"> </w:t>
      </w:r>
      <w:r w:rsidRPr="00216DBB">
        <w:t>1</w:t>
      </w:r>
      <w:r w:rsidR="0082219D" w:rsidRPr="00216DBB">
        <w:t>)</w:t>
      </w:r>
      <w:r w:rsidRPr="00216DBB">
        <w:t xml:space="preserve"> and </w:t>
      </w:r>
      <w:r w:rsidR="0082219D" w:rsidRPr="00216DBB">
        <w:t>162.025 MHz (</w:t>
      </w:r>
      <w:r w:rsidRPr="00216DBB">
        <w:t>AIS</w:t>
      </w:r>
      <w:r w:rsidR="00B504AE" w:rsidRPr="00216DBB">
        <w:t xml:space="preserve"> </w:t>
      </w:r>
      <w:r w:rsidRPr="00216DBB">
        <w:t>2</w:t>
      </w:r>
      <w:r w:rsidR="0082219D" w:rsidRPr="00216DBB">
        <w:t>)</w:t>
      </w:r>
      <w:r w:rsidR="0001391C" w:rsidRPr="00216DBB">
        <w:t xml:space="preserve"> other than Class M</w:t>
      </w:r>
      <w:r w:rsidR="003A774A" w:rsidRPr="00216DBB">
        <w:t>, these devices</w:t>
      </w:r>
      <w:r w:rsidRPr="00216DBB">
        <w:t xml:space="preserve"> </w:t>
      </w:r>
      <w:r w:rsidR="002D23E0" w:rsidRPr="00216DBB">
        <w:t xml:space="preserve">may not be </w:t>
      </w:r>
      <w:r w:rsidR="007558B1" w:rsidRPr="00216DBB">
        <w:t xml:space="preserve">permitted </w:t>
      </w:r>
      <w:r w:rsidR="002D23E0" w:rsidRPr="00216DBB">
        <w:t>after</w:t>
      </w:r>
      <w:r w:rsidRPr="00216DBB">
        <w:t xml:space="preserve"> </w:t>
      </w:r>
      <w:r w:rsidR="00EE7A2C">
        <w:t>31 December 2024</w:t>
      </w:r>
      <w:r w:rsidR="0040405E">
        <w:t>.</w:t>
      </w:r>
    </w:p>
    <w:p w14:paraId="3AC6AF64" w14:textId="3CD552F2" w:rsidR="0082219D" w:rsidRPr="00216DBB" w:rsidRDefault="0082219D" w:rsidP="00AB4F76">
      <w:pPr>
        <w:pStyle w:val="ECCParagraph"/>
      </w:pPr>
      <w:r w:rsidRPr="00216DBB">
        <w:t xml:space="preserve">In CEPT </w:t>
      </w:r>
      <w:r w:rsidR="00B504AE" w:rsidRPr="00216DBB">
        <w:t>c</w:t>
      </w:r>
      <w:r w:rsidRPr="00216DBB">
        <w:t xml:space="preserve">ountries </w:t>
      </w:r>
      <w:r w:rsidR="007558B1" w:rsidRPr="00216DBB">
        <w:t xml:space="preserve">that have previously </w:t>
      </w:r>
      <w:r w:rsidR="00FF4F70" w:rsidRPr="00216DBB">
        <w:t xml:space="preserve">tolerated </w:t>
      </w:r>
      <w:r w:rsidRPr="00216DBB">
        <w:t>the operation of existing AMRD</w:t>
      </w:r>
      <w:r w:rsidR="00FF4F70" w:rsidRPr="00216DBB">
        <w:t xml:space="preserve"> (other than MOB devices)</w:t>
      </w:r>
      <w:r w:rsidRPr="00216DBB">
        <w:t>, on the frequencies 161.975 MHz (AIS</w:t>
      </w:r>
      <w:r w:rsidR="00B504AE" w:rsidRPr="00216DBB">
        <w:t xml:space="preserve"> </w:t>
      </w:r>
      <w:r w:rsidRPr="00216DBB">
        <w:t>1) and 162.025 MHz (AIS</w:t>
      </w:r>
      <w:r w:rsidR="00B504AE" w:rsidRPr="00216DBB">
        <w:t xml:space="preserve"> </w:t>
      </w:r>
      <w:r w:rsidRPr="00216DBB">
        <w:t>2)</w:t>
      </w:r>
      <w:r w:rsidR="002D23E0" w:rsidRPr="00216DBB">
        <w:t>, these devices</w:t>
      </w:r>
      <w:r w:rsidRPr="00216DBB">
        <w:t xml:space="preserve"> </w:t>
      </w:r>
      <w:r w:rsidR="002D23E0" w:rsidRPr="00216DBB">
        <w:t xml:space="preserve">may not be </w:t>
      </w:r>
      <w:r w:rsidR="007558B1" w:rsidRPr="00216DBB">
        <w:t xml:space="preserve">permitted </w:t>
      </w:r>
      <w:r w:rsidR="002D23E0" w:rsidRPr="00216DBB">
        <w:t xml:space="preserve">after </w:t>
      </w:r>
      <w:r w:rsidRPr="00216DBB">
        <w:t>31</w:t>
      </w:r>
      <w:r w:rsidR="00CA1688">
        <w:t xml:space="preserve"> December </w:t>
      </w:r>
      <w:r w:rsidRPr="00216DBB">
        <w:t>202</w:t>
      </w:r>
      <w:r w:rsidR="00101166" w:rsidRPr="00216DBB">
        <w:t>4</w:t>
      </w:r>
      <w:r w:rsidRPr="00216DBB">
        <w:t>.</w:t>
      </w:r>
    </w:p>
    <w:p w14:paraId="4085BE14" w14:textId="197FC3FD" w:rsidR="00AB4F76" w:rsidRPr="00216DBB" w:rsidRDefault="00F618F7" w:rsidP="00AB4F76">
      <w:pPr>
        <w:pStyle w:val="ECCParagraph"/>
      </w:pPr>
      <w:r w:rsidRPr="00216DBB">
        <w:t>In CEPT countries</w:t>
      </w:r>
      <w:r w:rsidR="00D75F5C">
        <w:t>,</w:t>
      </w:r>
      <w:r w:rsidRPr="00216DBB">
        <w:t xml:space="preserve"> the operation of fishnet markers </w:t>
      </w:r>
      <w:r w:rsidR="0082219D" w:rsidRPr="00216DBB">
        <w:t>on the frequencies 161.975 MHz (AIS</w:t>
      </w:r>
      <w:r w:rsidR="00B504AE" w:rsidRPr="00216DBB">
        <w:t xml:space="preserve"> </w:t>
      </w:r>
      <w:r w:rsidR="0082219D" w:rsidRPr="00216DBB">
        <w:t>1) and 162.025 MHz (AIS</w:t>
      </w:r>
      <w:r w:rsidR="00B504AE" w:rsidRPr="00216DBB">
        <w:t xml:space="preserve"> </w:t>
      </w:r>
      <w:r w:rsidR="0082219D" w:rsidRPr="00216DBB">
        <w:t>2)</w:t>
      </w:r>
      <w:r w:rsidR="00101166" w:rsidRPr="00216DBB">
        <w:t xml:space="preserve"> is not permitted</w:t>
      </w:r>
      <w:r w:rsidR="00010536" w:rsidRPr="00216DBB">
        <w:t>.</w:t>
      </w:r>
    </w:p>
    <w:p w14:paraId="7A2249EB" w14:textId="6DECF993" w:rsidR="0021393E" w:rsidRPr="00216DBB" w:rsidRDefault="0021393E" w:rsidP="00555266">
      <w:pPr>
        <w:pStyle w:val="ECCAnnex-heading1"/>
      </w:pPr>
      <w:bookmarkStart w:id="4" w:name="_Ref98745850"/>
      <w:r w:rsidRPr="00216DBB">
        <w:lastRenderedPageBreak/>
        <w:t>Assignment and use of identities (</w:t>
      </w:r>
      <w:r w:rsidR="001B1F86">
        <w:t xml:space="preserve">extract from </w:t>
      </w:r>
      <w:r w:rsidRPr="00216DBB">
        <w:t xml:space="preserve">Recommendation ITU-R M.585) </w:t>
      </w:r>
      <w:bookmarkEnd w:id="4"/>
    </w:p>
    <w:p w14:paraId="21E102DE" w14:textId="5EDBD266" w:rsidR="00AB4F76" w:rsidRPr="00216DBB" w:rsidRDefault="00360508" w:rsidP="00AB4F76">
      <w:pPr>
        <w:pStyle w:val="ECCParagraph"/>
      </w:pPr>
      <w:r w:rsidRPr="00216DBB">
        <w:t xml:space="preserve">This </w:t>
      </w:r>
      <w:r w:rsidR="007A6CF6">
        <w:t>a</w:t>
      </w:r>
      <w:r w:rsidRPr="00216DBB">
        <w:t>nnex describes the use of identities in accordance with Recommendation ITU-R M.585</w:t>
      </w:r>
      <w:r w:rsidR="006B1D15" w:rsidRPr="00216DBB">
        <w:t xml:space="preserve"> </w:t>
      </w:r>
      <w:r w:rsidR="00240A32">
        <w:fldChar w:fldCharType="begin"/>
      </w:r>
      <w:r w:rsidR="00240A32">
        <w:instrText xml:space="preserve"> REF _Ref94786443 \r \h </w:instrText>
      </w:r>
      <w:r w:rsidR="00240A32">
        <w:fldChar w:fldCharType="separate"/>
      </w:r>
      <w:r w:rsidR="00240A32">
        <w:t>[4]</w:t>
      </w:r>
      <w:r w:rsidR="00240A32">
        <w:fldChar w:fldCharType="end"/>
      </w:r>
      <w:r w:rsidRPr="00216DBB">
        <w:t xml:space="preserve"> and the registration of AMRD.</w:t>
      </w:r>
    </w:p>
    <w:p w14:paraId="107ABF46" w14:textId="72D95515" w:rsidR="0021393E" w:rsidRPr="00216DBB" w:rsidRDefault="00A24E50" w:rsidP="0021393E">
      <w:pPr>
        <w:pStyle w:val="ECCAnnexheading2"/>
        <w:rPr>
          <w:lang w:val="en-GB"/>
        </w:rPr>
      </w:pPr>
      <w:r w:rsidRPr="00216DBB">
        <w:rPr>
          <w:lang w:val="en-GB"/>
        </w:rPr>
        <w:t>Identities of AMRD Group A</w:t>
      </w:r>
    </w:p>
    <w:p w14:paraId="4312BF66" w14:textId="3DD28B1B" w:rsidR="00AB4F76" w:rsidRPr="00216DBB" w:rsidRDefault="00A24E50" w:rsidP="00AB4F76">
      <w:pPr>
        <w:pStyle w:val="ECCParagraph"/>
        <w:rPr>
          <w:u w:val="single"/>
        </w:rPr>
      </w:pPr>
      <w:r w:rsidRPr="00216DBB">
        <w:rPr>
          <w:u w:val="single"/>
        </w:rPr>
        <w:t>MAtoN</w:t>
      </w:r>
    </w:p>
    <w:p w14:paraId="512F6C41" w14:textId="4B04C7F0" w:rsidR="00EE7289" w:rsidRPr="00216DBB" w:rsidRDefault="00EE7289" w:rsidP="00AB4F76">
      <w:pPr>
        <w:pStyle w:val="ECCParagraph"/>
      </w:pPr>
      <w:r w:rsidRPr="00216DBB">
        <w:t>The MAtoN should use an identity:</w:t>
      </w:r>
    </w:p>
    <w:p w14:paraId="2B9F5E3F" w14:textId="06A6C3F8" w:rsidR="00234706" w:rsidRPr="00216DBB" w:rsidRDefault="00A05249" w:rsidP="00BA314F">
      <w:pPr>
        <w:pStyle w:val="ECCParagraph"/>
        <w:jc w:val="center"/>
        <w:rPr>
          <w:vertAlign w:val="subscript"/>
        </w:rPr>
      </w:pPr>
      <w:r w:rsidRPr="00216DBB">
        <w:t>9</w:t>
      </w:r>
      <w:r w:rsidRPr="00216DBB">
        <w:rPr>
          <w:vertAlign w:val="subscript"/>
        </w:rPr>
        <w:t>1</w:t>
      </w:r>
      <w:r w:rsidRPr="00216DBB">
        <w:t>9</w:t>
      </w:r>
      <w:r w:rsidRPr="00216DBB">
        <w:rPr>
          <w:vertAlign w:val="subscript"/>
        </w:rPr>
        <w:t>2</w:t>
      </w:r>
      <w:r w:rsidRPr="00216DBB">
        <w:t>M</w:t>
      </w:r>
      <w:r w:rsidRPr="00216DBB">
        <w:rPr>
          <w:vertAlign w:val="subscript"/>
        </w:rPr>
        <w:t>3</w:t>
      </w:r>
      <w:r w:rsidRPr="00216DBB">
        <w:t>I</w:t>
      </w:r>
      <w:r w:rsidRPr="00216DBB">
        <w:rPr>
          <w:vertAlign w:val="subscript"/>
        </w:rPr>
        <w:t>4</w:t>
      </w:r>
      <w:r w:rsidRPr="00216DBB">
        <w:t>D</w:t>
      </w:r>
      <w:r w:rsidRPr="00216DBB">
        <w:rPr>
          <w:vertAlign w:val="subscript"/>
        </w:rPr>
        <w:t>5</w:t>
      </w:r>
      <w:r w:rsidRPr="00216DBB">
        <w:t>8</w:t>
      </w:r>
      <w:r w:rsidRPr="00216DBB">
        <w:rPr>
          <w:vertAlign w:val="subscript"/>
        </w:rPr>
        <w:t>6</w:t>
      </w:r>
      <w:r w:rsidRPr="00216DBB">
        <w:t>X</w:t>
      </w:r>
      <w:r w:rsidRPr="00216DBB">
        <w:rPr>
          <w:vertAlign w:val="subscript"/>
        </w:rPr>
        <w:t>7</w:t>
      </w:r>
      <w:r w:rsidRPr="00216DBB">
        <w:t>X</w:t>
      </w:r>
      <w:r w:rsidRPr="00216DBB">
        <w:rPr>
          <w:vertAlign w:val="subscript"/>
        </w:rPr>
        <w:t>8</w:t>
      </w:r>
      <w:r w:rsidRPr="00216DBB">
        <w:t>X</w:t>
      </w:r>
      <w:r w:rsidRPr="00216DBB">
        <w:rPr>
          <w:vertAlign w:val="subscript"/>
        </w:rPr>
        <w:t>9</w:t>
      </w:r>
    </w:p>
    <w:p w14:paraId="46B8C581" w14:textId="21762DD4" w:rsidR="00A05249" w:rsidRPr="00216DBB" w:rsidRDefault="00A05249" w:rsidP="00AB4F76">
      <w:pPr>
        <w:pStyle w:val="ECCParagraph"/>
      </w:pPr>
      <w:r w:rsidRPr="00216DBB">
        <w:t>The seventh digit may be used for national purposes, to define areas where the AIS AtoN are located or types of AIS AtoN to the discretion of the administration concerned.</w:t>
      </w:r>
    </w:p>
    <w:p w14:paraId="08DC0928" w14:textId="408B4637" w:rsidR="00A24E50" w:rsidRPr="00216DBB" w:rsidRDefault="00A24E50" w:rsidP="00AB4F76">
      <w:pPr>
        <w:pStyle w:val="ECCParagraph"/>
        <w:rPr>
          <w:u w:val="single"/>
        </w:rPr>
      </w:pPr>
      <w:r w:rsidRPr="00216DBB">
        <w:rPr>
          <w:u w:val="single"/>
        </w:rPr>
        <w:t>MOB</w:t>
      </w:r>
      <w:r w:rsidR="00E64DCE" w:rsidRPr="00216DBB">
        <w:t xml:space="preserve"> </w:t>
      </w:r>
      <w:r w:rsidR="00E64DCE" w:rsidRPr="00216DBB">
        <w:rPr>
          <w:u w:val="single"/>
        </w:rPr>
        <w:t>using VHF</w:t>
      </w:r>
      <w:r w:rsidRPr="00216DBB">
        <w:rPr>
          <w:u w:val="single"/>
        </w:rPr>
        <w:t xml:space="preserve"> </w:t>
      </w:r>
      <w:r w:rsidR="007664C2" w:rsidRPr="00216DBB">
        <w:rPr>
          <w:u w:val="single"/>
        </w:rPr>
        <w:t xml:space="preserve">DSC </w:t>
      </w:r>
      <w:r w:rsidR="00E64DCE" w:rsidRPr="00216DBB">
        <w:rPr>
          <w:u w:val="single"/>
        </w:rPr>
        <w:t>(</w:t>
      </w:r>
      <w:r w:rsidRPr="00216DBB">
        <w:rPr>
          <w:u w:val="single"/>
        </w:rPr>
        <w:t>Class M</w:t>
      </w:r>
      <w:r w:rsidR="00E64DCE" w:rsidRPr="00216DBB">
        <w:rPr>
          <w:u w:val="single"/>
        </w:rPr>
        <w:t>)</w:t>
      </w:r>
    </w:p>
    <w:p w14:paraId="0A4432D3" w14:textId="6C4CDA18" w:rsidR="00EE7289" w:rsidRPr="00216DBB" w:rsidRDefault="00EE7289" w:rsidP="00BA314F">
      <w:pPr>
        <w:tabs>
          <w:tab w:val="left" w:pos="1134"/>
          <w:tab w:val="left" w:pos="1871"/>
          <w:tab w:val="left" w:pos="2268"/>
        </w:tabs>
        <w:overflowPunct w:val="0"/>
        <w:autoSpaceDE w:val="0"/>
        <w:autoSpaceDN w:val="0"/>
        <w:adjustRightInd w:val="0"/>
        <w:spacing w:after="240"/>
        <w:textAlignment w:val="baseline"/>
        <w:rPr>
          <w:rFonts w:cs="Arial"/>
          <w:szCs w:val="20"/>
          <w:lang w:val="en-GB"/>
        </w:rPr>
      </w:pPr>
      <w:r w:rsidRPr="00216DBB">
        <w:rPr>
          <w:rFonts w:cs="Arial"/>
          <w:szCs w:val="20"/>
          <w:lang w:val="en-GB"/>
        </w:rPr>
        <w:t xml:space="preserve">The MOB </w:t>
      </w:r>
      <w:r w:rsidR="00E64DCE" w:rsidRPr="00216DBB">
        <w:rPr>
          <w:rFonts w:cs="Arial"/>
          <w:szCs w:val="20"/>
          <w:lang w:val="en-GB"/>
        </w:rPr>
        <w:t xml:space="preserve">using VHF </w:t>
      </w:r>
      <w:r w:rsidR="007664C2" w:rsidRPr="00216DBB">
        <w:rPr>
          <w:rFonts w:cs="Arial"/>
          <w:szCs w:val="20"/>
          <w:lang w:val="en-GB"/>
        </w:rPr>
        <w:t xml:space="preserve">DSC </w:t>
      </w:r>
      <w:r w:rsidR="00E64DCE" w:rsidRPr="00216DBB">
        <w:rPr>
          <w:rFonts w:cs="Arial"/>
          <w:szCs w:val="20"/>
          <w:lang w:val="en-GB"/>
        </w:rPr>
        <w:t>(</w:t>
      </w:r>
      <w:r w:rsidRPr="00216DBB">
        <w:rPr>
          <w:rFonts w:cs="Arial"/>
          <w:szCs w:val="20"/>
          <w:lang w:val="en-GB"/>
        </w:rPr>
        <w:t>Class M</w:t>
      </w:r>
      <w:r w:rsidR="00E64DCE" w:rsidRPr="00216DBB">
        <w:rPr>
          <w:rFonts w:cs="Arial"/>
          <w:szCs w:val="20"/>
          <w:lang w:val="en-GB"/>
        </w:rPr>
        <w:t>)</w:t>
      </w:r>
      <w:r w:rsidRPr="00216DBB">
        <w:rPr>
          <w:rFonts w:cs="Arial"/>
          <w:szCs w:val="20"/>
          <w:lang w:val="en-GB"/>
        </w:rPr>
        <w:t xml:space="preserve"> that transmits DSC and AIS s</w:t>
      </w:r>
      <w:r w:rsidRPr="00216DBB">
        <w:rPr>
          <w:rFonts w:cs="Arial"/>
          <w:szCs w:val="20"/>
          <w:lang w:val="en-GB" w:eastAsia="ja-JP"/>
        </w:rPr>
        <w:t xml:space="preserve">hould </w:t>
      </w:r>
      <w:r w:rsidRPr="00216DBB">
        <w:rPr>
          <w:rFonts w:cs="Arial"/>
          <w:szCs w:val="20"/>
          <w:lang w:val="en-GB"/>
        </w:rPr>
        <w:t>use an identity:</w:t>
      </w:r>
    </w:p>
    <w:p w14:paraId="755E880A" w14:textId="77777777" w:rsidR="00EE7289" w:rsidRDefault="00EE7289" w:rsidP="00BA314F">
      <w:pPr>
        <w:tabs>
          <w:tab w:val="left" w:pos="1134"/>
          <w:tab w:val="left" w:pos="1871"/>
          <w:tab w:val="left" w:pos="2268"/>
        </w:tabs>
        <w:overflowPunct w:val="0"/>
        <w:autoSpaceDE w:val="0"/>
        <w:autoSpaceDN w:val="0"/>
        <w:adjustRightInd w:val="0"/>
        <w:spacing w:after="240"/>
        <w:jc w:val="center"/>
        <w:textAlignment w:val="baseline"/>
        <w:rPr>
          <w:rFonts w:cs="Arial"/>
          <w:bCs/>
          <w:szCs w:val="20"/>
          <w:vertAlign w:val="subscript"/>
          <w:lang w:val="en-GB"/>
        </w:rPr>
      </w:pPr>
      <w:r w:rsidRPr="00216DBB">
        <w:rPr>
          <w:rFonts w:cs="Arial"/>
          <w:bCs/>
          <w:szCs w:val="20"/>
          <w:lang w:val="en-GB"/>
        </w:rPr>
        <w:t>9</w:t>
      </w:r>
      <w:r w:rsidRPr="00216DBB">
        <w:rPr>
          <w:rFonts w:cs="Arial"/>
          <w:bCs/>
          <w:szCs w:val="20"/>
          <w:vertAlign w:val="subscript"/>
          <w:lang w:val="en-GB"/>
        </w:rPr>
        <w:t>1</w:t>
      </w:r>
      <w:r w:rsidRPr="00216DBB">
        <w:rPr>
          <w:rFonts w:cs="Arial"/>
          <w:bCs/>
          <w:szCs w:val="20"/>
          <w:lang w:val="en-GB"/>
        </w:rPr>
        <w:t>7</w:t>
      </w:r>
      <w:r w:rsidRPr="00216DBB">
        <w:rPr>
          <w:rFonts w:cs="Arial"/>
          <w:bCs/>
          <w:szCs w:val="20"/>
          <w:vertAlign w:val="subscript"/>
          <w:lang w:val="en-GB"/>
        </w:rPr>
        <w:t>2</w:t>
      </w:r>
      <w:r w:rsidRPr="00216DBB">
        <w:rPr>
          <w:rFonts w:cs="Arial"/>
          <w:bCs/>
          <w:szCs w:val="20"/>
          <w:lang w:val="en-GB"/>
        </w:rPr>
        <w:t>2</w:t>
      </w:r>
      <w:r w:rsidRPr="00216DBB">
        <w:rPr>
          <w:rFonts w:cs="Arial"/>
          <w:bCs/>
          <w:szCs w:val="20"/>
          <w:vertAlign w:val="subscript"/>
          <w:lang w:val="en-GB"/>
        </w:rPr>
        <w:t>3</w:t>
      </w:r>
      <w:r w:rsidRPr="00216DBB">
        <w:rPr>
          <w:rFonts w:cs="Arial"/>
          <w:bCs/>
          <w:szCs w:val="20"/>
          <w:lang w:val="en-GB"/>
        </w:rPr>
        <w:t>X</w:t>
      </w:r>
      <w:r w:rsidRPr="00216DBB">
        <w:rPr>
          <w:rFonts w:cs="Arial"/>
          <w:bCs/>
          <w:szCs w:val="20"/>
          <w:vertAlign w:val="subscript"/>
          <w:lang w:val="en-GB"/>
        </w:rPr>
        <w:t>4</w:t>
      </w:r>
      <w:r w:rsidRPr="00216DBB">
        <w:rPr>
          <w:rFonts w:cs="Arial"/>
          <w:bCs/>
          <w:szCs w:val="20"/>
          <w:lang w:val="en-GB"/>
        </w:rPr>
        <w:t>X</w:t>
      </w:r>
      <w:r w:rsidRPr="00216DBB">
        <w:rPr>
          <w:rFonts w:cs="Arial"/>
          <w:bCs/>
          <w:szCs w:val="20"/>
          <w:vertAlign w:val="subscript"/>
          <w:lang w:val="en-GB"/>
        </w:rPr>
        <w:t>5</w:t>
      </w:r>
      <w:r w:rsidRPr="00216DBB">
        <w:rPr>
          <w:rFonts w:cs="Arial"/>
          <w:bCs/>
          <w:szCs w:val="20"/>
          <w:lang w:val="en-GB"/>
        </w:rPr>
        <w:t>Y</w:t>
      </w:r>
      <w:r w:rsidRPr="00216DBB">
        <w:rPr>
          <w:rFonts w:cs="Arial"/>
          <w:bCs/>
          <w:szCs w:val="20"/>
          <w:vertAlign w:val="subscript"/>
          <w:lang w:val="en-GB"/>
        </w:rPr>
        <w:t>6</w:t>
      </w:r>
      <w:r w:rsidRPr="00216DBB">
        <w:rPr>
          <w:rFonts w:cs="Arial"/>
          <w:bCs/>
          <w:szCs w:val="20"/>
          <w:lang w:val="en-GB"/>
        </w:rPr>
        <w:t>Y</w:t>
      </w:r>
      <w:r w:rsidRPr="00216DBB">
        <w:rPr>
          <w:rFonts w:cs="Arial"/>
          <w:bCs/>
          <w:szCs w:val="20"/>
          <w:vertAlign w:val="subscript"/>
          <w:lang w:val="en-GB"/>
        </w:rPr>
        <w:t>7</w:t>
      </w:r>
      <w:r w:rsidRPr="00216DBB">
        <w:rPr>
          <w:rFonts w:cs="Arial"/>
          <w:bCs/>
          <w:szCs w:val="20"/>
          <w:lang w:val="en-GB"/>
        </w:rPr>
        <w:t>Y</w:t>
      </w:r>
      <w:r w:rsidRPr="00216DBB">
        <w:rPr>
          <w:rFonts w:cs="Arial"/>
          <w:bCs/>
          <w:szCs w:val="20"/>
          <w:vertAlign w:val="subscript"/>
          <w:lang w:val="en-GB"/>
        </w:rPr>
        <w:t>8</w:t>
      </w:r>
      <w:r w:rsidRPr="00216DBB">
        <w:rPr>
          <w:rFonts w:cs="Arial"/>
          <w:bCs/>
          <w:szCs w:val="20"/>
          <w:lang w:val="en-GB"/>
        </w:rPr>
        <w:t>Y</w:t>
      </w:r>
      <w:r w:rsidRPr="00216DBB">
        <w:rPr>
          <w:rFonts w:cs="Arial"/>
          <w:bCs/>
          <w:szCs w:val="20"/>
          <w:vertAlign w:val="subscript"/>
          <w:lang w:val="en-GB"/>
        </w:rPr>
        <w:t>9</w:t>
      </w:r>
    </w:p>
    <w:p w14:paraId="3EDE7C9F" w14:textId="77777777" w:rsidR="00AD7289" w:rsidRDefault="00AD7289" w:rsidP="00D14457">
      <w:pPr>
        <w:tabs>
          <w:tab w:val="left" w:pos="1134"/>
          <w:tab w:val="left" w:pos="1871"/>
          <w:tab w:val="left" w:pos="2268"/>
        </w:tabs>
        <w:overflowPunct w:val="0"/>
        <w:autoSpaceDE w:val="0"/>
        <w:autoSpaceDN w:val="0"/>
        <w:adjustRightInd w:val="0"/>
        <w:spacing w:after="60"/>
        <w:textAlignment w:val="baseline"/>
        <w:rPr>
          <w:rFonts w:cs="Arial"/>
          <w:szCs w:val="20"/>
          <w:lang w:val="en-GB" w:eastAsia="ja-JP"/>
        </w:rPr>
      </w:pPr>
      <w:r w:rsidRPr="00216DBB">
        <w:rPr>
          <w:rFonts w:cs="Arial"/>
          <w:szCs w:val="20"/>
          <w:lang w:val="en-GB" w:eastAsia="ja-JP"/>
        </w:rPr>
        <w:t>Where</w:t>
      </w:r>
      <w:r>
        <w:rPr>
          <w:rFonts w:cs="Arial"/>
          <w:szCs w:val="20"/>
          <w:lang w:val="en-GB" w:eastAsia="ja-JP"/>
        </w:rPr>
        <w:t>:</w:t>
      </w:r>
      <w:r w:rsidRPr="00216DBB">
        <w:rPr>
          <w:rFonts w:cs="Arial"/>
          <w:szCs w:val="20"/>
          <w:lang w:val="en-GB" w:eastAsia="ja-JP"/>
        </w:rPr>
        <w:t xml:space="preserve"> </w:t>
      </w:r>
    </w:p>
    <w:p w14:paraId="5BE2BA77" w14:textId="77777777" w:rsidR="00BF24D6" w:rsidRPr="00BF24D6" w:rsidRDefault="00AD7289" w:rsidP="00D14457">
      <w:pPr>
        <w:pStyle w:val="ECCParBulleted"/>
        <w:rPr>
          <w:lang w:eastAsia="ja-JP"/>
        </w:rPr>
      </w:pPr>
      <w:r w:rsidRPr="00BF24D6">
        <w:rPr>
          <w:bCs/>
        </w:rPr>
        <w:t>X</w:t>
      </w:r>
      <w:r w:rsidRPr="00BF24D6">
        <w:rPr>
          <w:bCs/>
          <w:vertAlign w:val="subscript"/>
        </w:rPr>
        <w:t>4</w:t>
      </w:r>
      <w:r w:rsidRPr="00BF24D6">
        <w:rPr>
          <w:bCs/>
        </w:rPr>
        <w:t>X</w:t>
      </w:r>
      <w:r w:rsidRPr="00BF24D6">
        <w:rPr>
          <w:bCs/>
          <w:vertAlign w:val="subscript"/>
        </w:rPr>
        <w:t>5</w:t>
      </w:r>
      <w:r w:rsidRPr="00BF24D6">
        <w:rPr>
          <w:lang w:eastAsia="ja-JP"/>
        </w:rPr>
        <w:t xml:space="preserve"> = manufacturer ID 01 to 99; </w:t>
      </w:r>
    </w:p>
    <w:p w14:paraId="0BE34E51" w14:textId="5CF270EA" w:rsidR="00AD7289" w:rsidRPr="00D14457" w:rsidRDefault="00AD7289" w:rsidP="00BF24D6">
      <w:pPr>
        <w:pStyle w:val="ECCParBulleted"/>
        <w:rPr>
          <w:bCs/>
        </w:rPr>
      </w:pPr>
      <w:r w:rsidRPr="00BF24D6">
        <w:rPr>
          <w:bCs/>
        </w:rPr>
        <w:t>Y</w:t>
      </w:r>
      <w:r w:rsidRPr="00BF24D6">
        <w:rPr>
          <w:bCs/>
          <w:vertAlign w:val="subscript"/>
        </w:rPr>
        <w:t>6</w:t>
      </w:r>
      <w:r w:rsidRPr="00BF24D6">
        <w:rPr>
          <w:bCs/>
        </w:rPr>
        <w:t>Y</w:t>
      </w:r>
      <w:r w:rsidRPr="00BF24D6">
        <w:rPr>
          <w:bCs/>
          <w:vertAlign w:val="subscript"/>
        </w:rPr>
        <w:t>7</w:t>
      </w:r>
      <w:r w:rsidRPr="00BF24D6">
        <w:rPr>
          <w:bCs/>
        </w:rPr>
        <w:t>Y</w:t>
      </w:r>
      <w:r w:rsidRPr="00BF24D6">
        <w:rPr>
          <w:bCs/>
          <w:vertAlign w:val="subscript"/>
        </w:rPr>
        <w:t>8</w:t>
      </w:r>
      <w:r w:rsidRPr="00BF24D6">
        <w:rPr>
          <w:bCs/>
        </w:rPr>
        <w:t>Y</w:t>
      </w:r>
      <w:r w:rsidRPr="00BF24D6">
        <w:rPr>
          <w:bCs/>
          <w:vertAlign w:val="subscript"/>
        </w:rPr>
        <w:t>9</w:t>
      </w:r>
      <w:r w:rsidRPr="00BF24D6">
        <w:rPr>
          <w:lang w:eastAsia="ja-JP"/>
        </w:rPr>
        <w:t xml:space="preserve"> = the sequence number 0000 to 9999</w:t>
      </w:r>
    </w:p>
    <w:p w14:paraId="0FAABF13" w14:textId="081C2536" w:rsidR="00A13456" w:rsidRPr="00BF24D6" w:rsidRDefault="00A13456" w:rsidP="00D14457">
      <w:pPr>
        <w:pStyle w:val="ECCParBulleted"/>
        <w:rPr>
          <w:bCs/>
        </w:rPr>
      </w:pPr>
      <w:r w:rsidRPr="00216DBB">
        <w:rPr>
          <w:rFonts w:cs="Arial"/>
          <w:szCs w:val="20"/>
          <w:lang w:eastAsia="ja-JP"/>
        </w:rPr>
        <w:t>When reaching 9999 the manufacturer should restart the sequence numbering at 0000.</w:t>
      </w:r>
    </w:p>
    <w:p w14:paraId="169157D4" w14:textId="75A175E5" w:rsidR="00AD7289" w:rsidRPr="00216DBB" w:rsidRDefault="00AD7289" w:rsidP="00BA314F">
      <w:pPr>
        <w:tabs>
          <w:tab w:val="left" w:pos="1134"/>
          <w:tab w:val="left" w:pos="1871"/>
          <w:tab w:val="left" w:pos="2268"/>
        </w:tabs>
        <w:overflowPunct w:val="0"/>
        <w:autoSpaceDE w:val="0"/>
        <w:autoSpaceDN w:val="0"/>
        <w:adjustRightInd w:val="0"/>
        <w:spacing w:after="240"/>
        <w:textAlignment w:val="baseline"/>
        <w:rPr>
          <w:rFonts w:cs="Arial"/>
          <w:szCs w:val="20"/>
          <w:lang w:val="en-GB" w:eastAsia="ja-JP"/>
        </w:rPr>
      </w:pPr>
    </w:p>
    <w:p w14:paraId="5008A07E" w14:textId="4D74D7D2" w:rsidR="0021393E" w:rsidRPr="00216DBB" w:rsidRDefault="00A24E50" w:rsidP="0021393E">
      <w:pPr>
        <w:pStyle w:val="ECCAnnexheading2"/>
        <w:rPr>
          <w:lang w:val="en-GB"/>
        </w:rPr>
      </w:pPr>
      <w:r w:rsidRPr="00216DBB">
        <w:rPr>
          <w:lang w:val="en-GB"/>
        </w:rPr>
        <w:t>IDENTITIES OF AMRD GROUP B</w:t>
      </w:r>
    </w:p>
    <w:p w14:paraId="357FDA90" w14:textId="54F45B0B" w:rsidR="00773E32" w:rsidRPr="00216DBB" w:rsidRDefault="00773E32" w:rsidP="00BA314F">
      <w:pPr>
        <w:tabs>
          <w:tab w:val="left" w:pos="1134"/>
          <w:tab w:val="left" w:pos="1871"/>
          <w:tab w:val="left" w:pos="2268"/>
        </w:tabs>
        <w:overflowPunct w:val="0"/>
        <w:autoSpaceDE w:val="0"/>
        <w:autoSpaceDN w:val="0"/>
        <w:adjustRightInd w:val="0"/>
        <w:spacing w:after="240"/>
        <w:textAlignment w:val="baseline"/>
        <w:rPr>
          <w:rFonts w:cs="Arial"/>
          <w:szCs w:val="20"/>
          <w:u w:val="single"/>
          <w:lang w:val="en-GB"/>
        </w:rPr>
      </w:pPr>
      <w:r w:rsidRPr="00216DBB">
        <w:rPr>
          <w:rFonts w:cs="Arial"/>
          <w:szCs w:val="20"/>
          <w:u w:val="single"/>
          <w:lang w:val="en-GB"/>
        </w:rPr>
        <w:t>All AMRD Group B devices</w:t>
      </w:r>
    </w:p>
    <w:p w14:paraId="4CEB4421" w14:textId="3D55883E" w:rsidR="00773E32" w:rsidRPr="00216DBB" w:rsidRDefault="00773E32" w:rsidP="00BA314F">
      <w:pPr>
        <w:tabs>
          <w:tab w:val="left" w:pos="1134"/>
          <w:tab w:val="left" w:pos="1871"/>
          <w:tab w:val="left" w:pos="2268"/>
        </w:tabs>
        <w:overflowPunct w:val="0"/>
        <w:autoSpaceDE w:val="0"/>
        <w:autoSpaceDN w:val="0"/>
        <w:adjustRightInd w:val="0"/>
        <w:spacing w:after="240"/>
        <w:textAlignment w:val="baseline"/>
        <w:rPr>
          <w:rFonts w:cs="Arial"/>
          <w:szCs w:val="20"/>
          <w:lang w:val="en-GB"/>
        </w:rPr>
      </w:pPr>
      <w:r w:rsidRPr="00216DBB">
        <w:rPr>
          <w:rFonts w:cs="Arial"/>
          <w:szCs w:val="20"/>
          <w:lang w:val="en-GB"/>
        </w:rPr>
        <w:t>All AMRD Group B devices should</w:t>
      </w:r>
      <w:r w:rsidRPr="00216DBB">
        <w:rPr>
          <w:rFonts w:cs="Arial"/>
          <w:szCs w:val="20"/>
          <w:lang w:val="en-GB" w:eastAsia="ja-JP"/>
        </w:rPr>
        <w:t xml:space="preserve"> </w:t>
      </w:r>
      <w:r w:rsidRPr="00216DBB">
        <w:rPr>
          <w:rFonts w:cs="Arial"/>
          <w:szCs w:val="20"/>
          <w:lang w:val="en-GB"/>
        </w:rPr>
        <w:t>use</w:t>
      </w:r>
      <w:r w:rsidR="00377AE3" w:rsidRPr="00216DBB">
        <w:rPr>
          <w:rFonts w:cs="Arial"/>
          <w:szCs w:val="20"/>
          <w:lang w:val="en-GB"/>
        </w:rPr>
        <w:t xml:space="preserve"> an identity</w:t>
      </w:r>
      <w:r w:rsidRPr="00216DBB">
        <w:rPr>
          <w:rFonts w:cs="Arial"/>
          <w:szCs w:val="20"/>
          <w:lang w:val="en-GB"/>
        </w:rPr>
        <w:t>:</w:t>
      </w:r>
    </w:p>
    <w:p w14:paraId="78A17F99" w14:textId="77777777" w:rsidR="00773E32" w:rsidRPr="00216DBB" w:rsidRDefault="00773E32" w:rsidP="00BA314F">
      <w:pPr>
        <w:tabs>
          <w:tab w:val="left" w:pos="1134"/>
          <w:tab w:val="left" w:pos="1871"/>
          <w:tab w:val="left" w:pos="2268"/>
          <w:tab w:val="center" w:pos="4820"/>
          <w:tab w:val="right" w:pos="9639"/>
        </w:tabs>
        <w:overflowPunct w:val="0"/>
        <w:autoSpaceDE w:val="0"/>
        <w:autoSpaceDN w:val="0"/>
        <w:adjustRightInd w:val="0"/>
        <w:spacing w:after="240"/>
        <w:jc w:val="center"/>
        <w:textAlignment w:val="baseline"/>
        <w:rPr>
          <w:rFonts w:cs="Arial"/>
          <w:szCs w:val="20"/>
          <w:vertAlign w:val="subscript"/>
          <w:lang w:val="en-GB"/>
        </w:rPr>
      </w:pPr>
      <w:r w:rsidRPr="00216DBB">
        <w:rPr>
          <w:rFonts w:cs="Arial"/>
          <w:szCs w:val="20"/>
          <w:lang w:val="en-GB"/>
        </w:rPr>
        <w:t>9</w:t>
      </w:r>
      <w:r w:rsidRPr="00216DBB">
        <w:rPr>
          <w:rFonts w:cs="Arial"/>
          <w:szCs w:val="20"/>
          <w:vertAlign w:val="subscript"/>
          <w:lang w:val="en-GB"/>
        </w:rPr>
        <w:t>1</w:t>
      </w:r>
      <w:r w:rsidRPr="00216DBB">
        <w:rPr>
          <w:rFonts w:cs="Arial"/>
          <w:szCs w:val="20"/>
          <w:lang w:val="en-GB"/>
        </w:rPr>
        <w:t>7</w:t>
      </w:r>
      <w:r w:rsidRPr="00216DBB">
        <w:rPr>
          <w:rFonts w:cs="Arial"/>
          <w:szCs w:val="20"/>
          <w:vertAlign w:val="subscript"/>
          <w:lang w:val="en-GB"/>
        </w:rPr>
        <w:t>2</w:t>
      </w:r>
      <w:r w:rsidRPr="00216DBB">
        <w:rPr>
          <w:rFonts w:cs="Arial"/>
          <w:szCs w:val="20"/>
          <w:lang w:val="en-GB"/>
        </w:rPr>
        <w:t>9</w:t>
      </w:r>
      <w:r w:rsidRPr="00216DBB">
        <w:rPr>
          <w:rFonts w:cs="Arial"/>
          <w:szCs w:val="20"/>
          <w:vertAlign w:val="subscript"/>
          <w:lang w:val="en-GB"/>
        </w:rPr>
        <w:t>3</w:t>
      </w:r>
      <w:r w:rsidRPr="00216DBB">
        <w:rPr>
          <w:rFonts w:cs="Arial"/>
          <w:szCs w:val="20"/>
          <w:lang w:val="en-GB"/>
        </w:rPr>
        <w:t>Y</w:t>
      </w:r>
      <w:r w:rsidRPr="00216DBB">
        <w:rPr>
          <w:rFonts w:cs="Arial"/>
          <w:szCs w:val="20"/>
          <w:vertAlign w:val="subscript"/>
          <w:lang w:val="en-GB"/>
        </w:rPr>
        <w:t>4</w:t>
      </w:r>
      <w:r w:rsidRPr="00216DBB">
        <w:rPr>
          <w:rFonts w:cs="Arial"/>
          <w:szCs w:val="20"/>
          <w:lang w:val="en-GB"/>
        </w:rPr>
        <w:t>Y</w:t>
      </w:r>
      <w:r w:rsidRPr="00216DBB">
        <w:rPr>
          <w:rFonts w:cs="Arial"/>
          <w:szCs w:val="20"/>
          <w:vertAlign w:val="subscript"/>
          <w:lang w:val="en-GB"/>
        </w:rPr>
        <w:t>5</w:t>
      </w:r>
      <w:r w:rsidRPr="00216DBB">
        <w:rPr>
          <w:rFonts w:cs="Arial"/>
          <w:szCs w:val="20"/>
          <w:lang w:val="en-GB"/>
        </w:rPr>
        <w:t>Y</w:t>
      </w:r>
      <w:r w:rsidRPr="00216DBB">
        <w:rPr>
          <w:rFonts w:cs="Arial"/>
          <w:szCs w:val="20"/>
          <w:vertAlign w:val="subscript"/>
          <w:lang w:val="en-GB"/>
        </w:rPr>
        <w:t>6</w:t>
      </w:r>
      <w:r w:rsidRPr="00216DBB">
        <w:rPr>
          <w:rFonts w:cs="Arial"/>
          <w:szCs w:val="20"/>
          <w:lang w:val="en-GB"/>
        </w:rPr>
        <w:t>Y</w:t>
      </w:r>
      <w:r w:rsidRPr="00216DBB">
        <w:rPr>
          <w:rFonts w:cs="Arial"/>
          <w:szCs w:val="20"/>
          <w:vertAlign w:val="subscript"/>
          <w:lang w:val="en-GB"/>
        </w:rPr>
        <w:t>7</w:t>
      </w:r>
      <w:r w:rsidRPr="00216DBB">
        <w:rPr>
          <w:rFonts w:cs="Arial"/>
          <w:szCs w:val="20"/>
          <w:lang w:val="en-GB"/>
        </w:rPr>
        <w:t>Y</w:t>
      </w:r>
      <w:r w:rsidRPr="00216DBB">
        <w:rPr>
          <w:rFonts w:cs="Arial"/>
          <w:szCs w:val="20"/>
          <w:vertAlign w:val="subscript"/>
          <w:lang w:val="en-GB"/>
        </w:rPr>
        <w:t>8</w:t>
      </w:r>
      <w:r w:rsidRPr="00216DBB">
        <w:rPr>
          <w:rFonts w:cs="Arial"/>
          <w:szCs w:val="20"/>
          <w:lang w:val="en-GB"/>
        </w:rPr>
        <w:t>Y</w:t>
      </w:r>
      <w:r w:rsidRPr="00216DBB">
        <w:rPr>
          <w:rFonts w:cs="Arial"/>
          <w:szCs w:val="20"/>
          <w:vertAlign w:val="subscript"/>
          <w:lang w:val="en-GB"/>
        </w:rPr>
        <w:t>9</w:t>
      </w:r>
    </w:p>
    <w:p w14:paraId="0EF3C411" w14:textId="192083D9" w:rsidR="00A230F2" w:rsidRPr="00216DBB" w:rsidRDefault="00773E32" w:rsidP="00A24E50">
      <w:pPr>
        <w:pStyle w:val="ECCParagraph"/>
      </w:pPr>
      <w:r w:rsidRPr="00216DBB">
        <w:rPr>
          <w:rFonts w:cs="Arial"/>
          <w:szCs w:val="20"/>
          <w:lang w:eastAsia="ja-JP"/>
        </w:rPr>
        <w:t>(</w:t>
      </w:r>
      <w:r w:rsidRPr="00216DBB">
        <w:rPr>
          <w:rFonts w:cs="Arial"/>
          <w:szCs w:val="20"/>
        </w:rPr>
        <w:t>Y</w:t>
      </w:r>
      <w:r w:rsidRPr="00216DBB">
        <w:rPr>
          <w:rFonts w:cs="Arial"/>
          <w:szCs w:val="20"/>
          <w:vertAlign w:val="subscript"/>
        </w:rPr>
        <w:t>4</w:t>
      </w:r>
      <w:r w:rsidRPr="00216DBB">
        <w:rPr>
          <w:rFonts w:cs="Arial"/>
          <w:szCs w:val="20"/>
        </w:rPr>
        <w:t>Y</w:t>
      </w:r>
      <w:r w:rsidRPr="00216DBB">
        <w:rPr>
          <w:rFonts w:cs="Arial"/>
          <w:szCs w:val="20"/>
          <w:vertAlign w:val="subscript"/>
        </w:rPr>
        <w:t>5</w:t>
      </w:r>
      <w:r w:rsidRPr="00216DBB">
        <w:rPr>
          <w:rFonts w:cs="Arial"/>
          <w:szCs w:val="20"/>
        </w:rPr>
        <w:t>Y</w:t>
      </w:r>
      <w:r w:rsidRPr="00216DBB">
        <w:rPr>
          <w:rFonts w:cs="Arial"/>
          <w:szCs w:val="20"/>
          <w:vertAlign w:val="subscript"/>
        </w:rPr>
        <w:t>6</w:t>
      </w:r>
      <w:r w:rsidRPr="00216DBB">
        <w:rPr>
          <w:rFonts w:cs="Arial"/>
          <w:szCs w:val="20"/>
        </w:rPr>
        <w:t>Y</w:t>
      </w:r>
      <w:r w:rsidRPr="00216DBB">
        <w:rPr>
          <w:rFonts w:cs="Arial"/>
          <w:szCs w:val="20"/>
          <w:vertAlign w:val="subscript"/>
        </w:rPr>
        <w:t>7</w:t>
      </w:r>
      <w:r w:rsidRPr="00216DBB">
        <w:rPr>
          <w:rFonts w:cs="Arial"/>
          <w:szCs w:val="20"/>
        </w:rPr>
        <w:t>Y</w:t>
      </w:r>
      <w:r w:rsidRPr="00216DBB">
        <w:rPr>
          <w:rFonts w:cs="Arial"/>
          <w:szCs w:val="20"/>
          <w:vertAlign w:val="subscript"/>
        </w:rPr>
        <w:t>8</w:t>
      </w:r>
      <w:r w:rsidRPr="00216DBB">
        <w:rPr>
          <w:rFonts w:cs="Arial"/>
          <w:szCs w:val="20"/>
        </w:rPr>
        <w:t>Y</w:t>
      </w:r>
      <w:r w:rsidRPr="00216DBB">
        <w:rPr>
          <w:rFonts w:cs="Arial"/>
          <w:szCs w:val="20"/>
          <w:vertAlign w:val="subscript"/>
        </w:rPr>
        <w:t>9</w:t>
      </w:r>
      <w:r w:rsidRPr="00216DBB">
        <w:rPr>
          <w:rFonts w:cs="Arial"/>
          <w:szCs w:val="20"/>
        </w:rPr>
        <w:t xml:space="preserve"> = a non-sequential pseudorandom number, to be determined by the manufacturer using a time-varying seed that has a negligible chance of repeating, e. g. a random value that is generated for each use, such as a timestamp, a sequence number, or some combination of these.</w:t>
      </w:r>
      <w:r w:rsidRPr="00216DBB">
        <w:rPr>
          <w:rFonts w:cs="Arial"/>
          <w:szCs w:val="20"/>
          <w:lang w:eastAsia="ja-JP"/>
        </w:rPr>
        <w:t xml:space="preserve">) </w:t>
      </w:r>
      <w:r w:rsidRPr="00216DBB">
        <w:rPr>
          <w:rFonts w:cs="Arial"/>
          <w:szCs w:val="20"/>
          <w:lang w:eastAsia="zh-CN"/>
        </w:rPr>
        <w:t>Duplication of numbers is acceptable but should be avoided insofar as possible.</w:t>
      </w:r>
    </w:p>
    <w:p w14:paraId="01B0477D" w14:textId="155884CC" w:rsidR="00A230F2" w:rsidRPr="00216DBB" w:rsidRDefault="00A230F2" w:rsidP="00A230F2">
      <w:pPr>
        <w:pStyle w:val="ECCAnnexheading2"/>
        <w:rPr>
          <w:lang w:val="en-GB"/>
        </w:rPr>
      </w:pPr>
      <w:r w:rsidRPr="00216DBB">
        <w:rPr>
          <w:lang w:val="en-GB"/>
        </w:rPr>
        <w:t>comments concern</w:t>
      </w:r>
      <w:r w:rsidR="0068378E" w:rsidRPr="00216DBB">
        <w:rPr>
          <w:lang w:val="en-GB"/>
        </w:rPr>
        <w:t>i</w:t>
      </w:r>
      <w:r w:rsidRPr="00216DBB">
        <w:rPr>
          <w:lang w:val="en-GB"/>
        </w:rPr>
        <w:t xml:space="preserve">ng registration </w:t>
      </w:r>
    </w:p>
    <w:p w14:paraId="115E6CFD" w14:textId="2E5EB9E1" w:rsidR="005C7E71" w:rsidRPr="00216DBB" w:rsidRDefault="00D737A1" w:rsidP="00A24E50">
      <w:pPr>
        <w:pStyle w:val="ECCParagraph"/>
      </w:pPr>
      <w:r w:rsidRPr="00216DBB">
        <w:t>AMRD Group A, which are MAtoN</w:t>
      </w:r>
      <w:r w:rsidR="00D94895" w:rsidRPr="00216DBB">
        <w:t>s</w:t>
      </w:r>
      <w:r w:rsidRPr="00216DBB">
        <w:t>, are the responsibility of an administration, consequently in any case registration is</w:t>
      </w:r>
      <w:r w:rsidR="00D94895" w:rsidRPr="00216DBB">
        <w:t xml:space="preserve"> mandatory</w:t>
      </w:r>
      <w:r w:rsidR="001A3C06" w:rsidRPr="00216DBB">
        <w:t>, e. g. through licensing</w:t>
      </w:r>
      <w:r w:rsidRPr="00216DBB">
        <w:t>.</w:t>
      </w:r>
      <w:r w:rsidR="00563981" w:rsidRPr="00216DBB">
        <w:t xml:space="preserve"> MAtoN</w:t>
      </w:r>
      <w:r w:rsidR="00D94895" w:rsidRPr="00216DBB">
        <w:t>s</w:t>
      </w:r>
      <w:r w:rsidR="00563981" w:rsidRPr="00216DBB">
        <w:t xml:space="preserve"> should be listed in the MARS data base.</w:t>
      </w:r>
    </w:p>
    <w:p w14:paraId="555DE240" w14:textId="0D59BE26" w:rsidR="00D737A1" w:rsidRPr="00216DBB" w:rsidRDefault="001A3C06" w:rsidP="00A24E50">
      <w:pPr>
        <w:pStyle w:val="ECCParagraph"/>
      </w:pPr>
      <w:r w:rsidRPr="00216DBB">
        <w:t xml:space="preserve">For AMRD Group A </w:t>
      </w:r>
      <w:r w:rsidR="00467DED" w:rsidRPr="00216DBB">
        <w:t xml:space="preserve">MOB using VHF </w:t>
      </w:r>
      <w:r w:rsidRPr="00216DBB">
        <w:t xml:space="preserve">DSC </w:t>
      </w:r>
      <w:r w:rsidR="00467DED" w:rsidRPr="00216DBB">
        <w:t>(</w:t>
      </w:r>
      <w:r w:rsidRPr="00216DBB">
        <w:t>Class M</w:t>
      </w:r>
      <w:r w:rsidR="00467DED" w:rsidRPr="00216DBB">
        <w:t>)</w:t>
      </w:r>
      <w:r w:rsidR="00A75B79">
        <w:t>,</w:t>
      </w:r>
      <w:r w:rsidRPr="00216DBB">
        <w:t xml:space="preserve"> the limitation of six digits for manufacturer and device ID is insufficient for a unique per-device registration. However, a registration on national basis is possible if an administration wants to do so. </w:t>
      </w:r>
    </w:p>
    <w:p w14:paraId="25C2A3F0" w14:textId="5A6D7786" w:rsidR="002C0710" w:rsidRPr="00216DBB" w:rsidRDefault="002C0710" w:rsidP="00A24E50">
      <w:pPr>
        <w:pStyle w:val="ECCParagraph"/>
      </w:pPr>
      <w:r w:rsidRPr="00216DBB">
        <w:t xml:space="preserve">AMRD Group B </w:t>
      </w:r>
      <w:r w:rsidR="00C46288" w:rsidRPr="00216DBB">
        <w:t xml:space="preserve">operate on channel 2006, which is not monitored by general shipping. There is no risk of interference to safety related devices on board of vessels. </w:t>
      </w:r>
      <w:r w:rsidR="00474464" w:rsidRPr="00216DBB">
        <w:t>R</w:t>
      </w:r>
      <w:r w:rsidR="00C46288" w:rsidRPr="00216DBB">
        <w:t>egistration of AMRD Group B</w:t>
      </w:r>
      <w:r w:rsidR="00474464" w:rsidRPr="00216DBB">
        <w:t xml:space="preserve"> </w:t>
      </w:r>
      <w:r w:rsidR="00C46288" w:rsidRPr="00216DBB">
        <w:t>seems unnecessary</w:t>
      </w:r>
      <w:r w:rsidR="007B579C" w:rsidRPr="00216DBB">
        <w:t>,</w:t>
      </w:r>
      <w:r w:rsidR="00C46288" w:rsidRPr="00216DBB">
        <w:t xml:space="preserve"> </w:t>
      </w:r>
      <w:r w:rsidR="007B579C" w:rsidRPr="00216DBB">
        <w:t>h</w:t>
      </w:r>
      <w:r w:rsidR="00C46288" w:rsidRPr="00216DBB">
        <w:t>owever a registration on national bas</w:t>
      </w:r>
      <w:r w:rsidR="007B579C" w:rsidRPr="00216DBB">
        <w:t>is</w:t>
      </w:r>
      <w:r w:rsidR="00C46288" w:rsidRPr="00216DBB">
        <w:t xml:space="preserve"> is possible if an administration wants to do so.</w:t>
      </w:r>
    </w:p>
    <w:p w14:paraId="6177B508" w14:textId="603DC085" w:rsidR="00A230F2" w:rsidRPr="00216DBB" w:rsidRDefault="00A230F2" w:rsidP="00CD57A3">
      <w:pPr>
        <w:pStyle w:val="ECCAnnexheading2"/>
        <w:rPr>
          <w:lang w:val="en-GB"/>
        </w:rPr>
      </w:pPr>
      <w:r w:rsidRPr="00216DBB">
        <w:rPr>
          <w:lang w:val="en-GB"/>
        </w:rPr>
        <w:lastRenderedPageBreak/>
        <w:t>conclusions</w:t>
      </w:r>
    </w:p>
    <w:p w14:paraId="4767AD6B" w14:textId="277DA0EB" w:rsidR="00A230F2" w:rsidRPr="00216DBB" w:rsidRDefault="00403207" w:rsidP="00A24E50">
      <w:pPr>
        <w:pStyle w:val="ECCParagraph"/>
      </w:pPr>
      <w:r w:rsidRPr="00216DBB">
        <w:t>In CEPT countries</w:t>
      </w:r>
      <w:r w:rsidR="00AD6B2B">
        <w:t>,</w:t>
      </w:r>
      <w:r w:rsidRPr="00216DBB">
        <w:t xml:space="preserve"> AMRD Group A representing MAtoN </w:t>
      </w:r>
      <w:r w:rsidR="00D00CAE" w:rsidRPr="00216DBB">
        <w:t>should be</w:t>
      </w:r>
      <w:r w:rsidRPr="00216DBB">
        <w:t xml:space="preserve"> registered in the MARS data base</w:t>
      </w:r>
      <w:r w:rsidR="00D00CAE" w:rsidRPr="00216DBB">
        <w:t>.</w:t>
      </w:r>
    </w:p>
    <w:p w14:paraId="2659F797" w14:textId="3AC691C8" w:rsidR="00403207" w:rsidRPr="00216DBB" w:rsidRDefault="00403207" w:rsidP="00A24E50">
      <w:pPr>
        <w:pStyle w:val="ECCParagraph"/>
      </w:pPr>
      <w:r w:rsidRPr="00216DBB">
        <w:t>In CEPT countries</w:t>
      </w:r>
      <w:r w:rsidR="00AD6B2B">
        <w:t>,</w:t>
      </w:r>
      <w:r w:rsidRPr="00216DBB">
        <w:t xml:space="preserve"> AMRD Group A representing MOB devices </w:t>
      </w:r>
      <w:r w:rsidR="00467DED" w:rsidRPr="00216DBB">
        <w:t xml:space="preserve">using VHF </w:t>
      </w:r>
      <w:r w:rsidRPr="00216DBB">
        <w:t xml:space="preserve">DSC </w:t>
      </w:r>
      <w:r w:rsidR="00467DED" w:rsidRPr="00216DBB">
        <w:t>(</w:t>
      </w:r>
      <w:r w:rsidRPr="00216DBB">
        <w:t>Class M</w:t>
      </w:r>
      <w:r w:rsidR="00467DED" w:rsidRPr="00216DBB">
        <w:t>)</w:t>
      </w:r>
      <w:r w:rsidRPr="00216DBB">
        <w:t xml:space="preserve"> are not </w:t>
      </w:r>
      <w:r w:rsidR="00D00CAE" w:rsidRPr="00216DBB">
        <w:t xml:space="preserve">currently </w:t>
      </w:r>
      <w:r w:rsidRPr="00216DBB">
        <w:t>registered in the MARS data base but optionally in a national data base.</w:t>
      </w:r>
    </w:p>
    <w:p w14:paraId="63260621" w14:textId="0D488DF0" w:rsidR="00403207" w:rsidRPr="00216DBB" w:rsidRDefault="00403207" w:rsidP="00A24E50">
      <w:pPr>
        <w:pStyle w:val="ECCParagraph"/>
      </w:pPr>
      <w:r w:rsidRPr="00216DBB">
        <w:t>In CEPT countries</w:t>
      </w:r>
      <w:r w:rsidR="00AD6B2B">
        <w:t>,</w:t>
      </w:r>
      <w:r w:rsidRPr="00216DBB">
        <w:t xml:space="preserve"> AMRD Group B are not registered in the MARS data base but </w:t>
      </w:r>
      <w:r w:rsidR="00D00CAE" w:rsidRPr="00216DBB">
        <w:t xml:space="preserve">could </w:t>
      </w:r>
      <w:r w:rsidRPr="00216DBB">
        <w:t xml:space="preserve">optionally </w:t>
      </w:r>
      <w:r w:rsidR="00D00CAE" w:rsidRPr="00216DBB">
        <w:t xml:space="preserve">be registered </w:t>
      </w:r>
      <w:r w:rsidRPr="00216DBB">
        <w:t>in a national data base.</w:t>
      </w:r>
    </w:p>
    <w:p w14:paraId="51318CBE" w14:textId="3B0C84E3" w:rsidR="006C03D0" w:rsidRPr="00216DBB" w:rsidRDefault="005F7AD5" w:rsidP="00555266">
      <w:pPr>
        <w:pStyle w:val="ECCAnnex-heading1"/>
      </w:pPr>
      <w:bookmarkStart w:id="5" w:name="_Toc280099660"/>
      <w:r w:rsidRPr="00216DBB">
        <w:lastRenderedPageBreak/>
        <w:t>List of reference</w:t>
      </w:r>
      <w:bookmarkEnd w:id="5"/>
      <w:r w:rsidR="0039074D">
        <w:t>s</w:t>
      </w:r>
    </w:p>
    <w:p w14:paraId="63B984CB" w14:textId="6D72B1D1" w:rsidR="006C03D0" w:rsidRPr="00216DBB" w:rsidRDefault="00800F72" w:rsidP="0039074D">
      <w:pPr>
        <w:pStyle w:val="reference"/>
        <w:numPr>
          <w:ilvl w:val="0"/>
          <w:numId w:val="11"/>
        </w:numPr>
        <w:spacing w:before="60" w:after="60"/>
        <w:rPr>
          <w:lang w:val="en-GB"/>
        </w:rPr>
      </w:pPr>
      <w:bookmarkStart w:id="6" w:name="_Ref94785715"/>
      <w:r w:rsidRPr="00216DBB">
        <w:rPr>
          <w:lang w:val="en-GB"/>
        </w:rPr>
        <w:t>Recommendation ITU-R M.2135</w:t>
      </w:r>
      <w:r w:rsidR="00563981" w:rsidRPr="00216DBB">
        <w:rPr>
          <w:lang w:val="en-GB"/>
        </w:rPr>
        <w:t xml:space="preserve"> “Technical characteristics of autonomous maritime radio devices operating in the frequency band 156-162.05 MHz”</w:t>
      </w:r>
      <w:bookmarkEnd w:id="6"/>
    </w:p>
    <w:p w14:paraId="5F283A7C" w14:textId="4EFAAFBC" w:rsidR="006C03D0" w:rsidRPr="00216DBB" w:rsidRDefault="00800F72" w:rsidP="0039074D">
      <w:pPr>
        <w:pStyle w:val="reference"/>
        <w:spacing w:before="60" w:after="60"/>
        <w:rPr>
          <w:lang w:val="en-GB"/>
        </w:rPr>
      </w:pPr>
      <w:bookmarkStart w:id="7" w:name="_Ref94786426"/>
      <w:r w:rsidRPr="00216DBB">
        <w:rPr>
          <w:lang w:val="en-GB"/>
        </w:rPr>
        <w:t>Recommendation ITU-R M.493</w:t>
      </w:r>
      <w:r w:rsidR="00563981" w:rsidRPr="00216DBB">
        <w:rPr>
          <w:lang w:val="en-GB"/>
        </w:rPr>
        <w:t xml:space="preserve"> “Digital selective-calling system for use in the maritime mobile service“</w:t>
      </w:r>
      <w:bookmarkEnd w:id="7"/>
    </w:p>
    <w:p w14:paraId="25587F9D" w14:textId="3961C8AD" w:rsidR="006C03D0" w:rsidRPr="00216DBB" w:rsidRDefault="00800F72" w:rsidP="0039074D">
      <w:pPr>
        <w:pStyle w:val="reference"/>
        <w:spacing w:before="60" w:after="60"/>
        <w:rPr>
          <w:lang w:val="en-GB"/>
        </w:rPr>
      </w:pPr>
      <w:bookmarkStart w:id="8" w:name="_Ref94786407"/>
      <w:r w:rsidRPr="00216DBB">
        <w:rPr>
          <w:lang w:val="en-GB"/>
        </w:rPr>
        <w:t>Recommendation ITU-R M.1371</w:t>
      </w:r>
      <w:r w:rsidR="00563981" w:rsidRPr="00216DBB">
        <w:rPr>
          <w:lang w:val="en-GB"/>
        </w:rPr>
        <w:t xml:space="preserve"> “Technical characteristics for an automatic identification system using time division multiple access in the VHF maritime mobile frequency band”</w:t>
      </w:r>
      <w:bookmarkEnd w:id="8"/>
    </w:p>
    <w:p w14:paraId="00A3FDCE" w14:textId="30DE354D" w:rsidR="00800F72" w:rsidRPr="00216DBB" w:rsidRDefault="00800F72" w:rsidP="0039074D">
      <w:pPr>
        <w:pStyle w:val="reference"/>
        <w:spacing w:before="60" w:after="60"/>
        <w:rPr>
          <w:lang w:val="en-GB"/>
        </w:rPr>
      </w:pPr>
      <w:bookmarkStart w:id="9" w:name="_Ref94786443"/>
      <w:r w:rsidRPr="00216DBB">
        <w:rPr>
          <w:lang w:val="en-GB"/>
        </w:rPr>
        <w:t>Recommendation ITU-R M.585</w:t>
      </w:r>
      <w:r w:rsidR="00D768ED" w:rsidRPr="00216DBB">
        <w:rPr>
          <w:lang w:val="en-GB"/>
        </w:rPr>
        <w:t xml:space="preserve"> “Assignment and use of identities in the maritime mobile service”</w:t>
      </w:r>
      <w:bookmarkEnd w:id="9"/>
    </w:p>
    <w:p w14:paraId="496D10F3" w14:textId="04B11C9F" w:rsidR="00800F72" w:rsidRPr="00216DBB" w:rsidRDefault="00800F72" w:rsidP="0039074D">
      <w:pPr>
        <w:pStyle w:val="reference"/>
        <w:spacing w:before="60" w:after="60"/>
        <w:rPr>
          <w:lang w:val="en-GB"/>
        </w:rPr>
      </w:pPr>
      <w:bookmarkStart w:id="10" w:name="_Ref94785567"/>
      <w:r w:rsidRPr="00216DBB">
        <w:rPr>
          <w:lang w:val="en-GB"/>
        </w:rPr>
        <w:t>IALA Recommendation</w:t>
      </w:r>
      <w:r w:rsidR="0098726E" w:rsidRPr="00216DBB">
        <w:rPr>
          <w:lang w:val="en-GB"/>
        </w:rPr>
        <w:t xml:space="preserve"> R1016</w:t>
      </w:r>
      <w:r w:rsidR="00EE273E">
        <w:rPr>
          <w:lang w:val="en-GB"/>
        </w:rPr>
        <w:t>,</w:t>
      </w:r>
      <w:r w:rsidR="00C066BE">
        <w:rPr>
          <w:lang w:val="en-GB"/>
        </w:rPr>
        <w:t xml:space="preserve"> </w:t>
      </w:r>
      <w:r w:rsidR="00D97CC0" w:rsidRPr="00216DBB">
        <w:rPr>
          <w:lang w:val="en-GB"/>
        </w:rPr>
        <w:t>Ed</w:t>
      </w:r>
      <w:r w:rsidR="00EE273E">
        <w:rPr>
          <w:lang w:val="en-GB"/>
        </w:rPr>
        <w:t xml:space="preserve">ition </w:t>
      </w:r>
      <w:r w:rsidR="00D97CC0" w:rsidRPr="00216DBB">
        <w:rPr>
          <w:lang w:val="en-GB"/>
        </w:rPr>
        <w:t>1</w:t>
      </w:r>
      <w:r w:rsidR="00EE273E">
        <w:rPr>
          <w:lang w:val="en-GB"/>
        </w:rPr>
        <w:t>:</w:t>
      </w:r>
      <w:r w:rsidR="00D369F0" w:rsidRPr="00216DBB">
        <w:rPr>
          <w:lang w:val="en-GB"/>
        </w:rPr>
        <w:t xml:space="preserve"> “Mobile Marine Aids to Navigation (MAtoN)”</w:t>
      </w:r>
      <w:bookmarkEnd w:id="10"/>
    </w:p>
    <w:p w14:paraId="178282DB" w14:textId="058BCFB6" w:rsidR="00407A6D" w:rsidRPr="00216DBB" w:rsidRDefault="00407A6D" w:rsidP="0039074D">
      <w:pPr>
        <w:pStyle w:val="reference"/>
        <w:spacing w:before="60" w:after="60"/>
        <w:rPr>
          <w:lang w:val="en-GB"/>
        </w:rPr>
      </w:pPr>
      <w:bookmarkStart w:id="11" w:name="_Ref94785851"/>
      <w:r w:rsidRPr="00216DBB">
        <w:rPr>
          <w:lang w:val="en-GB"/>
        </w:rPr>
        <w:t>ITU Radio Regulations</w:t>
      </w:r>
      <w:r w:rsidR="00BA5F70">
        <w:rPr>
          <w:lang w:val="en-GB"/>
        </w:rPr>
        <w:t>,</w:t>
      </w:r>
      <w:r w:rsidR="00AF25FF" w:rsidRPr="00216DBB">
        <w:rPr>
          <w:lang w:val="en-GB"/>
        </w:rPr>
        <w:t xml:space="preserve"> Edition of 2020</w:t>
      </w:r>
      <w:bookmarkEnd w:id="11"/>
    </w:p>
    <w:p w14:paraId="38F512A1" w14:textId="786F61E7" w:rsidR="006B1D15" w:rsidRPr="00216DBB" w:rsidRDefault="006B1D15" w:rsidP="0039074D">
      <w:pPr>
        <w:pStyle w:val="reference"/>
        <w:spacing w:before="60" w:after="60"/>
        <w:rPr>
          <w:lang w:val="en-GB"/>
        </w:rPr>
      </w:pPr>
      <w:bookmarkStart w:id="12" w:name="_Ref94785884"/>
      <w:r w:rsidRPr="00216DBB">
        <w:rPr>
          <w:lang w:val="en-GB"/>
        </w:rPr>
        <w:t>IMO, SOLAS</w:t>
      </w:r>
      <w:r w:rsidR="00AF25FF" w:rsidRPr="00216DBB">
        <w:rPr>
          <w:lang w:val="en-GB"/>
        </w:rPr>
        <w:t xml:space="preserve"> “International Convention for the Safety of Life at Sea, 1974”</w:t>
      </w:r>
      <w:bookmarkEnd w:id="12"/>
    </w:p>
    <w:p w14:paraId="4F247856" w14:textId="77777777" w:rsidR="006C03D0" w:rsidRPr="00216DBB" w:rsidRDefault="006C03D0" w:rsidP="006C03D0">
      <w:pPr>
        <w:pStyle w:val="ECCParagraph"/>
      </w:pPr>
    </w:p>
    <w:sectPr w:rsidR="006C03D0" w:rsidRPr="00216DBB"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18E2" w14:textId="77777777" w:rsidR="00664AD1" w:rsidRDefault="00664AD1" w:rsidP="006C03D0">
      <w:r>
        <w:separator/>
      </w:r>
    </w:p>
  </w:endnote>
  <w:endnote w:type="continuationSeparator" w:id="0">
    <w:p w14:paraId="6223E2DF" w14:textId="77777777" w:rsidR="00664AD1" w:rsidRDefault="00664AD1"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1B27" w14:textId="77777777" w:rsidR="00664AD1" w:rsidRDefault="00664AD1" w:rsidP="006C03D0">
      <w:r>
        <w:separator/>
      </w:r>
    </w:p>
  </w:footnote>
  <w:footnote w:type="continuationSeparator" w:id="0">
    <w:p w14:paraId="0A808EB6" w14:textId="77777777" w:rsidR="00664AD1" w:rsidRDefault="00664AD1" w:rsidP="006C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5063" w14:textId="03BC20AB" w:rsidR="00FA4704" w:rsidRPr="00CA6067" w:rsidRDefault="00B03382">
    <w:pPr>
      <w:pStyle w:val="Header"/>
      <w:rPr>
        <w:szCs w:val="16"/>
        <w:lang w:val="en-GB"/>
      </w:rPr>
    </w:pPr>
    <w:r w:rsidRPr="00CA6067">
      <w:rPr>
        <w:lang w:val="en-GB"/>
      </w:rPr>
      <w:t>ECC/DEC/</w:t>
    </w:r>
    <w:r w:rsidR="00FA4704" w:rsidRPr="00CA6067">
      <w:rPr>
        <w:lang w:val="en-GB"/>
      </w:rPr>
      <w:t>(</w:t>
    </w:r>
    <w:r w:rsidR="009F61F2">
      <w:rPr>
        <w:lang w:val="en-GB"/>
      </w:rPr>
      <w:t>22</w:t>
    </w:r>
    <w:r w:rsidR="00FA4704" w:rsidRPr="00CA6067">
      <w:rPr>
        <w:lang w:val="en-GB"/>
      </w:rPr>
      <w:t>)</w:t>
    </w:r>
    <w:r w:rsidR="009F61F2">
      <w:rPr>
        <w:lang w:val="en-GB"/>
      </w:rPr>
      <w:t>02</w:t>
    </w:r>
    <w:r w:rsidR="00FA4704" w:rsidRPr="00CA6067">
      <w:rPr>
        <w:lang w:val="en-GB"/>
      </w:rPr>
      <w:t xml:space="preserve"> </w:t>
    </w:r>
    <w:r w:rsidR="00FA4704" w:rsidRPr="00CA6067">
      <w:rPr>
        <w:szCs w:val="16"/>
        <w:lang w:val="en-GB"/>
      </w:rPr>
      <w:t xml:space="preserve">Page </w:t>
    </w:r>
    <w:r w:rsidR="00FA4704" w:rsidRPr="00CA6067">
      <w:rPr>
        <w:lang w:val="en-GB"/>
      </w:rPr>
      <w:fldChar w:fldCharType="begin"/>
    </w:r>
    <w:r w:rsidR="00FA4704" w:rsidRPr="00CA6067">
      <w:rPr>
        <w:lang w:val="en-GB"/>
      </w:rPr>
      <w:instrText xml:space="preserve"> PAGE  \* Arabic  \* MERGEFORMAT </w:instrText>
    </w:r>
    <w:r w:rsidR="00FA4704" w:rsidRPr="00CA6067">
      <w:rPr>
        <w:lang w:val="en-GB"/>
      </w:rPr>
      <w:fldChar w:fldCharType="separate"/>
    </w:r>
    <w:r w:rsidR="00644EF9" w:rsidRPr="00CA6067">
      <w:rPr>
        <w:szCs w:val="16"/>
        <w:lang w:val="en-GB"/>
      </w:rPr>
      <w:t>10</w:t>
    </w:r>
    <w:r w:rsidR="00FA4704" w:rsidRPr="00CA6067">
      <w:rPr>
        <w:szCs w:val="16"/>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36A2" w14:textId="633DF82B" w:rsidR="00FA4704" w:rsidRPr="0050221A" w:rsidRDefault="00B03382" w:rsidP="006C03D0">
    <w:pPr>
      <w:pStyle w:val="Header"/>
      <w:jc w:val="right"/>
      <w:rPr>
        <w:szCs w:val="16"/>
        <w:lang w:val="en-GB"/>
      </w:rPr>
    </w:pPr>
    <w:r w:rsidRPr="0050221A">
      <w:rPr>
        <w:lang w:val="en-GB"/>
      </w:rPr>
      <w:t>ECC/DEC/</w:t>
    </w:r>
    <w:r w:rsidR="00FA4704" w:rsidRPr="0050221A">
      <w:rPr>
        <w:lang w:val="en-GB"/>
      </w:rPr>
      <w:t>(</w:t>
    </w:r>
    <w:r w:rsidR="009F61F2">
      <w:rPr>
        <w:lang w:val="en-GB"/>
      </w:rPr>
      <w:t>22</w:t>
    </w:r>
    <w:r w:rsidR="00FA4704" w:rsidRPr="0050221A">
      <w:rPr>
        <w:lang w:val="en-GB"/>
      </w:rPr>
      <w:t>)</w:t>
    </w:r>
    <w:r w:rsidR="009F61F2">
      <w:rPr>
        <w:lang w:val="en-GB"/>
      </w:rPr>
      <w:t>02</w:t>
    </w:r>
    <w:r w:rsidR="00FA4704" w:rsidRPr="0050221A">
      <w:rPr>
        <w:lang w:val="en-GB"/>
      </w:rPr>
      <w:t xml:space="preserve"> </w:t>
    </w:r>
    <w:r w:rsidR="00FA4704" w:rsidRPr="0050221A">
      <w:rPr>
        <w:szCs w:val="16"/>
        <w:lang w:val="en-GB"/>
      </w:rPr>
      <w:t xml:space="preserve">Page </w:t>
    </w:r>
    <w:r w:rsidR="00FA4704" w:rsidRPr="0050221A">
      <w:rPr>
        <w:lang w:val="en-GB"/>
      </w:rPr>
      <w:fldChar w:fldCharType="begin"/>
    </w:r>
    <w:r w:rsidR="00FA4704" w:rsidRPr="0050221A">
      <w:rPr>
        <w:lang w:val="en-GB"/>
      </w:rPr>
      <w:instrText xml:space="preserve"> PAGE  \* Arabic  \* MERGEFORMAT </w:instrText>
    </w:r>
    <w:r w:rsidR="00FA4704" w:rsidRPr="0050221A">
      <w:rPr>
        <w:lang w:val="en-GB"/>
      </w:rPr>
      <w:fldChar w:fldCharType="separate"/>
    </w:r>
    <w:r w:rsidR="00644EF9" w:rsidRPr="0050221A">
      <w:rPr>
        <w:szCs w:val="16"/>
        <w:lang w:val="en-GB"/>
      </w:rPr>
      <w:t>11</w:t>
    </w:r>
    <w:r w:rsidR="00FA4704" w:rsidRPr="0050221A">
      <w:rPr>
        <w:szCs w:val="16"/>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5164" w14:textId="022FEDA2" w:rsidR="00FA4704" w:rsidRDefault="00FA4704">
    <w:pPr>
      <w:pStyle w:val="Header"/>
    </w:pPr>
    <w:r>
      <w:rPr>
        <w:noProof/>
        <w:szCs w:val="20"/>
        <w:lang w:val="en-IE" w:eastAsia="en-IE"/>
      </w:rPr>
      <w:drawing>
        <wp:anchor distT="0" distB="0" distL="114300" distR="114300" simplePos="0" relativeHeight="251658240" behindDoc="0" locked="0" layoutInCell="1" allowOverlap="1" wp14:anchorId="36C69346" wp14:editId="7B0CC815">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IE" w:eastAsia="en-IE"/>
      </w:rPr>
      <w:drawing>
        <wp:anchor distT="0" distB="0" distL="114300" distR="114300" simplePos="0" relativeHeight="251657216" behindDoc="0" locked="0" layoutInCell="1" allowOverlap="1" wp14:anchorId="3464BDCC" wp14:editId="17D211CE">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CEB1D79"/>
    <w:multiLevelType w:val="hybridMultilevel"/>
    <w:tmpl w:val="441A07CC"/>
    <w:lvl w:ilvl="0" w:tplc="823A4A4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7"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530784A"/>
    <w:multiLevelType w:val="hybridMultilevel"/>
    <w:tmpl w:val="1A88249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A305ACC"/>
    <w:multiLevelType w:val="hybridMultilevel"/>
    <w:tmpl w:val="2DE2A028"/>
    <w:lvl w:ilvl="0" w:tplc="EC4815D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5482448">
    <w:abstractNumId w:val="12"/>
  </w:num>
  <w:num w:numId="2" w16cid:durableId="770853759">
    <w:abstractNumId w:val="22"/>
  </w:num>
  <w:num w:numId="3" w16cid:durableId="1711419214">
    <w:abstractNumId w:val="15"/>
  </w:num>
  <w:num w:numId="4" w16cid:durableId="951520571">
    <w:abstractNumId w:val="5"/>
  </w:num>
  <w:num w:numId="5" w16cid:durableId="961302911">
    <w:abstractNumId w:val="16"/>
  </w:num>
  <w:num w:numId="6" w16cid:durableId="1705859483">
    <w:abstractNumId w:val="9"/>
  </w:num>
  <w:num w:numId="7" w16cid:durableId="1958639194">
    <w:abstractNumId w:val="8"/>
  </w:num>
  <w:num w:numId="8" w16cid:durableId="604656843">
    <w:abstractNumId w:val="14"/>
  </w:num>
  <w:num w:numId="9" w16cid:durableId="1364474402">
    <w:abstractNumId w:val="13"/>
  </w:num>
  <w:num w:numId="10" w16cid:durableId="798844664">
    <w:abstractNumId w:val="10"/>
  </w:num>
  <w:num w:numId="11" w16cid:durableId="1485511600">
    <w:abstractNumId w:val="14"/>
    <w:lvlOverride w:ilvl="0">
      <w:startOverride w:val="1"/>
    </w:lvlOverride>
  </w:num>
  <w:num w:numId="12" w16cid:durableId="417410157">
    <w:abstractNumId w:val="4"/>
  </w:num>
  <w:num w:numId="13" w16cid:durableId="1517765438">
    <w:abstractNumId w:val="1"/>
  </w:num>
  <w:num w:numId="14" w16cid:durableId="1850484883">
    <w:abstractNumId w:val="18"/>
  </w:num>
  <w:num w:numId="15" w16cid:durableId="1006399216">
    <w:abstractNumId w:val="17"/>
  </w:num>
  <w:num w:numId="16" w16cid:durableId="19902847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251719">
    <w:abstractNumId w:val="6"/>
  </w:num>
  <w:num w:numId="18" w16cid:durableId="1364359850">
    <w:abstractNumId w:val="7"/>
  </w:num>
  <w:num w:numId="19" w16cid:durableId="216205526">
    <w:abstractNumId w:val="19"/>
  </w:num>
  <w:num w:numId="20" w16cid:durableId="1603103204">
    <w:abstractNumId w:val="11"/>
  </w:num>
  <w:num w:numId="21" w16cid:durableId="564148037">
    <w:abstractNumId w:val="23"/>
  </w:num>
  <w:num w:numId="22" w16cid:durableId="1800605133">
    <w:abstractNumId w:val="24"/>
  </w:num>
  <w:num w:numId="23" w16cid:durableId="859273187">
    <w:abstractNumId w:val="0"/>
  </w:num>
  <w:num w:numId="24" w16cid:durableId="1199243673">
    <w:abstractNumId w:val="2"/>
  </w:num>
  <w:num w:numId="25" w16cid:durableId="953439876">
    <w:abstractNumId w:val="21"/>
  </w:num>
  <w:num w:numId="26" w16cid:durableId="1502811955">
    <w:abstractNumId w:val="17"/>
  </w:num>
  <w:num w:numId="27" w16cid:durableId="1886720610">
    <w:abstractNumId w:val="17"/>
  </w:num>
  <w:num w:numId="28" w16cid:durableId="1781752564">
    <w:abstractNumId w:val="3"/>
  </w:num>
  <w:num w:numId="29" w16cid:durableId="233274064">
    <w:abstractNumId w:val="17"/>
  </w:num>
  <w:num w:numId="30" w16cid:durableId="17198899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C1"/>
    <w:rsid w:val="00006BA3"/>
    <w:rsid w:val="0001033C"/>
    <w:rsid w:val="00010536"/>
    <w:rsid w:val="00010DC3"/>
    <w:rsid w:val="0001178B"/>
    <w:rsid w:val="0001391C"/>
    <w:rsid w:val="00017E67"/>
    <w:rsid w:val="000224EA"/>
    <w:rsid w:val="00031379"/>
    <w:rsid w:val="0004577F"/>
    <w:rsid w:val="00052E01"/>
    <w:rsid w:val="000613FB"/>
    <w:rsid w:val="00064960"/>
    <w:rsid w:val="00072236"/>
    <w:rsid w:val="00072B81"/>
    <w:rsid w:val="0007447F"/>
    <w:rsid w:val="00074CA7"/>
    <w:rsid w:val="000814D2"/>
    <w:rsid w:val="00082724"/>
    <w:rsid w:val="0008643C"/>
    <w:rsid w:val="000915CA"/>
    <w:rsid w:val="0009386F"/>
    <w:rsid w:val="000963C6"/>
    <w:rsid w:val="000966F2"/>
    <w:rsid w:val="0009799B"/>
    <w:rsid w:val="00097CAF"/>
    <w:rsid w:val="000A2438"/>
    <w:rsid w:val="000A6858"/>
    <w:rsid w:val="000B67CC"/>
    <w:rsid w:val="000C11F6"/>
    <w:rsid w:val="000C183F"/>
    <w:rsid w:val="000C2D74"/>
    <w:rsid w:val="000E51BC"/>
    <w:rsid w:val="000E7967"/>
    <w:rsid w:val="000F1B70"/>
    <w:rsid w:val="000F3919"/>
    <w:rsid w:val="00101166"/>
    <w:rsid w:val="001222B8"/>
    <w:rsid w:val="00122F08"/>
    <w:rsid w:val="0013619B"/>
    <w:rsid w:val="00142D4F"/>
    <w:rsid w:val="00145099"/>
    <w:rsid w:val="001472B8"/>
    <w:rsid w:val="001675ED"/>
    <w:rsid w:val="001714EC"/>
    <w:rsid w:val="00191FE4"/>
    <w:rsid w:val="00192332"/>
    <w:rsid w:val="0019253E"/>
    <w:rsid w:val="001A3C06"/>
    <w:rsid w:val="001A5B3F"/>
    <w:rsid w:val="001A78EC"/>
    <w:rsid w:val="001B1F5E"/>
    <w:rsid w:val="001B1F86"/>
    <w:rsid w:val="001C172A"/>
    <w:rsid w:val="001C46EA"/>
    <w:rsid w:val="001C6B56"/>
    <w:rsid w:val="001C7122"/>
    <w:rsid w:val="001D5021"/>
    <w:rsid w:val="001D730F"/>
    <w:rsid w:val="001E07E9"/>
    <w:rsid w:val="001E0C8D"/>
    <w:rsid w:val="001E36DA"/>
    <w:rsid w:val="001F30B5"/>
    <w:rsid w:val="00205AA9"/>
    <w:rsid w:val="002113C7"/>
    <w:rsid w:val="0021393E"/>
    <w:rsid w:val="00214ED4"/>
    <w:rsid w:val="00216DBB"/>
    <w:rsid w:val="00221428"/>
    <w:rsid w:val="00223174"/>
    <w:rsid w:val="00225B59"/>
    <w:rsid w:val="00232A04"/>
    <w:rsid w:val="00234706"/>
    <w:rsid w:val="00234B79"/>
    <w:rsid w:val="00236AF6"/>
    <w:rsid w:val="00240A32"/>
    <w:rsid w:val="00241711"/>
    <w:rsid w:val="00241E74"/>
    <w:rsid w:val="002437AA"/>
    <w:rsid w:val="00244FEE"/>
    <w:rsid w:val="002457F5"/>
    <w:rsid w:val="00245A28"/>
    <w:rsid w:val="0025116E"/>
    <w:rsid w:val="00251545"/>
    <w:rsid w:val="00253DA4"/>
    <w:rsid w:val="002600E0"/>
    <w:rsid w:val="00265803"/>
    <w:rsid w:val="00266456"/>
    <w:rsid w:val="002741A5"/>
    <w:rsid w:val="002941D5"/>
    <w:rsid w:val="002A1BBE"/>
    <w:rsid w:val="002A20FE"/>
    <w:rsid w:val="002A3F66"/>
    <w:rsid w:val="002A5EBF"/>
    <w:rsid w:val="002A7189"/>
    <w:rsid w:val="002B1EC6"/>
    <w:rsid w:val="002B63EB"/>
    <w:rsid w:val="002C0710"/>
    <w:rsid w:val="002C1D88"/>
    <w:rsid w:val="002C6BF0"/>
    <w:rsid w:val="002D23E0"/>
    <w:rsid w:val="002D2406"/>
    <w:rsid w:val="002D51BB"/>
    <w:rsid w:val="002E00EC"/>
    <w:rsid w:val="002E45FE"/>
    <w:rsid w:val="002F0459"/>
    <w:rsid w:val="002F090B"/>
    <w:rsid w:val="002F2952"/>
    <w:rsid w:val="002F662E"/>
    <w:rsid w:val="003024AC"/>
    <w:rsid w:val="0030298F"/>
    <w:rsid w:val="00312108"/>
    <w:rsid w:val="003143EA"/>
    <w:rsid w:val="00315EBC"/>
    <w:rsid w:val="00317438"/>
    <w:rsid w:val="003241D2"/>
    <w:rsid w:val="003255B4"/>
    <w:rsid w:val="003257D6"/>
    <w:rsid w:val="00343DDB"/>
    <w:rsid w:val="003455EF"/>
    <w:rsid w:val="0034580E"/>
    <w:rsid w:val="0034738F"/>
    <w:rsid w:val="00350E85"/>
    <w:rsid w:val="00352B96"/>
    <w:rsid w:val="003540EB"/>
    <w:rsid w:val="00355A40"/>
    <w:rsid w:val="003564B0"/>
    <w:rsid w:val="00360508"/>
    <w:rsid w:val="00362485"/>
    <w:rsid w:val="00364D84"/>
    <w:rsid w:val="00365B34"/>
    <w:rsid w:val="00366A1E"/>
    <w:rsid w:val="00366CDE"/>
    <w:rsid w:val="00367D3A"/>
    <w:rsid w:val="003763E3"/>
    <w:rsid w:val="0037779B"/>
    <w:rsid w:val="00377AE3"/>
    <w:rsid w:val="00384872"/>
    <w:rsid w:val="00386AA1"/>
    <w:rsid w:val="0039074D"/>
    <w:rsid w:val="0039217C"/>
    <w:rsid w:val="00393510"/>
    <w:rsid w:val="003944E7"/>
    <w:rsid w:val="003A774A"/>
    <w:rsid w:val="003C7636"/>
    <w:rsid w:val="003E64D9"/>
    <w:rsid w:val="003F41B5"/>
    <w:rsid w:val="0040197A"/>
    <w:rsid w:val="00403207"/>
    <w:rsid w:val="004036C9"/>
    <w:rsid w:val="0040405E"/>
    <w:rsid w:val="00407A6D"/>
    <w:rsid w:val="004108F7"/>
    <w:rsid w:val="00412E32"/>
    <w:rsid w:val="00421083"/>
    <w:rsid w:val="00427510"/>
    <w:rsid w:val="004278FA"/>
    <w:rsid w:val="00431BF1"/>
    <w:rsid w:val="00437382"/>
    <w:rsid w:val="00444F64"/>
    <w:rsid w:val="00446DD0"/>
    <w:rsid w:val="00447EA7"/>
    <w:rsid w:val="004518C7"/>
    <w:rsid w:val="00454167"/>
    <w:rsid w:val="00465F50"/>
    <w:rsid w:val="00466513"/>
    <w:rsid w:val="004674CB"/>
    <w:rsid w:val="00467DED"/>
    <w:rsid w:val="00474464"/>
    <w:rsid w:val="00481802"/>
    <w:rsid w:val="00490E7A"/>
    <w:rsid w:val="00496A48"/>
    <w:rsid w:val="004A35DE"/>
    <w:rsid w:val="004A4B0C"/>
    <w:rsid w:val="004A7E77"/>
    <w:rsid w:val="004B1097"/>
    <w:rsid w:val="004C15D3"/>
    <w:rsid w:val="004C5C32"/>
    <w:rsid w:val="004C6411"/>
    <w:rsid w:val="004C730D"/>
    <w:rsid w:val="004D2B33"/>
    <w:rsid w:val="004D4301"/>
    <w:rsid w:val="004D5B84"/>
    <w:rsid w:val="004D5FFB"/>
    <w:rsid w:val="004E1F65"/>
    <w:rsid w:val="004E302C"/>
    <w:rsid w:val="004F46F6"/>
    <w:rsid w:val="0050221A"/>
    <w:rsid w:val="005061A4"/>
    <w:rsid w:val="00511D72"/>
    <w:rsid w:val="00512505"/>
    <w:rsid w:val="0051315E"/>
    <w:rsid w:val="0052319F"/>
    <w:rsid w:val="00524226"/>
    <w:rsid w:val="00525762"/>
    <w:rsid w:val="00533634"/>
    <w:rsid w:val="00533B23"/>
    <w:rsid w:val="00536E52"/>
    <w:rsid w:val="00540635"/>
    <w:rsid w:val="0054240C"/>
    <w:rsid w:val="005435B9"/>
    <w:rsid w:val="00555266"/>
    <w:rsid w:val="00561118"/>
    <w:rsid w:val="00563981"/>
    <w:rsid w:val="00563BB2"/>
    <w:rsid w:val="00571D59"/>
    <w:rsid w:val="0057583E"/>
    <w:rsid w:val="00581E17"/>
    <w:rsid w:val="00582676"/>
    <w:rsid w:val="0058563D"/>
    <w:rsid w:val="00585B0B"/>
    <w:rsid w:val="00585D6C"/>
    <w:rsid w:val="0059361B"/>
    <w:rsid w:val="005B543B"/>
    <w:rsid w:val="005C485E"/>
    <w:rsid w:val="005C7E71"/>
    <w:rsid w:val="005D4160"/>
    <w:rsid w:val="005D4241"/>
    <w:rsid w:val="005E1216"/>
    <w:rsid w:val="005F2BF5"/>
    <w:rsid w:val="005F44A7"/>
    <w:rsid w:val="005F5A40"/>
    <w:rsid w:val="005F689A"/>
    <w:rsid w:val="005F7AD5"/>
    <w:rsid w:val="00605E59"/>
    <w:rsid w:val="00615FF4"/>
    <w:rsid w:val="006404B7"/>
    <w:rsid w:val="006409C5"/>
    <w:rsid w:val="00642C8F"/>
    <w:rsid w:val="006433DE"/>
    <w:rsid w:val="0064458A"/>
    <w:rsid w:val="00644EF9"/>
    <w:rsid w:val="006516E0"/>
    <w:rsid w:val="006553E8"/>
    <w:rsid w:val="006633EF"/>
    <w:rsid w:val="00664AD1"/>
    <w:rsid w:val="00666E46"/>
    <w:rsid w:val="00673BE0"/>
    <w:rsid w:val="00675CE1"/>
    <w:rsid w:val="006805F0"/>
    <w:rsid w:val="0068378E"/>
    <w:rsid w:val="006A7102"/>
    <w:rsid w:val="006B0314"/>
    <w:rsid w:val="006B1D15"/>
    <w:rsid w:val="006B1F9A"/>
    <w:rsid w:val="006B4F67"/>
    <w:rsid w:val="006B7BFB"/>
    <w:rsid w:val="006C03D0"/>
    <w:rsid w:val="006C19C1"/>
    <w:rsid w:val="006C1E14"/>
    <w:rsid w:val="006C2560"/>
    <w:rsid w:val="006C3314"/>
    <w:rsid w:val="006C4C7A"/>
    <w:rsid w:val="006C7A62"/>
    <w:rsid w:val="006D6853"/>
    <w:rsid w:val="006E086B"/>
    <w:rsid w:val="006E0A5A"/>
    <w:rsid w:val="006E4030"/>
    <w:rsid w:val="006E422E"/>
    <w:rsid w:val="0070052E"/>
    <w:rsid w:val="00702796"/>
    <w:rsid w:val="00711BCF"/>
    <w:rsid w:val="00713DBA"/>
    <w:rsid w:val="00721440"/>
    <w:rsid w:val="00721DD7"/>
    <w:rsid w:val="00725D72"/>
    <w:rsid w:val="00730007"/>
    <w:rsid w:val="007364D6"/>
    <w:rsid w:val="00736DCB"/>
    <w:rsid w:val="00743FFF"/>
    <w:rsid w:val="007558B1"/>
    <w:rsid w:val="00755AA7"/>
    <w:rsid w:val="007658FA"/>
    <w:rsid w:val="007664C2"/>
    <w:rsid w:val="00770CAF"/>
    <w:rsid w:val="00771289"/>
    <w:rsid w:val="00771A77"/>
    <w:rsid w:val="0077200E"/>
    <w:rsid w:val="00773E32"/>
    <w:rsid w:val="0079108C"/>
    <w:rsid w:val="007A6CF6"/>
    <w:rsid w:val="007A7ECC"/>
    <w:rsid w:val="007B1823"/>
    <w:rsid w:val="007B579C"/>
    <w:rsid w:val="007C2AC4"/>
    <w:rsid w:val="007C6571"/>
    <w:rsid w:val="007C7E3D"/>
    <w:rsid w:val="007D4BAE"/>
    <w:rsid w:val="007D71BB"/>
    <w:rsid w:val="007D7BF9"/>
    <w:rsid w:val="007E23E4"/>
    <w:rsid w:val="007E4E63"/>
    <w:rsid w:val="00800F72"/>
    <w:rsid w:val="00816FC0"/>
    <w:rsid w:val="00821244"/>
    <w:rsid w:val="0082219D"/>
    <w:rsid w:val="00825174"/>
    <w:rsid w:val="00847CA8"/>
    <w:rsid w:val="00851D4B"/>
    <w:rsid w:val="008635B6"/>
    <w:rsid w:val="00864789"/>
    <w:rsid w:val="008731A8"/>
    <w:rsid w:val="00877249"/>
    <w:rsid w:val="00881565"/>
    <w:rsid w:val="00890453"/>
    <w:rsid w:val="00890AAF"/>
    <w:rsid w:val="008A4462"/>
    <w:rsid w:val="008B17AF"/>
    <w:rsid w:val="008B216D"/>
    <w:rsid w:val="008B64D2"/>
    <w:rsid w:val="008C34A3"/>
    <w:rsid w:val="008C77FD"/>
    <w:rsid w:val="008E15D0"/>
    <w:rsid w:val="00905DC5"/>
    <w:rsid w:val="009115F7"/>
    <w:rsid w:val="00922675"/>
    <w:rsid w:val="00923C25"/>
    <w:rsid w:val="00923C7A"/>
    <w:rsid w:val="009263B5"/>
    <w:rsid w:val="00926B06"/>
    <w:rsid w:val="0093316A"/>
    <w:rsid w:val="0094149D"/>
    <w:rsid w:val="00944066"/>
    <w:rsid w:val="009450E3"/>
    <w:rsid w:val="0094604C"/>
    <w:rsid w:val="00946469"/>
    <w:rsid w:val="00954C46"/>
    <w:rsid w:val="00955DBA"/>
    <w:rsid w:val="00960C34"/>
    <w:rsid w:val="00966716"/>
    <w:rsid w:val="0097248E"/>
    <w:rsid w:val="00983196"/>
    <w:rsid w:val="00984872"/>
    <w:rsid w:val="0098726E"/>
    <w:rsid w:val="00997820"/>
    <w:rsid w:val="009A2B3E"/>
    <w:rsid w:val="009B7EE6"/>
    <w:rsid w:val="009C1C2C"/>
    <w:rsid w:val="009D05ED"/>
    <w:rsid w:val="009D3670"/>
    <w:rsid w:val="009D55E4"/>
    <w:rsid w:val="009D5B7F"/>
    <w:rsid w:val="009E0386"/>
    <w:rsid w:val="009E4E45"/>
    <w:rsid w:val="009E5458"/>
    <w:rsid w:val="009F1297"/>
    <w:rsid w:val="009F2EAE"/>
    <w:rsid w:val="009F6144"/>
    <w:rsid w:val="009F61F2"/>
    <w:rsid w:val="00A0062A"/>
    <w:rsid w:val="00A01568"/>
    <w:rsid w:val="00A05249"/>
    <w:rsid w:val="00A13456"/>
    <w:rsid w:val="00A1419E"/>
    <w:rsid w:val="00A15965"/>
    <w:rsid w:val="00A21C8B"/>
    <w:rsid w:val="00A230F2"/>
    <w:rsid w:val="00A24E50"/>
    <w:rsid w:val="00A24E8B"/>
    <w:rsid w:val="00A41673"/>
    <w:rsid w:val="00A46486"/>
    <w:rsid w:val="00A50F4C"/>
    <w:rsid w:val="00A532AB"/>
    <w:rsid w:val="00A61BDD"/>
    <w:rsid w:val="00A620E4"/>
    <w:rsid w:val="00A75B79"/>
    <w:rsid w:val="00A8085A"/>
    <w:rsid w:val="00A96EAB"/>
    <w:rsid w:val="00AA0F9A"/>
    <w:rsid w:val="00AA1420"/>
    <w:rsid w:val="00AB4F76"/>
    <w:rsid w:val="00AC0817"/>
    <w:rsid w:val="00AD6B2B"/>
    <w:rsid w:val="00AD7289"/>
    <w:rsid w:val="00AE27A2"/>
    <w:rsid w:val="00AE2927"/>
    <w:rsid w:val="00AE2B5F"/>
    <w:rsid w:val="00AE6452"/>
    <w:rsid w:val="00AF25FF"/>
    <w:rsid w:val="00B03070"/>
    <w:rsid w:val="00B03382"/>
    <w:rsid w:val="00B076A3"/>
    <w:rsid w:val="00B15B1B"/>
    <w:rsid w:val="00B22255"/>
    <w:rsid w:val="00B23041"/>
    <w:rsid w:val="00B253B2"/>
    <w:rsid w:val="00B45AFF"/>
    <w:rsid w:val="00B504AE"/>
    <w:rsid w:val="00B51A28"/>
    <w:rsid w:val="00B55A9D"/>
    <w:rsid w:val="00B726FA"/>
    <w:rsid w:val="00B72B25"/>
    <w:rsid w:val="00B75AD3"/>
    <w:rsid w:val="00B76D09"/>
    <w:rsid w:val="00B8188F"/>
    <w:rsid w:val="00B84AC7"/>
    <w:rsid w:val="00B84CF8"/>
    <w:rsid w:val="00B93A93"/>
    <w:rsid w:val="00B93F85"/>
    <w:rsid w:val="00B947D5"/>
    <w:rsid w:val="00B96451"/>
    <w:rsid w:val="00BA1F3F"/>
    <w:rsid w:val="00BA314F"/>
    <w:rsid w:val="00BA5F70"/>
    <w:rsid w:val="00BA6E80"/>
    <w:rsid w:val="00BB700A"/>
    <w:rsid w:val="00BB72AB"/>
    <w:rsid w:val="00BC2209"/>
    <w:rsid w:val="00BC31D0"/>
    <w:rsid w:val="00BC4221"/>
    <w:rsid w:val="00BC6028"/>
    <w:rsid w:val="00BD0B7D"/>
    <w:rsid w:val="00BD3F78"/>
    <w:rsid w:val="00BE0F86"/>
    <w:rsid w:val="00BE6A3D"/>
    <w:rsid w:val="00BF1300"/>
    <w:rsid w:val="00BF1810"/>
    <w:rsid w:val="00BF24D6"/>
    <w:rsid w:val="00C03B34"/>
    <w:rsid w:val="00C066BE"/>
    <w:rsid w:val="00C11A9E"/>
    <w:rsid w:val="00C1340F"/>
    <w:rsid w:val="00C21B0D"/>
    <w:rsid w:val="00C232A8"/>
    <w:rsid w:val="00C23970"/>
    <w:rsid w:val="00C258F8"/>
    <w:rsid w:val="00C25D43"/>
    <w:rsid w:val="00C35971"/>
    <w:rsid w:val="00C41612"/>
    <w:rsid w:val="00C46288"/>
    <w:rsid w:val="00C51378"/>
    <w:rsid w:val="00C54AF2"/>
    <w:rsid w:val="00C54E09"/>
    <w:rsid w:val="00C560D8"/>
    <w:rsid w:val="00C60A16"/>
    <w:rsid w:val="00C64D00"/>
    <w:rsid w:val="00C64FCF"/>
    <w:rsid w:val="00C665E0"/>
    <w:rsid w:val="00C714E3"/>
    <w:rsid w:val="00C776F2"/>
    <w:rsid w:val="00C80CDE"/>
    <w:rsid w:val="00C97719"/>
    <w:rsid w:val="00CA1688"/>
    <w:rsid w:val="00CA6067"/>
    <w:rsid w:val="00CA6584"/>
    <w:rsid w:val="00CA673D"/>
    <w:rsid w:val="00CA6BFB"/>
    <w:rsid w:val="00CB2947"/>
    <w:rsid w:val="00CC22AE"/>
    <w:rsid w:val="00CC3819"/>
    <w:rsid w:val="00CC5D58"/>
    <w:rsid w:val="00CD57A3"/>
    <w:rsid w:val="00CE3645"/>
    <w:rsid w:val="00CE6859"/>
    <w:rsid w:val="00CE738F"/>
    <w:rsid w:val="00CF1B6B"/>
    <w:rsid w:val="00D00CAE"/>
    <w:rsid w:val="00D01751"/>
    <w:rsid w:val="00D025E5"/>
    <w:rsid w:val="00D0402F"/>
    <w:rsid w:val="00D10B26"/>
    <w:rsid w:val="00D14457"/>
    <w:rsid w:val="00D16D60"/>
    <w:rsid w:val="00D24F71"/>
    <w:rsid w:val="00D369F0"/>
    <w:rsid w:val="00D376CF"/>
    <w:rsid w:val="00D44109"/>
    <w:rsid w:val="00D44CF1"/>
    <w:rsid w:val="00D4650A"/>
    <w:rsid w:val="00D62BFF"/>
    <w:rsid w:val="00D66E8E"/>
    <w:rsid w:val="00D67396"/>
    <w:rsid w:val="00D737A1"/>
    <w:rsid w:val="00D73ABE"/>
    <w:rsid w:val="00D75F5C"/>
    <w:rsid w:val="00D768ED"/>
    <w:rsid w:val="00D81332"/>
    <w:rsid w:val="00D8391E"/>
    <w:rsid w:val="00D90B0A"/>
    <w:rsid w:val="00D92E1D"/>
    <w:rsid w:val="00D94783"/>
    <w:rsid w:val="00D94895"/>
    <w:rsid w:val="00D96899"/>
    <w:rsid w:val="00D97CC0"/>
    <w:rsid w:val="00DA090D"/>
    <w:rsid w:val="00DA2541"/>
    <w:rsid w:val="00DA3C86"/>
    <w:rsid w:val="00DB1B0C"/>
    <w:rsid w:val="00DB1D99"/>
    <w:rsid w:val="00DB534B"/>
    <w:rsid w:val="00DC0568"/>
    <w:rsid w:val="00DC3FC5"/>
    <w:rsid w:val="00DE329A"/>
    <w:rsid w:val="00DE3465"/>
    <w:rsid w:val="00DE651D"/>
    <w:rsid w:val="00DE765A"/>
    <w:rsid w:val="00DF304F"/>
    <w:rsid w:val="00E002A3"/>
    <w:rsid w:val="00E063C4"/>
    <w:rsid w:val="00E14672"/>
    <w:rsid w:val="00E14A47"/>
    <w:rsid w:val="00E30988"/>
    <w:rsid w:val="00E31992"/>
    <w:rsid w:val="00E32CDC"/>
    <w:rsid w:val="00E3444B"/>
    <w:rsid w:val="00E35051"/>
    <w:rsid w:val="00E354A0"/>
    <w:rsid w:val="00E37351"/>
    <w:rsid w:val="00E43FE9"/>
    <w:rsid w:val="00E50B91"/>
    <w:rsid w:val="00E5716B"/>
    <w:rsid w:val="00E64DCE"/>
    <w:rsid w:val="00E65345"/>
    <w:rsid w:val="00E65761"/>
    <w:rsid w:val="00E65E22"/>
    <w:rsid w:val="00E6636D"/>
    <w:rsid w:val="00E7240E"/>
    <w:rsid w:val="00E73D39"/>
    <w:rsid w:val="00E7491B"/>
    <w:rsid w:val="00E80B08"/>
    <w:rsid w:val="00E9146E"/>
    <w:rsid w:val="00E914E5"/>
    <w:rsid w:val="00E917AF"/>
    <w:rsid w:val="00EA547C"/>
    <w:rsid w:val="00EB1F6B"/>
    <w:rsid w:val="00EC06E0"/>
    <w:rsid w:val="00EC2331"/>
    <w:rsid w:val="00ED1242"/>
    <w:rsid w:val="00EE273E"/>
    <w:rsid w:val="00EE7289"/>
    <w:rsid w:val="00EE7A2C"/>
    <w:rsid w:val="00EF4418"/>
    <w:rsid w:val="00EF5391"/>
    <w:rsid w:val="00F051CB"/>
    <w:rsid w:val="00F05C3D"/>
    <w:rsid w:val="00F11F61"/>
    <w:rsid w:val="00F177F1"/>
    <w:rsid w:val="00F25F12"/>
    <w:rsid w:val="00F26293"/>
    <w:rsid w:val="00F32EE8"/>
    <w:rsid w:val="00F42205"/>
    <w:rsid w:val="00F51F12"/>
    <w:rsid w:val="00F618F7"/>
    <w:rsid w:val="00F63BEE"/>
    <w:rsid w:val="00F64DAA"/>
    <w:rsid w:val="00F74227"/>
    <w:rsid w:val="00F75B85"/>
    <w:rsid w:val="00F82286"/>
    <w:rsid w:val="00F83D8C"/>
    <w:rsid w:val="00F86636"/>
    <w:rsid w:val="00F94843"/>
    <w:rsid w:val="00FA0481"/>
    <w:rsid w:val="00FA0B20"/>
    <w:rsid w:val="00FA4704"/>
    <w:rsid w:val="00FB0EDD"/>
    <w:rsid w:val="00FC7078"/>
    <w:rsid w:val="00FD15B9"/>
    <w:rsid w:val="00FD1E22"/>
    <w:rsid w:val="00FD3DCF"/>
    <w:rsid w:val="00FF4F70"/>
    <w:rsid w:val="2186E169"/>
    <w:rsid w:val="34C3384D"/>
    <w:rsid w:val="5156841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407DAB24"/>
  <w15:docId w15:val="{3D282CBF-DF67-4986-8ACE-2FD2F4EA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555266"/>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1472B8"/>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Normalaftertitle">
    <w:name w:val="Normal_after_title"/>
    <w:basedOn w:val="Normal"/>
    <w:next w:val="Normal"/>
    <w:link w:val="NormalaftertitleChar"/>
    <w:rsid w:val="001D5021"/>
    <w:pPr>
      <w:tabs>
        <w:tab w:val="left" w:pos="1134"/>
        <w:tab w:val="left" w:pos="1871"/>
        <w:tab w:val="left" w:pos="2268"/>
      </w:tabs>
      <w:overflowPunct w:val="0"/>
      <w:autoSpaceDE w:val="0"/>
      <w:autoSpaceDN w:val="0"/>
      <w:adjustRightInd w:val="0"/>
      <w:spacing w:before="360"/>
      <w:textAlignment w:val="baseline"/>
    </w:pPr>
    <w:rPr>
      <w:rFonts w:ascii="Times New Roman" w:hAnsi="Times New Roman"/>
      <w:sz w:val="24"/>
      <w:szCs w:val="20"/>
      <w:lang w:val="en-GB"/>
    </w:rPr>
  </w:style>
  <w:style w:type="character" w:customStyle="1" w:styleId="NormalaftertitleChar">
    <w:name w:val="Normal_after_title Char"/>
    <w:basedOn w:val="DefaultParagraphFont"/>
    <w:link w:val="Normalaftertitle"/>
    <w:locked/>
    <w:rsid w:val="001D5021"/>
    <w:rPr>
      <w:sz w:val="24"/>
    </w:rPr>
  </w:style>
  <w:style w:type="character" w:styleId="CommentReference">
    <w:name w:val="annotation reference"/>
    <w:basedOn w:val="DefaultParagraphFont"/>
    <w:uiPriority w:val="99"/>
    <w:semiHidden/>
    <w:unhideWhenUsed/>
    <w:rsid w:val="002B63EB"/>
    <w:rPr>
      <w:sz w:val="16"/>
      <w:szCs w:val="16"/>
    </w:rPr>
  </w:style>
  <w:style w:type="paragraph" w:styleId="CommentText">
    <w:name w:val="annotation text"/>
    <w:basedOn w:val="Normal"/>
    <w:link w:val="CommentTextChar"/>
    <w:uiPriority w:val="99"/>
    <w:unhideWhenUsed/>
    <w:rsid w:val="002B63EB"/>
    <w:rPr>
      <w:szCs w:val="20"/>
    </w:rPr>
  </w:style>
  <w:style w:type="character" w:customStyle="1" w:styleId="CommentTextChar">
    <w:name w:val="Comment Text Char"/>
    <w:basedOn w:val="DefaultParagraphFont"/>
    <w:link w:val="CommentText"/>
    <w:uiPriority w:val="99"/>
    <w:rsid w:val="002B63EB"/>
    <w:rPr>
      <w:rFonts w:ascii="Arial" w:hAnsi="Arial"/>
      <w:lang w:val="en-US"/>
    </w:rPr>
  </w:style>
  <w:style w:type="paragraph" w:styleId="CommentSubject">
    <w:name w:val="annotation subject"/>
    <w:basedOn w:val="CommentText"/>
    <w:next w:val="CommentText"/>
    <w:link w:val="CommentSubjectChar"/>
    <w:uiPriority w:val="99"/>
    <w:semiHidden/>
    <w:unhideWhenUsed/>
    <w:rsid w:val="002B63EB"/>
    <w:rPr>
      <w:b/>
      <w:bCs/>
    </w:rPr>
  </w:style>
  <w:style w:type="character" w:customStyle="1" w:styleId="CommentSubjectChar">
    <w:name w:val="Comment Subject Char"/>
    <w:basedOn w:val="CommentTextChar"/>
    <w:link w:val="CommentSubject"/>
    <w:uiPriority w:val="99"/>
    <w:semiHidden/>
    <w:rsid w:val="002B63EB"/>
    <w:rPr>
      <w:rFonts w:ascii="Arial" w:hAnsi="Arial"/>
      <w:b/>
      <w:bCs/>
      <w:lang w:val="en-US"/>
    </w:rPr>
  </w:style>
  <w:style w:type="paragraph" w:styleId="Revision">
    <w:name w:val="Revision"/>
    <w:hidden/>
    <w:uiPriority w:val="99"/>
    <w:semiHidden/>
    <w:rsid w:val="00736DCB"/>
    <w:rPr>
      <w:rFonts w:ascii="Arial" w:hAnsi="Arial"/>
      <w:szCs w:val="24"/>
      <w:lang w:val="en-US"/>
    </w:rPr>
  </w:style>
  <w:style w:type="character" w:customStyle="1" w:styleId="UnresolvedMention1">
    <w:name w:val="Unresolved Mention1"/>
    <w:basedOn w:val="DefaultParagraphFont"/>
    <w:uiPriority w:val="99"/>
    <w:semiHidden/>
    <w:unhideWhenUsed/>
    <w:rsid w:val="003143EA"/>
    <w:rPr>
      <w:color w:val="605E5C"/>
      <w:shd w:val="clear" w:color="auto" w:fill="E1DFDD"/>
    </w:rPr>
  </w:style>
  <w:style w:type="character" w:customStyle="1" w:styleId="cf01">
    <w:name w:val="cf01"/>
    <w:basedOn w:val="DefaultParagraphFont"/>
    <w:rsid w:val="00B75AD3"/>
    <w:rPr>
      <w:rFonts w:ascii="Segoe UI" w:hAnsi="Segoe UI" w:cs="Segoe UI" w:hint="default"/>
      <w:sz w:val="18"/>
      <w:szCs w:val="18"/>
    </w:rPr>
  </w:style>
  <w:style w:type="character" w:styleId="UnresolvedMention">
    <w:name w:val="Unresolved Mention"/>
    <w:basedOn w:val="DefaultParagraphFont"/>
    <w:uiPriority w:val="99"/>
    <w:semiHidden/>
    <w:unhideWhenUsed/>
    <w:rsid w:val="002A20FE"/>
    <w:rPr>
      <w:color w:val="605E5C"/>
      <w:shd w:val="clear" w:color="auto" w:fill="E1DFDD"/>
    </w:rPr>
  </w:style>
  <w:style w:type="character" w:customStyle="1" w:styleId="FootnoteTextChar">
    <w:name w:val="Footnote Text Char"/>
    <w:basedOn w:val="DefaultParagraphFont"/>
    <w:link w:val="FootnoteText"/>
    <w:uiPriority w:val="99"/>
    <w:qFormat/>
    <w:locked/>
    <w:rsid w:val="0039074D"/>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78862">
      <w:bodyDiv w:val="1"/>
      <w:marLeft w:val="0"/>
      <w:marRight w:val="0"/>
      <w:marTop w:val="0"/>
      <w:marBottom w:val="0"/>
      <w:divBdr>
        <w:top w:val="none" w:sz="0" w:space="0" w:color="auto"/>
        <w:left w:val="none" w:sz="0" w:space="0" w:color="auto"/>
        <w:bottom w:val="none" w:sz="0" w:space="0" w:color="auto"/>
        <w:right w:val="none" w:sz="0" w:space="0" w:color="auto"/>
      </w:divBdr>
    </w:div>
    <w:div w:id="17203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14F0-F0EE-41F7-9B49-530BCAC4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3252</Words>
  <Characters>18537</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Draft ECC Decision (22)02</vt:lpstr>
    </vt:vector>
  </TitlesOfParts>
  <Company>ECO</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(22)02</dc:title>
  <dc:creator>ECC</dc:creator>
  <cp:keywords>Draft ECC Decision (22)02</cp:keywords>
  <dc:description>This template is used as guidance to draft ECC Reports.</dc:description>
  <cp:lastModifiedBy>ECO </cp:lastModifiedBy>
  <cp:revision>6</cp:revision>
  <cp:lastPrinted>1901-01-01T00:00:00Z</cp:lastPrinted>
  <dcterms:created xsi:type="dcterms:W3CDTF">2022-07-11T05:24:00Z</dcterms:created>
  <dcterms:modified xsi:type="dcterms:W3CDTF">2022-07-11T06:58:00Z</dcterms:modified>
</cp:coreProperties>
</file>