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5753" w14:textId="77777777" w:rsidR="006C03D0" w:rsidRDefault="006C03D0"/>
    <w:p w14:paraId="36525754" w14:textId="77777777" w:rsidR="006C03D0" w:rsidRPr="00B040F5" w:rsidRDefault="006C03D0" w:rsidP="006C03D0">
      <w:pPr>
        <w:jc w:val="center"/>
        <w:rPr>
          <w:lang w:val="en-GB"/>
        </w:rPr>
      </w:pPr>
    </w:p>
    <w:p w14:paraId="36525755" w14:textId="77777777" w:rsidR="006C03D0" w:rsidRPr="00B040F5" w:rsidRDefault="006C03D0" w:rsidP="006C03D0">
      <w:pPr>
        <w:jc w:val="center"/>
        <w:rPr>
          <w:lang w:val="en-GB"/>
        </w:rPr>
      </w:pPr>
    </w:p>
    <w:p w14:paraId="36525756" w14:textId="77777777" w:rsidR="006C03D0" w:rsidRPr="00B040F5" w:rsidRDefault="006C03D0" w:rsidP="006C03D0">
      <w:pPr>
        <w:rPr>
          <w:lang w:val="en-GB"/>
        </w:rPr>
      </w:pPr>
    </w:p>
    <w:p w14:paraId="36525757" w14:textId="77777777" w:rsidR="006C03D0" w:rsidRPr="00B040F5" w:rsidRDefault="006C03D0" w:rsidP="006C03D0">
      <w:pPr>
        <w:rPr>
          <w:lang w:val="en-GB"/>
        </w:rPr>
      </w:pPr>
    </w:p>
    <w:p w14:paraId="36525758" w14:textId="77777777" w:rsidR="006C03D0" w:rsidRPr="00B040F5" w:rsidRDefault="007C6571" w:rsidP="006C03D0">
      <w:pPr>
        <w:jc w:val="center"/>
        <w:rPr>
          <w:b/>
          <w:sz w:val="24"/>
          <w:lang w:val="en-GB"/>
        </w:rPr>
      </w:pPr>
      <w:r w:rsidRPr="00B040F5">
        <w:rPr>
          <w:b/>
          <w:noProof/>
          <w:sz w:val="24"/>
          <w:szCs w:val="20"/>
          <w:lang w:val="en-GB" w:eastAsia="en-GB"/>
        </w:rPr>
        <mc:AlternateContent>
          <mc:Choice Requires="wpg">
            <w:drawing>
              <wp:anchor distT="0" distB="0" distL="114300" distR="114300" simplePos="0" relativeHeight="251657728" behindDoc="0" locked="0" layoutInCell="1" allowOverlap="1" wp14:anchorId="365257CF" wp14:editId="365257D0">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257DC" w14:textId="77777777" w:rsidR="00FA4704" w:rsidRPr="00FE1795" w:rsidRDefault="00FA4704" w:rsidP="006C03D0">
                              <w:pPr>
                                <w:rPr>
                                  <w:color w:val="57433E"/>
                                  <w:sz w:val="68"/>
                                </w:rPr>
                              </w:pPr>
                              <w:r w:rsidRPr="00FE1795">
                                <w:rPr>
                                  <w:color w:val="FFFFFF"/>
                                  <w:sz w:val="68"/>
                                </w:rPr>
                                <w:t>E</w:t>
                              </w:r>
                              <w:r w:rsidR="003E102B">
                                <w:rPr>
                                  <w:color w:val="FFFFFF"/>
                                  <w:sz w:val="68"/>
                                </w:rPr>
                                <w:t>R</w:t>
                              </w:r>
                              <w:r w:rsidRPr="00FE1795">
                                <w:rPr>
                                  <w:color w:val="FFFFFF"/>
                                  <w:sz w:val="68"/>
                                </w:rPr>
                                <w:t xml:space="preserve">C Decision </w:t>
                              </w:r>
                              <w:r w:rsidRPr="001E2FAA">
                                <w:rPr>
                                  <w:color w:val="887E6E"/>
                                  <w:sz w:val="68"/>
                                </w:rPr>
                                <w:t>(</w:t>
                              </w:r>
                              <w:r w:rsidR="003E102B">
                                <w:rPr>
                                  <w:color w:val="887E6E"/>
                                  <w:sz w:val="68"/>
                                </w:rPr>
                                <w:t>01</w:t>
                              </w:r>
                              <w:r w:rsidRPr="001E2FAA">
                                <w:rPr>
                                  <w:color w:val="887E6E"/>
                                  <w:sz w:val="68"/>
                                </w:rPr>
                                <w:t>)</w:t>
                              </w:r>
                              <w:r w:rsidR="006C2982">
                                <w:rPr>
                                  <w:color w:val="887E6E"/>
                                  <w:sz w:val="68"/>
                                </w:rPr>
                                <w:t>12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5257CF"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365257DC" w14:textId="77777777" w:rsidR="00FA4704" w:rsidRPr="00FE1795" w:rsidRDefault="00FA4704" w:rsidP="006C03D0">
                        <w:pPr>
                          <w:rPr>
                            <w:color w:val="57433E"/>
                            <w:sz w:val="68"/>
                          </w:rPr>
                        </w:pPr>
                        <w:r w:rsidRPr="00FE1795">
                          <w:rPr>
                            <w:color w:val="FFFFFF"/>
                            <w:sz w:val="68"/>
                          </w:rPr>
                          <w:t>E</w:t>
                        </w:r>
                        <w:r w:rsidR="003E102B">
                          <w:rPr>
                            <w:color w:val="FFFFFF"/>
                            <w:sz w:val="68"/>
                          </w:rPr>
                          <w:t>R</w:t>
                        </w:r>
                        <w:r w:rsidRPr="00FE1795">
                          <w:rPr>
                            <w:color w:val="FFFFFF"/>
                            <w:sz w:val="68"/>
                          </w:rPr>
                          <w:t xml:space="preserve">C Decision </w:t>
                        </w:r>
                        <w:r w:rsidRPr="001E2FAA">
                          <w:rPr>
                            <w:color w:val="887E6E"/>
                            <w:sz w:val="68"/>
                          </w:rPr>
                          <w:t>(</w:t>
                        </w:r>
                        <w:r w:rsidR="003E102B">
                          <w:rPr>
                            <w:color w:val="887E6E"/>
                            <w:sz w:val="68"/>
                          </w:rPr>
                          <w:t>01</w:t>
                        </w:r>
                        <w:r w:rsidRPr="001E2FAA">
                          <w:rPr>
                            <w:color w:val="887E6E"/>
                            <w:sz w:val="68"/>
                          </w:rPr>
                          <w:t>)</w:t>
                        </w:r>
                        <w:r w:rsidR="006C2982">
                          <w:rPr>
                            <w:color w:val="887E6E"/>
                            <w:sz w:val="68"/>
                          </w:rPr>
                          <w:t>12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36525759" w14:textId="77777777" w:rsidR="006C03D0" w:rsidRPr="00B040F5" w:rsidRDefault="006C03D0" w:rsidP="006C03D0">
      <w:pPr>
        <w:jc w:val="center"/>
        <w:rPr>
          <w:b/>
          <w:sz w:val="24"/>
          <w:lang w:val="en-GB"/>
        </w:rPr>
      </w:pPr>
    </w:p>
    <w:p w14:paraId="3652575A" w14:textId="77777777" w:rsidR="006C03D0" w:rsidRPr="00B040F5" w:rsidRDefault="006C03D0" w:rsidP="006C03D0">
      <w:pPr>
        <w:jc w:val="center"/>
        <w:rPr>
          <w:b/>
          <w:sz w:val="24"/>
          <w:lang w:val="en-GB"/>
        </w:rPr>
      </w:pPr>
    </w:p>
    <w:p w14:paraId="3652575B" w14:textId="77777777" w:rsidR="006C03D0" w:rsidRPr="00B040F5" w:rsidRDefault="006C03D0" w:rsidP="006C03D0">
      <w:pPr>
        <w:jc w:val="center"/>
        <w:rPr>
          <w:b/>
          <w:sz w:val="24"/>
          <w:lang w:val="en-GB"/>
        </w:rPr>
      </w:pPr>
    </w:p>
    <w:p w14:paraId="3652575C" w14:textId="77777777" w:rsidR="006C03D0" w:rsidRPr="00B040F5" w:rsidRDefault="006C03D0" w:rsidP="006C03D0">
      <w:pPr>
        <w:jc w:val="center"/>
        <w:rPr>
          <w:b/>
          <w:sz w:val="24"/>
          <w:lang w:val="en-GB"/>
        </w:rPr>
      </w:pPr>
    </w:p>
    <w:p w14:paraId="3652575D" w14:textId="77777777" w:rsidR="006C03D0" w:rsidRPr="00B040F5" w:rsidRDefault="006C03D0" w:rsidP="006C03D0">
      <w:pPr>
        <w:jc w:val="center"/>
        <w:rPr>
          <w:b/>
          <w:sz w:val="24"/>
          <w:lang w:val="en-GB"/>
        </w:rPr>
      </w:pPr>
    </w:p>
    <w:p w14:paraId="3652575E" w14:textId="77777777" w:rsidR="006C03D0" w:rsidRPr="00B040F5" w:rsidRDefault="006C03D0" w:rsidP="006C03D0">
      <w:pPr>
        <w:jc w:val="center"/>
        <w:rPr>
          <w:b/>
          <w:sz w:val="24"/>
          <w:lang w:val="en-GB"/>
        </w:rPr>
      </w:pPr>
    </w:p>
    <w:p w14:paraId="3652575F" w14:textId="77777777" w:rsidR="006C03D0" w:rsidRPr="00B040F5" w:rsidRDefault="006C03D0" w:rsidP="006C03D0">
      <w:pPr>
        <w:jc w:val="center"/>
        <w:rPr>
          <w:b/>
          <w:sz w:val="24"/>
          <w:lang w:val="en-GB"/>
        </w:rPr>
      </w:pPr>
    </w:p>
    <w:p w14:paraId="36525760" w14:textId="77777777" w:rsidR="006C03D0" w:rsidRPr="00B040F5" w:rsidRDefault="006C03D0" w:rsidP="006C03D0">
      <w:pPr>
        <w:jc w:val="center"/>
        <w:rPr>
          <w:b/>
          <w:sz w:val="24"/>
          <w:lang w:val="en-GB"/>
        </w:rPr>
      </w:pPr>
    </w:p>
    <w:p w14:paraId="36525761" w14:textId="77777777" w:rsidR="006C03D0" w:rsidRPr="00B040F5" w:rsidRDefault="006C03D0" w:rsidP="006C03D0">
      <w:pPr>
        <w:jc w:val="center"/>
        <w:rPr>
          <w:b/>
          <w:sz w:val="24"/>
          <w:lang w:val="en-GB"/>
        </w:rPr>
      </w:pPr>
    </w:p>
    <w:p w14:paraId="36525762" w14:textId="77777777" w:rsidR="006C03D0" w:rsidRPr="00B040F5" w:rsidRDefault="006C03D0" w:rsidP="006C03D0">
      <w:pPr>
        <w:jc w:val="center"/>
        <w:rPr>
          <w:b/>
          <w:sz w:val="24"/>
          <w:lang w:val="en-GB"/>
        </w:rPr>
      </w:pPr>
    </w:p>
    <w:p w14:paraId="36525763" w14:textId="77777777" w:rsidR="006C03D0" w:rsidRPr="00B040F5" w:rsidRDefault="006C03D0" w:rsidP="006C03D0">
      <w:pPr>
        <w:rPr>
          <w:b/>
          <w:sz w:val="24"/>
          <w:lang w:val="en-GB"/>
        </w:rPr>
      </w:pPr>
    </w:p>
    <w:p w14:paraId="36525764" w14:textId="77777777" w:rsidR="006C03D0" w:rsidRPr="00B040F5" w:rsidRDefault="006C03D0" w:rsidP="006C03D0">
      <w:pPr>
        <w:jc w:val="center"/>
        <w:rPr>
          <w:b/>
          <w:sz w:val="24"/>
          <w:lang w:val="en-GB"/>
        </w:rPr>
      </w:pPr>
    </w:p>
    <w:p w14:paraId="55AB25E0" w14:textId="188E6A6F" w:rsidR="009F28E4" w:rsidRPr="005A00E5" w:rsidRDefault="009F28E4" w:rsidP="009F28E4">
      <w:pPr>
        <w:pStyle w:val="Reporttitledescription"/>
        <w:rPr>
          <w:color w:val="auto"/>
        </w:rPr>
      </w:pPr>
      <w:r>
        <w:rPr>
          <w:color w:val="auto"/>
        </w:rPr>
        <w:fldChar w:fldCharType="begin">
          <w:ffData>
            <w:name w:val="Text7"/>
            <w:enabled/>
            <w:calcOnExit w:val="0"/>
            <w:textInput>
              <w:default w:val="Harmonised frequencies, technical characteristics and exemption from individual licensing of short range devices used for Model control operating on the frequencies 40.665, 40.675, 40.685 and 40.695 MHz"/>
            </w:textInput>
          </w:ffData>
        </w:fldChar>
      </w:r>
      <w:bookmarkStart w:id="0" w:name="Text7"/>
      <w:r>
        <w:rPr>
          <w:color w:val="auto"/>
        </w:rPr>
        <w:instrText xml:space="preserve"> FORMTEXT </w:instrText>
      </w:r>
      <w:r>
        <w:rPr>
          <w:color w:val="auto"/>
        </w:rPr>
      </w:r>
      <w:r>
        <w:rPr>
          <w:color w:val="auto"/>
        </w:rPr>
        <w:fldChar w:fldCharType="separate"/>
      </w:r>
      <w:r>
        <w:rPr>
          <w:noProof/>
          <w:color w:val="auto"/>
        </w:rPr>
        <w:t>Harmonised frequencies, technical characteristics and exemption from individual licensing of short range devices used for Model control operating on the frequencies 40.665, 40.675, 40.685 and 40.695 MHz</w:t>
      </w:r>
      <w:r>
        <w:rPr>
          <w:color w:val="auto"/>
        </w:rPr>
        <w:fldChar w:fldCharType="end"/>
      </w:r>
      <w:bookmarkEnd w:id="0"/>
      <w:r w:rsidRPr="005A00E5">
        <w:rPr>
          <w:color w:val="auto"/>
        </w:rPr>
        <w:t xml:space="preserve"> </w:t>
      </w:r>
    </w:p>
    <w:p w14:paraId="665E6480" w14:textId="77777777" w:rsidR="00DC7F36" w:rsidRPr="005A00E5" w:rsidRDefault="00DC7F36" w:rsidP="00DC7F36">
      <w:pPr>
        <w:pStyle w:val="Reporttitledescription"/>
        <w:rPr>
          <w:b/>
          <w:color w:val="auto"/>
          <w:sz w:val="18"/>
        </w:rPr>
      </w:pPr>
      <w:r>
        <w:rPr>
          <w:b/>
          <w:color w:val="auto"/>
          <w:sz w:val="18"/>
        </w:rPr>
        <w:fldChar w:fldCharType="begin">
          <w:ffData>
            <w:name w:val="Text8"/>
            <w:enabled/>
            <w:calcOnExit w:val="0"/>
            <w:textInput>
              <w:default w:val="approved 12 March 2001 "/>
            </w:textInput>
          </w:ffData>
        </w:fldChar>
      </w:r>
      <w:bookmarkStart w:id="1"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 xml:space="preserve">approved 12 March 2001 </w:t>
      </w:r>
      <w:r>
        <w:rPr>
          <w:b/>
          <w:color w:val="auto"/>
          <w:sz w:val="18"/>
        </w:rPr>
        <w:fldChar w:fldCharType="end"/>
      </w:r>
      <w:bookmarkEnd w:id="1"/>
    </w:p>
    <w:p w14:paraId="4E426F85" w14:textId="77777777" w:rsidR="00DC7F36" w:rsidRDefault="00DC7F36" w:rsidP="00DC7F36">
      <w:pPr>
        <w:pStyle w:val="Lastupdated"/>
        <w:rPr>
          <w:b/>
        </w:rPr>
      </w:pPr>
      <w:r>
        <w:rPr>
          <w:b/>
        </w:rPr>
        <w:fldChar w:fldCharType="begin">
          <w:ffData>
            <w:name w:val="Text3"/>
            <w:enabled/>
            <w:calcOnExit w:val="0"/>
            <w:textInput>
              <w:default w:val="latest updated 10 June 2022"/>
            </w:textInput>
          </w:ffData>
        </w:fldChar>
      </w:r>
      <w:r>
        <w:rPr>
          <w:b/>
        </w:rPr>
        <w:instrText xml:space="preserve"> FORMTEXT </w:instrText>
      </w:r>
      <w:r>
        <w:rPr>
          <w:b/>
        </w:rPr>
      </w:r>
      <w:r>
        <w:rPr>
          <w:b/>
        </w:rPr>
        <w:fldChar w:fldCharType="separate"/>
      </w:r>
      <w:r>
        <w:rPr>
          <w:b/>
          <w:noProof/>
        </w:rPr>
        <w:t>latest updated 10 June 2022</w:t>
      </w:r>
      <w:r>
        <w:rPr>
          <w:b/>
        </w:rPr>
        <w:fldChar w:fldCharType="end"/>
      </w:r>
    </w:p>
    <w:p w14:paraId="01758F17" w14:textId="77777777" w:rsidR="009F28E4" w:rsidRPr="00072B81" w:rsidRDefault="009F28E4" w:rsidP="009F28E4">
      <w:pPr>
        <w:pStyle w:val="Lastupdated"/>
        <w:rPr>
          <w:b/>
        </w:rPr>
      </w:pPr>
    </w:p>
    <w:p w14:paraId="36525768" w14:textId="77777777" w:rsidR="006C03D0" w:rsidRPr="00B040F5" w:rsidRDefault="005F7AD5" w:rsidP="00DC7F36">
      <w:pPr>
        <w:pStyle w:val="Heading1"/>
      </w:pPr>
      <w:r w:rsidRPr="00B040F5">
        <w:lastRenderedPageBreak/>
        <w:t>explanato</w:t>
      </w:r>
      <w:r w:rsidR="00B0519B" w:rsidRPr="00B040F5">
        <w:t>ry memorandum</w:t>
      </w:r>
    </w:p>
    <w:p w14:paraId="36525769" w14:textId="77777777" w:rsidR="006C03D0" w:rsidRPr="00B040F5" w:rsidRDefault="005F7AD5" w:rsidP="00E828A7">
      <w:pPr>
        <w:pStyle w:val="Heading2"/>
        <w:rPr>
          <w:lang w:val="en-GB"/>
        </w:rPr>
      </w:pPr>
      <w:r w:rsidRPr="00B040F5">
        <w:rPr>
          <w:lang w:val="en-GB"/>
        </w:rPr>
        <w:t xml:space="preserve">INTRODUCTION </w:t>
      </w:r>
    </w:p>
    <w:p w14:paraId="3652576A" w14:textId="77777777" w:rsidR="006C2982" w:rsidRPr="00B040F5" w:rsidRDefault="006C2982" w:rsidP="006C2982">
      <w:pPr>
        <w:pStyle w:val="ECCParagraph"/>
      </w:pPr>
      <w:r w:rsidRPr="00B040F5">
        <w:t xml:space="preserve">The term "Short Range Device" (SRD) is intended to cover radio equipment providing </w:t>
      </w:r>
      <w:proofErr w:type="spellStart"/>
      <w:r w:rsidRPr="00B040F5">
        <w:t>uni</w:t>
      </w:r>
      <w:proofErr w:type="spellEnd"/>
      <w:r w:rsidRPr="00B040F5">
        <w:t>-directional or bi-directional communication and which has low capability of causing interference to other radio equipment. SRD use either integral, dedicated or external antennas and all modes of modulation are permitted subject to available standards or technical specifications. Model control equipment are specific SRD used for controlling the movement of the model, in the air, on land or over or under the water surface. Usually, SRD use frequency bands already allocated to other services. SRD generally cannot interfere with nor claim protection from these services.</w:t>
      </w:r>
    </w:p>
    <w:p w14:paraId="3652576B" w14:textId="77777777" w:rsidR="006C2982" w:rsidRPr="00B040F5" w:rsidRDefault="006C2982" w:rsidP="006C2982">
      <w:pPr>
        <w:pStyle w:val="ECCParagraph"/>
      </w:pPr>
      <w:r w:rsidRPr="00B040F5">
        <w:t>Licensing is an appropriate tool for Administrations to regulate the use of radio equipment, ensure the most effective use of the frequency spectrum and to avoid harmful interference. However intervention from the Administrations as far as the installation and use of equipment is concerned needs to be proportionate. Administrations and especially users, retailers and manufacturers will benefit from a more deregulated system of authorising the use of radio equipment.</w:t>
      </w:r>
    </w:p>
    <w:p w14:paraId="3652576C" w14:textId="77777777" w:rsidR="006C03D0" w:rsidRPr="00B040F5" w:rsidRDefault="005F7AD5" w:rsidP="00E828A7">
      <w:pPr>
        <w:pStyle w:val="Heading2"/>
        <w:rPr>
          <w:lang w:val="en-GB"/>
        </w:rPr>
      </w:pPr>
      <w:r w:rsidRPr="00B040F5">
        <w:rPr>
          <w:lang w:val="en-GB"/>
        </w:rPr>
        <w:t xml:space="preserve">BACKGROUND </w:t>
      </w:r>
    </w:p>
    <w:p w14:paraId="3652576D" w14:textId="77777777" w:rsidR="006C2982" w:rsidRPr="00B040F5" w:rsidRDefault="006C2982" w:rsidP="006C2982">
      <w:pPr>
        <w:pStyle w:val="ECCParagraph"/>
      </w:pPr>
      <w:r w:rsidRPr="00B040F5">
        <w:t>In 1997, the ERC adopted Recommendation the 70-03 to deal with SRD covering many categories of different applications, among which are telecommand and telecontrol, telemetry, alarms, speech and video transmission. For its part, ETSI has developed standards for the majority of these devices.</w:t>
      </w:r>
    </w:p>
    <w:p w14:paraId="3652576E" w14:textId="77777777" w:rsidR="006C2982" w:rsidRPr="00B040F5" w:rsidRDefault="006C2982" w:rsidP="006C2982">
      <w:pPr>
        <w:pStyle w:val="ECCParagraph"/>
      </w:pPr>
      <w:r w:rsidRPr="00B040F5">
        <w:t>The ERC Recommendation 70-03, together with these standards, has given a favourable legal framework to accompany the recent development of the use of SRD.</w:t>
      </w:r>
    </w:p>
    <w:p w14:paraId="3652576F" w14:textId="77777777" w:rsidR="006C2982" w:rsidRPr="00B040F5" w:rsidRDefault="006C2982" w:rsidP="006C2982">
      <w:pPr>
        <w:pStyle w:val="ECCParagraph"/>
      </w:pPr>
      <w:r w:rsidRPr="00B040F5">
        <w:t>To achieve the aim of taking a new step towards harmonised use of SRD, it has been decided to transpose into ERC Decisions the frequency bands (together with the relevant technical characteristics) identified in the Recommendation 70-03. The harmonisation on a European basis support</w:t>
      </w:r>
      <w:r w:rsidR="00CA74AB" w:rsidRPr="00B040F5">
        <w:t>s</w:t>
      </w:r>
      <w:r w:rsidRPr="00B040F5">
        <w:t xml:space="preserve"> the </w:t>
      </w:r>
      <w:r w:rsidR="00CA74AB" w:rsidRPr="00B040F5">
        <w:t xml:space="preserve">Radio Equipment </w:t>
      </w:r>
      <w:r w:rsidRPr="00B040F5">
        <w:t>Directive</w:t>
      </w:r>
      <w:r w:rsidR="00CA74AB" w:rsidRPr="00B040F5">
        <w:t xml:space="preserve"> 2014/53/EU</w:t>
      </w:r>
      <w:r w:rsidRPr="00B040F5">
        <w:t>.</w:t>
      </w:r>
    </w:p>
    <w:p w14:paraId="36525770" w14:textId="77777777" w:rsidR="006D5664" w:rsidRDefault="006C2982" w:rsidP="006C2982">
      <w:pPr>
        <w:pStyle w:val="ECCParagraph"/>
      </w:pPr>
      <w:r w:rsidRPr="00B040F5">
        <w:t xml:space="preserve">It is generally agreed that installation and use of radio equipment may be exempted from individual licensing when the efficient use of the frequency spectrum is not at risk and as long as harmful interference is unlikely and usage is on a non-protected/non-interference basis. </w:t>
      </w:r>
    </w:p>
    <w:p w14:paraId="36525771" w14:textId="77777777" w:rsidR="006C2982" w:rsidRPr="00B040F5" w:rsidRDefault="006C2982" w:rsidP="006C2982">
      <w:pPr>
        <w:pStyle w:val="ECCParagraph"/>
      </w:pPr>
      <w:r w:rsidRPr="00B040F5">
        <w:t>When radio equipment is subject to an exemption from individual licensing, anyone can install and use the equipment without requiring individual permission from the Administration. Furthermore, the Administration will not register the individual equipment. The use of the equipment can be subject to general provisions or general licence.</w:t>
      </w:r>
    </w:p>
    <w:p w14:paraId="36525772" w14:textId="77777777" w:rsidR="006C2982" w:rsidRPr="00B040F5" w:rsidRDefault="006C2982" w:rsidP="006C2982">
      <w:pPr>
        <w:pStyle w:val="ECCParagraph"/>
      </w:pPr>
      <w:r w:rsidRPr="00B040F5">
        <w:t xml:space="preserve">Within countries which have implemented the </w:t>
      </w:r>
      <w:r w:rsidR="00CA74AB" w:rsidRPr="00B040F5">
        <w:t xml:space="preserve">Radio Equipment </w:t>
      </w:r>
      <w:r w:rsidRPr="00B040F5">
        <w:t xml:space="preserve">Directive the conformity assessment, placing on the market and putting into service of Short Range Devices is governed by </w:t>
      </w:r>
      <w:r w:rsidR="00CA74AB" w:rsidRPr="00B040F5">
        <w:t xml:space="preserve">the </w:t>
      </w:r>
      <w:r w:rsidRPr="00B040F5">
        <w:t>Directive. Thus this ERC Decision can not impede EEA countries and countries which have implemented the Directive from fulfilling their obligations according to Community law.</w:t>
      </w:r>
    </w:p>
    <w:p w14:paraId="36525773" w14:textId="77777777" w:rsidR="006C2982" w:rsidRPr="00B040F5" w:rsidRDefault="006C2982" w:rsidP="006C2982">
      <w:pPr>
        <w:pStyle w:val="ECCParagraph"/>
      </w:pPr>
      <w:r w:rsidRPr="00B040F5">
        <w:t xml:space="preserve">This Decision describes the spectrum management requirements for and intends to provide for individual licence exemption for Short Range Devices used for Model control. </w:t>
      </w:r>
    </w:p>
    <w:p w14:paraId="36525774" w14:textId="77777777" w:rsidR="006C2982" w:rsidRPr="00B040F5" w:rsidRDefault="006C2982" w:rsidP="006C2982">
      <w:pPr>
        <w:pStyle w:val="ECCParagraph"/>
      </w:pPr>
    </w:p>
    <w:p w14:paraId="36525775" w14:textId="77777777" w:rsidR="006C2982" w:rsidRPr="00B040F5" w:rsidRDefault="006C2982" w:rsidP="006C2982">
      <w:pPr>
        <w:pStyle w:val="ECCParagraph"/>
      </w:pPr>
    </w:p>
    <w:p w14:paraId="36525776" w14:textId="77777777" w:rsidR="006C2982" w:rsidRPr="00B040F5" w:rsidRDefault="006C2982" w:rsidP="00E828A7">
      <w:pPr>
        <w:pStyle w:val="Heading2"/>
      </w:pPr>
      <w:r w:rsidRPr="00B040F5">
        <w:lastRenderedPageBreak/>
        <w:t>REQUIREMENTS FOR AN ERC DECISION</w:t>
      </w:r>
    </w:p>
    <w:p w14:paraId="36525777" w14:textId="77777777" w:rsidR="006C2982" w:rsidRPr="00B040F5" w:rsidRDefault="006C2982" w:rsidP="00DA613A">
      <w:pPr>
        <w:pStyle w:val="ECCParagraph"/>
      </w:pPr>
      <w:r w:rsidRPr="00B040F5">
        <w:t xml:space="preserve">The allocation or designation of frequencies for use by a service or system under specified conditions in CEPT member countries is laid down by law, regulation or administrative action. The ERC recognises that for SRD in general and Model control </w:t>
      </w:r>
      <w:r w:rsidRPr="00B040F5">
        <w:rPr>
          <w:spacing w:val="-3"/>
        </w:rPr>
        <w:t xml:space="preserve">in particular </w:t>
      </w:r>
      <w:r w:rsidRPr="00B040F5">
        <w:t xml:space="preserve">to pursue their successful development throughout Europe, manufacturers must be encouraged to make the necessary investments in these radiocommunication systems. It is therefore considered necessary to designate frequency bands within which Model control </w:t>
      </w:r>
      <w:r w:rsidRPr="00B040F5">
        <w:rPr>
          <w:spacing w:val="-3"/>
        </w:rPr>
        <w:t xml:space="preserve">can be operated </w:t>
      </w:r>
      <w:r w:rsidRPr="00B040F5">
        <w:t>under specified conditions.</w:t>
      </w:r>
    </w:p>
    <w:p w14:paraId="36525778" w14:textId="77777777" w:rsidR="006C2982" w:rsidRPr="00B040F5" w:rsidRDefault="006C2982" w:rsidP="00DA613A">
      <w:pPr>
        <w:pStyle w:val="ECCParagraph"/>
      </w:pPr>
      <w:r w:rsidRPr="00B040F5">
        <w:t>ERC/REC 01-07, adopted in 1995, listed harmonised criteria for the Administrations to decide whether an exemption from individual licence should be applied. The aim of this Decision is also to exempt Model control</w:t>
      </w:r>
      <w:r w:rsidRPr="00B040F5">
        <w:rPr>
          <w:spacing w:val="-3"/>
        </w:rPr>
        <w:t xml:space="preserve"> </w:t>
      </w:r>
      <w:r w:rsidRPr="00B040F5">
        <w:t>from individual licensing as they fulfil the criteria for exemption listed in ERC/REC 01-07.</w:t>
      </w:r>
    </w:p>
    <w:p w14:paraId="36525779" w14:textId="77777777" w:rsidR="006C2982" w:rsidRPr="00B040F5" w:rsidRDefault="006C2982" w:rsidP="00DA613A">
      <w:pPr>
        <w:pStyle w:val="ECCParagraph"/>
      </w:pPr>
      <w:r w:rsidRPr="00B040F5">
        <w:t>Commitment by CEPT member countries to implement an ERC Decision will provide a clear indication that the required frequency bands will be made available on time and on a European-wide basis.</w:t>
      </w:r>
    </w:p>
    <w:p w14:paraId="3652577A" w14:textId="3FCAC484" w:rsidR="006C03D0" w:rsidRPr="00B040F5" w:rsidRDefault="005F7AD5" w:rsidP="00DC7F36">
      <w:pPr>
        <w:pStyle w:val="Heading1"/>
      </w:pPr>
      <w:r w:rsidRPr="00B040F5">
        <w:lastRenderedPageBreak/>
        <w:t>E</w:t>
      </w:r>
      <w:r w:rsidR="003E102B" w:rsidRPr="00B040F5">
        <w:t>r</w:t>
      </w:r>
      <w:r w:rsidRPr="00B040F5">
        <w:t>C Decision of</w:t>
      </w:r>
      <w:r w:rsidR="00A8085A" w:rsidRPr="00B040F5">
        <w:t xml:space="preserve"> </w:t>
      </w:r>
      <w:r w:rsidR="003E102B" w:rsidRPr="00B040F5">
        <w:t>12 maRCH 2001</w:t>
      </w:r>
      <w:r w:rsidR="00A8085A" w:rsidRPr="00B040F5">
        <w:t xml:space="preserve"> </w:t>
      </w:r>
      <w:r w:rsidRPr="00B040F5">
        <w:t>on</w:t>
      </w:r>
      <w:r w:rsidR="00A8085A" w:rsidRPr="00B040F5">
        <w:t xml:space="preserve"> </w:t>
      </w:r>
      <w:r w:rsidR="006C2982" w:rsidRPr="00B040F5">
        <w:t>harmonised frequencies, technical characteristics and exemption from individual licensing of Short Range Devices used for Model control operating on the frequencies 40.665, 40.675, 40.685 and 40.695 MHz</w:t>
      </w:r>
      <w:r w:rsidR="003E102B" w:rsidRPr="00B040F5">
        <w:t xml:space="preserve"> </w:t>
      </w:r>
      <w:r w:rsidR="00CA74AB" w:rsidRPr="00B040F5">
        <w:t xml:space="preserve">updated on </w:t>
      </w:r>
      <w:r w:rsidR="00271AA8">
        <w:t>17 NOVEMBER 2017</w:t>
      </w:r>
      <w:r w:rsidR="001941AD">
        <w:t>, updated 10 June 2022</w:t>
      </w:r>
    </w:p>
    <w:p w14:paraId="3652577B" w14:textId="77777777" w:rsidR="006C03D0" w:rsidRPr="00B040F5" w:rsidRDefault="005F7AD5" w:rsidP="006C03D0">
      <w:pPr>
        <w:pStyle w:val="ECCParagraph"/>
      </w:pPr>
      <w:r w:rsidRPr="00B040F5">
        <w:t xml:space="preserve">“The European Conference of Postal and Telecommunications Administrations, </w:t>
      </w:r>
    </w:p>
    <w:p w14:paraId="3652577C" w14:textId="77777777" w:rsidR="006C03D0" w:rsidRPr="00B040F5" w:rsidRDefault="005F7AD5" w:rsidP="006C03D0">
      <w:pPr>
        <w:pStyle w:val="ECCParagraph"/>
        <w:rPr>
          <w:i/>
          <w:color w:val="D2232A"/>
        </w:rPr>
      </w:pPr>
      <w:r w:rsidRPr="00B040F5">
        <w:rPr>
          <w:i/>
          <w:color w:val="D2232A"/>
        </w:rPr>
        <w:t xml:space="preserve">considering </w:t>
      </w:r>
    </w:p>
    <w:p w14:paraId="3652577D" w14:textId="77777777" w:rsidR="006C2982" w:rsidRPr="00B040F5" w:rsidRDefault="006C2982" w:rsidP="006C2982">
      <w:pPr>
        <w:pStyle w:val="LetteredList"/>
        <w:rPr>
          <w:lang w:val="en-GB"/>
        </w:rPr>
      </w:pPr>
      <w:r w:rsidRPr="00B040F5">
        <w:rPr>
          <w:lang w:val="en-GB"/>
        </w:rPr>
        <w:t>that due to the increasing interest in the use of SRD for a growing number of applications it is necessary to harmonise frequencies and regulations for these devices;</w:t>
      </w:r>
    </w:p>
    <w:p w14:paraId="3652577E" w14:textId="77777777" w:rsidR="006C2982" w:rsidRPr="00B040F5" w:rsidRDefault="006C2982" w:rsidP="006C2982">
      <w:pPr>
        <w:pStyle w:val="LetteredList"/>
        <w:rPr>
          <w:lang w:val="en-GB"/>
        </w:rPr>
      </w:pPr>
      <w:r w:rsidRPr="00B040F5">
        <w:rPr>
          <w:lang w:val="en-GB"/>
        </w:rPr>
        <w:t>that SRD in general operate in shared bands and are not permitted to cause harmful interference to other radio services;</w:t>
      </w:r>
    </w:p>
    <w:p w14:paraId="3652577F" w14:textId="77777777" w:rsidR="006C2982" w:rsidRPr="00B040F5" w:rsidRDefault="006C2982" w:rsidP="006C2982">
      <w:pPr>
        <w:pStyle w:val="LetteredList"/>
        <w:rPr>
          <w:lang w:val="en-GB"/>
        </w:rPr>
      </w:pPr>
      <w:r w:rsidRPr="00B040F5">
        <w:rPr>
          <w:lang w:val="en-GB"/>
        </w:rPr>
        <w:t>that in general SRD cannot claim protection from other radio services;</w:t>
      </w:r>
    </w:p>
    <w:p w14:paraId="36525780" w14:textId="77777777" w:rsidR="006C2982" w:rsidRPr="00B040F5" w:rsidRDefault="006C2982" w:rsidP="006C2982">
      <w:pPr>
        <w:pStyle w:val="LetteredList"/>
        <w:rPr>
          <w:lang w:val="en-GB"/>
        </w:rPr>
      </w:pPr>
      <w:r w:rsidRPr="00B040F5">
        <w:rPr>
          <w:lang w:val="en-GB"/>
        </w:rPr>
        <w:t>that the CEPT Recommendation ERC/REC 70-03 on Short Range Devices identifies frequency bands for Model control;</w:t>
      </w:r>
    </w:p>
    <w:p w14:paraId="36525781" w14:textId="77777777" w:rsidR="006C2982" w:rsidRPr="00B040F5" w:rsidRDefault="006C2982" w:rsidP="00CA74AB">
      <w:pPr>
        <w:pStyle w:val="LetteredList"/>
        <w:rPr>
          <w:lang w:val="en-GB"/>
        </w:rPr>
      </w:pPr>
      <w:r w:rsidRPr="00B040F5">
        <w:rPr>
          <w:lang w:val="en-GB"/>
        </w:rPr>
        <w:t>that European-wide harmonised use of frequencies support</w:t>
      </w:r>
      <w:r w:rsidR="00CA74AB" w:rsidRPr="00B040F5">
        <w:rPr>
          <w:lang w:val="en-GB"/>
        </w:rPr>
        <w:t>s</w:t>
      </w:r>
      <w:r w:rsidRPr="00B040F5">
        <w:rPr>
          <w:lang w:val="en-GB"/>
        </w:rPr>
        <w:t xml:space="preserve"> the </w:t>
      </w:r>
      <w:r w:rsidR="00CA74AB" w:rsidRPr="00B040F5">
        <w:rPr>
          <w:lang w:val="en-GB"/>
        </w:rPr>
        <w:t xml:space="preserve">Radio Equipment </w:t>
      </w:r>
      <w:r w:rsidRPr="00B040F5">
        <w:rPr>
          <w:lang w:val="en-GB"/>
        </w:rPr>
        <w:t>Directive</w:t>
      </w:r>
      <w:r w:rsidR="00CA74AB" w:rsidRPr="00B040F5">
        <w:rPr>
          <w:lang w:val="en-GB"/>
        </w:rPr>
        <w:t>2014/53/EU</w:t>
      </w:r>
      <w:r w:rsidRPr="00B040F5">
        <w:rPr>
          <w:lang w:val="en-GB"/>
        </w:rPr>
        <w:t>;</w:t>
      </w:r>
    </w:p>
    <w:p w14:paraId="36525782" w14:textId="77777777" w:rsidR="006C2982" w:rsidRPr="00B040F5" w:rsidRDefault="006C2982" w:rsidP="006C2982">
      <w:pPr>
        <w:pStyle w:val="LetteredList"/>
        <w:rPr>
          <w:lang w:val="en-GB"/>
        </w:rPr>
      </w:pPr>
      <w:r w:rsidRPr="00B040F5">
        <w:rPr>
          <w:lang w:val="en-GB"/>
        </w:rPr>
        <w:t xml:space="preserve">that the technical characteristics shown in Annex 1 have been chosen to ensure the best use of the frequencies identified in </w:t>
      </w:r>
      <w:r w:rsidRPr="00B040F5">
        <w:rPr>
          <w:i/>
          <w:lang w:val="en-GB"/>
        </w:rPr>
        <w:t>Decide 1</w:t>
      </w:r>
      <w:r w:rsidRPr="00B040F5">
        <w:rPr>
          <w:lang w:val="en-GB"/>
        </w:rPr>
        <w:t xml:space="preserve"> by Model control, minimising interference between SRD equipment and sharing with other radio services operating in these frequencies;</w:t>
      </w:r>
    </w:p>
    <w:p w14:paraId="36525783" w14:textId="77777777" w:rsidR="006C2982" w:rsidRPr="00B040F5" w:rsidRDefault="006C2982" w:rsidP="006C2982">
      <w:pPr>
        <w:pStyle w:val="LetteredList"/>
        <w:rPr>
          <w:lang w:val="en-GB"/>
        </w:rPr>
      </w:pPr>
      <w:r w:rsidRPr="00B040F5">
        <w:rPr>
          <w:lang w:val="en-GB"/>
        </w:rPr>
        <w:t xml:space="preserve">that the equipment referred to in this ERC Decision should comply with the relevant </w:t>
      </w:r>
      <w:r w:rsidR="00CA74AB" w:rsidRPr="00B040F5">
        <w:rPr>
          <w:lang w:val="en-GB"/>
        </w:rPr>
        <w:t>Harmoni</w:t>
      </w:r>
      <w:r w:rsidR="00F245A1" w:rsidRPr="00B040F5">
        <w:rPr>
          <w:lang w:val="en-GB"/>
        </w:rPr>
        <w:t>s</w:t>
      </w:r>
      <w:r w:rsidR="00CA74AB" w:rsidRPr="00B040F5">
        <w:rPr>
          <w:lang w:val="en-GB"/>
        </w:rPr>
        <w:t xml:space="preserve">ed </w:t>
      </w:r>
      <w:r w:rsidRPr="00B040F5">
        <w:rPr>
          <w:lang w:val="en-GB"/>
        </w:rPr>
        <w:t>European Standard (EN 300 220</w:t>
      </w:r>
      <w:r w:rsidR="00CA74AB" w:rsidRPr="00B040F5">
        <w:rPr>
          <w:lang w:val="en-GB"/>
        </w:rPr>
        <w:t>-2</w:t>
      </w:r>
      <w:r w:rsidRPr="00B040F5">
        <w:rPr>
          <w:lang w:val="en-GB"/>
        </w:rPr>
        <w:t>) or equivalent technical specifications;</w:t>
      </w:r>
    </w:p>
    <w:p w14:paraId="36525784" w14:textId="77777777" w:rsidR="006C2982" w:rsidRPr="00B040F5" w:rsidRDefault="006C2982" w:rsidP="006C2982">
      <w:pPr>
        <w:pStyle w:val="LetteredList"/>
        <w:rPr>
          <w:lang w:val="en-GB"/>
        </w:rPr>
      </w:pPr>
      <w:r w:rsidRPr="00B040F5">
        <w:rPr>
          <w:lang w:val="en-GB"/>
        </w:rPr>
        <w:t>that for frequency planning, frequency co-ordination and in handling interference complaints the national frequency management and enforcement authorities assume Short Range Devices used for Model control comply with receiver performance characteristics given in the informative Annex (Annex 2);</w:t>
      </w:r>
    </w:p>
    <w:p w14:paraId="36525785" w14:textId="77777777" w:rsidR="006C2982" w:rsidRPr="00B040F5" w:rsidRDefault="006C2982" w:rsidP="006C2982">
      <w:pPr>
        <w:pStyle w:val="LetteredList"/>
        <w:rPr>
          <w:lang w:val="en-GB"/>
        </w:rPr>
      </w:pPr>
      <w:r w:rsidRPr="00B040F5">
        <w:rPr>
          <w:lang w:val="en-GB"/>
        </w:rPr>
        <w:t>that the CEPT Recommendation ERC/REC 74-01 defines spurious emission limits for radiocommunication equipment;</w:t>
      </w:r>
    </w:p>
    <w:p w14:paraId="36525786" w14:textId="77777777" w:rsidR="006C2982" w:rsidRPr="00B040F5" w:rsidRDefault="006C2982" w:rsidP="006C2982">
      <w:pPr>
        <w:pStyle w:val="LetteredList"/>
        <w:rPr>
          <w:lang w:val="en-GB"/>
        </w:rPr>
      </w:pPr>
      <w:r w:rsidRPr="00B040F5">
        <w:rPr>
          <w:lang w:val="en-GB"/>
        </w:rPr>
        <w:t>that when selecting parameters for new SRD, which may have inherent safety of human life implications, manufacturers and users should pay particular attention to the potential for interference from other systems operating in the same or adjacent bands;</w:t>
      </w:r>
    </w:p>
    <w:p w14:paraId="36525787" w14:textId="77777777" w:rsidR="006C2982" w:rsidRPr="00B040F5" w:rsidRDefault="006C2982" w:rsidP="006C2982">
      <w:pPr>
        <w:pStyle w:val="LetteredList"/>
        <w:rPr>
          <w:lang w:val="en-GB"/>
        </w:rPr>
      </w:pPr>
      <w:r w:rsidRPr="00B040F5">
        <w:rPr>
          <w:lang w:val="en-GB"/>
        </w:rPr>
        <w:t>that within the CEPT Administrations there is growing awareness of the need for harmonisation of licensing regimes;</w:t>
      </w:r>
    </w:p>
    <w:p w14:paraId="36525788" w14:textId="77777777" w:rsidR="006C2982" w:rsidRPr="00B040F5" w:rsidRDefault="006C2982" w:rsidP="006C2982">
      <w:pPr>
        <w:pStyle w:val="LetteredList"/>
        <w:rPr>
          <w:lang w:val="en-GB"/>
        </w:rPr>
      </w:pPr>
      <w:r w:rsidRPr="00B040F5">
        <w:rPr>
          <w:lang w:val="en-GB"/>
        </w:rPr>
        <w:t>that national licensing regimes should be as simple as possible in order to minimise the burden on Administrations and users of equipment;</w:t>
      </w:r>
    </w:p>
    <w:p w14:paraId="36525789" w14:textId="77777777" w:rsidR="006C2982" w:rsidRPr="00B040F5" w:rsidRDefault="006C2982" w:rsidP="006C2982">
      <w:pPr>
        <w:pStyle w:val="LetteredList"/>
        <w:rPr>
          <w:lang w:val="en-GB"/>
        </w:rPr>
      </w:pPr>
      <w:r w:rsidRPr="00B040F5">
        <w:rPr>
          <w:lang w:val="en-GB"/>
        </w:rPr>
        <w:t>that Administrations should work towards the exemption of relevant radio equipment from individual licensing based on harmonised criteria detailed in ERC/REC 01-07;</w:t>
      </w:r>
    </w:p>
    <w:p w14:paraId="3652578A" w14:textId="77777777" w:rsidR="006C2982" w:rsidRPr="00B040F5" w:rsidRDefault="006C2982" w:rsidP="006C2982">
      <w:pPr>
        <w:pStyle w:val="LetteredList"/>
        <w:rPr>
          <w:lang w:val="en-GB"/>
        </w:rPr>
      </w:pPr>
      <w:r w:rsidRPr="00B040F5">
        <w:rPr>
          <w:lang w:val="en-GB"/>
        </w:rPr>
        <w:t>that Administrations have the right to exercise spectrum/frequency management which may affect the number of service suppliers, in conformity with their international trade obligations and to European Community legislation as far as EU Member States are concerned;</w:t>
      </w:r>
    </w:p>
    <w:p w14:paraId="3652578B" w14:textId="77777777" w:rsidR="006C2982" w:rsidRPr="00B040F5" w:rsidRDefault="006C2982" w:rsidP="006C2982">
      <w:pPr>
        <w:pStyle w:val="LetteredList"/>
        <w:rPr>
          <w:lang w:val="en-GB"/>
        </w:rPr>
      </w:pPr>
      <w:r w:rsidRPr="00B040F5">
        <w:rPr>
          <w:lang w:val="en-GB"/>
        </w:rPr>
        <w:t>that allocation, assignment and technical co-ordination of frequencies must be done in an objective, timely, impartial, transparent and non-discriminatory manner, and should not be more burdensome than necessary under international rules, in particular, to ensure the efficient use of the frequency spectrum</w:t>
      </w:r>
      <w:r w:rsidR="00AF3A16">
        <w:rPr>
          <w:lang w:val="en-GB"/>
        </w:rPr>
        <w:t>.</w:t>
      </w:r>
    </w:p>
    <w:p w14:paraId="3652578C" w14:textId="77777777" w:rsidR="006C03D0" w:rsidRPr="00B040F5" w:rsidRDefault="00B0519B" w:rsidP="00B0519B">
      <w:pPr>
        <w:pStyle w:val="ECCParagraph"/>
        <w:rPr>
          <w:color w:val="D2232A"/>
        </w:rPr>
      </w:pPr>
      <w:r w:rsidRPr="00B040F5">
        <w:br w:type="page"/>
      </w:r>
      <w:r w:rsidR="005F7AD5" w:rsidRPr="00B040F5">
        <w:rPr>
          <w:i/>
          <w:color w:val="D2232A"/>
        </w:rPr>
        <w:lastRenderedPageBreak/>
        <w:t>DECIDES</w:t>
      </w:r>
      <w:r w:rsidR="005F7AD5" w:rsidRPr="00B040F5">
        <w:rPr>
          <w:color w:val="D2232A"/>
        </w:rPr>
        <w:t xml:space="preserve"> </w:t>
      </w:r>
    </w:p>
    <w:p w14:paraId="3652578D" w14:textId="77777777" w:rsidR="006C2982" w:rsidRPr="00B040F5" w:rsidRDefault="006C2982" w:rsidP="006C2982">
      <w:pPr>
        <w:pStyle w:val="ECCNumbered-LetteredList"/>
        <w:rPr>
          <w:lang w:val="en-GB"/>
        </w:rPr>
      </w:pPr>
      <w:r w:rsidRPr="00B040F5">
        <w:rPr>
          <w:lang w:val="en-GB"/>
        </w:rPr>
        <w:t>to designate the frequencies 40.665, 40.675, 40.685 and 40.695 MHz for the use of equipment for Model control systems which comply with the technical characteristics shown in Annex 1;</w:t>
      </w:r>
    </w:p>
    <w:p w14:paraId="3652578E" w14:textId="77777777" w:rsidR="006423B6" w:rsidRPr="00B040F5" w:rsidRDefault="006423B6" w:rsidP="006C2982">
      <w:pPr>
        <w:pStyle w:val="ECCNumbered-LetteredList"/>
        <w:numPr>
          <w:ilvl w:val="0"/>
          <w:numId w:val="0"/>
        </w:numPr>
        <w:ind w:left="340"/>
        <w:rPr>
          <w:lang w:val="en-GB"/>
        </w:rPr>
      </w:pPr>
    </w:p>
    <w:p w14:paraId="3652578F" w14:textId="77777777" w:rsidR="006C2982" w:rsidRPr="00B040F5" w:rsidRDefault="006C2982" w:rsidP="006C2982">
      <w:pPr>
        <w:pStyle w:val="ECCNumbered-LetteredList"/>
        <w:rPr>
          <w:lang w:val="en-GB"/>
        </w:rPr>
      </w:pPr>
      <w:r w:rsidRPr="00B040F5">
        <w:rPr>
          <w:lang w:val="en-GB"/>
        </w:rPr>
        <w:t>to exempt Short Range Devices used for Model control covered by this Decision from individual licensing;</w:t>
      </w:r>
    </w:p>
    <w:p w14:paraId="36525790" w14:textId="77777777" w:rsidR="006423B6" w:rsidRPr="00B040F5" w:rsidRDefault="006423B6" w:rsidP="006C2982">
      <w:pPr>
        <w:pStyle w:val="ECCNumbered-LetteredList"/>
        <w:numPr>
          <w:ilvl w:val="0"/>
          <w:numId w:val="0"/>
        </w:numPr>
        <w:ind w:left="340"/>
        <w:rPr>
          <w:lang w:val="en-GB"/>
        </w:rPr>
      </w:pPr>
    </w:p>
    <w:p w14:paraId="36525791" w14:textId="77777777" w:rsidR="006423B6" w:rsidRPr="00B040F5" w:rsidRDefault="006423B6" w:rsidP="006C2982">
      <w:pPr>
        <w:pStyle w:val="ECCNumbered-LetteredList"/>
        <w:rPr>
          <w:lang w:val="en-GB"/>
        </w:rPr>
      </w:pPr>
      <w:r w:rsidRPr="00B040F5">
        <w:rPr>
          <w:lang w:val="en-GB"/>
        </w:rPr>
        <w:t>that this Decision enter</w:t>
      </w:r>
      <w:r w:rsidR="00A15F4C">
        <w:rPr>
          <w:lang w:val="en-GB"/>
        </w:rPr>
        <w:t>s</w:t>
      </w:r>
      <w:r w:rsidRPr="00B040F5">
        <w:rPr>
          <w:lang w:val="en-GB"/>
        </w:rPr>
        <w:t xml:space="preserve"> into force on</w:t>
      </w:r>
      <w:r w:rsidR="00CA74AB" w:rsidRPr="00B040F5">
        <w:rPr>
          <w:lang w:val="en-GB"/>
        </w:rPr>
        <w:t xml:space="preserve"> 12 March 2001</w:t>
      </w:r>
      <w:r w:rsidRPr="00B040F5">
        <w:rPr>
          <w:lang w:val="en-GB"/>
        </w:rPr>
        <w:t>;</w:t>
      </w:r>
    </w:p>
    <w:p w14:paraId="36525792" w14:textId="77777777" w:rsidR="006423B6" w:rsidRPr="00B040F5" w:rsidRDefault="006423B6" w:rsidP="006C2982">
      <w:pPr>
        <w:pStyle w:val="ECCNumbered-LetteredList"/>
        <w:numPr>
          <w:ilvl w:val="0"/>
          <w:numId w:val="0"/>
        </w:numPr>
        <w:ind w:left="340"/>
        <w:rPr>
          <w:lang w:val="en-GB"/>
        </w:rPr>
      </w:pPr>
    </w:p>
    <w:p w14:paraId="36525793" w14:textId="77777777" w:rsidR="006423B6" w:rsidRPr="00B040F5" w:rsidRDefault="006423B6" w:rsidP="006C2982">
      <w:pPr>
        <w:pStyle w:val="ECCNumbered-LetteredList"/>
        <w:rPr>
          <w:lang w:val="en-GB"/>
        </w:rPr>
      </w:pPr>
      <w:r w:rsidRPr="00B040F5">
        <w:rPr>
          <w:lang w:val="en-GB"/>
        </w:rPr>
        <w:t xml:space="preserve">that CEPT administrations shall communicate the </w:t>
      </w:r>
      <w:r w:rsidRPr="00AF3A16">
        <w:rPr>
          <w:lang w:val="en-GB"/>
        </w:rPr>
        <w:t>national measures</w:t>
      </w:r>
      <w:r w:rsidRPr="00B040F5">
        <w:rPr>
          <w:lang w:val="en-GB"/>
        </w:rPr>
        <w:t xml:space="preserve"> implementing this Decision to the </w:t>
      </w:r>
      <w:smartTag w:uri="urn:schemas-microsoft-com:office:smarttags" w:element="stockticker">
        <w:r w:rsidRPr="00B040F5">
          <w:rPr>
            <w:lang w:val="en-GB"/>
          </w:rPr>
          <w:t>ECC</w:t>
        </w:r>
      </w:smartTag>
      <w:r w:rsidRPr="00B040F5">
        <w:rPr>
          <w:lang w:val="en-GB"/>
        </w:rPr>
        <w:t xml:space="preserve"> Chairman and the Office when this ECC Decision is nationally implemented.”</w:t>
      </w:r>
    </w:p>
    <w:p w14:paraId="36525794" w14:textId="77777777" w:rsidR="006C2982" w:rsidRPr="00B040F5" w:rsidRDefault="006C2982" w:rsidP="006C2982">
      <w:pPr>
        <w:pStyle w:val="ListParagraph"/>
        <w:rPr>
          <w:lang w:val="en-GB"/>
        </w:rPr>
      </w:pPr>
    </w:p>
    <w:p w14:paraId="36525795" w14:textId="77777777" w:rsidR="006C2982" w:rsidRPr="00B040F5" w:rsidRDefault="006C2982" w:rsidP="006C2982">
      <w:pPr>
        <w:pStyle w:val="ECCNumbered-LetteredList"/>
        <w:numPr>
          <w:ilvl w:val="0"/>
          <w:numId w:val="0"/>
        </w:numPr>
        <w:ind w:left="340"/>
        <w:rPr>
          <w:lang w:val="en-GB"/>
        </w:rPr>
      </w:pPr>
    </w:p>
    <w:p w14:paraId="36525796" w14:textId="77777777" w:rsidR="001C46EA" w:rsidRPr="00B040F5" w:rsidRDefault="001C46EA" w:rsidP="00D90B0A">
      <w:pPr>
        <w:pStyle w:val="ECCParagraph"/>
        <w:keepNext/>
        <w:rPr>
          <w:i/>
          <w:color w:val="D2232A"/>
        </w:rPr>
      </w:pPr>
      <w:r w:rsidRPr="00B040F5">
        <w:rPr>
          <w:i/>
          <w:color w:val="D2232A"/>
        </w:rPr>
        <w:t xml:space="preserve">Note: </w:t>
      </w:r>
    </w:p>
    <w:p w14:paraId="36525797" w14:textId="0CBAAF7C" w:rsidR="001C46EA" w:rsidRPr="00B040F5" w:rsidRDefault="001C46EA" w:rsidP="00D90B0A">
      <w:pPr>
        <w:pStyle w:val="ECCParagraph"/>
        <w:keepNext/>
      </w:pPr>
      <w:r w:rsidRPr="00B040F5">
        <w:rPr>
          <w:i/>
          <w:szCs w:val="20"/>
        </w:rPr>
        <w:t xml:space="preserve">Please check the Office documentation database </w:t>
      </w:r>
      <w:hyperlink r:id="rId8" w:history="1">
        <w:r w:rsidR="00EB7EEE" w:rsidRPr="00D030A1">
          <w:rPr>
            <w:rStyle w:val="Hyperlink"/>
            <w:i/>
            <w:szCs w:val="20"/>
          </w:rPr>
          <w:t>https://docdb.cept.org/</w:t>
        </w:r>
      </w:hyperlink>
      <w:r w:rsidR="00EB7EEE">
        <w:rPr>
          <w:i/>
          <w:szCs w:val="20"/>
        </w:rPr>
        <w:t xml:space="preserve"> </w:t>
      </w:r>
      <w:r w:rsidRPr="00B040F5">
        <w:rPr>
          <w:i/>
          <w:szCs w:val="20"/>
        </w:rPr>
        <w:t xml:space="preserve">for the up to date position on the implementation of this and other </w:t>
      </w:r>
      <w:smartTag w:uri="urn:schemas-microsoft-com:office:smarttags" w:element="stockticker">
        <w:r w:rsidRPr="00B040F5">
          <w:rPr>
            <w:i/>
            <w:szCs w:val="20"/>
          </w:rPr>
          <w:t>ECC</w:t>
        </w:r>
      </w:smartTag>
      <w:r w:rsidRPr="00B040F5">
        <w:rPr>
          <w:i/>
          <w:szCs w:val="20"/>
        </w:rPr>
        <w:t xml:space="preserve"> Decisions.</w:t>
      </w:r>
    </w:p>
    <w:p w14:paraId="36525798" w14:textId="77777777" w:rsidR="006423B6" w:rsidRPr="00B040F5" w:rsidRDefault="006423B6" w:rsidP="00DC7F36">
      <w:pPr>
        <w:pStyle w:val="ECCAnnex-heading1"/>
      </w:pPr>
      <w:r w:rsidRPr="00B040F5">
        <w:lastRenderedPageBreak/>
        <w:t xml:space="preserve">Regulatory Annex: Technical characteristics of </w:t>
      </w:r>
      <w:r w:rsidR="00A15F4C">
        <w:t xml:space="preserve">MODEL CONTROL </w:t>
      </w:r>
      <w:r w:rsidRPr="00B040F5">
        <w:t xml:space="preserve">using the frequencies identified in </w:t>
      </w:r>
      <w:r w:rsidRPr="00AF3A16">
        <w:rPr>
          <w:i/>
        </w:rPr>
        <w:t>Decides 1</w:t>
      </w:r>
    </w:p>
    <w:p w14:paraId="36525799" w14:textId="77777777" w:rsidR="006C03D0" w:rsidRPr="00B040F5" w:rsidRDefault="00CA74AB" w:rsidP="006C03D0">
      <w:pPr>
        <w:pStyle w:val="ECCTabletitle"/>
      </w:pPr>
      <w:r w:rsidRPr="00B040F5">
        <w:t>Technical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501"/>
        <w:gridCol w:w="1519"/>
        <w:gridCol w:w="1084"/>
        <w:gridCol w:w="1121"/>
        <w:gridCol w:w="2404"/>
        <w:tblGridChange w:id="2">
          <w:tblGrid>
            <w:gridCol w:w="3501"/>
            <w:gridCol w:w="1519"/>
            <w:gridCol w:w="1084"/>
            <w:gridCol w:w="1121"/>
            <w:gridCol w:w="2404"/>
          </w:tblGrid>
        </w:tblGridChange>
      </w:tblGrid>
      <w:tr w:rsidR="00796D8B" w:rsidRPr="00B040F5" w14:paraId="3652579F" w14:textId="77777777" w:rsidTr="00796D8B">
        <w:trPr>
          <w:tblHeader/>
        </w:trPr>
        <w:tc>
          <w:tcPr>
            <w:tcW w:w="18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652579A" w14:textId="76011D40" w:rsidR="006423B6" w:rsidRPr="00B040F5" w:rsidRDefault="006423B6" w:rsidP="00796D8B">
            <w:pPr>
              <w:spacing w:before="120" w:after="120"/>
              <w:jc w:val="center"/>
              <w:rPr>
                <w:b/>
                <w:color w:val="FFFFFF" w:themeColor="background1"/>
                <w:szCs w:val="20"/>
                <w:lang w:val="en-GB"/>
              </w:rPr>
            </w:pPr>
            <w:r w:rsidRPr="00B040F5">
              <w:rPr>
                <w:b/>
                <w:color w:val="FFFFFF" w:themeColor="background1"/>
                <w:szCs w:val="20"/>
                <w:lang w:val="en-GB"/>
              </w:rPr>
              <w:t>Frequency Band</w:t>
            </w:r>
          </w:p>
        </w:tc>
        <w:tc>
          <w:tcPr>
            <w:tcW w:w="8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652579B" w14:textId="77777777" w:rsidR="006423B6" w:rsidRPr="00B040F5" w:rsidRDefault="006423B6" w:rsidP="00796D8B">
            <w:pPr>
              <w:spacing w:before="120" w:after="120"/>
              <w:jc w:val="center"/>
              <w:rPr>
                <w:b/>
                <w:color w:val="FFFFFF" w:themeColor="background1"/>
                <w:szCs w:val="20"/>
                <w:lang w:val="en-GB"/>
              </w:rPr>
            </w:pPr>
            <w:r w:rsidRPr="00B040F5">
              <w:rPr>
                <w:b/>
                <w:color w:val="FFFFFF" w:themeColor="background1"/>
                <w:szCs w:val="20"/>
                <w:lang w:val="en-GB"/>
              </w:rPr>
              <w:t>Power</w:t>
            </w:r>
          </w:p>
        </w:tc>
        <w:tc>
          <w:tcPr>
            <w:tcW w:w="4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652579C" w14:textId="77777777" w:rsidR="006423B6" w:rsidRPr="00B040F5" w:rsidRDefault="006423B6" w:rsidP="00796D8B">
            <w:pPr>
              <w:pStyle w:val="Heading7"/>
              <w:numPr>
                <w:ilvl w:val="0"/>
                <w:numId w:val="0"/>
              </w:numPr>
              <w:spacing w:before="120" w:after="120"/>
              <w:jc w:val="center"/>
              <w:rPr>
                <w:b/>
                <w:color w:val="FFFFFF" w:themeColor="background1"/>
                <w:sz w:val="20"/>
                <w:szCs w:val="20"/>
                <w:lang w:val="en-GB"/>
              </w:rPr>
            </w:pPr>
            <w:r w:rsidRPr="00B040F5">
              <w:rPr>
                <w:b/>
                <w:color w:val="FFFFFF" w:themeColor="background1"/>
                <w:sz w:val="20"/>
                <w:szCs w:val="20"/>
                <w:lang w:val="en-GB"/>
              </w:rPr>
              <w:t>Antenna</w:t>
            </w:r>
          </w:p>
        </w:tc>
        <w:tc>
          <w:tcPr>
            <w:tcW w:w="6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652579D" w14:textId="77777777" w:rsidR="006423B6" w:rsidRPr="00B040F5" w:rsidRDefault="006423B6" w:rsidP="00796D8B">
            <w:pPr>
              <w:spacing w:before="120" w:after="120"/>
              <w:jc w:val="center"/>
              <w:rPr>
                <w:b/>
                <w:color w:val="FFFFFF" w:themeColor="background1"/>
                <w:szCs w:val="20"/>
                <w:lang w:val="en-GB"/>
              </w:rPr>
            </w:pPr>
            <w:r w:rsidRPr="00B040F5">
              <w:rPr>
                <w:b/>
                <w:color w:val="FFFFFF" w:themeColor="background1"/>
                <w:szCs w:val="20"/>
                <w:lang w:val="en-GB"/>
              </w:rPr>
              <w:t>Channel Spacing</w:t>
            </w:r>
          </w:p>
        </w:tc>
        <w:tc>
          <w:tcPr>
            <w:tcW w:w="12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652579E" w14:textId="77777777" w:rsidR="006423B6" w:rsidRPr="00B040F5" w:rsidRDefault="006423B6" w:rsidP="00796D8B">
            <w:pPr>
              <w:spacing w:before="120" w:after="120"/>
              <w:jc w:val="center"/>
              <w:rPr>
                <w:b/>
                <w:color w:val="FFFFFF" w:themeColor="background1"/>
                <w:szCs w:val="20"/>
                <w:lang w:val="en-GB"/>
              </w:rPr>
            </w:pPr>
            <w:r w:rsidRPr="00B040F5">
              <w:rPr>
                <w:b/>
                <w:color w:val="FFFFFF" w:themeColor="background1"/>
                <w:szCs w:val="20"/>
                <w:lang w:val="en-GB"/>
              </w:rPr>
              <w:t>Duty Cycle (%)</w:t>
            </w:r>
          </w:p>
        </w:tc>
      </w:tr>
      <w:tr w:rsidR="00796D8B" w:rsidRPr="00B040F5" w14:paraId="365257A5" w14:textId="77777777" w:rsidTr="00796D8B">
        <w:tc>
          <w:tcPr>
            <w:tcW w:w="1838" w:type="pct"/>
            <w:tcBorders>
              <w:top w:val="single" w:sz="4" w:space="0" w:color="FFFFFF" w:themeColor="background1"/>
              <w:left w:val="single" w:sz="4" w:space="0" w:color="D2232A"/>
              <w:bottom w:val="single" w:sz="4" w:space="0" w:color="D2232A"/>
              <w:right w:val="single" w:sz="4" w:space="0" w:color="D2232A"/>
            </w:tcBorders>
            <w:vAlign w:val="center"/>
          </w:tcPr>
          <w:p w14:paraId="365257A0" w14:textId="77777777" w:rsidR="006C2982" w:rsidRPr="00B040F5" w:rsidRDefault="006C2982" w:rsidP="00796D8B">
            <w:pPr>
              <w:pStyle w:val="ECCParagraph"/>
              <w:spacing w:before="60" w:after="60"/>
            </w:pPr>
            <w:r w:rsidRPr="00B040F5">
              <w:t>40.665, 40.675, 40.685, 40.695</w:t>
            </w:r>
            <w:r w:rsidRPr="00B040F5">
              <w:rPr>
                <w:sz w:val="40"/>
              </w:rPr>
              <w:t xml:space="preserve"> </w:t>
            </w:r>
            <w:r w:rsidRPr="00B040F5">
              <w:t>MHz</w:t>
            </w:r>
          </w:p>
        </w:tc>
        <w:tc>
          <w:tcPr>
            <w:tcW w:w="809" w:type="pct"/>
            <w:tcBorders>
              <w:top w:val="single" w:sz="4" w:space="0" w:color="FFFFFF" w:themeColor="background1"/>
              <w:left w:val="single" w:sz="4" w:space="0" w:color="D2232A"/>
              <w:bottom w:val="single" w:sz="4" w:space="0" w:color="D2232A"/>
              <w:right w:val="single" w:sz="4" w:space="0" w:color="D2232A"/>
            </w:tcBorders>
            <w:vAlign w:val="center"/>
          </w:tcPr>
          <w:p w14:paraId="365257A1" w14:textId="77777777" w:rsidR="006C2982" w:rsidRPr="00B040F5" w:rsidRDefault="006C2982" w:rsidP="00796D8B">
            <w:pPr>
              <w:pStyle w:val="ECCParagraph"/>
              <w:spacing w:before="60" w:after="60"/>
            </w:pPr>
            <w:r w:rsidRPr="00B040F5">
              <w:t>100 mW e.r.p.</w:t>
            </w:r>
          </w:p>
        </w:tc>
        <w:tc>
          <w:tcPr>
            <w:tcW w:w="483" w:type="pct"/>
            <w:tcBorders>
              <w:top w:val="single" w:sz="4" w:space="0" w:color="FFFFFF" w:themeColor="background1"/>
              <w:left w:val="single" w:sz="4" w:space="0" w:color="D2232A"/>
              <w:bottom w:val="single" w:sz="4" w:space="0" w:color="D2232A"/>
              <w:right w:val="single" w:sz="4" w:space="0" w:color="D2232A"/>
            </w:tcBorders>
            <w:vAlign w:val="center"/>
          </w:tcPr>
          <w:p w14:paraId="365257A2" w14:textId="77777777" w:rsidR="006C2982" w:rsidRPr="00B040F5" w:rsidRDefault="006C2982" w:rsidP="00796D8B">
            <w:pPr>
              <w:pStyle w:val="ECCParagraph"/>
              <w:spacing w:before="60" w:after="60"/>
              <w:rPr>
                <w:szCs w:val="20"/>
              </w:rPr>
            </w:pPr>
            <w:r w:rsidRPr="00B040F5">
              <w:rPr>
                <w:szCs w:val="20"/>
              </w:rPr>
              <w:t>dedicated</w:t>
            </w:r>
          </w:p>
        </w:tc>
        <w:tc>
          <w:tcPr>
            <w:tcW w:w="602" w:type="pct"/>
            <w:tcBorders>
              <w:top w:val="single" w:sz="4" w:space="0" w:color="FFFFFF" w:themeColor="background1"/>
              <w:left w:val="single" w:sz="4" w:space="0" w:color="D2232A"/>
              <w:bottom w:val="single" w:sz="4" w:space="0" w:color="D2232A"/>
              <w:right w:val="single" w:sz="4" w:space="0" w:color="D2232A"/>
            </w:tcBorders>
            <w:vAlign w:val="center"/>
          </w:tcPr>
          <w:p w14:paraId="365257A3" w14:textId="77777777" w:rsidR="006C2982" w:rsidRPr="00B040F5" w:rsidRDefault="006C2982" w:rsidP="00796D8B">
            <w:pPr>
              <w:pStyle w:val="ECCParagraph"/>
              <w:spacing w:before="60" w:after="60"/>
              <w:rPr>
                <w:szCs w:val="20"/>
              </w:rPr>
            </w:pPr>
            <w:r w:rsidRPr="00B040F5">
              <w:t>10 kHz</w:t>
            </w:r>
          </w:p>
        </w:tc>
        <w:tc>
          <w:tcPr>
            <w:tcW w:w="1268" w:type="pct"/>
            <w:tcBorders>
              <w:top w:val="single" w:sz="4" w:space="0" w:color="FFFFFF" w:themeColor="background1"/>
              <w:left w:val="single" w:sz="4" w:space="0" w:color="D2232A"/>
              <w:bottom w:val="single" w:sz="4" w:space="0" w:color="D2232A"/>
              <w:right w:val="single" w:sz="4" w:space="0" w:color="D2232A"/>
            </w:tcBorders>
            <w:vAlign w:val="center"/>
          </w:tcPr>
          <w:p w14:paraId="365257A4" w14:textId="77777777" w:rsidR="006C2982" w:rsidRPr="00B040F5" w:rsidRDefault="006C2982" w:rsidP="00796D8B">
            <w:pPr>
              <w:pStyle w:val="ECCParagraph"/>
              <w:spacing w:before="60" w:after="60"/>
              <w:jc w:val="left"/>
              <w:rPr>
                <w:szCs w:val="20"/>
              </w:rPr>
            </w:pPr>
            <w:r w:rsidRPr="00B040F5">
              <w:rPr>
                <w:szCs w:val="20"/>
              </w:rPr>
              <w:t>No duty cycle restriction</w:t>
            </w:r>
          </w:p>
        </w:tc>
      </w:tr>
    </w:tbl>
    <w:p w14:paraId="365257A6" w14:textId="77777777" w:rsidR="006C03D0" w:rsidRPr="00B040F5" w:rsidRDefault="006C03D0" w:rsidP="00EB1BD5">
      <w:pPr>
        <w:pStyle w:val="ECCTablenote"/>
      </w:pPr>
    </w:p>
    <w:p w14:paraId="365257A7" w14:textId="77777777" w:rsidR="003E102B" w:rsidRPr="00B040F5" w:rsidRDefault="003E102B" w:rsidP="00DC7F36">
      <w:pPr>
        <w:pStyle w:val="ECCAnnex-heading1"/>
      </w:pPr>
      <w:bookmarkStart w:id="3" w:name="_Toc280099660"/>
      <w:r w:rsidRPr="00B040F5">
        <w:lastRenderedPageBreak/>
        <w:t>INFORMATIVE ANNEX: ADDITIONAL TECHNICAL CHARACTERISTICS RECOMMENDED TO COMPLY TO ENSURE EFFICIENT USE OF THE SPECTRUM</w:t>
      </w:r>
    </w:p>
    <w:p w14:paraId="365257A8" w14:textId="77777777" w:rsidR="00727B1A" w:rsidRPr="00B040F5" w:rsidRDefault="00727B1A" w:rsidP="00FD7EC4">
      <w:pPr>
        <w:pStyle w:val="ECCParagraph"/>
        <w:keepNext/>
        <w:tabs>
          <w:tab w:val="left" w:pos="851"/>
        </w:tabs>
        <w:spacing w:after="120"/>
      </w:pPr>
      <w:r w:rsidRPr="00FD7EC4">
        <w:rPr>
          <w:i/>
          <w:color w:val="D2232A"/>
        </w:rPr>
        <w:t>Note:</w:t>
      </w:r>
      <w:r w:rsidRPr="00B040F5">
        <w:t xml:space="preserve"> In this ERC Decision this </w:t>
      </w:r>
      <w:r w:rsidR="0073004B">
        <w:t>A</w:t>
      </w:r>
      <w:r w:rsidRPr="00B040F5">
        <w:t xml:space="preserve">nnex is for information only; however, in cases where the relevant harmonised standard applicable to </w:t>
      </w:r>
      <w:r w:rsidRPr="00B040F5">
        <w:rPr>
          <w:spacing w:val="-3"/>
        </w:rPr>
        <w:t xml:space="preserve">Model control contains essential requirements for transmitter or receiver parameters, this harmonised standard prevails upon the following information. For the conditions and methods of measurement refer to the relevant </w:t>
      </w:r>
      <w:r w:rsidR="00CA74AB" w:rsidRPr="00B040F5">
        <w:rPr>
          <w:spacing w:val="-3"/>
        </w:rPr>
        <w:t>Harmonised European Standard</w:t>
      </w:r>
      <w:r w:rsidRPr="00B040F5">
        <w:rPr>
          <w:spacing w:val="-3"/>
        </w:rPr>
        <w:t xml:space="preserve"> (EN 300 220-</w:t>
      </w:r>
      <w:r w:rsidR="00CA74AB" w:rsidRPr="00B040F5">
        <w:rPr>
          <w:spacing w:val="-3"/>
        </w:rPr>
        <w:t>2</w:t>
      </w:r>
      <w:r w:rsidRPr="00B040F5">
        <w:rPr>
          <w:spacing w:val="-3"/>
        </w:rPr>
        <w:t>).</w:t>
      </w:r>
    </w:p>
    <w:p w14:paraId="365257A9" w14:textId="77777777" w:rsidR="00727B1A" w:rsidRPr="00B040F5" w:rsidRDefault="00727B1A" w:rsidP="00727B1A">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p>
    <w:p w14:paraId="365257AA" w14:textId="77777777" w:rsidR="00727B1A" w:rsidRPr="00B040F5" w:rsidRDefault="00727B1A" w:rsidP="003E102B">
      <w:pPr>
        <w:pStyle w:val="ECCParagraph"/>
        <w:rPr>
          <w:b/>
        </w:rPr>
      </w:pPr>
    </w:p>
    <w:p w14:paraId="365257AB" w14:textId="77777777" w:rsidR="003E102B" w:rsidRPr="00B040F5" w:rsidRDefault="003E102B" w:rsidP="003E102B">
      <w:pPr>
        <w:pStyle w:val="ECCParagraph"/>
        <w:rPr>
          <w:b/>
        </w:rPr>
      </w:pPr>
      <w:r w:rsidRPr="00B040F5">
        <w:rPr>
          <w:b/>
        </w:rPr>
        <w:t>Transmitters:</w:t>
      </w:r>
    </w:p>
    <w:p w14:paraId="365257AC" w14:textId="77777777" w:rsidR="003E102B" w:rsidRPr="00B040F5" w:rsidRDefault="003E102B" w:rsidP="003E102B">
      <w:pPr>
        <w:pStyle w:val="ECCParagraph"/>
      </w:pPr>
      <w:r w:rsidRPr="00B040F5">
        <w:t>Spurious emissions should comply with those specified in ERC Recommendation 74-01.</w:t>
      </w:r>
    </w:p>
    <w:p w14:paraId="365257AD" w14:textId="77777777" w:rsidR="003E102B" w:rsidRPr="00B040F5" w:rsidRDefault="003E102B" w:rsidP="003E102B">
      <w:pPr>
        <w:pStyle w:val="ECCParagraph"/>
      </w:pPr>
    </w:p>
    <w:p w14:paraId="365257AE" w14:textId="77777777" w:rsidR="003E102B" w:rsidRPr="00B040F5" w:rsidRDefault="003E102B" w:rsidP="003E102B">
      <w:pPr>
        <w:pStyle w:val="ECCParagraph"/>
        <w:rPr>
          <w:b/>
        </w:rPr>
      </w:pPr>
      <w:r w:rsidRPr="00B040F5">
        <w:rPr>
          <w:b/>
        </w:rPr>
        <w:t>Receivers:</w:t>
      </w:r>
    </w:p>
    <w:p w14:paraId="365257AF" w14:textId="77777777" w:rsidR="003E102B" w:rsidRPr="00B040F5" w:rsidRDefault="003E102B" w:rsidP="009A03AD">
      <w:pPr>
        <w:pStyle w:val="ECCParagraph"/>
        <w:numPr>
          <w:ilvl w:val="0"/>
          <w:numId w:val="28"/>
        </w:numPr>
        <w:spacing w:after="0"/>
      </w:pPr>
      <w:r w:rsidRPr="00B040F5">
        <w:t>Adj</w:t>
      </w:r>
      <w:r w:rsidR="00727B1A" w:rsidRPr="00B040F5">
        <w:t>acent band selectivity – in band</w:t>
      </w:r>
    </w:p>
    <w:p w14:paraId="365257B0" w14:textId="77777777" w:rsidR="003E102B" w:rsidRPr="00B040F5" w:rsidRDefault="003E102B" w:rsidP="009A03AD">
      <w:pPr>
        <w:pStyle w:val="ECCParagraph"/>
        <w:spacing w:after="0"/>
        <w:ind w:left="720"/>
      </w:pPr>
      <w:r w:rsidRPr="00B040F5">
        <w:t xml:space="preserve">The band edge selectivity of the equipment should be equal to or greater than the unwanted signal as stated in the table below. </w:t>
      </w:r>
    </w:p>
    <w:p w14:paraId="365257B1" w14:textId="77777777" w:rsidR="003E102B" w:rsidRPr="00B040F5" w:rsidRDefault="003E102B" w:rsidP="009A03AD">
      <w:pPr>
        <w:pStyle w:val="ListParagraph"/>
        <w:rPr>
          <w:lang w:val="en-GB"/>
        </w:rPr>
      </w:pPr>
    </w:p>
    <w:tbl>
      <w:tblPr>
        <w:tblW w:w="0" w:type="auto"/>
        <w:jc w:val="center"/>
        <w:tblLayout w:type="fixed"/>
        <w:tblCellMar>
          <w:left w:w="28" w:type="dxa"/>
          <w:right w:w="28" w:type="dxa"/>
        </w:tblCellMar>
        <w:tblLook w:val="0000" w:firstRow="0" w:lastRow="0" w:firstColumn="0" w:lastColumn="0" w:noHBand="0" w:noVBand="0"/>
      </w:tblPr>
      <w:tblGrid>
        <w:gridCol w:w="3016"/>
      </w:tblGrid>
      <w:tr w:rsidR="003E102B" w:rsidRPr="00B040F5" w14:paraId="365257B3" w14:textId="77777777" w:rsidTr="00727B1A">
        <w:trPr>
          <w:jc w:val="center"/>
        </w:trPr>
        <w:tc>
          <w:tcPr>
            <w:tcW w:w="3016" w:type="dxa"/>
            <w:tcBorders>
              <w:top w:val="single" w:sz="6" w:space="0" w:color="auto"/>
              <w:left w:val="single" w:sz="6" w:space="0" w:color="auto"/>
              <w:bottom w:val="single" w:sz="6" w:space="0" w:color="auto"/>
              <w:right w:val="single" w:sz="6" w:space="0" w:color="auto"/>
            </w:tcBorders>
          </w:tcPr>
          <w:p w14:paraId="365257B2" w14:textId="77777777" w:rsidR="003E102B" w:rsidRPr="00B040F5" w:rsidRDefault="00727B1A" w:rsidP="009A03AD">
            <w:pPr>
              <w:pStyle w:val="ECCParagraph"/>
              <w:spacing w:after="0"/>
              <w:jc w:val="center"/>
              <w:rPr>
                <w:rFonts w:cs="Arial"/>
                <w:b/>
              </w:rPr>
            </w:pPr>
            <w:r w:rsidRPr="00B040F5">
              <w:rPr>
                <w:rFonts w:cs="Arial"/>
                <w:b/>
              </w:rPr>
              <w:t xml:space="preserve">Channel spacing </w:t>
            </w:r>
            <w:r w:rsidRPr="00B040F5">
              <w:rPr>
                <w:rFonts w:cs="Arial"/>
                <w:b/>
              </w:rPr>
              <w:sym w:font="Symbol" w:char="F0A3"/>
            </w:r>
            <w:r w:rsidRPr="00B040F5">
              <w:rPr>
                <w:rFonts w:cs="Arial"/>
                <w:b/>
              </w:rPr>
              <w:t> 25 kHz</w:t>
            </w:r>
          </w:p>
        </w:tc>
      </w:tr>
      <w:tr w:rsidR="003E102B" w:rsidRPr="00B040F5" w14:paraId="365257B5" w14:textId="77777777" w:rsidTr="00727B1A">
        <w:trPr>
          <w:jc w:val="center"/>
        </w:trPr>
        <w:tc>
          <w:tcPr>
            <w:tcW w:w="3016" w:type="dxa"/>
            <w:tcBorders>
              <w:top w:val="single" w:sz="6" w:space="0" w:color="auto"/>
              <w:left w:val="single" w:sz="6" w:space="0" w:color="auto"/>
              <w:bottom w:val="single" w:sz="6" w:space="0" w:color="auto"/>
              <w:right w:val="single" w:sz="6" w:space="0" w:color="auto"/>
            </w:tcBorders>
          </w:tcPr>
          <w:p w14:paraId="365257B4" w14:textId="77777777" w:rsidR="003E102B" w:rsidRPr="00B040F5" w:rsidRDefault="003E102B" w:rsidP="009A03AD">
            <w:pPr>
              <w:pStyle w:val="ECCParagraph"/>
              <w:spacing w:after="0"/>
              <w:jc w:val="center"/>
            </w:pPr>
            <w:r w:rsidRPr="00B040F5">
              <w:t>60.0 dB</w:t>
            </w:r>
          </w:p>
        </w:tc>
      </w:tr>
    </w:tbl>
    <w:p w14:paraId="365257B6" w14:textId="77777777" w:rsidR="003E102B" w:rsidRPr="00B040F5" w:rsidRDefault="003E102B" w:rsidP="009A03AD">
      <w:pPr>
        <w:pStyle w:val="ListParagraph"/>
        <w:rPr>
          <w:lang w:val="en-GB"/>
        </w:rPr>
      </w:pPr>
    </w:p>
    <w:p w14:paraId="365257B7" w14:textId="77777777" w:rsidR="003E102B" w:rsidRPr="00B040F5" w:rsidRDefault="003E102B" w:rsidP="009A03AD">
      <w:pPr>
        <w:pStyle w:val="ListParagraph"/>
        <w:rPr>
          <w:lang w:val="en-GB"/>
        </w:rPr>
      </w:pPr>
    </w:p>
    <w:p w14:paraId="365257B8" w14:textId="77777777" w:rsidR="00727B1A" w:rsidRPr="00B040F5" w:rsidRDefault="00727B1A" w:rsidP="00727B1A">
      <w:pPr>
        <w:pStyle w:val="ECCParagraph"/>
        <w:numPr>
          <w:ilvl w:val="0"/>
          <w:numId w:val="28"/>
        </w:numPr>
        <w:spacing w:after="0"/>
      </w:pPr>
      <w:r w:rsidRPr="00B040F5">
        <w:t xml:space="preserve">Adjacent band selectivity </w:t>
      </w:r>
    </w:p>
    <w:p w14:paraId="365257B9" w14:textId="77777777" w:rsidR="00727B1A" w:rsidRPr="00B040F5" w:rsidRDefault="00727B1A" w:rsidP="00727B1A">
      <w:pPr>
        <w:pStyle w:val="ECCParagraph"/>
        <w:ind w:left="720"/>
      </w:pPr>
      <w:r w:rsidRPr="00B040F5">
        <w:t xml:space="preserve">The band edge selectivity of the equipment should be equal to or greater than the unwanted signal as stated in the table below. </w:t>
      </w:r>
    </w:p>
    <w:tbl>
      <w:tblPr>
        <w:tblW w:w="0" w:type="auto"/>
        <w:jc w:val="center"/>
        <w:tblLayout w:type="fixed"/>
        <w:tblCellMar>
          <w:left w:w="28" w:type="dxa"/>
          <w:right w:w="28" w:type="dxa"/>
        </w:tblCellMar>
        <w:tblLook w:val="0000" w:firstRow="0" w:lastRow="0" w:firstColumn="0" w:lastColumn="0" w:noHBand="0" w:noVBand="0"/>
      </w:tblPr>
      <w:tblGrid>
        <w:gridCol w:w="3016"/>
      </w:tblGrid>
      <w:tr w:rsidR="00727B1A" w:rsidRPr="00B040F5" w14:paraId="365257BB" w14:textId="77777777" w:rsidTr="00747EBC">
        <w:trPr>
          <w:jc w:val="center"/>
        </w:trPr>
        <w:tc>
          <w:tcPr>
            <w:tcW w:w="3016" w:type="dxa"/>
            <w:tcBorders>
              <w:top w:val="single" w:sz="6" w:space="0" w:color="auto"/>
              <w:left w:val="single" w:sz="6" w:space="0" w:color="auto"/>
              <w:bottom w:val="single" w:sz="6" w:space="0" w:color="auto"/>
              <w:right w:val="single" w:sz="6" w:space="0" w:color="auto"/>
            </w:tcBorders>
          </w:tcPr>
          <w:p w14:paraId="365257BA" w14:textId="77777777" w:rsidR="00727B1A" w:rsidRPr="00B040F5" w:rsidRDefault="00727B1A" w:rsidP="00747EBC">
            <w:pPr>
              <w:pStyle w:val="ECCParagraph"/>
              <w:spacing w:after="0"/>
              <w:jc w:val="center"/>
              <w:rPr>
                <w:rFonts w:cs="Arial"/>
                <w:b/>
              </w:rPr>
            </w:pPr>
            <w:r w:rsidRPr="00B040F5">
              <w:rPr>
                <w:rFonts w:cs="Arial"/>
                <w:b/>
              </w:rPr>
              <w:t>At band edge</w:t>
            </w:r>
          </w:p>
        </w:tc>
      </w:tr>
      <w:tr w:rsidR="00727B1A" w:rsidRPr="00B040F5" w14:paraId="365257BD" w14:textId="77777777" w:rsidTr="00747EBC">
        <w:trPr>
          <w:jc w:val="center"/>
        </w:trPr>
        <w:tc>
          <w:tcPr>
            <w:tcW w:w="3016" w:type="dxa"/>
            <w:tcBorders>
              <w:top w:val="single" w:sz="6" w:space="0" w:color="auto"/>
              <w:left w:val="single" w:sz="6" w:space="0" w:color="auto"/>
              <w:bottom w:val="single" w:sz="6" w:space="0" w:color="auto"/>
              <w:right w:val="single" w:sz="6" w:space="0" w:color="auto"/>
            </w:tcBorders>
          </w:tcPr>
          <w:p w14:paraId="365257BC" w14:textId="77777777" w:rsidR="00727B1A" w:rsidRPr="00B040F5" w:rsidRDefault="00727B1A" w:rsidP="00747EBC">
            <w:pPr>
              <w:pStyle w:val="ECCParagraph"/>
              <w:spacing w:after="0"/>
              <w:jc w:val="center"/>
            </w:pPr>
            <w:r w:rsidRPr="00B040F5">
              <w:t>60.0 dB</w:t>
            </w:r>
          </w:p>
        </w:tc>
      </w:tr>
    </w:tbl>
    <w:p w14:paraId="365257BE" w14:textId="77777777" w:rsidR="003E102B" w:rsidRPr="00B040F5" w:rsidRDefault="003E102B" w:rsidP="009A03AD">
      <w:pPr>
        <w:rPr>
          <w:lang w:val="en-GB"/>
        </w:rPr>
      </w:pPr>
    </w:p>
    <w:p w14:paraId="365257BF" w14:textId="77777777" w:rsidR="003E102B" w:rsidRPr="00B040F5" w:rsidRDefault="003E102B" w:rsidP="009A03AD">
      <w:pPr>
        <w:rPr>
          <w:lang w:val="en-GB"/>
        </w:rPr>
      </w:pPr>
    </w:p>
    <w:p w14:paraId="365257C0" w14:textId="77777777" w:rsidR="00727B1A" w:rsidRPr="00B040F5" w:rsidRDefault="00727B1A" w:rsidP="00727B1A">
      <w:pPr>
        <w:pStyle w:val="ECCParagraph"/>
        <w:spacing w:after="0"/>
      </w:pPr>
    </w:p>
    <w:p w14:paraId="365257C1" w14:textId="77777777" w:rsidR="00727B1A" w:rsidRPr="00B040F5" w:rsidRDefault="00727B1A" w:rsidP="00727B1A">
      <w:pPr>
        <w:pStyle w:val="ECCParagraph"/>
        <w:numPr>
          <w:ilvl w:val="0"/>
          <w:numId w:val="28"/>
        </w:numPr>
        <w:spacing w:after="0"/>
      </w:pPr>
      <w:r w:rsidRPr="00B040F5">
        <w:t>Blocking or desensitisation</w:t>
      </w:r>
    </w:p>
    <w:p w14:paraId="365257C2" w14:textId="77777777" w:rsidR="00727B1A" w:rsidRPr="00B040F5" w:rsidRDefault="00727B1A" w:rsidP="00727B1A">
      <w:pPr>
        <w:pStyle w:val="ECCParagraph"/>
        <w:ind w:left="720"/>
      </w:pPr>
      <w:r w:rsidRPr="00B040F5">
        <w:t>The blocking ratio for any frequency within the specified ranges, should not be less than the values given in the table below, except frequencies for which spurious responses are found.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64"/>
        <w:gridCol w:w="3545"/>
      </w:tblGrid>
      <w:tr w:rsidR="00727B1A" w:rsidRPr="00B040F5" w14:paraId="365257C5" w14:textId="77777777" w:rsidTr="00747EBC">
        <w:trPr>
          <w:cantSplit/>
          <w:jc w:val="center"/>
        </w:trPr>
        <w:tc>
          <w:tcPr>
            <w:tcW w:w="2464" w:type="dxa"/>
          </w:tcPr>
          <w:p w14:paraId="365257C3" w14:textId="77777777" w:rsidR="00727B1A" w:rsidRPr="00B040F5" w:rsidRDefault="00727B1A" w:rsidP="00747EBC">
            <w:pPr>
              <w:pStyle w:val="TAH"/>
              <w:rPr>
                <w:rFonts w:cs="Arial"/>
                <w:sz w:val="20"/>
              </w:rPr>
            </w:pPr>
            <w:r w:rsidRPr="00B040F5">
              <w:rPr>
                <w:rFonts w:cs="Arial"/>
                <w:sz w:val="20"/>
              </w:rPr>
              <w:t>Frequency offset (MHz)</w:t>
            </w:r>
          </w:p>
        </w:tc>
        <w:tc>
          <w:tcPr>
            <w:tcW w:w="3545" w:type="dxa"/>
          </w:tcPr>
          <w:p w14:paraId="365257C4" w14:textId="77777777" w:rsidR="00727B1A" w:rsidRPr="00B040F5" w:rsidRDefault="00727B1A" w:rsidP="00747EBC">
            <w:pPr>
              <w:pStyle w:val="TAH"/>
              <w:rPr>
                <w:rFonts w:cs="Arial"/>
                <w:sz w:val="20"/>
              </w:rPr>
            </w:pPr>
            <w:r w:rsidRPr="00B040F5">
              <w:rPr>
                <w:rFonts w:cs="Arial"/>
                <w:sz w:val="20"/>
              </w:rPr>
              <w:t>Limit</w:t>
            </w:r>
          </w:p>
        </w:tc>
      </w:tr>
      <w:tr w:rsidR="00727B1A" w:rsidRPr="00B040F5" w14:paraId="365257C8" w14:textId="77777777" w:rsidTr="00747EBC">
        <w:trPr>
          <w:cantSplit/>
          <w:jc w:val="center"/>
        </w:trPr>
        <w:tc>
          <w:tcPr>
            <w:tcW w:w="2464" w:type="dxa"/>
          </w:tcPr>
          <w:p w14:paraId="365257C6" w14:textId="77777777" w:rsidR="00727B1A" w:rsidRPr="00B040F5" w:rsidRDefault="00727B1A" w:rsidP="00747EBC">
            <w:pPr>
              <w:pStyle w:val="TAC"/>
              <w:rPr>
                <w:rFonts w:cs="Arial"/>
                <w:sz w:val="20"/>
              </w:rPr>
            </w:pPr>
            <w:r w:rsidRPr="00B040F5">
              <w:rPr>
                <w:rFonts w:cs="Arial"/>
                <w:sz w:val="20"/>
              </w:rPr>
              <w:t>All</w:t>
            </w:r>
          </w:p>
        </w:tc>
        <w:tc>
          <w:tcPr>
            <w:tcW w:w="3545" w:type="dxa"/>
          </w:tcPr>
          <w:p w14:paraId="365257C7" w14:textId="77777777" w:rsidR="00727B1A" w:rsidRPr="00B040F5" w:rsidRDefault="00727B1A" w:rsidP="00747EBC">
            <w:pPr>
              <w:pStyle w:val="TAC"/>
              <w:rPr>
                <w:rFonts w:cs="Arial"/>
                <w:sz w:val="20"/>
              </w:rPr>
            </w:pPr>
            <w:r w:rsidRPr="00B040F5">
              <w:rPr>
                <w:rFonts w:cs="Arial"/>
                <w:sz w:val="20"/>
              </w:rPr>
              <w:t>84 dB</w:t>
            </w:r>
          </w:p>
        </w:tc>
      </w:tr>
    </w:tbl>
    <w:p w14:paraId="365257C9" w14:textId="77777777" w:rsidR="00727B1A" w:rsidRPr="00B040F5" w:rsidRDefault="00727B1A" w:rsidP="00727B1A">
      <w:pPr>
        <w:pStyle w:val="ECCParagraph"/>
      </w:pPr>
    </w:p>
    <w:p w14:paraId="365257CA" w14:textId="77777777" w:rsidR="00727B1A" w:rsidRPr="00B040F5" w:rsidRDefault="00727B1A" w:rsidP="00727B1A">
      <w:pPr>
        <w:pStyle w:val="ECCParagraph"/>
        <w:spacing w:after="0"/>
      </w:pPr>
    </w:p>
    <w:p w14:paraId="365257CB" w14:textId="77777777" w:rsidR="003E102B" w:rsidRPr="00B040F5" w:rsidRDefault="003E102B" w:rsidP="009A03AD">
      <w:pPr>
        <w:pStyle w:val="ECCParagraph"/>
        <w:numPr>
          <w:ilvl w:val="0"/>
          <w:numId w:val="28"/>
        </w:numPr>
        <w:spacing w:after="0"/>
      </w:pPr>
      <w:r w:rsidRPr="00B040F5">
        <w:t>Spurious radiation</w:t>
      </w:r>
    </w:p>
    <w:p w14:paraId="365257CC" w14:textId="77777777" w:rsidR="00727B1A" w:rsidRPr="00B040F5" w:rsidRDefault="00727B1A" w:rsidP="00727B1A">
      <w:pPr>
        <w:pStyle w:val="ECCParagraph"/>
        <w:ind w:left="720"/>
      </w:pPr>
      <w:r w:rsidRPr="00B040F5">
        <w:t xml:space="preserve">The power of any spurious emission, radiated or conducted, should not exceed the values given below.  </w:t>
      </w:r>
    </w:p>
    <w:p w14:paraId="365257CD" w14:textId="77777777" w:rsidR="00727B1A" w:rsidRPr="00B040F5" w:rsidRDefault="00727B1A" w:rsidP="00727B1A">
      <w:pPr>
        <w:pStyle w:val="ECCParagraph"/>
        <w:ind w:left="1276"/>
      </w:pPr>
      <w:r w:rsidRPr="00B040F5">
        <w:t>-</w:t>
      </w:r>
      <w:r w:rsidRPr="00B040F5">
        <w:tab/>
        <w:t>2 nW below 1 000 MHz;</w:t>
      </w:r>
    </w:p>
    <w:p w14:paraId="365257CE" w14:textId="77777777" w:rsidR="00727B1A" w:rsidRPr="00B040F5" w:rsidRDefault="00727B1A" w:rsidP="00727B1A">
      <w:pPr>
        <w:pStyle w:val="ECCParagraph"/>
        <w:ind w:left="1276"/>
      </w:pPr>
      <w:r w:rsidRPr="00B040F5">
        <w:t>-</w:t>
      </w:r>
      <w:r w:rsidRPr="00B040F5">
        <w:tab/>
        <w:t>20 nW above 1 000 MHz.</w:t>
      </w:r>
      <w:bookmarkEnd w:id="3"/>
    </w:p>
    <w:sectPr w:rsidR="00727B1A" w:rsidRPr="00B040F5"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B99C" w14:textId="77777777" w:rsidR="00035194" w:rsidRDefault="00035194" w:rsidP="006C03D0">
      <w:r>
        <w:separator/>
      </w:r>
    </w:p>
  </w:endnote>
  <w:endnote w:type="continuationSeparator" w:id="0">
    <w:p w14:paraId="56BE7564" w14:textId="77777777" w:rsidR="00035194" w:rsidRDefault="00035194"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30E0" w14:textId="77777777" w:rsidR="00035194" w:rsidRDefault="00035194" w:rsidP="006C03D0">
      <w:r>
        <w:separator/>
      </w:r>
    </w:p>
  </w:footnote>
  <w:footnote w:type="continuationSeparator" w:id="0">
    <w:p w14:paraId="2E4485D3" w14:textId="77777777" w:rsidR="00035194" w:rsidRDefault="00035194" w:rsidP="006C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57D5" w14:textId="77777777" w:rsidR="00FA4704" w:rsidRPr="003E102B" w:rsidRDefault="003E102B">
    <w:pPr>
      <w:pStyle w:val="Header"/>
      <w:rPr>
        <w:szCs w:val="16"/>
        <w:lang w:val="en-GB"/>
      </w:rPr>
    </w:pPr>
    <w:r w:rsidRPr="003E102B">
      <w:rPr>
        <w:lang w:val="en-GB"/>
      </w:rPr>
      <w:t>E</w:t>
    </w:r>
    <w:r>
      <w:rPr>
        <w:lang w:val="en-GB"/>
      </w:rPr>
      <w:t>R</w:t>
    </w:r>
    <w:r w:rsidRPr="003E102B">
      <w:rPr>
        <w:lang w:val="en-GB"/>
      </w:rPr>
      <w:t>C/DEC/(</w:t>
    </w:r>
    <w:r>
      <w:rPr>
        <w:lang w:val="en-GB"/>
      </w:rPr>
      <w:t>01</w:t>
    </w:r>
    <w:r w:rsidRPr="003E102B">
      <w:rPr>
        <w:lang w:val="en-GB"/>
      </w:rPr>
      <w:t>)</w:t>
    </w:r>
    <w:r w:rsidR="006C2982">
      <w:rPr>
        <w:lang w:val="en-GB"/>
      </w:rPr>
      <w:t>12</w:t>
    </w:r>
    <w:r>
      <w:rPr>
        <w:lang w:val="en-GB"/>
      </w:rPr>
      <w:t xml:space="preserve"> </w:t>
    </w:r>
    <w:r w:rsidR="00FA4704" w:rsidRPr="003E102B">
      <w:rPr>
        <w:szCs w:val="16"/>
        <w:lang w:val="en-GB"/>
      </w:rPr>
      <w:t xml:space="preserve">Page </w:t>
    </w:r>
    <w:r w:rsidR="00FA4704">
      <w:fldChar w:fldCharType="begin"/>
    </w:r>
    <w:r w:rsidR="00FA4704">
      <w:instrText xml:space="preserve"> PAGE  \* Arabic  \* MERGEFORMAT </w:instrText>
    </w:r>
    <w:r w:rsidR="00FA4704">
      <w:fldChar w:fldCharType="separate"/>
    </w:r>
    <w:r w:rsidR="00B73F58" w:rsidRPr="00B73F58">
      <w:rPr>
        <w:noProof/>
        <w:szCs w:val="16"/>
        <w:lang w:val="en-GB"/>
      </w:rPr>
      <w:t>6</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57D6" w14:textId="77777777" w:rsidR="00FA4704" w:rsidRPr="003E102B" w:rsidRDefault="00B03382" w:rsidP="006C03D0">
    <w:pPr>
      <w:pStyle w:val="Header"/>
      <w:jc w:val="right"/>
      <w:rPr>
        <w:szCs w:val="16"/>
        <w:lang w:val="en-GB"/>
      </w:rPr>
    </w:pPr>
    <w:r w:rsidRPr="003E102B">
      <w:rPr>
        <w:lang w:val="en-GB"/>
      </w:rPr>
      <w:t>E</w:t>
    </w:r>
    <w:r w:rsidR="003E102B">
      <w:rPr>
        <w:lang w:val="en-GB"/>
      </w:rPr>
      <w:t>R</w:t>
    </w:r>
    <w:r w:rsidRPr="003E102B">
      <w:rPr>
        <w:lang w:val="en-GB"/>
      </w:rPr>
      <w:t>C/DEC/</w:t>
    </w:r>
    <w:r w:rsidR="00FA4704" w:rsidRPr="003E102B">
      <w:rPr>
        <w:lang w:val="en-GB"/>
      </w:rPr>
      <w:t>(</w:t>
    </w:r>
    <w:r w:rsidR="003E102B">
      <w:rPr>
        <w:lang w:val="en-GB"/>
      </w:rPr>
      <w:t>01</w:t>
    </w:r>
    <w:r w:rsidR="00FA4704" w:rsidRPr="003E102B">
      <w:rPr>
        <w:lang w:val="en-GB"/>
      </w:rPr>
      <w:t>)</w:t>
    </w:r>
    <w:r w:rsidR="006C2982">
      <w:rPr>
        <w:lang w:val="en-GB"/>
      </w:rPr>
      <w:t>12</w:t>
    </w:r>
    <w:r w:rsidR="00FA4704" w:rsidRPr="003E102B">
      <w:rPr>
        <w:lang w:val="en-GB"/>
      </w:rPr>
      <w:t xml:space="preserve"> </w:t>
    </w:r>
    <w:r w:rsidR="00FA4704" w:rsidRPr="003E102B">
      <w:rPr>
        <w:szCs w:val="16"/>
        <w:lang w:val="en-GB"/>
      </w:rPr>
      <w:t xml:space="preserve">Page </w:t>
    </w:r>
    <w:r w:rsidR="00FA4704">
      <w:fldChar w:fldCharType="begin"/>
    </w:r>
    <w:r w:rsidR="00FA4704">
      <w:instrText xml:space="preserve"> PAGE  \* Arabic  \* MERGEFORMAT </w:instrText>
    </w:r>
    <w:r w:rsidR="00FA4704">
      <w:fldChar w:fldCharType="separate"/>
    </w:r>
    <w:r w:rsidR="00B73F58" w:rsidRPr="00B73F58">
      <w:rPr>
        <w:noProof/>
        <w:szCs w:val="16"/>
        <w:lang w:val="en-GB"/>
      </w:rPr>
      <w:t>7</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57D7" w14:textId="77777777" w:rsidR="00FA4704" w:rsidRDefault="006D5664">
    <w:pPr>
      <w:pStyle w:val="Header"/>
    </w:pPr>
    <w:r>
      <w:rPr>
        <w:noProof/>
        <w:szCs w:val="20"/>
        <w:lang w:val="en-GB" w:eastAsia="en-GB"/>
      </w:rPr>
      <w:drawing>
        <wp:anchor distT="0" distB="0" distL="114300" distR="114300" simplePos="0" relativeHeight="251657728" behindDoc="0" locked="0" layoutInCell="1" allowOverlap="1" wp14:anchorId="365257D8" wp14:editId="365257D9">
          <wp:simplePos x="0" y="0"/>
          <wp:positionH relativeFrom="page">
            <wp:posOffset>5946140</wp:posOffset>
          </wp:positionH>
          <wp:positionV relativeFrom="page">
            <wp:posOffset>648970</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FA4704">
      <w:rPr>
        <w:noProof/>
        <w:szCs w:val="20"/>
        <w:lang w:val="en-GB" w:eastAsia="en-GB"/>
      </w:rPr>
      <w:drawing>
        <wp:anchor distT="0" distB="0" distL="114300" distR="114300" simplePos="0" relativeHeight="251656704" behindDoc="0" locked="0" layoutInCell="1" allowOverlap="1" wp14:anchorId="365257DA" wp14:editId="365257DB">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3273"/>
        </w:tabs>
        <w:ind w:left="3273"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12A47C5"/>
    <w:multiLevelType w:val="hybridMultilevel"/>
    <w:tmpl w:val="0478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76732"/>
    <w:multiLevelType w:val="singleLevel"/>
    <w:tmpl w:val="3DA2F800"/>
    <w:lvl w:ilvl="0">
      <w:start w:val="1"/>
      <w:numFmt w:val="lowerLetter"/>
      <w:lvlText w:val="%1)"/>
      <w:lvlJc w:val="left"/>
      <w:pPr>
        <w:tabs>
          <w:tab w:val="num" w:pos="360"/>
        </w:tabs>
        <w:ind w:left="360" w:hanging="360"/>
      </w:pPr>
      <w:rPr>
        <w:rFonts w:hint="default"/>
      </w:rPr>
    </w:lvl>
  </w:abstractNum>
  <w:abstractNum w:abstractNumId="8"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500069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D163F7A"/>
    <w:multiLevelType w:val="multilevel"/>
    <w:tmpl w:val="A2A89CD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E8A72B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FB663B0"/>
    <w:multiLevelType w:val="hybridMultilevel"/>
    <w:tmpl w:val="0478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50381B"/>
    <w:multiLevelType w:val="hybridMultilevel"/>
    <w:tmpl w:val="4182ADDC"/>
    <w:lvl w:ilvl="0" w:tplc="57223D12">
      <w:start w:val="1"/>
      <w:numFmt w:val="decimal"/>
      <w:pStyle w:val="Heading2"/>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1"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2"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3"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E9C18E2"/>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78036A29"/>
    <w:multiLevelType w:val="singleLevel"/>
    <w:tmpl w:val="3DA2F800"/>
    <w:lvl w:ilvl="0">
      <w:start w:val="1"/>
      <w:numFmt w:val="lowerLetter"/>
      <w:lvlText w:val="%1)"/>
      <w:lvlJc w:val="left"/>
      <w:pPr>
        <w:tabs>
          <w:tab w:val="num" w:pos="360"/>
        </w:tabs>
        <w:ind w:left="360" w:hanging="360"/>
      </w:pPr>
      <w:rPr>
        <w:rFonts w:hint="default"/>
      </w:rPr>
    </w:lvl>
  </w:abstractNum>
  <w:abstractNum w:abstractNumId="27"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37196815">
    <w:abstractNumId w:val="14"/>
  </w:num>
  <w:num w:numId="2" w16cid:durableId="1653558710">
    <w:abstractNumId w:val="27"/>
  </w:num>
  <w:num w:numId="3" w16cid:durableId="1167211315">
    <w:abstractNumId w:val="19"/>
  </w:num>
  <w:num w:numId="4" w16cid:durableId="197134518">
    <w:abstractNumId w:val="4"/>
  </w:num>
  <w:num w:numId="5" w16cid:durableId="1174876178">
    <w:abstractNumId w:val="21"/>
  </w:num>
  <w:num w:numId="6" w16cid:durableId="440540487">
    <w:abstractNumId w:val="11"/>
  </w:num>
  <w:num w:numId="7" w16cid:durableId="1956205456">
    <w:abstractNumId w:val="9"/>
  </w:num>
  <w:num w:numId="8" w16cid:durableId="765269821">
    <w:abstractNumId w:val="18"/>
  </w:num>
  <w:num w:numId="9" w16cid:durableId="1897158946">
    <w:abstractNumId w:val="17"/>
  </w:num>
  <w:num w:numId="10" w16cid:durableId="959186009">
    <w:abstractNumId w:val="12"/>
  </w:num>
  <w:num w:numId="11" w16cid:durableId="1844664299">
    <w:abstractNumId w:val="18"/>
    <w:lvlOverride w:ilvl="0">
      <w:startOverride w:val="1"/>
    </w:lvlOverride>
  </w:num>
  <w:num w:numId="12" w16cid:durableId="1085767061">
    <w:abstractNumId w:val="3"/>
  </w:num>
  <w:num w:numId="13" w16cid:durableId="1465076440">
    <w:abstractNumId w:val="1"/>
  </w:num>
  <w:num w:numId="14" w16cid:durableId="1839033833">
    <w:abstractNumId w:val="23"/>
  </w:num>
  <w:num w:numId="15" w16cid:durableId="503057009">
    <w:abstractNumId w:val="22"/>
  </w:num>
  <w:num w:numId="16" w16cid:durableId="2069263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165331">
    <w:abstractNumId w:val="5"/>
  </w:num>
  <w:num w:numId="18" w16cid:durableId="1990405453">
    <w:abstractNumId w:val="8"/>
  </w:num>
  <w:num w:numId="19" w16cid:durableId="690254240">
    <w:abstractNumId w:val="24"/>
  </w:num>
  <w:num w:numId="20" w16cid:durableId="1169759588">
    <w:abstractNumId w:val="13"/>
  </w:num>
  <w:num w:numId="21" w16cid:durableId="297221218">
    <w:abstractNumId w:val="28"/>
  </w:num>
  <w:num w:numId="22" w16cid:durableId="468203387">
    <w:abstractNumId w:val="29"/>
  </w:num>
  <w:num w:numId="23" w16cid:durableId="606693223">
    <w:abstractNumId w:val="0"/>
  </w:num>
  <w:num w:numId="24" w16cid:durableId="1315063738">
    <w:abstractNumId w:val="2"/>
  </w:num>
  <w:num w:numId="25" w16cid:durableId="320550089">
    <w:abstractNumId w:val="7"/>
  </w:num>
  <w:num w:numId="26" w16cid:durableId="678193198">
    <w:abstractNumId w:val="10"/>
  </w:num>
  <w:num w:numId="27" w16cid:durableId="1103916820">
    <w:abstractNumId w:val="15"/>
  </w:num>
  <w:num w:numId="28" w16cid:durableId="90207962">
    <w:abstractNumId w:val="16"/>
  </w:num>
  <w:num w:numId="29" w16cid:durableId="1464929601">
    <w:abstractNumId w:val="6"/>
  </w:num>
  <w:num w:numId="30" w16cid:durableId="71124497">
    <w:abstractNumId w:val="20"/>
  </w:num>
  <w:num w:numId="31" w16cid:durableId="1160922070">
    <w:abstractNumId w:val="26"/>
  </w:num>
  <w:num w:numId="32" w16cid:durableId="15439791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ocumentProtection w:formatting="1" w:enforcement="0"/>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27"/>
    <w:rsid w:val="00007D58"/>
    <w:rsid w:val="00031379"/>
    <w:rsid w:val="00035194"/>
    <w:rsid w:val="00072B81"/>
    <w:rsid w:val="0008582D"/>
    <w:rsid w:val="000C183F"/>
    <w:rsid w:val="000F3919"/>
    <w:rsid w:val="0012266A"/>
    <w:rsid w:val="0013619B"/>
    <w:rsid w:val="00187A07"/>
    <w:rsid w:val="001941AD"/>
    <w:rsid w:val="001B19D8"/>
    <w:rsid w:val="001B1F5E"/>
    <w:rsid w:val="001C46EA"/>
    <w:rsid w:val="001E0C8D"/>
    <w:rsid w:val="00271AA8"/>
    <w:rsid w:val="002741A5"/>
    <w:rsid w:val="002837A5"/>
    <w:rsid w:val="002876F2"/>
    <w:rsid w:val="003E102B"/>
    <w:rsid w:val="00412E32"/>
    <w:rsid w:val="004B61A7"/>
    <w:rsid w:val="004C730D"/>
    <w:rsid w:val="004D2D84"/>
    <w:rsid w:val="004D4301"/>
    <w:rsid w:val="004E1538"/>
    <w:rsid w:val="00500000"/>
    <w:rsid w:val="0053656A"/>
    <w:rsid w:val="00591727"/>
    <w:rsid w:val="005F7AD5"/>
    <w:rsid w:val="0063247F"/>
    <w:rsid w:val="006423B6"/>
    <w:rsid w:val="00696496"/>
    <w:rsid w:val="006C03D0"/>
    <w:rsid w:val="006C2982"/>
    <w:rsid w:val="006D5664"/>
    <w:rsid w:val="006E0AD7"/>
    <w:rsid w:val="006F09E1"/>
    <w:rsid w:val="006F1775"/>
    <w:rsid w:val="0070052E"/>
    <w:rsid w:val="00713DBA"/>
    <w:rsid w:val="00726BE2"/>
    <w:rsid w:val="007277C6"/>
    <w:rsid w:val="00727B1A"/>
    <w:rsid w:val="0073004B"/>
    <w:rsid w:val="00775A5D"/>
    <w:rsid w:val="00796D8B"/>
    <w:rsid w:val="007C6571"/>
    <w:rsid w:val="007E23E4"/>
    <w:rsid w:val="008F6733"/>
    <w:rsid w:val="009905BE"/>
    <w:rsid w:val="009A03AD"/>
    <w:rsid w:val="009F28E4"/>
    <w:rsid w:val="00A04BF3"/>
    <w:rsid w:val="00A15F4C"/>
    <w:rsid w:val="00A41673"/>
    <w:rsid w:val="00A8085A"/>
    <w:rsid w:val="00A90146"/>
    <w:rsid w:val="00AF3A16"/>
    <w:rsid w:val="00B03382"/>
    <w:rsid w:val="00B040F5"/>
    <w:rsid w:val="00B0519B"/>
    <w:rsid w:val="00B23041"/>
    <w:rsid w:val="00B73F58"/>
    <w:rsid w:val="00B8674C"/>
    <w:rsid w:val="00C1340F"/>
    <w:rsid w:val="00C24FAD"/>
    <w:rsid w:val="00C64D00"/>
    <w:rsid w:val="00C665E0"/>
    <w:rsid w:val="00C70E73"/>
    <w:rsid w:val="00CA74AB"/>
    <w:rsid w:val="00D12B8F"/>
    <w:rsid w:val="00D71AB4"/>
    <w:rsid w:val="00D73308"/>
    <w:rsid w:val="00D90B0A"/>
    <w:rsid w:val="00DA090D"/>
    <w:rsid w:val="00DA613A"/>
    <w:rsid w:val="00DC0568"/>
    <w:rsid w:val="00DC7F36"/>
    <w:rsid w:val="00E65E22"/>
    <w:rsid w:val="00E73D39"/>
    <w:rsid w:val="00E828A7"/>
    <w:rsid w:val="00EA7FD3"/>
    <w:rsid w:val="00EB1BD5"/>
    <w:rsid w:val="00EB7EEE"/>
    <w:rsid w:val="00EC6DF8"/>
    <w:rsid w:val="00EE5DA2"/>
    <w:rsid w:val="00F15444"/>
    <w:rsid w:val="00F177F1"/>
    <w:rsid w:val="00F245A1"/>
    <w:rsid w:val="00F32EE8"/>
    <w:rsid w:val="00FA4704"/>
    <w:rsid w:val="00FB7AEC"/>
    <w:rsid w:val="00FD398E"/>
    <w:rsid w:val="00FD39A8"/>
    <w:rsid w:val="00FD7EC4"/>
    <w:rsid w:val="00FE066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36525753"/>
  <w15:docId w15:val="{F24C5EB7-9714-47AD-AB69-7BB4B7B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C7F36"/>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E828A7"/>
    <w:pPr>
      <w:keepNext/>
      <w:numPr>
        <w:numId w:val="30"/>
      </w:numPr>
      <w:tabs>
        <w:tab w:val="left" w:pos="180"/>
      </w:tabs>
      <w:spacing w:before="480" w:after="240"/>
      <w:ind w:hanging="5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EB1BD5"/>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BodyTextIndent2">
    <w:name w:val="Body Text Indent 2"/>
    <w:basedOn w:val="Normal"/>
    <w:link w:val="BodyTextIndent2Char"/>
    <w:uiPriority w:val="99"/>
    <w:unhideWhenUsed/>
    <w:rsid w:val="003E102B"/>
    <w:pPr>
      <w:spacing w:after="120" w:line="480" w:lineRule="auto"/>
      <w:ind w:left="283"/>
    </w:pPr>
  </w:style>
  <w:style w:type="character" w:customStyle="1" w:styleId="BodyTextIndent2Char">
    <w:name w:val="Body Text Indent 2 Char"/>
    <w:basedOn w:val="DefaultParagraphFont"/>
    <w:link w:val="BodyTextIndent2"/>
    <w:uiPriority w:val="99"/>
    <w:rsid w:val="003E102B"/>
    <w:rPr>
      <w:rFonts w:ascii="Arial" w:hAnsi="Arial"/>
      <w:szCs w:val="24"/>
      <w:lang w:val="en-US"/>
    </w:rPr>
  </w:style>
  <w:style w:type="paragraph" w:customStyle="1" w:styleId="TAH">
    <w:name w:val="TAH"/>
    <w:basedOn w:val="TAC"/>
    <w:rsid w:val="003E102B"/>
    <w:rPr>
      <w:b/>
    </w:rPr>
  </w:style>
  <w:style w:type="paragraph" w:customStyle="1" w:styleId="TAC">
    <w:name w:val="TAC"/>
    <w:basedOn w:val="Normal"/>
    <w:rsid w:val="003E102B"/>
    <w:pPr>
      <w:keepNext/>
      <w:keepLines/>
      <w:jc w:val="center"/>
    </w:pPr>
    <w:rPr>
      <w:sz w:val="18"/>
      <w:szCs w:val="20"/>
      <w:lang w:val="en-GB"/>
    </w:rPr>
  </w:style>
  <w:style w:type="paragraph" w:customStyle="1" w:styleId="B1">
    <w:name w:val="B1"/>
    <w:basedOn w:val="List"/>
    <w:rsid w:val="00727B1A"/>
    <w:pPr>
      <w:spacing w:after="180"/>
      <w:ind w:left="568" w:hanging="284"/>
      <w:contextualSpacing w:val="0"/>
    </w:pPr>
    <w:rPr>
      <w:rFonts w:ascii="Times New Roman" w:hAnsi="Times New Roman"/>
      <w:szCs w:val="20"/>
      <w:lang w:val="en-GB"/>
    </w:rPr>
  </w:style>
  <w:style w:type="paragraph" w:styleId="List">
    <w:name w:val="List"/>
    <w:basedOn w:val="Normal"/>
    <w:uiPriority w:val="99"/>
    <w:semiHidden/>
    <w:unhideWhenUsed/>
    <w:rsid w:val="00727B1A"/>
    <w:pPr>
      <w:ind w:left="283" w:hanging="283"/>
      <w:contextualSpacing/>
    </w:pPr>
  </w:style>
  <w:style w:type="character" w:styleId="CommentReference">
    <w:name w:val="annotation reference"/>
    <w:basedOn w:val="DefaultParagraphFont"/>
    <w:uiPriority w:val="99"/>
    <w:semiHidden/>
    <w:unhideWhenUsed/>
    <w:rsid w:val="00CA74AB"/>
    <w:rPr>
      <w:sz w:val="16"/>
      <w:szCs w:val="16"/>
    </w:rPr>
  </w:style>
  <w:style w:type="paragraph" w:styleId="CommentText">
    <w:name w:val="annotation text"/>
    <w:basedOn w:val="Normal"/>
    <w:link w:val="CommentTextChar"/>
    <w:uiPriority w:val="99"/>
    <w:semiHidden/>
    <w:unhideWhenUsed/>
    <w:rsid w:val="00CA74AB"/>
    <w:rPr>
      <w:szCs w:val="20"/>
    </w:rPr>
  </w:style>
  <w:style w:type="character" w:customStyle="1" w:styleId="CommentTextChar">
    <w:name w:val="Comment Text Char"/>
    <w:basedOn w:val="DefaultParagraphFont"/>
    <w:link w:val="CommentText"/>
    <w:uiPriority w:val="99"/>
    <w:semiHidden/>
    <w:rsid w:val="00CA74AB"/>
    <w:rPr>
      <w:rFonts w:ascii="Arial" w:hAnsi="Arial"/>
      <w:lang w:val="en-US"/>
    </w:rPr>
  </w:style>
  <w:style w:type="paragraph" w:styleId="CommentSubject">
    <w:name w:val="annotation subject"/>
    <w:basedOn w:val="CommentText"/>
    <w:next w:val="CommentText"/>
    <w:link w:val="CommentSubjectChar"/>
    <w:uiPriority w:val="99"/>
    <w:semiHidden/>
    <w:unhideWhenUsed/>
    <w:rsid w:val="00CA74AB"/>
    <w:rPr>
      <w:b/>
      <w:bCs/>
    </w:rPr>
  </w:style>
  <w:style w:type="character" w:customStyle="1" w:styleId="CommentSubjectChar">
    <w:name w:val="Comment Subject Char"/>
    <w:basedOn w:val="CommentTextChar"/>
    <w:link w:val="CommentSubject"/>
    <w:uiPriority w:val="99"/>
    <w:semiHidden/>
    <w:rsid w:val="00CA74AB"/>
    <w:rPr>
      <w:rFonts w:ascii="Arial" w:hAnsi="Arial"/>
      <w:b/>
      <w:bCs/>
      <w:lang w:val="en-US"/>
    </w:rPr>
  </w:style>
  <w:style w:type="character" w:customStyle="1" w:styleId="FootnoteTextChar">
    <w:name w:val="Footnote Text Char"/>
    <w:basedOn w:val="DefaultParagraphFont"/>
    <w:link w:val="FootnoteText"/>
    <w:uiPriority w:val="99"/>
    <w:qFormat/>
    <w:rsid w:val="00CA74AB"/>
    <w:rPr>
      <w:rFonts w:ascii="Arial" w:hAnsi="Arial"/>
      <w:lang w:val="en-US"/>
    </w:rPr>
  </w:style>
  <w:style w:type="character" w:styleId="UnresolvedMention">
    <w:name w:val="Unresolved Mention"/>
    <w:basedOn w:val="DefaultParagraphFont"/>
    <w:uiPriority w:val="99"/>
    <w:semiHidden/>
    <w:unhideWhenUsed/>
    <w:rsid w:val="006E0AD7"/>
    <w:rPr>
      <w:color w:val="605E5C"/>
      <w:shd w:val="clear" w:color="auto" w:fill="E1DFDD"/>
    </w:rPr>
  </w:style>
  <w:style w:type="paragraph" w:styleId="Revision">
    <w:name w:val="Revision"/>
    <w:hidden/>
    <w:uiPriority w:val="99"/>
    <w:semiHidden/>
    <w:rsid w:val="00D73308"/>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6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7679-8C52-40E1-A052-15F6C1EE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(1)</Template>
  <TotalTime>3</TotalTime>
  <Pages>7</Pages>
  <Words>1495</Words>
  <Characters>8524</Characters>
  <Application>Microsoft Office Word</Application>
  <DocSecurity>0</DocSecurity>
  <Lines>71</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Model control 40 MHz</vt:lpstr>
      <vt:lpstr>Model control 40 MHz</vt:lpstr>
      <vt:lpstr>Model control 40 MHz</vt:lpstr>
    </vt:vector>
  </TitlesOfParts>
  <Company>WGFM#89</Company>
  <LinksUpToDate>false</LinksUpToDate>
  <CharactersWithSpaces>10000</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control 40 MHz</dc:title>
  <dc:creator>Anne-Dorthe Hjelm Christensen</dc:creator>
  <cp:lastModifiedBy>ECO </cp:lastModifiedBy>
  <cp:revision>4</cp:revision>
  <cp:lastPrinted>1901-01-01T00:00:00Z</cp:lastPrinted>
  <dcterms:created xsi:type="dcterms:W3CDTF">2022-06-16T12:58:00Z</dcterms:created>
  <dcterms:modified xsi:type="dcterms:W3CDTF">2022-06-16T13:01:00Z</dcterms:modified>
  <cp:contentStatus>for ECC approval</cp:contentStatus>
</cp:coreProperties>
</file>