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B657" w14:textId="77777777" w:rsidR="00432E81" w:rsidRPr="00B42B98" w:rsidRDefault="00432E81" w:rsidP="00432E81">
      <w:pPr>
        <w:tabs>
          <w:tab w:val="left" w:pos="360"/>
          <w:tab w:val="left" w:pos="1980"/>
          <w:tab w:val="left" w:pos="3402"/>
        </w:tabs>
        <w:rPr>
          <w:rFonts w:ascii="Arial" w:hAnsi="Arial" w:cs="Arial"/>
        </w:rPr>
      </w:pPr>
      <w:r w:rsidRPr="00B42B98">
        <w:rPr>
          <w:rFonts w:ascii="Arial" w:hAnsi="Arial" w:cs="Arial"/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4C72C08E" wp14:editId="4C72C08F">
            <wp:simplePos x="0" y="0"/>
            <wp:positionH relativeFrom="column">
              <wp:posOffset>5372100</wp:posOffset>
            </wp:positionH>
            <wp:positionV relativeFrom="paragraph">
              <wp:posOffset>21590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2" name="Picture 2" descr="ECO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O 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B98">
        <w:rPr>
          <w:rFonts w:ascii="Arial" w:hAnsi="Arial" w:cs="Arial"/>
          <w:noProof/>
          <w:lang w:val="da-DK" w:eastAsia="da-DK"/>
        </w:rPr>
        <w:drawing>
          <wp:inline distT="0" distB="0" distL="0" distR="0" wp14:anchorId="4C72C090" wp14:editId="4C72C091">
            <wp:extent cx="5524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B98">
        <w:rPr>
          <w:rFonts w:ascii="Arial" w:hAnsi="Arial" w:cs="Arial"/>
        </w:rPr>
        <w:tab/>
      </w:r>
      <w:r w:rsidRPr="00B42B98">
        <w:rPr>
          <w:rFonts w:ascii="Arial" w:hAnsi="Arial" w:cs="Arial"/>
        </w:rPr>
        <w:tab/>
        <w:t>European Communications Office (ECO)</w:t>
      </w:r>
    </w:p>
    <w:p w14:paraId="4C72B658" w14:textId="71221E0D" w:rsidR="00432E81" w:rsidRPr="00B42B98" w:rsidRDefault="00432E81" w:rsidP="002A7E3B">
      <w:pPr>
        <w:spacing w:before="5160"/>
        <w:jc w:val="center"/>
        <w:rPr>
          <w:rFonts w:ascii="Arial" w:hAnsi="Arial" w:cs="Arial"/>
          <w:b/>
          <w:sz w:val="24"/>
          <w:szCs w:val="24"/>
        </w:rPr>
      </w:pPr>
    </w:p>
    <w:p w14:paraId="4C72B659" w14:textId="450DFC3A" w:rsidR="00432E81" w:rsidRPr="00B42B98" w:rsidRDefault="00432E81" w:rsidP="00432E81">
      <w:pPr>
        <w:jc w:val="center"/>
        <w:rPr>
          <w:rFonts w:ascii="Arial" w:hAnsi="Arial" w:cs="Arial"/>
          <w:b/>
          <w:iCs/>
          <w:caps/>
          <w:color w:val="000000"/>
          <w:sz w:val="24"/>
          <w:szCs w:val="24"/>
        </w:rPr>
      </w:pPr>
    </w:p>
    <w:p w14:paraId="44920E4B" w14:textId="70828C65" w:rsidR="002D26DF" w:rsidRPr="00B42B98" w:rsidRDefault="007B5D3F" w:rsidP="00432E81">
      <w:pPr>
        <w:jc w:val="center"/>
        <w:rPr>
          <w:rFonts w:ascii="Arial" w:hAnsi="Arial" w:cs="Arial"/>
          <w:b/>
          <w:iCs/>
          <w:caps/>
          <w:color w:val="000000"/>
          <w:sz w:val="24"/>
          <w:szCs w:val="24"/>
        </w:rPr>
      </w:pPr>
      <w:r w:rsidRPr="00B42B98">
        <w:rPr>
          <w:rFonts w:ascii="Arial" w:hAnsi="Arial" w:cs="Arial"/>
          <w:b/>
          <w:iCs/>
          <w:caps/>
          <w:color w:val="000000"/>
          <w:sz w:val="24"/>
          <w:szCs w:val="24"/>
        </w:rPr>
        <w:t>ECO REPORT 06</w:t>
      </w:r>
    </w:p>
    <w:p w14:paraId="1B1EE0B9" w14:textId="77777777" w:rsidR="007B5D3F" w:rsidRPr="00B42B98" w:rsidRDefault="007B5D3F" w:rsidP="00432E81">
      <w:pPr>
        <w:jc w:val="center"/>
        <w:rPr>
          <w:rFonts w:ascii="Arial" w:hAnsi="Arial" w:cs="Arial"/>
          <w:b/>
          <w:iCs/>
          <w:caps/>
          <w:color w:val="000000"/>
          <w:sz w:val="24"/>
          <w:szCs w:val="24"/>
        </w:rPr>
      </w:pPr>
    </w:p>
    <w:p w14:paraId="4C72B65A" w14:textId="555B0BBE" w:rsidR="00432E81" w:rsidRPr="00B42B98" w:rsidRDefault="00F86F2B" w:rsidP="00432E81">
      <w:pPr>
        <w:jc w:val="center"/>
        <w:rPr>
          <w:rFonts w:ascii="Arial" w:hAnsi="Arial" w:cs="Arial"/>
          <w:b/>
          <w:iCs/>
          <w:caps/>
          <w:color w:val="000000"/>
          <w:sz w:val="24"/>
          <w:szCs w:val="24"/>
        </w:rPr>
      </w:pPr>
      <w:r w:rsidRPr="00B42B98">
        <w:rPr>
          <w:rFonts w:ascii="Arial" w:hAnsi="Arial" w:cs="Arial"/>
          <w:b/>
          <w:bCs/>
          <w:sz w:val="24"/>
          <w:szCs w:val="24"/>
        </w:rPr>
        <w:t>Country Determination Capability</w:t>
      </w:r>
    </w:p>
    <w:p w14:paraId="2AE862B5" w14:textId="77777777" w:rsidR="00795CA1" w:rsidRPr="00B42B98" w:rsidRDefault="00795CA1" w:rsidP="00432E81">
      <w:pPr>
        <w:jc w:val="center"/>
        <w:rPr>
          <w:rFonts w:ascii="Arial" w:hAnsi="Arial" w:cs="Arial"/>
          <w:b/>
          <w:iCs/>
          <w:caps/>
          <w:color w:val="000000"/>
          <w:sz w:val="24"/>
          <w:szCs w:val="24"/>
        </w:rPr>
      </w:pPr>
    </w:p>
    <w:p w14:paraId="4C72B65C" w14:textId="50D9E11D" w:rsidR="00060A85" w:rsidRPr="00B42B98" w:rsidRDefault="0025347E" w:rsidP="00060A85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42B98">
        <w:rPr>
          <w:rFonts w:ascii="Arial" w:hAnsi="Arial" w:cs="Arial"/>
          <w:b/>
          <w:bCs/>
          <w:color w:val="000000"/>
          <w:sz w:val="24"/>
          <w:szCs w:val="24"/>
          <w:lang w:eastAsia="fr-FR"/>
        </w:rPr>
        <w:t xml:space="preserve">National </w:t>
      </w:r>
      <w:r w:rsidR="000376EF" w:rsidRPr="00B42B98">
        <w:rPr>
          <w:rFonts w:ascii="Arial" w:hAnsi="Arial" w:cs="Arial"/>
          <w:b/>
          <w:bCs/>
          <w:color w:val="000000"/>
          <w:sz w:val="24"/>
          <w:szCs w:val="24"/>
          <w:lang w:eastAsia="fr-FR"/>
        </w:rPr>
        <w:t>use of the 5725-5850 MHz frequency band by WAS/RLAN devices with max</w:t>
      </w:r>
      <w:r w:rsidR="00660A23">
        <w:rPr>
          <w:rFonts w:ascii="Arial" w:hAnsi="Arial" w:cs="Arial"/>
          <w:b/>
          <w:bCs/>
          <w:color w:val="000000"/>
          <w:sz w:val="24"/>
          <w:szCs w:val="24"/>
          <w:lang w:eastAsia="fr-FR"/>
        </w:rPr>
        <w:t>imum</w:t>
      </w:r>
      <w:r w:rsidR="000376EF" w:rsidRPr="00B42B98">
        <w:rPr>
          <w:rFonts w:ascii="Arial" w:hAnsi="Arial" w:cs="Arial"/>
          <w:b/>
          <w:bCs/>
          <w:color w:val="000000"/>
          <w:sz w:val="24"/>
          <w:szCs w:val="24"/>
          <w:lang w:eastAsia="fr-FR"/>
        </w:rPr>
        <w:t xml:space="preserve"> power higher than 25 mW and up to 200 mW e.i.r.p. in CEPT countries</w:t>
      </w:r>
    </w:p>
    <w:p w14:paraId="4C72B65D" w14:textId="77777777" w:rsidR="00060A85" w:rsidRPr="00B42B98" w:rsidRDefault="00060A85" w:rsidP="00432E81">
      <w:pPr>
        <w:jc w:val="center"/>
        <w:rPr>
          <w:rFonts w:ascii="Arial" w:hAnsi="Arial" w:cs="Arial"/>
          <w:b/>
          <w:iCs/>
          <w:caps/>
          <w:color w:val="000000"/>
          <w:sz w:val="24"/>
          <w:szCs w:val="24"/>
          <w:lang w:val="en-US"/>
        </w:rPr>
      </w:pPr>
    </w:p>
    <w:p w14:paraId="4C72B65E" w14:textId="77777777" w:rsidR="00060A85" w:rsidRPr="00B42B98" w:rsidRDefault="00060A85" w:rsidP="00060A85">
      <w:pPr>
        <w:rPr>
          <w:rFonts w:ascii="Arial" w:hAnsi="Arial" w:cs="Arial"/>
          <w:b/>
          <w:bCs/>
          <w:color w:val="1F497D"/>
          <w:lang w:val="en-US"/>
        </w:rPr>
      </w:pPr>
    </w:p>
    <w:p w14:paraId="4C72B65F" w14:textId="77777777" w:rsidR="00432E81" w:rsidRPr="00B42B98" w:rsidRDefault="00432E81" w:rsidP="00432E81">
      <w:pPr>
        <w:jc w:val="center"/>
        <w:rPr>
          <w:rFonts w:ascii="Arial" w:hAnsi="Arial" w:cs="Arial"/>
          <w:sz w:val="24"/>
          <w:szCs w:val="24"/>
        </w:rPr>
      </w:pPr>
    </w:p>
    <w:p w14:paraId="4C72B660" w14:textId="6AB5AADF" w:rsidR="006A4C4E" w:rsidRPr="00B42B98" w:rsidRDefault="00786591" w:rsidP="00432E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approved</w:t>
      </w:r>
      <w:r w:rsidR="00D01192" w:rsidRPr="00B42B98">
        <w:rPr>
          <w:rFonts w:ascii="Arial" w:hAnsi="Arial" w:cs="Arial"/>
          <w:b/>
          <w:sz w:val="24"/>
          <w:szCs w:val="24"/>
        </w:rPr>
        <w:t xml:space="preserve">: </w:t>
      </w:r>
      <w:r w:rsidR="009B6558">
        <w:rPr>
          <w:rFonts w:ascii="Arial" w:hAnsi="Arial" w:cs="Arial"/>
          <w:b/>
          <w:sz w:val="24"/>
          <w:szCs w:val="24"/>
        </w:rPr>
        <w:t>9</w:t>
      </w:r>
      <w:r w:rsidR="008032C9" w:rsidRPr="00B42B98">
        <w:rPr>
          <w:rFonts w:ascii="Arial" w:hAnsi="Arial" w:cs="Arial"/>
          <w:b/>
          <w:sz w:val="24"/>
          <w:szCs w:val="24"/>
        </w:rPr>
        <w:t xml:space="preserve"> </w:t>
      </w:r>
      <w:r w:rsidR="00B42B98">
        <w:rPr>
          <w:rFonts w:ascii="Arial" w:hAnsi="Arial" w:cs="Arial"/>
          <w:b/>
          <w:sz w:val="24"/>
          <w:szCs w:val="24"/>
        </w:rPr>
        <w:t>June</w:t>
      </w:r>
      <w:r w:rsidR="00D01192" w:rsidRPr="00B42B98">
        <w:rPr>
          <w:rFonts w:ascii="Arial" w:hAnsi="Arial" w:cs="Arial"/>
          <w:b/>
          <w:sz w:val="24"/>
          <w:szCs w:val="24"/>
        </w:rPr>
        <w:t xml:space="preserve"> 20</w:t>
      </w:r>
      <w:r w:rsidR="00E926DB" w:rsidRPr="00B42B98">
        <w:rPr>
          <w:rFonts w:ascii="Arial" w:hAnsi="Arial" w:cs="Arial"/>
          <w:b/>
          <w:sz w:val="24"/>
          <w:szCs w:val="24"/>
        </w:rPr>
        <w:t>22</w:t>
      </w:r>
    </w:p>
    <w:p w14:paraId="4C72B661" w14:textId="77777777" w:rsidR="006E12AC" w:rsidRPr="00B42B98" w:rsidRDefault="006E12A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  <w:sectPr w:rsidR="006E12AC" w:rsidRPr="00B42B98" w:rsidSect="00D843E3">
          <w:headerReference w:type="even" r:id="rId10"/>
          <w:headerReference w:type="default" r:id="rId11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4C72B662" w14:textId="77777777" w:rsidR="00432E81" w:rsidRPr="00B42B98" w:rsidRDefault="00432E81" w:rsidP="00432E81">
      <w:pPr>
        <w:jc w:val="center"/>
        <w:rPr>
          <w:rFonts w:ascii="Arial" w:hAnsi="Arial" w:cs="Arial"/>
          <w:noProof/>
        </w:rPr>
      </w:pPr>
    </w:p>
    <w:p w14:paraId="4C72B663" w14:textId="77777777" w:rsidR="00432E81" w:rsidRPr="00B42B98" w:rsidRDefault="00F14C8F" w:rsidP="009B6549">
      <w:pPr>
        <w:rPr>
          <w:rFonts w:ascii="Arial" w:hAnsi="Arial" w:cs="Arial"/>
          <w:b/>
        </w:rPr>
      </w:pPr>
      <w:bookmarkStart w:id="0" w:name="_Toc430593780"/>
      <w:bookmarkStart w:id="1" w:name="_Toc210633207"/>
      <w:bookmarkStart w:id="2" w:name="_Hlk97114994"/>
      <w:r w:rsidRPr="00B42B98">
        <w:rPr>
          <w:rFonts w:ascii="Arial" w:hAnsi="Arial" w:cs="Arial"/>
          <w:b/>
        </w:rPr>
        <w:t>EXECUTIVE SUMMARY</w:t>
      </w:r>
      <w:bookmarkEnd w:id="0"/>
      <w:bookmarkEnd w:id="1"/>
    </w:p>
    <w:p w14:paraId="317D6ED5" w14:textId="77777777" w:rsidR="00227BBE" w:rsidRPr="00B42B98" w:rsidRDefault="00227BBE" w:rsidP="00341734">
      <w:pPr>
        <w:spacing w:before="240" w:after="60"/>
        <w:jc w:val="both"/>
        <w:rPr>
          <w:rFonts w:ascii="Arial" w:hAnsi="Arial" w:cs="Arial"/>
          <w:lang w:eastAsia="en-GB"/>
        </w:rPr>
      </w:pPr>
      <w:r w:rsidRPr="00B42B98">
        <w:rPr>
          <w:rFonts w:ascii="Arial" w:hAnsi="Arial" w:cs="Arial"/>
          <w:lang w:eastAsia="en-GB"/>
        </w:rPr>
        <w:t>As a regular task, ECO manages information from CEPT administrations on implementation of CEPT harmonisation measures.</w:t>
      </w:r>
    </w:p>
    <w:p w14:paraId="230F55A5" w14:textId="32464FAA" w:rsidR="00227BBE" w:rsidRPr="00B42B98" w:rsidRDefault="00227BBE" w:rsidP="00341734">
      <w:pPr>
        <w:spacing w:before="240" w:after="60"/>
        <w:jc w:val="both"/>
        <w:rPr>
          <w:rFonts w:ascii="Arial" w:hAnsi="Arial" w:cs="Arial"/>
          <w:lang w:eastAsia="en-GB"/>
        </w:rPr>
      </w:pPr>
      <w:r w:rsidRPr="00B42B98">
        <w:rPr>
          <w:rFonts w:ascii="Arial" w:hAnsi="Arial" w:cs="Arial"/>
          <w:lang w:eastAsia="en-GB"/>
        </w:rPr>
        <w:t>With respect to 5.8 GHz WAS/RLAN, no harmonisation measure is planned to be developed.</w:t>
      </w:r>
    </w:p>
    <w:p w14:paraId="4C72B665" w14:textId="6E2D68C6" w:rsidR="005913AC" w:rsidRPr="00B42B98" w:rsidRDefault="00227BBE" w:rsidP="00341734">
      <w:pPr>
        <w:spacing w:before="240" w:after="60"/>
        <w:jc w:val="both"/>
        <w:rPr>
          <w:rFonts w:ascii="Arial" w:hAnsi="Arial" w:cs="Arial"/>
        </w:rPr>
      </w:pPr>
      <w:r w:rsidRPr="00B42B98">
        <w:rPr>
          <w:rFonts w:ascii="Arial" w:hAnsi="Arial" w:cs="Arial"/>
          <w:lang w:eastAsia="en-GB"/>
        </w:rPr>
        <w:t xml:space="preserve">This ECO Report is </w:t>
      </w:r>
      <w:r w:rsidR="006B3167" w:rsidRPr="00B42B98">
        <w:rPr>
          <w:rFonts w:ascii="Arial" w:hAnsi="Arial" w:cs="Arial"/>
          <w:lang w:eastAsia="en-GB"/>
        </w:rPr>
        <w:t xml:space="preserve">intended </w:t>
      </w:r>
      <w:r w:rsidRPr="00B42B98">
        <w:rPr>
          <w:rFonts w:ascii="Arial" w:hAnsi="Arial" w:cs="Arial"/>
          <w:lang w:eastAsia="en-GB"/>
        </w:rPr>
        <w:t xml:space="preserve">to provide knowledge for each CEPT country whether </w:t>
      </w:r>
      <w:r w:rsidRPr="00B42B98">
        <w:rPr>
          <w:rFonts w:ascii="Arial" w:hAnsi="Arial" w:cs="Arial"/>
        </w:rPr>
        <w:t>the administration do</w:t>
      </w:r>
      <w:r w:rsidR="008E4AF6" w:rsidRPr="00B42B98">
        <w:rPr>
          <w:rFonts w:ascii="Arial" w:hAnsi="Arial" w:cs="Arial"/>
        </w:rPr>
        <w:t>es</w:t>
      </w:r>
      <w:r w:rsidRPr="00B42B98">
        <w:rPr>
          <w:rFonts w:ascii="Arial" w:hAnsi="Arial" w:cs="Arial"/>
        </w:rPr>
        <w:t xml:space="preserve"> permit or not the use of the 5725-5850 MHz band by WAS/RLAN with max e.i.r.p. higher than 25 mW</w:t>
      </w:r>
      <w:r w:rsidR="002253A9" w:rsidRPr="00B42B98">
        <w:rPr>
          <w:rFonts w:ascii="Arial" w:hAnsi="Arial" w:cs="Arial"/>
        </w:rPr>
        <w:t xml:space="preserve"> and up to 200 mW</w:t>
      </w:r>
      <w:r w:rsidRPr="00B42B98">
        <w:rPr>
          <w:rFonts w:ascii="Arial" w:hAnsi="Arial" w:cs="Arial"/>
        </w:rPr>
        <w:t>.</w:t>
      </w:r>
    </w:p>
    <w:p w14:paraId="575B961C" w14:textId="27DC6C8D" w:rsidR="002253A9" w:rsidRPr="00B42B98" w:rsidRDefault="002253A9" w:rsidP="00341734">
      <w:pPr>
        <w:spacing w:before="240" w:after="60"/>
        <w:jc w:val="both"/>
        <w:rPr>
          <w:rFonts w:ascii="Arial" w:hAnsi="Arial" w:cs="Arial"/>
        </w:rPr>
      </w:pPr>
      <w:r w:rsidRPr="00B42B98">
        <w:rPr>
          <w:rFonts w:ascii="Arial" w:hAnsi="Arial" w:cs="Arial"/>
        </w:rPr>
        <w:t xml:space="preserve">CEPT administrations are </w:t>
      </w:r>
      <w:r w:rsidR="005E006A" w:rsidRPr="00B42B98">
        <w:rPr>
          <w:rFonts w:ascii="Arial" w:hAnsi="Arial" w:cs="Arial"/>
        </w:rPr>
        <w:t xml:space="preserve">requested to </w:t>
      </w:r>
      <w:r w:rsidR="002562AC" w:rsidRPr="00B42B98">
        <w:rPr>
          <w:rFonts w:ascii="Arial" w:hAnsi="Arial" w:cs="Arial"/>
        </w:rPr>
        <w:t xml:space="preserve">keep the ECO informed if they introduce </w:t>
      </w:r>
      <w:r w:rsidR="00A76926" w:rsidRPr="00B42B98">
        <w:rPr>
          <w:rFonts w:ascii="Arial" w:hAnsi="Arial" w:cs="Arial"/>
        </w:rPr>
        <w:t xml:space="preserve">national regulations permitting the use of </w:t>
      </w:r>
      <w:r w:rsidR="00D94221" w:rsidRPr="00B42B98">
        <w:rPr>
          <w:rFonts w:ascii="Arial" w:hAnsi="Arial" w:cs="Arial"/>
        </w:rPr>
        <w:t xml:space="preserve">such 5.8 GHz </w:t>
      </w:r>
      <w:r w:rsidR="00A76926" w:rsidRPr="00B42B98">
        <w:rPr>
          <w:rFonts w:ascii="Arial" w:hAnsi="Arial" w:cs="Arial"/>
        </w:rPr>
        <w:t>WAS/RLAN.</w:t>
      </w:r>
      <w:r w:rsidR="00563877" w:rsidRPr="00B42B98">
        <w:rPr>
          <w:rFonts w:ascii="Arial" w:hAnsi="Arial" w:cs="Arial"/>
        </w:rPr>
        <w:t xml:space="preserve"> The ECO will update this ECO Report</w:t>
      </w:r>
      <w:r w:rsidR="00F7377E" w:rsidRPr="00B42B98">
        <w:rPr>
          <w:rFonts w:ascii="Arial" w:hAnsi="Arial" w:cs="Arial"/>
        </w:rPr>
        <w:t xml:space="preserve">, as required, </w:t>
      </w:r>
      <w:r w:rsidR="00563877" w:rsidRPr="00B42B98">
        <w:rPr>
          <w:rFonts w:ascii="Arial" w:hAnsi="Arial" w:cs="Arial"/>
        </w:rPr>
        <w:t>on recei</w:t>
      </w:r>
      <w:r w:rsidR="00F7377E" w:rsidRPr="00B42B98">
        <w:rPr>
          <w:rFonts w:ascii="Arial" w:hAnsi="Arial" w:cs="Arial"/>
        </w:rPr>
        <w:t xml:space="preserve">pt of any new </w:t>
      </w:r>
      <w:r w:rsidR="009B2C18" w:rsidRPr="00B42B98">
        <w:rPr>
          <w:rFonts w:ascii="Arial" w:hAnsi="Arial" w:cs="Arial"/>
        </w:rPr>
        <w:t xml:space="preserve">related </w:t>
      </w:r>
      <w:r w:rsidR="00F7377E" w:rsidRPr="00B42B98">
        <w:rPr>
          <w:rFonts w:ascii="Arial" w:hAnsi="Arial" w:cs="Arial"/>
        </w:rPr>
        <w:t>national implementation information</w:t>
      </w:r>
      <w:r w:rsidR="00A61082" w:rsidRPr="00B42B98">
        <w:rPr>
          <w:rFonts w:ascii="Arial" w:hAnsi="Arial" w:cs="Arial"/>
        </w:rPr>
        <w:t>.</w:t>
      </w:r>
    </w:p>
    <w:p w14:paraId="065D5920" w14:textId="4526F589" w:rsidR="003C535F" w:rsidRPr="00B42B98" w:rsidRDefault="003C535F" w:rsidP="00341734">
      <w:pPr>
        <w:spacing w:before="240" w:after="60"/>
        <w:jc w:val="both"/>
        <w:rPr>
          <w:rFonts w:ascii="Arial" w:hAnsi="Arial" w:cs="Arial"/>
        </w:rPr>
      </w:pPr>
      <w:r w:rsidRPr="00B42B98">
        <w:rPr>
          <w:rFonts w:ascii="Arial" w:hAnsi="Arial" w:cs="Arial"/>
        </w:rPr>
        <w:t xml:space="preserve">ETSI is invited to </w:t>
      </w:r>
      <w:r w:rsidR="0075457B" w:rsidRPr="00B42B98">
        <w:rPr>
          <w:rFonts w:ascii="Arial" w:hAnsi="Arial" w:cs="Arial"/>
        </w:rPr>
        <w:t>take due consideration of the national implementation information</w:t>
      </w:r>
      <w:r w:rsidR="001469F2" w:rsidRPr="00B42B98">
        <w:rPr>
          <w:rFonts w:ascii="Arial" w:hAnsi="Arial" w:cs="Arial"/>
        </w:rPr>
        <w:t xml:space="preserve"> stated within this ECO Report when developing </w:t>
      </w:r>
      <w:r w:rsidR="00A3558D" w:rsidRPr="00B42B98">
        <w:rPr>
          <w:rFonts w:ascii="Arial" w:hAnsi="Arial" w:cs="Arial"/>
        </w:rPr>
        <w:t xml:space="preserve">and maintaining </w:t>
      </w:r>
      <w:r w:rsidR="00235BE1" w:rsidRPr="00B42B98">
        <w:rPr>
          <w:rFonts w:ascii="Arial" w:hAnsi="Arial" w:cs="Arial"/>
        </w:rPr>
        <w:t xml:space="preserve">the specifications of </w:t>
      </w:r>
      <w:r w:rsidR="00B9054A" w:rsidRPr="00B42B98">
        <w:rPr>
          <w:rFonts w:ascii="Arial" w:hAnsi="Arial" w:cs="Arial"/>
        </w:rPr>
        <w:t>the Country Determination Capability</w:t>
      </w:r>
      <w:r w:rsidR="00300FED" w:rsidRPr="00B42B98">
        <w:rPr>
          <w:rFonts w:ascii="Arial" w:hAnsi="Arial" w:cs="Arial"/>
        </w:rPr>
        <w:t xml:space="preserve"> (CDC</w:t>
      </w:r>
      <w:r w:rsidR="00B9054A" w:rsidRPr="00B42B98">
        <w:rPr>
          <w:rFonts w:ascii="Arial" w:hAnsi="Arial" w:cs="Arial"/>
        </w:rPr>
        <w:t>) for WAS/RLAN devices that can operate within the 5725-5850 MHz band with an e.i.r.p. higher than 25 mW and up to 200 mW</w:t>
      </w:r>
      <w:r w:rsidR="00300FED" w:rsidRPr="00B42B98">
        <w:rPr>
          <w:rFonts w:ascii="Arial" w:hAnsi="Arial" w:cs="Arial"/>
        </w:rPr>
        <w:t>.</w:t>
      </w:r>
    </w:p>
    <w:bookmarkEnd w:id="2"/>
    <w:p w14:paraId="55818B04" w14:textId="3DAB5E56" w:rsidR="00BF2AA4" w:rsidRPr="00B42B98" w:rsidRDefault="00742131" w:rsidP="00341734">
      <w:pPr>
        <w:spacing w:before="240" w:after="60"/>
        <w:jc w:val="both"/>
        <w:rPr>
          <w:rFonts w:ascii="Arial" w:hAnsi="Arial" w:cs="Arial"/>
          <w:b/>
        </w:rPr>
      </w:pPr>
      <w:r w:rsidRPr="00B42B98">
        <w:rPr>
          <w:rFonts w:ascii="Arial" w:hAnsi="Arial" w:cs="Arial"/>
          <w:b/>
        </w:rPr>
        <w:t>INTRODUCTION</w:t>
      </w:r>
    </w:p>
    <w:p w14:paraId="698FF6D9" w14:textId="17655DFD" w:rsidR="00BF2AA4" w:rsidRPr="00B42B98" w:rsidRDefault="00DD1732" w:rsidP="00341734">
      <w:pPr>
        <w:spacing w:before="2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WG FM #101</w:t>
      </w:r>
      <w:r w:rsidR="00C85E42">
        <w:rPr>
          <w:rFonts w:ascii="Arial" w:hAnsi="Arial" w:cs="Arial"/>
        </w:rPr>
        <w:t xml:space="preserve"> held in F</w:t>
      </w:r>
      <w:r>
        <w:rPr>
          <w:rFonts w:ascii="Arial" w:hAnsi="Arial" w:cs="Arial"/>
        </w:rPr>
        <w:t>eb</w:t>
      </w:r>
      <w:r w:rsidR="00C85E42">
        <w:rPr>
          <w:rFonts w:ascii="Arial" w:hAnsi="Arial" w:cs="Arial"/>
        </w:rPr>
        <w:t>ruary 20</w:t>
      </w:r>
      <w:r>
        <w:rPr>
          <w:rFonts w:ascii="Arial" w:hAnsi="Arial" w:cs="Arial"/>
        </w:rPr>
        <w:t xml:space="preserve">22 </w:t>
      </w:r>
      <w:r w:rsidR="00B61BC4" w:rsidRPr="00B42B98">
        <w:rPr>
          <w:rFonts w:ascii="Arial" w:hAnsi="Arial" w:cs="Arial"/>
        </w:rPr>
        <w:t xml:space="preserve">decided to </w:t>
      </w:r>
      <w:r w:rsidR="00D425E2" w:rsidRPr="00B42B98">
        <w:rPr>
          <w:rFonts w:ascii="Arial" w:hAnsi="Arial" w:cs="Arial"/>
        </w:rPr>
        <w:t xml:space="preserve">provide the necessary information, by means of this ECO Report, </w:t>
      </w:r>
      <w:r w:rsidR="00F62000" w:rsidRPr="00B42B98">
        <w:rPr>
          <w:rFonts w:ascii="Arial" w:hAnsi="Arial" w:cs="Arial"/>
        </w:rPr>
        <w:t xml:space="preserve">that will enable WAS/RLAN manufacturers to determine </w:t>
      </w:r>
      <w:r w:rsidR="00830BA5" w:rsidRPr="00B42B98">
        <w:rPr>
          <w:rFonts w:ascii="Arial" w:hAnsi="Arial" w:cs="Arial"/>
        </w:rPr>
        <w:t xml:space="preserve">which CEPT </w:t>
      </w:r>
      <w:r w:rsidR="00235BE1" w:rsidRPr="00B42B98">
        <w:rPr>
          <w:rFonts w:ascii="Arial" w:hAnsi="Arial" w:cs="Arial"/>
        </w:rPr>
        <w:t>a</w:t>
      </w:r>
      <w:r w:rsidR="00830BA5" w:rsidRPr="00B42B98">
        <w:rPr>
          <w:rFonts w:ascii="Arial" w:hAnsi="Arial" w:cs="Arial"/>
        </w:rPr>
        <w:t xml:space="preserve">dministrations permit the </w:t>
      </w:r>
      <w:r w:rsidR="004C554D" w:rsidRPr="00B42B98">
        <w:rPr>
          <w:rFonts w:ascii="Arial" w:hAnsi="Arial" w:cs="Arial"/>
        </w:rPr>
        <w:t xml:space="preserve">use </w:t>
      </w:r>
      <w:r w:rsidR="006E4032" w:rsidRPr="00B42B98">
        <w:rPr>
          <w:rFonts w:ascii="Arial" w:hAnsi="Arial" w:cs="Arial"/>
        </w:rPr>
        <w:t xml:space="preserve">of </w:t>
      </w:r>
      <w:r w:rsidR="00815202" w:rsidRPr="00B42B98">
        <w:rPr>
          <w:rFonts w:ascii="Arial" w:hAnsi="Arial" w:cs="Arial"/>
        </w:rPr>
        <w:t>WAS/RLAN</w:t>
      </w:r>
      <w:r w:rsidR="000A59E5" w:rsidRPr="00B42B98">
        <w:rPr>
          <w:rFonts w:ascii="Arial" w:hAnsi="Arial" w:cs="Arial"/>
        </w:rPr>
        <w:t xml:space="preserve"> with max e.i.r.p. higher than 25 mW and up to 200 mW</w:t>
      </w:r>
      <w:r w:rsidR="00815202" w:rsidRPr="00B42B98">
        <w:rPr>
          <w:rFonts w:ascii="Arial" w:hAnsi="Arial" w:cs="Arial"/>
        </w:rPr>
        <w:t xml:space="preserve"> in the 5.8 GHz bands, as they </w:t>
      </w:r>
      <w:r w:rsidR="00235BE1" w:rsidRPr="00B42B98">
        <w:rPr>
          <w:rFonts w:ascii="Arial" w:hAnsi="Arial" w:cs="Arial"/>
        </w:rPr>
        <w:t>include</w:t>
      </w:r>
      <w:r w:rsidR="00C45261" w:rsidRPr="00B42B98">
        <w:rPr>
          <w:rFonts w:ascii="Arial" w:hAnsi="Arial" w:cs="Arial"/>
        </w:rPr>
        <w:t xml:space="preserve"> the CDC in </w:t>
      </w:r>
      <w:r w:rsidR="003D11EC" w:rsidRPr="00B42B98">
        <w:rPr>
          <w:rFonts w:ascii="Arial" w:hAnsi="Arial" w:cs="Arial"/>
        </w:rPr>
        <w:t>WAS/RLAN apparatus.</w:t>
      </w:r>
    </w:p>
    <w:p w14:paraId="63FBAB95" w14:textId="7F8CF3B6" w:rsidR="002367F3" w:rsidRPr="00B42B98" w:rsidRDefault="002367F3" w:rsidP="00341734">
      <w:pPr>
        <w:spacing w:before="240" w:after="60"/>
        <w:jc w:val="both"/>
        <w:rPr>
          <w:rFonts w:ascii="Arial" w:hAnsi="Arial" w:cs="Arial"/>
        </w:rPr>
      </w:pPr>
      <w:r w:rsidRPr="00B42B98">
        <w:rPr>
          <w:rFonts w:ascii="Arial" w:hAnsi="Arial" w:cs="Arial"/>
        </w:rPr>
        <w:t xml:space="preserve">The national </w:t>
      </w:r>
      <w:r w:rsidR="0027067B" w:rsidRPr="00B42B98">
        <w:rPr>
          <w:rFonts w:ascii="Arial" w:hAnsi="Arial" w:cs="Arial"/>
        </w:rPr>
        <w:t xml:space="preserve">information, showing the authorisation by CEPT </w:t>
      </w:r>
      <w:r w:rsidR="00235BE1" w:rsidRPr="00B42B98">
        <w:rPr>
          <w:rFonts w:ascii="Arial" w:hAnsi="Arial" w:cs="Arial"/>
        </w:rPr>
        <w:t>a</w:t>
      </w:r>
      <w:r w:rsidR="0027067B" w:rsidRPr="00B42B98">
        <w:rPr>
          <w:rFonts w:ascii="Arial" w:hAnsi="Arial" w:cs="Arial"/>
        </w:rPr>
        <w:t>dministrations</w:t>
      </w:r>
      <w:r w:rsidR="00C8614D" w:rsidRPr="00B42B98">
        <w:rPr>
          <w:rFonts w:ascii="Arial" w:hAnsi="Arial" w:cs="Arial"/>
        </w:rPr>
        <w:t xml:space="preserve"> of </w:t>
      </w:r>
      <w:r w:rsidR="000F170B" w:rsidRPr="00B42B98">
        <w:rPr>
          <w:rFonts w:ascii="Arial" w:hAnsi="Arial" w:cs="Arial"/>
        </w:rPr>
        <w:t xml:space="preserve">such </w:t>
      </w:r>
      <w:r w:rsidR="00C8614D" w:rsidRPr="00B42B98">
        <w:rPr>
          <w:rFonts w:ascii="Arial" w:hAnsi="Arial" w:cs="Arial"/>
        </w:rPr>
        <w:t>5.8 GHz WAS/RLAN is set out in Annex 1.</w:t>
      </w:r>
    </w:p>
    <w:p w14:paraId="600DC1CE" w14:textId="72255781" w:rsidR="00E36083" w:rsidRPr="00B42B98" w:rsidRDefault="00C8614D" w:rsidP="00341734">
      <w:pPr>
        <w:spacing w:before="240" w:after="60"/>
        <w:jc w:val="both"/>
        <w:rPr>
          <w:rFonts w:ascii="Arial" w:hAnsi="Arial" w:cs="Arial"/>
        </w:rPr>
      </w:pPr>
      <w:r w:rsidRPr="00B42B98">
        <w:rPr>
          <w:rFonts w:ascii="Arial" w:hAnsi="Arial" w:cs="Arial"/>
        </w:rPr>
        <w:t xml:space="preserve">Annex 1 </w:t>
      </w:r>
      <w:r w:rsidR="007C497D" w:rsidRPr="00B42B98">
        <w:rPr>
          <w:rFonts w:ascii="Arial" w:hAnsi="Arial" w:cs="Arial"/>
        </w:rPr>
        <w:t>indicate</w:t>
      </w:r>
      <w:r w:rsidR="00235BE1" w:rsidRPr="00B42B98">
        <w:rPr>
          <w:rFonts w:ascii="Arial" w:hAnsi="Arial" w:cs="Arial"/>
        </w:rPr>
        <w:t>s</w:t>
      </w:r>
      <w:r w:rsidR="007C497D" w:rsidRPr="00B42B98">
        <w:rPr>
          <w:rFonts w:ascii="Arial" w:hAnsi="Arial" w:cs="Arial"/>
        </w:rPr>
        <w:t xml:space="preserve"> the national implementation, as set out in four </w:t>
      </w:r>
      <w:r w:rsidR="00E36083" w:rsidRPr="00B42B98">
        <w:rPr>
          <w:rFonts w:ascii="Arial" w:hAnsi="Arial" w:cs="Arial"/>
        </w:rPr>
        <w:t>frequency bands</w:t>
      </w:r>
      <w:r w:rsidR="00235BE1" w:rsidRPr="00B42B98">
        <w:rPr>
          <w:rFonts w:ascii="Arial" w:hAnsi="Arial" w:cs="Arial"/>
        </w:rPr>
        <w:t>:</w:t>
      </w:r>
    </w:p>
    <w:p w14:paraId="6F4FECA9" w14:textId="224A27F8" w:rsidR="00BF2AA4" w:rsidRPr="00341734" w:rsidRDefault="00951F46" w:rsidP="0038161A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color w:val="000000"/>
          <w:lang w:eastAsia="fr-FR"/>
        </w:rPr>
      </w:pPr>
      <w:r w:rsidRPr="00341734">
        <w:rPr>
          <w:rFonts w:ascii="Arial" w:hAnsi="Arial" w:cs="Arial"/>
          <w:color w:val="000000"/>
          <w:lang w:eastAsia="fr-FR"/>
        </w:rPr>
        <w:t>5725-5735</w:t>
      </w:r>
      <w:r w:rsidR="001E6775" w:rsidRPr="00341734">
        <w:rPr>
          <w:rFonts w:ascii="Arial" w:hAnsi="Arial" w:cs="Arial"/>
          <w:color w:val="000000"/>
          <w:lang w:eastAsia="fr-FR"/>
        </w:rPr>
        <w:t xml:space="preserve"> MHz</w:t>
      </w:r>
      <w:r w:rsidR="009A6DA2">
        <w:rPr>
          <w:rFonts w:ascii="Arial" w:hAnsi="Arial" w:cs="Arial"/>
          <w:color w:val="000000"/>
          <w:lang w:eastAsia="fr-FR"/>
        </w:rPr>
        <w:t>;</w:t>
      </w:r>
    </w:p>
    <w:p w14:paraId="6482E2F4" w14:textId="72B96A45" w:rsidR="00951F46" w:rsidRPr="00341734" w:rsidRDefault="009B4730" w:rsidP="0038161A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color w:val="000000"/>
          <w:lang w:eastAsia="fr-FR"/>
        </w:rPr>
      </w:pPr>
      <w:r w:rsidRPr="00341734">
        <w:rPr>
          <w:rFonts w:ascii="Arial" w:hAnsi="Arial" w:cs="Arial"/>
          <w:color w:val="000000"/>
          <w:lang w:eastAsia="fr-FR"/>
        </w:rPr>
        <w:t>5735-5795</w:t>
      </w:r>
      <w:r w:rsidR="001E6775" w:rsidRPr="00341734">
        <w:rPr>
          <w:rFonts w:ascii="Arial" w:hAnsi="Arial" w:cs="Arial"/>
          <w:color w:val="000000"/>
          <w:lang w:eastAsia="fr-FR"/>
        </w:rPr>
        <w:t xml:space="preserve"> MHz</w:t>
      </w:r>
      <w:r w:rsidR="009A6DA2">
        <w:rPr>
          <w:rFonts w:ascii="Arial" w:hAnsi="Arial" w:cs="Arial"/>
          <w:color w:val="000000"/>
          <w:lang w:eastAsia="fr-FR"/>
        </w:rPr>
        <w:t>;</w:t>
      </w:r>
    </w:p>
    <w:p w14:paraId="36F6E412" w14:textId="5D5DE8B8" w:rsidR="009B4730" w:rsidRPr="00341734" w:rsidRDefault="002A2EB4" w:rsidP="0038161A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color w:val="000000"/>
          <w:lang w:eastAsia="fr-FR"/>
        </w:rPr>
      </w:pPr>
      <w:r w:rsidRPr="00341734">
        <w:rPr>
          <w:rFonts w:ascii="Arial" w:hAnsi="Arial" w:cs="Arial"/>
          <w:color w:val="000000"/>
          <w:lang w:eastAsia="fr-FR"/>
        </w:rPr>
        <w:t>5795-5815</w:t>
      </w:r>
      <w:r w:rsidR="001E6775" w:rsidRPr="00341734">
        <w:rPr>
          <w:rFonts w:ascii="Arial" w:hAnsi="Arial" w:cs="Arial"/>
          <w:color w:val="000000"/>
          <w:lang w:eastAsia="fr-FR"/>
        </w:rPr>
        <w:t xml:space="preserve"> MHz</w:t>
      </w:r>
      <w:r w:rsidR="009A6DA2">
        <w:rPr>
          <w:rFonts w:ascii="Arial" w:hAnsi="Arial" w:cs="Arial"/>
          <w:color w:val="000000"/>
          <w:lang w:eastAsia="fr-FR"/>
        </w:rPr>
        <w:t>;</w:t>
      </w:r>
    </w:p>
    <w:p w14:paraId="055C7294" w14:textId="387047F7" w:rsidR="00746177" w:rsidRPr="00341734" w:rsidRDefault="001E6775" w:rsidP="0038161A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jc w:val="both"/>
        <w:rPr>
          <w:rFonts w:ascii="Arial" w:hAnsi="Arial" w:cs="Arial"/>
        </w:rPr>
      </w:pPr>
      <w:r w:rsidRPr="00341734">
        <w:rPr>
          <w:rFonts w:ascii="Arial" w:hAnsi="Arial" w:cs="Arial"/>
          <w:color w:val="000000"/>
          <w:lang w:eastAsia="fr-FR"/>
        </w:rPr>
        <w:t>5815-5850 MHz</w:t>
      </w:r>
      <w:r w:rsidR="009A6DA2">
        <w:rPr>
          <w:rFonts w:ascii="Arial" w:hAnsi="Arial" w:cs="Arial"/>
          <w:color w:val="000000"/>
          <w:lang w:eastAsia="fr-FR"/>
        </w:rPr>
        <w:t>.</w:t>
      </w:r>
    </w:p>
    <w:p w14:paraId="2937AC11" w14:textId="1D9AF3E4" w:rsidR="00746177" w:rsidRPr="00B42B98" w:rsidRDefault="00746177" w:rsidP="00341734">
      <w:pPr>
        <w:spacing w:before="240" w:after="60"/>
        <w:jc w:val="both"/>
        <w:rPr>
          <w:rFonts w:ascii="Arial" w:hAnsi="Arial" w:cs="Arial"/>
          <w:color w:val="000000"/>
          <w:lang w:eastAsia="fr-FR"/>
        </w:rPr>
      </w:pPr>
      <w:r w:rsidRPr="00B42B98">
        <w:rPr>
          <w:rFonts w:ascii="Arial" w:hAnsi="Arial" w:cs="Arial"/>
        </w:rPr>
        <w:t xml:space="preserve">Alongside </w:t>
      </w:r>
      <w:r w:rsidR="00C03AA8" w:rsidRPr="00B42B98">
        <w:rPr>
          <w:rFonts w:ascii="Arial" w:hAnsi="Arial" w:cs="Arial"/>
        </w:rPr>
        <w:t xml:space="preserve">a reference to the </w:t>
      </w:r>
      <w:r w:rsidR="00235BE1" w:rsidRPr="00B42B98">
        <w:rPr>
          <w:rFonts w:ascii="Arial" w:hAnsi="Arial" w:cs="Arial"/>
        </w:rPr>
        <w:t>n</w:t>
      </w:r>
      <w:r w:rsidR="00E74941" w:rsidRPr="00B42B98">
        <w:rPr>
          <w:rFonts w:ascii="Arial" w:hAnsi="Arial" w:cs="Arial"/>
          <w:color w:val="000000"/>
          <w:lang w:eastAsia="fr-FR"/>
        </w:rPr>
        <w:t>ational regulatory reference</w:t>
      </w:r>
      <w:r w:rsidR="00E86F52" w:rsidRPr="00B42B98">
        <w:rPr>
          <w:rFonts w:ascii="Arial" w:hAnsi="Arial" w:cs="Arial"/>
          <w:color w:val="000000"/>
          <w:lang w:eastAsia="fr-FR"/>
        </w:rPr>
        <w:t>.</w:t>
      </w:r>
    </w:p>
    <w:p w14:paraId="3E92721C" w14:textId="77777777" w:rsidR="000F170B" w:rsidRPr="00B42B98" w:rsidRDefault="000F170B" w:rsidP="00341734">
      <w:pPr>
        <w:spacing w:before="240" w:after="60"/>
        <w:jc w:val="both"/>
        <w:rPr>
          <w:rFonts w:ascii="Arial" w:hAnsi="Arial" w:cs="Arial"/>
        </w:rPr>
      </w:pPr>
      <w:r w:rsidRPr="00B42B98">
        <w:rPr>
          <w:rFonts w:ascii="Arial" w:hAnsi="Arial" w:cs="Arial"/>
        </w:rPr>
        <w:t>This information on national implementation does not cover usage that is harmonised under:</w:t>
      </w:r>
    </w:p>
    <w:p w14:paraId="3C370FE6" w14:textId="79766FF2" w:rsidR="000F170B" w:rsidRPr="00B42B98" w:rsidRDefault="00D267EA" w:rsidP="0038161A">
      <w:pPr>
        <w:pStyle w:val="ListParagraph"/>
        <w:numPr>
          <w:ilvl w:val="0"/>
          <w:numId w:val="6"/>
        </w:numPr>
        <w:spacing w:before="60" w:after="60"/>
        <w:ind w:left="357" w:hanging="357"/>
        <w:contextualSpacing w:val="0"/>
        <w:jc w:val="both"/>
        <w:rPr>
          <w:rFonts w:ascii="Arial" w:hAnsi="Arial" w:cs="Arial"/>
        </w:rPr>
      </w:pPr>
      <w:hyperlink r:id="rId12" w:history="1">
        <w:r w:rsidR="0038161A">
          <w:rPr>
            <w:rStyle w:val="Hyperlink"/>
            <w:rFonts w:ascii="Arial" w:hAnsi="Arial" w:cs="Arial"/>
          </w:rPr>
          <w:t>ERC Recommendation 70-03, annex 1</w:t>
        </w:r>
      </w:hyperlink>
      <w:r w:rsidR="004B5C72" w:rsidRPr="00B42B98">
        <w:rPr>
          <w:rFonts w:ascii="Arial" w:hAnsi="Arial" w:cs="Arial"/>
        </w:rPr>
        <w:t xml:space="preserve"> for the use of the band 5725-5875 MHz by non-specific SRD (including WAS/RLAN) with max</w:t>
      </w:r>
      <w:r w:rsidR="0038161A">
        <w:rPr>
          <w:rFonts w:ascii="Arial" w:hAnsi="Arial" w:cs="Arial"/>
        </w:rPr>
        <w:t>im</w:t>
      </w:r>
      <w:r w:rsidR="00111228">
        <w:rPr>
          <w:rFonts w:ascii="Arial" w:hAnsi="Arial" w:cs="Arial"/>
        </w:rPr>
        <w:t>um</w:t>
      </w:r>
      <w:r w:rsidR="004B5C72" w:rsidRPr="00B42B98">
        <w:rPr>
          <w:rFonts w:ascii="Arial" w:hAnsi="Arial" w:cs="Arial"/>
        </w:rPr>
        <w:t xml:space="preserve"> power up to 25 mW e.i.r.p.</w:t>
      </w:r>
      <w:r w:rsidR="009A6DA2">
        <w:rPr>
          <w:rFonts w:ascii="Arial" w:hAnsi="Arial" w:cs="Arial"/>
        </w:rPr>
        <w:t>;</w:t>
      </w:r>
    </w:p>
    <w:p w14:paraId="4E7C8834" w14:textId="66FB2C1A" w:rsidR="004B5C72" w:rsidRPr="00B42B98" w:rsidRDefault="00D267EA" w:rsidP="0038161A">
      <w:pPr>
        <w:pStyle w:val="ListParagraph"/>
        <w:numPr>
          <w:ilvl w:val="0"/>
          <w:numId w:val="6"/>
        </w:numPr>
        <w:spacing w:before="60" w:after="60"/>
        <w:ind w:left="357" w:hanging="357"/>
        <w:contextualSpacing w:val="0"/>
        <w:jc w:val="both"/>
        <w:rPr>
          <w:rFonts w:ascii="Arial" w:hAnsi="Arial" w:cs="Arial"/>
        </w:rPr>
      </w:pPr>
      <w:hyperlink r:id="rId13" w:history="1">
        <w:r w:rsidR="00B56A72" w:rsidRPr="0038161A">
          <w:rPr>
            <w:rStyle w:val="Hyperlink"/>
            <w:rFonts w:ascii="Arial" w:hAnsi="Arial" w:cs="Arial"/>
          </w:rPr>
          <w:t xml:space="preserve">ECC Recommendation (06)04 </w:t>
        </w:r>
      </w:hyperlink>
      <w:r w:rsidR="004B5C72" w:rsidRPr="0038161A">
        <w:rPr>
          <w:rFonts w:ascii="Arial" w:hAnsi="Arial" w:cs="Arial"/>
        </w:rPr>
        <w:t xml:space="preserve"> f</w:t>
      </w:r>
      <w:r w:rsidR="004B5C72" w:rsidRPr="00B42B98">
        <w:rPr>
          <w:rFonts w:ascii="Arial" w:hAnsi="Arial" w:cs="Arial"/>
        </w:rPr>
        <w:t>or the use of the band 5725-5875 MHz by BFWA with max</w:t>
      </w:r>
      <w:r w:rsidR="00111228">
        <w:rPr>
          <w:rFonts w:ascii="Arial" w:hAnsi="Arial" w:cs="Arial"/>
        </w:rPr>
        <w:t>imum</w:t>
      </w:r>
      <w:r w:rsidR="004B5C72" w:rsidRPr="00B42B98">
        <w:rPr>
          <w:rFonts w:ascii="Arial" w:hAnsi="Arial" w:cs="Arial"/>
        </w:rPr>
        <w:t xml:space="preserve"> power up to 4</w:t>
      </w:r>
      <w:r w:rsidR="008D771D">
        <w:rPr>
          <w:rFonts w:ascii="Arial" w:hAnsi="Arial" w:cs="Arial"/>
        </w:rPr>
        <w:t> </w:t>
      </w:r>
      <w:r w:rsidR="004B5C72" w:rsidRPr="00B42B98">
        <w:rPr>
          <w:rFonts w:ascii="Arial" w:hAnsi="Arial" w:cs="Arial"/>
        </w:rPr>
        <w:t>W e.i.r.p.</w:t>
      </w:r>
    </w:p>
    <w:p w14:paraId="334B2C68" w14:textId="77777777" w:rsidR="000F170B" w:rsidRPr="00B42B98" w:rsidRDefault="000F170B" w:rsidP="00E74941">
      <w:pPr>
        <w:jc w:val="both"/>
        <w:rPr>
          <w:rFonts w:ascii="Arial" w:hAnsi="Arial" w:cs="Arial"/>
        </w:rPr>
      </w:pPr>
    </w:p>
    <w:p w14:paraId="4C72B66D" w14:textId="77777777" w:rsidR="00060A85" w:rsidRPr="00B42B98" w:rsidRDefault="00060A8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</w:p>
    <w:p w14:paraId="4C72B66E" w14:textId="77777777" w:rsidR="00060A85" w:rsidRPr="00B42B98" w:rsidRDefault="00060A8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  <w:sectPr w:rsidR="00060A85" w:rsidRPr="00B42B98" w:rsidSect="00D843E3"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4C72B66F" w14:textId="575EB31D" w:rsidR="00432E81" w:rsidRPr="008665DD" w:rsidRDefault="00852EBF" w:rsidP="00214197">
      <w:pPr>
        <w:rPr>
          <w:rFonts w:ascii="Arial" w:hAnsi="Arial" w:cs="Arial"/>
          <w:b/>
          <w:bCs/>
          <w:color w:val="D2232A"/>
        </w:rPr>
      </w:pPr>
      <w:r w:rsidRPr="00397740">
        <w:rPr>
          <w:rFonts w:ascii="Arial" w:hAnsi="Arial" w:cs="Arial"/>
          <w:b/>
          <w:bCs/>
          <w:color w:val="D2232A"/>
        </w:rPr>
        <w:lastRenderedPageBreak/>
        <w:t>ANNE</w:t>
      </w:r>
      <w:r w:rsidRPr="008665DD">
        <w:rPr>
          <w:rFonts w:ascii="Arial" w:hAnsi="Arial" w:cs="Arial"/>
          <w:b/>
          <w:bCs/>
          <w:color w:val="D2232A"/>
        </w:rPr>
        <w:t>X 1: NATIONAL INFORMATION</w:t>
      </w:r>
      <w:r w:rsidRPr="008665DD">
        <w:rPr>
          <w:b/>
          <w:bCs/>
          <w:color w:val="D2232A"/>
        </w:rPr>
        <w:t xml:space="preserve"> </w:t>
      </w:r>
      <w:r w:rsidRPr="008665DD">
        <w:rPr>
          <w:rFonts w:ascii="Arial" w:hAnsi="Arial" w:cs="Arial"/>
          <w:b/>
          <w:bCs/>
          <w:color w:val="D2232A"/>
        </w:rPr>
        <w:t>ON THE POSSIBLE USE OF THE 5725-5850 MH</w:t>
      </w:r>
      <w:r w:rsidR="00216196" w:rsidRPr="008665DD">
        <w:rPr>
          <w:rFonts w:ascii="Arial" w:hAnsi="Arial" w:cs="Arial"/>
          <w:b/>
          <w:bCs/>
          <w:color w:val="D2232A"/>
        </w:rPr>
        <w:t>z</w:t>
      </w:r>
      <w:r w:rsidRPr="008665DD">
        <w:rPr>
          <w:rFonts w:ascii="Arial" w:hAnsi="Arial" w:cs="Arial"/>
          <w:b/>
          <w:bCs/>
          <w:color w:val="D2232A"/>
        </w:rPr>
        <w:t xml:space="preserve"> FREQUENCY BAND BY WAS/RLAN DEVICES WITH MAX</w:t>
      </w:r>
      <w:r w:rsidR="00111228" w:rsidRPr="008665DD">
        <w:rPr>
          <w:rFonts w:ascii="Arial" w:hAnsi="Arial" w:cs="Arial"/>
          <w:b/>
          <w:bCs/>
          <w:color w:val="D2232A"/>
        </w:rPr>
        <w:t>IMUM</w:t>
      </w:r>
      <w:r w:rsidRPr="008665DD">
        <w:rPr>
          <w:rFonts w:ascii="Arial" w:hAnsi="Arial" w:cs="Arial"/>
          <w:b/>
          <w:bCs/>
          <w:color w:val="D2232A"/>
        </w:rPr>
        <w:t xml:space="preserve"> POWER HIGHER THAN 25 </w:t>
      </w:r>
      <w:r w:rsidR="00216196" w:rsidRPr="008665DD">
        <w:rPr>
          <w:rFonts w:ascii="Arial" w:hAnsi="Arial" w:cs="Arial"/>
          <w:b/>
          <w:bCs/>
          <w:color w:val="D2232A"/>
        </w:rPr>
        <w:t>m</w:t>
      </w:r>
      <w:r w:rsidRPr="008665DD">
        <w:rPr>
          <w:rFonts w:ascii="Arial" w:hAnsi="Arial" w:cs="Arial"/>
          <w:b/>
          <w:bCs/>
          <w:color w:val="D2232A"/>
        </w:rPr>
        <w:t>W AND UP TO 200 mW e.i.r.p.</w:t>
      </w:r>
    </w:p>
    <w:p w14:paraId="7BDC43F5" w14:textId="77777777" w:rsidR="00CD5B7E" w:rsidRPr="00B42B98" w:rsidRDefault="00CD5B7E" w:rsidP="00214197">
      <w:pPr>
        <w:rPr>
          <w:rFonts w:ascii="Arial" w:hAnsi="Arial" w:cs="Arial"/>
          <w:b/>
          <w:bCs/>
        </w:rPr>
      </w:pPr>
    </w:p>
    <w:p w14:paraId="559E82FE" w14:textId="77777777" w:rsidR="00742131" w:rsidRPr="00B42B98" w:rsidRDefault="00742131" w:rsidP="00214197">
      <w:pPr>
        <w:rPr>
          <w:rFonts w:ascii="Arial" w:hAnsi="Arial" w:cs="Arial"/>
        </w:rPr>
      </w:pPr>
    </w:p>
    <w:tbl>
      <w:tblPr>
        <w:tblStyle w:val="ECCTable-redhead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475"/>
        <w:gridCol w:w="2293"/>
        <w:gridCol w:w="2293"/>
        <w:gridCol w:w="2293"/>
        <w:gridCol w:w="2293"/>
        <w:gridCol w:w="2779"/>
      </w:tblGrid>
      <w:tr w:rsidR="00D65C94" w:rsidRPr="0083351E" w14:paraId="4C72B672" w14:textId="77777777" w:rsidTr="00866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54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2232A"/>
          </w:tcPr>
          <w:p w14:paraId="4C72B670" w14:textId="5C8B2767" w:rsidR="008D57A7" w:rsidRPr="004B2DD4" w:rsidRDefault="008D57A7" w:rsidP="00D25A89">
            <w:pPr>
              <w:pStyle w:val="ECCParagraph"/>
              <w:spacing w:after="120"/>
              <w:jc w:val="center"/>
              <w:rPr>
                <w:rFonts w:cs="Arial"/>
                <w:szCs w:val="20"/>
              </w:rPr>
            </w:pPr>
            <w:r w:rsidRPr="004B2DD4">
              <w:rPr>
                <w:rFonts w:cs="Arial"/>
                <w:szCs w:val="20"/>
                <w:lang w:eastAsia="ja-JP"/>
              </w:rPr>
              <w:t>Country</w:t>
            </w:r>
          </w:p>
        </w:tc>
        <w:tc>
          <w:tcPr>
            <w:tcW w:w="4451" w:type="pct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54EBBDBA" w14:textId="5ECCD377" w:rsidR="0001460C" w:rsidRDefault="003E5794" w:rsidP="008665DD">
            <w:pPr>
              <w:spacing w:before="60" w:after="60"/>
              <w:rPr>
                <w:rFonts w:ascii="Arial" w:hAnsi="Arial" w:cs="Arial"/>
                <w:b w:val="0"/>
                <w:lang w:eastAsia="fr-FR"/>
              </w:rPr>
            </w:pPr>
            <w:r w:rsidRPr="00341734">
              <w:rPr>
                <w:rFonts w:ascii="Arial" w:hAnsi="Arial" w:cs="Arial"/>
                <w:lang w:eastAsia="fr-FR"/>
              </w:rPr>
              <w:t>Information on the possible use of the 5725-5850 MHz frequency band by WAS/RLAN devices with max</w:t>
            </w:r>
            <w:r w:rsidR="004D5B6E">
              <w:rPr>
                <w:rFonts w:ascii="Arial" w:hAnsi="Arial" w:cs="Arial"/>
                <w:lang w:eastAsia="fr-FR"/>
              </w:rPr>
              <w:t>imum</w:t>
            </w:r>
            <w:r w:rsidRPr="00341734">
              <w:rPr>
                <w:rFonts w:ascii="Arial" w:hAnsi="Arial" w:cs="Arial"/>
                <w:lang w:eastAsia="fr-FR"/>
              </w:rPr>
              <w:t xml:space="preserve"> </w:t>
            </w:r>
          </w:p>
          <w:p w14:paraId="4C72B671" w14:textId="756F9673" w:rsidR="008D57A7" w:rsidRPr="004B2DD4" w:rsidRDefault="003E5794" w:rsidP="008665DD">
            <w:pPr>
              <w:spacing w:before="60"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  <w:lang w:eastAsia="fr-FR"/>
              </w:rPr>
              <w:t>power higher than 25 mW and up to 200 mW e.i.r.p. in CEPT countries</w:t>
            </w:r>
          </w:p>
        </w:tc>
      </w:tr>
      <w:tr w:rsidR="00D65C94" w:rsidRPr="0083351E" w14:paraId="0C6B6007" w14:textId="77777777" w:rsidTr="008665DD">
        <w:trPr>
          <w:trHeight w:val="432"/>
        </w:trPr>
        <w:tc>
          <w:tcPr>
            <w:tcW w:w="549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071EAD98" w14:textId="77777777" w:rsidR="00052782" w:rsidRPr="00341734" w:rsidRDefault="00052782" w:rsidP="00D25A89">
            <w:pPr>
              <w:pStyle w:val="ECCParagraph"/>
              <w:spacing w:after="120"/>
              <w:jc w:val="center"/>
              <w:rPr>
                <w:rFonts w:cs="Arial"/>
                <w:b/>
                <w:color w:val="FFFFFF" w:themeColor="background1"/>
                <w:szCs w:val="20"/>
                <w:lang w:eastAsia="ja-JP"/>
              </w:rPr>
            </w:pPr>
          </w:p>
        </w:tc>
        <w:tc>
          <w:tcPr>
            <w:tcW w:w="85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1F889C61" w14:textId="77777777" w:rsidR="00790EE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Authorised in </w:t>
            </w:r>
          </w:p>
          <w:p w14:paraId="3E3DB009" w14:textId="64B56FA3" w:rsidR="00644C14" w:rsidRPr="0034173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5725-5735</w:t>
            </w:r>
            <w:r w:rsidR="00ED61C3"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 MHz</w:t>
            </w: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?</w:t>
            </w:r>
          </w:p>
          <w:p w14:paraId="7682CE53" w14:textId="5F9727E7" w:rsidR="00052782" w:rsidRPr="00341734" w:rsidRDefault="00644C14" w:rsidP="007544BD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eastAsia="ja-JP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(Yes/No)</w:t>
            </w:r>
          </w:p>
        </w:tc>
        <w:tc>
          <w:tcPr>
            <w:tcW w:w="85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5CB05C87" w14:textId="77777777" w:rsidR="00790EE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Authorised in </w:t>
            </w:r>
          </w:p>
          <w:p w14:paraId="421EE212" w14:textId="24E768E8" w:rsidR="00644C14" w:rsidRPr="0034173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5735-5795</w:t>
            </w:r>
            <w:r w:rsidR="00ED61C3"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 MHz</w:t>
            </w: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?</w:t>
            </w:r>
          </w:p>
          <w:p w14:paraId="13323FFD" w14:textId="35D3A3AE" w:rsidR="00052782" w:rsidRPr="00341734" w:rsidRDefault="00644C14" w:rsidP="007544BD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eastAsia="ja-JP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(Yes/No)</w:t>
            </w:r>
          </w:p>
        </w:tc>
        <w:tc>
          <w:tcPr>
            <w:tcW w:w="85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20EAF5F2" w14:textId="77777777" w:rsidR="00790EE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Authorised in </w:t>
            </w:r>
          </w:p>
          <w:p w14:paraId="60BBB74E" w14:textId="0D661973" w:rsidR="00644C14" w:rsidRPr="0034173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5795-5815</w:t>
            </w:r>
            <w:r w:rsidR="00ED61C3"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 MHz</w:t>
            </w: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?</w:t>
            </w:r>
          </w:p>
          <w:p w14:paraId="09CD8DE0" w14:textId="1C740627" w:rsidR="00052782" w:rsidRPr="00341734" w:rsidRDefault="00644C14" w:rsidP="007544BD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eastAsia="ja-JP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(Yes/No)</w:t>
            </w:r>
          </w:p>
        </w:tc>
        <w:tc>
          <w:tcPr>
            <w:tcW w:w="85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224F150E" w14:textId="77777777" w:rsidR="00790EE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Authorised in </w:t>
            </w:r>
          </w:p>
          <w:p w14:paraId="116F7389" w14:textId="152E0A55" w:rsidR="00644C14" w:rsidRPr="00341734" w:rsidRDefault="00644C14" w:rsidP="007544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5815-5850</w:t>
            </w:r>
            <w:r w:rsidR="00ED61C3"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 MHz</w:t>
            </w: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?</w:t>
            </w:r>
          </w:p>
          <w:p w14:paraId="2DC8905C" w14:textId="7BB019B2" w:rsidR="00052782" w:rsidRPr="00341734" w:rsidRDefault="00644C14" w:rsidP="007544BD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eastAsia="ja-JP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(Yes/No)</w:t>
            </w:r>
          </w:p>
        </w:tc>
        <w:tc>
          <w:tcPr>
            <w:tcW w:w="10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232A"/>
          </w:tcPr>
          <w:p w14:paraId="48403D4A" w14:textId="77777777" w:rsidR="00052782" w:rsidRDefault="00644C14" w:rsidP="007544BD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eastAsia="fr-FR"/>
              </w:rPr>
            </w:pPr>
            <w:r w:rsidRPr="00341734">
              <w:rPr>
                <w:rFonts w:ascii="Arial" w:hAnsi="Arial" w:cs="Arial"/>
                <w:b/>
                <w:color w:val="FFFFFF" w:themeColor="background1"/>
                <w:lang w:eastAsia="fr-FR"/>
              </w:rPr>
              <w:t>National regulatory reference if authorised</w:t>
            </w:r>
          </w:p>
          <w:p w14:paraId="3EF65D70" w14:textId="648517B8" w:rsidR="00875F3C" w:rsidRPr="00341734" w:rsidRDefault="00875F3C" w:rsidP="007544BD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lang w:eastAsia="ja-JP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ja-JP"/>
              </w:rPr>
              <w:t>(for information)</w:t>
            </w:r>
          </w:p>
        </w:tc>
      </w:tr>
      <w:tr w:rsidR="002145E6" w:rsidRPr="00A33742" w14:paraId="4C72B676" w14:textId="77777777" w:rsidTr="008665DD">
        <w:trPr>
          <w:trHeight w:val="342"/>
        </w:trPr>
        <w:tc>
          <w:tcPr>
            <w:tcW w:w="549" w:type="pct"/>
            <w:vMerge w:val="restart"/>
            <w:tcBorders>
              <w:top w:val="single" w:sz="4" w:space="0" w:color="FFFFFF" w:themeColor="background1"/>
            </w:tcBorders>
            <w:vAlign w:val="top"/>
          </w:tcPr>
          <w:p w14:paraId="4C72B674" w14:textId="6B59589F" w:rsidR="002145E6" w:rsidRPr="00A33742" w:rsidRDefault="002145E6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341734">
              <w:rPr>
                <w:rFonts w:ascii="Arial" w:hAnsi="Arial" w:cs="Arial"/>
              </w:rPr>
              <w:t>Albania</w:t>
            </w:r>
          </w:p>
        </w:tc>
        <w:tc>
          <w:tcPr>
            <w:tcW w:w="854" w:type="pct"/>
            <w:tcBorders>
              <w:top w:val="single" w:sz="4" w:space="0" w:color="FFFFFF" w:themeColor="background1"/>
            </w:tcBorders>
          </w:tcPr>
          <w:p w14:paraId="5C4CFE51" w14:textId="27CA1370" w:rsidR="002145E6" w:rsidRPr="00A33742" w:rsidRDefault="00F25B51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</w:t>
            </w:r>
            <w:r w:rsidR="001C575F" w:rsidRPr="00A33742">
              <w:rPr>
                <w:rFonts w:ascii="Arial" w:hAnsi="Arial" w:cs="Arial"/>
                <w:lang w:eastAsia="da-DK"/>
              </w:rPr>
              <w:t>o</w:t>
            </w:r>
          </w:p>
        </w:tc>
        <w:tc>
          <w:tcPr>
            <w:tcW w:w="854" w:type="pct"/>
            <w:tcBorders>
              <w:top w:val="single" w:sz="4" w:space="0" w:color="FFFFFF" w:themeColor="background1"/>
            </w:tcBorders>
          </w:tcPr>
          <w:p w14:paraId="10C55181" w14:textId="16AF7D6C" w:rsidR="002145E6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  <w:tcBorders>
              <w:top w:val="single" w:sz="4" w:space="0" w:color="FFFFFF" w:themeColor="background1"/>
            </w:tcBorders>
          </w:tcPr>
          <w:p w14:paraId="7CD48C44" w14:textId="656B633C" w:rsidR="002145E6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  <w:tcBorders>
              <w:top w:val="single" w:sz="4" w:space="0" w:color="FFFFFF" w:themeColor="background1"/>
            </w:tcBorders>
          </w:tcPr>
          <w:p w14:paraId="0115F4B5" w14:textId="63CAEE2E" w:rsidR="002145E6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  <w:tcBorders>
              <w:top w:val="single" w:sz="4" w:space="0" w:color="FFFFFF" w:themeColor="background1"/>
            </w:tcBorders>
          </w:tcPr>
          <w:p w14:paraId="4C72B675" w14:textId="7AA4A6B4" w:rsidR="002145E6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</w:t>
            </w:r>
            <w:r w:rsidR="005D5231" w:rsidRPr="00A33742">
              <w:rPr>
                <w:rFonts w:ascii="Arial" w:hAnsi="Arial" w:cs="Arial"/>
                <w:lang w:eastAsia="da-DK"/>
              </w:rPr>
              <w:t>il</w:t>
            </w:r>
          </w:p>
        </w:tc>
      </w:tr>
      <w:tr w:rsidR="002145E6" w:rsidRPr="00A33742" w14:paraId="1F8ECDA4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4350E48A" w14:textId="77777777" w:rsidR="002145E6" w:rsidRPr="00A33742" w:rsidRDefault="002145E6" w:rsidP="00397740">
            <w:pPr>
              <w:spacing w:after="60"/>
              <w:rPr>
                <w:rFonts w:ascii="Arial" w:hAnsi="Arial" w:cs="Arial"/>
                <w:lang w:eastAsia="da-DK"/>
              </w:rPr>
            </w:pPr>
          </w:p>
        </w:tc>
        <w:tc>
          <w:tcPr>
            <w:tcW w:w="4451" w:type="pct"/>
            <w:gridSpan w:val="5"/>
          </w:tcPr>
          <w:p w14:paraId="115C5E00" w14:textId="13AD9CFE" w:rsidR="002145E6" w:rsidRPr="00A33742" w:rsidRDefault="002145E6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D14267" w:rsidRPr="00A33742" w14:paraId="56F6836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25AC4844" w14:textId="6F58EA7C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  <w:r w:rsidRPr="00341734">
              <w:rPr>
                <w:rFonts w:ascii="Arial" w:hAnsi="Arial" w:cs="Arial"/>
              </w:rPr>
              <w:t>Andorra</w:t>
            </w:r>
          </w:p>
        </w:tc>
        <w:tc>
          <w:tcPr>
            <w:tcW w:w="854" w:type="pct"/>
          </w:tcPr>
          <w:p w14:paraId="008E31E8" w14:textId="1B6B824D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A1D3060" w14:textId="067284DD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CD5C9B2" w14:textId="725FD14C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0A7A9A0" w14:textId="60ED4798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5D5D14DE" w14:textId="1D7FB5E6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</w:t>
            </w:r>
            <w:r w:rsidR="005D5231" w:rsidRPr="00A33742">
              <w:rPr>
                <w:rFonts w:ascii="Arial" w:hAnsi="Arial" w:cs="Arial"/>
                <w:lang w:eastAsia="da-DK"/>
              </w:rPr>
              <w:t>il</w:t>
            </w:r>
          </w:p>
        </w:tc>
      </w:tr>
      <w:tr w:rsidR="00D14267" w:rsidRPr="00A33742" w14:paraId="5E9E6199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7C66E04E" w14:textId="77777777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</w:p>
        </w:tc>
        <w:tc>
          <w:tcPr>
            <w:tcW w:w="4451" w:type="pct"/>
            <w:gridSpan w:val="5"/>
          </w:tcPr>
          <w:p w14:paraId="11B818DC" w14:textId="1E30544A" w:rsidR="00D14267" w:rsidRPr="00A33742" w:rsidRDefault="00D1426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D14267" w:rsidRPr="00A33742" w14:paraId="61010692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52D757CD" w14:textId="41289933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  <w:r w:rsidRPr="00341734">
              <w:rPr>
                <w:rFonts w:ascii="Arial" w:hAnsi="Arial" w:cs="Arial"/>
              </w:rPr>
              <w:t>Austria</w:t>
            </w:r>
          </w:p>
        </w:tc>
        <w:tc>
          <w:tcPr>
            <w:tcW w:w="854" w:type="pct"/>
          </w:tcPr>
          <w:p w14:paraId="27F964C4" w14:textId="09E07D25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59B75BE" w14:textId="042DAFA4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800B8E3" w14:textId="67B7C6B8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EC1C584" w14:textId="104F7E21" w:rsidR="00D14267" w:rsidRPr="00A33742" w:rsidRDefault="001C575F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A502DFD" w14:textId="7AD9C02E" w:rsidR="00D14267" w:rsidRPr="00A33742" w:rsidRDefault="005D5231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D14267" w:rsidRPr="00A33742" w14:paraId="7F09A05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7BAC0F67" w14:textId="77777777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</w:p>
        </w:tc>
        <w:tc>
          <w:tcPr>
            <w:tcW w:w="4451" w:type="pct"/>
            <w:gridSpan w:val="5"/>
          </w:tcPr>
          <w:p w14:paraId="12D7E219" w14:textId="5AE91AED" w:rsidR="00D14267" w:rsidRPr="00A33742" w:rsidRDefault="00D1426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D14267" w:rsidRPr="00A33742" w14:paraId="04ABB91A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3BC227AA" w14:textId="4D8A00A2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  <w:r w:rsidRPr="00341734">
              <w:rPr>
                <w:rFonts w:ascii="Arial" w:hAnsi="Arial" w:cs="Arial"/>
              </w:rPr>
              <w:t>Azerbaijan</w:t>
            </w:r>
          </w:p>
        </w:tc>
        <w:tc>
          <w:tcPr>
            <w:tcW w:w="854" w:type="pct"/>
          </w:tcPr>
          <w:p w14:paraId="63381C67" w14:textId="2E945E1C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AA685BD" w14:textId="0CEB1C36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1659A32" w14:textId="32A5F466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1D957CB" w14:textId="239DAA0C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27885A4" w14:textId="0EAEAE82" w:rsidR="00D14267" w:rsidRPr="00A33742" w:rsidRDefault="005D5231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D14267" w:rsidRPr="00A33742" w14:paraId="538F43B4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6524D4C" w14:textId="77777777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</w:p>
        </w:tc>
        <w:tc>
          <w:tcPr>
            <w:tcW w:w="4451" w:type="pct"/>
            <w:gridSpan w:val="5"/>
          </w:tcPr>
          <w:p w14:paraId="3E6C15DB" w14:textId="5982F2CF" w:rsidR="00D14267" w:rsidRPr="00A33742" w:rsidRDefault="00D1426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D14267" w:rsidRPr="00A33742" w14:paraId="339DA5D0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6D869E30" w14:textId="41EEE757" w:rsidR="00D14267" w:rsidRPr="00A33742" w:rsidRDefault="00D14267" w:rsidP="00397740">
            <w:pPr>
              <w:spacing w:after="60"/>
              <w:rPr>
                <w:rFonts w:ascii="Arial" w:hAnsi="Arial" w:cs="Arial"/>
                <w:lang w:eastAsia="da-DK"/>
              </w:rPr>
            </w:pPr>
            <w:r w:rsidRPr="00341734">
              <w:rPr>
                <w:rFonts w:ascii="Arial" w:hAnsi="Arial" w:cs="Arial"/>
              </w:rPr>
              <w:t>Belgium</w:t>
            </w:r>
          </w:p>
        </w:tc>
        <w:tc>
          <w:tcPr>
            <w:tcW w:w="854" w:type="pct"/>
          </w:tcPr>
          <w:p w14:paraId="0EEEA398" w14:textId="2758A408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406C94B" w14:textId="0E9994C3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3654299" w14:textId="34ECA5C0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EB8C745" w14:textId="759F9754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06F946B" w14:textId="0C829C7B" w:rsidR="00D14267" w:rsidRPr="00A33742" w:rsidRDefault="005D5231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D14267" w:rsidRPr="00A33742" w14:paraId="2D412E2B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4528ADC" w14:textId="77777777" w:rsidR="00D14267" w:rsidRPr="00341734" w:rsidRDefault="00D14267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DA5D09F" w14:textId="3790684B" w:rsidR="00D14267" w:rsidRPr="00A33742" w:rsidRDefault="00D1426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D14267" w:rsidRPr="00A33742" w14:paraId="62613DD9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71935D8" w14:textId="478E8C77" w:rsidR="00D14267" w:rsidRPr="00341734" w:rsidRDefault="00D14267" w:rsidP="00397740">
            <w:pPr>
              <w:spacing w:after="60"/>
              <w:jc w:val="left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Bosnia and Herzegovina</w:t>
            </w:r>
          </w:p>
        </w:tc>
        <w:tc>
          <w:tcPr>
            <w:tcW w:w="854" w:type="pct"/>
          </w:tcPr>
          <w:p w14:paraId="7AA299A6" w14:textId="067D76E4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AED6D57" w14:textId="1646C898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1887C26" w14:textId="348A38CD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C0F739B" w14:textId="35B1D230" w:rsidR="00D14267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D334169" w14:textId="09B9C805" w:rsidR="00D14267" w:rsidRPr="00A33742" w:rsidRDefault="005D5231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D14267" w:rsidRPr="00A33742" w14:paraId="446A9940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4BCC4EF0" w14:textId="77777777" w:rsidR="00D14267" w:rsidRPr="00341734" w:rsidRDefault="00D14267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77FD1DBB" w14:textId="292F65E6" w:rsidR="00D14267" w:rsidRPr="00A33742" w:rsidRDefault="00D1426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77264" w:rsidRPr="00A33742" w14:paraId="5D192383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23B97E71" w14:textId="28744D54" w:rsidR="00977264" w:rsidRPr="00341734" w:rsidRDefault="00977264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Bulgaria</w:t>
            </w:r>
          </w:p>
        </w:tc>
        <w:tc>
          <w:tcPr>
            <w:tcW w:w="854" w:type="pct"/>
          </w:tcPr>
          <w:p w14:paraId="119B7BC5" w14:textId="61FB43A1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4E7FE99" w14:textId="7F5E7298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31EF8BE" w14:textId="655F1BC4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6395D99" w14:textId="0CB9136F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1E34727F" w14:textId="4271B1EA" w:rsidR="00977264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77264" w:rsidRPr="00A33742" w14:paraId="62234040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4086A08B" w14:textId="77777777" w:rsidR="00977264" w:rsidRPr="00341734" w:rsidRDefault="00977264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7C9C1FA" w14:textId="448854C4" w:rsidR="00977264" w:rsidRPr="00A33742" w:rsidRDefault="00977264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77264" w:rsidRPr="00A33742" w14:paraId="3AC29F33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6E2F8D19" w14:textId="57624017" w:rsidR="00977264" w:rsidRPr="00341734" w:rsidRDefault="00977264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Croatia</w:t>
            </w:r>
          </w:p>
        </w:tc>
        <w:tc>
          <w:tcPr>
            <w:tcW w:w="854" w:type="pct"/>
          </w:tcPr>
          <w:p w14:paraId="62CE00ED" w14:textId="332B4C03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4066249" w14:textId="1F0FDBE5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3F54A5C" w14:textId="3E739AA3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4327BF9" w14:textId="74002CC3" w:rsidR="00977264" w:rsidRPr="00A33742" w:rsidRDefault="00EB7E77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3144E2EE" w14:textId="1EC33E4B" w:rsidR="00977264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77264" w:rsidRPr="00A33742" w14:paraId="686D0F9E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E929EFD" w14:textId="77777777" w:rsidR="00977264" w:rsidRPr="00341734" w:rsidRDefault="00977264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9EA312B" w14:textId="4E54FF2A" w:rsidR="00977264" w:rsidRPr="00A33742" w:rsidRDefault="00977264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5F636B49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477FEDFA" w14:textId="0417B98C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lastRenderedPageBreak/>
              <w:t>Cyprus</w:t>
            </w:r>
          </w:p>
        </w:tc>
        <w:tc>
          <w:tcPr>
            <w:tcW w:w="854" w:type="pct"/>
          </w:tcPr>
          <w:p w14:paraId="7BACB3DC" w14:textId="45C234F8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B7D039F" w14:textId="4676D8F2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600B89C" w14:textId="586DA75C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4B72E50" w14:textId="01BA6066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11D97B7F" w14:textId="43398662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1673C2F8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162B1633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DFF4E83" w14:textId="73DC83C0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660D2EE5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B2FCB9E" w14:textId="22CCFE2E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Czech Republic</w:t>
            </w:r>
          </w:p>
        </w:tc>
        <w:tc>
          <w:tcPr>
            <w:tcW w:w="854" w:type="pct"/>
          </w:tcPr>
          <w:p w14:paraId="4A16588A" w14:textId="0712A611" w:rsidR="00BB3EA3" w:rsidRPr="00A33742" w:rsidRDefault="002B74E6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854" w:type="pct"/>
          </w:tcPr>
          <w:p w14:paraId="564F939A" w14:textId="3456C5B4" w:rsidR="00BB3EA3" w:rsidRPr="00A33742" w:rsidRDefault="002B74E6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854" w:type="pct"/>
          </w:tcPr>
          <w:p w14:paraId="45DE633F" w14:textId="7FEB5E75" w:rsidR="00BB3EA3" w:rsidRPr="00A33742" w:rsidRDefault="002B74E6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854" w:type="pct"/>
          </w:tcPr>
          <w:p w14:paraId="7F923BBA" w14:textId="0393A711" w:rsidR="00BB3EA3" w:rsidRPr="00A33742" w:rsidRDefault="002B74E6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1037" w:type="pct"/>
          </w:tcPr>
          <w:p w14:paraId="43A32D49" w14:textId="339A4C9A" w:rsidR="00BB3EA3" w:rsidRPr="00A33742" w:rsidRDefault="00D267EA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hyperlink r:id="rId16" w:history="1">
              <w:r w:rsidR="0035156E" w:rsidRPr="00A33742">
                <w:rPr>
                  <w:rStyle w:val="Hyperlink"/>
                  <w:rFonts w:ascii="Arial" w:hAnsi="Arial" w:cs="Arial"/>
                </w:rPr>
                <w:t>PV-P/24/03.2021-2</w:t>
              </w:r>
            </w:hyperlink>
            <w:r w:rsidR="0035156E" w:rsidRPr="00A33742">
              <w:rPr>
                <w:rFonts w:ascii="Arial" w:hAnsi="Arial" w:cs="Arial"/>
              </w:rPr>
              <w:t>,</w:t>
            </w:r>
            <w:r w:rsidR="005319F6">
              <w:rPr>
                <w:rFonts w:ascii="Arial" w:hAnsi="Arial" w:cs="Arial"/>
              </w:rPr>
              <w:t xml:space="preserve"> </w:t>
            </w:r>
            <w:r w:rsidR="0035156E" w:rsidRPr="00A33742">
              <w:rPr>
                <w:rFonts w:ascii="Arial" w:hAnsi="Arial" w:cs="Arial"/>
              </w:rPr>
              <w:br/>
              <w:t>section 7(3), and</w:t>
            </w:r>
            <w:r w:rsidR="00715102">
              <w:rPr>
                <w:rFonts w:ascii="Arial" w:hAnsi="Arial" w:cs="Arial"/>
              </w:rPr>
              <w:t xml:space="preserve"> </w:t>
            </w:r>
            <w:r w:rsidR="00715102">
              <w:rPr>
                <w:rFonts w:ascii="Arial" w:hAnsi="Arial" w:cs="Arial"/>
              </w:rPr>
              <w:br/>
            </w:r>
            <w:hyperlink r:id="rId17" w:history="1">
              <w:r w:rsidR="00084B3E" w:rsidRPr="00A33742">
                <w:rPr>
                  <w:rStyle w:val="Hyperlink"/>
                  <w:rFonts w:ascii="Arial" w:hAnsi="Arial" w:cs="Arial"/>
                  <w:lang w:eastAsia="da-DK"/>
                </w:rPr>
                <w:t>VO-R/12/11.2021-11</w:t>
              </w:r>
            </w:hyperlink>
          </w:p>
        </w:tc>
      </w:tr>
      <w:tr w:rsidR="00BB3EA3" w:rsidRPr="00A33742" w14:paraId="091DD405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7089BFA1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F8980C4" w14:textId="01F5607F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530EE4" w:rsidRPr="00A33742" w14:paraId="08AD45E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55FAA3B3" w14:textId="7A5E84D4" w:rsidR="00530EE4" w:rsidRPr="00341734" w:rsidRDefault="00530EE4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Denmark</w:t>
            </w:r>
          </w:p>
        </w:tc>
        <w:tc>
          <w:tcPr>
            <w:tcW w:w="854" w:type="pct"/>
          </w:tcPr>
          <w:p w14:paraId="2DC6A9F5" w14:textId="79E54385" w:rsidR="00530EE4" w:rsidRPr="00A33742" w:rsidRDefault="00530EE4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972D7CC" w14:textId="4BE70807" w:rsidR="00530EE4" w:rsidRPr="00A33742" w:rsidRDefault="00530EE4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5CD8501" w14:textId="22B5BEF6" w:rsidR="00530EE4" w:rsidRPr="00A33742" w:rsidRDefault="00530EE4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8742D50" w14:textId="0C1B7961" w:rsidR="00530EE4" w:rsidRPr="00A33742" w:rsidRDefault="00530EE4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0B66FAB9" w14:textId="37211FC8" w:rsidR="00530EE4" w:rsidRPr="00A33742" w:rsidRDefault="00530EE4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77ABB670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7BB087DC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E5901ED" w14:textId="2B123B3F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52613736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648655DC" w14:textId="768FEF2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Estonia</w:t>
            </w:r>
          </w:p>
        </w:tc>
        <w:tc>
          <w:tcPr>
            <w:tcW w:w="854" w:type="pct"/>
          </w:tcPr>
          <w:p w14:paraId="12011B28" w14:textId="2BF5D8D3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F7B9251" w14:textId="118BF07F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2A8FD86" w14:textId="4095E372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812DE30" w14:textId="514365CE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1098D648" w14:textId="02F3D099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73BFD26E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6EE848EC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0428A48" w14:textId="51D927FD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1FEEFF8E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3444533E" w14:textId="2ECEA016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Finland</w:t>
            </w:r>
          </w:p>
        </w:tc>
        <w:tc>
          <w:tcPr>
            <w:tcW w:w="854" w:type="pct"/>
          </w:tcPr>
          <w:p w14:paraId="173C944D" w14:textId="21A55E10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A121768" w14:textId="60165790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318A48E" w14:textId="542A21A7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36DC922" w14:textId="6F59E48C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3C3A3423" w14:textId="5E962E82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106126AC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0BEF4764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759280B9" w14:textId="50263394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231F9ED9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674881E" w14:textId="0F1D9EB0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France</w:t>
            </w:r>
          </w:p>
        </w:tc>
        <w:tc>
          <w:tcPr>
            <w:tcW w:w="854" w:type="pct"/>
          </w:tcPr>
          <w:p w14:paraId="47A0CA47" w14:textId="66A1C9BD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E7CE70C" w14:textId="67C553AA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8B8AEB9" w14:textId="18279234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013B053" w14:textId="41208884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0F96B161" w14:textId="42832285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0B47AA75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05099C50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5CBE4AC7" w14:textId="3F21942E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7F164D1D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251FEEA" w14:textId="159943F4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Georgia</w:t>
            </w:r>
          </w:p>
        </w:tc>
        <w:tc>
          <w:tcPr>
            <w:tcW w:w="854" w:type="pct"/>
          </w:tcPr>
          <w:p w14:paraId="0A5681D4" w14:textId="18220F90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3BF5378" w14:textId="6DBBD875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DF1F7F0" w14:textId="5A6BF5D7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6C187C1" w14:textId="7AC32453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EAD07EF" w14:textId="3BD02B5F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7CEA2D8F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43B40DF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034994F" w14:textId="3B50876D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548432B5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8960D94" w14:textId="6E9A2803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Germany</w:t>
            </w:r>
          </w:p>
        </w:tc>
        <w:tc>
          <w:tcPr>
            <w:tcW w:w="854" w:type="pct"/>
          </w:tcPr>
          <w:p w14:paraId="2E960B8A" w14:textId="2B558195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D457224" w14:textId="0A590DAB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C38B414" w14:textId="156E191D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6615DC6" w14:textId="3BC625A8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F93CF4B" w14:textId="3C1CBA4C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70604467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3E00968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4D59273" w14:textId="16F7042A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7863E59D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6B5BFD1D" w14:textId="2B6CC1C1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Greece</w:t>
            </w:r>
          </w:p>
        </w:tc>
        <w:tc>
          <w:tcPr>
            <w:tcW w:w="854" w:type="pct"/>
          </w:tcPr>
          <w:p w14:paraId="5AB785D9" w14:textId="3B9F79BE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D96B2E4" w14:textId="700E5473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959C599" w14:textId="70CAA53A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3FE4037" w14:textId="2931A02D" w:rsidR="00BB3EA3" w:rsidRPr="00A33742" w:rsidRDefault="00EB7E77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430A2CC2" w14:textId="3523C6D5" w:rsidR="00BB3EA3" w:rsidRPr="00A33742" w:rsidRDefault="00271CB0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16C2315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4EC1A53" w14:textId="77777777" w:rsidR="00BB3EA3" w:rsidRPr="00341734" w:rsidRDefault="00BB3EA3" w:rsidP="0039774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0BABBC5" w14:textId="2D5BD36F" w:rsidR="00BB3EA3" w:rsidRPr="00A33742" w:rsidRDefault="00BB3EA3" w:rsidP="00397740">
            <w:pPr>
              <w:spacing w:after="4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BB3EA3" w:rsidRPr="00A33742" w14:paraId="52C79AB6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701B11C" w14:textId="4E871793" w:rsidR="00BB3EA3" w:rsidRPr="00341734" w:rsidRDefault="00BB3EA3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lastRenderedPageBreak/>
              <w:t>Hungary</w:t>
            </w:r>
          </w:p>
        </w:tc>
        <w:tc>
          <w:tcPr>
            <w:tcW w:w="854" w:type="pct"/>
          </w:tcPr>
          <w:p w14:paraId="0B1CD5B9" w14:textId="2C0F9CA2" w:rsidR="00BB3EA3" w:rsidRPr="00A33742" w:rsidRDefault="00D0665C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C3FE3EF" w14:textId="6DF8AF17" w:rsidR="00BB3EA3" w:rsidRPr="00A33742" w:rsidRDefault="00D0665C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A183DD6" w14:textId="7862070E" w:rsidR="00BB3EA3" w:rsidRPr="00A33742" w:rsidRDefault="00D0665C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F0917E1" w14:textId="63B58E1C" w:rsidR="00BB3EA3" w:rsidRPr="00A33742" w:rsidRDefault="00D0665C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36F43CA7" w14:textId="388FAF53" w:rsidR="00BB3EA3" w:rsidRPr="00A33742" w:rsidRDefault="00271CB0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BB3EA3" w:rsidRPr="00A33742" w14:paraId="61131ACD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5227C98" w14:textId="77777777" w:rsidR="00BB3EA3" w:rsidRPr="00341734" w:rsidRDefault="00BB3EA3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712A365" w14:textId="34769A83" w:rsidR="00BB3EA3" w:rsidRPr="00A33742" w:rsidRDefault="00BB3EA3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833ED5" w:rsidRPr="00A33742" w14:paraId="10984ACA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54881A58" w14:textId="3D79DD8E" w:rsidR="00833ED5" w:rsidRPr="00341734" w:rsidRDefault="00833ED5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Iceland</w:t>
            </w:r>
          </w:p>
        </w:tc>
        <w:tc>
          <w:tcPr>
            <w:tcW w:w="854" w:type="pct"/>
          </w:tcPr>
          <w:p w14:paraId="6A7D3161" w14:textId="1A22B80E" w:rsidR="00833ED5" w:rsidRPr="00A33742" w:rsidRDefault="00833ED5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FDC5338" w14:textId="40FBA9E2" w:rsidR="00833ED5" w:rsidRPr="00A33742" w:rsidRDefault="00833ED5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2716449" w14:textId="11B110CE" w:rsidR="00833ED5" w:rsidRPr="00A33742" w:rsidRDefault="00833ED5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3210F4C" w14:textId="50DE702C" w:rsidR="00833ED5" w:rsidRPr="00A33742" w:rsidRDefault="00833ED5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046778F7" w14:textId="7B45C3BD" w:rsidR="00833ED5" w:rsidRPr="00A33742" w:rsidRDefault="00833ED5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833ED5" w:rsidRPr="00A33742" w14:paraId="0FCE8B50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6699A932" w14:textId="77777777" w:rsidR="00833ED5" w:rsidRPr="00341734" w:rsidRDefault="00833ED5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FFCC998" w14:textId="52F8E05E" w:rsidR="00833ED5" w:rsidRPr="00A33742" w:rsidRDefault="00833ED5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7BA7DF96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FE35983" w14:textId="72397500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Ireland</w:t>
            </w:r>
          </w:p>
        </w:tc>
        <w:tc>
          <w:tcPr>
            <w:tcW w:w="854" w:type="pct"/>
          </w:tcPr>
          <w:p w14:paraId="0B7F913E" w14:textId="0E23B428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7F3BF88" w14:textId="0AC312F0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D078D3D" w14:textId="78BA41B3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5C225EA" w14:textId="1C7758EE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1FEDAA38" w14:textId="299B6154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3176E138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CEAB251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2C7AE4F" w14:textId="60692A47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212C2C68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432F4DE6" w14:textId="36B060C2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Italy</w:t>
            </w:r>
          </w:p>
        </w:tc>
        <w:tc>
          <w:tcPr>
            <w:tcW w:w="854" w:type="pct"/>
          </w:tcPr>
          <w:p w14:paraId="5461CF42" w14:textId="1A41F5E3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7590B6A" w14:textId="6F82CDD8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E17C5B0" w14:textId="081FC325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107C528" w14:textId="458E16AB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08CC502B" w14:textId="60A73139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0E155A5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0587204F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BEF2814" w14:textId="7D46550A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178EB25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3164A1B" w14:textId="585B9C40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Latvia</w:t>
            </w:r>
          </w:p>
        </w:tc>
        <w:tc>
          <w:tcPr>
            <w:tcW w:w="854" w:type="pct"/>
          </w:tcPr>
          <w:p w14:paraId="5A20227D" w14:textId="770868BF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DD80B5A" w14:textId="18A7644B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4382B6E" w14:textId="68BF634A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9E6C31F" w14:textId="11510A1E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5925BB49" w14:textId="0918481A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5A8B53B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2DE921F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F988DF9" w14:textId="541233E4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03E455D4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3A1C61E9" w14:textId="69BD5AB0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Liechtenstein</w:t>
            </w:r>
          </w:p>
        </w:tc>
        <w:tc>
          <w:tcPr>
            <w:tcW w:w="854" w:type="pct"/>
          </w:tcPr>
          <w:p w14:paraId="11EFE90E" w14:textId="6CFDDA84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BCC78E8" w14:textId="61B4EDF1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E472650" w14:textId="75191748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A959038" w14:textId="5E9F121A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DE4F6FE" w14:textId="0392D29C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27688528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34696E4E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4BB98678" w14:textId="5FA14C2E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1F45299E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63EB96F" w14:textId="3B5A51B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Lithuania</w:t>
            </w:r>
          </w:p>
        </w:tc>
        <w:tc>
          <w:tcPr>
            <w:tcW w:w="854" w:type="pct"/>
          </w:tcPr>
          <w:p w14:paraId="2ECA31B1" w14:textId="17864D7C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DE1305D" w14:textId="16573FF4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3092A30" w14:textId="2C3D2612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1A45B6F" w14:textId="40EA3D62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7F5C9ECD" w14:textId="32A650E3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289C7099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6411904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A6966E0" w14:textId="2DC00737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33AE82AF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60FB8A5B" w14:textId="48D83CDB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Luxembourg</w:t>
            </w:r>
          </w:p>
        </w:tc>
        <w:tc>
          <w:tcPr>
            <w:tcW w:w="854" w:type="pct"/>
          </w:tcPr>
          <w:p w14:paraId="55755EE5" w14:textId="75419EF5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2C66603" w14:textId="717C0C58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0444D5D" w14:textId="3EF2892D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758E58B" w14:textId="79854AE7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CF7A62B" w14:textId="3179E05E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2E39B5D1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C5E51DC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9773BB1" w14:textId="5816704A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62BC1CCA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70C82D7" w14:textId="65A96884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Malta</w:t>
            </w:r>
          </w:p>
        </w:tc>
        <w:tc>
          <w:tcPr>
            <w:tcW w:w="854" w:type="pct"/>
          </w:tcPr>
          <w:p w14:paraId="5904993A" w14:textId="09976BAB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07719D8" w14:textId="110A3A64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42729CB" w14:textId="506EDBCE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D7B1EAC" w14:textId="47F340A2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36046C50" w14:textId="2BA15010" w:rsidR="00950EB9" w:rsidRPr="00A33742" w:rsidRDefault="00950EB9" w:rsidP="00397740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7C42A530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4AC9BAFF" w14:textId="77777777" w:rsidR="00950EB9" w:rsidRPr="00341734" w:rsidRDefault="00950EB9" w:rsidP="0039774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8179883" w14:textId="30DAEDFD" w:rsidR="00950EB9" w:rsidRPr="00A33742" w:rsidRDefault="00950EB9" w:rsidP="00397740">
            <w:pPr>
              <w:spacing w:after="60"/>
              <w:jc w:val="center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09BF31B2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8AF2638" w14:textId="06E2309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lastRenderedPageBreak/>
              <w:t>Moldova</w:t>
            </w:r>
          </w:p>
        </w:tc>
        <w:tc>
          <w:tcPr>
            <w:tcW w:w="854" w:type="pct"/>
          </w:tcPr>
          <w:p w14:paraId="1931670C" w14:textId="5A0355A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74AE6F1" w14:textId="4CFAAAF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F8A6C24" w14:textId="477E56EB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C636A95" w14:textId="54D9594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725A3564" w14:textId="66894E7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2AC3F4C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83EA6A2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68B5837" w14:textId="4C168E1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6B04793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3D68182" w14:textId="25AA3BFF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Monaco</w:t>
            </w:r>
          </w:p>
        </w:tc>
        <w:tc>
          <w:tcPr>
            <w:tcW w:w="854" w:type="pct"/>
          </w:tcPr>
          <w:p w14:paraId="20FB8C2A" w14:textId="3141CAF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D3CDD6E" w14:textId="4414099F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307AB50" w14:textId="4FC1F2D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843FAB2" w14:textId="5E8D6F3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73302F0" w14:textId="3C938D6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3192A72B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35D16698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D599AC1" w14:textId="293A726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23A4E6DB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191745F3" w14:textId="08391C7B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Montenegro</w:t>
            </w:r>
          </w:p>
        </w:tc>
        <w:tc>
          <w:tcPr>
            <w:tcW w:w="854" w:type="pct"/>
          </w:tcPr>
          <w:p w14:paraId="64B78376" w14:textId="4C2807C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F3B3762" w14:textId="36BEA42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DC88B8F" w14:textId="4AAB22C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19EC897" w14:textId="2261631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CE3363F" w14:textId="03A4C3C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3FA01E8C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2241C53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4E5F788A" w14:textId="3A5743D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4D48473C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4D96FC2" w14:textId="68E194C6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Netherlands</w:t>
            </w:r>
          </w:p>
        </w:tc>
        <w:tc>
          <w:tcPr>
            <w:tcW w:w="854" w:type="pct"/>
          </w:tcPr>
          <w:p w14:paraId="461141BF" w14:textId="0D23317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F141089" w14:textId="1A2C657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FCB0A92" w14:textId="343E310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B6162BA" w14:textId="50EC5B85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54A15BB6" w14:textId="62F63E9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4592E05E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77D7CB45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C9E0782" w14:textId="16966FF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6108EC7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84D24BD" w14:textId="2E639A65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North Macedonia</w:t>
            </w:r>
          </w:p>
        </w:tc>
        <w:tc>
          <w:tcPr>
            <w:tcW w:w="854" w:type="pct"/>
          </w:tcPr>
          <w:p w14:paraId="57CAD10B" w14:textId="788D6C4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AC28111" w14:textId="6480F3C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2DE3C7F" w14:textId="42160F4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2C3AD61" w14:textId="6354469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4287710E" w14:textId="1BCD112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46B54E1A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686ADE3F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6DCFBD0" w14:textId="04314A5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2BA1A124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38CC2F29" w14:textId="72AFB52C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Norway</w:t>
            </w:r>
          </w:p>
        </w:tc>
        <w:tc>
          <w:tcPr>
            <w:tcW w:w="854" w:type="pct"/>
          </w:tcPr>
          <w:p w14:paraId="67B47AFE" w14:textId="0ED103D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1DF488E" w14:textId="5D56B05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DEF20BD" w14:textId="49B7BF4B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9C7D27F" w14:textId="13680E4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0C3A176E" w14:textId="1D81E1D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08D3FBFD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1C484CF2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1CBC8F59" w14:textId="77052C1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7E9224AB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E28716B" w14:textId="4795A6C3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Poland</w:t>
            </w:r>
          </w:p>
        </w:tc>
        <w:tc>
          <w:tcPr>
            <w:tcW w:w="854" w:type="pct"/>
          </w:tcPr>
          <w:p w14:paraId="4BB7BEE8" w14:textId="3172B045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323B653" w14:textId="17E1099B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C168B81" w14:textId="2F3A3E2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7F2CFA5" w14:textId="68700708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4093BBA3" w14:textId="2517281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3BF3A85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3CFBB84D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1FDA4614" w14:textId="06CDE36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49E6B4B8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5DA31510" w14:textId="32AFCFEF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Portugal</w:t>
            </w:r>
          </w:p>
        </w:tc>
        <w:tc>
          <w:tcPr>
            <w:tcW w:w="854" w:type="pct"/>
          </w:tcPr>
          <w:p w14:paraId="10F11E89" w14:textId="2CCAB11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D2D1D34" w14:textId="76F7E058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6C6068C" w14:textId="1E6683E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5F5D43E" w14:textId="5DDE4EF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546BE2C0" w14:textId="046A7D1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59540DF3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41E6E4FE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51EBACE1" w14:textId="4B98DB2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02BC858E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0E6B080" w14:textId="155C5C79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Romania</w:t>
            </w:r>
          </w:p>
        </w:tc>
        <w:tc>
          <w:tcPr>
            <w:tcW w:w="854" w:type="pct"/>
          </w:tcPr>
          <w:p w14:paraId="7240F6BD" w14:textId="3487453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146A71F" w14:textId="4477751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E8630D8" w14:textId="35D40E4F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D0CAD7B" w14:textId="2335B874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5D0E255F" w14:textId="044D705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2898A94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3524C9E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7521201" w14:textId="1F0BD30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305FEF87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1AF05A2" w14:textId="6B74D154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lastRenderedPageBreak/>
              <w:t>San Marino</w:t>
            </w:r>
          </w:p>
        </w:tc>
        <w:tc>
          <w:tcPr>
            <w:tcW w:w="854" w:type="pct"/>
          </w:tcPr>
          <w:p w14:paraId="46FC0E0F" w14:textId="44A4F85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EB433EF" w14:textId="07D86EB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2393389" w14:textId="151B0F3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77AF533" w14:textId="4A224F3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277FE34" w14:textId="6125999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01D2A87D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1B2CE5EE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47D9BE7" w14:textId="0DAA3B24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2098D386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400A3277" w14:textId="21F77933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Serbia</w:t>
            </w:r>
          </w:p>
        </w:tc>
        <w:tc>
          <w:tcPr>
            <w:tcW w:w="854" w:type="pct"/>
          </w:tcPr>
          <w:p w14:paraId="393E0275" w14:textId="21460CAF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AF116CD" w14:textId="17615A4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E047736" w14:textId="0CD16BA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C5E2A0E" w14:textId="591BA3EF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23EDC5D" w14:textId="7A82EB3B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FC64280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06C3A28E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1A3FE1CD" w14:textId="0B069B1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4643711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4DF9B57D" w14:textId="24556CB9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Slovak Republic</w:t>
            </w:r>
          </w:p>
        </w:tc>
        <w:tc>
          <w:tcPr>
            <w:tcW w:w="854" w:type="pct"/>
          </w:tcPr>
          <w:p w14:paraId="20A40559" w14:textId="146CDF7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F6DF8EE" w14:textId="2FC6AC2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8F394E2" w14:textId="73C83E85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3A37473" w14:textId="64135E0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7FB462E9" w14:textId="0B87366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E5ED57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34F549B9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411A05D7" w14:textId="1380615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7472BBE2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232255D5" w14:textId="709EB639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Slovenia</w:t>
            </w:r>
          </w:p>
        </w:tc>
        <w:tc>
          <w:tcPr>
            <w:tcW w:w="854" w:type="pct"/>
          </w:tcPr>
          <w:p w14:paraId="36F14B2F" w14:textId="560B8AD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1DE1A8C" w14:textId="13DB02F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0AD49D9" w14:textId="540DD74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2F6CD45" w14:textId="3207DFC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774385D9" w14:textId="5D3F3D4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070DF6AF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6F6EF96E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0F63E9D3" w14:textId="566BFC4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4DCE691E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AEDF608" w14:textId="02A3798C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Spain</w:t>
            </w:r>
          </w:p>
        </w:tc>
        <w:tc>
          <w:tcPr>
            <w:tcW w:w="854" w:type="pct"/>
          </w:tcPr>
          <w:p w14:paraId="3D5D0F83" w14:textId="7320EF9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628DFAB" w14:textId="51938DC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9197D1C" w14:textId="24B3E2B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1E17AC8" w14:textId="240C656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6044B6C" w14:textId="5E1E8C2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3A99628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63AFE3F0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DC85CB4" w14:textId="375F758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5E2B9A4C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426F30A" w14:textId="49CB3392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Sweden</w:t>
            </w:r>
          </w:p>
        </w:tc>
        <w:tc>
          <w:tcPr>
            <w:tcW w:w="854" w:type="pct"/>
          </w:tcPr>
          <w:p w14:paraId="08554AFC" w14:textId="0A9A4C94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B2A6277" w14:textId="5C78736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4103C8F" w14:textId="13F0F624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DEFFECE" w14:textId="1E1F78E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65468A11" w14:textId="54F4B42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6671B652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39653C00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7BBB95E0" w14:textId="716392C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52F4E0B6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5D136C85" w14:textId="175D8355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Switzerland</w:t>
            </w:r>
          </w:p>
        </w:tc>
        <w:tc>
          <w:tcPr>
            <w:tcW w:w="854" w:type="pct"/>
          </w:tcPr>
          <w:p w14:paraId="3C0EE0C4" w14:textId="386D134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21D19A3E" w14:textId="4B884AF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1170A9A" w14:textId="46B132A9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6BFE73C2" w14:textId="16F14F1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4D37062E" w14:textId="4AB0F8AA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6CEFED64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E513CA8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D90F410" w14:textId="46942A6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52FD7C18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726629FB" w14:textId="618E81C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Turkey</w:t>
            </w:r>
          </w:p>
        </w:tc>
        <w:tc>
          <w:tcPr>
            <w:tcW w:w="854" w:type="pct"/>
          </w:tcPr>
          <w:p w14:paraId="5FC5F991" w14:textId="548240E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4904289C" w14:textId="2400A9A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3F96C8F5" w14:textId="4879F77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6A82224" w14:textId="0A174AC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5465731A" w14:textId="02407531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5097605E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2283E51D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38F95750" w14:textId="725F83D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15BEE3D5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6BC29DAA" w14:textId="57371388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Ukraine</w:t>
            </w:r>
          </w:p>
        </w:tc>
        <w:tc>
          <w:tcPr>
            <w:tcW w:w="854" w:type="pct"/>
          </w:tcPr>
          <w:p w14:paraId="77AB4353" w14:textId="79FB38B5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042B992" w14:textId="35BB693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AD5D79B" w14:textId="71BF7D4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18BD0651" w14:textId="5A36E084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242760F2" w14:textId="7DDC8DB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D6CBE96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74970ABD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6183EECB" w14:textId="46E1278B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48FCA505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04689DB8" w14:textId="1F53904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lastRenderedPageBreak/>
              <w:t>United Kingdom</w:t>
            </w:r>
          </w:p>
        </w:tc>
        <w:tc>
          <w:tcPr>
            <w:tcW w:w="854" w:type="pct"/>
          </w:tcPr>
          <w:p w14:paraId="7B246368" w14:textId="4ABEE522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854" w:type="pct"/>
          </w:tcPr>
          <w:p w14:paraId="3E068B7C" w14:textId="5B80EA6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854" w:type="pct"/>
          </w:tcPr>
          <w:p w14:paraId="1C21F3E2" w14:textId="75F2BC2E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854" w:type="pct"/>
          </w:tcPr>
          <w:p w14:paraId="5D95E4CA" w14:textId="0DF4D31B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Yes</w:t>
            </w:r>
          </w:p>
        </w:tc>
        <w:tc>
          <w:tcPr>
            <w:tcW w:w="1037" w:type="pct"/>
          </w:tcPr>
          <w:p w14:paraId="61F27D8B" w14:textId="77777777" w:rsidR="00950EB9" w:rsidRPr="00A33742" w:rsidRDefault="00D267EA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hyperlink r:id="rId18" w:history="1">
              <w:r w:rsidR="00950EB9" w:rsidRPr="00A33742">
                <w:rPr>
                  <w:rStyle w:val="Hyperlink"/>
                  <w:rFonts w:ascii="Arial" w:hAnsi="Arial" w:cs="Arial"/>
                  <w:lang w:eastAsia="da-DK"/>
                </w:rPr>
                <w:t>https://www.legislation.gov.uk/</w:t>
              </w:r>
            </w:hyperlink>
            <w:r w:rsidR="00950EB9" w:rsidRPr="00A33742">
              <w:rPr>
                <w:rFonts w:ascii="Arial" w:hAnsi="Arial" w:cs="Arial"/>
                <w:lang w:eastAsia="da-DK"/>
              </w:rPr>
              <w:t xml:space="preserve">  “S.I 746/2017“</w:t>
            </w:r>
          </w:p>
          <w:p w14:paraId="2EC73874" w14:textId="7777777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  <w:p w14:paraId="3C7754CA" w14:textId="2BCD96C1" w:rsidR="00950EB9" w:rsidRPr="00A33742" w:rsidRDefault="00D267EA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hyperlink r:id="rId19" w:history="1">
              <w:r w:rsidR="00950EB9" w:rsidRPr="00A33742">
                <w:rPr>
                  <w:rStyle w:val="Hyperlink"/>
                  <w:rFonts w:ascii="Arial" w:hAnsi="Arial" w:cs="Arial"/>
                  <w:lang w:eastAsia="da-DK"/>
                </w:rPr>
                <w:t>https://www.ofcom.org.uk/</w:t>
              </w:r>
            </w:hyperlink>
            <w:r w:rsidR="00950EB9" w:rsidRPr="00A33742">
              <w:rPr>
                <w:rFonts w:ascii="Arial" w:hAnsi="Arial" w:cs="Arial"/>
                <w:lang w:eastAsia="da-DK"/>
              </w:rPr>
              <w:t xml:space="preserve">  “Interface Requirement 2030“, See page 35 - table number IR2030/8/3</w:t>
            </w:r>
          </w:p>
        </w:tc>
      </w:tr>
      <w:tr w:rsidR="00950EB9" w:rsidRPr="00A33742" w14:paraId="53AC4C85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56F5B016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2A713288" w14:textId="00468DE4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  <w:tr w:rsidR="00950EB9" w:rsidRPr="00A33742" w14:paraId="6A5574F1" w14:textId="77777777" w:rsidTr="008665DD">
        <w:trPr>
          <w:trHeight w:val="342"/>
        </w:trPr>
        <w:tc>
          <w:tcPr>
            <w:tcW w:w="549" w:type="pct"/>
            <w:vMerge w:val="restart"/>
            <w:vAlign w:val="top"/>
          </w:tcPr>
          <w:p w14:paraId="4E320AEB" w14:textId="6B743C5B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  <w:r w:rsidRPr="00341734">
              <w:rPr>
                <w:rFonts w:ascii="Arial" w:hAnsi="Arial" w:cs="Arial"/>
              </w:rPr>
              <w:t>Vatican City</w:t>
            </w:r>
          </w:p>
        </w:tc>
        <w:tc>
          <w:tcPr>
            <w:tcW w:w="854" w:type="pct"/>
          </w:tcPr>
          <w:p w14:paraId="55A5C44F" w14:textId="06501760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5368FC4A" w14:textId="499D752C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7DA38ACE" w14:textId="38A4F4C6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854" w:type="pct"/>
          </w:tcPr>
          <w:p w14:paraId="0610FE92" w14:textId="2B4F16F7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No</w:t>
            </w:r>
          </w:p>
        </w:tc>
        <w:tc>
          <w:tcPr>
            <w:tcW w:w="1037" w:type="pct"/>
          </w:tcPr>
          <w:p w14:paraId="70D9B083" w14:textId="1134EF03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  <w:r w:rsidRPr="00A33742">
              <w:rPr>
                <w:rFonts w:ascii="Arial" w:hAnsi="Arial" w:cs="Arial"/>
                <w:lang w:eastAsia="da-DK"/>
              </w:rPr>
              <w:t>Nil</w:t>
            </w:r>
          </w:p>
        </w:tc>
      </w:tr>
      <w:tr w:rsidR="00950EB9" w:rsidRPr="00A33742" w14:paraId="144A5FD3" w14:textId="77777777" w:rsidTr="008665DD">
        <w:trPr>
          <w:trHeight w:val="342"/>
        </w:trPr>
        <w:tc>
          <w:tcPr>
            <w:tcW w:w="549" w:type="pct"/>
            <w:vMerge/>
            <w:vAlign w:val="top"/>
          </w:tcPr>
          <w:p w14:paraId="13737D84" w14:textId="77777777" w:rsidR="00950EB9" w:rsidRPr="00341734" w:rsidRDefault="00950EB9" w:rsidP="00972F8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451" w:type="pct"/>
            <w:gridSpan w:val="5"/>
          </w:tcPr>
          <w:p w14:paraId="50A2E57A" w14:textId="44FA470D" w:rsidR="00950EB9" w:rsidRPr="00A33742" w:rsidRDefault="00950EB9" w:rsidP="00972F81">
            <w:pPr>
              <w:spacing w:after="60"/>
              <w:jc w:val="left"/>
              <w:rPr>
                <w:rFonts w:ascii="Arial" w:hAnsi="Arial" w:cs="Arial"/>
                <w:lang w:eastAsia="da-DK"/>
              </w:rPr>
            </w:pPr>
          </w:p>
        </w:tc>
      </w:tr>
    </w:tbl>
    <w:p w14:paraId="4C72C08D" w14:textId="77777777" w:rsidR="00432E81" w:rsidRPr="00A33742" w:rsidRDefault="00432E81" w:rsidP="009B6549">
      <w:pPr>
        <w:spacing w:before="60" w:after="60"/>
        <w:rPr>
          <w:rFonts w:ascii="Arial" w:hAnsi="Arial" w:cs="Arial"/>
        </w:rPr>
      </w:pPr>
    </w:p>
    <w:sectPr w:rsidR="00432E81" w:rsidRPr="00A33742" w:rsidSect="00D843E3">
      <w:headerReference w:type="even" r:id="rId20"/>
      <w:headerReference w:type="first" r:id="rId21"/>
      <w:footerReference w:type="first" r:id="rId22"/>
      <w:pgSz w:w="16838" w:h="11906" w:orient="landscape"/>
      <w:pgMar w:top="0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FB16" w14:textId="77777777" w:rsidR="0032719C" w:rsidRDefault="0032719C" w:rsidP="00432E81">
      <w:r>
        <w:separator/>
      </w:r>
    </w:p>
  </w:endnote>
  <w:endnote w:type="continuationSeparator" w:id="0">
    <w:p w14:paraId="26B2F444" w14:textId="77777777" w:rsidR="0032719C" w:rsidRDefault="0032719C" w:rsidP="004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9C" w14:textId="77777777" w:rsidR="001C318B" w:rsidRDefault="001C3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A1" w14:textId="77777777" w:rsidR="001C318B" w:rsidRDefault="001C3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73FD" w14:textId="77777777" w:rsidR="0032719C" w:rsidRDefault="0032719C" w:rsidP="00432E81">
      <w:r>
        <w:separator/>
      </w:r>
    </w:p>
  </w:footnote>
  <w:footnote w:type="continuationSeparator" w:id="0">
    <w:p w14:paraId="0396B338" w14:textId="77777777" w:rsidR="0032719C" w:rsidRDefault="0032719C" w:rsidP="0043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96" w14:textId="77777777" w:rsidR="001C318B" w:rsidRDefault="001C318B" w:rsidP="00432E81">
    <w:pPr>
      <w:pStyle w:val="Header"/>
      <w:rPr>
        <w:b/>
        <w:lang w:val="da-DK"/>
      </w:rPr>
    </w:pPr>
    <w:r w:rsidRPr="00920958">
      <w:rPr>
        <w:b/>
        <w:lang w:val="da-DK"/>
      </w:rPr>
      <w:t>EC</w:t>
    </w:r>
    <w:r>
      <w:rPr>
        <w:b/>
        <w:lang w:val="da-DK"/>
      </w:rPr>
      <w:t>O</w:t>
    </w:r>
    <w:r w:rsidRPr="00920958">
      <w:rPr>
        <w:b/>
        <w:lang w:val="da-DK"/>
      </w:rPr>
      <w:t xml:space="preserve"> REPORT</w:t>
    </w:r>
    <w:r>
      <w:rPr>
        <w:b/>
        <w:lang w:val="da-DK"/>
      </w:rPr>
      <w:t xml:space="preserve"> 05</w:t>
    </w:r>
  </w:p>
  <w:p w14:paraId="4C72C097" w14:textId="77777777" w:rsidR="001C318B" w:rsidRPr="00432E81" w:rsidRDefault="001C318B" w:rsidP="00432E81">
    <w:pPr>
      <w:pStyle w:val="Header"/>
    </w:pPr>
    <w:r>
      <w:rPr>
        <w:sz w:val="16"/>
        <w:szCs w:val="16"/>
        <w:lang w:val="da-DK"/>
      </w:rPr>
      <w:t xml:space="preserve">Page </w:t>
    </w:r>
    <w:r>
      <w:rPr>
        <w:sz w:val="16"/>
        <w:szCs w:val="16"/>
        <w:lang w:val="da-DK"/>
      </w:rPr>
      <w:fldChar w:fldCharType="begin"/>
    </w:r>
    <w:r>
      <w:rPr>
        <w:sz w:val="16"/>
        <w:szCs w:val="16"/>
        <w:lang w:val="da-DK"/>
      </w:rPr>
      <w:instrText xml:space="preserve"> PAGE </w:instrText>
    </w:r>
    <w:r>
      <w:rPr>
        <w:sz w:val="16"/>
        <w:szCs w:val="16"/>
        <w:lang w:val="da-DK"/>
      </w:rPr>
      <w:fldChar w:fldCharType="separate"/>
    </w:r>
    <w:r>
      <w:rPr>
        <w:noProof/>
        <w:sz w:val="16"/>
        <w:szCs w:val="16"/>
        <w:lang w:val="da-DK"/>
      </w:rPr>
      <w:t>6</w:t>
    </w:r>
    <w:r>
      <w:rPr>
        <w:sz w:val="16"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98" w14:textId="04C4FBC2" w:rsidR="001C318B" w:rsidRPr="008A40CC" w:rsidRDefault="001C318B" w:rsidP="00432E81">
    <w:pPr>
      <w:pStyle w:val="Header"/>
      <w:jc w:val="right"/>
      <w:rPr>
        <w:rFonts w:ascii="Arial" w:hAnsi="Arial" w:cs="Arial"/>
        <w:b/>
        <w:lang w:val="da-DK"/>
      </w:rPr>
    </w:pPr>
    <w:r w:rsidRPr="008A40CC">
      <w:rPr>
        <w:rFonts w:ascii="Arial" w:hAnsi="Arial" w:cs="Arial"/>
        <w:b/>
        <w:lang w:val="da-DK"/>
      </w:rPr>
      <w:t>ECO REPORT 0</w:t>
    </w:r>
    <w:r w:rsidR="00803F3E">
      <w:rPr>
        <w:rFonts w:ascii="Arial" w:hAnsi="Arial" w:cs="Arial"/>
        <w:b/>
        <w:lang w:val="da-DK"/>
      </w:rPr>
      <w:t>6</w:t>
    </w:r>
  </w:p>
  <w:p w14:paraId="4C72C099" w14:textId="77777777" w:rsidR="001C318B" w:rsidRPr="008A40CC" w:rsidRDefault="001C318B" w:rsidP="00432E81">
    <w:pPr>
      <w:pStyle w:val="Header"/>
      <w:jc w:val="right"/>
      <w:rPr>
        <w:rFonts w:ascii="Arial" w:hAnsi="Arial" w:cs="Arial"/>
      </w:rPr>
    </w:pPr>
    <w:r w:rsidRPr="008A40CC">
      <w:rPr>
        <w:rFonts w:ascii="Arial" w:hAnsi="Arial" w:cs="Arial"/>
        <w:lang w:val="da-DK"/>
      </w:rPr>
      <w:t xml:space="preserve">Page </w:t>
    </w:r>
    <w:r w:rsidRPr="008A40CC">
      <w:rPr>
        <w:rFonts w:ascii="Arial" w:hAnsi="Arial" w:cs="Arial"/>
        <w:lang w:val="da-DK"/>
      </w:rPr>
      <w:fldChar w:fldCharType="begin"/>
    </w:r>
    <w:r w:rsidRPr="008A40CC">
      <w:rPr>
        <w:rFonts w:ascii="Arial" w:hAnsi="Arial" w:cs="Arial"/>
        <w:lang w:val="da-DK"/>
      </w:rPr>
      <w:instrText xml:space="preserve"> PAGE </w:instrText>
    </w:r>
    <w:r w:rsidRPr="008A40CC">
      <w:rPr>
        <w:rFonts w:ascii="Arial" w:hAnsi="Arial" w:cs="Arial"/>
        <w:lang w:val="da-DK"/>
      </w:rPr>
      <w:fldChar w:fldCharType="separate"/>
    </w:r>
    <w:r w:rsidR="001C6E45" w:rsidRPr="008A40CC">
      <w:rPr>
        <w:rFonts w:ascii="Arial" w:hAnsi="Arial" w:cs="Arial"/>
        <w:noProof/>
        <w:lang w:val="da-DK"/>
      </w:rPr>
      <w:t>39</w:t>
    </w:r>
    <w:r w:rsidRPr="008A40CC">
      <w:rPr>
        <w:rFonts w:ascii="Arial" w:hAnsi="Arial" w:cs="Arial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9A" w14:textId="20CAB675" w:rsidR="001C318B" w:rsidRPr="009B6549" w:rsidRDefault="001C318B" w:rsidP="006E12AC">
    <w:pPr>
      <w:pStyle w:val="Header"/>
      <w:rPr>
        <w:rFonts w:ascii="Arial" w:hAnsi="Arial" w:cs="Arial"/>
        <w:b/>
        <w:lang w:val="da-DK"/>
      </w:rPr>
    </w:pPr>
    <w:r w:rsidRPr="009B6549">
      <w:rPr>
        <w:rFonts w:ascii="Arial" w:hAnsi="Arial" w:cs="Arial"/>
        <w:b/>
        <w:lang w:val="da-DK"/>
      </w:rPr>
      <w:t>ECO REPORT 0</w:t>
    </w:r>
    <w:r w:rsidR="00803F3E">
      <w:rPr>
        <w:rFonts w:ascii="Arial" w:hAnsi="Arial" w:cs="Arial"/>
        <w:b/>
        <w:lang w:val="da-DK"/>
      </w:rPr>
      <w:t>6</w:t>
    </w:r>
  </w:p>
  <w:p w14:paraId="4C72C09B" w14:textId="77777777" w:rsidR="001C318B" w:rsidRPr="009B6549" w:rsidRDefault="001C318B" w:rsidP="006E12AC">
    <w:pPr>
      <w:pStyle w:val="Header"/>
      <w:rPr>
        <w:rFonts w:ascii="Arial" w:hAnsi="Arial" w:cs="Arial"/>
      </w:rPr>
    </w:pPr>
    <w:r w:rsidRPr="009B6549">
      <w:rPr>
        <w:rFonts w:ascii="Arial" w:hAnsi="Arial" w:cs="Arial"/>
        <w:lang w:val="da-DK"/>
      </w:rPr>
      <w:t xml:space="preserve">Page </w:t>
    </w:r>
    <w:r w:rsidRPr="009B6549">
      <w:rPr>
        <w:rFonts w:ascii="Arial" w:hAnsi="Arial" w:cs="Arial"/>
        <w:lang w:val="da-DK"/>
      </w:rPr>
      <w:fldChar w:fldCharType="begin"/>
    </w:r>
    <w:r w:rsidRPr="009B6549">
      <w:rPr>
        <w:rFonts w:ascii="Arial" w:hAnsi="Arial" w:cs="Arial"/>
        <w:lang w:val="da-DK"/>
      </w:rPr>
      <w:instrText xml:space="preserve"> PAGE </w:instrText>
    </w:r>
    <w:r w:rsidRPr="009B6549">
      <w:rPr>
        <w:rFonts w:ascii="Arial" w:hAnsi="Arial" w:cs="Arial"/>
        <w:lang w:val="da-DK"/>
      </w:rPr>
      <w:fldChar w:fldCharType="separate"/>
    </w:r>
    <w:r w:rsidR="00740796" w:rsidRPr="009B6549">
      <w:rPr>
        <w:rFonts w:ascii="Arial" w:hAnsi="Arial" w:cs="Arial"/>
        <w:noProof/>
        <w:lang w:val="da-DK"/>
      </w:rPr>
      <w:t>2</w:t>
    </w:r>
    <w:r w:rsidRPr="009B6549">
      <w:rPr>
        <w:rFonts w:ascii="Arial" w:hAnsi="Arial" w:cs="Arial"/>
        <w:lang w:val="da-DK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9D" w14:textId="6851E714" w:rsidR="001C318B" w:rsidRPr="00E829E0" w:rsidRDefault="001C318B" w:rsidP="00432E81">
    <w:pPr>
      <w:pStyle w:val="Header"/>
      <w:rPr>
        <w:rFonts w:ascii="Arial" w:hAnsi="Arial" w:cs="Arial"/>
        <w:b/>
        <w:lang w:val="da-DK"/>
      </w:rPr>
    </w:pPr>
    <w:r w:rsidRPr="00E829E0">
      <w:rPr>
        <w:rFonts w:ascii="Arial" w:hAnsi="Arial" w:cs="Arial"/>
        <w:b/>
        <w:lang w:val="da-DK"/>
      </w:rPr>
      <w:t>ECO REPORT 0</w:t>
    </w:r>
    <w:r w:rsidR="00803F3E">
      <w:rPr>
        <w:rFonts w:ascii="Arial" w:hAnsi="Arial" w:cs="Arial"/>
        <w:b/>
        <w:lang w:val="da-DK"/>
      </w:rPr>
      <w:t>6</w:t>
    </w:r>
  </w:p>
  <w:p w14:paraId="4C72C09E" w14:textId="77777777" w:rsidR="001C318B" w:rsidRPr="00E829E0" w:rsidRDefault="001C318B" w:rsidP="00432E81">
    <w:pPr>
      <w:pStyle w:val="Header"/>
      <w:rPr>
        <w:rFonts w:ascii="Arial" w:hAnsi="Arial" w:cs="Arial"/>
      </w:rPr>
    </w:pPr>
    <w:r w:rsidRPr="00E829E0">
      <w:rPr>
        <w:rFonts w:ascii="Arial" w:hAnsi="Arial" w:cs="Arial"/>
        <w:lang w:val="da-DK"/>
      </w:rPr>
      <w:t xml:space="preserve">Page </w:t>
    </w:r>
    <w:r w:rsidRPr="00E829E0">
      <w:rPr>
        <w:rFonts w:ascii="Arial" w:hAnsi="Arial" w:cs="Arial"/>
        <w:lang w:val="da-DK"/>
      </w:rPr>
      <w:fldChar w:fldCharType="begin"/>
    </w:r>
    <w:r w:rsidRPr="00E829E0">
      <w:rPr>
        <w:rFonts w:ascii="Arial" w:hAnsi="Arial" w:cs="Arial"/>
        <w:lang w:val="da-DK"/>
      </w:rPr>
      <w:instrText xml:space="preserve"> PAGE </w:instrText>
    </w:r>
    <w:r w:rsidRPr="00E829E0">
      <w:rPr>
        <w:rFonts w:ascii="Arial" w:hAnsi="Arial" w:cs="Arial"/>
        <w:lang w:val="da-DK"/>
      </w:rPr>
      <w:fldChar w:fldCharType="separate"/>
    </w:r>
    <w:r w:rsidR="001C6E45" w:rsidRPr="00E829E0">
      <w:rPr>
        <w:rFonts w:ascii="Arial" w:hAnsi="Arial" w:cs="Arial"/>
        <w:noProof/>
        <w:lang w:val="da-DK"/>
      </w:rPr>
      <w:t>38</w:t>
    </w:r>
    <w:r w:rsidRPr="00E829E0">
      <w:rPr>
        <w:rFonts w:ascii="Arial" w:hAnsi="Arial" w:cs="Arial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09F" w14:textId="274B0EC3" w:rsidR="001C318B" w:rsidRPr="009A7CBE" w:rsidRDefault="001C318B" w:rsidP="006E12AC">
    <w:pPr>
      <w:pStyle w:val="Header"/>
      <w:jc w:val="right"/>
      <w:rPr>
        <w:rFonts w:ascii="Arial" w:hAnsi="Arial" w:cs="Arial"/>
        <w:b/>
        <w:lang w:val="da-DK"/>
      </w:rPr>
    </w:pPr>
    <w:r w:rsidRPr="009A7CBE">
      <w:rPr>
        <w:rFonts w:ascii="Arial" w:hAnsi="Arial" w:cs="Arial"/>
        <w:b/>
        <w:lang w:val="da-DK"/>
      </w:rPr>
      <w:t>ECO REPORT 0</w:t>
    </w:r>
    <w:r w:rsidR="00803F3E">
      <w:rPr>
        <w:rFonts w:ascii="Arial" w:hAnsi="Arial" w:cs="Arial"/>
        <w:b/>
        <w:lang w:val="da-DK"/>
      </w:rPr>
      <w:t>6</w:t>
    </w:r>
  </w:p>
  <w:p w14:paraId="4C72C0A0" w14:textId="77777777" w:rsidR="001C318B" w:rsidRPr="009A7CBE" w:rsidRDefault="001C318B" w:rsidP="006E12AC">
    <w:pPr>
      <w:pStyle w:val="Header"/>
      <w:jc w:val="right"/>
      <w:rPr>
        <w:rFonts w:ascii="Arial" w:hAnsi="Arial" w:cs="Arial"/>
      </w:rPr>
    </w:pPr>
    <w:r w:rsidRPr="009A7CBE">
      <w:rPr>
        <w:rFonts w:ascii="Arial" w:hAnsi="Arial" w:cs="Arial"/>
        <w:lang w:val="da-DK"/>
      </w:rPr>
      <w:t xml:space="preserve">Page </w:t>
    </w:r>
    <w:r w:rsidRPr="009A7CBE">
      <w:rPr>
        <w:rFonts w:ascii="Arial" w:hAnsi="Arial" w:cs="Arial"/>
        <w:lang w:val="da-DK"/>
      </w:rPr>
      <w:fldChar w:fldCharType="begin"/>
    </w:r>
    <w:r w:rsidRPr="009A7CBE">
      <w:rPr>
        <w:rFonts w:ascii="Arial" w:hAnsi="Arial" w:cs="Arial"/>
        <w:lang w:val="da-DK"/>
      </w:rPr>
      <w:instrText xml:space="preserve"> PAGE </w:instrText>
    </w:r>
    <w:r w:rsidRPr="009A7CBE">
      <w:rPr>
        <w:rFonts w:ascii="Arial" w:hAnsi="Arial" w:cs="Arial"/>
        <w:lang w:val="da-DK"/>
      </w:rPr>
      <w:fldChar w:fldCharType="separate"/>
    </w:r>
    <w:r w:rsidR="001C6E45" w:rsidRPr="009A7CBE">
      <w:rPr>
        <w:rFonts w:ascii="Arial" w:hAnsi="Arial" w:cs="Arial"/>
        <w:noProof/>
        <w:lang w:val="da-DK"/>
      </w:rPr>
      <w:t>3</w:t>
    </w:r>
    <w:r w:rsidRPr="009A7CBE">
      <w:rPr>
        <w:rFonts w:ascii="Arial" w:hAnsi="Arial" w:cs="Arial"/>
        <w:lang w:val="da-DK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9C5"/>
    <w:multiLevelType w:val="multilevel"/>
    <w:tmpl w:val="32D81888"/>
    <w:lvl w:ilvl="0">
      <w:start w:val="1"/>
      <w:numFmt w:val="decimal"/>
      <w:pStyle w:val="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8CE10CD"/>
    <w:multiLevelType w:val="hybridMultilevel"/>
    <w:tmpl w:val="846213D8"/>
    <w:lvl w:ilvl="0" w:tplc="48AEB9B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2232A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63F7A"/>
    <w:multiLevelType w:val="multilevel"/>
    <w:tmpl w:val="AFF02226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3E52092F"/>
    <w:multiLevelType w:val="multilevel"/>
    <w:tmpl w:val="80244A3E"/>
    <w:lvl w:ilvl="0">
      <w:numFmt w:val="decimal"/>
      <w:pStyle w:val="Heading1"/>
      <w:lvlText w:val="%1"/>
      <w:lvlJc w:val="left"/>
      <w:pPr>
        <w:tabs>
          <w:tab w:val="num" w:pos="716"/>
        </w:tabs>
        <w:ind w:left="716" w:hanging="716"/>
      </w:pPr>
      <w:rPr>
        <w:rFonts w:hint="default"/>
        <w:b/>
        <w:i w:val="0"/>
        <w:caps/>
        <w:color w:val="auto"/>
        <w:sz w:val="20"/>
        <w:szCs w:val="2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1296965"/>
    <w:multiLevelType w:val="hybridMultilevel"/>
    <w:tmpl w:val="400C55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37558"/>
    <w:multiLevelType w:val="hybridMultilevel"/>
    <w:tmpl w:val="0AAE1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A1AE0"/>
    <w:multiLevelType w:val="hybridMultilevel"/>
    <w:tmpl w:val="4FAC0AF2"/>
    <w:lvl w:ilvl="0" w:tplc="48AEB9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2232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82542">
    <w:abstractNumId w:val="3"/>
  </w:num>
  <w:num w:numId="2" w16cid:durableId="1925605106">
    <w:abstractNumId w:val="0"/>
  </w:num>
  <w:num w:numId="3" w16cid:durableId="544216702">
    <w:abstractNumId w:val="2"/>
  </w:num>
  <w:num w:numId="4" w16cid:durableId="239681619">
    <w:abstractNumId w:val="4"/>
  </w:num>
  <w:num w:numId="5" w16cid:durableId="762722223">
    <w:abstractNumId w:val="5"/>
  </w:num>
  <w:num w:numId="6" w16cid:durableId="46879924">
    <w:abstractNumId w:val="6"/>
  </w:num>
  <w:num w:numId="7" w16cid:durableId="133799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trackRevisions/>
  <w:defaultTabStop w:val="1304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81"/>
    <w:rsid w:val="000062EF"/>
    <w:rsid w:val="0001397A"/>
    <w:rsid w:val="00014210"/>
    <w:rsid w:val="0001460C"/>
    <w:rsid w:val="000163E2"/>
    <w:rsid w:val="00021AA8"/>
    <w:rsid w:val="00025198"/>
    <w:rsid w:val="0003235F"/>
    <w:rsid w:val="0003421B"/>
    <w:rsid w:val="000376EF"/>
    <w:rsid w:val="00037BFB"/>
    <w:rsid w:val="00040696"/>
    <w:rsid w:val="0004123A"/>
    <w:rsid w:val="0004393D"/>
    <w:rsid w:val="00052782"/>
    <w:rsid w:val="00055ED4"/>
    <w:rsid w:val="00056B4E"/>
    <w:rsid w:val="00060A85"/>
    <w:rsid w:val="0006459E"/>
    <w:rsid w:val="00067631"/>
    <w:rsid w:val="000705E9"/>
    <w:rsid w:val="00072F08"/>
    <w:rsid w:val="00077318"/>
    <w:rsid w:val="00077A51"/>
    <w:rsid w:val="00082DA2"/>
    <w:rsid w:val="00084B3E"/>
    <w:rsid w:val="00093158"/>
    <w:rsid w:val="00094F3A"/>
    <w:rsid w:val="000953AE"/>
    <w:rsid w:val="000959F7"/>
    <w:rsid w:val="000978CB"/>
    <w:rsid w:val="000A59E5"/>
    <w:rsid w:val="000B273A"/>
    <w:rsid w:val="000B63AE"/>
    <w:rsid w:val="000B6B5C"/>
    <w:rsid w:val="000C13AC"/>
    <w:rsid w:val="000D143B"/>
    <w:rsid w:val="000D1AD7"/>
    <w:rsid w:val="000E1E25"/>
    <w:rsid w:val="000E60C6"/>
    <w:rsid w:val="000F031C"/>
    <w:rsid w:val="000F170B"/>
    <w:rsid w:val="000F3286"/>
    <w:rsid w:val="000F65FD"/>
    <w:rsid w:val="00100095"/>
    <w:rsid w:val="00110E3B"/>
    <w:rsid w:val="00111228"/>
    <w:rsid w:val="0011179A"/>
    <w:rsid w:val="00111ECE"/>
    <w:rsid w:val="001122FE"/>
    <w:rsid w:val="0011415A"/>
    <w:rsid w:val="00114CFA"/>
    <w:rsid w:val="00115F1A"/>
    <w:rsid w:val="00117D11"/>
    <w:rsid w:val="001301FC"/>
    <w:rsid w:val="00141FD4"/>
    <w:rsid w:val="001469F2"/>
    <w:rsid w:val="00151A74"/>
    <w:rsid w:val="00153ED9"/>
    <w:rsid w:val="0015543B"/>
    <w:rsid w:val="001578A4"/>
    <w:rsid w:val="00164D66"/>
    <w:rsid w:val="00171472"/>
    <w:rsid w:val="001714F6"/>
    <w:rsid w:val="001734B1"/>
    <w:rsid w:val="001774EE"/>
    <w:rsid w:val="001818F5"/>
    <w:rsid w:val="0018273B"/>
    <w:rsid w:val="001856D5"/>
    <w:rsid w:val="00187E8C"/>
    <w:rsid w:val="00190967"/>
    <w:rsid w:val="001A423C"/>
    <w:rsid w:val="001A55A3"/>
    <w:rsid w:val="001C318B"/>
    <w:rsid w:val="001C575F"/>
    <w:rsid w:val="001C6E45"/>
    <w:rsid w:val="001E6775"/>
    <w:rsid w:val="001F149D"/>
    <w:rsid w:val="001F5B30"/>
    <w:rsid w:val="0021194A"/>
    <w:rsid w:val="00214197"/>
    <w:rsid w:val="002145E6"/>
    <w:rsid w:val="00214A37"/>
    <w:rsid w:val="00216196"/>
    <w:rsid w:val="00216B17"/>
    <w:rsid w:val="00222B24"/>
    <w:rsid w:val="002253A9"/>
    <w:rsid w:val="00227BBE"/>
    <w:rsid w:val="00230E7E"/>
    <w:rsid w:val="002312E5"/>
    <w:rsid w:val="00235575"/>
    <w:rsid w:val="00235BE1"/>
    <w:rsid w:val="002367F3"/>
    <w:rsid w:val="00247568"/>
    <w:rsid w:val="0025261D"/>
    <w:rsid w:val="0025347E"/>
    <w:rsid w:val="002562AC"/>
    <w:rsid w:val="00262FE0"/>
    <w:rsid w:val="0027067B"/>
    <w:rsid w:val="00271CB0"/>
    <w:rsid w:val="00275BD6"/>
    <w:rsid w:val="00287877"/>
    <w:rsid w:val="002906E8"/>
    <w:rsid w:val="00296B42"/>
    <w:rsid w:val="002A2EB4"/>
    <w:rsid w:val="002A50CB"/>
    <w:rsid w:val="002A7E3B"/>
    <w:rsid w:val="002B3321"/>
    <w:rsid w:val="002B61D0"/>
    <w:rsid w:val="002B74E6"/>
    <w:rsid w:val="002C3486"/>
    <w:rsid w:val="002D04F7"/>
    <w:rsid w:val="002D0A61"/>
    <w:rsid w:val="002D26DF"/>
    <w:rsid w:val="002D71CF"/>
    <w:rsid w:val="002E172B"/>
    <w:rsid w:val="002E1E9F"/>
    <w:rsid w:val="002E50D8"/>
    <w:rsid w:val="002F17AD"/>
    <w:rsid w:val="002F7B24"/>
    <w:rsid w:val="00300FED"/>
    <w:rsid w:val="003016B9"/>
    <w:rsid w:val="00301FDA"/>
    <w:rsid w:val="003047A9"/>
    <w:rsid w:val="00310030"/>
    <w:rsid w:val="003265AE"/>
    <w:rsid w:val="0032719C"/>
    <w:rsid w:val="00341734"/>
    <w:rsid w:val="003475E2"/>
    <w:rsid w:val="0035156E"/>
    <w:rsid w:val="00360D56"/>
    <w:rsid w:val="00360E50"/>
    <w:rsid w:val="00380DF5"/>
    <w:rsid w:val="0038161A"/>
    <w:rsid w:val="00394190"/>
    <w:rsid w:val="00397740"/>
    <w:rsid w:val="003A1D53"/>
    <w:rsid w:val="003A4596"/>
    <w:rsid w:val="003A5F85"/>
    <w:rsid w:val="003B074E"/>
    <w:rsid w:val="003B2631"/>
    <w:rsid w:val="003B39F0"/>
    <w:rsid w:val="003B3A60"/>
    <w:rsid w:val="003C41F4"/>
    <w:rsid w:val="003C535F"/>
    <w:rsid w:val="003C56F8"/>
    <w:rsid w:val="003C7320"/>
    <w:rsid w:val="003D034A"/>
    <w:rsid w:val="003D11EC"/>
    <w:rsid w:val="003D2FDF"/>
    <w:rsid w:val="003D7A96"/>
    <w:rsid w:val="003E0F97"/>
    <w:rsid w:val="003E5794"/>
    <w:rsid w:val="003F27DC"/>
    <w:rsid w:val="003F2F7F"/>
    <w:rsid w:val="003F3F12"/>
    <w:rsid w:val="003F5904"/>
    <w:rsid w:val="003F619E"/>
    <w:rsid w:val="0040597A"/>
    <w:rsid w:val="00417090"/>
    <w:rsid w:val="00422D03"/>
    <w:rsid w:val="00425F7B"/>
    <w:rsid w:val="00430FA7"/>
    <w:rsid w:val="00432D17"/>
    <w:rsid w:val="00432E81"/>
    <w:rsid w:val="00434308"/>
    <w:rsid w:val="004360D0"/>
    <w:rsid w:val="00444F7F"/>
    <w:rsid w:val="0046696D"/>
    <w:rsid w:val="00471184"/>
    <w:rsid w:val="00471406"/>
    <w:rsid w:val="00472B6D"/>
    <w:rsid w:val="004769A9"/>
    <w:rsid w:val="00476F9B"/>
    <w:rsid w:val="00482864"/>
    <w:rsid w:val="00493407"/>
    <w:rsid w:val="00496008"/>
    <w:rsid w:val="004960B1"/>
    <w:rsid w:val="004A55DC"/>
    <w:rsid w:val="004A6232"/>
    <w:rsid w:val="004A640A"/>
    <w:rsid w:val="004B1FD8"/>
    <w:rsid w:val="004B2DD4"/>
    <w:rsid w:val="004B34DF"/>
    <w:rsid w:val="004B5C72"/>
    <w:rsid w:val="004C1D37"/>
    <w:rsid w:val="004C4157"/>
    <w:rsid w:val="004C451E"/>
    <w:rsid w:val="004C554D"/>
    <w:rsid w:val="004C5B8F"/>
    <w:rsid w:val="004D06DF"/>
    <w:rsid w:val="004D26D6"/>
    <w:rsid w:val="004D5B6E"/>
    <w:rsid w:val="004D7D02"/>
    <w:rsid w:val="004E07AB"/>
    <w:rsid w:val="004E4B8F"/>
    <w:rsid w:val="004F181F"/>
    <w:rsid w:val="004F2499"/>
    <w:rsid w:val="004F360C"/>
    <w:rsid w:val="004F7DF0"/>
    <w:rsid w:val="00500161"/>
    <w:rsid w:val="0050063D"/>
    <w:rsid w:val="00504317"/>
    <w:rsid w:val="00521366"/>
    <w:rsid w:val="00522878"/>
    <w:rsid w:val="00525D60"/>
    <w:rsid w:val="00530EE4"/>
    <w:rsid w:val="00531324"/>
    <w:rsid w:val="005319F6"/>
    <w:rsid w:val="00536F47"/>
    <w:rsid w:val="005411B2"/>
    <w:rsid w:val="00543612"/>
    <w:rsid w:val="005516D2"/>
    <w:rsid w:val="00552350"/>
    <w:rsid w:val="00554611"/>
    <w:rsid w:val="00562A2C"/>
    <w:rsid w:val="00563877"/>
    <w:rsid w:val="00565DC3"/>
    <w:rsid w:val="005664E4"/>
    <w:rsid w:val="005711B1"/>
    <w:rsid w:val="00576502"/>
    <w:rsid w:val="00576865"/>
    <w:rsid w:val="00580A25"/>
    <w:rsid w:val="00580D2F"/>
    <w:rsid w:val="005913AC"/>
    <w:rsid w:val="00592F7D"/>
    <w:rsid w:val="00596954"/>
    <w:rsid w:val="005A00EB"/>
    <w:rsid w:val="005A0EDD"/>
    <w:rsid w:val="005A17FC"/>
    <w:rsid w:val="005A2A30"/>
    <w:rsid w:val="005A2A65"/>
    <w:rsid w:val="005A64DD"/>
    <w:rsid w:val="005A7C4C"/>
    <w:rsid w:val="005B3E44"/>
    <w:rsid w:val="005C25D3"/>
    <w:rsid w:val="005C774A"/>
    <w:rsid w:val="005D5231"/>
    <w:rsid w:val="005D5F1A"/>
    <w:rsid w:val="005D7D35"/>
    <w:rsid w:val="005E006A"/>
    <w:rsid w:val="005E0EC0"/>
    <w:rsid w:val="005E2230"/>
    <w:rsid w:val="005E3892"/>
    <w:rsid w:val="005E4CF7"/>
    <w:rsid w:val="005E654F"/>
    <w:rsid w:val="005E6D22"/>
    <w:rsid w:val="005E6D64"/>
    <w:rsid w:val="005F4B86"/>
    <w:rsid w:val="0062000B"/>
    <w:rsid w:val="00624DC6"/>
    <w:rsid w:val="00631FF1"/>
    <w:rsid w:val="006332A9"/>
    <w:rsid w:val="00636B5F"/>
    <w:rsid w:val="00640250"/>
    <w:rsid w:val="00644C14"/>
    <w:rsid w:val="0064548D"/>
    <w:rsid w:val="00660A23"/>
    <w:rsid w:val="00661943"/>
    <w:rsid w:val="00664978"/>
    <w:rsid w:val="00670C30"/>
    <w:rsid w:val="00674D82"/>
    <w:rsid w:val="00676A6A"/>
    <w:rsid w:val="00677E0E"/>
    <w:rsid w:val="00677EDB"/>
    <w:rsid w:val="006922FC"/>
    <w:rsid w:val="0069382A"/>
    <w:rsid w:val="006946CD"/>
    <w:rsid w:val="00694BFB"/>
    <w:rsid w:val="00694C3D"/>
    <w:rsid w:val="00695A23"/>
    <w:rsid w:val="00696E97"/>
    <w:rsid w:val="006A4C4E"/>
    <w:rsid w:val="006B1563"/>
    <w:rsid w:val="006B3167"/>
    <w:rsid w:val="006B4CE3"/>
    <w:rsid w:val="006C3CDC"/>
    <w:rsid w:val="006C4402"/>
    <w:rsid w:val="006D1F40"/>
    <w:rsid w:val="006D303A"/>
    <w:rsid w:val="006D6C4B"/>
    <w:rsid w:val="006E12AC"/>
    <w:rsid w:val="006E4032"/>
    <w:rsid w:val="006F2553"/>
    <w:rsid w:val="00701642"/>
    <w:rsid w:val="007026B8"/>
    <w:rsid w:val="007041C9"/>
    <w:rsid w:val="00715102"/>
    <w:rsid w:val="0071532F"/>
    <w:rsid w:val="0071559B"/>
    <w:rsid w:val="007208F4"/>
    <w:rsid w:val="00722438"/>
    <w:rsid w:val="00727A34"/>
    <w:rsid w:val="00731D00"/>
    <w:rsid w:val="007327B7"/>
    <w:rsid w:val="00740796"/>
    <w:rsid w:val="00740F90"/>
    <w:rsid w:val="00742131"/>
    <w:rsid w:val="0074259F"/>
    <w:rsid w:val="00746177"/>
    <w:rsid w:val="00750E56"/>
    <w:rsid w:val="007544BD"/>
    <w:rsid w:val="0075457B"/>
    <w:rsid w:val="00754713"/>
    <w:rsid w:val="00754A49"/>
    <w:rsid w:val="00757284"/>
    <w:rsid w:val="007657D2"/>
    <w:rsid w:val="007710B7"/>
    <w:rsid w:val="00773F03"/>
    <w:rsid w:val="007767E3"/>
    <w:rsid w:val="00781EF4"/>
    <w:rsid w:val="0078611A"/>
    <w:rsid w:val="00786591"/>
    <w:rsid w:val="007868CC"/>
    <w:rsid w:val="00790657"/>
    <w:rsid w:val="00790EE4"/>
    <w:rsid w:val="00795456"/>
    <w:rsid w:val="00795CA1"/>
    <w:rsid w:val="007A1041"/>
    <w:rsid w:val="007A2A76"/>
    <w:rsid w:val="007A4855"/>
    <w:rsid w:val="007A5551"/>
    <w:rsid w:val="007B0C49"/>
    <w:rsid w:val="007B39CF"/>
    <w:rsid w:val="007B3AE2"/>
    <w:rsid w:val="007B4F2A"/>
    <w:rsid w:val="007B55E5"/>
    <w:rsid w:val="007B5D3F"/>
    <w:rsid w:val="007C497D"/>
    <w:rsid w:val="007D03AE"/>
    <w:rsid w:val="007D22EC"/>
    <w:rsid w:val="007D6C07"/>
    <w:rsid w:val="007D6F41"/>
    <w:rsid w:val="007E2872"/>
    <w:rsid w:val="007E544D"/>
    <w:rsid w:val="007E651A"/>
    <w:rsid w:val="00801838"/>
    <w:rsid w:val="0080290F"/>
    <w:rsid w:val="008032C9"/>
    <w:rsid w:val="0080357B"/>
    <w:rsid w:val="00803F3E"/>
    <w:rsid w:val="00804AB1"/>
    <w:rsid w:val="008061B6"/>
    <w:rsid w:val="00807CD4"/>
    <w:rsid w:val="00815202"/>
    <w:rsid w:val="008163FC"/>
    <w:rsid w:val="00816E7F"/>
    <w:rsid w:val="00817707"/>
    <w:rsid w:val="00820D85"/>
    <w:rsid w:val="00821815"/>
    <w:rsid w:val="008241BC"/>
    <w:rsid w:val="00824AC4"/>
    <w:rsid w:val="008251AC"/>
    <w:rsid w:val="00830BA5"/>
    <w:rsid w:val="00831785"/>
    <w:rsid w:val="0083351E"/>
    <w:rsid w:val="00833ED5"/>
    <w:rsid w:val="00852EBF"/>
    <w:rsid w:val="008559F3"/>
    <w:rsid w:val="00860272"/>
    <w:rsid w:val="00863DB2"/>
    <w:rsid w:val="008665DD"/>
    <w:rsid w:val="00870417"/>
    <w:rsid w:val="00875F3C"/>
    <w:rsid w:val="00882297"/>
    <w:rsid w:val="008834D3"/>
    <w:rsid w:val="00887546"/>
    <w:rsid w:val="008A10A8"/>
    <w:rsid w:val="008A40CC"/>
    <w:rsid w:val="008B16E5"/>
    <w:rsid w:val="008B2E91"/>
    <w:rsid w:val="008B50AA"/>
    <w:rsid w:val="008B7DF8"/>
    <w:rsid w:val="008D2E0F"/>
    <w:rsid w:val="008D3D73"/>
    <w:rsid w:val="008D4CE5"/>
    <w:rsid w:val="008D54AF"/>
    <w:rsid w:val="008D57A7"/>
    <w:rsid w:val="008D771D"/>
    <w:rsid w:val="008E4AF6"/>
    <w:rsid w:val="008F1865"/>
    <w:rsid w:val="008F5310"/>
    <w:rsid w:val="008F73CA"/>
    <w:rsid w:val="00901369"/>
    <w:rsid w:val="00906C09"/>
    <w:rsid w:val="0091392E"/>
    <w:rsid w:val="00915B2F"/>
    <w:rsid w:val="00922058"/>
    <w:rsid w:val="00925343"/>
    <w:rsid w:val="00925C24"/>
    <w:rsid w:val="0093553D"/>
    <w:rsid w:val="00940627"/>
    <w:rsid w:val="00944F67"/>
    <w:rsid w:val="00950073"/>
    <w:rsid w:val="00950EB9"/>
    <w:rsid w:val="00951F46"/>
    <w:rsid w:val="00952168"/>
    <w:rsid w:val="009566B6"/>
    <w:rsid w:val="00961918"/>
    <w:rsid w:val="00967C61"/>
    <w:rsid w:val="00972F81"/>
    <w:rsid w:val="00977264"/>
    <w:rsid w:val="009938E6"/>
    <w:rsid w:val="00996E8F"/>
    <w:rsid w:val="00997AF2"/>
    <w:rsid w:val="009A0DFC"/>
    <w:rsid w:val="009A6DA2"/>
    <w:rsid w:val="009A7CBE"/>
    <w:rsid w:val="009B2C18"/>
    <w:rsid w:val="009B4730"/>
    <w:rsid w:val="009B6549"/>
    <w:rsid w:val="009B6558"/>
    <w:rsid w:val="009D7B9F"/>
    <w:rsid w:val="009E4956"/>
    <w:rsid w:val="009E546B"/>
    <w:rsid w:val="009E5F20"/>
    <w:rsid w:val="009E732D"/>
    <w:rsid w:val="009F79E8"/>
    <w:rsid w:val="00A02581"/>
    <w:rsid w:val="00A069B4"/>
    <w:rsid w:val="00A11E57"/>
    <w:rsid w:val="00A161FF"/>
    <w:rsid w:val="00A2024E"/>
    <w:rsid w:val="00A212B5"/>
    <w:rsid w:val="00A33742"/>
    <w:rsid w:val="00A35580"/>
    <w:rsid w:val="00A3558D"/>
    <w:rsid w:val="00A41118"/>
    <w:rsid w:val="00A44F5F"/>
    <w:rsid w:val="00A468A2"/>
    <w:rsid w:val="00A53244"/>
    <w:rsid w:val="00A54D6C"/>
    <w:rsid w:val="00A56994"/>
    <w:rsid w:val="00A573F0"/>
    <w:rsid w:val="00A61082"/>
    <w:rsid w:val="00A62303"/>
    <w:rsid w:val="00A639BD"/>
    <w:rsid w:val="00A66802"/>
    <w:rsid w:val="00A712B3"/>
    <w:rsid w:val="00A76926"/>
    <w:rsid w:val="00A855AE"/>
    <w:rsid w:val="00A8652A"/>
    <w:rsid w:val="00A87144"/>
    <w:rsid w:val="00A87535"/>
    <w:rsid w:val="00A92E79"/>
    <w:rsid w:val="00AA1572"/>
    <w:rsid w:val="00AA7824"/>
    <w:rsid w:val="00AC6452"/>
    <w:rsid w:val="00AD2EE8"/>
    <w:rsid w:val="00AE0A10"/>
    <w:rsid w:val="00AE1563"/>
    <w:rsid w:val="00AE21C2"/>
    <w:rsid w:val="00AE7432"/>
    <w:rsid w:val="00AF1552"/>
    <w:rsid w:val="00AF7FAC"/>
    <w:rsid w:val="00B06DEB"/>
    <w:rsid w:val="00B10217"/>
    <w:rsid w:val="00B17BD2"/>
    <w:rsid w:val="00B36B9A"/>
    <w:rsid w:val="00B40740"/>
    <w:rsid w:val="00B42B98"/>
    <w:rsid w:val="00B52C84"/>
    <w:rsid w:val="00B56789"/>
    <w:rsid w:val="00B56A72"/>
    <w:rsid w:val="00B61BC4"/>
    <w:rsid w:val="00B63124"/>
    <w:rsid w:val="00B63C96"/>
    <w:rsid w:val="00B65022"/>
    <w:rsid w:val="00B65417"/>
    <w:rsid w:val="00B71058"/>
    <w:rsid w:val="00B7115D"/>
    <w:rsid w:val="00B74C5B"/>
    <w:rsid w:val="00B9054A"/>
    <w:rsid w:val="00B91A8F"/>
    <w:rsid w:val="00B93D5D"/>
    <w:rsid w:val="00B95A28"/>
    <w:rsid w:val="00BA41B2"/>
    <w:rsid w:val="00BA473E"/>
    <w:rsid w:val="00BA6BF0"/>
    <w:rsid w:val="00BB0BA8"/>
    <w:rsid w:val="00BB3EA3"/>
    <w:rsid w:val="00BC68C5"/>
    <w:rsid w:val="00BD5B0E"/>
    <w:rsid w:val="00BD7A4D"/>
    <w:rsid w:val="00BF2AA4"/>
    <w:rsid w:val="00BF68BA"/>
    <w:rsid w:val="00C00951"/>
    <w:rsid w:val="00C0159A"/>
    <w:rsid w:val="00C019F8"/>
    <w:rsid w:val="00C03AA8"/>
    <w:rsid w:val="00C052EF"/>
    <w:rsid w:val="00C05955"/>
    <w:rsid w:val="00C06A69"/>
    <w:rsid w:val="00C101CF"/>
    <w:rsid w:val="00C10754"/>
    <w:rsid w:val="00C35961"/>
    <w:rsid w:val="00C35A22"/>
    <w:rsid w:val="00C40A98"/>
    <w:rsid w:val="00C40D5F"/>
    <w:rsid w:val="00C4177A"/>
    <w:rsid w:val="00C45261"/>
    <w:rsid w:val="00C45D6D"/>
    <w:rsid w:val="00C50099"/>
    <w:rsid w:val="00C646CC"/>
    <w:rsid w:val="00C65A09"/>
    <w:rsid w:val="00C80550"/>
    <w:rsid w:val="00C85E42"/>
    <w:rsid w:val="00C8614D"/>
    <w:rsid w:val="00C87F38"/>
    <w:rsid w:val="00C917FD"/>
    <w:rsid w:val="00C91EAE"/>
    <w:rsid w:val="00C95A17"/>
    <w:rsid w:val="00C97A40"/>
    <w:rsid w:val="00C97FC1"/>
    <w:rsid w:val="00CA4EC7"/>
    <w:rsid w:val="00CA52A0"/>
    <w:rsid w:val="00CD5B7E"/>
    <w:rsid w:val="00CE7208"/>
    <w:rsid w:val="00CF397C"/>
    <w:rsid w:val="00D01192"/>
    <w:rsid w:val="00D060B9"/>
    <w:rsid w:val="00D0665C"/>
    <w:rsid w:val="00D076E8"/>
    <w:rsid w:val="00D1057A"/>
    <w:rsid w:val="00D12653"/>
    <w:rsid w:val="00D1276D"/>
    <w:rsid w:val="00D136BA"/>
    <w:rsid w:val="00D14267"/>
    <w:rsid w:val="00D208AF"/>
    <w:rsid w:val="00D20D8C"/>
    <w:rsid w:val="00D2415D"/>
    <w:rsid w:val="00D25A89"/>
    <w:rsid w:val="00D267EA"/>
    <w:rsid w:val="00D27289"/>
    <w:rsid w:val="00D31516"/>
    <w:rsid w:val="00D35074"/>
    <w:rsid w:val="00D425E2"/>
    <w:rsid w:val="00D46128"/>
    <w:rsid w:val="00D5545A"/>
    <w:rsid w:val="00D64447"/>
    <w:rsid w:val="00D6556B"/>
    <w:rsid w:val="00D65C94"/>
    <w:rsid w:val="00D67C96"/>
    <w:rsid w:val="00D7293F"/>
    <w:rsid w:val="00D82D20"/>
    <w:rsid w:val="00D83F2F"/>
    <w:rsid w:val="00D843E3"/>
    <w:rsid w:val="00D844C8"/>
    <w:rsid w:val="00D94221"/>
    <w:rsid w:val="00D94428"/>
    <w:rsid w:val="00DA148B"/>
    <w:rsid w:val="00DA5044"/>
    <w:rsid w:val="00DC27C1"/>
    <w:rsid w:val="00DC7146"/>
    <w:rsid w:val="00DC77EB"/>
    <w:rsid w:val="00DD0680"/>
    <w:rsid w:val="00DD0D17"/>
    <w:rsid w:val="00DD1732"/>
    <w:rsid w:val="00DD43BA"/>
    <w:rsid w:val="00DD4C37"/>
    <w:rsid w:val="00DD5F14"/>
    <w:rsid w:val="00DD764A"/>
    <w:rsid w:val="00DE489C"/>
    <w:rsid w:val="00DE4C01"/>
    <w:rsid w:val="00DF0559"/>
    <w:rsid w:val="00E04B1A"/>
    <w:rsid w:val="00E07056"/>
    <w:rsid w:val="00E07461"/>
    <w:rsid w:val="00E10FB5"/>
    <w:rsid w:val="00E126DF"/>
    <w:rsid w:val="00E13726"/>
    <w:rsid w:val="00E1662F"/>
    <w:rsid w:val="00E3256F"/>
    <w:rsid w:val="00E333D9"/>
    <w:rsid w:val="00E34C6E"/>
    <w:rsid w:val="00E35835"/>
    <w:rsid w:val="00E36083"/>
    <w:rsid w:val="00E37979"/>
    <w:rsid w:val="00E4077B"/>
    <w:rsid w:val="00E42B3C"/>
    <w:rsid w:val="00E45DBD"/>
    <w:rsid w:val="00E45E34"/>
    <w:rsid w:val="00E52CFB"/>
    <w:rsid w:val="00E55BBC"/>
    <w:rsid w:val="00E61DF1"/>
    <w:rsid w:val="00E64427"/>
    <w:rsid w:val="00E65BF3"/>
    <w:rsid w:val="00E715CF"/>
    <w:rsid w:val="00E7195A"/>
    <w:rsid w:val="00E74941"/>
    <w:rsid w:val="00E829E0"/>
    <w:rsid w:val="00E83D52"/>
    <w:rsid w:val="00E86F52"/>
    <w:rsid w:val="00E90617"/>
    <w:rsid w:val="00E926DB"/>
    <w:rsid w:val="00E94383"/>
    <w:rsid w:val="00EA1FC8"/>
    <w:rsid w:val="00EA529A"/>
    <w:rsid w:val="00EA52DB"/>
    <w:rsid w:val="00EA749D"/>
    <w:rsid w:val="00EA7F62"/>
    <w:rsid w:val="00EB1219"/>
    <w:rsid w:val="00EB7E77"/>
    <w:rsid w:val="00EC1DA1"/>
    <w:rsid w:val="00EC1F27"/>
    <w:rsid w:val="00EC51CB"/>
    <w:rsid w:val="00ED038B"/>
    <w:rsid w:val="00ED088B"/>
    <w:rsid w:val="00ED4754"/>
    <w:rsid w:val="00ED61C3"/>
    <w:rsid w:val="00ED6841"/>
    <w:rsid w:val="00ED6B4D"/>
    <w:rsid w:val="00ED7FED"/>
    <w:rsid w:val="00EE2E09"/>
    <w:rsid w:val="00EE4EBE"/>
    <w:rsid w:val="00EE599A"/>
    <w:rsid w:val="00F00C20"/>
    <w:rsid w:val="00F06C48"/>
    <w:rsid w:val="00F1246F"/>
    <w:rsid w:val="00F12ABA"/>
    <w:rsid w:val="00F14C8F"/>
    <w:rsid w:val="00F173C6"/>
    <w:rsid w:val="00F25B51"/>
    <w:rsid w:val="00F27F1B"/>
    <w:rsid w:val="00F3191C"/>
    <w:rsid w:val="00F408E3"/>
    <w:rsid w:val="00F43CF2"/>
    <w:rsid w:val="00F54208"/>
    <w:rsid w:val="00F62000"/>
    <w:rsid w:val="00F7029A"/>
    <w:rsid w:val="00F706C5"/>
    <w:rsid w:val="00F72CFC"/>
    <w:rsid w:val="00F7377E"/>
    <w:rsid w:val="00F73AFF"/>
    <w:rsid w:val="00F82229"/>
    <w:rsid w:val="00F8385B"/>
    <w:rsid w:val="00F85596"/>
    <w:rsid w:val="00F86A4E"/>
    <w:rsid w:val="00F86F2B"/>
    <w:rsid w:val="00F915EC"/>
    <w:rsid w:val="00F95699"/>
    <w:rsid w:val="00F95D9E"/>
    <w:rsid w:val="00FA0599"/>
    <w:rsid w:val="00FA3721"/>
    <w:rsid w:val="00FA4DB8"/>
    <w:rsid w:val="00FD2BAA"/>
    <w:rsid w:val="00FD49C9"/>
    <w:rsid w:val="00FD500E"/>
    <w:rsid w:val="00FE14EE"/>
    <w:rsid w:val="00FE4540"/>
    <w:rsid w:val="00FE5351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72B657"/>
  <w15:docId w15:val="{C0B116BF-839F-4ACE-9B0F-20CDC60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E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Heading1">
    <w:name w:val="heading 1"/>
    <w:aliases w:val="ECC Heading 1"/>
    <w:basedOn w:val="Normal"/>
    <w:next w:val="Normal"/>
    <w:link w:val="Heading1Char"/>
    <w:autoRedefine/>
    <w:uiPriority w:val="99"/>
    <w:qFormat/>
    <w:rsid w:val="00432E81"/>
    <w:pPr>
      <w:keepNext/>
      <w:numPr>
        <w:numId w:val="1"/>
      </w:numPr>
      <w:spacing w:before="480" w:after="240"/>
      <w:outlineLvl w:val="0"/>
    </w:pPr>
    <w:rPr>
      <w:rFonts w:ascii="Times New Roman Bold" w:hAnsi="Times New Roman Bold" w:cs="Arial"/>
      <w:b/>
      <w:bCs/>
      <w:caps/>
      <w:kern w:val="32"/>
      <w:szCs w:val="32"/>
    </w:rPr>
  </w:style>
  <w:style w:type="paragraph" w:styleId="Heading2">
    <w:name w:val="heading 2"/>
    <w:aliases w:val="ECC Heading 2"/>
    <w:basedOn w:val="Normal"/>
    <w:link w:val="Heading2Char"/>
    <w:autoRedefine/>
    <w:uiPriority w:val="99"/>
    <w:qFormat/>
    <w:rsid w:val="00432E81"/>
    <w:pPr>
      <w:keepNext/>
      <w:numPr>
        <w:ilvl w:val="1"/>
        <w:numId w:val="1"/>
      </w:numPr>
      <w:spacing w:before="360" w:after="240"/>
      <w:jc w:val="both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uiPriority w:val="99"/>
    <w:qFormat/>
    <w:rsid w:val="004E07AB"/>
    <w:pPr>
      <w:keepNext/>
      <w:tabs>
        <w:tab w:val="num" w:pos="720"/>
      </w:tabs>
      <w:overflowPunct/>
      <w:autoSpaceDE/>
      <w:autoSpaceDN/>
      <w:adjustRightInd/>
      <w:spacing w:before="360" w:after="120"/>
      <w:ind w:left="720" w:hanging="720"/>
      <w:textAlignment w:val="auto"/>
      <w:outlineLvl w:val="2"/>
    </w:pPr>
    <w:rPr>
      <w:rFonts w:ascii="Arial" w:hAnsi="Arial" w:cs="Arial"/>
      <w:b/>
      <w:bCs/>
      <w:szCs w:val="26"/>
      <w:lang w:val="en-US" w:eastAsia="en-US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uiPriority w:val="99"/>
    <w:qFormat/>
    <w:rsid w:val="004E07AB"/>
    <w:pPr>
      <w:tabs>
        <w:tab w:val="num" w:pos="864"/>
      </w:tabs>
      <w:overflowPunct/>
      <w:autoSpaceDE/>
      <w:autoSpaceDN/>
      <w:adjustRightInd/>
      <w:spacing w:before="360" w:after="120"/>
      <w:ind w:left="864" w:hanging="864"/>
      <w:textAlignment w:val="auto"/>
      <w:outlineLvl w:val="3"/>
    </w:pPr>
    <w:rPr>
      <w:rFonts w:ascii="Arial" w:hAnsi="Arial" w:cs="Arial"/>
      <w:bCs/>
      <w:i/>
      <w:color w:val="D2232A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07AB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07AB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rFonts w:ascii="Arial" w:hAnsi="Arial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07AB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07AB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07AB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ECCTable-redheader">
    <w:name w:val="ECC Table - red header"/>
    <w:basedOn w:val="TableNormal"/>
    <w:uiPriority w:val="99"/>
    <w:rsid w:val="00E64427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</w:tcPr>
    </w:tblStylePr>
  </w:style>
  <w:style w:type="paragraph" w:styleId="Header">
    <w:name w:val="header"/>
    <w:aliases w:val="encabezado,he,header odd,header odd1,header odd2"/>
    <w:basedOn w:val="Normal"/>
    <w:link w:val="HeaderChar"/>
    <w:unhideWhenUsed/>
    <w:rsid w:val="00432E8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cabezado Char,he Char,header odd Char,header odd1 Char,header odd2 Char"/>
    <w:basedOn w:val="DefaultParagraphFont"/>
    <w:link w:val="Header"/>
    <w:uiPriority w:val="99"/>
    <w:rsid w:val="00432E81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432E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E81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FootnoteText">
    <w:name w:val="footnote text"/>
    <w:basedOn w:val="Normal"/>
    <w:link w:val="FootnoteTextChar"/>
    <w:semiHidden/>
    <w:rsid w:val="00432E81"/>
    <w:rPr>
      <w:rFonts w:ascii="Courier" w:hAnsi="Courier" w:cs="Courier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432E81"/>
    <w:rPr>
      <w:rFonts w:ascii="Courier" w:eastAsia="Times New Roman" w:hAnsi="Courier" w:cs="Courier"/>
      <w:sz w:val="20"/>
      <w:szCs w:val="20"/>
      <w:lang w:val="fr-FR" w:eastAsia="nl-NL"/>
    </w:rPr>
  </w:style>
  <w:style w:type="character" w:styleId="Hyperlink">
    <w:name w:val="Hyperlink"/>
    <w:basedOn w:val="DefaultParagraphFont"/>
    <w:uiPriority w:val="99"/>
    <w:rsid w:val="00432E8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32E81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432E81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rsid w:val="00432E81"/>
    <w:pPr>
      <w:ind w:left="400"/>
    </w:pPr>
    <w:rPr>
      <w:i/>
      <w:iCs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"/>
    <w:rsid w:val="00432E81"/>
    <w:rPr>
      <w:rFonts w:ascii="Times New Roman Bold" w:eastAsia="Times New Roman" w:hAnsi="Times New Roman Bold" w:cs="Arial"/>
      <w:b/>
      <w:bCs/>
      <w:caps/>
      <w:kern w:val="32"/>
      <w:sz w:val="20"/>
      <w:szCs w:val="32"/>
      <w:lang w:val="en-GB" w:eastAsia="nl-NL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432E81"/>
    <w:rPr>
      <w:rFonts w:ascii="Times New Roman" w:eastAsia="Times New Roman" w:hAnsi="Times New Roman" w:cs="Arial"/>
      <w:b/>
      <w:bCs/>
      <w:iCs/>
      <w:sz w:val="20"/>
      <w:szCs w:val="28"/>
      <w:lang w:val="en-GB" w:eastAsia="nl-NL"/>
    </w:rPr>
  </w:style>
  <w:style w:type="paragraph" w:customStyle="1" w:styleId="Heading">
    <w:name w:val="Heading"/>
    <w:basedOn w:val="Heading1"/>
    <w:autoRedefine/>
    <w:rsid w:val="00432E81"/>
    <w:pPr>
      <w:numPr>
        <w:numId w:val="2"/>
      </w:numPr>
    </w:pPr>
    <w:rPr>
      <w:rFonts w:ascii="Times New Roman" w:hAnsi="Times New Roman" w:cs="Times New Roman"/>
      <w:szCs w:val="20"/>
    </w:rPr>
  </w:style>
  <w:style w:type="paragraph" w:customStyle="1" w:styleId="ECCParagraph">
    <w:name w:val="ECC Paragraph"/>
    <w:basedOn w:val="Normal"/>
    <w:uiPriority w:val="99"/>
    <w:rsid w:val="003B074E"/>
    <w:pPr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Cs w:val="24"/>
      <w:lang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4E07AB"/>
    <w:rPr>
      <w:rFonts w:ascii="Arial" w:eastAsia="Times New Roman" w:hAnsi="Arial" w:cs="Arial"/>
      <w:b/>
      <w:bCs/>
      <w:sz w:val="20"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uiPriority w:val="99"/>
    <w:rsid w:val="004E07AB"/>
    <w:rPr>
      <w:rFonts w:ascii="Arial" w:eastAsia="Times New Roman" w:hAnsi="Arial" w:cs="Arial"/>
      <w:bCs/>
      <w:i/>
      <w:color w:val="D2232A"/>
      <w:sz w:val="20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4E07AB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4E07AB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4E07AB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4E07AB"/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4E07AB"/>
    <w:rPr>
      <w:rFonts w:ascii="Arial" w:eastAsia="Times New Roma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31"/>
    <w:rPr>
      <w:rFonts w:ascii="Tahoma" w:eastAsia="Times New Roman" w:hAnsi="Tahoma" w:cs="Tahoma"/>
      <w:sz w:val="16"/>
      <w:szCs w:val="16"/>
      <w:lang w:val="en-GB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B63C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8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89C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89C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character" w:customStyle="1" w:styleId="ECCHLbold">
    <w:name w:val="ECC HL bold"/>
    <w:uiPriority w:val="1"/>
    <w:qFormat/>
    <w:rsid w:val="002B3321"/>
    <w:rPr>
      <w:b/>
      <w:bCs w:val="0"/>
    </w:rPr>
  </w:style>
  <w:style w:type="paragraph" w:customStyle="1" w:styleId="ECCTabletext">
    <w:name w:val="ECC Table text"/>
    <w:basedOn w:val="Normal"/>
    <w:qFormat/>
    <w:rsid w:val="00694C3D"/>
    <w:pPr>
      <w:overflowPunct/>
      <w:autoSpaceDE/>
      <w:autoSpaceDN/>
      <w:adjustRightInd/>
      <w:spacing w:after="60"/>
      <w:jc w:val="both"/>
      <w:textAlignment w:val="auto"/>
    </w:pPr>
    <w:rPr>
      <w:rFonts w:ascii="Arial" w:eastAsia="Calibri" w:hAnsi="Arial"/>
      <w:szCs w:val="22"/>
      <w:lang w:eastAsia="en-US"/>
    </w:rPr>
  </w:style>
  <w:style w:type="table" w:customStyle="1" w:styleId="ECCTable-clean">
    <w:name w:val="ECC Table - clean"/>
    <w:uiPriority w:val="99"/>
    <w:rsid w:val="00694C3D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  <w:lang w:val="de-DE" w:eastAsia="de-DE"/>
    </w:rPr>
    <w:tblPr>
      <w:tblStyleRowBandSize w:val="1"/>
      <w:tblCellMar>
        <w:top w:w="57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</w:tblStylePr>
  </w:style>
  <w:style w:type="paragraph" w:styleId="Revision">
    <w:name w:val="Revision"/>
    <w:hidden/>
    <w:uiPriority w:val="99"/>
    <w:semiHidden/>
    <w:rsid w:val="00E9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636B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db.cept.org/document/484" TargetMode="External"/><Relationship Id="rId18" Type="http://schemas.openxmlformats.org/officeDocument/2006/relationships/hyperlink" Target="https://www.legislation.gov.uk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efis.cept.org/adhoc_grabber.jsp?annex=4" TargetMode="External"/><Relationship Id="rId17" Type="http://schemas.openxmlformats.org/officeDocument/2006/relationships/hyperlink" Target="https://www.ctu.cz/sites/default/files/obsah/vo-r_12-112021-1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tu.cz/sites/default/files/obsah/ctu/sdeleni-o-vydani-opatreni-obecne-povahy-casti-planu-vyuziti-radioveho-spektra-c.pv-p/14/03.2021-1-pro-kmitoctove-pasmo-2200-2700-mhz/obrazky/pvrs24p.pd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ofcom.org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CDC7-2F7A-44BD-AFD8-7ACD814B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742</Words>
  <Characters>4231</Characters>
  <Application>Microsoft Office Word</Application>
  <DocSecurity>0</DocSecurity>
  <Lines>35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WGFM#85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Report 06</dc:title>
  <dc:creator>ECC</dc:creator>
  <cp:keywords>ECO Report 06</cp:keywords>
  <cp:lastModifiedBy>ECO </cp:lastModifiedBy>
  <cp:revision>3</cp:revision>
  <cp:lastPrinted>2016-03-31T14:17:00Z</cp:lastPrinted>
  <dcterms:created xsi:type="dcterms:W3CDTF">2022-06-09T11:20:00Z</dcterms:created>
  <dcterms:modified xsi:type="dcterms:W3CDTF">2022-06-09T11:22:00Z</dcterms:modified>
</cp:coreProperties>
</file>