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E458C" w14:textId="77777777" w:rsidR="00267423" w:rsidRPr="00472501" w:rsidRDefault="00267423">
      <w:pPr>
        <w:rPr>
          <w:lang w:val="en-GB"/>
        </w:rPr>
      </w:pPr>
    </w:p>
    <w:p w14:paraId="6F3E458D" w14:textId="77777777" w:rsidR="00267423" w:rsidRPr="00472501" w:rsidRDefault="00267423">
      <w:pPr>
        <w:jc w:val="center"/>
        <w:rPr>
          <w:lang w:val="en-GB"/>
        </w:rPr>
      </w:pPr>
    </w:p>
    <w:p w14:paraId="6F3E458E" w14:textId="77777777" w:rsidR="00267423" w:rsidRPr="00472501" w:rsidRDefault="00267423">
      <w:pPr>
        <w:jc w:val="center"/>
        <w:rPr>
          <w:lang w:val="en-GB"/>
        </w:rPr>
      </w:pPr>
    </w:p>
    <w:p w14:paraId="6F3E458F" w14:textId="77777777" w:rsidR="00267423" w:rsidRPr="00472501" w:rsidRDefault="00267423">
      <w:pPr>
        <w:rPr>
          <w:lang w:val="en-GB"/>
        </w:rPr>
      </w:pPr>
    </w:p>
    <w:p w14:paraId="6F3E4590" w14:textId="77777777" w:rsidR="00267423" w:rsidRPr="00472501" w:rsidRDefault="00267423">
      <w:pPr>
        <w:rPr>
          <w:lang w:val="en-GB"/>
        </w:rPr>
      </w:pPr>
    </w:p>
    <w:p w14:paraId="2664AA59" w14:textId="77777777" w:rsidR="00267423" w:rsidRDefault="00EF346B">
      <w:pPr>
        <w:jc w:val="center"/>
        <w:rPr>
          <w:b/>
          <w:sz w:val="24"/>
        </w:rPr>
      </w:pPr>
      <w:r>
        <w:rPr>
          <w:b/>
          <w:noProof/>
          <w:sz w:val="24"/>
          <w:szCs w:val="20"/>
          <w:lang w:val="da-DK" w:eastAsia="da-DK"/>
        </w:rPr>
        <mc:AlternateContent>
          <mc:Choice Requires="wpg">
            <w:drawing>
              <wp:anchor distT="0" distB="0" distL="114300" distR="114300" simplePos="0" relativeHeight="251658240" behindDoc="0" locked="0" layoutInCell="1" allowOverlap="1" wp14:anchorId="25F74032" wp14:editId="1966783C">
                <wp:simplePos x="0" y="0"/>
                <wp:positionH relativeFrom="column">
                  <wp:posOffset>-720090</wp:posOffset>
                </wp:positionH>
                <wp:positionV relativeFrom="paragraph">
                  <wp:posOffset>69850</wp:posOffset>
                </wp:positionV>
                <wp:extent cx="7564120" cy="8268970"/>
                <wp:effectExtent l="0" t="0" r="0" b="0"/>
                <wp:wrapNone/>
                <wp:docPr id="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8581EE" w14:textId="77777777" w:rsidR="009C1FA0" w:rsidRDefault="009C1FA0">
                              <w:pPr>
                                <w:rPr>
                                  <w:color w:val="57433E"/>
                                  <w:sz w:val="68"/>
                                </w:rPr>
                              </w:pPr>
                              <w:r>
                                <w:rPr>
                                  <w:color w:val="FFFFFF"/>
                                  <w:sz w:val="68"/>
                                </w:rPr>
                                <w:t xml:space="preserve">ECC Decision </w:t>
                              </w:r>
                              <w:r>
                                <w:rPr>
                                  <w:rFonts w:cs="Arial"/>
                                  <w:color w:val="887E6E"/>
                                  <w:sz w:val="68"/>
                                </w:rPr>
                                <w:t>(06)13</w:t>
                              </w:r>
                            </w:p>
                          </w:txbxContent>
                        </wps:txbx>
                        <wps:bodyPr rot="0" vert="horz" wrap="square" lIns="2880000" tIns="540000" rIns="72000" bIns="45720" anchor="t" anchorCtr="0" upright="1">
                          <a:noAutofit/>
                        </wps:bodyPr>
                      </wps:wsp>
                      <wpg:grpSp>
                        <wpg:cNvPr id="7" name="Group 26"/>
                        <wpg:cNvGrpSpPr>
                          <a:grpSpLocks/>
                        </wpg:cNvGrpSpPr>
                        <wpg:grpSpPr bwMode="auto">
                          <a:xfrm>
                            <a:off x="1739" y="3125"/>
                            <a:ext cx="1735" cy="1735"/>
                            <a:chOff x="954" y="3125"/>
                            <a:chExt cx="1735" cy="1735"/>
                          </a:xfrm>
                        </wpg:grpSpPr>
                        <wps:wsp>
                          <wps:cNvPr id="8"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5F74032" id="Group 28" o:spid="_x0000_s1026" style="position:absolute;left:0;text-align:left;margin-left:-56.7pt;margin-top:5.5pt;width:595.6pt;height:651.1pt;z-index:251658240"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">
                <v:rect id="Rectangle 8"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" fillcolor="#d2232a" stroked="f">
                  <v:textbox inset="80mm,15mm,2mm">
                    <w:txbxContent>
                      <w:p w14:paraId="638581EE" w14:textId="77777777" w:rsidR="009C1FA0" w:rsidRDefault="009C1FA0">
                        <w:pPr>
                          <w:rPr>
                            <w:color w:val="57433E"/>
                            <w:sz w:val="68"/>
                          </w:rPr>
                        </w:pPr>
                        <w:r>
                          <w:rPr>
                            <w:color w:val="FFFFFF"/>
                            <w:sz w:val="68"/>
                          </w:rPr>
                          <w:t xml:space="preserve">ECC Decision </w:t>
                        </w:r>
                        <w:r>
                          <w:rPr>
                            <w:rFonts w:cs="Arial"/>
                            <w:color w:val="887E6E"/>
                            <w:sz w:val="68"/>
                          </w:rPr>
                          <w:t>(06)13</w:t>
                        </w:r>
                      </w:p>
                    </w:txbxContent>
                  </v:textbox>
                </v:shape>
                <v:group id="Group 26" o:spid="_x0000_s1029" style="position:absolute;left:1739;top:3125;width:1735;height:1735" coordorigin="954,3125" coordsize="1735,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24" o:spid="_x0000_s1030" style="position:absolute;left:954;top:3125;width:1735;height:1735;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" stroked="f">
                    <o:lock v:ext="edit" aspectratio="t"/>
                    <v:textbox inset=",15mm,2mm"/>
                  </v:rect>
                  <v:rect id="Rectangle 25" o:spid="_x0000_s1031" style="position:absolute;left:1241;top:3444;width:1126;height:1126;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" fillcolor="#57433e" stroked="f">
                    <o:lock v:ext="edit" aspectratio="t"/>
                    <v:textbox inset=",15mm,2mm"/>
                  </v:rect>
                </v:group>
              </v:group>
            </w:pict>
          </mc:Fallback>
        </mc:AlternateContent>
      </w:r>
    </w:p>
    <w:p w14:paraId="7EE7E02F" w14:textId="77777777" w:rsidR="00267423" w:rsidRDefault="00267423">
      <w:pPr>
        <w:jc w:val="center"/>
        <w:rPr>
          <w:b/>
          <w:sz w:val="24"/>
        </w:rPr>
      </w:pPr>
    </w:p>
    <w:p w14:paraId="209072B2" w14:textId="77777777" w:rsidR="00267423" w:rsidRDefault="00267423">
      <w:pPr>
        <w:jc w:val="center"/>
        <w:rPr>
          <w:b/>
          <w:sz w:val="24"/>
        </w:rPr>
      </w:pPr>
    </w:p>
    <w:p w14:paraId="608CE7CF" w14:textId="77777777" w:rsidR="00267423" w:rsidRDefault="00267423">
      <w:pPr>
        <w:jc w:val="center"/>
        <w:rPr>
          <w:b/>
          <w:sz w:val="24"/>
        </w:rPr>
      </w:pPr>
    </w:p>
    <w:p w14:paraId="18A5E58A" w14:textId="77777777" w:rsidR="00267423" w:rsidRDefault="00267423">
      <w:pPr>
        <w:jc w:val="center"/>
        <w:rPr>
          <w:b/>
          <w:sz w:val="24"/>
        </w:rPr>
      </w:pPr>
    </w:p>
    <w:p w14:paraId="2F63A3D8" w14:textId="77777777" w:rsidR="00267423" w:rsidRDefault="00267423">
      <w:pPr>
        <w:jc w:val="center"/>
        <w:rPr>
          <w:b/>
          <w:sz w:val="24"/>
        </w:rPr>
      </w:pPr>
    </w:p>
    <w:p w14:paraId="1C915E9A" w14:textId="77777777" w:rsidR="00267423" w:rsidRDefault="00267423">
      <w:pPr>
        <w:jc w:val="center"/>
        <w:rPr>
          <w:b/>
          <w:sz w:val="24"/>
        </w:rPr>
      </w:pPr>
    </w:p>
    <w:p w14:paraId="0FE6F837" w14:textId="77777777" w:rsidR="00267423" w:rsidRDefault="00267423">
      <w:pPr>
        <w:jc w:val="center"/>
        <w:rPr>
          <w:b/>
          <w:sz w:val="24"/>
        </w:rPr>
      </w:pPr>
    </w:p>
    <w:p w14:paraId="2ACD0749" w14:textId="77777777" w:rsidR="00267423" w:rsidRDefault="00267423">
      <w:pPr>
        <w:jc w:val="center"/>
        <w:rPr>
          <w:b/>
          <w:sz w:val="24"/>
        </w:rPr>
      </w:pPr>
    </w:p>
    <w:p w14:paraId="169D42EE" w14:textId="535C7F0B" w:rsidR="00267423" w:rsidRDefault="00267423">
      <w:pPr>
        <w:jc w:val="center"/>
        <w:rPr>
          <w:b/>
          <w:sz w:val="24"/>
        </w:rPr>
      </w:pPr>
    </w:p>
    <w:p w14:paraId="2A1D5BE9" w14:textId="1E82ACE1" w:rsidR="00267423" w:rsidRDefault="00267423">
      <w:pPr>
        <w:jc w:val="center"/>
        <w:rPr>
          <w:b/>
          <w:sz w:val="24"/>
        </w:rPr>
      </w:pPr>
    </w:p>
    <w:p w14:paraId="435BBD01" w14:textId="162EEC16" w:rsidR="00267423" w:rsidRDefault="00267423">
      <w:pPr>
        <w:rPr>
          <w:b/>
          <w:sz w:val="24"/>
        </w:rPr>
      </w:pPr>
    </w:p>
    <w:p w14:paraId="316EB485" w14:textId="4506FFC1" w:rsidR="00267423" w:rsidRDefault="00267423">
      <w:pPr>
        <w:jc w:val="center"/>
        <w:rPr>
          <w:b/>
          <w:sz w:val="24"/>
        </w:rPr>
      </w:pPr>
    </w:p>
    <w:p w14:paraId="6F3E459F" w14:textId="62EF66EC" w:rsidR="00267423" w:rsidRPr="00903DAA" w:rsidRDefault="00F3660D">
      <w:pPr>
        <w:pStyle w:val="Reporttitledescription"/>
        <w:rPr>
          <w:color w:val="auto"/>
          <w:lang w:val="en-GB"/>
        </w:rPr>
      </w:pPr>
      <w:r w:rsidRPr="00903DAA">
        <w:rPr>
          <w:color w:val="auto"/>
          <w:lang w:val="en-GB"/>
        </w:rPr>
        <w:fldChar w:fldCharType="begin">
          <w:ffData>
            <w:name w:val="Text7"/>
            <w:enabled/>
            <w:calcOnExit w:val="0"/>
            <w:textInput>
              <w:default w:val="Harmonised technical conditions for mobile/fixed communications networks (MFCN) including terrestrial IMT systems, other than GSM and EC-GSM IoT, in the bands 880-915/925-960 MHz and 1710-1785/1805-1880 MHz"/>
            </w:textInput>
          </w:ffData>
        </w:fldChar>
      </w:r>
      <w:r w:rsidRPr="00903DAA">
        <w:rPr>
          <w:color w:val="auto"/>
          <w:lang w:val="en-GB"/>
        </w:rPr>
        <w:instrText xml:space="preserve"> </w:instrText>
      </w:r>
      <w:bookmarkStart w:id="0" w:name="Text7"/>
      <w:r w:rsidRPr="00903DAA">
        <w:rPr>
          <w:color w:val="auto"/>
          <w:lang w:val="en-GB"/>
        </w:rPr>
        <w:instrText xml:space="preserve">FORMTEXT </w:instrText>
      </w:r>
      <w:r w:rsidRPr="00903DAA">
        <w:rPr>
          <w:color w:val="auto"/>
          <w:lang w:val="en-GB"/>
        </w:rPr>
      </w:r>
      <w:r w:rsidRPr="00903DAA">
        <w:rPr>
          <w:color w:val="auto"/>
          <w:lang w:val="en-GB"/>
        </w:rPr>
        <w:fldChar w:fldCharType="separate"/>
      </w:r>
      <w:r w:rsidRPr="00903DAA">
        <w:rPr>
          <w:noProof/>
          <w:color w:val="auto"/>
          <w:lang w:val="en-GB"/>
        </w:rPr>
        <w:t>Harmonised technical conditions for mobile/fixed communications networks (MFCN) including terrestrial IMT systems, other than GSM and EC-GSM IoT, in the bands 880-915/925-960 MHz and 1710-1785/1805-1880 MHz</w:t>
      </w:r>
      <w:r w:rsidRPr="00903DAA">
        <w:rPr>
          <w:color w:val="auto"/>
          <w:lang w:val="en-GB"/>
        </w:rPr>
        <w:fldChar w:fldCharType="end"/>
      </w:r>
      <w:bookmarkEnd w:id="0"/>
      <w:r w:rsidR="00A02A38" w:rsidRPr="00903DAA">
        <w:rPr>
          <w:rStyle w:val="FootnoteReference"/>
          <w:color w:val="auto"/>
          <w:lang w:val="en-GB"/>
        </w:rPr>
        <w:footnoteReference w:id="2"/>
      </w:r>
      <w:r w:rsidR="00EF346B" w:rsidRPr="00903DAA">
        <w:rPr>
          <w:color w:val="auto"/>
          <w:lang w:val="en-GB"/>
        </w:rPr>
        <w:t xml:space="preserve"> </w:t>
      </w:r>
    </w:p>
    <w:p w14:paraId="6F3E45A0" w14:textId="5B202D01" w:rsidR="00267423" w:rsidRPr="00472501" w:rsidRDefault="00690E00">
      <w:pPr>
        <w:pStyle w:val="Reporttitledescription"/>
        <w:rPr>
          <w:b/>
          <w:color w:val="auto"/>
          <w:sz w:val="18"/>
          <w:lang w:val="en-GB"/>
        </w:rPr>
      </w:pPr>
      <w:r>
        <w:rPr>
          <w:b/>
          <w:color w:val="auto"/>
          <w:sz w:val="18"/>
          <w:lang w:val="en-GB"/>
        </w:rPr>
        <w:fldChar w:fldCharType="begin">
          <w:ffData>
            <w:name w:val="Text8"/>
            <w:enabled/>
            <w:calcOnExit w:val="0"/>
            <w:textInput>
              <w:default w:val="approved 01 December 2006"/>
            </w:textInput>
          </w:ffData>
        </w:fldChar>
      </w:r>
      <w:r>
        <w:rPr>
          <w:b/>
          <w:color w:val="auto"/>
          <w:sz w:val="18"/>
          <w:lang w:val="en-GB"/>
        </w:rPr>
        <w:instrText xml:space="preserve"> </w:instrText>
      </w:r>
      <w:bookmarkStart w:id="1" w:name="Text8"/>
      <w:r>
        <w:rPr>
          <w:b/>
          <w:color w:val="auto"/>
          <w:sz w:val="18"/>
          <w:lang w:val="en-GB"/>
        </w:rPr>
        <w:instrText xml:space="preserve">FORMTEXT </w:instrText>
      </w:r>
      <w:r>
        <w:rPr>
          <w:b/>
          <w:color w:val="auto"/>
          <w:sz w:val="18"/>
          <w:lang w:val="en-GB"/>
        </w:rPr>
      </w:r>
      <w:r>
        <w:rPr>
          <w:b/>
          <w:color w:val="auto"/>
          <w:sz w:val="18"/>
          <w:lang w:val="en-GB"/>
        </w:rPr>
        <w:fldChar w:fldCharType="separate"/>
      </w:r>
      <w:r>
        <w:rPr>
          <w:b/>
          <w:noProof/>
          <w:color w:val="auto"/>
          <w:sz w:val="18"/>
          <w:lang w:val="en-GB"/>
        </w:rPr>
        <w:t>approved 01 December 2006</w:t>
      </w:r>
      <w:r>
        <w:rPr>
          <w:b/>
          <w:color w:val="auto"/>
          <w:sz w:val="18"/>
          <w:lang w:val="en-GB"/>
        </w:rPr>
        <w:fldChar w:fldCharType="end"/>
      </w:r>
      <w:bookmarkEnd w:id="1"/>
    </w:p>
    <w:p w14:paraId="78D43BE2" w14:textId="5E72EEE0" w:rsidR="002F3163" w:rsidRPr="00903DAA" w:rsidRDefault="00690E00">
      <w:pPr>
        <w:pStyle w:val="Lastupdated"/>
        <w:rPr>
          <w:b/>
          <w:lang w:val="en-GB"/>
        </w:rPr>
      </w:pPr>
      <w:r>
        <w:rPr>
          <w:b/>
          <w:lang w:val="en-GB"/>
        </w:rPr>
        <w:fldChar w:fldCharType="begin">
          <w:ffData>
            <w:name w:val=""/>
            <w:enabled/>
            <w:calcOnExit w:val="0"/>
            <w:textInput>
              <w:default w:val="latest amended 4 March 2022"/>
            </w:textInput>
          </w:ffData>
        </w:fldChar>
      </w:r>
      <w:r>
        <w:rPr>
          <w:b/>
          <w:lang w:val="en-GB"/>
        </w:rPr>
        <w:instrText xml:space="preserve"> FORMTEXT </w:instrText>
      </w:r>
      <w:r>
        <w:rPr>
          <w:b/>
          <w:lang w:val="en-GB"/>
        </w:rPr>
      </w:r>
      <w:r>
        <w:rPr>
          <w:b/>
          <w:lang w:val="en-GB"/>
        </w:rPr>
        <w:fldChar w:fldCharType="separate"/>
      </w:r>
      <w:r>
        <w:rPr>
          <w:b/>
          <w:noProof/>
          <w:lang w:val="en-GB"/>
        </w:rPr>
        <w:t>latest amended 4 March 2022</w:t>
      </w:r>
      <w:r>
        <w:rPr>
          <w:b/>
          <w:lang w:val="en-GB"/>
        </w:rPr>
        <w:fldChar w:fldCharType="end"/>
      </w:r>
    </w:p>
    <w:p w14:paraId="667DD8FC" w14:textId="77777777" w:rsidR="003D6E30" w:rsidRPr="00903DAA" w:rsidRDefault="003D6E30" w:rsidP="003D6E30">
      <w:pPr>
        <w:pStyle w:val="Lastupdated"/>
        <w:ind w:left="0"/>
        <w:rPr>
          <w:b/>
          <w:lang w:val="en-GB"/>
        </w:rPr>
      </w:pPr>
    </w:p>
    <w:p w14:paraId="2BBB6CD3" w14:textId="620FD5FA" w:rsidR="00421EFE" w:rsidRPr="00472501" w:rsidRDefault="00421EFE" w:rsidP="00472501">
      <w:pPr>
        <w:pStyle w:val="Lastupdated"/>
        <w:ind w:left="0"/>
        <w:rPr>
          <w:b/>
          <w:lang w:val="en-GB"/>
        </w:rPr>
      </w:pPr>
    </w:p>
    <w:p w14:paraId="6F3E45A3" w14:textId="77777777" w:rsidR="00267423" w:rsidRPr="00472501" w:rsidRDefault="00EF346B" w:rsidP="00791843">
      <w:pPr>
        <w:pStyle w:val="Lastupdated"/>
        <w:rPr>
          <w:lang w:val="en-GB"/>
        </w:rPr>
      </w:pPr>
      <w:r w:rsidRPr="00472501">
        <w:rPr>
          <w:b/>
          <w:lang w:val="en-GB"/>
        </w:rPr>
        <w:br w:type="page"/>
      </w:r>
    </w:p>
    <w:p w14:paraId="6F3E45A4" w14:textId="77777777" w:rsidR="00267423" w:rsidRPr="00472501" w:rsidRDefault="00EF346B">
      <w:pPr>
        <w:tabs>
          <w:tab w:val="left" w:pos="7230"/>
        </w:tabs>
        <w:spacing w:before="400" w:after="240"/>
        <w:rPr>
          <w:b/>
          <w:caps/>
          <w:color w:val="D2232A"/>
          <w:kern w:val="32"/>
          <w:lang w:val="en-GB"/>
        </w:rPr>
      </w:pPr>
      <w:r w:rsidRPr="00472501">
        <w:rPr>
          <w:b/>
          <w:caps/>
          <w:color w:val="D2232A"/>
          <w:kern w:val="32"/>
          <w:lang w:val="en-GB"/>
        </w:rPr>
        <w:lastRenderedPageBreak/>
        <w:t>EXPLANATORY MEMORANDUM</w:t>
      </w:r>
    </w:p>
    <w:p w14:paraId="6F3E45A5" w14:textId="1B49E1FA" w:rsidR="00267423" w:rsidRPr="00472501" w:rsidRDefault="00EF346B" w:rsidP="0057004A">
      <w:pPr>
        <w:pStyle w:val="Heading2"/>
        <w:rPr>
          <w:lang w:val="en-GB"/>
        </w:rPr>
      </w:pPr>
      <w:bookmarkStart w:id="2" w:name="_Toc517798625"/>
      <w:bookmarkStart w:id="3" w:name="_Toc517798078"/>
      <w:r w:rsidRPr="00472501">
        <w:rPr>
          <w:lang w:val="en-GB"/>
        </w:rPr>
        <w:t>INTRODUCTION</w:t>
      </w:r>
      <w:bookmarkEnd w:id="2"/>
      <w:bookmarkEnd w:id="3"/>
    </w:p>
    <w:p w14:paraId="6F3E45A6" w14:textId="77777777" w:rsidR="00267423" w:rsidRPr="00903DAA" w:rsidRDefault="00EF346B">
      <w:pPr>
        <w:pStyle w:val="ECCParagraph"/>
      </w:pPr>
      <w:r w:rsidRPr="00903DAA">
        <w:t>Since 1997 CEPT has adopted a series of Decisions and Reports regarding the implementation of Mobile/Fixed Communications Networks (MFCN). These CEPT deliverables include:</w:t>
      </w:r>
    </w:p>
    <w:p w14:paraId="6F3E45A7" w14:textId="68412AFA" w:rsidR="00267423" w:rsidRPr="00903DAA" w:rsidRDefault="00EF346B" w:rsidP="00472501">
      <w:pPr>
        <w:pStyle w:val="ECCParBulleted"/>
      </w:pPr>
      <w:r w:rsidRPr="00903DAA">
        <w:t xml:space="preserve">ERC Report 060 on global circulation of IMT-2000 terminals </w:t>
      </w:r>
      <w:r w:rsidRPr="00903DAA">
        <w:fldChar w:fldCharType="begin"/>
      </w:r>
      <w:r w:rsidRPr="00903DAA">
        <w:instrText xml:space="preserve"> REF _Ref503801466 \r \h </w:instrText>
      </w:r>
      <w:r w:rsidR="00F31444" w:rsidRPr="00903DAA">
        <w:instrText xml:space="preserve"> \* MERGEFORMAT </w:instrText>
      </w:r>
      <w:r w:rsidRPr="00903DAA">
        <w:fldChar w:fldCharType="separate"/>
      </w:r>
      <w:r w:rsidR="00D00E65">
        <w:t>[1]</w:t>
      </w:r>
      <w:r w:rsidRPr="00903DAA">
        <w:fldChar w:fldCharType="end"/>
      </w:r>
      <w:r w:rsidRPr="00903DAA">
        <w:t>;</w:t>
      </w:r>
    </w:p>
    <w:p w14:paraId="6F3E45AC" w14:textId="3D0EFC38" w:rsidR="00267423" w:rsidRPr="00903DAA" w:rsidRDefault="00EF346B" w:rsidP="00472501">
      <w:pPr>
        <w:pStyle w:val="ECCParBulleted"/>
      </w:pPr>
      <w:r w:rsidRPr="00903DAA">
        <w:t xml:space="preserve">ECC Report 82 on the compatibility study for UMTS operating within the GSM 900 and GSM 1800 frequency bands </w:t>
      </w:r>
      <w:r w:rsidRPr="00903DAA">
        <w:fldChar w:fldCharType="begin"/>
      </w:r>
      <w:r w:rsidRPr="00903DAA">
        <w:instrText xml:space="preserve"> REF _Ref503801494 \r \h </w:instrText>
      </w:r>
      <w:r w:rsidR="00F31444" w:rsidRPr="00903DAA">
        <w:instrText xml:space="preserve"> \* MERGEFORMAT </w:instrText>
      </w:r>
      <w:r w:rsidRPr="00903DAA">
        <w:fldChar w:fldCharType="separate"/>
      </w:r>
      <w:r w:rsidR="00D00E65">
        <w:t>[2]</w:t>
      </w:r>
      <w:r w:rsidRPr="00903DAA">
        <w:fldChar w:fldCharType="end"/>
      </w:r>
      <w:r w:rsidRPr="00903DAA">
        <w:t>;</w:t>
      </w:r>
    </w:p>
    <w:p w14:paraId="6F3E45AD" w14:textId="13BFD7C0" w:rsidR="00267423" w:rsidRPr="00903DAA" w:rsidRDefault="00EF346B" w:rsidP="00472501">
      <w:pPr>
        <w:pStyle w:val="ECCParBulleted"/>
      </w:pPr>
      <w:r w:rsidRPr="00903DAA">
        <w:t xml:space="preserve">ECC Report 96 on the compatibility between UMTS 900/1800 and systems operating in adjacent bands </w:t>
      </w:r>
      <w:r w:rsidRPr="00903DAA">
        <w:fldChar w:fldCharType="begin"/>
      </w:r>
      <w:r w:rsidRPr="00903DAA">
        <w:instrText xml:space="preserve"> REF _Ref503801499 \r \h </w:instrText>
      </w:r>
      <w:r w:rsidR="00F31444" w:rsidRPr="00903DAA">
        <w:instrText xml:space="preserve"> \* MERGEFORMAT </w:instrText>
      </w:r>
      <w:r w:rsidRPr="00903DAA">
        <w:fldChar w:fldCharType="separate"/>
      </w:r>
      <w:r w:rsidR="00D00E65">
        <w:t>[3]</w:t>
      </w:r>
      <w:r w:rsidRPr="00903DAA">
        <w:fldChar w:fldCharType="end"/>
      </w:r>
      <w:r w:rsidRPr="00903DAA">
        <w:t>;</w:t>
      </w:r>
    </w:p>
    <w:p w14:paraId="6F3E45AE" w14:textId="10FD4A9E" w:rsidR="00267423" w:rsidRPr="00903DAA" w:rsidRDefault="00EF346B" w:rsidP="00472501">
      <w:pPr>
        <w:pStyle w:val="ECCParBulleted"/>
      </w:pPr>
      <w:r w:rsidRPr="00903DAA">
        <w:t>CEPT Report 42 on c</w:t>
      </w:r>
      <w:r w:rsidRPr="00903DAA">
        <w:rPr>
          <w:bCs/>
        </w:rPr>
        <w:t xml:space="preserve">ompatibility between UMTS and existing and planned aeronautical systems above 960 MHz </w:t>
      </w:r>
      <w:r w:rsidRPr="00903DAA">
        <w:rPr>
          <w:bCs/>
        </w:rPr>
        <w:fldChar w:fldCharType="begin"/>
      </w:r>
      <w:r w:rsidRPr="00903DAA">
        <w:rPr>
          <w:bCs/>
        </w:rPr>
        <w:instrText xml:space="preserve"> REF _Ref503801506 \r \h </w:instrText>
      </w:r>
      <w:r w:rsidR="00F31444" w:rsidRPr="00903DAA">
        <w:rPr>
          <w:bCs/>
        </w:rPr>
        <w:instrText xml:space="preserve"> \* MERGEFORMAT </w:instrText>
      </w:r>
      <w:r w:rsidRPr="00903DAA">
        <w:rPr>
          <w:bCs/>
        </w:rPr>
      </w:r>
      <w:r w:rsidRPr="00903DAA">
        <w:rPr>
          <w:bCs/>
        </w:rPr>
        <w:fldChar w:fldCharType="separate"/>
      </w:r>
      <w:r w:rsidR="00D00E65">
        <w:rPr>
          <w:bCs/>
        </w:rPr>
        <w:t>[4]</w:t>
      </w:r>
      <w:r w:rsidRPr="00903DAA">
        <w:rPr>
          <w:bCs/>
        </w:rPr>
        <w:fldChar w:fldCharType="end"/>
      </w:r>
      <w:r w:rsidRPr="00903DAA">
        <w:rPr>
          <w:bCs/>
        </w:rPr>
        <w:t>.</w:t>
      </w:r>
    </w:p>
    <w:p w14:paraId="6F3E45AF" w14:textId="759CF99E" w:rsidR="00267423" w:rsidRPr="00903DAA" w:rsidRDefault="00EF346B" w:rsidP="00025EB4">
      <w:pPr>
        <w:pStyle w:val="ECCParagraph"/>
      </w:pPr>
      <w:r w:rsidRPr="00903DAA">
        <w:t>The 900 MHz (880-915 MHz</w:t>
      </w:r>
      <w:r w:rsidR="00025EB4" w:rsidRPr="00903DAA">
        <w:t>/</w:t>
      </w:r>
      <w:r w:rsidRPr="00903DAA">
        <w:t>925-960 MHz) and 1800 MHz (1710-1785 MHz</w:t>
      </w:r>
      <w:r w:rsidR="00025EB4" w:rsidRPr="00903DAA">
        <w:t>/</w:t>
      </w:r>
      <w:r w:rsidRPr="00903DAA">
        <w:t>1805-1880 MHz) bands have been subject to several harmonisation measures taken at EU level or by the ECC:</w:t>
      </w:r>
    </w:p>
    <w:p w14:paraId="6F3E45B0" w14:textId="6F791D8D" w:rsidR="00267423" w:rsidRPr="00903DAA" w:rsidRDefault="00EF346B" w:rsidP="00472501">
      <w:pPr>
        <w:pStyle w:val="ECCParBulleted"/>
      </w:pPr>
      <w:r w:rsidRPr="00903DAA">
        <w:t xml:space="preserve">Council Directive 87/372/EEC </w:t>
      </w:r>
      <w:r w:rsidRPr="00903DAA">
        <w:fldChar w:fldCharType="begin"/>
      </w:r>
      <w:r w:rsidRPr="00903DAA">
        <w:instrText xml:space="preserve"> REF _Ref503801515 \r \h </w:instrText>
      </w:r>
      <w:r w:rsidR="00F31444" w:rsidRPr="00903DAA">
        <w:instrText xml:space="preserve"> \* MERGEFORMAT </w:instrText>
      </w:r>
      <w:r w:rsidRPr="00903DAA">
        <w:fldChar w:fldCharType="separate"/>
      </w:r>
      <w:r w:rsidR="00D00E65">
        <w:t>[5]</w:t>
      </w:r>
      <w:r w:rsidRPr="00903DAA">
        <w:fldChar w:fldCharType="end"/>
      </w:r>
      <w:r w:rsidRPr="00903DAA">
        <w:t xml:space="preserve"> and the related Council Recommendation 87/371/EEC </w:t>
      </w:r>
      <w:r w:rsidRPr="00903DAA">
        <w:fldChar w:fldCharType="begin"/>
      </w:r>
      <w:r w:rsidRPr="00903DAA">
        <w:instrText xml:space="preserve"> REF _Ref503801522 \r \h </w:instrText>
      </w:r>
      <w:r w:rsidR="00F31444" w:rsidRPr="00903DAA">
        <w:instrText xml:space="preserve"> \* MERGEFORMAT </w:instrText>
      </w:r>
      <w:r w:rsidRPr="00903DAA">
        <w:fldChar w:fldCharType="separate"/>
      </w:r>
      <w:r w:rsidR="00D00E65">
        <w:t>[6]</w:t>
      </w:r>
      <w:r w:rsidRPr="00903DAA">
        <w:fldChar w:fldCharType="end"/>
      </w:r>
      <w:r w:rsidRPr="00903DAA">
        <w:t>, which came into force in 1987;</w:t>
      </w:r>
    </w:p>
    <w:p w14:paraId="6F3E45B1" w14:textId="00E3830B" w:rsidR="00267423" w:rsidRPr="00903DAA" w:rsidRDefault="00EF346B" w:rsidP="00472501">
      <w:pPr>
        <w:pStyle w:val="ECCParBulleted"/>
      </w:pPr>
      <w:r w:rsidRPr="00903DAA">
        <w:t xml:space="preserve">ERC Decision (94)01 on the frequency bands to be designated for the coordinated introduction of the GSM digital pan-European communications system </w:t>
      </w:r>
      <w:r w:rsidRPr="00903DAA">
        <w:fldChar w:fldCharType="begin"/>
      </w:r>
      <w:r w:rsidRPr="00903DAA">
        <w:instrText xml:space="preserve"> REF _Ref503801529 \r \h  \* MERGEFORMAT </w:instrText>
      </w:r>
      <w:r w:rsidRPr="00903DAA">
        <w:fldChar w:fldCharType="separate"/>
      </w:r>
      <w:r w:rsidR="00D00E65">
        <w:t>[7]</w:t>
      </w:r>
      <w:r w:rsidRPr="00903DAA">
        <w:fldChar w:fldCharType="end"/>
      </w:r>
      <w:r w:rsidRPr="00903DAA">
        <w:t>;</w:t>
      </w:r>
    </w:p>
    <w:p w14:paraId="6F3E45B2" w14:textId="4383DC7F" w:rsidR="00267423" w:rsidRPr="00903DAA" w:rsidRDefault="00EF346B" w:rsidP="00472501">
      <w:pPr>
        <w:pStyle w:val="ECCParBulleted"/>
      </w:pPr>
      <w:r w:rsidRPr="00903DAA">
        <w:t xml:space="preserve">ERC Decision (95)03 on the frequency bands to be designated for the introduction of DCS 1800 </w:t>
      </w:r>
      <w:r w:rsidRPr="00903DAA">
        <w:fldChar w:fldCharType="begin"/>
      </w:r>
      <w:r w:rsidRPr="00903DAA">
        <w:instrText xml:space="preserve"> REF _Ref503801535 \r \h  \* MERGEFORMAT </w:instrText>
      </w:r>
      <w:r w:rsidRPr="00903DAA">
        <w:fldChar w:fldCharType="separate"/>
      </w:r>
      <w:r w:rsidR="00D00E65">
        <w:t>[8]</w:t>
      </w:r>
      <w:r w:rsidRPr="00903DAA">
        <w:fldChar w:fldCharType="end"/>
      </w:r>
      <w:r w:rsidRPr="00903DAA">
        <w:t>;</w:t>
      </w:r>
    </w:p>
    <w:p w14:paraId="6F3E45B3" w14:textId="5DF078F3" w:rsidR="00267423" w:rsidRPr="00903DAA" w:rsidRDefault="00EF346B" w:rsidP="00472501">
      <w:pPr>
        <w:pStyle w:val="ECCParBulleted"/>
      </w:pPr>
      <w:r w:rsidRPr="00903DAA">
        <w:t xml:space="preserve">ERC Decision (97)02 on the extended frequency bands to be used for the GSM Digital Pan-European Communication System </w:t>
      </w:r>
      <w:r w:rsidRPr="00903DAA">
        <w:fldChar w:fldCharType="begin"/>
      </w:r>
      <w:r w:rsidRPr="00903DAA">
        <w:instrText xml:space="preserve"> REF _Ref503801540 \r \h  \* MERGEFORMAT </w:instrText>
      </w:r>
      <w:r w:rsidRPr="00903DAA">
        <w:fldChar w:fldCharType="separate"/>
      </w:r>
      <w:r w:rsidR="00D00E65">
        <w:t>[9]</w:t>
      </w:r>
      <w:r w:rsidRPr="00903DAA">
        <w:fldChar w:fldCharType="end"/>
      </w:r>
      <w:r w:rsidRPr="00903DAA">
        <w:t>.</w:t>
      </w:r>
    </w:p>
    <w:p w14:paraId="6F3E45B4" w14:textId="6A2F6911" w:rsidR="00267423" w:rsidRPr="00903DAA" w:rsidRDefault="00EF346B">
      <w:pPr>
        <w:pStyle w:val="ECCParagraph"/>
      </w:pPr>
      <w:r w:rsidRPr="00903DAA">
        <w:t xml:space="preserve">In 2009, Directive 2009/114/EC </w:t>
      </w:r>
      <w:r w:rsidRPr="00903DAA">
        <w:fldChar w:fldCharType="begin"/>
      </w:r>
      <w:r w:rsidRPr="00903DAA">
        <w:instrText xml:space="preserve"> REF _Ref503801553 \r \h </w:instrText>
      </w:r>
      <w:r w:rsidR="00F31444" w:rsidRPr="00903DAA">
        <w:instrText xml:space="preserve"> \* MERGEFORMAT </w:instrText>
      </w:r>
      <w:r w:rsidRPr="00903DAA">
        <w:fldChar w:fldCharType="separate"/>
      </w:r>
      <w:r w:rsidR="00D00E65">
        <w:t>[10]</w:t>
      </w:r>
      <w:r w:rsidRPr="00903DAA">
        <w:fldChar w:fldCharType="end"/>
      </w:r>
      <w:r w:rsidRPr="00903DAA">
        <w:t xml:space="preserve"> of the European Parliament and of the Council amending Council Directive 87/372/EEC </w:t>
      </w:r>
      <w:r w:rsidRPr="00903DAA">
        <w:fldChar w:fldCharType="begin"/>
      </w:r>
      <w:r w:rsidRPr="00903DAA">
        <w:instrText xml:space="preserve"> REF _Ref503801515 \r \h </w:instrText>
      </w:r>
      <w:r w:rsidR="00F31444" w:rsidRPr="00903DAA">
        <w:instrText xml:space="preserve"> \* MERGEFORMAT </w:instrText>
      </w:r>
      <w:r w:rsidRPr="00903DAA">
        <w:fldChar w:fldCharType="separate"/>
      </w:r>
      <w:r w:rsidR="00D00E65">
        <w:t>[5]</w:t>
      </w:r>
      <w:r w:rsidRPr="00903DAA">
        <w:fldChar w:fldCharType="end"/>
      </w:r>
      <w:r w:rsidRPr="00903DAA">
        <w:t xml:space="preserve"> was approved opening the 880-915 MHz and 925-960 MHz frequency bands (the 900 MHz band) to the Universal Mobile Telecommunications System (UMTS) and to other terrestrial systems capable of providing electronic communications services that can co-exist with the Global System for Mobile communications (GSM).</w:t>
      </w:r>
    </w:p>
    <w:p w14:paraId="6F3E45B5" w14:textId="162081CF" w:rsidR="00267423" w:rsidRPr="00903DAA" w:rsidRDefault="00EF346B">
      <w:pPr>
        <w:pStyle w:val="ECCParagraph"/>
      </w:pPr>
      <w:r w:rsidRPr="00903DAA">
        <w:t>During 2009, the European Commission issued a mandate to CEPT on the technical conditions for allowing LTE and possibly other technologies within the bands 880-915 MHz/925-960 MHz and 1710-1785 MHz/1805-1880 MHz (900 MHz and 1800 MHz bands). It was verified that WiMAX is another technology besides LTE showing interest for the 900 MHz and 1800 MHz bands. Compatibility studies were done and the technical conditions under which LTE and WiMAX technologies can be deployed in the 900/1800 MHz bands are identified in the following CEPT Reports approved by the ECC in 2010:</w:t>
      </w:r>
    </w:p>
    <w:p w14:paraId="6F3E45B6" w14:textId="718553D9" w:rsidR="00267423" w:rsidRPr="00903DAA" w:rsidRDefault="00EF346B" w:rsidP="00472501">
      <w:pPr>
        <w:pStyle w:val="ECCParBulleted"/>
      </w:pPr>
      <w:r w:rsidRPr="00903DAA">
        <w:t xml:space="preserve">CEPT Report 40 on compatibility study for LTE and WiMAX operating within the bands 880-915 MHz/925-960 MHz and 1710-1785 MHz/1805-1880 MHz (900 MHz and 1800 MHz bands) </w:t>
      </w:r>
      <w:r w:rsidRPr="00903DAA">
        <w:fldChar w:fldCharType="begin"/>
      </w:r>
      <w:r w:rsidRPr="00903DAA">
        <w:instrText xml:space="preserve"> REF _Ref503801581 \r \h  \* MERGEFORMAT </w:instrText>
      </w:r>
      <w:r w:rsidRPr="00903DAA">
        <w:fldChar w:fldCharType="separate"/>
      </w:r>
      <w:r w:rsidR="00D00E65">
        <w:t>[11]</w:t>
      </w:r>
      <w:r w:rsidRPr="00903DAA">
        <w:fldChar w:fldCharType="end"/>
      </w:r>
      <w:r w:rsidRPr="00903DAA">
        <w:t xml:space="preserve">; </w:t>
      </w:r>
    </w:p>
    <w:p w14:paraId="6F3E45B7" w14:textId="588B5DDE" w:rsidR="00267423" w:rsidRPr="00903DAA" w:rsidRDefault="00EF346B" w:rsidP="00472501">
      <w:pPr>
        <w:pStyle w:val="ECCParBulleted"/>
      </w:pPr>
      <w:r w:rsidRPr="00903DAA">
        <w:t xml:space="preserve">CEPT Report 41 on compatibility between LTE and WiMAX operating within the bands 880-915 MHz/925-960 MHz and 1710-1785 MHz/1805-1880 MHz (900 MHz and 1800 MHz bands) and systems operating in adjacent bands </w:t>
      </w:r>
      <w:r w:rsidRPr="00903DAA">
        <w:fldChar w:fldCharType="begin"/>
      </w:r>
      <w:r w:rsidRPr="00903DAA">
        <w:instrText xml:space="preserve"> REF _Ref503801590 \r \h </w:instrText>
      </w:r>
      <w:r w:rsidR="00F31444" w:rsidRPr="00903DAA">
        <w:instrText xml:space="preserve"> \* MERGEFORMAT </w:instrText>
      </w:r>
      <w:r w:rsidRPr="00903DAA">
        <w:fldChar w:fldCharType="separate"/>
      </w:r>
      <w:r w:rsidR="00D00E65">
        <w:t>[12]</w:t>
      </w:r>
      <w:r w:rsidRPr="00903DAA">
        <w:fldChar w:fldCharType="end"/>
      </w:r>
      <w:r w:rsidRPr="00903DAA">
        <w:t>.</w:t>
      </w:r>
      <w:bookmarkStart w:id="4" w:name="_Toc517798626"/>
      <w:bookmarkStart w:id="5" w:name="_Toc517798079"/>
    </w:p>
    <w:p w14:paraId="6F3E45B8" w14:textId="40F66B58" w:rsidR="00267423" w:rsidRPr="00903DAA" w:rsidRDefault="00EF346B">
      <w:pPr>
        <w:pStyle w:val="ECCParagraph"/>
      </w:pPr>
      <w:r w:rsidRPr="00903DAA">
        <w:t xml:space="preserve">Based on the above CEPT </w:t>
      </w:r>
      <w:r w:rsidR="004E153A" w:rsidRPr="00903DAA">
        <w:t>R</w:t>
      </w:r>
      <w:r w:rsidRPr="00903DAA">
        <w:t xml:space="preserve">eports, the European Commission updated the EU regulatory framework accordingly to </w:t>
      </w:r>
      <w:proofErr w:type="gramStart"/>
      <w:r w:rsidRPr="00903DAA">
        <w:t>address also</w:t>
      </w:r>
      <w:proofErr w:type="gramEnd"/>
      <w:r w:rsidRPr="00903DAA">
        <w:t xml:space="preserve"> LTE and WiMAX with Decision 2011/251/EU </w:t>
      </w:r>
      <w:r w:rsidRPr="00903DAA">
        <w:fldChar w:fldCharType="begin"/>
      </w:r>
      <w:r w:rsidRPr="00903DAA">
        <w:instrText xml:space="preserve"> REF _Ref503801595 \r \h </w:instrText>
      </w:r>
      <w:r w:rsidR="00F31444" w:rsidRPr="00903DAA">
        <w:instrText xml:space="preserve"> \* MERGEFORMAT </w:instrText>
      </w:r>
      <w:r w:rsidRPr="00903DAA">
        <w:fldChar w:fldCharType="separate"/>
      </w:r>
      <w:r w:rsidR="00D00E65">
        <w:t>[13]</w:t>
      </w:r>
      <w:r w:rsidRPr="00903DAA">
        <w:fldChar w:fldCharType="end"/>
      </w:r>
      <w:r w:rsidRPr="00903DAA">
        <w:t>.</w:t>
      </w:r>
    </w:p>
    <w:p w14:paraId="6F3E45B9" w14:textId="4E0A66D2" w:rsidR="00267423" w:rsidRPr="00903DAA" w:rsidRDefault="00EF346B">
      <w:pPr>
        <w:pStyle w:val="ECCParagraph"/>
      </w:pPr>
      <w:r w:rsidRPr="00903DAA">
        <w:t xml:space="preserve">In 2017, ECC assessed the suitability of the current ECC regulatory framework for the usage of Wideband and Narrowband M2M in the frequency bands 700 MHz, 800 MHz, 900 MHz, 1800 MHz, 2.1 GHz and 2.6 GHz and published the ECC Report 266 </w:t>
      </w:r>
      <w:r w:rsidRPr="00903DAA">
        <w:fldChar w:fldCharType="begin"/>
      </w:r>
      <w:r w:rsidRPr="00903DAA">
        <w:instrText xml:space="preserve"> REF _Ref503801601 \r \h </w:instrText>
      </w:r>
      <w:r w:rsidR="00F31444" w:rsidRPr="00903DAA">
        <w:instrText xml:space="preserve"> \* MERGEFORMAT </w:instrText>
      </w:r>
      <w:r w:rsidRPr="00903DAA">
        <w:fldChar w:fldCharType="separate"/>
      </w:r>
      <w:r w:rsidR="00D00E65">
        <w:t>[14]</w:t>
      </w:r>
      <w:r w:rsidRPr="00903DAA">
        <w:fldChar w:fldCharType="end"/>
      </w:r>
      <w:r w:rsidRPr="00903DAA">
        <w:t xml:space="preserve"> accordingly.</w:t>
      </w:r>
    </w:p>
    <w:p w14:paraId="6F3E45BA" w14:textId="22D6BA7D" w:rsidR="00267423" w:rsidRPr="00903DAA" w:rsidRDefault="00EF346B">
      <w:pPr>
        <w:pStyle w:val="ECCParagraph"/>
      </w:pPr>
      <w:r w:rsidRPr="00903DAA">
        <w:t>ECC propose</w:t>
      </w:r>
      <w:r w:rsidR="00D93081" w:rsidRPr="00903DAA">
        <w:t>d</w:t>
      </w:r>
      <w:r w:rsidRPr="00903DAA">
        <w:t xml:space="preserve"> relevant amendments of the harmonised technical conditions accordingly and ensuring both backward compatibility with existing use in 900/1800 MHz frequency band, and suitability for IoT applications. ECC developed its analysis in CEPT Report 66 </w:t>
      </w:r>
      <w:r w:rsidR="00D12143" w:rsidRPr="00903DAA">
        <w:fldChar w:fldCharType="begin"/>
      </w:r>
      <w:r w:rsidR="00D12143" w:rsidRPr="00903DAA">
        <w:instrText xml:space="preserve"> REF _Ref536450699 \r \h </w:instrText>
      </w:r>
      <w:r w:rsidR="00F31444" w:rsidRPr="00903DAA">
        <w:instrText xml:space="preserve"> \* MERGEFORMAT </w:instrText>
      </w:r>
      <w:r w:rsidR="00D12143" w:rsidRPr="00903DAA">
        <w:fldChar w:fldCharType="separate"/>
      </w:r>
      <w:r w:rsidR="00D00E65">
        <w:t>[15]</w:t>
      </w:r>
      <w:r w:rsidR="00D12143" w:rsidRPr="00903DAA">
        <w:fldChar w:fldCharType="end"/>
      </w:r>
      <w:r w:rsidRPr="00903DAA">
        <w:t xml:space="preserve"> on the basis of the ECC Report 266. Based on CEPT Report 66, the European Commission updated the EU regulatory framework accordingly to address also IoT cellular with Decision 2018/637/EU </w:t>
      </w:r>
      <w:r w:rsidR="00D12143" w:rsidRPr="00903DAA">
        <w:fldChar w:fldCharType="begin"/>
      </w:r>
      <w:r w:rsidR="00D12143" w:rsidRPr="00903DAA">
        <w:instrText xml:space="preserve"> REF _Ref536450705 \r \h </w:instrText>
      </w:r>
      <w:r w:rsidR="00F31444" w:rsidRPr="00903DAA">
        <w:instrText xml:space="preserve"> \* MERGEFORMAT </w:instrText>
      </w:r>
      <w:r w:rsidR="00D12143" w:rsidRPr="00903DAA">
        <w:fldChar w:fldCharType="separate"/>
      </w:r>
      <w:r w:rsidR="00D00E65">
        <w:t>[16]</w:t>
      </w:r>
      <w:r w:rsidR="00D12143" w:rsidRPr="00903DAA">
        <w:fldChar w:fldCharType="end"/>
      </w:r>
      <w:r w:rsidRPr="00903DAA">
        <w:t>.</w:t>
      </w:r>
    </w:p>
    <w:p w14:paraId="6F3E45BB" w14:textId="021D1483" w:rsidR="00267423" w:rsidRPr="00903DAA" w:rsidRDefault="00EF346B">
      <w:pPr>
        <w:pStyle w:val="ECCParagraph"/>
      </w:pPr>
      <w:r w:rsidRPr="00903DAA">
        <w:lastRenderedPageBreak/>
        <w:t xml:space="preserve">In 2018, ECC assessed in ECC Report 297 </w:t>
      </w:r>
      <w:r w:rsidR="00D12143" w:rsidRPr="00903DAA">
        <w:fldChar w:fldCharType="begin"/>
      </w:r>
      <w:r w:rsidR="00D12143" w:rsidRPr="00903DAA">
        <w:instrText xml:space="preserve"> REF _Ref536450961 \r \h </w:instrText>
      </w:r>
      <w:r w:rsidR="00F31444" w:rsidRPr="00903DAA">
        <w:instrText xml:space="preserve"> \* MERGEFORMAT </w:instrText>
      </w:r>
      <w:r w:rsidR="00D12143" w:rsidRPr="00903DAA">
        <w:fldChar w:fldCharType="separate"/>
      </w:r>
      <w:r w:rsidR="00D00E65">
        <w:t>[17]</w:t>
      </w:r>
      <w:r w:rsidR="00D12143" w:rsidRPr="00903DAA">
        <w:fldChar w:fldCharType="end"/>
      </w:r>
      <w:r w:rsidR="00D12143" w:rsidRPr="00903DAA">
        <w:t xml:space="preserve"> </w:t>
      </w:r>
      <w:r w:rsidRPr="00903DAA">
        <w:t xml:space="preserve">the suitability of the current harmonised ECC regulatory framework for the deployment of 5G based on New Radio (“5G New Radio” is abbreviated as “NR” in this Decision) with non-AAS BS in 880-915 MHz and 925-960 MHz frequency bands (i.e. </w:t>
      </w:r>
      <w:r w:rsidR="00987460" w:rsidRPr="00903DAA">
        <w:t xml:space="preserve">“900 </w:t>
      </w:r>
      <w:r w:rsidRPr="00903DAA">
        <w:t xml:space="preserve">MHz </w:t>
      </w:r>
      <w:r w:rsidR="00987460" w:rsidRPr="00903DAA">
        <w:t>band”</w:t>
      </w:r>
      <w:r w:rsidRPr="00903DAA">
        <w:t xml:space="preserve">) and NR with non-AAS BS, NR AAS BS and LTE AAS BS in the 1710-1785 MHz and 1805-1880 MHz frequency bands (i.e. </w:t>
      </w:r>
      <w:r w:rsidR="00987460" w:rsidRPr="00903DAA">
        <w:t xml:space="preserve">“1800 </w:t>
      </w:r>
      <w:r w:rsidRPr="00903DAA">
        <w:t xml:space="preserve">MHz </w:t>
      </w:r>
      <w:r w:rsidR="00987460" w:rsidRPr="00903DAA">
        <w:t>band”</w:t>
      </w:r>
      <w:r w:rsidRPr="00903DAA">
        <w:t xml:space="preserve">). </w:t>
      </w:r>
    </w:p>
    <w:p w14:paraId="5B31ADEA" w14:textId="542FC543" w:rsidR="00B839F2" w:rsidRPr="00903DAA" w:rsidRDefault="00B839F2" w:rsidP="00B839F2">
      <w:pPr>
        <w:pStyle w:val="ECCParagraph"/>
        <w:rPr>
          <w:i/>
          <w:iCs/>
        </w:rPr>
      </w:pPr>
      <w:r w:rsidRPr="00903DAA">
        <w:t xml:space="preserve">In 2019, ECC developed CEPT Report 72 (Report A) </w:t>
      </w:r>
      <w:r w:rsidR="003B0097" w:rsidRPr="00903DAA">
        <w:fldChar w:fldCharType="begin"/>
      </w:r>
      <w:r w:rsidR="003B0097" w:rsidRPr="00903DAA">
        <w:instrText xml:space="preserve"> REF _Ref83040042 \r \h </w:instrText>
      </w:r>
      <w:r w:rsidR="00EF13ED" w:rsidRPr="00903DAA">
        <w:instrText xml:space="preserve"> \* MERGEFORMAT </w:instrText>
      </w:r>
      <w:r w:rsidR="003B0097" w:rsidRPr="00903DAA">
        <w:fldChar w:fldCharType="separate"/>
      </w:r>
      <w:r w:rsidR="00D00E65">
        <w:t>[18]</w:t>
      </w:r>
      <w:r w:rsidR="003B0097" w:rsidRPr="00903DAA">
        <w:fldChar w:fldCharType="end"/>
      </w:r>
      <w:r w:rsidRPr="00903DAA">
        <w:t xml:space="preserve"> to</w:t>
      </w:r>
      <w:r w:rsidRPr="00903DAA">
        <w:rPr>
          <w:i/>
          <w:iCs/>
        </w:rPr>
        <w:t xml:space="preserve"> </w:t>
      </w:r>
      <w:r w:rsidR="00AD49E0" w:rsidRPr="00903DAA">
        <w:rPr>
          <w:i/>
          <w:iCs/>
        </w:rPr>
        <w:t>“</w:t>
      </w:r>
      <w:r w:rsidRPr="00903DAA">
        <w:rPr>
          <w:i/>
          <w:iCs/>
        </w:rPr>
        <w:t xml:space="preserve">review the harmonised technical conditions for certain EU-harmonised frequency bands and to develop least restrictive harmonised technical conditions suitable for next-generation (5G) terrestrial wireless systems” </w:t>
      </w:r>
      <w:r w:rsidRPr="00903DAA">
        <w:t>and in particular</w:t>
      </w:r>
      <w:r w:rsidRPr="00903DAA">
        <w:rPr>
          <w:i/>
          <w:iCs/>
        </w:rPr>
        <w:t xml:space="preserve"> </w:t>
      </w:r>
      <w:r w:rsidR="009F1110" w:rsidRPr="00903DAA">
        <w:rPr>
          <w:i/>
          <w:iCs/>
        </w:rPr>
        <w:t>“</w:t>
      </w:r>
      <w:r w:rsidRPr="00903DAA">
        <w:rPr>
          <w:i/>
          <w:iCs/>
        </w:rPr>
        <w:t>Review of technical conditions in the paired terrestrial 2 GHz and the 2.6 GHz frequency bands, and the usage feasibility of the 900 MHz and 1800 MHz frequency bands</w:t>
      </w:r>
      <w:r w:rsidR="009F1110" w:rsidRPr="00903DAA">
        <w:rPr>
          <w:i/>
          <w:iCs/>
        </w:rPr>
        <w:t>”</w:t>
      </w:r>
      <w:r w:rsidRPr="00903DAA">
        <w:rPr>
          <w:i/>
          <w:iCs/>
        </w:rPr>
        <w:t>.</w:t>
      </w:r>
    </w:p>
    <w:p w14:paraId="1BE9BF21" w14:textId="01866F24" w:rsidR="00B839F2" w:rsidRPr="00903DAA" w:rsidRDefault="00B839F2" w:rsidP="00B839F2">
      <w:pPr>
        <w:pStyle w:val="ECCParagraph"/>
      </w:pPr>
      <w:r w:rsidRPr="00903DAA">
        <w:t xml:space="preserve">In 2021, ECC developed CEPT </w:t>
      </w:r>
      <w:r w:rsidR="002F3163" w:rsidRPr="00903DAA">
        <w:t>R</w:t>
      </w:r>
      <w:r w:rsidRPr="00903DAA">
        <w:t xml:space="preserve">eport </w:t>
      </w:r>
      <w:r w:rsidR="002F3163" w:rsidRPr="00903DAA">
        <w:t>80</w:t>
      </w:r>
      <w:r w:rsidRPr="00903DAA">
        <w:t xml:space="preserve"> </w:t>
      </w:r>
      <w:r w:rsidR="002F3163" w:rsidRPr="00903DAA">
        <w:t>(</w:t>
      </w:r>
      <w:r w:rsidRPr="00903DAA">
        <w:t>Report B</w:t>
      </w:r>
      <w:r w:rsidR="002F3163" w:rsidRPr="00903DAA">
        <w:t xml:space="preserve">) </w:t>
      </w:r>
      <w:r w:rsidR="003B0097" w:rsidRPr="00903DAA">
        <w:fldChar w:fldCharType="begin"/>
      </w:r>
      <w:r w:rsidR="003B0097" w:rsidRPr="00903DAA">
        <w:instrText xml:space="preserve"> REF _Ref83040054 \r \h </w:instrText>
      </w:r>
      <w:r w:rsidR="00EF13ED" w:rsidRPr="00903DAA">
        <w:instrText xml:space="preserve"> \* MERGEFORMAT </w:instrText>
      </w:r>
      <w:r w:rsidR="003B0097" w:rsidRPr="00903DAA">
        <w:fldChar w:fldCharType="separate"/>
      </w:r>
      <w:r w:rsidR="00D00E65">
        <w:t>[19]</w:t>
      </w:r>
      <w:r w:rsidR="003B0097" w:rsidRPr="00903DAA">
        <w:fldChar w:fldCharType="end"/>
      </w:r>
      <w:r w:rsidRPr="00903DAA">
        <w:t xml:space="preserve"> to </w:t>
      </w:r>
      <w:r w:rsidR="00F46541" w:rsidRPr="00903DAA">
        <w:t>“</w:t>
      </w:r>
      <w:r w:rsidR="00F46541" w:rsidRPr="00903DAA">
        <w:rPr>
          <w:i/>
          <w:iCs/>
        </w:rPr>
        <w:t>d</w:t>
      </w:r>
      <w:r w:rsidRPr="00903DAA">
        <w:rPr>
          <w:i/>
          <w:iCs/>
        </w:rPr>
        <w:t>evelop channelling arrangements and common and minimal (least restrictive) technical conditions, for the 900MHz and 1800MHz, suitable for 5G terrestrial wireless systems in compliance with the principles of technology and service neutrality</w:t>
      </w:r>
      <w:r w:rsidR="00614282" w:rsidRPr="00903DAA">
        <w:rPr>
          <w:i/>
          <w:iCs/>
        </w:rPr>
        <w:t>”</w:t>
      </w:r>
      <w:r w:rsidRPr="00903DAA">
        <w:rPr>
          <w:i/>
          <w:iCs/>
        </w:rPr>
        <w:t>.</w:t>
      </w:r>
      <w:r w:rsidRPr="00472501">
        <w:rPr>
          <w:i/>
        </w:rPr>
        <w:t xml:space="preserve"> </w:t>
      </w:r>
    </w:p>
    <w:p w14:paraId="6F3E45BC" w14:textId="1D22E921" w:rsidR="00267423" w:rsidRPr="00472501" w:rsidRDefault="00EF346B">
      <w:pPr>
        <w:spacing w:after="240"/>
        <w:jc w:val="both"/>
        <w:rPr>
          <w:lang w:val="en-GB"/>
        </w:rPr>
      </w:pPr>
      <w:r w:rsidRPr="00903DAA">
        <w:rPr>
          <w:szCs w:val="20"/>
          <w:lang w:val="en-GB"/>
        </w:rPr>
        <w:t xml:space="preserve">Non-AAS (non-active antenna systems) refers to MFCN base stations </w:t>
      </w:r>
      <w:r w:rsidRPr="00472501">
        <w:rPr>
          <w:lang w:val="en-GB"/>
        </w:rPr>
        <w:t xml:space="preserve">that provide one or more antenna connectors, which are connected to one or more separately designed passive antenna elements to radiate radio waves. </w:t>
      </w:r>
      <w:r w:rsidRPr="00903DAA">
        <w:rPr>
          <w:szCs w:val="20"/>
          <w:lang w:val="en-GB"/>
        </w:rPr>
        <w:t>The amplitude and phase of the signals to the antenna elements is not continually adjusted in response to short term changes in the radio environment.</w:t>
      </w:r>
    </w:p>
    <w:p w14:paraId="6F3E45BD" w14:textId="7E688882" w:rsidR="00267423" w:rsidRPr="00472501" w:rsidRDefault="00EF346B">
      <w:pPr>
        <w:spacing w:after="240"/>
        <w:jc w:val="both"/>
        <w:rPr>
          <w:lang w:val="en-GB"/>
        </w:rPr>
      </w:pPr>
      <w:r w:rsidRPr="00472501">
        <w:rPr>
          <w:lang w:val="en-GB"/>
        </w:rPr>
        <w:t>AAS (</w:t>
      </w:r>
      <w:r w:rsidR="00C9785C">
        <w:rPr>
          <w:lang w:val="en-GB"/>
        </w:rPr>
        <w:t>a</w:t>
      </w:r>
      <w:r w:rsidR="00C9785C" w:rsidRPr="00472501">
        <w:rPr>
          <w:lang w:val="en-GB"/>
        </w:rPr>
        <w:t xml:space="preserve">ctive </w:t>
      </w:r>
      <w:r w:rsidR="00C9785C">
        <w:rPr>
          <w:lang w:val="en-GB"/>
        </w:rPr>
        <w:t>a</w:t>
      </w:r>
      <w:r w:rsidR="00C9785C" w:rsidRPr="00472501">
        <w:rPr>
          <w:lang w:val="en-GB"/>
        </w:rPr>
        <w:t xml:space="preserve">ntenna </w:t>
      </w:r>
      <w:r w:rsidR="00C9785C">
        <w:rPr>
          <w:lang w:val="en-GB"/>
        </w:rPr>
        <w:t>s</w:t>
      </w:r>
      <w:r w:rsidR="00C9785C" w:rsidRPr="00472501">
        <w:rPr>
          <w:lang w:val="en-GB"/>
        </w:rPr>
        <w:t>ystems</w:t>
      </w:r>
      <w:r w:rsidRPr="00472501">
        <w:rPr>
          <w:lang w:val="en-GB"/>
        </w:rPr>
        <w:t xml:space="preserve">) refers to </w:t>
      </w:r>
      <w:r w:rsidRPr="00903DAA">
        <w:rPr>
          <w:szCs w:val="20"/>
          <w:lang w:val="en-GB"/>
        </w:rPr>
        <w:t xml:space="preserve">MFCN </w:t>
      </w:r>
      <w:r w:rsidRPr="00472501">
        <w:rPr>
          <w:lang w:val="en-GB"/>
        </w:rPr>
        <w:t>base stations and antenna systems where the amplitude and/or phase of the signals from the various antenna elements is continually adjusted resulting in an antenna pattern that varies in response to short term changes in the radio environment. This is intended to exclude long term beam shaping such as fixed electrical down tilt.</w:t>
      </w:r>
    </w:p>
    <w:p w14:paraId="6F3E45BE" w14:textId="7724F45C" w:rsidR="00267423" w:rsidRPr="00903DAA" w:rsidRDefault="00EF346B">
      <w:pPr>
        <w:pStyle w:val="ECCParagraph"/>
        <w:rPr>
          <w:szCs w:val="20"/>
          <w:lang w:eastAsia="en-GB"/>
        </w:rPr>
      </w:pPr>
      <w:r w:rsidRPr="00903DAA">
        <w:t xml:space="preserve">ECC also assessed the suitability of the current ECC regulatory framework for the deployment of NR Supplemental Uplink (SUL) operation </w:t>
      </w:r>
      <w:r w:rsidRPr="00903DAA">
        <w:rPr>
          <w:szCs w:val="20"/>
          <w:lang w:eastAsia="en-GB"/>
        </w:rPr>
        <w:t xml:space="preserve">in </w:t>
      </w:r>
      <w:r w:rsidRPr="00903DAA">
        <w:t xml:space="preserve">frequency bands 880-915 MHz and 1710-1785 MHz </w:t>
      </w:r>
      <w:r w:rsidRPr="00903DAA">
        <w:rPr>
          <w:szCs w:val="20"/>
          <w:lang w:eastAsia="en-GB"/>
        </w:rPr>
        <w:t>i.e. NR uplink operation without paired downlink NR channel in the same band, on the basis of the current FDD usage of the band plan.</w:t>
      </w:r>
    </w:p>
    <w:p w14:paraId="6F3E45BF" w14:textId="65C65E15" w:rsidR="00267423" w:rsidRPr="00903DAA" w:rsidRDefault="00EF346B">
      <w:pPr>
        <w:pStyle w:val="ECCParagraph"/>
        <w:tabs>
          <w:tab w:val="left" w:pos="3650"/>
        </w:tabs>
      </w:pPr>
      <w:r w:rsidRPr="00903DAA">
        <w:t>ECC noted that the current EU framework</w:t>
      </w:r>
      <w:r w:rsidR="00E3502B" w:rsidRPr="00903DAA">
        <w:t xml:space="preserve"> </w:t>
      </w:r>
      <w:r w:rsidRPr="00903DAA">
        <w:t xml:space="preserve">Decision 2009/766/EC </w:t>
      </w:r>
      <w:r w:rsidR="00D12143" w:rsidRPr="00903DAA">
        <w:fldChar w:fldCharType="begin"/>
      </w:r>
      <w:r w:rsidR="00D12143" w:rsidRPr="00903DAA">
        <w:instrText xml:space="preserve"> REF _Ref536451054 \r \h </w:instrText>
      </w:r>
      <w:r w:rsidR="00F31444" w:rsidRPr="00903DAA">
        <w:instrText xml:space="preserve"> \* MERGEFORMAT </w:instrText>
      </w:r>
      <w:r w:rsidR="00D12143" w:rsidRPr="00903DAA">
        <w:fldChar w:fldCharType="separate"/>
      </w:r>
      <w:r w:rsidR="00D00E65">
        <w:t>[20]</w:t>
      </w:r>
      <w:r w:rsidR="00D12143" w:rsidRPr="00903DAA">
        <w:fldChar w:fldCharType="end"/>
      </w:r>
      <w:r w:rsidR="00D12143" w:rsidRPr="00903DAA">
        <w:t xml:space="preserve"> </w:t>
      </w:r>
      <w:r w:rsidRPr="00903DAA">
        <w:t xml:space="preserve">(as amended in 2011/251/EU </w:t>
      </w:r>
      <w:r w:rsidR="00D12143" w:rsidRPr="00903DAA">
        <w:fldChar w:fldCharType="begin"/>
      </w:r>
      <w:r w:rsidR="00D12143" w:rsidRPr="00903DAA">
        <w:instrText xml:space="preserve"> REF _Ref536451062 \r \h </w:instrText>
      </w:r>
      <w:r w:rsidR="00F31444" w:rsidRPr="00903DAA">
        <w:instrText xml:space="preserve"> \* MERGEFORMAT </w:instrText>
      </w:r>
      <w:r w:rsidR="00D12143" w:rsidRPr="00903DAA">
        <w:fldChar w:fldCharType="separate"/>
      </w:r>
      <w:r w:rsidR="00D00E65">
        <w:t>[21]</w:t>
      </w:r>
      <w:r w:rsidR="00D12143" w:rsidRPr="00903DAA">
        <w:fldChar w:fldCharType="end"/>
      </w:r>
      <w:r w:rsidR="00D12143" w:rsidRPr="00903DAA">
        <w:t xml:space="preserve"> </w:t>
      </w:r>
      <w:r w:rsidRPr="00903DAA">
        <w:t>and 2018/637/EU</w:t>
      </w:r>
      <w:r w:rsidR="00ED596C" w:rsidRPr="00903DAA">
        <w:t xml:space="preserve"> </w:t>
      </w:r>
      <w:r w:rsidR="00ED596C" w:rsidRPr="00903DAA">
        <w:fldChar w:fldCharType="begin"/>
      </w:r>
      <w:r w:rsidR="00ED596C" w:rsidRPr="00903DAA">
        <w:instrText xml:space="preserve"> REF _Ref83104749 \r \h </w:instrText>
      </w:r>
      <w:r w:rsidR="00D779FE" w:rsidRPr="00903DAA">
        <w:instrText xml:space="preserve"> \* MERGEFORMAT </w:instrText>
      </w:r>
      <w:r w:rsidR="00ED596C" w:rsidRPr="00903DAA">
        <w:fldChar w:fldCharType="separate"/>
      </w:r>
      <w:r w:rsidR="00D00E65">
        <w:t>[16]</w:t>
      </w:r>
      <w:r w:rsidR="00ED596C" w:rsidRPr="00903DAA">
        <w:fldChar w:fldCharType="end"/>
      </w:r>
      <w:r w:rsidRPr="00903DAA">
        <w:t xml:space="preserve">) allows in 900/1800 MHz use of other systems, which are not listed in the annex of this EU framework, under the condition of ensuring coexistence with the GSM system and the systems: UMTS, LTE, WiMAX and IoT </w:t>
      </w:r>
      <w:r w:rsidR="0087386A" w:rsidRPr="00903DAA">
        <w:t>cellular</w:t>
      </w:r>
      <w:r w:rsidRPr="00903DAA">
        <w:t>. In consequence, this updated ECC harmonised framework facilitates compliance with this current EU 900/1800 MHz framework in order to accommodate LTE AAS and New Radio (</w:t>
      </w:r>
      <w:r w:rsidRPr="00903DAA">
        <w:rPr>
          <w:rFonts w:cs="Arial"/>
        </w:rPr>
        <w:t>Non-AAS and AAS)</w:t>
      </w:r>
      <w:r w:rsidRPr="00903DAA">
        <w:t xml:space="preserve"> providing relevant harmonised technical conditions allowing the use in 900/1800 MHz of th</w:t>
      </w:r>
      <w:r w:rsidR="007356DE" w:rsidRPr="00903DAA">
        <w:t>e</w:t>
      </w:r>
      <w:r w:rsidRPr="00903DAA">
        <w:t>s</w:t>
      </w:r>
      <w:r w:rsidR="007356DE" w:rsidRPr="00903DAA">
        <w:t>e</w:t>
      </w:r>
      <w:r w:rsidRPr="00903DAA">
        <w:t xml:space="preserve"> new systems while ensuring coexistence with the technologies listed in </w:t>
      </w:r>
      <w:r w:rsidR="000144EC" w:rsidRPr="00903DAA">
        <w:t>the previous</w:t>
      </w:r>
      <w:r w:rsidR="007356DE" w:rsidRPr="00903DAA">
        <w:t xml:space="preserve"> version of</w:t>
      </w:r>
      <w:r w:rsidRPr="00903DAA">
        <w:t xml:space="preserve"> this Decision.</w:t>
      </w:r>
      <w:r w:rsidR="001E2703" w:rsidRPr="00903DAA">
        <w:t xml:space="preserve"> </w:t>
      </w:r>
      <w:r w:rsidR="000144EC" w:rsidRPr="00903DAA">
        <w:t xml:space="preserve">The </w:t>
      </w:r>
      <w:r w:rsidR="001E2703" w:rsidRPr="00903DAA">
        <w:t>EU framework</w:t>
      </w:r>
      <w:r w:rsidR="000F124C">
        <w:t xml:space="preserve"> </w:t>
      </w:r>
      <w:r w:rsidR="001E2703" w:rsidRPr="00903DAA">
        <w:t xml:space="preserve">has been updated in 2022 </w:t>
      </w:r>
      <w:r w:rsidR="00553414">
        <w:t xml:space="preserve">in </w:t>
      </w:r>
      <w:r w:rsidR="000F2C1C">
        <w:rPr>
          <w:rFonts w:cs="Arial"/>
        </w:rPr>
        <w:t xml:space="preserve">Commission Implementing </w:t>
      </w:r>
      <w:r w:rsidR="00553414">
        <w:t>Decision (EU) 2022/173</w:t>
      </w:r>
      <w:r w:rsidR="00553414" w:rsidRPr="00903DAA">
        <w:t xml:space="preserve"> </w:t>
      </w:r>
      <w:r w:rsidR="00D00E65">
        <w:fldChar w:fldCharType="begin"/>
      </w:r>
      <w:r w:rsidR="00D00E65">
        <w:instrText xml:space="preserve"> REF _Ref97729198 \r \h </w:instrText>
      </w:r>
      <w:r w:rsidR="00D00E65">
        <w:fldChar w:fldCharType="separate"/>
      </w:r>
      <w:r w:rsidR="00D00E65">
        <w:t>[22]</w:t>
      </w:r>
      <w:r w:rsidR="00D00E65">
        <w:fldChar w:fldCharType="end"/>
      </w:r>
      <w:r w:rsidR="00D00E65">
        <w:t xml:space="preserve"> </w:t>
      </w:r>
      <w:r w:rsidR="001E2703" w:rsidRPr="00903DAA">
        <w:t xml:space="preserve">on the basis of CEPT </w:t>
      </w:r>
      <w:r w:rsidR="00903DAA" w:rsidRPr="00903DAA">
        <w:t>R</w:t>
      </w:r>
      <w:r w:rsidR="001E2703" w:rsidRPr="00903DAA">
        <w:t>eport 80 in order to implement a technology neutral approach (BEM).</w:t>
      </w:r>
    </w:p>
    <w:p w14:paraId="6F3E45C0" w14:textId="77777777" w:rsidR="00267423" w:rsidRPr="00472501" w:rsidRDefault="00EF346B" w:rsidP="0057004A">
      <w:pPr>
        <w:pStyle w:val="Heading2"/>
        <w:rPr>
          <w:lang w:val="en-GB"/>
        </w:rPr>
      </w:pPr>
      <w:r w:rsidRPr="00472501">
        <w:rPr>
          <w:lang w:val="en-GB"/>
        </w:rPr>
        <w:t>BACKGROUND</w:t>
      </w:r>
      <w:bookmarkEnd w:id="4"/>
      <w:bookmarkEnd w:id="5"/>
    </w:p>
    <w:p w14:paraId="6F3E45C1" w14:textId="519895C8" w:rsidR="00267423" w:rsidRPr="00903DAA" w:rsidRDefault="00EF346B">
      <w:pPr>
        <w:pStyle w:val="ECCParagraph"/>
      </w:pPr>
      <w:r w:rsidRPr="00903DAA">
        <w:t xml:space="preserve">In line with CEPT proposals, WRC-07 identified for IMT the spectrum that was already used on a large scale for GSM systems having in mind that IMT would be implemented in the longer term in these frequency bands as part of the migration from 2G to 3G, 4G and 5G networks. </w:t>
      </w:r>
    </w:p>
    <w:p w14:paraId="6F3E45C2" w14:textId="5573B09D" w:rsidR="00267423" w:rsidRPr="00903DAA" w:rsidRDefault="00EF346B">
      <w:pPr>
        <w:pStyle w:val="ECCParagraph"/>
      </w:pPr>
      <w:r w:rsidRPr="00903DAA">
        <w:t>In the meantime, the licensing process for IMT has taken place starting in the “core” (2</w:t>
      </w:r>
      <w:r w:rsidR="00025EB4" w:rsidRPr="00903DAA">
        <w:t>.1</w:t>
      </w:r>
      <w:r w:rsidRPr="00903DAA">
        <w:t xml:space="preserve"> GHz) band, followed by other frequency bands (e.g. 800 MHz, 1800 MHz or 2.6 GHz). IMT networks have been deployed over Europe in these frequency bands and are rapidly growing.</w:t>
      </w:r>
    </w:p>
    <w:p w14:paraId="42ADA256" w14:textId="0E389D2A" w:rsidR="009014DD" w:rsidRPr="00903DAA" w:rsidRDefault="009014DD" w:rsidP="004834C4">
      <w:pPr>
        <w:pStyle w:val="ECCParagraph"/>
      </w:pPr>
      <w:r w:rsidRPr="00903DAA">
        <w:t xml:space="preserve">IMT is defined in Resolution ITU-R 56 (on Naming for International Mobile Telecommunications) </w:t>
      </w:r>
      <w:r w:rsidR="002A36EF" w:rsidRPr="00903DAA">
        <w:fldChar w:fldCharType="begin"/>
      </w:r>
      <w:r w:rsidR="002A36EF" w:rsidRPr="00903DAA">
        <w:instrText xml:space="preserve"> REF _Ref536451687 \r \h </w:instrText>
      </w:r>
      <w:r w:rsidR="00EF13ED" w:rsidRPr="00903DAA">
        <w:instrText xml:space="preserve"> \* MERGEFORMAT </w:instrText>
      </w:r>
      <w:r w:rsidR="002A36EF" w:rsidRPr="00903DAA">
        <w:fldChar w:fldCharType="separate"/>
      </w:r>
      <w:r w:rsidR="00D00E65">
        <w:t>[23]</w:t>
      </w:r>
      <w:r w:rsidR="002A36EF" w:rsidRPr="00903DAA">
        <w:fldChar w:fldCharType="end"/>
      </w:r>
      <w:r w:rsidRPr="00903DAA">
        <w:t xml:space="preserve"> and detailed specifications of IMT radio interfaces can be found in several Recommendations e.g. </w:t>
      </w:r>
      <w:r w:rsidR="00603290" w:rsidRPr="00903DAA">
        <w:t xml:space="preserve">Recommendation </w:t>
      </w:r>
      <w:r w:rsidRPr="00903DAA">
        <w:t xml:space="preserve">ITU-R M.1457 </w:t>
      </w:r>
      <w:r w:rsidRPr="00903DAA">
        <w:fldChar w:fldCharType="begin"/>
      </w:r>
      <w:r w:rsidRPr="00903DAA">
        <w:instrText xml:space="preserve"> REF _Ref536451693 \r \h  \* MERGEFORMAT </w:instrText>
      </w:r>
      <w:r w:rsidRPr="00903DAA">
        <w:fldChar w:fldCharType="separate"/>
      </w:r>
      <w:r w:rsidR="00D00E65">
        <w:t>[24]</w:t>
      </w:r>
      <w:r w:rsidRPr="00903DAA">
        <w:fldChar w:fldCharType="end"/>
      </w:r>
      <w:r w:rsidRPr="00903DAA">
        <w:t xml:space="preserve">, Recommendation ITU-R M.2012 </w:t>
      </w:r>
      <w:r w:rsidRPr="00903DAA">
        <w:fldChar w:fldCharType="begin"/>
      </w:r>
      <w:r w:rsidRPr="00903DAA">
        <w:instrText xml:space="preserve"> REF _Ref536451700 \r \h  \* MERGEFORMAT </w:instrText>
      </w:r>
      <w:r w:rsidRPr="00903DAA">
        <w:fldChar w:fldCharType="separate"/>
      </w:r>
      <w:r w:rsidR="00D00E65">
        <w:t>[25]</w:t>
      </w:r>
      <w:r w:rsidRPr="00903DAA">
        <w:fldChar w:fldCharType="end"/>
      </w:r>
      <w:r w:rsidRPr="00903DAA">
        <w:t xml:space="preserve"> and Recommendation ITU-R M.2150 </w:t>
      </w:r>
      <w:r w:rsidR="005D6369" w:rsidRPr="00903DAA">
        <w:fldChar w:fldCharType="begin"/>
      </w:r>
      <w:r w:rsidR="005D6369" w:rsidRPr="00903DAA">
        <w:instrText xml:space="preserve"> REF _Ref83040407 \r \h </w:instrText>
      </w:r>
      <w:r w:rsidR="00EF13ED" w:rsidRPr="00903DAA">
        <w:instrText xml:space="preserve"> \* MERGEFORMAT </w:instrText>
      </w:r>
      <w:r w:rsidR="005D6369" w:rsidRPr="00903DAA">
        <w:fldChar w:fldCharType="separate"/>
      </w:r>
      <w:r w:rsidR="00D00E65">
        <w:t>[26]</w:t>
      </w:r>
      <w:r w:rsidR="005D6369" w:rsidRPr="00903DAA">
        <w:fldChar w:fldCharType="end"/>
      </w:r>
      <w:r w:rsidRPr="00903DAA">
        <w:t>;</w:t>
      </w:r>
    </w:p>
    <w:p w14:paraId="6F3E45C4" w14:textId="2A6C7A00" w:rsidR="00267423" w:rsidRPr="00903DAA" w:rsidRDefault="00EF346B">
      <w:pPr>
        <w:pStyle w:val="ECCParagraph"/>
      </w:pPr>
      <w:r w:rsidRPr="00903DAA">
        <w:t>CEPT Reports 40</w:t>
      </w:r>
      <w:r w:rsidR="00D12143" w:rsidRPr="00903DAA">
        <w:t xml:space="preserve"> </w:t>
      </w:r>
      <w:r w:rsidR="00D12143" w:rsidRPr="00903DAA">
        <w:fldChar w:fldCharType="begin"/>
      </w:r>
      <w:r w:rsidR="00D12143" w:rsidRPr="00903DAA">
        <w:instrText xml:space="preserve"> REF _Ref503801581 \r \h </w:instrText>
      </w:r>
      <w:r w:rsidR="008D1495" w:rsidRPr="00903DAA">
        <w:instrText xml:space="preserve"> \* MERGEFORMAT </w:instrText>
      </w:r>
      <w:r w:rsidR="00D12143" w:rsidRPr="00903DAA">
        <w:fldChar w:fldCharType="separate"/>
      </w:r>
      <w:r w:rsidR="00D00E65">
        <w:t>[11]</w:t>
      </w:r>
      <w:r w:rsidR="00D12143" w:rsidRPr="00903DAA">
        <w:fldChar w:fldCharType="end"/>
      </w:r>
      <w:r w:rsidRPr="00903DAA">
        <w:t xml:space="preserve">, 41 </w:t>
      </w:r>
      <w:r w:rsidR="00D12143" w:rsidRPr="00903DAA">
        <w:fldChar w:fldCharType="begin"/>
      </w:r>
      <w:r w:rsidR="00D12143" w:rsidRPr="00903DAA">
        <w:instrText xml:space="preserve"> REF _Ref503801590 \r \h </w:instrText>
      </w:r>
      <w:r w:rsidR="008D1495" w:rsidRPr="00903DAA">
        <w:instrText xml:space="preserve"> \* MERGEFORMAT </w:instrText>
      </w:r>
      <w:r w:rsidR="00D12143" w:rsidRPr="00903DAA">
        <w:fldChar w:fldCharType="separate"/>
      </w:r>
      <w:r w:rsidR="00D00E65">
        <w:t>[12]</w:t>
      </w:r>
      <w:r w:rsidR="00D12143" w:rsidRPr="00903DAA">
        <w:fldChar w:fldCharType="end"/>
      </w:r>
      <w:r w:rsidR="00D12143" w:rsidRPr="00903DAA">
        <w:t xml:space="preserve"> </w:t>
      </w:r>
      <w:r w:rsidRPr="00903DAA">
        <w:t xml:space="preserve">and 66 </w:t>
      </w:r>
      <w:r w:rsidR="00425941" w:rsidRPr="00903DAA">
        <w:fldChar w:fldCharType="begin"/>
      </w:r>
      <w:r w:rsidR="00425941" w:rsidRPr="00903DAA">
        <w:instrText xml:space="preserve"> REF _Ref536450699 \r \h </w:instrText>
      </w:r>
      <w:r w:rsidR="008D1495" w:rsidRPr="00903DAA">
        <w:instrText xml:space="preserve"> \* MERGEFORMAT </w:instrText>
      </w:r>
      <w:r w:rsidR="00425941" w:rsidRPr="00903DAA">
        <w:fldChar w:fldCharType="separate"/>
      </w:r>
      <w:r w:rsidR="00D00E65">
        <w:t>[15]</w:t>
      </w:r>
      <w:r w:rsidR="00425941" w:rsidRPr="00903DAA">
        <w:fldChar w:fldCharType="end"/>
      </w:r>
      <w:r w:rsidR="00D12143" w:rsidRPr="00903DAA">
        <w:t xml:space="preserve"> </w:t>
      </w:r>
      <w:r w:rsidRPr="00903DAA">
        <w:rPr>
          <w:bCs/>
        </w:rPr>
        <w:t xml:space="preserve">concluded that LTE, WiMAX </w:t>
      </w:r>
      <w:r w:rsidRPr="00903DAA">
        <w:t xml:space="preserve">and </w:t>
      </w:r>
      <w:r w:rsidRPr="00903DAA">
        <w:rPr>
          <w:bCs/>
        </w:rPr>
        <w:t xml:space="preserve">IoT cellular systems can be introduced in the 900 MHz and 1800 MHz bands using appropriate values for the separation between the channel edges of the respective carriers. </w:t>
      </w:r>
      <w:r w:rsidRPr="00903DAA">
        <w:t xml:space="preserve">It is also recognised that there is a wide range of licensing situations </w:t>
      </w:r>
      <w:r w:rsidRPr="00903DAA">
        <w:lastRenderedPageBreak/>
        <w:t>for GSM, UMTS and LTE networks which have to be addressed on a national level to enable the progressive transition from GSM networks to UMTS, LTE, NR, WiMAX and IoT cellular networks.</w:t>
      </w:r>
    </w:p>
    <w:p w14:paraId="6F3E45C5" w14:textId="3DAB5E0F" w:rsidR="00267423" w:rsidRPr="00903DAA" w:rsidRDefault="00EF346B">
      <w:pPr>
        <w:pStyle w:val="ECCParagraph"/>
      </w:pPr>
      <w:r w:rsidRPr="00903DAA">
        <w:t xml:space="preserve">In the foreseen usage of these bands for M2M systems standardised by 3GPP and ETSI, ECC Report 266 </w:t>
      </w:r>
      <w:r w:rsidR="00425941" w:rsidRPr="00903DAA">
        <w:fldChar w:fldCharType="begin"/>
      </w:r>
      <w:r w:rsidR="00425941" w:rsidRPr="00903DAA">
        <w:instrText xml:space="preserve"> REF _Ref503801601 \r \h </w:instrText>
      </w:r>
      <w:r w:rsidR="00F31444" w:rsidRPr="00903DAA">
        <w:instrText xml:space="preserve"> \* MERGEFORMAT </w:instrText>
      </w:r>
      <w:r w:rsidR="00425941" w:rsidRPr="00903DAA">
        <w:fldChar w:fldCharType="separate"/>
      </w:r>
      <w:r w:rsidR="00D00E65">
        <w:t>[14]</w:t>
      </w:r>
      <w:r w:rsidR="00425941" w:rsidRPr="00903DAA">
        <w:fldChar w:fldCharType="end"/>
      </w:r>
      <w:r w:rsidR="00425941" w:rsidRPr="00903DAA">
        <w:t xml:space="preserve"> </w:t>
      </w:r>
      <w:r w:rsidRPr="00903DAA">
        <w:t xml:space="preserve">analyses the suitability of the current ECC framework for the usage of Machine-to-Machine </w:t>
      </w:r>
      <w:r w:rsidR="000343E4" w:rsidRPr="00903DAA">
        <w:t>(M2M)</w:t>
      </w:r>
      <w:r w:rsidRPr="00903DAA">
        <w:t xml:space="preserve"> applications according to the following technologies: Extended Coverage GSM IoT (EC-GSM-IoT), LTE Machine Type Communication (LTE-MTC), evolved MTC (LTE-eMTC)</w:t>
      </w:r>
      <w:r w:rsidRPr="00903DAA">
        <w:rPr>
          <w:vertAlign w:val="superscript"/>
        </w:rPr>
        <w:footnoteReference w:id="3"/>
      </w:r>
      <w:r w:rsidRPr="00903DAA">
        <w:rPr>
          <w:vertAlign w:val="superscript"/>
        </w:rPr>
        <w:t xml:space="preserve"> </w:t>
      </w:r>
      <w:r w:rsidRPr="00903DAA">
        <w:t xml:space="preserve">and Narrowband IoT (NB-IoT). It describes the various deployment models for the technologies. Deployment models refer to how Mobile Network Operators (MNO) can deploy M2M/IoT technologies, taking into account that these are narrowband technologies, while MNOs' networks are often based on wideband technologies. The deployment models are as follows: </w:t>
      </w:r>
    </w:p>
    <w:p w14:paraId="6F3E45C6" w14:textId="77777777" w:rsidR="00267423" w:rsidRPr="00903DAA" w:rsidRDefault="00EF346B" w:rsidP="00791843">
      <w:pPr>
        <w:pStyle w:val="ECCParagraph"/>
        <w:numPr>
          <w:ilvl w:val="0"/>
          <w:numId w:val="30"/>
        </w:numPr>
        <w:spacing w:after="120"/>
        <w:ind w:left="357" w:hanging="357"/>
      </w:pPr>
      <w:r w:rsidRPr="00903DAA">
        <w:t>as a fully independent deployment (standalone (SA) deployment);</w:t>
      </w:r>
    </w:p>
    <w:p w14:paraId="6F3E45C7" w14:textId="77777777" w:rsidR="00267423" w:rsidRPr="00903DAA" w:rsidRDefault="00EF346B" w:rsidP="00791843">
      <w:pPr>
        <w:pStyle w:val="ECCParagraph"/>
        <w:numPr>
          <w:ilvl w:val="0"/>
          <w:numId w:val="30"/>
        </w:numPr>
        <w:spacing w:after="120"/>
        <w:ind w:left="357" w:hanging="357"/>
      </w:pPr>
      <w:r w:rsidRPr="00903DAA">
        <w:t>by pre-empting some of the resources of an existing carrier (in-band deployment);</w:t>
      </w:r>
    </w:p>
    <w:p w14:paraId="6F3E45C8" w14:textId="77777777" w:rsidR="00267423" w:rsidRPr="00903DAA" w:rsidRDefault="00EF346B" w:rsidP="00791843">
      <w:pPr>
        <w:pStyle w:val="ECCParagraph"/>
        <w:numPr>
          <w:ilvl w:val="0"/>
          <w:numId w:val="30"/>
        </w:numPr>
        <w:spacing w:after="120"/>
        <w:ind w:left="357" w:hanging="357"/>
      </w:pPr>
      <w:r w:rsidRPr="00903DAA">
        <w:t xml:space="preserve">by being deployed on the side of an existing carrier (guard band deployment). </w:t>
      </w:r>
    </w:p>
    <w:p w14:paraId="6F3E45D5" w14:textId="40A6FB43" w:rsidR="00267423" w:rsidRPr="00903DAA" w:rsidRDefault="00EF346B">
      <w:pPr>
        <w:pStyle w:val="ECCParagraph"/>
      </w:pPr>
      <w:bookmarkStart w:id="6" w:name="_Toc517798627"/>
      <w:bookmarkStart w:id="7" w:name="_Toc517798080"/>
      <w:r w:rsidRPr="00903DAA">
        <w:t>ECC</w:t>
      </w:r>
      <w:r w:rsidR="00F529C9" w:rsidRPr="00903DAA">
        <w:t xml:space="preserve"> </w:t>
      </w:r>
      <w:r w:rsidRPr="00903DAA">
        <w:t xml:space="preserve">analysed in ECC Report 297 </w:t>
      </w:r>
      <w:r w:rsidR="00425941" w:rsidRPr="00903DAA">
        <w:fldChar w:fldCharType="begin"/>
      </w:r>
      <w:r w:rsidR="00425941" w:rsidRPr="00903DAA">
        <w:instrText xml:space="preserve"> REF _Ref536450961 \r \h </w:instrText>
      </w:r>
      <w:r w:rsidR="008D1495" w:rsidRPr="00903DAA">
        <w:instrText xml:space="preserve"> \* MERGEFORMAT </w:instrText>
      </w:r>
      <w:r w:rsidR="00425941" w:rsidRPr="00903DAA">
        <w:fldChar w:fldCharType="separate"/>
      </w:r>
      <w:r w:rsidR="00D00E65">
        <w:t>[17]</w:t>
      </w:r>
      <w:r w:rsidR="00425941" w:rsidRPr="00903DAA">
        <w:fldChar w:fldCharType="end"/>
      </w:r>
      <w:r w:rsidR="00425941" w:rsidRPr="00903DAA">
        <w:t xml:space="preserve"> </w:t>
      </w:r>
      <w:r w:rsidRPr="00903DAA">
        <w:t xml:space="preserve">the characteristics of the NR non-AAS BS systems including Supplemental Uplink (SUL) operation as developed by standardisation bodies compared to LTE non-AAS BS and concluded that they are generally equivalent for the purpose of co-existence studies. </w:t>
      </w:r>
    </w:p>
    <w:p w14:paraId="6F3E45D6" w14:textId="3F0F31C8" w:rsidR="00267423" w:rsidRPr="00903DAA" w:rsidRDefault="00EF346B">
      <w:pPr>
        <w:pStyle w:val="ECCParagraph"/>
      </w:pPr>
      <w:r w:rsidRPr="00903DAA">
        <w:t>ECC also analysed the characteristics of the NR AAS BS and LTE AAS BS systems and concluded that they are generally aligned and are also equivalent for the purpose of co-existence studies to those of LTE non-AAS BS system with the same functionality</w:t>
      </w:r>
      <w:r w:rsidR="009170F3" w:rsidRPr="00903DAA">
        <w:t>:</w:t>
      </w:r>
    </w:p>
    <w:p w14:paraId="6F3E45D7" w14:textId="4D1B0DA3" w:rsidR="00267423" w:rsidRPr="00903DAA" w:rsidRDefault="00EF346B" w:rsidP="006525A2">
      <w:pPr>
        <w:pStyle w:val="ECCBulletsLv1"/>
        <w:numPr>
          <w:ilvl w:val="0"/>
          <w:numId w:val="39"/>
        </w:numPr>
        <w:spacing w:before="0" w:after="120"/>
        <w:ind w:left="340" w:hanging="340"/>
      </w:pPr>
      <w:r w:rsidRPr="00903DAA">
        <w:t>ECC noted that AAS  is not implemented in User Equipment at 900/1800 MHz</w:t>
      </w:r>
      <w:r w:rsidRPr="00472501">
        <w:t xml:space="preserve"> </w:t>
      </w:r>
      <w:r w:rsidRPr="00903DAA">
        <w:t>frequency bands</w:t>
      </w:r>
      <w:r w:rsidR="00A51A2E" w:rsidRPr="00903DAA">
        <w:t>;</w:t>
      </w:r>
      <w:r w:rsidRPr="00903DAA">
        <w:t xml:space="preserve">  </w:t>
      </w:r>
    </w:p>
    <w:p w14:paraId="6F3E45D8" w14:textId="35A5D2BA" w:rsidR="00267423" w:rsidRPr="00903DAA" w:rsidRDefault="00EF346B" w:rsidP="006525A2">
      <w:pPr>
        <w:pStyle w:val="ECCBulletsLv1"/>
        <w:numPr>
          <w:ilvl w:val="0"/>
          <w:numId w:val="39"/>
        </w:numPr>
        <w:spacing w:before="0" w:after="120"/>
        <w:ind w:left="340" w:hanging="340"/>
      </w:pPr>
      <w:r w:rsidRPr="00903DAA">
        <w:t xml:space="preserve">ECC analysed and confirmed that the conclusions of the adjacent bands compatibility studies from CEPT Report 41 </w:t>
      </w:r>
      <w:r w:rsidR="009B45D9" w:rsidRPr="00903DAA">
        <w:fldChar w:fldCharType="begin"/>
      </w:r>
      <w:r w:rsidR="009B45D9" w:rsidRPr="00903DAA">
        <w:instrText xml:space="preserve"> REF _Ref503801590 \r \h </w:instrText>
      </w:r>
      <w:r w:rsidR="00DE716F" w:rsidRPr="00903DAA">
        <w:instrText xml:space="preserve"> \* MERGEFORMAT </w:instrText>
      </w:r>
      <w:r w:rsidR="009B45D9" w:rsidRPr="00903DAA">
        <w:fldChar w:fldCharType="separate"/>
      </w:r>
      <w:r w:rsidR="00D00E65">
        <w:t>[12]</w:t>
      </w:r>
      <w:r w:rsidR="009B45D9" w:rsidRPr="00903DAA">
        <w:fldChar w:fldCharType="end"/>
      </w:r>
      <w:r w:rsidR="009B45D9" w:rsidRPr="00903DAA">
        <w:t xml:space="preserve"> </w:t>
      </w:r>
      <w:r w:rsidRPr="00903DAA">
        <w:t xml:space="preserve">and CEPT Report 42 </w:t>
      </w:r>
      <w:r w:rsidR="00425941" w:rsidRPr="00903DAA">
        <w:fldChar w:fldCharType="begin"/>
      </w:r>
      <w:r w:rsidR="00425941" w:rsidRPr="00903DAA">
        <w:instrText xml:space="preserve"> REF _Ref503801506 \r \h </w:instrText>
      </w:r>
      <w:r w:rsidR="00F31444" w:rsidRPr="00903DAA">
        <w:instrText xml:space="preserve"> \* MERGEFORMAT </w:instrText>
      </w:r>
      <w:r w:rsidR="00425941" w:rsidRPr="00903DAA">
        <w:fldChar w:fldCharType="separate"/>
      </w:r>
      <w:r w:rsidR="00D00E65">
        <w:t>[4]</w:t>
      </w:r>
      <w:r w:rsidR="00425941" w:rsidRPr="00903DAA">
        <w:fldChar w:fldCharType="end"/>
      </w:r>
      <w:r w:rsidR="00425941" w:rsidRPr="00903DAA">
        <w:t xml:space="preserve"> </w:t>
      </w:r>
      <w:r w:rsidRPr="00903DAA">
        <w:t>applicable to LTE non-AAS in 900/1800 MHz frequency bands are also applicable to both NR non-AAS 900/1800 MHz and LTE/NR AAS 1800 MHz</w:t>
      </w:r>
      <w:r w:rsidR="00A51A2E" w:rsidRPr="00903DAA">
        <w:t>;</w:t>
      </w:r>
    </w:p>
    <w:p w14:paraId="6F3E45D9" w14:textId="6DF647B6" w:rsidR="00267423" w:rsidRPr="00903DAA" w:rsidRDefault="00EF346B" w:rsidP="006525A2">
      <w:pPr>
        <w:pStyle w:val="ECCBulletsLv1"/>
        <w:numPr>
          <w:ilvl w:val="0"/>
          <w:numId w:val="39"/>
        </w:numPr>
        <w:spacing w:before="0" w:after="120"/>
      </w:pPr>
      <w:r w:rsidRPr="00903DAA">
        <w:t>ECC analysed and confirmed that the conclusions of the in-band compatibility studies applicable to LTE non-AAS in 900/1800 MHz bands from CEPT Report 40 are also applicable to NR AAS, NR non-AAS and LTE AAS in 1800 MHz band and to NR non-AAS in 900 MHz band.</w:t>
      </w:r>
    </w:p>
    <w:p w14:paraId="3412E9F3" w14:textId="4CC4DAB3" w:rsidR="0067485F" w:rsidRPr="00903DAA" w:rsidRDefault="0067485F" w:rsidP="00690E00">
      <w:pPr>
        <w:pStyle w:val="ECCParagraph"/>
        <w:spacing w:before="240" w:after="60"/>
        <w:rPr>
          <w:rFonts w:eastAsia="Calibri"/>
        </w:rPr>
      </w:pPr>
      <w:r w:rsidRPr="00903DAA">
        <w:rPr>
          <w:rFonts w:eastAsia="Calibri"/>
        </w:rPr>
        <w:t xml:space="preserve">Further to </w:t>
      </w:r>
      <w:r w:rsidR="00A05002" w:rsidRPr="00903DAA">
        <w:rPr>
          <w:rFonts w:eastAsia="Calibri"/>
        </w:rPr>
        <w:t xml:space="preserve">the </w:t>
      </w:r>
      <w:r w:rsidRPr="00903DAA">
        <w:rPr>
          <w:rFonts w:eastAsia="Calibri"/>
        </w:rPr>
        <w:t xml:space="preserve">EC </w:t>
      </w:r>
      <w:r w:rsidR="00A05002" w:rsidRPr="00903DAA">
        <w:rPr>
          <w:rFonts w:eastAsia="Calibri"/>
        </w:rPr>
        <w:t xml:space="preserve">Mandate </w:t>
      </w:r>
      <w:r w:rsidRPr="00903DAA">
        <w:rPr>
          <w:rFonts w:eastAsia="Calibri"/>
        </w:rPr>
        <w:t xml:space="preserve">requiring implementation of the technology neutral principle in the 900/1800 MHz bands, CEPT has analysed </w:t>
      </w:r>
      <w:r w:rsidR="00C47FDE" w:rsidRPr="00903DAA">
        <w:rPr>
          <w:rFonts w:eastAsia="Calibri"/>
        </w:rPr>
        <w:t xml:space="preserve">in CEPT </w:t>
      </w:r>
      <w:r w:rsidR="008003E4" w:rsidRPr="00903DAA">
        <w:rPr>
          <w:rFonts w:eastAsia="Calibri"/>
        </w:rPr>
        <w:t xml:space="preserve">Report </w:t>
      </w:r>
      <w:r w:rsidR="00C47FDE" w:rsidRPr="00903DAA">
        <w:rPr>
          <w:rFonts w:eastAsia="Calibri"/>
        </w:rPr>
        <w:t>80</w:t>
      </w:r>
      <w:r w:rsidR="008003E4" w:rsidRPr="00903DAA">
        <w:rPr>
          <w:rFonts w:eastAsia="Calibri"/>
        </w:rPr>
        <w:t xml:space="preserve"> </w:t>
      </w:r>
      <w:r w:rsidR="008003E4" w:rsidRPr="00903DAA">
        <w:rPr>
          <w:rFonts w:eastAsia="Calibri"/>
        </w:rPr>
        <w:fldChar w:fldCharType="begin"/>
      </w:r>
      <w:r w:rsidR="008003E4" w:rsidRPr="00903DAA">
        <w:rPr>
          <w:rFonts w:eastAsia="Calibri"/>
        </w:rPr>
        <w:instrText xml:space="preserve"> REF _Ref83040054 \r \h </w:instrText>
      </w:r>
      <w:r w:rsidR="00EF13ED" w:rsidRPr="00903DAA">
        <w:rPr>
          <w:rFonts w:eastAsia="Calibri"/>
        </w:rPr>
        <w:instrText xml:space="preserve"> \* MERGEFORMAT </w:instrText>
      </w:r>
      <w:r w:rsidR="008003E4" w:rsidRPr="00903DAA">
        <w:rPr>
          <w:rFonts w:eastAsia="Calibri"/>
        </w:rPr>
      </w:r>
      <w:r w:rsidR="008003E4" w:rsidRPr="00903DAA">
        <w:rPr>
          <w:rFonts w:eastAsia="Calibri"/>
        </w:rPr>
        <w:fldChar w:fldCharType="separate"/>
      </w:r>
      <w:r w:rsidR="00D00E65">
        <w:rPr>
          <w:rFonts w:eastAsia="Calibri"/>
        </w:rPr>
        <w:t>[19]</w:t>
      </w:r>
      <w:r w:rsidR="008003E4" w:rsidRPr="00903DAA">
        <w:rPr>
          <w:rFonts w:eastAsia="Calibri"/>
        </w:rPr>
        <w:fldChar w:fldCharType="end"/>
      </w:r>
      <w:r w:rsidR="00C47FDE" w:rsidRPr="00903DAA">
        <w:rPr>
          <w:rFonts w:eastAsia="Calibri"/>
        </w:rPr>
        <w:t xml:space="preserve"> </w:t>
      </w:r>
      <w:r w:rsidRPr="00903DAA">
        <w:rPr>
          <w:rFonts w:eastAsia="Calibri"/>
        </w:rPr>
        <w:t>how to transpose the current harmonised technical conditions, based on a list of technologies identified by the previous EC regulatory framework: UMTS, LTE</w:t>
      </w:r>
      <w:r w:rsidR="00400C43" w:rsidRPr="00903DAA">
        <w:rPr>
          <w:rFonts w:eastAsia="Calibri"/>
        </w:rPr>
        <w:t>,</w:t>
      </w:r>
      <w:r w:rsidRPr="00903DAA">
        <w:rPr>
          <w:rFonts w:eastAsia="Calibri"/>
        </w:rPr>
        <w:t xml:space="preserve"> WiMAX, NR and NB-IoT, to a common set of </w:t>
      </w:r>
      <w:r w:rsidR="008003E4" w:rsidRPr="00903DAA">
        <w:rPr>
          <w:rFonts w:eastAsia="Calibri"/>
        </w:rPr>
        <w:t xml:space="preserve">least restrictive technical conditions </w:t>
      </w:r>
      <w:r w:rsidRPr="00903DAA">
        <w:rPr>
          <w:rFonts w:eastAsia="Calibri"/>
        </w:rPr>
        <w:t>(LRTC</w:t>
      </w:r>
      <w:r w:rsidR="00400C43" w:rsidRPr="00903DAA">
        <w:rPr>
          <w:rFonts w:eastAsia="Calibri"/>
        </w:rPr>
        <w:t>s</w:t>
      </w:r>
      <w:r w:rsidRPr="00903DAA">
        <w:rPr>
          <w:rFonts w:eastAsia="Calibri"/>
        </w:rPr>
        <w:t>) which are compliant with the principl</w:t>
      </w:r>
      <w:r w:rsidR="00815B56">
        <w:rPr>
          <w:rFonts w:eastAsia="Calibri"/>
        </w:rPr>
        <w:t>e</w:t>
      </w:r>
      <w:r w:rsidRPr="00903DAA">
        <w:rPr>
          <w:rFonts w:eastAsia="Calibri"/>
        </w:rPr>
        <w:t>s of technology neutrality.</w:t>
      </w:r>
      <w:r w:rsidR="00400C43" w:rsidRPr="00903DAA">
        <w:rPr>
          <w:rFonts w:eastAsia="Calibri"/>
        </w:rPr>
        <w:t xml:space="preserve"> </w:t>
      </w:r>
    </w:p>
    <w:p w14:paraId="7AC7C2C2" w14:textId="1ABE5E00" w:rsidR="0067485F" w:rsidRPr="00903DAA" w:rsidRDefault="0067485F" w:rsidP="00690E00">
      <w:pPr>
        <w:spacing w:before="240" w:after="60"/>
        <w:jc w:val="both"/>
        <w:rPr>
          <w:rFonts w:eastAsia="Calibri"/>
          <w:iCs/>
          <w:lang w:val="en-GB"/>
        </w:rPr>
      </w:pPr>
      <w:r w:rsidRPr="00903DAA">
        <w:rPr>
          <w:rFonts w:eastAsia="Calibri"/>
          <w:iCs/>
          <w:lang w:val="en-GB"/>
        </w:rPr>
        <w:t>CEPT considered the following definitions for NB and WB systems respectively:</w:t>
      </w:r>
    </w:p>
    <w:p w14:paraId="5C878A94" w14:textId="2EADB8E4" w:rsidR="0067485F" w:rsidRPr="00903DAA" w:rsidRDefault="0067485F" w:rsidP="0071354C">
      <w:pPr>
        <w:pStyle w:val="ECCParBulleted"/>
        <w:rPr>
          <w:rFonts w:eastAsia="Calibri"/>
        </w:rPr>
      </w:pPr>
      <w:r w:rsidRPr="00903DAA">
        <w:rPr>
          <w:rFonts w:eastAsia="Calibri"/>
        </w:rPr>
        <w:t>NB systems as systems operating in 200 kHz channels, excluding GSM and EC-GSM-IoT</w:t>
      </w:r>
      <w:r w:rsidR="004C13FB" w:rsidRPr="00903DAA">
        <w:rPr>
          <w:rFonts w:eastAsia="Calibri"/>
        </w:rPr>
        <w:t>;</w:t>
      </w:r>
      <w:r w:rsidRPr="00903DAA">
        <w:rPr>
          <w:rFonts w:eastAsia="Calibri"/>
        </w:rPr>
        <w:t xml:space="preserve"> </w:t>
      </w:r>
    </w:p>
    <w:p w14:paraId="56DC4494" w14:textId="0DD55823" w:rsidR="0067485F" w:rsidRPr="00903DAA" w:rsidRDefault="0067485F" w:rsidP="0071354C">
      <w:pPr>
        <w:pStyle w:val="ECCParBulleted"/>
        <w:rPr>
          <w:rFonts w:eastAsia="Calibri"/>
        </w:rPr>
      </w:pPr>
      <w:r w:rsidRPr="00903DAA">
        <w:rPr>
          <w:rFonts w:eastAsia="Calibri"/>
        </w:rPr>
        <w:t>WB systems as systems operating in channels larger than 200 kHz</w:t>
      </w:r>
      <w:r w:rsidR="00E15FFA" w:rsidRPr="00903DAA">
        <w:rPr>
          <w:rFonts w:eastAsia="Calibri"/>
        </w:rPr>
        <w:t>.</w:t>
      </w:r>
    </w:p>
    <w:p w14:paraId="38128F36" w14:textId="1C847753" w:rsidR="0067485F" w:rsidRPr="00903DAA" w:rsidRDefault="0067485F" w:rsidP="00690E00">
      <w:pPr>
        <w:pStyle w:val="ECCBulletsLv1"/>
        <w:spacing w:before="240" w:after="60"/>
      </w:pPr>
      <w:r w:rsidRPr="00903DAA">
        <w:t>Therefore, the LRTC</w:t>
      </w:r>
      <w:r w:rsidR="00A97F11" w:rsidRPr="00903DAA">
        <w:t>s</w:t>
      </w:r>
      <w:r w:rsidRPr="00903DAA">
        <w:t xml:space="preserve"> include various common components of a Block Edge Mask (BEM) applicable for both WB and NB systems and, when appropriate, relevant frequency separation to be applied at the edge of the assigned block.</w:t>
      </w:r>
    </w:p>
    <w:p w14:paraId="3B0CECA0" w14:textId="2A05A93A" w:rsidR="0067485F" w:rsidRPr="00903DAA" w:rsidRDefault="0067485F" w:rsidP="00690E00">
      <w:pPr>
        <w:pStyle w:val="ECCBulletsLv1"/>
        <w:spacing w:before="240" w:after="60"/>
      </w:pPr>
      <w:r w:rsidRPr="00903DAA">
        <w:t>CEPT agreed to derive a single BEM for non-AAS BS based on non-AAS MSR BS unwanted emissions supporting UMTS, LTE (1.4 MHz, 3 MHz</w:t>
      </w:r>
      <w:r w:rsidR="001A0A5B" w:rsidRPr="00903DAA">
        <w:t xml:space="preserve"> and</w:t>
      </w:r>
      <w:r w:rsidRPr="00903DAA">
        <w:t>5 MHz), NR, NB-IoT-SA</w:t>
      </w:r>
      <w:r w:rsidR="000E0432" w:rsidRPr="00903DAA">
        <w:t>.</w:t>
      </w:r>
    </w:p>
    <w:p w14:paraId="79DE8013" w14:textId="3639CE91" w:rsidR="0067485F" w:rsidRPr="00903DAA" w:rsidRDefault="0067485F" w:rsidP="00690E00">
      <w:pPr>
        <w:pStyle w:val="ECCBulletsLv1"/>
        <w:spacing w:before="240" w:after="60"/>
      </w:pPr>
      <w:r w:rsidRPr="00903DAA">
        <w:t>CEPT agreed to derive a single BEM for AAS BS based on AAS MSR BS unwanted emissions supporting UMTS, LTE (1.4 MHz, 3 MHz</w:t>
      </w:r>
      <w:r w:rsidR="0079170F" w:rsidRPr="00903DAA">
        <w:t xml:space="preserve"> and</w:t>
      </w:r>
      <w:r w:rsidRPr="00903DAA">
        <w:t xml:space="preserve"> 5 MHz), NR</w:t>
      </w:r>
      <w:r w:rsidR="000E0432" w:rsidRPr="00903DAA">
        <w:t>.</w:t>
      </w:r>
    </w:p>
    <w:p w14:paraId="73CF26C7" w14:textId="62B668DD" w:rsidR="00EE729D" w:rsidRPr="00903DAA" w:rsidRDefault="00EE729D" w:rsidP="00690E00">
      <w:pPr>
        <w:pStyle w:val="ECCBulletsLv1"/>
        <w:spacing w:before="240" w:after="60"/>
      </w:pPr>
      <w:r w:rsidRPr="00903DAA">
        <w:t xml:space="preserve">CEPT confirmed in CEPT </w:t>
      </w:r>
      <w:r w:rsidR="009D4BB7" w:rsidRPr="00903DAA">
        <w:t>R</w:t>
      </w:r>
      <w:r w:rsidRPr="00903DAA">
        <w:t xml:space="preserve">eport 80 </w:t>
      </w:r>
      <w:r w:rsidR="00A97F11" w:rsidRPr="00903DAA">
        <w:t>that</w:t>
      </w:r>
      <w:r w:rsidRPr="00903DAA">
        <w:t xml:space="preserve"> GSM </w:t>
      </w:r>
      <w:r w:rsidR="007A138E" w:rsidRPr="00903DAA">
        <w:t xml:space="preserve">(including EC-GSM-IoT) </w:t>
      </w:r>
      <w:r w:rsidRPr="00903DAA">
        <w:t xml:space="preserve">protection from systems complying </w:t>
      </w:r>
      <w:r w:rsidR="00A97F11" w:rsidRPr="00903DAA">
        <w:t>with the harmoni</w:t>
      </w:r>
      <w:r w:rsidR="00595C26" w:rsidRPr="00903DAA">
        <w:t>s</w:t>
      </w:r>
      <w:r w:rsidR="00A97F11" w:rsidRPr="00903DAA">
        <w:t xml:space="preserve">ed LRTCs (non-AAS or AAS) is ensured, </w:t>
      </w:r>
      <w:r w:rsidRPr="00903DAA">
        <w:t>with relevant frequency separation as appropriate</w:t>
      </w:r>
      <w:r w:rsidR="00FA6028" w:rsidRPr="00903DAA">
        <w:t>.</w:t>
      </w:r>
    </w:p>
    <w:p w14:paraId="6F07B946" w14:textId="4262B80D" w:rsidR="004C3EE7" w:rsidRPr="00903DAA" w:rsidRDefault="004C3EE7" w:rsidP="004C3EE7">
      <w:pPr>
        <w:pStyle w:val="ECCParagraph"/>
      </w:pPr>
      <w:r w:rsidRPr="00903DAA">
        <w:lastRenderedPageBreak/>
        <w:t xml:space="preserve">Based on CEPT </w:t>
      </w:r>
      <w:r w:rsidR="004E153A" w:rsidRPr="00903DAA">
        <w:t>R</w:t>
      </w:r>
      <w:r w:rsidRPr="00903DAA">
        <w:t xml:space="preserve">eport 80, CEPT updated in 2021 the ECC framework on 900 and 1800 MHz giving flexibility for usage of various MFCN technologies according to </w:t>
      </w:r>
      <w:r w:rsidR="004E4372">
        <w:t xml:space="preserve">the </w:t>
      </w:r>
      <w:r w:rsidRPr="00903DAA">
        <w:t>national situation.</w:t>
      </w:r>
    </w:p>
    <w:p w14:paraId="6F3E45E0" w14:textId="77777777" w:rsidR="00267423" w:rsidRPr="00472501" w:rsidRDefault="00EF346B" w:rsidP="0057004A">
      <w:pPr>
        <w:pStyle w:val="Heading2"/>
        <w:rPr>
          <w:lang w:val="en-GB"/>
        </w:rPr>
      </w:pPr>
      <w:bookmarkStart w:id="8" w:name="_Hlk80790438"/>
      <w:r w:rsidRPr="00472501">
        <w:rPr>
          <w:lang w:val="en-GB"/>
        </w:rPr>
        <w:t>REQUIREMENT FOR AN ECC DECISION</w:t>
      </w:r>
      <w:bookmarkEnd w:id="6"/>
      <w:bookmarkEnd w:id="7"/>
    </w:p>
    <w:bookmarkEnd w:id="8"/>
    <w:p w14:paraId="6F3E45E1" w14:textId="1A5523E7" w:rsidR="00267423" w:rsidRPr="00903DAA" w:rsidRDefault="00EF346B">
      <w:pPr>
        <w:pStyle w:val="ECCParagraph"/>
      </w:pPr>
      <w:r w:rsidRPr="00903DAA">
        <w:t xml:space="preserve">The ECC recognises that a harmonised implementation of cellular technologies will be of greatest benefit to operators, manufacturers as well as users and will facilitate the successful deployment of </w:t>
      </w:r>
      <w:r w:rsidR="005011FC" w:rsidRPr="00903DAA">
        <w:t xml:space="preserve">for example </w:t>
      </w:r>
      <w:r w:rsidRPr="00903DAA">
        <w:t>LTE, NR and IoT cellular technologies. Furthermore, the ECC recognises the demand for the introduction of IoT cellular technologies, i.e. LTE-MTC/eMTC (LTE evolved Machine Type Communication), EC-GSM-IoT (Extended Coverage GSM IoT) and NB-IoT (Narrowband IoT).</w:t>
      </w:r>
    </w:p>
    <w:p w14:paraId="6F3E45E3" w14:textId="0E1DE095" w:rsidR="00267423" w:rsidRPr="00903DAA" w:rsidRDefault="00EF346B">
      <w:pPr>
        <w:pStyle w:val="ECCParagraph"/>
      </w:pPr>
      <w:r w:rsidRPr="00903DAA">
        <w:t>The ECC recognises that the introduction of NR in the bands 880-915 MHz, 925-960 MHz, 1710-1785 MHz and 1805-1880 MHz provides opportunity for better coverage and, ultimately, more capacity. These frequency bands are already widely harmonised in Europe for GSM, UMTS</w:t>
      </w:r>
      <w:r w:rsidR="005011FC" w:rsidRPr="00903DAA">
        <w:t>,</w:t>
      </w:r>
      <w:r w:rsidRPr="00903DAA">
        <w:t xml:space="preserve"> LTE</w:t>
      </w:r>
      <w:r w:rsidR="005011FC" w:rsidRPr="00903DAA">
        <w:t xml:space="preserve"> and, IoT cellular</w:t>
      </w:r>
      <w:r w:rsidRPr="00903DAA">
        <w:t xml:space="preserve"> networks. </w:t>
      </w:r>
    </w:p>
    <w:p w14:paraId="7E6B0ECE" w14:textId="33089F09" w:rsidR="0078583A" w:rsidRPr="00903DAA" w:rsidRDefault="0078583A" w:rsidP="007E0EF4">
      <w:pPr>
        <w:pStyle w:val="ECCParagraph"/>
      </w:pPr>
      <w:r w:rsidRPr="00903DAA">
        <w:t>The ECC recognises that NR systems have been developed to meet a new demand for enhanced mobile broadband (eMBB), massive machine type communications (mMTC), and ultra-reliable and low latency communications (URLLC)</w:t>
      </w:r>
      <w:r w:rsidR="007E0EF4" w:rsidRPr="00903DAA">
        <w:t>.</w:t>
      </w:r>
    </w:p>
    <w:p w14:paraId="745B64E7" w14:textId="7981EAE2" w:rsidR="00151AEC" w:rsidRPr="00903DAA" w:rsidRDefault="00151AEC" w:rsidP="00151AEC">
      <w:pPr>
        <w:pStyle w:val="ECCParagraph"/>
      </w:pPr>
      <w:r w:rsidRPr="00903DAA">
        <w:t>CEPT has analysed how to transpose the current harmonised technical conditions, based on a list of technologies identified by the previous EC</w:t>
      </w:r>
      <w:r w:rsidR="009B22D0" w:rsidRPr="00903DAA">
        <w:t>C</w:t>
      </w:r>
      <w:r w:rsidRPr="00903DAA">
        <w:t xml:space="preserve"> regulatory framework: UMTS, WiMAX, NR, NB-IoT and LTE, to a common set of LRTCs which are compliant with the principle of technology neutrality.</w:t>
      </w:r>
    </w:p>
    <w:p w14:paraId="713AEAED" w14:textId="76E57187" w:rsidR="00151AEC" w:rsidRPr="00903DAA" w:rsidRDefault="00151AEC" w:rsidP="00151AEC">
      <w:pPr>
        <w:pStyle w:val="ECCParagraph"/>
      </w:pPr>
      <w:r w:rsidRPr="00903DAA">
        <w:t xml:space="preserve">CEPT confirmed the need to replace the current technical framework based on references to ETSI harmonised standards for both bands in order to implement the LRTCs approach suitable for long term development of various mobile systems (NB/WB, non-AAS, AAS) in the 900/1800 MHz bands. </w:t>
      </w:r>
    </w:p>
    <w:p w14:paraId="7C536D6C" w14:textId="02975D07" w:rsidR="00151AEC" w:rsidRPr="00903DAA" w:rsidRDefault="00151AEC" w:rsidP="009B22D0">
      <w:pPr>
        <w:pStyle w:val="ECCParagraph"/>
      </w:pPr>
      <w:r w:rsidRPr="00903DAA">
        <w:t>Furthermore, it ensure</w:t>
      </w:r>
      <w:r w:rsidR="009B22D0" w:rsidRPr="00903DAA">
        <w:t>s</w:t>
      </w:r>
      <w:r w:rsidRPr="00903DAA">
        <w:t xml:space="preserve"> coexistence with the GSM system in the 900/1800 MHz frequency bands, pursuant to the GSM Directive (Council Directive 87/372/EEC </w:t>
      </w:r>
      <w:r w:rsidR="008F5746" w:rsidRPr="00903DAA">
        <w:fldChar w:fldCharType="begin"/>
      </w:r>
      <w:r w:rsidR="008F5746" w:rsidRPr="00903DAA">
        <w:instrText xml:space="preserve"> REF _Ref503801515 \r \h </w:instrText>
      </w:r>
      <w:r w:rsidR="00625E17" w:rsidRPr="00903DAA">
        <w:instrText xml:space="preserve"> \* MERGEFORMAT </w:instrText>
      </w:r>
      <w:r w:rsidR="008F5746" w:rsidRPr="00903DAA">
        <w:fldChar w:fldCharType="separate"/>
      </w:r>
      <w:r w:rsidR="00D00E65">
        <w:t>[5]</w:t>
      </w:r>
      <w:r w:rsidR="008F5746" w:rsidRPr="00903DAA">
        <w:fldChar w:fldCharType="end"/>
      </w:r>
      <w:r w:rsidR="008F5746" w:rsidRPr="00903DAA">
        <w:t xml:space="preserve"> </w:t>
      </w:r>
      <w:r w:rsidRPr="00903DAA">
        <w:t xml:space="preserve">as amended by Directive 2009/114/EC of the European Parliament and of the Council </w:t>
      </w:r>
      <w:r w:rsidR="008F5746" w:rsidRPr="00903DAA">
        <w:fldChar w:fldCharType="begin"/>
      </w:r>
      <w:r w:rsidR="008F5746" w:rsidRPr="00903DAA">
        <w:instrText xml:space="preserve"> REF _Ref503801553 \r \h </w:instrText>
      </w:r>
      <w:r w:rsidR="00625E17" w:rsidRPr="00903DAA">
        <w:instrText xml:space="preserve"> \* MERGEFORMAT </w:instrText>
      </w:r>
      <w:r w:rsidR="008F5746" w:rsidRPr="00903DAA">
        <w:fldChar w:fldCharType="separate"/>
      </w:r>
      <w:r w:rsidR="00D00E65">
        <w:t>[10]</w:t>
      </w:r>
      <w:r w:rsidR="008F5746" w:rsidRPr="00903DAA">
        <w:fldChar w:fldCharType="end"/>
      </w:r>
      <w:r w:rsidRPr="00903DAA">
        <w:t>), while delivering a solution, which ensures availability and efficient use of the spectrum for next-generation terrestrial wireless systems in line with the Union’s spectrum policy priorities.</w:t>
      </w:r>
      <w:r w:rsidR="00022265" w:rsidRPr="00903DAA">
        <w:t xml:space="preserve"> EC-GSM-IoT is protected as GSM with the proposed technology neutral LRTCs. CEPT developed an analysis for GSM in CEPT Report 80, which is also valid for EC-GSM-IoT.</w:t>
      </w:r>
    </w:p>
    <w:p w14:paraId="6F3E45E5" w14:textId="05AE87D7" w:rsidR="00267423" w:rsidRPr="00903DAA" w:rsidRDefault="00EF346B">
      <w:pPr>
        <w:pStyle w:val="ECCParagraph"/>
      </w:pPr>
      <w:r w:rsidRPr="00903DAA">
        <w:t>The 900 MHz and 1800 MHz bands are intensively used. This ECC Decision will enable flexibility and increased spectrum efficiency in these bands.</w:t>
      </w:r>
    </w:p>
    <w:p w14:paraId="3108947E" w14:textId="5BD7F208" w:rsidR="009B22D0" w:rsidRPr="00903DAA" w:rsidRDefault="009B22D0" w:rsidP="004834C4">
      <w:pPr>
        <w:pStyle w:val="ECCParagraph"/>
      </w:pPr>
      <w:r w:rsidRPr="00903DAA">
        <w:t>This ECC Decision provides the necessary provisions for the designation of the bands 880-915 MHz, 925-960 MHz, 1710-1785 MHz and 1805-1880 MHz, for Narrowband (</w:t>
      </w:r>
      <w:r w:rsidRPr="00903DAA">
        <w:rPr>
          <w:rFonts w:cs="Arial"/>
          <w:szCs w:val="20"/>
        </w:rPr>
        <w:t xml:space="preserve">NB) systems </w:t>
      </w:r>
      <w:r w:rsidRPr="00903DAA">
        <w:t>and Wideband (</w:t>
      </w:r>
      <w:r w:rsidRPr="00903DAA">
        <w:rPr>
          <w:rFonts w:eastAsiaTheme="minorHAnsi" w:cs="Arial"/>
          <w:szCs w:val="20"/>
        </w:rPr>
        <w:t xml:space="preserve">WB) systems </w:t>
      </w:r>
      <w:r w:rsidR="00762DB5" w:rsidRPr="00903DAA">
        <w:t xml:space="preserve">and their implementation is </w:t>
      </w:r>
      <w:r w:rsidRPr="00903DAA">
        <w:t>subject to market demand and national licensing schemes</w:t>
      </w:r>
      <w:r w:rsidR="00352F25" w:rsidRPr="00903DAA">
        <w:t>.</w:t>
      </w:r>
      <w:r w:rsidRPr="00903DAA">
        <w:t xml:space="preserve"> </w:t>
      </w:r>
    </w:p>
    <w:p w14:paraId="6F3E45E7" w14:textId="139E0665" w:rsidR="00267423" w:rsidRPr="00903DAA" w:rsidRDefault="00EF346B">
      <w:pPr>
        <w:pStyle w:val="ECCParagraph"/>
      </w:pPr>
      <w:r w:rsidRPr="00903DAA">
        <w:t>Decisions that "designate" a frequency band for a harmonised application are intended to foster the deployment of an application to meet a market demand in a harmonised manner throughout CEPT. Members implementing the Decision commit themselves to make spectrum available for this harmonised application which includes assessing when and where there is a demand for the harmonised service/application and deciding whether that demand is great enough to exclude other services and applications from the harmonised band. Such Decisions shall not inhibit radiocommunication equipment meeting different standards from operating in an identified frequency band provided it offers the same spectrum use and application as specified in a Decision for the band and is placed on the market in conformity with the essential requirements i.e. it makes effective use of the spectrum allocated to terrestrial/space radiocommunications so as to avoid harmful interference</w:t>
      </w:r>
      <w:r w:rsidRPr="00903DAA">
        <w:rPr>
          <w:vertAlign w:val="superscript"/>
        </w:rPr>
        <w:footnoteReference w:id="4"/>
      </w:r>
      <w:r w:rsidRPr="00903DAA">
        <w:t>.</w:t>
      </w:r>
    </w:p>
    <w:p w14:paraId="3D6E51DB" w14:textId="18B4A404" w:rsidR="0078583A" w:rsidRPr="00903DAA" w:rsidRDefault="0078583A" w:rsidP="00CF0264">
      <w:pPr>
        <w:pStyle w:val="Heading1"/>
      </w:pPr>
      <w:r w:rsidRPr="00903DAA">
        <w:lastRenderedPageBreak/>
        <w:t xml:space="preserve">ECC DECISION OF 1 DECEMBER 2006 ON THE Harmonised technical conditions for mobile/fixed communications networks (MFCN) including terrestrial IMT systems, </w:t>
      </w:r>
      <w:r w:rsidR="001F46E9" w:rsidRPr="00903DAA">
        <w:t>other than</w:t>
      </w:r>
      <w:r w:rsidRPr="00903DAA">
        <w:t xml:space="preserve"> GSM and EC-GSM-IoT, in the bands 880-915/925-960 MHz and 1710-1785/1805-1880 MHz</w:t>
      </w:r>
      <w:r w:rsidRPr="00903DAA" w:rsidDel="00C07F77">
        <w:t xml:space="preserve"> </w:t>
      </w:r>
      <w:r w:rsidRPr="00903DAA">
        <w:t xml:space="preserve">(ECC/DEC/(06)13), AMENDED 21 JUNE 2013, 2 MARCH 2018, 8 march 2019 and </w:t>
      </w:r>
      <w:r w:rsidR="00F81892">
        <w:t>4 mar</w:t>
      </w:r>
      <w:r w:rsidR="00CF0264">
        <w:t>c</w:t>
      </w:r>
      <w:r w:rsidR="00F81892">
        <w:t>h</w:t>
      </w:r>
      <w:r w:rsidRPr="00903DAA">
        <w:t xml:space="preserve"> 202</w:t>
      </w:r>
      <w:r w:rsidR="002417BC" w:rsidRPr="00903DAA">
        <w:t>2</w:t>
      </w:r>
    </w:p>
    <w:p w14:paraId="6F3E45E9" w14:textId="77777777" w:rsidR="00267423" w:rsidRPr="00903DAA" w:rsidRDefault="00EF346B">
      <w:pPr>
        <w:pStyle w:val="ECCParagraph"/>
      </w:pPr>
      <w:r w:rsidRPr="00903DAA">
        <w:t>“The European Conference of Postal and Telecommunications Administrations,</w:t>
      </w:r>
    </w:p>
    <w:p w14:paraId="6F3E45EA" w14:textId="77777777" w:rsidR="00267423" w:rsidRPr="00903DAA" w:rsidRDefault="00EF346B">
      <w:pPr>
        <w:pStyle w:val="ECCParagraph"/>
        <w:rPr>
          <w:i/>
          <w:color w:val="D2232A"/>
        </w:rPr>
      </w:pPr>
      <w:r w:rsidRPr="00903DAA">
        <w:rPr>
          <w:i/>
          <w:color w:val="D2232A"/>
        </w:rPr>
        <w:t>considering</w:t>
      </w:r>
    </w:p>
    <w:p w14:paraId="07C206BC" w14:textId="6F0D1969" w:rsidR="00515FD1" w:rsidRPr="00903DAA" w:rsidRDefault="00515FD1" w:rsidP="00472501">
      <w:pPr>
        <w:pStyle w:val="LetteredList"/>
        <w:tabs>
          <w:tab w:val="num" w:pos="-31680"/>
        </w:tabs>
        <w:rPr>
          <w:szCs w:val="20"/>
          <w:lang w:val="en-GB"/>
        </w:rPr>
      </w:pPr>
      <w:r w:rsidRPr="00903DAA">
        <w:rPr>
          <w:lang w:val="en-GB"/>
        </w:rPr>
        <w:t>that MFCN for the purpose of this Decision includes terrestrial IMT (excluding GSM and EC-GSM-IoT) and other communications networks in the mobile and fixed services</w:t>
      </w:r>
      <w:r w:rsidRPr="00903DAA">
        <w:rPr>
          <w:szCs w:val="20"/>
          <w:lang w:val="en-GB"/>
        </w:rPr>
        <w:t>;</w:t>
      </w:r>
    </w:p>
    <w:p w14:paraId="39891D49" w14:textId="224F3318" w:rsidR="00515FD1" w:rsidRPr="00903DAA" w:rsidRDefault="00515FD1" w:rsidP="00515FD1">
      <w:pPr>
        <w:pStyle w:val="LetteredList"/>
        <w:tabs>
          <w:tab w:val="num" w:pos="-31680"/>
        </w:tabs>
        <w:rPr>
          <w:szCs w:val="20"/>
          <w:lang w:val="en-GB"/>
        </w:rPr>
      </w:pPr>
      <w:bookmarkStart w:id="9" w:name="_Ref83043961"/>
      <w:r w:rsidRPr="00903DAA">
        <w:rPr>
          <w:szCs w:val="20"/>
          <w:lang w:val="en-GB"/>
        </w:rPr>
        <w:t xml:space="preserve">that GSM is referenced based on </w:t>
      </w:r>
      <w:r w:rsidRPr="00903DAA">
        <w:rPr>
          <w:lang w:val="en-GB"/>
        </w:rPr>
        <w:t xml:space="preserve">ERC Decision (94)01 </w:t>
      </w:r>
      <w:r w:rsidRPr="00903DAA">
        <w:rPr>
          <w:lang w:val="en-GB"/>
        </w:rPr>
        <w:fldChar w:fldCharType="begin"/>
      </w:r>
      <w:r w:rsidRPr="00903DAA">
        <w:rPr>
          <w:lang w:val="en-GB"/>
        </w:rPr>
        <w:instrText xml:space="preserve"> REF _Ref503801529 \r \h </w:instrText>
      </w:r>
      <w:r w:rsidR="00625E17" w:rsidRPr="00903DAA">
        <w:rPr>
          <w:lang w:val="en-GB"/>
        </w:rPr>
        <w:instrText xml:space="preserve"> \* MERGEFORMAT </w:instrText>
      </w:r>
      <w:r w:rsidRPr="00903DAA">
        <w:rPr>
          <w:lang w:val="en-GB"/>
        </w:rPr>
      </w:r>
      <w:r w:rsidRPr="00903DAA">
        <w:rPr>
          <w:lang w:val="en-GB"/>
        </w:rPr>
        <w:fldChar w:fldCharType="separate"/>
      </w:r>
      <w:r w:rsidR="00D00E65">
        <w:rPr>
          <w:lang w:val="en-GB"/>
        </w:rPr>
        <w:t>[7]</w:t>
      </w:r>
      <w:r w:rsidRPr="00903DAA">
        <w:rPr>
          <w:lang w:val="en-GB"/>
        </w:rPr>
        <w:fldChar w:fldCharType="end"/>
      </w:r>
      <w:r w:rsidRPr="00903DAA">
        <w:rPr>
          <w:lang w:val="en-GB"/>
        </w:rPr>
        <w:t xml:space="preserve">, ERC Decision (95)03 </w:t>
      </w:r>
      <w:r w:rsidRPr="00903DAA">
        <w:rPr>
          <w:lang w:val="en-GB"/>
        </w:rPr>
        <w:fldChar w:fldCharType="begin"/>
      </w:r>
      <w:r w:rsidRPr="00903DAA">
        <w:rPr>
          <w:lang w:val="en-GB"/>
        </w:rPr>
        <w:instrText xml:space="preserve"> REF _Ref503801535 \r \h </w:instrText>
      </w:r>
      <w:r w:rsidR="00625E17" w:rsidRPr="00903DAA">
        <w:rPr>
          <w:lang w:val="en-GB"/>
        </w:rPr>
        <w:instrText xml:space="preserve"> \* MERGEFORMAT </w:instrText>
      </w:r>
      <w:r w:rsidRPr="00903DAA">
        <w:rPr>
          <w:lang w:val="en-GB"/>
        </w:rPr>
      </w:r>
      <w:r w:rsidRPr="00903DAA">
        <w:rPr>
          <w:lang w:val="en-GB"/>
        </w:rPr>
        <w:fldChar w:fldCharType="separate"/>
      </w:r>
      <w:r w:rsidR="00D00E65">
        <w:rPr>
          <w:lang w:val="en-GB"/>
        </w:rPr>
        <w:t>[8]</w:t>
      </w:r>
      <w:r w:rsidRPr="00903DAA">
        <w:rPr>
          <w:lang w:val="en-GB"/>
        </w:rPr>
        <w:fldChar w:fldCharType="end"/>
      </w:r>
      <w:r w:rsidRPr="00903DAA">
        <w:rPr>
          <w:lang w:val="en-GB"/>
        </w:rPr>
        <w:t xml:space="preserve">, ERC Decision (97)02 </w:t>
      </w:r>
      <w:r w:rsidRPr="00903DAA">
        <w:rPr>
          <w:lang w:val="en-GB"/>
        </w:rPr>
        <w:fldChar w:fldCharType="begin"/>
      </w:r>
      <w:r w:rsidRPr="00903DAA">
        <w:rPr>
          <w:lang w:val="en-GB"/>
        </w:rPr>
        <w:instrText xml:space="preserve"> REF _Ref503801540 \r \h </w:instrText>
      </w:r>
      <w:r w:rsidR="00625E17" w:rsidRPr="00903DAA">
        <w:rPr>
          <w:lang w:val="en-GB"/>
        </w:rPr>
        <w:instrText xml:space="preserve"> \* MERGEFORMAT </w:instrText>
      </w:r>
      <w:r w:rsidRPr="00903DAA">
        <w:rPr>
          <w:lang w:val="en-GB"/>
        </w:rPr>
      </w:r>
      <w:r w:rsidRPr="00903DAA">
        <w:rPr>
          <w:lang w:val="en-GB"/>
        </w:rPr>
        <w:fldChar w:fldCharType="separate"/>
      </w:r>
      <w:r w:rsidR="00D00E65">
        <w:rPr>
          <w:lang w:val="en-GB"/>
        </w:rPr>
        <w:t>[9]</w:t>
      </w:r>
      <w:r w:rsidRPr="00903DAA">
        <w:rPr>
          <w:lang w:val="en-GB"/>
        </w:rPr>
        <w:fldChar w:fldCharType="end"/>
      </w:r>
      <w:r w:rsidRPr="00903DAA">
        <w:rPr>
          <w:lang w:val="en-GB"/>
        </w:rPr>
        <w:t xml:space="preserve"> and reference to relevant ETSI harmonised standards EN 301 502 </w:t>
      </w:r>
      <w:r w:rsidRPr="00903DAA">
        <w:rPr>
          <w:lang w:val="en-GB"/>
        </w:rPr>
        <w:fldChar w:fldCharType="begin"/>
      </w:r>
      <w:r w:rsidRPr="00903DAA">
        <w:rPr>
          <w:lang w:val="en-GB"/>
        </w:rPr>
        <w:instrText xml:space="preserve"> REF _Ref83042567 \r \h </w:instrText>
      </w:r>
      <w:r w:rsidR="00625E17" w:rsidRPr="00903DAA">
        <w:rPr>
          <w:lang w:val="en-GB"/>
        </w:rPr>
        <w:instrText xml:space="preserve"> \* MERGEFORMAT </w:instrText>
      </w:r>
      <w:r w:rsidRPr="00903DAA">
        <w:rPr>
          <w:lang w:val="en-GB"/>
        </w:rPr>
      </w:r>
      <w:r w:rsidRPr="00903DAA">
        <w:rPr>
          <w:lang w:val="en-GB"/>
        </w:rPr>
        <w:fldChar w:fldCharType="separate"/>
      </w:r>
      <w:r w:rsidR="00D00E65">
        <w:rPr>
          <w:lang w:val="en-GB"/>
        </w:rPr>
        <w:t>[28]</w:t>
      </w:r>
      <w:r w:rsidRPr="00903DAA">
        <w:rPr>
          <w:lang w:val="en-GB"/>
        </w:rPr>
        <w:fldChar w:fldCharType="end"/>
      </w:r>
      <w:r w:rsidRPr="00903DAA">
        <w:rPr>
          <w:lang w:val="en-GB"/>
        </w:rPr>
        <w:t xml:space="preserve">, EN 301 511 </w:t>
      </w:r>
      <w:r w:rsidRPr="00903DAA">
        <w:rPr>
          <w:lang w:val="en-GB"/>
        </w:rPr>
        <w:fldChar w:fldCharType="begin"/>
      </w:r>
      <w:r w:rsidRPr="00903DAA">
        <w:rPr>
          <w:lang w:val="en-GB"/>
        </w:rPr>
        <w:instrText xml:space="preserve"> REF _Ref83042574 \r \h </w:instrText>
      </w:r>
      <w:r w:rsidR="00625E17" w:rsidRPr="00903DAA">
        <w:rPr>
          <w:lang w:val="en-GB"/>
        </w:rPr>
        <w:instrText xml:space="preserve"> \* MERGEFORMAT </w:instrText>
      </w:r>
      <w:r w:rsidRPr="00903DAA">
        <w:rPr>
          <w:lang w:val="en-GB"/>
        </w:rPr>
      </w:r>
      <w:r w:rsidRPr="00903DAA">
        <w:rPr>
          <w:lang w:val="en-GB"/>
        </w:rPr>
        <w:fldChar w:fldCharType="separate"/>
      </w:r>
      <w:r w:rsidR="00D00E65">
        <w:rPr>
          <w:lang w:val="en-GB"/>
        </w:rPr>
        <w:t>[29]</w:t>
      </w:r>
      <w:r w:rsidRPr="00903DAA">
        <w:rPr>
          <w:lang w:val="en-GB"/>
        </w:rPr>
        <w:fldChar w:fldCharType="end"/>
      </w:r>
      <w:r w:rsidRPr="00903DAA">
        <w:rPr>
          <w:lang w:val="en-GB"/>
        </w:rPr>
        <w:t xml:space="preserve"> and EN 301 908-18 </w:t>
      </w:r>
      <w:r w:rsidRPr="00903DAA">
        <w:rPr>
          <w:lang w:val="en-GB"/>
        </w:rPr>
        <w:fldChar w:fldCharType="begin"/>
      </w:r>
      <w:r w:rsidRPr="00903DAA">
        <w:rPr>
          <w:lang w:val="en-GB"/>
        </w:rPr>
        <w:instrText xml:space="preserve"> REF _Ref534301812 \r \h </w:instrText>
      </w:r>
      <w:r w:rsidR="00625E17" w:rsidRPr="00903DAA">
        <w:rPr>
          <w:lang w:val="en-GB"/>
        </w:rPr>
        <w:instrText xml:space="preserve"> \* MERGEFORMAT </w:instrText>
      </w:r>
      <w:r w:rsidRPr="00903DAA">
        <w:rPr>
          <w:lang w:val="en-GB"/>
        </w:rPr>
      </w:r>
      <w:r w:rsidRPr="00903DAA">
        <w:rPr>
          <w:lang w:val="en-GB"/>
        </w:rPr>
        <w:fldChar w:fldCharType="separate"/>
      </w:r>
      <w:r w:rsidR="00D00E65">
        <w:rPr>
          <w:lang w:val="en-GB"/>
        </w:rPr>
        <w:t>[30]</w:t>
      </w:r>
      <w:r w:rsidRPr="00903DAA">
        <w:rPr>
          <w:lang w:val="en-GB"/>
        </w:rPr>
        <w:fldChar w:fldCharType="end"/>
      </w:r>
      <w:r w:rsidR="00FA22D1" w:rsidRPr="00903DAA">
        <w:rPr>
          <w:lang w:val="en-GB"/>
        </w:rPr>
        <w:t>;</w:t>
      </w:r>
      <w:bookmarkEnd w:id="9"/>
    </w:p>
    <w:p w14:paraId="5819E586" w14:textId="129D244D" w:rsidR="00663285" w:rsidRPr="00903DAA" w:rsidRDefault="00515FD1" w:rsidP="00BF4F1F">
      <w:pPr>
        <w:pStyle w:val="LetteredList"/>
        <w:tabs>
          <w:tab w:val="num" w:pos="-31680"/>
        </w:tabs>
        <w:rPr>
          <w:szCs w:val="20"/>
          <w:lang w:val="en-GB"/>
        </w:rPr>
      </w:pPr>
      <w:r w:rsidRPr="00903DAA">
        <w:rPr>
          <w:szCs w:val="20"/>
          <w:lang w:val="en-GB"/>
        </w:rPr>
        <w:t xml:space="preserve">that EC-GSM-IoT is included under the umbrella term GSM, due to being defined under the same ETSI harmonised standard as those given for GSM in considering </w:t>
      </w:r>
      <w:r w:rsidRPr="00903DAA">
        <w:rPr>
          <w:szCs w:val="20"/>
          <w:lang w:val="en-GB"/>
        </w:rPr>
        <w:fldChar w:fldCharType="begin"/>
      </w:r>
      <w:r w:rsidRPr="00903DAA">
        <w:rPr>
          <w:szCs w:val="20"/>
          <w:lang w:val="en-GB"/>
        </w:rPr>
        <w:instrText xml:space="preserve"> REF _Ref83043961 \r \h </w:instrText>
      </w:r>
      <w:r w:rsidR="00625E17" w:rsidRPr="00903DAA">
        <w:rPr>
          <w:szCs w:val="20"/>
          <w:lang w:val="en-GB"/>
        </w:rPr>
        <w:instrText xml:space="preserve"> \* MERGEFORMAT </w:instrText>
      </w:r>
      <w:r w:rsidRPr="00903DAA">
        <w:rPr>
          <w:szCs w:val="20"/>
          <w:lang w:val="en-GB"/>
        </w:rPr>
      </w:r>
      <w:r w:rsidRPr="00903DAA">
        <w:rPr>
          <w:szCs w:val="20"/>
          <w:lang w:val="en-GB"/>
        </w:rPr>
        <w:fldChar w:fldCharType="separate"/>
      </w:r>
      <w:r w:rsidR="00D00E65">
        <w:rPr>
          <w:szCs w:val="20"/>
          <w:lang w:val="en-GB"/>
        </w:rPr>
        <w:t>b)</w:t>
      </w:r>
      <w:r w:rsidRPr="00903DAA">
        <w:rPr>
          <w:szCs w:val="20"/>
          <w:lang w:val="en-GB"/>
        </w:rPr>
        <w:fldChar w:fldCharType="end"/>
      </w:r>
      <w:r w:rsidR="00FA22D1" w:rsidRPr="00903DAA">
        <w:rPr>
          <w:szCs w:val="20"/>
          <w:lang w:val="en-GB"/>
        </w:rPr>
        <w:t>;</w:t>
      </w:r>
    </w:p>
    <w:p w14:paraId="6F3E45F2" w14:textId="17392E63" w:rsidR="00267423" w:rsidRPr="00472501" w:rsidRDefault="00EF346B" w:rsidP="00472501">
      <w:pPr>
        <w:pStyle w:val="LetteredList"/>
        <w:tabs>
          <w:tab w:val="num" w:pos="-16973"/>
        </w:tabs>
        <w:jc w:val="left"/>
        <w:rPr>
          <w:lang w:val="en-GB"/>
        </w:rPr>
      </w:pPr>
      <w:r w:rsidRPr="00903DAA">
        <w:rPr>
          <w:lang w:val="en-GB"/>
        </w:rPr>
        <w:t xml:space="preserve">that </w:t>
      </w:r>
      <w:r w:rsidR="00681725" w:rsidRPr="00903DAA">
        <w:rPr>
          <w:lang w:val="en-GB"/>
        </w:rPr>
        <w:t>n</w:t>
      </w:r>
      <w:r w:rsidRPr="00903DAA">
        <w:rPr>
          <w:lang w:val="en-GB"/>
        </w:rPr>
        <w:t>on-AAS (non-</w:t>
      </w:r>
      <w:r w:rsidR="00681725" w:rsidRPr="00903DAA">
        <w:rPr>
          <w:lang w:val="en-GB"/>
        </w:rPr>
        <w:t>Active Antenna Systems</w:t>
      </w:r>
      <w:r w:rsidRPr="00903DAA">
        <w:rPr>
          <w:lang w:val="en-GB"/>
        </w:rPr>
        <w:t xml:space="preserve">) refers to MFCN base stations </w:t>
      </w:r>
      <w:r w:rsidRPr="00472501">
        <w:rPr>
          <w:lang w:val="en-GB"/>
        </w:rPr>
        <w:t xml:space="preserve">that provide one or more antenna connectors, which are connected to one or more separately designed passive antenna elements to radiate radio waves. </w:t>
      </w:r>
      <w:r w:rsidRPr="00903DAA">
        <w:rPr>
          <w:lang w:val="en-GB"/>
        </w:rPr>
        <w:t>The amplitude and phase of the signals to the antenna elements is not continually adjusted in response to short term changes in the radio environment</w:t>
      </w:r>
      <w:r w:rsidRPr="00472501">
        <w:rPr>
          <w:lang w:val="en-GB"/>
        </w:rPr>
        <w:t>;</w:t>
      </w:r>
    </w:p>
    <w:p w14:paraId="6F3E45F3" w14:textId="65CEF779" w:rsidR="00267423" w:rsidRPr="00903DAA" w:rsidRDefault="00F529C9" w:rsidP="00472501">
      <w:pPr>
        <w:pStyle w:val="LetteredList"/>
        <w:tabs>
          <w:tab w:val="num" w:pos="-16973"/>
        </w:tabs>
        <w:jc w:val="left"/>
        <w:rPr>
          <w:lang w:val="en-GB"/>
        </w:rPr>
      </w:pPr>
      <w:r w:rsidRPr="00472501">
        <w:rPr>
          <w:lang w:val="en-GB"/>
        </w:rPr>
        <w:t xml:space="preserve">that </w:t>
      </w:r>
      <w:r w:rsidR="00EF346B" w:rsidRPr="00472501">
        <w:rPr>
          <w:lang w:val="en-GB"/>
        </w:rPr>
        <w:t>AAS (Active Antenna Systems) refers to MFCN base stations and antenna systems where the amplitude and / or phase between antenna elements is continually adjusted resulting in an antenna pattern that varies in response to short term changes in the radio environment. This is intended to exclude long</w:t>
      </w:r>
      <w:r w:rsidR="0087386A" w:rsidRPr="00472501">
        <w:rPr>
          <w:lang w:val="en-GB"/>
        </w:rPr>
        <w:t>-</w:t>
      </w:r>
      <w:r w:rsidR="00EF346B" w:rsidRPr="00472501">
        <w:rPr>
          <w:lang w:val="en-GB"/>
        </w:rPr>
        <w:t>term beam shaping such as fixed electrical down tilt;</w:t>
      </w:r>
    </w:p>
    <w:p w14:paraId="6F3E45F7" w14:textId="089C1E34" w:rsidR="00267423" w:rsidRPr="00903DAA" w:rsidRDefault="00EF346B" w:rsidP="00472501">
      <w:pPr>
        <w:pStyle w:val="LetteredList"/>
        <w:tabs>
          <w:tab w:val="num" w:pos="-14363"/>
        </w:tabs>
        <w:jc w:val="left"/>
        <w:rPr>
          <w:lang w:val="en-GB"/>
        </w:rPr>
      </w:pPr>
      <w:r w:rsidRPr="00903DAA">
        <w:rPr>
          <w:lang w:val="en-GB"/>
        </w:rPr>
        <w:t xml:space="preserve">ERC </w:t>
      </w:r>
      <w:r w:rsidRPr="00472501">
        <w:rPr>
          <w:lang w:val="en-GB"/>
        </w:rPr>
        <w:t>Decision</w:t>
      </w:r>
      <w:r w:rsidRPr="00903DAA">
        <w:rPr>
          <w:lang w:val="en-GB"/>
        </w:rPr>
        <w:t xml:space="preserve"> (94)01 on the frequency bands to be designated for the coordinated introduction of the GSM digital pan-European communications system </w:t>
      </w:r>
      <w:r w:rsidRPr="00903DAA">
        <w:rPr>
          <w:lang w:val="en-GB"/>
        </w:rPr>
        <w:fldChar w:fldCharType="begin"/>
      </w:r>
      <w:r w:rsidRPr="00903DAA">
        <w:rPr>
          <w:lang w:val="en-GB"/>
        </w:rPr>
        <w:instrText xml:space="preserve"> REF _Ref503801529 \r \h  \* MERGEFORMAT </w:instrText>
      </w:r>
      <w:r w:rsidRPr="00903DAA">
        <w:rPr>
          <w:lang w:val="en-GB"/>
        </w:rPr>
      </w:r>
      <w:r w:rsidRPr="00903DAA">
        <w:rPr>
          <w:lang w:val="en-GB"/>
        </w:rPr>
        <w:fldChar w:fldCharType="separate"/>
      </w:r>
      <w:r w:rsidR="00D00E65">
        <w:rPr>
          <w:lang w:val="en-GB"/>
        </w:rPr>
        <w:t>[7]</w:t>
      </w:r>
      <w:r w:rsidRPr="00903DAA">
        <w:rPr>
          <w:lang w:val="en-GB"/>
        </w:rPr>
        <w:fldChar w:fldCharType="end"/>
      </w:r>
      <w:r w:rsidRPr="00903DAA">
        <w:rPr>
          <w:lang w:val="en-GB"/>
        </w:rPr>
        <w:t>;</w:t>
      </w:r>
    </w:p>
    <w:p w14:paraId="6F3E45F8" w14:textId="639294F7" w:rsidR="00267423" w:rsidRPr="00903DAA" w:rsidRDefault="00EF346B" w:rsidP="00472501">
      <w:pPr>
        <w:pStyle w:val="LetteredList"/>
        <w:tabs>
          <w:tab w:val="num" w:pos="-14363"/>
        </w:tabs>
        <w:jc w:val="left"/>
        <w:rPr>
          <w:lang w:val="en-GB"/>
        </w:rPr>
      </w:pPr>
      <w:r w:rsidRPr="00903DAA">
        <w:rPr>
          <w:lang w:val="en-GB"/>
        </w:rPr>
        <w:t xml:space="preserve">ERC </w:t>
      </w:r>
      <w:r w:rsidRPr="00472501">
        <w:rPr>
          <w:lang w:val="en-GB"/>
        </w:rPr>
        <w:t>Decision</w:t>
      </w:r>
      <w:r w:rsidRPr="00903DAA">
        <w:rPr>
          <w:lang w:val="en-GB"/>
        </w:rPr>
        <w:t xml:space="preserve"> (95)03 on the frequency bands to be designated for the introduction of DCS 1800 </w:t>
      </w:r>
      <w:r w:rsidRPr="00903DAA">
        <w:rPr>
          <w:lang w:val="en-GB"/>
        </w:rPr>
        <w:fldChar w:fldCharType="begin"/>
      </w:r>
      <w:r w:rsidRPr="00903DAA">
        <w:rPr>
          <w:lang w:val="en-GB"/>
        </w:rPr>
        <w:instrText xml:space="preserve"> REF _Ref503801535 \r \h  \* MERGEFORMAT </w:instrText>
      </w:r>
      <w:r w:rsidRPr="00903DAA">
        <w:rPr>
          <w:lang w:val="en-GB"/>
        </w:rPr>
      </w:r>
      <w:r w:rsidRPr="00903DAA">
        <w:rPr>
          <w:lang w:val="en-GB"/>
        </w:rPr>
        <w:fldChar w:fldCharType="separate"/>
      </w:r>
      <w:r w:rsidR="00D00E65">
        <w:rPr>
          <w:lang w:val="en-GB"/>
        </w:rPr>
        <w:t>[8]</w:t>
      </w:r>
      <w:r w:rsidRPr="00903DAA">
        <w:rPr>
          <w:lang w:val="en-GB"/>
        </w:rPr>
        <w:fldChar w:fldCharType="end"/>
      </w:r>
      <w:r w:rsidRPr="00903DAA">
        <w:rPr>
          <w:lang w:val="en-GB"/>
        </w:rPr>
        <w:t>;</w:t>
      </w:r>
    </w:p>
    <w:p w14:paraId="6F3E45F9" w14:textId="361A3C2F" w:rsidR="00267423" w:rsidRPr="00903DAA" w:rsidRDefault="00EF346B" w:rsidP="00472501">
      <w:pPr>
        <w:pStyle w:val="LetteredList"/>
        <w:tabs>
          <w:tab w:val="num" w:pos="-14363"/>
        </w:tabs>
        <w:jc w:val="left"/>
        <w:rPr>
          <w:lang w:val="en-GB"/>
        </w:rPr>
      </w:pPr>
      <w:r w:rsidRPr="00903DAA">
        <w:rPr>
          <w:lang w:val="en-GB"/>
        </w:rPr>
        <w:t xml:space="preserve">ERC </w:t>
      </w:r>
      <w:r w:rsidRPr="00472501">
        <w:rPr>
          <w:lang w:val="en-GB"/>
        </w:rPr>
        <w:t>Decision</w:t>
      </w:r>
      <w:r w:rsidRPr="00903DAA">
        <w:rPr>
          <w:lang w:val="en-GB"/>
        </w:rPr>
        <w:t xml:space="preserve"> (97)02 on the extended frequency bands to be used for the GSM Digital Pan-European Communications System </w:t>
      </w:r>
      <w:r w:rsidRPr="00903DAA">
        <w:rPr>
          <w:lang w:val="en-GB"/>
        </w:rPr>
        <w:fldChar w:fldCharType="begin"/>
      </w:r>
      <w:r w:rsidRPr="00903DAA">
        <w:rPr>
          <w:lang w:val="en-GB"/>
        </w:rPr>
        <w:instrText xml:space="preserve"> REF _Ref503801540 \r \h  \* MERGEFORMAT </w:instrText>
      </w:r>
      <w:r w:rsidRPr="00903DAA">
        <w:rPr>
          <w:lang w:val="en-GB"/>
        </w:rPr>
      </w:r>
      <w:r w:rsidRPr="00903DAA">
        <w:rPr>
          <w:lang w:val="en-GB"/>
        </w:rPr>
        <w:fldChar w:fldCharType="separate"/>
      </w:r>
      <w:r w:rsidR="00D00E65">
        <w:rPr>
          <w:lang w:val="en-GB"/>
        </w:rPr>
        <w:t>[9]</w:t>
      </w:r>
      <w:r w:rsidRPr="00903DAA">
        <w:rPr>
          <w:lang w:val="en-GB"/>
        </w:rPr>
        <w:fldChar w:fldCharType="end"/>
      </w:r>
      <w:r w:rsidRPr="00903DAA">
        <w:rPr>
          <w:lang w:val="en-GB"/>
        </w:rPr>
        <w:t>;</w:t>
      </w:r>
      <w:r w:rsidR="00C07B2D" w:rsidRPr="00903DAA" w:rsidDel="00C07B2D">
        <w:rPr>
          <w:rStyle w:val="CommentReference"/>
          <w:lang w:val="en-GB"/>
        </w:rPr>
        <w:t xml:space="preserve"> </w:t>
      </w:r>
    </w:p>
    <w:p w14:paraId="6F3E45FB" w14:textId="2B6D47FC" w:rsidR="00267423" w:rsidRPr="00903DAA" w:rsidRDefault="00BF4F1F" w:rsidP="00472501">
      <w:pPr>
        <w:pStyle w:val="LetteredList"/>
        <w:tabs>
          <w:tab w:val="num" w:pos="-11753"/>
        </w:tabs>
        <w:jc w:val="left"/>
        <w:rPr>
          <w:lang w:val="en-GB"/>
        </w:rPr>
      </w:pPr>
      <w:r w:rsidRPr="00903DAA">
        <w:rPr>
          <w:lang w:val="en-GB"/>
        </w:rPr>
        <w:t>t</w:t>
      </w:r>
      <w:r w:rsidR="00A3249D" w:rsidRPr="00903DAA">
        <w:rPr>
          <w:lang w:val="en-GB"/>
        </w:rPr>
        <w:t xml:space="preserve">hat Member States of the European Union have implemented </w:t>
      </w:r>
      <w:r w:rsidR="00EF346B" w:rsidRPr="00903DAA">
        <w:rPr>
          <w:lang w:val="en-GB"/>
        </w:rPr>
        <w:t xml:space="preserve">Council Directive 87/372/EEC </w:t>
      </w:r>
      <w:r w:rsidR="00EF346B" w:rsidRPr="00903DAA">
        <w:rPr>
          <w:lang w:val="en-GB"/>
        </w:rPr>
        <w:fldChar w:fldCharType="begin"/>
      </w:r>
      <w:r w:rsidR="00EF346B" w:rsidRPr="00903DAA">
        <w:rPr>
          <w:lang w:val="en-GB"/>
        </w:rPr>
        <w:instrText xml:space="preserve"> REF _Ref503801515 \r \h  \* MERGEFORMAT </w:instrText>
      </w:r>
      <w:r w:rsidR="00EF346B" w:rsidRPr="00903DAA">
        <w:rPr>
          <w:lang w:val="en-GB"/>
        </w:rPr>
      </w:r>
      <w:r w:rsidR="00EF346B" w:rsidRPr="00903DAA">
        <w:rPr>
          <w:lang w:val="en-GB"/>
        </w:rPr>
        <w:fldChar w:fldCharType="separate"/>
      </w:r>
      <w:r w:rsidR="00D00E65">
        <w:rPr>
          <w:lang w:val="en-GB"/>
        </w:rPr>
        <w:t>[5]</w:t>
      </w:r>
      <w:r w:rsidR="00EF346B" w:rsidRPr="00903DAA">
        <w:rPr>
          <w:lang w:val="en-GB"/>
        </w:rPr>
        <w:fldChar w:fldCharType="end"/>
      </w:r>
      <w:r w:rsidR="00EF346B" w:rsidRPr="00903DAA">
        <w:rPr>
          <w:lang w:val="en-GB"/>
        </w:rPr>
        <w:t xml:space="preserve"> amended by Council Directive 2009/114/EC </w:t>
      </w:r>
      <w:r w:rsidR="00EF346B" w:rsidRPr="00903DAA">
        <w:rPr>
          <w:lang w:val="en-GB"/>
        </w:rPr>
        <w:fldChar w:fldCharType="begin"/>
      </w:r>
      <w:r w:rsidR="00EF346B" w:rsidRPr="00903DAA">
        <w:rPr>
          <w:lang w:val="en-GB"/>
        </w:rPr>
        <w:instrText xml:space="preserve"> REF _Ref503801553 \r \h  \* MERGEFORMAT </w:instrText>
      </w:r>
      <w:r w:rsidR="00EF346B" w:rsidRPr="00903DAA">
        <w:rPr>
          <w:lang w:val="en-GB"/>
        </w:rPr>
      </w:r>
      <w:r w:rsidR="00EF346B" w:rsidRPr="00903DAA">
        <w:rPr>
          <w:lang w:val="en-GB"/>
        </w:rPr>
        <w:fldChar w:fldCharType="separate"/>
      </w:r>
      <w:r w:rsidR="00D00E65">
        <w:rPr>
          <w:lang w:val="en-GB"/>
        </w:rPr>
        <w:t>[10]</w:t>
      </w:r>
      <w:r w:rsidR="00EF346B" w:rsidRPr="00903DAA">
        <w:rPr>
          <w:lang w:val="en-GB"/>
        </w:rPr>
        <w:fldChar w:fldCharType="end"/>
      </w:r>
      <w:r w:rsidR="00EF346B" w:rsidRPr="00903DAA">
        <w:rPr>
          <w:lang w:val="en-GB"/>
        </w:rPr>
        <w:t xml:space="preserve"> and the related Council Recommendation 87/371/EEC </w:t>
      </w:r>
      <w:r w:rsidR="00EF346B" w:rsidRPr="00903DAA">
        <w:rPr>
          <w:lang w:val="en-GB"/>
        </w:rPr>
        <w:fldChar w:fldCharType="begin"/>
      </w:r>
      <w:r w:rsidR="00EF346B" w:rsidRPr="00903DAA">
        <w:rPr>
          <w:lang w:val="en-GB"/>
        </w:rPr>
        <w:instrText xml:space="preserve"> REF _Ref503801522 \r \h  \* MERGEFORMAT </w:instrText>
      </w:r>
      <w:r w:rsidR="00EF346B" w:rsidRPr="00903DAA">
        <w:rPr>
          <w:lang w:val="en-GB"/>
        </w:rPr>
      </w:r>
      <w:r w:rsidR="00EF346B" w:rsidRPr="00903DAA">
        <w:rPr>
          <w:lang w:val="en-GB"/>
        </w:rPr>
        <w:fldChar w:fldCharType="separate"/>
      </w:r>
      <w:r w:rsidR="00D00E65">
        <w:rPr>
          <w:lang w:val="en-GB"/>
        </w:rPr>
        <w:t>[6]</w:t>
      </w:r>
      <w:r w:rsidR="00EF346B" w:rsidRPr="00903DAA">
        <w:rPr>
          <w:lang w:val="en-GB"/>
        </w:rPr>
        <w:fldChar w:fldCharType="end"/>
      </w:r>
      <w:r w:rsidR="00EF346B" w:rsidRPr="00903DAA">
        <w:rPr>
          <w:lang w:val="en-GB"/>
        </w:rPr>
        <w:t xml:space="preserve"> which came into force in 1987;</w:t>
      </w:r>
    </w:p>
    <w:p w14:paraId="6F3E45FC" w14:textId="07602091" w:rsidR="00267423" w:rsidRPr="00903DAA" w:rsidRDefault="00EF346B" w:rsidP="00472501">
      <w:pPr>
        <w:pStyle w:val="LetteredList"/>
        <w:tabs>
          <w:tab w:val="num" w:pos="-11753"/>
        </w:tabs>
        <w:jc w:val="left"/>
        <w:rPr>
          <w:lang w:val="en-GB"/>
        </w:rPr>
      </w:pPr>
      <w:r w:rsidRPr="00903DAA">
        <w:rPr>
          <w:lang w:val="en-GB"/>
        </w:rPr>
        <w:t>the importance of facilitating the deployment of mobile broadband networks in rural areas and improving indoor coverage;</w:t>
      </w:r>
    </w:p>
    <w:p w14:paraId="6F3E45FE" w14:textId="77CC72EE" w:rsidR="00267423" w:rsidRPr="00903DAA" w:rsidRDefault="00EF346B" w:rsidP="00472501">
      <w:pPr>
        <w:pStyle w:val="LetteredList"/>
        <w:tabs>
          <w:tab w:val="num" w:pos="-9143"/>
        </w:tabs>
        <w:jc w:val="left"/>
        <w:rPr>
          <w:lang w:val="en-GB"/>
        </w:rPr>
      </w:pPr>
      <w:r w:rsidRPr="00903DAA">
        <w:rPr>
          <w:lang w:val="en-GB"/>
        </w:rPr>
        <w:t xml:space="preserve">that the introduction of </w:t>
      </w:r>
      <w:r w:rsidR="00681725" w:rsidRPr="00903DAA">
        <w:rPr>
          <w:lang w:val="en-GB"/>
        </w:rPr>
        <w:t>a technology neutral framework</w:t>
      </w:r>
      <w:r w:rsidR="00137A99" w:rsidRPr="00903DAA">
        <w:rPr>
          <w:lang w:val="en-GB"/>
        </w:rPr>
        <w:t xml:space="preserve"> for </w:t>
      </w:r>
      <w:r w:rsidR="009C1AFF" w:rsidRPr="00903DAA">
        <w:rPr>
          <w:lang w:val="en-GB"/>
        </w:rPr>
        <w:t xml:space="preserve">MFCN </w:t>
      </w:r>
      <w:r w:rsidR="00137A99" w:rsidRPr="00903DAA">
        <w:rPr>
          <w:lang w:val="en-GB"/>
        </w:rPr>
        <w:t xml:space="preserve">Narrow Band (NB) systems </w:t>
      </w:r>
      <w:r w:rsidR="00AF6FF5" w:rsidRPr="00903DAA">
        <w:rPr>
          <w:lang w:val="en-GB"/>
        </w:rPr>
        <w:t>and</w:t>
      </w:r>
      <w:r w:rsidR="00137A99" w:rsidRPr="00903DAA">
        <w:rPr>
          <w:lang w:val="en-GB"/>
        </w:rPr>
        <w:t xml:space="preserve"> Wide Band (WB) systems leads to future proof regulation </w:t>
      </w:r>
      <w:r w:rsidRPr="00903DAA">
        <w:rPr>
          <w:lang w:val="en-GB"/>
        </w:rPr>
        <w:t>in the 900 MHz and 1800 MHz bands;</w:t>
      </w:r>
    </w:p>
    <w:p w14:paraId="7803233F" w14:textId="773316E4" w:rsidR="00FD220B" w:rsidRPr="00903DAA" w:rsidRDefault="00EF346B" w:rsidP="00472501">
      <w:pPr>
        <w:pStyle w:val="LetteredList"/>
        <w:tabs>
          <w:tab w:val="num" w:pos="-9143"/>
        </w:tabs>
        <w:jc w:val="left"/>
        <w:rPr>
          <w:lang w:val="en-GB"/>
        </w:rPr>
      </w:pPr>
      <w:r w:rsidRPr="00903DAA">
        <w:rPr>
          <w:lang w:val="en-GB"/>
        </w:rPr>
        <w:t xml:space="preserve">that GSM/UMTS networks </w:t>
      </w:r>
      <w:r w:rsidR="00137A99" w:rsidRPr="00903DAA">
        <w:rPr>
          <w:lang w:val="en-GB"/>
        </w:rPr>
        <w:t xml:space="preserve">may </w:t>
      </w:r>
      <w:r w:rsidRPr="00903DAA">
        <w:rPr>
          <w:lang w:val="en-GB"/>
        </w:rPr>
        <w:t>progressively migrate to</w:t>
      </w:r>
      <w:r w:rsidR="009806C6" w:rsidRPr="00903DAA">
        <w:rPr>
          <w:lang w:val="en-GB"/>
        </w:rPr>
        <w:t xml:space="preserve"> </w:t>
      </w:r>
      <w:r w:rsidR="002C21F3" w:rsidRPr="00903DAA">
        <w:rPr>
          <w:lang w:val="en-GB"/>
        </w:rPr>
        <w:t xml:space="preserve">more recent </w:t>
      </w:r>
      <w:r w:rsidRPr="00903DAA">
        <w:rPr>
          <w:lang w:val="en-GB"/>
        </w:rPr>
        <w:t>cellular network</w:t>
      </w:r>
      <w:r w:rsidR="007E7F8A" w:rsidRPr="00903DAA">
        <w:rPr>
          <w:lang w:val="en-GB"/>
        </w:rPr>
        <w:t xml:space="preserve"> technologies compatible with the </w:t>
      </w:r>
      <w:r w:rsidR="009C1AFF" w:rsidRPr="00903DAA">
        <w:rPr>
          <w:lang w:val="en-GB"/>
        </w:rPr>
        <w:t xml:space="preserve">MFCN </w:t>
      </w:r>
      <w:proofErr w:type="gramStart"/>
      <w:r w:rsidR="007E7F8A" w:rsidRPr="00903DAA">
        <w:rPr>
          <w:lang w:val="en-GB"/>
        </w:rPr>
        <w:t>NB</w:t>
      </w:r>
      <w:proofErr w:type="gramEnd"/>
      <w:r w:rsidR="007E7F8A" w:rsidRPr="00903DAA">
        <w:rPr>
          <w:lang w:val="en-GB"/>
        </w:rPr>
        <w:t xml:space="preserve"> and WB LRTCs included in this ECC Decision</w:t>
      </w:r>
      <w:r w:rsidR="00C93478" w:rsidRPr="00903DAA">
        <w:rPr>
          <w:lang w:val="en-GB"/>
        </w:rPr>
        <w:t>,</w:t>
      </w:r>
      <w:r w:rsidRPr="00903DAA">
        <w:rPr>
          <w:lang w:val="en-GB"/>
        </w:rPr>
        <w:t xml:space="preserve"> </w:t>
      </w:r>
      <w:r w:rsidR="00137A99" w:rsidRPr="00903DAA">
        <w:rPr>
          <w:lang w:val="en-GB"/>
        </w:rPr>
        <w:t>and t</w:t>
      </w:r>
      <w:r w:rsidRPr="00903DAA">
        <w:rPr>
          <w:lang w:val="en-GB"/>
        </w:rPr>
        <w:t>he migration schedule and process will depend on market demand and conditions, national regulatory conditions and licensing schemes;</w:t>
      </w:r>
    </w:p>
    <w:p w14:paraId="0C52E4A5" w14:textId="2FB90EC4" w:rsidR="00A40CD4" w:rsidRPr="00903DAA" w:rsidRDefault="008A6CD1" w:rsidP="008A6CD1">
      <w:pPr>
        <w:pStyle w:val="LetteredList"/>
        <w:rPr>
          <w:lang w:val="en-GB"/>
        </w:rPr>
      </w:pPr>
      <w:r w:rsidRPr="00903DAA">
        <w:rPr>
          <w:lang w:val="en-GB"/>
        </w:rPr>
        <w:t>that CEPT reused existing ECC/CEPT deliverables to avoid new additional studies in order to derive the LRTCs, including the coexistence with all adjacent services</w:t>
      </w:r>
      <w:r w:rsidR="00A40CD4" w:rsidRPr="00903DAA">
        <w:rPr>
          <w:lang w:val="en-GB"/>
        </w:rPr>
        <w:t>;</w:t>
      </w:r>
    </w:p>
    <w:p w14:paraId="5EA9AC39" w14:textId="3EA873C7" w:rsidR="008A6CD1" w:rsidRPr="00903DAA" w:rsidRDefault="008A6CD1" w:rsidP="00472501">
      <w:pPr>
        <w:pStyle w:val="LetteredList"/>
        <w:rPr>
          <w:lang w:val="en-GB"/>
        </w:rPr>
      </w:pPr>
      <w:r w:rsidRPr="00903DAA">
        <w:rPr>
          <w:lang w:val="en-GB"/>
        </w:rPr>
        <w:t xml:space="preserve">that CEPT Report 80 </w:t>
      </w:r>
      <w:r w:rsidRPr="00903DAA">
        <w:rPr>
          <w:lang w:val="en-GB"/>
        </w:rPr>
        <w:fldChar w:fldCharType="begin"/>
      </w:r>
      <w:r w:rsidRPr="00903DAA">
        <w:rPr>
          <w:lang w:val="en-GB"/>
        </w:rPr>
        <w:instrText xml:space="preserve"> REF _Ref83040054 \r \h </w:instrText>
      </w:r>
      <w:r w:rsidR="007C7E3B" w:rsidRPr="00903DAA">
        <w:rPr>
          <w:lang w:val="en-GB"/>
        </w:rPr>
        <w:instrText xml:space="preserve"> \* MERGEFORMAT </w:instrText>
      </w:r>
      <w:r w:rsidRPr="00903DAA">
        <w:rPr>
          <w:lang w:val="en-GB"/>
        </w:rPr>
      </w:r>
      <w:r w:rsidRPr="00903DAA">
        <w:rPr>
          <w:lang w:val="en-GB"/>
        </w:rPr>
        <w:fldChar w:fldCharType="separate"/>
      </w:r>
      <w:r w:rsidR="00D00E65">
        <w:rPr>
          <w:lang w:val="en-GB"/>
        </w:rPr>
        <w:t>[19]</w:t>
      </w:r>
      <w:r w:rsidRPr="00903DAA">
        <w:rPr>
          <w:lang w:val="en-GB"/>
        </w:rPr>
        <w:fldChar w:fldCharType="end"/>
      </w:r>
      <w:r w:rsidRPr="00903DAA">
        <w:rPr>
          <w:lang w:val="en-GB"/>
        </w:rPr>
        <w:t xml:space="preserve"> provides analysis, harmonised technical conditions and a toolbox on the national implementation of technology neutral LRTCs in the 900 MHz and 1800 MHz frequency bands, and information and recommendations on how to mitigate interference between MFCN in the 900 MHz and 1800 MHz frequency bands and services in the adjacent bands</w:t>
      </w:r>
      <w:r w:rsidR="0044650F" w:rsidRPr="00903DAA">
        <w:rPr>
          <w:lang w:val="en-GB"/>
        </w:rPr>
        <w:t>;</w:t>
      </w:r>
    </w:p>
    <w:p w14:paraId="14B773CB" w14:textId="1752E299" w:rsidR="008D1495" w:rsidRPr="00903DAA" w:rsidRDefault="0044650F" w:rsidP="002D35A7">
      <w:pPr>
        <w:pStyle w:val="LetteredList"/>
        <w:rPr>
          <w:lang w:val="en-GB"/>
        </w:rPr>
      </w:pPr>
      <w:r w:rsidRPr="00903DAA">
        <w:rPr>
          <w:lang w:val="en-GB"/>
        </w:rPr>
        <w:t xml:space="preserve">that ECC Report 229 </w:t>
      </w:r>
      <w:r w:rsidR="00091430" w:rsidRPr="00903DAA">
        <w:rPr>
          <w:lang w:val="en-GB"/>
        </w:rPr>
        <w:fldChar w:fldCharType="begin"/>
      </w:r>
      <w:r w:rsidR="00091430" w:rsidRPr="00903DAA">
        <w:rPr>
          <w:lang w:val="en-GB"/>
        </w:rPr>
        <w:instrText xml:space="preserve"> REF _Ref83044877 \r \h </w:instrText>
      </w:r>
      <w:r w:rsidR="007C7E3B" w:rsidRPr="00903DAA">
        <w:rPr>
          <w:lang w:val="en-GB"/>
        </w:rPr>
        <w:instrText xml:space="preserve"> \* MERGEFORMAT </w:instrText>
      </w:r>
      <w:r w:rsidR="00091430" w:rsidRPr="00903DAA">
        <w:rPr>
          <w:lang w:val="en-GB"/>
        </w:rPr>
      </w:r>
      <w:r w:rsidR="00091430" w:rsidRPr="00903DAA">
        <w:rPr>
          <w:lang w:val="en-GB"/>
        </w:rPr>
        <w:fldChar w:fldCharType="separate"/>
      </w:r>
      <w:r w:rsidR="002462EC">
        <w:rPr>
          <w:lang w:val="en-GB"/>
        </w:rPr>
        <w:t>[31]</w:t>
      </w:r>
      <w:r w:rsidR="00091430" w:rsidRPr="00903DAA">
        <w:rPr>
          <w:lang w:val="en-GB"/>
        </w:rPr>
        <w:fldChar w:fldCharType="end"/>
      </w:r>
      <w:r w:rsidRPr="00903DAA">
        <w:rPr>
          <w:lang w:val="en-GB"/>
        </w:rPr>
        <w:t xml:space="preserve"> proposes guidelines to help national coordination/cooperation between RMR and MFCN systems;</w:t>
      </w:r>
    </w:p>
    <w:p w14:paraId="6F3E4605" w14:textId="4D5E0A0B" w:rsidR="00267423" w:rsidRPr="00903DAA" w:rsidRDefault="008D1495" w:rsidP="00472501">
      <w:pPr>
        <w:pStyle w:val="LetteredList"/>
        <w:rPr>
          <w:lang w:val="en-GB"/>
        </w:rPr>
      </w:pPr>
      <w:r w:rsidRPr="00903DAA">
        <w:rPr>
          <w:lang w:val="en-GB"/>
        </w:rPr>
        <w:t xml:space="preserve">that </w:t>
      </w:r>
      <w:r w:rsidR="006548CD" w:rsidRPr="00903DAA">
        <w:rPr>
          <w:lang w:val="en-GB"/>
        </w:rPr>
        <w:t>the technical conditions for MFCN base stations</w:t>
      </w:r>
      <w:r w:rsidR="00EF346B" w:rsidRPr="00903DAA">
        <w:rPr>
          <w:lang w:val="en-GB"/>
        </w:rPr>
        <w:t xml:space="preserve"> </w:t>
      </w:r>
      <w:r w:rsidR="006548CD" w:rsidRPr="00903DAA">
        <w:rPr>
          <w:lang w:val="en-GB"/>
        </w:rPr>
        <w:t>have been developed under the assumption that</w:t>
      </w:r>
      <w:r w:rsidR="00EF346B" w:rsidRPr="00903DAA">
        <w:rPr>
          <w:lang w:val="en-GB"/>
        </w:rPr>
        <w:t xml:space="preserve"> </w:t>
      </w:r>
      <w:r w:rsidR="00EF346B" w:rsidRPr="00472501">
        <w:rPr>
          <w:lang w:val="en-GB"/>
        </w:rPr>
        <w:t xml:space="preserve">only non-AAS BS </w:t>
      </w:r>
      <w:r w:rsidR="006548CD" w:rsidRPr="00903DAA">
        <w:rPr>
          <w:lang w:val="en-GB"/>
        </w:rPr>
        <w:t xml:space="preserve">may be used </w:t>
      </w:r>
      <w:r w:rsidR="00EF346B" w:rsidRPr="00472501">
        <w:rPr>
          <w:lang w:val="en-GB"/>
        </w:rPr>
        <w:t xml:space="preserve">in </w:t>
      </w:r>
      <w:r w:rsidR="00842695" w:rsidRPr="00903DAA">
        <w:rPr>
          <w:lang w:val="en-GB"/>
        </w:rPr>
        <w:t xml:space="preserve">the </w:t>
      </w:r>
      <w:r w:rsidR="00EF346B" w:rsidRPr="00472501">
        <w:rPr>
          <w:lang w:val="en-GB"/>
        </w:rPr>
        <w:t xml:space="preserve">900 MHz frequency band and </w:t>
      </w:r>
      <w:r w:rsidR="00EF346B" w:rsidRPr="00903DAA">
        <w:rPr>
          <w:lang w:val="en-GB"/>
        </w:rPr>
        <w:t xml:space="preserve">either non-AAS BS or AAS BS </w:t>
      </w:r>
      <w:r w:rsidR="006548CD" w:rsidRPr="00472501">
        <w:rPr>
          <w:lang w:val="en-GB"/>
        </w:rPr>
        <w:t xml:space="preserve">may </w:t>
      </w:r>
      <w:r w:rsidR="006548CD" w:rsidRPr="00903DAA">
        <w:rPr>
          <w:lang w:val="en-GB"/>
        </w:rPr>
        <w:t xml:space="preserve">be used </w:t>
      </w:r>
      <w:r w:rsidR="00EF346B" w:rsidRPr="00472501">
        <w:rPr>
          <w:lang w:val="en-GB"/>
        </w:rPr>
        <w:t>in the 1800 MHz frequency band;</w:t>
      </w:r>
    </w:p>
    <w:p w14:paraId="6F3E4606" w14:textId="5BD6D37A" w:rsidR="00267423" w:rsidRPr="00903DAA" w:rsidRDefault="00682768" w:rsidP="00D247FB">
      <w:pPr>
        <w:pStyle w:val="LetteredList"/>
        <w:tabs>
          <w:tab w:val="num" w:pos="-1313"/>
        </w:tabs>
        <w:jc w:val="left"/>
        <w:rPr>
          <w:lang w:val="en-GB"/>
        </w:rPr>
      </w:pPr>
      <w:r w:rsidRPr="00903DAA">
        <w:rPr>
          <w:lang w:val="en-GB"/>
        </w:rPr>
        <w:lastRenderedPageBreak/>
        <w:t>that the technical conditions for MFCN base stations have been developed under the assumption that only non-AAS BS may be used by NB systems and either non-AAS BS or AAS BS may be used by WB systems</w:t>
      </w:r>
      <w:r w:rsidR="00BF4F1F" w:rsidRPr="00903DAA">
        <w:rPr>
          <w:lang w:val="en-GB"/>
        </w:rPr>
        <w:t>;</w:t>
      </w:r>
    </w:p>
    <w:p w14:paraId="5B375E96" w14:textId="5B7BD047" w:rsidR="003B39C5" w:rsidRPr="00903DAA" w:rsidRDefault="00EF346B" w:rsidP="00472501">
      <w:pPr>
        <w:pStyle w:val="LetteredList"/>
        <w:tabs>
          <w:tab w:val="num" w:pos="-1313"/>
        </w:tabs>
        <w:jc w:val="left"/>
        <w:rPr>
          <w:rFonts w:eastAsia="Calibri"/>
          <w:lang w:val="en-GB"/>
        </w:rPr>
      </w:pPr>
      <w:r w:rsidRPr="00903DAA">
        <w:rPr>
          <w:lang w:val="en-GB"/>
        </w:rPr>
        <w:t>that AAS does not apply to user terminals in the 900 MHz and 1800 MHz frequency bands;</w:t>
      </w:r>
    </w:p>
    <w:p w14:paraId="4B4C1DF9" w14:textId="218180C7" w:rsidR="00931897" w:rsidRPr="00903DAA" w:rsidRDefault="00EF346B" w:rsidP="00DF5274">
      <w:pPr>
        <w:pStyle w:val="LetteredList"/>
        <w:jc w:val="left"/>
        <w:rPr>
          <w:lang w:val="en-GB"/>
        </w:rPr>
      </w:pPr>
      <w:r w:rsidRPr="00472501">
        <w:rPr>
          <w:lang w:val="en-GB"/>
        </w:rPr>
        <w:t>that AAS MFCN systems should not claim more protection than provided to non-AAS MFCN systems;</w:t>
      </w:r>
    </w:p>
    <w:p w14:paraId="69E563A3" w14:textId="4B0BAAD1" w:rsidR="00E73AAA" w:rsidRPr="00903DAA" w:rsidRDefault="00E73AAA" w:rsidP="005635CB">
      <w:pPr>
        <w:pStyle w:val="LetteredList"/>
        <w:jc w:val="left"/>
        <w:rPr>
          <w:lang w:val="en-GB"/>
        </w:rPr>
      </w:pPr>
      <w:r w:rsidRPr="00903DAA">
        <w:rPr>
          <w:rFonts w:eastAsia="Calibri"/>
          <w:lang w:val="en-GB"/>
        </w:rPr>
        <w:t xml:space="preserve">that the spurious emission domain for the base station in these frequency bands start 10 MHz from the band edge and the corresponding limits are defined in current ERC Recommendation 74-01 </w:t>
      </w:r>
      <w:r w:rsidRPr="00903DAA">
        <w:rPr>
          <w:rFonts w:eastAsia="Calibri"/>
          <w:lang w:val="en-GB"/>
        </w:rPr>
        <w:fldChar w:fldCharType="begin"/>
      </w:r>
      <w:r w:rsidRPr="00903DAA">
        <w:rPr>
          <w:rFonts w:eastAsia="Calibri"/>
          <w:lang w:val="en-GB"/>
        </w:rPr>
        <w:instrText xml:space="preserve"> REF _Ref63428405 \r \h  \* MERGEFORMAT </w:instrText>
      </w:r>
      <w:r w:rsidRPr="00903DAA">
        <w:rPr>
          <w:rFonts w:eastAsia="Calibri"/>
          <w:lang w:val="en-GB"/>
        </w:rPr>
      </w:r>
      <w:r w:rsidRPr="00903DAA">
        <w:rPr>
          <w:rFonts w:eastAsia="Calibri"/>
          <w:lang w:val="en-GB"/>
        </w:rPr>
        <w:fldChar w:fldCharType="separate"/>
      </w:r>
      <w:r w:rsidR="00D00E65">
        <w:rPr>
          <w:rFonts w:eastAsia="Calibri"/>
          <w:b/>
          <w:bCs/>
        </w:rPr>
        <w:fldChar w:fldCharType="begin"/>
      </w:r>
      <w:r w:rsidR="00D00E65">
        <w:rPr>
          <w:rFonts w:eastAsia="Calibri"/>
          <w:lang w:val="en-GB"/>
        </w:rPr>
        <w:instrText xml:space="preserve"> REF _Ref97729241 \r \h </w:instrText>
      </w:r>
      <w:r w:rsidR="00D00E65">
        <w:rPr>
          <w:rFonts w:eastAsia="Calibri"/>
          <w:b/>
          <w:bCs/>
        </w:rPr>
      </w:r>
      <w:r w:rsidR="00D00E65">
        <w:rPr>
          <w:rFonts w:eastAsia="Calibri"/>
          <w:b/>
          <w:bCs/>
        </w:rPr>
        <w:fldChar w:fldCharType="separate"/>
      </w:r>
      <w:r w:rsidR="00D00E65">
        <w:rPr>
          <w:rFonts w:eastAsia="Calibri"/>
          <w:lang w:val="en-GB"/>
        </w:rPr>
        <w:t>[32]</w:t>
      </w:r>
      <w:r w:rsidR="00D00E65">
        <w:rPr>
          <w:rFonts w:eastAsia="Calibri"/>
          <w:b/>
          <w:bCs/>
        </w:rPr>
        <w:fldChar w:fldCharType="end"/>
      </w:r>
      <w:r w:rsidRPr="00903DAA">
        <w:rPr>
          <w:rFonts w:eastAsia="Calibri"/>
          <w:lang w:val="en-GB"/>
        </w:rPr>
        <w:fldChar w:fldCharType="end"/>
      </w:r>
      <w:r w:rsidRPr="00903DAA">
        <w:rPr>
          <w:rFonts w:eastAsia="Calibri"/>
          <w:lang w:val="en-GB"/>
        </w:rPr>
        <w:t>;</w:t>
      </w:r>
    </w:p>
    <w:p w14:paraId="36F7C0AA" w14:textId="138ABF1A" w:rsidR="005635CB" w:rsidRPr="00903DAA" w:rsidRDefault="005635CB" w:rsidP="005635CB">
      <w:pPr>
        <w:pStyle w:val="LetteredList"/>
        <w:jc w:val="left"/>
        <w:rPr>
          <w:lang w:val="en-GB"/>
        </w:rPr>
      </w:pPr>
      <w:r w:rsidRPr="00903DAA">
        <w:rPr>
          <w:lang w:val="en-GB"/>
        </w:rPr>
        <w:t xml:space="preserve">that some WB systems (such as 5G NR) are standardised on the basis of 5 MHz blocks or multiples thereof, and </w:t>
      </w:r>
      <w:r w:rsidR="00EC1790" w:rsidRPr="00903DAA">
        <w:rPr>
          <w:lang w:val="en-GB"/>
        </w:rPr>
        <w:t xml:space="preserve">these </w:t>
      </w:r>
      <w:r w:rsidR="00732679" w:rsidRPr="00903DAA">
        <w:rPr>
          <w:lang w:val="en-GB"/>
        </w:rPr>
        <w:t>systems</w:t>
      </w:r>
      <w:r w:rsidR="002217BA" w:rsidRPr="00903DAA">
        <w:rPr>
          <w:lang w:val="en-GB"/>
        </w:rPr>
        <w:t xml:space="preserve"> </w:t>
      </w:r>
      <w:r w:rsidRPr="00903DAA">
        <w:rPr>
          <w:lang w:val="en-GB"/>
        </w:rPr>
        <w:t>therefore require a minimum assigned block size of 5 MHz;</w:t>
      </w:r>
    </w:p>
    <w:p w14:paraId="59A71818" w14:textId="79D7219F" w:rsidR="005635CB" w:rsidRPr="00903DAA" w:rsidRDefault="005635CB" w:rsidP="005635CB">
      <w:pPr>
        <w:pStyle w:val="LetteredList"/>
        <w:jc w:val="left"/>
        <w:rPr>
          <w:lang w:val="en-GB"/>
        </w:rPr>
      </w:pPr>
      <w:r w:rsidRPr="00903DAA">
        <w:rPr>
          <w:lang w:val="en-GB"/>
        </w:rPr>
        <w:t>that, to avoid blocking by a narrowband system adjacent in frequency, a 200 kHz frequency separation may be required including between RMR and MFCN and this issue can be addressed at national level</w:t>
      </w:r>
      <w:r w:rsidR="00E73AAA" w:rsidRPr="00903DAA">
        <w:rPr>
          <w:lang w:val="en-GB"/>
        </w:rPr>
        <w:t>;</w:t>
      </w:r>
    </w:p>
    <w:p w14:paraId="00361CB3" w14:textId="6BF0A430" w:rsidR="005635CB" w:rsidRPr="00903DAA" w:rsidRDefault="005635CB" w:rsidP="005635CB">
      <w:pPr>
        <w:pStyle w:val="LetteredList"/>
        <w:jc w:val="left"/>
        <w:rPr>
          <w:lang w:val="en-GB"/>
        </w:rPr>
      </w:pPr>
      <w:r w:rsidRPr="00903DAA">
        <w:rPr>
          <w:lang w:val="en-GB"/>
        </w:rPr>
        <w:t>that, without bilateral coordination between MFCN networks, there may be a need for 200 kHz frequency separation to be managed at a national level. Different approaches could be implemented, depending on the spectrum edges noting that CEPT Report 80 includes a toolbox supporting this implementation as appropriate according to national situations (efficient use of spectrum, competition, coverage policy, etc;).</w:t>
      </w:r>
    </w:p>
    <w:p w14:paraId="5D306541" w14:textId="2488EC6A" w:rsidR="00BE3817" w:rsidRPr="00903DAA" w:rsidRDefault="004E2361" w:rsidP="00F3660D">
      <w:pPr>
        <w:pStyle w:val="LetteredList"/>
        <w:rPr>
          <w:lang w:val="en-GB"/>
        </w:rPr>
      </w:pPr>
      <w:r w:rsidRPr="00903DAA">
        <w:rPr>
          <w:lang w:val="en-GB"/>
        </w:rPr>
        <w:t xml:space="preserve">that </w:t>
      </w:r>
      <w:r w:rsidR="007D773E" w:rsidRPr="00903DAA">
        <w:rPr>
          <w:lang w:val="en-GB"/>
        </w:rPr>
        <w:t xml:space="preserve">MFCN </w:t>
      </w:r>
      <w:r w:rsidR="001E51F6" w:rsidRPr="00903DAA">
        <w:rPr>
          <w:lang w:val="en-GB"/>
        </w:rPr>
        <w:t>authori</w:t>
      </w:r>
      <w:r w:rsidR="009B7402" w:rsidRPr="00903DAA">
        <w:rPr>
          <w:lang w:val="en-GB"/>
        </w:rPr>
        <w:t>s</w:t>
      </w:r>
      <w:r w:rsidR="001E51F6" w:rsidRPr="00903DAA">
        <w:rPr>
          <w:lang w:val="en-GB"/>
        </w:rPr>
        <w:t>ations</w:t>
      </w:r>
      <w:r w:rsidRPr="00903DAA">
        <w:rPr>
          <w:lang w:val="en-GB"/>
        </w:rPr>
        <w:t xml:space="preserve"> </w:t>
      </w:r>
      <w:r w:rsidR="007D773E" w:rsidRPr="00903DAA">
        <w:rPr>
          <w:lang w:val="en-GB"/>
        </w:rPr>
        <w:t xml:space="preserve">may </w:t>
      </w:r>
      <w:r w:rsidRPr="00903DAA">
        <w:rPr>
          <w:lang w:val="en-GB"/>
        </w:rPr>
        <w:t>have been granted for the 900</w:t>
      </w:r>
      <w:r w:rsidR="007D773E" w:rsidRPr="00903DAA">
        <w:rPr>
          <w:lang w:val="en-GB"/>
        </w:rPr>
        <w:t> MHz</w:t>
      </w:r>
      <w:r w:rsidRPr="00903DAA">
        <w:rPr>
          <w:lang w:val="en-GB"/>
        </w:rPr>
        <w:t xml:space="preserve"> and 1800</w:t>
      </w:r>
      <w:r w:rsidR="007D773E" w:rsidRPr="00903DAA">
        <w:rPr>
          <w:lang w:val="en-GB"/>
        </w:rPr>
        <w:t> </w:t>
      </w:r>
      <w:r w:rsidRPr="00903DAA">
        <w:rPr>
          <w:lang w:val="en-GB"/>
        </w:rPr>
        <w:t xml:space="preserve">MHz bands based on the technical conditions as contained in the </w:t>
      </w:r>
      <w:r w:rsidR="00E260D3" w:rsidRPr="00903DAA">
        <w:rPr>
          <w:lang w:val="en-GB"/>
        </w:rPr>
        <w:t>previous</w:t>
      </w:r>
      <w:r w:rsidRPr="00903DAA">
        <w:rPr>
          <w:lang w:val="en-GB"/>
        </w:rPr>
        <w:t xml:space="preserve"> versions of this ECC Decision including the version of 8 March 201</w:t>
      </w:r>
      <w:r w:rsidR="00F579C7" w:rsidRPr="00903DAA">
        <w:rPr>
          <w:lang w:val="en-GB"/>
        </w:rPr>
        <w:t xml:space="preserve">9 </w:t>
      </w:r>
      <w:r w:rsidRPr="00903DAA">
        <w:rPr>
          <w:lang w:val="en-GB"/>
        </w:rPr>
        <w:t>;</w:t>
      </w:r>
    </w:p>
    <w:p w14:paraId="593D5301" w14:textId="1ABAB2A4" w:rsidR="00BE3817" w:rsidRPr="00903DAA" w:rsidRDefault="00677DA9" w:rsidP="00DF5274">
      <w:pPr>
        <w:pStyle w:val="LetteredList"/>
        <w:rPr>
          <w:lang w:val="en-GB"/>
        </w:rPr>
      </w:pPr>
      <w:r w:rsidRPr="00903DAA">
        <w:rPr>
          <w:lang w:val="en-GB"/>
        </w:rPr>
        <w:t>t</w:t>
      </w:r>
      <w:r w:rsidR="00BE3817" w:rsidRPr="00903DAA">
        <w:rPr>
          <w:lang w:val="en-GB"/>
        </w:rPr>
        <w:t xml:space="preserve">hat CEPT agreed to derive the technology neutral LRTCs in </w:t>
      </w:r>
      <w:r w:rsidR="00677343" w:rsidRPr="00903DAA">
        <w:rPr>
          <w:lang w:val="en-GB"/>
        </w:rPr>
        <w:fldChar w:fldCharType="begin"/>
      </w:r>
      <w:r w:rsidR="00677343" w:rsidRPr="00903DAA">
        <w:rPr>
          <w:lang w:val="en-GB"/>
        </w:rPr>
        <w:instrText xml:space="preserve"> REF _Ref83102205 \r \h </w:instrText>
      </w:r>
      <w:r w:rsidR="00D56F67" w:rsidRPr="00903DAA">
        <w:rPr>
          <w:lang w:val="en-GB"/>
        </w:rPr>
        <w:instrText xml:space="preserve"> \* MERGEFORMAT </w:instrText>
      </w:r>
      <w:r w:rsidR="00677343" w:rsidRPr="00903DAA">
        <w:rPr>
          <w:lang w:val="en-GB"/>
        </w:rPr>
      </w:r>
      <w:r w:rsidR="00677343" w:rsidRPr="00903DAA">
        <w:rPr>
          <w:lang w:val="en-GB"/>
        </w:rPr>
        <w:fldChar w:fldCharType="separate"/>
      </w:r>
      <w:r w:rsidR="00677343" w:rsidRPr="00903DAA">
        <w:rPr>
          <w:lang w:val="en-GB"/>
        </w:rPr>
        <w:t>A</w:t>
      </w:r>
      <w:r w:rsidR="002462EC" w:rsidRPr="00903DAA">
        <w:rPr>
          <w:lang w:val="en-GB"/>
        </w:rPr>
        <w:t>nnex</w:t>
      </w:r>
      <w:r w:rsidR="00677343" w:rsidRPr="00903DAA">
        <w:rPr>
          <w:lang w:val="en-GB"/>
        </w:rPr>
        <w:t xml:space="preserve"> 1</w:t>
      </w:r>
      <w:r w:rsidR="00677343" w:rsidRPr="00903DAA">
        <w:rPr>
          <w:lang w:val="en-GB"/>
        </w:rPr>
        <w:fldChar w:fldCharType="end"/>
      </w:r>
      <w:r w:rsidR="00BE3817" w:rsidRPr="00903DAA">
        <w:rPr>
          <w:lang w:val="en-GB"/>
        </w:rPr>
        <w:t xml:space="preserve"> (BEM for non-AAS and AAS</w:t>
      </w:r>
      <w:r w:rsidR="005D229C" w:rsidRPr="00903DAA">
        <w:rPr>
          <w:lang w:val="en-GB"/>
        </w:rPr>
        <w:t xml:space="preserve"> base stations</w:t>
      </w:r>
      <w:r w:rsidR="00BE3817" w:rsidRPr="00903DAA">
        <w:rPr>
          <w:lang w:val="en-GB"/>
        </w:rPr>
        <w:t>) based on ETSI Core requirements specifications;</w:t>
      </w:r>
    </w:p>
    <w:p w14:paraId="15BD8524" w14:textId="6E8ECE27" w:rsidR="00BE3817" w:rsidRPr="00903DAA" w:rsidRDefault="00677DA9" w:rsidP="00DF5274">
      <w:pPr>
        <w:pStyle w:val="LetteredList"/>
        <w:rPr>
          <w:lang w:val="en-GB"/>
        </w:rPr>
      </w:pPr>
      <w:r w:rsidRPr="00903DAA">
        <w:rPr>
          <w:lang w:val="en-GB"/>
        </w:rPr>
        <w:t>t</w:t>
      </w:r>
      <w:r w:rsidR="00BE3817" w:rsidRPr="00903DAA">
        <w:rPr>
          <w:lang w:val="en-GB"/>
        </w:rPr>
        <w:t>hat CEPT assumes that ETSI will continue using conformance requirements when developing ETSI Harmonised Standards in the future (including necessary test tolerance);</w:t>
      </w:r>
    </w:p>
    <w:p w14:paraId="3F887C75" w14:textId="0AFFD64A" w:rsidR="008629C2" w:rsidRPr="00903DAA" w:rsidRDefault="00A4227F" w:rsidP="008629C2">
      <w:pPr>
        <w:pStyle w:val="LetteredList"/>
        <w:jc w:val="left"/>
        <w:rPr>
          <w:lang w:val="en-GB"/>
        </w:rPr>
      </w:pPr>
      <w:r w:rsidRPr="00903DAA">
        <w:rPr>
          <w:lang w:val="en-GB"/>
        </w:rPr>
        <w:t xml:space="preserve">that </w:t>
      </w:r>
      <w:r w:rsidR="006F5934" w:rsidRPr="00903DAA">
        <w:rPr>
          <w:lang w:val="en-GB"/>
        </w:rPr>
        <w:t>a</w:t>
      </w:r>
      <w:r w:rsidR="008629C2" w:rsidRPr="00903DAA">
        <w:rPr>
          <w:lang w:val="en-GB"/>
        </w:rPr>
        <w:t>ssignment of contiguous spectrum offers more flexibility to mobile operators to manage various NB and WB technology migration</w:t>
      </w:r>
      <w:r w:rsidR="006F5934" w:rsidRPr="00903DAA">
        <w:rPr>
          <w:lang w:val="en-GB"/>
        </w:rPr>
        <w:t>;</w:t>
      </w:r>
    </w:p>
    <w:p w14:paraId="1D0022D2" w14:textId="405E4966" w:rsidR="0045667E" w:rsidRPr="00903DAA" w:rsidRDefault="0045667E" w:rsidP="0071354C">
      <w:pPr>
        <w:pStyle w:val="LetteredList"/>
        <w:rPr>
          <w:lang w:val="en-GB"/>
        </w:rPr>
      </w:pPr>
      <w:r w:rsidRPr="00903DAA">
        <w:rPr>
          <w:lang w:val="en-GB"/>
        </w:rPr>
        <w:t>that the proposed technology neutral LRTC</w:t>
      </w:r>
      <w:r w:rsidR="00FB785F" w:rsidRPr="00903DAA">
        <w:rPr>
          <w:lang w:val="en-GB"/>
        </w:rPr>
        <w:t>s</w:t>
      </w:r>
      <w:r w:rsidRPr="00903DAA">
        <w:rPr>
          <w:lang w:val="en-GB"/>
        </w:rPr>
        <w:t xml:space="preserve"> for AAS and non-AAS (including implementation of required frequency separation) as described in</w:t>
      </w:r>
      <w:r w:rsidR="00FB785F" w:rsidRPr="00903DAA">
        <w:rPr>
          <w:lang w:val="en-GB"/>
        </w:rPr>
        <w:t xml:space="preserve"> CEPT Report 80</w:t>
      </w:r>
      <w:r w:rsidRPr="00903DAA">
        <w:rPr>
          <w:lang w:val="en-GB"/>
        </w:rPr>
        <w:t xml:space="preserve"> will ensure that GSM</w:t>
      </w:r>
      <w:r w:rsidR="005D7D0D" w:rsidRPr="00903DAA">
        <w:rPr>
          <w:lang w:val="en-GB"/>
        </w:rPr>
        <w:t xml:space="preserve"> (including E</w:t>
      </w:r>
      <w:r w:rsidR="00624EAA" w:rsidRPr="00903DAA">
        <w:rPr>
          <w:lang w:val="en-GB"/>
        </w:rPr>
        <w:t>C</w:t>
      </w:r>
      <w:r w:rsidR="005D7D0D" w:rsidRPr="00903DAA">
        <w:rPr>
          <w:lang w:val="en-GB"/>
        </w:rPr>
        <w:t>-GSM-IoT)</w:t>
      </w:r>
      <w:r w:rsidRPr="00903DAA">
        <w:rPr>
          <w:lang w:val="en-GB"/>
        </w:rPr>
        <w:t xml:space="preserve"> will remain protected;</w:t>
      </w:r>
    </w:p>
    <w:p w14:paraId="2FD763FA" w14:textId="6625585C" w:rsidR="0045667E" w:rsidRPr="00903DAA" w:rsidRDefault="0045667E" w:rsidP="00472501">
      <w:pPr>
        <w:pStyle w:val="LetteredList"/>
        <w:rPr>
          <w:lang w:val="en-GB"/>
        </w:rPr>
      </w:pPr>
      <w:r w:rsidRPr="00903DAA">
        <w:rPr>
          <w:lang w:val="en-GB"/>
        </w:rPr>
        <w:t xml:space="preserve">that in EU/EFTA countries the radio equipment that is under the scope of this Decision shall comply with the RE Directive  </w:t>
      </w:r>
      <w:r w:rsidRPr="00903DAA">
        <w:rPr>
          <w:lang w:val="en-GB"/>
        </w:rPr>
        <w:fldChar w:fldCharType="begin"/>
      </w:r>
      <w:r w:rsidRPr="00903DAA">
        <w:rPr>
          <w:lang w:val="en-GB"/>
        </w:rPr>
        <w:instrText xml:space="preserve"> REF _Ref503801854 \r \h  \* MERGEFORMAT </w:instrText>
      </w:r>
      <w:r w:rsidRPr="00903DAA">
        <w:rPr>
          <w:lang w:val="en-GB"/>
        </w:rPr>
      </w:r>
      <w:r w:rsidRPr="00903DAA">
        <w:rPr>
          <w:lang w:val="en-GB"/>
        </w:rPr>
        <w:fldChar w:fldCharType="separate"/>
      </w:r>
      <w:r w:rsidR="00D00E65">
        <w:rPr>
          <w:lang w:val="en-GB"/>
        </w:rPr>
        <w:t>[33]</w:t>
      </w:r>
      <w:r w:rsidRPr="00903DAA">
        <w:rPr>
          <w:lang w:val="en-GB"/>
        </w:rPr>
        <w:fldChar w:fldCharType="end"/>
      </w:r>
      <w:r w:rsidRPr="00903DAA">
        <w:rPr>
          <w:lang w:val="en-GB"/>
        </w:rPr>
        <w:t>. Conformity with the essential requirements of the RE Directive may be demonstrated by compliance with the applicable harmonised European standard(s)</w:t>
      </w:r>
      <w:r w:rsidR="007C2ADF" w:rsidRPr="0017717A">
        <w:rPr>
          <w:lang w:val="en-GB"/>
        </w:rPr>
        <w:t>, cited in the Official Journal of the European Union (OJ),</w:t>
      </w:r>
      <w:r w:rsidRPr="00903DAA">
        <w:rPr>
          <w:lang w:val="en-GB"/>
        </w:rPr>
        <w:t xml:space="preserve"> or by using the other conformity assessment procedures set out in the RE Directive;</w:t>
      </w:r>
    </w:p>
    <w:p w14:paraId="6F3E4616" w14:textId="77777777" w:rsidR="00267423" w:rsidRPr="00903DAA" w:rsidRDefault="00267423">
      <w:pPr>
        <w:pStyle w:val="ECCParagraph"/>
        <w:rPr>
          <w:i/>
          <w:color w:val="D2232A"/>
        </w:rPr>
      </w:pPr>
    </w:p>
    <w:p w14:paraId="6F3E4617" w14:textId="77777777" w:rsidR="00267423" w:rsidRPr="00903DAA" w:rsidRDefault="00EF346B">
      <w:pPr>
        <w:pStyle w:val="ECCParagraph"/>
        <w:rPr>
          <w:i/>
          <w:color w:val="D2232A"/>
        </w:rPr>
      </w:pPr>
      <w:r w:rsidRPr="00903DAA">
        <w:rPr>
          <w:i/>
          <w:color w:val="D2232A"/>
        </w:rPr>
        <w:t>DECIDES</w:t>
      </w:r>
    </w:p>
    <w:p w14:paraId="2090C616" w14:textId="230F5095" w:rsidR="002A66AA" w:rsidRPr="00903DAA" w:rsidRDefault="003F1082" w:rsidP="00DF5274">
      <w:pPr>
        <w:pStyle w:val="NumberedList"/>
        <w:numPr>
          <w:ilvl w:val="0"/>
          <w:numId w:val="34"/>
        </w:numPr>
        <w:tabs>
          <w:tab w:val="left" w:pos="709"/>
        </w:tabs>
        <w:spacing w:before="120" w:after="0"/>
      </w:pPr>
      <w:r w:rsidRPr="00903DAA">
        <w:t>that this decision designates</w:t>
      </w:r>
      <w:r w:rsidRPr="00903DAA">
        <w:rPr>
          <w:vertAlign w:val="superscript"/>
        </w:rPr>
        <w:footnoteReference w:id="5"/>
      </w:r>
      <w:r w:rsidRPr="00903DAA">
        <w:t xml:space="preserve"> the frequency bands 880-915 MHz, 925-960 MHz, 1710-1785 MHz and 1805-1880 MHz, for MFCN Narrowband (</w:t>
      </w:r>
      <w:r w:rsidRPr="00903DAA">
        <w:rPr>
          <w:rFonts w:cs="Arial"/>
          <w:szCs w:val="20"/>
        </w:rPr>
        <w:t>NB) systems which are operating in 200 kHz channels (excluding GSM and EC-GSM-IoT)</w:t>
      </w:r>
      <w:r w:rsidRPr="00903DAA">
        <w:t xml:space="preserve"> and MFCN Wideband (</w:t>
      </w:r>
      <w:r w:rsidRPr="00903DAA">
        <w:rPr>
          <w:rFonts w:eastAsiaTheme="minorHAnsi" w:cs="Arial"/>
          <w:szCs w:val="20"/>
        </w:rPr>
        <w:t>WB) systems which are operating in channels larger than 200 kHz</w:t>
      </w:r>
      <w:r w:rsidRPr="00903DAA">
        <w:t>, subject to market demand and national licensing schemes;</w:t>
      </w:r>
    </w:p>
    <w:p w14:paraId="31A6C3B5" w14:textId="5C97C036" w:rsidR="00430695" w:rsidRPr="00903DAA" w:rsidRDefault="00430695" w:rsidP="00DF5274">
      <w:pPr>
        <w:pStyle w:val="NumberedList"/>
        <w:numPr>
          <w:ilvl w:val="0"/>
          <w:numId w:val="34"/>
        </w:numPr>
        <w:tabs>
          <w:tab w:val="left" w:pos="709"/>
        </w:tabs>
        <w:spacing w:before="120" w:after="0"/>
      </w:pPr>
      <w:proofErr w:type="gramStart"/>
      <w:r w:rsidRPr="00903DAA">
        <w:t>that administrations</w:t>
      </w:r>
      <w:proofErr w:type="gramEnd"/>
      <w:r w:rsidRPr="00903DAA">
        <w:t xml:space="preserve"> wishing to implement MFCN systems in the 880-915/925-960 MHz and 1710-1785/1805-1880 MHz bands should follow the frequency arrangement and the least restrictive technical conditions suitable for MFCN, given in </w:t>
      </w:r>
      <w:r w:rsidR="00B4362E" w:rsidRPr="00903DAA">
        <w:fldChar w:fldCharType="begin"/>
      </w:r>
      <w:r w:rsidR="00B4362E" w:rsidRPr="00903DAA">
        <w:instrText xml:space="preserve"> REF _Ref83102205 \r \h </w:instrText>
      </w:r>
      <w:r w:rsidR="00D56F67" w:rsidRPr="00903DAA">
        <w:instrText xml:space="preserve"> \* MERGEFORMAT </w:instrText>
      </w:r>
      <w:r w:rsidR="00B4362E" w:rsidRPr="00903DAA">
        <w:fldChar w:fldCharType="separate"/>
      </w:r>
      <w:r w:rsidR="00B4362E" w:rsidRPr="00903DAA">
        <w:t>A</w:t>
      </w:r>
      <w:r w:rsidR="00AF399C" w:rsidRPr="00903DAA">
        <w:t>nnex</w:t>
      </w:r>
      <w:r w:rsidR="00B4362E" w:rsidRPr="00903DAA">
        <w:t xml:space="preserve"> 1</w:t>
      </w:r>
      <w:r w:rsidR="00B4362E" w:rsidRPr="00903DAA">
        <w:fldChar w:fldCharType="end"/>
      </w:r>
      <w:r w:rsidRPr="00903DAA">
        <w:t>;</w:t>
      </w:r>
    </w:p>
    <w:p w14:paraId="5C01B8AB" w14:textId="1A843422" w:rsidR="00D77C3D" w:rsidRPr="00903DAA" w:rsidRDefault="00D77C3D" w:rsidP="00D77C3D">
      <w:pPr>
        <w:pStyle w:val="NumberedList"/>
        <w:numPr>
          <w:ilvl w:val="0"/>
          <w:numId w:val="34"/>
        </w:numPr>
        <w:tabs>
          <w:tab w:val="left" w:pos="709"/>
        </w:tabs>
        <w:spacing w:before="120" w:after="0"/>
      </w:pPr>
      <w:r w:rsidRPr="00903DAA">
        <w:t>that administrations shall take all necessary measures to ensure the protection of the continued operation of GSM including EC-GSM-IoT systems in the 900 MHz and 1800 MHz bands;</w:t>
      </w:r>
    </w:p>
    <w:p w14:paraId="6F3E461E" w14:textId="66ED8CF6" w:rsidR="00267423" w:rsidRPr="00903DAA" w:rsidRDefault="006F5934" w:rsidP="00472501">
      <w:pPr>
        <w:pStyle w:val="NumberedList"/>
        <w:numPr>
          <w:ilvl w:val="0"/>
          <w:numId w:val="34"/>
        </w:numPr>
        <w:tabs>
          <w:tab w:val="left" w:pos="709"/>
        </w:tabs>
        <w:spacing w:before="120" w:after="0"/>
        <w:ind w:left="357" w:hanging="357"/>
      </w:pPr>
      <w:r w:rsidRPr="00903DAA" w:rsidDel="006F5934">
        <w:t xml:space="preserve"> </w:t>
      </w:r>
      <w:r w:rsidR="00EF346B" w:rsidRPr="00903DAA">
        <w:t xml:space="preserve">that this Decision shall enter into force on </w:t>
      </w:r>
      <w:r w:rsidR="00EF346B" w:rsidRPr="00976389">
        <w:t xml:space="preserve">date: </w:t>
      </w:r>
      <w:r w:rsidR="00690E00">
        <w:t xml:space="preserve"> 4 March </w:t>
      </w:r>
      <w:r w:rsidR="003C480C" w:rsidRPr="00903DAA">
        <w:t xml:space="preserve"> </w:t>
      </w:r>
      <w:r w:rsidR="00235113" w:rsidRPr="00903DAA">
        <w:t>202</w:t>
      </w:r>
      <w:r w:rsidR="00D77C3D" w:rsidRPr="00903DAA">
        <w:t>2</w:t>
      </w:r>
      <w:r w:rsidR="00EF346B" w:rsidRPr="00976389">
        <w:t>;</w:t>
      </w:r>
    </w:p>
    <w:p w14:paraId="6F3E461F" w14:textId="03EAB5E2" w:rsidR="00267423" w:rsidRPr="00472501" w:rsidRDefault="00EF346B" w:rsidP="00791843">
      <w:pPr>
        <w:pStyle w:val="ListParagraph"/>
        <w:numPr>
          <w:ilvl w:val="0"/>
          <w:numId w:val="34"/>
        </w:numPr>
        <w:tabs>
          <w:tab w:val="left" w:pos="709"/>
        </w:tabs>
        <w:spacing w:before="120"/>
        <w:ind w:left="357" w:hanging="357"/>
        <w:contextualSpacing w:val="0"/>
        <w:rPr>
          <w:lang w:val="en-GB"/>
        </w:rPr>
      </w:pPr>
      <w:r w:rsidRPr="00472501">
        <w:rPr>
          <w:lang w:val="en-GB"/>
        </w:rPr>
        <w:t>that the preferred date for implementation of this Decision shall be</w:t>
      </w:r>
      <w:r w:rsidRPr="00903DAA">
        <w:rPr>
          <w:lang w:val="en-GB"/>
        </w:rPr>
        <w:t xml:space="preserve">: </w:t>
      </w:r>
      <w:r w:rsidR="00690E00">
        <w:rPr>
          <w:lang w:val="en-GB"/>
        </w:rPr>
        <w:t xml:space="preserve"> 4 September</w:t>
      </w:r>
      <w:r w:rsidR="00235113" w:rsidRPr="00903DAA">
        <w:rPr>
          <w:lang w:val="en-GB"/>
        </w:rPr>
        <w:t>202</w:t>
      </w:r>
      <w:r w:rsidR="00D77C3D" w:rsidRPr="00903DAA">
        <w:rPr>
          <w:lang w:val="en-GB"/>
        </w:rPr>
        <w:t>2</w:t>
      </w:r>
      <w:r w:rsidRPr="00472501">
        <w:rPr>
          <w:lang w:val="en-GB"/>
        </w:rPr>
        <w:t>;</w:t>
      </w:r>
    </w:p>
    <w:p w14:paraId="6F3E4621" w14:textId="2512454A" w:rsidR="00267423" w:rsidRPr="00472501" w:rsidRDefault="00EF346B" w:rsidP="0038220A">
      <w:pPr>
        <w:pStyle w:val="NumberedList"/>
        <w:keepNext/>
        <w:numPr>
          <w:ilvl w:val="0"/>
          <w:numId w:val="34"/>
        </w:numPr>
        <w:tabs>
          <w:tab w:val="left" w:pos="709"/>
        </w:tabs>
        <w:spacing w:before="120" w:after="0"/>
      </w:pPr>
      <w:r w:rsidRPr="00903DAA">
        <w:lastRenderedPageBreak/>
        <w:t>that CEPT administrations shall communicate the national measures implementing this Decision to the ECC Chairman and the Office when the Decision is nationally implemented.”</w:t>
      </w:r>
    </w:p>
    <w:p w14:paraId="6F3E4622" w14:textId="77777777" w:rsidR="00267423" w:rsidRPr="00472501" w:rsidRDefault="00267423" w:rsidP="00472501">
      <w:pPr>
        <w:pStyle w:val="ECCParagraph"/>
      </w:pPr>
    </w:p>
    <w:p w14:paraId="6F3E4623" w14:textId="77777777" w:rsidR="00267423" w:rsidRPr="00903DAA" w:rsidRDefault="00EF346B">
      <w:pPr>
        <w:pStyle w:val="ECCParagraph"/>
        <w:keepNext/>
        <w:rPr>
          <w:i/>
          <w:color w:val="D2232A"/>
        </w:rPr>
      </w:pPr>
      <w:r w:rsidRPr="00903DAA">
        <w:rPr>
          <w:i/>
          <w:color w:val="D2232A"/>
        </w:rPr>
        <w:t xml:space="preserve">Note: </w:t>
      </w:r>
    </w:p>
    <w:p w14:paraId="6F3E4624" w14:textId="459C12EE" w:rsidR="00267423" w:rsidRPr="00903DAA" w:rsidRDefault="00EF346B">
      <w:pPr>
        <w:pStyle w:val="ECCParagraph"/>
        <w:keepNext/>
        <w:rPr>
          <w:i/>
          <w:szCs w:val="20"/>
        </w:rPr>
      </w:pPr>
      <w:r w:rsidRPr="00903DAA">
        <w:rPr>
          <w:i/>
          <w:szCs w:val="20"/>
        </w:rPr>
        <w:t xml:space="preserve">Please check the Office documentation database </w:t>
      </w:r>
      <w:hyperlink r:id="rId8" w:history="1">
        <w:r w:rsidR="00822E65" w:rsidRPr="00903DAA">
          <w:rPr>
            <w:rStyle w:val="Hyperlink"/>
            <w:i/>
            <w:szCs w:val="20"/>
          </w:rPr>
          <w:t>https://docdb.cept.org/</w:t>
        </w:r>
      </w:hyperlink>
      <w:r w:rsidRPr="00903DAA">
        <w:rPr>
          <w:i/>
          <w:szCs w:val="20"/>
        </w:rPr>
        <w:t xml:space="preserve"> for the up to date position on the implementation of this and other ECC Decisions.</w:t>
      </w:r>
    </w:p>
    <w:p w14:paraId="6F3E4625" w14:textId="77777777" w:rsidR="00267423" w:rsidRPr="00903DAA" w:rsidRDefault="00EF346B">
      <w:pPr>
        <w:pStyle w:val="ECCParagraph"/>
        <w:rPr>
          <w:sz w:val="16"/>
          <w:szCs w:val="16"/>
        </w:rPr>
      </w:pPr>
      <w:r w:rsidRPr="00903DAA">
        <w:br w:type="page"/>
      </w:r>
    </w:p>
    <w:p w14:paraId="11B542D2" w14:textId="77777777" w:rsidR="00380B04" w:rsidRPr="00903DAA" w:rsidRDefault="00380B04" w:rsidP="00CF0264">
      <w:pPr>
        <w:pStyle w:val="ECCAnnex-heading1"/>
        <w:numPr>
          <w:ilvl w:val="0"/>
          <w:numId w:val="4"/>
        </w:numPr>
        <w:rPr>
          <w:lang w:eastAsia="de-DE"/>
        </w:rPr>
      </w:pPr>
      <w:bookmarkStart w:id="10" w:name="_Ref83102205"/>
      <w:bookmarkStart w:id="11" w:name="_Toc18338440"/>
      <w:bookmarkStart w:id="12" w:name="_Ref63673280"/>
      <w:bookmarkStart w:id="13" w:name="_Ref63673292"/>
      <w:bookmarkStart w:id="14" w:name="_Toc71037842"/>
      <w:bookmarkStart w:id="15" w:name="_Toc482008832"/>
      <w:r w:rsidRPr="00903DAA">
        <w:rPr>
          <w:lang w:eastAsia="de-DE"/>
        </w:rPr>
        <w:lastRenderedPageBreak/>
        <w:t>Harmonised CHANNELLING ARRANGEMENT AND LEAST RESTRICTIVE TECHNICAL CONDITIONS</w:t>
      </w:r>
      <w:bookmarkEnd w:id="10"/>
    </w:p>
    <w:bookmarkEnd w:id="11"/>
    <w:bookmarkEnd w:id="12"/>
    <w:bookmarkEnd w:id="13"/>
    <w:bookmarkEnd w:id="14"/>
    <w:p w14:paraId="71D125EA" w14:textId="77777777" w:rsidR="00380B04" w:rsidRPr="00903DAA" w:rsidRDefault="00380B04" w:rsidP="00380B04">
      <w:pPr>
        <w:pStyle w:val="ECCAnnexheading2"/>
        <w:numPr>
          <w:ilvl w:val="1"/>
          <w:numId w:val="4"/>
        </w:numPr>
        <w:ind w:left="576"/>
        <w:rPr>
          <w:lang w:val="en-GB"/>
        </w:rPr>
      </w:pPr>
      <w:r w:rsidRPr="00903DAA">
        <w:rPr>
          <w:lang w:val="en-GB"/>
        </w:rPr>
        <w:t>Definitions</w:t>
      </w:r>
    </w:p>
    <w:p w14:paraId="7FA8789E" w14:textId="36DF2C7C" w:rsidR="00380B04" w:rsidRPr="00903DAA" w:rsidRDefault="00472501" w:rsidP="00380B04">
      <w:pPr>
        <w:pStyle w:val="ECCParagraph"/>
        <w:rPr>
          <w:lang w:eastAsia="de-DE"/>
        </w:rPr>
      </w:pPr>
      <w:r w:rsidRPr="00903DAA">
        <w:rPr>
          <w:lang w:eastAsia="de-DE"/>
        </w:rPr>
        <w:t xml:space="preserve">The following definitions for </w:t>
      </w:r>
      <w:r w:rsidR="00380B04" w:rsidRPr="00903DAA">
        <w:rPr>
          <w:lang w:eastAsia="de-DE"/>
        </w:rPr>
        <w:t>MFCN narrowband (</w:t>
      </w:r>
      <w:r w:rsidR="00380B04" w:rsidRPr="00903DAA">
        <w:t>NB</w:t>
      </w:r>
      <w:r w:rsidR="00380B04" w:rsidRPr="00903DAA">
        <w:rPr>
          <w:lang w:eastAsia="de-DE"/>
        </w:rPr>
        <w:t>)</w:t>
      </w:r>
      <w:r w:rsidR="00380B04" w:rsidRPr="00903DAA">
        <w:t xml:space="preserve"> and </w:t>
      </w:r>
      <w:r w:rsidR="00380B04" w:rsidRPr="00903DAA">
        <w:rPr>
          <w:lang w:eastAsia="de-DE"/>
        </w:rPr>
        <w:t>MFCN wideband (</w:t>
      </w:r>
      <w:r w:rsidR="00380B04" w:rsidRPr="00903DAA">
        <w:t>WB</w:t>
      </w:r>
      <w:r w:rsidR="00380B04" w:rsidRPr="00903DAA">
        <w:rPr>
          <w:lang w:eastAsia="de-DE"/>
        </w:rPr>
        <w:t>) systems respectively apply in this Annex:</w:t>
      </w:r>
    </w:p>
    <w:p w14:paraId="7D2833EA" w14:textId="77777777" w:rsidR="00380B04" w:rsidRPr="00903DAA" w:rsidRDefault="00380B04" w:rsidP="00380B04">
      <w:pPr>
        <w:pStyle w:val="ECCBulletsLv1"/>
        <w:numPr>
          <w:ilvl w:val="0"/>
          <w:numId w:val="39"/>
        </w:numPr>
        <w:ind w:left="340" w:hanging="340"/>
      </w:pPr>
      <w:r w:rsidRPr="00903DAA">
        <w:rPr>
          <w:lang w:eastAsia="de-DE"/>
        </w:rPr>
        <w:t>MFCN</w:t>
      </w:r>
      <w:r w:rsidRPr="00903DAA">
        <w:t xml:space="preserve"> NB systems are systems operating in 200 kHz channels, excluding GSM and EC-GSM-IoT;</w:t>
      </w:r>
    </w:p>
    <w:p w14:paraId="0A5C9537" w14:textId="77777777" w:rsidR="00380B04" w:rsidRPr="00903DAA" w:rsidRDefault="00380B04" w:rsidP="00380B04">
      <w:pPr>
        <w:pStyle w:val="ECCBulletsLv1"/>
        <w:numPr>
          <w:ilvl w:val="0"/>
          <w:numId w:val="39"/>
        </w:numPr>
        <w:ind w:left="340" w:hanging="340"/>
      </w:pPr>
      <w:r w:rsidRPr="00903DAA">
        <w:rPr>
          <w:lang w:eastAsia="de-DE"/>
        </w:rPr>
        <w:t>MFCN</w:t>
      </w:r>
      <w:r w:rsidRPr="00903DAA">
        <w:t xml:space="preserve"> WB systems are systems operating in channels larger than 200 kHz.</w:t>
      </w:r>
    </w:p>
    <w:p w14:paraId="1CD5268A" w14:textId="77777777" w:rsidR="00380B04" w:rsidRPr="00903DAA" w:rsidRDefault="00380B04" w:rsidP="00380B04">
      <w:pPr>
        <w:pStyle w:val="ECCBulletsLv1"/>
        <w:ind w:left="360" w:hanging="360"/>
      </w:pPr>
    </w:p>
    <w:p w14:paraId="38344184" w14:textId="77777777" w:rsidR="00380B04" w:rsidRPr="00903DAA" w:rsidRDefault="00380B04" w:rsidP="00380B04">
      <w:pPr>
        <w:pStyle w:val="ECCParagraph"/>
      </w:pPr>
      <w:r w:rsidRPr="00903DAA">
        <w:t>The following definitions for RMR narrowband (NB) and RMR wideband (WB) systems respective apply in this Annex:</w:t>
      </w:r>
    </w:p>
    <w:p w14:paraId="47C2466F" w14:textId="77777777" w:rsidR="00380B04" w:rsidRPr="00903DAA" w:rsidRDefault="00380B04" w:rsidP="00380B04">
      <w:pPr>
        <w:pStyle w:val="ECCBulletsLv1"/>
        <w:numPr>
          <w:ilvl w:val="0"/>
          <w:numId w:val="39"/>
        </w:numPr>
      </w:pPr>
      <w:r w:rsidRPr="00903DAA">
        <w:t>RMR NB systems are RMR systems operating in 200 kHz channels;</w:t>
      </w:r>
    </w:p>
    <w:p w14:paraId="0314F63B" w14:textId="77777777" w:rsidR="00380B04" w:rsidRPr="00903DAA" w:rsidRDefault="00380B04" w:rsidP="00380B04">
      <w:pPr>
        <w:pStyle w:val="ECCBulletsLv1"/>
        <w:numPr>
          <w:ilvl w:val="0"/>
          <w:numId w:val="39"/>
        </w:numPr>
      </w:pPr>
      <w:r w:rsidRPr="00903DAA">
        <w:t>RMR WB systems are RMR systems operating in channels larger than 200 kHz.</w:t>
      </w:r>
    </w:p>
    <w:p w14:paraId="5636EA1B" w14:textId="77777777" w:rsidR="00380B04" w:rsidRPr="00903DAA" w:rsidRDefault="00380B04" w:rsidP="00380B04">
      <w:pPr>
        <w:pStyle w:val="ECCAnnexheading2"/>
        <w:numPr>
          <w:ilvl w:val="1"/>
          <w:numId w:val="4"/>
        </w:numPr>
        <w:rPr>
          <w:lang w:val="en-GB"/>
        </w:rPr>
      </w:pPr>
      <w:r w:rsidRPr="00903DAA">
        <w:rPr>
          <w:lang w:val="en-GB" w:eastAsia="de-DE"/>
        </w:rPr>
        <w:t>MFCN</w:t>
      </w:r>
      <w:r w:rsidRPr="00903DAA">
        <w:rPr>
          <w:lang w:val="en-GB"/>
        </w:rPr>
        <w:t xml:space="preserve"> HARMONISED BAND PLAN</w:t>
      </w:r>
    </w:p>
    <w:p w14:paraId="13C00241" w14:textId="046CC4D2" w:rsidR="00380B04" w:rsidRPr="00903DAA" w:rsidRDefault="00380B04" w:rsidP="00380B04">
      <w:pPr>
        <w:numPr>
          <w:ilvl w:val="0"/>
          <w:numId w:val="49"/>
        </w:numPr>
        <w:spacing w:before="240"/>
        <w:jc w:val="both"/>
        <w:rPr>
          <w:lang w:val="en-GB"/>
        </w:rPr>
      </w:pPr>
      <w:r w:rsidRPr="00903DAA">
        <w:rPr>
          <w:lang w:val="en-GB"/>
        </w:rPr>
        <w:t>The 900 MHz band follows an FDD band plan. The duplex direction for the carriers in 880-915 MHz/925-960 MHz</w:t>
      </w:r>
      <w:bookmarkStart w:id="16" w:name="_Ref61337296"/>
      <w:r w:rsidRPr="00903DAA">
        <w:rPr>
          <w:rStyle w:val="FootnoteReference"/>
          <w:lang w:val="en-GB"/>
        </w:rPr>
        <w:footnoteReference w:id="6"/>
      </w:r>
      <w:bookmarkEnd w:id="16"/>
      <w:r w:rsidRPr="00903DAA">
        <w:rPr>
          <w:lang w:val="en-GB"/>
        </w:rPr>
        <w:t xml:space="preserve"> frequency bands is mobile transmit within the lower band and base station transmit within the upper band.</w:t>
      </w:r>
    </w:p>
    <w:p w14:paraId="48232612" w14:textId="4C94DBA8" w:rsidR="00380B04" w:rsidRPr="00903DAA" w:rsidRDefault="00380B04" w:rsidP="00380B04">
      <w:pPr>
        <w:numPr>
          <w:ilvl w:val="0"/>
          <w:numId w:val="49"/>
        </w:numPr>
        <w:spacing w:before="240"/>
        <w:jc w:val="both"/>
        <w:rPr>
          <w:lang w:val="en-GB"/>
        </w:rPr>
      </w:pPr>
      <w:r w:rsidRPr="00903DAA">
        <w:rPr>
          <w:lang w:val="en-GB"/>
        </w:rPr>
        <w:t>The 1800 MHz band follows an FDD band plan. The duplex direction for the carriers in 1710-1785 MHz/1805-1880 MHz</w:t>
      </w:r>
      <w:bookmarkStart w:id="17" w:name="_Ref61337302"/>
      <w:r w:rsidRPr="00903DAA">
        <w:rPr>
          <w:rStyle w:val="FootnoteReference"/>
          <w:lang w:val="en-GB"/>
        </w:rPr>
        <w:footnoteReference w:id="7"/>
      </w:r>
      <w:bookmarkEnd w:id="17"/>
      <w:r w:rsidRPr="00903DAA">
        <w:rPr>
          <w:lang w:val="en-GB"/>
        </w:rPr>
        <w:t xml:space="preserve"> frequency bands is mobile transmit within the lower band and base station transmit within the upper band.</w:t>
      </w:r>
    </w:p>
    <w:p w14:paraId="4D8BC8E2" w14:textId="531B24B6" w:rsidR="00317A6B" w:rsidRPr="00903DAA" w:rsidRDefault="00380B04" w:rsidP="001C213E">
      <w:pPr>
        <w:numPr>
          <w:ilvl w:val="0"/>
          <w:numId w:val="49"/>
        </w:numPr>
        <w:spacing w:before="240"/>
        <w:jc w:val="both"/>
        <w:rPr>
          <w:lang w:val="en-GB"/>
        </w:rPr>
      </w:pPr>
      <w:r w:rsidRPr="00903DAA">
        <w:rPr>
          <w:lang w:val="en-GB"/>
        </w:rPr>
        <w:t xml:space="preserve">The 900 MHz national band plan should </w:t>
      </w:r>
      <w:r w:rsidR="00443FA0" w:rsidRPr="00903DAA">
        <w:rPr>
          <w:lang w:val="en-GB"/>
        </w:rPr>
        <w:t xml:space="preserve">generally provide the opportunity to access </w:t>
      </w:r>
      <w:r w:rsidRPr="00903DAA">
        <w:rPr>
          <w:lang w:val="en-GB"/>
        </w:rPr>
        <w:t>at least 5 MHz of contiguous spectrum</w:t>
      </w:r>
      <w:r w:rsidR="00317A6B" w:rsidRPr="00903DAA">
        <w:rPr>
          <w:lang w:val="en-GB"/>
        </w:rPr>
        <w:t xml:space="preserve">; if smaller block sizes are </w:t>
      </w:r>
      <w:proofErr w:type="gramStart"/>
      <w:r w:rsidR="00317A6B" w:rsidRPr="00903DAA">
        <w:rPr>
          <w:lang w:val="en-GB"/>
        </w:rPr>
        <w:t>assigned</w:t>
      </w:r>
      <w:proofErr w:type="gramEnd"/>
      <w:r w:rsidR="00317A6B" w:rsidRPr="00903DAA">
        <w:rPr>
          <w:lang w:val="en-GB"/>
        </w:rPr>
        <w:t xml:space="preserve"> they should</w:t>
      </w:r>
      <w:r w:rsidR="00317A6B" w:rsidRPr="00472501">
        <w:rPr>
          <w:lang w:val="en-GB"/>
        </w:rPr>
        <w:t xml:space="preserve"> be </w:t>
      </w:r>
      <w:r w:rsidR="00317A6B" w:rsidRPr="00903DAA">
        <w:rPr>
          <w:lang w:val="en-GB"/>
        </w:rPr>
        <w:t>in multiples of 200 kHz</w:t>
      </w:r>
      <w:r w:rsidRPr="00903DAA">
        <w:rPr>
          <w:lang w:val="en-GB"/>
        </w:rPr>
        <w:t>.</w:t>
      </w:r>
    </w:p>
    <w:p w14:paraId="1830CDC8" w14:textId="52229BAC" w:rsidR="00DB2C0F" w:rsidRPr="00903DAA" w:rsidRDefault="00317A6B">
      <w:pPr>
        <w:numPr>
          <w:ilvl w:val="0"/>
          <w:numId w:val="49"/>
        </w:numPr>
        <w:spacing w:before="240"/>
        <w:jc w:val="both"/>
        <w:rPr>
          <w:lang w:val="en-GB"/>
        </w:rPr>
      </w:pPr>
      <w:r w:rsidRPr="00903DAA">
        <w:rPr>
          <w:lang w:val="en-GB"/>
        </w:rPr>
        <w:t xml:space="preserve">The 1800 MHz national band plan should </w:t>
      </w:r>
      <w:r w:rsidR="001E2703" w:rsidRPr="00903DAA">
        <w:rPr>
          <w:lang w:val="en-GB"/>
        </w:rPr>
        <w:t>generally provide the opportunity to access</w:t>
      </w:r>
      <w:r w:rsidR="00731E92" w:rsidRPr="00903DAA">
        <w:rPr>
          <w:lang w:val="en-GB"/>
        </w:rPr>
        <w:t xml:space="preserve"> </w:t>
      </w:r>
      <w:r w:rsidRPr="00903DAA">
        <w:rPr>
          <w:lang w:val="en-GB"/>
        </w:rPr>
        <w:t>at least 5 MHz of contiguous spectrum</w:t>
      </w:r>
      <w:r w:rsidR="00671AA7" w:rsidRPr="00903DAA">
        <w:rPr>
          <w:lang w:val="en-GB"/>
        </w:rPr>
        <w:t>;</w:t>
      </w:r>
      <w:r w:rsidR="001E2703" w:rsidRPr="00903DAA">
        <w:rPr>
          <w:lang w:val="en-GB"/>
        </w:rPr>
        <w:t xml:space="preserve"> if smaller block sizes are </w:t>
      </w:r>
      <w:proofErr w:type="gramStart"/>
      <w:r w:rsidR="001E2703" w:rsidRPr="00903DAA">
        <w:rPr>
          <w:lang w:val="en-GB"/>
        </w:rPr>
        <w:t>assigned</w:t>
      </w:r>
      <w:proofErr w:type="gramEnd"/>
      <w:r w:rsidR="001E2703" w:rsidRPr="00903DAA">
        <w:rPr>
          <w:lang w:val="en-GB"/>
        </w:rPr>
        <w:t xml:space="preserve"> they should be in multiples of 200 kHz.</w:t>
      </w:r>
    </w:p>
    <w:p w14:paraId="2CFCA642" w14:textId="69867589" w:rsidR="00380B04" w:rsidRPr="00903DAA" w:rsidRDefault="00380B04" w:rsidP="00380B04">
      <w:pPr>
        <w:numPr>
          <w:ilvl w:val="0"/>
          <w:numId w:val="49"/>
        </w:numPr>
        <w:spacing w:before="240"/>
        <w:jc w:val="both"/>
        <w:rPr>
          <w:lang w:val="en-GB"/>
        </w:rPr>
      </w:pPr>
      <w:r w:rsidRPr="00903DAA">
        <w:rPr>
          <w:lang w:val="en-GB"/>
        </w:rPr>
        <w:t xml:space="preserve">The </w:t>
      </w:r>
      <w:r w:rsidRPr="00903DAA">
        <w:rPr>
          <w:lang w:val="en-GB" w:eastAsia="de-DE"/>
        </w:rPr>
        <w:t>MFCN</w:t>
      </w:r>
      <w:r w:rsidR="00342EAA" w:rsidRPr="00903DAA">
        <w:rPr>
          <w:lang w:val="en-GB" w:eastAsia="de-DE"/>
        </w:rPr>
        <w:t xml:space="preserve"> </w:t>
      </w:r>
      <w:r w:rsidRPr="00903DAA">
        <w:rPr>
          <w:lang w:val="en-GB"/>
        </w:rPr>
        <w:t xml:space="preserve">band plans for the 900 MHz and 1800 MHz bands are depicted in </w:t>
      </w:r>
      <w:r w:rsidRPr="00903DAA">
        <w:rPr>
          <w:lang w:val="en-GB"/>
        </w:rPr>
        <w:fldChar w:fldCharType="begin"/>
      </w:r>
      <w:r w:rsidRPr="00903DAA">
        <w:rPr>
          <w:lang w:val="en-GB"/>
        </w:rPr>
        <w:instrText xml:space="preserve"> REF _Ref70356797 \h  \* MERGEFORMAT </w:instrText>
      </w:r>
      <w:r w:rsidRPr="00903DAA">
        <w:rPr>
          <w:lang w:val="en-GB"/>
        </w:rPr>
      </w:r>
      <w:r w:rsidRPr="00903DAA">
        <w:rPr>
          <w:lang w:val="en-GB"/>
        </w:rPr>
        <w:fldChar w:fldCharType="separate"/>
      </w:r>
      <w:r w:rsidRPr="00903DAA">
        <w:rPr>
          <w:lang w:val="en-GB"/>
        </w:rPr>
        <w:t xml:space="preserve">Figure </w:t>
      </w:r>
      <w:r w:rsidRPr="00903DAA">
        <w:rPr>
          <w:noProof/>
          <w:lang w:val="en-GB"/>
        </w:rPr>
        <w:t>1</w:t>
      </w:r>
      <w:r w:rsidRPr="00903DAA">
        <w:rPr>
          <w:lang w:val="en-GB"/>
        </w:rPr>
        <w:fldChar w:fldCharType="end"/>
      </w:r>
      <w:r w:rsidRPr="00903DAA">
        <w:rPr>
          <w:lang w:val="en-GB"/>
        </w:rPr>
        <w:t>.</w:t>
      </w:r>
    </w:p>
    <w:p w14:paraId="73830D76" w14:textId="77777777" w:rsidR="00380B04" w:rsidRPr="00903DAA" w:rsidRDefault="00380B04" w:rsidP="00380B04">
      <w:pPr>
        <w:pStyle w:val="ListParagraph"/>
        <w:rPr>
          <w:lang w:val="en-GB"/>
        </w:rPr>
      </w:pPr>
    </w:p>
    <w:p w14:paraId="0C664032" w14:textId="77777777" w:rsidR="0030409D" w:rsidRPr="00903DAA" w:rsidRDefault="0030409D">
      <w:pPr>
        <w:rPr>
          <w:noProof/>
          <w:szCs w:val="20"/>
          <w:lang w:val="en-GB" w:eastAsia="de-DE"/>
          <w14:cntxtAlts/>
        </w:rPr>
      </w:pPr>
      <w:r w:rsidRPr="00903DAA">
        <w:rPr>
          <w:lang w:val="en-GB"/>
        </w:rPr>
        <w:br w:type="page"/>
      </w:r>
    </w:p>
    <w:p w14:paraId="05A85FC2" w14:textId="09EE0C9B" w:rsidR="00380B04" w:rsidRPr="00903DAA" w:rsidRDefault="00380B04" w:rsidP="00380B04">
      <w:pPr>
        <w:pStyle w:val="ECCFiguregraphcentered"/>
        <w:rPr>
          <w:lang w:val="en-GB"/>
        </w:rPr>
      </w:pPr>
      <w:r w:rsidRPr="00903DAA">
        <w:rPr>
          <w:lang w:val="en-GB" w:eastAsia="zh-CN"/>
        </w:rPr>
        <w:lastRenderedPageBreak/>
        <w:drawing>
          <wp:inline distT="0" distB="0" distL="0" distR="0" wp14:anchorId="7F0826BB" wp14:editId="76C2BFD4">
            <wp:extent cx="2457450" cy="742950"/>
            <wp:effectExtent l="0" t="0" r="0" b="0"/>
            <wp:docPr id="24"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96DAC541-7B7A-43D3-8B79-37D633B846F1}">
                          <asvg:svgBlip xmlns:asvg="http://schemas.microsoft.com/office/drawing/2016/SVG/main" r:embed="rId10"/>
                        </a:ext>
                      </a:extLst>
                    </a:blip>
                    <a:stretch>
                      <a:fillRect/>
                    </a:stretch>
                  </pic:blipFill>
                  <pic:spPr>
                    <a:xfrm>
                      <a:off x="0" y="0"/>
                      <a:ext cx="2457450" cy="742950"/>
                    </a:xfrm>
                    <a:prstGeom prst="rect">
                      <a:avLst/>
                    </a:prstGeom>
                  </pic:spPr>
                </pic:pic>
              </a:graphicData>
            </a:graphic>
          </wp:inline>
        </w:drawing>
      </w:r>
    </w:p>
    <w:p w14:paraId="276E3A91" w14:textId="77777777" w:rsidR="00380B04" w:rsidRPr="00903DAA" w:rsidRDefault="00380B04" w:rsidP="00380B04">
      <w:pPr>
        <w:pStyle w:val="ECCFiguregraphcentered"/>
        <w:rPr>
          <w:lang w:val="en-GB"/>
        </w:rPr>
      </w:pPr>
      <w:r w:rsidRPr="00903DAA">
        <w:rPr>
          <w:lang w:val="en-GB" w:eastAsia="zh-CN"/>
        </w:rPr>
        <w:drawing>
          <wp:inline distT="0" distB="0" distL="0" distR="0" wp14:anchorId="28461770" wp14:editId="462135D5">
            <wp:extent cx="6096000" cy="742950"/>
            <wp:effectExtent l="0" t="0" r="0" b="0"/>
            <wp:docPr id="15" name="Graphic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6096000" cy="742950"/>
                    </a:xfrm>
                    <a:prstGeom prst="rect">
                      <a:avLst/>
                    </a:prstGeom>
                  </pic:spPr>
                </pic:pic>
              </a:graphicData>
            </a:graphic>
          </wp:inline>
        </w:drawing>
      </w:r>
    </w:p>
    <w:p w14:paraId="4AC9A325" w14:textId="06E417AE" w:rsidR="00380B04" w:rsidRPr="00903DAA" w:rsidRDefault="00380B04" w:rsidP="00380B04">
      <w:pPr>
        <w:pStyle w:val="Caption"/>
        <w:rPr>
          <w:lang w:val="en-GB"/>
        </w:rPr>
      </w:pPr>
      <w:bookmarkStart w:id="18" w:name="_Ref70356797"/>
      <w:bookmarkStart w:id="19" w:name="_Ref61338545"/>
      <w:r w:rsidRPr="00903DAA" w:rsidDel="0017118A">
        <w:rPr>
          <w:lang w:val="en-GB"/>
        </w:rPr>
        <w:t xml:space="preserve">Figure </w:t>
      </w:r>
      <w:r w:rsidRPr="00903DAA" w:rsidDel="0017118A">
        <w:rPr>
          <w:lang w:val="en-GB"/>
        </w:rPr>
        <w:fldChar w:fldCharType="begin"/>
      </w:r>
      <w:r w:rsidRPr="00903DAA" w:rsidDel="0017118A">
        <w:rPr>
          <w:lang w:val="en-GB"/>
        </w:rPr>
        <w:instrText xml:space="preserve"> SEQ Figure \* ARABIC </w:instrText>
      </w:r>
      <w:r w:rsidRPr="00903DAA" w:rsidDel="0017118A">
        <w:rPr>
          <w:lang w:val="en-GB"/>
        </w:rPr>
        <w:fldChar w:fldCharType="separate"/>
      </w:r>
      <w:r w:rsidR="00D00E65">
        <w:rPr>
          <w:noProof/>
          <w:lang w:val="en-GB"/>
        </w:rPr>
        <w:t>1</w:t>
      </w:r>
      <w:r w:rsidRPr="00903DAA" w:rsidDel="0017118A">
        <w:rPr>
          <w:lang w:val="en-GB"/>
        </w:rPr>
        <w:fldChar w:fldCharType="end"/>
      </w:r>
      <w:bookmarkEnd w:id="18"/>
      <w:bookmarkEnd w:id="19"/>
      <w:r w:rsidRPr="00903DAA" w:rsidDel="0017118A">
        <w:rPr>
          <w:lang w:val="en-GB"/>
        </w:rPr>
        <w:t>:</w:t>
      </w:r>
      <w:r w:rsidRPr="00903DAA">
        <w:rPr>
          <w:lang w:val="en-GB"/>
        </w:rPr>
        <w:t xml:space="preserve"> Harmonised band plan</w:t>
      </w:r>
    </w:p>
    <w:p w14:paraId="34848D72" w14:textId="1DA31AE4" w:rsidR="00380B04" w:rsidRPr="00903DAA" w:rsidRDefault="00380B04" w:rsidP="00380B04">
      <w:pPr>
        <w:pStyle w:val="ECCAnnexheading2"/>
        <w:numPr>
          <w:ilvl w:val="1"/>
          <w:numId w:val="4"/>
        </w:numPr>
        <w:rPr>
          <w:lang w:val="en-GB"/>
        </w:rPr>
      </w:pPr>
      <w:r w:rsidRPr="00903DAA">
        <w:rPr>
          <w:lang w:val="en-GB"/>
        </w:rPr>
        <w:t>FREQUENCY SEPARATION BETWEEN ADJACENT MFCN SYSTEMS</w:t>
      </w:r>
    </w:p>
    <w:p w14:paraId="5C33216F" w14:textId="3D9B2962" w:rsidR="00380B04" w:rsidRPr="00903DAA" w:rsidRDefault="00380B04" w:rsidP="00380B04">
      <w:pPr>
        <w:pStyle w:val="ECCParagraph"/>
      </w:pPr>
      <w:r w:rsidRPr="00903DAA">
        <w:t xml:space="preserve">When deployed in an uncoordinated approach, it is </w:t>
      </w:r>
      <w:r w:rsidR="00472501" w:rsidRPr="00903DAA">
        <w:t xml:space="preserve">necessary to </w:t>
      </w:r>
      <w:r w:rsidRPr="00903DAA">
        <w:t>implement a 200 kHz frequency separation between the nominal channel edges of:</w:t>
      </w:r>
    </w:p>
    <w:p w14:paraId="3096830E" w14:textId="77777777" w:rsidR="00380B04" w:rsidRPr="00903DAA" w:rsidRDefault="00380B04" w:rsidP="00380B04">
      <w:pPr>
        <w:pStyle w:val="ECCBulletsLv1"/>
        <w:numPr>
          <w:ilvl w:val="0"/>
          <w:numId w:val="39"/>
        </w:numPr>
        <w:rPr>
          <w:lang w:eastAsia="en-GB"/>
        </w:rPr>
      </w:pPr>
      <w:r w:rsidRPr="00903DAA">
        <w:rPr>
          <w:lang w:eastAsia="en-GB"/>
        </w:rPr>
        <w:t>An</w:t>
      </w:r>
      <w:r w:rsidRPr="00903DAA">
        <w:t xml:space="preserve"> MFCN </w:t>
      </w:r>
      <w:r w:rsidRPr="00903DAA">
        <w:rPr>
          <w:lang w:eastAsia="en-GB"/>
        </w:rPr>
        <w:t>NB system complying with</w:t>
      </w:r>
      <w:r w:rsidRPr="00903DAA">
        <w:t xml:space="preserve"> the </w:t>
      </w:r>
      <w:r w:rsidRPr="00903DAA">
        <w:rPr>
          <w:lang w:eastAsia="en-GB"/>
        </w:rPr>
        <w:t>BEM and an MFCN WB system complying with the BEM;</w:t>
      </w:r>
    </w:p>
    <w:p w14:paraId="192E80DD" w14:textId="229B8E36" w:rsidR="00380B04" w:rsidRPr="00903DAA" w:rsidRDefault="009616B3" w:rsidP="00380B04">
      <w:pPr>
        <w:pStyle w:val="ECCBulletsLv1"/>
        <w:numPr>
          <w:ilvl w:val="0"/>
          <w:numId w:val="39"/>
        </w:numPr>
        <w:rPr>
          <w:lang w:eastAsia="en-GB"/>
        </w:rPr>
      </w:pPr>
      <w:r w:rsidRPr="00903DAA">
        <w:t>D</w:t>
      </w:r>
      <w:r w:rsidR="00380B04" w:rsidRPr="00903DAA">
        <w:t xml:space="preserve">ifferent </w:t>
      </w:r>
      <w:r w:rsidR="00380B04" w:rsidRPr="00903DAA">
        <w:rPr>
          <w:lang w:eastAsia="en-GB"/>
        </w:rPr>
        <w:t>MFCN</w:t>
      </w:r>
      <w:r w:rsidR="00380B04" w:rsidRPr="00903DAA">
        <w:t xml:space="preserve"> NB </w:t>
      </w:r>
      <w:r w:rsidR="00380B04" w:rsidRPr="00903DAA">
        <w:rPr>
          <w:lang w:eastAsia="en-GB"/>
        </w:rPr>
        <w:t>systems both complying with the BEM; and,</w:t>
      </w:r>
    </w:p>
    <w:p w14:paraId="28124A6B" w14:textId="2C0CD76A" w:rsidR="00380B04" w:rsidRPr="00903DAA" w:rsidRDefault="00380B04" w:rsidP="00380B04">
      <w:pPr>
        <w:pStyle w:val="ECCBulletsLv1"/>
        <w:numPr>
          <w:ilvl w:val="0"/>
          <w:numId w:val="39"/>
        </w:numPr>
      </w:pPr>
      <w:r w:rsidRPr="00903DAA">
        <w:rPr>
          <w:lang w:eastAsia="en-GB"/>
        </w:rPr>
        <w:t>GSM</w:t>
      </w:r>
      <w:r w:rsidRPr="00903DAA">
        <w:t xml:space="preserve"> (including EC</w:t>
      </w:r>
      <w:r w:rsidRPr="00903DAA">
        <w:rPr>
          <w:lang w:eastAsia="en-GB"/>
        </w:rPr>
        <w:t>-</w:t>
      </w:r>
      <w:r w:rsidRPr="00903DAA">
        <w:t>GSM</w:t>
      </w:r>
      <w:r w:rsidRPr="00903DAA">
        <w:rPr>
          <w:lang w:eastAsia="en-GB"/>
        </w:rPr>
        <w:t>-</w:t>
      </w:r>
      <w:r w:rsidRPr="00903DAA">
        <w:t>IoT</w:t>
      </w:r>
      <w:r w:rsidRPr="00903DAA">
        <w:rPr>
          <w:lang w:eastAsia="en-GB"/>
        </w:rPr>
        <w:t>) and either an MFCN NB system or MFCN WB system complying with the BEM</w:t>
      </w:r>
      <w:r w:rsidR="009616B3" w:rsidRPr="00903DAA">
        <w:rPr>
          <w:lang w:eastAsia="en-GB"/>
        </w:rPr>
        <w:t>.</w:t>
      </w:r>
    </w:p>
    <w:p w14:paraId="6B1C2CB1" w14:textId="5DA35361" w:rsidR="00380B04" w:rsidRPr="00903DAA" w:rsidRDefault="00380B04" w:rsidP="00380B04">
      <w:pPr>
        <w:pStyle w:val="ECCParagraph"/>
      </w:pPr>
      <w:r w:rsidRPr="00903DAA">
        <w:t>Implementation of such frequency separation refers to a national context.</w:t>
      </w:r>
    </w:p>
    <w:p w14:paraId="32EB788A" w14:textId="4B386585" w:rsidR="00380B04" w:rsidRDefault="00380B04" w:rsidP="00380B04">
      <w:pPr>
        <w:pStyle w:val="ECCParagraph"/>
      </w:pPr>
      <w:r w:rsidRPr="00903DAA">
        <w:t>For an MFCN NB system operating in a guard band mode of a relevant MFCN WB system, a frequency separation of 200 kHz or more is necessary between the channel edge of this MFCN NB system and the edge of the operator's block, taking into account existing guard bands between operators' block edges or the edge of the operating band (adjacent to other services). Such MFCN NB systems operate only in channel bandwidths of 10 MHz or higher.</w:t>
      </w:r>
    </w:p>
    <w:p w14:paraId="4D9B7063" w14:textId="53EA84C0" w:rsidR="00472501" w:rsidRPr="00903DAA" w:rsidRDefault="00472501" w:rsidP="00380B04">
      <w:pPr>
        <w:pStyle w:val="ECCParagraph"/>
      </w:pPr>
      <w:r w:rsidRPr="00903DAA">
        <w:t>The above frequency separations are required to ensure coexistence in the absence of bilateral or multilateral agreements between neighbouring networks, without precluding less stringent technical parameters if agreed among the operators of such networks.</w:t>
      </w:r>
    </w:p>
    <w:p w14:paraId="48C6FD71" w14:textId="77777777" w:rsidR="00380B04" w:rsidRPr="00903DAA" w:rsidRDefault="00380B04" w:rsidP="00380B04">
      <w:pPr>
        <w:pStyle w:val="ECCParagraph"/>
        <w:rPr>
          <w:rFonts w:cs="Arial"/>
          <w:szCs w:val="20"/>
        </w:rPr>
      </w:pPr>
      <w:r w:rsidRPr="00903DAA">
        <w:rPr>
          <w:rFonts w:cs="Arial"/>
          <w:szCs w:val="20"/>
        </w:rPr>
        <w:t>Where needed, the</w:t>
      </w:r>
      <w:r w:rsidRPr="00903DAA">
        <w:t xml:space="preserve"> implementation of this 200 kHz frequency separation needs to be addressed </w:t>
      </w:r>
      <w:r w:rsidRPr="00903DAA">
        <w:rPr>
          <w:rFonts w:eastAsia="MS Mincho" w:cs="Arial"/>
          <w:szCs w:val="20"/>
          <w:lang w:eastAsia="ja-JP"/>
        </w:rPr>
        <w:t>on a</w:t>
      </w:r>
      <w:r w:rsidRPr="00903DAA">
        <w:rPr>
          <w:rFonts w:eastAsia="MS Mincho"/>
        </w:rPr>
        <w:t xml:space="preserve"> national </w:t>
      </w:r>
      <w:r w:rsidRPr="00903DAA">
        <w:rPr>
          <w:rFonts w:eastAsia="MS Mincho" w:cs="Arial"/>
          <w:szCs w:val="20"/>
          <w:lang w:eastAsia="ja-JP"/>
        </w:rPr>
        <w:t>basis</w:t>
      </w:r>
      <w:r w:rsidRPr="00903DAA">
        <w:t xml:space="preserve"> in order to maintain spectrum efficiency. Various approaches could be</w:t>
      </w:r>
      <w:r w:rsidRPr="00903DAA">
        <w:rPr>
          <w:rFonts w:cs="Arial"/>
          <w:szCs w:val="20"/>
        </w:rPr>
        <w:t xml:space="preserve"> implemented either separately or simultaneously depending on the spectrum edges of adjacent MFCN networks.</w:t>
      </w:r>
    </w:p>
    <w:p w14:paraId="14F5B8F0" w14:textId="77777777" w:rsidR="00380B04" w:rsidRPr="00903DAA" w:rsidRDefault="00380B04" w:rsidP="00380B04">
      <w:pPr>
        <w:pStyle w:val="ECCParagraph"/>
        <w:rPr>
          <w:rFonts w:ascii="Calibri" w:hAnsi="Calibri"/>
        </w:rPr>
      </w:pPr>
      <w:r w:rsidRPr="00903DAA">
        <w:t>Depending on the national context and relevant deployment of MFCN NB or WB and RMR (encompasses GSM-R and its successor(s), including FRMCS), there may also be a need for a 200 kHz frequency separation between channel edges of networks adjacent in frequency at 925 MHz in the following cases: RMR NB vs. MFCN WB, RMR WB vs. MFCN NB and, when the MFCN NB and RMR NB systems are different, RMR NB vs. MFCN NB. This frequency separation should be addressed by regulatory measures at a national level in order to maintain spectrum efficiency.</w:t>
      </w:r>
    </w:p>
    <w:p w14:paraId="31C47D58" w14:textId="77777777" w:rsidR="00380B04" w:rsidRPr="00903DAA" w:rsidRDefault="00380B04" w:rsidP="00380B04">
      <w:pPr>
        <w:pStyle w:val="ECCAnnexheading2"/>
        <w:numPr>
          <w:ilvl w:val="1"/>
          <w:numId w:val="4"/>
        </w:numPr>
        <w:rPr>
          <w:lang w:val="en-GB"/>
        </w:rPr>
      </w:pPr>
      <w:r w:rsidRPr="00903DAA">
        <w:rPr>
          <w:lang w:val="en-GB"/>
        </w:rPr>
        <w:t>LEAST RESTRICTIVE TECHNICAL CONDITIONS</w:t>
      </w:r>
    </w:p>
    <w:p w14:paraId="2DAEE144" w14:textId="68C4852F" w:rsidR="00472501" w:rsidRDefault="00472501" w:rsidP="00380B04">
      <w:pPr>
        <w:pStyle w:val="ECCParagraph"/>
      </w:pPr>
      <w:r w:rsidRPr="00903DAA">
        <w:t>A Block Edge Mask (BEM) is an essential component of conditions necessary to ensure co-existence between neighbouring networks, in the absence of bilateral or multilateral agreements between operators of such neighbouring networks. Less stringent technical parameters, if agreed among all affected operators of such networks, may also be used provided that these operators continue to comply with the technical conditions applicable for the protection of other services, applications or networks and with obligations resulting from cross-border coordination</w:t>
      </w:r>
      <w:r>
        <w:t>.</w:t>
      </w:r>
    </w:p>
    <w:p w14:paraId="36E5481D" w14:textId="14BAE73C" w:rsidR="00380B04" w:rsidRPr="00903DAA" w:rsidRDefault="00380B04" w:rsidP="00380B04">
      <w:pPr>
        <w:pStyle w:val="ECCParagraph"/>
      </w:pPr>
      <w:r w:rsidRPr="00903DAA">
        <w:t xml:space="preserve">The technical conditions presented in this Annex, which apply to all systems except GSM/EC-GSM-IoT, are in the form of a Block Edge Mask (BEM) for base stations and an in-band power limit for terminal stations. BEMs </w:t>
      </w:r>
      <w:r w:rsidRPr="00903DAA">
        <w:lastRenderedPageBreak/>
        <w:t>are related to authorisation of spectrum rights of use and the avoidance of interference between users which benefit from such authorisation.</w:t>
      </w:r>
    </w:p>
    <w:p w14:paraId="150C5A87" w14:textId="77777777" w:rsidR="00380B04" w:rsidRPr="00903DAA" w:rsidRDefault="00380B04" w:rsidP="00380B04">
      <w:pPr>
        <w:pStyle w:val="ECCAnnexheading3"/>
        <w:numPr>
          <w:ilvl w:val="2"/>
          <w:numId w:val="4"/>
        </w:numPr>
        <w:rPr>
          <w:lang w:val="en-GB"/>
        </w:rPr>
      </w:pPr>
      <w:r w:rsidRPr="00903DAA">
        <w:rPr>
          <w:lang w:val="en-GB"/>
        </w:rPr>
        <w:t>Technical conditions for base stations – Block Edge Mask</w:t>
      </w:r>
    </w:p>
    <w:p w14:paraId="15F9A64B" w14:textId="02A2A5EC" w:rsidR="00380B04" w:rsidRPr="00903DAA" w:rsidRDefault="00380B04" w:rsidP="00380B04">
      <w:pPr>
        <w:pStyle w:val="ECCParagraph"/>
      </w:pPr>
      <w:r w:rsidRPr="00903DAA">
        <w:t xml:space="preserve">The BEM consists of several elements as given in </w:t>
      </w:r>
      <w:r w:rsidRPr="00903DAA">
        <w:fldChar w:fldCharType="begin"/>
      </w:r>
      <w:r w:rsidRPr="00903DAA">
        <w:instrText xml:space="preserve"> REF _Ref61340162 \h  \* MERGEFORMAT </w:instrText>
      </w:r>
      <w:r w:rsidRPr="00903DAA">
        <w:fldChar w:fldCharType="separate"/>
      </w:r>
      <w:r w:rsidRPr="00903DAA">
        <w:t>Table 1</w:t>
      </w:r>
      <w:r w:rsidRPr="00903DAA">
        <w:fldChar w:fldCharType="end"/>
      </w:r>
      <w:r w:rsidRPr="00903DAA">
        <w:t xml:space="preserve">. The in-block power limit is applied to a block assigned to an operator. The baseline power limit, designed to protect the spectrum of other operators within the respective frequency band, and the transitional region power limit, enabling filter roll-off from the in-block to the baseline power limit, represent out-of-block power elements. </w:t>
      </w:r>
    </w:p>
    <w:p w14:paraId="256D3608" w14:textId="77777777" w:rsidR="00380B04" w:rsidRPr="00903DAA" w:rsidRDefault="00380B04" w:rsidP="00380B04">
      <w:pPr>
        <w:pStyle w:val="ECCParagraph"/>
      </w:pPr>
      <w:r w:rsidRPr="00903DAA">
        <w:t>The additional baseline power limit is an out-of-band power limit which is used for the protection of systems above and below the band edge, where needed.</w:t>
      </w:r>
    </w:p>
    <w:p w14:paraId="05F517A2" w14:textId="7A2859FF" w:rsidR="00800344" w:rsidRPr="00903DAA" w:rsidRDefault="00380B04">
      <w:pPr>
        <w:pStyle w:val="ECCParagraph"/>
      </w:pPr>
      <w:r w:rsidRPr="00903DAA">
        <w:t xml:space="preserve">Power limits are provided separately for non-AAS and AAS base stations. Non-AAS base stations may be used in the 900 MHz and 1800 MHz frequency bands, hence the non-AAS base station power limits apply to both bands. For non-AAS base stations, the power limits are expressed as mean </w:t>
      </w:r>
      <w:r w:rsidRPr="00903DAA">
        <w:rPr>
          <w:color w:val="000000"/>
        </w:rPr>
        <w:t xml:space="preserve">equivalent </w:t>
      </w:r>
      <w:proofErr w:type="spellStart"/>
      <w:r w:rsidRPr="00903DAA">
        <w:rPr>
          <w:color w:val="000000"/>
        </w:rPr>
        <w:t>isotropically</w:t>
      </w:r>
      <w:proofErr w:type="spellEnd"/>
      <w:r w:rsidRPr="00903DAA">
        <w:rPr>
          <w:color w:val="000000"/>
        </w:rPr>
        <w:t xml:space="preserve"> radiated power</w:t>
      </w:r>
      <w:r w:rsidRPr="00903DAA">
        <w:rPr>
          <w:rFonts w:cs="Arial"/>
          <w:color w:val="000000"/>
          <w:lang w:eastAsia="fr-FR"/>
        </w:rPr>
        <w:t xml:space="preserve"> (</w:t>
      </w:r>
      <w:r w:rsidRPr="00903DAA">
        <w:rPr>
          <w:color w:val="000000"/>
        </w:rPr>
        <w:t>e.i.r.p</w:t>
      </w:r>
      <w:r w:rsidR="002307A4" w:rsidRPr="00903DAA">
        <w:rPr>
          <w:color w:val="000000"/>
        </w:rPr>
        <w:t>.</w:t>
      </w:r>
      <w:r w:rsidRPr="00903DAA">
        <w:rPr>
          <w:rFonts w:cs="Arial"/>
          <w:color w:val="000000"/>
          <w:lang w:eastAsia="fr-FR"/>
        </w:rPr>
        <w:t>)</w:t>
      </w:r>
      <w:r w:rsidRPr="00903DAA">
        <w:t xml:space="preserve">. AAS base stations may only be used in the 1800 MHz frequency band, hence the AAS base station power limits only apply to this band. For AAS base stations, the power limits are expressed as mean total radiated power (TRP). TRP is defined as the integral of the power radiated by an antenna array system in different directions over the entire radiation sphere. TRP is equal to the total conducted power input into the antenna array system, less any losses in the antenna array system. The mean </w:t>
      </w:r>
      <w:r w:rsidRPr="00903DAA">
        <w:rPr>
          <w:rFonts w:cs="Arial"/>
          <w:color w:val="000000"/>
          <w:lang w:eastAsia="fr-FR"/>
        </w:rPr>
        <w:t>e.i.r.p.</w:t>
      </w:r>
      <w:r w:rsidRPr="00903DAA">
        <w:t xml:space="preserve"> or mean TRP are measured by averaging over a time interval and over a measurement frequency bandwidth. In the time domain, the mean </w:t>
      </w:r>
      <w:r w:rsidRPr="00903DAA">
        <w:rPr>
          <w:rFonts w:cs="Arial"/>
          <w:color w:val="000000"/>
          <w:lang w:eastAsia="fr-FR"/>
        </w:rPr>
        <w:t>e.i.r.p.</w:t>
      </w:r>
      <w:r w:rsidRPr="00903DAA">
        <w:t xml:space="preserve"> or mean TRP is averaged over the active portions of signal bursts and corresponds to a single power control setting. In the frequency domain, the mean </w:t>
      </w:r>
      <w:r w:rsidRPr="00903DAA">
        <w:rPr>
          <w:rFonts w:cs="Arial"/>
          <w:color w:val="000000"/>
          <w:lang w:eastAsia="fr-FR"/>
        </w:rPr>
        <w:t>e.i.r.p.</w:t>
      </w:r>
      <w:r w:rsidRPr="00903DAA">
        <w:t xml:space="preserve"> or mean TRP is determined over the measurement frequency bandwidth as given in </w:t>
      </w:r>
      <w:r w:rsidRPr="00903DAA">
        <w:fldChar w:fldCharType="begin"/>
      </w:r>
      <w:r w:rsidRPr="00903DAA">
        <w:instrText xml:space="preserve"> REF _Ref61338502 \h  \* MERGEFORMAT </w:instrText>
      </w:r>
      <w:r w:rsidRPr="00903DAA">
        <w:fldChar w:fldCharType="separate"/>
      </w:r>
      <w:r w:rsidRPr="00903DAA">
        <w:t xml:space="preserve">Table </w:t>
      </w:r>
      <w:r w:rsidRPr="00903DAA">
        <w:rPr>
          <w:noProof/>
        </w:rPr>
        <w:t>2</w:t>
      </w:r>
      <w:r w:rsidRPr="00903DAA">
        <w:fldChar w:fldCharType="end"/>
      </w:r>
      <w:r w:rsidR="00AF72F4" w:rsidRPr="00903DAA">
        <w:t>,</w:t>
      </w:r>
      <w:r w:rsidR="002307A4" w:rsidRPr="00903DAA">
        <w:t xml:space="preserve"> </w:t>
      </w:r>
      <w:r w:rsidR="00AF72F4" w:rsidRPr="00903DAA">
        <w:fldChar w:fldCharType="begin"/>
      </w:r>
      <w:r w:rsidR="00AF72F4" w:rsidRPr="00903DAA">
        <w:instrText xml:space="preserve"> REF _Ref61338509 \h </w:instrText>
      </w:r>
      <w:r w:rsidR="0054159B" w:rsidRPr="00903DAA">
        <w:instrText xml:space="preserve"> \* MERGEFORMAT </w:instrText>
      </w:r>
      <w:r w:rsidR="00AF72F4" w:rsidRPr="00903DAA">
        <w:fldChar w:fldCharType="separate"/>
      </w:r>
      <w:r w:rsidR="00AF72F4" w:rsidRPr="00903DAA">
        <w:t xml:space="preserve">Table </w:t>
      </w:r>
      <w:r w:rsidR="00AF72F4" w:rsidRPr="00903DAA">
        <w:rPr>
          <w:noProof/>
        </w:rPr>
        <w:t>3</w:t>
      </w:r>
      <w:r w:rsidR="00AF72F4" w:rsidRPr="00903DAA">
        <w:fldChar w:fldCharType="end"/>
      </w:r>
      <w:r w:rsidR="00AF72F4" w:rsidRPr="00903DAA">
        <w:t>,</w:t>
      </w:r>
      <w:r w:rsidRPr="00903DAA">
        <w:t xml:space="preserve"> </w:t>
      </w:r>
      <w:r w:rsidR="00AF72F4" w:rsidRPr="00903DAA">
        <w:fldChar w:fldCharType="begin"/>
      </w:r>
      <w:r w:rsidR="00AF72F4" w:rsidRPr="00903DAA">
        <w:instrText xml:space="preserve"> REF _Ref61338517 \h </w:instrText>
      </w:r>
      <w:r w:rsidR="0054159B" w:rsidRPr="00903DAA">
        <w:instrText xml:space="preserve"> \* MERGEFORMAT </w:instrText>
      </w:r>
      <w:r w:rsidR="00AF72F4" w:rsidRPr="00903DAA">
        <w:fldChar w:fldCharType="separate"/>
      </w:r>
      <w:r w:rsidR="00AF72F4" w:rsidRPr="00903DAA">
        <w:t xml:space="preserve">Table </w:t>
      </w:r>
      <w:r w:rsidR="00AF72F4" w:rsidRPr="00903DAA">
        <w:rPr>
          <w:noProof/>
        </w:rPr>
        <w:t>4</w:t>
      </w:r>
      <w:r w:rsidR="00AF72F4" w:rsidRPr="00903DAA">
        <w:fldChar w:fldCharType="end"/>
      </w:r>
      <w:r w:rsidR="00AF72F4" w:rsidRPr="00903DAA">
        <w:t xml:space="preserve"> and</w:t>
      </w:r>
      <w:r w:rsidRPr="00903DAA">
        <w:t xml:space="preserve"> </w:t>
      </w:r>
      <w:r w:rsidRPr="00903DAA">
        <w:fldChar w:fldCharType="begin"/>
      </w:r>
      <w:r w:rsidRPr="00903DAA">
        <w:instrText xml:space="preserve"> REF _Ref63857397 \h  \* MERGEFORMAT </w:instrText>
      </w:r>
      <w:r w:rsidRPr="00903DAA">
        <w:fldChar w:fldCharType="separate"/>
      </w:r>
      <w:r w:rsidRPr="00903DAA">
        <w:t xml:space="preserve">Table </w:t>
      </w:r>
      <w:r w:rsidRPr="00903DAA">
        <w:rPr>
          <w:noProof/>
        </w:rPr>
        <w:t>5</w:t>
      </w:r>
      <w:r w:rsidRPr="00903DAA">
        <w:fldChar w:fldCharType="end"/>
      </w:r>
      <w:r w:rsidRPr="00903DAA">
        <w:t xml:space="preserve"> below</w:t>
      </w:r>
      <w:r w:rsidR="00AF399C">
        <w:t>.</w:t>
      </w:r>
    </w:p>
    <w:p w14:paraId="69BE9FE1" w14:textId="020059A9" w:rsidR="00380B04" w:rsidRPr="00903DAA" w:rsidRDefault="00800344">
      <w:pPr>
        <w:pStyle w:val="ECCParagraph"/>
      </w:pPr>
      <w:r w:rsidRPr="00903DAA">
        <w:t xml:space="preserve">The BEM power limits for AAS </w:t>
      </w:r>
      <w:r w:rsidR="00903DAA" w:rsidRPr="00903DAA">
        <w:t>b</w:t>
      </w:r>
      <w:r w:rsidRPr="00903DAA">
        <w:t xml:space="preserve">ase </w:t>
      </w:r>
      <w:r w:rsidR="00903DAA" w:rsidRPr="00903DAA">
        <w:t>s</w:t>
      </w:r>
      <w:r w:rsidRPr="00903DAA">
        <w:t>tation</w:t>
      </w:r>
      <w:r w:rsidR="00903DAA" w:rsidRPr="00903DAA">
        <w:t>s</w:t>
      </w:r>
      <w:r w:rsidRPr="00903DAA">
        <w:t xml:space="preserve"> are specified per cell and for non-AAS </w:t>
      </w:r>
      <w:r w:rsidR="00903DAA" w:rsidRPr="00903DAA">
        <w:t>b</w:t>
      </w:r>
      <w:r w:rsidRPr="00903DAA">
        <w:t xml:space="preserve">ase </w:t>
      </w:r>
      <w:r w:rsidR="00903DAA" w:rsidRPr="00903DAA">
        <w:t>s</w:t>
      </w:r>
      <w:r w:rsidRPr="00903DAA">
        <w:t>tation</w:t>
      </w:r>
      <w:r w:rsidR="00903DAA" w:rsidRPr="00903DAA">
        <w:t>s</w:t>
      </w:r>
      <w:r w:rsidRPr="00903DAA">
        <w:t xml:space="preserve"> are specified per antenna. </w:t>
      </w:r>
    </w:p>
    <w:p w14:paraId="2D7F5BEE" w14:textId="5C3FB56D" w:rsidR="00380B04" w:rsidRPr="00903DAA" w:rsidRDefault="00380B04" w:rsidP="00380B04">
      <w:pPr>
        <w:pStyle w:val="Caption"/>
        <w:rPr>
          <w:lang w:val="en-GB"/>
        </w:rPr>
      </w:pPr>
      <w:bookmarkStart w:id="20" w:name="_Ref61340162"/>
      <w:r w:rsidRPr="00903DAA">
        <w:rPr>
          <w:lang w:val="en-GB"/>
        </w:rPr>
        <w:t xml:space="preserve">Table </w:t>
      </w:r>
      <w:r w:rsidRPr="00903DAA">
        <w:rPr>
          <w:lang w:val="en-GB"/>
        </w:rPr>
        <w:fldChar w:fldCharType="begin"/>
      </w:r>
      <w:r w:rsidRPr="00903DAA">
        <w:rPr>
          <w:lang w:val="en-GB"/>
        </w:rPr>
        <w:instrText xml:space="preserve"> SEQ Table \* ARABIC </w:instrText>
      </w:r>
      <w:r w:rsidRPr="00903DAA">
        <w:rPr>
          <w:lang w:val="en-GB"/>
        </w:rPr>
        <w:fldChar w:fldCharType="separate"/>
      </w:r>
      <w:r w:rsidR="00D00E65">
        <w:rPr>
          <w:noProof/>
          <w:lang w:val="en-GB"/>
        </w:rPr>
        <w:t>1</w:t>
      </w:r>
      <w:r w:rsidRPr="00903DAA">
        <w:rPr>
          <w:lang w:val="en-GB"/>
        </w:rPr>
        <w:fldChar w:fldCharType="end"/>
      </w:r>
      <w:bookmarkEnd w:id="20"/>
      <w:r w:rsidRPr="00903DAA">
        <w:rPr>
          <w:lang w:val="en-GB"/>
        </w:rPr>
        <w:t>: MFCN Base Station Block Edge Mask elements</w:t>
      </w:r>
    </w:p>
    <w:tbl>
      <w:tblPr>
        <w:tblStyle w:val="ECCTable-redheader"/>
        <w:tblW w:w="4341" w:type="pct"/>
        <w:tblInd w:w="0" w:type="dxa"/>
        <w:tblLook w:val="04A0" w:firstRow="1" w:lastRow="0" w:firstColumn="1" w:lastColumn="0" w:noHBand="0" w:noVBand="1"/>
      </w:tblPr>
      <w:tblGrid>
        <w:gridCol w:w="2267"/>
        <w:gridCol w:w="6093"/>
      </w:tblGrid>
      <w:tr w:rsidR="00472501" w:rsidRPr="00903DAA" w14:paraId="53AEC40C" w14:textId="77777777" w:rsidTr="00D6320F">
        <w:trPr>
          <w:cnfStyle w:val="100000000000" w:firstRow="1" w:lastRow="0" w:firstColumn="0" w:lastColumn="0" w:oddVBand="0" w:evenVBand="0" w:oddHBand="0" w:evenHBand="0" w:firstRowFirstColumn="0" w:firstRowLastColumn="0" w:lastRowFirstColumn="0" w:lastRowLastColumn="0"/>
        </w:trPr>
        <w:tc>
          <w:tcPr>
            <w:tcW w:w="1356" w:type="pct"/>
            <w:tcBorders>
              <w:top w:val="single" w:sz="4" w:space="0" w:color="FFFFFF" w:themeColor="background1"/>
              <w:left w:val="single" w:sz="4" w:space="0" w:color="FFFFFF" w:themeColor="background1"/>
              <w:bottom w:val="single" w:sz="4" w:space="0" w:color="FFFFFF" w:themeColor="background1"/>
            </w:tcBorders>
            <w:vAlign w:val="top"/>
          </w:tcPr>
          <w:p w14:paraId="66CC9E67" w14:textId="77777777" w:rsidR="00472501" w:rsidRPr="00903DAA" w:rsidRDefault="00472501" w:rsidP="00D6320F">
            <w:pPr>
              <w:pStyle w:val="ECCTableHeaderwhitefont"/>
              <w:rPr>
                <w:lang w:val="en-GB"/>
              </w:rPr>
            </w:pPr>
            <w:r w:rsidRPr="00903DAA">
              <w:rPr>
                <w:lang w:val="en-GB"/>
              </w:rPr>
              <w:t>BEM element</w:t>
            </w:r>
          </w:p>
        </w:tc>
        <w:tc>
          <w:tcPr>
            <w:tcW w:w="3644" w:type="pct"/>
            <w:tcBorders>
              <w:top w:val="single" w:sz="4" w:space="0" w:color="FFFFFF" w:themeColor="background1"/>
              <w:bottom w:val="single" w:sz="4" w:space="0" w:color="FFFFFF" w:themeColor="background1"/>
              <w:right w:val="single" w:sz="4" w:space="0" w:color="FFFFFF" w:themeColor="background1"/>
            </w:tcBorders>
            <w:vAlign w:val="top"/>
          </w:tcPr>
          <w:p w14:paraId="52E5C476" w14:textId="77777777" w:rsidR="00472501" w:rsidRPr="00903DAA" w:rsidRDefault="00472501" w:rsidP="00D6320F">
            <w:pPr>
              <w:pStyle w:val="ECCTableHeaderwhitefont"/>
              <w:rPr>
                <w:lang w:val="en-GB"/>
              </w:rPr>
            </w:pPr>
            <w:r w:rsidRPr="00903DAA">
              <w:rPr>
                <w:lang w:val="en-GB"/>
              </w:rPr>
              <w:t>Definition</w:t>
            </w:r>
          </w:p>
        </w:tc>
      </w:tr>
      <w:tr w:rsidR="00472501" w:rsidRPr="00903DAA" w14:paraId="446A0715" w14:textId="77777777" w:rsidTr="00D6320F">
        <w:trPr>
          <w:trHeight w:val="265"/>
        </w:trPr>
        <w:tc>
          <w:tcPr>
            <w:tcW w:w="0" w:type="pct"/>
            <w:tcBorders>
              <w:top w:val="single" w:sz="4" w:space="0" w:color="FFFFFF" w:themeColor="background1"/>
            </w:tcBorders>
            <w:vAlign w:val="top"/>
          </w:tcPr>
          <w:p w14:paraId="72A3F0C0" w14:textId="77777777" w:rsidR="00472501" w:rsidRPr="00903DAA" w:rsidRDefault="00472501" w:rsidP="00D6320F">
            <w:pPr>
              <w:pStyle w:val="ECCTabletext"/>
            </w:pPr>
            <w:r w:rsidRPr="00903DAA">
              <w:t>In-block</w:t>
            </w:r>
          </w:p>
        </w:tc>
        <w:tc>
          <w:tcPr>
            <w:tcW w:w="0" w:type="pct"/>
            <w:tcBorders>
              <w:top w:val="single" w:sz="4" w:space="0" w:color="FFFFFF" w:themeColor="background1"/>
            </w:tcBorders>
            <w:vAlign w:val="top"/>
          </w:tcPr>
          <w:p w14:paraId="1657E146" w14:textId="77777777" w:rsidR="00472501" w:rsidRPr="00903DAA" w:rsidRDefault="00472501" w:rsidP="00D6320F">
            <w:pPr>
              <w:pStyle w:val="ECCTabletext"/>
            </w:pPr>
            <w:r w:rsidRPr="00903DAA">
              <w:t>Applies to a block assigned to an operator</w:t>
            </w:r>
          </w:p>
        </w:tc>
      </w:tr>
      <w:tr w:rsidR="00472501" w:rsidRPr="00903DAA" w14:paraId="387D6543" w14:textId="77777777" w:rsidTr="00D6320F">
        <w:trPr>
          <w:trHeight w:val="265"/>
        </w:trPr>
        <w:tc>
          <w:tcPr>
            <w:tcW w:w="0" w:type="pct"/>
            <w:vAlign w:val="top"/>
          </w:tcPr>
          <w:p w14:paraId="329E8380" w14:textId="77777777" w:rsidR="00472501" w:rsidRPr="00903DAA" w:rsidRDefault="00472501" w:rsidP="00D6320F">
            <w:pPr>
              <w:pStyle w:val="ECCTabletext"/>
            </w:pPr>
            <w:r w:rsidRPr="00903DAA">
              <w:t>Baseline</w:t>
            </w:r>
          </w:p>
        </w:tc>
        <w:tc>
          <w:tcPr>
            <w:tcW w:w="0" w:type="pct"/>
            <w:vAlign w:val="top"/>
          </w:tcPr>
          <w:p w14:paraId="06279B4C" w14:textId="77777777" w:rsidR="00472501" w:rsidRPr="00903DAA" w:rsidRDefault="00472501" w:rsidP="00D6320F">
            <w:pPr>
              <w:pStyle w:val="ECCTabletext"/>
            </w:pPr>
            <w:r w:rsidRPr="00903DAA">
              <w:t>Applies in spectrum used for MFCN, except from the operator block in question and corresponding transitional regions</w:t>
            </w:r>
          </w:p>
        </w:tc>
      </w:tr>
      <w:tr w:rsidR="00472501" w:rsidRPr="00903DAA" w14:paraId="703BF7CC" w14:textId="77777777" w:rsidTr="00D6320F">
        <w:trPr>
          <w:trHeight w:val="265"/>
        </w:trPr>
        <w:tc>
          <w:tcPr>
            <w:tcW w:w="0" w:type="pct"/>
            <w:vAlign w:val="top"/>
          </w:tcPr>
          <w:p w14:paraId="3DA28D16" w14:textId="77777777" w:rsidR="00472501" w:rsidRPr="00903DAA" w:rsidRDefault="00472501" w:rsidP="00D6320F">
            <w:pPr>
              <w:pStyle w:val="ECCTabletext"/>
            </w:pPr>
            <w:r w:rsidRPr="00903DAA">
              <w:t>Transitional regions</w:t>
            </w:r>
          </w:p>
        </w:tc>
        <w:tc>
          <w:tcPr>
            <w:tcW w:w="0" w:type="pct"/>
            <w:vAlign w:val="top"/>
          </w:tcPr>
          <w:p w14:paraId="200B655A" w14:textId="77777777" w:rsidR="00472501" w:rsidRPr="00903DAA" w:rsidRDefault="00472501" w:rsidP="00D6320F">
            <w:pPr>
              <w:pStyle w:val="ECCTabletext"/>
            </w:pPr>
            <w:r w:rsidRPr="00903DAA">
              <w:t>Applies in regions adjacent to the operator block in question</w:t>
            </w:r>
          </w:p>
        </w:tc>
      </w:tr>
      <w:tr w:rsidR="00472501" w:rsidRPr="00903DAA" w14:paraId="5A8D9EB2" w14:textId="77777777" w:rsidTr="00D6320F">
        <w:trPr>
          <w:trHeight w:val="265"/>
        </w:trPr>
        <w:tc>
          <w:tcPr>
            <w:tcW w:w="0" w:type="pct"/>
            <w:vAlign w:val="top"/>
          </w:tcPr>
          <w:p w14:paraId="479E3F9A" w14:textId="77777777" w:rsidR="00472501" w:rsidRPr="00903DAA" w:rsidRDefault="00472501" w:rsidP="00D6320F">
            <w:pPr>
              <w:pStyle w:val="ECCTabletext"/>
            </w:pPr>
            <w:r w:rsidRPr="00903DAA">
              <w:t>Additional baseline</w:t>
            </w:r>
          </w:p>
        </w:tc>
        <w:tc>
          <w:tcPr>
            <w:tcW w:w="0" w:type="pct"/>
            <w:vAlign w:val="top"/>
          </w:tcPr>
          <w:p w14:paraId="1CFABF67" w14:textId="77777777" w:rsidR="00472501" w:rsidRPr="00903DAA" w:rsidRDefault="00472501" w:rsidP="00D6320F">
            <w:pPr>
              <w:pStyle w:val="ECCTabletext"/>
            </w:pPr>
            <w:r w:rsidRPr="00903DAA">
              <w:t>Applies in adjacent bands (out-of-band) where specific limits for protection of other services are necessary</w:t>
            </w:r>
          </w:p>
        </w:tc>
      </w:tr>
    </w:tbl>
    <w:p w14:paraId="1B4556C9" w14:textId="77777777" w:rsidR="00380B04" w:rsidRPr="00472501" w:rsidRDefault="00380B04" w:rsidP="00380B04"/>
    <w:p w14:paraId="30AA33AD" w14:textId="0FF12408" w:rsidR="0020348D" w:rsidRPr="00903DAA" w:rsidRDefault="0020348D" w:rsidP="00380B04">
      <w:pPr>
        <w:pStyle w:val="ECCFiguregraphcentered"/>
        <w:rPr>
          <w:noProof w:val="0"/>
          <w:lang w:val="en-GB"/>
        </w:rPr>
      </w:pPr>
    </w:p>
    <w:p w14:paraId="4E1F0CC0" w14:textId="6641A47E" w:rsidR="00380B04" w:rsidRPr="00903DAA" w:rsidRDefault="0020348D" w:rsidP="00903DAA">
      <w:pPr>
        <w:rPr>
          <w:lang w:val="en-GB"/>
        </w:rPr>
      </w:pPr>
      <w:r w:rsidRPr="00903DAA">
        <w:rPr>
          <w:noProof/>
          <w:lang w:val="en-GB" w:eastAsia="zh-CN"/>
        </w:rPr>
        <w:lastRenderedPageBreak/>
        <w:drawing>
          <wp:inline distT="0" distB="0" distL="0" distR="0" wp14:anchorId="07BA2740" wp14:editId="2C2210E6">
            <wp:extent cx="6120765" cy="34061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765" cy="3406140"/>
                    </a:xfrm>
                    <a:prstGeom prst="rect">
                      <a:avLst/>
                    </a:prstGeom>
                  </pic:spPr>
                </pic:pic>
              </a:graphicData>
            </a:graphic>
          </wp:inline>
        </w:drawing>
      </w:r>
    </w:p>
    <w:p w14:paraId="1838F047" w14:textId="20696AA0" w:rsidR="00380B04" w:rsidRPr="00903DAA" w:rsidRDefault="00380B04" w:rsidP="00380B04">
      <w:pPr>
        <w:pStyle w:val="Caption"/>
        <w:rPr>
          <w:lang w:val="en-GB"/>
        </w:rPr>
      </w:pPr>
      <w:bookmarkStart w:id="21" w:name="_Ref90371105"/>
      <w:r w:rsidRPr="00903DAA">
        <w:rPr>
          <w:lang w:val="en-GB"/>
        </w:rPr>
        <w:t xml:space="preserve">Figure </w:t>
      </w:r>
      <w:r w:rsidRPr="00903DAA">
        <w:rPr>
          <w:lang w:val="en-GB"/>
        </w:rPr>
        <w:fldChar w:fldCharType="begin"/>
      </w:r>
      <w:r w:rsidRPr="00903DAA">
        <w:rPr>
          <w:lang w:val="en-GB"/>
        </w:rPr>
        <w:instrText xml:space="preserve"> SEQ Figure \* ARABIC </w:instrText>
      </w:r>
      <w:r w:rsidRPr="00903DAA">
        <w:rPr>
          <w:lang w:val="en-GB"/>
        </w:rPr>
        <w:fldChar w:fldCharType="separate"/>
      </w:r>
      <w:r w:rsidR="00D00E65">
        <w:rPr>
          <w:noProof/>
          <w:lang w:val="en-GB"/>
        </w:rPr>
        <w:t>2</w:t>
      </w:r>
      <w:r w:rsidRPr="00903DAA">
        <w:rPr>
          <w:lang w:val="en-GB"/>
        </w:rPr>
        <w:fldChar w:fldCharType="end"/>
      </w:r>
      <w:bookmarkEnd w:id="21"/>
      <w:r w:rsidRPr="00903DAA">
        <w:rPr>
          <w:lang w:val="en-GB"/>
        </w:rPr>
        <w:t>: Block edge mask elements</w:t>
      </w:r>
    </w:p>
    <w:p w14:paraId="5B66950E" w14:textId="77777777" w:rsidR="00380B04" w:rsidRPr="00903DAA" w:rsidRDefault="00380B04" w:rsidP="00380B04">
      <w:pPr>
        <w:pStyle w:val="ECCAnnexheading4"/>
        <w:numPr>
          <w:ilvl w:val="3"/>
          <w:numId w:val="4"/>
        </w:numPr>
        <w:rPr>
          <w:lang w:val="en-GB"/>
        </w:rPr>
      </w:pPr>
      <w:r w:rsidRPr="00903DAA">
        <w:rPr>
          <w:lang w:val="en-GB"/>
        </w:rPr>
        <w:t>In-band power limits</w:t>
      </w:r>
    </w:p>
    <w:p w14:paraId="09711BF2" w14:textId="4F987CAB" w:rsidR="00380B04" w:rsidRPr="00903DAA" w:rsidRDefault="00380B04" w:rsidP="00380B04">
      <w:pPr>
        <w:rPr>
          <w:lang w:val="en-GB"/>
        </w:rPr>
      </w:pPr>
      <w:r w:rsidRPr="00903DAA">
        <w:rPr>
          <w:lang w:val="en-GB"/>
        </w:rPr>
        <w:t xml:space="preserve">In-band power limits for </w:t>
      </w:r>
      <w:r w:rsidR="00734167">
        <w:rPr>
          <w:lang w:val="en-GB"/>
        </w:rPr>
        <w:t>b</w:t>
      </w:r>
      <w:r w:rsidR="00734167" w:rsidRPr="00903DAA">
        <w:rPr>
          <w:lang w:val="en-GB"/>
        </w:rPr>
        <w:t xml:space="preserve">ase </w:t>
      </w:r>
      <w:r w:rsidR="00734167">
        <w:rPr>
          <w:lang w:val="en-GB"/>
        </w:rPr>
        <w:t>s</w:t>
      </w:r>
      <w:r w:rsidR="00734167" w:rsidRPr="00903DAA">
        <w:rPr>
          <w:lang w:val="en-GB"/>
        </w:rPr>
        <w:t xml:space="preserve">tations </w:t>
      </w:r>
      <w:r w:rsidRPr="00903DAA">
        <w:rPr>
          <w:lang w:val="en-GB"/>
        </w:rPr>
        <w:t xml:space="preserve">are provided in </w:t>
      </w:r>
      <w:r w:rsidRPr="00903DAA">
        <w:rPr>
          <w:lang w:val="en-GB"/>
        </w:rPr>
        <w:fldChar w:fldCharType="begin"/>
      </w:r>
      <w:r w:rsidRPr="00903DAA">
        <w:rPr>
          <w:lang w:val="en-GB"/>
        </w:rPr>
        <w:instrText xml:space="preserve"> REF _Ref61338502 \h  \* MERGEFORMAT </w:instrText>
      </w:r>
      <w:r w:rsidRPr="00903DAA">
        <w:rPr>
          <w:lang w:val="en-GB"/>
        </w:rPr>
      </w:r>
      <w:r w:rsidRPr="00903DAA">
        <w:rPr>
          <w:lang w:val="en-GB"/>
        </w:rPr>
        <w:fldChar w:fldCharType="separate"/>
      </w:r>
      <w:r w:rsidR="00D00E65" w:rsidRPr="00903DAA">
        <w:rPr>
          <w:lang w:val="en-GB"/>
        </w:rPr>
        <w:t xml:space="preserve">Table </w:t>
      </w:r>
      <w:r w:rsidR="00D00E65">
        <w:rPr>
          <w:lang w:val="en-GB"/>
        </w:rPr>
        <w:t>2</w:t>
      </w:r>
      <w:r w:rsidRPr="00903DAA">
        <w:rPr>
          <w:lang w:val="en-GB"/>
        </w:rPr>
        <w:fldChar w:fldCharType="end"/>
      </w:r>
      <w:r w:rsidRPr="00903DAA">
        <w:rPr>
          <w:lang w:val="en-GB"/>
        </w:rPr>
        <w:t xml:space="preserve">, </w:t>
      </w:r>
      <w:r w:rsidRPr="00903DAA">
        <w:rPr>
          <w:lang w:val="en-GB"/>
        </w:rPr>
        <w:fldChar w:fldCharType="begin"/>
      </w:r>
      <w:r w:rsidRPr="00903DAA">
        <w:rPr>
          <w:lang w:val="en-GB"/>
        </w:rPr>
        <w:instrText xml:space="preserve"> REF _Ref61338509 \h  \* MERGEFORMAT </w:instrText>
      </w:r>
      <w:r w:rsidRPr="00903DAA">
        <w:rPr>
          <w:lang w:val="en-GB"/>
        </w:rPr>
      </w:r>
      <w:r w:rsidRPr="00903DAA">
        <w:rPr>
          <w:lang w:val="en-GB"/>
        </w:rPr>
        <w:fldChar w:fldCharType="separate"/>
      </w:r>
      <w:r w:rsidR="00D00E65" w:rsidRPr="00903DAA">
        <w:rPr>
          <w:lang w:val="en-GB"/>
        </w:rPr>
        <w:t xml:space="preserve">Table </w:t>
      </w:r>
      <w:r w:rsidR="00D00E65">
        <w:rPr>
          <w:noProof/>
          <w:lang w:val="en-GB"/>
        </w:rPr>
        <w:t>3</w:t>
      </w:r>
      <w:r w:rsidRPr="00903DAA">
        <w:rPr>
          <w:lang w:val="en-GB"/>
        </w:rPr>
        <w:fldChar w:fldCharType="end"/>
      </w:r>
      <w:r w:rsidRPr="00903DAA">
        <w:rPr>
          <w:lang w:val="en-GB"/>
        </w:rPr>
        <w:t xml:space="preserve"> and </w:t>
      </w:r>
      <w:r w:rsidRPr="00903DAA">
        <w:rPr>
          <w:lang w:val="en-GB"/>
        </w:rPr>
        <w:fldChar w:fldCharType="begin"/>
      </w:r>
      <w:r w:rsidRPr="00903DAA">
        <w:rPr>
          <w:lang w:val="en-GB"/>
        </w:rPr>
        <w:instrText xml:space="preserve"> REF _Ref61338517 \h  \* MERGEFORMAT </w:instrText>
      </w:r>
      <w:r w:rsidRPr="00903DAA">
        <w:rPr>
          <w:lang w:val="en-GB"/>
        </w:rPr>
      </w:r>
      <w:r w:rsidRPr="00903DAA">
        <w:rPr>
          <w:lang w:val="en-GB"/>
        </w:rPr>
        <w:fldChar w:fldCharType="separate"/>
      </w:r>
      <w:r w:rsidR="00D00E65" w:rsidRPr="00903DAA">
        <w:rPr>
          <w:lang w:val="en-GB"/>
        </w:rPr>
        <w:t xml:space="preserve">Table </w:t>
      </w:r>
      <w:r w:rsidR="00D00E65">
        <w:rPr>
          <w:lang w:val="en-GB"/>
        </w:rPr>
        <w:t>4</w:t>
      </w:r>
      <w:r w:rsidRPr="00903DAA">
        <w:rPr>
          <w:lang w:val="en-GB"/>
        </w:rPr>
        <w:fldChar w:fldCharType="end"/>
      </w:r>
      <w:r w:rsidRPr="00903DAA">
        <w:rPr>
          <w:lang w:val="en-GB"/>
        </w:rPr>
        <w:t>.</w:t>
      </w:r>
    </w:p>
    <w:p w14:paraId="5349CEEE" w14:textId="27F379AC" w:rsidR="00380B04" w:rsidRPr="00903DAA" w:rsidRDefault="00380B04" w:rsidP="00380B04">
      <w:pPr>
        <w:pStyle w:val="Caption"/>
        <w:keepNext/>
        <w:rPr>
          <w:lang w:val="en-GB"/>
        </w:rPr>
      </w:pPr>
      <w:bookmarkStart w:id="22" w:name="_Ref61338502"/>
      <w:r w:rsidRPr="00903DAA">
        <w:rPr>
          <w:lang w:val="en-GB"/>
        </w:rPr>
        <w:t xml:space="preserve">Table </w:t>
      </w:r>
      <w:r w:rsidRPr="00903DAA">
        <w:rPr>
          <w:lang w:val="en-GB"/>
        </w:rPr>
        <w:fldChar w:fldCharType="begin"/>
      </w:r>
      <w:r w:rsidRPr="00903DAA">
        <w:rPr>
          <w:lang w:val="en-GB"/>
        </w:rPr>
        <w:instrText xml:space="preserve"> SEQ Table \* ARABIC </w:instrText>
      </w:r>
      <w:r w:rsidRPr="00903DAA">
        <w:rPr>
          <w:lang w:val="en-GB"/>
        </w:rPr>
        <w:fldChar w:fldCharType="separate"/>
      </w:r>
      <w:r w:rsidR="00D00E65">
        <w:rPr>
          <w:noProof/>
          <w:lang w:val="en-GB"/>
        </w:rPr>
        <w:t>2</w:t>
      </w:r>
      <w:r w:rsidRPr="00903DAA">
        <w:rPr>
          <w:lang w:val="en-GB"/>
        </w:rPr>
        <w:fldChar w:fldCharType="end"/>
      </w:r>
      <w:bookmarkEnd w:id="22"/>
      <w:r w:rsidRPr="00903DAA">
        <w:rPr>
          <w:lang w:val="en-GB"/>
        </w:rPr>
        <w:t xml:space="preserve">: Base </w:t>
      </w:r>
      <w:r w:rsidR="00734167">
        <w:rPr>
          <w:lang w:val="en-GB"/>
        </w:rPr>
        <w:t>s</w:t>
      </w:r>
      <w:r w:rsidR="00734167" w:rsidRPr="00903DAA">
        <w:rPr>
          <w:lang w:val="en-GB"/>
        </w:rPr>
        <w:t xml:space="preserve">tation </w:t>
      </w:r>
      <w:r w:rsidRPr="00903DAA">
        <w:rPr>
          <w:lang w:val="en-GB"/>
        </w:rPr>
        <w:t xml:space="preserve">in-block power limit for non-AAS and AAS </w:t>
      </w:r>
    </w:p>
    <w:tbl>
      <w:tblPr>
        <w:tblStyle w:val="ECCTable-redheader"/>
        <w:tblW w:w="5076" w:type="pct"/>
        <w:tblInd w:w="0" w:type="dxa"/>
        <w:tblLook w:val="04A0" w:firstRow="1" w:lastRow="0" w:firstColumn="1" w:lastColumn="0" w:noHBand="0" w:noVBand="1"/>
      </w:tblPr>
      <w:tblGrid>
        <w:gridCol w:w="1128"/>
        <w:gridCol w:w="4254"/>
        <w:gridCol w:w="4393"/>
      </w:tblGrid>
      <w:tr w:rsidR="00380B04" w:rsidRPr="00903DAA" w14:paraId="20816A68" w14:textId="77777777" w:rsidTr="001074FA">
        <w:trPr>
          <w:cnfStyle w:val="100000000000" w:firstRow="1" w:lastRow="0" w:firstColumn="0" w:lastColumn="0" w:oddVBand="0" w:evenVBand="0" w:oddHBand="0" w:evenHBand="0" w:firstRowFirstColumn="0" w:firstRowLastColumn="0" w:lastRowFirstColumn="0" w:lastRowLastColumn="0"/>
        </w:trPr>
        <w:tc>
          <w:tcPr>
            <w:tcW w:w="577" w:type="pct"/>
            <w:tcBorders>
              <w:top w:val="single" w:sz="4" w:space="0" w:color="FFFFFF" w:themeColor="background1"/>
              <w:left w:val="single" w:sz="4" w:space="0" w:color="FFFFFF" w:themeColor="background1"/>
              <w:bottom w:val="single" w:sz="4" w:space="0" w:color="FFFFFF" w:themeColor="background1"/>
            </w:tcBorders>
            <w:vAlign w:val="top"/>
          </w:tcPr>
          <w:p w14:paraId="51946D42" w14:textId="77777777" w:rsidR="00380B04" w:rsidRPr="00903DAA" w:rsidRDefault="00380B04" w:rsidP="003C4A18">
            <w:pPr>
              <w:pStyle w:val="ECCTableHeaderwhitefont"/>
              <w:keepNext/>
              <w:rPr>
                <w:lang w:val="en-GB"/>
              </w:rPr>
            </w:pPr>
            <w:r w:rsidRPr="00903DAA">
              <w:rPr>
                <w:lang w:val="en-GB"/>
              </w:rPr>
              <w:t>BEM element</w:t>
            </w:r>
          </w:p>
        </w:tc>
        <w:tc>
          <w:tcPr>
            <w:tcW w:w="2176" w:type="pct"/>
            <w:tcBorders>
              <w:top w:val="single" w:sz="4" w:space="0" w:color="FFFFFF" w:themeColor="background1"/>
              <w:bottom w:val="single" w:sz="4" w:space="0" w:color="FFFFFF" w:themeColor="background1"/>
            </w:tcBorders>
            <w:vAlign w:val="top"/>
          </w:tcPr>
          <w:p w14:paraId="46304CED" w14:textId="0A310296" w:rsidR="00380B04" w:rsidRPr="00903DAA" w:rsidRDefault="00380B04" w:rsidP="003C4A18">
            <w:pPr>
              <w:pStyle w:val="ECCTableHeaderwhitefont"/>
              <w:keepNext/>
              <w:rPr>
                <w:lang w:val="en-GB"/>
              </w:rPr>
            </w:pPr>
            <w:r w:rsidRPr="00903DAA">
              <w:rPr>
                <w:lang w:val="en-GB"/>
              </w:rPr>
              <w:t xml:space="preserve">Non-AAS </w:t>
            </w:r>
            <w:r w:rsidR="003155EC" w:rsidRPr="00903DAA">
              <w:rPr>
                <w:lang w:val="en-GB"/>
              </w:rPr>
              <w:t xml:space="preserve">maximum mean </w:t>
            </w:r>
            <w:r w:rsidRPr="00903DAA">
              <w:rPr>
                <w:lang w:val="en-GB"/>
              </w:rPr>
              <w:t>e.i.r.p.</w:t>
            </w:r>
            <w:r w:rsidR="007C32C8" w:rsidRPr="00903DAA">
              <w:rPr>
                <w:lang w:val="en-GB"/>
              </w:rPr>
              <w:t xml:space="preserve"> per antenna</w:t>
            </w:r>
            <w:r w:rsidR="000A468E" w:rsidRPr="00903DAA">
              <w:rPr>
                <w:lang w:val="en-GB"/>
              </w:rPr>
              <w:t xml:space="preserve"> (for 900 MHz and 1800 MHz band)</w:t>
            </w:r>
          </w:p>
        </w:tc>
        <w:tc>
          <w:tcPr>
            <w:tcW w:w="2247" w:type="pct"/>
            <w:tcBorders>
              <w:top w:val="single" w:sz="4" w:space="0" w:color="FFFFFF" w:themeColor="background1"/>
              <w:bottom w:val="single" w:sz="4" w:space="0" w:color="FFFFFF" w:themeColor="background1"/>
              <w:right w:val="single" w:sz="4" w:space="0" w:color="FFFFFF" w:themeColor="background1"/>
            </w:tcBorders>
            <w:vAlign w:val="top"/>
          </w:tcPr>
          <w:p w14:paraId="4603F2AB" w14:textId="7573016A" w:rsidR="00380B04" w:rsidRPr="00903DAA" w:rsidRDefault="00380B04">
            <w:pPr>
              <w:pStyle w:val="ECCTableHeaderwhitefont"/>
              <w:keepNext/>
              <w:rPr>
                <w:lang w:val="en-GB"/>
              </w:rPr>
            </w:pPr>
            <w:r w:rsidRPr="00903DAA">
              <w:rPr>
                <w:lang w:val="en-GB"/>
              </w:rPr>
              <w:t xml:space="preserve">AAS </w:t>
            </w:r>
            <w:r w:rsidR="003155EC" w:rsidRPr="00903DAA">
              <w:rPr>
                <w:lang w:val="en-GB"/>
              </w:rPr>
              <w:t xml:space="preserve">maximum mean </w:t>
            </w:r>
            <w:r w:rsidRPr="00903DAA">
              <w:rPr>
                <w:lang w:val="en-GB"/>
              </w:rPr>
              <w:t xml:space="preserve">TRP </w:t>
            </w:r>
            <w:r w:rsidR="007C32C8" w:rsidRPr="00903DAA">
              <w:rPr>
                <w:lang w:val="en-GB"/>
              </w:rPr>
              <w:t>per cell</w:t>
            </w:r>
            <w:r w:rsidRPr="00903DAA">
              <w:rPr>
                <w:lang w:val="en-GB"/>
              </w:rPr>
              <w:t xml:space="preserve"> (for 1800 MHz band)</w:t>
            </w:r>
          </w:p>
        </w:tc>
      </w:tr>
      <w:tr w:rsidR="00285F4F" w:rsidRPr="00903DAA" w14:paraId="4974388D" w14:textId="77777777" w:rsidTr="001074FA">
        <w:trPr>
          <w:trHeight w:val="265"/>
        </w:trPr>
        <w:tc>
          <w:tcPr>
            <w:tcW w:w="577" w:type="pct"/>
            <w:tcBorders>
              <w:top w:val="single" w:sz="4" w:space="0" w:color="FFFFFF" w:themeColor="background1"/>
            </w:tcBorders>
          </w:tcPr>
          <w:p w14:paraId="1FDBDAEB" w14:textId="77777777" w:rsidR="00380B04" w:rsidRPr="00903DAA" w:rsidRDefault="00380B04" w:rsidP="003C4A18">
            <w:pPr>
              <w:pStyle w:val="ECCTabletext"/>
              <w:keepNext/>
            </w:pPr>
            <w:r w:rsidRPr="00903DAA">
              <w:t>In-block</w:t>
            </w:r>
          </w:p>
        </w:tc>
        <w:tc>
          <w:tcPr>
            <w:tcW w:w="2176" w:type="pct"/>
            <w:tcBorders>
              <w:top w:val="single" w:sz="4" w:space="0" w:color="FFFFFF" w:themeColor="background1"/>
            </w:tcBorders>
          </w:tcPr>
          <w:p w14:paraId="506A399E" w14:textId="77777777" w:rsidR="00380B04" w:rsidRPr="00903DAA" w:rsidRDefault="00380B04" w:rsidP="003C4A18">
            <w:pPr>
              <w:pStyle w:val="ECCTabletext"/>
              <w:keepNext/>
              <w:jc w:val="left"/>
            </w:pPr>
            <w:r w:rsidRPr="00903DAA">
              <w:t>Not obligatory.</w:t>
            </w:r>
          </w:p>
          <w:p w14:paraId="163150D8" w14:textId="1B91626C" w:rsidR="00380B04" w:rsidRPr="00903DAA" w:rsidRDefault="00380B04" w:rsidP="003C4A18">
            <w:pPr>
              <w:pStyle w:val="ECCTabletext"/>
              <w:keepNext/>
              <w:jc w:val="left"/>
            </w:pPr>
            <w:r w:rsidRPr="00903DAA">
              <w:t>In case an upper bound is desired by an administration, a value of 63-67 dBm/(5 MHz) may be applied for wideband systems and a value of 60-69 dBm/(200 kHz) may be applied for narrowband systems.</w:t>
            </w:r>
          </w:p>
        </w:tc>
        <w:tc>
          <w:tcPr>
            <w:tcW w:w="2247" w:type="pct"/>
            <w:tcBorders>
              <w:top w:val="single" w:sz="4" w:space="0" w:color="FFFFFF" w:themeColor="background1"/>
            </w:tcBorders>
          </w:tcPr>
          <w:p w14:paraId="7CF73E44" w14:textId="77777777" w:rsidR="00380B04" w:rsidRPr="00903DAA" w:rsidRDefault="00380B04" w:rsidP="003C4A18">
            <w:pPr>
              <w:pStyle w:val="ECCTabletext"/>
              <w:keepNext/>
              <w:jc w:val="left"/>
            </w:pPr>
            <w:r w:rsidRPr="00903DAA">
              <w:t>Not obligatory.</w:t>
            </w:r>
          </w:p>
          <w:p w14:paraId="341CA1B4" w14:textId="33798939" w:rsidR="00380B04" w:rsidRPr="00903DAA" w:rsidRDefault="00380B04" w:rsidP="003C4A18">
            <w:pPr>
              <w:pStyle w:val="ECCTabletext"/>
              <w:keepNext/>
              <w:jc w:val="left"/>
            </w:pPr>
            <w:r w:rsidRPr="00903DAA">
              <w:t>In case an upper bound is desired by an administration, a value of 58 dBm/(5 MHz) (</w:t>
            </w:r>
            <w:r w:rsidR="004471E2" w:rsidRPr="00903DAA">
              <w:t>N</w:t>
            </w:r>
            <w:r w:rsidRPr="00903DAA">
              <w:t>ote 1) may be applied.</w:t>
            </w:r>
          </w:p>
        </w:tc>
      </w:tr>
      <w:tr w:rsidR="00380B04" w:rsidRPr="00903DAA" w14:paraId="768EE4AD" w14:textId="77777777" w:rsidTr="001074FA">
        <w:trPr>
          <w:trHeight w:val="265"/>
        </w:trPr>
        <w:tc>
          <w:tcPr>
            <w:tcW w:w="5000" w:type="pct"/>
            <w:gridSpan w:val="3"/>
          </w:tcPr>
          <w:p w14:paraId="0AAA61FA" w14:textId="77777777" w:rsidR="00380B04" w:rsidRPr="00903DAA" w:rsidRDefault="00380B04" w:rsidP="00B638A0">
            <w:pPr>
              <w:pStyle w:val="ECCTablenote"/>
            </w:pPr>
            <w:r w:rsidRPr="00903DAA">
              <w:t>Note: For locations where coordination procedure with adjacent services applies an upper bound on output power can be set by administrations.</w:t>
            </w:r>
          </w:p>
          <w:p w14:paraId="457D64C0" w14:textId="77777777" w:rsidR="00380B04" w:rsidRPr="00903DAA" w:rsidRDefault="00380B04" w:rsidP="00B638A0">
            <w:pPr>
              <w:pStyle w:val="ECCTablenote"/>
            </w:pPr>
            <w:r w:rsidRPr="00903DAA">
              <w:t>Note 1: In a multi-sector base station, the radiated power limit applies to each one of the individual sectors.</w:t>
            </w:r>
          </w:p>
        </w:tc>
      </w:tr>
    </w:tbl>
    <w:p w14:paraId="62E7B343" w14:textId="20AED4AB" w:rsidR="00380B04" w:rsidRPr="00903DAA" w:rsidRDefault="00380B04" w:rsidP="00380B04">
      <w:pPr>
        <w:pStyle w:val="Caption"/>
        <w:rPr>
          <w:lang w:val="en-GB"/>
        </w:rPr>
      </w:pPr>
      <w:bookmarkStart w:id="23" w:name="_Ref61338509"/>
      <w:r w:rsidRPr="00903DAA">
        <w:rPr>
          <w:lang w:val="en-GB"/>
        </w:rPr>
        <w:t xml:space="preserve">Table </w:t>
      </w:r>
      <w:r w:rsidRPr="00903DAA">
        <w:rPr>
          <w:lang w:val="en-GB"/>
        </w:rPr>
        <w:fldChar w:fldCharType="begin"/>
      </w:r>
      <w:r w:rsidRPr="00903DAA">
        <w:rPr>
          <w:lang w:val="en-GB"/>
        </w:rPr>
        <w:instrText xml:space="preserve"> SEQ Table \* ARABIC </w:instrText>
      </w:r>
      <w:r w:rsidRPr="00903DAA">
        <w:rPr>
          <w:lang w:val="en-GB"/>
        </w:rPr>
        <w:fldChar w:fldCharType="separate"/>
      </w:r>
      <w:r w:rsidR="00D00E65">
        <w:rPr>
          <w:noProof/>
          <w:lang w:val="en-GB"/>
        </w:rPr>
        <w:t>3</w:t>
      </w:r>
      <w:r w:rsidRPr="00903DAA">
        <w:rPr>
          <w:lang w:val="en-GB"/>
        </w:rPr>
        <w:fldChar w:fldCharType="end"/>
      </w:r>
      <w:bookmarkEnd w:id="23"/>
      <w:r w:rsidRPr="00903DAA">
        <w:rPr>
          <w:lang w:val="en-GB"/>
        </w:rPr>
        <w:t>: Base Station Baseline out-of-block power limit for non-AAS and AAS</w:t>
      </w:r>
    </w:p>
    <w:tbl>
      <w:tblPr>
        <w:tblStyle w:val="ECCTable-redheader"/>
        <w:tblW w:w="5000" w:type="pct"/>
        <w:tblInd w:w="0" w:type="dxa"/>
        <w:tblLayout w:type="fixed"/>
        <w:tblLook w:val="04A0" w:firstRow="1" w:lastRow="0" w:firstColumn="1" w:lastColumn="0" w:noHBand="0" w:noVBand="1"/>
      </w:tblPr>
      <w:tblGrid>
        <w:gridCol w:w="12"/>
        <w:gridCol w:w="1259"/>
        <w:gridCol w:w="3260"/>
        <w:gridCol w:w="2835"/>
        <w:gridCol w:w="2263"/>
      </w:tblGrid>
      <w:tr w:rsidR="00646101" w:rsidRPr="00903DAA" w14:paraId="7D32CE67" w14:textId="77777777" w:rsidTr="003C4A18">
        <w:trPr>
          <w:gridBefore w:val="1"/>
          <w:cnfStyle w:val="100000000000" w:firstRow="1" w:lastRow="0" w:firstColumn="0" w:lastColumn="0" w:oddVBand="0" w:evenVBand="0" w:oddHBand="0" w:evenHBand="0" w:firstRowFirstColumn="0" w:firstRowLastColumn="0" w:lastRowFirstColumn="0" w:lastRowLastColumn="0"/>
          <w:wBefore w:w="6" w:type="pct"/>
        </w:trPr>
        <w:tc>
          <w:tcPr>
            <w:tcW w:w="654" w:type="pct"/>
            <w:tcBorders>
              <w:top w:val="single" w:sz="4" w:space="0" w:color="FFFFFF" w:themeColor="background1"/>
              <w:left w:val="single" w:sz="4" w:space="0" w:color="FFFFFF" w:themeColor="background1"/>
              <w:bottom w:val="single" w:sz="4" w:space="0" w:color="FFFFFF" w:themeColor="background1"/>
            </w:tcBorders>
            <w:vAlign w:val="top"/>
          </w:tcPr>
          <w:p w14:paraId="6DD4F943" w14:textId="77777777" w:rsidR="00380B04" w:rsidRPr="00903DAA" w:rsidRDefault="00380B04" w:rsidP="003C4A18">
            <w:pPr>
              <w:pStyle w:val="ECCTableHeaderwhitefont"/>
              <w:rPr>
                <w:lang w:val="en-GB"/>
              </w:rPr>
            </w:pPr>
            <w:r w:rsidRPr="00903DAA">
              <w:rPr>
                <w:lang w:val="en-GB"/>
              </w:rPr>
              <w:t>BEM element</w:t>
            </w:r>
          </w:p>
        </w:tc>
        <w:tc>
          <w:tcPr>
            <w:tcW w:w="1693" w:type="pct"/>
            <w:tcBorders>
              <w:top w:val="single" w:sz="4" w:space="0" w:color="FFFFFF" w:themeColor="background1"/>
              <w:bottom w:val="single" w:sz="4" w:space="0" w:color="FFFFFF" w:themeColor="background1"/>
            </w:tcBorders>
            <w:vAlign w:val="top"/>
          </w:tcPr>
          <w:p w14:paraId="1E6B7D12" w14:textId="77777777" w:rsidR="00380B04" w:rsidRPr="00903DAA" w:rsidRDefault="00380B04" w:rsidP="003C4A18">
            <w:pPr>
              <w:pStyle w:val="ECCTableHeaderwhitefont"/>
              <w:rPr>
                <w:lang w:val="en-GB"/>
              </w:rPr>
            </w:pPr>
            <w:r w:rsidRPr="00903DAA">
              <w:rPr>
                <w:lang w:val="en-GB"/>
              </w:rPr>
              <w:t>Frequency range</w:t>
            </w:r>
          </w:p>
        </w:tc>
        <w:tc>
          <w:tcPr>
            <w:tcW w:w="1472" w:type="pct"/>
            <w:tcBorders>
              <w:top w:val="single" w:sz="4" w:space="0" w:color="FFFFFF" w:themeColor="background1"/>
              <w:bottom w:val="single" w:sz="4" w:space="0" w:color="FFFFFF" w:themeColor="background1"/>
            </w:tcBorders>
            <w:vAlign w:val="top"/>
          </w:tcPr>
          <w:p w14:paraId="1CA9ED97" w14:textId="77777777" w:rsidR="00380B04" w:rsidRPr="00903DAA" w:rsidRDefault="00380B04" w:rsidP="003C4A18">
            <w:pPr>
              <w:pStyle w:val="ECCTableHeaderwhitefont"/>
              <w:rPr>
                <w:lang w:val="en-GB"/>
              </w:rPr>
            </w:pPr>
            <w:r w:rsidRPr="00903DAA">
              <w:rPr>
                <w:lang w:val="en-GB"/>
              </w:rPr>
              <w:t>Non-AAS maximum mean e.i.r.p</w:t>
            </w:r>
            <w:r w:rsidR="004471E2" w:rsidRPr="00903DAA">
              <w:rPr>
                <w:lang w:val="en-GB"/>
              </w:rPr>
              <w:t>.</w:t>
            </w:r>
            <w:r w:rsidRPr="00903DAA">
              <w:rPr>
                <w:lang w:val="en-GB"/>
              </w:rPr>
              <w:t xml:space="preserve"> per antenna (for 900 MHz and 1800 MHz band)</w:t>
            </w:r>
          </w:p>
        </w:tc>
        <w:tc>
          <w:tcPr>
            <w:tcW w:w="1175" w:type="pct"/>
            <w:tcBorders>
              <w:top w:val="single" w:sz="4" w:space="0" w:color="FFFFFF" w:themeColor="background1"/>
              <w:bottom w:val="single" w:sz="4" w:space="0" w:color="FFFFFF" w:themeColor="background1"/>
              <w:right w:val="single" w:sz="4" w:space="0" w:color="FFFFFF" w:themeColor="background1"/>
            </w:tcBorders>
            <w:vAlign w:val="top"/>
          </w:tcPr>
          <w:p w14:paraId="3E0C695C" w14:textId="7B02E982" w:rsidR="00380B04" w:rsidRPr="00903DAA" w:rsidRDefault="00380B04">
            <w:pPr>
              <w:pStyle w:val="ECCTableHeaderwhitefont"/>
              <w:rPr>
                <w:lang w:val="en-GB"/>
              </w:rPr>
            </w:pPr>
            <w:r w:rsidRPr="00903DAA">
              <w:rPr>
                <w:lang w:val="en-GB"/>
              </w:rPr>
              <w:t xml:space="preserve">AAS </w:t>
            </w:r>
            <w:r w:rsidR="00CC722B" w:rsidRPr="00903DAA">
              <w:rPr>
                <w:lang w:val="en-GB"/>
              </w:rPr>
              <w:t>maximum mean</w:t>
            </w:r>
            <w:r w:rsidR="00F15AF6" w:rsidRPr="00903DAA">
              <w:rPr>
                <w:lang w:val="en-GB"/>
              </w:rPr>
              <w:t xml:space="preserve"> TRP </w:t>
            </w:r>
            <w:r w:rsidRPr="00903DAA">
              <w:rPr>
                <w:lang w:val="en-GB"/>
              </w:rPr>
              <w:t xml:space="preserve"> per cell (</w:t>
            </w:r>
            <w:r w:rsidR="004471E2" w:rsidRPr="00903DAA">
              <w:rPr>
                <w:lang w:val="en-GB"/>
              </w:rPr>
              <w:t>N</w:t>
            </w:r>
            <w:r w:rsidRPr="00903DAA">
              <w:rPr>
                <w:lang w:val="en-GB"/>
              </w:rPr>
              <w:t>ote 1) (for 1800 MHz band)</w:t>
            </w:r>
          </w:p>
        </w:tc>
      </w:tr>
      <w:tr w:rsidR="00877FE0" w:rsidRPr="00903DAA" w14:paraId="61BBFD5C" w14:textId="77777777" w:rsidTr="00903DAA">
        <w:trPr>
          <w:trHeight w:val="265"/>
        </w:trPr>
        <w:tc>
          <w:tcPr>
            <w:tcW w:w="0" w:type="pct"/>
            <w:gridSpan w:val="2"/>
            <w:tcBorders>
              <w:top w:val="single" w:sz="4" w:space="0" w:color="FFFFFF" w:themeColor="background1"/>
            </w:tcBorders>
            <w:vAlign w:val="top"/>
          </w:tcPr>
          <w:p w14:paraId="21253969" w14:textId="77777777" w:rsidR="00380B04" w:rsidRPr="00903DAA" w:rsidRDefault="00380B04" w:rsidP="003C4A18">
            <w:pPr>
              <w:pStyle w:val="ECCTabletext"/>
            </w:pPr>
            <w:r w:rsidRPr="00903DAA">
              <w:t xml:space="preserve">Baseline </w:t>
            </w:r>
          </w:p>
        </w:tc>
        <w:tc>
          <w:tcPr>
            <w:tcW w:w="0" w:type="pct"/>
            <w:tcBorders>
              <w:top w:val="single" w:sz="4" w:space="0" w:color="FFFFFF" w:themeColor="background1"/>
            </w:tcBorders>
            <w:vAlign w:val="top"/>
          </w:tcPr>
          <w:p w14:paraId="2C182B84" w14:textId="77777777" w:rsidR="00380B04" w:rsidRPr="00903DAA" w:rsidRDefault="00380B04" w:rsidP="003C4A18">
            <w:pPr>
              <w:pStyle w:val="ECCTabletext"/>
            </w:pPr>
            <w:r w:rsidRPr="00903DAA">
              <w:t xml:space="preserve">FDD DL blocks </w:t>
            </w:r>
          </w:p>
        </w:tc>
        <w:tc>
          <w:tcPr>
            <w:tcW w:w="0" w:type="pct"/>
            <w:tcBorders>
              <w:top w:val="single" w:sz="4" w:space="0" w:color="FFFFFF" w:themeColor="background1"/>
            </w:tcBorders>
            <w:vAlign w:val="top"/>
          </w:tcPr>
          <w:p w14:paraId="364A2D89" w14:textId="77777777" w:rsidR="00380B04" w:rsidRPr="00903DAA" w:rsidRDefault="00380B04" w:rsidP="003C4A18">
            <w:pPr>
              <w:pStyle w:val="ECCTabletext"/>
            </w:pPr>
            <w:r w:rsidRPr="00903DAA">
              <w:t>3 dBm/MHz</w:t>
            </w:r>
          </w:p>
        </w:tc>
        <w:tc>
          <w:tcPr>
            <w:tcW w:w="0" w:type="pct"/>
            <w:tcBorders>
              <w:top w:val="single" w:sz="4" w:space="0" w:color="FFFFFF" w:themeColor="background1"/>
            </w:tcBorders>
            <w:vAlign w:val="top"/>
          </w:tcPr>
          <w:p w14:paraId="56C1BEA7" w14:textId="77777777" w:rsidR="00380B04" w:rsidRPr="00903DAA" w:rsidRDefault="00380B04" w:rsidP="003C4A18">
            <w:pPr>
              <w:pStyle w:val="ECCTabletext"/>
            </w:pPr>
            <w:r w:rsidRPr="00903DAA">
              <w:t>-6 dBm/MHz</w:t>
            </w:r>
          </w:p>
        </w:tc>
      </w:tr>
      <w:tr w:rsidR="00380B04" w:rsidRPr="00903DAA" w14:paraId="326CAB99" w14:textId="77777777" w:rsidTr="00903DAA">
        <w:trPr>
          <w:trHeight w:val="265"/>
        </w:trPr>
        <w:tc>
          <w:tcPr>
            <w:tcW w:w="0" w:type="pct"/>
            <w:gridSpan w:val="5"/>
          </w:tcPr>
          <w:p w14:paraId="03F39375" w14:textId="77777777" w:rsidR="00380B04" w:rsidRPr="00903DAA" w:rsidRDefault="00380B04" w:rsidP="00B638A0">
            <w:pPr>
              <w:pStyle w:val="ECCTablenote"/>
            </w:pPr>
            <w:r w:rsidRPr="00903DAA">
              <w:t>Note 1: In a multi-sector base station, the radiated power limit applies to each one of the individual sectors.</w:t>
            </w:r>
          </w:p>
        </w:tc>
      </w:tr>
    </w:tbl>
    <w:p w14:paraId="0DFFD9FD" w14:textId="40A08074" w:rsidR="00380B04" w:rsidRPr="00903DAA" w:rsidRDefault="00380B04" w:rsidP="00380B04">
      <w:pPr>
        <w:pStyle w:val="Caption"/>
        <w:keepNext/>
        <w:rPr>
          <w:lang w:val="en-GB"/>
        </w:rPr>
      </w:pPr>
      <w:bookmarkStart w:id="24" w:name="_Ref61338517"/>
      <w:r w:rsidRPr="00903DAA">
        <w:rPr>
          <w:lang w:val="en-GB"/>
        </w:rPr>
        <w:lastRenderedPageBreak/>
        <w:t xml:space="preserve">Table </w:t>
      </w:r>
      <w:r w:rsidRPr="00903DAA">
        <w:rPr>
          <w:lang w:val="en-GB"/>
        </w:rPr>
        <w:fldChar w:fldCharType="begin"/>
      </w:r>
      <w:r w:rsidRPr="00903DAA">
        <w:rPr>
          <w:lang w:val="en-GB"/>
        </w:rPr>
        <w:instrText xml:space="preserve"> SEQ Table \* ARABIC </w:instrText>
      </w:r>
      <w:r w:rsidRPr="00903DAA">
        <w:rPr>
          <w:lang w:val="en-GB"/>
        </w:rPr>
        <w:fldChar w:fldCharType="separate"/>
      </w:r>
      <w:r w:rsidR="00D00E65">
        <w:rPr>
          <w:noProof/>
          <w:lang w:val="en-GB"/>
        </w:rPr>
        <w:t>4</w:t>
      </w:r>
      <w:r w:rsidRPr="00903DAA">
        <w:rPr>
          <w:lang w:val="en-GB"/>
        </w:rPr>
        <w:fldChar w:fldCharType="end"/>
      </w:r>
      <w:bookmarkEnd w:id="24"/>
      <w:r w:rsidRPr="00903DAA">
        <w:rPr>
          <w:lang w:val="en-GB"/>
        </w:rPr>
        <w:t>: Base Station Transitional out-of-block power limits for non-AAS and AAS</w:t>
      </w:r>
    </w:p>
    <w:tbl>
      <w:tblPr>
        <w:tblStyle w:val="ECCTable-redheader"/>
        <w:tblW w:w="5000" w:type="pct"/>
        <w:tblInd w:w="0" w:type="dxa"/>
        <w:tblLook w:val="04A0" w:firstRow="1" w:lastRow="0" w:firstColumn="1" w:lastColumn="0" w:noHBand="0" w:noVBand="1"/>
      </w:tblPr>
      <w:tblGrid>
        <w:gridCol w:w="1271"/>
        <w:gridCol w:w="3276"/>
        <w:gridCol w:w="2819"/>
        <w:gridCol w:w="2263"/>
      </w:tblGrid>
      <w:tr w:rsidR="00380B04" w:rsidRPr="00903DAA" w14:paraId="57943485" w14:textId="77777777" w:rsidTr="003C4A18">
        <w:trPr>
          <w:cnfStyle w:val="100000000000" w:firstRow="1" w:lastRow="0" w:firstColumn="0" w:lastColumn="0" w:oddVBand="0" w:evenVBand="0" w:oddHBand="0" w:evenHBand="0" w:firstRowFirstColumn="0" w:firstRowLastColumn="0" w:lastRowFirstColumn="0" w:lastRowLastColumn="0"/>
        </w:trPr>
        <w:tc>
          <w:tcPr>
            <w:tcW w:w="660" w:type="pct"/>
            <w:tcBorders>
              <w:top w:val="single" w:sz="4" w:space="0" w:color="FFFFFF" w:themeColor="background1"/>
              <w:left w:val="single" w:sz="4" w:space="0" w:color="FFFFFF" w:themeColor="background1"/>
              <w:bottom w:val="single" w:sz="4" w:space="0" w:color="FFFFFF" w:themeColor="background1"/>
            </w:tcBorders>
            <w:vAlign w:val="top"/>
          </w:tcPr>
          <w:p w14:paraId="2B5A6460" w14:textId="77777777" w:rsidR="00380B04" w:rsidRPr="00903DAA" w:rsidRDefault="00380B04" w:rsidP="003C4A18">
            <w:pPr>
              <w:pStyle w:val="ECCTableHeaderwhitefont"/>
              <w:keepNext/>
              <w:keepLines/>
              <w:rPr>
                <w:lang w:val="en-GB"/>
              </w:rPr>
            </w:pPr>
            <w:r w:rsidRPr="00903DAA">
              <w:rPr>
                <w:lang w:val="en-GB"/>
              </w:rPr>
              <w:t>BEM element</w:t>
            </w:r>
          </w:p>
        </w:tc>
        <w:tc>
          <w:tcPr>
            <w:tcW w:w="1701" w:type="pct"/>
            <w:tcBorders>
              <w:top w:val="single" w:sz="4" w:space="0" w:color="FFFFFF" w:themeColor="background1"/>
              <w:bottom w:val="single" w:sz="4" w:space="0" w:color="FFFFFF" w:themeColor="background1"/>
            </w:tcBorders>
            <w:vAlign w:val="top"/>
          </w:tcPr>
          <w:p w14:paraId="45C989D2" w14:textId="77777777" w:rsidR="00380B04" w:rsidRPr="00903DAA" w:rsidRDefault="00380B04" w:rsidP="003C4A18">
            <w:pPr>
              <w:pStyle w:val="ECCTableHeaderwhitefont"/>
              <w:keepNext/>
              <w:keepLines/>
              <w:rPr>
                <w:lang w:val="en-GB"/>
              </w:rPr>
            </w:pPr>
            <w:r w:rsidRPr="00903DAA">
              <w:rPr>
                <w:lang w:val="en-GB"/>
              </w:rPr>
              <w:t>Frequency range</w:t>
            </w:r>
          </w:p>
        </w:tc>
        <w:tc>
          <w:tcPr>
            <w:tcW w:w="1464" w:type="pct"/>
            <w:tcBorders>
              <w:top w:val="single" w:sz="4" w:space="0" w:color="FFFFFF" w:themeColor="background1"/>
              <w:bottom w:val="single" w:sz="4" w:space="0" w:color="FFFFFF" w:themeColor="background1"/>
            </w:tcBorders>
            <w:vAlign w:val="top"/>
          </w:tcPr>
          <w:p w14:paraId="5FB91A0C" w14:textId="39C52D04" w:rsidR="00380B04" w:rsidRPr="00903DAA" w:rsidRDefault="00380B04" w:rsidP="003C4A18">
            <w:pPr>
              <w:pStyle w:val="ECCTableHeaderwhitefont"/>
              <w:keepNext/>
              <w:keepLines/>
              <w:rPr>
                <w:lang w:val="en-GB"/>
              </w:rPr>
            </w:pPr>
            <w:r w:rsidRPr="00903DAA">
              <w:rPr>
                <w:lang w:val="en-GB"/>
              </w:rPr>
              <w:t>Non-AAS maximum mean e.i.r.p</w:t>
            </w:r>
            <w:r w:rsidR="004471E2" w:rsidRPr="00903DAA">
              <w:rPr>
                <w:lang w:val="en-GB"/>
              </w:rPr>
              <w:t>.</w:t>
            </w:r>
            <w:r w:rsidRPr="00903DAA">
              <w:rPr>
                <w:lang w:val="en-GB"/>
              </w:rPr>
              <w:t xml:space="preserve"> per antenna (for 900 MHz and 1800 MHz band) (</w:t>
            </w:r>
            <w:r w:rsidR="004471E2" w:rsidRPr="00903DAA">
              <w:rPr>
                <w:lang w:val="en-GB"/>
              </w:rPr>
              <w:t>N</w:t>
            </w:r>
            <w:r w:rsidRPr="00903DAA">
              <w:rPr>
                <w:lang w:val="en-GB"/>
              </w:rPr>
              <w:t>ote 1)</w:t>
            </w:r>
          </w:p>
        </w:tc>
        <w:tc>
          <w:tcPr>
            <w:tcW w:w="1175" w:type="pct"/>
            <w:tcBorders>
              <w:top w:val="single" w:sz="4" w:space="0" w:color="FFFFFF" w:themeColor="background1"/>
              <w:bottom w:val="single" w:sz="4" w:space="0" w:color="FFFFFF" w:themeColor="background1"/>
              <w:right w:val="single" w:sz="4" w:space="0" w:color="FFFFFF" w:themeColor="background1"/>
            </w:tcBorders>
            <w:vAlign w:val="top"/>
          </w:tcPr>
          <w:p w14:paraId="5B29399D" w14:textId="70D696BE" w:rsidR="00380B04" w:rsidRPr="00903DAA" w:rsidRDefault="00380B04">
            <w:pPr>
              <w:pStyle w:val="ECCTableHeaderwhitefont"/>
              <w:keepNext/>
              <w:keepLines/>
              <w:rPr>
                <w:lang w:val="en-GB"/>
              </w:rPr>
            </w:pPr>
            <w:r w:rsidRPr="00903DAA">
              <w:rPr>
                <w:lang w:val="en-GB"/>
              </w:rPr>
              <w:t xml:space="preserve">AAS </w:t>
            </w:r>
            <w:r w:rsidR="00CC722B" w:rsidRPr="00903DAA">
              <w:rPr>
                <w:lang w:val="en-GB"/>
              </w:rPr>
              <w:t xml:space="preserve">maximum mean </w:t>
            </w:r>
            <w:r w:rsidR="004E094A" w:rsidRPr="00903DAA">
              <w:rPr>
                <w:lang w:val="en-GB"/>
              </w:rPr>
              <w:t>TRP</w:t>
            </w:r>
            <w:r w:rsidRPr="00903DAA">
              <w:rPr>
                <w:lang w:val="en-GB"/>
              </w:rPr>
              <w:t xml:space="preserve"> per cell (</w:t>
            </w:r>
            <w:r w:rsidR="004471E2" w:rsidRPr="00903DAA">
              <w:rPr>
                <w:lang w:val="en-GB"/>
              </w:rPr>
              <w:t>N</w:t>
            </w:r>
            <w:r w:rsidRPr="00903DAA">
              <w:rPr>
                <w:lang w:val="en-GB"/>
              </w:rPr>
              <w:t>ote 2) (for 1800 MHz band)</w:t>
            </w:r>
          </w:p>
        </w:tc>
      </w:tr>
      <w:tr w:rsidR="00285F4F" w:rsidRPr="00903DAA" w14:paraId="77B26DE4" w14:textId="77777777" w:rsidTr="00903DAA">
        <w:trPr>
          <w:trHeight w:val="265"/>
        </w:trPr>
        <w:tc>
          <w:tcPr>
            <w:tcW w:w="0" w:type="pct"/>
            <w:vMerge w:val="restart"/>
            <w:tcBorders>
              <w:top w:val="single" w:sz="4" w:space="0" w:color="FFFFFF" w:themeColor="background1"/>
            </w:tcBorders>
          </w:tcPr>
          <w:p w14:paraId="6BAFAF26" w14:textId="77777777" w:rsidR="00380B04" w:rsidRPr="00903DAA" w:rsidRDefault="00380B04" w:rsidP="003C4A18">
            <w:pPr>
              <w:pStyle w:val="ECCTabletext"/>
              <w:keepNext/>
              <w:keepLines/>
            </w:pPr>
            <w:r w:rsidRPr="00903DAA">
              <w:t>Transitional region</w:t>
            </w:r>
          </w:p>
        </w:tc>
        <w:tc>
          <w:tcPr>
            <w:tcW w:w="0" w:type="pct"/>
            <w:tcBorders>
              <w:top w:val="single" w:sz="4" w:space="0" w:color="FFFFFF" w:themeColor="background1"/>
            </w:tcBorders>
            <w:vAlign w:val="top"/>
          </w:tcPr>
          <w:p w14:paraId="4DDF4708" w14:textId="77777777" w:rsidR="00380B04" w:rsidRPr="00903DAA" w:rsidRDefault="00380B04" w:rsidP="003C4A18">
            <w:pPr>
              <w:pStyle w:val="ECCTabletext"/>
              <w:keepNext/>
              <w:keepLines/>
            </w:pPr>
            <w:r w:rsidRPr="00903DAA">
              <w:t>0 to 0.2 MHz offset from block edge</w:t>
            </w:r>
          </w:p>
        </w:tc>
        <w:tc>
          <w:tcPr>
            <w:tcW w:w="0" w:type="pct"/>
            <w:tcBorders>
              <w:top w:val="single" w:sz="4" w:space="0" w:color="FFFFFF" w:themeColor="background1"/>
            </w:tcBorders>
            <w:vAlign w:val="top"/>
          </w:tcPr>
          <w:p w14:paraId="09B4CC0F" w14:textId="77777777" w:rsidR="00380B04" w:rsidRPr="00903DAA" w:rsidRDefault="00380B04" w:rsidP="003C4A18">
            <w:pPr>
              <w:pStyle w:val="ECCTabletext"/>
              <w:keepNext/>
              <w:keepLines/>
            </w:pPr>
            <w:r w:rsidRPr="00903DAA">
              <w:t>32.4 dBm/(0.2 MHz)</w:t>
            </w:r>
          </w:p>
        </w:tc>
        <w:tc>
          <w:tcPr>
            <w:tcW w:w="0" w:type="pct"/>
            <w:tcBorders>
              <w:top w:val="single" w:sz="4" w:space="0" w:color="FFFFFF" w:themeColor="background1"/>
            </w:tcBorders>
            <w:vAlign w:val="top"/>
          </w:tcPr>
          <w:p w14:paraId="7805203B" w14:textId="77777777" w:rsidR="00380B04" w:rsidRPr="00903DAA" w:rsidRDefault="00380B04" w:rsidP="003C4A18">
            <w:pPr>
              <w:pStyle w:val="ECCTabletext"/>
              <w:keepNext/>
              <w:keepLines/>
            </w:pPr>
            <w:r w:rsidRPr="00903DAA">
              <w:t xml:space="preserve">17.4 dBm/(0.2 MHz) </w:t>
            </w:r>
          </w:p>
        </w:tc>
      </w:tr>
      <w:tr w:rsidR="000E34E8" w:rsidRPr="00903DAA" w14:paraId="373998A4" w14:textId="77777777" w:rsidTr="00903DAA">
        <w:trPr>
          <w:trHeight w:val="265"/>
        </w:trPr>
        <w:tc>
          <w:tcPr>
            <w:tcW w:w="0" w:type="pct"/>
            <w:vMerge/>
          </w:tcPr>
          <w:p w14:paraId="132ECAC7" w14:textId="77777777" w:rsidR="00380B04" w:rsidRPr="00903DAA" w:rsidRDefault="00380B04" w:rsidP="003C4A18">
            <w:pPr>
              <w:pStyle w:val="ECCTabletext"/>
              <w:keepNext/>
              <w:keepLines/>
            </w:pPr>
          </w:p>
        </w:tc>
        <w:tc>
          <w:tcPr>
            <w:tcW w:w="0" w:type="pct"/>
            <w:vAlign w:val="top"/>
          </w:tcPr>
          <w:p w14:paraId="0525ED05" w14:textId="77777777" w:rsidR="00380B04" w:rsidRPr="00903DAA" w:rsidRDefault="00380B04" w:rsidP="003C4A18">
            <w:pPr>
              <w:pStyle w:val="ECCTabletext"/>
              <w:keepNext/>
              <w:keepLines/>
            </w:pPr>
            <w:r w:rsidRPr="00903DAA">
              <w:t>0.2 to 1 MHz offset from block edge</w:t>
            </w:r>
          </w:p>
        </w:tc>
        <w:tc>
          <w:tcPr>
            <w:tcW w:w="0" w:type="pct"/>
            <w:vAlign w:val="top"/>
          </w:tcPr>
          <w:p w14:paraId="1B027930" w14:textId="77777777" w:rsidR="00380B04" w:rsidRPr="00903DAA" w:rsidRDefault="00380B04" w:rsidP="003C4A18">
            <w:pPr>
              <w:pStyle w:val="ECCTabletext"/>
              <w:keepNext/>
              <w:keepLines/>
            </w:pPr>
            <w:r w:rsidRPr="00903DAA">
              <w:t>13.8 dBm/(0.8 MHz)</w:t>
            </w:r>
          </w:p>
        </w:tc>
        <w:tc>
          <w:tcPr>
            <w:tcW w:w="0" w:type="pct"/>
            <w:vAlign w:val="top"/>
          </w:tcPr>
          <w:p w14:paraId="48EFEBE5" w14:textId="77777777" w:rsidR="00380B04" w:rsidRPr="00903DAA" w:rsidRDefault="00380B04" w:rsidP="003C4A18">
            <w:pPr>
              <w:pStyle w:val="ECCTabletext"/>
              <w:keepNext/>
              <w:keepLines/>
            </w:pPr>
            <w:r w:rsidRPr="00903DAA">
              <w:t>4.7 dBm/(0.8 MHz)</w:t>
            </w:r>
          </w:p>
        </w:tc>
      </w:tr>
      <w:tr w:rsidR="000E34E8" w:rsidRPr="00903DAA" w14:paraId="3E53952B" w14:textId="77777777" w:rsidTr="00903DAA">
        <w:trPr>
          <w:trHeight w:val="265"/>
        </w:trPr>
        <w:tc>
          <w:tcPr>
            <w:tcW w:w="0" w:type="pct"/>
            <w:vMerge/>
          </w:tcPr>
          <w:p w14:paraId="37A1AD5C" w14:textId="77777777" w:rsidR="00380B04" w:rsidRPr="00903DAA" w:rsidRDefault="00380B04" w:rsidP="003C4A18">
            <w:pPr>
              <w:pStyle w:val="ECCTabletext"/>
              <w:keepNext/>
              <w:keepLines/>
            </w:pPr>
          </w:p>
        </w:tc>
        <w:tc>
          <w:tcPr>
            <w:tcW w:w="0" w:type="pct"/>
            <w:vAlign w:val="top"/>
          </w:tcPr>
          <w:p w14:paraId="50847DD5" w14:textId="77777777" w:rsidR="00380B04" w:rsidRPr="00903DAA" w:rsidRDefault="00380B04" w:rsidP="003C4A18">
            <w:pPr>
              <w:pStyle w:val="ECCTabletext"/>
              <w:keepNext/>
              <w:keepLines/>
            </w:pPr>
            <w:r w:rsidRPr="00903DAA">
              <w:t>1 to 5 MHz offset from block edge</w:t>
            </w:r>
          </w:p>
        </w:tc>
        <w:tc>
          <w:tcPr>
            <w:tcW w:w="0" w:type="pct"/>
            <w:vAlign w:val="top"/>
          </w:tcPr>
          <w:p w14:paraId="05DC454D" w14:textId="77777777" w:rsidR="00380B04" w:rsidRPr="00903DAA" w:rsidRDefault="00380B04" w:rsidP="003C4A18">
            <w:pPr>
              <w:pStyle w:val="ECCTabletext"/>
              <w:keepNext/>
              <w:keepLines/>
            </w:pPr>
            <w:r w:rsidRPr="00903DAA">
              <w:t>5 dBm/MHz</w:t>
            </w:r>
          </w:p>
        </w:tc>
        <w:tc>
          <w:tcPr>
            <w:tcW w:w="0" w:type="pct"/>
            <w:vAlign w:val="top"/>
          </w:tcPr>
          <w:p w14:paraId="6E5B442E" w14:textId="77777777" w:rsidR="00380B04" w:rsidRPr="00903DAA" w:rsidRDefault="00380B04" w:rsidP="003C4A18">
            <w:pPr>
              <w:pStyle w:val="ECCTabletext"/>
              <w:keepNext/>
              <w:keepLines/>
            </w:pPr>
            <w:r w:rsidRPr="00903DAA">
              <w:t>-4 dBm/MHz</w:t>
            </w:r>
          </w:p>
        </w:tc>
      </w:tr>
      <w:tr w:rsidR="000E34E8" w:rsidRPr="00903DAA" w14:paraId="30C023B0" w14:textId="77777777" w:rsidTr="00903DAA">
        <w:trPr>
          <w:trHeight w:val="265"/>
        </w:trPr>
        <w:tc>
          <w:tcPr>
            <w:tcW w:w="0" w:type="pct"/>
            <w:vMerge/>
          </w:tcPr>
          <w:p w14:paraId="278E6139" w14:textId="77777777" w:rsidR="00380B04" w:rsidRPr="00903DAA" w:rsidRDefault="00380B04" w:rsidP="003C4A18">
            <w:pPr>
              <w:pStyle w:val="ECCTabletext"/>
              <w:keepNext/>
              <w:keepLines/>
            </w:pPr>
          </w:p>
        </w:tc>
        <w:tc>
          <w:tcPr>
            <w:tcW w:w="0" w:type="pct"/>
            <w:vAlign w:val="top"/>
          </w:tcPr>
          <w:p w14:paraId="1C348FF1" w14:textId="77777777" w:rsidR="00380B04" w:rsidRPr="00903DAA" w:rsidRDefault="00380B04" w:rsidP="003C4A18">
            <w:pPr>
              <w:pStyle w:val="ECCTabletext"/>
              <w:keepNext/>
              <w:keepLines/>
            </w:pPr>
            <w:r w:rsidRPr="00903DAA">
              <w:t>5 to 10 MHz offset from block edge</w:t>
            </w:r>
          </w:p>
        </w:tc>
        <w:tc>
          <w:tcPr>
            <w:tcW w:w="0" w:type="pct"/>
            <w:vAlign w:val="top"/>
          </w:tcPr>
          <w:p w14:paraId="2782C7ED" w14:textId="77777777" w:rsidR="00380B04" w:rsidRPr="00903DAA" w:rsidRDefault="00380B04" w:rsidP="003C4A18">
            <w:pPr>
              <w:pStyle w:val="ECCTabletext"/>
              <w:keepNext/>
              <w:keepLines/>
            </w:pPr>
            <w:r w:rsidRPr="00903DAA">
              <w:t>12 dBm/(5 MHz)</w:t>
            </w:r>
          </w:p>
        </w:tc>
        <w:tc>
          <w:tcPr>
            <w:tcW w:w="0" w:type="pct"/>
            <w:vAlign w:val="top"/>
          </w:tcPr>
          <w:p w14:paraId="5F3C8B7D" w14:textId="77777777" w:rsidR="00380B04" w:rsidRPr="00903DAA" w:rsidRDefault="00380B04" w:rsidP="003C4A18">
            <w:pPr>
              <w:pStyle w:val="ECCTabletext"/>
              <w:keepNext/>
              <w:keepLines/>
            </w:pPr>
            <w:r w:rsidRPr="00903DAA">
              <w:t>3 dBm/(5 MHz)</w:t>
            </w:r>
          </w:p>
        </w:tc>
      </w:tr>
      <w:tr w:rsidR="00380B04" w:rsidRPr="00903DAA" w14:paraId="31E82A9F" w14:textId="77777777" w:rsidTr="00903DAA">
        <w:trPr>
          <w:trHeight w:val="265"/>
        </w:trPr>
        <w:tc>
          <w:tcPr>
            <w:tcW w:w="0" w:type="pct"/>
            <w:gridSpan w:val="4"/>
          </w:tcPr>
          <w:p w14:paraId="5625D248" w14:textId="7361D9B4" w:rsidR="00380B04" w:rsidRPr="00903DAA" w:rsidRDefault="00380B04" w:rsidP="00903DAA">
            <w:pPr>
              <w:pStyle w:val="ECCTablenote"/>
            </w:pPr>
            <w:r w:rsidRPr="00903DAA">
              <w:t>Note 1: The non-AAS e.i.r.p. limits could be relaxed at national level, either if agreed among all affected operators of such networks or in accordance with national implementation already in place.</w:t>
            </w:r>
          </w:p>
          <w:p w14:paraId="0400E89B" w14:textId="77777777" w:rsidR="00380B04" w:rsidRPr="00903DAA" w:rsidRDefault="00380B04" w:rsidP="00903DAA">
            <w:pPr>
              <w:pStyle w:val="ECCTablenote"/>
            </w:pPr>
            <w:r w:rsidRPr="00903DAA">
              <w:t>Note 2: In a multi-sector base station, the radiated power limit applies to each one of the individual sectors.</w:t>
            </w:r>
          </w:p>
        </w:tc>
      </w:tr>
    </w:tbl>
    <w:p w14:paraId="32B7E4F6" w14:textId="136E6325" w:rsidR="00380B04" w:rsidRPr="00903DAA" w:rsidRDefault="00380B04" w:rsidP="00380B04">
      <w:pPr>
        <w:pStyle w:val="ECCAnnexheading4"/>
        <w:numPr>
          <w:ilvl w:val="3"/>
          <w:numId w:val="4"/>
        </w:numPr>
        <w:rPr>
          <w:lang w:val="en-GB"/>
        </w:rPr>
      </w:pPr>
      <w:bookmarkStart w:id="25" w:name="_Hlk61338167"/>
      <w:r w:rsidRPr="00903DAA">
        <w:rPr>
          <w:lang w:val="en-GB"/>
        </w:rPr>
        <w:t>Out-of-band power limits</w:t>
      </w:r>
      <w:bookmarkEnd w:id="25"/>
    </w:p>
    <w:p w14:paraId="53D78AFB" w14:textId="1BE74055" w:rsidR="00380B04" w:rsidRPr="00903DAA" w:rsidRDefault="00380B04" w:rsidP="00380B04">
      <w:pPr>
        <w:pStyle w:val="ECCParagraph"/>
        <w:rPr>
          <w:strike/>
        </w:rPr>
      </w:pPr>
      <w:bookmarkStart w:id="26" w:name="_Hlk61338251"/>
      <w:r w:rsidRPr="00903DAA">
        <w:t>To protect the adjacent services, the additional baseline region limits for non-AAS BS provided in the below table are defined.</w:t>
      </w:r>
      <w:r w:rsidR="00BB1E07" w:rsidRPr="00903DAA">
        <w:t xml:space="preserve"> </w:t>
      </w:r>
      <w:r w:rsidR="00BB1E07" w:rsidRPr="00903DAA">
        <w:fldChar w:fldCharType="begin"/>
      </w:r>
      <w:r w:rsidR="00BB1E07" w:rsidRPr="00903DAA">
        <w:instrText xml:space="preserve"> REF _Ref63857397 \h </w:instrText>
      </w:r>
      <w:r w:rsidR="0064256B" w:rsidRPr="00903DAA">
        <w:instrText xml:space="preserve"> \* MERGEFORMAT </w:instrText>
      </w:r>
      <w:r w:rsidR="00BB1E07" w:rsidRPr="00903DAA">
        <w:fldChar w:fldCharType="separate"/>
      </w:r>
      <w:r w:rsidR="00D00E65" w:rsidRPr="00903DAA">
        <w:t xml:space="preserve">Table </w:t>
      </w:r>
      <w:r w:rsidR="00D00E65">
        <w:rPr>
          <w:noProof/>
        </w:rPr>
        <w:t>5</w:t>
      </w:r>
      <w:r w:rsidR="00BB1E07" w:rsidRPr="00903DAA">
        <w:fldChar w:fldCharType="end"/>
      </w:r>
      <w:r w:rsidR="00BB1E07" w:rsidRPr="00903DAA">
        <w:t xml:space="preserve"> applies only to the out-of-band domain in line with </w:t>
      </w:r>
      <w:r w:rsidR="00BB1E07" w:rsidRPr="00903DAA">
        <w:fldChar w:fldCharType="begin"/>
      </w:r>
      <w:r w:rsidR="00BB1E07" w:rsidRPr="00903DAA">
        <w:instrText xml:space="preserve"> REF _Ref90371105 \h </w:instrText>
      </w:r>
      <w:r w:rsidR="0064256B" w:rsidRPr="00903DAA">
        <w:instrText xml:space="preserve"> \* MERGEFORMAT </w:instrText>
      </w:r>
      <w:r w:rsidR="00BB1E07" w:rsidRPr="00903DAA">
        <w:fldChar w:fldCharType="separate"/>
      </w:r>
      <w:r w:rsidR="00D00E65" w:rsidRPr="00903DAA">
        <w:t xml:space="preserve">Figure </w:t>
      </w:r>
      <w:r w:rsidR="00D00E65">
        <w:rPr>
          <w:noProof/>
        </w:rPr>
        <w:t>2</w:t>
      </w:r>
      <w:r w:rsidR="00BB1E07" w:rsidRPr="00903DAA">
        <w:fldChar w:fldCharType="end"/>
      </w:r>
      <w:r w:rsidR="00BB1E07" w:rsidRPr="00903DAA">
        <w:t xml:space="preserve"> and </w:t>
      </w:r>
      <w:r w:rsidR="00BB1E07" w:rsidRPr="00903DAA">
        <w:fldChar w:fldCharType="begin"/>
      </w:r>
      <w:r w:rsidR="00BB1E07" w:rsidRPr="00903DAA">
        <w:instrText xml:space="preserve"> REF _Ref61340162 \h </w:instrText>
      </w:r>
      <w:r w:rsidR="0064256B" w:rsidRPr="00903DAA">
        <w:instrText xml:space="preserve"> \* MERGEFORMAT </w:instrText>
      </w:r>
      <w:r w:rsidR="00BB1E07" w:rsidRPr="00903DAA">
        <w:fldChar w:fldCharType="separate"/>
      </w:r>
      <w:r w:rsidR="00D00E65" w:rsidRPr="00903DAA">
        <w:t xml:space="preserve">Table </w:t>
      </w:r>
      <w:r w:rsidR="00D00E65">
        <w:rPr>
          <w:noProof/>
        </w:rPr>
        <w:t>1</w:t>
      </w:r>
      <w:r w:rsidR="00BB1E07" w:rsidRPr="00903DAA">
        <w:fldChar w:fldCharType="end"/>
      </w:r>
      <w:r w:rsidR="00BB1E07" w:rsidRPr="00903DAA">
        <w:t>. This implies that the applicable frequency range entirely falls within the out-of-band domain.</w:t>
      </w:r>
    </w:p>
    <w:p w14:paraId="0EFBA251" w14:textId="184BC548" w:rsidR="00380B04" w:rsidRPr="00903DAA" w:rsidRDefault="00380B04" w:rsidP="00380B04">
      <w:pPr>
        <w:pStyle w:val="Caption"/>
        <w:keepNext/>
        <w:rPr>
          <w:lang w:val="en-GB"/>
        </w:rPr>
      </w:pPr>
      <w:bookmarkStart w:id="27" w:name="_Ref63857397"/>
      <w:r w:rsidRPr="00903DAA">
        <w:rPr>
          <w:lang w:val="en-GB"/>
        </w:rPr>
        <w:t xml:space="preserve">Table </w:t>
      </w:r>
      <w:r w:rsidRPr="00903DAA">
        <w:rPr>
          <w:lang w:val="en-GB"/>
        </w:rPr>
        <w:fldChar w:fldCharType="begin"/>
      </w:r>
      <w:r w:rsidRPr="00903DAA">
        <w:rPr>
          <w:lang w:val="en-GB"/>
        </w:rPr>
        <w:instrText xml:space="preserve"> SEQ Table \* ARABIC </w:instrText>
      </w:r>
      <w:r w:rsidRPr="00903DAA">
        <w:rPr>
          <w:lang w:val="en-GB"/>
        </w:rPr>
        <w:fldChar w:fldCharType="separate"/>
      </w:r>
      <w:r w:rsidR="00D00E65">
        <w:rPr>
          <w:noProof/>
          <w:lang w:val="en-GB"/>
        </w:rPr>
        <w:t>5</w:t>
      </w:r>
      <w:r w:rsidRPr="00903DAA">
        <w:rPr>
          <w:lang w:val="en-GB"/>
        </w:rPr>
        <w:fldChar w:fldCharType="end"/>
      </w:r>
      <w:bookmarkEnd w:id="27"/>
      <w:r w:rsidRPr="00903DAA">
        <w:rPr>
          <w:lang w:val="en-GB"/>
        </w:rPr>
        <w:t>: Base Station Additional baseline region power limits for non-AAS</w:t>
      </w:r>
    </w:p>
    <w:tbl>
      <w:tblPr>
        <w:tblStyle w:val="ECCTable-redheader"/>
        <w:tblW w:w="8784" w:type="dxa"/>
        <w:tblInd w:w="0" w:type="dxa"/>
        <w:tblLook w:val="01E0" w:firstRow="1" w:lastRow="1" w:firstColumn="1" w:lastColumn="1" w:noHBand="0" w:noVBand="0"/>
      </w:tblPr>
      <w:tblGrid>
        <w:gridCol w:w="3490"/>
        <w:gridCol w:w="5294"/>
      </w:tblGrid>
      <w:tr w:rsidR="00903DAA" w:rsidRPr="00903DAA" w14:paraId="318CC1DD" w14:textId="77777777" w:rsidTr="00903DAA">
        <w:trPr>
          <w:cnfStyle w:val="100000000000" w:firstRow="1" w:lastRow="0" w:firstColumn="0" w:lastColumn="0" w:oddVBand="0" w:evenVBand="0" w:oddHBand="0" w:evenHBand="0" w:firstRowFirstColumn="0" w:firstRowLastColumn="0" w:lastRowFirstColumn="0" w:lastRowLastColumn="0"/>
        </w:trPr>
        <w:tc>
          <w:tcPr>
            <w:tcW w:w="0" w:type="dxa"/>
            <w:tcBorders>
              <w:top w:val="single" w:sz="4" w:space="0" w:color="FFFFFF" w:themeColor="background1"/>
              <w:left w:val="single" w:sz="4" w:space="0" w:color="FFFFFF" w:themeColor="background1"/>
              <w:bottom w:val="single" w:sz="4" w:space="0" w:color="FFFFFF" w:themeColor="background1"/>
            </w:tcBorders>
            <w:hideMark/>
          </w:tcPr>
          <w:p w14:paraId="668EBCD0" w14:textId="0BE9B0C6" w:rsidR="00380B04" w:rsidRPr="00903DAA" w:rsidRDefault="00502F8A">
            <w:pPr>
              <w:pStyle w:val="ECCTableHeaderwhitefont"/>
              <w:rPr>
                <w:lang w:val="en-GB"/>
              </w:rPr>
            </w:pPr>
            <w:r w:rsidRPr="00903DAA">
              <w:rPr>
                <w:lang w:val="en-GB"/>
              </w:rPr>
              <w:t xml:space="preserve">Applicable frequency </w:t>
            </w:r>
            <w:r w:rsidR="00380B04" w:rsidRPr="00903DAA">
              <w:rPr>
                <w:lang w:val="en-GB"/>
              </w:rPr>
              <w:t>range</w:t>
            </w:r>
          </w:p>
        </w:tc>
        <w:tc>
          <w:tcPr>
            <w:tcW w:w="0" w:type="dxa"/>
            <w:tcBorders>
              <w:top w:val="single" w:sz="4" w:space="0" w:color="FFFFFF" w:themeColor="background1"/>
              <w:bottom w:val="single" w:sz="4" w:space="0" w:color="FFFFFF" w:themeColor="background1"/>
              <w:right w:val="single" w:sz="4" w:space="0" w:color="FFFFFF" w:themeColor="background1"/>
            </w:tcBorders>
            <w:hideMark/>
          </w:tcPr>
          <w:p w14:paraId="0CEE6B08" w14:textId="77E0399A" w:rsidR="00380B04" w:rsidRPr="00903DAA" w:rsidRDefault="00380B04" w:rsidP="003C4A18">
            <w:pPr>
              <w:pStyle w:val="ECCTableHeaderwhitefont"/>
              <w:rPr>
                <w:lang w:val="en-GB"/>
              </w:rPr>
            </w:pPr>
            <w:r w:rsidRPr="00903DAA">
              <w:rPr>
                <w:lang w:val="en-GB"/>
              </w:rPr>
              <w:t>Non-AAS maximum mean e.i.r.p. per antenna (for 900 MHz and 1800 MHz band) (</w:t>
            </w:r>
            <w:r w:rsidR="004471E2" w:rsidRPr="00472501">
              <w:rPr>
                <w:lang w:val="en-GB"/>
              </w:rPr>
              <w:t>N</w:t>
            </w:r>
            <w:r w:rsidRPr="00472501">
              <w:rPr>
                <w:lang w:val="en-GB"/>
              </w:rPr>
              <w:t>ote</w:t>
            </w:r>
            <w:r w:rsidRPr="00903DAA">
              <w:rPr>
                <w:lang w:val="en-GB"/>
              </w:rPr>
              <w:t xml:space="preserve"> 1 and </w:t>
            </w:r>
            <w:r w:rsidR="004471E2" w:rsidRPr="00772B61">
              <w:rPr>
                <w:lang w:val="en-GB"/>
              </w:rPr>
              <w:t>N</w:t>
            </w:r>
            <w:r w:rsidRPr="00772B61">
              <w:rPr>
                <w:lang w:val="en-GB"/>
              </w:rPr>
              <w:t>ote</w:t>
            </w:r>
            <w:r w:rsidRPr="00903DAA">
              <w:rPr>
                <w:lang w:val="en-GB"/>
              </w:rPr>
              <w:t xml:space="preserve"> 2)</w:t>
            </w:r>
          </w:p>
        </w:tc>
      </w:tr>
      <w:tr w:rsidR="000E34E8" w:rsidRPr="00903DAA" w14:paraId="74E4ED22" w14:textId="77777777" w:rsidTr="0064256B">
        <w:tc>
          <w:tcPr>
            <w:tcW w:w="3490" w:type="dxa"/>
            <w:tcBorders>
              <w:top w:val="single" w:sz="4" w:space="0" w:color="FFFFFF" w:themeColor="background1"/>
              <w:left w:val="single" w:sz="4" w:space="0" w:color="D22A23"/>
              <w:bottom w:val="single" w:sz="4" w:space="0" w:color="D22A23"/>
              <w:right w:val="single" w:sz="4" w:space="0" w:color="D22A23"/>
            </w:tcBorders>
            <w:hideMark/>
          </w:tcPr>
          <w:p w14:paraId="7FF5F859" w14:textId="4D476A02" w:rsidR="00380B04" w:rsidRPr="00903DAA" w:rsidRDefault="00380B04" w:rsidP="003C4A18">
            <w:pPr>
              <w:pStyle w:val="ECCTabletext"/>
            </w:pPr>
            <w:r w:rsidRPr="00903DAA">
              <w:t>0 to 0.2 MHz offset from block edge</w:t>
            </w:r>
          </w:p>
        </w:tc>
        <w:tc>
          <w:tcPr>
            <w:tcW w:w="5294" w:type="dxa"/>
            <w:tcBorders>
              <w:top w:val="single" w:sz="4" w:space="0" w:color="FFFFFF" w:themeColor="background1"/>
              <w:left w:val="single" w:sz="4" w:space="0" w:color="D22A23"/>
              <w:bottom w:val="single" w:sz="4" w:space="0" w:color="D22A23"/>
              <w:right w:val="single" w:sz="4" w:space="0" w:color="D22A23"/>
            </w:tcBorders>
            <w:hideMark/>
          </w:tcPr>
          <w:p w14:paraId="1A456FF6" w14:textId="77777777" w:rsidR="00380B04" w:rsidRPr="00903DAA" w:rsidRDefault="00380B04" w:rsidP="003C4A18">
            <w:pPr>
              <w:pStyle w:val="ECCTabletext"/>
            </w:pPr>
            <w:r w:rsidRPr="00903DAA">
              <w:t>32.4 dBm/(0.2 MHz)</w:t>
            </w:r>
          </w:p>
        </w:tc>
      </w:tr>
      <w:tr w:rsidR="00BF5AAA" w:rsidRPr="00903DAA" w14:paraId="74AB07B3" w14:textId="77777777" w:rsidTr="003C4A18">
        <w:tc>
          <w:tcPr>
            <w:tcW w:w="3490" w:type="dxa"/>
            <w:tcBorders>
              <w:top w:val="single" w:sz="4" w:space="0" w:color="D22A23"/>
              <w:left w:val="single" w:sz="4" w:space="0" w:color="D22A23"/>
              <w:bottom w:val="single" w:sz="4" w:space="0" w:color="D22A23"/>
              <w:right w:val="single" w:sz="4" w:space="0" w:color="D22A23"/>
            </w:tcBorders>
            <w:hideMark/>
          </w:tcPr>
          <w:p w14:paraId="0D6A171C" w14:textId="47BAAA10" w:rsidR="00380B04" w:rsidRPr="00903DAA" w:rsidRDefault="00380B04" w:rsidP="003C4A18">
            <w:pPr>
              <w:pStyle w:val="ECCTabletext"/>
            </w:pPr>
            <w:r w:rsidRPr="00903DAA">
              <w:t>0.2 to 1 MHz offset from block edge</w:t>
            </w:r>
          </w:p>
        </w:tc>
        <w:tc>
          <w:tcPr>
            <w:tcW w:w="5294" w:type="dxa"/>
            <w:tcBorders>
              <w:top w:val="single" w:sz="4" w:space="0" w:color="D22A23"/>
              <w:left w:val="single" w:sz="4" w:space="0" w:color="D22A23"/>
              <w:bottom w:val="single" w:sz="4" w:space="0" w:color="D22A23"/>
              <w:right w:val="single" w:sz="4" w:space="0" w:color="D22A23"/>
            </w:tcBorders>
            <w:vAlign w:val="top"/>
            <w:hideMark/>
          </w:tcPr>
          <w:p w14:paraId="3A05340F" w14:textId="77777777" w:rsidR="00380B04" w:rsidRPr="00903DAA" w:rsidRDefault="00380B04" w:rsidP="003C4A18">
            <w:pPr>
              <w:pStyle w:val="ECCTabletext"/>
              <w:rPr>
                <w:szCs w:val="20"/>
              </w:rPr>
            </w:pPr>
            <w:r w:rsidRPr="00903DAA">
              <w:t>13.8 dBm/(0.8 MHz)</w:t>
            </w:r>
          </w:p>
        </w:tc>
      </w:tr>
      <w:tr w:rsidR="00380B04" w:rsidRPr="00903DAA" w14:paraId="39D66A1A" w14:textId="77777777" w:rsidTr="0064256B">
        <w:tc>
          <w:tcPr>
            <w:tcW w:w="3490" w:type="dxa"/>
            <w:tcBorders>
              <w:top w:val="single" w:sz="4" w:space="0" w:color="D22A23"/>
              <w:left w:val="single" w:sz="4" w:space="0" w:color="D22A23"/>
              <w:bottom w:val="single" w:sz="4" w:space="0" w:color="D22A23"/>
              <w:right w:val="single" w:sz="4" w:space="0" w:color="D22A23"/>
            </w:tcBorders>
            <w:hideMark/>
          </w:tcPr>
          <w:p w14:paraId="60535F94" w14:textId="32D031AA" w:rsidR="00380B04" w:rsidRPr="00903DAA" w:rsidRDefault="00380B04" w:rsidP="003C4A18">
            <w:pPr>
              <w:pStyle w:val="ECCTabletext"/>
            </w:pPr>
            <w:r w:rsidRPr="00903DAA">
              <w:t>1 to 5 MHz offset from block</w:t>
            </w:r>
            <w:r w:rsidR="00F93559" w:rsidRPr="00903DAA">
              <w:t xml:space="preserve"> </w:t>
            </w:r>
            <w:r w:rsidRPr="00903DAA">
              <w:t>edge</w:t>
            </w:r>
          </w:p>
        </w:tc>
        <w:tc>
          <w:tcPr>
            <w:tcW w:w="5294" w:type="dxa"/>
            <w:tcBorders>
              <w:top w:val="single" w:sz="4" w:space="0" w:color="D22A23"/>
              <w:left w:val="single" w:sz="4" w:space="0" w:color="D22A23"/>
              <w:bottom w:val="single" w:sz="4" w:space="0" w:color="D22A23"/>
              <w:right w:val="single" w:sz="4" w:space="0" w:color="D22A23"/>
            </w:tcBorders>
            <w:hideMark/>
          </w:tcPr>
          <w:p w14:paraId="79868CD9" w14:textId="77777777" w:rsidR="00380B04" w:rsidRPr="00903DAA" w:rsidRDefault="00380B04" w:rsidP="003C4A18">
            <w:pPr>
              <w:pStyle w:val="ECCTabletext"/>
            </w:pPr>
            <w:r w:rsidRPr="00903DAA">
              <w:t>5 dBm/MHz</w:t>
            </w:r>
          </w:p>
        </w:tc>
      </w:tr>
      <w:tr w:rsidR="00380B04" w:rsidRPr="00903DAA" w14:paraId="68A91175" w14:textId="77777777" w:rsidTr="0064256B">
        <w:tc>
          <w:tcPr>
            <w:tcW w:w="3490" w:type="dxa"/>
            <w:tcBorders>
              <w:top w:val="single" w:sz="4" w:space="0" w:color="D22A23"/>
              <w:left w:val="single" w:sz="4" w:space="0" w:color="D22A23"/>
              <w:bottom w:val="single" w:sz="4" w:space="0" w:color="D22A23"/>
              <w:right w:val="single" w:sz="4" w:space="0" w:color="D22A23"/>
            </w:tcBorders>
            <w:hideMark/>
          </w:tcPr>
          <w:p w14:paraId="71B1384A" w14:textId="2C853989" w:rsidR="00380B04" w:rsidRPr="00903DAA" w:rsidRDefault="00380B04" w:rsidP="003C4A18">
            <w:pPr>
              <w:pStyle w:val="ECCTabletext"/>
            </w:pPr>
            <w:r w:rsidRPr="00903DAA">
              <w:t>5 to 10 MHz offset from block edge</w:t>
            </w:r>
          </w:p>
        </w:tc>
        <w:tc>
          <w:tcPr>
            <w:tcW w:w="5294" w:type="dxa"/>
            <w:tcBorders>
              <w:top w:val="single" w:sz="4" w:space="0" w:color="D22A23"/>
              <w:left w:val="single" w:sz="4" w:space="0" w:color="D22A23"/>
              <w:bottom w:val="single" w:sz="4" w:space="0" w:color="D22A23"/>
              <w:right w:val="single" w:sz="4" w:space="0" w:color="D22A23"/>
            </w:tcBorders>
            <w:hideMark/>
          </w:tcPr>
          <w:p w14:paraId="36C96EB6" w14:textId="77777777" w:rsidR="00380B04" w:rsidRPr="00903DAA" w:rsidRDefault="00380B04" w:rsidP="003C4A18">
            <w:pPr>
              <w:pStyle w:val="ECCTabletext"/>
            </w:pPr>
            <w:r w:rsidRPr="00903DAA">
              <w:t>12 dBm/(5 MHz)</w:t>
            </w:r>
          </w:p>
        </w:tc>
      </w:tr>
      <w:tr w:rsidR="003E3BF3" w:rsidRPr="00903DAA" w14:paraId="6BB2139B" w14:textId="77777777" w:rsidTr="003C4A18">
        <w:tc>
          <w:tcPr>
            <w:tcW w:w="3490" w:type="dxa"/>
            <w:tcBorders>
              <w:top w:val="single" w:sz="4" w:space="0" w:color="D22A23"/>
              <w:left w:val="single" w:sz="4" w:space="0" w:color="D22A23"/>
              <w:bottom w:val="single" w:sz="4" w:space="0" w:color="D22A23"/>
              <w:right w:val="single" w:sz="4" w:space="0" w:color="D22A23"/>
            </w:tcBorders>
          </w:tcPr>
          <w:p w14:paraId="27D83175" w14:textId="780E02A0" w:rsidR="003E3BF3" w:rsidRPr="00903DAA" w:rsidRDefault="003E3BF3">
            <w:pPr>
              <w:pStyle w:val="ECCTabletext"/>
            </w:pPr>
            <w:r w:rsidRPr="00903DAA">
              <w:t>&gt;10 MHz offset from block edge (</w:t>
            </w:r>
            <w:r w:rsidR="0064256B" w:rsidRPr="00903DAA">
              <w:t>N</w:t>
            </w:r>
            <w:r w:rsidRPr="00903DAA">
              <w:t>ote 3)</w:t>
            </w:r>
          </w:p>
        </w:tc>
        <w:tc>
          <w:tcPr>
            <w:tcW w:w="5294" w:type="dxa"/>
            <w:tcBorders>
              <w:top w:val="single" w:sz="4" w:space="0" w:color="D22A23"/>
              <w:left w:val="single" w:sz="4" w:space="0" w:color="D22A23"/>
              <w:bottom w:val="single" w:sz="4" w:space="0" w:color="D22A23"/>
              <w:right w:val="single" w:sz="4" w:space="0" w:color="D22A23"/>
            </w:tcBorders>
          </w:tcPr>
          <w:p w14:paraId="2BEE2FF2" w14:textId="3618ECA8" w:rsidR="003E3BF3" w:rsidRPr="00903DAA" w:rsidRDefault="003E3BF3" w:rsidP="003E3BF3">
            <w:pPr>
              <w:pStyle w:val="ECCTabletext"/>
            </w:pPr>
            <w:r w:rsidRPr="00903DAA">
              <w:t>3 dBm/MHz</w:t>
            </w:r>
          </w:p>
        </w:tc>
      </w:tr>
      <w:tr w:rsidR="00380B04" w:rsidRPr="00903DAA" w14:paraId="49AE4538" w14:textId="77777777" w:rsidTr="00903DAA">
        <w:tc>
          <w:tcPr>
            <w:tcW w:w="0" w:type="dxa"/>
            <w:gridSpan w:val="2"/>
            <w:tcBorders>
              <w:top w:val="single" w:sz="4" w:space="0" w:color="D22A23"/>
              <w:left w:val="single" w:sz="4" w:space="0" w:color="D22A23"/>
              <w:bottom w:val="single" w:sz="4" w:space="0" w:color="D22A23"/>
              <w:right w:val="single" w:sz="4" w:space="0" w:color="D22A23"/>
            </w:tcBorders>
            <w:hideMark/>
          </w:tcPr>
          <w:p w14:paraId="53051511" w14:textId="647D3CB9" w:rsidR="00AD0956" w:rsidRPr="00903DAA" w:rsidRDefault="00380B04">
            <w:pPr>
              <w:pStyle w:val="ECCTablenote"/>
            </w:pPr>
            <w:r w:rsidRPr="00903DAA">
              <w:t xml:space="preserve">Note 1: Provided that adjacent services, applications or networks remain protected above 960 MHz, below 1805 MHz and above 1880 MHz: On case-by-case basis, at national level, higher </w:t>
            </w:r>
            <w:r w:rsidRPr="00903DAA">
              <w:rPr>
                <w:rFonts w:cs="Arial"/>
                <w:color w:val="000000"/>
                <w:lang w:eastAsia="fr-FR"/>
              </w:rPr>
              <w:t>e.i.r.p.</w:t>
            </w:r>
            <w:r w:rsidRPr="00903DAA">
              <w:t xml:space="preserve"> limits may be applied for non-AAS BS: </w:t>
            </w:r>
          </w:p>
          <w:p w14:paraId="35A0CCFA" w14:textId="77777777" w:rsidR="00AD0956" w:rsidRPr="00903DAA" w:rsidRDefault="00380B04" w:rsidP="00903DAA">
            <w:pPr>
              <w:pStyle w:val="ECCTablenote"/>
              <w:numPr>
                <w:ilvl w:val="0"/>
                <w:numId w:val="65"/>
              </w:numPr>
              <w:rPr>
                <w:rFonts w:cs="Arial"/>
                <w:color w:val="000000"/>
                <w:lang w:eastAsia="fr-FR"/>
              </w:rPr>
            </w:pPr>
            <w:r w:rsidRPr="00903DAA">
              <w:t>e.i.r.p. limits up to 6 dB higher are allowed in the 0-200 kHz range</w:t>
            </w:r>
            <w:r w:rsidR="00B638A0" w:rsidRPr="00903DAA">
              <w:t xml:space="preserve"> from </w:t>
            </w:r>
            <w:r w:rsidR="00502F8A" w:rsidRPr="00903DAA">
              <w:t xml:space="preserve">the </w:t>
            </w:r>
            <w:r w:rsidR="00B638A0" w:rsidRPr="00903DAA">
              <w:t>band edge</w:t>
            </w:r>
            <w:r w:rsidRPr="00903DAA">
              <w:t xml:space="preserve"> to support higher MFCN NB in-band block conducted power than 49 dBm/(200 kHz</w:t>
            </w:r>
            <w:r w:rsidR="00AD0956" w:rsidRPr="00903DAA">
              <w:t>)</w:t>
            </w:r>
            <w:r w:rsidRPr="00903DAA">
              <w:rPr>
                <w:rFonts w:cs="Arial"/>
                <w:color w:val="000000"/>
                <w:lang w:eastAsia="fr-FR"/>
              </w:rPr>
              <w:t xml:space="preserve"> i.e. </w:t>
            </w:r>
            <w:r w:rsidRPr="00903DAA">
              <w:t>up to 55 dBm/(200 kHz);</w:t>
            </w:r>
          </w:p>
          <w:p w14:paraId="390FB170" w14:textId="3A0303A2" w:rsidR="00380B04" w:rsidRPr="00903DAA" w:rsidRDefault="00380B04" w:rsidP="00903DAA">
            <w:pPr>
              <w:pStyle w:val="ECCTablenote"/>
              <w:numPr>
                <w:ilvl w:val="0"/>
                <w:numId w:val="65"/>
              </w:numPr>
              <w:rPr>
                <w:rFonts w:cs="Arial"/>
                <w:color w:val="000000"/>
                <w:lang w:eastAsia="fr-FR"/>
              </w:rPr>
            </w:pPr>
            <w:r w:rsidRPr="00903DAA">
              <w:t>e.i.r.p. limits up to 11 dB higher is allowed in the 0-10 MHz range</w:t>
            </w:r>
            <w:r w:rsidR="00B638A0" w:rsidRPr="00903DAA">
              <w:t xml:space="preserve"> from </w:t>
            </w:r>
            <w:r w:rsidR="00502F8A" w:rsidRPr="00903DAA">
              <w:t xml:space="preserve">the </w:t>
            </w:r>
            <w:r w:rsidR="00B638A0" w:rsidRPr="00903DAA">
              <w:t>band edge</w:t>
            </w:r>
            <w:r w:rsidRPr="00903DAA">
              <w:t xml:space="preserve"> to support higher antenna gain than 18 dBi (up to 29 dBi</w:t>
            </w:r>
            <w:r w:rsidRPr="00903DAA">
              <w:rPr>
                <w:rFonts w:cs="Arial"/>
                <w:color w:val="000000"/>
                <w:lang w:eastAsia="fr-FR"/>
              </w:rPr>
              <w:t>).</w:t>
            </w:r>
          </w:p>
          <w:p w14:paraId="042FC24B" w14:textId="77777777" w:rsidR="00380B04" w:rsidRPr="00903DAA" w:rsidRDefault="00380B04" w:rsidP="00B638A0">
            <w:pPr>
              <w:pStyle w:val="ECCTablenote"/>
              <w:rPr>
                <w:rFonts w:cs="Arial"/>
              </w:rPr>
            </w:pPr>
            <w:r w:rsidRPr="00903DAA">
              <w:t>Note 2: Provided that adjacent services, applications or networks remain protected below 925 MHz: On case-by-case basis, at national level, higher e.i.r.p. limits may be applied for non-AAS BS</w:t>
            </w:r>
            <w:r w:rsidRPr="00903DAA">
              <w:rPr>
                <w:rFonts w:cs="Arial"/>
              </w:rPr>
              <w:t>.</w:t>
            </w:r>
          </w:p>
          <w:p w14:paraId="2A16D9CD" w14:textId="4243DE3C" w:rsidR="00380B04" w:rsidRPr="00903DAA" w:rsidRDefault="003E3BF3" w:rsidP="00903DAA">
            <w:pPr>
              <w:pStyle w:val="ECCParagraph"/>
            </w:pPr>
            <w:r w:rsidRPr="00903DAA">
              <w:rPr>
                <w:sz w:val="16"/>
                <w:szCs w:val="16"/>
              </w:rPr>
              <w:t xml:space="preserve">Note 3: The spurious value in </w:t>
            </w:r>
            <w:r w:rsidRPr="00903DAA">
              <w:rPr>
                <w:sz w:val="16"/>
                <w:szCs w:val="16"/>
              </w:rPr>
              <w:fldChar w:fldCharType="begin"/>
            </w:r>
            <w:r w:rsidRPr="00903DAA">
              <w:rPr>
                <w:sz w:val="16"/>
                <w:szCs w:val="16"/>
              </w:rPr>
              <w:instrText xml:space="preserve"> REF _Ref90307114 \r \h </w:instrText>
            </w:r>
            <w:r w:rsidR="00502F8A" w:rsidRPr="00903DAA">
              <w:rPr>
                <w:sz w:val="16"/>
                <w:szCs w:val="16"/>
              </w:rPr>
              <w:instrText xml:space="preserve"> \* MERGEFORMAT </w:instrText>
            </w:r>
            <w:r w:rsidRPr="00903DAA">
              <w:rPr>
                <w:sz w:val="16"/>
                <w:szCs w:val="16"/>
              </w:rPr>
            </w:r>
            <w:r w:rsidRPr="00903DAA">
              <w:rPr>
                <w:sz w:val="16"/>
                <w:szCs w:val="16"/>
              </w:rPr>
              <w:fldChar w:fldCharType="separate"/>
            </w:r>
            <w:r w:rsidR="00D00E65">
              <w:rPr>
                <w:sz w:val="16"/>
                <w:szCs w:val="16"/>
              </w:rPr>
              <w:t>A1.4.1.3</w:t>
            </w:r>
            <w:r w:rsidRPr="00903DAA">
              <w:rPr>
                <w:sz w:val="16"/>
                <w:szCs w:val="16"/>
              </w:rPr>
              <w:fldChar w:fldCharType="end"/>
            </w:r>
            <w:r w:rsidRPr="00903DAA">
              <w:rPr>
                <w:sz w:val="16"/>
                <w:szCs w:val="16"/>
              </w:rPr>
              <w:t xml:space="preserve"> applies for a frequency spacing of more than 10 MHz from the band edge.</w:t>
            </w:r>
          </w:p>
        </w:tc>
      </w:tr>
    </w:tbl>
    <w:bookmarkEnd w:id="26"/>
    <w:p w14:paraId="0DEDDCCD" w14:textId="5BE30375" w:rsidR="003E3BF3" w:rsidRPr="00903DAA" w:rsidRDefault="003E3BF3" w:rsidP="003E3BF3">
      <w:pPr>
        <w:pStyle w:val="ECCAnnexheading4"/>
        <w:numPr>
          <w:ilvl w:val="0"/>
          <w:numId w:val="0"/>
        </w:numPr>
        <w:rPr>
          <w:i w:val="0"/>
          <w:color w:val="auto"/>
          <w:lang w:val="en-GB"/>
        </w:rPr>
      </w:pPr>
      <w:r w:rsidRPr="00903DAA">
        <w:rPr>
          <w:i w:val="0"/>
          <w:color w:val="auto"/>
          <w:lang w:val="en-GB"/>
        </w:rPr>
        <w:t>For AAS BS, the out-of-block limits given in Tables 3 and 4 also apply to the out-of-band domain in the range of 0 to 10 MHz from the band edge, as appropriate, considering the position of the assigned block.</w:t>
      </w:r>
    </w:p>
    <w:p w14:paraId="3DA25494" w14:textId="77777777" w:rsidR="00380B04" w:rsidRPr="00903DAA" w:rsidRDefault="00380B04" w:rsidP="00380B04">
      <w:pPr>
        <w:pStyle w:val="ECCAnnexheading4"/>
        <w:numPr>
          <w:ilvl w:val="3"/>
          <w:numId w:val="4"/>
        </w:numPr>
        <w:rPr>
          <w:lang w:val="en-GB"/>
        </w:rPr>
      </w:pPr>
      <w:bookmarkStart w:id="28" w:name="_Ref90307114"/>
      <w:r w:rsidRPr="00903DAA">
        <w:rPr>
          <w:lang w:val="en-GB"/>
        </w:rPr>
        <w:t>Other conditions</w:t>
      </w:r>
      <w:bookmarkEnd w:id="28"/>
    </w:p>
    <w:p w14:paraId="17938670" w14:textId="1CDAA3F5" w:rsidR="00380B04" w:rsidRPr="00903DAA" w:rsidRDefault="00380B04" w:rsidP="00380B04">
      <w:pPr>
        <w:pStyle w:val="ECCParagraph"/>
        <w:rPr>
          <w:rFonts w:eastAsia="Calibri"/>
        </w:rPr>
      </w:pPr>
      <w:r w:rsidRPr="00903DAA">
        <w:rPr>
          <w:rFonts w:eastAsia="Calibri"/>
        </w:rPr>
        <w:t>The spurious emission domain for the base station in these frequency bands start 10 MHz from the band edge and the corresponding limits are defined in current ERC Recommendation 74-01</w:t>
      </w:r>
      <w:r w:rsidR="005C3F2E" w:rsidRPr="00903DAA">
        <w:rPr>
          <w:rFonts w:eastAsia="Calibri"/>
        </w:rPr>
        <w:t xml:space="preserve"> </w:t>
      </w:r>
      <w:r w:rsidRPr="00903DAA">
        <w:rPr>
          <w:rFonts w:eastAsia="Calibri"/>
        </w:rPr>
        <w:fldChar w:fldCharType="begin"/>
      </w:r>
      <w:r w:rsidRPr="00903DAA">
        <w:rPr>
          <w:rFonts w:eastAsia="Calibri"/>
        </w:rPr>
        <w:instrText xml:space="preserve"> REF _Ref83043255 \r \h </w:instrText>
      </w:r>
      <w:r w:rsidR="0054159B" w:rsidRPr="00903DAA">
        <w:rPr>
          <w:rFonts w:eastAsia="Calibri"/>
        </w:rPr>
        <w:instrText xml:space="preserve"> \* MERGEFORMAT </w:instrText>
      </w:r>
      <w:r w:rsidRPr="00903DAA">
        <w:rPr>
          <w:rFonts w:eastAsia="Calibri"/>
        </w:rPr>
      </w:r>
      <w:r w:rsidRPr="00903DAA">
        <w:rPr>
          <w:rFonts w:eastAsia="Calibri"/>
        </w:rPr>
        <w:fldChar w:fldCharType="separate"/>
      </w:r>
      <w:r w:rsidR="00D00E65">
        <w:rPr>
          <w:rFonts w:eastAsia="Calibri"/>
        </w:rPr>
        <w:t>[31]</w:t>
      </w:r>
      <w:r w:rsidRPr="00903DAA">
        <w:rPr>
          <w:rFonts w:eastAsia="Calibri"/>
        </w:rPr>
        <w:fldChar w:fldCharType="end"/>
      </w:r>
      <w:r w:rsidRPr="00903DAA">
        <w:rPr>
          <w:rFonts w:eastAsia="Calibri"/>
        </w:rPr>
        <w:t>.</w:t>
      </w:r>
    </w:p>
    <w:p w14:paraId="119933E8" w14:textId="77777777" w:rsidR="00380B04" w:rsidRPr="00903DAA" w:rsidRDefault="00380B04" w:rsidP="00380B04">
      <w:pPr>
        <w:rPr>
          <w:lang w:val="en-GB"/>
        </w:rPr>
      </w:pPr>
      <w:r w:rsidRPr="00903DAA">
        <w:rPr>
          <w:rFonts w:eastAsia="Calibri"/>
          <w:lang w:val="en-GB"/>
        </w:rPr>
        <w:lastRenderedPageBreak/>
        <w:t>In addition, MFCN networks making use of AAS systems shall not be granted more protection from systems in adjacent and neighbouring bands than experienced with non-AAS systems.</w:t>
      </w:r>
    </w:p>
    <w:p w14:paraId="3D690E1E" w14:textId="77777777" w:rsidR="00380B04" w:rsidRPr="00903DAA" w:rsidRDefault="00380B04" w:rsidP="00380B04">
      <w:pPr>
        <w:pStyle w:val="ECCAnnexheading3"/>
        <w:numPr>
          <w:ilvl w:val="2"/>
          <w:numId w:val="4"/>
        </w:numPr>
        <w:rPr>
          <w:lang w:val="en-GB"/>
        </w:rPr>
      </w:pPr>
      <w:r w:rsidRPr="00903DAA">
        <w:rPr>
          <w:lang w:val="en-GB"/>
        </w:rPr>
        <w:t>Technical conditions for terminal stations</w:t>
      </w:r>
    </w:p>
    <w:p w14:paraId="024F6FA4" w14:textId="5D71E3BB" w:rsidR="00380B04" w:rsidRPr="00903DAA" w:rsidRDefault="00380B04" w:rsidP="00380B04">
      <w:pPr>
        <w:rPr>
          <w:lang w:val="en-GB"/>
        </w:rPr>
      </w:pPr>
      <w:r w:rsidRPr="00903DAA">
        <w:rPr>
          <w:lang w:val="en-GB"/>
        </w:rPr>
        <w:t xml:space="preserve">In-block power limits for terminal stations are provided in </w:t>
      </w:r>
      <w:r w:rsidRPr="00903DAA">
        <w:rPr>
          <w:lang w:val="en-GB"/>
        </w:rPr>
        <w:fldChar w:fldCharType="begin"/>
      </w:r>
      <w:r w:rsidRPr="00903DAA">
        <w:rPr>
          <w:lang w:val="en-GB"/>
        </w:rPr>
        <w:instrText xml:space="preserve"> REF _Ref61338484 \h  \* MERGEFORMAT </w:instrText>
      </w:r>
      <w:r w:rsidRPr="00903DAA">
        <w:rPr>
          <w:lang w:val="en-GB"/>
        </w:rPr>
      </w:r>
      <w:r w:rsidRPr="00903DAA">
        <w:rPr>
          <w:lang w:val="en-GB"/>
        </w:rPr>
        <w:fldChar w:fldCharType="separate"/>
      </w:r>
      <w:r w:rsidR="00D00E65" w:rsidRPr="00903DAA">
        <w:rPr>
          <w:lang w:val="en-GB"/>
        </w:rPr>
        <w:t xml:space="preserve">Table </w:t>
      </w:r>
      <w:r w:rsidR="00D00E65">
        <w:rPr>
          <w:lang w:val="en-GB"/>
        </w:rPr>
        <w:t>6</w:t>
      </w:r>
      <w:r w:rsidRPr="00903DAA">
        <w:rPr>
          <w:lang w:val="en-GB"/>
        </w:rPr>
        <w:fldChar w:fldCharType="end"/>
      </w:r>
      <w:r w:rsidRPr="00903DAA">
        <w:rPr>
          <w:lang w:val="en-GB"/>
        </w:rPr>
        <w:t>.</w:t>
      </w:r>
    </w:p>
    <w:p w14:paraId="3C7A98C8" w14:textId="4AFE6501" w:rsidR="00380B04" w:rsidRPr="00903DAA" w:rsidRDefault="00380B04" w:rsidP="00380B04">
      <w:pPr>
        <w:pStyle w:val="Caption"/>
        <w:keepNext/>
        <w:rPr>
          <w:lang w:val="en-GB"/>
        </w:rPr>
      </w:pPr>
      <w:bookmarkStart w:id="29" w:name="_Ref61338484"/>
      <w:r w:rsidRPr="00903DAA">
        <w:rPr>
          <w:lang w:val="en-GB"/>
        </w:rPr>
        <w:t xml:space="preserve">Table </w:t>
      </w:r>
      <w:r w:rsidRPr="00903DAA">
        <w:rPr>
          <w:lang w:val="en-GB"/>
        </w:rPr>
        <w:fldChar w:fldCharType="begin"/>
      </w:r>
      <w:r w:rsidRPr="00903DAA">
        <w:rPr>
          <w:lang w:val="en-GB"/>
        </w:rPr>
        <w:instrText xml:space="preserve"> SEQ Table \* ARABIC </w:instrText>
      </w:r>
      <w:r w:rsidRPr="00903DAA">
        <w:rPr>
          <w:lang w:val="en-GB"/>
        </w:rPr>
        <w:fldChar w:fldCharType="separate"/>
      </w:r>
      <w:r w:rsidR="00D00E65">
        <w:rPr>
          <w:noProof/>
          <w:lang w:val="en-GB"/>
        </w:rPr>
        <w:t>6</w:t>
      </w:r>
      <w:r w:rsidRPr="00903DAA">
        <w:rPr>
          <w:lang w:val="en-GB"/>
        </w:rPr>
        <w:fldChar w:fldCharType="end"/>
      </w:r>
      <w:bookmarkEnd w:id="29"/>
      <w:r w:rsidRPr="00903DAA">
        <w:rPr>
          <w:lang w:val="en-GB"/>
        </w:rPr>
        <w:t>: In-block power limits for Terminal Stations</w:t>
      </w:r>
    </w:p>
    <w:tbl>
      <w:tblPr>
        <w:tblStyle w:val="ECCTable-redheader"/>
        <w:tblW w:w="4561" w:type="pct"/>
        <w:tblInd w:w="0" w:type="dxa"/>
        <w:tblLook w:val="04A0" w:firstRow="1" w:lastRow="0" w:firstColumn="1" w:lastColumn="0" w:noHBand="0" w:noVBand="1"/>
      </w:tblPr>
      <w:tblGrid>
        <w:gridCol w:w="3538"/>
        <w:gridCol w:w="5246"/>
      </w:tblGrid>
      <w:tr w:rsidR="00380B04" w:rsidRPr="00903DAA" w14:paraId="39D852B9" w14:textId="77777777" w:rsidTr="003C4A18">
        <w:trPr>
          <w:cnfStyle w:val="100000000000" w:firstRow="1" w:lastRow="0" w:firstColumn="0" w:lastColumn="0" w:oddVBand="0" w:evenVBand="0" w:oddHBand="0" w:evenHBand="0" w:firstRowFirstColumn="0" w:firstRowLastColumn="0" w:lastRowFirstColumn="0" w:lastRowLastColumn="0"/>
        </w:trPr>
        <w:tc>
          <w:tcPr>
            <w:tcW w:w="2014" w:type="pct"/>
            <w:tcBorders>
              <w:top w:val="single" w:sz="4" w:space="0" w:color="FFFFFF" w:themeColor="background1"/>
              <w:left w:val="single" w:sz="4" w:space="0" w:color="FFFFFF" w:themeColor="background1"/>
              <w:bottom w:val="single" w:sz="4" w:space="0" w:color="FFFFFF" w:themeColor="background1"/>
            </w:tcBorders>
            <w:vAlign w:val="top"/>
          </w:tcPr>
          <w:p w14:paraId="4643FEF5" w14:textId="77777777" w:rsidR="00380B04" w:rsidRPr="00903DAA" w:rsidRDefault="00380B04" w:rsidP="003C4A18">
            <w:pPr>
              <w:pStyle w:val="ECCTableHeaderwhitefont"/>
              <w:keepNext/>
              <w:keepLines/>
              <w:rPr>
                <w:lang w:val="en-GB"/>
              </w:rPr>
            </w:pPr>
            <w:r w:rsidRPr="00903DAA">
              <w:rPr>
                <w:lang w:val="en-GB"/>
              </w:rPr>
              <w:t>BEM element</w:t>
            </w:r>
          </w:p>
        </w:tc>
        <w:tc>
          <w:tcPr>
            <w:tcW w:w="2986" w:type="pct"/>
            <w:tcBorders>
              <w:top w:val="single" w:sz="4" w:space="0" w:color="FFFFFF" w:themeColor="background1"/>
              <w:bottom w:val="single" w:sz="4" w:space="0" w:color="FFFFFF" w:themeColor="background1"/>
              <w:right w:val="single" w:sz="4" w:space="0" w:color="FFFFFF" w:themeColor="background1"/>
            </w:tcBorders>
            <w:vAlign w:val="top"/>
          </w:tcPr>
          <w:p w14:paraId="3998E6BA" w14:textId="239C2337" w:rsidR="00380B04" w:rsidRPr="00903DAA" w:rsidRDefault="00380B04" w:rsidP="003C4A18">
            <w:pPr>
              <w:pStyle w:val="ECCTableHeaderwhitefont"/>
              <w:keepNext/>
              <w:keepLines/>
              <w:rPr>
                <w:lang w:val="en-GB"/>
              </w:rPr>
            </w:pPr>
            <w:r w:rsidRPr="00903DAA">
              <w:rPr>
                <w:lang w:val="en-GB"/>
              </w:rPr>
              <w:t>Maximum mean power (</w:t>
            </w:r>
            <w:r w:rsidR="004471E2" w:rsidRPr="00903DAA">
              <w:rPr>
                <w:lang w:val="en-GB"/>
              </w:rPr>
              <w:t>N</w:t>
            </w:r>
            <w:r w:rsidRPr="00903DAA">
              <w:rPr>
                <w:lang w:val="en-GB"/>
              </w:rPr>
              <w:t>ote 1)</w:t>
            </w:r>
          </w:p>
        </w:tc>
      </w:tr>
      <w:tr w:rsidR="000E34E8" w:rsidRPr="00903DAA" w14:paraId="28BEF745" w14:textId="77777777" w:rsidTr="00903DAA">
        <w:trPr>
          <w:trHeight w:val="265"/>
        </w:trPr>
        <w:tc>
          <w:tcPr>
            <w:tcW w:w="0" w:type="pct"/>
            <w:tcBorders>
              <w:top w:val="single" w:sz="4" w:space="0" w:color="FFFFFF" w:themeColor="background1"/>
            </w:tcBorders>
            <w:vAlign w:val="top"/>
          </w:tcPr>
          <w:p w14:paraId="3AEA654A" w14:textId="77777777" w:rsidR="00380B04" w:rsidRPr="00903DAA" w:rsidRDefault="00380B04" w:rsidP="003C4A18">
            <w:pPr>
              <w:pStyle w:val="ECCTabletext"/>
              <w:keepNext/>
              <w:keepLines/>
            </w:pPr>
            <w:r w:rsidRPr="00903DAA">
              <w:t xml:space="preserve">In-block </w:t>
            </w:r>
          </w:p>
        </w:tc>
        <w:tc>
          <w:tcPr>
            <w:tcW w:w="0" w:type="pct"/>
            <w:tcBorders>
              <w:top w:val="single" w:sz="4" w:space="0" w:color="FFFFFF" w:themeColor="background1"/>
            </w:tcBorders>
            <w:vAlign w:val="top"/>
          </w:tcPr>
          <w:p w14:paraId="4D3C98CE" w14:textId="37FFC109" w:rsidR="00380B04" w:rsidRPr="00903DAA" w:rsidRDefault="00380B04" w:rsidP="003C4A18">
            <w:pPr>
              <w:pStyle w:val="ECCTabletext"/>
              <w:keepNext/>
              <w:keepLines/>
            </w:pPr>
            <w:r w:rsidRPr="00903DAA">
              <w:t>25 dBm (</w:t>
            </w:r>
            <w:r w:rsidR="004471E2" w:rsidRPr="00903DAA">
              <w:t>N</w:t>
            </w:r>
            <w:r w:rsidRPr="00903DAA">
              <w:t>ote 2)</w:t>
            </w:r>
          </w:p>
        </w:tc>
      </w:tr>
      <w:tr w:rsidR="00380B04" w:rsidRPr="00903DAA" w14:paraId="6AC1A8D2" w14:textId="77777777" w:rsidTr="00903DAA">
        <w:trPr>
          <w:trHeight w:val="265"/>
        </w:trPr>
        <w:tc>
          <w:tcPr>
            <w:tcW w:w="0" w:type="pct"/>
            <w:gridSpan w:val="2"/>
          </w:tcPr>
          <w:p w14:paraId="4120E324" w14:textId="699D37C1" w:rsidR="00380B04" w:rsidRPr="00903DAA" w:rsidRDefault="00380B04" w:rsidP="00903DAA">
            <w:pPr>
              <w:pStyle w:val="ECCTablenote"/>
            </w:pPr>
            <w:r w:rsidRPr="00903DAA">
              <w:t xml:space="preserve">Note 1: The recommended power limit for mobile terminal stations is specified as TRP. The in-block radiated power limit for fixed/nomadic terminal stations may be agreed on a national basis provided that protection of other services, networks and applications is not </w:t>
            </w:r>
            <w:proofErr w:type="gramStart"/>
            <w:r w:rsidRPr="00903DAA">
              <w:t>compromised</w:t>
            </w:r>
            <w:proofErr w:type="gramEnd"/>
            <w:r w:rsidRPr="00903DAA">
              <w:t xml:space="preserve"> and cross-border obligations are fulfilled.</w:t>
            </w:r>
          </w:p>
          <w:p w14:paraId="25B6A416" w14:textId="77777777" w:rsidR="00380B04" w:rsidRPr="00903DAA" w:rsidRDefault="00380B04" w:rsidP="00903DAA">
            <w:pPr>
              <w:pStyle w:val="ECCTablenote"/>
            </w:pPr>
            <w:r w:rsidRPr="00903DAA">
              <w:t xml:space="preserve">Note 2: It is recognised that this value includes a possible tolerance of up to +2 dB, to take account of operation under extreme environmental conditions and production spread. This value does not include test </w:t>
            </w:r>
            <w:proofErr w:type="gramStart"/>
            <w:r w:rsidRPr="00903DAA">
              <w:t>tolerance..</w:t>
            </w:r>
            <w:proofErr w:type="gramEnd"/>
          </w:p>
        </w:tc>
      </w:tr>
    </w:tbl>
    <w:p w14:paraId="349CD0EF" w14:textId="77777777" w:rsidR="00380B04" w:rsidRPr="00903DAA" w:rsidRDefault="00380B04" w:rsidP="00380B04">
      <w:pPr>
        <w:pStyle w:val="ECCParagraph"/>
      </w:pPr>
    </w:p>
    <w:p w14:paraId="1D252A47" w14:textId="00D701F7" w:rsidR="00901F83" w:rsidRPr="00903DAA" w:rsidRDefault="00EF346B" w:rsidP="00CF0264">
      <w:pPr>
        <w:pStyle w:val="ECCAnnex-heading1"/>
      </w:pPr>
      <w:r w:rsidRPr="00903DAA">
        <w:lastRenderedPageBreak/>
        <w:t xml:space="preserve">List of </w:t>
      </w:r>
      <w:bookmarkEnd w:id="15"/>
      <w:r w:rsidR="00472501" w:rsidRPr="00903DAA">
        <w:t>reference</w:t>
      </w:r>
      <w:r w:rsidR="00472501">
        <w:t>s</w:t>
      </w:r>
      <w:r w:rsidR="00472501" w:rsidRPr="00903DAA">
        <w:t xml:space="preserve"> </w:t>
      </w:r>
    </w:p>
    <w:p w14:paraId="06909ED8" w14:textId="42728B5A" w:rsidR="009806C6" w:rsidRPr="00903DAA" w:rsidRDefault="009806C6" w:rsidP="00901F83">
      <w:pPr>
        <w:pStyle w:val="ECCParagraph"/>
      </w:pPr>
      <w:r w:rsidRPr="00903DAA">
        <w:t>This annex contains the list of relevant reference documents.</w:t>
      </w:r>
    </w:p>
    <w:p w14:paraId="6F3E469F" w14:textId="39F4AB90" w:rsidR="00267423" w:rsidRPr="00903DAA" w:rsidRDefault="00901F83" w:rsidP="00901F83">
      <w:pPr>
        <w:pStyle w:val="ECCParagraph"/>
      </w:pPr>
      <w:r w:rsidRPr="00903DAA">
        <w:t>Note: where version numbers of harmonised standards are not stated, the latest published version applies.</w:t>
      </w:r>
    </w:p>
    <w:bookmarkStart w:id="30" w:name="_Ref503801466"/>
    <w:p w14:paraId="6F3E46A0" w14:textId="35C84ABE" w:rsidR="00267423" w:rsidRPr="00472501" w:rsidRDefault="0000647D" w:rsidP="00F81892">
      <w:pPr>
        <w:pStyle w:val="reference"/>
        <w:spacing w:before="60" w:after="60"/>
        <w:rPr>
          <w:lang w:val="en-GB"/>
        </w:rPr>
      </w:pPr>
      <w:r w:rsidRPr="00903DAA">
        <w:rPr>
          <w:lang w:val="en-GB"/>
        </w:rPr>
        <w:fldChar w:fldCharType="begin"/>
      </w:r>
      <w:r w:rsidRPr="00903DAA">
        <w:rPr>
          <w:lang w:val="en-GB"/>
        </w:rPr>
        <w:instrText>HYPERLINK "https://docdb.cept.org/document/628"</w:instrText>
      </w:r>
      <w:r w:rsidRPr="00903DAA">
        <w:rPr>
          <w:lang w:val="en-GB"/>
        </w:rPr>
        <w:fldChar w:fldCharType="separate"/>
      </w:r>
      <w:r w:rsidRPr="00903DAA">
        <w:rPr>
          <w:rStyle w:val="Hyperlink"/>
          <w:lang w:val="en-GB"/>
        </w:rPr>
        <w:t>ERC Report 060</w:t>
      </w:r>
      <w:r w:rsidRPr="00903DAA">
        <w:rPr>
          <w:lang w:val="en-GB"/>
        </w:rPr>
        <w:fldChar w:fldCharType="end"/>
      </w:r>
      <w:r w:rsidR="00EF346B" w:rsidRPr="00903DAA">
        <w:rPr>
          <w:lang w:val="en-GB"/>
        </w:rPr>
        <w:t>:”</w:t>
      </w:r>
      <w:r w:rsidR="00EF346B" w:rsidRPr="00472501">
        <w:rPr>
          <w:lang w:val="en-GB"/>
        </w:rPr>
        <w:t xml:space="preserve">Global circulation of IMT-2000 terminals”, </w:t>
      </w:r>
      <w:r w:rsidR="008308F3" w:rsidRPr="00903DAA">
        <w:rPr>
          <w:lang w:val="en-GB"/>
        </w:rPr>
        <w:t xml:space="preserve">approved </w:t>
      </w:r>
      <w:r w:rsidR="00EF346B" w:rsidRPr="00472501">
        <w:rPr>
          <w:lang w:val="en-GB"/>
        </w:rPr>
        <w:t>September 1998</w:t>
      </w:r>
      <w:bookmarkEnd w:id="30"/>
    </w:p>
    <w:bookmarkStart w:id="31" w:name="_Ref503801494"/>
    <w:p w14:paraId="6F3E46A5" w14:textId="5BA4F431" w:rsidR="00267423" w:rsidRPr="00472501" w:rsidRDefault="00464CFB" w:rsidP="00F81892">
      <w:pPr>
        <w:pStyle w:val="reference"/>
        <w:spacing w:before="60" w:after="60"/>
        <w:rPr>
          <w:lang w:val="en-GB"/>
        </w:rPr>
      </w:pPr>
      <w:r w:rsidRPr="00903DAA">
        <w:rPr>
          <w:lang w:val="en-GB"/>
        </w:rPr>
        <w:fldChar w:fldCharType="begin"/>
      </w:r>
      <w:r w:rsidRPr="00903DAA">
        <w:rPr>
          <w:lang w:val="en-GB"/>
        </w:rPr>
        <w:instrText>HYPERLINK "https://docdb.cept.org/document/190"</w:instrText>
      </w:r>
      <w:r w:rsidRPr="00903DAA">
        <w:rPr>
          <w:lang w:val="en-GB"/>
        </w:rPr>
        <w:fldChar w:fldCharType="separate"/>
      </w:r>
      <w:r w:rsidRPr="00903DAA">
        <w:rPr>
          <w:rStyle w:val="Hyperlink"/>
          <w:lang w:val="en-GB"/>
        </w:rPr>
        <w:t>ECC Report 82</w:t>
      </w:r>
      <w:r w:rsidRPr="00903DAA">
        <w:rPr>
          <w:lang w:val="en-GB"/>
        </w:rPr>
        <w:fldChar w:fldCharType="end"/>
      </w:r>
      <w:r w:rsidR="00EF346B" w:rsidRPr="00903DAA">
        <w:rPr>
          <w:lang w:val="en-GB"/>
        </w:rPr>
        <w:t>:</w:t>
      </w:r>
      <w:r w:rsidR="00EF346B" w:rsidRPr="00472501">
        <w:rPr>
          <w:lang w:val="en-GB"/>
        </w:rPr>
        <w:t xml:space="preserve"> “Compatibility study for UMTS operating within the GSM 900 and GSM 1800 frequency bands”, </w:t>
      </w:r>
      <w:r w:rsidR="008308F3" w:rsidRPr="00903DAA">
        <w:rPr>
          <w:lang w:val="en-GB"/>
        </w:rPr>
        <w:t xml:space="preserve">approved </w:t>
      </w:r>
      <w:r w:rsidR="00EF346B" w:rsidRPr="00472501">
        <w:rPr>
          <w:lang w:val="en-GB"/>
        </w:rPr>
        <w:t>May 2006</w:t>
      </w:r>
      <w:bookmarkEnd w:id="31"/>
    </w:p>
    <w:bookmarkStart w:id="32" w:name="_Ref503801499"/>
    <w:p w14:paraId="6F3E46A6" w14:textId="588C5483" w:rsidR="00267423" w:rsidRPr="00472501" w:rsidRDefault="00451489" w:rsidP="00F81892">
      <w:pPr>
        <w:pStyle w:val="reference"/>
        <w:spacing w:before="60" w:after="60"/>
        <w:rPr>
          <w:lang w:val="en-GB"/>
        </w:rPr>
      </w:pPr>
      <w:r w:rsidRPr="00903DAA">
        <w:rPr>
          <w:lang w:val="en-GB"/>
        </w:rPr>
        <w:fldChar w:fldCharType="begin"/>
      </w:r>
      <w:r w:rsidRPr="00903DAA">
        <w:rPr>
          <w:lang w:val="en-GB"/>
        </w:rPr>
        <w:instrText>HYPERLINK "https://docdb.cept.org/document/204"</w:instrText>
      </w:r>
      <w:r w:rsidRPr="00903DAA">
        <w:rPr>
          <w:lang w:val="en-GB"/>
        </w:rPr>
        <w:fldChar w:fldCharType="separate"/>
      </w:r>
      <w:r w:rsidRPr="00903DAA">
        <w:rPr>
          <w:rStyle w:val="Hyperlink"/>
          <w:lang w:val="en-GB"/>
        </w:rPr>
        <w:t>ECC Report 96</w:t>
      </w:r>
      <w:r w:rsidRPr="00903DAA">
        <w:rPr>
          <w:lang w:val="en-GB"/>
        </w:rPr>
        <w:fldChar w:fldCharType="end"/>
      </w:r>
      <w:r w:rsidR="00EF346B" w:rsidRPr="00903DAA">
        <w:rPr>
          <w:lang w:val="en-GB"/>
        </w:rPr>
        <w:t>:</w:t>
      </w:r>
      <w:r w:rsidR="00EF346B" w:rsidRPr="00472501">
        <w:rPr>
          <w:lang w:val="en-GB"/>
        </w:rPr>
        <w:t xml:space="preserve"> “Compatibility between UMTS 900/1800 and systems operating in adjacent bands”, </w:t>
      </w:r>
      <w:r w:rsidR="008308F3" w:rsidRPr="00903DAA">
        <w:rPr>
          <w:lang w:val="en-GB"/>
        </w:rPr>
        <w:t xml:space="preserve">approved </w:t>
      </w:r>
      <w:r w:rsidR="00EF346B" w:rsidRPr="00472501">
        <w:rPr>
          <w:lang w:val="en-GB"/>
        </w:rPr>
        <w:t>April 2007</w:t>
      </w:r>
      <w:bookmarkEnd w:id="32"/>
    </w:p>
    <w:bookmarkStart w:id="33" w:name="_Ref503801506"/>
    <w:p w14:paraId="6F3E46A7" w14:textId="14075EC6" w:rsidR="00267423" w:rsidRPr="00472501" w:rsidRDefault="00947127" w:rsidP="00F81892">
      <w:pPr>
        <w:pStyle w:val="reference"/>
        <w:spacing w:before="60" w:after="60"/>
        <w:rPr>
          <w:lang w:val="en-GB"/>
        </w:rPr>
      </w:pPr>
      <w:r w:rsidRPr="00903DAA">
        <w:rPr>
          <w:lang w:val="en-GB"/>
        </w:rPr>
        <w:fldChar w:fldCharType="begin"/>
      </w:r>
      <w:r w:rsidRPr="00903DAA">
        <w:rPr>
          <w:lang w:val="en-GB"/>
        </w:rPr>
        <w:instrText>HYPERLINK "https://docdb.cept.org/document/42"</w:instrText>
      </w:r>
      <w:r w:rsidRPr="00903DAA">
        <w:rPr>
          <w:lang w:val="en-GB"/>
        </w:rPr>
        <w:fldChar w:fldCharType="separate"/>
      </w:r>
      <w:r w:rsidRPr="00903DAA">
        <w:rPr>
          <w:rStyle w:val="Hyperlink"/>
          <w:lang w:val="en-GB"/>
        </w:rPr>
        <w:t>CEPT Report 42</w:t>
      </w:r>
      <w:r w:rsidRPr="00903DAA">
        <w:rPr>
          <w:lang w:val="en-GB"/>
        </w:rPr>
        <w:fldChar w:fldCharType="end"/>
      </w:r>
      <w:r w:rsidR="00EF346B" w:rsidRPr="00903DAA">
        <w:rPr>
          <w:lang w:val="en-GB"/>
        </w:rPr>
        <w:t>:</w:t>
      </w:r>
      <w:r w:rsidR="00EF346B" w:rsidRPr="00472501">
        <w:rPr>
          <w:lang w:val="en-GB"/>
        </w:rPr>
        <w:t xml:space="preserve"> “Compatibility between UMTS and existing and planned aeronautical systems above 960 MHz”, </w:t>
      </w:r>
      <w:r w:rsidR="008308F3" w:rsidRPr="00903DAA">
        <w:rPr>
          <w:lang w:val="en-GB"/>
        </w:rPr>
        <w:t xml:space="preserve">approved </w:t>
      </w:r>
      <w:r w:rsidR="00EF346B" w:rsidRPr="00472501">
        <w:rPr>
          <w:lang w:val="en-GB"/>
        </w:rPr>
        <w:t>November 2010</w:t>
      </w:r>
      <w:bookmarkEnd w:id="33"/>
    </w:p>
    <w:p w14:paraId="6F3E46A8" w14:textId="77777777" w:rsidR="00267423" w:rsidRPr="00472501" w:rsidRDefault="00EF346B" w:rsidP="00F81892">
      <w:pPr>
        <w:pStyle w:val="reference"/>
        <w:spacing w:before="60" w:after="60"/>
        <w:rPr>
          <w:lang w:val="en-GB"/>
        </w:rPr>
      </w:pPr>
      <w:bookmarkStart w:id="34" w:name="_Ref503801515"/>
      <w:r w:rsidRPr="00472501">
        <w:rPr>
          <w:lang w:val="en-GB"/>
        </w:rPr>
        <w:t>Council Directive 87/372/EEC of 25 June 1987 on the frequency bands to be reserved for the coordinated introduction of public pan-European cellular digital land-based mobile communications in the Community</w:t>
      </w:r>
      <w:bookmarkEnd w:id="34"/>
    </w:p>
    <w:p w14:paraId="6F3E46A9" w14:textId="77777777" w:rsidR="00267423" w:rsidRPr="00472501" w:rsidRDefault="00EF346B" w:rsidP="00F81892">
      <w:pPr>
        <w:pStyle w:val="reference"/>
        <w:spacing w:before="60" w:after="60"/>
        <w:rPr>
          <w:lang w:val="en-GB"/>
        </w:rPr>
      </w:pPr>
      <w:bookmarkStart w:id="35" w:name="_Ref503801522"/>
      <w:r w:rsidRPr="00472501">
        <w:rPr>
          <w:lang w:val="en-GB"/>
        </w:rPr>
        <w:t>Council Recommendation 87/371/EEC of 25 June 1987 on the coordinated introduction of public pan-European cellular digital land-based mobile communications in the Community</w:t>
      </w:r>
      <w:bookmarkEnd w:id="35"/>
    </w:p>
    <w:bookmarkStart w:id="36" w:name="_Ref503801529"/>
    <w:p w14:paraId="6F3E46AA" w14:textId="389A8BAF" w:rsidR="00267423" w:rsidRPr="00472501" w:rsidRDefault="002227EF" w:rsidP="00F81892">
      <w:pPr>
        <w:pStyle w:val="reference"/>
        <w:spacing w:before="60" w:after="60"/>
        <w:rPr>
          <w:lang w:val="en-GB"/>
        </w:rPr>
      </w:pPr>
      <w:r w:rsidRPr="00903DAA">
        <w:rPr>
          <w:lang w:val="en-GB"/>
        </w:rPr>
        <w:fldChar w:fldCharType="begin"/>
      </w:r>
      <w:r w:rsidRPr="00903DAA">
        <w:rPr>
          <w:lang w:val="en-GB"/>
        </w:rPr>
        <w:instrText>HYPERLINK "https://docdb.cept.org/document/716"</w:instrText>
      </w:r>
      <w:r w:rsidRPr="00903DAA">
        <w:rPr>
          <w:lang w:val="en-GB"/>
        </w:rPr>
        <w:fldChar w:fldCharType="separate"/>
      </w:r>
      <w:r w:rsidRPr="00903DAA">
        <w:rPr>
          <w:rStyle w:val="Hyperlink"/>
          <w:lang w:val="en-GB"/>
        </w:rPr>
        <w:t>ERC Decision (94)01</w:t>
      </w:r>
      <w:r w:rsidRPr="00903DAA">
        <w:rPr>
          <w:lang w:val="en-GB"/>
        </w:rPr>
        <w:fldChar w:fldCharType="end"/>
      </w:r>
      <w:r w:rsidR="00900649" w:rsidRPr="00903DAA">
        <w:rPr>
          <w:lang w:val="en-GB"/>
        </w:rPr>
        <w:t>:</w:t>
      </w:r>
      <w:r w:rsidR="00900649" w:rsidRPr="00472501">
        <w:rPr>
          <w:lang w:val="en-GB"/>
        </w:rPr>
        <w:t xml:space="preserve"> “T</w:t>
      </w:r>
      <w:r w:rsidR="00EF346B" w:rsidRPr="00472501">
        <w:rPr>
          <w:lang w:val="en-GB"/>
        </w:rPr>
        <w:t>he frequency bands to be designated for the coordinated introduction of the GSM digital pan-European communications system</w:t>
      </w:r>
      <w:r w:rsidR="00900649" w:rsidRPr="00472501">
        <w:rPr>
          <w:lang w:val="en-GB"/>
        </w:rPr>
        <w:t>”</w:t>
      </w:r>
      <w:r w:rsidR="00EF346B" w:rsidRPr="00472501">
        <w:rPr>
          <w:lang w:val="en-GB"/>
        </w:rPr>
        <w:t xml:space="preserve">, </w:t>
      </w:r>
      <w:r w:rsidR="008308F3" w:rsidRPr="00903DAA">
        <w:rPr>
          <w:lang w:val="en-GB"/>
        </w:rPr>
        <w:t xml:space="preserve">approved </w:t>
      </w:r>
      <w:r w:rsidR="00EF346B" w:rsidRPr="00472501">
        <w:rPr>
          <w:lang w:val="en-GB"/>
        </w:rPr>
        <w:t>October 1994</w:t>
      </w:r>
      <w:bookmarkEnd w:id="36"/>
    </w:p>
    <w:bookmarkStart w:id="37" w:name="_Ref503801535"/>
    <w:p w14:paraId="6F3E46AB" w14:textId="184CBCC6" w:rsidR="00267423" w:rsidRPr="00472501" w:rsidRDefault="005A0E1D" w:rsidP="00F81892">
      <w:pPr>
        <w:pStyle w:val="reference"/>
        <w:spacing w:before="60" w:after="60"/>
        <w:rPr>
          <w:lang w:val="en-GB"/>
        </w:rPr>
      </w:pPr>
      <w:r w:rsidRPr="00903DAA">
        <w:rPr>
          <w:lang w:val="en-GB"/>
        </w:rPr>
        <w:fldChar w:fldCharType="begin"/>
      </w:r>
      <w:r w:rsidRPr="00903DAA">
        <w:rPr>
          <w:lang w:val="en-GB"/>
        </w:rPr>
        <w:instrText>HYPERLINK "https://docdb.cept.org/document/721"</w:instrText>
      </w:r>
      <w:r w:rsidRPr="00903DAA">
        <w:rPr>
          <w:lang w:val="en-GB"/>
        </w:rPr>
        <w:fldChar w:fldCharType="separate"/>
      </w:r>
      <w:r w:rsidRPr="00903DAA">
        <w:rPr>
          <w:rStyle w:val="Hyperlink"/>
          <w:lang w:val="en-GB"/>
        </w:rPr>
        <w:t>ERC Decision (95)03</w:t>
      </w:r>
      <w:r w:rsidRPr="00903DAA">
        <w:rPr>
          <w:lang w:val="en-GB"/>
        </w:rPr>
        <w:fldChar w:fldCharType="end"/>
      </w:r>
      <w:r w:rsidR="00900649" w:rsidRPr="00903DAA">
        <w:rPr>
          <w:lang w:val="en-GB"/>
        </w:rPr>
        <w:t>:</w:t>
      </w:r>
      <w:r w:rsidR="00900649" w:rsidRPr="00472501">
        <w:rPr>
          <w:lang w:val="en-GB"/>
        </w:rPr>
        <w:t xml:space="preserve"> “T</w:t>
      </w:r>
      <w:r w:rsidR="00EF346B" w:rsidRPr="00472501">
        <w:rPr>
          <w:lang w:val="en-GB"/>
        </w:rPr>
        <w:t>he frequency bands to be designated for the introduction of DCS 1800</w:t>
      </w:r>
      <w:r w:rsidR="00900649" w:rsidRPr="00472501">
        <w:rPr>
          <w:lang w:val="en-GB"/>
        </w:rPr>
        <w:t>”</w:t>
      </w:r>
      <w:r w:rsidR="00EF346B" w:rsidRPr="00472501">
        <w:rPr>
          <w:lang w:val="en-GB"/>
        </w:rPr>
        <w:t xml:space="preserve">, </w:t>
      </w:r>
      <w:r w:rsidR="008308F3" w:rsidRPr="00903DAA">
        <w:rPr>
          <w:lang w:val="en-GB"/>
        </w:rPr>
        <w:t xml:space="preserve">approved </w:t>
      </w:r>
      <w:r w:rsidR="00EF346B" w:rsidRPr="00472501">
        <w:rPr>
          <w:lang w:val="en-GB"/>
        </w:rPr>
        <w:t>December 1995</w:t>
      </w:r>
      <w:bookmarkEnd w:id="37"/>
    </w:p>
    <w:bookmarkStart w:id="38" w:name="_Ref503801540"/>
    <w:p w14:paraId="6F3E46AC" w14:textId="0FFA82E1" w:rsidR="00267423" w:rsidRPr="00472501" w:rsidRDefault="001E301B" w:rsidP="00F81892">
      <w:pPr>
        <w:pStyle w:val="reference"/>
        <w:spacing w:before="60" w:after="60"/>
        <w:rPr>
          <w:lang w:val="en-GB"/>
        </w:rPr>
      </w:pPr>
      <w:r w:rsidRPr="00903DAA">
        <w:rPr>
          <w:lang w:val="en-GB"/>
        </w:rPr>
        <w:fldChar w:fldCharType="begin"/>
      </w:r>
      <w:r w:rsidRPr="00903DAA">
        <w:rPr>
          <w:lang w:val="en-GB"/>
        </w:rPr>
        <w:instrText>HYPERLINK "https://docdb.cept.org/document/743"</w:instrText>
      </w:r>
      <w:r w:rsidRPr="00903DAA">
        <w:rPr>
          <w:lang w:val="en-GB"/>
        </w:rPr>
        <w:fldChar w:fldCharType="separate"/>
      </w:r>
      <w:r w:rsidRPr="00903DAA">
        <w:rPr>
          <w:rStyle w:val="Hyperlink"/>
          <w:lang w:val="en-GB"/>
        </w:rPr>
        <w:t>ERC Decision (97)02</w:t>
      </w:r>
      <w:r w:rsidRPr="00903DAA">
        <w:rPr>
          <w:lang w:val="en-GB"/>
        </w:rPr>
        <w:fldChar w:fldCharType="end"/>
      </w:r>
      <w:r w:rsidR="00900649" w:rsidRPr="00903DAA">
        <w:rPr>
          <w:lang w:val="en-GB"/>
        </w:rPr>
        <w:t>:</w:t>
      </w:r>
      <w:r w:rsidR="00900649" w:rsidRPr="00472501">
        <w:rPr>
          <w:lang w:val="en-GB"/>
        </w:rPr>
        <w:t xml:space="preserve"> “T</w:t>
      </w:r>
      <w:r w:rsidR="00EF346B" w:rsidRPr="00472501">
        <w:rPr>
          <w:lang w:val="en-GB"/>
        </w:rPr>
        <w:t>he extended frequency bands to be used for the GSM Digital Pan-European Communication System</w:t>
      </w:r>
      <w:r w:rsidR="00900649" w:rsidRPr="00472501">
        <w:rPr>
          <w:lang w:val="en-GB"/>
        </w:rPr>
        <w:t>"</w:t>
      </w:r>
      <w:r w:rsidR="00EF346B" w:rsidRPr="00472501">
        <w:rPr>
          <w:lang w:val="en-GB"/>
        </w:rPr>
        <w:t xml:space="preserve">, </w:t>
      </w:r>
      <w:r w:rsidR="00180BAE" w:rsidRPr="00903DAA">
        <w:rPr>
          <w:lang w:val="en-GB"/>
        </w:rPr>
        <w:t xml:space="preserve">approved </w:t>
      </w:r>
      <w:r w:rsidR="00EF346B" w:rsidRPr="00472501">
        <w:rPr>
          <w:lang w:val="en-GB"/>
        </w:rPr>
        <w:t>March 1997</w:t>
      </w:r>
      <w:bookmarkEnd w:id="38"/>
    </w:p>
    <w:p w14:paraId="6F3E46AD" w14:textId="77777777" w:rsidR="00267423" w:rsidRPr="00472501" w:rsidRDefault="00EF346B" w:rsidP="00F81892">
      <w:pPr>
        <w:pStyle w:val="reference"/>
        <w:spacing w:before="60" w:after="60"/>
        <w:rPr>
          <w:lang w:val="en-GB"/>
        </w:rPr>
      </w:pPr>
      <w:bookmarkStart w:id="39" w:name="_Ref503801553"/>
      <w:r w:rsidRPr="00472501">
        <w:rPr>
          <w:lang w:val="en-GB"/>
        </w:rPr>
        <w:t>Directive 2009/114/EC of the European Parliament and of the Council amending Council Directive 87/372/EEC on the frequency bands to be reserved for the coordinated introduction of public pan-European cellular digital land-based mobile communications in the Community</w:t>
      </w:r>
      <w:bookmarkEnd w:id="39"/>
    </w:p>
    <w:bookmarkStart w:id="40" w:name="_Ref503801581"/>
    <w:p w14:paraId="6F3E46AE" w14:textId="4F451D21" w:rsidR="00267423" w:rsidRPr="00472501" w:rsidRDefault="006B700D" w:rsidP="00F81892">
      <w:pPr>
        <w:pStyle w:val="reference"/>
        <w:spacing w:before="60" w:after="60"/>
        <w:rPr>
          <w:lang w:val="en-GB"/>
        </w:rPr>
      </w:pPr>
      <w:r w:rsidRPr="00903DAA">
        <w:rPr>
          <w:lang w:val="en-GB"/>
        </w:rPr>
        <w:fldChar w:fldCharType="begin"/>
      </w:r>
      <w:r w:rsidRPr="00903DAA">
        <w:rPr>
          <w:lang w:val="en-GB"/>
        </w:rPr>
        <w:instrText>HYPERLINK "https://docdb.cept.org/document/40"</w:instrText>
      </w:r>
      <w:r w:rsidRPr="00903DAA">
        <w:rPr>
          <w:lang w:val="en-GB"/>
        </w:rPr>
        <w:fldChar w:fldCharType="separate"/>
      </w:r>
      <w:r w:rsidRPr="00903DAA">
        <w:rPr>
          <w:rStyle w:val="Hyperlink"/>
          <w:lang w:val="en-GB"/>
        </w:rPr>
        <w:t>CEPT Report 40</w:t>
      </w:r>
      <w:r w:rsidRPr="00903DAA">
        <w:rPr>
          <w:lang w:val="en-GB"/>
        </w:rPr>
        <w:fldChar w:fldCharType="end"/>
      </w:r>
      <w:r w:rsidRPr="00903DAA">
        <w:rPr>
          <w:lang w:val="en-GB"/>
        </w:rPr>
        <w:t xml:space="preserve"> </w:t>
      </w:r>
      <w:r w:rsidR="00EF346B" w:rsidRPr="00472501">
        <w:rPr>
          <w:lang w:val="en-GB"/>
        </w:rPr>
        <w:t xml:space="preserve">: “Compatibility study for LTE and WiMAX operating within the bands 880-915 MHz / 925-960 MHz and 1710-1785 MHz / 1805-1880 MHz (900/1800 MHz bands)”, </w:t>
      </w:r>
      <w:r w:rsidR="008308F3" w:rsidRPr="00903DAA">
        <w:rPr>
          <w:lang w:val="en-GB"/>
        </w:rPr>
        <w:t xml:space="preserve">approved </w:t>
      </w:r>
      <w:r w:rsidR="00EF346B" w:rsidRPr="00472501">
        <w:rPr>
          <w:lang w:val="en-GB"/>
        </w:rPr>
        <w:t>November 2010</w:t>
      </w:r>
      <w:bookmarkEnd w:id="40"/>
    </w:p>
    <w:bookmarkStart w:id="41" w:name="_Ref503801590"/>
    <w:p w14:paraId="6F3E46AF" w14:textId="78CB8741" w:rsidR="00267423" w:rsidRPr="00472501" w:rsidRDefault="0046641F" w:rsidP="00F81892">
      <w:pPr>
        <w:pStyle w:val="reference"/>
        <w:spacing w:before="60" w:after="60"/>
        <w:rPr>
          <w:lang w:val="en-GB"/>
        </w:rPr>
      </w:pPr>
      <w:r w:rsidRPr="00903DAA">
        <w:rPr>
          <w:lang w:val="en-GB"/>
        </w:rPr>
        <w:fldChar w:fldCharType="begin"/>
      </w:r>
      <w:r w:rsidRPr="00903DAA">
        <w:rPr>
          <w:lang w:val="en-GB"/>
        </w:rPr>
        <w:instrText>HYPERLINK "https://docdb.cept.org/document/41"</w:instrText>
      </w:r>
      <w:r w:rsidRPr="00903DAA">
        <w:rPr>
          <w:lang w:val="en-GB"/>
        </w:rPr>
        <w:fldChar w:fldCharType="separate"/>
      </w:r>
      <w:r w:rsidRPr="00903DAA">
        <w:rPr>
          <w:rStyle w:val="Hyperlink"/>
          <w:lang w:val="en-GB"/>
        </w:rPr>
        <w:t>CEPT Report 41</w:t>
      </w:r>
      <w:r w:rsidRPr="00903DAA">
        <w:rPr>
          <w:lang w:val="en-GB"/>
        </w:rPr>
        <w:fldChar w:fldCharType="end"/>
      </w:r>
      <w:r w:rsidR="00EF346B" w:rsidRPr="00903DAA">
        <w:rPr>
          <w:lang w:val="en-GB"/>
        </w:rPr>
        <w:t>:</w:t>
      </w:r>
      <w:r w:rsidR="00EF346B" w:rsidRPr="00472501">
        <w:rPr>
          <w:lang w:val="en-GB"/>
        </w:rPr>
        <w:t xml:space="preserve"> “Compatibility between LTE and WiMAX operating within the bands 880-915 MHz / 925-960 MHz and 1710-1785 MHz / 1805-1880 MHz (900/1800 MHz bands) and systems operating in adjacent bands”, </w:t>
      </w:r>
      <w:r w:rsidR="008308F3" w:rsidRPr="00903DAA">
        <w:rPr>
          <w:lang w:val="en-GB"/>
        </w:rPr>
        <w:t xml:space="preserve">approved </w:t>
      </w:r>
      <w:r w:rsidR="00EF346B" w:rsidRPr="00472501">
        <w:rPr>
          <w:lang w:val="en-GB"/>
        </w:rPr>
        <w:t>November 2010</w:t>
      </w:r>
      <w:bookmarkEnd w:id="41"/>
    </w:p>
    <w:p w14:paraId="6F3E46B0" w14:textId="77777777" w:rsidR="00267423" w:rsidRPr="00472501" w:rsidRDefault="00EF346B" w:rsidP="00F81892">
      <w:pPr>
        <w:pStyle w:val="reference"/>
        <w:spacing w:before="60" w:after="60"/>
        <w:rPr>
          <w:lang w:val="en-GB"/>
        </w:rPr>
      </w:pPr>
      <w:bookmarkStart w:id="42" w:name="_Ref503801595"/>
      <w:r w:rsidRPr="00472501">
        <w:rPr>
          <w:lang w:val="en-GB"/>
        </w:rPr>
        <w:t>EC Decision 2011/251/EU amending Decision 2009/766/EC on the harmonisation of the 900 MHz and 1800 MHz frequency bands for terrestrial systems capable of providing pan-European electronic communications services in the Community</w:t>
      </w:r>
      <w:bookmarkEnd w:id="42"/>
    </w:p>
    <w:bookmarkStart w:id="43" w:name="_Ref503801601"/>
    <w:p w14:paraId="6F3E46B1" w14:textId="220E3E9A" w:rsidR="00D12143" w:rsidRPr="00472501" w:rsidRDefault="00C42F67" w:rsidP="00F81892">
      <w:pPr>
        <w:pStyle w:val="reference"/>
        <w:spacing w:before="60" w:after="60"/>
        <w:rPr>
          <w:lang w:val="en-GB"/>
        </w:rPr>
      </w:pPr>
      <w:r w:rsidRPr="00903DAA">
        <w:rPr>
          <w:lang w:val="en-GB"/>
        </w:rPr>
        <w:fldChar w:fldCharType="begin"/>
      </w:r>
      <w:r w:rsidR="007E55AA" w:rsidRPr="00903DAA">
        <w:rPr>
          <w:lang w:val="en-GB"/>
        </w:rPr>
        <w:instrText>HYPERLINK "D:\\Spectrum regulation\\CEPT\\ECC PT1_70\\docs\\ECC PT1(22)011_PC resolution ECC Decision (06)13\\ECC Report 266"</w:instrText>
      </w:r>
      <w:r w:rsidRPr="00903DAA">
        <w:rPr>
          <w:lang w:val="en-GB"/>
        </w:rPr>
        <w:fldChar w:fldCharType="separate"/>
      </w:r>
      <w:r w:rsidRPr="00903DAA">
        <w:rPr>
          <w:rStyle w:val="Hyperlink"/>
          <w:lang w:val="en-GB"/>
        </w:rPr>
        <w:t>ECC Report 266</w:t>
      </w:r>
      <w:r w:rsidRPr="00903DAA">
        <w:rPr>
          <w:lang w:val="en-GB"/>
        </w:rPr>
        <w:fldChar w:fldCharType="end"/>
      </w:r>
      <w:r w:rsidR="00EF346B" w:rsidRPr="00903DAA">
        <w:rPr>
          <w:lang w:val="en-GB"/>
        </w:rPr>
        <w:t>:</w:t>
      </w:r>
      <w:r w:rsidR="00EF346B" w:rsidRPr="00472501">
        <w:rPr>
          <w:lang w:val="en-GB"/>
        </w:rPr>
        <w:t xml:space="preserve"> “The suitability of the current ECC regulatory framework for the usage of Wideband and Narrowband M2M in the frequency bands 700 MHz, 800 MHz, 900 MHz, 1800 MHz, 2.1 GHz and 2.6 GHz”, </w:t>
      </w:r>
      <w:r w:rsidR="008308F3" w:rsidRPr="00903DAA">
        <w:rPr>
          <w:lang w:val="en-GB"/>
        </w:rPr>
        <w:t xml:space="preserve">approved </w:t>
      </w:r>
      <w:r w:rsidR="00EF346B" w:rsidRPr="00472501">
        <w:rPr>
          <w:lang w:val="en-GB"/>
        </w:rPr>
        <w:t>June 2017</w:t>
      </w:r>
      <w:bookmarkEnd w:id="43"/>
    </w:p>
    <w:bookmarkStart w:id="44" w:name="_Ref536450699"/>
    <w:p w14:paraId="6F3E46B3" w14:textId="3785B106" w:rsidR="00D12143" w:rsidRPr="00472501" w:rsidRDefault="00C83F5A" w:rsidP="00F81892">
      <w:pPr>
        <w:pStyle w:val="reference"/>
        <w:spacing w:before="60" w:after="60"/>
        <w:rPr>
          <w:lang w:val="en-GB"/>
        </w:rPr>
      </w:pPr>
      <w:r w:rsidRPr="00903DAA">
        <w:rPr>
          <w:rFonts w:cs="Arial"/>
          <w:color w:val="000000"/>
          <w:szCs w:val="20"/>
          <w:lang w:val="en-GB"/>
        </w:rPr>
        <w:fldChar w:fldCharType="begin"/>
      </w:r>
      <w:r w:rsidRPr="00903DAA">
        <w:rPr>
          <w:rFonts w:cs="Arial"/>
          <w:color w:val="000000"/>
          <w:szCs w:val="20"/>
          <w:lang w:val="en-GB"/>
        </w:rPr>
        <w:instrText>HYPERLINK "https://docdb.cept.org/document/1036"</w:instrText>
      </w:r>
      <w:r w:rsidRPr="00903DAA">
        <w:rPr>
          <w:rFonts w:cs="Arial"/>
          <w:color w:val="000000"/>
          <w:szCs w:val="20"/>
          <w:lang w:val="en-GB"/>
        </w:rPr>
        <w:fldChar w:fldCharType="separate"/>
      </w:r>
      <w:r w:rsidRPr="00903DAA">
        <w:rPr>
          <w:rStyle w:val="Hyperlink"/>
          <w:rFonts w:cs="Arial"/>
          <w:szCs w:val="20"/>
          <w:lang w:val="en-GB"/>
        </w:rPr>
        <w:t>CEPT Report 66</w:t>
      </w:r>
      <w:r w:rsidRPr="00903DAA">
        <w:rPr>
          <w:rFonts w:cs="Arial"/>
          <w:color w:val="000000"/>
          <w:szCs w:val="20"/>
          <w:lang w:val="en-GB"/>
        </w:rPr>
        <w:fldChar w:fldCharType="end"/>
      </w:r>
      <w:r w:rsidR="00D12143" w:rsidRPr="00903DAA">
        <w:rPr>
          <w:lang w:val="en-GB"/>
        </w:rPr>
        <w:t>:</w:t>
      </w:r>
      <w:r w:rsidR="00D12143" w:rsidRPr="00472501">
        <w:rPr>
          <w:lang w:val="en-GB"/>
        </w:rPr>
        <w:t xml:space="preserve"> </w:t>
      </w:r>
      <w:r w:rsidR="00D12143" w:rsidRPr="00903DAA">
        <w:rPr>
          <w:rFonts w:cs="Arial"/>
          <w:color w:val="000000"/>
          <w:szCs w:val="20"/>
          <w:lang w:val="en-GB"/>
        </w:rPr>
        <w:t>Report from CEPT to the European Commission in response to the Mandate “to review the harmonised technical conditions for use of the 900 MHz and 1800 MHz frequency bands for terrestrial wireless broadband electronic communications services in support of the Internet of Things in the Union”</w:t>
      </w:r>
      <w:bookmarkEnd w:id="44"/>
      <w:r w:rsidR="008308F3" w:rsidRPr="00903DAA">
        <w:rPr>
          <w:rFonts w:cs="Arial"/>
          <w:color w:val="000000"/>
          <w:szCs w:val="20"/>
          <w:lang w:val="en-GB"/>
        </w:rPr>
        <w:t>,</w:t>
      </w:r>
      <w:r w:rsidR="008308F3" w:rsidRPr="00903DAA">
        <w:rPr>
          <w:lang w:val="en-GB"/>
        </w:rPr>
        <w:t xml:space="preserve"> approved</w:t>
      </w:r>
      <w:r w:rsidR="00E76DBD" w:rsidRPr="00903DAA">
        <w:rPr>
          <w:lang w:val="en-GB"/>
        </w:rPr>
        <w:t xml:space="preserve"> March 2018</w:t>
      </w:r>
    </w:p>
    <w:p w14:paraId="6F3E46B4" w14:textId="77777777" w:rsidR="00D12143" w:rsidRPr="00472501" w:rsidRDefault="00425941" w:rsidP="00F81892">
      <w:pPr>
        <w:pStyle w:val="reference"/>
        <w:spacing w:before="60" w:after="60"/>
        <w:rPr>
          <w:lang w:val="en-GB"/>
        </w:rPr>
      </w:pPr>
      <w:bookmarkStart w:id="45" w:name="_Ref83104749"/>
      <w:r w:rsidRPr="00903DAA">
        <w:rPr>
          <w:lang w:val="en-GB"/>
        </w:rPr>
        <w:t xml:space="preserve">EC </w:t>
      </w:r>
      <w:bookmarkStart w:id="46" w:name="_Ref536450705"/>
      <w:r w:rsidR="00D12143" w:rsidRPr="00903DAA">
        <w:rPr>
          <w:lang w:val="en-GB"/>
        </w:rPr>
        <w:t>Decision 2018/637/EU - amending Decision 2009/766/EC on the harmonisation of the 900 MHz and 1 800 MHz frequency bands for terrestrial systems capable of providing pan-European electronic communications services in the Community as regards relevant technical conditions for the Internet of Things</w:t>
      </w:r>
      <w:bookmarkEnd w:id="45"/>
      <w:bookmarkEnd w:id="46"/>
    </w:p>
    <w:bookmarkStart w:id="47" w:name="_Ref536450961"/>
    <w:p w14:paraId="6F3E46B5" w14:textId="7AB81763" w:rsidR="00D12143" w:rsidRPr="00472501" w:rsidRDefault="00732AE4" w:rsidP="00F81892">
      <w:pPr>
        <w:pStyle w:val="reference"/>
        <w:spacing w:before="60" w:after="60"/>
        <w:rPr>
          <w:lang w:val="en-GB"/>
        </w:rPr>
      </w:pPr>
      <w:r w:rsidRPr="00903DAA">
        <w:rPr>
          <w:lang w:val="en-GB"/>
        </w:rPr>
        <w:fldChar w:fldCharType="begin"/>
      </w:r>
      <w:r w:rsidRPr="00903DAA">
        <w:rPr>
          <w:lang w:val="en-GB"/>
        </w:rPr>
        <w:instrText>HYPERLINK "https://docdb.cept.org/document/9068"</w:instrText>
      </w:r>
      <w:r w:rsidRPr="00903DAA">
        <w:rPr>
          <w:lang w:val="en-GB"/>
        </w:rPr>
        <w:fldChar w:fldCharType="separate"/>
      </w:r>
      <w:r w:rsidRPr="00903DAA">
        <w:rPr>
          <w:rStyle w:val="Hyperlink"/>
          <w:lang w:val="en-GB"/>
        </w:rPr>
        <w:t>ECC Report 297</w:t>
      </w:r>
      <w:r w:rsidRPr="00903DAA">
        <w:rPr>
          <w:lang w:val="en-GB"/>
        </w:rPr>
        <w:fldChar w:fldCharType="end"/>
      </w:r>
      <w:r w:rsidR="00D12143" w:rsidRPr="00903DAA">
        <w:rPr>
          <w:lang w:val="en-GB"/>
        </w:rPr>
        <w:t>:</w:t>
      </w:r>
      <w:r w:rsidR="00D12143" w:rsidRPr="00472501">
        <w:rPr>
          <w:lang w:val="en-GB"/>
        </w:rPr>
        <w:t xml:space="preserve"> “Analysis of the suitability and update of the regulatory technical conditions for 5G MFCN and AAS operation in the 900 MHz and 1800 MHz bands”, </w:t>
      </w:r>
      <w:r w:rsidR="00E76DBD" w:rsidRPr="00903DAA">
        <w:rPr>
          <w:lang w:val="en-GB"/>
        </w:rPr>
        <w:t xml:space="preserve">approved </w:t>
      </w:r>
      <w:r w:rsidR="00D12143" w:rsidRPr="00472501">
        <w:rPr>
          <w:lang w:val="en-GB"/>
        </w:rPr>
        <w:t>March 2019</w:t>
      </w:r>
      <w:bookmarkEnd w:id="47"/>
    </w:p>
    <w:bookmarkStart w:id="48" w:name="_Ref83040042"/>
    <w:p w14:paraId="6AA00CC2" w14:textId="52097B0E" w:rsidR="003B0097" w:rsidRPr="00903DAA" w:rsidRDefault="00A602D1" w:rsidP="00F81892">
      <w:pPr>
        <w:pStyle w:val="reference"/>
        <w:spacing w:before="60" w:after="60"/>
        <w:rPr>
          <w:lang w:val="en-GB"/>
        </w:rPr>
      </w:pPr>
      <w:r w:rsidRPr="00903DAA">
        <w:rPr>
          <w:lang w:val="en-GB"/>
        </w:rPr>
        <w:fldChar w:fldCharType="begin"/>
      </w:r>
      <w:r w:rsidRPr="00903DAA">
        <w:rPr>
          <w:lang w:val="en-GB"/>
        </w:rPr>
        <w:instrText>HYPERLINK "https://docdb.cept.org/document/12367"</w:instrText>
      </w:r>
      <w:r w:rsidRPr="00903DAA">
        <w:rPr>
          <w:lang w:val="en-GB"/>
        </w:rPr>
        <w:fldChar w:fldCharType="separate"/>
      </w:r>
      <w:r w:rsidRPr="00903DAA">
        <w:rPr>
          <w:rStyle w:val="Hyperlink"/>
          <w:lang w:val="en-GB"/>
        </w:rPr>
        <w:t>CEPT Report 72</w:t>
      </w:r>
      <w:r w:rsidRPr="00903DAA">
        <w:rPr>
          <w:lang w:val="en-GB"/>
        </w:rPr>
        <w:fldChar w:fldCharType="end"/>
      </w:r>
      <w:bookmarkEnd w:id="48"/>
      <w:r w:rsidR="00E76DBD" w:rsidRPr="00903DAA">
        <w:rPr>
          <w:lang w:val="en-GB"/>
        </w:rPr>
        <w:t xml:space="preserve">: </w:t>
      </w:r>
      <w:r w:rsidR="00DB4273" w:rsidRPr="00903DAA">
        <w:rPr>
          <w:lang w:val="en-GB"/>
        </w:rPr>
        <w:t xml:space="preserve">Report from CEPT to the European Commission in response to the Mandate “to review the harmonised technical conditions for certain EU-harmonised frequency bands and to develop least restrictive harmonised technical conditions suitable for next-generation (5G) terrestrial wireless systems” Report A: Review of technical conditions in the paired terrestrial 2 GHz and the 2.6 GHz frequency bands, and the usage feasibility of the 900 MHz and 1800 MHz frequency bands”, </w:t>
      </w:r>
      <w:r w:rsidR="001E3AAC" w:rsidRPr="00903DAA">
        <w:rPr>
          <w:lang w:val="en-GB"/>
        </w:rPr>
        <w:t>approved</w:t>
      </w:r>
      <w:r w:rsidR="00F468E4" w:rsidRPr="00903DAA">
        <w:rPr>
          <w:lang w:val="en-GB"/>
        </w:rPr>
        <w:t xml:space="preserve"> July 2016</w:t>
      </w:r>
    </w:p>
    <w:bookmarkStart w:id="49" w:name="_Ref83040054"/>
    <w:p w14:paraId="02CCF634" w14:textId="5AF69D18" w:rsidR="003B0097" w:rsidRPr="00903DAA" w:rsidRDefault="00113027" w:rsidP="00F81892">
      <w:pPr>
        <w:pStyle w:val="reference"/>
        <w:spacing w:before="60" w:after="60"/>
        <w:rPr>
          <w:lang w:val="en-GB"/>
        </w:rPr>
      </w:pPr>
      <w:r w:rsidRPr="00903DAA">
        <w:rPr>
          <w:lang w:val="en-GB"/>
        </w:rPr>
        <w:lastRenderedPageBreak/>
        <w:fldChar w:fldCharType="begin"/>
      </w:r>
      <w:r w:rsidRPr="00903DAA">
        <w:rPr>
          <w:lang w:val="en-GB"/>
        </w:rPr>
        <w:instrText>HYPERLINK "https://docdb.cept.org/document/19385"</w:instrText>
      </w:r>
      <w:r w:rsidRPr="00903DAA">
        <w:rPr>
          <w:lang w:val="en-GB"/>
        </w:rPr>
        <w:fldChar w:fldCharType="separate"/>
      </w:r>
      <w:r w:rsidRPr="00903DAA">
        <w:rPr>
          <w:rStyle w:val="Hyperlink"/>
          <w:lang w:val="en-GB"/>
        </w:rPr>
        <w:t>CEPT Report 80</w:t>
      </w:r>
      <w:r w:rsidRPr="00903DAA">
        <w:rPr>
          <w:lang w:val="en-GB"/>
        </w:rPr>
        <w:fldChar w:fldCharType="end"/>
      </w:r>
      <w:bookmarkEnd w:id="49"/>
      <w:r w:rsidR="001E3AAC" w:rsidRPr="00903DAA">
        <w:rPr>
          <w:lang w:val="en-GB"/>
        </w:rPr>
        <w:t>: “Report from CEPT to the European Commission in response to the Mandate “to review the harmonised technical conditions for certain EU-harmonised frequency bands and to develop least restrictive harmonised technical conditions suitable for next-generation (5G) terrestrial wireless systems” Report B: Channelling arrangements and least restrictive technical conditions suitable for ECS including 5G terrestrial wireless systems in the 900 MHz and 1800 MHz frequency bands, in compliance with the principles of technology and service neutrality”, approved</w:t>
      </w:r>
      <w:r w:rsidR="00A144B3" w:rsidRPr="00903DAA">
        <w:rPr>
          <w:lang w:val="en-GB"/>
        </w:rPr>
        <w:t xml:space="preserve"> July 2021</w:t>
      </w:r>
    </w:p>
    <w:p w14:paraId="6F3E46B6" w14:textId="77777777" w:rsidR="00D12143" w:rsidRPr="00472501" w:rsidRDefault="00425941" w:rsidP="00F81892">
      <w:pPr>
        <w:pStyle w:val="reference"/>
        <w:spacing w:before="60" w:after="60"/>
        <w:rPr>
          <w:lang w:val="en-GB"/>
        </w:rPr>
      </w:pPr>
      <w:bookmarkStart w:id="50" w:name="_Ref536451054"/>
      <w:r w:rsidRPr="00472501">
        <w:rPr>
          <w:lang w:val="en-GB"/>
        </w:rPr>
        <w:t xml:space="preserve">EC </w:t>
      </w:r>
      <w:r w:rsidR="00D12143" w:rsidRPr="00472501">
        <w:rPr>
          <w:lang w:val="en-GB"/>
        </w:rPr>
        <w:t>Decision 2009/766/EC</w:t>
      </w:r>
      <w:bookmarkEnd w:id="50"/>
      <w:r w:rsidRPr="00472501">
        <w:rPr>
          <w:lang w:val="en-GB"/>
        </w:rPr>
        <w:t>: Commission Decision of 16 October 2009 on the harmonisation of the 900 MHz and 1800 MHz frequency bands for terrestrial systems capable of providing pan-European electronic communications services in the Community</w:t>
      </w:r>
    </w:p>
    <w:p w14:paraId="6F3E46B7" w14:textId="77777777" w:rsidR="00D12143" w:rsidRDefault="00425941" w:rsidP="00AF399C">
      <w:pPr>
        <w:pStyle w:val="reference"/>
        <w:spacing w:before="60" w:after="60"/>
        <w:rPr>
          <w:lang w:val="en-GB"/>
        </w:rPr>
      </w:pPr>
      <w:bookmarkStart w:id="51" w:name="_Ref536451062"/>
      <w:r w:rsidRPr="00472501">
        <w:rPr>
          <w:lang w:val="en-GB"/>
        </w:rPr>
        <w:t xml:space="preserve">EC Decision </w:t>
      </w:r>
      <w:r w:rsidR="00D12143" w:rsidRPr="00472501">
        <w:rPr>
          <w:lang w:val="en-GB"/>
        </w:rPr>
        <w:t>2011/251/EU</w:t>
      </w:r>
      <w:bookmarkEnd w:id="51"/>
      <w:r w:rsidRPr="00472501">
        <w:rPr>
          <w:lang w:val="en-GB"/>
        </w:rPr>
        <w:t>: Commission Implementing Decision of 18 April 2011 amending Decision 2009/766/EC on the harmonisation of the 900 MHz and 1800 MHz frequency bands for terrestrial systems capable of providing pan-European electronic communications services in the Community</w:t>
      </w:r>
    </w:p>
    <w:p w14:paraId="43688676" w14:textId="6A549D0E" w:rsidR="008265A5" w:rsidRPr="00472501" w:rsidRDefault="008265A5" w:rsidP="00F81892">
      <w:pPr>
        <w:pStyle w:val="reference"/>
        <w:spacing w:before="60" w:after="60"/>
        <w:rPr>
          <w:lang w:val="en-GB"/>
        </w:rPr>
      </w:pPr>
      <w:bookmarkStart w:id="52" w:name="_Ref97729198"/>
      <w:r>
        <w:rPr>
          <w:lang w:val="en-GB"/>
        </w:rPr>
        <w:t xml:space="preserve">EC Decision (EU) 2022/173: </w:t>
      </w:r>
      <w:r w:rsidR="000E3E5B">
        <w:t>Commission Implementing Decision (EU) 2022/173 of 7 February 2022 on the harmonisation of the 900 MHz and 1800 MHz frequency bands for terrestrial systems capable of providing electronic communications services in the Union and repealing Decision 2009/766/EC</w:t>
      </w:r>
      <w:bookmarkEnd w:id="52"/>
    </w:p>
    <w:p w14:paraId="6F3E46B8" w14:textId="77777777" w:rsidR="00425941" w:rsidRPr="00472501" w:rsidRDefault="00425941" w:rsidP="00F81892">
      <w:pPr>
        <w:pStyle w:val="reference"/>
        <w:spacing w:before="60" w:after="60"/>
        <w:rPr>
          <w:lang w:val="en-GB"/>
        </w:rPr>
      </w:pPr>
      <w:bookmarkStart w:id="53" w:name="_Ref536451687"/>
      <w:r w:rsidRPr="00472501">
        <w:rPr>
          <w:lang w:val="en-GB"/>
        </w:rPr>
        <w:t>Resolution ITU-R 56: “Naming for International Mobile Telecommunications”</w:t>
      </w:r>
      <w:bookmarkEnd w:id="53"/>
    </w:p>
    <w:p w14:paraId="6F3E46B9" w14:textId="77777777" w:rsidR="00425941" w:rsidRPr="00472501" w:rsidRDefault="00425941" w:rsidP="00F81892">
      <w:pPr>
        <w:pStyle w:val="reference"/>
        <w:spacing w:before="60" w:after="60"/>
        <w:rPr>
          <w:lang w:val="en-GB"/>
        </w:rPr>
      </w:pPr>
      <w:bookmarkStart w:id="54" w:name="_Ref536451693"/>
      <w:r w:rsidRPr="00472501">
        <w:rPr>
          <w:lang w:val="en-GB"/>
        </w:rPr>
        <w:t>Recommendation ITU-R M.1457-13: “Detailed specifications of the terrestrial radio interfaces of International Mobile Telecommunications-2000 (IMT-2000)”</w:t>
      </w:r>
      <w:bookmarkEnd w:id="54"/>
    </w:p>
    <w:p w14:paraId="6F3E46BA" w14:textId="547FBB8A" w:rsidR="00425941" w:rsidRPr="00472501" w:rsidRDefault="00425941" w:rsidP="00F81892">
      <w:pPr>
        <w:pStyle w:val="reference"/>
        <w:spacing w:before="60" w:after="60"/>
        <w:rPr>
          <w:lang w:val="en-GB"/>
        </w:rPr>
      </w:pPr>
      <w:bookmarkStart w:id="55" w:name="_Ref536451700"/>
      <w:r w:rsidRPr="00472501">
        <w:rPr>
          <w:lang w:val="en-GB"/>
        </w:rPr>
        <w:t>Recommendation ITU-R M.2012-3: “Detailed specifications of the terrestrial radio interfaces of International Mobile Telecommunications Advanced (IMT-Advanced)”</w:t>
      </w:r>
      <w:bookmarkEnd w:id="55"/>
    </w:p>
    <w:p w14:paraId="434A7B65" w14:textId="566722B9" w:rsidR="005D6369" w:rsidRPr="00903DAA" w:rsidRDefault="005D6369" w:rsidP="00F81892">
      <w:pPr>
        <w:pStyle w:val="reference"/>
        <w:spacing w:before="60" w:after="60"/>
        <w:rPr>
          <w:lang w:val="en-GB"/>
        </w:rPr>
      </w:pPr>
      <w:bookmarkStart w:id="56" w:name="_Ref83040407"/>
      <w:r w:rsidRPr="00903DAA">
        <w:rPr>
          <w:lang w:val="en-GB"/>
        </w:rPr>
        <w:t>Recommendation ITU-R M.2150</w:t>
      </w:r>
      <w:bookmarkEnd w:id="56"/>
      <w:r w:rsidR="007B0D75" w:rsidRPr="00903DAA">
        <w:rPr>
          <w:lang w:val="en-GB"/>
        </w:rPr>
        <w:t>: “Detailed specifications of the terrestrial radio interfaces of International Mobile Telecommunications-2020 (IMT-2020)”</w:t>
      </w:r>
    </w:p>
    <w:p w14:paraId="6F3E46BB" w14:textId="77777777" w:rsidR="00425941" w:rsidRPr="00472501" w:rsidRDefault="00425941" w:rsidP="00F81892">
      <w:pPr>
        <w:pStyle w:val="reference"/>
        <w:spacing w:before="60" w:after="60"/>
        <w:rPr>
          <w:lang w:val="en-GB"/>
        </w:rPr>
      </w:pPr>
      <w:bookmarkStart w:id="57" w:name="_Ref536452036"/>
      <w:r w:rsidRPr="00472501">
        <w:rPr>
          <w:lang w:val="en-GB"/>
        </w:rPr>
        <w:t>ETSI EN 301 908-1 V11.1.1: “IMT cellular networks; Harmonised Standard covering the essential requirements of article 3.2 of the Directive 2014/53/EU; Part 1: Introduction and common requirements”</w:t>
      </w:r>
      <w:bookmarkEnd w:id="57"/>
    </w:p>
    <w:p w14:paraId="6F3E46BE" w14:textId="7FDBF7A9" w:rsidR="00267423" w:rsidRPr="00472501" w:rsidRDefault="00EF346B" w:rsidP="00F81892">
      <w:pPr>
        <w:pStyle w:val="reference"/>
        <w:spacing w:before="60" w:after="60"/>
        <w:rPr>
          <w:lang w:val="en-GB"/>
        </w:rPr>
      </w:pPr>
      <w:bookmarkStart w:id="58" w:name="_Ref503801869"/>
      <w:bookmarkStart w:id="59" w:name="_Ref83042567"/>
      <w:r w:rsidRPr="00472501">
        <w:rPr>
          <w:lang w:val="en-GB"/>
        </w:rPr>
        <w:t>ETSI EN 301 502 V</w:t>
      </w:r>
      <w:r w:rsidR="00901F83" w:rsidRPr="00472501">
        <w:rPr>
          <w:lang w:val="en-GB"/>
        </w:rPr>
        <w:t>12.5.2</w:t>
      </w:r>
      <w:r w:rsidRPr="00472501">
        <w:rPr>
          <w:lang w:val="en-GB"/>
        </w:rPr>
        <w:t>: “Global System for Mobile communications (GSM); Harmonized EN for Base Station Equipment covering the essential requirements of article 3.2 of the R&amp;TTE Directive</w:t>
      </w:r>
      <w:bookmarkEnd w:id="58"/>
      <w:r w:rsidRPr="00472501">
        <w:rPr>
          <w:lang w:val="en-GB"/>
        </w:rPr>
        <w:t>”</w:t>
      </w:r>
      <w:bookmarkEnd w:id="59"/>
    </w:p>
    <w:p w14:paraId="6F3E46BF" w14:textId="34B8FD37" w:rsidR="00267423" w:rsidRPr="00472501" w:rsidRDefault="00EF346B" w:rsidP="00F81892">
      <w:pPr>
        <w:pStyle w:val="reference"/>
        <w:spacing w:before="60" w:after="60"/>
        <w:rPr>
          <w:lang w:val="en-GB"/>
        </w:rPr>
      </w:pPr>
      <w:bookmarkStart w:id="60" w:name="_Ref503801874"/>
      <w:bookmarkStart w:id="61" w:name="_Ref83042574"/>
      <w:r w:rsidRPr="00472501">
        <w:rPr>
          <w:lang w:val="en-GB"/>
        </w:rPr>
        <w:t>ETSI EN 301 511 V 12.5.1: “Global System for Mobile communications (GSM); Mobile Stations (MS) equipment; Harmonised Standard covering the essential requirements of article 3.2 of Directive 2014/53/EU</w:t>
      </w:r>
      <w:bookmarkEnd w:id="60"/>
      <w:r w:rsidRPr="00472501">
        <w:rPr>
          <w:lang w:val="en-GB"/>
        </w:rPr>
        <w:t>”</w:t>
      </w:r>
      <w:bookmarkEnd w:id="61"/>
    </w:p>
    <w:p w14:paraId="6F3E46C0" w14:textId="4EE68B52" w:rsidR="00267423" w:rsidRPr="00472501" w:rsidRDefault="00EF346B" w:rsidP="00F81892">
      <w:pPr>
        <w:pStyle w:val="reference"/>
        <w:spacing w:before="60" w:after="60"/>
        <w:rPr>
          <w:lang w:val="en-GB"/>
        </w:rPr>
      </w:pPr>
      <w:bookmarkStart w:id="62" w:name="_Ref503801879"/>
      <w:bookmarkStart w:id="63" w:name="_Ref534301812"/>
      <w:r w:rsidRPr="00472501">
        <w:rPr>
          <w:lang w:val="en-GB"/>
        </w:rPr>
        <w:t>ETSI EN 301 908-18: “IMT cellular networks; Harmonized EN covering the essential requirements of article 3.2 of the Radio Equipment Directive 2014/53/EU; Part 18: E-UTRA, UTRA and GSM/EDGE Multi-Standard Radio (MSR) Base Station (BS)</w:t>
      </w:r>
      <w:bookmarkEnd w:id="62"/>
      <w:r w:rsidRPr="00472501">
        <w:rPr>
          <w:lang w:val="en-GB"/>
        </w:rPr>
        <w:t>”</w:t>
      </w:r>
      <w:bookmarkEnd w:id="63"/>
    </w:p>
    <w:bookmarkStart w:id="64" w:name="_Ref83044877"/>
    <w:bookmarkStart w:id="65" w:name="_Ref83043255"/>
    <w:p w14:paraId="6EA019B9" w14:textId="6F6E2026" w:rsidR="00091430" w:rsidRPr="00903DAA" w:rsidRDefault="00236B8F" w:rsidP="00F81892">
      <w:pPr>
        <w:pStyle w:val="reference"/>
        <w:spacing w:before="60" w:after="60"/>
        <w:rPr>
          <w:lang w:val="en-GB"/>
        </w:rPr>
      </w:pPr>
      <w:r w:rsidRPr="00903DAA">
        <w:rPr>
          <w:lang w:val="en-GB"/>
        </w:rPr>
        <w:fldChar w:fldCharType="begin"/>
      </w:r>
      <w:r w:rsidRPr="00903DAA">
        <w:rPr>
          <w:lang w:val="en-GB"/>
        </w:rPr>
        <w:instrText>HYPERLINK "https://docdb.cept.org/document/335"</w:instrText>
      </w:r>
      <w:r w:rsidRPr="00903DAA">
        <w:rPr>
          <w:lang w:val="en-GB"/>
        </w:rPr>
        <w:fldChar w:fldCharType="separate"/>
      </w:r>
      <w:r w:rsidRPr="00903DAA">
        <w:rPr>
          <w:rStyle w:val="Hyperlink"/>
          <w:lang w:val="en-GB"/>
        </w:rPr>
        <w:t>ECC Report 229</w:t>
      </w:r>
      <w:r w:rsidRPr="00903DAA">
        <w:rPr>
          <w:lang w:val="en-GB"/>
        </w:rPr>
        <w:fldChar w:fldCharType="end"/>
      </w:r>
      <w:bookmarkEnd w:id="64"/>
      <w:r w:rsidR="00F03494" w:rsidRPr="00903DAA">
        <w:rPr>
          <w:lang w:val="en-GB"/>
        </w:rPr>
        <w:t xml:space="preserve">: “Guidance for improving coexistence between GSM-R and MFCN in the 900 MHz band”, approved </w:t>
      </w:r>
      <w:r w:rsidR="00D75FEC" w:rsidRPr="00903DAA">
        <w:rPr>
          <w:lang w:val="en-GB"/>
        </w:rPr>
        <w:t>May 2015</w:t>
      </w:r>
    </w:p>
    <w:bookmarkStart w:id="66" w:name="_Ref97729241"/>
    <w:p w14:paraId="55F9F967" w14:textId="40B174DF" w:rsidR="0034367F" w:rsidRPr="00903DAA" w:rsidRDefault="0024721E" w:rsidP="00F81892">
      <w:pPr>
        <w:pStyle w:val="reference"/>
        <w:spacing w:before="60" w:after="60"/>
        <w:rPr>
          <w:lang w:val="en-GB"/>
        </w:rPr>
      </w:pPr>
      <w:r>
        <w:fldChar w:fldCharType="begin"/>
      </w:r>
      <w:r>
        <w:instrText xml:space="preserve"> HYPERLINK "https://docdb.cept.org/document/1001" </w:instrText>
      </w:r>
      <w:r>
        <w:fldChar w:fldCharType="separate"/>
      </w:r>
      <w:r w:rsidR="000D46A4" w:rsidRPr="00903DAA">
        <w:rPr>
          <w:rStyle w:val="Hyperlink"/>
          <w:rFonts w:cs="Arial"/>
          <w:szCs w:val="20"/>
          <w:lang w:val="en-GB"/>
        </w:rPr>
        <w:t>ERC Recommendation 74-01</w:t>
      </w:r>
      <w:r>
        <w:rPr>
          <w:rStyle w:val="Hyperlink"/>
          <w:rFonts w:cs="Arial"/>
          <w:szCs w:val="20"/>
          <w:lang w:val="en-GB"/>
        </w:rPr>
        <w:fldChar w:fldCharType="end"/>
      </w:r>
      <w:r w:rsidR="000D46A4" w:rsidRPr="00903DAA">
        <w:rPr>
          <w:rFonts w:cs="Arial"/>
          <w:szCs w:val="20"/>
          <w:lang w:val="en-GB"/>
        </w:rPr>
        <w:t xml:space="preserve"> </w:t>
      </w:r>
      <w:r w:rsidR="0034367F" w:rsidRPr="00903DAA">
        <w:rPr>
          <w:lang w:val="en-GB"/>
        </w:rPr>
        <w:t>: “Unwanted emissions in the spurious domain”</w:t>
      </w:r>
      <w:r w:rsidR="00BB0796" w:rsidRPr="00903DAA">
        <w:rPr>
          <w:lang w:val="en-GB"/>
        </w:rPr>
        <w:t xml:space="preserve">, </w:t>
      </w:r>
      <w:r w:rsidR="00CE2BE8" w:rsidRPr="00903DAA">
        <w:rPr>
          <w:lang w:val="en-GB"/>
        </w:rPr>
        <w:t xml:space="preserve">approved 1998, </w:t>
      </w:r>
      <w:r w:rsidR="00BB0796" w:rsidRPr="00903DAA">
        <w:rPr>
          <w:lang w:val="en-GB"/>
        </w:rPr>
        <w:t>amended May 2019</w:t>
      </w:r>
      <w:bookmarkEnd w:id="65"/>
      <w:r w:rsidR="000D46A4" w:rsidRPr="00903DAA">
        <w:rPr>
          <w:lang w:val="en-GB"/>
        </w:rPr>
        <w:t xml:space="preserve">, updated </w:t>
      </w:r>
      <w:r w:rsidR="00B460B2" w:rsidRPr="00903DAA">
        <w:rPr>
          <w:lang w:val="en-GB"/>
        </w:rPr>
        <w:t>October 2021</w:t>
      </w:r>
      <w:bookmarkEnd w:id="66"/>
    </w:p>
    <w:p w14:paraId="7AFC8C72" w14:textId="77777777" w:rsidR="00ED2E3D" w:rsidRPr="00472501" w:rsidRDefault="00ED2E3D" w:rsidP="00F81892">
      <w:pPr>
        <w:pStyle w:val="reference"/>
        <w:spacing w:before="60" w:after="60"/>
        <w:rPr>
          <w:lang w:val="en-GB"/>
        </w:rPr>
      </w:pPr>
      <w:bookmarkStart w:id="67" w:name="_Ref503801854"/>
      <w:r w:rsidRPr="00903DAA">
        <w:rPr>
          <w:lang w:val="en-GB"/>
        </w:rPr>
        <w:t>Directive 2014/53/EU of the European Parliament and of the Council of 16 April 2014 on the harmonisation of the laws of the Member States relating to the making available on the market of radio equipment and repealing Directive 1999/5/EC</w:t>
      </w:r>
      <w:bookmarkEnd w:id="67"/>
    </w:p>
    <w:p w14:paraId="1AB0C07D" w14:textId="77777777" w:rsidR="00ED2E3D" w:rsidRPr="00903DAA" w:rsidRDefault="00ED2E3D" w:rsidP="0071354C">
      <w:pPr>
        <w:pStyle w:val="reference"/>
        <w:numPr>
          <w:ilvl w:val="0"/>
          <w:numId w:val="0"/>
        </w:numPr>
        <w:ind w:left="397"/>
        <w:rPr>
          <w:lang w:val="en-GB"/>
        </w:rPr>
      </w:pPr>
    </w:p>
    <w:p w14:paraId="6F3E46CD" w14:textId="3F00A5C0" w:rsidR="00267423" w:rsidRPr="00472501" w:rsidRDefault="00267423" w:rsidP="00472501">
      <w:pPr>
        <w:pStyle w:val="reference"/>
        <w:numPr>
          <w:ilvl w:val="0"/>
          <w:numId w:val="0"/>
        </w:numPr>
        <w:ind w:left="397"/>
        <w:rPr>
          <w:lang w:val="en-GB"/>
        </w:rPr>
      </w:pPr>
    </w:p>
    <w:sectPr w:rsidR="00267423" w:rsidRPr="00472501">
      <w:headerReference w:type="even" r:id="rId14"/>
      <w:headerReference w:type="default" r:id="rId15"/>
      <w:headerReference w:type="first" r:id="rId16"/>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9B4D0" w14:textId="77777777" w:rsidR="008F39FA" w:rsidRDefault="008F39FA">
      <w:r>
        <w:separator/>
      </w:r>
    </w:p>
  </w:endnote>
  <w:endnote w:type="continuationSeparator" w:id="0">
    <w:p w14:paraId="2659B9F4" w14:textId="77777777" w:rsidR="008F39FA" w:rsidRDefault="008F39FA">
      <w:r>
        <w:continuationSeparator/>
      </w:r>
    </w:p>
  </w:endnote>
  <w:endnote w:type="continuationNotice" w:id="1">
    <w:p w14:paraId="2D75214E" w14:textId="77777777" w:rsidR="008F39FA" w:rsidRDefault="008F39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59"/>
    <w:family w:val="auto"/>
    <w:pitch w:val="variable"/>
    <w:sig w:usb0="00000201" w:usb1="00000000" w:usb2="00000000" w:usb3="00000000" w:csb0="00000004"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4CBE1" w14:textId="77777777" w:rsidR="008F39FA" w:rsidRDefault="008F39FA">
      <w:r>
        <w:separator/>
      </w:r>
    </w:p>
  </w:footnote>
  <w:footnote w:type="continuationSeparator" w:id="0">
    <w:p w14:paraId="4C951087" w14:textId="77777777" w:rsidR="008F39FA" w:rsidRDefault="008F39FA">
      <w:r>
        <w:continuationSeparator/>
      </w:r>
    </w:p>
  </w:footnote>
  <w:footnote w:type="continuationNotice" w:id="1">
    <w:p w14:paraId="7ED34EF3" w14:textId="77777777" w:rsidR="008F39FA" w:rsidRDefault="008F39FA"/>
  </w:footnote>
  <w:footnote w:id="2">
    <w:p w14:paraId="6F3E46E0" w14:textId="2AFDDABF" w:rsidR="0054159B" w:rsidRPr="00A02A38" w:rsidRDefault="0054159B" w:rsidP="00A02A38">
      <w:pPr>
        <w:pStyle w:val="Footer"/>
      </w:pPr>
      <w:r>
        <w:rPr>
          <w:rStyle w:val="FootnoteReference"/>
        </w:rPr>
        <w:footnoteRef/>
      </w:r>
      <w:r>
        <w:t xml:space="preserve"> </w:t>
      </w:r>
      <w:r>
        <w:rPr>
          <w:rFonts w:cs="Arial"/>
        </w:rPr>
        <w:t xml:space="preserve">Comparable technical specifications to those given in this ECC Decision are given in Commission </w:t>
      </w:r>
      <w:r w:rsidR="00D73248">
        <w:rPr>
          <w:rFonts w:cs="Arial"/>
        </w:rPr>
        <w:t xml:space="preserve">Implementing </w:t>
      </w:r>
      <w:r>
        <w:rPr>
          <w:rFonts w:cs="Arial"/>
        </w:rPr>
        <w:t xml:space="preserve">Decision </w:t>
      </w:r>
      <w:r w:rsidR="00C70208">
        <w:rPr>
          <w:rFonts w:cs="Arial"/>
        </w:rPr>
        <w:t>(</w:t>
      </w:r>
      <w:r w:rsidR="00D73248">
        <w:rPr>
          <w:rFonts w:cs="Arial"/>
        </w:rPr>
        <w:t>EU) 2022/173</w:t>
      </w:r>
      <w:r>
        <w:rPr>
          <w:rFonts w:cs="Arial"/>
        </w:rPr>
        <w:t xml:space="preserve"> </w:t>
      </w:r>
      <w:r w:rsidR="00D00E65">
        <w:rPr>
          <w:rFonts w:cs="Arial"/>
        </w:rPr>
        <w:fldChar w:fldCharType="begin"/>
      </w:r>
      <w:r w:rsidR="00D00E65">
        <w:rPr>
          <w:rFonts w:cs="Arial"/>
        </w:rPr>
        <w:instrText xml:space="preserve"> REF _Ref97729198 \r \h </w:instrText>
      </w:r>
      <w:r w:rsidR="00D00E65">
        <w:rPr>
          <w:rFonts w:cs="Arial"/>
        </w:rPr>
      </w:r>
      <w:r w:rsidR="00D00E65">
        <w:rPr>
          <w:rFonts w:cs="Arial"/>
        </w:rPr>
        <w:fldChar w:fldCharType="separate"/>
      </w:r>
      <w:r w:rsidR="00D00E65">
        <w:rPr>
          <w:rFonts w:cs="Arial"/>
        </w:rPr>
        <w:t>[22]</w:t>
      </w:r>
      <w:r w:rsidR="00D00E65">
        <w:rPr>
          <w:rFonts w:cs="Arial"/>
        </w:rPr>
        <w:fldChar w:fldCharType="end"/>
      </w:r>
      <w:r>
        <w:rPr>
          <w:rFonts w:cs="Arial"/>
        </w:rPr>
        <w:t xml:space="preserve">. EU Member States and, if </w:t>
      </w:r>
      <w:proofErr w:type="gramStart"/>
      <w:r>
        <w:rPr>
          <w:rFonts w:cs="Arial"/>
        </w:rPr>
        <w:t>so</w:t>
      </w:r>
      <w:proofErr w:type="gramEnd"/>
      <w:r>
        <w:rPr>
          <w:rFonts w:cs="Arial"/>
        </w:rPr>
        <w:t xml:space="preserve"> approved by the EEA Joint Committee, Iceland, Liechtenstein and Norway are obliged to implement the EC Decision.</w:t>
      </w:r>
    </w:p>
  </w:footnote>
  <w:footnote w:id="3">
    <w:p w14:paraId="6F3E46E1" w14:textId="77777777" w:rsidR="0054159B" w:rsidRDefault="0054159B">
      <w:pPr>
        <w:pStyle w:val="FootnoteText"/>
        <w:rPr>
          <w:rFonts w:eastAsia="Calibri"/>
          <w:sz w:val="16"/>
          <w:szCs w:val="16"/>
        </w:rPr>
      </w:pPr>
      <w:r>
        <w:rPr>
          <w:rStyle w:val="FootnoteReference"/>
          <w:rFonts w:cs="Arial"/>
          <w:sz w:val="16"/>
          <w:szCs w:val="16"/>
        </w:rPr>
        <w:footnoteRef/>
      </w:r>
      <w:r>
        <w:t xml:space="preserve"> </w:t>
      </w:r>
      <w:r>
        <w:rPr>
          <w:rFonts w:cs="Arial"/>
          <w:sz w:val="16"/>
        </w:rPr>
        <w:t>In 3GPP terms, LTE-MTC corresponds to LTE Cat-1 or LTE Cat-0 and LTE-eMTC corresponds to LTE Cat-M1.</w:t>
      </w:r>
    </w:p>
  </w:footnote>
  <w:footnote w:id="4">
    <w:p w14:paraId="6F3E46E3" w14:textId="77777777" w:rsidR="0054159B" w:rsidRDefault="0054159B">
      <w:pPr>
        <w:pStyle w:val="FootnoteText"/>
        <w:rPr>
          <w:rFonts w:cs="Arial"/>
          <w:sz w:val="16"/>
          <w:szCs w:val="16"/>
          <w:lang w:val="en-GB"/>
        </w:rPr>
      </w:pPr>
      <w:r>
        <w:rPr>
          <w:rStyle w:val="FootnoteReference"/>
          <w:rFonts w:cs="Arial"/>
          <w:sz w:val="16"/>
          <w:szCs w:val="16"/>
        </w:rPr>
        <w:footnoteRef/>
      </w:r>
      <w:r>
        <w:rPr>
          <w:rFonts w:cs="Arial"/>
          <w:sz w:val="16"/>
          <w:szCs w:val="16"/>
        </w:rPr>
        <w:t xml:space="preserve"> This paragraph is Article 12.1.2 of the ECC Rules of Procedure, edition 13, Vilnius, 2 November 2012. </w:t>
      </w:r>
    </w:p>
  </w:footnote>
  <w:footnote w:id="5">
    <w:p w14:paraId="7CE7709D" w14:textId="77777777" w:rsidR="0054159B" w:rsidRDefault="0054159B" w:rsidP="003F1082">
      <w:pPr>
        <w:pStyle w:val="FootnoteText"/>
        <w:rPr>
          <w:rFonts w:cs="Arial"/>
          <w:sz w:val="16"/>
          <w:szCs w:val="16"/>
        </w:rPr>
      </w:pPr>
      <w:r w:rsidRPr="00C94B21">
        <w:rPr>
          <w:rStyle w:val="FootnoteReference"/>
          <w:rFonts w:cs="Arial"/>
          <w:sz w:val="16"/>
          <w:szCs w:val="16"/>
        </w:rPr>
        <w:footnoteRef/>
      </w:r>
      <w:r w:rsidRPr="00C94B21">
        <w:rPr>
          <w:rFonts w:cs="Arial"/>
          <w:sz w:val="16"/>
          <w:szCs w:val="16"/>
        </w:rPr>
        <w:t xml:space="preserve"> See section 3 of the Explanatory Memorandum.</w:t>
      </w:r>
    </w:p>
  </w:footnote>
  <w:footnote w:id="6">
    <w:p w14:paraId="555989F7" w14:textId="77777777" w:rsidR="0054159B" w:rsidRPr="0054159B" w:rsidRDefault="0054159B" w:rsidP="008E0146">
      <w:pPr>
        <w:pStyle w:val="ECCFootnote"/>
      </w:pPr>
      <w:r w:rsidRPr="008437D5">
        <w:rPr>
          <w:rStyle w:val="FootnoteReference"/>
        </w:rPr>
        <w:footnoteRef/>
      </w:r>
      <w:r w:rsidRPr="008437D5">
        <w:t xml:space="preserve"> The 880-915 MHz range or portions thereof can be used for uplink-only operation without paired spectrum within the 925-960 MHz </w:t>
      </w:r>
      <w:r w:rsidRPr="0054159B">
        <w:t>range;</w:t>
      </w:r>
      <w:r w:rsidRPr="0054159B">
        <w:br/>
        <w:t>the 925-960 MHz range or portions thereof, can be used for downlink-only operation without paired spectrum within the 880-915 MHz range.</w:t>
      </w:r>
    </w:p>
  </w:footnote>
  <w:footnote w:id="7">
    <w:p w14:paraId="670E9D2C" w14:textId="06364F12" w:rsidR="0054159B" w:rsidRDefault="0054159B" w:rsidP="008E0146">
      <w:pPr>
        <w:pStyle w:val="ECCFootnote"/>
      </w:pPr>
      <w:r w:rsidRPr="0054159B">
        <w:rPr>
          <w:rStyle w:val="FootnoteReference"/>
        </w:rPr>
        <w:footnoteRef/>
      </w:r>
      <w:r w:rsidRPr="0054159B">
        <w:t xml:space="preserve"> The 1710-1785 MHz range or portions thereof, can be used for uplink-only operation without paired spectrum within the 1805-1880 MHz range;</w:t>
      </w:r>
      <w:r w:rsidRPr="0054159B">
        <w:br/>
        <w:t>the 1805-1880 MHz range or portions thereof, can be used for downlink-only operation without paired spectrum within the 1710-1785 MHz range.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E46D6" w14:textId="1ACADA56" w:rsidR="0054159B" w:rsidRPr="00791843" w:rsidRDefault="0054159B">
    <w:pPr>
      <w:pStyle w:val="Header"/>
      <w:rPr>
        <w:lang w:val="en-GB"/>
      </w:rPr>
    </w:pPr>
    <w:r w:rsidRPr="00791843">
      <w:rPr>
        <w:lang w:val="en-GB"/>
      </w:rPr>
      <w:t xml:space="preserve">ECC/DEC/(06)13 Page </w:t>
    </w:r>
    <w:r>
      <w:fldChar w:fldCharType="begin"/>
    </w:r>
    <w:r>
      <w:instrText xml:space="preserve"> PAGE  \* Arabic  \* MERGEFORMAT </w:instrText>
    </w:r>
    <w:r>
      <w:fldChar w:fldCharType="separate"/>
    </w:r>
    <w:r w:rsidR="00025EB4" w:rsidRPr="00025EB4">
      <w:rPr>
        <w:noProof/>
        <w:szCs w:val="16"/>
        <w:lang w:val="en-GB"/>
      </w:rPr>
      <w:t>16</w:t>
    </w:r>
    <w:r>
      <w:rPr>
        <w:noProof/>
        <w:szCs w:val="16"/>
        <w:lang w:val="da-DK"/>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E46D7" w14:textId="28312478" w:rsidR="0054159B" w:rsidRPr="00791843" w:rsidRDefault="0054159B">
    <w:pPr>
      <w:pStyle w:val="Header"/>
      <w:jc w:val="right"/>
      <w:rPr>
        <w:lang w:val="en-GB"/>
      </w:rPr>
    </w:pPr>
    <w:r w:rsidRPr="00791843">
      <w:rPr>
        <w:lang w:val="en-GB"/>
      </w:rPr>
      <w:t>ECC/DEC/</w:t>
    </w:r>
    <w:r>
      <w:rPr>
        <w:lang w:val="en-GB"/>
      </w:rPr>
      <w:t>(</w:t>
    </w:r>
    <w:r w:rsidRPr="00791843">
      <w:rPr>
        <w:lang w:val="en-GB"/>
      </w:rPr>
      <w:t xml:space="preserve">06)13 Page </w:t>
    </w:r>
    <w:r>
      <w:fldChar w:fldCharType="begin"/>
    </w:r>
    <w:r>
      <w:instrText xml:space="preserve"> PAGE  \* Arabic  \* MERGEFORMAT </w:instrText>
    </w:r>
    <w:r>
      <w:fldChar w:fldCharType="separate"/>
    </w:r>
    <w:r w:rsidR="00025EB4" w:rsidRPr="00025EB4">
      <w:rPr>
        <w:noProof/>
        <w:szCs w:val="16"/>
        <w:lang w:val="en-GB"/>
      </w:rPr>
      <w:t>15</w:t>
    </w:r>
    <w:r>
      <w:rPr>
        <w:noProof/>
        <w:szCs w:val="16"/>
        <w:lang w:val="da-D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E46D8" w14:textId="0BC8642F" w:rsidR="0054159B" w:rsidRDefault="0054159B">
    <w:pPr>
      <w:pStyle w:val="Header"/>
    </w:pPr>
    <w:r w:rsidRPr="007E55AA">
      <w:rPr>
        <w:noProof/>
        <w:lang w:eastAsia="zh-CN"/>
      </w:rPr>
      <w:drawing>
        <wp:anchor distT="0" distB="0" distL="114300" distR="114300" simplePos="0" relativeHeight="251657728" behindDoc="0" locked="0" layoutInCell="1" allowOverlap="1" wp14:anchorId="6F3E46DC" wp14:editId="6F3E46DD">
          <wp:simplePos x="0" y="0"/>
          <wp:positionH relativeFrom="page">
            <wp:posOffset>5717540</wp:posOffset>
          </wp:positionH>
          <wp:positionV relativeFrom="page">
            <wp:posOffset>648335</wp:posOffset>
          </wp:positionV>
          <wp:extent cx="1461770" cy="546100"/>
          <wp:effectExtent l="25400" t="0" r="11430" b="0"/>
          <wp:wrapNone/>
          <wp:docPr id="4" name="Picture 4"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Pr="007E55AA">
      <w:rPr>
        <w:noProof/>
        <w:lang w:eastAsia="zh-CN"/>
      </w:rPr>
      <w:drawing>
        <wp:anchor distT="0" distB="0" distL="114300" distR="114300" simplePos="0" relativeHeight="251656704" behindDoc="0" locked="0" layoutInCell="1" allowOverlap="1" wp14:anchorId="6F3E46DE" wp14:editId="6F3E46DF">
          <wp:simplePos x="0" y="0"/>
          <wp:positionH relativeFrom="page">
            <wp:posOffset>572770</wp:posOffset>
          </wp:positionH>
          <wp:positionV relativeFrom="page">
            <wp:posOffset>457200</wp:posOffset>
          </wp:positionV>
          <wp:extent cx="889000" cy="889000"/>
          <wp:effectExtent l="25400" t="0" r="0" b="0"/>
          <wp:wrapNone/>
          <wp:docPr id="10" name="Picture 10"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5575"/>
    <w:multiLevelType w:val="hybridMultilevel"/>
    <w:tmpl w:val="5FBC14EA"/>
    <w:lvl w:ilvl="0" w:tplc="9868574A">
      <w:start w:val="1"/>
      <w:numFmt w:val="lowerLetter"/>
      <w:lvlText w:val="%1)"/>
      <w:lvlJc w:val="left"/>
      <w:pPr>
        <w:tabs>
          <w:tab w:val="num" w:pos="1446"/>
        </w:tabs>
        <w:ind w:left="1446"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0870B8"/>
    <w:multiLevelType w:val="hybridMultilevel"/>
    <w:tmpl w:val="0D5CBE5C"/>
    <w:lvl w:ilvl="0" w:tplc="6B4A692A">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 w15:restartNumberingAfterBreak="0">
    <w:nsid w:val="0FC94023"/>
    <w:multiLevelType w:val="hybridMultilevel"/>
    <w:tmpl w:val="9E628EE6"/>
    <w:lvl w:ilvl="0" w:tplc="04090001">
      <w:start w:val="1"/>
      <w:numFmt w:val="bullet"/>
      <w:lvlText w:val=""/>
      <w:lvlJc w:val="left"/>
      <w:pPr>
        <w:tabs>
          <w:tab w:val="num" w:pos="360"/>
        </w:tabs>
        <w:ind w:left="360" w:hanging="360"/>
      </w:pPr>
      <w:rPr>
        <w:rFonts w:ascii="Symbol" w:hAnsi="Symbol" w:hint="default"/>
        <w:color w:val="C00000"/>
      </w:rPr>
    </w:lvl>
    <w:lvl w:ilvl="1" w:tplc="112E510A">
      <w:start w:val="1"/>
      <w:numFmt w:val="lowerLetter"/>
      <w:lvlText w:val="%2."/>
      <w:lvlJc w:val="left"/>
      <w:pPr>
        <w:tabs>
          <w:tab w:val="num" w:pos="1080"/>
        </w:tabs>
        <w:ind w:left="1080" w:hanging="360"/>
      </w:pPr>
    </w:lvl>
    <w:lvl w:ilvl="2" w:tplc="040C001B">
      <w:start w:val="1"/>
      <w:numFmt w:val="lowerRoman"/>
      <w:lvlText w:val="%3."/>
      <w:lvlJc w:val="right"/>
      <w:pPr>
        <w:tabs>
          <w:tab w:val="num" w:pos="1800"/>
        </w:tabs>
        <w:ind w:left="1800" w:hanging="180"/>
      </w:pPr>
    </w:lvl>
    <w:lvl w:ilvl="3" w:tplc="040C000F">
      <w:start w:val="1"/>
      <w:numFmt w:val="decimal"/>
      <w:lvlText w:val="%4."/>
      <w:lvlJc w:val="left"/>
      <w:pPr>
        <w:tabs>
          <w:tab w:val="num" w:pos="2520"/>
        </w:tabs>
        <w:ind w:left="2520" w:hanging="360"/>
      </w:pPr>
    </w:lvl>
    <w:lvl w:ilvl="4" w:tplc="040C0019">
      <w:start w:val="1"/>
      <w:numFmt w:val="lowerLetter"/>
      <w:lvlText w:val="%5."/>
      <w:lvlJc w:val="left"/>
      <w:pPr>
        <w:tabs>
          <w:tab w:val="num" w:pos="3240"/>
        </w:tabs>
        <w:ind w:left="3240" w:hanging="360"/>
      </w:pPr>
    </w:lvl>
    <w:lvl w:ilvl="5" w:tplc="040C001B">
      <w:start w:val="1"/>
      <w:numFmt w:val="lowerRoman"/>
      <w:lvlText w:val="%6."/>
      <w:lvlJc w:val="right"/>
      <w:pPr>
        <w:tabs>
          <w:tab w:val="num" w:pos="3960"/>
        </w:tabs>
        <w:ind w:left="3960" w:hanging="180"/>
      </w:pPr>
    </w:lvl>
    <w:lvl w:ilvl="6" w:tplc="040C000F">
      <w:start w:val="1"/>
      <w:numFmt w:val="decimal"/>
      <w:lvlText w:val="%7."/>
      <w:lvlJc w:val="left"/>
      <w:pPr>
        <w:tabs>
          <w:tab w:val="num" w:pos="4680"/>
        </w:tabs>
        <w:ind w:left="4680" w:hanging="360"/>
      </w:pPr>
    </w:lvl>
    <w:lvl w:ilvl="7" w:tplc="040C0019">
      <w:start w:val="1"/>
      <w:numFmt w:val="lowerLetter"/>
      <w:lvlText w:val="%8."/>
      <w:lvlJc w:val="left"/>
      <w:pPr>
        <w:tabs>
          <w:tab w:val="num" w:pos="5400"/>
        </w:tabs>
        <w:ind w:left="5400" w:hanging="360"/>
      </w:pPr>
    </w:lvl>
    <w:lvl w:ilvl="8" w:tplc="040C001B">
      <w:start w:val="1"/>
      <w:numFmt w:val="lowerRoman"/>
      <w:lvlText w:val="%9."/>
      <w:lvlJc w:val="right"/>
      <w:pPr>
        <w:tabs>
          <w:tab w:val="num" w:pos="6120"/>
        </w:tabs>
        <w:ind w:left="6120" w:hanging="180"/>
      </w:pPr>
    </w:lvl>
  </w:abstractNum>
  <w:abstractNum w:abstractNumId="3" w15:restartNumberingAfterBreak="0">
    <w:nsid w:val="0FEB4A7C"/>
    <w:multiLevelType w:val="hybridMultilevel"/>
    <w:tmpl w:val="B96CE56A"/>
    <w:lvl w:ilvl="0" w:tplc="91C4760E">
      <w:start w:val="1"/>
      <w:numFmt w:val="bullet"/>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543661A"/>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5EE04D1"/>
    <w:multiLevelType w:val="hybridMultilevel"/>
    <w:tmpl w:val="5B727E26"/>
    <w:lvl w:ilvl="0" w:tplc="C928A84A">
      <w:start w:val="1"/>
      <w:numFmt w:val="decimal"/>
      <w:lvlText w:val="%1."/>
      <w:lvlJc w:val="left"/>
      <w:pPr>
        <w:tabs>
          <w:tab w:val="num" w:pos="360"/>
        </w:tabs>
        <w:ind w:left="360" w:hanging="360"/>
      </w:pPr>
      <w:rPr>
        <w:color w:val="C00000"/>
      </w:rPr>
    </w:lvl>
    <w:lvl w:ilvl="1" w:tplc="112E510A">
      <w:start w:val="1"/>
      <w:numFmt w:val="lowerLetter"/>
      <w:lvlText w:val="%2."/>
      <w:lvlJc w:val="left"/>
      <w:pPr>
        <w:tabs>
          <w:tab w:val="num" w:pos="1080"/>
        </w:tabs>
        <w:ind w:left="1080" w:hanging="360"/>
      </w:pPr>
    </w:lvl>
    <w:lvl w:ilvl="2" w:tplc="040C001B">
      <w:start w:val="1"/>
      <w:numFmt w:val="lowerRoman"/>
      <w:lvlText w:val="%3."/>
      <w:lvlJc w:val="right"/>
      <w:pPr>
        <w:tabs>
          <w:tab w:val="num" w:pos="1800"/>
        </w:tabs>
        <w:ind w:left="1800" w:hanging="180"/>
      </w:pPr>
    </w:lvl>
    <w:lvl w:ilvl="3" w:tplc="040C000F">
      <w:start w:val="1"/>
      <w:numFmt w:val="decimal"/>
      <w:lvlText w:val="%4."/>
      <w:lvlJc w:val="left"/>
      <w:pPr>
        <w:tabs>
          <w:tab w:val="num" w:pos="2520"/>
        </w:tabs>
        <w:ind w:left="2520" w:hanging="360"/>
      </w:pPr>
    </w:lvl>
    <w:lvl w:ilvl="4" w:tplc="040C0019">
      <w:start w:val="1"/>
      <w:numFmt w:val="lowerLetter"/>
      <w:lvlText w:val="%5."/>
      <w:lvlJc w:val="left"/>
      <w:pPr>
        <w:tabs>
          <w:tab w:val="num" w:pos="3240"/>
        </w:tabs>
        <w:ind w:left="3240" w:hanging="360"/>
      </w:pPr>
    </w:lvl>
    <w:lvl w:ilvl="5" w:tplc="040C001B">
      <w:start w:val="1"/>
      <w:numFmt w:val="lowerRoman"/>
      <w:lvlText w:val="%6."/>
      <w:lvlJc w:val="right"/>
      <w:pPr>
        <w:tabs>
          <w:tab w:val="num" w:pos="3960"/>
        </w:tabs>
        <w:ind w:left="3960" w:hanging="180"/>
      </w:pPr>
    </w:lvl>
    <w:lvl w:ilvl="6" w:tplc="040C000F">
      <w:start w:val="1"/>
      <w:numFmt w:val="decimal"/>
      <w:lvlText w:val="%7."/>
      <w:lvlJc w:val="left"/>
      <w:pPr>
        <w:tabs>
          <w:tab w:val="num" w:pos="4680"/>
        </w:tabs>
        <w:ind w:left="4680" w:hanging="360"/>
      </w:pPr>
    </w:lvl>
    <w:lvl w:ilvl="7" w:tplc="040C0019">
      <w:start w:val="1"/>
      <w:numFmt w:val="lowerLetter"/>
      <w:lvlText w:val="%8."/>
      <w:lvlJc w:val="left"/>
      <w:pPr>
        <w:tabs>
          <w:tab w:val="num" w:pos="5400"/>
        </w:tabs>
        <w:ind w:left="5400" w:hanging="360"/>
      </w:pPr>
    </w:lvl>
    <w:lvl w:ilvl="8" w:tplc="040C001B">
      <w:start w:val="1"/>
      <w:numFmt w:val="lowerRoman"/>
      <w:lvlText w:val="%9."/>
      <w:lvlJc w:val="right"/>
      <w:pPr>
        <w:tabs>
          <w:tab w:val="num" w:pos="6120"/>
        </w:tabs>
        <w:ind w:left="6120" w:hanging="180"/>
      </w:pPr>
    </w:lvl>
  </w:abstractNum>
  <w:abstractNum w:abstractNumId="6" w15:restartNumberingAfterBreak="0">
    <w:nsid w:val="1BB101DD"/>
    <w:multiLevelType w:val="multilevel"/>
    <w:tmpl w:val="4252BC28"/>
    <w:lvl w:ilvl="0">
      <w:numFmt w:val="bullet"/>
      <w:lvlText w:val="–"/>
      <w:lvlJc w:val="left"/>
      <w:pPr>
        <w:tabs>
          <w:tab w:val="num" w:pos="397"/>
        </w:tabs>
        <w:ind w:left="397" w:hanging="397"/>
      </w:pPr>
      <w:rPr>
        <w:rFonts w:ascii="Times New Roman" w:eastAsia="Times New Roman" w:hAnsi="Times New Roman" w:cs="Times New Roman" w:hint="default"/>
        <w:b w:val="0"/>
        <w:i w:val="0"/>
        <w:color w:val="FF0000"/>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7" w15:restartNumberingAfterBreak="0">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450"/>
        </w:tabs>
        <w:ind w:left="450" w:hanging="360"/>
      </w:pPr>
      <w:rPr>
        <w:rFonts w:hint="default"/>
      </w:rPr>
    </w:lvl>
    <w:lvl w:ilvl="2">
      <w:start w:val="1"/>
      <w:numFmt w:val="none"/>
      <w:lvlText w:val=""/>
      <w:lvlJc w:val="right"/>
      <w:pPr>
        <w:tabs>
          <w:tab w:val="num" w:pos="1170"/>
        </w:tabs>
        <w:ind w:left="1170" w:hanging="180"/>
      </w:pPr>
      <w:rPr>
        <w:rFonts w:hint="default"/>
      </w:rPr>
    </w:lvl>
    <w:lvl w:ilvl="3">
      <w:start w:val="1"/>
      <w:numFmt w:val="none"/>
      <w:lvlText w:val=""/>
      <w:lvlJc w:val="left"/>
      <w:pPr>
        <w:tabs>
          <w:tab w:val="num" w:pos="1890"/>
        </w:tabs>
        <w:ind w:left="1890" w:hanging="360"/>
      </w:pPr>
      <w:rPr>
        <w:rFonts w:hint="default"/>
      </w:rPr>
    </w:lvl>
    <w:lvl w:ilvl="4">
      <w:start w:val="1"/>
      <w:numFmt w:val="none"/>
      <w:lvlText w:val=""/>
      <w:lvlJc w:val="left"/>
      <w:pPr>
        <w:tabs>
          <w:tab w:val="num" w:pos="2610"/>
        </w:tabs>
        <w:ind w:left="2610" w:hanging="360"/>
      </w:pPr>
      <w:rPr>
        <w:rFonts w:hint="default"/>
      </w:rPr>
    </w:lvl>
    <w:lvl w:ilvl="5">
      <w:start w:val="1"/>
      <w:numFmt w:val="none"/>
      <w:lvlText w:val=""/>
      <w:lvlJc w:val="right"/>
      <w:pPr>
        <w:tabs>
          <w:tab w:val="num" w:pos="3330"/>
        </w:tabs>
        <w:ind w:left="3330" w:hanging="180"/>
      </w:pPr>
      <w:rPr>
        <w:rFonts w:hint="default"/>
      </w:rPr>
    </w:lvl>
    <w:lvl w:ilvl="6">
      <w:start w:val="1"/>
      <w:numFmt w:val="none"/>
      <w:lvlText w:val=""/>
      <w:lvlJc w:val="left"/>
      <w:pPr>
        <w:tabs>
          <w:tab w:val="num" w:pos="4050"/>
        </w:tabs>
        <w:ind w:left="4050" w:hanging="360"/>
      </w:pPr>
      <w:rPr>
        <w:rFonts w:hint="default"/>
      </w:rPr>
    </w:lvl>
    <w:lvl w:ilvl="7">
      <w:start w:val="1"/>
      <w:numFmt w:val="none"/>
      <w:lvlText w:val=""/>
      <w:lvlJc w:val="left"/>
      <w:pPr>
        <w:tabs>
          <w:tab w:val="num" w:pos="4770"/>
        </w:tabs>
        <w:ind w:left="4770" w:hanging="360"/>
      </w:pPr>
      <w:rPr>
        <w:rFonts w:hint="default"/>
      </w:rPr>
    </w:lvl>
    <w:lvl w:ilvl="8">
      <w:start w:val="1"/>
      <w:numFmt w:val="none"/>
      <w:lvlText w:val=""/>
      <w:lvlJc w:val="right"/>
      <w:pPr>
        <w:tabs>
          <w:tab w:val="num" w:pos="5490"/>
        </w:tabs>
        <w:ind w:left="5490" w:hanging="180"/>
      </w:pPr>
      <w:rPr>
        <w:rFonts w:hint="default"/>
      </w:rPr>
    </w:lvl>
  </w:abstractNum>
  <w:abstractNum w:abstractNumId="8" w15:restartNumberingAfterBreak="0">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rPr>
    </w:lvl>
    <w:lvl w:ilvl="1">
      <w:start w:val="1"/>
      <w:numFmt w:val="decimal"/>
      <w:pStyle w:val="ECCAnnexheading2"/>
      <w:suff w:val="space"/>
      <w:lvlText w:val="A%1.%2"/>
      <w:lvlJc w:val="left"/>
      <w:pPr>
        <w:ind w:left="66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5491CF7"/>
    <w:multiLevelType w:val="hybridMultilevel"/>
    <w:tmpl w:val="D7823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D2394C"/>
    <w:multiLevelType w:val="hybridMultilevel"/>
    <w:tmpl w:val="A15A9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BC0283E"/>
    <w:multiLevelType w:val="hybridMultilevel"/>
    <w:tmpl w:val="049AFA0E"/>
    <w:lvl w:ilvl="0" w:tplc="B498C530">
      <w:start w:val="1"/>
      <w:numFmt w:val="lowerLetter"/>
      <w:lvlText w:val="%1)"/>
      <w:lvlJc w:val="left"/>
      <w:pPr>
        <w:ind w:left="1117" w:hanging="360"/>
      </w:pPr>
      <w:rPr>
        <w:rFonts w:ascii="Arial" w:hAnsi="Arial" w:cs="Times New Roman" w:hint="default"/>
        <w:b w:val="0"/>
        <w:bCs w:val="0"/>
        <w:i w:val="0"/>
        <w:iCs w:val="0"/>
        <w:color w:val="D2232A"/>
        <w:sz w:val="20"/>
        <w:szCs w:val="20"/>
      </w:rPr>
    </w:lvl>
    <w:lvl w:ilvl="1" w:tplc="04070019">
      <w:start w:val="1"/>
      <w:numFmt w:val="lowerLetter"/>
      <w:lvlText w:val="%2."/>
      <w:lvlJc w:val="left"/>
      <w:pPr>
        <w:ind w:left="1837" w:hanging="360"/>
      </w:pPr>
    </w:lvl>
    <w:lvl w:ilvl="2" w:tplc="0407001B">
      <w:start w:val="1"/>
      <w:numFmt w:val="lowerRoman"/>
      <w:lvlText w:val="%3."/>
      <w:lvlJc w:val="right"/>
      <w:pPr>
        <w:ind w:left="2557" w:hanging="180"/>
      </w:pPr>
    </w:lvl>
    <w:lvl w:ilvl="3" w:tplc="0407000F">
      <w:start w:val="1"/>
      <w:numFmt w:val="decimal"/>
      <w:lvlText w:val="%4."/>
      <w:lvlJc w:val="left"/>
      <w:pPr>
        <w:ind w:left="3277" w:hanging="360"/>
      </w:pPr>
    </w:lvl>
    <w:lvl w:ilvl="4" w:tplc="04070019">
      <w:start w:val="1"/>
      <w:numFmt w:val="lowerLetter"/>
      <w:lvlText w:val="%5."/>
      <w:lvlJc w:val="left"/>
      <w:pPr>
        <w:ind w:left="3997" w:hanging="360"/>
      </w:pPr>
    </w:lvl>
    <w:lvl w:ilvl="5" w:tplc="0407001B">
      <w:start w:val="1"/>
      <w:numFmt w:val="lowerRoman"/>
      <w:lvlText w:val="%6."/>
      <w:lvlJc w:val="right"/>
      <w:pPr>
        <w:ind w:left="4717" w:hanging="180"/>
      </w:pPr>
    </w:lvl>
    <w:lvl w:ilvl="6" w:tplc="0407000F">
      <w:start w:val="1"/>
      <w:numFmt w:val="decimal"/>
      <w:lvlText w:val="%7."/>
      <w:lvlJc w:val="left"/>
      <w:pPr>
        <w:ind w:left="5437" w:hanging="360"/>
      </w:pPr>
    </w:lvl>
    <w:lvl w:ilvl="7" w:tplc="04070019">
      <w:start w:val="1"/>
      <w:numFmt w:val="lowerLetter"/>
      <w:lvlText w:val="%8."/>
      <w:lvlJc w:val="left"/>
      <w:pPr>
        <w:ind w:left="6157" w:hanging="360"/>
      </w:pPr>
    </w:lvl>
    <w:lvl w:ilvl="8" w:tplc="0407001B">
      <w:start w:val="1"/>
      <w:numFmt w:val="lowerRoman"/>
      <w:lvlText w:val="%9."/>
      <w:lvlJc w:val="right"/>
      <w:pPr>
        <w:ind w:left="6877" w:hanging="180"/>
      </w:pPr>
    </w:lvl>
  </w:abstractNum>
  <w:abstractNum w:abstractNumId="12" w15:restartNumberingAfterBreak="0">
    <w:nsid w:val="2F9A72C9"/>
    <w:multiLevelType w:val="hybridMultilevel"/>
    <w:tmpl w:val="CF882B38"/>
    <w:lvl w:ilvl="0" w:tplc="78E8E71C">
      <w:start w:val="1"/>
      <w:numFmt w:val="lowerLetter"/>
      <w:lvlText w:val="%1)"/>
      <w:lvlJc w:val="left"/>
      <w:pPr>
        <w:ind w:left="786"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31AF47D7"/>
    <w:multiLevelType w:val="hybridMultilevel"/>
    <w:tmpl w:val="9FEA4094"/>
    <w:lvl w:ilvl="0" w:tplc="1C8A6162">
      <w:start w:val="1"/>
      <w:numFmt w:val="bullet"/>
      <w:lvlText w:val=""/>
      <w:lvlJc w:val="left"/>
      <w:pPr>
        <w:ind w:left="720" w:hanging="360"/>
      </w:pPr>
      <w:rPr>
        <w:rFonts w:ascii="Wingdings" w:hAnsi="Wingdings" w:hint="default"/>
        <w:color w:val="D2232A"/>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4" w15:restartNumberingAfterBreak="0">
    <w:nsid w:val="3269348F"/>
    <w:multiLevelType w:val="hybridMultilevel"/>
    <w:tmpl w:val="9EB40B58"/>
    <w:lvl w:ilvl="0" w:tplc="4C0CFF66">
      <w:start w:val="1"/>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32A77A34"/>
    <w:multiLevelType w:val="hybridMultilevel"/>
    <w:tmpl w:val="31DAC7DE"/>
    <w:lvl w:ilvl="0" w:tplc="3A02A90A">
      <w:start w:val="1"/>
      <w:numFmt w:val="bullet"/>
      <w:pStyle w:val="WGNNA-bulleted"/>
      <w:lvlText w:val=""/>
      <w:lvlJc w:val="left"/>
      <w:pPr>
        <w:tabs>
          <w:tab w:val="num" w:pos="372"/>
        </w:tabs>
        <w:ind w:left="372" w:hanging="372"/>
      </w:pPr>
      <w:rPr>
        <w:rFonts w:ascii="Wingdings" w:hAnsi="Wingdings" w:hint="default"/>
        <w:color w:val="auto"/>
      </w:rPr>
    </w:lvl>
    <w:lvl w:ilvl="1" w:tplc="8D403736">
      <w:start w:val="1"/>
      <w:numFmt w:val="bullet"/>
      <w:lvlText w:val="o"/>
      <w:lvlJc w:val="left"/>
      <w:pPr>
        <w:tabs>
          <w:tab w:val="num" w:pos="306"/>
        </w:tabs>
        <w:ind w:left="306" w:hanging="360"/>
      </w:pPr>
      <w:rPr>
        <w:rFonts w:ascii="Courier New" w:hAnsi="Courier New" w:hint="default"/>
      </w:rPr>
    </w:lvl>
    <w:lvl w:ilvl="2" w:tplc="5BD807E8">
      <w:start w:val="1"/>
      <w:numFmt w:val="bullet"/>
      <w:lvlText w:val=""/>
      <w:lvlJc w:val="left"/>
      <w:pPr>
        <w:tabs>
          <w:tab w:val="num" w:pos="1026"/>
        </w:tabs>
        <w:ind w:left="1026" w:hanging="360"/>
      </w:pPr>
      <w:rPr>
        <w:rFonts w:ascii="Wingdings" w:hAnsi="Wingdings" w:hint="default"/>
      </w:rPr>
    </w:lvl>
    <w:lvl w:ilvl="3" w:tplc="981C1218">
      <w:start w:val="1"/>
      <w:numFmt w:val="bullet"/>
      <w:lvlText w:val=""/>
      <w:lvlJc w:val="left"/>
      <w:pPr>
        <w:tabs>
          <w:tab w:val="num" w:pos="1746"/>
        </w:tabs>
        <w:ind w:left="1746" w:hanging="360"/>
      </w:pPr>
      <w:rPr>
        <w:rFonts w:ascii="Symbol" w:hAnsi="Symbol" w:hint="default"/>
      </w:rPr>
    </w:lvl>
    <w:lvl w:ilvl="4" w:tplc="8FCAD614">
      <w:start w:val="1"/>
      <w:numFmt w:val="bullet"/>
      <w:lvlText w:val="o"/>
      <w:lvlJc w:val="left"/>
      <w:pPr>
        <w:tabs>
          <w:tab w:val="num" w:pos="2466"/>
        </w:tabs>
        <w:ind w:left="2466" w:hanging="360"/>
      </w:pPr>
      <w:rPr>
        <w:rFonts w:ascii="Courier New" w:hAnsi="Courier New" w:hint="default"/>
      </w:rPr>
    </w:lvl>
    <w:lvl w:ilvl="5" w:tplc="7DCA0EC2">
      <w:start w:val="1"/>
      <w:numFmt w:val="bullet"/>
      <w:lvlText w:val=""/>
      <w:lvlJc w:val="left"/>
      <w:pPr>
        <w:tabs>
          <w:tab w:val="num" w:pos="3186"/>
        </w:tabs>
        <w:ind w:left="3186" w:hanging="360"/>
      </w:pPr>
      <w:rPr>
        <w:rFonts w:ascii="Wingdings" w:hAnsi="Wingdings" w:hint="default"/>
      </w:rPr>
    </w:lvl>
    <w:lvl w:ilvl="6" w:tplc="9FECB932">
      <w:start w:val="1"/>
      <w:numFmt w:val="bullet"/>
      <w:lvlText w:val=""/>
      <w:lvlJc w:val="left"/>
      <w:pPr>
        <w:tabs>
          <w:tab w:val="num" w:pos="3906"/>
        </w:tabs>
        <w:ind w:left="3906" w:hanging="360"/>
      </w:pPr>
      <w:rPr>
        <w:rFonts w:ascii="Symbol" w:hAnsi="Symbol" w:hint="default"/>
      </w:rPr>
    </w:lvl>
    <w:lvl w:ilvl="7" w:tplc="4D062F30">
      <w:start w:val="1"/>
      <w:numFmt w:val="bullet"/>
      <w:lvlText w:val="o"/>
      <w:lvlJc w:val="left"/>
      <w:pPr>
        <w:tabs>
          <w:tab w:val="num" w:pos="4626"/>
        </w:tabs>
        <w:ind w:left="4626" w:hanging="360"/>
      </w:pPr>
      <w:rPr>
        <w:rFonts w:ascii="Courier New" w:hAnsi="Courier New" w:hint="default"/>
      </w:rPr>
    </w:lvl>
    <w:lvl w:ilvl="8" w:tplc="AE00BD02">
      <w:start w:val="1"/>
      <w:numFmt w:val="bullet"/>
      <w:lvlText w:val=""/>
      <w:lvlJc w:val="left"/>
      <w:pPr>
        <w:tabs>
          <w:tab w:val="num" w:pos="5346"/>
        </w:tabs>
        <w:ind w:left="5346" w:hanging="360"/>
      </w:pPr>
      <w:rPr>
        <w:rFonts w:ascii="Wingdings" w:hAnsi="Wingdings" w:hint="default"/>
      </w:rPr>
    </w:lvl>
  </w:abstractNum>
  <w:abstractNum w:abstractNumId="16" w15:restartNumberingAfterBreak="0">
    <w:nsid w:val="331D1E96"/>
    <w:multiLevelType w:val="hybridMultilevel"/>
    <w:tmpl w:val="344CA13A"/>
    <w:lvl w:ilvl="0" w:tplc="1C8A6162">
      <w:start w:val="1"/>
      <w:numFmt w:val="bullet"/>
      <w:lvlText w:val=""/>
      <w:lvlJc w:val="left"/>
      <w:pPr>
        <w:ind w:left="720" w:hanging="360"/>
      </w:pPr>
      <w:rPr>
        <w:rFonts w:ascii="Wingdings" w:hAnsi="Wingdings" w:hint="default"/>
        <w:color w:val="D2232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1D2CAF"/>
    <w:multiLevelType w:val="hybridMultilevel"/>
    <w:tmpl w:val="67C69F3A"/>
    <w:lvl w:ilvl="0" w:tplc="228EF6E0">
      <w:start w:val="1"/>
      <w:numFmt w:val="decimal"/>
      <w:lvlText w:val="%1"/>
      <w:lvlJc w:val="left"/>
      <w:pPr>
        <w:ind w:left="360" w:hanging="360"/>
      </w:pPr>
      <w:rPr>
        <w:rFonts w:hint="default"/>
        <w:b w:val="0"/>
        <w:i w:val="0"/>
        <w:color w:val="D2232A"/>
        <w:sz w:val="20"/>
      </w:rPr>
    </w:lvl>
    <w:lvl w:ilvl="1" w:tplc="781C665A">
      <w:start w:val="1"/>
      <w:numFmt w:val="bullet"/>
      <w:lvlText w:val=""/>
      <w:lvlJc w:val="left"/>
      <w:pPr>
        <w:tabs>
          <w:tab w:val="num" w:pos="680"/>
        </w:tabs>
        <w:ind w:left="680" w:hanging="340"/>
      </w:pPr>
      <w:rPr>
        <w:rFonts w:ascii="Wingdings" w:hAnsi="Wingdings" w:hint="default"/>
        <w:color w:val="D2232A"/>
      </w:rPr>
    </w:lvl>
    <w:lvl w:ilvl="2" w:tplc="012A1C80">
      <w:start w:val="1"/>
      <w:numFmt w:val="bullet"/>
      <w:lvlText w:val=""/>
      <w:lvlJc w:val="left"/>
      <w:pPr>
        <w:tabs>
          <w:tab w:val="num" w:pos="1021"/>
        </w:tabs>
        <w:ind w:left="1021" w:hanging="341"/>
      </w:pPr>
      <w:rPr>
        <w:rFonts w:ascii="Wingdings" w:hAnsi="Wingdings" w:hint="default"/>
        <w:color w:val="D2232A"/>
      </w:rPr>
    </w:lvl>
    <w:lvl w:ilvl="3" w:tplc="D2EA1B88">
      <w:start w:val="1"/>
      <w:numFmt w:val="decimal"/>
      <w:lvlText w:val="(%4)"/>
      <w:lvlJc w:val="left"/>
      <w:pPr>
        <w:ind w:left="1043" w:hanging="360"/>
      </w:pPr>
      <w:rPr>
        <w:rFonts w:hint="default"/>
      </w:rPr>
    </w:lvl>
    <w:lvl w:ilvl="4" w:tplc="73983340">
      <w:start w:val="1"/>
      <w:numFmt w:val="lowerLetter"/>
      <w:lvlText w:val="(%5)"/>
      <w:lvlJc w:val="left"/>
      <w:pPr>
        <w:ind w:left="1403" w:hanging="360"/>
      </w:pPr>
      <w:rPr>
        <w:rFonts w:hint="default"/>
      </w:rPr>
    </w:lvl>
    <w:lvl w:ilvl="5" w:tplc="B06CBF84">
      <w:start w:val="1"/>
      <w:numFmt w:val="lowerRoman"/>
      <w:lvlText w:val="(%6)"/>
      <w:lvlJc w:val="left"/>
      <w:pPr>
        <w:ind w:left="1763" w:hanging="360"/>
      </w:pPr>
      <w:rPr>
        <w:rFonts w:hint="default"/>
      </w:rPr>
    </w:lvl>
    <w:lvl w:ilvl="6" w:tplc="C0842E4A">
      <w:start w:val="1"/>
      <w:numFmt w:val="decimal"/>
      <w:lvlText w:val="%7."/>
      <w:lvlJc w:val="left"/>
      <w:pPr>
        <w:ind w:left="2123" w:hanging="360"/>
      </w:pPr>
      <w:rPr>
        <w:rFonts w:hint="default"/>
      </w:rPr>
    </w:lvl>
    <w:lvl w:ilvl="7" w:tplc="3E8A86F4">
      <w:start w:val="1"/>
      <w:numFmt w:val="lowerLetter"/>
      <w:lvlText w:val="%8."/>
      <w:lvlJc w:val="left"/>
      <w:pPr>
        <w:ind w:left="2483" w:hanging="360"/>
      </w:pPr>
      <w:rPr>
        <w:rFonts w:hint="default"/>
      </w:rPr>
    </w:lvl>
    <w:lvl w:ilvl="8" w:tplc="C78CEE5C">
      <w:start w:val="1"/>
      <w:numFmt w:val="lowerRoman"/>
      <w:lvlText w:val="%9."/>
      <w:lvlJc w:val="left"/>
      <w:pPr>
        <w:ind w:left="2843" w:hanging="360"/>
      </w:pPr>
      <w:rPr>
        <w:rFonts w:hint="default"/>
      </w:rPr>
    </w:lvl>
  </w:abstractNum>
  <w:abstractNum w:abstractNumId="18" w15:restartNumberingAfterBreak="0">
    <w:nsid w:val="343E6E41"/>
    <w:multiLevelType w:val="hybridMultilevel"/>
    <w:tmpl w:val="13CCB704"/>
    <w:lvl w:ilvl="0" w:tplc="1C8A6162">
      <w:start w:val="1"/>
      <w:numFmt w:val="bullet"/>
      <w:lvlText w:val=""/>
      <w:lvlJc w:val="left"/>
      <w:pPr>
        <w:ind w:left="720" w:hanging="360"/>
      </w:pPr>
      <w:rPr>
        <w:rFonts w:ascii="Wingdings" w:hAnsi="Wingdings" w:hint="default"/>
        <w:color w:val="D2232A"/>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9" w15:restartNumberingAfterBreak="0">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0" w15:restartNumberingAfterBreak="0">
    <w:nsid w:val="39151866"/>
    <w:multiLevelType w:val="multilevel"/>
    <w:tmpl w:val="53846CC4"/>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1" w15:restartNumberingAfterBreak="0">
    <w:nsid w:val="3C275A4E"/>
    <w:multiLevelType w:val="hybridMultilevel"/>
    <w:tmpl w:val="5AE2E4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D163F7A"/>
    <w:multiLevelType w:val="multilevel"/>
    <w:tmpl w:val="801C5A16"/>
    <w:lvl w:ilvl="0">
      <w:start w:val="1"/>
      <w:numFmt w:val="decimal"/>
      <w:pStyle w:val="Heading2"/>
      <w:lvlText w:val="%1"/>
      <w:lvlJc w:val="left"/>
      <w:pPr>
        <w:tabs>
          <w:tab w:val="num" w:pos="432"/>
        </w:tabs>
        <w:ind w:left="432" w:hanging="432"/>
      </w:pPr>
      <w:rPr>
        <w:rFonts w:ascii="Arial" w:hAnsi="Arial"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hint="default"/>
        <w:b/>
        <w:i w:val="0"/>
        <w:color w:val="D2232A"/>
        <w:sz w:val="20"/>
      </w:rPr>
    </w:lvl>
    <w:lvl w:ilvl="2">
      <w:start w:val="1"/>
      <w:numFmt w:val="decimal"/>
      <w:pStyle w:val="Heading4"/>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427E184A"/>
    <w:multiLevelType w:val="hybridMultilevel"/>
    <w:tmpl w:val="F51A9A3A"/>
    <w:lvl w:ilvl="0" w:tplc="C65085F2">
      <w:start w:val="1"/>
      <w:numFmt w:val="bullet"/>
      <w:pStyle w:val="ECCParBulleted"/>
      <w:lvlText w:val=""/>
      <w:lvlJc w:val="left"/>
      <w:pPr>
        <w:tabs>
          <w:tab w:val="num" w:pos="360"/>
        </w:tabs>
        <w:ind w:left="360" w:hanging="360"/>
      </w:pPr>
      <w:rPr>
        <w:rFonts w:ascii="Wingdings" w:hAnsi="Wingdings" w:hint="default"/>
        <w:color w:val="D2232A"/>
      </w:rPr>
    </w:lvl>
    <w:lvl w:ilvl="1" w:tplc="2722AF3A" w:tentative="1">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6E6242A"/>
    <w:multiLevelType w:val="hybridMultilevel"/>
    <w:tmpl w:val="3C9233F8"/>
    <w:lvl w:ilvl="0" w:tplc="0B1E7C38">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6"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6460E2A"/>
    <w:multiLevelType w:val="hybridMultilevel"/>
    <w:tmpl w:val="1B54A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3A37F2"/>
    <w:multiLevelType w:val="singleLevel"/>
    <w:tmpl w:val="78E8E71C"/>
    <w:lvl w:ilvl="0">
      <w:start w:val="1"/>
      <w:numFmt w:val="lowerLetter"/>
      <w:lvlText w:val="%1)"/>
      <w:lvlJc w:val="left"/>
      <w:pPr>
        <w:tabs>
          <w:tab w:val="num" w:pos="340"/>
        </w:tabs>
        <w:ind w:left="340" w:hanging="340"/>
      </w:pPr>
      <w:rPr>
        <w:rFonts w:ascii="Arial" w:hAnsi="Arial" w:hint="default"/>
        <w:b w:val="0"/>
        <w:bCs w:val="0"/>
        <w:i w:val="0"/>
        <w:iCs w:val="0"/>
        <w:color w:val="D2232A"/>
        <w:sz w:val="20"/>
        <w:szCs w:val="20"/>
      </w:rPr>
    </w:lvl>
  </w:abstractNum>
  <w:abstractNum w:abstractNumId="29" w15:restartNumberingAfterBreak="0">
    <w:nsid w:val="5B4C3AAE"/>
    <w:multiLevelType w:val="hybridMultilevel"/>
    <w:tmpl w:val="E2043BEC"/>
    <w:lvl w:ilvl="0" w:tplc="1C8A6162">
      <w:start w:val="1"/>
      <w:numFmt w:val="bullet"/>
      <w:lvlText w:val=""/>
      <w:lvlJc w:val="left"/>
      <w:pPr>
        <w:ind w:left="720" w:hanging="360"/>
      </w:pPr>
      <w:rPr>
        <w:rFonts w:ascii="Wingdings" w:hAnsi="Wingdings" w:hint="default"/>
        <w:color w:val="D2232A"/>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0" w15:restartNumberingAfterBreak="0">
    <w:nsid w:val="5D380921"/>
    <w:multiLevelType w:val="hybridMultilevel"/>
    <w:tmpl w:val="C5307268"/>
    <w:lvl w:ilvl="0" w:tplc="3D10FC9E">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31" w15:restartNumberingAfterBreak="0">
    <w:nsid w:val="604A47D1"/>
    <w:multiLevelType w:val="hybridMultilevel"/>
    <w:tmpl w:val="DEA4F56C"/>
    <w:lvl w:ilvl="0" w:tplc="1C8A6162">
      <w:start w:val="1"/>
      <w:numFmt w:val="bullet"/>
      <w:lvlText w:val=""/>
      <w:lvlJc w:val="left"/>
      <w:pPr>
        <w:ind w:left="720" w:hanging="360"/>
      </w:pPr>
      <w:rPr>
        <w:rFonts w:ascii="Wingdings" w:hAnsi="Wingdings" w:hint="default"/>
        <w:color w:val="D2232A"/>
      </w:rPr>
    </w:lvl>
    <w:lvl w:ilvl="1" w:tplc="1C8A6162">
      <w:start w:val="1"/>
      <w:numFmt w:val="bullet"/>
      <w:lvlText w:val=""/>
      <w:lvlJc w:val="left"/>
      <w:pPr>
        <w:ind w:left="1440" w:hanging="360"/>
      </w:pPr>
      <w:rPr>
        <w:rFonts w:ascii="Wingdings" w:hAnsi="Wingdings" w:hint="default"/>
        <w:color w:val="D2232A"/>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2" w15:restartNumberingAfterBreak="0">
    <w:nsid w:val="659E20B3"/>
    <w:multiLevelType w:val="hybridMultilevel"/>
    <w:tmpl w:val="9FEA55BA"/>
    <w:lvl w:ilvl="0" w:tplc="56CC27A0">
      <w:start w:val="1"/>
      <w:numFmt w:val="lowerLetter"/>
      <w:lvlText w:val="%1."/>
      <w:lvlJc w:val="left"/>
      <w:pPr>
        <w:tabs>
          <w:tab w:val="num" w:pos="705"/>
        </w:tabs>
        <w:ind w:left="705" w:hanging="705"/>
      </w:pPr>
      <w:rPr>
        <w:rFonts w:ascii="Arial" w:hAnsi="Arial" w:cs="Times New Roman" w:hint="default"/>
        <w:color w:val="C00000"/>
        <w:sz w:val="20"/>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33" w15:restartNumberingAfterBreak="0">
    <w:nsid w:val="688A35D6"/>
    <w:multiLevelType w:val="multilevel"/>
    <w:tmpl w:val="BDD8AD68"/>
    <w:styleLink w:val="ECCNumberedList"/>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4" w15:restartNumberingAfterBreak="0">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35" w15:restartNumberingAfterBreak="0">
    <w:nsid w:val="6E394BEB"/>
    <w:multiLevelType w:val="hybridMultilevel"/>
    <w:tmpl w:val="4DAAEB3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6EF32D08"/>
    <w:multiLevelType w:val="hybridMultilevel"/>
    <w:tmpl w:val="6E0AF4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4A073FD"/>
    <w:multiLevelType w:val="hybridMultilevel"/>
    <w:tmpl w:val="E37A51B0"/>
    <w:lvl w:ilvl="0" w:tplc="1C8A6162">
      <w:start w:val="1"/>
      <w:numFmt w:val="bullet"/>
      <w:lvlText w:val=""/>
      <w:lvlJc w:val="left"/>
      <w:pPr>
        <w:ind w:left="720" w:hanging="360"/>
      </w:pPr>
      <w:rPr>
        <w:rFonts w:ascii="Wingdings" w:hAnsi="Wingdings" w:hint="default"/>
        <w:color w:val="D2232A"/>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8" w15:restartNumberingAfterBreak="0">
    <w:nsid w:val="755354D3"/>
    <w:multiLevelType w:val="hybridMultilevel"/>
    <w:tmpl w:val="C5307268"/>
    <w:lvl w:ilvl="0" w:tplc="3D10FC9E">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39" w15:restartNumberingAfterBreak="0">
    <w:nsid w:val="7B2801A9"/>
    <w:multiLevelType w:val="hybridMultilevel"/>
    <w:tmpl w:val="DACC745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B3212E4"/>
    <w:multiLevelType w:val="multilevel"/>
    <w:tmpl w:val="2E9EB8F2"/>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B4027F7"/>
    <w:multiLevelType w:val="hybridMultilevel"/>
    <w:tmpl w:val="A1105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AA0538"/>
    <w:multiLevelType w:val="hybridMultilevel"/>
    <w:tmpl w:val="DFD6A350"/>
    <w:lvl w:ilvl="0" w:tplc="04090001">
      <w:start w:val="1"/>
      <w:numFmt w:val="bullet"/>
      <w:lvlText w:val=""/>
      <w:lvlJc w:val="left"/>
      <w:pPr>
        <w:ind w:left="360" w:hanging="360"/>
      </w:pPr>
      <w:rPr>
        <w:rFonts w:ascii="Symbol" w:hAnsi="Symbol" w:hint="default"/>
        <w:b w:val="0"/>
        <w:i w:val="0"/>
        <w:color w:val="D2232A"/>
        <w:sz w:val="20"/>
      </w:rPr>
    </w:lvl>
    <w:lvl w:ilvl="1" w:tplc="781C665A">
      <w:start w:val="1"/>
      <w:numFmt w:val="bullet"/>
      <w:lvlText w:val=""/>
      <w:lvlJc w:val="left"/>
      <w:pPr>
        <w:tabs>
          <w:tab w:val="num" w:pos="680"/>
        </w:tabs>
        <w:ind w:left="680" w:hanging="340"/>
      </w:pPr>
      <w:rPr>
        <w:rFonts w:ascii="Wingdings" w:hAnsi="Wingdings" w:hint="default"/>
        <w:color w:val="D2232A"/>
      </w:rPr>
    </w:lvl>
    <w:lvl w:ilvl="2" w:tplc="012A1C80">
      <w:start w:val="1"/>
      <w:numFmt w:val="bullet"/>
      <w:lvlText w:val=""/>
      <w:lvlJc w:val="left"/>
      <w:pPr>
        <w:tabs>
          <w:tab w:val="num" w:pos="1021"/>
        </w:tabs>
        <w:ind w:left="1021" w:hanging="341"/>
      </w:pPr>
      <w:rPr>
        <w:rFonts w:ascii="Wingdings" w:hAnsi="Wingdings" w:hint="default"/>
        <w:color w:val="D2232A"/>
      </w:rPr>
    </w:lvl>
    <w:lvl w:ilvl="3" w:tplc="D2EA1B88">
      <w:start w:val="1"/>
      <w:numFmt w:val="decimal"/>
      <w:lvlText w:val="(%4)"/>
      <w:lvlJc w:val="left"/>
      <w:pPr>
        <w:ind w:left="1043" w:hanging="360"/>
      </w:pPr>
      <w:rPr>
        <w:rFonts w:hint="default"/>
      </w:rPr>
    </w:lvl>
    <w:lvl w:ilvl="4" w:tplc="73983340">
      <w:start w:val="1"/>
      <w:numFmt w:val="lowerLetter"/>
      <w:lvlText w:val="(%5)"/>
      <w:lvlJc w:val="left"/>
      <w:pPr>
        <w:ind w:left="1403" w:hanging="360"/>
      </w:pPr>
      <w:rPr>
        <w:rFonts w:hint="default"/>
      </w:rPr>
    </w:lvl>
    <w:lvl w:ilvl="5" w:tplc="B06CBF84">
      <w:start w:val="1"/>
      <w:numFmt w:val="lowerRoman"/>
      <w:lvlText w:val="(%6)"/>
      <w:lvlJc w:val="left"/>
      <w:pPr>
        <w:ind w:left="1763" w:hanging="360"/>
      </w:pPr>
      <w:rPr>
        <w:rFonts w:hint="default"/>
      </w:rPr>
    </w:lvl>
    <w:lvl w:ilvl="6" w:tplc="C0842E4A">
      <w:start w:val="1"/>
      <w:numFmt w:val="decimal"/>
      <w:lvlText w:val="%7."/>
      <w:lvlJc w:val="left"/>
      <w:pPr>
        <w:ind w:left="2123" w:hanging="360"/>
      </w:pPr>
      <w:rPr>
        <w:rFonts w:hint="default"/>
      </w:rPr>
    </w:lvl>
    <w:lvl w:ilvl="7" w:tplc="3E8A86F4">
      <w:start w:val="1"/>
      <w:numFmt w:val="lowerLetter"/>
      <w:lvlText w:val="%8."/>
      <w:lvlJc w:val="left"/>
      <w:pPr>
        <w:ind w:left="2483" w:hanging="360"/>
      </w:pPr>
      <w:rPr>
        <w:rFonts w:hint="default"/>
      </w:rPr>
    </w:lvl>
    <w:lvl w:ilvl="8" w:tplc="C78CEE5C">
      <w:start w:val="1"/>
      <w:numFmt w:val="lowerRoman"/>
      <w:lvlText w:val="%9."/>
      <w:lvlJc w:val="left"/>
      <w:pPr>
        <w:ind w:left="2843" w:hanging="360"/>
      </w:pPr>
      <w:rPr>
        <w:rFonts w:hint="default"/>
      </w:rPr>
    </w:lvl>
  </w:abstractNum>
  <w:abstractNum w:abstractNumId="43" w15:restartNumberingAfterBreak="0">
    <w:nsid w:val="7BC90F0A"/>
    <w:multiLevelType w:val="hybridMultilevel"/>
    <w:tmpl w:val="4A1451D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 w15:restartNumberingAfterBreak="0">
    <w:nsid w:val="7E70721F"/>
    <w:multiLevelType w:val="hybridMultilevel"/>
    <w:tmpl w:val="E384C7EC"/>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2"/>
  </w:num>
  <w:num w:numId="2">
    <w:abstractNumId w:val="40"/>
  </w:num>
  <w:num w:numId="3">
    <w:abstractNumId w:val="26"/>
  </w:num>
  <w:num w:numId="4">
    <w:abstractNumId w:val="8"/>
  </w:num>
  <w:num w:numId="5">
    <w:abstractNumId w:val="28"/>
  </w:num>
  <w:num w:numId="6">
    <w:abstractNumId w:val="19"/>
  </w:num>
  <w:num w:numId="7">
    <w:abstractNumId w:val="15"/>
  </w:num>
  <w:num w:numId="8">
    <w:abstractNumId w:val="25"/>
  </w:num>
  <w:num w:numId="9">
    <w:abstractNumId w:val="23"/>
  </w:num>
  <w:num w:numId="10">
    <w:abstractNumId w:val="20"/>
  </w:num>
  <w:num w:numId="11">
    <w:abstractNumId w:val="25"/>
    <w:lvlOverride w:ilvl="0">
      <w:startOverride w:val="1"/>
    </w:lvlOverride>
  </w:num>
  <w:num w:numId="12">
    <w:abstractNumId w:val="7"/>
  </w:num>
  <w:num w:numId="13">
    <w:abstractNumId w:val="4"/>
  </w:num>
  <w:num w:numId="14">
    <w:abstractNumId w:val="34"/>
  </w:num>
  <w:num w:numId="15">
    <w:abstractNumId w:val="33"/>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4"/>
  </w:num>
  <w:num w:numId="19">
    <w:abstractNumId w:val="35"/>
  </w:num>
  <w:num w:numId="20">
    <w:abstractNumId w:val="21"/>
  </w:num>
  <w:num w:numId="21">
    <w:abstractNumId w:val="43"/>
  </w:num>
  <w:num w:numId="22">
    <w:abstractNumId w:val="44"/>
  </w:num>
  <w:num w:numId="23">
    <w:abstractNumId w:val="1"/>
  </w:num>
  <w:num w:numId="24">
    <w:abstractNumId w:val="6"/>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25"/>
  </w:num>
  <w:num w:numId="28">
    <w:abstractNumId w:val="37"/>
  </w:num>
  <w:num w:numId="29">
    <w:abstractNumId w:val="29"/>
  </w:num>
  <w:num w:numId="30">
    <w:abstractNumId w:val="18"/>
  </w:num>
  <w:num w:numId="31">
    <w:abstractNumId w:val="13"/>
  </w:num>
  <w:num w:numId="32">
    <w:abstractNumId w:val="31"/>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32"/>
  </w:num>
  <w:num w:numId="37">
    <w:abstractNumId w:val="0"/>
  </w:num>
  <w:num w:numId="38">
    <w:abstractNumId w:val="9"/>
  </w:num>
  <w:num w:numId="39">
    <w:abstractNumId w:val="3"/>
  </w:num>
  <w:num w:numId="40">
    <w:abstractNumId w:val="16"/>
  </w:num>
  <w:num w:numId="41">
    <w:abstractNumId w:val="5"/>
  </w:num>
  <w:num w:numId="42">
    <w:abstractNumId w:val="39"/>
  </w:num>
  <w:num w:numId="43">
    <w:abstractNumId w:val="36"/>
  </w:num>
  <w:num w:numId="44">
    <w:abstractNumId w:val="10"/>
  </w:num>
  <w:num w:numId="45">
    <w:abstractNumId w:val="7"/>
  </w:num>
  <w:num w:numId="46">
    <w:abstractNumId w:val="7"/>
  </w:num>
  <w:num w:numId="47">
    <w:abstractNumId w:val="30"/>
  </w:num>
  <w:num w:numId="48">
    <w:abstractNumId w:val="38"/>
  </w:num>
  <w:num w:numId="49">
    <w:abstractNumId w:val="17"/>
  </w:num>
  <w:num w:numId="50">
    <w:abstractNumId w:val="40"/>
  </w:num>
  <w:num w:numId="51">
    <w:abstractNumId w:val="40"/>
  </w:num>
  <w:num w:numId="52">
    <w:abstractNumId w:val="40"/>
  </w:num>
  <w:num w:numId="53">
    <w:abstractNumId w:val="8"/>
  </w:num>
  <w:num w:numId="54">
    <w:abstractNumId w:val="8"/>
  </w:num>
  <w:num w:numId="55">
    <w:abstractNumId w:val="8"/>
  </w:num>
  <w:num w:numId="56">
    <w:abstractNumId w:val="8"/>
  </w:num>
  <w:num w:numId="57">
    <w:abstractNumId w:val="41"/>
  </w:num>
  <w:num w:numId="58">
    <w:abstractNumId w:val="7"/>
  </w:num>
  <w:num w:numId="59">
    <w:abstractNumId w:val="7"/>
  </w:num>
  <w:num w:numId="60">
    <w:abstractNumId w:val="40"/>
  </w:num>
  <w:num w:numId="61">
    <w:abstractNumId w:val="2"/>
  </w:num>
  <w:num w:numId="62">
    <w:abstractNumId w:val="7"/>
  </w:num>
  <w:num w:numId="63">
    <w:abstractNumId w:val="42"/>
  </w:num>
  <w:num w:numId="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2050">
      <o:colormru v:ext="edit" colors="#7b6c58,#887e6e,#d2232a,#57433e,#b0a69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423"/>
    <w:rsid w:val="00001F02"/>
    <w:rsid w:val="00001FF5"/>
    <w:rsid w:val="000037AB"/>
    <w:rsid w:val="00005402"/>
    <w:rsid w:val="0000647D"/>
    <w:rsid w:val="00006DF0"/>
    <w:rsid w:val="000103C8"/>
    <w:rsid w:val="00011029"/>
    <w:rsid w:val="000144EC"/>
    <w:rsid w:val="00020A9C"/>
    <w:rsid w:val="00022265"/>
    <w:rsid w:val="00025166"/>
    <w:rsid w:val="00025EB4"/>
    <w:rsid w:val="00026128"/>
    <w:rsid w:val="00031379"/>
    <w:rsid w:val="000343E4"/>
    <w:rsid w:val="000345E6"/>
    <w:rsid w:val="0003566D"/>
    <w:rsid w:val="00035D99"/>
    <w:rsid w:val="00035DCC"/>
    <w:rsid w:val="0003764D"/>
    <w:rsid w:val="000377CE"/>
    <w:rsid w:val="00037A97"/>
    <w:rsid w:val="00063AC7"/>
    <w:rsid w:val="000641F9"/>
    <w:rsid w:val="00066524"/>
    <w:rsid w:val="0007146F"/>
    <w:rsid w:val="000719D3"/>
    <w:rsid w:val="00071C5A"/>
    <w:rsid w:val="000721E4"/>
    <w:rsid w:val="00072B81"/>
    <w:rsid w:val="00073382"/>
    <w:rsid w:val="000736FC"/>
    <w:rsid w:val="000748FB"/>
    <w:rsid w:val="00077EC6"/>
    <w:rsid w:val="000800AA"/>
    <w:rsid w:val="0008421B"/>
    <w:rsid w:val="000846AA"/>
    <w:rsid w:val="00085D0A"/>
    <w:rsid w:val="000863EF"/>
    <w:rsid w:val="000901CD"/>
    <w:rsid w:val="00091430"/>
    <w:rsid w:val="0009397D"/>
    <w:rsid w:val="00095F0C"/>
    <w:rsid w:val="00097FB2"/>
    <w:rsid w:val="000A468E"/>
    <w:rsid w:val="000A733A"/>
    <w:rsid w:val="000A7567"/>
    <w:rsid w:val="000B4CEC"/>
    <w:rsid w:val="000B51F5"/>
    <w:rsid w:val="000B5EA5"/>
    <w:rsid w:val="000C183F"/>
    <w:rsid w:val="000C44F3"/>
    <w:rsid w:val="000D13ED"/>
    <w:rsid w:val="000D1C26"/>
    <w:rsid w:val="000D46A4"/>
    <w:rsid w:val="000D76AA"/>
    <w:rsid w:val="000D782B"/>
    <w:rsid w:val="000E0432"/>
    <w:rsid w:val="000E1764"/>
    <w:rsid w:val="000E34E8"/>
    <w:rsid w:val="000E3E5B"/>
    <w:rsid w:val="000E4D7E"/>
    <w:rsid w:val="000E5B5A"/>
    <w:rsid w:val="000F124C"/>
    <w:rsid w:val="000F2C1C"/>
    <w:rsid w:val="000F3919"/>
    <w:rsid w:val="000F4CA6"/>
    <w:rsid w:val="000F62ED"/>
    <w:rsid w:val="00103D44"/>
    <w:rsid w:val="00104879"/>
    <w:rsid w:val="001074FA"/>
    <w:rsid w:val="00111B13"/>
    <w:rsid w:val="00113027"/>
    <w:rsid w:val="001134CA"/>
    <w:rsid w:val="00114E7D"/>
    <w:rsid w:val="001161AA"/>
    <w:rsid w:val="00117255"/>
    <w:rsid w:val="001318DA"/>
    <w:rsid w:val="00134534"/>
    <w:rsid w:val="0013619B"/>
    <w:rsid w:val="00137A99"/>
    <w:rsid w:val="00144B71"/>
    <w:rsid w:val="00144F4A"/>
    <w:rsid w:val="00151AEC"/>
    <w:rsid w:val="00152116"/>
    <w:rsid w:val="00155774"/>
    <w:rsid w:val="00155A56"/>
    <w:rsid w:val="00155A75"/>
    <w:rsid w:val="001601D5"/>
    <w:rsid w:val="00164B43"/>
    <w:rsid w:val="00165676"/>
    <w:rsid w:val="00166D44"/>
    <w:rsid w:val="0017196F"/>
    <w:rsid w:val="00173F1D"/>
    <w:rsid w:val="00180755"/>
    <w:rsid w:val="00180BAE"/>
    <w:rsid w:val="00180F59"/>
    <w:rsid w:val="00187944"/>
    <w:rsid w:val="00187C7D"/>
    <w:rsid w:val="0019287A"/>
    <w:rsid w:val="001A0A5B"/>
    <w:rsid w:val="001A1049"/>
    <w:rsid w:val="001A6C7D"/>
    <w:rsid w:val="001A7FD4"/>
    <w:rsid w:val="001B1F5E"/>
    <w:rsid w:val="001C0113"/>
    <w:rsid w:val="001C2049"/>
    <w:rsid w:val="001C213E"/>
    <w:rsid w:val="001C46EA"/>
    <w:rsid w:val="001C4A0E"/>
    <w:rsid w:val="001C57CD"/>
    <w:rsid w:val="001C5C78"/>
    <w:rsid w:val="001C7B2F"/>
    <w:rsid w:val="001E0C8D"/>
    <w:rsid w:val="001E2703"/>
    <w:rsid w:val="001E2C57"/>
    <w:rsid w:val="001E301B"/>
    <w:rsid w:val="001E3AAC"/>
    <w:rsid w:val="001E4C65"/>
    <w:rsid w:val="001E51F6"/>
    <w:rsid w:val="001E77E0"/>
    <w:rsid w:val="001F045C"/>
    <w:rsid w:val="001F3B38"/>
    <w:rsid w:val="001F46E9"/>
    <w:rsid w:val="00201491"/>
    <w:rsid w:val="0020348D"/>
    <w:rsid w:val="00206EE0"/>
    <w:rsid w:val="00212193"/>
    <w:rsid w:val="00215CB4"/>
    <w:rsid w:val="00216B4C"/>
    <w:rsid w:val="002217BA"/>
    <w:rsid w:val="00221D1F"/>
    <w:rsid w:val="00221E16"/>
    <w:rsid w:val="0022275D"/>
    <w:rsid w:val="002227EF"/>
    <w:rsid w:val="00223A8F"/>
    <w:rsid w:val="00225A1B"/>
    <w:rsid w:val="00225FF4"/>
    <w:rsid w:val="002307A4"/>
    <w:rsid w:val="00232361"/>
    <w:rsid w:val="00232DB2"/>
    <w:rsid w:val="002349E5"/>
    <w:rsid w:val="00235113"/>
    <w:rsid w:val="002357B1"/>
    <w:rsid w:val="00236B8F"/>
    <w:rsid w:val="002417BC"/>
    <w:rsid w:val="0024279D"/>
    <w:rsid w:val="002462EC"/>
    <w:rsid w:val="0024721E"/>
    <w:rsid w:val="00247FB2"/>
    <w:rsid w:val="00250521"/>
    <w:rsid w:val="00252298"/>
    <w:rsid w:val="002577A5"/>
    <w:rsid w:val="00260683"/>
    <w:rsid w:val="00260695"/>
    <w:rsid w:val="00261821"/>
    <w:rsid w:val="00262988"/>
    <w:rsid w:val="00266DEE"/>
    <w:rsid w:val="00267423"/>
    <w:rsid w:val="002741A5"/>
    <w:rsid w:val="0027590C"/>
    <w:rsid w:val="00275ACD"/>
    <w:rsid w:val="00276728"/>
    <w:rsid w:val="002773FA"/>
    <w:rsid w:val="00282464"/>
    <w:rsid w:val="00285F4F"/>
    <w:rsid w:val="00290B34"/>
    <w:rsid w:val="0029255A"/>
    <w:rsid w:val="002930B6"/>
    <w:rsid w:val="0029469A"/>
    <w:rsid w:val="002957A8"/>
    <w:rsid w:val="00296D8A"/>
    <w:rsid w:val="00297C0E"/>
    <w:rsid w:val="002A36EF"/>
    <w:rsid w:val="002A48C8"/>
    <w:rsid w:val="002A66AA"/>
    <w:rsid w:val="002A798A"/>
    <w:rsid w:val="002B011A"/>
    <w:rsid w:val="002B1676"/>
    <w:rsid w:val="002B60BF"/>
    <w:rsid w:val="002B65AD"/>
    <w:rsid w:val="002B6D16"/>
    <w:rsid w:val="002B73F7"/>
    <w:rsid w:val="002C21F3"/>
    <w:rsid w:val="002C24E0"/>
    <w:rsid w:val="002C251B"/>
    <w:rsid w:val="002C3C29"/>
    <w:rsid w:val="002C3D86"/>
    <w:rsid w:val="002D19CA"/>
    <w:rsid w:val="002D35A7"/>
    <w:rsid w:val="002D63FB"/>
    <w:rsid w:val="002E308D"/>
    <w:rsid w:val="002E5ACC"/>
    <w:rsid w:val="002E5D8A"/>
    <w:rsid w:val="002F2D21"/>
    <w:rsid w:val="002F3163"/>
    <w:rsid w:val="002F43A4"/>
    <w:rsid w:val="002F5E0C"/>
    <w:rsid w:val="00302ADD"/>
    <w:rsid w:val="0030409D"/>
    <w:rsid w:val="00307213"/>
    <w:rsid w:val="003155EC"/>
    <w:rsid w:val="00317A6B"/>
    <w:rsid w:val="00317FB1"/>
    <w:rsid w:val="0032426A"/>
    <w:rsid w:val="0032668C"/>
    <w:rsid w:val="0032686B"/>
    <w:rsid w:val="00327ACD"/>
    <w:rsid w:val="00333DA1"/>
    <w:rsid w:val="00337794"/>
    <w:rsid w:val="00342EAA"/>
    <w:rsid w:val="0034367F"/>
    <w:rsid w:val="00345768"/>
    <w:rsid w:val="00346B0D"/>
    <w:rsid w:val="00350062"/>
    <w:rsid w:val="00351B71"/>
    <w:rsid w:val="00352F25"/>
    <w:rsid w:val="00353808"/>
    <w:rsid w:val="00356AD8"/>
    <w:rsid w:val="00362796"/>
    <w:rsid w:val="0036394B"/>
    <w:rsid w:val="00364B09"/>
    <w:rsid w:val="00366645"/>
    <w:rsid w:val="0037109E"/>
    <w:rsid w:val="00380B04"/>
    <w:rsid w:val="00381008"/>
    <w:rsid w:val="00381CD1"/>
    <w:rsid w:val="0038220A"/>
    <w:rsid w:val="0038297C"/>
    <w:rsid w:val="00384BDF"/>
    <w:rsid w:val="00393758"/>
    <w:rsid w:val="00393CEC"/>
    <w:rsid w:val="00396AFC"/>
    <w:rsid w:val="00397604"/>
    <w:rsid w:val="003977AA"/>
    <w:rsid w:val="003A4E31"/>
    <w:rsid w:val="003A5D4C"/>
    <w:rsid w:val="003A68CF"/>
    <w:rsid w:val="003B0097"/>
    <w:rsid w:val="003B39C5"/>
    <w:rsid w:val="003B59FB"/>
    <w:rsid w:val="003C0525"/>
    <w:rsid w:val="003C24C7"/>
    <w:rsid w:val="003C480C"/>
    <w:rsid w:val="003C4A18"/>
    <w:rsid w:val="003D6E30"/>
    <w:rsid w:val="003D7645"/>
    <w:rsid w:val="003E3BF3"/>
    <w:rsid w:val="003F1082"/>
    <w:rsid w:val="003F157E"/>
    <w:rsid w:val="003F2E46"/>
    <w:rsid w:val="003F3C88"/>
    <w:rsid w:val="003F3F54"/>
    <w:rsid w:val="003F6B7C"/>
    <w:rsid w:val="00400C43"/>
    <w:rsid w:val="00401ECD"/>
    <w:rsid w:val="0040340F"/>
    <w:rsid w:val="00404038"/>
    <w:rsid w:val="00407645"/>
    <w:rsid w:val="00410A46"/>
    <w:rsid w:val="00410A6B"/>
    <w:rsid w:val="00412E32"/>
    <w:rsid w:val="00413574"/>
    <w:rsid w:val="004138AE"/>
    <w:rsid w:val="0042049B"/>
    <w:rsid w:val="00421EFE"/>
    <w:rsid w:val="0042544A"/>
    <w:rsid w:val="00425556"/>
    <w:rsid w:val="00425941"/>
    <w:rsid w:val="00430695"/>
    <w:rsid w:val="004327F2"/>
    <w:rsid w:val="00432AD4"/>
    <w:rsid w:val="0043775A"/>
    <w:rsid w:val="00443FA0"/>
    <w:rsid w:val="0044650F"/>
    <w:rsid w:val="004471E2"/>
    <w:rsid w:val="00451489"/>
    <w:rsid w:val="00452494"/>
    <w:rsid w:val="00455822"/>
    <w:rsid w:val="0045667E"/>
    <w:rsid w:val="00460DC7"/>
    <w:rsid w:val="00461A7A"/>
    <w:rsid w:val="00461D0A"/>
    <w:rsid w:val="00463CF0"/>
    <w:rsid w:val="00464B55"/>
    <w:rsid w:val="00464CFB"/>
    <w:rsid w:val="00465CF7"/>
    <w:rsid w:val="0046641F"/>
    <w:rsid w:val="00467569"/>
    <w:rsid w:val="004720DE"/>
    <w:rsid w:val="004721C4"/>
    <w:rsid w:val="00472501"/>
    <w:rsid w:val="00472BAB"/>
    <w:rsid w:val="00474851"/>
    <w:rsid w:val="00480698"/>
    <w:rsid w:val="004834C4"/>
    <w:rsid w:val="00483FF5"/>
    <w:rsid w:val="00486E03"/>
    <w:rsid w:val="0049112F"/>
    <w:rsid w:val="00492CEA"/>
    <w:rsid w:val="00493FD8"/>
    <w:rsid w:val="004B0E1D"/>
    <w:rsid w:val="004B5494"/>
    <w:rsid w:val="004B79A3"/>
    <w:rsid w:val="004C13FB"/>
    <w:rsid w:val="004C3534"/>
    <w:rsid w:val="004C39FB"/>
    <w:rsid w:val="004C3EE7"/>
    <w:rsid w:val="004C730D"/>
    <w:rsid w:val="004D4301"/>
    <w:rsid w:val="004D66EB"/>
    <w:rsid w:val="004E00FC"/>
    <w:rsid w:val="004E094A"/>
    <w:rsid w:val="004E153A"/>
    <w:rsid w:val="004E2361"/>
    <w:rsid w:val="004E4372"/>
    <w:rsid w:val="005011FC"/>
    <w:rsid w:val="00502F8A"/>
    <w:rsid w:val="00503A22"/>
    <w:rsid w:val="00504B54"/>
    <w:rsid w:val="00504EA2"/>
    <w:rsid w:val="0051111F"/>
    <w:rsid w:val="00515FD1"/>
    <w:rsid w:val="00517254"/>
    <w:rsid w:val="00521494"/>
    <w:rsid w:val="0052613C"/>
    <w:rsid w:val="00527BE0"/>
    <w:rsid w:val="00531201"/>
    <w:rsid w:val="005318BF"/>
    <w:rsid w:val="00535EA1"/>
    <w:rsid w:val="00536117"/>
    <w:rsid w:val="00536865"/>
    <w:rsid w:val="005369B3"/>
    <w:rsid w:val="00540BE9"/>
    <w:rsid w:val="0054159B"/>
    <w:rsid w:val="00542750"/>
    <w:rsid w:val="00546396"/>
    <w:rsid w:val="005465EB"/>
    <w:rsid w:val="00553414"/>
    <w:rsid w:val="00554DEA"/>
    <w:rsid w:val="00560D61"/>
    <w:rsid w:val="00561320"/>
    <w:rsid w:val="00562177"/>
    <w:rsid w:val="005635CB"/>
    <w:rsid w:val="0057004A"/>
    <w:rsid w:val="0057013E"/>
    <w:rsid w:val="0057080D"/>
    <w:rsid w:val="00572B23"/>
    <w:rsid w:val="0058322B"/>
    <w:rsid w:val="005847E7"/>
    <w:rsid w:val="00585756"/>
    <w:rsid w:val="00587F42"/>
    <w:rsid w:val="00595C26"/>
    <w:rsid w:val="00596311"/>
    <w:rsid w:val="005A0E1D"/>
    <w:rsid w:val="005A42D6"/>
    <w:rsid w:val="005A4748"/>
    <w:rsid w:val="005A6DA1"/>
    <w:rsid w:val="005B40E5"/>
    <w:rsid w:val="005B7018"/>
    <w:rsid w:val="005C0D6E"/>
    <w:rsid w:val="005C1369"/>
    <w:rsid w:val="005C3BCA"/>
    <w:rsid w:val="005C3F2E"/>
    <w:rsid w:val="005C6545"/>
    <w:rsid w:val="005D09F5"/>
    <w:rsid w:val="005D0E77"/>
    <w:rsid w:val="005D229C"/>
    <w:rsid w:val="005D3121"/>
    <w:rsid w:val="005D532C"/>
    <w:rsid w:val="005D53CC"/>
    <w:rsid w:val="005D6369"/>
    <w:rsid w:val="005D6627"/>
    <w:rsid w:val="005D7D0D"/>
    <w:rsid w:val="005E095C"/>
    <w:rsid w:val="005E4D99"/>
    <w:rsid w:val="005F0B1C"/>
    <w:rsid w:val="005F6A6E"/>
    <w:rsid w:val="005F7AD5"/>
    <w:rsid w:val="00601D38"/>
    <w:rsid w:val="00603290"/>
    <w:rsid w:val="006118EE"/>
    <w:rsid w:val="00612C96"/>
    <w:rsid w:val="00613627"/>
    <w:rsid w:val="00614282"/>
    <w:rsid w:val="006149B0"/>
    <w:rsid w:val="006166B6"/>
    <w:rsid w:val="00620457"/>
    <w:rsid w:val="00624EAA"/>
    <w:rsid w:val="00625E17"/>
    <w:rsid w:val="00625F14"/>
    <w:rsid w:val="00631F3F"/>
    <w:rsid w:val="0064256B"/>
    <w:rsid w:val="00643930"/>
    <w:rsid w:val="00646101"/>
    <w:rsid w:val="006521CB"/>
    <w:rsid w:val="006525A2"/>
    <w:rsid w:val="00652803"/>
    <w:rsid w:val="0065312F"/>
    <w:rsid w:val="006548CD"/>
    <w:rsid w:val="00656FBE"/>
    <w:rsid w:val="00662A3C"/>
    <w:rsid w:val="00663285"/>
    <w:rsid w:val="00665579"/>
    <w:rsid w:val="00666344"/>
    <w:rsid w:val="00671AA7"/>
    <w:rsid w:val="0067485F"/>
    <w:rsid w:val="006749E3"/>
    <w:rsid w:val="00674CE3"/>
    <w:rsid w:val="00676EBF"/>
    <w:rsid w:val="00677343"/>
    <w:rsid w:val="00677DA9"/>
    <w:rsid w:val="00680144"/>
    <w:rsid w:val="00681725"/>
    <w:rsid w:val="00682768"/>
    <w:rsid w:val="006850C3"/>
    <w:rsid w:val="0068580B"/>
    <w:rsid w:val="00686B4C"/>
    <w:rsid w:val="0068768E"/>
    <w:rsid w:val="00690E00"/>
    <w:rsid w:val="006929C6"/>
    <w:rsid w:val="00694FFF"/>
    <w:rsid w:val="006A6433"/>
    <w:rsid w:val="006B1DCE"/>
    <w:rsid w:val="006B1EA2"/>
    <w:rsid w:val="006B3E1B"/>
    <w:rsid w:val="006B700D"/>
    <w:rsid w:val="006C03D0"/>
    <w:rsid w:val="006C07F2"/>
    <w:rsid w:val="006C5D48"/>
    <w:rsid w:val="006D3A45"/>
    <w:rsid w:val="006F29B5"/>
    <w:rsid w:val="006F5934"/>
    <w:rsid w:val="0070052E"/>
    <w:rsid w:val="00701D48"/>
    <w:rsid w:val="0070549E"/>
    <w:rsid w:val="00710843"/>
    <w:rsid w:val="00711214"/>
    <w:rsid w:val="00713064"/>
    <w:rsid w:val="0071354C"/>
    <w:rsid w:val="00713DBA"/>
    <w:rsid w:val="00717081"/>
    <w:rsid w:val="0072040F"/>
    <w:rsid w:val="007209EB"/>
    <w:rsid w:val="00722004"/>
    <w:rsid w:val="00724E50"/>
    <w:rsid w:val="007257F1"/>
    <w:rsid w:val="007259C7"/>
    <w:rsid w:val="00730F0A"/>
    <w:rsid w:val="00731160"/>
    <w:rsid w:val="00731E92"/>
    <w:rsid w:val="00732679"/>
    <w:rsid w:val="00732AE4"/>
    <w:rsid w:val="00733364"/>
    <w:rsid w:val="00734167"/>
    <w:rsid w:val="00734BFC"/>
    <w:rsid w:val="007356DE"/>
    <w:rsid w:val="00737322"/>
    <w:rsid w:val="0074227D"/>
    <w:rsid w:val="00745EFD"/>
    <w:rsid w:val="007505E5"/>
    <w:rsid w:val="00752959"/>
    <w:rsid w:val="00754CDC"/>
    <w:rsid w:val="00756562"/>
    <w:rsid w:val="007616F9"/>
    <w:rsid w:val="00762BCA"/>
    <w:rsid w:val="00762DB5"/>
    <w:rsid w:val="00764D1B"/>
    <w:rsid w:val="00772B61"/>
    <w:rsid w:val="0077388E"/>
    <w:rsid w:val="00775BD1"/>
    <w:rsid w:val="00776FE6"/>
    <w:rsid w:val="00777070"/>
    <w:rsid w:val="007841D6"/>
    <w:rsid w:val="007848C2"/>
    <w:rsid w:val="0078583A"/>
    <w:rsid w:val="00786593"/>
    <w:rsid w:val="007912D7"/>
    <w:rsid w:val="0079170F"/>
    <w:rsid w:val="00791843"/>
    <w:rsid w:val="00791977"/>
    <w:rsid w:val="007928FF"/>
    <w:rsid w:val="00794203"/>
    <w:rsid w:val="00796D9A"/>
    <w:rsid w:val="007A136D"/>
    <w:rsid w:val="007A138E"/>
    <w:rsid w:val="007A17BA"/>
    <w:rsid w:val="007A74FF"/>
    <w:rsid w:val="007B0D75"/>
    <w:rsid w:val="007B3D73"/>
    <w:rsid w:val="007B5D4C"/>
    <w:rsid w:val="007B6947"/>
    <w:rsid w:val="007B76C7"/>
    <w:rsid w:val="007C2ADF"/>
    <w:rsid w:val="007C32C8"/>
    <w:rsid w:val="007C44B9"/>
    <w:rsid w:val="007C5909"/>
    <w:rsid w:val="007C6571"/>
    <w:rsid w:val="007C7247"/>
    <w:rsid w:val="007C7E3B"/>
    <w:rsid w:val="007D0C3E"/>
    <w:rsid w:val="007D2189"/>
    <w:rsid w:val="007D4190"/>
    <w:rsid w:val="007D5A14"/>
    <w:rsid w:val="007D708B"/>
    <w:rsid w:val="007D773E"/>
    <w:rsid w:val="007E0EF4"/>
    <w:rsid w:val="007E23E4"/>
    <w:rsid w:val="007E55AA"/>
    <w:rsid w:val="007E7F8A"/>
    <w:rsid w:val="007F595E"/>
    <w:rsid w:val="007F5AD3"/>
    <w:rsid w:val="007F6B90"/>
    <w:rsid w:val="007F7047"/>
    <w:rsid w:val="00800344"/>
    <w:rsid w:val="008003E4"/>
    <w:rsid w:val="008014FE"/>
    <w:rsid w:val="00802E7C"/>
    <w:rsid w:val="00805497"/>
    <w:rsid w:val="0080618C"/>
    <w:rsid w:val="008074B2"/>
    <w:rsid w:val="00811568"/>
    <w:rsid w:val="00815B56"/>
    <w:rsid w:val="00817AFE"/>
    <w:rsid w:val="00822E65"/>
    <w:rsid w:val="008265A5"/>
    <w:rsid w:val="00827886"/>
    <w:rsid w:val="008303D6"/>
    <w:rsid w:val="008308F3"/>
    <w:rsid w:val="00832680"/>
    <w:rsid w:val="0083320A"/>
    <w:rsid w:val="008351F5"/>
    <w:rsid w:val="008367A3"/>
    <w:rsid w:val="00840680"/>
    <w:rsid w:val="00840B51"/>
    <w:rsid w:val="00842695"/>
    <w:rsid w:val="008437D5"/>
    <w:rsid w:val="0084455D"/>
    <w:rsid w:val="008522D7"/>
    <w:rsid w:val="00855002"/>
    <w:rsid w:val="008602E8"/>
    <w:rsid w:val="0086073C"/>
    <w:rsid w:val="008629C2"/>
    <w:rsid w:val="00865D2D"/>
    <w:rsid w:val="00870863"/>
    <w:rsid w:val="00871BBC"/>
    <w:rsid w:val="00872AEB"/>
    <w:rsid w:val="0087386A"/>
    <w:rsid w:val="00874A3D"/>
    <w:rsid w:val="00877FE0"/>
    <w:rsid w:val="008845A9"/>
    <w:rsid w:val="00894D37"/>
    <w:rsid w:val="00896495"/>
    <w:rsid w:val="008A004E"/>
    <w:rsid w:val="008A1573"/>
    <w:rsid w:val="008A54AB"/>
    <w:rsid w:val="008A6CD1"/>
    <w:rsid w:val="008A7EFC"/>
    <w:rsid w:val="008B2E17"/>
    <w:rsid w:val="008C0380"/>
    <w:rsid w:val="008C0503"/>
    <w:rsid w:val="008C2598"/>
    <w:rsid w:val="008C298A"/>
    <w:rsid w:val="008C4564"/>
    <w:rsid w:val="008C5DBC"/>
    <w:rsid w:val="008D069C"/>
    <w:rsid w:val="008D1495"/>
    <w:rsid w:val="008D18C2"/>
    <w:rsid w:val="008E0146"/>
    <w:rsid w:val="008E29CB"/>
    <w:rsid w:val="008E4A38"/>
    <w:rsid w:val="008E5D57"/>
    <w:rsid w:val="008E69D5"/>
    <w:rsid w:val="008E7B90"/>
    <w:rsid w:val="008F39FA"/>
    <w:rsid w:val="008F4C47"/>
    <w:rsid w:val="008F5746"/>
    <w:rsid w:val="008F5A02"/>
    <w:rsid w:val="008F5C84"/>
    <w:rsid w:val="00900649"/>
    <w:rsid w:val="009014DD"/>
    <w:rsid w:val="00901F83"/>
    <w:rsid w:val="00903DAA"/>
    <w:rsid w:val="0091143E"/>
    <w:rsid w:val="00911B5E"/>
    <w:rsid w:val="00911E80"/>
    <w:rsid w:val="00911F10"/>
    <w:rsid w:val="009170F3"/>
    <w:rsid w:val="00922557"/>
    <w:rsid w:val="00927552"/>
    <w:rsid w:val="00931897"/>
    <w:rsid w:val="009343AA"/>
    <w:rsid w:val="00936A76"/>
    <w:rsid w:val="00936B8E"/>
    <w:rsid w:val="00941A29"/>
    <w:rsid w:val="00947127"/>
    <w:rsid w:val="00953ACE"/>
    <w:rsid w:val="0095412A"/>
    <w:rsid w:val="009616B3"/>
    <w:rsid w:val="00963B9C"/>
    <w:rsid w:val="00963D82"/>
    <w:rsid w:val="00963EED"/>
    <w:rsid w:val="00967051"/>
    <w:rsid w:val="00967699"/>
    <w:rsid w:val="00971567"/>
    <w:rsid w:val="009719F7"/>
    <w:rsid w:val="0097238C"/>
    <w:rsid w:val="00973E61"/>
    <w:rsid w:val="009758DF"/>
    <w:rsid w:val="00976389"/>
    <w:rsid w:val="009806C6"/>
    <w:rsid w:val="00981C13"/>
    <w:rsid w:val="00984291"/>
    <w:rsid w:val="00984B23"/>
    <w:rsid w:val="0098625C"/>
    <w:rsid w:val="00987460"/>
    <w:rsid w:val="0098748F"/>
    <w:rsid w:val="00990B1D"/>
    <w:rsid w:val="0099216A"/>
    <w:rsid w:val="009940E9"/>
    <w:rsid w:val="009A3F69"/>
    <w:rsid w:val="009A67B4"/>
    <w:rsid w:val="009A7C1A"/>
    <w:rsid w:val="009B22D0"/>
    <w:rsid w:val="009B45D9"/>
    <w:rsid w:val="009B7402"/>
    <w:rsid w:val="009C1AFF"/>
    <w:rsid w:val="009C1C08"/>
    <w:rsid w:val="009C1FA0"/>
    <w:rsid w:val="009C36EF"/>
    <w:rsid w:val="009C3B77"/>
    <w:rsid w:val="009D0254"/>
    <w:rsid w:val="009D0ED8"/>
    <w:rsid w:val="009D23F9"/>
    <w:rsid w:val="009D4BB7"/>
    <w:rsid w:val="009D5B25"/>
    <w:rsid w:val="009D79AC"/>
    <w:rsid w:val="009E6CAF"/>
    <w:rsid w:val="009F1110"/>
    <w:rsid w:val="009F2153"/>
    <w:rsid w:val="009F2D1E"/>
    <w:rsid w:val="009F3C3E"/>
    <w:rsid w:val="009F6007"/>
    <w:rsid w:val="009F73D2"/>
    <w:rsid w:val="00A02A38"/>
    <w:rsid w:val="00A05002"/>
    <w:rsid w:val="00A07D98"/>
    <w:rsid w:val="00A100CA"/>
    <w:rsid w:val="00A11B25"/>
    <w:rsid w:val="00A144B3"/>
    <w:rsid w:val="00A16A04"/>
    <w:rsid w:val="00A2259B"/>
    <w:rsid w:val="00A22B32"/>
    <w:rsid w:val="00A2602C"/>
    <w:rsid w:val="00A31745"/>
    <w:rsid w:val="00A3249D"/>
    <w:rsid w:val="00A3378F"/>
    <w:rsid w:val="00A340F9"/>
    <w:rsid w:val="00A40CD4"/>
    <w:rsid w:val="00A41673"/>
    <w:rsid w:val="00A4227F"/>
    <w:rsid w:val="00A425B5"/>
    <w:rsid w:val="00A43523"/>
    <w:rsid w:val="00A45746"/>
    <w:rsid w:val="00A51A2E"/>
    <w:rsid w:val="00A53FE1"/>
    <w:rsid w:val="00A56076"/>
    <w:rsid w:val="00A602D1"/>
    <w:rsid w:val="00A63E21"/>
    <w:rsid w:val="00A64A6B"/>
    <w:rsid w:val="00A71366"/>
    <w:rsid w:val="00A73E41"/>
    <w:rsid w:val="00A77B88"/>
    <w:rsid w:val="00A8085A"/>
    <w:rsid w:val="00A85887"/>
    <w:rsid w:val="00A90DF5"/>
    <w:rsid w:val="00A90EEB"/>
    <w:rsid w:val="00A930A4"/>
    <w:rsid w:val="00A9369E"/>
    <w:rsid w:val="00A97F11"/>
    <w:rsid w:val="00AA0025"/>
    <w:rsid w:val="00AA0180"/>
    <w:rsid w:val="00AA6D4D"/>
    <w:rsid w:val="00AB1893"/>
    <w:rsid w:val="00AB7CC8"/>
    <w:rsid w:val="00AC5AB3"/>
    <w:rsid w:val="00AC5AC9"/>
    <w:rsid w:val="00AD0956"/>
    <w:rsid w:val="00AD09A4"/>
    <w:rsid w:val="00AD49E0"/>
    <w:rsid w:val="00AE425F"/>
    <w:rsid w:val="00AF399C"/>
    <w:rsid w:val="00AF6FF5"/>
    <w:rsid w:val="00AF72F4"/>
    <w:rsid w:val="00B03382"/>
    <w:rsid w:val="00B05DC6"/>
    <w:rsid w:val="00B11B9E"/>
    <w:rsid w:val="00B1762D"/>
    <w:rsid w:val="00B2140D"/>
    <w:rsid w:val="00B219B3"/>
    <w:rsid w:val="00B23041"/>
    <w:rsid w:val="00B24022"/>
    <w:rsid w:val="00B270AC"/>
    <w:rsid w:val="00B31BA1"/>
    <w:rsid w:val="00B35988"/>
    <w:rsid w:val="00B36776"/>
    <w:rsid w:val="00B3731E"/>
    <w:rsid w:val="00B37A93"/>
    <w:rsid w:val="00B41A1F"/>
    <w:rsid w:val="00B426A5"/>
    <w:rsid w:val="00B433FE"/>
    <w:rsid w:val="00B4362E"/>
    <w:rsid w:val="00B460B2"/>
    <w:rsid w:val="00B475A0"/>
    <w:rsid w:val="00B479DC"/>
    <w:rsid w:val="00B5294D"/>
    <w:rsid w:val="00B576AF"/>
    <w:rsid w:val="00B6050D"/>
    <w:rsid w:val="00B638A0"/>
    <w:rsid w:val="00B6738B"/>
    <w:rsid w:val="00B710DE"/>
    <w:rsid w:val="00B83428"/>
    <w:rsid w:val="00B839F2"/>
    <w:rsid w:val="00B85CDD"/>
    <w:rsid w:val="00B87288"/>
    <w:rsid w:val="00B878B2"/>
    <w:rsid w:val="00B904A8"/>
    <w:rsid w:val="00B90EEC"/>
    <w:rsid w:val="00B928F4"/>
    <w:rsid w:val="00B965FE"/>
    <w:rsid w:val="00BA10A8"/>
    <w:rsid w:val="00BA1E36"/>
    <w:rsid w:val="00BA366F"/>
    <w:rsid w:val="00BA372F"/>
    <w:rsid w:val="00BA3DEE"/>
    <w:rsid w:val="00BB0796"/>
    <w:rsid w:val="00BB1E07"/>
    <w:rsid w:val="00BB2DC7"/>
    <w:rsid w:val="00BB6D0E"/>
    <w:rsid w:val="00BB7CA1"/>
    <w:rsid w:val="00BC0980"/>
    <w:rsid w:val="00BC1BCB"/>
    <w:rsid w:val="00BC1CE0"/>
    <w:rsid w:val="00BC4E61"/>
    <w:rsid w:val="00BC73DE"/>
    <w:rsid w:val="00BC7C8C"/>
    <w:rsid w:val="00BD1ED8"/>
    <w:rsid w:val="00BD2C65"/>
    <w:rsid w:val="00BE266D"/>
    <w:rsid w:val="00BE30A9"/>
    <w:rsid w:val="00BE37D9"/>
    <w:rsid w:val="00BE3817"/>
    <w:rsid w:val="00BE5A40"/>
    <w:rsid w:val="00BE66A3"/>
    <w:rsid w:val="00BF4182"/>
    <w:rsid w:val="00BF4F1F"/>
    <w:rsid w:val="00BF5AAA"/>
    <w:rsid w:val="00BF7EAE"/>
    <w:rsid w:val="00C02F93"/>
    <w:rsid w:val="00C0362E"/>
    <w:rsid w:val="00C07636"/>
    <w:rsid w:val="00C07B2D"/>
    <w:rsid w:val="00C1340F"/>
    <w:rsid w:val="00C20319"/>
    <w:rsid w:val="00C23E71"/>
    <w:rsid w:val="00C34FBB"/>
    <w:rsid w:val="00C35D89"/>
    <w:rsid w:val="00C42612"/>
    <w:rsid w:val="00C42AD7"/>
    <w:rsid w:val="00C42F67"/>
    <w:rsid w:val="00C45519"/>
    <w:rsid w:val="00C4644C"/>
    <w:rsid w:val="00C47229"/>
    <w:rsid w:val="00C47FDE"/>
    <w:rsid w:val="00C516FC"/>
    <w:rsid w:val="00C548D0"/>
    <w:rsid w:val="00C60154"/>
    <w:rsid w:val="00C60F6E"/>
    <w:rsid w:val="00C62CF0"/>
    <w:rsid w:val="00C636BD"/>
    <w:rsid w:val="00C64D00"/>
    <w:rsid w:val="00C665E0"/>
    <w:rsid w:val="00C677F5"/>
    <w:rsid w:val="00C70208"/>
    <w:rsid w:val="00C70708"/>
    <w:rsid w:val="00C70DC3"/>
    <w:rsid w:val="00C767C8"/>
    <w:rsid w:val="00C817CD"/>
    <w:rsid w:val="00C83F5A"/>
    <w:rsid w:val="00C840E8"/>
    <w:rsid w:val="00C84B59"/>
    <w:rsid w:val="00C93478"/>
    <w:rsid w:val="00C934B1"/>
    <w:rsid w:val="00C93B88"/>
    <w:rsid w:val="00C9461B"/>
    <w:rsid w:val="00C94B21"/>
    <w:rsid w:val="00C9525D"/>
    <w:rsid w:val="00C9785C"/>
    <w:rsid w:val="00CA0532"/>
    <w:rsid w:val="00CA0D6D"/>
    <w:rsid w:val="00CA24A7"/>
    <w:rsid w:val="00CA60E2"/>
    <w:rsid w:val="00CA7992"/>
    <w:rsid w:val="00CB03F9"/>
    <w:rsid w:val="00CC1261"/>
    <w:rsid w:val="00CC15CD"/>
    <w:rsid w:val="00CC19C7"/>
    <w:rsid w:val="00CC1B10"/>
    <w:rsid w:val="00CC2A45"/>
    <w:rsid w:val="00CC55E8"/>
    <w:rsid w:val="00CC6471"/>
    <w:rsid w:val="00CC722B"/>
    <w:rsid w:val="00CD4E82"/>
    <w:rsid w:val="00CE2BE8"/>
    <w:rsid w:val="00CE6BA2"/>
    <w:rsid w:val="00CF0264"/>
    <w:rsid w:val="00CF2E42"/>
    <w:rsid w:val="00CF30C6"/>
    <w:rsid w:val="00CF47F9"/>
    <w:rsid w:val="00CF549D"/>
    <w:rsid w:val="00D00872"/>
    <w:rsid w:val="00D00E65"/>
    <w:rsid w:val="00D12143"/>
    <w:rsid w:val="00D13192"/>
    <w:rsid w:val="00D17E5C"/>
    <w:rsid w:val="00D247FB"/>
    <w:rsid w:val="00D25D5F"/>
    <w:rsid w:val="00D30A2C"/>
    <w:rsid w:val="00D32542"/>
    <w:rsid w:val="00D35B13"/>
    <w:rsid w:val="00D44870"/>
    <w:rsid w:val="00D51257"/>
    <w:rsid w:val="00D56F67"/>
    <w:rsid w:val="00D62631"/>
    <w:rsid w:val="00D62D60"/>
    <w:rsid w:val="00D6320F"/>
    <w:rsid w:val="00D6354B"/>
    <w:rsid w:val="00D65D21"/>
    <w:rsid w:val="00D73248"/>
    <w:rsid w:val="00D738FB"/>
    <w:rsid w:val="00D73D75"/>
    <w:rsid w:val="00D75FEC"/>
    <w:rsid w:val="00D76B8D"/>
    <w:rsid w:val="00D774F8"/>
    <w:rsid w:val="00D779FE"/>
    <w:rsid w:val="00D77C3D"/>
    <w:rsid w:val="00D864F3"/>
    <w:rsid w:val="00D86734"/>
    <w:rsid w:val="00D87D19"/>
    <w:rsid w:val="00D90B0A"/>
    <w:rsid w:val="00D92B32"/>
    <w:rsid w:val="00D93081"/>
    <w:rsid w:val="00D954A5"/>
    <w:rsid w:val="00D96C2C"/>
    <w:rsid w:val="00DA090D"/>
    <w:rsid w:val="00DA2122"/>
    <w:rsid w:val="00DB2C0F"/>
    <w:rsid w:val="00DB4273"/>
    <w:rsid w:val="00DB659E"/>
    <w:rsid w:val="00DB6A4B"/>
    <w:rsid w:val="00DC0568"/>
    <w:rsid w:val="00DC37C5"/>
    <w:rsid w:val="00DC555B"/>
    <w:rsid w:val="00DC7C04"/>
    <w:rsid w:val="00DD15FC"/>
    <w:rsid w:val="00DD312C"/>
    <w:rsid w:val="00DD3F23"/>
    <w:rsid w:val="00DD7282"/>
    <w:rsid w:val="00DE7159"/>
    <w:rsid w:val="00DE716F"/>
    <w:rsid w:val="00DF0D72"/>
    <w:rsid w:val="00DF4FDB"/>
    <w:rsid w:val="00DF51BF"/>
    <w:rsid w:val="00DF5274"/>
    <w:rsid w:val="00DF6D92"/>
    <w:rsid w:val="00DF7447"/>
    <w:rsid w:val="00DF78B9"/>
    <w:rsid w:val="00DF7AFE"/>
    <w:rsid w:val="00E02840"/>
    <w:rsid w:val="00E0447F"/>
    <w:rsid w:val="00E06AD2"/>
    <w:rsid w:val="00E10B78"/>
    <w:rsid w:val="00E135D0"/>
    <w:rsid w:val="00E13B3C"/>
    <w:rsid w:val="00E15FFA"/>
    <w:rsid w:val="00E16BF3"/>
    <w:rsid w:val="00E20593"/>
    <w:rsid w:val="00E20AB3"/>
    <w:rsid w:val="00E24BFD"/>
    <w:rsid w:val="00E260D3"/>
    <w:rsid w:val="00E31136"/>
    <w:rsid w:val="00E31AEB"/>
    <w:rsid w:val="00E3502B"/>
    <w:rsid w:val="00E4150D"/>
    <w:rsid w:val="00E428BB"/>
    <w:rsid w:val="00E515F7"/>
    <w:rsid w:val="00E561B1"/>
    <w:rsid w:val="00E605AD"/>
    <w:rsid w:val="00E65E22"/>
    <w:rsid w:val="00E73AAA"/>
    <w:rsid w:val="00E73D39"/>
    <w:rsid w:val="00E76DBD"/>
    <w:rsid w:val="00E821DC"/>
    <w:rsid w:val="00E84680"/>
    <w:rsid w:val="00E8764A"/>
    <w:rsid w:val="00E93582"/>
    <w:rsid w:val="00E964DF"/>
    <w:rsid w:val="00EA0725"/>
    <w:rsid w:val="00EA77BD"/>
    <w:rsid w:val="00EB0877"/>
    <w:rsid w:val="00EB1C06"/>
    <w:rsid w:val="00EC07F8"/>
    <w:rsid w:val="00EC1692"/>
    <w:rsid w:val="00EC1790"/>
    <w:rsid w:val="00EC2303"/>
    <w:rsid w:val="00ED2E3D"/>
    <w:rsid w:val="00ED596C"/>
    <w:rsid w:val="00EE28A1"/>
    <w:rsid w:val="00EE729D"/>
    <w:rsid w:val="00EF13ED"/>
    <w:rsid w:val="00EF346B"/>
    <w:rsid w:val="00EF4847"/>
    <w:rsid w:val="00F03494"/>
    <w:rsid w:val="00F03BA4"/>
    <w:rsid w:val="00F13B76"/>
    <w:rsid w:val="00F15AF6"/>
    <w:rsid w:val="00F16D71"/>
    <w:rsid w:val="00F17525"/>
    <w:rsid w:val="00F177F1"/>
    <w:rsid w:val="00F201F6"/>
    <w:rsid w:val="00F20D1B"/>
    <w:rsid w:val="00F22D4C"/>
    <w:rsid w:val="00F25A60"/>
    <w:rsid w:val="00F26ED5"/>
    <w:rsid w:val="00F27DB4"/>
    <w:rsid w:val="00F31444"/>
    <w:rsid w:val="00F32346"/>
    <w:rsid w:val="00F32EE8"/>
    <w:rsid w:val="00F34D71"/>
    <w:rsid w:val="00F35453"/>
    <w:rsid w:val="00F3660D"/>
    <w:rsid w:val="00F4369E"/>
    <w:rsid w:val="00F46541"/>
    <w:rsid w:val="00F468E4"/>
    <w:rsid w:val="00F529C9"/>
    <w:rsid w:val="00F54115"/>
    <w:rsid w:val="00F55A5E"/>
    <w:rsid w:val="00F56E8E"/>
    <w:rsid w:val="00F5727A"/>
    <w:rsid w:val="00F579C7"/>
    <w:rsid w:val="00F61099"/>
    <w:rsid w:val="00F624EB"/>
    <w:rsid w:val="00F635A6"/>
    <w:rsid w:val="00F66EA1"/>
    <w:rsid w:val="00F71EDC"/>
    <w:rsid w:val="00F721D0"/>
    <w:rsid w:val="00F76E23"/>
    <w:rsid w:val="00F81892"/>
    <w:rsid w:val="00F82FFF"/>
    <w:rsid w:val="00F85195"/>
    <w:rsid w:val="00F868F7"/>
    <w:rsid w:val="00F86C7D"/>
    <w:rsid w:val="00F90CF2"/>
    <w:rsid w:val="00F91B96"/>
    <w:rsid w:val="00F93559"/>
    <w:rsid w:val="00F93A21"/>
    <w:rsid w:val="00FA1409"/>
    <w:rsid w:val="00FA1FA7"/>
    <w:rsid w:val="00FA22D1"/>
    <w:rsid w:val="00FA2F20"/>
    <w:rsid w:val="00FA4704"/>
    <w:rsid w:val="00FA6028"/>
    <w:rsid w:val="00FA78AD"/>
    <w:rsid w:val="00FB3A68"/>
    <w:rsid w:val="00FB46F0"/>
    <w:rsid w:val="00FB4857"/>
    <w:rsid w:val="00FB785F"/>
    <w:rsid w:val="00FC4773"/>
    <w:rsid w:val="00FC77BE"/>
    <w:rsid w:val="00FD131B"/>
    <w:rsid w:val="00FD1CE0"/>
    <w:rsid w:val="00FD220B"/>
    <w:rsid w:val="00FD3664"/>
    <w:rsid w:val="00FD3F2D"/>
    <w:rsid w:val="00FE13D5"/>
    <w:rsid w:val="00FE1BA6"/>
    <w:rsid w:val="00FE3BE6"/>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7b6c58,#887e6e,#d2232a,#57433e,#b0a696"/>
    </o:shapedefaults>
    <o:shapelayout v:ext="edit">
      <o:idmap v:ext="edit" data="2"/>
    </o:shapelayout>
  </w:shapeDefaults>
  <w:decimalSymbol w:val="."/>
  <w:listSeparator w:val=","/>
  <w14:docId w14:val="6F3E458C"/>
  <w15:docId w15:val="{EDF4531D-A1E3-4E58-979A-E88BBEC64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Cs w:val="24"/>
      <w:lang w:val="en-US"/>
    </w:rPr>
  </w:style>
  <w:style w:type="paragraph" w:styleId="Heading1">
    <w:name w:val="heading 1"/>
    <w:aliases w:val="ECC Heading 1"/>
    <w:basedOn w:val="Normal"/>
    <w:next w:val="ECCParagraph"/>
    <w:link w:val="Heading1Char"/>
    <w:autoRedefine/>
    <w:qFormat/>
    <w:rsid w:val="00CF0264"/>
    <w:pPr>
      <w:keepNext/>
      <w:pageBreakBefore/>
      <w:spacing w:before="400" w:after="240"/>
      <w:jc w:val="both"/>
      <w:outlineLvl w:val="0"/>
    </w:pPr>
    <w:rPr>
      <w:rFonts w:cs="Arial"/>
      <w:b/>
      <w:bCs/>
      <w:caps/>
      <w:color w:val="D2232A"/>
      <w:kern w:val="32"/>
      <w:szCs w:val="32"/>
      <w:lang w:val="en-GB"/>
    </w:rPr>
  </w:style>
  <w:style w:type="paragraph" w:styleId="Heading2">
    <w:name w:val="heading 2"/>
    <w:aliases w:val="ECC Heading 2"/>
    <w:basedOn w:val="Normal"/>
    <w:next w:val="ECCParagraph"/>
    <w:link w:val="Heading2Char"/>
    <w:autoRedefine/>
    <w:qFormat/>
    <w:rsid w:val="0057004A"/>
    <w:pPr>
      <w:keepNext/>
      <w:numPr>
        <w:numId w:val="1"/>
      </w:numPr>
      <w:tabs>
        <w:tab w:val="clear" w:pos="432"/>
        <w:tab w:val="num" w:pos="-31680"/>
      </w:tabs>
      <w:spacing w:before="480" w:after="240"/>
      <w:outlineLvl w:val="1"/>
    </w:pPr>
    <w:rPr>
      <w:rFonts w:cs="Arial"/>
      <w:b/>
      <w:iCs/>
      <w:color w:val="D2232A"/>
      <w:szCs w:val="28"/>
    </w:rPr>
  </w:style>
  <w:style w:type="paragraph" w:styleId="Heading3">
    <w:name w:val="heading 3"/>
    <w:aliases w:val="ECC Heading 3"/>
    <w:basedOn w:val="Normal"/>
    <w:next w:val="ECCParagraph"/>
    <w:autoRedefine/>
    <w:qFormat/>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pPr>
      <w:numPr>
        <w:ilvl w:val="3"/>
        <w:numId w:val="1"/>
      </w:numPr>
      <w:spacing w:before="360" w:after="120"/>
      <w:outlineLvl w:val="3"/>
    </w:pPr>
    <w:rPr>
      <w:rFonts w:cs="Arial"/>
      <w:bCs/>
      <w:i/>
      <w:color w:val="D2232A"/>
      <w:szCs w:val="26"/>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z w:val="24"/>
    </w:rPr>
  </w:style>
  <w:style w:type="paragraph" w:styleId="Heading8">
    <w:name w:val="heading 8"/>
    <w:basedOn w:val="Normal"/>
    <w:next w:val="Normal"/>
    <w:qFormat/>
    <w:pPr>
      <w:numPr>
        <w:ilvl w:val="7"/>
        <w:numId w:val="1"/>
      </w:numPr>
      <w:spacing w:before="240" w:after="60"/>
      <w:outlineLvl w:val="7"/>
    </w:pPr>
    <w:rPr>
      <w:i/>
      <w:iCs/>
      <w:sz w:val="24"/>
    </w:rPr>
  </w:style>
  <w:style w:type="paragraph" w:styleId="Heading9">
    <w:name w:val="heading 9"/>
    <w:basedOn w:val="Normal"/>
    <w:next w:val="Normal"/>
    <w:qFormat/>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link w:val="ECCParagraphChar"/>
    <w:pPr>
      <w:spacing w:after="240"/>
      <w:jc w:val="both"/>
    </w:pPr>
    <w:rPr>
      <w:lang w:val="en-GB"/>
    </w:rPr>
  </w:style>
  <w:style w:type="paragraph" w:customStyle="1" w:styleId="ECCParBulleted">
    <w:name w:val="ECC Par Bulleted"/>
    <w:basedOn w:val="ECCParagraph"/>
    <w:rsid w:val="0071354C"/>
    <w:pPr>
      <w:numPr>
        <w:numId w:val="9"/>
      </w:numPr>
      <w:spacing w:after="120"/>
    </w:pPr>
  </w:style>
  <w:style w:type="paragraph" w:styleId="Header">
    <w:name w:val="header"/>
    <w:basedOn w:val="Normal"/>
    <w:semiHidden/>
    <w:pPr>
      <w:tabs>
        <w:tab w:val="center" w:pos="4320"/>
        <w:tab w:val="right" w:pos="8640"/>
      </w:tabs>
    </w:pPr>
    <w:rPr>
      <w:b/>
      <w:sz w:val="16"/>
    </w:rPr>
  </w:style>
  <w:style w:type="paragraph" w:styleId="Footer">
    <w:name w:val="footer"/>
    <w:basedOn w:val="Normal"/>
    <w:link w:val="FooterChar"/>
    <w:semiHidden/>
    <w:pPr>
      <w:tabs>
        <w:tab w:val="center" w:pos="4320"/>
        <w:tab w:val="right" w:pos="8640"/>
      </w:tabs>
    </w:pPr>
  </w:style>
  <w:style w:type="paragraph" w:customStyle="1" w:styleId="ECCAnnex-heading1">
    <w:name w:val="ECC Annex - heading1"/>
    <w:basedOn w:val="Heading1"/>
    <w:next w:val="ECCParagraph"/>
    <w:pPr>
      <w:numPr>
        <w:numId w:val="26"/>
      </w:numPr>
    </w:pPr>
  </w:style>
  <w:style w:type="paragraph" w:styleId="TOC1">
    <w:name w:val="toc 1"/>
    <w:basedOn w:val="Normal"/>
    <w:next w:val="Normal"/>
    <w:autoRedefine/>
    <w:semiHidden/>
    <w:pPr>
      <w:tabs>
        <w:tab w:val="left" w:pos="360"/>
        <w:tab w:val="right" w:leader="dot" w:pos="9629"/>
      </w:tabs>
      <w:spacing w:before="240"/>
    </w:pPr>
    <w:rPr>
      <w:b/>
      <w:caps/>
    </w:rPr>
  </w:style>
  <w:style w:type="character" w:styleId="Hyperlink">
    <w:name w:val="Hyperlink"/>
    <w:basedOn w:val="DefaultParagraphFont"/>
    <w:rsid w:val="006525A2"/>
    <w:rPr>
      <w:color w:val="0000FF"/>
      <w:u w:val="single"/>
    </w:rPr>
  </w:style>
  <w:style w:type="paragraph" w:styleId="TOC2">
    <w:name w:val="toc 2"/>
    <w:basedOn w:val="Normal"/>
    <w:next w:val="Normal"/>
    <w:autoRedefine/>
    <w:semiHidden/>
    <w:pPr>
      <w:tabs>
        <w:tab w:val="left" w:pos="900"/>
        <w:tab w:val="right" w:leader="dot" w:pos="9629"/>
      </w:tabs>
      <w:ind w:left="360"/>
    </w:pPr>
  </w:style>
  <w:style w:type="paragraph" w:styleId="TOC3">
    <w:name w:val="toc 3"/>
    <w:basedOn w:val="Normal"/>
    <w:next w:val="Normal"/>
    <w:autoRedefine/>
    <w:semiHidden/>
    <w:pPr>
      <w:tabs>
        <w:tab w:val="left" w:pos="1440"/>
        <w:tab w:val="right" w:leader="dot" w:pos="9629"/>
      </w:tabs>
      <w:ind w:left="900"/>
    </w:pPr>
  </w:style>
  <w:style w:type="paragraph" w:styleId="TOC4">
    <w:name w:val="toc 4"/>
    <w:basedOn w:val="Normal"/>
    <w:next w:val="Normal"/>
    <w:autoRedefine/>
    <w:semiHidden/>
    <w:pPr>
      <w:tabs>
        <w:tab w:val="left" w:pos="2340"/>
        <w:tab w:val="right" w:leader="dot" w:pos="9629"/>
      </w:tabs>
      <w:ind w:left="1440"/>
    </w:pPr>
    <w:rPr>
      <w:i/>
    </w:r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472501"/>
    <w:pPr>
      <w:numPr>
        <w:numId w:val="2"/>
      </w:numPr>
      <w:spacing w:before="360" w:after="240"/>
    </w:pPr>
  </w:style>
  <w:style w:type="paragraph" w:customStyle="1" w:styleId="ECCFootnote">
    <w:name w:val="ECC Footnote"/>
    <w:basedOn w:val="Normal"/>
    <w:autoRedefine/>
    <w:rsid w:val="008E0146"/>
    <w:pPr>
      <w:ind w:left="454" w:hanging="454"/>
    </w:pPr>
    <w:rPr>
      <w:sz w:val="16"/>
    </w:rPr>
  </w:style>
  <w:style w:type="paragraph" w:styleId="FootnoteText">
    <w:name w:val="footnote text"/>
    <w:aliases w:val="footnote text,ALTS FOOTNOTE,Footnote Text Char1 Char,Footnote Text Char Char Char,ALTS FOOTNOTE Char Char Char,footnote text Char Char Char,Footnote Text Char3 Char Char Char,Footnote Text Char2 Char Char Char Char"/>
    <w:basedOn w:val="Normal"/>
    <w:link w:val="FootnoteTextChar"/>
    <w:qFormat/>
    <w:rsid w:val="006525A2"/>
    <w:rPr>
      <w:szCs w:val="20"/>
    </w:rPr>
  </w:style>
  <w:style w:type="character" w:styleId="FootnoteReference">
    <w:name w:val="footnote reference"/>
    <w:aliases w:val="Appel note de bas de p,ECC Footnote number,Nota,Footnote symbol,Footnote,Fussnotenzeichen,Appel note de bas de p + (Asian) Batang,Black,Footnote Reference/,(NECG) Footnote Reference,Times 10 Point,Exposant 3 Point,fr,o,Style 6"/>
    <w:basedOn w:val="DefaultParagraphFont"/>
    <w:rsid w:val="006525A2"/>
    <w:rPr>
      <w:vertAlign w:val="superscript"/>
    </w:rPr>
  </w:style>
  <w:style w:type="paragraph" w:customStyle="1" w:styleId="Text">
    <w:name w:val="Text"/>
    <w:basedOn w:val="Normal"/>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qFormat/>
    <w:rsid w:val="00976389"/>
    <w:pPr>
      <w:spacing w:before="60" w:after="0"/>
      <w:ind w:left="284" w:hanging="284"/>
    </w:pPr>
    <w:rPr>
      <w:sz w:val="16"/>
      <w:szCs w:val="16"/>
    </w:rPr>
  </w:style>
  <w:style w:type="paragraph" w:customStyle="1" w:styleId="reference">
    <w:name w:val="reference"/>
    <w:basedOn w:val="Normal"/>
    <w:pPr>
      <w:numPr>
        <w:numId w:val="27"/>
      </w:numPr>
    </w:pPr>
    <w:rPr>
      <w:lang w:eastAsia="ja-JP"/>
    </w:rPr>
  </w:style>
  <w:style w:type="paragraph" w:customStyle="1" w:styleId="ECCAnnexheading2">
    <w:name w:val="ECC Annex heading2"/>
    <w:basedOn w:val="Normal"/>
    <w:next w:val="ECCParagraph"/>
    <w:rsid w:val="00976389"/>
    <w:pPr>
      <w:numPr>
        <w:ilvl w:val="1"/>
        <w:numId w:val="26"/>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pPr>
      <w:numPr>
        <w:ilvl w:val="2"/>
        <w:numId w:val="26"/>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pPr>
      <w:numPr>
        <w:ilvl w:val="3"/>
        <w:numId w:val="26"/>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Pr>
      <w:rFonts w:ascii="Times New Roman" w:hAnsi="Times New Roman"/>
      <w:sz w:val="24"/>
      <w:lang w:val="de-DE" w:eastAsia="en-GB"/>
    </w:rPr>
  </w:style>
  <w:style w:type="paragraph" w:customStyle="1" w:styleId="Reporttitledescription">
    <w:name w:val="Report title/description"/>
    <w:basedOn w:val="Normal"/>
    <w:pPr>
      <w:spacing w:before="600" w:line="288" w:lineRule="auto"/>
      <w:ind w:left="3402"/>
    </w:pPr>
    <w:rPr>
      <w:color w:val="57433E"/>
      <w:sz w:val="24"/>
    </w:rPr>
  </w:style>
  <w:style w:type="paragraph" w:customStyle="1" w:styleId="Lastupdated">
    <w:name w:val="Last updated"/>
    <w:basedOn w:val="Normal"/>
    <w:pPr>
      <w:spacing w:before="120" w:after="120"/>
      <w:ind w:left="3402"/>
    </w:pPr>
    <w:rPr>
      <w:bCs/>
      <w:sz w:val="18"/>
    </w:rPr>
  </w:style>
  <w:style w:type="numbering" w:customStyle="1" w:styleId="Letteredlist0">
    <w:name w:val="Lettered list"/>
    <w:pPr>
      <w:numPr>
        <w:numId w:val="6"/>
      </w:numPr>
    </w:pPr>
  </w:style>
  <w:style w:type="paragraph" w:customStyle="1" w:styleId="WGNNA-bulleted">
    <w:name w:val="WGNNA-bulleted"/>
    <w:basedOn w:val="Normal"/>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pPr>
      <w:numPr>
        <w:numId w:val="12"/>
      </w:numPr>
      <w:spacing w:after="120"/>
      <w:jc w:val="both"/>
    </w:pPr>
  </w:style>
  <w:style w:type="paragraph" w:customStyle="1" w:styleId="NumberedList">
    <w:name w:val="Numbered List"/>
    <w:basedOn w:val="ECCParagraph"/>
    <w:pPr>
      <w:numPr>
        <w:numId w:val="15"/>
      </w:numPr>
    </w:pPr>
  </w:style>
  <w:style w:type="numbering" w:customStyle="1" w:styleId="ECCNumbers-Letters">
    <w:name w:val="ECC Numbers-Letters"/>
    <w:uiPriority w:val="99"/>
    <w:pPr>
      <w:numPr>
        <w:numId w:val="14"/>
      </w:numPr>
    </w:pPr>
  </w:style>
  <w:style w:type="numbering" w:customStyle="1" w:styleId="ECCNumberedList">
    <w:name w:val="ECC Numbered List"/>
    <w:uiPriority w:val="99"/>
    <w:pPr>
      <w:numPr>
        <w:numId w:val="15"/>
      </w:numPr>
    </w:pPr>
  </w:style>
  <w:style w:type="paragraph" w:customStyle="1" w:styleId="ECCNumbered-LetteredList">
    <w:name w:val="ECC Numbered-Lettered List"/>
    <w:basedOn w:val="Normal"/>
    <w:pPr>
      <w:numPr>
        <w:numId w:val="14"/>
      </w:numPr>
    </w:pPr>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lang w:val="en-US"/>
    </w:rPr>
  </w:style>
  <w:style w:type="paragraph" w:styleId="BodyText">
    <w:name w:val="Body Text"/>
    <w:basedOn w:val="Normal"/>
    <w:link w:val="BodyTextChar"/>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Pr>
      <w:sz w:val="24"/>
      <w:szCs w:val="24"/>
      <w:lang w:eastAsia="nl-NL"/>
    </w:rPr>
  </w:style>
  <w:style w:type="paragraph" w:styleId="ListParagraph">
    <w:name w:val="List Paragraph"/>
    <w:basedOn w:val="Normal"/>
    <w:uiPriority w:val="34"/>
    <w:qFormat/>
    <w:pPr>
      <w:ind w:left="720"/>
      <w:contextualSpacing/>
    </w:pPr>
  </w:style>
  <w:style w:type="character" w:customStyle="1" w:styleId="Heading1Char">
    <w:name w:val="Heading 1 Char"/>
    <w:aliases w:val="ECC Heading 1 Char"/>
    <w:basedOn w:val="DefaultParagraphFont"/>
    <w:link w:val="Heading1"/>
    <w:rsid w:val="00CF0264"/>
    <w:rPr>
      <w:rFonts w:ascii="Arial" w:hAnsi="Arial" w:cs="Arial"/>
      <w:b/>
      <w:bCs/>
      <w:caps/>
      <w:color w:val="D2232A"/>
      <w:kern w:val="32"/>
      <w:szCs w:val="32"/>
    </w:rPr>
  </w:style>
  <w:style w:type="character" w:customStyle="1" w:styleId="Heading2Char">
    <w:name w:val="Heading 2 Char"/>
    <w:aliases w:val="ECC Heading 2 Char"/>
    <w:basedOn w:val="DefaultParagraphFont"/>
    <w:link w:val="Heading2"/>
    <w:rsid w:val="0057004A"/>
    <w:rPr>
      <w:rFonts w:ascii="Arial" w:hAnsi="Arial" w:cs="Arial"/>
      <w:b/>
      <w:iCs/>
      <w:color w:val="D2232A"/>
      <w:szCs w:val="28"/>
      <w:lang w:val="en-US"/>
    </w:rPr>
  </w:style>
  <w:style w:type="character" w:customStyle="1" w:styleId="FootnoteTextChar">
    <w:name w:val="Footnote Text Char"/>
    <w:aliases w:val="footnote text Char,ALTS FOOTNOTE Char,Footnote Text Char1 Char Char,Footnote Text Char Char Char Char,ALTS FOOTNOTE Char Char Char Char,footnote text Char Char Char Char,Footnote Text Char3 Char Char Char Char"/>
    <w:basedOn w:val="DefaultParagraphFont"/>
    <w:link w:val="FootnoteText"/>
    <w:locked/>
    <w:rPr>
      <w:rFonts w:ascii="Arial" w:hAnsi="Arial"/>
      <w:lang w:val="en-US"/>
    </w:rPr>
  </w:style>
  <w:style w:type="paragraph" w:customStyle="1" w:styleId="Default">
    <w:name w:val="Default"/>
    <w:pPr>
      <w:autoSpaceDE w:val="0"/>
      <w:autoSpaceDN w:val="0"/>
      <w:adjustRightInd w:val="0"/>
    </w:pPr>
    <w:rPr>
      <w:rFonts w:ascii="Arial" w:hAnsi="Arial" w:cs="Arial"/>
      <w:color w:val="000000"/>
      <w:sz w:val="24"/>
      <w:szCs w:val="24"/>
      <w:lang w:val="fr-FR" w:eastAsia="fr-FR"/>
    </w:rPr>
  </w:style>
  <w:style w:type="paragraph" w:customStyle="1" w:styleId="ECCBulletsLv1">
    <w:name w:val="ECC Bullets Lv1"/>
    <w:basedOn w:val="Normal"/>
    <w:qFormat/>
    <w:pPr>
      <w:tabs>
        <w:tab w:val="left" w:pos="340"/>
      </w:tabs>
      <w:spacing w:before="60"/>
      <w:jc w:val="both"/>
    </w:pPr>
    <w:rPr>
      <w:rFonts w:eastAsia="Calibri"/>
      <w:szCs w:val="22"/>
      <w:lang w:val="en-GB"/>
    </w:rPr>
  </w:style>
  <w:style w:type="character" w:customStyle="1" w:styleId="FooterChar">
    <w:name w:val="Footer Char"/>
    <w:basedOn w:val="DefaultParagraphFont"/>
    <w:link w:val="Footer"/>
    <w:semiHidden/>
    <w:rPr>
      <w:rFonts w:ascii="Arial" w:hAnsi="Arial"/>
      <w:szCs w:val="24"/>
      <w:lang w:val="en-US"/>
    </w:rPr>
  </w:style>
  <w:style w:type="paragraph" w:styleId="ListNumber">
    <w:name w:val="List Number"/>
    <w:basedOn w:val="Normal"/>
    <w:pPr>
      <w:numPr>
        <w:numId w:val="35"/>
      </w:numPr>
      <w:spacing w:after="240"/>
      <w:jc w:val="both"/>
    </w:pPr>
    <w:rPr>
      <w:rFonts w:ascii="Times New Roman" w:hAnsi="Times New Roman"/>
      <w:sz w:val="24"/>
      <w:szCs w:val="20"/>
      <w:lang w:val="en-GB" w:eastAsia="fr-BE"/>
    </w:rPr>
  </w:style>
  <w:style w:type="paragraph" w:customStyle="1" w:styleId="ListNumberLevel2">
    <w:name w:val="List Number (Level 2)"/>
    <w:basedOn w:val="Normal"/>
    <w:pPr>
      <w:numPr>
        <w:ilvl w:val="1"/>
        <w:numId w:val="35"/>
      </w:numPr>
      <w:spacing w:after="240"/>
      <w:jc w:val="both"/>
    </w:pPr>
    <w:rPr>
      <w:rFonts w:ascii="Times New Roman" w:hAnsi="Times New Roman"/>
      <w:sz w:val="24"/>
      <w:szCs w:val="20"/>
      <w:lang w:val="en-GB" w:eastAsia="fr-BE"/>
    </w:rPr>
  </w:style>
  <w:style w:type="paragraph" w:customStyle="1" w:styleId="ListNumberLevel3">
    <w:name w:val="List Number (Level 3)"/>
    <w:basedOn w:val="Normal"/>
    <w:pPr>
      <w:numPr>
        <w:ilvl w:val="2"/>
        <w:numId w:val="35"/>
      </w:numPr>
      <w:spacing w:after="240"/>
      <w:jc w:val="both"/>
    </w:pPr>
    <w:rPr>
      <w:rFonts w:ascii="Times New Roman" w:hAnsi="Times New Roman"/>
      <w:sz w:val="24"/>
      <w:szCs w:val="20"/>
      <w:lang w:val="en-GB" w:eastAsia="fr-BE"/>
    </w:rPr>
  </w:style>
  <w:style w:type="paragraph" w:customStyle="1" w:styleId="ListNumberLevel4">
    <w:name w:val="List Number (Level 4)"/>
    <w:basedOn w:val="Normal"/>
    <w:pPr>
      <w:numPr>
        <w:ilvl w:val="3"/>
        <w:numId w:val="35"/>
      </w:numPr>
      <w:spacing w:after="240"/>
      <w:jc w:val="both"/>
    </w:pPr>
    <w:rPr>
      <w:rFonts w:ascii="Times New Roman" w:hAnsi="Times New Roman"/>
      <w:sz w:val="24"/>
      <w:szCs w:val="20"/>
      <w:lang w:val="en-GB" w:eastAsia="fr-BE"/>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Cs w:val="20"/>
    </w:rPr>
  </w:style>
  <w:style w:type="character" w:customStyle="1" w:styleId="CommentTextChar">
    <w:name w:val="Comment Text Char"/>
    <w:basedOn w:val="DefaultParagraphFont"/>
    <w:link w:val="CommentText"/>
    <w:rPr>
      <w:rFonts w:ascii="Arial" w:hAnsi="Arial"/>
      <w:lang w:val="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b/>
      <w:bCs/>
      <w:lang w:val="en-US"/>
    </w:rPr>
  </w:style>
  <w:style w:type="paragraph" w:styleId="Revision">
    <w:name w:val="Revision"/>
    <w:hidden/>
    <w:uiPriority w:val="99"/>
    <w:semiHidden/>
    <w:rPr>
      <w:rFonts w:ascii="Arial" w:hAnsi="Arial"/>
      <w:szCs w:val="24"/>
      <w:lang w:val="en-US"/>
    </w:rPr>
  </w:style>
  <w:style w:type="character" w:customStyle="1" w:styleId="ECCHLcyan">
    <w:name w:val="ECC HL cyan"/>
    <w:basedOn w:val="DefaultParagraphFont"/>
    <w:uiPriority w:val="1"/>
    <w:qFormat/>
    <w:rPr>
      <w:iCs w:val="0"/>
      <w:bdr w:val="none" w:sz="0" w:space="0" w:color="auto"/>
      <w:shd w:val="solid" w:color="00FFFF" w:fill="auto"/>
      <w:lang w:val="en-GB"/>
    </w:rPr>
  </w:style>
  <w:style w:type="table" w:customStyle="1" w:styleId="ECCTable-redheader">
    <w:name w:val="ECC Table - red header"/>
    <w:basedOn w:val="TableNormal"/>
    <w:uiPriority w:val="99"/>
    <w:rsid w:val="0062045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customStyle="1" w:styleId="ECCTableHeaderwhitefont">
    <w:name w:val="ECC Table Header white font"/>
    <w:qFormat/>
    <w:rsid w:val="00BC0980"/>
    <w:pPr>
      <w:spacing w:before="240" w:after="60"/>
      <w:jc w:val="center"/>
    </w:pPr>
    <w:rPr>
      <w:rFonts w:ascii="Arial" w:eastAsia="Calibri" w:hAnsi="Arial"/>
      <w:bCs/>
      <w:color w:val="FFFFFF" w:themeColor="background1"/>
      <w:lang w:eastAsia="de-DE"/>
    </w:rPr>
  </w:style>
  <w:style w:type="character" w:customStyle="1" w:styleId="ECCHLsuperscript">
    <w:name w:val="ECC HL superscript"/>
    <w:uiPriority w:val="1"/>
    <w:rsid w:val="00BC0980"/>
    <w:rPr>
      <w:vertAlign w:val="superscript"/>
    </w:rPr>
  </w:style>
  <w:style w:type="paragraph" w:customStyle="1" w:styleId="ECCTabletext">
    <w:name w:val="ECC Table text"/>
    <w:basedOn w:val="Normal"/>
    <w:qFormat/>
    <w:rsid w:val="00643930"/>
    <w:pPr>
      <w:spacing w:after="60"/>
      <w:jc w:val="both"/>
    </w:pPr>
    <w:rPr>
      <w:rFonts w:eastAsia="Calibri"/>
      <w:szCs w:val="22"/>
      <w:lang w:val="en-GB"/>
    </w:rPr>
  </w:style>
  <w:style w:type="character" w:customStyle="1" w:styleId="ECCParagraphChar">
    <w:name w:val="ECC Paragraph Char"/>
    <w:link w:val="ECCParagraph"/>
    <w:locked/>
    <w:rsid w:val="0067485F"/>
    <w:rPr>
      <w:rFonts w:ascii="Arial" w:hAnsi="Arial"/>
      <w:szCs w:val="24"/>
    </w:rPr>
  </w:style>
  <w:style w:type="paragraph" w:styleId="Caption">
    <w:name w:val="caption"/>
    <w:aliases w:val="ECC Caption,cap,cap Char,Caption Char,Caption Char1 Char,cap Char Char1,Caption Char Char1 Char,cap Char2 Char,Ca,RptCaption,cap1,cap2,cap11"/>
    <w:next w:val="Normal"/>
    <w:qFormat/>
    <w:rsid w:val="001318DA"/>
    <w:pPr>
      <w:keepLines/>
      <w:tabs>
        <w:tab w:val="left" w:pos="0"/>
        <w:tab w:val="center" w:pos="4820"/>
        <w:tab w:val="right" w:pos="9639"/>
      </w:tabs>
      <w:spacing w:before="240" w:after="240"/>
      <w:contextualSpacing/>
      <w:jc w:val="center"/>
    </w:pPr>
    <w:rPr>
      <w:rFonts w:ascii="Arial" w:hAnsi="Arial"/>
      <w:b/>
      <w:bCs/>
      <w:color w:val="D2232A"/>
      <w:lang w:val="da-DK"/>
    </w:rPr>
  </w:style>
  <w:style w:type="paragraph" w:styleId="NormalWeb">
    <w:name w:val="Normal (Web)"/>
    <w:basedOn w:val="Normal"/>
    <w:uiPriority w:val="99"/>
    <w:semiHidden/>
    <w:unhideWhenUsed/>
    <w:rsid w:val="00FA78AD"/>
    <w:pPr>
      <w:spacing w:before="100" w:beforeAutospacing="1" w:after="100" w:afterAutospacing="1"/>
    </w:pPr>
    <w:rPr>
      <w:rFonts w:ascii="Times New Roman" w:hAnsi="Times New Roman"/>
      <w:sz w:val="24"/>
      <w:lang w:eastAsia="zh-CN"/>
    </w:rPr>
  </w:style>
  <w:style w:type="paragraph" w:customStyle="1" w:styleId="ECCAnnexheading1">
    <w:name w:val="ECC Annex heading1"/>
    <w:basedOn w:val="Heading1"/>
    <w:next w:val="ECCParagraph"/>
    <w:qFormat/>
    <w:rsid w:val="00CA7992"/>
    <w:pPr>
      <w:spacing w:before="100" w:beforeAutospacing="1"/>
      <w:jc w:val="left"/>
    </w:pPr>
    <w:rPr>
      <w:lang w:val="en-US"/>
    </w:rPr>
  </w:style>
  <w:style w:type="paragraph" w:customStyle="1" w:styleId="ECCFiguregraphcentered">
    <w:name w:val="ECC Figure/graph centered"/>
    <w:next w:val="Normal"/>
    <w:qFormat/>
    <w:rsid w:val="00CA7992"/>
    <w:pPr>
      <w:spacing w:before="240" w:after="240"/>
      <w:jc w:val="center"/>
    </w:pPr>
    <w:rPr>
      <w:rFonts w:ascii="Arial" w:hAnsi="Arial"/>
      <w:noProof/>
      <w:lang w:val="de-DE" w:eastAsia="de-DE"/>
      <w14:cntxtAlts/>
    </w:rPr>
  </w:style>
  <w:style w:type="paragraph" w:styleId="Date">
    <w:name w:val="Date"/>
    <w:basedOn w:val="Normal"/>
    <w:next w:val="Normal"/>
    <w:link w:val="DateChar"/>
    <w:uiPriority w:val="99"/>
    <w:semiHidden/>
    <w:unhideWhenUsed/>
    <w:rsid w:val="00F579C7"/>
  </w:style>
  <w:style w:type="character" w:customStyle="1" w:styleId="DateChar">
    <w:name w:val="Date Char"/>
    <w:basedOn w:val="DefaultParagraphFont"/>
    <w:link w:val="Date"/>
    <w:uiPriority w:val="99"/>
    <w:semiHidden/>
    <w:rsid w:val="00F579C7"/>
    <w:rPr>
      <w:rFonts w:ascii="Arial" w:hAnsi="Arial"/>
      <w:szCs w:val="24"/>
      <w:lang w:val="en-US"/>
    </w:rPr>
  </w:style>
  <w:style w:type="character" w:customStyle="1" w:styleId="UnresolvedMention1">
    <w:name w:val="Unresolved Mention1"/>
    <w:basedOn w:val="DefaultParagraphFont"/>
    <w:uiPriority w:val="99"/>
    <w:semiHidden/>
    <w:unhideWhenUsed/>
    <w:rsid w:val="00BE266D"/>
    <w:rPr>
      <w:color w:val="605E5C"/>
      <w:shd w:val="clear" w:color="auto" w:fill="E1DFDD"/>
    </w:rPr>
  </w:style>
  <w:style w:type="character" w:customStyle="1" w:styleId="UnresolvedMention10">
    <w:name w:val="Unresolved Mention1"/>
    <w:basedOn w:val="DefaultParagraphFont"/>
    <w:uiPriority w:val="99"/>
    <w:semiHidden/>
    <w:unhideWhenUsed/>
    <w:rsid w:val="0072040F"/>
    <w:rPr>
      <w:color w:val="605E5C"/>
      <w:shd w:val="clear" w:color="auto" w:fill="E1DFDD"/>
    </w:rPr>
  </w:style>
  <w:style w:type="character" w:styleId="UnresolvedMention">
    <w:name w:val="Unresolved Mention"/>
    <w:basedOn w:val="DefaultParagraphFont"/>
    <w:uiPriority w:val="99"/>
    <w:semiHidden/>
    <w:unhideWhenUsed/>
    <w:rsid w:val="00903D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730889">
      <w:bodyDiv w:val="1"/>
      <w:marLeft w:val="0"/>
      <w:marRight w:val="0"/>
      <w:marTop w:val="0"/>
      <w:marBottom w:val="0"/>
      <w:divBdr>
        <w:top w:val="none" w:sz="0" w:space="0" w:color="auto"/>
        <w:left w:val="none" w:sz="0" w:space="0" w:color="auto"/>
        <w:bottom w:val="none" w:sz="0" w:space="0" w:color="auto"/>
        <w:right w:val="none" w:sz="0" w:space="0" w:color="auto"/>
      </w:divBdr>
    </w:div>
    <w:div w:id="214700714">
      <w:bodyDiv w:val="1"/>
      <w:marLeft w:val="0"/>
      <w:marRight w:val="0"/>
      <w:marTop w:val="0"/>
      <w:marBottom w:val="0"/>
      <w:divBdr>
        <w:top w:val="none" w:sz="0" w:space="0" w:color="auto"/>
        <w:left w:val="none" w:sz="0" w:space="0" w:color="auto"/>
        <w:bottom w:val="none" w:sz="0" w:space="0" w:color="auto"/>
        <w:right w:val="none" w:sz="0" w:space="0" w:color="auto"/>
      </w:divBdr>
    </w:div>
    <w:div w:id="220603019">
      <w:bodyDiv w:val="1"/>
      <w:marLeft w:val="0"/>
      <w:marRight w:val="0"/>
      <w:marTop w:val="0"/>
      <w:marBottom w:val="0"/>
      <w:divBdr>
        <w:top w:val="none" w:sz="0" w:space="0" w:color="auto"/>
        <w:left w:val="none" w:sz="0" w:space="0" w:color="auto"/>
        <w:bottom w:val="none" w:sz="0" w:space="0" w:color="auto"/>
        <w:right w:val="none" w:sz="0" w:space="0" w:color="auto"/>
      </w:divBdr>
    </w:div>
    <w:div w:id="238633681">
      <w:bodyDiv w:val="1"/>
      <w:marLeft w:val="0"/>
      <w:marRight w:val="0"/>
      <w:marTop w:val="0"/>
      <w:marBottom w:val="0"/>
      <w:divBdr>
        <w:top w:val="none" w:sz="0" w:space="0" w:color="auto"/>
        <w:left w:val="none" w:sz="0" w:space="0" w:color="auto"/>
        <w:bottom w:val="none" w:sz="0" w:space="0" w:color="auto"/>
        <w:right w:val="none" w:sz="0" w:space="0" w:color="auto"/>
      </w:divBdr>
    </w:div>
    <w:div w:id="240143632">
      <w:bodyDiv w:val="1"/>
      <w:marLeft w:val="0"/>
      <w:marRight w:val="0"/>
      <w:marTop w:val="0"/>
      <w:marBottom w:val="0"/>
      <w:divBdr>
        <w:top w:val="none" w:sz="0" w:space="0" w:color="auto"/>
        <w:left w:val="none" w:sz="0" w:space="0" w:color="auto"/>
        <w:bottom w:val="none" w:sz="0" w:space="0" w:color="auto"/>
        <w:right w:val="none" w:sz="0" w:space="0" w:color="auto"/>
      </w:divBdr>
    </w:div>
    <w:div w:id="421069330">
      <w:bodyDiv w:val="1"/>
      <w:marLeft w:val="0"/>
      <w:marRight w:val="0"/>
      <w:marTop w:val="0"/>
      <w:marBottom w:val="0"/>
      <w:divBdr>
        <w:top w:val="none" w:sz="0" w:space="0" w:color="auto"/>
        <w:left w:val="none" w:sz="0" w:space="0" w:color="auto"/>
        <w:bottom w:val="none" w:sz="0" w:space="0" w:color="auto"/>
        <w:right w:val="none" w:sz="0" w:space="0" w:color="auto"/>
      </w:divBdr>
    </w:div>
    <w:div w:id="632517330">
      <w:bodyDiv w:val="1"/>
      <w:marLeft w:val="0"/>
      <w:marRight w:val="0"/>
      <w:marTop w:val="0"/>
      <w:marBottom w:val="0"/>
      <w:divBdr>
        <w:top w:val="none" w:sz="0" w:space="0" w:color="auto"/>
        <w:left w:val="none" w:sz="0" w:space="0" w:color="auto"/>
        <w:bottom w:val="none" w:sz="0" w:space="0" w:color="auto"/>
        <w:right w:val="none" w:sz="0" w:space="0" w:color="auto"/>
      </w:divBdr>
    </w:div>
    <w:div w:id="1039354540">
      <w:bodyDiv w:val="1"/>
      <w:marLeft w:val="0"/>
      <w:marRight w:val="0"/>
      <w:marTop w:val="0"/>
      <w:marBottom w:val="0"/>
      <w:divBdr>
        <w:top w:val="none" w:sz="0" w:space="0" w:color="auto"/>
        <w:left w:val="none" w:sz="0" w:space="0" w:color="auto"/>
        <w:bottom w:val="none" w:sz="0" w:space="0" w:color="auto"/>
        <w:right w:val="none" w:sz="0" w:space="0" w:color="auto"/>
      </w:divBdr>
    </w:div>
    <w:div w:id="1626696327">
      <w:bodyDiv w:val="1"/>
      <w:marLeft w:val="0"/>
      <w:marRight w:val="0"/>
      <w:marTop w:val="0"/>
      <w:marBottom w:val="0"/>
      <w:divBdr>
        <w:top w:val="none" w:sz="0" w:space="0" w:color="auto"/>
        <w:left w:val="none" w:sz="0" w:space="0" w:color="auto"/>
        <w:bottom w:val="none" w:sz="0" w:space="0" w:color="auto"/>
        <w:right w:val="none" w:sz="0" w:space="0" w:color="auto"/>
      </w:divBdr>
    </w:div>
    <w:div w:id="1887830652">
      <w:bodyDiv w:val="1"/>
      <w:marLeft w:val="45"/>
      <w:marRight w:val="45"/>
      <w:marTop w:val="45"/>
      <w:marBottom w:val="45"/>
      <w:divBdr>
        <w:top w:val="none" w:sz="0" w:space="0" w:color="auto"/>
        <w:left w:val="none" w:sz="0" w:space="0" w:color="auto"/>
        <w:bottom w:val="none" w:sz="0" w:space="0" w:color="auto"/>
        <w:right w:val="none" w:sz="0" w:space="0" w:color="auto"/>
      </w:divBdr>
      <w:divsChild>
        <w:div w:id="1247610443">
          <w:marLeft w:val="0"/>
          <w:marRight w:val="0"/>
          <w:marTop w:val="0"/>
          <w:marBottom w:val="75"/>
          <w:divBdr>
            <w:top w:val="none" w:sz="0" w:space="0" w:color="auto"/>
            <w:left w:val="none" w:sz="0" w:space="0" w:color="auto"/>
            <w:bottom w:val="none" w:sz="0" w:space="0" w:color="auto"/>
            <w:right w:val="none" w:sz="0" w:space="0" w:color="auto"/>
          </w:divBdr>
        </w:div>
      </w:divsChild>
    </w:div>
    <w:div w:id="208806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db.cept.org/"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sv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sv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7.emf"/><Relationship Id="rId1"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7CFA7-8837-47BE-B635-FA9D47636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7024</Words>
  <Characters>40037</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Draft revision of ECC Decision (06)13</vt:lpstr>
    </vt:vector>
  </TitlesOfParts>
  <Company/>
  <LinksUpToDate>false</LinksUpToDate>
  <CharactersWithSpaces>46968</CharactersWithSpaces>
  <SharedDoc>false</SharedDoc>
  <HLinks>
    <vt:vector size="102" baseType="variant">
      <vt:variant>
        <vt:i4>458831</vt:i4>
      </vt:variant>
      <vt:variant>
        <vt:i4>510</vt:i4>
      </vt:variant>
      <vt:variant>
        <vt:i4>0</vt:i4>
      </vt:variant>
      <vt:variant>
        <vt:i4>5</vt:i4>
      </vt:variant>
      <vt:variant>
        <vt:lpwstr>https://docdb.cept.org/document/1001</vt:lpwstr>
      </vt:variant>
      <vt:variant>
        <vt:lpwstr/>
      </vt:variant>
      <vt:variant>
        <vt:i4>3473533</vt:i4>
      </vt:variant>
      <vt:variant>
        <vt:i4>507</vt:i4>
      </vt:variant>
      <vt:variant>
        <vt:i4>0</vt:i4>
      </vt:variant>
      <vt:variant>
        <vt:i4>5</vt:i4>
      </vt:variant>
      <vt:variant>
        <vt:lpwstr>https://docdb.cept.org/document/335</vt:lpwstr>
      </vt:variant>
      <vt:variant>
        <vt:lpwstr/>
      </vt:variant>
      <vt:variant>
        <vt:i4>458828</vt:i4>
      </vt:variant>
      <vt:variant>
        <vt:i4>504</vt:i4>
      </vt:variant>
      <vt:variant>
        <vt:i4>0</vt:i4>
      </vt:variant>
      <vt:variant>
        <vt:i4>5</vt:i4>
      </vt:variant>
      <vt:variant>
        <vt:lpwstr>https://docdb.cept.org/document/19385</vt:lpwstr>
      </vt:variant>
      <vt:variant>
        <vt:lpwstr/>
      </vt:variant>
      <vt:variant>
        <vt:i4>131148</vt:i4>
      </vt:variant>
      <vt:variant>
        <vt:i4>501</vt:i4>
      </vt:variant>
      <vt:variant>
        <vt:i4>0</vt:i4>
      </vt:variant>
      <vt:variant>
        <vt:i4>5</vt:i4>
      </vt:variant>
      <vt:variant>
        <vt:lpwstr>https://docdb.cept.org/document/12367</vt:lpwstr>
      </vt:variant>
      <vt:variant>
        <vt:lpwstr/>
      </vt:variant>
      <vt:variant>
        <vt:i4>917569</vt:i4>
      </vt:variant>
      <vt:variant>
        <vt:i4>498</vt:i4>
      </vt:variant>
      <vt:variant>
        <vt:i4>0</vt:i4>
      </vt:variant>
      <vt:variant>
        <vt:i4>5</vt:i4>
      </vt:variant>
      <vt:variant>
        <vt:lpwstr>https://docdb.cept.org/document/9068</vt:lpwstr>
      </vt:variant>
      <vt:variant>
        <vt:lpwstr/>
      </vt:variant>
      <vt:variant>
        <vt:i4>76</vt:i4>
      </vt:variant>
      <vt:variant>
        <vt:i4>495</vt:i4>
      </vt:variant>
      <vt:variant>
        <vt:i4>0</vt:i4>
      </vt:variant>
      <vt:variant>
        <vt:i4>5</vt:i4>
      </vt:variant>
      <vt:variant>
        <vt:lpwstr>https://docdb.cept.org/document/1036</vt:lpwstr>
      </vt:variant>
      <vt:variant>
        <vt:lpwstr/>
      </vt:variant>
      <vt:variant>
        <vt:i4>4456472</vt:i4>
      </vt:variant>
      <vt:variant>
        <vt:i4>492</vt:i4>
      </vt:variant>
      <vt:variant>
        <vt:i4>0</vt:i4>
      </vt:variant>
      <vt:variant>
        <vt:i4>5</vt:i4>
      </vt:variant>
      <vt:variant>
        <vt:lpwstr>D:\Spectrum regulation\CEPT\ECC PT1_70\docs\ECC PT1(22)011_PC resolution ECC Decision (06)13\ECC Report 266</vt:lpwstr>
      </vt:variant>
      <vt:variant>
        <vt:lpwstr/>
      </vt:variant>
      <vt:variant>
        <vt:i4>3604602</vt:i4>
      </vt:variant>
      <vt:variant>
        <vt:i4>489</vt:i4>
      </vt:variant>
      <vt:variant>
        <vt:i4>0</vt:i4>
      </vt:variant>
      <vt:variant>
        <vt:i4>5</vt:i4>
      </vt:variant>
      <vt:variant>
        <vt:lpwstr>https://docdb.cept.org/document/41</vt:lpwstr>
      </vt:variant>
      <vt:variant>
        <vt:lpwstr/>
      </vt:variant>
      <vt:variant>
        <vt:i4>3539066</vt:i4>
      </vt:variant>
      <vt:variant>
        <vt:i4>486</vt:i4>
      </vt:variant>
      <vt:variant>
        <vt:i4>0</vt:i4>
      </vt:variant>
      <vt:variant>
        <vt:i4>5</vt:i4>
      </vt:variant>
      <vt:variant>
        <vt:lpwstr>https://docdb.cept.org/document/40</vt:lpwstr>
      </vt:variant>
      <vt:variant>
        <vt:lpwstr/>
      </vt:variant>
      <vt:variant>
        <vt:i4>3276921</vt:i4>
      </vt:variant>
      <vt:variant>
        <vt:i4>483</vt:i4>
      </vt:variant>
      <vt:variant>
        <vt:i4>0</vt:i4>
      </vt:variant>
      <vt:variant>
        <vt:i4>5</vt:i4>
      </vt:variant>
      <vt:variant>
        <vt:lpwstr>https://docdb.cept.org/document/743</vt:lpwstr>
      </vt:variant>
      <vt:variant>
        <vt:lpwstr/>
      </vt:variant>
      <vt:variant>
        <vt:i4>3407993</vt:i4>
      </vt:variant>
      <vt:variant>
        <vt:i4>480</vt:i4>
      </vt:variant>
      <vt:variant>
        <vt:i4>0</vt:i4>
      </vt:variant>
      <vt:variant>
        <vt:i4>5</vt:i4>
      </vt:variant>
      <vt:variant>
        <vt:lpwstr>https://docdb.cept.org/document/721</vt:lpwstr>
      </vt:variant>
      <vt:variant>
        <vt:lpwstr/>
      </vt:variant>
      <vt:variant>
        <vt:i4>3604601</vt:i4>
      </vt:variant>
      <vt:variant>
        <vt:i4>477</vt:i4>
      </vt:variant>
      <vt:variant>
        <vt:i4>0</vt:i4>
      </vt:variant>
      <vt:variant>
        <vt:i4>5</vt:i4>
      </vt:variant>
      <vt:variant>
        <vt:lpwstr>https://docdb.cept.org/document/716</vt:lpwstr>
      </vt:variant>
      <vt:variant>
        <vt:lpwstr/>
      </vt:variant>
      <vt:variant>
        <vt:i4>3407994</vt:i4>
      </vt:variant>
      <vt:variant>
        <vt:i4>474</vt:i4>
      </vt:variant>
      <vt:variant>
        <vt:i4>0</vt:i4>
      </vt:variant>
      <vt:variant>
        <vt:i4>5</vt:i4>
      </vt:variant>
      <vt:variant>
        <vt:lpwstr>https://docdb.cept.org/document/42</vt:lpwstr>
      </vt:variant>
      <vt:variant>
        <vt:lpwstr/>
      </vt:variant>
      <vt:variant>
        <vt:i4>3539068</vt:i4>
      </vt:variant>
      <vt:variant>
        <vt:i4>471</vt:i4>
      </vt:variant>
      <vt:variant>
        <vt:i4>0</vt:i4>
      </vt:variant>
      <vt:variant>
        <vt:i4>5</vt:i4>
      </vt:variant>
      <vt:variant>
        <vt:lpwstr>https://docdb.cept.org/document/204</vt:lpwstr>
      </vt:variant>
      <vt:variant>
        <vt:lpwstr/>
      </vt:variant>
      <vt:variant>
        <vt:i4>4128895</vt:i4>
      </vt:variant>
      <vt:variant>
        <vt:i4>468</vt:i4>
      </vt:variant>
      <vt:variant>
        <vt:i4>0</vt:i4>
      </vt:variant>
      <vt:variant>
        <vt:i4>5</vt:i4>
      </vt:variant>
      <vt:variant>
        <vt:lpwstr>https://docdb.cept.org/document/190</vt:lpwstr>
      </vt:variant>
      <vt:variant>
        <vt:lpwstr/>
      </vt:variant>
      <vt:variant>
        <vt:i4>3407992</vt:i4>
      </vt:variant>
      <vt:variant>
        <vt:i4>465</vt:i4>
      </vt:variant>
      <vt:variant>
        <vt:i4>0</vt:i4>
      </vt:variant>
      <vt:variant>
        <vt:i4>5</vt:i4>
      </vt:variant>
      <vt:variant>
        <vt:lpwstr>https://docdb.cept.org/document/628</vt:lpwstr>
      </vt:variant>
      <vt:variant>
        <vt:lpwstr/>
      </vt:variant>
      <vt:variant>
        <vt:i4>2949226</vt:i4>
      </vt:variant>
      <vt:variant>
        <vt:i4>285</vt:i4>
      </vt:variant>
      <vt:variant>
        <vt:i4>0</vt:i4>
      </vt:variant>
      <vt:variant>
        <vt:i4>5</vt:i4>
      </vt:variant>
      <vt:variant>
        <vt:lpwstr>https://docdb.cept.org/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revision of ECC Decision (06)13</dc:title>
  <dc:subject/>
  <dc:creator>ECC</dc:creator>
  <cp:keywords>Draft revision of ECC Decision (06)13</cp:keywords>
  <cp:lastModifiedBy>ECO</cp:lastModifiedBy>
  <cp:revision>5</cp:revision>
  <dcterms:created xsi:type="dcterms:W3CDTF">2022-03-10T12:09:00Z</dcterms:created>
  <dcterms:modified xsi:type="dcterms:W3CDTF">2022-03-14T13:13:00Z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(3)/tlWrErtwhy2BQkfHTp9VAcGODHC9Zpi+LqJ/9DqiTnRLBSA8PcjaeW3eD8HlkcRSs2PjMw+
KzJ+LdkzWwEx5w6FfgxY9VMGk9/O7sEHQnsJ3rJD2TKQu7A7zRmIZfbS7RIcmIgpmA9cFuZ5
uoXcBQOymh5n6wfJl/SMG+ULYaMC1CBdRxAd5XotouEmwUG0zcLLamwqaUki7CW+/o+jel2o
JTJFfFRJNNsCt1Ue5J</vt:lpwstr>
  </property>
  <property fmtid="{D5CDD505-2E9C-101B-9397-08002B2CF9AE}" pid="3" name="_2015_ms_pID_7253431">
    <vt:lpwstr>3Gd2C6pHoxNOmyWMS30R0ZMHykwJ0GcLQv8MQH/I2Fw39lWfX/ngm6
InE3w/lAvlounzHSTMIDyYgP4EolVCwZpmC3ECltdQ8UnZPpX4hZix9EpHeHEXvWrYMXpQgf
ydUqwqVzMwWNNpfJ+uGL71HbR388u1hCGgrlJKjnHL4utqaJk9rz3s37s93lAO0Ws88EsAlT
wCXlz3SUo1ILRfHqCXgGAsk0OEbKmKIwStIY</vt:lpwstr>
  </property>
  <property fmtid="{D5CDD505-2E9C-101B-9397-08002B2CF9AE}" pid="4" name="_2015_ms_pID_7253432">
    <vt:lpwstr>kQ==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1642499274</vt:lpwstr>
  </property>
  <property fmtid="{D5CDD505-2E9C-101B-9397-08002B2CF9AE}" pid="9" name="MSIP_Label_5a50d26f-5c2c-4137-8396-1b24eb24286c_Enabled">
    <vt:lpwstr>true</vt:lpwstr>
  </property>
  <property fmtid="{D5CDD505-2E9C-101B-9397-08002B2CF9AE}" pid="10" name="MSIP_Label_5a50d26f-5c2c-4137-8396-1b24eb24286c_SetDate">
    <vt:lpwstr>2022-01-21T13:28:50Z</vt:lpwstr>
  </property>
  <property fmtid="{D5CDD505-2E9C-101B-9397-08002B2CF9AE}" pid="11" name="MSIP_Label_5a50d26f-5c2c-4137-8396-1b24eb24286c_Method">
    <vt:lpwstr>Privileged</vt:lpwstr>
  </property>
  <property fmtid="{D5CDD505-2E9C-101B-9397-08002B2CF9AE}" pid="12" name="MSIP_Label_5a50d26f-5c2c-4137-8396-1b24eb24286c_Name">
    <vt:lpwstr>5a50d26f-5c2c-4137-8396-1b24eb24286c</vt:lpwstr>
  </property>
  <property fmtid="{D5CDD505-2E9C-101B-9397-08002B2CF9AE}" pid="13" name="MSIP_Label_5a50d26f-5c2c-4137-8396-1b24eb24286c_SiteId">
    <vt:lpwstr>0af648de-310c-4068-8ae4-f9418bae24cc</vt:lpwstr>
  </property>
  <property fmtid="{D5CDD505-2E9C-101B-9397-08002B2CF9AE}" pid="14" name="MSIP_Label_5a50d26f-5c2c-4137-8396-1b24eb24286c_ActionId">
    <vt:lpwstr>33442125-773e-402e-8eae-7900a6d95fde</vt:lpwstr>
  </property>
  <property fmtid="{D5CDD505-2E9C-101B-9397-08002B2CF9AE}" pid="15" name="MSIP_Label_5a50d26f-5c2c-4137-8396-1b24eb24286c_ContentBits">
    <vt:lpwstr>0</vt:lpwstr>
  </property>
  <property fmtid="{D5CDD505-2E9C-101B-9397-08002B2CF9AE}" pid="16" name="TitusGUID">
    <vt:lpwstr>b128da4f-50ef-4611-ad11-1084d970bd1e</vt:lpwstr>
  </property>
  <property fmtid="{D5CDD505-2E9C-101B-9397-08002B2CF9AE}" pid="17" name="CTP_TimeStamp">
    <vt:lpwstr>2019-01-17 22:23:33Z</vt:lpwstr>
  </property>
  <property fmtid="{D5CDD505-2E9C-101B-9397-08002B2CF9AE}" pid="18" name="CTP_BU">
    <vt:lpwstr>NA</vt:lpwstr>
  </property>
  <property fmtid="{D5CDD505-2E9C-101B-9397-08002B2CF9AE}" pid="19" name="CTP_IDSID">
    <vt:lpwstr>NA</vt:lpwstr>
  </property>
  <property fmtid="{D5CDD505-2E9C-101B-9397-08002B2CF9AE}" pid="20" name="CTP_WWID">
    <vt:lpwstr>NA</vt:lpwstr>
  </property>
  <property fmtid="{D5CDD505-2E9C-101B-9397-08002B2CF9AE}" pid="21" name="CTPClassification">
    <vt:lpwstr>CTP_NT</vt:lpwstr>
  </property>
  <property fmtid="{D5CDD505-2E9C-101B-9397-08002B2CF9AE}" pid="22" name="MSIP_Label_5a50d26f-5c2c-4137-8396-1b24eb24286c_Owner">
    <vt:lpwstr>Chris.Woolford@ofcom.org.uk</vt:lpwstr>
  </property>
  <property fmtid="{D5CDD505-2E9C-101B-9397-08002B2CF9AE}" pid="23" name="MSIP_Label_5a50d26f-5c2c-4137-8396-1b24eb24286c_Application">
    <vt:lpwstr>Microsoft Azure Information Protection</vt:lpwstr>
  </property>
  <property fmtid="{D5CDD505-2E9C-101B-9397-08002B2CF9AE}" pid="24" name="MSIP_Label_5a50d26f-5c2c-4137-8396-1b24eb24286c_Extended_MSFT_Method">
    <vt:lpwstr>Manual</vt:lpwstr>
  </property>
  <property fmtid="{D5CDD505-2E9C-101B-9397-08002B2CF9AE}" pid="25" name="Sensitivity">
    <vt:lpwstr>Protected</vt:lpwstr>
  </property>
</Properties>
</file>