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BC029" w14:textId="77777777" w:rsidR="006D1829" w:rsidRDefault="006D1829"/>
    <w:p w14:paraId="6AF60CE2" w14:textId="36884780" w:rsidR="0056247C" w:rsidRPr="00D35404" w:rsidRDefault="00CB05A7">
      <w:r w:rsidRPr="00D35404">
        <w:rPr>
          <w:noProof/>
          <w:szCs w:val="20"/>
          <w:lang w:val="fr-FR" w:eastAsia="fr-FR"/>
        </w:rPr>
        <w:drawing>
          <wp:anchor distT="0" distB="0" distL="114300" distR="114300" simplePos="0" relativeHeight="251658242" behindDoc="0" locked="0" layoutInCell="1" allowOverlap="1" wp14:anchorId="3087B933" wp14:editId="61D8A7D3">
            <wp:simplePos x="0" y="0"/>
            <wp:positionH relativeFrom="page">
              <wp:posOffset>5679440</wp:posOffset>
            </wp:positionH>
            <wp:positionV relativeFrom="page">
              <wp:posOffset>857250</wp:posOffset>
            </wp:positionV>
            <wp:extent cx="1461770" cy="546100"/>
            <wp:effectExtent l="25400" t="0" r="11430" b="0"/>
            <wp:wrapNone/>
            <wp:docPr id="4" name="Picture 4"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c_logo"/>
                    <pic:cNvPicPr>
                      <a:picLocks noChangeAspect="1" noChangeArrowheads="1"/>
                    </pic:cNvPicPr>
                  </pic:nvPicPr>
                  <pic:blipFill>
                    <a:blip r:embed="rId8"/>
                    <a:srcRect/>
                    <a:stretch>
                      <a:fillRect/>
                    </a:stretch>
                  </pic:blipFill>
                  <pic:spPr bwMode="auto">
                    <a:xfrm>
                      <a:off x="0" y="0"/>
                      <a:ext cx="1461770" cy="546100"/>
                    </a:xfrm>
                    <a:prstGeom prst="rect">
                      <a:avLst/>
                    </a:prstGeom>
                    <a:noFill/>
                  </pic:spPr>
                </pic:pic>
              </a:graphicData>
            </a:graphic>
          </wp:anchor>
        </w:drawing>
      </w:r>
      <w:r w:rsidRPr="00D35404">
        <w:rPr>
          <w:noProof/>
          <w:szCs w:val="20"/>
          <w:lang w:val="fr-FR" w:eastAsia="fr-FR"/>
        </w:rPr>
        <w:drawing>
          <wp:anchor distT="0" distB="0" distL="114300" distR="114300" simplePos="0" relativeHeight="251658241" behindDoc="0" locked="0" layoutInCell="1" allowOverlap="1" wp14:anchorId="4FAB42BC" wp14:editId="782C1483">
            <wp:simplePos x="0" y="0"/>
            <wp:positionH relativeFrom="page">
              <wp:posOffset>720090</wp:posOffset>
            </wp:positionH>
            <wp:positionV relativeFrom="page">
              <wp:posOffset>914400</wp:posOffset>
            </wp:positionV>
            <wp:extent cx="889000" cy="889000"/>
            <wp:effectExtent l="0" t="0" r="6350" b="6350"/>
            <wp:wrapNone/>
            <wp:docPr id="3" name="Picture 3"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pt logo"/>
                    <pic:cNvPicPr>
                      <a:picLocks noChangeAspect="1" noChangeArrowheads="1"/>
                    </pic:cNvPicPr>
                  </pic:nvPicPr>
                  <pic:blipFill>
                    <a:blip r:embed="rId9"/>
                    <a:srcRect/>
                    <a:stretch>
                      <a:fillRect/>
                    </a:stretch>
                  </pic:blipFill>
                  <pic:spPr bwMode="auto">
                    <a:xfrm>
                      <a:off x="0" y="0"/>
                      <a:ext cx="889000" cy="889000"/>
                    </a:xfrm>
                    <a:prstGeom prst="rect">
                      <a:avLst/>
                    </a:prstGeom>
                    <a:noFill/>
                  </pic:spPr>
                </pic:pic>
              </a:graphicData>
            </a:graphic>
          </wp:anchor>
        </w:drawing>
      </w:r>
    </w:p>
    <w:p w14:paraId="7C592386" w14:textId="77777777" w:rsidR="0056247C" w:rsidRPr="00D35404" w:rsidRDefault="0056247C" w:rsidP="00EF2060">
      <w:pPr>
        <w:jc w:val="center"/>
      </w:pPr>
    </w:p>
    <w:p w14:paraId="02B4BB67" w14:textId="77777777" w:rsidR="0056247C" w:rsidRPr="00D35404" w:rsidRDefault="0056247C" w:rsidP="00EF2060">
      <w:pPr>
        <w:jc w:val="center"/>
      </w:pPr>
    </w:p>
    <w:p w14:paraId="6A860B4C" w14:textId="77777777" w:rsidR="0056247C" w:rsidRPr="00D35404" w:rsidRDefault="0056247C" w:rsidP="00EF2060">
      <w:pPr>
        <w:jc w:val="center"/>
        <w:rPr>
          <w:b/>
          <w:sz w:val="24"/>
        </w:rPr>
      </w:pPr>
      <w:r w:rsidRPr="00D35404">
        <w:rPr>
          <w:b/>
          <w:noProof/>
          <w:sz w:val="24"/>
          <w:szCs w:val="20"/>
          <w:lang w:val="fr-FR" w:eastAsia="fr-FR"/>
        </w:rPr>
        <mc:AlternateContent>
          <mc:Choice Requires="wpg">
            <w:drawing>
              <wp:anchor distT="0" distB="0" distL="114300" distR="114300" simplePos="0" relativeHeight="251658240" behindDoc="0" locked="0" layoutInCell="1" allowOverlap="1" wp14:anchorId="4E1BED36" wp14:editId="206801C4">
                <wp:simplePos x="0" y="0"/>
                <wp:positionH relativeFrom="column">
                  <wp:posOffset>-720090</wp:posOffset>
                </wp:positionH>
                <wp:positionV relativeFrom="paragraph">
                  <wp:posOffset>69850</wp:posOffset>
                </wp:positionV>
                <wp:extent cx="7564120" cy="8268970"/>
                <wp:effectExtent l="0" t="0" r="0" b="0"/>
                <wp:wrapNone/>
                <wp:docPr id="2"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5" name="Rectangle 8"/>
                        <wps:cNvSpPr>
                          <a:spLocks noChangeArrowheads="1"/>
                        </wps:cNvSpPr>
                        <wps:spPr bwMode="auto">
                          <a:xfrm>
                            <a:off x="6" y="15439"/>
                            <a:ext cx="11906" cy="283"/>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6" name="Text Box 9"/>
                        <wps:cNvSpPr txBox="1">
                          <a:spLocks noChangeArrowheads="1"/>
                        </wps:cNvSpPr>
                        <wps:spPr bwMode="auto">
                          <a:xfrm>
                            <a:off x="0" y="2700"/>
                            <a:ext cx="11906" cy="2564"/>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B0489C" w14:textId="77777777" w:rsidR="0056247C" w:rsidRPr="00FE1795" w:rsidRDefault="0056247C" w:rsidP="00EF2060">
                              <w:pPr>
                                <w:rPr>
                                  <w:color w:val="57433E"/>
                                  <w:sz w:val="68"/>
                                </w:rPr>
                              </w:pPr>
                              <w:r w:rsidRPr="00FE1795">
                                <w:rPr>
                                  <w:color w:val="FFFFFF"/>
                                  <w:sz w:val="68"/>
                                </w:rPr>
                                <w:t xml:space="preserve">ECC Decision </w:t>
                              </w:r>
                              <w:r w:rsidRPr="001E2FAA">
                                <w:rPr>
                                  <w:color w:val="887E6E"/>
                                  <w:sz w:val="68"/>
                                </w:rPr>
                                <w:t>(</w:t>
                              </w:r>
                              <w:r>
                                <w:rPr>
                                  <w:color w:val="887E6E"/>
                                  <w:sz w:val="68"/>
                                </w:rPr>
                                <w:t>04</w:t>
                              </w:r>
                              <w:r w:rsidRPr="001E2FAA">
                                <w:rPr>
                                  <w:color w:val="887E6E"/>
                                  <w:sz w:val="68"/>
                                </w:rPr>
                                <w:t>)</w:t>
                              </w:r>
                              <w:r>
                                <w:rPr>
                                  <w:color w:val="887E6E"/>
                                  <w:sz w:val="68"/>
                                </w:rPr>
                                <w:t>10</w:t>
                              </w:r>
                            </w:p>
                          </w:txbxContent>
                        </wps:txbx>
                        <wps:bodyPr rot="0" vert="horz" wrap="square" lIns="2880000" tIns="540000" rIns="72000" bIns="45720" anchor="t" anchorCtr="0" upright="1">
                          <a:noAutofit/>
                        </wps:bodyPr>
                      </wps:wsp>
                      <wpg:grpSp>
                        <wpg:cNvPr id="7" name="Group 26"/>
                        <wpg:cNvGrpSpPr>
                          <a:grpSpLocks/>
                        </wpg:cNvGrpSpPr>
                        <wpg:grpSpPr bwMode="auto">
                          <a:xfrm>
                            <a:off x="1739" y="3125"/>
                            <a:ext cx="1735" cy="1735"/>
                            <a:chOff x="954" y="3125"/>
                            <a:chExt cx="1735" cy="1735"/>
                          </a:xfrm>
                        </wpg:grpSpPr>
                        <wps:wsp>
                          <wps:cNvPr id="8" name="Rectangle 24"/>
                          <wps:cNvSpPr>
                            <a:spLocks noChangeAspect="1" noChangeArrowheads="1"/>
                          </wps:cNvSpPr>
                          <wps:spPr bwMode="auto">
                            <a:xfrm rot="2700000">
                              <a:off x="954" y="3125"/>
                              <a:ext cx="1735" cy="1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9" name="Rectangle 25"/>
                          <wps:cNvSpPr>
                            <a:spLocks noChangeAspect="1" noChangeArrowheads="1"/>
                          </wps:cNvSpPr>
                          <wps:spPr bwMode="auto">
                            <a:xfrm rot="2700000">
                              <a:off x="1241" y="3444"/>
                              <a:ext cx="1126" cy="1126"/>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E1BED36" id="Group 28" o:spid="_x0000_s1026" style="position:absolute;left:0;text-align:left;margin-left:-56.7pt;margin-top:5.5pt;width:595.6pt;height:651.1pt;z-index:251658240"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158YgMAAGYNAAAOAAAAZHJzL2Uyb0RvYy54bWzsV9tum0AQfa/Uf1jtew2swdgoOEpzU6W0&#10;jZr0A9awXFRg6e46OP36zu6C7dipqlzaRFV5QAx7mzlz5jAcHK7qCt0wIUvexNgbuRixJuFp2eQx&#10;/np99m6KkVS0SWnFGxbjWybx4fztm4OujRjhBa9SJhBs0sioa2NcKNVGjiOTgtVUjnjLGhjMuKip&#10;AlPkTipoB7vXlUNcd+J0XKSt4AmTEt6e2EE8N/tnGUvU5yyTTKEqxuCbMndh7gt9d+YHNMoFbYsy&#10;6d2gj/CipmUDh663OqGKoqUo97aqy0RwyTM1Snjt8CwrE2ZigGg8dyeac8GXrYklj7q8XcME0O7g&#10;9Ohtk08356K9ai+F9R4eL3jyTQIuTtfm0fa4tnM7GS26jzyFfNKl4ibwVSZqvQWEhFYG39s1vmyl&#10;UAIvw2DiewTSkMDYlEyms7DPQFJAmjbrSOiuB077xZ4384hd6o1dQnTqHBrZc42vvW8690AmucFL&#10;Pg2vq4K2zKRBajwuBSrTGAcYNbQGCL4AyWiTVwxNtU/6cJg1QCotnqjhxwXMYkdC8K5gNAWnPBPD&#10;nQXakJCN3wI8wQhA9AJ/PLMkHkAGnFwY1BCT6fgOSjRqhVTnjNdIP8RYgOsme/TmQioL6DBFJ1Py&#10;qkzPyqoyhsgXx5VANxRq6YSQMTnqd78zrWr05IbrZXZH/QYSZAOzAC14egtBCm4LEgQEHgoufmDU&#10;QTHGWH5fUsEwqj40ANTM831dvcYIfBcujISxQlABMBbG8AMwMaJNAnvFWA2Px8qW/LIVZV7AUZ6J&#10;uuFHQN+sNJFrB61bvbfAoL9EJUiXpdK1TuJ7vkImp1vEQGoFrwe//xSnADrNmnXx3UcpKOFXyim1&#10;Wqz6+nsgvch0ain1IgTrRVVzzehtry/hQArzFUBkomHflWT9wXkuyfZCkBJNgLFHAn0YjdYECMcg&#10;d1pSYFI/tpbsWeDvLEuK00G09xa+pGRDL7Ir2cSweavSjNLtarZsQSh19T2PjFvd03WmtUuf2H81&#10;96H8dQbWQD6jqp+Z67+qy9GDGqr7GwQopj22mdp5LWzziA+M1gXv+6YMtgreA72xBa+f7Hd8aPGG&#10;DuHJTUQQ+uPx6b9Pt0132nfV0Myb5rX/8dB/C9u2mbX5PZr/BAAA//8DAFBLAwQUAAYACAAAACEA&#10;WFow+uIAAAANAQAADwAAAGRycy9kb3ducmV2LnhtbEyPQUvDQBCF74L/YRnBW7vZRq3EbEop6qkI&#10;toJ422anSWh2NmS3SfrvnZ70No/38ea9fDW5VgzYh8aTBjVPQCCV3jZUafjav82eQYRoyJrWE2q4&#10;YIBVcXuTm8z6kT5x2MVKcAiFzGioY+wyKUNZozNh7jsk9o6+dyay7CtpezNyuGvlIkmepDMN8Yfa&#10;dLipsTztzk7D+2jGdapeh+3puLn87B8/vrcKtb6/m9YvICJO8Q+Ga32uDgV3Ovgz2SBaDTOl0gdm&#10;2VE86kokyyWvOfCVqnQBssjl/xXFLwAAAP//AwBQSwECLQAUAAYACAAAACEAtoM4kv4AAADhAQAA&#10;EwAAAAAAAAAAAAAAAAAAAAAAW0NvbnRlbnRfVHlwZXNdLnhtbFBLAQItABQABgAIAAAAIQA4/SH/&#10;1gAAAJQBAAALAAAAAAAAAAAAAAAAAC8BAABfcmVscy8ucmVsc1BLAQItABQABgAIAAAAIQAl5158&#10;YgMAAGYNAAAOAAAAAAAAAAAAAAAAAC4CAABkcnMvZTJvRG9jLnhtbFBLAQItABQABgAIAAAAIQBY&#10;WjD64gAAAA0BAAAPAAAAAAAAAAAAAAAAALwFAABkcnMvZG93bnJldi54bWxQSwUGAAAAAAQABADz&#10;AAAAywYAAAAA&#10;">
                <v:rect id="Rectangle 8" o:spid="_x0000_s1027" style="position:absolute;left:6;top:15439;width:11906;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A2IxAAAANoAAAAPAAAAZHJzL2Rvd25yZXYueG1sRI9Ba8JA&#10;FITvQv/D8oReQt20xSDRVYog5tgmeujtkX0mwezbNLsm8d+7hUKPw8x8w2x2k2nFQL1rLCt4XcQg&#10;iEurG64UnIrDywqE88gaW8uk4E4Odtun2QZTbUf+oiH3lQgQdikqqL3vUildWZNBt7AdcfAutjfo&#10;g+wrqXscA9y08i2OE2mw4bBQY0f7msprfjMKVsnPOcmSz2ZfHKOouPns+91kSj3Pp481CE+T/w//&#10;tTOtYAm/V8INkNsHAAAA//8DAFBLAQItABQABgAIAAAAIQDb4fbL7gAAAIUBAAATAAAAAAAAAAAA&#10;AAAAAAAAAABbQ29udGVudF9UeXBlc10ueG1sUEsBAi0AFAAGAAgAAAAhAFr0LFu/AAAAFQEAAAsA&#10;AAAAAAAAAAAAAAAAHwEAAF9yZWxzLy5yZWxzUEsBAi0AFAAGAAgAAAAhADH0DYjEAAAA2gAAAA8A&#10;AAAAAAAAAAAAAAAABwIAAGRycy9kb3ducmV2LnhtbFBLBQYAAAAAAwADALcAAAD4AgAAAAA=&#10;" fillcolor="#d2232a" stroked="f">
                  <v:textbox inset=",15mm,2mm"/>
                </v:rect>
                <v:shapetype id="_x0000_t202" coordsize="21600,21600" o:spt="202" path="m,l,21600r21600,l21600,xe">
                  <v:stroke joinstyle="miter"/>
                  <v:path gradientshapeok="t" o:connecttype="rect"/>
                </v:shapetype>
                <v:shape id="Text Box 9" o:spid="_x0000_s1028" type="#_x0000_t202" style="position:absolute;top:2700;width:11906;height:2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ud/wwAAANoAAAAPAAAAZHJzL2Rvd25yZXYueG1sRI9Pa8JA&#10;FMTvBb/D8gRvdRMJoaauIoogHizxz6G3R/Y1Cc2+DdnVxG/vCoUeh5n5DbNYDaYRd+pcbVlBPI1A&#10;EBdW11wquJx37x8gnEfW2FgmBQ9ysFqO3haYadtzTveTL0WAsMtQQeV9m0npiooMuqltiYP3YzuD&#10;PsiulLrDPsBNI2dRlEqDNYeFClvaVFT8nm5GAebfh2OybfbzZPO1K+M6RklXpSbjYf0JwtPg/8N/&#10;7b1WkMLrSrgBcvkEAAD//wMAUEsBAi0AFAAGAAgAAAAhANvh9svuAAAAhQEAABMAAAAAAAAAAAAA&#10;AAAAAAAAAFtDb250ZW50X1R5cGVzXS54bWxQSwECLQAUAAYACAAAACEAWvQsW78AAAAVAQAACwAA&#10;AAAAAAAAAAAAAAAfAQAAX3JlbHMvLnJlbHNQSwECLQAUAAYACAAAACEA49rnf8MAAADaAAAADwAA&#10;AAAAAAAAAAAAAAAHAgAAZHJzL2Rvd25yZXYueG1sUEsFBgAAAAADAAMAtwAAAPcCAAAAAA==&#10;" fillcolor="#d2232a" stroked="f">
                  <v:textbox inset="80mm,15mm,2mm">
                    <w:txbxContent>
                      <w:p w14:paraId="11B0489C" w14:textId="77777777" w:rsidR="0056247C" w:rsidRPr="00FE1795" w:rsidRDefault="0056247C" w:rsidP="00EF2060">
                        <w:pPr>
                          <w:rPr>
                            <w:color w:val="57433E"/>
                            <w:sz w:val="68"/>
                          </w:rPr>
                        </w:pPr>
                        <w:r w:rsidRPr="00FE1795">
                          <w:rPr>
                            <w:color w:val="FFFFFF"/>
                            <w:sz w:val="68"/>
                          </w:rPr>
                          <w:t xml:space="preserve">ECC Decision </w:t>
                        </w:r>
                        <w:r w:rsidRPr="001E2FAA">
                          <w:rPr>
                            <w:color w:val="887E6E"/>
                            <w:sz w:val="68"/>
                          </w:rPr>
                          <w:t>(</w:t>
                        </w:r>
                        <w:r>
                          <w:rPr>
                            <w:color w:val="887E6E"/>
                            <w:sz w:val="68"/>
                          </w:rPr>
                          <w:t>04</w:t>
                        </w:r>
                        <w:r w:rsidRPr="001E2FAA">
                          <w:rPr>
                            <w:color w:val="887E6E"/>
                            <w:sz w:val="68"/>
                          </w:rPr>
                          <w:t>)</w:t>
                        </w:r>
                        <w:r>
                          <w:rPr>
                            <w:color w:val="887E6E"/>
                            <w:sz w:val="68"/>
                          </w:rPr>
                          <w:t>10</w:t>
                        </w:r>
                      </w:p>
                    </w:txbxContent>
                  </v:textbox>
                </v:shape>
                <v:group id="Group 26" o:spid="_x0000_s1029" style="position:absolute;left:1739;top:3125;width:1735;height:1735" coordorigin="954,3125" coordsize="1735,1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24" o:spid="_x0000_s1030" style="position:absolute;left:954;top:3125;width:1735;height:1735;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toawAAAANoAAAAPAAAAZHJzL2Rvd25yZXYueG1sRE9Ni8Iw&#10;EL0v+B/CCF4WTfWwK9W0iCIW8aK76nVoxrbYTEoTbf33m4Owx8f7Xqa9qcWTWldZVjCdRCCIc6sr&#10;LhT8/mzHcxDOI2usLZOCFzlIk8HHEmNtOz7S8+QLEULYxaig9L6JpXR5SQbdxDbEgbvZ1qAPsC2k&#10;brEL4aaWsyj6kgYrDg0lNrQuKb+fHkZBtFvvP7N+fjln3YOoO/L3YXNVajTsVwsQnnr/L367M60g&#10;bA1Xwg2QyR8AAAD//wMAUEsBAi0AFAAGAAgAAAAhANvh9svuAAAAhQEAABMAAAAAAAAAAAAAAAAA&#10;AAAAAFtDb250ZW50X1R5cGVzXS54bWxQSwECLQAUAAYACAAAACEAWvQsW78AAAAVAQAACwAAAAAA&#10;AAAAAAAAAAAfAQAAX3JlbHMvLnJlbHNQSwECLQAUAAYACAAAACEAxE7aGsAAAADaAAAADwAAAAAA&#10;AAAAAAAAAAAHAgAAZHJzL2Rvd25yZXYueG1sUEsFBgAAAAADAAMAtwAAAPQCAAAAAA==&#10;" stroked="f">
                    <o:lock v:ext="edit" aspectratio="t"/>
                    <v:textbox inset=",15mm,2mm"/>
                  </v:rect>
                  <v:rect id="Rectangle 25" o:spid="_x0000_s1031" style="position:absolute;left:1241;top:3444;width:1126;height:1126;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QOwQAAANoAAAAPAAAAZHJzL2Rvd25yZXYueG1sRI9Bi8Iw&#10;FITvC/6H8AQvi6arrGhtKrIgeFu0Inh7NM+2tHmpTdT67zeCsMdhZr5hknVvGnGnzlWWFXxNIhDE&#10;udUVFwqO2Xa8AOE8ssbGMil4koN1OvhIMNb2wXu6H3whAoRdjApK79tYSpeXZNBNbEscvIvtDPog&#10;u0LqDh8Bbho5jaK5NFhxWCixpZ+S8vpwMwqIvmeLbNpkyOfrZ13r0+6XjFKjYb9ZgfDU+//wu73T&#10;CpbwuhJugEz/AAAA//8DAFBLAQItABQABgAIAAAAIQDb4fbL7gAAAIUBAAATAAAAAAAAAAAAAAAA&#10;AAAAAABbQ29udGVudF9UeXBlc10ueG1sUEsBAi0AFAAGAAgAAAAhAFr0LFu/AAAAFQEAAAsAAAAA&#10;AAAAAAAAAAAAHwEAAF9yZWxzLy5yZWxzUEsBAi0AFAAGAAgAAAAhAF4X5A7BAAAA2gAAAA8AAAAA&#10;AAAAAAAAAAAABwIAAGRycy9kb3ducmV2LnhtbFBLBQYAAAAAAwADALcAAAD1AgAAAAA=&#10;" fillcolor="#57433e" stroked="f">
                    <o:lock v:ext="edit" aspectratio="t"/>
                    <v:textbox inset=",15mm,2mm"/>
                  </v:rect>
                </v:group>
              </v:group>
            </w:pict>
          </mc:Fallback>
        </mc:AlternateContent>
      </w:r>
    </w:p>
    <w:p w14:paraId="336C5B3F" w14:textId="77777777" w:rsidR="0056247C" w:rsidRPr="00D35404" w:rsidRDefault="0056247C" w:rsidP="00EF2060">
      <w:pPr>
        <w:jc w:val="center"/>
        <w:rPr>
          <w:b/>
          <w:sz w:val="24"/>
        </w:rPr>
      </w:pPr>
    </w:p>
    <w:p w14:paraId="5EF55B4C" w14:textId="77777777" w:rsidR="0056247C" w:rsidRPr="00D35404" w:rsidRDefault="0056247C" w:rsidP="00EF2060">
      <w:pPr>
        <w:jc w:val="center"/>
        <w:rPr>
          <w:b/>
          <w:sz w:val="24"/>
        </w:rPr>
      </w:pPr>
    </w:p>
    <w:p w14:paraId="05BC6388" w14:textId="77777777" w:rsidR="0056247C" w:rsidRPr="00D35404" w:rsidRDefault="0056247C" w:rsidP="00EF2060">
      <w:pPr>
        <w:jc w:val="center"/>
        <w:rPr>
          <w:b/>
          <w:sz w:val="24"/>
        </w:rPr>
      </w:pPr>
    </w:p>
    <w:p w14:paraId="2743019E" w14:textId="77777777" w:rsidR="0056247C" w:rsidRPr="00D35404" w:rsidRDefault="0056247C" w:rsidP="00EF2060">
      <w:pPr>
        <w:jc w:val="center"/>
        <w:rPr>
          <w:b/>
          <w:sz w:val="24"/>
        </w:rPr>
      </w:pPr>
    </w:p>
    <w:p w14:paraId="50A1E07E" w14:textId="77777777" w:rsidR="0056247C" w:rsidRPr="00D35404" w:rsidRDefault="0056247C" w:rsidP="00EF2060">
      <w:pPr>
        <w:jc w:val="center"/>
        <w:rPr>
          <w:b/>
          <w:sz w:val="24"/>
        </w:rPr>
      </w:pPr>
    </w:p>
    <w:p w14:paraId="6D2E104C" w14:textId="77777777" w:rsidR="0056247C" w:rsidRPr="00D35404" w:rsidRDefault="0056247C" w:rsidP="00EF2060">
      <w:pPr>
        <w:jc w:val="center"/>
        <w:rPr>
          <w:b/>
          <w:sz w:val="24"/>
        </w:rPr>
      </w:pPr>
    </w:p>
    <w:p w14:paraId="1B341B3D" w14:textId="77777777" w:rsidR="0056247C" w:rsidRPr="00D35404" w:rsidRDefault="0056247C" w:rsidP="00EF2060">
      <w:pPr>
        <w:rPr>
          <w:b/>
          <w:sz w:val="24"/>
        </w:rPr>
      </w:pPr>
    </w:p>
    <w:p w14:paraId="3905AEBB" w14:textId="77777777" w:rsidR="0056247C" w:rsidRPr="00D35404" w:rsidRDefault="0056247C" w:rsidP="00EF2060">
      <w:pPr>
        <w:pStyle w:val="Reporttitledescription"/>
        <w:rPr>
          <w:color w:val="auto"/>
          <w:lang w:val="en-GB"/>
        </w:rPr>
      </w:pPr>
      <w:r w:rsidRPr="00D35404">
        <w:rPr>
          <w:color w:val="auto"/>
          <w:lang w:val="en-GB"/>
        </w:rPr>
        <w:fldChar w:fldCharType="begin">
          <w:ffData>
            <w:name w:val="Text7"/>
            <w:enabled/>
            <w:calcOnExit w:val="0"/>
            <w:textInput>
              <w:default w:val="The frequency bands to be designated for the temporary introduction of Automotive Short Range Radars (SRR)   "/>
            </w:textInput>
          </w:ffData>
        </w:fldChar>
      </w:r>
      <w:bookmarkStart w:id="0" w:name="Text7"/>
      <w:r w:rsidRPr="00D35404">
        <w:rPr>
          <w:color w:val="auto"/>
          <w:lang w:val="en-GB"/>
        </w:rPr>
        <w:instrText xml:space="preserve"> FORMTEXT </w:instrText>
      </w:r>
      <w:r w:rsidRPr="00D35404">
        <w:rPr>
          <w:color w:val="auto"/>
          <w:lang w:val="en-GB"/>
        </w:rPr>
      </w:r>
      <w:r w:rsidRPr="00D35404">
        <w:rPr>
          <w:color w:val="auto"/>
          <w:lang w:val="en-GB"/>
        </w:rPr>
        <w:fldChar w:fldCharType="separate"/>
      </w:r>
      <w:r w:rsidRPr="00D35404">
        <w:rPr>
          <w:color w:val="auto"/>
          <w:lang w:val="en-GB"/>
        </w:rPr>
        <w:t>The frequency bands to be designated for the temporary introduction of Automotive Short Range Radars (SRR)</w:t>
      </w:r>
      <w:r w:rsidRPr="00D35404">
        <w:rPr>
          <w:rStyle w:val="FootnoteReference"/>
          <w:color w:val="auto"/>
          <w:lang w:val="en-GB"/>
        </w:rPr>
        <w:footnoteReference w:id="2"/>
      </w:r>
      <w:r w:rsidRPr="00D35404">
        <w:rPr>
          <w:color w:val="auto"/>
          <w:lang w:val="en-GB"/>
        </w:rPr>
        <w:t xml:space="preserve">   </w:t>
      </w:r>
      <w:r w:rsidRPr="00D35404">
        <w:rPr>
          <w:color w:val="auto"/>
          <w:lang w:val="en-GB"/>
        </w:rPr>
        <w:fldChar w:fldCharType="end"/>
      </w:r>
      <w:bookmarkEnd w:id="0"/>
    </w:p>
    <w:p w14:paraId="2A0CFEEC" w14:textId="14FDCB9F" w:rsidR="0056247C" w:rsidRPr="00D35404" w:rsidRDefault="00A16D54" w:rsidP="00EF2060">
      <w:pPr>
        <w:pStyle w:val="Reporttitledescription"/>
        <w:rPr>
          <w:b/>
          <w:color w:val="auto"/>
          <w:sz w:val="18"/>
          <w:lang w:val="en-GB"/>
        </w:rPr>
      </w:pPr>
      <w:r>
        <w:rPr>
          <w:b/>
          <w:color w:val="auto"/>
          <w:sz w:val="18"/>
          <w:lang w:val="en-GB"/>
        </w:rPr>
        <w:fldChar w:fldCharType="begin">
          <w:ffData>
            <w:name w:val="Text8"/>
            <w:enabled/>
            <w:calcOnExit w:val="0"/>
            <w:textInput>
              <w:default w:val="approved 12 November 2004"/>
            </w:textInput>
          </w:ffData>
        </w:fldChar>
      </w:r>
      <w:bookmarkStart w:id="1" w:name="Text8"/>
      <w:r>
        <w:rPr>
          <w:b/>
          <w:color w:val="auto"/>
          <w:sz w:val="18"/>
          <w:lang w:val="en-GB"/>
        </w:rPr>
        <w:instrText xml:space="preserve"> FORMTEXT </w:instrText>
      </w:r>
      <w:r>
        <w:rPr>
          <w:b/>
          <w:color w:val="auto"/>
          <w:sz w:val="18"/>
          <w:lang w:val="en-GB"/>
        </w:rPr>
      </w:r>
      <w:r>
        <w:rPr>
          <w:b/>
          <w:color w:val="auto"/>
          <w:sz w:val="18"/>
          <w:lang w:val="en-GB"/>
        </w:rPr>
        <w:fldChar w:fldCharType="separate"/>
      </w:r>
      <w:r>
        <w:rPr>
          <w:b/>
          <w:noProof/>
          <w:color w:val="auto"/>
          <w:sz w:val="18"/>
          <w:lang w:val="en-GB"/>
        </w:rPr>
        <w:t>approved 12 November 2004</w:t>
      </w:r>
      <w:r>
        <w:rPr>
          <w:b/>
          <w:color w:val="auto"/>
          <w:sz w:val="18"/>
          <w:lang w:val="en-GB"/>
        </w:rPr>
        <w:fldChar w:fldCharType="end"/>
      </w:r>
      <w:bookmarkEnd w:id="1"/>
    </w:p>
    <w:p w14:paraId="4F9C660C" w14:textId="780F1308" w:rsidR="00CB05A7" w:rsidRPr="00D35404" w:rsidRDefault="00EB09F1" w:rsidP="00EF2060">
      <w:pPr>
        <w:pStyle w:val="Lastupdated"/>
        <w:rPr>
          <w:b/>
          <w:lang w:val="en-GB"/>
        </w:rPr>
      </w:pPr>
      <w:r>
        <w:rPr>
          <w:b/>
          <w:lang w:val="en-GB"/>
        </w:rPr>
        <w:fldChar w:fldCharType="begin">
          <w:ffData>
            <w:name w:val=""/>
            <w:enabled/>
            <w:calcOnExit w:val="0"/>
            <w:textInput>
              <w:default w:val="latest amended 4 March 2022"/>
            </w:textInput>
          </w:ffData>
        </w:fldChar>
      </w:r>
      <w:r>
        <w:rPr>
          <w:b/>
          <w:lang w:val="en-GB"/>
        </w:rPr>
        <w:instrText xml:space="preserve"> FORMTEXT </w:instrText>
      </w:r>
      <w:r>
        <w:rPr>
          <w:b/>
          <w:lang w:val="en-GB"/>
        </w:rPr>
      </w:r>
      <w:r>
        <w:rPr>
          <w:b/>
          <w:lang w:val="en-GB"/>
        </w:rPr>
        <w:fldChar w:fldCharType="separate"/>
      </w:r>
      <w:r>
        <w:rPr>
          <w:b/>
          <w:noProof/>
          <w:lang w:val="en-GB"/>
        </w:rPr>
        <w:t>latest amended 4 March 2022</w:t>
      </w:r>
      <w:r>
        <w:rPr>
          <w:b/>
          <w:lang w:val="en-GB"/>
        </w:rPr>
        <w:fldChar w:fldCharType="end"/>
      </w:r>
    </w:p>
    <w:p w14:paraId="3E03AAAF" w14:textId="77777777" w:rsidR="00CB05A7" w:rsidRPr="00D35404" w:rsidRDefault="00CB05A7">
      <w:pPr>
        <w:rPr>
          <w:rFonts w:eastAsia="Times New Roman"/>
          <w:b/>
          <w:bCs/>
          <w:sz w:val="18"/>
          <w:szCs w:val="24"/>
        </w:rPr>
      </w:pPr>
      <w:r w:rsidRPr="00D35404">
        <w:rPr>
          <w:b/>
        </w:rPr>
        <w:br w:type="page"/>
      </w:r>
    </w:p>
    <w:p w14:paraId="2DB7CAA0" w14:textId="2EC64112" w:rsidR="0056247C" w:rsidRPr="00D35404" w:rsidRDefault="0056247C" w:rsidP="00B643ED">
      <w:pPr>
        <w:pStyle w:val="Heading1"/>
        <w:numPr>
          <w:ilvl w:val="0"/>
          <w:numId w:val="0"/>
        </w:numPr>
        <w:rPr>
          <w:lang w:val="en-GB"/>
        </w:rPr>
      </w:pPr>
      <w:r w:rsidRPr="00D35404">
        <w:rPr>
          <w:lang w:val="en-GB"/>
        </w:rPr>
        <w:lastRenderedPageBreak/>
        <w:t>explanatory memorandum</w:t>
      </w:r>
    </w:p>
    <w:p w14:paraId="7EE527CD" w14:textId="77777777" w:rsidR="0056247C" w:rsidRPr="00C552EB" w:rsidRDefault="0056247C" w:rsidP="0056247C">
      <w:pPr>
        <w:pStyle w:val="Heading2"/>
        <w:numPr>
          <w:ilvl w:val="0"/>
          <w:numId w:val="6"/>
        </w:numPr>
        <w:spacing w:after="240"/>
        <w:jc w:val="left"/>
        <w:rPr>
          <w:color w:val="D2232A"/>
          <w:lang w:val="en-GB"/>
        </w:rPr>
      </w:pPr>
      <w:r w:rsidRPr="00C552EB">
        <w:rPr>
          <w:color w:val="D2232A"/>
          <w:lang w:val="en-GB"/>
        </w:rPr>
        <w:t>INTRODUCTION</w:t>
      </w:r>
    </w:p>
    <w:p w14:paraId="5CF0198C" w14:textId="77777777" w:rsidR="0056247C" w:rsidRPr="00D35404" w:rsidRDefault="00183B53" w:rsidP="00EF2060">
      <w:r w:rsidRPr="00D35404">
        <w:t>Automotive Short Range Radar (</w:t>
      </w:r>
      <w:r w:rsidR="0056247C" w:rsidRPr="00D35404">
        <w:t>SRR</w:t>
      </w:r>
      <w:r w:rsidRPr="00D35404">
        <w:t>)</w:t>
      </w:r>
      <w:r w:rsidR="0056247C" w:rsidRPr="00D35404">
        <w:t xml:space="preserve"> systems are an essential element of a future transport infrastructure for Europe, and in particular contribute to the long term goal of the European Commission </w:t>
      </w:r>
      <w:r w:rsidR="0056247C" w:rsidRPr="00D35404">
        <w:rPr>
          <w:i/>
        </w:rPr>
        <w:t>e-</w:t>
      </w:r>
      <w:r w:rsidR="0056247C" w:rsidRPr="00D35404">
        <w:t>safety initiative.</w:t>
      </w:r>
    </w:p>
    <w:p w14:paraId="5E132780" w14:textId="1013BDBA" w:rsidR="0047185D" w:rsidRPr="00D35404" w:rsidRDefault="00D75739" w:rsidP="00A67F4D">
      <w:r w:rsidRPr="00D35404">
        <w:t xml:space="preserve">ECC Decision </w:t>
      </w:r>
      <w:r w:rsidR="00DD4BC5" w:rsidRPr="00D35404">
        <w:t>(04)03 of 19 March 2004</w:t>
      </w:r>
      <w:r w:rsidR="00561BC8" w:rsidRPr="00D35404">
        <w:t xml:space="preserve"> </w:t>
      </w:r>
      <w:r w:rsidR="00561BC8" w:rsidRPr="00D35404">
        <w:fldChar w:fldCharType="begin"/>
      </w:r>
      <w:r w:rsidR="00561BC8" w:rsidRPr="00D35404">
        <w:instrText xml:space="preserve"> REF _Ref90456976 \r \h </w:instrText>
      </w:r>
      <w:r w:rsidR="00D35404">
        <w:instrText xml:space="preserve"> \* MERGEFORMAT </w:instrText>
      </w:r>
      <w:r w:rsidR="00561BC8" w:rsidRPr="00D35404">
        <w:fldChar w:fldCharType="separate"/>
      </w:r>
      <w:r w:rsidR="00561BC8" w:rsidRPr="00D35404">
        <w:t>[2]</w:t>
      </w:r>
      <w:r w:rsidR="00561BC8" w:rsidRPr="00D35404">
        <w:fldChar w:fldCharType="end"/>
      </w:r>
      <w:r w:rsidR="00DD4BC5" w:rsidRPr="00D35404">
        <w:t xml:space="preserve"> designates the 77-81 GHz band for SRR. </w:t>
      </w:r>
      <w:r w:rsidR="004437BC" w:rsidRPr="00D35404">
        <w:t>Until 1 January 2022</w:t>
      </w:r>
      <w:r w:rsidR="00854F6E" w:rsidRPr="00D35404">
        <w:t>,</w:t>
      </w:r>
      <w:r w:rsidR="004437BC" w:rsidRPr="00D35404">
        <w:t xml:space="preserve"> t</w:t>
      </w:r>
      <w:r w:rsidR="00DD4BC5" w:rsidRPr="00D35404">
        <w:t xml:space="preserve">here was also a temporary designation for wideband 24 GHz SRR. However, no new wideband SRR equipment may be brought into use in the 24 GHz frequency band. This </w:t>
      </w:r>
      <w:r w:rsidR="00993771" w:rsidRPr="00D35404">
        <w:t>E</w:t>
      </w:r>
      <w:r w:rsidR="00AC04E6" w:rsidRPr="00D35404">
        <w:t xml:space="preserve">CC </w:t>
      </w:r>
      <w:r w:rsidR="00DD4BC5" w:rsidRPr="00D35404">
        <w:t>Decision therefore only relates to 24 GHz SRR that remain in use.</w:t>
      </w:r>
    </w:p>
    <w:p w14:paraId="1FDF3990" w14:textId="2C1A7D7A" w:rsidR="00D21634" w:rsidRPr="00D35404" w:rsidRDefault="00663E31" w:rsidP="00EF2060">
      <w:r w:rsidRPr="00D35404">
        <w:t>Narrow</w:t>
      </w:r>
      <w:r w:rsidR="00DE7437" w:rsidRPr="00D35404">
        <w:t xml:space="preserve">band apparatus operating </w:t>
      </w:r>
      <w:r w:rsidR="00933133" w:rsidRPr="00D35404">
        <w:t>in accordance with</w:t>
      </w:r>
      <w:r w:rsidR="00DE7437" w:rsidRPr="00D35404">
        <w:t xml:space="preserve"> the conditions set out in ERC Recommendation </w:t>
      </w:r>
      <w:r w:rsidR="00175FB3" w:rsidRPr="00D35404">
        <w:t>70-03</w:t>
      </w:r>
      <w:r w:rsidR="00FB3D3F" w:rsidRPr="00D35404">
        <w:t xml:space="preserve">, </w:t>
      </w:r>
      <w:r w:rsidR="00175FB3" w:rsidRPr="00D35404">
        <w:t xml:space="preserve"> Annex 1</w:t>
      </w:r>
      <w:r w:rsidR="00D14543" w:rsidRPr="00D35404">
        <w:t xml:space="preserve"> </w:t>
      </w:r>
      <w:r w:rsidR="00175FB3" w:rsidRPr="00D35404">
        <w:t>(m)</w:t>
      </w:r>
      <w:r w:rsidR="001D2341" w:rsidRPr="00D35404">
        <w:t xml:space="preserve"> and</w:t>
      </w:r>
      <w:r w:rsidR="00175FB3" w:rsidRPr="00D35404">
        <w:t xml:space="preserve"> Annex </w:t>
      </w:r>
      <w:r w:rsidR="00CF6F6A" w:rsidRPr="00D35404">
        <w:t>5 (</w:t>
      </w:r>
      <w:r w:rsidR="008E4D34" w:rsidRPr="00D35404">
        <w:t>d1, d2,d3, d4, d5</w:t>
      </w:r>
      <w:r w:rsidR="00D643D5" w:rsidRPr="00D35404">
        <w:t>)</w:t>
      </w:r>
      <w:r w:rsidR="0052222B" w:rsidRPr="00D35404">
        <w:t xml:space="preserve"> </w:t>
      </w:r>
      <w:r w:rsidR="0052222B" w:rsidRPr="00D35404">
        <w:fldChar w:fldCharType="begin"/>
      </w:r>
      <w:r w:rsidR="0052222B" w:rsidRPr="00D35404">
        <w:instrText xml:space="preserve"> REF _Ref90455815 \r \h </w:instrText>
      </w:r>
      <w:r w:rsidR="00D35404">
        <w:instrText xml:space="preserve"> \* MERGEFORMAT </w:instrText>
      </w:r>
      <w:r w:rsidR="0052222B" w:rsidRPr="00D35404">
        <w:fldChar w:fldCharType="separate"/>
      </w:r>
      <w:r w:rsidR="0052222B" w:rsidRPr="00D35404">
        <w:t>[1]</w:t>
      </w:r>
      <w:r w:rsidR="0052222B" w:rsidRPr="00D35404">
        <w:fldChar w:fldCharType="end"/>
      </w:r>
      <w:r w:rsidR="00D643D5" w:rsidRPr="00D35404">
        <w:t xml:space="preserve"> </w:t>
      </w:r>
      <w:r w:rsidR="0089582A" w:rsidRPr="00D35404">
        <w:t xml:space="preserve">are not restricted by this ECC </w:t>
      </w:r>
      <w:r w:rsidR="00F832A5" w:rsidRPr="00D35404">
        <w:t>Decision and may continue to be placed on the market and used</w:t>
      </w:r>
      <w:r w:rsidR="00985FBB" w:rsidRPr="00D35404">
        <w:t>.</w:t>
      </w:r>
    </w:p>
    <w:p w14:paraId="51B00E8C" w14:textId="073731E4" w:rsidR="0056247C" w:rsidRPr="00C552EB" w:rsidRDefault="0056247C" w:rsidP="0056247C">
      <w:pPr>
        <w:pStyle w:val="Heading2"/>
        <w:numPr>
          <w:ilvl w:val="0"/>
          <w:numId w:val="6"/>
        </w:numPr>
        <w:spacing w:after="240"/>
        <w:jc w:val="left"/>
        <w:rPr>
          <w:color w:val="D2232A"/>
          <w:lang w:val="en-GB"/>
        </w:rPr>
      </w:pPr>
      <w:r w:rsidRPr="00C552EB">
        <w:rPr>
          <w:color w:val="D2232A"/>
          <w:lang w:val="en-GB"/>
        </w:rPr>
        <w:t>BACKGROUND</w:t>
      </w:r>
    </w:p>
    <w:p w14:paraId="6A2AE467" w14:textId="35A8F2E2" w:rsidR="0056247C" w:rsidRPr="00D35404" w:rsidRDefault="0056247C" w:rsidP="00EF2060">
      <w:r w:rsidRPr="00D35404">
        <w:rPr>
          <w:rFonts w:cs="Arial"/>
        </w:rPr>
        <w:t xml:space="preserve">To meet the requirement for a permanent, long term solution for SRR equipment the frequency band 77-81 </w:t>
      </w:r>
      <w:r w:rsidRPr="00D35404">
        <w:t>GHz has been designated (</w:t>
      </w:r>
      <w:r w:rsidR="00D75739" w:rsidRPr="00D35404">
        <w:t xml:space="preserve">ECC Decision </w:t>
      </w:r>
      <w:r w:rsidRPr="00D35404">
        <w:t xml:space="preserve">(04)03 of 19 March 2004). The 79 GHz SRR technology was not available at affordable prices for mass production in the point of time when </w:t>
      </w:r>
      <w:r w:rsidR="00D75739" w:rsidRPr="00D35404">
        <w:t xml:space="preserve">ECC Decision </w:t>
      </w:r>
      <w:r w:rsidRPr="00D35404">
        <w:t xml:space="preserve">(04)03 was adopted. Therefore, in order to meet an early introduction of SRR applications in Europe, the temporary use of a 5 GHz wide band centred around 24 GHz, hereinafter referred to as the ‘24 GHz range’, was considered as this particular frequency range provided an immediate cost </w:t>
      </w:r>
      <w:proofErr w:type="gramStart"/>
      <w:r w:rsidRPr="00D35404">
        <w:t>effective solutions</w:t>
      </w:r>
      <w:proofErr w:type="gramEnd"/>
      <w:r w:rsidRPr="00D35404">
        <w:t>.</w:t>
      </w:r>
    </w:p>
    <w:p w14:paraId="0A893191" w14:textId="77777777" w:rsidR="0056247C" w:rsidRPr="00D35404" w:rsidRDefault="0056247C" w:rsidP="00EF2060">
      <w:r w:rsidRPr="00D35404">
        <w:t>However, the 24 GHz frequency range is heavily used in Europe for a wide range of applications that all represent, at different levels, critical national or European services and/or wide economic interests and for which very substantial existing long-term investments have been and are to be made.</w:t>
      </w:r>
    </w:p>
    <w:p w14:paraId="4C3F3B9A" w14:textId="34A45D4C" w:rsidR="00A55E0D" w:rsidRPr="00D35404" w:rsidRDefault="0056247C" w:rsidP="00A55E0D">
      <w:r w:rsidRPr="00D35404">
        <w:t>Compatibility studies with these services (mainly fixed service, radio astronomy service and earth exploration-satellite service) conducted within CEPT and described in ECC Report 023</w:t>
      </w:r>
      <w:r w:rsidR="00A3512F" w:rsidRPr="00D35404">
        <w:t xml:space="preserve"> </w:t>
      </w:r>
      <w:r w:rsidR="00A3512F" w:rsidRPr="00D35404">
        <w:fldChar w:fldCharType="begin"/>
      </w:r>
      <w:r w:rsidR="00A3512F" w:rsidRPr="00D35404">
        <w:instrText xml:space="preserve"> REF _Ref90457072 \r \h </w:instrText>
      </w:r>
      <w:r w:rsidR="00D35404">
        <w:instrText xml:space="preserve"> \* MERGEFORMAT </w:instrText>
      </w:r>
      <w:r w:rsidR="00A3512F" w:rsidRPr="00D35404">
        <w:fldChar w:fldCharType="separate"/>
      </w:r>
      <w:r w:rsidR="00A3512F" w:rsidRPr="00D35404">
        <w:t>[3]</w:t>
      </w:r>
      <w:r w:rsidR="00A3512F" w:rsidRPr="00D35404">
        <w:fldChar w:fldCharType="end"/>
      </w:r>
      <w:r w:rsidRPr="00D35404">
        <w:t xml:space="preserve"> concluded that the deployment of 24 GHz SRR is not feasible in the long term.</w:t>
      </w:r>
      <w:r w:rsidR="00A55E0D" w:rsidRPr="00D35404">
        <w:t xml:space="preserve"> </w:t>
      </w:r>
    </w:p>
    <w:p w14:paraId="2FCEFFFB" w14:textId="77777777" w:rsidR="0056247C" w:rsidRPr="00D35404" w:rsidRDefault="0031196D" w:rsidP="00EF2060">
      <w:r w:rsidRPr="00D35404">
        <w:t>From</w:t>
      </w:r>
      <w:r w:rsidR="00F9243A" w:rsidRPr="00D35404">
        <w:t xml:space="preserve"> 1 January 2022 </w:t>
      </w:r>
      <w:r w:rsidRPr="00D35404">
        <w:t>onwards</w:t>
      </w:r>
      <w:r w:rsidR="006077E1" w:rsidRPr="00D35404">
        <w:t xml:space="preserve">, </w:t>
      </w:r>
      <w:r w:rsidR="00F9243A" w:rsidRPr="00D35404">
        <w:t xml:space="preserve">no new wideband 24 GHz SRR may be brought into use. Users of existing equipment may however continue to use it for so long as they wish to maintain </w:t>
      </w:r>
      <w:r w:rsidR="00864771" w:rsidRPr="00D35404">
        <w:t>(e.g</w:t>
      </w:r>
      <w:r w:rsidR="00D67F77" w:rsidRPr="00D35404">
        <w:t>.</w:t>
      </w:r>
      <w:r w:rsidR="00864771" w:rsidRPr="00D35404">
        <w:t xml:space="preserve"> </w:t>
      </w:r>
      <w:r w:rsidR="00D07F4A" w:rsidRPr="00D35404">
        <w:t>provid</w:t>
      </w:r>
      <w:r w:rsidR="00D67F77" w:rsidRPr="00D35404">
        <w:t>ing</w:t>
      </w:r>
      <w:r w:rsidR="00D07F4A" w:rsidRPr="00D35404">
        <w:t xml:space="preserve"> </w:t>
      </w:r>
      <w:r w:rsidR="00EE6194" w:rsidRPr="00D35404">
        <w:t>spare parts</w:t>
      </w:r>
      <w:r w:rsidR="00D67F77" w:rsidRPr="00D35404">
        <w:t>, etc</w:t>
      </w:r>
      <w:r w:rsidR="00ED43CD" w:rsidRPr="00D35404">
        <w:t>.</w:t>
      </w:r>
      <w:r w:rsidR="00D67F77" w:rsidRPr="00D35404">
        <w:t>)</w:t>
      </w:r>
      <w:r w:rsidR="00EE6194" w:rsidRPr="00D35404">
        <w:t xml:space="preserve"> </w:t>
      </w:r>
      <w:r w:rsidR="00F9243A" w:rsidRPr="00D35404">
        <w:t>the original</w:t>
      </w:r>
      <w:r w:rsidR="00D67F77" w:rsidRPr="00D35404">
        <w:t>ly installed</w:t>
      </w:r>
      <w:r w:rsidR="00F9243A" w:rsidRPr="00D35404">
        <w:t xml:space="preserve"> equipment.</w:t>
      </w:r>
    </w:p>
    <w:p w14:paraId="333F1E25" w14:textId="209BF49E" w:rsidR="0056247C" w:rsidRPr="00D35404" w:rsidRDefault="0056247C" w:rsidP="00EF2060">
      <w:r w:rsidRPr="00D35404">
        <w:t xml:space="preserve">When the first version of this ECC Decision was developed, it was assumed that, allowing 24 GHz equipment on the European market until 1 July 2013 would hence allow the first product lines of vehicles in Europe equipped with SRR and thus introduce the SRR solutions on the market while developing the 79 GHz technology to provide the final solution. It was furthermore assumed that the 24 GHz frequency band (within 21.65-26.65 GHz) shall therefore only be made available for installation of SRR systems in Europe until </w:t>
      </w:r>
      <w:r w:rsidRPr="00D35404">
        <w:rPr>
          <w:color w:val="000000"/>
        </w:rPr>
        <w:t xml:space="preserve">1 July </w:t>
      </w:r>
      <w:r w:rsidRPr="00D35404">
        <w:t>2013. After this date, all new SRR equipment shall either use the 79 GHz band or the smaller band 24.25-26.65 GHz until the 1 January 2018 (this date was extended by 4 years for SRR equipment mounted on motor vehicles for which a type-approval application has been submitted pursuant to Article 6(6) of Directive 2007/46/EC of the European Parliament and of the Council</w:t>
      </w:r>
      <w:r w:rsidR="005A6D5C" w:rsidRPr="00D35404">
        <w:t xml:space="preserve"> </w:t>
      </w:r>
      <w:r w:rsidR="005A6D5C" w:rsidRPr="00D35404">
        <w:fldChar w:fldCharType="begin"/>
      </w:r>
      <w:r w:rsidR="005A6D5C" w:rsidRPr="00D35404">
        <w:instrText xml:space="preserve"> REF _Ref90457452 \r \h </w:instrText>
      </w:r>
      <w:r w:rsidR="00D35404">
        <w:instrText xml:space="preserve"> \* MERGEFORMAT </w:instrText>
      </w:r>
      <w:r w:rsidR="005A6D5C" w:rsidRPr="00D35404">
        <w:fldChar w:fldCharType="separate"/>
      </w:r>
      <w:r w:rsidR="005A6D5C" w:rsidRPr="00D35404">
        <w:t>[4]</w:t>
      </w:r>
      <w:r w:rsidR="005A6D5C" w:rsidRPr="00D35404">
        <w:fldChar w:fldCharType="end"/>
      </w:r>
      <w:r w:rsidRPr="00D35404">
        <w:rPr>
          <w:rStyle w:val="FootnoteReference"/>
          <w:rFonts w:cs="Arial"/>
        </w:rPr>
        <w:footnoteReference w:id="3"/>
      </w:r>
      <w:r w:rsidRPr="00D35404">
        <w:t xml:space="preserve"> in those countries where applicable and had been granted before 1 January 2018).</w:t>
      </w:r>
    </w:p>
    <w:p w14:paraId="177442BE" w14:textId="1E0A0C99" w:rsidR="0056247C" w:rsidRPr="00D35404" w:rsidRDefault="0056247C" w:rsidP="00EF2060">
      <w:r w:rsidRPr="00D35404">
        <w:t>Note: the regulation in ERC Recommendation 70-03</w:t>
      </w:r>
      <w:r w:rsidR="00AF47AE" w:rsidRPr="00D35404">
        <w:t>,</w:t>
      </w:r>
      <w:r w:rsidRPr="00D35404">
        <w:t xml:space="preserve"> Annex 5 </w:t>
      </w:r>
      <w:r w:rsidR="001433C1" w:rsidRPr="00D35404">
        <w:fldChar w:fldCharType="begin"/>
      </w:r>
      <w:r w:rsidR="001433C1" w:rsidRPr="00D35404">
        <w:instrText xml:space="preserve"> REF _Ref90455815 \r \h </w:instrText>
      </w:r>
      <w:r w:rsidR="00D35404">
        <w:instrText xml:space="preserve"> \* MERGEFORMAT </w:instrText>
      </w:r>
      <w:r w:rsidR="001433C1" w:rsidRPr="00D35404">
        <w:fldChar w:fldCharType="separate"/>
      </w:r>
      <w:r w:rsidR="001433C1" w:rsidRPr="00D35404">
        <w:t>[1]</w:t>
      </w:r>
      <w:r w:rsidR="001433C1" w:rsidRPr="00D35404">
        <w:fldChar w:fldCharType="end"/>
      </w:r>
      <w:r w:rsidR="001433C1" w:rsidRPr="00D35404">
        <w:t xml:space="preserve"> </w:t>
      </w:r>
      <w:r w:rsidRPr="00D35404">
        <w:t xml:space="preserve">for the band 24.05-24.25 GHz for </w:t>
      </w:r>
      <w:r w:rsidR="00FD08F0" w:rsidRPr="00D35404">
        <w:t xml:space="preserve">narrowband </w:t>
      </w:r>
      <w:r w:rsidRPr="00D35404">
        <w:t>automotive radars is without any plans for a time limit within CEPT.</w:t>
      </w:r>
    </w:p>
    <w:p w14:paraId="62312992" w14:textId="77777777" w:rsidR="0056247C" w:rsidRPr="00C552EB" w:rsidRDefault="0056247C" w:rsidP="0056247C">
      <w:pPr>
        <w:pStyle w:val="Heading2"/>
        <w:numPr>
          <w:ilvl w:val="0"/>
          <w:numId w:val="6"/>
        </w:numPr>
        <w:spacing w:after="240"/>
        <w:jc w:val="left"/>
        <w:rPr>
          <w:color w:val="D2232A"/>
          <w:lang w:val="en-GB"/>
        </w:rPr>
      </w:pPr>
      <w:r w:rsidRPr="00C552EB">
        <w:rPr>
          <w:color w:val="D2232A"/>
          <w:lang w:val="en-GB"/>
        </w:rPr>
        <w:lastRenderedPageBreak/>
        <w:t>REQUIREMENT FOR AN ECC DECISION</w:t>
      </w:r>
    </w:p>
    <w:p w14:paraId="1314A8DF" w14:textId="52C875D9" w:rsidR="00FB3342" w:rsidRPr="00D35404" w:rsidRDefault="0056247C" w:rsidP="00EF2060">
      <w:pPr>
        <w:rPr>
          <w:rFonts w:cs="Arial"/>
        </w:rPr>
      </w:pPr>
      <w:r w:rsidRPr="00D35404">
        <w:rPr>
          <w:rFonts w:cs="Arial"/>
        </w:rPr>
        <w:t xml:space="preserve">The allocation of radio frequencies in CEPT member countries is laid down by law, regulation or administrative action. The ECC recognises that </w:t>
      </w:r>
      <w:r w:rsidR="00075AD0" w:rsidRPr="00D35404">
        <w:rPr>
          <w:rFonts w:cs="Arial"/>
        </w:rPr>
        <w:t xml:space="preserve">automotive </w:t>
      </w:r>
      <w:r w:rsidR="00C0637E" w:rsidRPr="00D35404">
        <w:rPr>
          <w:rFonts w:cs="Arial"/>
        </w:rPr>
        <w:t>SRR systems using</w:t>
      </w:r>
      <w:r w:rsidR="00E76B4A" w:rsidRPr="00D35404">
        <w:rPr>
          <w:rFonts w:cs="Arial"/>
        </w:rPr>
        <w:t xml:space="preserve"> the </w:t>
      </w:r>
      <w:r w:rsidR="0021093D" w:rsidRPr="00D35404">
        <w:rPr>
          <w:rFonts w:cs="Arial"/>
        </w:rPr>
        <w:t xml:space="preserve">21.65-26.65 GHz </w:t>
      </w:r>
      <w:r w:rsidR="00075AD0" w:rsidRPr="00D35404">
        <w:rPr>
          <w:rFonts w:cs="Arial"/>
        </w:rPr>
        <w:t xml:space="preserve">band </w:t>
      </w:r>
      <w:r w:rsidR="00586B21" w:rsidRPr="00D35404">
        <w:rPr>
          <w:rFonts w:cs="Arial"/>
        </w:rPr>
        <w:t>may continue to be used for so long as the use</w:t>
      </w:r>
      <w:r w:rsidR="006868DC" w:rsidRPr="00D35404">
        <w:rPr>
          <w:rFonts w:cs="Arial"/>
        </w:rPr>
        <w:t>r</w:t>
      </w:r>
      <w:r w:rsidR="00586B21" w:rsidRPr="00D35404">
        <w:rPr>
          <w:rFonts w:cs="Arial"/>
        </w:rPr>
        <w:t xml:space="preserve"> wishes to maintain </w:t>
      </w:r>
      <w:r w:rsidR="000950C5" w:rsidRPr="00D35404">
        <w:rPr>
          <w:rFonts w:cs="Arial"/>
        </w:rPr>
        <w:t>their systems</w:t>
      </w:r>
      <w:r w:rsidR="005F2377" w:rsidRPr="00D35404">
        <w:rPr>
          <w:rFonts w:cs="Arial"/>
        </w:rPr>
        <w:t xml:space="preserve"> and manufacturers can provide spare parts</w:t>
      </w:r>
      <w:r w:rsidR="00284FD2" w:rsidRPr="00D35404">
        <w:rPr>
          <w:rFonts w:cs="Arial"/>
        </w:rPr>
        <w:t>.</w:t>
      </w:r>
    </w:p>
    <w:p w14:paraId="1A9F3CE5" w14:textId="77777777" w:rsidR="00FB3342" w:rsidRPr="00D35404" w:rsidRDefault="00FB3342">
      <w:pPr>
        <w:rPr>
          <w:rFonts w:cs="Arial"/>
        </w:rPr>
      </w:pPr>
      <w:r w:rsidRPr="00D35404">
        <w:rPr>
          <w:rFonts w:cs="Arial"/>
        </w:rPr>
        <w:br w:type="page"/>
      </w:r>
    </w:p>
    <w:p w14:paraId="69EFD469" w14:textId="72D68BC2" w:rsidR="0056247C" w:rsidRPr="00D35404" w:rsidRDefault="0056247C" w:rsidP="00533919">
      <w:pPr>
        <w:pStyle w:val="Heading1"/>
        <w:numPr>
          <w:ilvl w:val="0"/>
          <w:numId w:val="0"/>
        </w:numPr>
        <w:rPr>
          <w:b w:val="0"/>
          <w:lang w:val="en-GB"/>
        </w:rPr>
      </w:pPr>
      <w:r w:rsidRPr="00D35404">
        <w:rPr>
          <w:lang w:val="en-GB"/>
        </w:rPr>
        <w:lastRenderedPageBreak/>
        <w:t>ECC Decision of 12 november 2004 on the frequency bands to be designated for the temporary introduction of Automotive Short Range Radars (SRR) (ECC/DEC/(04)10)</w:t>
      </w:r>
      <w:r w:rsidRPr="00D35404">
        <w:rPr>
          <w:lang w:val="en-GB"/>
        </w:rPr>
        <w:br/>
        <w:t>amended Annex 1 July 2005; amended 5 September 2007; amended 1 June 2012; corrected 6 March 2015</w:t>
      </w:r>
      <w:r w:rsidR="00AF68B1" w:rsidRPr="00D35404">
        <w:rPr>
          <w:lang w:val="en-GB"/>
        </w:rPr>
        <w:t>;</w:t>
      </w:r>
      <w:r w:rsidRPr="00D35404">
        <w:rPr>
          <w:lang w:val="en-GB"/>
        </w:rPr>
        <w:t xml:space="preserve"> Updated 2 march 2018</w:t>
      </w:r>
      <w:r w:rsidR="00EB09F1">
        <w:rPr>
          <w:lang w:val="en-GB"/>
        </w:rPr>
        <w:t>;</w:t>
      </w:r>
      <w:r w:rsidR="00AF68B1" w:rsidRPr="00D35404">
        <w:rPr>
          <w:lang w:val="en-GB"/>
        </w:rPr>
        <w:t xml:space="preserve"> </w:t>
      </w:r>
      <w:r w:rsidR="00BB0E4F" w:rsidRPr="00D35404">
        <w:rPr>
          <w:lang w:val="en-GB"/>
        </w:rPr>
        <w:t>amended</w:t>
      </w:r>
      <w:r w:rsidR="00C3091B" w:rsidRPr="00D35404">
        <w:rPr>
          <w:lang w:val="en-GB"/>
        </w:rPr>
        <w:t xml:space="preserve"> </w:t>
      </w:r>
      <w:r w:rsidR="00AF68B1" w:rsidRPr="00D35404">
        <w:rPr>
          <w:lang w:val="en-GB"/>
        </w:rPr>
        <w:t>on 5 MARCH 2021</w:t>
      </w:r>
      <w:r w:rsidR="00EB09F1">
        <w:rPr>
          <w:lang w:val="en-GB"/>
        </w:rPr>
        <w:t xml:space="preserve"> and amended on 4 March 2022</w:t>
      </w:r>
    </w:p>
    <w:p w14:paraId="30B4BB54" w14:textId="77777777" w:rsidR="0056247C" w:rsidRPr="00D35404" w:rsidRDefault="0056247C" w:rsidP="00EF2060">
      <w:r w:rsidRPr="00D35404">
        <w:t>“The European Conference of Postal and Telecommunications Administrations,</w:t>
      </w:r>
    </w:p>
    <w:p w14:paraId="208350AC" w14:textId="77777777" w:rsidR="0056247C" w:rsidRPr="00D35404" w:rsidRDefault="0056247C" w:rsidP="00EF2060">
      <w:pPr>
        <w:rPr>
          <w:i/>
          <w:color w:val="D2232A"/>
        </w:rPr>
      </w:pPr>
      <w:r w:rsidRPr="00D35404">
        <w:rPr>
          <w:i/>
          <w:color w:val="D2232A"/>
        </w:rPr>
        <w:t>considering</w:t>
      </w:r>
    </w:p>
    <w:p w14:paraId="68BA9113" w14:textId="77777777" w:rsidR="0056247C" w:rsidRPr="00D35404" w:rsidRDefault="0056247C" w:rsidP="0056247C">
      <w:pPr>
        <w:pStyle w:val="ListParagraph"/>
        <w:numPr>
          <w:ilvl w:val="0"/>
          <w:numId w:val="13"/>
        </w:numPr>
        <w:tabs>
          <w:tab w:val="left" w:pos="567"/>
        </w:tabs>
        <w:spacing w:before="0" w:after="240"/>
        <w:ind w:left="567" w:hanging="567"/>
        <w:contextualSpacing w:val="0"/>
      </w:pPr>
      <w:r w:rsidRPr="00D35404">
        <w:rPr>
          <w:rFonts w:cs="Arial"/>
        </w:rPr>
        <w:t>that within Europe, there are proposals to improve road safety by using new information communications technologies, including building a European strategy to accelerate the research and development, deployment and use of intelligent road safety systems such as automotive Short Range Radars (SRR);</w:t>
      </w:r>
    </w:p>
    <w:p w14:paraId="585C87C0" w14:textId="77777777" w:rsidR="0056247C" w:rsidRPr="00D35404" w:rsidRDefault="0056247C" w:rsidP="0056247C">
      <w:pPr>
        <w:pStyle w:val="ListParagraph"/>
        <w:numPr>
          <w:ilvl w:val="0"/>
          <w:numId w:val="13"/>
        </w:numPr>
        <w:tabs>
          <w:tab w:val="left" w:pos="567"/>
        </w:tabs>
        <w:spacing w:before="0" w:after="240"/>
        <w:ind w:left="567" w:hanging="567"/>
        <w:contextualSpacing w:val="0"/>
      </w:pPr>
      <w:r w:rsidRPr="00D35404">
        <w:rPr>
          <w:rFonts w:cs="Arial"/>
        </w:rPr>
        <w:t xml:space="preserve">that the availability of spectrum for SRR equipment in Europe contributes to the long-term goal of the European Commission </w:t>
      </w:r>
      <w:r w:rsidRPr="00D35404">
        <w:rPr>
          <w:rFonts w:cs="Arial"/>
          <w:i/>
        </w:rPr>
        <w:t>e-</w:t>
      </w:r>
      <w:r w:rsidRPr="00D35404">
        <w:rPr>
          <w:rFonts w:cs="Arial"/>
        </w:rPr>
        <w:t>Safety-initiative;</w:t>
      </w:r>
    </w:p>
    <w:p w14:paraId="70D0C8A2" w14:textId="6F5DDEC5" w:rsidR="0056247C" w:rsidRPr="00D35404" w:rsidRDefault="0056247C" w:rsidP="0056247C">
      <w:pPr>
        <w:pStyle w:val="ListParagraph"/>
        <w:numPr>
          <w:ilvl w:val="0"/>
          <w:numId w:val="13"/>
        </w:numPr>
        <w:tabs>
          <w:tab w:val="left" w:pos="567"/>
        </w:tabs>
        <w:spacing w:before="0" w:after="240"/>
        <w:ind w:left="567" w:hanging="567"/>
        <w:contextualSpacing w:val="0"/>
      </w:pPr>
      <w:r w:rsidRPr="00D35404">
        <w:rPr>
          <w:rFonts w:cs="Arial"/>
        </w:rPr>
        <w:t>that the 79 GHz frequency band (77-81 GHz) has been designated as the permanent band for SRR equipment (</w:t>
      </w:r>
      <w:r w:rsidR="00D75739" w:rsidRPr="00D35404">
        <w:rPr>
          <w:rFonts w:cs="Arial"/>
        </w:rPr>
        <w:t xml:space="preserve">ECC </w:t>
      </w:r>
      <w:r w:rsidR="008D2DE9" w:rsidRPr="00D35404">
        <w:t>Decision</w:t>
      </w:r>
      <w:r w:rsidR="008D2DE9" w:rsidRPr="00D35404">
        <w:rPr>
          <w:rFonts w:cs="Arial"/>
        </w:rPr>
        <w:t xml:space="preserve"> </w:t>
      </w:r>
      <w:r w:rsidRPr="00D35404">
        <w:rPr>
          <w:rFonts w:cs="Arial"/>
        </w:rPr>
        <w:t>(04)03 of 19 March 2004</w:t>
      </w:r>
      <w:r w:rsidR="00561BC8" w:rsidRPr="00D35404">
        <w:rPr>
          <w:rFonts w:cs="Arial"/>
        </w:rPr>
        <w:t xml:space="preserve"> </w:t>
      </w:r>
      <w:r w:rsidR="00561BC8" w:rsidRPr="00D35404">
        <w:fldChar w:fldCharType="begin"/>
      </w:r>
      <w:r w:rsidR="00561BC8" w:rsidRPr="00D35404">
        <w:instrText xml:space="preserve"> REF _Ref90456976 \r \h </w:instrText>
      </w:r>
      <w:r w:rsidR="00D35404">
        <w:instrText xml:space="preserve"> \* MERGEFORMAT </w:instrText>
      </w:r>
      <w:r w:rsidR="00561BC8" w:rsidRPr="00D35404">
        <w:fldChar w:fldCharType="separate"/>
      </w:r>
      <w:r w:rsidR="00561BC8" w:rsidRPr="00D35404">
        <w:t>[2]</w:t>
      </w:r>
      <w:r w:rsidR="00561BC8" w:rsidRPr="00D35404">
        <w:fldChar w:fldCharType="end"/>
      </w:r>
      <w:r w:rsidRPr="00D35404">
        <w:rPr>
          <w:rFonts w:cs="Arial"/>
        </w:rPr>
        <w:t>);</w:t>
      </w:r>
    </w:p>
    <w:p w14:paraId="688809BA" w14:textId="580D2FF4" w:rsidR="0056247C" w:rsidRPr="00D35404" w:rsidRDefault="0056247C" w:rsidP="0056247C">
      <w:pPr>
        <w:pStyle w:val="ListParagraph"/>
        <w:numPr>
          <w:ilvl w:val="0"/>
          <w:numId w:val="13"/>
        </w:numPr>
        <w:tabs>
          <w:tab w:val="left" w:pos="567"/>
        </w:tabs>
        <w:spacing w:before="0" w:after="240"/>
        <w:ind w:left="567" w:hanging="567"/>
        <w:contextualSpacing w:val="0"/>
      </w:pPr>
      <w:r w:rsidRPr="00D35404">
        <w:rPr>
          <w:rFonts w:cs="Arial"/>
        </w:rPr>
        <w:t>that narrow-band vehicular radar systems operating at 24 GHz in accordance with the conditions given in ERC</w:t>
      </w:r>
      <w:r w:rsidR="001433C1" w:rsidRPr="00D35404">
        <w:rPr>
          <w:rFonts w:cs="Arial"/>
        </w:rPr>
        <w:t xml:space="preserve"> Recommendation </w:t>
      </w:r>
      <w:r w:rsidRPr="00D35404">
        <w:rPr>
          <w:rFonts w:cs="Arial"/>
        </w:rPr>
        <w:t xml:space="preserve"> 70-03 </w:t>
      </w:r>
      <w:r w:rsidR="001433C1" w:rsidRPr="00D35404">
        <w:fldChar w:fldCharType="begin"/>
      </w:r>
      <w:r w:rsidR="001433C1" w:rsidRPr="00D35404">
        <w:instrText xml:space="preserve"> REF _Ref90455815 \r \h </w:instrText>
      </w:r>
      <w:r w:rsidR="00D35404">
        <w:instrText xml:space="preserve"> \* MERGEFORMAT </w:instrText>
      </w:r>
      <w:r w:rsidR="001433C1" w:rsidRPr="00D35404">
        <w:fldChar w:fldCharType="separate"/>
      </w:r>
      <w:r w:rsidR="001433C1" w:rsidRPr="00D35404">
        <w:t>[1]</w:t>
      </w:r>
      <w:r w:rsidR="001433C1" w:rsidRPr="00D35404">
        <w:fldChar w:fldCharType="end"/>
      </w:r>
      <w:r w:rsidR="00F211A3" w:rsidRPr="00D35404">
        <w:t xml:space="preserve"> </w:t>
      </w:r>
      <w:r w:rsidRPr="00D35404">
        <w:rPr>
          <w:rFonts w:cs="Arial"/>
        </w:rPr>
        <w:t>are not under the scope of this ECC Decision;</w:t>
      </w:r>
    </w:p>
    <w:p w14:paraId="7E469EC4" w14:textId="05B52755" w:rsidR="00210DDC" w:rsidRPr="00D35404" w:rsidRDefault="00210DDC" w:rsidP="0056247C">
      <w:pPr>
        <w:numPr>
          <w:ilvl w:val="0"/>
          <w:numId w:val="13"/>
        </w:numPr>
        <w:spacing w:before="0" w:after="240"/>
        <w:ind w:left="567" w:hanging="567"/>
      </w:pPr>
      <w:r w:rsidRPr="00D35404">
        <w:t>that the compatibility studies are given in ECC Report 023</w:t>
      </w:r>
      <w:r w:rsidR="00C72549" w:rsidRPr="00D35404">
        <w:t xml:space="preserve"> </w:t>
      </w:r>
      <w:r w:rsidR="00C72549" w:rsidRPr="00D35404">
        <w:fldChar w:fldCharType="begin"/>
      </w:r>
      <w:r w:rsidR="00C72549" w:rsidRPr="00D35404">
        <w:instrText xml:space="preserve"> REF _Ref90457072 \r \h </w:instrText>
      </w:r>
      <w:r w:rsidR="00D35404">
        <w:instrText xml:space="preserve"> \* MERGEFORMAT </w:instrText>
      </w:r>
      <w:r w:rsidR="00C72549" w:rsidRPr="00D35404">
        <w:fldChar w:fldCharType="separate"/>
      </w:r>
      <w:r w:rsidR="00C72549" w:rsidRPr="00D35404">
        <w:t>[3]</w:t>
      </w:r>
      <w:r w:rsidR="00C72549" w:rsidRPr="00D35404">
        <w:fldChar w:fldCharType="end"/>
      </w:r>
      <w:r w:rsidRPr="00D35404">
        <w:t xml:space="preserve">, which </w:t>
      </w:r>
      <w:r w:rsidRPr="00D35404">
        <w:rPr>
          <w:rFonts w:cs="Arial"/>
        </w:rPr>
        <w:t>set out the technical parameters that are described in</w:t>
      </w:r>
      <w:r w:rsidR="00422EB0" w:rsidRPr="00D35404">
        <w:rPr>
          <w:rFonts w:cs="Arial"/>
        </w:rPr>
        <w:t xml:space="preserve"> </w:t>
      </w:r>
      <w:r w:rsidR="00407007" w:rsidRPr="00D35404">
        <w:rPr>
          <w:rFonts w:cs="Arial"/>
        </w:rPr>
        <w:fldChar w:fldCharType="begin"/>
      </w:r>
      <w:r w:rsidR="00407007" w:rsidRPr="00D35404">
        <w:rPr>
          <w:rFonts w:cs="Arial"/>
        </w:rPr>
        <w:instrText xml:space="preserve"> REF _Ref89665929 \r \h </w:instrText>
      </w:r>
      <w:r w:rsidR="00D35404">
        <w:rPr>
          <w:rFonts w:cs="Arial"/>
        </w:rPr>
        <w:instrText xml:space="preserve"> \* MERGEFORMAT </w:instrText>
      </w:r>
      <w:r w:rsidR="00407007" w:rsidRPr="00D35404">
        <w:rPr>
          <w:rFonts w:cs="Arial"/>
        </w:rPr>
      </w:r>
      <w:r w:rsidR="00407007" w:rsidRPr="00D35404">
        <w:rPr>
          <w:rFonts w:cs="Arial"/>
        </w:rPr>
        <w:fldChar w:fldCharType="separate"/>
      </w:r>
      <w:r w:rsidR="00407007" w:rsidRPr="00D35404">
        <w:rPr>
          <w:rFonts w:cs="Arial"/>
        </w:rPr>
        <w:t xml:space="preserve">ANNEX 1 and </w:t>
      </w:r>
      <w:r w:rsidR="00407007" w:rsidRPr="00D35404">
        <w:rPr>
          <w:rFonts w:cs="Arial"/>
        </w:rPr>
        <w:fldChar w:fldCharType="end"/>
      </w:r>
      <w:r w:rsidR="00407007" w:rsidRPr="00D35404">
        <w:rPr>
          <w:rFonts w:cs="Arial"/>
        </w:rPr>
        <w:fldChar w:fldCharType="begin"/>
      </w:r>
      <w:r w:rsidR="00407007" w:rsidRPr="00D35404">
        <w:rPr>
          <w:rFonts w:cs="Arial"/>
        </w:rPr>
        <w:instrText xml:space="preserve"> REF _Ref89665975 \r \h </w:instrText>
      </w:r>
      <w:r w:rsidR="00D35404">
        <w:rPr>
          <w:rFonts w:cs="Arial"/>
        </w:rPr>
        <w:instrText xml:space="preserve"> \* MERGEFORMAT </w:instrText>
      </w:r>
      <w:r w:rsidR="00407007" w:rsidRPr="00D35404">
        <w:rPr>
          <w:rFonts w:cs="Arial"/>
        </w:rPr>
      </w:r>
      <w:r w:rsidR="00407007" w:rsidRPr="00D35404">
        <w:rPr>
          <w:rFonts w:cs="Arial"/>
        </w:rPr>
        <w:fldChar w:fldCharType="separate"/>
      </w:r>
      <w:r w:rsidR="00407007" w:rsidRPr="00D35404">
        <w:rPr>
          <w:rFonts w:cs="Arial"/>
        </w:rPr>
        <w:t>ANNEX 2</w:t>
      </w:r>
      <w:r w:rsidR="00407007" w:rsidRPr="00D35404">
        <w:rPr>
          <w:rFonts w:cs="Arial"/>
        </w:rPr>
        <w:fldChar w:fldCharType="end"/>
      </w:r>
      <w:r w:rsidRPr="00D35404">
        <w:rPr>
          <w:rFonts w:cs="Arial"/>
        </w:rPr>
        <w:t>;</w:t>
      </w:r>
    </w:p>
    <w:p w14:paraId="7645C567" w14:textId="11B2A21A" w:rsidR="0056247C" w:rsidRPr="00D35404" w:rsidRDefault="0056247C" w:rsidP="0056247C">
      <w:pPr>
        <w:numPr>
          <w:ilvl w:val="0"/>
          <w:numId w:val="13"/>
        </w:numPr>
        <w:spacing w:before="0" w:after="240"/>
        <w:ind w:left="567" w:hanging="567"/>
      </w:pPr>
      <w:r w:rsidRPr="00D35404">
        <w:rPr>
          <w:rFonts w:cs="Arial"/>
        </w:rPr>
        <w:t xml:space="preserve">that the period before the reference date of 1 July 2013 allowed the first product lines of vehicles on the European market to be equipped with 24 GHz SRR systems (within 21.65-26.65 GHz) while ensuring protection of radio services in the band. After this reference date all new SRR equipment placed on the market in Europe must use the 79 GHz band (see </w:t>
      </w:r>
      <w:r w:rsidR="00D75739" w:rsidRPr="00D35404">
        <w:rPr>
          <w:rFonts w:cs="Arial"/>
        </w:rPr>
        <w:t xml:space="preserve">ECC </w:t>
      </w:r>
      <w:r w:rsidR="008D2DE9" w:rsidRPr="00D35404">
        <w:t>Decision</w:t>
      </w:r>
      <w:r w:rsidR="008D2DE9" w:rsidRPr="00D35404">
        <w:rPr>
          <w:rFonts w:cs="Arial"/>
        </w:rPr>
        <w:t xml:space="preserve"> </w:t>
      </w:r>
      <w:r w:rsidRPr="00D35404">
        <w:rPr>
          <w:rFonts w:cs="Arial"/>
        </w:rPr>
        <w:t>(04)03</w:t>
      </w:r>
      <w:r w:rsidR="004B343E" w:rsidRPr="00D35404">
        <w:rPr>
          <w:rFonts w:cs="Arial"/>
        </w:rPr>
        <w:t xml:space="preserve"> </w:t>
      </w:r>
      <w:r w:rsidR="00561BC8" w:rsidRPr="00D35404">
        <w:fldChar w:fldCharType="begin"/>
      </w:r>
      <w:r w:rsidR="00561BC8" w:rsidRPr="00D35404">
        <w:instrText xml:space="preserve"> REF _Ref90456976 \r \h </w:instrText>
      </w:r>
      <w:r w:rsidR="00D35404">
        <w:instrText xml:space="preserve"> \* MERGEFORMAT </w:instrText>
      </w:r>
      <w:r w:rsidR="00561BC8" w:rsidRPr="00D35404">
        <w:fldChar w:fldCharType="separate"/>
      </w:r>
      <w:r w:rsidR="00561BC8" w:rsidRPr="00D35404">
        <w:t>[2]</w:t>
      </w:r>
      <w:r w:rsidR="00561BC8" w:rsidRPr="00D35404">
        <w:fldChar w:fldCharType="end"/>
      </w:r>
      <w:r w:rsidRPr="00D35404">
        <w:rPr>
          <w:rFonts w:cs="Arial"/>
        </w:rPr>
        <w:t>) or alternative permitted technical solutions while existing 24 GHz equipment (within 21.65-26.65 GHz) may still operate to the end of lifetime of the vehicles;</w:t>
      </w:r>
    </w:p>
    <w:p w14:paraId="6DB2F887" w14:textId="0D017818" w:rsidR="0056247C" w:rsidRPr="00D35404" w:rsidRDefault="0056247C" w:rsidP="0056247C">
      <w:pPr>
        <w:numPr>
          <w:ilvl w:val="0"/>
          <w:numId w:val="13"/>
        </w:numPr>
        <w:spacing w:before="0" w:after="240"/>
        <w:ind w:left="567" w:hanging="567"/>
      </w:pPr>
      <w:r w:rsidRPr="00D35404">
        <w:rPr>
          <w:rFonts w:cs="Arial"/>
        </w:rPr>
        <w:t xml:space="preserve">that ETSI has developed the harmonised European standard EN 302 288 </w:t>
      </w:r>
      <w:r w:rsidR="0029505E" w:rsidRPr="00D35404">
        <w:rPr>
          <w:rFonts w:cs="Arial"/>
        </w:rPr>
        <w:fldChar w:fldCharType="begin"/>
      </w:r>
      <w:r w:rsidR="0029505E" w:rsidRPr="00D35404">
        <w:rPr>
          <w:rFonts w:cs="Arial"/>
        </w:rPr>
        <w:instrText xml:space="preserve"> REF _Ref90457272 \r \h </w:instrText>
      </w:r>
      <w:r w:rsidR="00D35404">
        <w:rPr>
          <w:rFonts w:cs="Arial"/>
        </w:rPr>
        <w:instrText xml:space="preserve"> \* MERGEFORMAT </w:instrText>
      </w:r>
      <w:r w:rsidR="0029505E" w:rsidRPr="00D35404">
        <w:rPr>
          <w:rFonts w:cs="Arial"/>
        </w:rPr>
      </w:r>
      <w:r w:rsidR="0029505E" w:rsidRPr="00D35404">
        <w:rPr>
          <w:rFonts w:cs="Arial"/>
        </w:rPr>
        <w:fldChar w:fldCharType="separate"/>
      </w:r>
      <w:r w:rsidR="0029505E" w:rsidRPr="00D35404">
        <w:rPr>
          <w:rFonts w:cs="Arial"/>
        </w:rPr>
        <w:t>[5]</w:t>
      </w:r>
      <w:r w:rsidR="0029505E" w:rsidRPr="00D35404">
        <w:rPr>
          <w:rFonts w:cs="Arial"/>
        </w:rPr>
        <w:fldChar w:fldCharType="end"/>
      </w:r>
      <w:r w:rsidR="0029505E" w:rsidRPr="00D35404">
        <w:rPr>
          <w:rFonts w:cs="Arial"/>
        </w:rPr>
        <w:t xml:space="preserve"> </w:t>
      </w:r>
      <w:r w:rsidRPr="00D35404">
        <w:rPr>
          <w:rFonts w:cs="Arial"/>
        </w:rPr>
        <w:t xml:space="preserve">for </w:t>
      </w:r>
      <w:r w:rsidR="00F13F4E" w:rsidRPr="00D35404">
        <w:rPr>
          <w:rFonts w:cs="Arial"/>
        </w:rPr>
        <w:t>SRR</w:t>
      </w:r>
      <w:r w:rsidRPr="00D35404">
        <w:rPr>
          <w:rFonts w:cs="Arial"/>
        </w:rPr>
        <w:t xml:space="preserve"> equipment operating in the 24 GHz range;</w:t>
      </w:r>
    </w:p>
    <w:p w14:paraId="05F5337B" w14:textId="147ED7EF" w:rsidR="0056247C" w:rsidRPr="00D35404" w:rsidRDefault="0056247C" w:rsidP="0056247C">
      <w:pPr>
        <w:numPr>
          <w:ilvl w:val="0"/>
          <w:numId w:val="13"/>
        </w:numPr>
        <w:spacing w:before="0" w:after="240"/>
        <w:ind w:left="567" w:hanging="567"/>
      </w:pPr>
      <w:r w:rsidRPr="00D35404">
        <w:rPr>
          <w:rFonts w:cs="Arial"/>
        </w:rPr>
        <w:t>that SRR-equipment is not considered as a safety of life applications in accordance with the ITU Radio Regulations. SRR in the 24 GHz band must operate on a non-interference and non-protected basis in accordance with the ITU Radio Regulations</w:t>
      </w:r>
      <w:r w:rsidR="0029505E" w:rsidRPr="00D35404">
        <w:rPr>
          <w:rFonts w:cs="Arial"/>
        </w:rPr>
        <w:t xml:space="preserve"> </w:t>
      </w:r>
      <w:r w:rsidR="0029505E" w:rsidRPr="00D35404">
        <w:rPr>
          <w:rFonts w:cs="Arial"/>
        </w:rPr>
        <w:fldChar w:fldCharType="begin"/>
      </w:r>
      <w:r w:rsidR="0029505E" w:rsidRPr="00D35404">
        <w:rPr>
          <w:rFonts w:cs="Arial"/>
        </w:rPr>
        <w:instrText xml:space="preserve"> REF _Ref90457285 \r \h </w:instrText>
      </w:r>
      <w:r w:rsidR="00D35404">
        <w:rPr>
          <w:rFonts w:cs="Arial"/>
        </w:rPr>
        <w:instrText xml:space="preserve"> \* MERGEFORMAT </w:instrText>
      </w:r>
      <w:r w:rsidR="0029505E" w:rsidRPr="00D35404">
        <w:rPr>
          <w:rFonts w:cs="Arial"/>
        </w:rPr>
      </w:r>
      <w:r w:rsidR="0029505E" w:rsidRPr="00D35404">
        <w:rPr>
          <w:rFonts w:cs="Arial"/>
        </w:rPr>
        <w:fldChar w:fldCharType="separate"/>
      </w:r>
      <w:r w:rsidR="0029505E" w:rsidRPr="00D35404">
        <w:rPr>
          <w:rFonts w:cs="Arial"/>
        </w:rPr>
        <w:t>[6]</w:t>
      </w:r>
      <w:r w:rsidR="0029505E" w:rsidRPr="00D35404">
        <w:rPr>
          <w:rFonts w:cs="Arial"/>
        </w:rPr>
        <w:fldChar w:fldCharType="end"/>
      </w:r>
      <w:r w:rsidRPr="00D35404">
        <w:rPr>
          <w:rFonts w:cs="Arial"/>
        </w:rPr>
        <w:t>;</w:t>
      </w:r>
    </w:p>
    <w:p w14:paraId="7E9F7E9A" w14:textId="612E9FD3" w:rsidR="0056247C" w:rsidRPr="00D35404" w:rsidRDefault="0056247C" w:rsidP="0056247C">
      <w:pPr>
        <w:numPr>
          <w:ilvl w:val="0"/>
          <w:numId w:val="13"/>
        </w:numPr>
        <w:spacing w:before="0" w:after="240"/>
        <w:ind w:left="567" w:hanging="567"/>
      </w:pPr>
      <w:r w:rsidRPr="00D35404">
        <w:rPr>
          <w:rFonts w:cs="Arial"/>
        </w:rPr>
        <w:t>that in EU/EFTA countries the radio equipment that is under the scope of this Decision shall comply with the Radio Equipment Directive (2014/53/EU</w:t>
      </w:r>
      <w:r w:rsidR="004B343E" w:rsidRPr="00D35404">
        <w:rPr>
          <w:rFonts w:cs="Arial"/>
        </w:rPr>
        <w:t xml:space="preserve"> </w:t>
      </w:r>
      <w:r w:rsidR="00DB24C1" w:rsidRPr="00D35404">
        <w:rPr>
          <w:rFonts w:cs="Arial"/>
        </w:rPr>
        <w:fldChar w:fldCharType="begin"/>
      </w:r>
      <w:r w:rsidR="00DB24C1" w:rsidRPr="00D35404">
        <w:rPr>
          <w:rFonts w:cs="Arial"/>
        </w:rPr>
        <w:instrText xml:space="preserve"> REF _Ref90623236 \r \h </w:instrText>
      </w:r>
      <w:r w:rsidR="00D35404">
        <w:rPr>
          <w:rFonts w:cs="Arial"/>
        </w:rPr>
        <w:instrText xml:space="preserve"> \* MERGEFORMAT </w:instrText>
      </w:r>
      <w:r w:rsidR="00DB24C1" w:rsidRPr="00D35404">
        <w:rPr>
          <w:rFonts w:cs="Arial"/>
        </w:rPr>
      </w:r>
      <w:r w:rsidR="00DB24C1" w:rsidRPr="00D35404">
        <w:rPr>
          <w:rFonts w:cs="Arial"/>
        </w:rPr>
        <w:fldChar w:fldCharType="separate"/>
      </w:r>
      <w:r w:rsidR="00DB24C1" w:rsidRPr="00D35404">
        <w:rPr>
          <w:rFonts w:cs="Arial"/>
        </w:rPr>
        <w:t>[7]</w:t>
      </w:r>
      <w:r w:rsidR="00DB24C1" w:rsidRPr="00D35404">
        <w:rPr>
          <w:rFonts w:cs="Arial"/>
        </w:rPr>
        <w:fldChar w:fldCharType="end"/>
      </w:r>
      <w:r w:rsidRPr="00D35404">
        <w:rPr>
          <w:rFonts w:cs="Arial"/>
        </w:rPr>
        <w:t>). Conformity with the essential requirements of the Directive may be demonstrated by compliance with the applicable harmonised European standard(s)</w:t>
      </w:r>
      <w:r w:rsidR="00796997" w:rsidRPr="00D35404">
        <w:rPr>
          <w:rFonts w:cs="Arial"/>
        </w:rPr>
        <w:t>,</w:t>
      </w:r>
      <w:r w:rsidRPr="00D35404">
        <w:rPr>
          <w:rFonts w:cs="Arial"/>
        </w:rPr>
        <w:t xml:space="preserve"> </w:t>
      </w:r>
      <w:r w:rsidR="002768FE" w:rsidRPr="00D35404">
        <w:rPr>
          <w:rFonts w:cs="Arial"/>
        </w:rPr>
        <w:t xml:space="preserve">cited in the </w:t>
      </w:r>
      <w:r w:rsidR="000E168A" w:rsidRPr="00D35404">
        <w:rPr>
          <w:rFonts w:cs="Arial"/>
        </w:rPr>
        <w:t>Official</w:t>
      </w:r>
      <w:r w:rsidR="002768FE" w:rsidRPr="00D35404">
        <w:rPr>
          <w:rFonts w:cs="Arial"/>
        </w:rPr>
        <w:t xml:space="preserve"> Journal of the European Union (</w:t>
      </w:r>
      <w:r w:rsidR="000E168A" w:rsidRPr="00D35404">
        <w:rPr>
          <w:rFonts w:cs="Arial"/>
        </w:rPr>
        <w:t>OJ</w:t>
      </w:r>
      <w:r w:rsidR="002768FE" w:rsidRPr="00D35404">
        <w:rPr>
          <w:rFonts w:cs="Arial"/>
        </w:rPr>
        <w:t>EU)</w:t>
      </w:r>
      <w:r w:rsidR="00796997" w:rsidRPr="00D35404">
        <w:rPr>
          <w:rFonts w:cs="Arial"/>
        </w:rPr>
        <w:t>,</w:t>
      </w:r>
      <w:r w:rsidR="007D5B6C" w:rsidRPr="00D35404">
        <w:rPr>
          <w:rFonts w:cs="Arial"/>
        </w:rPr>
        <w:t xml:space="preserve"> </w:t>
      </w:r>
      <w:r w:rsidRPr="00D35404">
        <w:rPr>
          <w:rFonts w:cs="Arial"/>
        </w:rPr>
        <w:t>or by using the other conformity assessment procedures set out in the Directive;</w:t>
      </w:r>
    </w:p>
    <w:p w14:paraId="47C8E84F" w14:textId="120F3D98" w:rsidR="0056247C" w:rsidRPr="00D35404" w:rsidRDefault="0056247C" w:rsidP="0056247C">
      <w:pPr>
        <w:numPr>
          <w:ilvl w:val="0"/>
          <w:numId w:val="13"/>
        </w:numPr>
        <w:spacing w:before="0" w:after="240"/>
        <w:ind w:left="567" w:hanging="567"/>
        <w:rPr>
          <w:rFonts w:cs="Arial"/>
        </w:rPr>
      </w:pPr>
      <w:r w:rsidRPr="00D35404">
        <w:rPr>
          <w:rFonts w:cs="Arial"/>
        </w:rPr>
        <w:t xml:space="preserve">that two reference dates were defined </w:t>
      </w:r>
      <w:r w:rsidR="004139A2" w:rsidRPr="00D35404">
        <w:rPr>
          <w:rFonts w:cs="Arial"/>
        </w:rPr>
        <w:t xml:space="preserve">for the </w:t>
      </w:r>
      <w:r w:rsidRPr="00D35404">
        <w:rPr>
          <w:rFonts w:cs="Arial"/>
        </w:rPr>
        <w:t>frequency bandwidth</w:t>
      </w:r>
      <w:r w:rsidR="00DE7F0B" w:rsidRPr="00D35404">
        <w:rPr>
          <w:rFonts w:cs="Arial"/>
        </w:rPr>
        <w:t>s</w:t>
      </w:r>
      <w:r w:rsidRPr="00D35404">
        <w:rPr>
          <w:rFonts w:cs="Arial"/>
        </w:rPr>
        <w:t xml:space="preserve"> availab</w:t>
      </w:r>
      <w:r w:rsidR="00C803AB" w:rsidRPr="00D35404">
        <w:rPr>
          <w:rFonts w:cs="Arial"/>
        </w:rPr>
        <w:t>le</w:t>
      </w:r>
      <w:r w:rsidRPr="00D35404">
        <w:rPr>
          <w:rFonts w:cs="Arial"/>
        </w:rPr>
        <w:t xml:space="preserve"> </w:t>
      </w:r>
      <w:r w:rsidR="004139A2" w:rsidRPr="00D35404">
        <w:rPr>
          <w:rFonts w:cs="Arial"/>
        </w:rPr>
        <w:t xml:space="preserve">for use by </w:t>
      </w:r>
      <w:r w:rsidR="00C803AB" w:rsidRPr="00D35404">
        <w:rPr>
          <w:rFonts w:cs="Arial"/>
        </w:rPr>
        <w:t>wideband SRR</w:t>
      </w:r>
      <w:r w:rsidRPr="00D35404">
        <w:rPr>
          <w:rFonts w:cs="Arial"/>
        </w:rPr>
        <w:t>:</w:t>
      </w:r>
    </w:p>
    <w:p w14:paraId="0184FD0A" w14:textId="77777777" w:rsidR="0056247C" w:rsidRPr="00D35404" w:rsidRDefault="0056247C" w:rsidP="0056247C">
      <w:pPr>
        <w:numPr>
          <w:ilvl w:val="0"/>
          <w:numId w:val="16"/>
        </w:numPr>
        <w:spacing w:before="0" w:after="240"/>
        <w:rPr>
          <w:rFonts w:cs="Arial"/>
        </w:rPr>
      </w:pPr>
      <w:r w:rsidRPr="00D35404">
        <w:rPr>
          <w:rFonts w:cs="Arial"/>
        </w:rPr>
        <w:t>21.65-26.65 GHz until 30 June 2013,</w:t>
      </w:r>
    </w:p>
    <w:p w14:paraId="65EC100B" w14:textId="77777777" w:rsidR="0056247C" w:rsidRPr="00D35404" w:rsidRDefault="0056247C" w:rsidP="0056247C">
      <w:pPr>
        <w:numPr>
          <w:ilvl w:val="0"/>
          <w:numId w:val="16"/>
        </w:numPr>
        <w:spacing w:before="0" w:after="240"/>
      </w:pPr>
      <w:r w:rsidRPr="00D35404">
        <w:rPr>
          <w:rFonts w:cs="Arial"/>
        </w:rPr>
        <w:t>24.25-26.65 GHz until 1 January 2018; this date is extended by 4 years for SRR equipment mounted on motor vehicles for which a type-approval application was granted before 1 January 2018,</w:t>
      </w:r>
    </w:p>
    <w:p w14:paraId="2C3064AB" w14:textId="77777777" w:rsidR="0056247C" w:rsidRPr="00D35404" w:rsidRDefault="0056247C" w:rsidP="00EF2060">
      <w:pPr>
        <w:rPr>
          <w:color w:val="D2232A"/>
        </w:rPr>
      </w:pPr>
      <w:r w:rsidRPr="00D35404">
        <w:rPr>
          <w:i/>
          <w:color w:val="D2232A"/>
        </w:rPr>
        <w:t>DECIDES</w:t>
      </w:r>
    </w:p>
    <w:p w14:paraId="5792BDED" w14:textId="77777777" w:rsidR="0056247C" w:rsidRPr="00D35404" w:rsidRDefault="0056247C" w:rsidP="00EF2060">
      <w:pPr>
        <w:pStyle w:val="NumberedList"/>
        <w:spacing w:after="120"/>
        <w:rPr>
          <w:lang w:val="en-GB"/>
        </w:rPr>
      </w:pPr>
      <w:r w:rsidRPr="00D35404">
        <w:rPr>
          <w:rFonts w:cs="Arial"/>
          <w:lang w:val="en-GB"/>
        </w:rPr>
        <w:t>that for the purpose of this Decision, a SRR is defined as a radio communication equipment that falls in the general category of vehicular radar systems and provides collision mitigation and traffic safety applications;</w:t>
      </w:r>
    </w:p>
    <w:p w14:paraId="338D03B7" w14:textId="6DBAB0BB" w:rsidR="00051FC1" w:rsidRPr="00D35404" w:rsidRDefault="00051FC1" w:rsidP="00051FC1">
      <w:pPr>
        <w:pStyle w:val="NumberedList"/>
        <w:spacing w:before="120" w:after="120"/>
        <w:rPr>
          <w:lang w:val="en-GB"/>
        </w:rPr>
      </w:pPr>
      <w:r w:rsidRPr="00D35404">
        <w:rPr>
          <w:rFonts w:cs="Arial"/>
          <w:lang w:val="en-GB"/>
        </w:rPr>
        <w:t xml:space="preserve">that </w:t>
      </w:r>
      <w:r w:rsidR="00EA03CE" w:rsidRPr="00D35404">
        <w:rPr>
          <w:rFonts w:cs="Arial"/>
          <w:lang w:val="en-GB"/>
        </w:rPr>
        <w:t xml:space="preserve">wideband </w:t>
      </w:r>
      <w:r w:rsidRPr="00D35404">
        <w:rPr>
          <w:rFonts w:cs="Arial"/>
          <w:lang w:val="en-GB"/>
        </w:rPr>
        <w:t xml:space="preserve">SRR devices intended to operate within the band 21.65-26.65 GHz shall </w:t>
      </w:r>
      <w:r w:rsidR="001B0A56" w:rsidRPr="00D35404">
        <w:rPr>
          <w:rFonts w:cs="Arial"/>
          <w:lang w:val="en-GB"/>
        </w:rPr>
        <w:t xml:space="preserve">not </w:t>
      </w:r>
      <w:r w:rsidRPr="00D35404">
        <w:rPr>
          <w:rFonts w:cs="Arial"/>
          <w:lang w:val="en-GB"/>
        </w:rPr>
        <w:t>be installed</w:t>
      </w:r>
      <w:r w:rsidR="00A94F52" w:rsidRPr="00D35404">
        <w:rPr>
          <w:rFonts w:cs="Arial"/>
          <w:lang w:val="en-GB"/>
        </w:rPr>
        <w:t xml:space="preserve"> after 1 January 2022</w:t>
      </w:r>
      <w:r w:rsidRPr="00D35404">
        <w:rPr>
          <w:rFonts w:cs="Arial"/>
          <w:lang w:val="en-GB"/>
        </w:rPr>
        <w:t>;</w:t>
      </w:r>
    </w:p>
    <w:p w14:paraId="43D45C6C" w14:textId="57E3769B" w:rsidR="0056247C" w:rsidRPr="00D35404" w:rsidRDefault="0056247C" w:rsidP="00B21201">
      <w:pPr>
        <w:pStyle w:val="NumberedList"/>
        <w:spacing w:before="120" w:after="120"/>
        <w:rPr>
          <w:lang w:val="en-GB"/>
        </w:rPr>
      </w:pPr>
      <w:r w:rsidRPr="00D35404">
        <w:rPr>
          <w:rFonts w:cs="Arial"/>
          <w:lang w:val="en-GB"/>
        </w:rPr>
        <w:lastRenderedPageBreak/>
        <w:t xml:space="preserve">that the technical requirements detailed in </w:t>
      </w:r>
      <w:r w:rsidR="002E15AD" w:rsidRPr="00D35404">
        <w:rPr>
          <w:rFonts w:cs="Arial"/>
          <w:lang w:val="en-GB"/>
        </w:rPr>
        <w:fldChar w:fldCharType="begin"/>
      </w:r>
      <w:r w:rsidR="002E15AD" w:rsidRPr="00D35404">
        <w:rPr>
          <w:rFonts w:cs="Arial"/>
          <w:lang w:val="en-GB"/>
        </w:rPr>
        <w:instrText xml:space="preserve"> REF _Ref89665929 \r \h </w:instrText>
      </w:r>
      <w:r w:rsidR="00D35404">
        <w:rPr>
          <w:rFonts w:cs="Arial"/>
          <w:lang w:val="en-GB"/>
        </w:rPr>
        <w:instrText xml:space="preserve"> \* MERGEFORMAT </w:instrText>
      </w:r>
      <w:r w:rsidR="002E15AD" w:rsidRPr="00D35404">
        <w:rPr>
          <w:rFonts w:cs="Arial"/>
          <w:lang w:val="en-GB"/>
        </w:rPr>
      </w:r>
      <w:r w:rsidR="002E15AD" w:rsidRPr="00D35404">
        <w:rPr>
          <w:rFonts w:cs="Arial"/>
          <w:lang w:val="en-GB"/>
        </w:rPr>
        <w:fldChar w:fldCharType="separate"/>
      </w:r>
      <w:r w:rsidR="002E15AD" w:rsidRPr="00D35404">
        <w:rPr>
          <w:rFonts w:cs="Arial"/>
          <w:lang w:val="en-GB"/>
        </w:rPr>
        <w:t>ANNEX 1</w:t>
      </w:r>
      <w:r w:rsidR="002E15AD" w:rsidRPr="00D35404">
        <w:rPr>
          <w:rFonts w:cs="Arial"/>
          <w:lang w:val="en-GB"/>
        </w:rPr>
        <w:fldChar w:fldCharType="end"/>
      </w:r>
      <w:r w:rsidRPr="00D35404">
        <w:rPr>
          <w:rFonts w:cs="Arial"/>
          <w:lang w:val="en-GB"/>
        </w:rPr>
        <w:t xml:space="preserve"> apply to SRR devices operating within the band 21.65-26.65 GHz;</w:t>
      </w:r>
    </w:p>
    <w:p w14:paraId="6F586591" w14:textId="5BF06123" w:rsidR="0056247C" w:rsidRPr="00D35404" w:rsidRDefault="0056247C" w:rsidP="00EF2060">
      <w:pPr>
        <w:pStyle w:val="NumberedList"/>
        <w:spacing w:before="120" w:after="120"/>
        <w:rPr>
          <w:lang w:val="en-GB"/>
        </w:rPr>
      </w:pPr>
      <w:r w:rsidRPr="00D35404">
        <w:rPr>
          <w:rFonts w:cs="Arial"/>
          <w:lang w:val="en-GB"/>
        </w:rPr>
        <w:t xml:space="preserve">that the technical requirements detailed in </w:t>
      </w:r>
      <w:r w:rsidR="002E15AD" w:rsidRPr="00D35404">
        <w:rPr>
          <w:rFonts w:cs="Arial"/>
          <w:lang w:val="en-GB"/>
        </w:rPr>
        <w:fldChar w:fldCharType="begin"/>
      </w:r>
      <w:r w:rsidR="002E15AD" w:rsidRPr="00D35404">
        <w:rPr>
          <w:rFonts w:cs="Arial"/>
          <w:lang w:val="en-GB"/>
        </w:rPr>
        <w:instrText xml:space="preserve"> REF _Ref89665975 \r \h </w:instrText>
      </w:r>
      <w:r w:rsidR="00D35404">
        <w:rPr>
          <w:rFonts w:cs="Arial"/>
          <w:lang w:val="en-GB"/>
        </w:rPr>
        <w:instrText xml:space="preserve"> \* MERGEFORMAT </w:instrText>
      </w:r>
      <w:r w:rsidR="002E15AD" w:rsidRPr="00D35404">
        <w:rPr>
          <w:rFonts w:cs="Arial"/>
          <w:lang w:val="en-GB"/>
        </w:rPr>
      </w:r>
      <w:r w:rsidR="002E15AD" w:rsidRPr="00D35404">
        <w:rPr>
          <w:rFonts w:cs="Arial"/>
          <w:lang w:val="en-GB"/>
        </w:rPr>
        <w:fldChar w:fldCharType="separate"/>
      </w:r>
      <w:r w:rsidR="002E15AD" w:rsidRPr="00D35404">
        <w:rPr>
          <w:rFonts w:cs="Arial"/>
          <w:lang w:val="en-GB"/>
        </w:rPr>
        <w:t>ANNEX 2</w:t>
      </w:r>
      <w:r w:rsidR="002E15AD" w:rsidRPr="00D35404">
        <w:rPr>
          <w:rFonts w:cs="Arial"/>
          <w:lang w:val="en-GB"/>
        </w:rPr>
        <w:fldChar w:fldCharType="end"/>
      </w:r>
      <w:r w:rsidRPr="00D35404">
        <w:rPr>
          <w:rFonts w:cs="Arial"/>
          <w:lang w:val="en-GB"/>
        </w:rPr>
        <w:t xml:space="preserve"> apply to SRR devices operating within the band 24.25-26.65 GHz;</w:t>
      </w:r>
    </w:p>
    <w:p w14:paraId="2D3D5BC5" w14:textId="070E125F" w:rsidR="0056247C" w:rsidRPr="00D35404" w:rsidRDefault="0056247C" w:rsidP="00B21201">
      <w:pPr>
        <w:pStyle w:val="NumberedList"/>
        <w:spacing w:before="120" w:after="120"/>
        <w:rPr>
          <w:lang w:val="en-GB"/>
        </w:rPr>
      </w:pPr>
      <w:r w:rsidRPr="00D35404">
        <w:rPr>
          <w:rFonts w:cs="Arial"/>
          <w:lang w:val="en-GB"/>
        </w:rPr>
        <w:t xml:space="preserve">that SRR </w:t>
      </w:r>
      <w:r w:rsidR="002C2861" w:rsidRPr="00D35404">
        <w:rPr>
          <w:rFonts w:cs="Arial"/>
          <w:lang w:val="en-GB"/>
        </w:rPr>
        <w:t>d</w:t>
      </w:r>
      <w:r w:rsidRPr="00D35404">
        <w:rPr>
          <w:rFonts w:cs="Arial"/>
          <w:lang w:val="en-GB"/>
        </w:rPr>
        <w:t xml:space="preserve">evices </w:t>
      </w:r>
      <w:r w:rsidR="001B028B" w:rsidRPr="00D35404">
        <w:rPr>
          <w:rFonts w:cs="Arial"/>
          <w:lang w:val="en-GB"/>
        </w:rPr>
        <w:t xml:space="preserve">intended to </w:t>
      </w:r>
      <w:r w:rsidR="006D0022" w:rsidRPr="00D35404">
        <w:rPr>
          <w:rFonts w:cs="Arial"/>
          <w:lang w:val="en-GB"/>
        </w:rPr>
        <w:t>operat</w:t>
      </w:r>
      <w:r w:rsidR="001B028B" w:rsidRPr="00D35404">
        <w:rPr>
          <w:rFonts w:cs="Arial"/>
          <w:lang w:val="en-GB"/>
        </w:rPr>
        <w:t>e</w:t>
      </w:r>
      <w:r w:rsidR="006D0022" w:rsidRPr="00D35404">
        <w:rPr>
          <w:rFonts w:cs="Arial"/>
          <w:lang w:val="en-GB"/>
        </w:rPr>
        <w:t xml:space="preserve"> </w:t>
      </w:r>
      <w:r w:rsidRPr="00D35404">
        <w:rPr>
          <w:rFonts w:cs="Arial"/>
          <w:lang w:val="en-GB"/>
        </w:rPr>
        <w:t xml:space="preserve">in the band 24.25-26.65 GHz may only </w:t>
      </w:r>
      <w:r w:rsidR="00087FDC" w:rsidRPr="00D35404">
        <w:rPr>
          <w:rFonts w:cs="Arial"/>
          <w:lang w:val="en-GB"/>
        </w:rPr>
        <w:t>operate</w:t>
      </w:r>
      <w:r w:rsidRPr="00D35404">
        <w:rPr>
          <w:rFonts w:cs="Arial"/>
          <w:lang w:val="en-GB"/>
        </w:rPr>
        <w:t xml:space="preserve"> on motor vehicles for which a type-approval application was granted before 1 January 2018; </w:t>
      </w:r>
    </w:p>
    <w:p w14:paraId="25F66438" w14:textId="77777777" w:rsidR="0056247C" w:rsidRPr="00D35404" w:rsidRDefault="0056247C" w:rsidP="00EF2060">
      <w:pPr>
        <w:pStyle w:val="NumberedList"/>
        <w:spacing w:before="120" w:after="120"/>
        <w:rPr>
          <w:lang w:val="en-GB"/>
        </w:rPr>
      </w:pPr>
      <w:r w:rsidRPr="00D35404">
        <w:rPr>
          <w:rFonts w:cs="Arial"/>
          <w:lang w:val="en-GB"/>
        </w:rPr>
        <w:t>that the temporary frequency designations for SRR equipment are on a non-interference and non-protected basis;</w:t>
      </w:r>
    </w:p>
    <w:p w14:paraId="6603C366" w14:textId="655EAAE4" w:rsidR="0056247C" w:rsidRPr="00D35404" w:rsidRDefault="0056247C" w:rsidP="00D60476">
      <w:pPr>
        <w:pStyle w:val="NumberedList"/>
        <w:spacing w:before="120" w:after="120"/>
        <w:rPr>
          <w:lang w:val="en-GB"/>
        </w:rPr>
      </w:pPr>
      <w:r w:rsidRPr="00D35404">
        <w:rPr>
          <w:rFonts w:cs="Arial"/>
          <w:lang w:val="en-GB"/>
        </w:rPr>
        <w:t>that this Decision enters into force on 1 June 2012;</w:t>
      </w:r>
    </w:p>
    <w:p w14:paraId="396C0821" w14:textId="091D888F" w:rsidR="0056247C" w:rsidRPr="00D35404" w:rsidRDefault="0056247C" w:rsidP="00EF2060">
      <w:pPr>
        <w:pStyle w:val="NumberedList"/>
        <w:spacing w:before="120" w:after="120"/>
        <w:rPr>
          <w:lang w:val="en-GB"/>
        </w:rPr>
      </w:pPr>
      <w:r w:rsidRPr="00D35404">
        <w:rPr>
          <w:rFonts w:cs="Arial"/>
          <w:lang w:val="en-GB"/>
        </w:rPr>
        <w:t>that the preferred date for implementation of this Decision shall be 1 September 2012;</w:t>
      </w:r>
    </w:p>
    <w:p w14:paraId="0080BF4C" w14:textId="77777777" w:rsidR="0056247C" w:rsidRPr="00D35404" w:rsidRDefault="0056247C" w:rsidP="00EF2060">
      <w:pPr>
        <w:pStyle w:val="NumberedList"/>
        <w:spacing w:before="120" w:after="120"/>
        <w:rPr>
          <w:lang w:val="en-GB"/>
        </w:rPr>
      </w:pPr>
      <w:r w:rsidRPr="00D35404">
        <w:rPr>
          <w:rFonts w:cs="Arial"/>
          <w:lang w:val="en-GB"/>
        </w:rPr>
        <w:t>that CEPT administrations shall communicate the national measures implementing this Decision to the ECC Chairman and the Office when the Decision is nationally implemented.”</w:t>
      </w:r>
    </w:p>
    <w:p w14:paraId="663769E6" w14:textId="77777777" w:rsidR="0056247C" w:rsidRPr="00D35404" w:rsidRDefault="0056247C" w:rsidP="00EF2060">
      <w:pPr>
        <w:keepNext/>
      </w:pPr>
    </w:p>
    <w:p w14:paraId="76E68B99" w14:textId="77777777" w:rsidR="0056247C" w:rsidRPr="00D35404" w:rsidRDefault="0056247C" w:rsidP="00EF2060">
      <w:pPr>
        <w:keepNext/>
        <w:rPr>
          <w:i/>
          <w:color w:val="D2232A"/>
        </w:rPr>
      </w:pPr>
      <w:r w:rsidRPr="00D35404">
        <w:rPr>
          <w:i/>
          <w:color w:val="D2232A"/>
        </w:rPr>
        <w:t xml:space="preserve">Note: </w:t>
      </w:r>
    </w:p>
    <w:p w14:paraId="0586593B" w14:textId="63862857" w:rsidR="0056247C" w:rsidRPr="00D35404" w:rsidRDefault="0056247C" w:rsidP="00EF2060">
      <w:pPr>
        <w:keepNext/>
        <w:rPr>
          <w:i/>
          <w:szCs w:val="20"/>
        </w:rPr>
      </w:pPr>
      <w:r w:rsidRPr="00D35404">
        <w:rPr>
          <w:i/>
          <w:szCs w:val="20"/>
        </w:rPr>
        <w:t xml:space="preserve">Please check the Office documentation database </w:t>
      </w:r>
      <w:hyperlink r:id="rId10" w:history="1">
        <w:r w:rsidR="000D31DA" w:rsidRPr="00D35404">
          <w:rPr>
            <w:rStyle w:val="Hyperlink"/>
            <w:i/>
            <w:szCs w:val="20"/>
          </w:rPr>
          <w:t>https://docdb.cept.org</w:t>
        </w:r>
      </w:hyperlink>
      <w:r w:rsidR="00404950" w:rsidRPr="00D35404">
        <w:rPr>
          <w:i/>
          <w:szCs w:val="20"/>
        </w:rPr>
        <w:t xml:space="preserve"> </w:t>
      </w:r>
      <w:r w:rsidRPr="00D35404">
        <w:rPr>
          <w:i/>
          <w:szCs w:val="20"/>
        </w:rPr>
        <w:t xml:space="preserve">for the up to date position on the implementation of this and other </w:t>
      </w:r>
      <w:smartTag w:uri="urn:schemas-microsoft-com:office:smarttags" w:element="stockticker">
        <w:r w:rsidRPr="00D35404">
          <w:rPr>
            <w:i/>
            <w:szCs w:val="20"/>
          </w:rPr>
          <w:t>ECC</w:t>
        </w:r>
      </w:smartTag>
      <w:r w:rsidRPr="00D35404">
        <w:rPr>
          <w:i/>
          <w:szCs w:val="20"/>
        </w:rPr>
        <w:t xml:space="preserve"> Decisions.</w:t>
      </w:r>
    </w:p>
    <w:p w14:paraId="0E19EE99" w14:textId="77777777" w:rsidR="0056247C" w:rsidRPr="00D35404" w:rsidRDefault="0056247C" w:rsidP="00EF2060">
      <w:pPr>
        <w:keepNext/>
        <w:rPr>
          <w:i/>
          <w:szCs w:val="20"/>
        </w:rPr>
      </w:pPr>
    </w:p>
    <w:p w14:paraId="13E325F9" w14:textId="77777777" w:rsidR="0056247C" w:rsidRPr="00D35404" w:rsidRDefault="0056247C" w:rsidP="00EF2060">
      <w:pPr>
        <w:keepNext/>
        <w:rPr>
          <w:i/>
          <w:szCs w:val="20"/>
        </w:rPr>
      </w:pPr>
    </w:p>
    <w:p w14:paraId="0C347264" w14:textId="77777777" w:rsidR="0056247C" w:rsidRPr="00D35404" w:rsidRDefault="0056247C">
      <w:pPr>
        <w:rPr>
          <w:rFonts w:cs="Arial"/>
          <w:b/>
          <w:bCs/>
          <w:caps/>
          <w:color w:val="D2232A"/>
          <w:kern w:val="32"/>
          <w:szCs w:val="32"/>
        </w:rPr>
      </w:pPr>
      <w:bookmarkStart w:id="2" w:name="_Toc280099658"/>
      <w:r w:rsidRPr="00D35404">
        <w:br w:type="page"/>
      </w:r>
    </w:p>
    <w:p w14:paraId="53150AE4" w14:textId="77777777" w:rsidR="0056247C" w:rsidRPr="00D35404" w:rsidRDefault="0056247C" w:rsidP="0056247C">
      <w:pPr>
        <w:pStyle w:val="ECCAnnex-heading1"/>
        <w:numPr>
          <w:ilvl w:val="0"/>
          <w:numId w:val="1"/>
        </w:numPr>
      </w:pPr>
      <w:bookmarkStart w:id="3" w:name="_Ref89665929"/>
      <w:r w:rsidRPr="00D35404">
        <w:lastRenderedPageBreak/>
        <w:t xml:space="preserve">Technical requirements for SRR devices operating within the band </w:t>
      </w:r>
      <w:r w:rsidRPr="00D35404">
        <w:br/>
        <w:t>21.65-26.65 GH</w:t>
      </w:r>
      <w:r w:rsidRPr="00D35404">
        <w:rPr>
          <w:caps w:val="0"/>
        </w:rPr>
        <w:t>z</w:t>
      </w:r>
      <w:bookmarkEnd w:id="2"/>
      <w:bookmarkEnd w:id="3"/>
    </w:p>
    <w:p w14:paraId="694FBF3E" w14:textId="77777777" w:rsidR="0056247C" w:rsidRPr="00D35404" w:rsidRDefault="0056247C" w:rsidP="0056247C">
      <w:pPr>
        <w:numPr>
          <w:ilvl w:val="1"/>
          <w:numId w:val="14"/>
        </w:numPr>
        <w:tabs>
          <w:tab w:val="clear" w:pos="1440"/>
          <w:tab w:val="num" w:pos="426"/>
        </w:tabs>
        <w:overflowPunct w:val="0"/>
        <w:autoSpaceDE w:val="0"/>
        <w:autoSpaceDN w:val="0"/>
        <w:adjustRightInd w:val="0"/>
        <w:spacing w:before="0" w:after="0"/>
        <w:ind w:left="426" w:hanging="426"/>
        <w:textAlignment w:val="baseline"/>
        <w:rPr>
          <w:rFonts w:cs="Arial"/>
        </w:rPr>
      </w:pPr>
      <w:r w:rsidRPr="00D35404">
        <w:rPr>
          <w:rFonts w:cs="Arial"/>
        </w:rPr>
        <w:t xml:space="preserve">The frequency band 21.65-26.65 GHz is designated for the </w:t>
      </w:r>
      <w:proofErr w:type="spellStart"/>
      <w:r w:rsidRPr="00D35404">
        <w:rPr>
          <w:rFonts w:cs="Arial"/>
        </w:rPr>
        <w:t>Ultra Wide</w:t>
      </w:r>
      <w:proofErr w:type="spellEnd"/>
      <w:r w:rsidRPr="00D35404">
        <w:rPr>
          <w:rFonts w:cs="Arial"/>
        </w:rPr>
        <w:t xml:space="preserve"> Band component of Automotive Short Range Radars (SRR) devices, with a maximum mean e.i.r.p. density of </w:t>
      </w:r>
      <w:r w:rsidRPr="00D35404">
        <w:rPr>
          <w:rFonts w:cs="Arial"/>
        </w:rPr>
        <w:noBreakHyphen/>
        <w:t>41.3 dBm/MHz and a peak e.i.r.p. density of 0 dBm/50MHz, until the reference date 30 June 2013.</w:t>
      </w:r>
    </w:p>
    <w:p w14:paraId="33689560" w14:textId="77777777" w:rsidR="0056247C" w:rsidRPr="00D35404" w:rsidRDefault="0056247C" w:rsidP="00EF2060">
      <w:pPr>
        <w:ind w:left="426"/>
        <w:rPr>
          <w:rFonts w:cs="Arial"/>
        </w:rPr>
      </w:pPr>
    </w:p>
    <w:p w14:paraId="4E375446" w14:textId="77777777" w:rsidR="0056247C" w:rsidRPr="00D35404" w:rsidRDefault="0056247C" w:rsidP="0056247C">
      <w:pPr>
        <w:numPr>
          <w:ilvl w:val="1"/>
          <w:numId w:val="14"/>
        </w:numPr>
        <w:tabs>
          <w:tab w:val="clear" w:pos="1440"/>
          <w:tab w:val="num" w:pos="426"/>
        </w:tabs>
        <w:overflowPunct w:val="0"/>
        <w:autoSpaceDE w:val="0"/>
        <w:autoSpaceDN w:val="0"/>
        <w:adjustRightInd w:val="0"/>
        <w:spacing w:before="0" w:after="0"/>
        <w:ind w:left="426" w:hanging="426"/>
        <w:textAlignment w:val="baseline"/>
        <w:rPr>
          <w:rFonts w:cs="Arial"/>
        </w:rPr>
      </w:pPr>
      <w:r w:rsidRPr="00D35404">
        <w:rPr>
          <w:rFonts w:cs="Arial"/>
        </w:rPr>
        <w:t>The frequency band 24.05 to 24.25 GHz is designated for the narrow-band emission mode/component, which may only consist of an unmodulated carrier, with a maximum peak power of 20 dBm e.i.r.p and a duty cycle limited to 10% for peak emissions higher than -10 dBm e.i.r.p.</w:t>
      </w:r>
    </w:p>
    <w:p w14:paraId="3BA8D773" w14:textId="77777777" w:rsidR="0056247C" w:rsidRPr="00D35404" w:rsidRDefault="0056247C" w:rsidP="00EF2060">
      <w:pPr>
        <w:ind w:left="426"/>
        <w:rPr>
          <w:rFonts w:cs="Arial"/>
        </w:rPr>
      </w:pPr>
    </w:p>
    <w:p w14:paraId="575E1E55" w14:textId="77777777" w:rsidR="0056247C" w:rsidRPr="00D35404" w:rsidRDefault="0056247C" w:rsidP="0056247C">
      <w:pPr>
        <w:numPr>
          <w:ilvl w:val="1"/>
          <w:numId w:val="14"/>
        </w:numPr>
        <w:tabs>
          <w:tab w:val="clear" w:pos="1440"/>
          <w:tab w:val="num" w:pos="426"/>
        </w:tabs>
        <w:overflowPunct w:val="0"/>
        <w:autoSpaceDE w:val="0"/>
        <w:autoSpaceDN w:val="0"/>
        <w:adjustRightInd w:val="0"/>
        <w:spacing w:before="0" w:after="0"/>
        <w:ind w:left="426" w:hanging="426"/>
        <w:textAlignment w:val="baseline"/>
        <w:rPr>
          <w:rFonts w:cs="Arial"/>
        </w:rPr>
      </w:pPr>
      <w:r w:rsidRPr="00D35404">
        <w:rPr>
          <w:rFonts w:cs="Arial"/>
        </w:rPr>
        <w:t xml:space="preserve">SRR transmitting in the band 23.6-24 GHz with a mean e.i.r.p density higher than -74 dBm/MHz or in the bands 22.01-22.5 GHz, 22.81-22.86 GHz and 23.07-23.12 GHz with a mean e.i.r.p. density higher than </w:t>
      </w:r>
      <w:r w:rsidRPr="00D35404">
        <w:rPr>
          <w:rFonts w:cs="Arial"/>
        </w:rPr>
        <w:noBreakHyphen/>
        <w:t>57 dBm/MHz, shall be fitted with an automatic deactivation mechanism to ensure protection of radio astronomy sites. Moreover, within the band 23.6-24 GHz, emissions that appear 30° or greater above the horizontal plane shall be attenuated by at least 30 dB up to 1 July 2013.</w:t>
      </w:r>
    </w:p>
    <w:p w14:paraId="50BE8EA0" w14:textId="77777777" w:rsidR="0056247C" w:rsidRPr="00D35404" w:rsidRDefault="0056247C" w:rsidP="00EF2060">
      <w:pPr>
        <w:ind w:left="426"/>
        <w:rPr>
          <w:rFonts w:cs="Arial"/>
        </w:rPr>
      </w:pPr>
    </w:p>
    <w:p w14:paraId="3972719C" w14:textId="2CC68C1D" w:rsidR="0056247C" w:rsidRPr="00D35404" w:rsidRDefault="0056247C" w:rsidP="0056247C">
      <w:pPr>
        <w:numPr>
          <w:ilvl w:val="1"/>
          <w:numId w:val="14"/>
        </w:numPr>
        <w:tabs>
          <w:tab w:val="clear" w:pos="1440"/>
          <w:tab w:val="num" w:pos="426"/>
        </w:tabs>
        <w:overflowPunct w:val="0"/>
        <w:autoSpaceDE w:val="0"/>
        <w:autoSpaceDN w:val="0"/>
        <w:adjustRightInd w:val="0"/>
        <w:spacing w:before="0" w:after="0"/>
        <w:ind w:left="426" w:hanging="426"/>
        <w:textAlignment w:val="baseline"/>
        <w:rPr>
          <w:rFonts w:cs="Arial"/>
        </w:rPr>
      </w:pPr>
      <w:r w:rsidRPr="00D35404">
        <w:rPr>
          <w:rFonts w:cs="Arial"/>
        </w:rPr>
        <w:t xml:space="preserve">SRR devices shall be de-activated within the specified separation distance from the radio astronomy sites referenced in </w:t>
      </w:r>
      <w:r w:rsidR="008D7A0F" w:rsidRPr="00D35404">
        <w:rPr>
          <w:rFonts w:cs="Arial"/>
        </w:rPr>
        <w:fldChar w:fldCharType="begin"/>
      </w:r>
      <w:r w:rsidR="008D7A0F" w:rsidRPr="00D35404">
        <w:rPr>
          <w:rFonts w:cs="Arial"/>
        </w:rPr>
        <w:instrText xml:space="preserve"> REF _Ref89666028 \r \h </w:instrText>
      </w:r>
      <w:r w:rsidR="00D35404">
        <w:rPr>
          <w:rFonts w:cs="Arial"/>
        </w:rPr>
        <w:instrText xml:space="preserve"> \* MERGEFORMAT </w:instrText>
      </w:r>
      <w:r w:rsidR="008D7A0F" w:rsidRPr="00D35404">
        <w:rPr>
          <w:rFonts w:cs="Arial"/>
        </w:rPr>
      </w:r>
      <w:r w:rsidR="008D7A0F" w:rsidRPr="00D35404">
        <w:rPr>
          <w:rFonts w:cs="Arial"/>
        </w:rPr>
        <w:fldChar w:fldCharType="separate"/>
      </w:r>
      <w:r w:rsidR="008D7A0F" w:rsidRPr="00D35404">
        <w:rPr>
          <w:rFonts w:cs="Arial"/>
        </w:rPr>
        <w:t>ANNEX 3</w:t>
      </w:r>
      <w:r w:rsidR="008D7A0F" w:rsidRPr="00D35404">
        <w:rPr>
          <w:rFonts w:cs="Arial"/>
        </w:rPr>
        <w:fldChar w:fldCharType="end"/>
      </w:r>
      <w:r w:rsidRPr="00D35404">
        <w:rPr>
          <w:rFonts w:cs="Arial"/>
        </w:rPr>
        <w:t>.</w:t>
      </w:r>
    </w:p>
    <w:p w14:paraId="767D2D35" w14:textId="77777777" w:rsidR="0056247C" w:rsidRPr="00D35404" w:rsidRDefault="0056247C" w:rsidP="00EF2060">
      <w:pPr>
        <w:ind w:left="426"/>
        <w:rPr>
          <w:rFonts w:cs="Arial"/>
        </w:rPr>
      </w:pPr>
    </w:p>
    <w:p w14:paraId="3B3C4BA8" w14:textId="57FA0DB3" w:rsidR="0056247C" w:rsidRPr="00D35404" w:rsidRDefault="0056247C" w:rsidP="0056247C">
      <w:pPr>
        <w:numPr>
          <w:ilvl w:val="1"/>
          <w:numId w:val="14"/>
        </w:numPr>
        <w:tabs>
          <w:tab w:val="clear" w:pos="1440"/>
          <w:tab w:val="num" w:pos="426"/>
        </w:tabs>
        <w:overflowPunct w:val="0"/>
        <w:autoSpaceDE w:val="0"/>
        <w:autoSpaceDN w:val="0"/>
        <w:adjustRightInd w:val="0"/>
        <w:spacing w:before="0" w:after="0"/>
        <w:ind w:left="426" w:hanging="426"/>
        <w:textAlignment w:val="baseline"/>
        <w:rPr>
          <w:rFonts w:cs="Arial"/>
        </w:rPr>
      </w:pPr>
      <w:r w:rsidRPr="00D35404">
        <w:rPr>
          <w:rFonts w:cs="Arial"/>
        </w:rPr>
        <w:t xml:space="preserve">After 30 June 2013, the 79 GHz range for new SRR systems, or alternative permitted technical solutions (e.g. according to </w:t>
      </w:r>
      <w:r w:rsidR="008D7A0F" w:rsidRPr="00D35404">
        <w:rPr>
          <w:rFonts w:cs="Arial"/>
        </w:rPr>
        <w:fldChar w:fldCharType="begin"/>
      </w:r>
      <w:r w:rsidR="008D7A0F" w:rsidRPr="00D35404">
        <w:rPr>
          <w:rFonts w:cs="Arial"/>
        </w:rPr>
        <w:instrText xml:space="preserve"> REF _Ref89665975 \r \h </w:instrText>
      </w:r>
      <w:r w:rsidR="00D35404">
        <w:rPr>
          <w:rFonts w:cs="Arial"/>
        </w:rPr>
        <w:instrText xml:space="preserve"> \* MERGEFORMAT </w:instrText>
      </w:r>
      <w:r w:rsidR="008D7A0F" w:rsidRPr="00D35404">
        <w:rPr>
          <w:rFonts w:cs="Arial"/>
        </w:rPr>
      </w:r>
      <w:r w:rsidR="008D7A0F" w:rsidRPr="00D35404">
        <w:rPr>
          <w:rFonts w:cs="Arial"/>
        </w:rPr>
        <w:fldChar w:fldCharType="separate"/>
      </w:r>
      <w:r w:rsidR="008D7A0F" w:rsidRPr="00D35404">
        <w:rPr>
          <w:rFonts w:cs="Arial"/>
        </w:rPr>
        <w:t>ANNEX 2</w:t>
      </w:r>
      <w:r w:rsidR="008D7A0F" w:rsidRPr="00D35404">
        <w:rPr>
          <w:rFonts w:cs="Arial"/>
        </w:rPr>
        <w:fldChar w:fldCharType="end"/>
      </w:r>
      <w:r w:rsidRPr="00D35404">
        <w:rPr>
          <w:rFonts w:cs="Arial"/>
        </w:rPr>
        <w:t>), must be used for road vehicle collision mitigation and traffic safety applications, while all existing equipment detailed in this annex may still operate to the end of lifetime of the vehicles.</w:t>
      </w:r>
    </w:p>
    <w:p w14:paraId="132F3A2F" w14:textId="77777777" w:rsidR="0056247C" w:rsidRPr="00D35404" w:rsidRDefault="0056247C" w:rsidP="00EF2060"/>
    <w:p w14:paraId="15D7E1DC" w14:textId="77777777" w:rsidR="0056247C" w:rsidRPr="00D35404" w:rsidRDefault="0056247C" w:rsidP="00EF2060"/>
    <w:p w14:paraId="16008506" w14:textId="77777777" w:rsidR="0056247C" w:rsidRPr="00D35404" w:rsidRDefault="0056247C" w:rsidP="0056247C">
      <w:pPr>
        <w:pStyle w:val="ECCAnnex-heading1"/>
        <w:numPr>
          <w:ilvl w:val="0"/>
          <w:numId w:val="1"/>
        </w:numPr>
      </w:pPr>
      <w:bookmarkStart w:id="4" w:name="_Ref89665975"/>
      <w:r w:rsidRPr="00D35404">
        <w:lastRenderedPageBreak/>
        <w:t xml:space="preserve">Technical requirements for SRR devices operating within the band </w:t>
      </w:r>
      <w:r w:rsidRPr="00D35404">
        <w:br/>
        <w:t>24.25-26.65 GH</w:t>
      </w:r>
      <w:r w:rsidRPr="00D35404">
        <w:rPr>
          <w:caps w:val="0"/>
        </w:rPr>
        <w:t>z</w:t>
      </w:r>
      <w:bookmarkEnd w:id="4"/>
    </w:p>
    <w:p w14:paraId="2CFBF153" w14:textId="77777777" w:rsidR="0056247C" w:rsidRPr="00D35404" w:rsidRDefault="0056247C" w:rsidP="0056247C">
      <w:pPr>
        <w:numPr>
          <w:ilvl w:val="0"/>
          <w:numId w:val="15"/>
        </w:numPr>
        <w:tabs>
          <w:tab w:val="clear" w:pos="1440"/>
          <w:tab w:val="num" w:pos="426"/>
        </w:tabs>
        <w:overflowPunct w:val="0"/>
        <w:autoSpaceDE w:val="0"/>
        <w:autoSpaceDN w:val="0"/>
        <w:adjustRightInd w:val="0"/>
        <w:spacing w:before="0" w:after="0"/>
        <w:ind w:left="426" w:hanging="426"/>
        <w:textAlignment w:val="baseline"/>
        <w:rPr>
          <w:rFonts w:cs="Arial"/>
        </w:rPr>
      </w:pPr>
      <w:r w:rsidRPr="00D35404">
        <w:rPr>
          <w:rFonts w:cs="Arial"/>
        </w:rPr>
        <w:t xml:space="preserve">The frequency band 24.25-26.65 GHz is designated for the </w:t>
      </w:r>
      <w:proofErr w:type="spellStart"/>
      <w:r w:rsidRPr="00D35404">
        <w:rPr>
          <w:rFonts w:cs="Arial"/>
        </w:rPr>
        <w:t>Ultra Wide</w:t>
      </w:r>
      <w:proofErr w:type="spellEnd"/>
      <w:r w:rsidRPr="00D35404">
        <w:rPr>
          <w:rFonts w:cs="Arial"/>
        </w:rPr>
        <w:t xml:space="preserve"> Band component of Automotive Short Range Radars (SRR) devices, with a maximum mean e.i.r.p. density of </w:t>
      </w:r>
      <w:r w:rsidRPr="00D35404">
        <w:rPr>
          <w:rFonts w:cs="Arial"/>
        </w:rPr>
        <w:noBreakHyphen/>
        <w:t>41.3 dBm/MHz and a peak e.i.r.p. density of 0 dBm/50MHz, until the reference date 1 January 2018 (this date is extended by 4 years for SRR equipment mounted on motor vehicles for which a type-approval application has been submitted and has been granted before 1 January 2018).</w:t>
      </w:r>
    </w:p>
    <w:p w14:paraId="5865D531" w14:textId="77777777" w:rsidR="0056247C" w:rsidRPr="00D35404" w:rsidRDefault="0056247C" w:rsidP="00EF2060">
      <w:pPr>
        <w:tabs>
          <w:tab w:val="num" w:pos="426"/>
        </w:tabs>
        <w:ind w:left="426" w:hanging="426"/>
        <w:rPr>
          <w:rFonts w:cs="Arial"/>
        </w:rPr>
      </w:pPr>
    </w:p>
    <w:p w14:paraId="55B0A30C" w14:textId="3EECFD3C" w:rsidR="0056247C" w:rsidRPr="00D35404" w:rsidRDefault="0056247C" w:rsidP="0056247C">
      <w:pPr>
        <w:numPr>
          <w:ilvl w:val="0"/>
          <w:numId w:val="15"/>
        </w:numPr>
        <w:tabs>
          <w:tab w:val="clear" w:pos="1440"/>
          <w:tab w:val="num" w:pos="426"/>
        </w:tabs>
        <w:overflowPunct w:val="0"/>
        <w:autoSpaceDE w:val="0"/>
        <w:autoSpaceDN w:val="0"/>
        <w:adjustRightInd w:val="0"/>
        <w:spacing w:before="0" w:after="0"/>
        <w:ind w:left="426" w:hanging="426"/>
        <w:textAlignment w:val="baseline"/>
        <w:rPr>
          <w:rFonts w:cs="Arial"/>
        </w:rPr>
      </w:pPr>
      <w:r w:rsidRPr="00D35404">
        <w:rPr>
          <w:rFonts w:cs="Arial"/>
        </w:rPr>
        <w:t>The maximum emitted power for the out-of-band emission in the band 23.6 GHz to 24 GHz shall not exceed -74 dBm/MHz e.i.r.p. Moreover, any emissions within the 23.6 GHz to 24 GHz band that appear 30° or greater above the horizontal plane shall be kept to a minimum considering typical antenna elevation pattern as depicted in  ECC Report 158</w:t>
      </w:r>
      <w:r w:rsidR="00480444" w:rsidRPr="00D35404">
        <w:rPr>
          <w:rFonts w:cs="Arial"/>
        </w:rPr>
        <w:t>, figure 15</w:t>
      </w:r>
      <w:r w:rsidR="00B80CAD">
        <w:rPr>
          <w:rFonts w:cs="Arial"/>
        </w:rPr>
        <w:t xml:space="preserve"> </w:t>
      </w:r>
      <w:r w:rsidR="000D53E0" w:rsidRPr="00D35404">
        <w:rPr>
          <w:rFonts w:cs="Arial"/>
        </w:rPr>
        <w:fldChar w:fldCharType="begin"/>
      </w:r>
      <w:r w:rsidR="000D53E0" w:rsidRPr="00D35404">
        <w:rPr>
          <w:rFonts w:cs="Arial"/>
        </w:rPr>
        <w:instrText xml:space="preserve"> REF _Ref90457394 \r \h  \* MERGEFORMAT </w:instrText>
      </w:r>
      <w:r w:rsidR="000D53E0" w:rsidRPr="00D35404">
        <w:rPr>
          <w:rFonts w:cs="Arial"/>
        </w:rPr>
      </w:r>
      <w:r w:rsidR="000D53E0" w:rsidRPr="00D35404">
        <w:rPr>
          <w:rFonts w:cs="Arial"/>
        </w:rPr>
        <w:fldChar w:fldCharType="separate"/>
      </w:r>
      <w:r w:rsidR="000D53E0" w:rsidRPr="00D35404">
        <w:rPr>
          <w:rFonts w:cs="Arial"/>
        </w:rPr>
        <w:t>[8]</w:t>
      </w:r>
      <w:r w:rsidR="000D53E0" w:rsidRPr="00D35404">
        <w:rPr>
          <w:rFonts w:cs="Arial"/>
        </w:rPr>
        <w:fldChar w:fldCharType="end"/>
      </w:r>
      <w:r w:rsidRPr="00D35404">
        <w:rPr>
          <w:rFonts w:cs="Arial"/>
        </w:rPr>
        <w:t>.</w:t>
      </w:r>
    </w:p>
    <w:p w14:paraId="746BF2ED" w14:textId="77777777" w:rsidR="0056247C" w:rsidRPr="00D35404" w:rsidRDefault="0056247C" w:rsidP="00EF2060">
      <w:pPr>
        <w:ind w:left="426"/>
        <w:rPr>
          <w:rFonts w:cs="Arial"/>
        </w:rPr>
      </w:pPr>
    </w:p>
    <w:p w14:paraId="6C5359B1" w14:textId="77777777" w:rsidR="0056247C" w:rsidRPr="00D35404" w:rsidRDefault="0056247C" w:rsidP="0056247C">
      <w:pPr>
        <w:numPr>
          <w:ilvl w:val="0"/>
          <w:numId w:val="15"/>
        </w:numPr>
        <w:tabs>
          <w:tab w:val="clear" w:pos="1440"/>
          <w:tab w:val="num" w:pos="426"/>
        </w:tabs>
        <w:overflowPunct w:val="0"/>
        <w:autoSpaceDE w:val="0"/>
        <w:autoSpaceDN w:val="0"/>
        <w:adjustRightInd w:val="0"/>
        <w:spacing w:before="0" w:after="0"/>
        <w:ind w:left="426" w:hanging="426"/>
        <w:textAlignment w:val="baseline"/>
        <w:rPr>
          <w:rFonts w:cs="Arial"/>
        </w:rPr>
      </w:pPr>
      <w:r w:rsidRPr="00D35404">
        <w:rPr>
          <w:rFonts w:cs="Arial"/>
        </w:rPr>
        <w:t>After 1 January 2018 (this date is extended by 4 years for SRR equipment mounted on motor vehicles for which a type-approval application has been submitted and has been granted before 1 January 2018), the 79 GHz range for new SRR systems, or alternative permitted technical solutions, must be used for road vehicle collision mitigation and traffic safety applications, while all existing equipment detailed in this annex may still operate to the end of lifetime of the vehicles.</w:t>
      </w:r>
    </w:p>
    <w:p w14:paraId="54A4D535" w14:textId="77777777" w:rsidR="0056247C" w:rsidRPr="00D35404" w:rsidRDefault="0056247C" w:rsidP="00EF2060"/>
    <w:p w14:paraId="52944079" w14:textId="77777777" w:rsidR="0056247C" w:rsidRPr="00D35404" w:rsidRDefault="0056247C" w:rsidP="0056247C">
      <w:pPr>
        <w:pStyle w:val="ECCAnnex-heading1"/>
        <w:numPr>
          <w:ilvl w:val="0"/>
          <w:numId w:val="1"/>
        </w:numPr>
      </w:pPr>
      <w:bookmarkStart w:id="5" w:name="_Ref89666028"/>
      <w:r w:rsidRPr="00D35404">
        <w:lastRenderedPageBreak/>
        <w:t xml:space="preserve">list of radio astronomy sites for which automatic deactivation for </w:t>
      </w:r>
      <w:r w:rsidRPr="00D35404">
        <w:br/>
        <w:t>SRR devices operating in the band 21.65-26.65 GH</w:t>
      </w:r>
      <w:r w:rsidRPr="00D35404">
        <w:rPr>
          <w:caps w:val="0"/>
        </w:rPr>
        <w:t>z</w:t>
      </w:r>
      <w:r w:rsidRPr="00D35404">
        <w:t xml:space="preserve"> is required with geographic coordinates and related separation distance</w:t>
      </w:r>
      <w:bookmarkEnd w:id="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2031"/>
        <w:gridCol w:w="1960"/>
        <w:gridCol w:w="2033"/>
        <w:gridCol w:w="1707"/>
        <w:gridCol w:w="1898"/>
      </w:tblGrid>
      <w:tr w:rsidR="0056247C" w:rsidRPr="00D35404" w14:paraId="6EA3009A" w14:textId="77777777" w:rsidTr="00EF2060">
        <w:trPr>
          <w:tblHeader/>
        </w:trPr>
        <w:tc>
          <w:tcPr>
            <w:tcW w:w="2093" w:type="dxa"/>
            <w:tcBorders>
              <w:top w:val="single" w:sz="4" w:space="0" w:color="D2232A"/>
              <w:left w:val="single" w:sz="4" w:space="0" w:color="D2232A"/>
              <w:bottom w:val="single" w:sz="4" w:space="0" w:color="FFFFFF" w:themeColor="background1"/>
              <w:right w:val="single" w:sz="4" w:space="0" w:color="FFFFFF" w:themeColor="background1"/>
            </w:tcBorders>
            <w:shd w:val="clear" w:color="auto" w:fill="D2232A"/>
          </w:tcPr>
          <w:p w14:paraId="1C7A4337" w14:textId="77777777" w:rsidR="0056247C" w:rsidRPr="00D35404" w:rsidRDefault="0056247C" w:rsidP="00EF2060">
            <w:pPr>
              <w:spacing w:before="120"/>
              <w:jc w:val="center"/>
              <w:rPr>
                <w:rFonts w:cs="Arial"/>
                <w:b/>
                <w:color w:val="FFFFFF" w:themeColor="background1"/>
              </w:rPr>
            </w:pPr>
            <w:r w:rsidRPr="00D35404">
              <w:rPr>
                <w:rFonts w:cs="Arial"/>
                <w:b/>
                <w:color w:val="FFFFFF" w:themeColor="background1"/>
              </w:rPr>
              <w:t>Country</w:t>
            </w:r>
          </w:p>
        </w:tc>
        <w:tc>
          <w:tcPr>
            <w:tcW w:w="1984" w:type="dxa"/>
            <w:tcBorders>
              <w:top w:val="single" w:sz="4" w:space="0" w:color="D2232A"/>
              <w:left w:val="single" w:sz="4" w:space="0" w:color="FFFFFF" w:themeColor="background1"/>
              <w:bottom w:val="single" w:sz="4" w:space="0" w:color="FFFFFF" w:themeColor="background1"/>
              <w:right w:val="single" w:sz="4" w:space="0" w:color="FFFFFF" w:themeColor="background1"/>
            </w:tcBorders>
            <w:shd w:val="clear" w:color="auto" w:fill="D2232A"/>
          </w:tcPr>
          <w:p w14:paraId="197165FB" w14:textId="77777777" w:rsidR="0056247C" w:rsidRPr="00D35404" w:rsidRDefault="0056247C" w:rsidP="00EF2060">
            <w:pPr>
              <w:spacing w:before="120"/>
              <w:jc w:val="center"/>
              <w:rPr>
                <w:rFonts w:cs="Arial"/>
                <w:b/>
                <w:color w:val="FFFFFF" w:themeColor="background1"/>
              </w:rPr>
            </w:pPr>
            <w:r w:rsidRPr="00D35404">
              <w:rPr>
                <w:rFonts w:cs="Arial"/>
                <w:b/>
                <w:color w:val="FFFFFF" w:themeColor="background1"/>
              </w:rPr>
              <w:t>Name of the station</w:t>
            </w:r>
          </w:p>
        </w:tc>
        <w:tc>
          <w:tcPr>
            <w:tcW w:w="2090" w:type="dxa"/>
            <w:tcBorders>
              <w:top w:val="single" w:sz="4" w:space="0" w:color="D2232A"/>
              <w:left w:val="single" w:sz="4" w:space="0" w:color="FFFFFF" w:themeColor="background1"/>
              <w:bottom w:val="single" w:sz="4" w:space="0" w:color="FFFFFF" w:themeColor="background1"/>
              <w:right w:val="single" w:sz="4" w:space="0" w:color="FFFFFF" w:themeColor="background1"/>
            </w:tcBorders>
            <w:shd w:val="clear" w:color="auto" w:fill="D2232A"/>
          </w:tcPr>
          <w:p w14:paraId="2E620F39" w14:textId="77777777" w:rsidR="0056247C" w:rsidRPr="00D35404" w:rsidRDefault="0056247C" w:rsidP="00993DFC">
            <w:pPr>
              <w:spacing w:before="120" w:after="120"/>
              <w:jc w:val="center"/>
              <w:rPr>
                <w:rFonts w:cs="Arial"/>
                <w:b/>
                <w:color w:val="FFFFFF" w:themeColor="background1"/>
              </w:rPr>
            </w:pPr>
            <w:r w:rsidRPr="00D35404">
              <w:rPr>
                <w:rFonts w:cs="Arial"/>
                <w:b/>
                <w:color w:val="FFFFFF" w:themeColor="background1"/>
              </w:rPr>
              <w:t>Geographic</w:t>
            </w:r>
            <w:r w:rsidR="00993DFC" w:rsidRPr="00D35404">
              <w:rPr>
                <w:rFonts w:cs="Arial"/>
                <w:b/>
                <w:color w:val="FFFFFF" w:themeColor="background1"/>
              </w:rPr>
              <w:t xml:space="preserve"> </w:t>
            </w:r>
            <w:r w:rsidRPr="00D35404">
              <w:rPr>
                <w:rFonts w:cs="Arial"/>
                <w:b/>
                <w:color w:val="FFFFFF" w:themeColor="background1"/>
              </w:rPr>
              <w:t>Latitude</w:t>
            </w:r>
          </w:p>
        </w:tc>
        <w:tc>
          <w:tcPr>
            <w:tcW w:w="1738" w:type="dxa"/>
            <w:tcBorders>
              <w:top w:val="single" w:sz="4" w:space="0" w:color="D2232A"/>
              <w:left w:val="single" w:sz="4" w:space="0" w:color="FFFFFF" w:themeColor="background1"/>
              <w:bottom w:val="single" w:sz="4" w:space="0" w:color="FFFFFF" w:themeColor="background1"/>
              <w:right w:val="single" w:sz="4" w:space="0" w:color="FFFFFF" w:themeColor="background1"/>
            </w:tcBorders>
            <w:shd w:val="clear" w:color="auto" w:fill="D2232A"/>
          </w:tcPr>
          <w:p w14:paraId="02EECAAA" w14:textId="77777777" w:rsidR="0056247C" w:rsidRPr="00D35404" w:rsidRDefault="0056247C" w:rsidP="00993DFC">
            <w:pPr>
              <w:spacing w:before="120" w:after="120"/>
              <w:jc w:val="center"/>
              <w:rPr>
                <w:rFonts w:cs="Arial"/>
                <w:b/>
                <w:color w:val="FFFFFF" w:themeColor="background1"/>
              </w:rPr>
            </w:pPr>
            <w:r w:rsidRPr="00D35404">
              <w:rPr>
                <w:rFonts w:cs="Arial"/>
                <w:b/>
                <w:color w:val="FFFFFF" w:themeColor="background1"/>
              </w:rPr>
              <w:t>Geographic</w:t>
            </w:r>
            <w:r w:rsidR="00993DFC" w:rsidRPr="00D35404">
              <w:rPr>
                <w:rFonts w:cs="Arial"/>
                <w:b/>
                <w:color w:val="FFFFFF" w:themeColor="background1"/>
              </w:rPr>
              <w:t xml:space="preserve"> </w:t>
            </w:r>
            <w:r w:rsidRPr="00D35404">
              <w:rPr>
                <w:rFonts w:cs="Arial"/>
                <w:b/>
                <w:color w:val="FFFFFF" w:themeColor="background1"/>
              </w:rPr>
              <w:t>Longitude</w:t>
            </w:r>
          </w:p>
        </w:tc>
        <w:tc>
          <w:tcPr>
            <w:tcW w:w="1950" w:type="dxa"/>
            <w:tcBorders>
              <w:top w:val="single" w:sz="4" w:space="0" w:color="D2232A"/>
              <w:left w:val="single" w:sz="4" w:space="0" w:color="FFFFFF" w:themeColor="background1"/>
              <w:bottom w:val="single" w:sz="4" w:space="0" w:color="FFFFFF" w:themeColor="background1"/>
              <w:right w:val="single" w:sz="4" w:space="0" w:color="D2232A"/>
            </w:tcBorders>
            <w:shd w:val="clear" w:color="auto" w:fill="D2232A"/>
          </w:tcPr>
          <w:p w14:paraId="1DE17DC7" w14:textId="77777777" w:rsidR="0056247C" w:rsidRPr="00D35404" w:rsidRDefault="0056247C" w:rsidP="00993DFC">
            <w:pPr>
              <w:spacing w:before="120"/>
              <w:jc w:val="center"/>
              <w:rPr>
                <w:rFonts w:cs="Arial"/>
                <w:b/>
                <w:color w:val="FFFFFF" w:themeColor="background1"/>
              </w:rPr>
            </w:pPr>
            <w:r w:rsidRPr="00D35404">
              <w:rPr>
                <w:rFonts w:cs="Arial"/>
                <w:b/>
                <w:color w:val="FFFFFF" w:themeColor="background1"/>
              </w:rPr>
              <w:t>Separation distance (km)</w:t>
            </w:r>
          </w:p>
        </w:tc>
      </w:tr>
      <w:tr w:rsidR="0056247C" w:rsidRPr="00D35404" w14:paraId="2DEF7218" w14:textId="77777777" w:rsidTr="00EF2060">
        <w:tc>
          <w:tcPr>
            <w:tcW w:w="2093" w:type="dxa"/>
            <w:tcBorders>
              <w:top w:val="single" w:sz="4" w:space="0" w:color="FFFFFF" w:themeColor="background1"/>
              <w:left w:val="single" w:sz="4" w:space="0" w:color="D2232A"/>
              <w:bottom w:val="single" w:sz="4" w:space="0" w:color="D2232A"/>
              <w:right w:val="single" w:sz="4" w:space="0" w:color="D2232A"/>
            </w:tcBorders>
          </w:tcPr>
          <w:p w14:paraId="7E5B0575" w14:textId="77777777" w:rsidR="0056247C" w:rsidRPr="00D35404" w:rsidRDefault="0056247C" w:rsidP="00C33917">
            <w:pPr>
              <w:spacing w:before="60"/>
              <w:rPr>
                <w:rFonts w:cs="Arial"/>
              </w:rPr>
            </w:pPr>
            <w:r w:rsidRPr="00D35404">
              <w:rPr>
                <w:rFonts w:cs="Arial"/>
              </w:rPr>
              <w:t>France</w:t>
            </w:r>
          </w:p>
        </w:tc>
        <w:tc>
          <w:tcPr>
            <w:tcW w:w="1984" w:type="dxa"/>
            <w:tcBorders>
              <w:top w:val="single" w:sz="4" w:space="0" w:color="FFFFFF" w:themeColor="background1"/>
              <w:left w:val="single" w:sz="4" w:space="0" w:color="D2232A"/>
              <w:bottom w:val="single" w:sz="4" w:space="0" w:color="D2232A"/>
              <w:right w:val="single" w:sz="4" w:space="0" w:color="D2232A"/>
            </w:tcBorders>
          </w:tcPr>
          <w:p w14:paraId="04ED60E7" w14:textId="77777777" w:rsidR="0056247C" w:rsidRPr="00D35404" w:rsidRDefault="0056247C" w:rsidP="00C33917">
            <w:pPr>
              <w:spacing w:before="60"/>
              <w:rPr>
                <w:rFonts w:cs="Arial"/>
              </w:rPr>
            </w:pPr>
            <w:r w:rsidRPr="00D35404">
              <w:rPr>
                <w:rFonts w:cs="Arial"/>
              </w:rPr>
              <w:t>Plateau de Bure</w:t>
            </w:r>
          </w:p>
        </w:tc>
        <w:tc>
          <w:tcPr>
            <w:tcW w:w="2090" w:type="dxa"/>
            <w:tcBorders>
              <w:top w:val="single" w:sz="4" w:space="0" w:color="FFFFFF" w:themeColor="background1"/>
              <w:left w:val="single" w:sz="4" w:space="0" w:color="D2232A"/>
              <w:bottom w:val="single" w:sz="4" w:space="0" w:color="D2232A"/>
              <w:right w:val="single" w:sz="4" w:space="0" w:color="D2232A"/>
            </w:tcBorders>
          </w:tcPr>
          <w:p w14:paraId="21AB3A16" w14:textId="77777777" w:rsidR="0056247C" w:rsidRPr="00D35404" w:rsidRDefault="0056247C" w:rsidP="00C33917">
            <w:pPr>
              <w:spacing w:before="60"/>
              <w:rPr>
                <w:rFonts w:cs="Arial"/>
              </w:rPr>
            </w:pPr>
            <w:r w:rsidRPr="00D35404">
              <w:rPr>
                <w:rFonts w:cs="Arial"/>
              </w:rPr>
              <w:t>44°38’01" N</w:t>
            </w:r>
          </w:p>
        </w:tc>
        <w:tc>
          <w:tcPr>
            <w:tcW w:w="1738" w:type="dxa"/>
            <w:tcBorders>
              <w:top w:val="single" w:sz="4" w:space="0" w:color="FFFFFF" w:themeColor="background1"/>
              <w:left w:val="single" w:sz="4" w:space="0" w:color="D2232A"/>
              <w:bottom w:val="single" w:sz="4" w:space="0" w:color="D2232A"/>
              <w:right w:val="single" w:sz="4" w:space="0" w:color="D2232A"/>
            </w:tcBorders>
          </w:tcPr>
          <w:p w14:paraId="40E0325D" w14:textId="77777777" w:rsidR="0056247C" w:rsidRPr="00D35404" w:rsidRDefault="0056247C" w:rsidP="00C33917">
            <w:pPr>
              <w:spacing w:before="60"/>
              <w:rPr>
                <w:rFonts w:cs="Arial"/>
              </w:rPr>
            </w:pPr>
            <w:r w:rsidRPr="00D35404">
              <w:rPr>
                <w:rFonts w:cs="Arial"/>
              </w:rPr>
              <w:t>05°54’26" E</w:t>
            </w:r>
          </w:p>
        </w:tc>
        <w:tc>
          <w:tcPr>
            <w:tcW w:w="1950" w:type="dxa"/>
            <w:tcBorders>
              <w:top w:val="single" w:sz="4" w:space="0" w:color="FFFFFF" w:themeColor="background1"/>
              <w:left w:val="single" w:sz="4" w:space="0" w:color="D2232A"/>
              <w:bottom w:val="single" w:sz="4" w:space="0" w:color="D2232A"/>
              <w:right w:val="single" w:sz="4" w:space="0" w:color="D2232A"/>
            </w:tcBorders>
          </w:tcPr>
          <w:p w14:paraId="73F8E17D" w14:textId="77777777" w:rsidR="0056247C" w:rsidRPr="00D35404" w:rsidRDefault="0056247C" w:rsidP="00C33917">
            <w:pPr>
              <w:spacing w:before="60"/>
              <w:rPr>
                <w:rFonts w:cs="Arial"/>
              </w:rPr>
            </w:pPr>
            <w:r w:rsidRPr="00D35404">
              <w:rPr>
                <w:rFonts w:cs="Arial"/>
              </w:rPr>
              <w:t xml:space="preserve">35 </w:t>
            </w:r>
          </w:p>
        </w:tc>
      </w:tr>
      <w:tr w:rsidR="0056247C" w:rsidRPr="00D35404" w14:paraId="2BB91224" w14:textId="77777777" w:rsidTr="00EF2060">
        <w:tc>
          <w:tcPr>
            <w:tcW w:w="2093" w:type="dxa"/>
            <w:tcBorders>
              <w:top w:val="single" w:sz="4" w:space="0" w:color="FFFFFF" w:themeColor="background1"/>
              <w:left w:val="single" w:sz="4" w:space="0" w:color="D2232A"/>
              <w:bottom w:val="single" w:sz="4" w:space="0" w:color="D2232A"/>
              <w:right w:val="single" w:sz="4" w:space="0" w:color="D2232A"/>
            </w:tcBorders>
          </w:tcPr>
          <w:p w14:paraId="55F8DBF5" w14:textId="77777777" w:rsidR="0056247C" w:rsidRPr="00D35404" w:rsidRDefault="0056247C" w:rsidP="00C33917">
            <w:pPr>
              <w:spacing w:before="60"/>
              <w:rPr>
                <w:rFonts w:cs="Arial"/>
              </w:rPr>
            </w:pPr>
            <w:r w:rsidRPr="00D35404">
              <w:rPr>
                <w:rFonts w:cs="Arial"/>
              </w:rPr>
              <w:t>Germany</w:t>
            </w:r>
          </w:p>
        </w:tc>
        <w:tc>
          <w:tcPr>
            <w:tcW w:w="1984" w:type="dxa"/>
            <w:tcBorders>
              <w:top w:val="single" w:sz="4" w:space="0" w:color="FFFFFF" w:themeColor="background1"/>
              <w:left w:val="single" w:sz="4" w:space="0" w:color="D2232A"/>
              <w:bottom w:val="single" w:sz="4" w:space="0" w:color="D2232A"/>
              <w:right w:val="single" w:sz="4" w:space="0" w:color="D2232A"/>
            </w:tcBorders>
          </w:tcPr>
          <w:p w14:paraId="471B2CA8" w14:textId="77777777" w:rsidR="0056247C" w:rsidRPr="00D35404" w:rsidRDefault="0056247C" w:rsidP="00C33917">
            <w:pPr>
              <w:spacing w:before="60"/>
              <w:rPr>
                <w:rFonts w:cs="Arial"/>
              </w:rPr>
            </w:pPr>
            <w:r w:rsidRPr="00D35404">
              <w:rPr>
                <w:rFonts w:cs="Arial"/>
              </w:rPr>
              <w:t>Effelsberg</w:t>
            </w:r>
          </w:p>
        </w:tc>
        <w:tc>
          <w:tcPr>
            <w:tcW w:w="2090" w:type="dxa"/>
            <w:tcBorders>
              <w:top w:val="single" w:sz="4" w:space="0" w:color="FFFFFF" w:themeColor="background1"/>
              <w:left w:val="single" w:sz="4" w:space="0" w:color="D2232A"/>
              <w:bottom w:val="single" w:sz="4" w:space="0" w:color="D2232A"/>
              <w:right w:val="single" w:sz="4" w:space="0" w:color="D2232A"/>
            </w:tcBorders>
          </w:tcPr>
          <w:p w14:paraId="788CFD06" w14:textId="77777777" w:rsidR="0056247C" w:rsidRPr="00D35404" w:rsidRDefault="0056247C" w:rsidP="00C33917">
            <w:pPr>
              <w:spacing w:before="60"/>
              <w:rPr>
                <w:rFonts w:cs="Arial"/>
              </w:rPr>
            </w:pPr>
            <w:r w:rsidRPr="00D35404">
              <w:rPr>
                <w:rFonts w:cs="Arial"/>
              </w:rPr>
              <w:t>50°31’32" N</w:t>
            </w:r>
          </w:p>
        </w:tc>
        <w:tc>
          <w:tcPr>
            <w:tcW w:w="1738" w:type="dxa"/>
            <w:tcBorders>
              <w:top w:val="single" w:sz="4" w:space="0" w:color="FFFFFF" w:themeColor="background1"/>
              <w:left w:val="single" w:sz="4" w:space="0" w:color="D2232A"/>
              <w:bottom w:val="single" w:sz="4" w:space="0" w:color="D2232A"/>
              <w:right w:val="single" w:sz="4" w:space="0" w:color="D2232A"/>
            </w:tcBorders>
          </w:tcPr>
          <w:p w14:paraId="53D3C0C5" w14:textId="77777777" w:rsidR="0056247C" w:rsidRPr="00D35404" w:rsidRDefault="0056247C" w:rsidP="00C33917">
            <w:pPr>
              <w:spacing w:before="60"/>
              <w:rPr>
                <w:rFonts w:cs="Arial"/>
              </w:rPr>
            </w:pPr>
            <w:r w:rsidRPr="00D35404">
              <w:rPr>
                <w:rFonts w:cs="Arial"/>
              </w:rPr>
              <w:t>06°53’00" E</w:t>
            </w:r>
          </w:p>
        </w:tc>
        <w:tc>
          <w:tcPr>
            <w:tcW w:w="1950" w:type="dxa"/>
            <w:tcBorders>
              <w:top w:val="single" w:sz="4" w:space="0" w:color="FFFFFF" w:themeColor="background1"/>
              <w:left w:val="single" w:sz="4" w:space="0" w:color="D2232A"/>
              <w:bottom w:val="single" w:sz="4" w:space="0" w:color="D2232A"/>
              <w:right w:val="single" w:sz="4" w:space="0" w:color="D2232A"/>
            </w:tcBorders>
          </w:tcPr>
          <w:p w14:paraId="7D972D7D" w14:textId="77777777" w:rsidR="0056247C" w:rsidRPr="00D35404" w:rsidRDefault="0056247C" w:rsidP="00C33917">
            <w:pPr>
              <w:spacing w:before="60"/>
              <w:rPr>
                <w:rFonts w:cs="Arial"/>
              </w:rPr>
            </w:pPr>
            <w:r w:rsidRPr="00D35404">
              <w:rPr>
                <w:rFonts w:cs="Arial"/>
              </w:rPr>
              <w:t xml:space="preserve">  6.5 </w:t>
            </w:r>
          </w:p>
        </w:tc>
      </w:tr>
      <w:tr w:rsidR="0056247C" w:rsidRPr="00D35404" w14:paraId="5CEEFCB3" w14:textId="77777777" w:rsidTr="00EF2060">
        <w:tc>
          <w:tcPr>
            <w:tcW w:w="2093" w:type="dxa"/>
            <w:tcBorders>
              <w:top w:val="single" w:sz="4" w:space="0" w:color="FFFFFF" w:themeColor="background1"/>
              <w:left w:val="single" w:sz="4" w:space="0" w:color="D2232A"/>
              <w:bottom w:val="single" w:sz="4" w:space="0" w:color="D2232A"/>
              <w:right w:val="single" w:sz="4" w:space="0" w:color="D2232A"/>
            </w:tcBorders>
          </w:tcPr>
          <w:p w14:paraId="75F9C11F" w14:textId="77777777" w:rsidR="0056247C" w:rsidRPr="00D35404" w:rsidRDefault="0056247C" w:rsidP="00C33917">
            <w:pPr>
              <w:spacing w:before="60"/>
              <w:rPr>
                <w:rFonts w:cs="Arial"/>
              </w:rPr>
            </w:pPr>
            <w:r w:rsidRPr="00D35404">
              <w:rPr>
                <w:rFonts w:cs="Arial"/>
              </w:rPr>
              <w:t>Spain</w:t>
            </w:r>
          </w:p>
        </w:tc>
        <w:tc>
          <w:tcPr>
            <w:tcW w:w="1984" w:type="dxa"/>
            <w:tcBorders>
              <w:top w:val="single" w:sz="4" w:space="0" w:color="FFFFFF" w:themeColor="background1"/>
              <w:left w:val="single" w:sz="4" w:space="0" w:color="D2232A"/>
              <w:bottom w:val="single" w:sz="4" w:space="0" w:color="D2232A"/>
              <w:right w:val="single" w:sz="4" w:space="0" w:color="D2232A"/>
            </w:tcBorders>
          </w:tcPr>
          <w:p w14:paraId="0972BE7F" w14:textId="77777777" w:rsidR="0056247C" w:rsidRPr="00D35404" w:rsidRDefault="0056247C" w:rsidP="00C33917">
            <w:pPr>
              <w:spacing w:before="60"/>
              <w:rPr>
                <w:rFonts w:cs="Arial"/>
              </w:rPr>
            </w:pPr>
            <w:proofErr w:type="spellStart"/>
            <w:r w:rsidRPr="00D35404">
              <w:rPr>
                <w:rFonts w:cs="Arial"/>
              </w:rPr>
              <w:t>Yebes</w:t>
            </w:r>
            <w:proofErr w:type="spellEnd"/>
          </w:p>
        </w:tc>
        <w:tc>
          <w:tcPr>
            <w:tcW w:w="2090" w:type="dxa"/>
            <w:tcBorders>
              <w:top w:val="single" w:sz="4" w:space="0" w:color="FFFFFF" w:themeColor="background1"/>
              <w:left w:val="single" w:sz="4" w:space="0" w:color="D2232A"/>
              <w:bottom w:val="single" w:sz="4" w:space="0" w:color="D2232A"/>
              <w:right w:val="single" w:sz="4" w:space="0" w:color="D2232A"/>
            </w:tcBorders>
          </w:tcPr>
          <w:p w14:paraId="1202C7E9" w14:textId="77777777" w:rsidR="0056247C" w:rsidRPr="00D35404" w:rsidRDefault="0056247C" w:rsidP="00C33917">
            <w:pPr>
              <w:spacing w:before="60"/>
              <w:rPr>
                <w:rFonts w:cs="Arial"/>
              </w:rPr>
            </w:pPr>
            <w:r w:rsidRPr="00D35404">
              <w:rPr>
                <w:rFonts w:cs="Arial"/>
              </w:rPr>
              <w:t>40°31’27" N</w:t>
            </w:r>
          </w:p>
        </w:tc>
        <w:tc>
          <w:tcPr>
            <w:tcW w:w="1738" w:type="dxa"/>
            <w:tcBorders>
              <w:top w:val="single" w:sz="4" w:space="0" w:color="FFFFFF" w:themeColor="background1"/>
              <w:left w:val="single" w:sz="4" w:space="0" w:color="D2232A"/>
              <w:bottom w:val="single" w:sz="4" w:space="0" w:color="D2232A"/>
              <w:right w:val="single" w:sz="4" w:space="0" w:color="D2232A"/>
            </w:tcBorders>
          </w:tcPr>
          <w:p w14:paraId="0FBBEAD9" w14:textId="77777777" w:rsidR="0056247C" w:rsidRPr="00D35404" w:rsidRDefault="0056247C" w:rsidP="00C33917">
            <w:pPr>
              <w:spacing w:before="60"/>
              <w:rPr>
                <w:rFonts w:cs="Arial"/>
              </w:rPr>
            </w:pPr>
            <w:r w:rsidRPr="00D35404">
              <w:rPr>
                <w:rFonts w:cs="Arial"/>
              </w:rPr>
              <w:t>03°05’22" W</w:t>
            </w:r>
          </w:p>
        </w:tc>
        <w:tc>
          <w:tcPr>
            <w:tcW w:w="1950" w:type="dxa"/>
            <w:tcBorders>
              <w:top w:val="single" w:sz="4" w:space="0" w:color="FFFFFF" w:themeColor="background1"/>
              <w:left w:val="single" w:sz="4" w:space="0" w:color="D2232A"/>
              <w:bottom w:val="single" w:sz="4" w:space="0" w:color="D2232A"/>
              <w:right w:val="single" w:sz="4" w:space="0" w:color="D2232A"/>
            </w:tcBorders>
          </w:tcPr>
          <w:p w14:paraId="372D38F6" w14:textId="77777777" w:rsidR="0056247C" w:rsidRPr="00D35404" w:rsidRDefault="0056247C" w:rsidP="00C33917">
            <w:pPr>
              <w:spacing w:before="60"/>
              <w:rPr>
                <w:rFonts w:cs="Arial"/>
              </w:rPr>
            </w:pPr>
            <w:r w:rsidRPr="00D35404">
              <w:rPr>
                <w:rFonts w:cs="Arial"/>
              </w:rPr>
              <w:t>15</w:t>
            </w:r>
          </w:p>
        </w:tc>
      </w:tr>
      <w:tr w:rsidR="0056247C" w:rsidRPr="00D35404" w14:paraId="5D0A2E45" w14:textId="77777777" w:rsidTr="00EF2060">
        <w:tc>
          <w:tcPr>
            <w:tcW w:w="2093" w:type="dxa"/>
            <w:tcBorders>
              <w:top w:val="single" w:sz="4" w:space="0" w:color="FFFFFF" w:themeColor="background1"/>
              <w:left w:val="single" w:sz="4" w:space="0" w:color="D2232A"/>
              <w:bottom w:val="single" w:sz="4" w:space="0" w:color="D2232A"/>
              <w:right w:val="single" w:sz="4" w:space="0" w:color="D2232A"/>
            </w:tcBorders>
          </w:tcPr>
          <w:p w14:paraId="576135DE" w14:textId="77777777" w:rsidR="0056247C" w:rsidRPr="00D35404" w:rsidRDefault="0056247C" w:rsidP="00C33917">
            <w:pPr>
              <w:spacing w:before="60"/>
              <w:rPr>
                <w:rFonts w:cs="Arial"/>
              </w:rPr>
            </w:pPr>
          </w:p>
        </w:tc>
        <w:tc>
          <w:tcPr>
            <w:tcW w:w="1984" w:type="dxa"/>
            <w:tcBorders>
              <w:top w:val="single" w:sz="4" w:space="0" w:color="FFFFFF" w:themeColor="background1"/>
              <w:left w:val="single" w:sz="4" w:space="0" w:color="D2232A"/>
              <w:bottom w:val="single" w:sz="4" w:space="0" w:color="D2232A"/>
              <w:right w:val="single" w:sz="4" w:space="0" w:color="D2232A"/>
            </w:tcBorders>
          </w:tcPr>
          <w:p w14:paraId="475C737E" w14:textId="77777777" w:rsidR="0056247C" w:rsidRPr="00D35404" w:rsidRDefault="0056247C" w:rsidP="00C33917">
            <w:pPr>
              <w:spacing w:before="60"/>
              <w:rPr>
                <w:rFonts w:cs="Arial"/>
              </w:rPr>
            </w:pPr>
            <w:r w:rsidRPr="00D35404">
              <w:rPr>
                <w:rFonts w:cs="Arial"/>
              </w:rPr>
              <w:t>Robledo</w:t>
            </w:r>
          </w:p>
        </w:tc>
        <w:tc>
          <w:tcPr>
            <w:tcW w:w="2090" w:type="dxa"/>
            <w:tcBorders>
              <w:top w:val="single" w:sz="4" w:space="0" w:color="FFFFFF" w:themeColor="background1"/>
              <w:left w:val="single" w:sz="4" w:space="0" w:color="D2232A"/>
              <w:bottom w:val="single" w:sz="4" w:space="0" w:color="D2232A"/>
              <w:right w:val="single" w:sz="4" w:space="0" w:color="D2232A"/>
            </w:tcBorders>
          </w:tcPr>
          <w:p w14:paraId="40C78D8D" w14:textId="77777777" w:rsidR="0056247C" w:rsidRPr="00D35404" w:rsidRDefault="0056247C" w:rsidP="00C33917">
            <w:pPr>
              <w:spacing w:before="60"/>
              <w:rPr>
                <w:rFonts w:cs="Arial"/>
              </w:rPr>
            </w:pPr>
            <w:r w:rsidRPr="00D35404">
              <w:rPr>
                <w:rFonts w:cs="Arial"/>
              </w:rPr>
              <w:t>40</w:t>
            </w:r>
            <w:r w:rsidRPr="00D35404">
              <w:rPr>
                <w:rFonts w:cs="Arial"/>
                <w:vertAlign w:val="superscript"/>
              </w:rPr>
              <w:t>o</w:t>
            </w:r>
            <w:r w:rsidRPr="00D35404">
              <w:rPr>
                <w:rFonts w:cs="Arial"/>
              </w:rPr>
              <w:t>25’38" N</w:t>
            </w:r>
          </w:p>
        </w:tc>
        <w:tc>
          <w:tcPr>
            <w:tcW w:w="1738" w:type="dxa"/>
            <w:tcBorders>
              <w:top w:val="single" w:sz="4" w:space="0" w:color="FFFFFF" w:themeColor="background1"/>
              <w:left w:val="single" w:sz="4" w:space="0" w:color="D2232A"/>
              <w:bottom w:val="single" w:sz="4" w:space="0" w:color="D2232A"/>
              <w:right w:val="single" w:sz="4" w:space="0" w:color="D2232A"/>
            </w:tcBorders>
          </w:tcPr>
          <w:p w14:paraId="428E3FD3" w14:textId="77777777" w:rsidR="0056247C" w:rsidRPr="00D35404" w:rsidRDefault="0056247C" w:rsidP="00C33917">
            <w:pPr>
              <w:spacing w:before="60"/>
              <w:rPr>
                <w:rFonts w:cs="Arial"/>
              </w:rPr>
            </w:pPr>
            <w:r w:rsidRPr="00D35404">
              <w:rPr>
                <w:rFonts w:cs="Arial"/>
              </w:rPr>
              <w:t>04°14’57" W</w:t>
            </w:r>
          </w:p>
        </w:tc>
        <w:tc>
          <w:tcPr>
            <w:tcW w:w="1950" w:type="dxa"/>
            <w:tcBorders>
              <w:top w:val="single" w:sz="4" w:space="0" w:color="FFFFFF" w:themeColor="background1"/>
              <w:left w:val="single" w:sz="4" w:space="0" w:color="D2232A"/>
              <w:bottom w:val="single" w:sz="4" w:space="0" w:color="D2232A"/>
              <w:right w:val="single" w:sz="4" w:space="0" w:color="D2232A"/>
            </w:tcBorders>
          </w:tcPr>
          <w:p w14:paraId="6633672E" w14:textId="77777777" w:rsidR="0056247C" w:rsidRPr="00D35404" w:rsidRDefault="0056247C" w:rsidP="00C33917">
            <w:pPr>
              <w:spacing w:before="60"/>
              <w:rPr>
                <w:rFonts w:cs="Arial"/>
              </w:rPr>
            </w:pPr>
            <w:r w:rsidRPr="00D35404">
              <w:rPr>
                <w:rFonts w:cs="Arial"/>
              </w:rPr>
              <w:t xml:space="preserve">  7</w:t>
            </w:r>
          </w:p>
        </w:tc>
      </w:tr>
      <w:tr w:rsidR="0056247C" w:rsidRPr="00D35404" w14:paraId="3FEFF0D2" w14:textId="77777777" w:rsidTr="00EF2060">
        <w:tc>
          <w:tcPr>
            <w:tcW w:w="2093" w:type="dxa"/>
            <w:tcBorders>
              <w:top w:val="single" w:sz="4" w:space="0" w:color="FFFFFF" w:themeColor="background1"/>
              <w:left w:val="single" w:sz="4" w:space="0" w:color="D2232A"/>
              <w:bottom w:val="single" w:sz="4" w:space="0" w:color="D2232A"/>
              <w:right w:val="single" w:sz="4" w:space="0" w:color="D2232A"/>
            </w:tcBorders>
          </w:tcPr>
          <w:p w14:paraId="6A9DEFBF" w14:textId="77777777" w:rsidR="0056247C" w:rsidRPr="00D35404" w:rsidRDefault="0056247C" w:rsidP="00C33917">
            <w:pPr>
              <w:spacing w:before="60"/>
              <w:rPr>
                <w:rFonts w:cs="Arial"/>
              </w:rPr>
            </w:pPr>
            <w:r w:rsidRPr="00D35404">
              <w:rPr>
                <w:rFonts w:cs="Arial"/>
              </w:rPr>
              <w:t>Finland</w:t>
            </w:r>
          </w:p>
        </w:tc>
        <w:tc>
          <w:tcPr>
            <w:tcW w:w="1984" w:type="dxa"/>
            <w:tcBorders>
              <w:top w:val="single" w:sz="4" w:space="0" w:color="FFFFFF" w:themeColor="background1"/>
              <w:left w:val="single" w:sz="4" w:space="0" w:color="D2232A"/>
              <w:bottom w:val="single" w:sz="4" w:space="0" w:color="D2232A"/>
              <w:right w:val="single" w:sz="4" w:space="0" w:color="D2232A"/>
            </w:tcBorders>
          </w:tcPr>
          <w:p w14:paraId="480354B1" w14:textId="77777777" w:rsidR="0056247C" w:rsidRPr="00D35404" w:rsidRDefault="0056247C" w:rsidP="00C33917">
            <w:pPr>
              <w:spacing w:before="60"/>
              <w:rPr>
                <w:rFonts w:cs="Arial"/>
              </w:rPr>
            </w:pPr>
            <w:proofErr w:type="spellStart"/>
            <w:r w:rsidRPr="00D35404">
              <w:rPr>
                <w:rFonts w:cs="Arial"/>
              </w:rPr>
              <w:t>Metsähovi</w:t>
            </w:r>
            <w:proofErr w:type="spellEnd"/>
          </w:p>
        </w:tc>
        <w:tc>
          <w:tcPr>
            <w:tcW w:w="2090" w:type="dxa"/>
            <w:tcBorders>
              <w:top w:val="single" w:sz="4" w:space="0" w:color="FFFFFF" w:themeColor="background1"/>
              <w:left w:val="single" w:sz="4" w:space="0" w:color="D2232A"/>
              <w:bottom w:val="single" w:sz="4" w:space="0" w:color="D2232A"/>
              <w:right w:val="single" w:sz="4" w:space="0" w:color="D2232A"/>
            </w:tcBorders>
          </w:tcPr>
          <w:p w14:paraId="42D4F021" w14:textId="77777777" w:rsidR="0056247C" w:rsidRPr="00D35404" w:rsidRDefault="0056247C" w:rsidP="00C33917">
            <w:pPr>
              <w:spacing w:before="60"/>
              <w:rPr>
                <w:rFonts w:cs="Arial"/>
              </w:rPr>
            </w:pPr>
            <w:r w:rsidRPr="00D35404">
              <w:rPr>
                <w:rFonts w:cs="Arial"/>
              </w:rPr>
              <w:t>60°13’04" N</w:t>
            </w:r>
          </w:p>
        </w:tc>
        <w:tc>
          <w:tcPr>
            <w:tcW w:w="1738" w:type="dxa"/>
            <w:tcBorders>
              <w:top w:val="single" w:sz="4" w:space="0" w:color="FFFFFF" w:themeColor="background1"/>
              <w:left w:val="single" w:sz="4" w:space="0" w:color="D2232A"/>
              <w:bottom w:val="single" w:sz="4" w:space="0" w:color="D2232A"/>
              <w:right w:val="single" w:sz="4" w:space="0" w:color="D2232A"/>
            </w:tcBorders>
          </w:tcPr>
          <w:p w14:paraId="7E0CF60E" w14:textId="77777777" w:rsidR="0056247C" w:rsidRPr="00D35404" w:rsidRDefault="0056247C" w:rsidP="00C33917">
            <w:pPr>
              <w:spacing w:before="60"/>
              <w:rPr>
                <w:rFonts w:cs="Arial"/>
              </w:rPr>
            </w:pPr>
            <w:bookmarkStart w:id="6" w:name="OLE_LINK1"/>
            <w:bookmarkStart w:id="7" w:name="OLE_LINK2"/>
            <w:r w:rsidRPr="00D35404">
              <w:rPr>
                <w:rFonts w:cs="Arial"/>
              </w:rPr>
              <w:t>24°23’37" E</w:t>
            </w:r>
            <w:bookmarkEnd w:id="6"/>
            <w:bookmarkEnd w:id="7"/>
          </w:p>
        </w:tc>
        <w:tc>
          <w:tcPr>
            <w:tcW w:w="1950" w:type="dxa"/>
            <w:tcBorders>
              <w:top w:val="single" w:sz="4" w:space="0" w:color="FFFFFF" w:themeColor="background1"/>
              <w:left w:val="single" w:sz="4" w:space="0" w:color="D2232A"/>
              <w:bottom w:val="single" w:sz="4" w:space="0" w:color="D2232A"/>
              <w:right w:val="single" w:sz="4" w:space="0" w:color="D2232A"/>
            </w:tcBorders>
          </w:tcPr>
          <w:p w14:paraId="52486FA5" w14:textId="77777777" w:rsidR="0056247C" w:rsidRPr="00D35404" w:rsidRDefault="0056247C" w:rsidP="00C33917">
            <w:pPr>
              <w:spacing w:before="60"/>
              <w:rPr>
                <w:rFonts w:cs="Arial"/>
              </w:rPr>
            </w:pPr>
            <w:r w:rsidRPr="00D35404">
              <w:rPr>
                <w:rFonts w:cs="Arial"/>
              </w:rPr>
              <w:t xml:space="preserve">  7 </w:t>
            </w:r>
          </w:p>
        </w:tc>
      </w:tr>
      <w:tr w:rsidR="0056247C" w:rsidRPr="00D35404" w14:paraId="7A1A6090" w14:textId="77777777" w:rsidTr="00EF2060">
        <w:tc>
          <w:tcPr>
            <w:tcW w:w="2093" w:type="dxa"/>
            <w:tcBorders>
              <w:top w:val="single" w:sz="4" w:space="0" w:color="FFFFFF" w:themeColor="background1"/>
              <w:left w:val="single" w:sz="4" w:space="0" w:color="D2232A"/>
              <w:bottom w:val="single" w:sz="4" w:space="0" w:color="D2232A"/>
              <w:right w:val="single" w:sz="4" w:space="0" w:color="D2232A"/>
            </w:tcBorders>
          </w:tcPr>
          <w:p w14:paraId="72F686FF" w14:textId="77777777" w:rsidR="0056247C" w:rsidRPr="00D35404" w:rsidRDefault="0056247C" w:rsidP="00C33917">
            <w:pPr>
              <w:spacing w:before="60"/>
              <w:rPr>
                <w:rFonts w:cs="Arial"/>
              </w:rPr>
            </w:pPr>
          </w:p>
        </w:tc>
        <w:tc>
          <w:tcPr>
            <w:tcW w:w="1984" w:type="dxa"/>
            <w:tcBorders>
              <w:top w:val="single" w:sz="4" w:space="0" w:color="FFFFFF" w:themeColor="background1"/>
              <w:left w:val="single" w:sz="4" w:space="0" w:color="D2232A"/>
              <w:bottom w:val="single" w:sz="4" w:space="0" w:color="D2232A"/>
              <w:right w:val="single" w:sz="4" w:space="0" w:color="D2232A"/>
            </w:tcBorders>
          </w:tcPr>
          <w:p w14:paraId="76A5D540" w14:textId="77777777" w:rsidR="0056247C" w:rsidRPr="00D35404" w:rsidRDefault="0056247C" w:rsidP="00C33917">
            <w:pPr>
              <w:spacing w:before="60"/>
              <w:rPr>
                <w:rFonts w:cs="Arial"/>
              </w:rPr>
            </w:pPr>
            <w:proofErr w:type="spellStart"/>
            <w:r w:rsidRPr="00D35404">
              <w:rPr>
                <w:rFonts w:cs="Arial"/>
              </w:rPr>
              <w:t>Tuorla</w:t>
            </w:r>
            <w:proofErr w:type="spellEnd"/>
          </w:p>
        </w:tc>
        <w:tc>
          <w:tcPr>
            <w:tcW w:w="2090" w:type="dxa"/>
            <w:tcBorders>
              <w:top w:val="single" w:sz="4" w:space="0" w:color="FFFFFF" w:themeColor="background1"/>
              <w:left w:val="single" w:sz="4" w:space="0" w:color="D2232A"/>
              <w:bottom w:val="single" w:sz="4" w:space="0" w:color="D2232A"/>
              <w:right w:val="single" w:sz="4" w:space="0" w:color="D2232A"/>
            </w:tcBorders>
          </w:tcPr>
          <w:p w14:paraId="52F2F8C0" w14:textId="77777777" w:rsidR="0056247C" w:rsidRPr="00D35404" w:rsidRDefault="0056247C" w:rsidP="00C33917">
            <w:pPr>
              <w:spacing w:before="60"/>
              <w:rPr>
                <w:rFonts w:cs="Arial"/>
              </w:rPr>
            </w:pPr>
            <w:r w:rsidRPr="00D35404">
              <w:rPr>
                <w:rFonts w:cs="Arial"/>
              </w:rPr>
              <w:t>60°24’56" N</w:t>
            </w:r>
          </w:p>
        </w:tc>
        <w:tc>
          <w:tcPr>
            <w:tcW w:w="1738" w:type="dxa"/>
            <w:tcBorders>
              <w:top w:val="single" w:sz="4" w:space="0" w:color="FFFFFF" w:themeColor="background1"/>
              <w:left w:val="single" w:sz="4" w:space="0" w:color="D2232A"/>
              <w:bottom w:val="single" w:sz="4" w:space="0" w:color="D2232A"/>
              <w:right w:val="single" w:sz="4" w:space="0" w:color="D2232A"/>
            </w:tcBorders>
          </w:tcPr>
          <w:p w14:paraId="4E3DCB5F" w14:textId="77777777" w:rsidR="0056247C" w:rsidRPr="00D35404" w:rsidRDefault="0056247C" w:rsidP="00C33917">
            <w:pPr>
              <w:spacing w:before="60"/>
              <w:rPr>
                <w:rFonts w:cs="Arial"/>
              </w:rPr>
            </w:pPr>
            <w:r w:rsidRPr="00D35404">
              <w:rPr>
                <w:rFonts w:cs="Arial"/>
              </w:rPr>
              <w:t>22°26’31" E</w:t>
            </w:r>
          </w:p>
        </w:tc>
        <w:tc>
          <w:tcPr>
            <w:tcW w:w="1950" w:type="dxa"/>
            <w:tcBorders>
              <w:top w:val="single" w:sz="4" w:space="0" w:color="FFFFFF" w:themeColor="background1"/>
              <w:left w:val="single" w:sz="4" w:space="0" w:color="D2232A"/>
              <w:bottom w:val="single" w:sz="4" w:space="0" w:color="D2232A"/>
              <w:right w:val="single" w:sz="4" w:space="0" w:color="D2232A"/>
            </w:tcBorders>
          </w:tcPr>
          <w:p w14:paraId="33AFCB63" w14:textId="77777777" w:rsidR="0056247C" w:rsidRPr="00D35404" w:rsidRDefault="0056247C" w:rsidP="00C33917">
            <w:pPr>
              <w:spacing w:before="60"/>
              <w:rPr>
                <w:rFonts w:cs="Arial"/>
              </w:rPr>
            </w:pPr>
            <w:r w:rsidRPr="00D35404">
              <w:rPr>
                <w:rFonts w:cs="Arial"/>
              </w:rPr>
              <w:t xml:space="preserve">  5</w:t>
            </w:r>
          </w:p>
        </w:tc>
      </w:tr>
      <w:tr w:rsidR="0056247C" w:rsidRPr="00D35404" w14:paraId="720E9D03" w14:textId="77777777" w:rsidTr="00EF2060">
        <w:tc>
          <w:tcPr>
            <w:tcW w:w="2093" w:type="dxa"/>
            <w:tcBorders>
              <w:top w:val="single" w:sz="4" w:space="0" w:color="FFFFFF" w:themeColor="background1"/>
              <w:left w:val="single" w:sz="4" w:space="0" w:color="D2232A"/>
              <w:bottom w:val="single" w:sz="4" w:space="0" w:color="D2232A"/>
              <w:right w:val="single" w:sz="4" w:space="0" w:color="D2232A"/>
            </w:tcBorders>
          </w:tcPr>
          <w:p w14:paraId="60F77F14" w14:textId="77777777" w:rsidR="0056247C" w:rsidRPr="00D35404" w:rsidRDefault="0056247C" w:rsidP="00C33917">
            <w:pPr>
              <w:spacing w:before="60"/>
              <w:rPr>
                <w:rFonts w:cs="Arial"/>
              </w:rPr>
            </w:pPr>
            <w:r w:rsidRPr="00D35404">
              <w:rPr>
                <w:rFonts w:cs="Arial"/>
              </w:rPr>
              <w:t>Italy</w:t>
            </w:r>
          </w:p>
        </w:tc>
        <w:tc>
          <w:tcPr>
            <w:tcW w:w="1984" w:type="dxa"/>
            <w:tcBorders>
              <w:top w:val="single" w:sz="4" w:space="0" w:color="FFFFFF" w:themeColor="background1"/>
              <w:left w:val="single" w:sz="4" w:space="0" w:color="D2232A"/>
              <w:bottom w:val="single" w:sz="4" w:space="0" w:color="D2232A"/>
              <w:right w:val="single" w:sz="4" w:space="0" w:color="D2232A"/>
            </w:tcBorders>
          </w:tcPr>
          <w:p w14:paraId="11D30B65" w14:textId="77777777" w:rsidR="0056247C" w:rsidRPr="00D35404" w:rsidRDefault="0056247C" w:rsidP="00C33917">
            <w:pPr>
              <w:spacing w:before="60"/>
              <w:rPr>
                <w:rFonts w:cs="Arial"/>
              </w:rPr>
            </w:pPr>
            <w:proofErr w:type="spellStart"/>
            <w:r w:rsidRPr="00D35404">
              <w:rPr>
                <w:rFonts w:cs="Arial"/>
              </w:rPr>
              <w:t>Medicina</w:t>
            </w:r>
            <w:proofErr w:type="spellEnd"/>
          </w:p>
        </w:tc>
        <w:tc>
          <w:tcPr>
            <w:tcW w:w="2090" w:type="dxa"/>
            <w:tcBorders>
              <w:top w:val="single" w:sz="4" w:space="0" w:color="FFFFFF" w:themeColor="background1"/>
              <w:left w:val="single" w:sz="4" w:space="0" w:color="D2232A"/>
              <w:bottom w:val="single" w:sz="4" w:space="0" w:color="D2232A"/>
              <w:right w:val="single" w:sz="4" w:space="0" w:color="D2232A"/>
            </w:tcBorders>
          </w:tcPr>
          <w:p w14:paraId="6868CF19" w14:textId="77777777" w:rsidR="0056247C" w:rsidRPr="00D35404" w:rsidRDefault="0056247C" w:rsidP="00C33917">
            <w:pPr>
              <w:spacing w:before="60"/>
              <w:rPr>
                <w:rFonts w:cs="Arial"/>
              </w:rPr>
            </w:pPr>
            <w:r w:rsidRPr="00D35404">
              <w:rPr>
                <w:rFonts w:cs="Arial"/>
              </w:rPr>
              <w:t>44°31’14" N</w:t>
            </w:r>
          </w:p>
        </w:tc>
        <w:tc>
          <w:tcPr>
            <w:tcW w:w="1738" w:type="dxa"/>
            <w:tcBorders>
              <w:top w:val="single" w:sz="4" w:space="0" w:color="FFFFFF" w:themeColor="background1"/>
              <w:left w:val="single" w:sz="4" w:space="0" w:color="D2232A"/>
              <w:bottom w:val="single" w:sz="4" w:space="0" w:color="D2232A"/>
              <w:right w:val="single" w:sz="4" w:space="0" w:color="D2232A"/>
            </w:tcBorders>
          </w:tcPr>
          <w:p w14:paraId="17DDCEC5" w14:textId="77777777" w:rsidR="0056247C" w:rsidRPr="00D35404" w:rsidRDefault="0056247C" w:rsidP="00C33917">
            <w:pPr>
              <w:spacing w:before="60"/>
              <w:rPr>
                <w:rFonts w:cs="Arial"/>
              </w:rPr>
            </w:pPr>
            <w:r w:rsidRPr="00D35404">
              <w:rPr>
                <w:rFonts w:cs="Arial"/>
              </w:rPr>
              <w:t>11°38’49" E</w:t>
            </w:r>
          </w:p>
        </w:tc>
        <w:tc>
          <w:tcPr>
            <w:tcW w:w="1950" w:type="dxa"/>
            <w:tcBorders>
              <w:top w:val="single" w:sz="4" w:space="0" w:color="FFFFFF" w:themeColor="background1"/>
              <w:left w:val="single" w:sz="4" w:space="0" w:color="D2232A"/>
              <w:bottom w:val="single" w:sz="4" w:space="0" w:color="D2232A"/>
              <w:right w:val="single" w:sz="4" w:space="0" w:color="D2232A"/>
            </w:tcBorders>
          </w:tcPr>
          <w:p w14:paraId="3352297E" w14:textId="77777777" w:rsidR="0056247C" w:rsidRPr="00D35404" w:rsidRDefault="0056247C" w:rsidP="00C33917">
            <w:pPr>
              <w:spacing w:before="60"/>
              <w:rPr>
                <w:rFonts w:cs="Arial"/>
              </w:rPr>
            </w:pPr>
            <w:r w:rsidRPr="00D35404">
              <w:rPr>
                <w:rFonts w:cs="Arial"/>
              </w:rPr>
              <w:t>20</w:t>
            </w:r>
          </w:p>
        </w:tc>
      </w:tr>
      <w:tr w:rsidR="0056247C" w:rsidRPr="00D35404" w14:paraId="38AEEEE7" w14:textId="77777777" w:rsidTr="00EF2060">
        <w:tc>
          <w:tcPr>
            <w:tcW w:w="2093" w:type="dxa"/>
            <w:tcBorders>
              <w:top w:val="single" w:sz="4" w:space="0" w:color="FFFFFF" w:themeColor="background1"/>
              <w:left w:val="single" w:sz="4" w:space="0" w:color="D2232A"/>
              <w:bottom w:val="single" w:sz="4" w:space="0" w:color="D2232A"/>
              <w:right w:val="single" w:sz="4" w:space="0" w:color="D2232A"/>
            </w:tcBorders>
          </w:tcPr>
          <w:p w14:paraId="35AA7EEA" w14:textId="77777777" w:rsidR="0056247C" w:rsidRPr="00D35404" w:rsidRDefault="0056247C" w:rsidP="00C33917">
            <w:pPr>
              <w:spacing w:before="60"/>
              <w:rPr>
                <w:rFonts w:cs="Arial"/>
              </w:rPr>
            </w:pPr>
          </w:p>
        </w:tc>
        <w:tc>
          <w:tcPr>
            <w:tcW w:w="1984" w:type="dxa"/>
            <w:tcBorders>
              <w:top w:val="single" w:sz="4" w:space="0" w:color="FFFFFF" w:themeColor="background1"/>
              <w:left w:val="single" w:sz="4" w:space="0" w:color="D2232A"/>
              <w:bottom w:val="single" w:sz="4" w:space="0" w:color="D2232A"/>
              <w:right w:val="single" w:sz="4" w:space="0" w:color="D2232A"/>
            </w:tcBorders>
          </w:tcPr>
          <w:p w14:paraId="68D3B68A" w14:textId="77777777" w:rsidR="0056247C" w:rsidRPr="00D35404" w:rsidRDefault="0056247C" w:rsidP="00C33917">
            <w:pPr>
              <w:spacing w:before="60"/>
              <w:rPr>
                <w:rFonts w:cs="Arial"/>
              </w:rPr>
            </w:pPr>
            <w:r w:rsidRPr="00D35404">
              <w:rPr>
                <w:rFonts w:cs="Arial"/>
              </w:rPr>
              <w:t>Noto</w:t>
            </w:r>
          </w:p>
        </w:tc>
        <w:tc>
          <w:tcPr>
            <w:tcW w:w="2090" w:type="dxa"/>
            <w:tcBorders>
              <w:top w:val="single" w:sz="4" w:space="0" w:color="FFFFFF" w:themeColor="background1"/>
              <w:left w:val="single" w:sz="4" w:space="0" w:color="D2232A"/>
              <w:bottom w:val="single" w:sz="4" w:space="0" w:color="D2232A"/>
              <w:right w:val="single" w:sz="4" w:space="0" w:color="D2232A"/>
            </w:tcBorders>
          </w:tcPr>
          <w:p w14:paraId="1D0EBCAD" w14:textId="77777777" w:rsidR="0056247C" w:rsidRPr="00D35404" w:rsidRDefault="0056247C" w:rsidP="00C33917">
            <w:pPr>
              <w:spacing w:before="60"/>
              <w:rPr>
                <w:rFonts w:cs="Arial"/>
              </w:rPr>
            </w:pPr>
            <w:r w:rsidRPr="00D35404">
              <w:rPr>
                <w:rFonts w:cs="Arial"/>
              </w:rPr>
              <w:t>36°52’34" N</w:t>
            </w:r>
          </w:p>
        </w:tc>
        <w:tc>
          <w:tcPr>
            <w:tcW w:w="1738" w:type="dxa"/>
            <w:tcBorders>
              <w:top w:val="single" w:sz="4" w:space="0" w:color="FFFFFF" w:themeColor="background1"/>
              <w:left w:val="single" w:sz="4" w:space="0" w:color="D2232A"/>
              <w:bottom w:val="single" w:sz="4" w:space="0" w:color="D2232A"/>
              <w:right w:val="single" w:sz="4" w:space="0" w:color="D2232A"/>
            </w:tcBorders>
          </w:tcPr>
          <w:p w14:paraId="59690BF1" w14:textId="77777777" w:rsidR="0056247C" w:rsidRPr="00D35404" w:rsidRDefault="0056247C" w:rsidP="00C33917">
            <w:pPr>
              <w:spacing w:before="60"/>
              <w:rPr>
                <w:rFonts w:cs="Arial"/>
              </w:rPr>
            </w:pPr>
            <w:r w:rsidRPr="00D35404">
              <w:rPr>
                <w:rFonts w:cs="Arial"/>
              </w:rPr>
              <w:t>14°59’21" E</w:t>
            </w:r>
          </w:p>
        </w:tc>
        <w:tc>
          <w:tcPr>
            <w:tcW w:w="1950" w:type="dxa"/>
            <w:tcBorders>
              <w:top w:val="single" w:sz="4" w:space="0" w:color="FFFFFF" w:themeColor="background1"/>
              <w:left w:val="single" w:sz="4" w:space="0" w:color="D2232A"/>
              <w:bottom w:val="single" w:sz="4" w:space="0" w:color="D2232A"/>
              <w:right w:val="single" w:sz="4" w:space="0" w:color="D2232A"/>
            </w:tcBorders>
          </w:tcPr>
          <w:p w14:paraId="2DFC0740" w14:textId="77777777" w:rsidR="0056247C" w:rsidRPr="00D35404" w:rsidRDefault="0056247C" w:rsidP="00C33917">
            <w:pPr>
              <w:spacing w:before="60"/>
              <w:rPr>
                <w:rFonts w:cs="Arial"/>
              </w:rPr>
            </w:pPr>
            <w:r w:rsidRPr="00D35404">
              <w:rPr>
                <w:rFonts w:cs="Arial"/>
              </w:rPr>
              <w:t xml:space="preserve">  8</w:t>
            </w:r>
          </w:p>
        </w:tc>
      </w:tr>
      <w:tr w:rsidR="0056247C" w:rsidRPr="00D35404" w14:paraId="0F6B3B76" w14:textId="77777777" w:rsidTr="00EF2060">
        <w:tc>
          <w:tcPr>
            <w:tcW w:w="2093" w:type="dxa"/>
            <w:tcBorders>
              <w:top w:val="single" w:sz="4" w:space="0" w:color="FFFFFF" w:themeColor="background1"/>
              <w:left w:val="single" w:sz="4" w:space="0" w:color="D2232A"/>
              <w:bottom w:val="single" w:sz="4" w:space="0" w:color="D2232A"/>
              <w:right w:val="single" w:sz="4" w:space="0" w:color="D2232A"/>
            </w:tcBorders>
          </w:tcPr>
          <w:p w14:paraId="2A0FE6CA" w14:textId="77777777" w:rsidR="0056247C" w:rsidRPr="00D35404" w:rsidRDefault="0056247C" w:rsidP="00C33917">
            <w:pPr>
              <w:spacing w:before="60"/>
              <w:rPr>
                <w:rFonts w:cs="Arial"/>
              </w:rPr>
            </w:pPr>
          </w:p>
        </w:tc>
        <w:tc>
          <w:tcPr>
            <w:tcW w:w="1984" w:type="dxa"/>
            <w:tcBorders>
              <w:top w:val="single" w:sz="4" w:space="0" w:color="FFFFFF" w:themeColor="background1"/>
              <w:left w:val="single" w:sz="4" w:space="0" w:color="D2232A"/>
              <w:bottom w:val="single" w:sz="4" w:space="0" w:color="D2232A"/>
              <w:right w:val="single" w:sz="4" w:space="0" w:color="D2232A"/>
            </w:tcBorders>
          </w:tcPr>
          <w:p w14:paraId="3F15A92D" w14:textId="77777777" w:rsidR="0056247C" w:rsidRPr="00D35404" w:rsidRDefault="0056247C" w:rsidP="00C33917">
            <w:pPr>
              <w:spacing w:before="60"/>
              <w:rPr>
                <w:rFonts w:cs="Arial"/>
              </w:rPr>
            </w:pPr>
            <w:r w:rsidRPr="00D35404">
              <w:rPr>
                <w:rFonts w:cs="Arial"/>
              </w:rPr>
              <w:t>Sardinia</w:t>
            </w:r>
          </w:p>
        </w:tc>
        <w:tc>
          <w:tcPr>
            <w:tcW w:w="2090" w:type="dxa"/>
            <w:tcBorders>
              <w:top w:val="single" w:sz="4" w:space="0" w:color="FFFFFF" w:themeColor="background1"/>
              <w:left w:val="single" w:sz="4" w:space="0" w:color="D2232A"/>
              <w:bottom w:val="single" w:sz="4" w:space="0" w:color="D2232A"/>
              <w:right w:val="single" w:sz="4" w:space="0" w:color="D2232A"/>
            </w:tcBorders>
          </w:tcPr>
          <w:p w14:paraId="3D07FC5D" w14:textId="77777777" w:rsidR="0056247C" w:rsidRPr="00D35404" w:rsidRDefault="0056247C" w:rsidP="00C33917">
            <w:pPr>
              <w:spacing w:before="60"/>
              <w:rPr>
                <w:rFonts w:cs="Arial"/>
              </w:rPr>
            </w:pPr>
            <w:r w:rsidRPr="00D35404">
              <w:rPr>
                <w:rFonts w:cs="Arial"/>
              </w:rPr>
              <w:t>39</w:t>
            </w:r>
            <w:r w:rsidRPr="00D35404">
              <w:rPr>
                <w:rFonts w:cs="Arial"/>
                <w:vertAlign w:val="superscript"/>
              </w:rPr>
              <w:t>o</w:t>
            </w:r>
            <w:r w:rsidRPr="00D35404">
              <w:rPr>
                <w:rFonts w:cs="Arial"/>
              </w:rPr>
              <w:t>29’50" N</w:t>
            </w:r>
          </w:p>
        </w:tc>
        <w:tc>
          <w:tcPr>
            <w:tcW w:w="1738" w:type="dxa"/>
            <w:tcBorders>
              <w:top w:val="single" w:sz="4" w:space="0" w:color="FFFFFF" w:themeColor="background1"/>
              <w:left w:val="single" w:sz="4" w:space="0" w:color="D2232A"/>
              <w:bottom w:val="single" w:sz="4" w:space="0" w:color="D2232A"/>
              <w:right w:val="single" w:sz="4" w:space="0" w:color="D2232A"/>
            </w:tcBorders>
          </w:tcPr>
          <w:p w14:paraId="76694D87" w14:textId="77777777" w:rsidR="0056247C" w:rsidRPr="00D35404" w:rsidRDefault="0056247C" w:rsidP="00C33917">
            <w:pPr>
              <w:spacing w:before="60"/>
              <w:rPr>
                <w:rFonts w:cs="Arial"/>
              </w:rPr>
            </w:pPr>
            <w:r w:rsidRPr="00D35404">
              <w:rPr>
                <w:rFonts w:cs="Arial"/>
              </w:rPr>
              <w:t>09°14’40"E</w:t>
            </w:r>
          </w:p>
        </w:tc>
        <w:tc>
          <w:tcPr>
            <w:tcW w:w="1950" w:type="dxa"/>
            <w:tcBorders>
              <w:top w:val="single" w:sz="4" w:space="0" w:color="FFFFFF" w:themeColor="background1"/>
              <w:left w:val="single" w:sz="4" w:space="0" w:color="D2232A"/>
              <w:bottom w:val="single" w:sz="4" w:space="0" w:color="D2232A"/>
              <w:right w:val="single" w:sz="4" w:space="0" w:color="D2232A"/>
            </w:tcBorders>
          </w:tcPr>
          <w:p w14:paraId="40D03AC4" w14:textId="77777777" w:rsidR="0056247C" w:rsidRPr="00D35404" w:rsidRDefault="0056247C" w:rsidP="00C33917">
            <w:pPr>
              <w:spacing w:before="60"/>
              <w:rPr>
                <w:rFonts w:cs="Arial"/>
              </w:rPr>
            </w:pPr>
            <w:r w:rsidRPr="00D35404">
              <w:rPr>
                <w:rFonts w:cs="Arial"/>
              </w:rPr>
              <w:t>15</w:t>
            </w:r>
          </w:p>
        </w:tc>
      </w:tr>
      <w:tr w:rsidR="0056247C" w:rsidRPr="00D35404" w14:paraId="1A212C58" w14:textId="77777777" w:rsidTr="00EF2060">
        <w:tc>
          <w:tcPr>
            <w:tcW w:w="2093" w:type="dxa"/>
            <w:tcBorders>
              <w:top w:val="single" w:sz="4" w:space="0" w:color="FFFFFF" w:themeColor="background1"/>
              <w:left w:val="single" w:sz="4" w:space="0" w:color="D2232A"/>
              <w:bottom w:val="single" w:sz="4" w:space="0" w:color="D2232A"/>
              <w:right w:val="single" w:sz="4" w:space="0" w:color="D2232A"/>
            </w:tcBorders>
          </w:tcPr>
          <w:p w14:paraId="1FD4D192" w14:textId="77777777" w:rsidR="0056247C" w:rsidRPr="00D35404" w:rsidRDefault="0056247C" w:rsidP="00C33917">
            <w:pPr>
              <w:spacing w:before="60"/>
              <w:rPr>
                <w:rFonts w:cs="Arial"/>
              </w:rPr>
            </w:pPr>
            <w:r w:rsidRPr="00D35404">
              <w:rPr>
                <w:rFonts w:cs="Arial"/>
              </w:rPr>
              <w:t>UK</w:t>
            </w:r>
          </w:p>
        </w:tc>
        <w:tc>
          <w:tcPr>
            <w:tcW w:w="1984" w:type="dxa"/>
            <w:tcBorders>
              <w:top w:val="single" w:sz="4" w:space="0" w:color="FFFFFF" w:themeColor="background1"/>
              <w:left w:val="single" w:sz="4" w:space="0" w:color="D2232A"/>
              <w:bottom w:val="single" w:sz="4" w:space="0" w:color="D2232A"/>
              <w:right w:val="single" w:sz="4" w:space="0" w:color="D2232A"/>
            </w:tcBorders>
          </w:tcPr>
          <w:p w14:paraId="42788E41" w14:textId="77777777" w:rsidR="0056247C" w:rsidRPr="00D35404" w:rsidRDefault="0056247C" w:rsidP="00C33917">
            <w:pPr>
              <w:spacing w:before="60"/>
              <w:rPr>
                <w:rFonts w:cs="Arial"/>
              </w:rPr>
            </w:pPr>
            <w:r w:rsidRPr="00D35404">
              <w:rPr>
                <w:rFonts w:cs="Arial"/>
              </w:rPr>
              <w:t>Cambridge</w:t>
            </w:r>
          </w:p>
        </w:tc>
        <w:tc>
          <w:tcPr>
            <w:tcW w:w="2090" w:type="dxa"/>
            <w:tcBorders>
              <w:top w:val="single" w:sz="4" w:space="0" w:color="FFFFFF" w:themeColor="background1"/>
              <w:left w:val="single" w:sz="4" w:space="0" w:color="D2232A"/>
              <w:bottom w:val="single" w:sz="4" w:space="0" w:color="D2232A"/>
              <w:right w:val="single" w:sz="4" w:space="0" w:color="D2232A"/>
            </w:tcBorders>
          </w:tcPr>
          <w:p w14:paraId="25F620A4" w14:textId="77777777" w:rsidR="0056247C" w:rsidRPr="00D35404" w:rsidRDefault="0056247C" w:rsidP="00C33917">
            <w:pPr>
              <w:spacing w:before="60"/>
              <w:rPr>
                <w:rFonts w:cs="Arial"/>
              </w:rPr>
            </w:pPr>
            <w:r w:rsidRPr="00D35404">
              <w:rPr>
                <w:rFonts w:cs="Arial"/>
              </w:rPr>
              <w:t>52°09’59" N</w:t>
            </w:r>
          </w:p>
        </w:tc>
        <w:tc>
          <w:tcPr>
            <w:tcW w:w="1738" w:type="dxa"/>
            <w:tcBorders>
              <w:top w:val="single" w:sz="4" w:space="0" w:color="FFFFFF" w:themeColor="background1"/>
              <w:left w:val="single" w:sz="4" w:space="0" w:color="D2232A"/>
              <w:bottom w:val="single" w:sz="4" w:space="0" w:color="D2232A"/>
              <w:right w:val="single" w:sz="4" w:space="0" w:color="D2232A"/>
            </w:tcBorders>
          </w:tcPr>
          <w:p w14:paraId="6E4F02ED" w14:textId="77777777" w:rsidR="0056247C" w:rsidRPr="00D35404" w:rsidRDefault="0056247C" w:rsidP="00C33917">
            <w:pPr>
              <w:spacing w:before="60"/>
              <w:rPr>
                <w:rFonts w:cs="Arial"/>
              </w:rPr>
            </w:pPr>
            <w:r w:rsidRPr="00D35404">
              <w:rPr>
                <w:rFonts w:cs="Arial"/>
              </w:rPr>
              <w:t>00°02’20" E</w:t>
            </w:r>
          </w:p>
        </w:tc>
        <w:tc>
          <w:tcPr>
            <w:tcW w:w="1950" w:type="dxa"/>
            <w:tcBorders>
              <w:top w:val="single" w:sz="4" w:space="0" w:color="FFFFFF" w:themeColor="background1"/>
              <w:left w:val="single" w:sz="4" w:space="0" w:color="D2232A"/>
              <w:bottom w:val="single" w:sz="4" w:space="0" w:color="D2232A"/>
              <w:right w:val="single" w:sz="4" w:space="0" w:color="D2232A"/>
            </w:tcBorders>
          </w:tcPr>
          <w:p w14:paraId="683025A5" w14:textId="77777777" w:rsidR="0056247C" w:rsidRPr="00D35404" w:rsidRDefault="0056247C" w:rsidP="00C33917">
            <w:pPr>
              <w:spacing w:before="60"/>
              <w:rPr>
                <w:rFonts w:cs="Arial"/>
              </w:rPr>
            </w:pPr>
            <w:r w:rsidRPr="00D35404">
              <w:rPr>
                <w:rFonts w:cs="Arial"/>
              </w:rPr>
              <w:t xml:space="preserve">  9</w:t>
            </w:r>
          </w:p>
        </w:tc>
      </w:tr>
      <w:tr w:rsidR="0056247C" w:rsidRPr="00D35404" w14:paraId="43A35155" w14:textId="77777777" w:rsidTr="00EF2060">
        <w:tc>
          <w:tcPr>
            <w:tcW w:w="2093" w:type="dxa"/>
            <w:tcBorders>
              <w:top w:val="single" w:sz="4" w:space="0" w:color="FFFFFF" w:themeColor="background1"/>
              <w:left w:val="single" w:sz="4" w:space="0" w:color="D2232A"/>
              <w:bottom w:val="single" w:sz="4" w:space="0" w:color="D2232A"/>
              <w:right w:val="single" w:sz="4" w:space="0" w:color="D2232A"/>
            </w:tcBorders>
          </w:tcPr>
          <w:p w14:paraId="05AEFA0C" w14:textId="77777777" w:rsidR="0056247C" w:rsidRPr="00D35404" w:rsidRDefault="0056247C" w:rsidP="00C33917">
            <w:pPr>
              <w:spacing w:before="60"/>
              <w:rPr>
                <w:rFonts w:cs="Arial"/>
              </w:rPr>
            </w:pPr>
          </w:p>
        </w:tc>
        <w:tc>
          <w:tcPr>
            <w:tcW w:w="1984" w:type="dxa"/>
            <w:tcBorders>
              <w:top w:val="single" w:sz="4" w:space="0" w:color="FFFFFF" w:themeColor="background1"/>
              <w:left w:val="single" w:sz="4" w:space="0" w:color="D2232A"/>
              <w:bottom w:val="single" w:sz="4" w:space="0" w:color="D2232A"/>
              <w:right w:val="single" w:sz="4" w:space="0" w:color="D2232A"/>
            </w:tcBorders>
            <w:vAlign w:val="center"/>
          </w:tcPr>
          <w:p w14:paraId="24BB5C2D" w14:textId="77777777" w:rsidR="0056247C" w:rsidRPr="00D35404" w:rsidRDefault="0056247C" w:rsidP="00C33917">
            <w:pPr>
              <w:spacing w:before="60"/>
              <w:rPr>
                <w:rFonts w:cs="Arial"/>
              </w:rPr>
            </w:pPr>
            <w:proofErr w:type="spellStart"/>
            <w:r w:rsidRPr="00D35404">
              <w:rPr>
                <w:rFonts w:cs="Arial"/>
              </w:rPr>
              <w:t>Darnhall</w:t>
            </w:r>
            <w:proofErr w:type="spellEnd"/>
          </w:p>
        </w:tc>
        <w:tc>
          <w:tcPr>
            <w:tcW w:w="2090" w:type="dxa"/>
            <w:tcBorders>
              <w:top w:val="single" w:sz="4" w:space="0" w:color="FFFFFF" w:themeColor="background1"/>
              <w:left w:val="single" w:sz="4" w:space="0" w:color="D2232A"/>
              <w:bottom w:val="single" w:sz="4" w:space="0" w:color="D2232A"/>
              <w:right w:val="single" w:sz="4" w:space="0" w:color="D2232A"/>
            </w:tcBorders>
            <w:vAlign w:val="center"/>
          </w:tcPr>
          <w:p w14:paraId="42CBFE91" w14:textId="77777777" w:rsidR="0056247C" w:rsidRPr="00D35404" w:rsidRDefault="0056247C" w:rsidP="00C33917">
            <w:pPr>
              <w:spacing w:before="60"/>
              <w:rPr>
                <w:rFonts w:cs="Arial"/>
              </w:rPr>
            </w:pPr>
            <w:r w:rsidRPr="00D35404">
              <w:rPr>
                <w:rFonts w:cs="Arial"/>
              </w:rPr>
              <w:t>53°09'22" N</w:t>
            </w:r>
          </w:p>
        </w:tc>
        <w:tc>
          <w:tcPr>
            <w:tcW w:w="1738" w:type="dxa"/>
            <w:tcBorders>
              <w:top w:val="single" w:sz="4" w:space="0" w:color="FFFFFF" w:themeColor="background1"/>
              <w:left w:val="single" w:sz="4" w:space="0" w:color="D2232A"/>
              <w:bottom w:val="single" w:sz="4" w:space="0" w:color="D2232A"/>
              <w:right w:val="single" w:sz="4" w:space="0" w:color="D2232A"/>
            </w:tcBorders>
            <w:vAlign w:val="center"/>
          </w:tcPr>
          <w:p w14:paraId="26F1E0D0" w14:textId="77777777" w:rsidR="0056247C" w:rsidRPr="00D35404" w:rsidRDefault="0056247C" w:rsidP="00C33917">
            <w:pPr>
              <w:spacing w:before="60"/>
              <w:rPr>
                <w:rFonts w:cs="Arial"/>
              </w:rPr>
            </w:pPr>
            <w:r w:rsidRPr="00D35404">
              <w:rPr>
                <w:rFonts w:cs="Arial"/>
              </w:rPr>
              <w:t>02°32'03" W</w:t>
            </w:r>
          </w:p>
        </w:tc>
        <w:tc>
          <w:tcPr>
            <w:tcW w:w="1950" w:type="dxa"/>
            <w:tcBorders>
              <w:top w:val="single" w:sz="4" w:space="0" w:color="FFFFFF" w:themeColor="background1"/>
              <w:left w:val="single" w:sz="4" w:space="0" w:color="D2232A"/>
              <w:bottom w:val="single" w:sz="4" w:space="0" w:color="D2232A"/>
              <w:right w:val="single" w:sz="4" w:space="0" w:color="D2232A"/>
            </w:tcBorders>
            <w:vAlign w:val="center"/>
          </w:tcPr>
          <w:p w14:paraId="284A40C3" w14:textId="77777777" w:rsidR="0056247C" w:rsidRPr="00D35404" w:rsidRDefault="0056247C" w:rsidP="00C33917">
            <w:pPr>
              <w:spacing w:before="60"/>
              <w:rPr>
                <w:rFonts w:cs="Arial"/>
              </w:rPr>
            </w:pPr>
            <w:r w:rsidRPr="00D35404">
              <w:rPr>
                <w:rFonts w:cs="Arial"/>
              </w:rPr>
              <w:t xml:space="preserve">  5</w:t>
            </w:r>
          </w:p>
        </w:tc>
      </w:tr>
      <w:tr w:rsidR="0056247C" w:rsidRPr="00D35404" w14:paraId="723048A8" w14:textId="77777777" w:rsidTr="00EF2060">
        <w:tc>
          <w:tcPr>
            <w:tcW w:w="2093" w:type="dxa"/>
            <w:tcBorders>
              <w:top w:val="single" w:sz="4" w:space="0" w:color="FFFFFF" w:themeColor="background1"/>
              <w:left w:val="single" w:sz="4" w:space="0" w:color="D2232A"/>
              <w:bottom w:val="single" w:sz="4" w:space="0" w:color="D2232A"/>
              <w:right w:val="single" w:sz="4" w:space="0" w:color="D2232A"/>
            </w:tcBorders>
          </w:tcPr>
          <w:p w14:paraId="6B73F135" w14:textId="77777777" w:rsidR="0056247C" w:rsidRPr="00D35404" w:rsidRDefault="0056247C" w:rsidP="00C33917">
            <w:pPr>
              <w:spacing w:before="60"/>
              <w:rPr>
                <w:rFonts w:cs="Arial"/>
              </w:rPr>
            </w:pPr>
          </w:p>
        </w:tc>
        <w:tc>
          <w:tcPr>
            <w:tcW w:w="1984" w:type="dxa"/>
            <w:tcBorders>
              <w:top w:val="single" w:sz="4" w:space="0" w:color="FFFFFF" w:themeColor="background1"/>
              <w:left w:val="single" w:sz="4" w:space="0" w:color="D2232A"/>
              <w:bottom w:val="single" w:sz="4" w:space="0" w:color="D2232A"/>
              <w:right w:val="single" w:sz="4" w:space="0" w:color="D2232A"/>
            </w:tcBorders>
            <w:vAlign w:val="center"/>
          </w:tcPr>
          <w:p w14:paraId="59F97B75" w14:textId="77777777" w:rsidR="0056247C" w:rsidRPr="00D35404" w:rsidRDefault="0056247C" w:rsidP="00C33917">
            <w:pPr>
              <w:spacing w:before="60"/>
              <w:rPr>
                <w:rFonts w:cs="Arial"/>
              </w:rPr>
            </w:pPr>
            <w:r w:rsidRPr="00D35404">
              <w:rPr>
                <w:rFonts w:cs="Arial"/>
              </w:rPr>
              <w:t>Jodrell Bank</w:t>
            </w:r>
          </w:p>
        </w:tc>
        <w:tc>
          <w:tcPr>
            <w:tcW w:w="2090" w:type="dxa"/>
            <w:tcBorders>
              <w:top w:val="single" w:sz="4" w:space="0" w:color="FFFFFF" w:themeColor="background1"/>
              <w:left w:val="single" w:sz="4" w:space="0" w:color="D2232A"/>
              <w:bottom w:val="single" w:sz="4" w:space="0" w:color="D2232A"/>
              <w:right w:val="single" w:sz="4" w:space="0" w:color="D2232A"/>
            </w:tcBorders>
            <w:vAlign w:val="center"/>
          </w:tcPr>
          <w:p w14:paraId="5302256C" w14:textId="77777777" w:rsidR="0056247C" w:rsidRPr="00D35404" w:rsidRDefault="0056247C" w:rsidP="00C33917">
            <w:pPr>
              <w:spacing w:before="60"/>
              <w:rPr>
                <w:rFonts w:cs="Arial"/>
              </w:rPr>
            </w:pPr>
            <w:r w:rsidRPr="00D35404">
              <w:rPr>
                <w:rFonts w:cs="Arial"/>
              </w:rPr>
              <w:t>53°14'10" N</w:t>
            </w:r>
          </w:p>
        </w:tc>
        <w:tc>
          <w:tcPr>
            <w:tcW w:w="1738" w:type="dxa"/>
            <w:tcBorders>
              <w:top w:val="single" w:sz="4" w:space="0" w:color="FFFFFF" w:themeColor="background1"/>
              <w:left w:val="single" w:sz="4" w:space="0" w:color="D2232A"/>
              <w:bottom w:val="single" w:sz="4" w:space="0" w:color="D2232A"/>
              <w:right w:val="single" w:sz="4" w:space="0" w:color="D2232A"/>
            </w:tcBorders>
            <w:vAlign w:val="center"/>
          </w:tcPr>
          <w:p w14:paraId="14628BFC" w14:textId="77777777" w:rsidR="0056247C" w:rsidRPr="00D35404" w:rsidRDefault="0056247C" w:rsidP="00C33917">
            <w:pPr>
              <w:spacing w:before="60"/>
              <w:rPr>
                <w:rFonts w:cs="Arial"/>
              </w:rPr>
            </w:pPr>
            <w:r w:rsidRPr="00D35404">
              <w:rPr>
                <w:rFonts w:cs="Arial"/>
              </w:rPr>
              <w:t>02°18'26" W</w:t>
            </w:r>
          </w:p>
        </w:tc>
        <w:tc>
          <w:tcPr>
            <w:tcW w:w="1950" w:type="dxa"/>
            <w:tcBorders>
              <w:top w:val="single" w:sz="4" w:space="0" w:color="FFFFFF" w:themeColor="background1"/>
              <w:left w:val="single" w:sz="4" w:space="0" w:color="D2232A"/>
              <w:bottom w:val="single" w:sz="4" w:space="0" w:color="D2232A"/>
              <w:right w:val="single" w:sz="4" w:space="0" w:color="D2232A"/>
            </w:tcBorders>
            <w:vAlign w:val="center"/>
          </w:tcPr>
          <w:p w14:paraId="23A0FDAB" w14:textId="77777777" w:rsidR="0056247C" w:rsidRPr="00D35404" w:rsidRDefault="0056247C" w:rsidP="00C33917">
            <w:pPr>
              <w:spacing w:before="60"/>
              <w:rPr>
                <w:rFonts w:cs="Arial"/>
              </w:rPr>
            </w:pPr>
            <w:r w:rsidRPr="00D35404">
              <w:rPr>
                <w:rFonts w:cs="Arial"/>
              </w:rPr>
              <w:t xml:space="preserve">  9</w:t>
            </w:r>
          </w:p>
        </w:tc>
      </w:tr>
      <w:tr w:rsidR="0056247C" w:rsidRPr="00D35404" w14:paraId="59F2D34B" w14:textId="77777777" w:rsidTr="00EF2060">
        <w:tc>
          <w:tcPr>
            <w:tcW w:w="2093" w:type="dxa"/>
            <w:tcBorders>
              <w:top w:val="single" w:sz="4" w:space="0" w:color="FFFFFF" w:themeColor="background1"/>
              <w:left w:val="single" w:sz="4" w:space="0" w:color="D2232A"/>
              <w:bottom w:val="single" w:sz="4" w:space="0" w:color="D2232A"/>
              <w:right w:val="single" w:sz="4" w:space="0" w:color="D2232A"/>
            </w:tcBorders>
          </w:tcPr>
          <w:p w14:paraId="4160566F" w14:textId="77777777" w:rsidR="0056247C" w:rsidRPr="00D35404" w:rsidRDefault="0056247C" w:rsidP="00C33917">
            <w:pPr>
              <w:spacing w:before="60"/>
              <w:rPr>
                <w:rFonts w:cs="Arial"/>
              </w:rPr>
            </w:pPr>
          </w:p>
        </w:tc>
        <w:tc>
          <w:tcPr>
            <w:tcW w:w="1984" w:type="dxa"/>
            <w:tcBorders>
              <w:top w:val="single" w:sz="4" w:space="0" w:color="FFFFFF" w:themeColor="background1"/>
              <w:left w:val="single" w:sz="4" w:space="0" w:color="D2232A"/>
              <w:bottom w:val="single" w:sz="4" w:space="0" w:color="D2232A"/>
              <w:right w:val="single" w:sz="4" w:space="0" w:color="D2232A"/>
            </w:tcBorders>
            <w:vAlign w:val="center"/>
          </w:tcPr>
          <w:p w14:paraId="27E0AE7A" w14:textId="77777777" w:rsidR="0056247C" w:rsidRPr="00D35404" w:rsidRDefault="0056247C" w:rsidP="00C33917">
            <w:pPr>
              <w:spacing w:before="60"/>
              <w:rPr>
                <w:rFonts w:cs="Arial"/>
              </w:rPr>
            </w:pPr>
            <w:proofErr w:type="spellStart"/>
            <w:r w:rsidRPr="00D35404">
              <w:rPr>
                <w:rFonts w:cs="Arial"/>
              </w:rPr>
              <w:t>Knockin</w:t>
            </w:r>
            <w:proofErr w:type="spellEnd"/>
          </w:p>
        </w:tc>
        <w:tc>
          <w:tcPr>
            <w:tcW w:w="2090" w:type="dxa"/>
            <w:tcBorders>
              <w:top w:val="single" w:sz="4" w:space="0" w:color="FFFFFF" w:themeColor="background1"/>
              <w:left w:val="single" w:sz="4" w:space="0" w:color="D2232A"/>
              <w:bottom w:val="single" w:sz="4" w:space="0" w:color="D2232A"/>
              <w:right w:val="single" w:sz="4" w:space="0" w:color="D2232A"/>
            </w:tcBorders>
            <w:vAlign w:val="center"/>
          </w:tcPr>
          <w:p w14:paraId="7192431A" w14:textId="77777777" w:rsidR="0056247C" w:rsidRPr="00D35404" w:rsidRDefault="0056247C" w:rsidP="00C33917">
            <w:pPr>
              <w:spacing w:before="60"/>
              <w:rPr>
                <w:rFonts w:cs="Arial"/>
              </w:rPr>
            </w:pPr>
            <w:r w:rsidRPr="00D35404">
              <w:rPr>
                <w:rFonts w:cs="Arial"/>
              </w:rPr>
              <w:t>52°47'24" N</w:t>
            </w:r>
          </w:p>
        </w:tc>
        <w:tc>
          <w:tcPr>
            <w:tcW w:w="1738" w:type="dxa"/>
            <w:tcBorders>
              <w:top w:val="single" w:sz="4" w:space="0" w:color="FFFFFF" w:themeColor="background1"/>
              <w:left w:val="single" w:sz="4" w:space="0" w:color="D2232A"/>
              <w:bottom w:val="single" w:sz="4" w:space="0" w:color="D2232A"/>
              <w:right w:val="single" w:sz="4" w:space="0" w:color="D2232A"/>
            </w:tcBorders>
            <w:vAlign w:val="center"/>
          </w:tcPr>
          <w:p w14:paraId="132532E9" w14:textId="77777777" w:rsidR="0056247C" w:rsidRPr="00D35404" w:rsidRDefault="0056247C" w:rsidP="00C33917">
            <w:pPr>
              <w:spacing w:before="60"/>
              <w:rPr>
                <w:rFonts w:cs="Arial"/>
              </w:rPr>
            </w:pPr>
            <w:r w:rsidRPr="00D35404">
              <w:rPr>
                <w:rFonts w:cs="Arial"/>
              </w:rPr>
              <w:t>02°59'45" W</w:t>
            </w:r>
          </w:p>
        </w:tc>
        <w:tc>
          <w:tcPr>
            <w:tcW w:w="1950" w:type="dxa"/>
            <w:tcBorders>
              <w:top w:val="single" w:sz="4" w:space="0" w:color="FFFFFF" w:themeColor="background1"/>
              <w:left w:val="single" w:sz="4" w:space="0" w:color="D2232A"/>
              <w:bottom w:val="single" w:sz="4" w:space="0" w:color="D2232A"/>
              <w:right w:val="single" w:sz="4" w:space="0" w:color="D2232A"/>
            </w:tcBorders>
            <w:vAlign w:val="center"/>
          </w:tcPr>
          <w:p w14:paraId="151ECEDE" w14:textId="77777777" w:rsidR="0056247C" w:rsidRPr="00D35404" w:rsidRDefault="0056247C" w:rsidP="00C33917">
            <w:pPr>
              <w:spacing w:before="60"/>
              <w:rPr>
                <w:rFonts w:cs="Arial"/>
              </w:rPr>
            </w:pPr>
            <w:r w:rsidRPr="00D35404">
              <w:rPr>
                <w:rFonts w:cs="Arial"/>
              </w:rPr>
              <w:t xml:space="preserve">  5</w:t>
            </w:r>
          </w:p>
        </w:tc>
      </w:tr>
      <w:tr w:rsidR="0056247C" w:rsidRPr="00D35404" w14:paraId="7F3AF406" w14:textId="77777777" w:rsidTr="00EF2060">
        <w:tc>
          <w:tcPr>
            <w:tcW w:w="2093" w:type="dxa"/>
            <w:tcBorders>
              <w:top w:val="single" w:sz="4" w:space="0" w:color="FFFFFF" w:themeColor="background1"/>
              <w:left w:val="single" w:sz="4" w:space="0" w:color="D2232A"/>
              <w:bottom w:val="single" w:sz="4" w:space="0" w:color="D2232A"/>
              <w:right w:val="single" w:sz="4" w:space="0" w:color="D2232A"/>
            </w:tcBorders>
          </w:tcPr>
          <w:p w14:paraId="53A0CA5F" w14:textId="77777777" w:rsidR="0056247C" w:rsidRPr="00D35404" w:rsidRDefault="0056247C" w:rsidP="00C33917">
            <w:pPr>
              <w:spacing w:before="60"/>
              <w:rPr>
                <w:rFonts w:cs="Arial"/>
              </w:rPr>
            </w:pPr>
          </w:p>
        </w:tc>
        <w:tc>
          <w:tcPr>
            <w:tcW w:w="1984" w:type="dxa"/>
            <w:tcBorders>
              <w:top w:val="single" w:sz="4" w:space="0" w:color="FFFFFF" w:themeColor="background1"/>
              <w:left w:val="single" w:sz="4" w:space="0" w:color="D2232A"/>
              <w:bottom w:val="single" w:sz="4" w:space="0" w:color="D2232A"/>
              <w:right w:val="single" w:sz="4" w:space="0" w:color="D2232A"/>
            </w:tcBorders>
            <w:vAlign w:val="center"/>
          </w:tcPr>
          <w:p w14:paraId="5A808E74" w14:textId="77777777" w:rsidR="0056247C" w:rsidRPr="00D35404" w:rsidRDefault="0056247C" w:rsidP="00C33917">
            <w:pPr>
              <w:spacing w:before="60"/>
              <w:rPr>
                <w:rFonts w:cs="Arial"/>
              </w:rPr>
            </w:pPr>
            <w:proofErr w:type="spellStart"/>
            <w:r w:rsidRPr="00D35404">
              <w:rPr>
                <w:rFonts w:cs="Arial"/>
              </w:rPr>
              <w:t>Pickmere</w:t>
            </w:r>
            <w:proofErr w:type="spellEnd"/>
          </w:p>
        </w:tc>
        <w:tc>
          <w:tcPr>
            <w:tcW w:w="2090" w:type="dxa"/>
            <w:tcBorders>
              <w:top w:val="single" w:sz="4" w:space="0" w:color="FFFFFF" w:themeColor="background1"/>
              <w:left w:val="single" w:sz="4" w:space="0" w:color="D2232A"/>
              <w:bottom w:val="single" w:sz="4" w:space="0" w:color="D2232A"/>
              <w:right w:val="single" w:sz="4" w:space="0" w:color="D2232A"/>
            </w:tcBorders>
            <w:vAlign w:val="center"/>
          </w:tcPr>
          <w:p w14:paraId="10E5E038" w14:textId="77777777" w:rsidR="0056247C" w:rsidRPr="00D35404" w:rsidRDefault="0056247C" w:rsidP="00C33917">
            <w:pPr>
              <w:spacing w:before="60"/>
              <w:rPr>
                <w:rFonts w:cs="Arial"/>
              </w:rPr>
            </w:pPr>
            <w:r w:rsidRPr="00D35404">
              <w:rPr>
                <w:rFonts w:cs="Arial"/>
              </w:rPr>
              <w:t>53°17'18" N</w:t>
            </w:r>
          </w:p>
        </w:tc>
        <w:tc>
          <w:tcPr>
            <w:tcW w:w="1738" w:type="dxa"/>
            <w:tcBorders>
              <w:top w:val="single" w:sz="4" w:space="0" w:color="FFFFFF" w:themeColor="background1"/>
              <w:left w:val="single" w:sz="4" w:space="0" w:color="D2232A"/>
              <w:bottom w:val="single" w:sz="4" w:space="0" w:color="D2232A"/>
              <w:right w:val="single" w:sz="4" w:space="0" w:color="D2232A"/>
            </w:tcBorders>
            <w:vAlign w:val="center"/>
          </w:tcPr>
          <w:p w14:paraId="5DD78348" w14:textId="77777777" w:rsidR="0056247C" w:rsidRPr="00D35404" w:rsidRDefault="0056247C" w:rsidP="00C33917">
            <w:pPr>
              <w:spacing w:before="60"/>
              <w:rPr>
                <w:rFonts w:cs="Arial"/>
              </w:rPr>
            </w:pPr>
            <w:r w:rsidRPr="00D35404">
              <w:rPr>
                <w:rFonts w:cs="Arial"/>
              </w:rPr>
              <w:t>02°26'38" W</w:t>
            </w:r>
          </w:p>
        </w:tc>
        <w:tc>
          <w:tcPr>
            <w:tcW w:w="1950" w:type="dxa"/>
            <w:tcBorders>
              <w:top w:val="single" w:sz="4" w:space="0" w:color="FFFFFF" w:themeColor="background1"/>
              <w:left w:val="single" w:sz="4" w:space="0" w:color="D2232A"/>
              <w:bottom w:val="single" w:sz="4" w:space="0" w:color="D2232A"/>
              <w:right w:val="single" w:sz="4" w:space="0" w:color="D2232A"/>
            </w:tcBorders>
            <w:vAlign w:val="center"/>
          </w:tcPr>
          <w:p w14:paraId="2FD4512D" w14:textId="77777777" w:rsidR="0056247C" w:rsidRPr="00D35404" w:rsidRDefault="0056247C" w:rsidP="00C33917">
            <w:pPr>
              <w:spacing w:before="60"/>
              <w:rPr>
                <w:rFonts w:cs="Arial"/>
              </w:rPr>
            </w:pPr>
            <w:r w:rsidRPr="00D35404">
              <w:rPr>
                <w:rFonts w:cs="Arial"/>
              </w:rPr>
              <w:t xml:space="preserve">  5</w:t>
            </w:r>
          </w:p>
        </w:tc>
      </w:tr>
      <w:tr w:rsidR="0056247C" w:rsidRPr="00D35404" w14:paraId="6BCE9502" w14:textId="77777777" w:rsidTr="00EF2060">
        <w:tc>
          <w:tcPr>
            <w:tcW w:w="2093" w:type="dxa"/>
            <w:tcBorders>
              <w:top w:val="single" w:sz="4" w:space="0" w:color="FFFFFF" w:themeColor="background1"/>
              <w:left w:val="single" w:sz="4" w:space="0" w:color="D2232A"/>
              <w:bottom w:val="single" w:sz="4" w:space="0" w:color="D2232A"/>
              <w:right w:val="single" w:sz="4" w:space="0" w:color="D2232A"/>
            </w:tcBorders>
          </w:tcPr>
          <w:p w14:paraId="13B091BA" w14:textId="77777777" w:rsidR="0056247C" w:rsidRPr="00D35404" w:rsidRDefault="0056247C" w:rsidP="00C33917">
            <w:pPr>
              <w:spacing w:before="60"/>
              <w:rPr>
                <w:rFonts w:cs="Arial"/>
              </w:rPr>
            </w:pPr>
            <w:r w:rsidRPr="00D35404">
              <w:rPr>
                <w:rFonts w:cs="Arial"/>
              </w:rPr>
              <w:t>Poland</w:t>
            </w:r>
          </w:p>
        </w:tc>
        <w:tc>
          <w:tcPr>
            <w:tcW w:w="1984" w:type="dxa"/>
            <w:tcBorders>
              <w:top w:val="single" w:sz="4" w:space="0" w:color="FFFFFF" w:themeColor="background1"/>
              <w:left w:val="single" w:sz="4" w:space="0" w:color="D2232A"/>
              <w:bottom w:val="single" w:sz="4" w:space="0" w:color="D2232A"/>
              <w:right w:val="single" w:sz="4" w:space="0" w:color="D2232A"/>
            </w:tcBorders>
            <w:vAlign w:val="center"/>
          </w:tcPr>
          <w:p w14:paraId="77D356AC" w14:textId="77777777" w:rsidR="0056247C" w:rsidRPr="00D35404" w:rsidRDefault="0056247C" w:rsidP="00C33917">
            <w:pPr>
              <w:spacing w:before="60"/>
              <w:rPr>
                <w:rFonts w:cs="Arial"/>
              </w:rPr>
            </w:pPr>
            <w:r w:rsidRPr="00D35404">
              <w:rPr>
                <w:rFonts w:cs="Arial"/>
              </w:rPr>
              <w:t>Kraków–Fort Skala</w:t>
            </w:r>
          </w:p>
        </w:tc>
        <w:tc>
          <w:tcPr>
            <w:tcW w:w="2090" w:type="dxa"/>
            <w:tcBorders>
              <w:top w:val="single" w:sz="4" w:space="0" w:color="FFFFFF" w:themeColor="background1"/>
              <w:left w:val="single" w:sz="4" w:space="0" w:color="D2232A"/>
              <w:bottom w:val="single" w:sz="4" w:space="0" w:color="D2232A"/>
              <w:right w:val="single" w:sz="4" w:space="0" w:color="D2232A"/>
            </w:tcBorders>
            <w:vAlign w:val="center"/>
          </w:tcPr>
          <w:p w14:paraId="01B0F6FB" w14:textId="77777777" w:rsidR="0056247C" w:rsidRPr="00D35404" w:rsidRDefault="0056247C" w:rsidP="00C33917">
            <w:pPr>
              <w:spacing w:before="60"/>
              <w:rPr>
                <w:rFonts w:cs="Arial"/>
              </w:rPr>
            </w:pPr>
            <w:r w:rsidRPr="00D35404">
              <w:rPr>
                <w:rFonts w:cs="Arial"/>
              </w:rPr>
              <w:t>50°03’18" N</w:t>
            </w:r>
          </w:p>
        </w:tc>
        <w:tc>
          <w:tcPr>
            <w:tcW w:w="1738" w:type="dxa"/>
            <w:tcBorders>
              <w:top w:val="single" w:sz="4" w:space="0" w:color="FFFFFF" w:themeColor="background1"/>
              <w:left w:val="single" w:sz="4" w:space="0" w:color="D2232A"/>
              <w:bottom w:val="single" w:sz="4" w:space="0" w:color="D2232A"/>
              <w:right w:val="single" w:sz="4" w:space="0" w:color="D2232A"/>
            </w:tcBorders>
            <w:vAlign w:val="center"/>
          </w:tcPr>
          <w:p w14:paraId="7CFF9D46" w14:textId="77777777" w:rsidR="0056247C" w:rsidRPr="00D35404" w:rsidRDefault="0056247C" w:rsidP="00C33917">
            <w:pPr>
              <w:spacing w:before="60"/>
              <w:rPr>
                <w:rFonts w:cs="Arial"/>
              </w:rPr>
            </w:pPr>
            <w:r w:rsidRPr="00D35404">
              <w:rPr>
                <w:rFonts w:cs="Arial"/>
              </w:rPr>
              <w:t>19°49’36" E</w:t>
            </w:r>
          </w:p>
        </w:tc>
        <w:tc>
          <w:tcPr>
            <w:tcW w:w="1950" w:type="dxa"/>
            <w:tcBorders>
              <w:top w:val="single" w:sz="4" w:space="0" w:color="FFFFFF" w:themeColor="background1"/>
              <w:left w:val="single" w:sz="4" w:space="0" w:color="D2232A"/>
              <w:bottom w:val="single" w:sz="4" w:space="0" w:color="D2232A"/>
              <w:right w:val="single" w:sz="4" w:space="0" w:color="D2232A"/>
            </w:tcBorders>
            <w:vAlign w:val="center"/>
          </w:tcPr>
          <w:p w14:paraId="75417912" w14:textId="77777777" w:rsidR="0056247C" w:rsidRPr="00D35404" w:rsidRDefault="0056247C" w:rsidP="00C33917">
            <w:pPr>
              <w:spacing w:before="60"/>
              <w:rPr>
                <w:rFonts w:cs="Arial"/>
              </w:rPr>
            </w:pPr>
            <w:r w:rsidRPr="00D35404">
              <w:rPr>
                <w:rFonts w:cs="Arial"/>
              </w:rPr>
              <w:t xml:space="preserve"> 1</w:t>
            </w:r>
          </w:p>
        </w:tc>
      </w:tr>
      <w:tr w:rsidR="0056247C" w:rsidRPr="00D35404" w14:paraId="49118DAA" w14:textId="77777777" w:rsidTr="00EF2060">
        <w:tc>
          <w:tcPr>
            <w:tcW w:w="2093" w:type="dxa"/>
            <w:tcBorders>
              <w:top w:val="single" w:sz="4" w:space="0" w:color="FFFFFF" w:themeColor="background1"/>
              <w:left w:val="single" w:sz="4" w:space="0" w:color="D2232A"/>
              <w:bottom w:val="single" w:sz="4" w:space="0" w:color="D2232A"/>
              <w:right w:val="single" w:sz="4" w:space="0" w:color="D2232A"/>
            </w:tcBorders>
          </w:tcPr>
          <w:p w14:paraId="6F375619" w14:textId="77777777" w:rsidR="0056247C" w:rsidRPr="00D35404" w:rsidRDefault="0056247C" w:rsidP="00C33917">
            <w:pPr>
              <w:spacing w:before="60"/>
              <w:rPr>
                <w:rFonts w:cs="Arial"/>
              </w:rPr>
            </w:pPr>
          </w:p>
        </w:tc>
        <w:tc>
          <w:tcPr>
            <w:tcW w:w="1984" w:type="dxa"/>
            <w:tcBorders>
              <w:top w:val="single" w:sz="4" w:space="0" w:color="FFFFFF" w:themeColor="background1"/>
              <w:left w:val="single" w:sz="4" w:space="0" w:color="D2232A"/>
              <w:bottom w:val="single" w:sz="4" w:space="0" w:color="D2232A"/>
              <w:right w:val="single" w:sz="4" w:space="0" w:color="D2232A"/>
            </w:tcBorders>
            <w:vAlign w:val="center"/>
          </w:tcPr>
          <w:p w14:paraId="38EEFE56" w14:textId="77777777" w:rsidR="0056247C" w:rsidRPr="00D35404" w:rsidRDefault="0056247C" w:rsidP="00C33917">
            <w:pPr>
              <w:spacing w:before="60"/>
              <w:rPr>
                <w:rFonts w:cs="Arial"/>
              </w:rPr>
            </w:pPr>
            <w:proofErr w:type="spellStart"/>
            <w:r w:rsidRPr="00D35404">
              <w:rPr>
                <w:rFonts w:cs="Arial"/>
              </w:rPr>
              <w:t>Toruń</w:t>
            </w:r>
            <w:proofErr w:type="spellEnd"/>
            <w:r w:rsidRPr="00D35404">
              <w:rPr>
                <w:rFonts w:cs="Arial"/>
              </w:rPr>
              <w:t xml:space="preserve"> - </w:t>
            </w:r>
            <w:proofErr w:type="spellStart"/>
            <w:r w:rsidRPr="00D35404">
              <w:rPr>
                <w:rFonts w:cs="Arial"/>
              </w:rPr>
              <w:t>Piwnice</w:t>
            </w:r>
            <w:proofErr w:type="spellEnd"/>
          </w:p>
        </w:tc>
        <w:tc>
          <w:tcPr>
            <w:tcW w:w="2090" w:type="dxa"/>
            <w:tcBorders>
              <w:top w:val="single" w:sz="4" w:space="0" w:color="FFFFFF" w:themeColor="background1"/>
              <w:left w:val="single" w:sz="4" w:space="0" w:color="D2232A"/>
              <w:bottom w:val="single" w:sz="4" w:space="0" w:color="D2232A"/>
              <w:right w:val="single" w:sz="4" w:space="0" w:color="D2232A"/>
            </w:tcBorders>
            <w:vAlign w:val="center"/>
          </w:tcPr>
          <w:p w14:paraId="439FE975" w14:textId="77777777" w:rsidR="0056247C" w:rsidRPr="00D35404" w:rsidRDefault="0056247C" w:rsidP="00C33917">
            <w:pPr>
              <w:spacing w:before="60"/>
              <w:rPr>
                <w:rFonts w:cs="Arial"/>
              </w:rPr>
            </w:pPr>
            <w:r w:rsidRPr="00D35404">
              <w:rPr>
                <w:rFonts w:cs="Arial"/>
              </w:rPr>
              <w:t>52°54’48" N</w:t>
            </w:r>
          </w:p>
        </w:tc>
        <w:tc>
          <w:tcPr>
            <w:tcW w:w="1738" w:type="dxa"/>
            <w:tcBorders>
              <w:top w:val="single" w:sz="4" w:space="0" w:color="FFFFFF" w:themeColor="background1"/>
              <w:left w:val="single" w:sz="4" w:space="0" w:color="D2232A"/>
              <w:bottom w:val="single" w:sz="4" w:space="0" w:color="D2232A"/>
              <w:right w:val="single" w:sz="4" w:space="0" w:color="D2232A"/>
            </w:tcBorders>
            <w:vAlign w:val="center"/>
          </w:tcPr>
          <w:p w14:paraId="68CBFA87" w14:textId="77777777" w:rsidR="0056247C" w:rsidRPr="00D35404" w:rsidRDefault="0056247C" w:rsidP="00C33917">
            <w:pPr>
              <w:spacing w:before="60"/>
              <w:rPr>
                <w:rFonts w:cs="Arial"/>
              </w:rPr>
            </w:pPr>
            <w:r w:rsidRPr="00D35404">
              <w:rPr>
                <w:rFonts w:cs="Arial"/>
              </w:rPr>
              <w:t>18°33’30" E</w:t>
            </w:r>
          </w:p>
        </w:tc>
        <w:tc>
          <w:tcPr>
            <w:tcW w:w="1950" w:type="dxa"/>
            <w:tcBorders>
              <w:top w:val="single" w:sz="4" w:space="0" w:color="FFFFFF" w:themeColor="background1"/>
              <w:left w:val="single" w:sz="4" w:space="0" w:color="D2232A"/>
              <w:bottom w:val="single" w:sz="4" w:space="0" w:color="D2232A"/>
              <w:right w:val="single" w:sz="4" w:space="0" w:color="D2232A"/>
            </w:tcBorders>
            <w:vAlign w:val="center"/>
          </w:tcPr>
          <w:p w14:paraId="745702C1" w14:textId="77777777" w:rsidR="0056247C" w:rsidRPr="00D35404" w:rsidRDefault="0056247C" w:rsidP="00C33917">
            <w:pPr>
              <w:spacing w:before="60"/>
              <w:rPr>
                <w:rFonts w:cs="Arial"/>
              </w:rPr>
            </w:pPr>
            <w:r w:rsidRPr="00D35404">
              <w:rPr>
                <w:rFonts w:cs="Arial"/>
              </w:rPr>
              <w:t xml:space="preserve"> 1</w:t>
            </w:r>
          </w:p>
        </w:tc>
      </w:tr>
      <w:tr w:rsidR="0056247C" w:rsidRPr="00D35404" w14:paraId="7CE4A939" w14:textId="77777777" w:rsidTr="00EF2060">
        <w:tc>
          <w:tcPr>
            <w:tcW w:w="2093" w:type="dxa"/>
            <w:tcBorders>
              <w:top w:val="single" w:sz="4" w:space="0" w:color="FFFFFF" w:themeColor="background1"/>
              <w:left w:val="single" w:sz="4" w:space="0" w:color="D2232A"/>
              <w:bottom w:val="single" w:sz="4" w:space="0" w:color="D2232A"/>
              <w:right w:val="single" w:sz="4" w:space="0" w:color="D2232A"/>
            </w:tcBorders>
          </w:tcPr>
          <w:p w14:paraId="41748DCC" w14:textId="77777777" w:rsidR="0056247C" w:rsidRPr="00D35404" w:rsidRDefault="0056247C" w:rsidP="00C33917">
            <w:pPr>
              <w:spacing w:before="60"/>
              <w:rPr>
                <w:rFonts w:cs="Arial"/>
              </w:rPr>
            </w:pPr>
            <w:r w:rsidRPr="00D35404">
              <w:rPr>
                <w:rFonts w:cs="Arial"/>
              </w:rPr>
              <w:t>Sweden</w:t>
            </w:r>
          </w:p>
        </w:tc>
        <w:tc>
          <w:tcPr>
            <w:tcW w:w="1984" w:type="dxa"/>
            <w:tcBorders>
              <w:top w:val="single" w:sz="4" w:space="0" w:color="FFFFFF" w:themeColor="background1"/>
              <w:left w:val="single" w:sz="4" w:space="0" w:color="D2232A"/>
              <w:bottom w:val="single" w:sz="4" w:space="0" w:color="D2232A"/>
              <w:right w:val="single" w:sz="4" w:space="0" w:color="D2232A"/>
            </w:tcBorders>
            <w:vAlign w:val="center"/>
          </w:tcPr>
          <w:p w14:paraId="2F709930" w14:textId="77777777" w:rsidR="0056247C" w:rsidRPr="00D35404" w:rsidRDefault="0056247C" w:rsidP="00C33917">
            <w:pPr>
              <w:spacing w:before="60"/>
              <w:rPr>
                <w:rFonts w:cs="Arial"/>
              </w:rPr>
            </w:pPr>
            <w:proofErr w:type="spellStart"/>
            <w:r w:rsidRPr="00D35404">
              <w:rPr>
                <w:rFonts w:cs="Arial"/>
              </w:rPr>
              <w:t>Onsala</w:t>
            </w:r>
            <w:proofErr w:type="spellEnd"/>
          </w:p>
        </w:tc>
        <w:tc>
          <w:tcPr>
            <w:tcW w:w="2090" w:type="dxa"/>
            <w:tcBorders>
              <w:top w:val="single" w:sz="4" w:space="0" w:color="FFFFFF" w:themeColor="background1"/>
              <w:left w:val="single" w:sz="4" w:space="0" w:color="D2232A"/>
              <w:bottom w:val="single" w:sz="4" w:space="0" w:color="D2232A"/>
              <w:right w:val="single" w:sz="4" w:space="0" w:color="D2232A"/>
            </w:tcBorders>
            <w:vAlign w:val="center"/>
          </w:tcPr>
          <w:p w14:paraId="0DB18442" w14:textId="77777777" w:rsidR="0056247C" w:rsidRPr="00D35404" w:rsidRDefault="0056247C" w:rsidP="00C33917">
            <w:pPr>
              <w:spacing w:before="60"/>
              <w:rPr>
                <w:rFonts w:cs="Arial"/>
              </w:rPr>
            </w:pPr>
            <w:r w:rsidRPr="00D35404">
              <w:rPr>
                <w:rFonts w:cs="Arial"/>
              </w:rPr>
              <w:t xml:space="preserve">57°23'45" N </w:t>
            </w:r>
          </w:p>
        </w:tc>
        <w:tc>
          <w:tcPr>
            <w:tcW w:w="1738" w:type="dxa"/>
            <w:tcBorders>
              <w:top w:val="single" w:sz="4" w:space="0" w:color="FFFFFF" w:themeColor="background1"/>
              <w:left w:val="single" w:sz="4" w:space="0" w:color="D2232A"/>
              <w:bottom w:val="single" w:sz="4" w:space="0" w:color="D2232A"/>
              <w:right w:val="single" w:sz="4" w:space="0" w:color="D2232A"/>
            </w:tcBorders>
            <w:vAlign w:val="center"/>
          </w:tcPr>
          <w:p w14:paraId="6E2B85D5" w14:textId="77777777" w:rsidR="0056247C" w:rsidRPr="00D35404" w:rsidRDefault="0056247C" w:rsidP="00C33917">
            <w:pPr>
              <w:spacing w:before="60"/>
              <w:rPr>
                <w:rFonts w:cs="Arial"/>
              </w:rPr>
            </w:pPr>
            <w:r w:rsidRPr="00D35404">
              <w:rPr>
                <w:rFonts w:cs="Arial"/>
              </w:rPr>
              <w:t>11°55'35" E</w:t>
            </w:r>
          </w:p>
        </w:tc>
        <w:tc>
          <w:tcPr>
            <w:tcW w:w="1950" w:type="dxa"/>
            <w:tcBorders>
              <w:top w:val="single" w:sz="4" w:space="0" w:color="FFFFFF" w:themeColor="background1"/>
              <w:left w:val="single" w:sz="4" w:space="0" w:color="D2232A"/>
              <w:bottom w:val="single" w:sz="4" w:space="0" w:color="D2232A"/>
              <w:right w:val="single" w:sz="4" w:space="0" w:color="D2232A"/>
            </w:tcBorders>
            <w:vAlign w:val="center"/>
          </w:tcPr>
          <w:p w14:paraId="16BA1C84" w14:textId="77777777" w:rsidR="0056247C" w:rsidRPr="00D35404" w:rsidRDefault="0056247C" w:rsidP="00C33917">
            <w:pPr>
              <w:spacing w:before="60"/>
              <w:rPr>
                <w:rFonts w:cs="Arial"/>
              </w:rPr>
            </w:pPr>
            <w:r w:rsidRPr="00D35404">
              <w:rPr>
                <w:rFonts w:cs="Arial"/>
              </w:rPr>
              <w:t>12</w:t>
            </w:r>
          </w:p>
        </w:tc>
      </w:tr>
      <w:tr w:rsidR="0056247C" w:rsidRPr="00D35404" w14:paraId="64D6C4A2" w14:textId="77777777" w:rsidTr="00EF2060">
        <w:tc>
          <w:tcPr>
            <w:tcW w:w="2093" w:type="dxa"/>
            <w:tcBorders>
              <w:top w:val="single" w:sz="4" w:space="0" w:color="FFFFFF" w:themeColor="background1"/>
              <w:left w:val="single" w:sz="4" w:space="0" w:color="D2232A"/>
              <w:bottom w:val="single" w:sz="4" w:space="0" w:color="D2232A"/>
              <w:right w:val="single" w:sz="4" w:space="0" w:color="D2232A"/>
            </w:tcBorders>
          </w:tcPr>
          <w:p w14:paraId="6B3CF587" w14:textId="77777777" w:rsidR="0056247C" w:rsidRPr="00D35404" w:rsidRDefault="0056247C" w:rsidP="00C33917">
            <w:pPr>
              <w:spacing w:before="60"/>
              <w:rPr>
                <w:rFonts w:cs="Arial"/>
              </w:rPr>
            </w:pPr>
            <w:r w:rsidRPr="00D35404">
              <w:rPr>
                <w:rFonts w:cs="Arial"/>
              </w:rPr>
              <w:t>Russia</w:t>
            </w:r>
          </w:p>
        </w:tc>
        <w:tc>
          <w:tcPr>
            <w:tcW w:w="1984" w:type="dxa"/>
            <w:tcBorders>
              <w:top w:val="single" w:sz="4" w:space="0" w:color="FFFFFF" w:themeColor="background1"/>
              <w:left w:val="single" w:sz="4" w:space="0" w:color="D2232A"/>
              <w:bottom w:val="single" w:sz="4" w:space="0" w:color="D2232A"/>
              <w:right w:val="single" w:sz="4" w:space="0" w:color="D2232A"/>
            </w:tcBorders>
          </w:tcPr>
          <w:p w14:paraId="1CA425C5" w14:textId="77777777" w:rsidR="0056247C" w:rsidRPr="00D35404" w:rsidRDefault="0056247C" w:rsidP="00C33917">
            <w:pPr>
              <w:spacing w:before="60"/>
              <w:rPr>
                <w:rFonts w:cs="Arial"/>
              </w:rPr>
            </w:pPr>
            <w:proofErr w:type="spellStart"/>
            <w:r w:rsidRPr="00D35404">
              <w:rPr>
                <w:rFonts w:cs="Arial"/>
              </w:rPr>
              <w:t>Dmitrov</w:t>
            </w:r>
            <w:proofErr w:type="spellEnd"/>
          </w:p>
        </w:tc>
        <w:tc>
          <w:tcPr>
            <w:tcW w:w="2090" w:type="dxa"/>
            <w:tcBorders>
              <w:top w:val="single" w:sz="4" w:space="0" w:color="FFFFFF" w:themeColor="background1"/>
              <w:left w:val="single" w:sz="4" w:space="0" w:color="D2232A"/>
              <w:bottom w:val="single" w:sz="4" w:space="0" w:color="D2232A"/>
              <w:right w:val="single" w:sz="4" w:space="0" w:color="D2232A"/>
            </w:tcBorders>
          </w:tcPr>
          <w:p w14:paraId="6049B56E" w14:textId="77777777" w:rsidR="0056247C" w:rsidRPr="00D35404" w:rsidRDefault="0056247C" w:rsidP="00C33917">
            <w:pPr>
              <w:spacing w:before="60"/>
              <w:rPr>
                <w:rFonts w:cs="Arial"/>
              </w:rPr>
            </w:pPr>
            <w:r w:rsidRPr="00D35404">
              <w:rPr>
                <w:rFonts w:cs="Arial"/>
              </w:rPr>
              <w:t>56</w:t>
            </w:r>
            <w:r w:rsidRPr="00D35404">
              <w:rPr>
                <w:rFonts w:cs="Arial"/>
                <w:vertAlign w:val="superscript"/>
              </w:rPr>
              <w:t>o</w:t>
            </w:r>
            <w:r w:rsidRPr="00D35404">
              <w:rPr>
                <w:rFonts w:cs="Arial"/>
              </w:rPr>
              <w:t>26'00" N</w:t>
            </w:r>
          </w:p>
        </w:tc>
        <w:tc>
          <w:tcPr>
            <w:tcW w:w="1738" w:type="dxa"/>
            <w:tcBorders>
              <w:top w:val="single" w:sz="4" w:space="0" w:color="FFFFFF" w:themeColor="background1"/>
              <w:left w:val="single" w:sz="4" w:space="0" w:color="D2232A"/>
              <w:bottom w:val="single" w:sz="4" w:space="0" w:color="D2232A"/>
              <w:right w:val="single" w:sz="4" w:space="0" w:color="D2232A"/>
            </w:tcBorders>
          </w:tcPr>
          <w:p w14:paraId="06C22604" w14:textId="77777777" w:rsidR="0056247C" w:rsidRPr="00D35404" w:rsidRDefault="0056247C" w:rsidP="00C33917">
            <w:pPr>
              <w:spacing w:before="60"/>
              <w:rPr>
                <w:rFonts w:cs="Arial"/>
              </w:rPr>
            </w:pPr>
            <w:r w:rsidRPr="00D35404">
              <w:rPr>
                <w:rFonts w:cs="Arial"/>
              </w:rPr>
              <w:t>37</w:t>
            </w:r>
            <w:r w:rsidRPr="00D35404">
              <w:rPr>
                <w:rFonts w:cs="Arial"/>
                <w:vertAlign w:val="superscript"/>
              </w:rPr>
              <w:t>o</w:t>
            </w:r>
            <w:r w:rsidRPr="00D35404">
              <w:rPr>
                <w:rFonts w:cs="Arial"/>
              </w:rPr>
              <w:t>27'00" E</w:t>
            </w:r>
          </w:p>
        </w:tc>
        <w:tc>
          <w:tcPr>
            <w:tcW w:w="1950" w:type="dxa"/>
            <w:tcBorders>
              <w:top w:val="single" w:sz="4" w:space="0" w:color="FFFFFF" w:themeColor="background1"/>
              <w:left w:val="single" w:sz="4" w:space="0" w:color="D2232A"/>
              <w:bottom w:val="single" w:sz="4" w:space="0" w:color="D2232A"/>
              <w:right w:val="single" w:sz="4" w:space="0" w:color="D2232A"/>
            </w:tcBorders>
          </w:tcPr>
          <w:p w14:paraId="61390DE4" w14:textId="77777777" w:rsidR="0056247C" w:rsidRPr="00D35404" w:rsidRDefault="0056247C" w:rsidP="00C33917">
            <w:pPr>
              <w:spacing w:before="60"/>
              <w:rPr>
                <w:rFonts w:cs="Arial"/>
              </w:rPr>
            </w:pPr>
            <w:r w:rsidRPr="00D35404">
              <w:rPr>
                <w:rFonts w:cs="Arial"/>
              </w:rPr>
              <w:t>35</w:t>
            </w:r>
          </w:p>
        </w:tc>
      </w:tr>
      <w:tr w:rsidR="0056247C" w:rsidRPr="00D35404" w14:paraId="718DB632" w14:textId="77777777" w:rsidTr="00EF2060">
        <w:tc>
          <w:tcPr>
            <w:tcW w:w="2093" w:type="dxa"/>
            <w:tcBorders>
              <w:top w:val="single" w:sz="4" w:space="0" w:color="FFFFFF" w:themeColor="background1"/>
              <w:left w:val="single" w:sz="4" w:space="0" w:color="D2232A"/>
              <w:bottom w:val="single" w:sz="4" w:space="0" w:color="D2232A"/>
              <w:right w:val="single" w:sz="4" w:space="0" w:color="D2232A"/>
            </w:tcBorders>
          </w:tcPr>
          <w:p w14:paraId="1E426EC5" w14:textId="77777777" w:rsidR="0056247C" w:rsidRPr="00D35404" w:rsidRDefault="0056247C" w:rsidP="00C33917">
            <w:pPr>
              <w:spacing w:before="60"/>
              <w:rPr>
                <w:rFonts w:cs="Arial"/>
              </w:rPr>
            </w:pPr>
          </w:p>
        </w:tc>
        <w:tc>
          <w:tcPr>
            <w:tcW w:w="1984" w:type="dxa"/>
            <w:tcBorders>
              <w:top w:val="single" w:sz="4" w:space="0" w:color="FFFFFF" w:themeColor="background1"/>
              <w:left w:val="single" w:sz="4" w:space="0" w:color="D2232A"/>
              <w:bottom w:val="single" w:sz="4" w:space="0" w:color="D2232A"/>
              <w:right w:val="single" w:sz="4" w:space="0" w:color="D2232A"/>
            </w:tcBorders>
          </w:tcPr>
          <w:p w14:paraId="75A02EF7" w14:textId="77777777" w:rsidR="0056247C" w:rsidRPr="00D35404" w:rsidRDefault="0056247C" w:rsidP="00C33917">
            <w:pPr>
              <w:spacing w:before="60"/>
              <w:rPr>
                <w:rFonts w:cs="Arial"/>
              </w:rPr>
            </w:pPr>
            <w:proofErr w:type="spellStart"/>
            <w:r w:rsidRPr="00D35404">
              <w:rPr>
                <w:rFonts w:cs="Arial"/>
              </w:rPr>
              <w:t>Kalyazin</w:t>
            </w:r>
            <w:proofErr w:type="spellEnd"/>
          </w:p>
        </w:tc>
        <w:tc>
          <w:tcPr>
            <w:tcW w:w="2090" w:type="dxa"/>
            <w:tcBorders>
              <w:top w:val="single" w:sz="4" w:space="0" w:color="FFFFFF" w:themeColor="background1"/>
              <w:left w:val="single" w:sz="4" w:space="0" w:color="D2232A"/>
              <w:bottom w:val="single" w:sz="4" w:space="0" w:color="D2232A"/>
              <w:right w:val="single" w:sz="4" w:space="0" w:color="D2232A"/>
            </w:tcBorders>
          </w:tcPr>
          <w:p w14:paraId="1D36AACD" w14:textId="77777777" w:rsidR="0056247C" w:rsidRPr="00D35404" w:rsidRDefault="0056247C" w:rsidP="00C33917">
            <w:pPr>
              <w:spacing w:before="60"/>
              <w:rPr>
                <w:rFonts w:cs="Arial"/>
              </w:rPr>
            </w:pPr>
            <w:r w:rsidRPr="00D35404">
              <w:rPr>
                <w:rFonts w:cs="Arial"/>
              </w:rPr>
              <w:t>57</w:t>
            </w:r>
            <w:r w:rsidRPr="00D35404">
              <w:rPr>
                <w:rFonts w:cs="Arial"/>
                <w:vertAlign w:val="superscript"/>
              </w:rPr>
              <w:t>o</w:t>
            </w:r>
            <w:r w:rsidRPr="00D35404">
              <w:rPr>
                <w:rFonts w:cs="Arial"/>
              </w:rPr>
              <w:t>13'22" N</w:t>
            </w:r>
          </w:p>
        </w:tc>
        <w:tc>
          <w:tcPr>
            <w:tcW w:w="1738" w:type="dxa"/>
            <w:tcBorders>
              <w:top w:val="single" w:sz="4" w:space="0" w:color="FFFFFF" w:themeColor="background1"/>
              <w:left w:val="single" w:sz="4" w:space="0" w:color="D2232A"/>
              <w:bottom w:val="single" w:sz="4" w:space="0" w:color="D2232A"/>
              <w:right w:val="single" w:sz="4" w:space="0" w:color="D2232A"/>
            </w:tcBorders>
          </w:tcPr>
          <w:p w14:paraId="554331B2" w14:textId="77777777" w:rsidR="0056247C" w:rsidRPr="00D35404" w:rsidRDefault="0056247C" w:rsidP="00C33917">
            <w:pPr>
              <w:spacing w:before="60"/>
              <w:rPr>
                <w:rFonts w:cs="Arial"/>
              </w:rPr>
            </w:pPr>
            <w:r w:rsidRPr="00D35404">
              <w:rPr>
                <w:rFonts w:cs="Arial"/>
              </w:rPr>
              <w:t>37</w:t>
            </w:r>
            <w:r w:rsidRPr="00D35404">
              <w:rPr>
                <w:rFonts w:cs="Arial"/>
                <w:vertAlign w:val="superscript"/>
              </w:rPr>
              <w:t>o</w:t>
            </w:r>
            <w:r w:rsidRPr="00D35404">
              <w:rPr>
                <w:rFonts w:cs="Arial"/>
              </w:rPr>
              <w:t>54'01" E</w:t>
            </w:r>
          </w:p>
        </w:tc>
        <w:tc>
          <w:tcPr>
            <w:tcW w:w="1950" w:type="dxa"/>
            <w:tcBorders>
              <w:top w:val="single" w:sz="4" w:space="0" w:color="FFFFFF" w:themeColor="background1"/>
              <w:left w:val="single" w:sz="4" w:space="0" w:color="D2232A"/>
              <w:bottom w:val="single" w:sz="4" w:space="0" w:color="D2232A"/>
              <w:right w:val="single" w:sz="4" w:space="0" w:color="D2232A"/>
            </w:tcBorders>
          </w:tcPr>
          <w:p w14:paraId="0DD64E7C" w14:textId="77777777" w:rsidR="0056247C" w:rsidRPr="00D35404" w:rsidRDefault="0056247C" w:rsidP="00C33917">
            <w:pPr>
              <w:spacing w:before="60"/>
              <w:rPr>
                <w:rFonts w:cs="Arial"/>
              </w:rPr>
            </w:pPr>
            <w:r w:rsidRPr="00D35404">
              <w:rPr>
                <w:rFonts w:cs="Arial"/>
              </w:rPr>
              <w:t>35</w:t>
            </w:r>
          </w:p>
        </w:tc>
      </w:tr>
      <w:tr w:rsidR="0056247C" w:rsidRPr="00D35404" w14:paraId="71F142E0" w14:textId="77777777" w:rsidTr="00EF2060">
        <w:tc>
          <w:tcPr>
            <w:tcW w:w="2093" w:type="dxa"/>
            <w:tcBorders>
              <w:top w:val="single" w:sz="4" w:space="0" w:color="FFFFFF" w:themeColor="background1"/>
              <w:left w:val="single" w:sz="4" w:space="0" w:color="D2232A"/>
              <w:bottom w:val="single" w:sz="4" w:space="0" w:color="D2232A"/>
              <w:right w:val="single" w:sz="4" w:space="0" w:color="D2232A"/>
            </w:tcBorders>
          </w:tcPr>
          <w:p w14:paraId="6493A37C" w14:textId="77777777" w:rsidR="0056247C" w:rsidRPr="00D35404" w:rsidRDefault="0056247C" w:rsidP="00C33917">
            <w:pPr>
              <w:spacing w:before="60"/>
              <w:rPr>
                <w:rFonts w:cs="Arial"/>
              </w:rPr>
            </w:pPr>
          </w:p>
        </w:tc>
        <w:tc>
          <w:tcPr>
            <w:tcW w:w="1984" w:type="dxa"/>
            <w:tcBorders>
              <w:top w:val="single" w:sz="4" w:space="0" w:color="FFFFFF" w:themeColor="background1"/>
              <w:left w:val="single" w:sz="4" w:space="0" w:color="D2232A"/>
              <w:bottom w:val="single" w:sz="4" w:space="0" w:color="D2232A"/>
              <w:right w:val="single" w:sz="4" w:space="0" w:color="D2232A"/>
            </w:tcBorders>
          </w:tcPr>
          <w:p w14:paraId="0EF3A7B0" w14:textId="77777777" w:rsidR="0056247C" w:rsidRPr="00D35404" w:rsidRDefault="0056247C" w:rsidP="00C33917">
            <w:pPr>
              <w:spacing w:before="60"/>
              <w:rPr>
                <w:rFonts w:cs="Arial"/>
              </w:rPr>
            </w:pPr>
            <w:proofErr w:type="spellStart"/>
            <w:r w:rsidRPr="00D35404">
              <w:rPr>
                <w:rFonts w:cs="Arial"/>
              </w:rPr>
              <w:t>Pushchino</w:t>
            </w:r>
            <w:proofErr w:type="spellEnd"/>
          </w:p>
        </w:tc>
        <w:tc>
          <w:tcPr>
            <w:tcW w:w="2090" w:type="dxa"/>
            <w:tcBorders>
              <w:top w:val="single" w:sz="4" w:space="0" w:color="FFFFFF" w:themeColor="background1"/>
              <w:left w:val="single" w:sz="4" w:space="0" w:color="D2232A"/>
              <w:bottom w:val="single" w:sz="4" w:space="0" w:color="D2232A"/>
              <w:right w:val="single" w:sz="4" w:space="0" w:color="D2232A"/>
            </w:tcBorders>
          </w:tcPr>
          <w:p w14:paraId="3474C409" w14:textId="77777777" w:rsidR="0056247C" w:rsidRPr="00D35404" w:rsidRDefault="0056247C" w:rsidP="00C33917">
            <w:pPr>
              <w:spacing w:before="60"/>
              <w:rPr>
                <w:rFonts w:cs="Arial"/>
              </w:rPr>
            </w:pPr>
            <w:r w:rsidRPr="00D35404">
              <w:rPr>
                <w:rFonts w:cs="Arial"/>
              </w:rPr>
              <w:t>54</w:t>
            </w:r>
            <w:r w:rsidRPr="00D35404">
              <w:rPr>
                <w:rFonts w:cs="Arial"/>
                <w:vertAlign w:val="superscript"/>
              </w:rPr>
              <w:t>o</w:t>
            </w:r>
            <w:r w:rsidRPr="00D35404">
              <w:rPr>
                <w:rFonts w:cs="Arial"/>
              </w:rPr>
              <w:t>49'00" N</w:t>
            </w:r>
          </w:p>
        </w:tc>
        <w:tc>
          <w:tcPr>
            <w:tcW w:w="1738" w:type="dxa"/>
            <w:tcBorders>
              <w:top w:val="single" w:sz="4" w:space="0" w:color="FFFFFF" w:themeColor="background1"/>
              <w:left w:val="single" w:sz="4" w:space="0" w:color="D2232A"/>
              <w:bottom w:val="single" w:sz="4" w:space="0" w:color="D2232A"/>
              <w:right w:val="single" w:sz="4" w:space="0" w:color="D2232A"/>
            </w:tcBorders>
          </w:tcPr>
          <w:p w14:paraId="7E91507A" w14:textId="77777777" w:rsidR="0056247C" w:rsidRPr="00D35404" w:rsidRDefault="0056247C" w:rsidP="00C33917">
            <w:pPr>
              <w:spacing w:before="60"/>
              <w:rPr>
                <w:rFonts w:cs="Arial"/>
              </w:rPr>
            </w:pPr>
            <w:r w:rsidRPr="00D35404">
              <w:rPr>
                <w:rFonts w:cs="Arial"/>
              </w:rPr>
              <w:t>37</w:t>
            </w:r>
            <w:r w:rsidRPr="00D35404">
              <w:rPr>
                <w:rFonts w:cs="Arial"/>
                <w:vertAlign w:val="superscript"/>
              </w:rPr>
              <w:t>o</w:t>
            </w:r>
            <w:r w:rsidRPr="00D35404">
              <w:rPr>
                <w:rFonts w:cs="Arial"/>
              </w:rPr>
              <w:t>40'00" E</w:t>
            </w:r>
          </w:p>
        </w:tc>
        <w:tc>
          <w:tcPr>
            <w:tcW w:w="1950" w:type="dxa"/>
            <w:tcBorders>
              <w:top w:val="single" w:sz="4" w:space="0" w:color="FFFFFF" w:themeColor="background1"/>
              <w:left w:val="single" w:sz="4" w:space="0" w:color="D2232A"/>
              <w:bottom w:val="single" w:sz="4" w:space="0" w:color="D2232A"/>
              <w:right w:val="single" w:sz="4" w:space="0" w:color="D2232A"/>
            </w:tcBorders>
          </w:tcPr>
          <w:p w14:paraId="27C955E7" w14:textId="77777777" w:rsidR="0056247C" w:rsidRPr="00D35404" w:rsidRDefault="0056247C" w:rsidP="00C33917">
            <w:pPr>
              <w:spacing w:before="60"/>
              <w:rPr>
                <w:rFonts w:cs="Arial"/>
              </w:rPr>
            </w:pPr>
            <w:r w:rsidRPr="00D35404">
              <w:rPr>
                <w:rFonts w:cs="Arial"/>
              </w:rPr>
              <w:t>35</w:t>
            </w:r>
          </w:p>
        </w:tc>
      </w:tr>
      <w:tr w:rsidR="0056247C" w:rsidRPr="00D35404" w14:paraId="42E2D4D4" w14:textId="77777777" w:rsidTr="00EF2060">
        <w:tc>
          <w:tcPr>
            <w:tcW w:w="2093" w:type="dxa"/>
            <w:tcBorders>
              <w:top w:val="single" w:sz="4" w:space="0" w:color="FFFFFF" w:themeColor="background1"/>
              <w:left w:val="single" w:sz="4" w:space="0" w:color="D2232A"/>
              <w:bottom w:val="single" w:sz="4" w:space="0" w:color="D2232A"/>
              <w:right w:val="single" w:sz="4" w:space="0" w:color="D2232A"/>
            </w:tcBorders>
          </w:tcPr>
          <w:p w14:paraId="4F9F81E9" w14:textId="77777777" w:rsidR="0056247C" w:rsidRPr="00D35404" w:rsidRDefault="0056247C" w:rsidP="00C33917">
            <w:pPr>
              <w:spacing w:before="60"/>
              <w:rPr>
                <w:rFonts w:cs="Arial"/>
              </w:rPr>
            </w:pPr>
          </w:p>
        </w:tc>
        <w:tc>
          <w:tcPr>
            <w:tcW w:w="1984" w:type="dxa"/>
            <w:tcBorders>
              <w:top w:val="single" w:sz="4" w:space="0" w:color="FFFFFF" w:themeColor="background1"/>
              <w:left w:val="single" w:sz="4" w:space="0" w:color="D2232A"/>
              <w:bottom w:val="single" w:sz="4" w:space="0" w:color="D2232A"/>
              <w:right w:val="single" w:sz="4" w:space="0" w:color="D2232A"/>
            </w:tcBorders>
          </w:tcPr>
          <w:p w14:paraId="3547AF45" w14:textId="77777777" w:rsidR="0056247C" w:rsidRPr="00D35404" w:rsidRDefault="0056247C" w:rsidP="00C33917">
            <w:pPr>
              <w:spacing w:before="60"/>
              <w:rPr>
                <w:rFonts w:cs="Arial"/>
              </w:rPr>
            </w:pPr>
            <w:proofErr w:type="spellStart"/>
            <w:r w:rsidRPr="00D35404">
              <w:rPr>
                <w:rFonts w:cs="Arial"/>
              </w:rPr>
              <w:t>Zelenchukskaya</w:t>
            </w:r>
            <w:proofErr w:type="spellEnd"/>
          </w:p>
        </w:tc>
        <w:tc>
          <w:tcPr>
            <w:tcW w:w="2090" w:type="dxa"/>
            <w:tcBorders>
              <w:top w:val="single" w:sz="4" w:space="0" w:color="FFFFFF" w:themeColor="background1"/>
              <w:left w:val="single" w:sz="4" w:space="0" w:color="D2232A"/>
              <w:bottom w:val="single" w:sz="4" w:space="0" w:color="D2232A"/>
              <w:right w:val="single" w:sz="4" w:space="0" w:color="D2232A"/>
            </w:tcBorders>
          </w:tcPr>
          <w:p w14:paraId="1A1BCBED" w14:textId="77777777" w:rsidR="0056247C" w:rsidRPr="00D35404" w:rsidRDefault="0056247C" w:rsidP="00C33917">
            <w:pPr>
              <w:spacing w:before="60"/>
              <w:rPr>
                <w:rFonts w:cs="Arial"/>
              </w:rPr>
            </w:pPr>
            <w:r w:rsidRPr="00D35404">
              <w:rPr>
                <w:rFonts w:cs="Arial"/>
              </w:rPr>
              <w:t>43</w:t>
            </w:r>
            <w:r w:rsidRPr="00D35404">
              <w:rPr>
                <w:rFonts w:cs="Arial"/>
                <w:vertAlign w:val="superscript"/>
              </w:rPr>
              <w:t>o</w:t>
            </w:r>
            <w:r w:rsidRPr="00D35404">
              <w:rPr>
                <w:rFonts w:cs="Arial"/>
              </w:rPr>
              <w:t>49'53" N</w:t>
            </w:r>
          </w:p>
        </w:tc>
        <w:tc>
          <w:tcPr>
            <w:tcW w:w="1738" w:type="dxa"/>
            <w:tcBorders>
              <w:top w:val="single" w:sz="4" w:space="0" w:color="FFFFFF" w:themeColor="background1"/>
              <w:left w:val="single" w:sz="4" w:space="0" w:color="D2232A"/>
              <w:bottom w:val="single" w:sz="4" w:space="0" w:color="D2232A"/>
              <w:right w:val="single" w:sz="4" w:space="0" w:color="D2232A"/>
            </w:tcBorders>
          </w:tcPr>
          <w:p w14:paraId="376AFF1E" w14:textId="77777777" w:rsidR="0056247C" w:rsidRPr="00D35404" w:rsidRDefault="0056247C" w:rsidP="00C33917">
            <w:pPr>
              <w:spacing w:before="60"/>
              <w:rPr>
                <w:rFonts w:cs="Arial"/>
              </w:rPr>
            </w:pPr>
            <w:r w:rsidRPr="00D35404">
              <w:rPr>
                <w:rFonts w:cs="Arial"/>
              </w:rPr>
              <w:t>41</w:t>
            </w:r>
            <w:r w:rsidRPr="00D35404">
              <w:rPr>
                <w:rFonts w:cs="Arial"/>
                <w:vertAlign w:val="superscript"/>
              </w:rPr>
              <w:t>o</w:t>
            </w:r>
            <w:r w:rsidRPr="00D35404">
              <w:rPr>
                <w:rFonts w:cs="Arial"/>
              </w:rPr>
              <w:t>35'32" E</w:t>
            </w:r>
          </w:p>
        </w:tc>
        <w:tc>
          <w:tcPr>
            <w:tcW w:w="1950" w:type="dxa"/>
            <w:tcBorders>
              <w:top w:val="single" w:sz="4" w:space="0" w:color="FFFFFF" w:themeColor="background1"/>
              <w:left w:val="single" w:sz="4" w:space="0" w:color="D2232A"/>
              <w:bottom w:val="single" w:sz="4" w:space="0" w:color="D2232A"/>
              <w:right w:val="single" w:sz="4" w:space="0" w:color="D2232A"/>
            </w:tcBorders>
          </w:tcPr>
          <w:p w14:paraId="1EC9E855" w14:textId="77777777" w:rsidR="0056247C" w:rsidRPr="00D35404" w:rsidRDefault="0056247C" w:rsidP="00C33917">
            <w:pPr>
              <w:spacing w:before="60"/>
              <w:rPr>
                <w:rFonts w:cs="Arial"/>
              </w:rPr>
            </w:pPr>
            <w:r w:rsidRPr="00D35404">
              <w:rPr>
                <w:rFonts w:cs="Arial"/>
              </w:rPr>
              <w:t>35</w:t>
            </w:r>
          </w:p>
        </w:tc>
      </w:tr>
      <w:tr w:rsidR="0056247C" w:rsidRPr="00D35404" w14:paraId="67D533D3" w14:textId="77777777" w:rsidTr="00EF2060">
        <w:tc>
          <w:tcPr>
            <w:tcW w:w="2093" w:type="dxa"/>
            <w:tcBorders>
              <w:top w:val="single" w:sz="4" w:space="0" w:color="FFFFFF" w:themeColor="background1"/>
              <w:left w:val="single" w:sz="4" w:space="0" w:color="D2232A"/>
              <w:bottom w:val="single" w:sz="4" w:space="0" w:color="D2232A"/>
              <w:right w:val="single" w:sz="4" w:space="0" w:color="D2232A"/>
            </w:tcBorders>
          </w:tcPr>
          <w:p w14:paraId="130B9B97" w14:textId="77777777" w:rsidR="0056247C" w:rsidRPr="00D35404" w:rsidRDefault="0056247C" w:rsidP="00C33917">
            <w:pPr>
              <w:spacing w:before="60"/>
              <w:rPr>
                <w:rFonts w:cs="Arial"/>
              </w:rPr>
            </w:pPr>
            <w:r w:rsidRPr="00D35404">
              <w:rPr>
                <w:rFonts w:cs="Arial"/>
              </w:rPr>
              <w:t>Switzerland</w:t>
            </w:r>
          </w:p>
        </w:tc>
        <w:tc>
          <w:tcPr>
            <w:tcW w:w="1984" w:type="dxa"/>
            <w:tcBorders>
              <w:top w:val="single" w:sz="4" w:space="0" w:color="FFFFFF" w:themeColor="background1"/>
              <w:left w:val="single" w:sz="4" w:space="0" w:color="D2232A"/>
              <w:bottom w:val="single" w:sz="4" w:space="0" w:color="D2232A"/>
              <w:right w:val="single" w:sz="4" w:space="0" w:color="D2232A"/>
            </w:tcBorders>
          </w:tcPr>
          <w:p w14:paraId="3F5CA9C7" w14:textId="77777777" w:rsidR="0056247C" w:rsidRPr="00D35404" w:rsidRDefault="0056247C" w:rsidP="00C33917">
            <w:pPr>
              <w:spacing w:before="60"/>
              <w:rPr>
                <w:rFonts w:cs="Arial"/>
              </w:rPr>
            </w:pPr>
            <w:proofErr w:type="spellStart"/>
            <w:r w:rsidRPr="00D35404">
              <w:rPr>
                <w:rFonts w:cs="Arial"/>
              </w:rPr>
              <w:t>Bleien</w:t>
            </w:r>
            <w:proofErr w:type="spellEnd"/>
          </w:p>
        </w:tc>
        <w:tc>
          <w:tcPr>
            <w:tcW w:w="2090" w:type="dxa"/>
            <w:tcBorders>
              <w:top w:val="single" w:sz="4" w:space="0" w:color="FFFFFF" w:themeColor="background1"/>
              <w:left w:val="single" w:sz="4" w:space="0" w:color="D2232A"/>
              <w:bottom w:val="single" w:sz="4" w:space="0" w:color="D2232A"/>
              <w:right w:val="single" w:sz="4" w:space="0" w:color="D2232A"/>
            </w:tcBorders>
          </w:tcPr>
          <w:p w14:paraId="60E9FA6D" w14:textId="77777777" w:rsidR="0056247C" w:rsidRPr="00D35404" w:rsidRDefault="0056247C" w:rsidP="00C33917">
            <w:pPr>
              <w:spacing w:before="60"/>
              <w:rPr>
                <w:rFonts w:cs="Arial"/>
              </w:rPr>
            </w:pPr>
            <w:r w:rsidRPr="00D35404">
              <w:rPr>
                <w:rFonts w:cs="Arial"/>
              </w:rPr>
              <w:t>47</w:t>
            </w:r>
            <w:r w:rsidRPr="00D35404">
              <w:rPr>
                <w:rFonts w:cs="Arial"/>
                <w:vertAlign w:val="superscript"/>
              </w:rPr>
              <w:t>o</w:t>
            </w:r>
            <w:r w:rsidRPr="00D35404">
              <w:rPr>
                <w:rFonts w:cs="Arial"/>
              </w:rPr>
              <w:t>20'26" N</w:t>
            </w:r>
          </w:p>
        </w:tc>
        <w:tc>
          <w:tcPr>
            <w:tcW w:w="1738" w:type="dxa"/>
            <w:tcBorders>
              <w:top w:val="single" w:sz="4" w:space="0" w:color="FFFFFF" w:themeColor="background1"/>
              <w:left w:val="single" w:sz="4" w:space="0" w:color="D2232A"/>
              <w:bottom w:val="single" w:sz="4" w:space="0" w:color="D2232A"/>
              <w:right w:val="single" w:sz="4" w:space="0" w:color="D2232A"/>
            </w:tcBorders>
          </w:tcPr>
          <w:p w14:paraId="0B391E36" w14:textId="77777777" w:rsidR="0056247C" w:rsidRPr="00D35404" w:rsidRDefault="0056247C" w:rsidP="00C33917">
            <w:pPr>
              <w:spacing w:before="60"/>
              <w:rPr>
                <w:rFonts w:cs="Arial"/>
              </w:rPr>
            </w:pPr>
            <w:r w:rsidRPr="00D35404">
              <w:rPr>
                <w:rFonts w:cs="Arial"/>
              </w:rPr>
              <w:t>08°06’44" E</w:t>
            </w:r>
          </w:p>
        </w:tc>
        <w:tc>
          <w:tcPr>
            <w:tcW w:w="1950" w:type="dxa"/>
            <w:tcBorders>
              <w:top w:val="single" w:sz="4" w:space="0" w:color="FFFFFF" w:themeColor="background1"/>
              <w:left w:val="single" w:sz="4" w:space="0" w:color="D2232A"/>
              <w:bottom w:val="single" w:sz="4" w:space="0" w:color="D2232A"/>
              <w:right w:val="single" w:sz="4" w:space="0" w:color="D2232A"/>
            </w:tcBorders>
          </w:tcPr>
          <w:p w14:paraId="2948C5B3" w14:textId="77777777" w:rsidR="0056247C" w:rsidRPr="00D35404" w:rsidRDefault="0056247C" w:rsidP="00C33917">
            <w:pPr>
              <w:spacing w:before="60"/>
              <w:rPr>
                <w:rFonts w:cs="Arial"/>
              </w:rPr>
            </w:pPr>
            <w:r w:rsidRPr="00D35404">
              <w:rPr>
                <w:rFonts w:cs="Arial"/>
              </w:rPr>
              <w:t xml:space="preserve">  3</w:t>
            </w:r>
          </w:p>
        </w:tc>
      </w:tr>
      <w:tr w:rsidR="0056247C" w:rsidRPr="00D35404" w14:paraId="34B02E6F" w14:textId="77777777" w:rsidTr="00EF2060">
        <w:tc>
          <w:tcPr>
            <w:tcW w:w="2093" w:type="dxa"/>
            <w:tcBorders>
              <w:top w:val="single" w:sz="4" w:space="0" w:color="FFFFFF" w:themeColor="background1"/>
              <w:left w:val="single" w:sz="4" w:space="0" w:color="D2232A"/>
              <w:bottom w:val="single" w:sz="4" w:space="0" w:color="D2232A"/>
              <w:right w:val="single" w:sz="4" w:space="0" w:color="D2232A"/>
            </w:tcBorders>
          </w:tcPr>
          <w:p w14:paraId="793210A6" w14:textId="77777777" w:rsidR="0056247C" w:rsidRPr="00D35404" w:rsidRDefault="0056247C" w:rsidP="00C33917">
            <w:pPr>
              <w:spacing w:before="60"/>
              <w:rPr>
                <w:rFonts w:cs="Arial"/>
              </w:rPr>
            </w:pPr>
            <w:r w:rsidRPr="00D35404">
              <w:rPr>
                <w:rFonts w:cs="Arial"/>
              </w:rPr>
              <w:t>Latvia</w:t>
            </w:r>
          </w:p>
        </w:tc>
        <w:tc>
          <w:tcPr>
            <w:tcW w:w="1984" w:type="dxa"/>
            <w:tcBorders>
              <w:top w:val="single" w:sz="4" w:space="0" w:color="FFFFFF" w:themeColor="background1"/>
              <w:left w:val="single" w:sz="4" w:space="0" w:color="D2232A"/>
              <w:bottom w:val="single" w:sz="4" w:space="0" w:color="D2232A"/>
              <w:right w:val="single" w:sz="4" w:space="0" w:color="D2232A"/>
            </w:tcBorders>
          </w:tcPr>
          <w:p w14:paraId="10B598D5" w14:textId="77777777" w:rsidR="0056247C" w:rsidRPr="00D35404" w:rsidRDefault="0056247C" w:rsidP="00C33917">
            <w:pPr>
              <w:spacing w:before="60"/>
              <w:rPr>
                <w:rFonts w:cs="Arial"/>
              </w:rPr>
            </w:pPr>
            <w:proofErr w:type="spellStart"/>
            <w:r w:rsidRPr="00D35404">
              <w:rPr>
                <w:rFonts w:cs="Arial"/>
              </w:rPr>
              <w:t>Ventspils</w:t>
            </w:r>
            <w:proofErr w:type="spellEnd"/>
          </w:p>
        </w:tc>
        <w:tc>
          <w:tcPr>
            <w:tcW w:w="2090" w:type="dxa"/>
            <w:tcBorders>
              <w:top w:val="single" w:sz="4" w:space="0" w:color="FFFFFF" w:themeColor="background1"/>
              <w:left w:val="single" w:sz="4" w:space="0" w:color="D2232A"/>
              <w:bottom w:val="single" w:sz="4" w:space="0" w:color="D2232A"/>
              <w:right w:val="single" w:sz="4" w:space="0" w:color="D2232A"/>
            </w:tcBorders>
          </w:tcPr>
          <w:p w14:paraId="21B4E5D8" w14:textId="77777777" w:rsidR="0056247C" w:rsidRPr="00D35404" w:rsidRDefault="0056247C" w:rsidP="00C33917">
            <w:pPr>
              <w:spacing w:before="60"/>
              <w:rPr>
                <w:rFonts w:cs="Arial"/>
              </w:rPr>
            </w:pPr>
            <w:r w:rsidRPr="00D35404">
              <w:rPr>
                <w:rFonts w:cs="Arial"/>
              </w:rPr>
              <w:t>57</w:t>
            </w:r>
            <w:r w:rsidRPr="00D35404">
              <w:rPr>
                <w:rFonts w:cs="Arial"/>
                <w:vertAlign w:val="superscript"/>
              </w:rPr>
              <w:t>o</w:t>
            </w:r>
            <w:r w:rsidRPr="00D35404">
              <w:rPr>
                <w:rFonts w:cs="Arial"/>
              </w:rPr>
              <w:t>33'12" N</w:t>
            </w:r>
          </w:p>
        </w:tc>
        <w:tc>
          <w:tcPr>
            <w:tcW w:w="1738" w:type="dxa"/>
            <w:tcBorders>
              <w:top w:val="single" w:sz="4" w:space="0" w:color="FFFFFF" w:themeColor="background1"/>
              <w:left w:val="single" w:sz="4" w:space="0" w:color="D2232A"/>
              <w:bottom w:val="single" w:sz="4" w:space="0" w:color="D2232A"/>
              <w:right w:val="single" w:sz="4" w:space="0" w:color="D2232A"/>
            </w:tcBorders>
          </w:tcPr>
          <w:p w14:paraId="33E2475E" w14:textId="77777777" w:rsidR="0056247C" w:rsidRPr="00D35404" w:rsidRDefault="0056247C" w:rsidP="00C33917">
            <w:pPr>
              <w:spacing w:before="60"/>
              <w:rPr>
                <w:rFonts w:cs="Arial"/>
              </w:rPr>
            </w:pPr>
            <w:r w:rsidRPr="00D35404">
              <w:rPr>
                <w:rFonts w:cs="Arial"/>
              </w:rPr>
              <w:t>21</w:t>
            </w:r>
            <w:r w:rsidRPr="00D35404">
              <w:rPr>
                <w:rFonts w:cs="Arial"/>
                <w:vertAlign w:val="superscript"/>
              </w:rPr>
              <w:t>o</w:t>
            </w:r>
            <w:r w:rsidRPr="00D35404">
              <w:rPr>
                <w:rFonts w:cs="Arial"/>
              </w:rPr>
              <w:t>51'17" E</w:t>
            </w:r>
          </w:p>
        </w:tc>
        <w:tc>
          <w:tcPr>
            <w:tcW w:w="1950" w:type="dxa"/>
            <w:tcBorders>
              <w:top w:val="single" w:sz="4" w:space="0" w:color="FFFFFF" w:themeColor="background1"/>
              <w:left w:val="single" w:sz="4" w:space="0" w:color="D2232A"/>
              <w:bottom w:val="single" w:sz="4" w:space="0" w:color="D2232A"/>
              <w:right w:val="single" w:sz="4" w:space="0" w:color="D2232A"/>
            </w:tcBorders>
          </w:tcPr>
          <w:p w14:paraId="0AD8A7F6" w14:textId="77777777" w:rsidR="0056247C" w:rsidRPr="00D35404" w:rsidRDefault="0056247C" w:rsidP="00C33917">
            <w:pPr>
              <w:spacing w:before="60"/>
              <w:rPr>
                <w:rFonts w:cs="Arial"/>
              </w:rPr>
            </w:pPr>
            <w:r w:rsidRPr="00D35404">
              <w:rPr>
                <w:rFonts w:cs="Arial"/>
              </w:rPr>
              <w:t xml:space="preserve">  8.5</w:t>
            </w:r>
          </w:p>
        </w:tc>
      </w:tr>
      <w:tr w:rsidR="0056247C" w:rsidRPr="00D35404" w14:paraId="295E04B1" w14:textId="77777777" w:rsidTr="00EF2060">
        <w:tc>
          <w:tcPr>
            <w:tcW w:w="2093" w:type="dxa"/>
            <w:tcBorders>
              <w:top w:val="single" w:sz="4" w:space="0" w:color="FFFFFF" w:themeColor="background1"/>
              <w:left w:val="single" w:sz="4" w:space="0" w:color="D2232A"/>
              <w:bottom w:val="single" w:sz="4" w:space="0" w:color="D2232A"/>
              <w:right w:val="single" w:sz="4" w:space="0" w:color="D2232A"/>
            </w:tcBorders>
          </w:tcPr>
          <w:p w14:paraId="65F2164A" w14:textId="77777777" w:rsidR="0056247C" w:rsidRPr="00D35404" w:rsidRDefault="0056247C" w:rsidP="00C33917">
            <w:pPr>
              <w:spacing w:before="60"/>
              <w:rPr>
                <w:rFonts w:cs="Arial"/>
              </w:rPr>
            </w:pPr>
            <w:r w:rsidRPr="00D35404">
              <w:rPr>
                <w:rFonts w:cs="Arial"/>
              </w:rPr>
              <w:t>Hungary</w:t>
            </w:r>
          </w:p>
        </w:tc>
        <w:tc>
          <w:tcPr>
            <w:tcW w:w="1984" w:type="dxa"/>
            <w:tcBorders>
              <w:top w:val="single" w:sz="4" w:space="0" w:color="FFFFFF" w:themeColor="background1"/>
              <w:left w:val="single" w:sz="4" w:space="0" w:color="D2232A"/>
              <w:bottom w:val="single" w:sz="4" w:space="0" w:color="D2232A"/>
              <w:right w:val="single" w:sz="4" w:space="0" w:color="D2232A"/>
            </w:tcBorders>
          </w:tcPr>
          <w:p w14:paraId="134DF70B" w14:textId="77777777" w:rsidR="0056247C" w:rsidRPr="00D35404" w:rsidRDefault="0056247C" w:rsidP="00C33917">
            <w:pPr>
              <w:spacing w:before="60"/>
              <w:rPr>
                <w:rFonts w:cs="Arial"/>
              </w:rPr>
            </w:pPr>
            <w:proofErr w:type="spellStart"/>
            <w:r w:rsidRPr="00D35404">
              <w:rPr>
                <w:rFonts w:cs="Arial"/>
              </w:rPr>
              <w:t>Penc</w:t>
            </w:r>
            <w:proofErr w:type="spellEnd"/>
          </w:p>
        </w:tc>
        <w:tc>
          <w:tcPr>
            <w:tcW w:w="2090" w:type="dxa"/>
            <w:tcBorders>
              <w:top w:val="single" w:sz="4" w:space="0" w:color="FFFFFF" w:themeColor="background1"/>
              <w:left w:val="single" w:sz="4" w:space="0" w:color="D2232A"/>
              <w:bottom w:val="single" w:sz="4" w:space="0" w:color="D2232A"/>
              <w:right w:val="single" w:sz="4" w:space="0" w:color="D2232A"/>
            </w:tcBorders>
          </w:tcPr>
          <w:p w14:paraId="310B1286" w14:textId="77777777" w:rsidR="0056247C" w:rsidRPr="00D35404" w:rsidRDefault="0056247C" w:rsidP="00C33917">
            <w:pPr>
              <w:spacing w:before="60"/>
              <w:rPr>
                <w:rFonts w:cs="Arial"/>
              </w:rPr>
            </w:pPr>
            <w:r w:rsidRPr="00D35404">
              <w:rPr>
                <w:rFonts w:cs="Arial"/>
              </w:rPr>
              <w:t>47°47’22" N</w:t>
            </w:r>
          </w:p>
        </w:tc>
        <w:tc>
          <w:tcPr>
            <w:tcW w:w="1738" w:type="dxa"/>
            <w:tcBorders>
              <w:top w:val="single" w:sz="4" w:space="0" w:color="FFFFFF" w:themeColor="background1"/>
              <w:left w:val="single" w:sz="4" w:space="0" w:color="D2232A"/>
              <w:bottom w:val="single" w:sz="4" w:space="0" w:color="D2232A"/>
              <w:right w:val="single" w:sz="4" w:space="0" w:color="D2232A"/>
            </w:tcBorders>
          </w:tcPr>
          <w:p w14:paraId="10D27AFF" w14:textId="77777777" w:rsidR="0056247C" w:rsidRPr="00D35404" w:rsidRDefault="0056247C" w:rsidP="00C33917">
            <w:pPr>
              <w:spacing w:before="60"/>
              <w:rPr>
                <w:rFonts w:cs="Arial"/>
              </w:rPr>
            </w:pPr>
            <w:r w:rsidRPr="00D35404">
              <w:rPr>
                <w:rFonts w:cs="Arial"/>
              </w:rPr>
              <w:t>19°16’53" E</w:t>
            </w:r>
          </w:p>
        </w:tc>
        <w:tc>
          <w:tcPr>
            <w:tcW w:w="1950" w:type="dxa"/>
            <w:tcBorders>
              <w:top w:val="single" w:sz="4" w:space="0" w:color="FFFFFF" w:themeColor="background1"/>
              <w:left w:val="single" w:sz="4" w:space="0" w:color="D2232A"/>
              <w:bottom w:val="single" w:sz="4" w:space="0" w:color="D2232A"/>
              <w:right w:val="single" w:sz="4" w:space="0" w:color="D2232A"/>
            </w:tcBorders>
          </w:tcPr>
          <w:p w14:paraId="75C533B8" w14:textId="77777777" w:rsidR="0056247C" w:rsidRPr="00D35404" w:rsidRDefault="0056247C" w:rsidP="00C33917">
            <w:pPr>
              <w:spacing w:before="60"/>
              <w:rPr>
                <w:rFonts w:cs="Arial"/>
              </w:rPr>
            </w:pPr>
            <w:r w:rsidRPr="00D35404">
              <w:rPr>
                <w:rFonts w:cs="Arial"/>
              </w:rPr>
              <w:t xml:space="preserve">  2</w:t>
            </w:r>
          </w:p>
        </w:tc>
      </w:tr>
    </w:tbl>
    <w:p w14:paraId="16E6D50B" w14:textId="2147A852" w:rsidR="00DA6D88" w:rsidRPr="00D35404" w:rsidRDefault="00DA6D88" w:rsidP="00C7422D">
      <w:pPr>
        <w:pStyle w:val="ECCTablenote"/>
        <w:rPr>
          <w:rStyle w:val="ECCParagraph"/>
        </w:rPr>
      </w:pPr>
    </w:p>
    <w:p w14:paraId="55110E2E" w14:textId="77777777" w:rsidR="00DA6D88" w:rsidRPr="00D35404" w:rsidRDefault="00DA6D88">
      <w:pPr>
        <w:rPr>
          <w:rStyle w:val="ECCParagraph"/>
          <w:rFonts w:eastAsia="Times New Roman"/>
          <w:szCs w:val="16"/>
        </w:rPr>
      </w:pPr>
      <w:r w:rsidRPr="00D35404">
        <w:rPr>
          <w:rStyle w:val="ECCParagraph"/>
        </w:rPr>
        <w:br w:type="page"/>
      </w:r>
    </w:p>
    <w:p w14:paraId="5DB7A680" w14:textId="46E02384" w:rsidR="008423AD" w:rsidRPr="00D35404" w:rsidRDefault="008423AD" w:rsidP="0002738B">
      <w:pPr>
        <w:pStyle w:val="ECCAnnexheading1"/>
      </w:pPr>
      <w:bookmarkStart w:id="8" w:name="_Toc380059620"/>
      <w:bookmarkStart w:id="9" w:name="_Toc380059762"/>
      <w:bookmarkStart w:id="10" w:name="_Toc396383876"/>
      <w:bookmarkStart w:id="11" w:name="_Toc396917309"/>
      <w:bookmarkStart w:id="12" w:name="_Toc396917420"/>
      <w:bookmarkStart w:id="13" w:name="_Toc396917640"/>
      <w:bookmarkStart w:id="14" w:name="_Toc396917655"/>
      <w:bookmarkStart w:id="15" w:name="_Toc396917760"/>
      <w:bookmarkStart w:id="16" w:name="_Toc79649515"/>
      <w:r w:rsidRPr="00D35404">
        <w:lastRenderedPageBreak/>
        <w:t>List of Reference</w:t>
      </w:r>
      <w:bookmarkEnd w:id="8"/>
      <w:bookmarkEnd w:id="9"/>
      <w:bookmarkEnd w:id="10"/>
      <w:bookmarkEnd w:id="11"/>
      <w:bookmarkEnd w:id="12"/>
      <w:bookmarkEnd w:id="13"/>
      <w:bookmarkEnd w:id="14"/>
      <w:bookmarkEnd w:id="15"/>
      <w:r w:rsidRPr="00D35404">
        <w:t>s</w:t>
      </w:r>
      <w:bookmarkEnd w:id="16"/>
    </w:p>
    <w:p w14:paraId="697B6207" w14:textId="77777777" w:rsidR="008423AD" w:rsidRPr="00D35404" w:rsidRDefault="008423AD" w:rsidP="008423AD">
      <w:pPr>
        <w:rPr>
          <w:lang w:val="en-IE"/>
        </w:rPr>
      </w:pPr>
    </w:p>
    <w:bookmarkStart w:id="17" w:name="_Ref90455815"/>
    <w:p w14:paraId="3D6C851A" w14:textId="4475CF04" w:rsidR="008423AD" w:rsidRPr="00D35404" w:rsidRDefault="004E505F" w:rsidP="00C552EB">
      <w:pPr>
        <w:pStyle w:val="ECCReference"/>
        <w:numPr>
          <w:ilvl w:val="0"/>
          <w:numId w:val="18"/>
        </w:numPr>
        <w:spacing w:before="60" w:after="60"/>
        <w:rPr>
          <w:lang w:val="en-IE"/>
        </w:rPr>
      </w:pPr>
      <w:r w:rsidRPr="00D35404">
        <w:rPr>
          <w:lang w:val="en-IE"/>
        </w:rPr>
        <w:fldChar w:fldCharType="begin"/>
      </w:r>
      <w:r w:rsidRPr="00D35404">
        <w:rPr>
          <w:lang w:val="en-IE"/>
        </w:rPr>
        <w:instrText xml:space="preserve"> HYPERLINK "https://docdb.cept.org/document/845" </w:instrText>
      </w:r>
      <w:r w:rsidRPr="00D35404">
        <w:rPr>
          <w:lang w:val="en-IE"/>
        </w:rPr>
        <w:fldChar w:fldCharType="separate"/>
      </w:r>
      <w:r w:rsidR="00DA59C6" w:rsidRPr="00D35404">
        <w:rPr>
          <w:rStyle w:val="Hyperlink"/>
          <w:lang w:val="en-IE"/>
        </w:rPr>
        <w:t>ERC Recommendation 70-03</w:t>
      </w:r>
      <w:r w:rsidRPr="00D35404">
        <w:rPr>
          <w:lang w:val="en-IE"/>
        </w:rPr>
        <w:fldChar w:fldCharType="end"/>
      </w:r>
      <w:r w:rsidR="00083A8C" w:rsidRPr="00D35404">
        <w:rPr>
          <w:lang w:val="en-IE"/>
        </w:rPr>
        <w:t>:</w:t>
      </w:r>
      <w:r w:rsidR="002252DD" w:rsidRPr="00D35404">
        <w:rPr>
          <w:lang w:val="en-IE"/>
        </w:rPr>
        <w:t xml:space="preserve"> </w:t>
      </w:r>
      <w:r w:rsidR="00F211A3" w:rsidRPr="00D35404">
        <w:rPr>
          <w:lang w:val="en-IE"/>
        </w:rPr>
        <w:t>“R</w:t>
      </w:r>
      <w:r w:rsidRPr="00D35404">
        <w:rPr>
          <w:lang w:val="en-IE"/>
        </w:rPr>
        <w:t>elating to the use of Short Range Devices (SRD)</w:t>
      </w:r>
      <w:bookmarkEnd w:id="17"/>
      <w:r w:rsidR="00F211A3" w:rsidRPr="00D35404">
        <w:rPr>
          <w:lang w:val="en-IE"/>
        </w:rPr>
        <w:t>”, approved</w:t>
      </w:r>
      <w:r w:rsidR="009F4F26">
        <w:rPr>
          <w:lang w:val="en-IE"/>
        </w:rPr>
        <w:t xml:space="preserve"> </w:t>
      </w:r>
      <w:r w:rsidR="009F4F26" w:rsidRPr="009F4F26">
        <w:rPr>
          <w:lang w:val="en-IE"/>
        </w:rPr>
        <w:t>October 1997</w:t>
      </w:r>
      <w:r w:rsidR="009F4F26">
        <w:rPr>
          <w:lang w:val="en-IE"/>
        </w:rPr>
        <w:t>, latest</w:t>
      </w:r>
      <w:r w:rsidR="004F43B5">
        <w:rPr>
          <w:lang w:val="en-IE"/>
        </w:rPr>
        <w:t xml:space="preserve"> amended</w:t>
      </w:r>
      <w:r w:rsidR="00F211A3" w:rsidRPr="00D35404">
        <w:rPr>
          <w:lang w:val="en-IE"/>
        </w:rPr>
        <w:t xml:space="preserve"> November 2021</w:t>
      </w:r>
    </w:p>
    <w:bookmarkStart w:id="18" w:name="_Ref90456976"/>
    <w:p w14:paraId="073B1921" w14:textId="4FD327FB" w:rsidR="008423AD" w:rsidRPr="00D35404" w:rsidRDefault="00AC24C4" w:rsidP="00C552EB">
      <w:pPr>
        <w:pStyle w:val="ECCReference"/>
        <w:numPr>
          <w:ilvl w:val="0"/>
          <w:numId w:val="18"/>
        </w:numPr>
        <w:spacing w:before="60" w:after="60"/>
      </w:pPr>
      <w:r w:rsidRPr="00D35404">
        <w:fldChar w:fldCharType="begin"/>
      </w:r>
      <w:r w:rsidRPr="00D35404">
        <w:instrText xml:space="preserve"> HYPERLINK "https://docdb.cept.org/document/376" </w:instrText>
      </w:r>
      <w:r w:rsidRPr="00D35404">
        <w:fldChar w:fldCharType="separate"/>
      </w:r>
      <w:r w:rsidR="002D53BB" w:rsidRPr="00D35404">
        <w:rPr>
          <w:rStyle w:val="Hyperlink"/>
        </w:rPr>
        <w:t>ECC Decision</w:t>
      </w:r>
      <w:r w:rsidR="00F23EE2" w:rsidRPr="00D35404">
        <w:rPr>
          <w:rStyle w:val="Hyperlink"/>
        </w:rPr>
        <w:t xml:space="preserve"> (04)03</w:t>
      </w:r>
      <w:r w:rsidRPr="00D35404">
        <w:fldChar w:fldCharType="end"/>
      </w:r>
      <w:r w:rsidR="00F23EE2" w:rsidRPr="00D35404">
        <w:t>:</w:t>
      </w:r>
      <w:r w:rsidR="0079513A" w:rsidRPr="00D35404">
        <w:t xml:space="preserve"> </w:t>
      </w:r>
      <w:r w:rsidR="00C00E2F" w:rsidRPr="00D35404">
        <w:t>“</w:t>
      </w:r>
      <w:r w:rsidR="0079513A" w:rsidRPr="00D35404">
        <w:t>the frequency band 77-81 GHz to be designated for the use of Automotive Short Range Radars</w:t>
      </w:r>
      <w:r w:rsidR="00C00E2F" w:rsidRPr="00D35404">
        <w:t>”, approved March 2004</w:t>
      </w:r>
      <w:bookmarkEnd w:id="18"/>
    </w:p>
    <w:bookmarkStart w:id="19" w:name="_Ref90457072"/>
    <w:p w14:paraId="013FC2EF" w14:textId="0B50621E" w:rsidR="008423AD" w:rsidRPr="00D35404" w:rsidRDefault="00495065" w:rsidP="00C552EB">
      <w:pPr>
        <w:pStyle w:val="ECCReference"/>
        <w:numPr>
          <w:ilvl w:val="0"/>
          <w:numId w:val="18"/>
        </w:numPr>
        <w:spacing w:before="60" w:after="60"/>
      </w:pPr>
      <w:r w:rsidRPr="00D35404">
        <w:fldChar w:fldCharType="begin"/>
      </w:r>
      <w:r w:rsidRPr="00D35404">
        <w:instrText xml:space="preserve"> HYPERLINK "https://docdb.cept.org/document/133" </w:instrText>
      </w:r>
      <w:r w:rsidRPr="00D35404">
        <w:fldChar w:fldCharType="separate"/>
      </w:r>
      <w:r w:rsidR="006E1A96" w:rsidRPr="00D35404">
        <w:rPr>
          <w:rStyle w:val="Hyperlink"/>
        </w:rPr>
        <w:t>ECC Report 023</w:t>
      </w:r>
      <w:r w:rsidRPr="00D35404">
        <w:fldChar w:fldCharType="end"/>
      </w:r>
      <w:r w:rsidR="006E1A96" w:rsidRPr="00D35404">
        <w:t xml:space="preserve">: </w:t>
      </w:r>
      <w:r w:rsidRPr="00D35404">
        <w:t>Compatibility of automotive collision warning Short Range Radar operating at 24 GHz with FS, EESS and Radio Astronomy</w:t>
      </w:r>
      <w:r w:rsidR="00090690" w:rsidRPr="00D35404">
        <w:t>, approved May 2003</w:t>
      </w:r>
      <w:bookmarkEnd w:id="19"/>
    </w:p>
    <w:p w14:paraId="4811F4E2" w14:textId="5CD48A15" w:rsidR="00D27411" w:rsidRPr="00D35404" w:rsidRDefault="006E1A96" w:rsidP="00C552EB">
      <w:pPr>
        <w:pStyle w:val="ECCReference"/>
        <w:numPr>
          <w:ilvl w:val="0"/>
          <w:numId w:val="18"/>
        </w:numPr>
        <w:spacing w:before="60" w:after="60"/>
      </w:pPr>
      <w:bookmarkStart w:id="20" w:name="_Ref90457452"/>
      <w:r w:rsidRPr="00D35404">
        <w:t>Directive</w:t>
      </w:r>
      <w:r w:rsidR="00335B01" w:rsidRPr="00D35404">
        <w:t xml:space="preserve"> 2007/46/EC </w:t>
      </w:r>
      <w:r w:rsidR="003172AB" w:rsidRPr="00D35404">
        <w:t>of the European Parliament and of the Council of 5 September 2007 e</w:t>
      </w:r>
      <w:r w:rsidR="00B05893" w:rsidRPr="00D35404">
        <w:t>stablishing a framework for the approval of motor vehicles and their trailers, and of systems, components and separate technical units intended for such vehicles (Framework Directive)</w:t>
      </w:r>
      <w:bookmarkEnd w:id="20"/>
    </w:p>
    <w:p w14:paraId="17D03BAC" w14:textId="15DDF893" w:rsidR="00312F96" w:rsidRPr="00D35404" w:rsidRDefault="00917EA1" w:rsidP="00C552EB">
      <w:pPr>
        <w:pStyle w:val="ECCReference"/>
        <w:numPr>
          <w:ilvl w:val="0"/>
          <w:numId w:val="18"/>
        </w:numPr>
        <w:spacing w:before="60" w:after="60"/>
      </w:pPr>
      <w:bookmarkStart w:id="21" w:name="_Ref90457272"/>
      <w:r w:rsidRPr="00D35404">
        <w:t>ETSI EN 302 288</w:t>
      </w:r>
      <w:r w:rsidR="00227965" w:rsidRPr="00D35404">
        <w:t xml:space="preserve">: </w:t>
      </w:r>
      <w:r w:rsidR="006050DF" w:rsidRPr="00D35404">
        <w:t>Short Range Devices; Transport and Traffic Telematics (TTT); Ultra-wideband radar equipment operating in the 24,25 GHz to 26,65 GHz range; Harmonised Standard covering the essential requirements of article 3.2 of Directive 2014/53/EU</w:t>
      </w:r>
      <w:bookmarkEnd w:id="21"/>
    </w:p>
    <w:p w14:paraId="6D6C3977" w14:textId="656E2907" w:rsidR="00312F96" w:rsidRPr="00D35404" w:rsidRDefault="00227965" w:rsidP="00C552EB">
      <w:pPr>
        <w:pStyle w:val="ECCReference"/>
        <w:numPr>
          <w:ilvl w:val="0"/>
          <w:numId w:val="18"/>
        </w:numPr>
        <w:spacing w:before="60" w:after="60"/>
      </w:pPr>
      <w:bookmarkStart w:id="22" w:name="_Ref90457285"/>
      <w:r w:rsidRPr="00D35404">
        <w:t xml:space="preserve">ITU </w:t>
      </w:r>
      <w:hyperlink r:id="rId11" w:history="1">
        <w:r w:rsidRPr="00D35404">
          <w:rPr>
            <w:rStyle w:val="Hyperlink"/>
          </w:rPr>
          <w:t>Radio Regulations</w:t>
        </w:r>
      </w:hyperlink>
      <w:r w:rsidR="00C0338A" w:rsidRPr="00D35404">
        <w:t>,</w:t>
      </w:r>
      <w:r w:rsidR="00D73D19" w:rsidRPr="00D35404">
        <w:t xml:space="preserve"> Edition of 2020</w:t>
      </w:r>
      <w:bookmarkEnd w:id="22"/>
    </w:p>
    <w:p w14:paraId="3DDA9830" w14:textId="17A8EDA9" w:rsidR="00312F96" w:rsidRPr="00D35404" w:rsidRDefault="00BF3BB0" w:rsidP="00C552EB">
      <w:pPr>
        <w:pStyle w:val="ECCReference"/>
        <w:numPr>
          <w:ilvl w:val="0"/>
          <w:numId w:val="18"/>
        </w:numPr>
        <w:spacing w:before="60" w:after="60"/>
      </w:pPr>
      <w:bookmarkStart w:id="23" w:name="_Ref90623236"/>
      <w:r w:rsidRPr="00D35404">
        <w:t>Directive 2014/</w:t>
      </w:r>
      <w:r w:rsidR="00BF628D" w:rsidRPr="00D35404">
        <w:t xml:space="preserve">53/EU </w:t>
      </w:r>
      <w:r w:rsidR="008505D6" w:rsidRPr="00D35404">
        <w:t>of the European Parliament and of the Council of 16 April 2014 on the harmonisation of the laws of the Member States relating to the making available on the market of radio equipment and repealing Directive 1999/5/EC</w:t>
      </w:r>
      <w:bookmarkEnd w:id="23"/>
    </w:p>
    <w:bookmarkStart w:id="24" w:name="_Ref90457394"/>
    <w:p w14:paraId="1BC77A2A" w14:textId="40D326D0" w:rsidR="00312F96" w:rsidRPr="00D35404" w:rsidRDefault="0039654E" w:rsidP="00C552EB">
      <w:pPr>
        <w:pStyle w:val="ECCReference"/>
        <w:numPr>
          <w:ilvl w:val="0"/>
          <w:numId w:val="18"/>
        </w:numPr>
        <w:spacing w:before="60" w:after="60"/>
      </w:pPr>
      <w:r w:rsidRPr="00D35404">
        <w:fldChar w:fldCharType="begin"/>
      </w:r>
      <w:r w:rsidRPr="00D35404">
        <w:instrText xml:space="preserve"> HYPERLINK "https://docdb.cept.org/document/266" </w:instrText>
      </w:r>
      <w:r w:rsidRPr="00D35404">
        <w:fldChar w:fldCharType="separate"/>
      </w:r>
      <w:r w:rsidR="008505D6" w:rsidRPr="00D35404">
        <w:rPr>
          <w:rStyle w:val="Hyperlink"/>
        </w:rPr>
        <w:t>ECC Report</w:t>
      </w:r>
      <w:r w:rsidR="00C85958" w:rsidRPr="00D35404">
        <w:rPr>
          <w:rStyle w:val="Hyperlink"/>
        </w:rPr>
        <w:t xml:space="preserve"> 158</w:t>
      </w:r>
      <w:r w:rsidRPr="00D35404">
        <w:fldChar w:fldCharType="end"/>
      </w:r>
      <w:r w:rsidR="00C85958" w:rsidRPr="00D35404">
        <w:t xml:space="preserve">: </w:t>
      </w:r>
      <w:r w:rsidR="007B0500" w:rsidRPr="00D35404">
        <w:t>The impact of SRR 26 GHz applications using Ultra-Wide-Band (UWB) Technology on Radio Services</w:t>
      </w:r>
      <w:r w:rsidR="00E53052" w:rsidRPr="00D35404">
        <w:t>, approved February 2011</w:t>
      </w:r>
      <w:bookmarkEnd w:id="24"/>
    </w:p>
    <w:p w14:paraId="131B819A" w14:textId="49D93B5D" w:rsidR="001B0583" w:rsidRPr="00C33917" w:rsidRDefault="001B0583" w:rsidP="00C552EB">
      <w:pPr>
        <w:pStyle w:val="ECCTablenote"/>
        <w:spacing w:before="60"/>
        <w:rPr>
          <w:rStyle w:val="ECCParagraph"/>
          <w:rFonts w:eastAsia="Calibri"/>
          <w:szCs w:val="22"/>
          <w:lang w:eastAsia="ja-JP"/>
        </w:rPr>
      </w:pPr>
    </w:p>
    <w:sectPr w:rsidR="001B0583" w:rsidRPr="00C33917" w:rsidSect="00CB05A7">
      <w:headerReference w:type="even" r:id="rId12"/>
      <w:headerReference w:type="default" r:id="rId13"/>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9C8D5" w14:textId="77777777" w:rsidR="005079AD" w:rsidRDefault="005079AD" w:rsidP="00DB17F9">
      <w:r>
        <w:separator/>
      </w:r>
    </w:p>
    <w:p w14:paraId="24FA4DFA" w14:textId="77777777" w:rsidR="005079AD" w:rsidRDefault="005079AD"/>
  </w:endnote>
  <w:endnote w:type="continuationSeparator" w:id="0">
    <w:p w14:paraId="352C2970" w14:textId="77777777" w:rsidR="005079AD" w:rsidRDefault="005079AD" w:rsidP="00DB17F9">
      <w:r>
        <w:continuationSeparator/>
      </w:r>
    </w:p>
    <w:p w14:paraId="7A3E7923" w14:textId="77777777" w:rsidR="005079AD" w:rsidRDefault="005079AD"/>
  </w:endnote>
  <w:endnote w:type="continuationNotice" w:id="1">
    <w:p w14:paraId="06E53604" w14:textId="77777777" w:rsidR="005079AD" w:rsidRDefault="005079A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A6F8B" w14:textId="77777777" w:rsidR="005079AD" w:rsidRPr="00F51BD6" w:rsidRDefault="005079AD" w:rsidP="00CD07E7">
      <w:pPr>
        <w:spacing w:before="120" w:after="0"/>
      </w:pPr>
      <w:r>
        <w:separator/>
      </w:r>
    </w:p>
  </w:footnote>
  <w:footnote w:type="continuationSeparator" w:id="0">
    <w:p w14:paraId="00A2160F" w14:textId="77777777" w:rsidR="005079AD" w:rsidRDefault="005079AD" w:rsidP="00CD07E7">
      <w:pPr>
        <w:spacing w:before="120" w:after="0"/>
      </w:pPr>
      <w:r>
        <w:continuationSeparator/>
      </w:r>
    </w:p>
  </w:footnote>
  <w:footnote w:type="continuationNotice" w:id="1">
    <w:p w14:paraId="37BE6BCB" w14:textId="77777777" w:rsidR="005079AD" w:rsidRPr="00CD07E7" w:rsidRDefault="005079AD" w:rsidP="00CD07E7">
      <w:pPr>
        <w:spacing w:before="120" w:after="0"/>
      </w:pPr>
    </w:p>
  </w:footnote>
  <w:footnote w:id="2">
    <w:p w14:paraId="531EEBE7" w14:textId="77777777" w:rsidR="0056247C" w:rsidRPr="00C3091B" w:rsidRDefault="0056247C" w:rsidP="00EF2060">
      <w:pPr>
        <w:pStyle w:val="FootnoteText"/>
        <w:rPr>
          <w:lang w:val="en-GB"/>
        </w:rPr>
      </w:pPr>
      <w:r w:rsidRPr="00C3091B">
        <w:rPr>
          <w:rStyle w:val="FootnoteReference"/>
          <w:lang w:val="en-GB"/>
        </w:rPr>
        <w:footnoteRef/>
      </w:r>
      <w:r w:rsidRPr="00C3091B">
        <w:rPr>
          <w:lang w:val="en-GB"/>
        </w:rPr>
        <w:t xml:space="preserve"> Comparable technical specifications to those given in this ECC Decision are given in Commission Decision 2005/50/EC of 17 January 2005, amended by Commission Implementing Decisions 2011/485/EU of 29 July 2011 and (EU) 2017/2077 of 10 November 2017, for 24 GHz. EU Member States and, if </w:t>
      </w:r>
      <w:proofErr w:type="gramStart"/>
      <w:r w:rsidRPr="00C3091B">
        <w:rPr>
          <w:lang w:val="en-GB"/>
        </w:rPr>
        <w:t>so</w:t>
      </w:r>
      <w:proofErr w:type="gramEnd"/>
      <w:r w:rsidRPr="00C3091B">
        <w:rPr>
          <w:lang w:val="en-GB"/>
        </w:rPr>
        <w:t xml:space="preserve"> approved by the EEA Joint Committee, Iceland, Liechtenstein and Norway are obliged to implement these EC Decisions.</w:t>
      </w:r>
    </w:p>
  </w:footnote>
  <w:footnote w:id="3">
    <w:p w14:paraId="644CED3C" w14:textId="77777777" w:rsidR="0056247C" w:rsidRPr="00C3091B" w:rsidRDefault="0056247C" w:rsidP="00EF2060">
      <w:pPr>
        <w:pStyle w:val="FootnoteText"/>
        <w:rPr>
          <w:lang w:val="en-GB"/>
        </w:rPr>
      </w:pPr>
      <w:r w:rsidRPr="00C3091B">
        <w:rPr>
          <w:rStyle w:val="FootnoteReference"/>
          <w:lang w:val="en-GB"/>
        </w:rPr>
        <w:footnoteRef/>
      </w:r>
      <w:r w:rsidRPr="00C3091B">
        <w:rPr>
          <w:lang w:val="en-GB"/>
        </w:rPr>
        <w:t xml:space="preserve"> Official Journal of the European Union, L 263, 9 October 2007, page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3AE1E" w14:textId="7BAD8E34" w:rsidR="00E36601" w:rsidRPr="00AD1BE1" w:rsidRDefault="00CB05A7" w:rsidP="00C7422D">
    <w:pPr>
      <w:pStyle w:val="Header"/>
      <w:jc w:val="right"/>
    </w:pPr>
    <w:r w:rsidRPr="0056450F">
      <w:t xml:space="preserve">ECC/DEC/(04)10 </w:t>
    </w:r>
    <w:r w:rsidRPr="0056450F">
      <w:rPr>
        <w:szCs w:val="16"/>
      </w:rPr>
      <w:t xml:space="preserve">Page </w:t>
    </w:r>
    <w:r>
      <w:rPr>
        <w:szCs w:val="24"/>
        <w:lang w:val="en-US"/>
      </w:rPr>
      <w:fldChar w:fldCharType="begin"/>
    </w:r>
    <w:r>
      <w:instrText xml:space="preserve"> PAGE  \* Arabic  \* MERGEFORMAT </w:instrText>
    </w:r>
    <w:r>
      <w:rPr>
        <w:szCs w:val="24"/>
        <w:lang w:val="en-US"/>
      </w:rPr>
      <w:fldChar w:fldCharType="separate"/>
    </w:r>
    <w:r w:rsidR="00F207C3" w:rsidRPr="00F207C3">
      <w:rPr>
        <w:noProof/>
        <w:lang w:val="en-US"/>
      </w:rPr>
      <w:t>8</w:t>
    </w:r>
    <w:r>
      <w:rPr>
        <w:noProof/>
        <w:szCs w:val="16"/>
        <w:lang w:val="da-DK"/>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C3EDF" w14:textId="4C354B83" w:rsidR="00CB05A7" w:rsidRPr="0056450F" w:rsidRDefault="00CB05A7" w:rsidP="00C7422D">
    <w:pPr>
      <w:pStyle w:val="Header"/>
      <w:jc w:val="left"/>
      <w:rPr>
        <w:szCs w:val="16"/>
      </w:rPr>
    </w:pPr>
    <w:r w:rsidRPr="0056450F">
      <w:t xml:space="preserve">ECC/DEC/(04)10 </w:t>
    </w:r>
    <w:r w:rsidRPr="0056450F">
      <w:rPr>
        <w:szCs w:val="16"/>
      </w:rPr>
      <w:t xml:space="preserve">Page </w:t>
    </w:r>
    <w:r>
      <w:rPr>
        <w:b w:val="0"/>
        <w:szCs w:val="24"/>
        <w:lang w:val="en-US"/>
      </w:rPr>
      <w:fldChar w:fldCharType="begin"/>
    </w:r>
    <w:r>
      <w:instrText xml:space="preserve"> PAGE  \* Arabic  \* MERGEFORMAT </w:instrText>
    </w:r>
    <w:r>
      <w:rPr>
        <w:b w:val="0"/>
        <w:szCs w:val="24"/>
        <w:lang w:val="en-US"/>
      </w:rPr>
      <w:fldChar w:fldCharType="separate"/>
    </w:r>
    <w:r w:rsidR="00F207C3" w:rsidRPr="00F207C3">
      <w:rPr>
        <w:noProof/>
        <w:lang w:val="en-US"/>
      </w:rPr>
      <w:t>7</w:t>
    </w:r>
    <w:r>
      <w:rPr>
        <w:b w:val="0"/>
        <w:noProof/>
        <w:szCs w:val="16"/>
        <w:lang w:val="da-DK"/>
      </w:rPr>
      <w:fldChar w:fldCharType="end"/>
    </w:r>
  </w:p>
  <w:p w14:paraId="0B04EE38" w14:textId="77777777" w:rsidR="00CB05A7" w:rsidRDefault="00CB05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B4A7C"/>
    <w:multiLevelType w:val="hybridMultilevel"/>
    <w:tmpl w:val="B96CE56A"/>
    <w:lvl w:ilvl="0" w:tplc="91C4760E">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12F4188"/>
    <w:multiLevelType w:val="multilevel"/>
    <w:tmpl w:val="F1FACA8E"/>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267765BF"/>
    <w:multiLevelType w:val="hybridMultilevel"/>
    <w:tmpl w:val="E7AEC042"/>
    <w:lvl w:ilvl="0" w:tplc="FFFFFFFF">
      <w:start w:val="1"/>
      <w:numFmt w:val="lowerLetter"/>
      <w:lvlText w:val="%1)"/>
      <w:legacy w:legacy="1" w:legacySpace="0" w:legacyIndent="360"/>
      <w:lvlJc w:val="left"/>
      <w:pPr>
        <w:ind w:left="360" w:hanging="360"/>
      </w:pPr>
    </w:lvl>
    <w:lvl w:ilvl="1" w:tplc="3CF2638C">
      <w:start w:val="1"/>
      <w:numFmt w:val="decimal"/>
      <w:lvlText w:val="%2."/>
      <w:lvlJc w:val="left"/>
      <w:pPr>
        <w:tabs>
          <w:tab w:val="num" w:pos="1440"/>
        </w:tabs>
        <w:ind w:left="1440" w:hanging="360"/>
      </w:pPr>
      <w:rPr>
        <w:rFonts w:hint="default"/>
        <w:color w:val="D2232A"/>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2A0A7C33"/>
    <w:multiLevelType w:val="hybridMultilevel"/>
    <w:tmpl w:val="81E804EC"/>
    <w:lvl w:ilvl="0" w:tplc="F3F6E784">
      <w:start w:val="1"/>
      <w:numFmt w:val="decimal"/>
      <w:pStyle w:val="ECCEditorsNote"/>
      <w:lvlText w:val="Editor's Note %1:"/>
      <w:lvlJc w:val="left"/>
      <w:pPr>
        <w:tabs>
          <w:tab w:val="num" w:pos="1559"/>
        </w:tabs>
        <w:ind w:left="1559"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F9A72C9"/>
    <w:multiLevelType w:val="hybridMultilevel"/>
    <w:tmpl w:val="CF882B38"/>
    <w:lvl w:ilvl="0" w:tplc="78E8E71C">
      <w:start w:val="1"/>
      <w:numFmt w:val="lowerLetter"/>
      <w:lvlText w:val="%1)"/>
      <w:lvlJc w:val="left"/>
      <w:pPr>
        <w:ind w:left="786" w:hanging="360"/>
      </w:pPr>
      <w:rPr>
        <w:rFonts w:ascii="Arial" w:hAnsi="Arial" w:hint="default"/>
        <w:b w:val="0"/>
        <w:bCs w:val="0"/>
        <w:i w:val="0"/>
        <w:iCs w:val="0"/>
        <w:color w:val="D2232A"/>
        <w:sz w:val="20"/>
        <w:szCs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331D2CAF"/>
    <w:multiLevelType w:val="multilevel"/>
    <w:tmpl w:val="C960DCD2"/>
    <w:lvl w:ilvl="0">
      <w:start w:val="1"/>
      <w:numFmt w:val="decimal"/>
      <w:pStyle w:val="ECCNumberedList"/>
      <w:lvlText w:val="%1"/>
      <w:lvlJc w:val="left"/>
      <w:pPr>
        <w:ind w:left="360" w:hanging="360"/>
      </w:pPr>
      <w:rPr>
        <w:rFonts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6" w15:restartNumberingAfterBreak="0">
    <w:nsid w:val="361343C0"/>
    <w:multiLevelType w:val="multilevel"/>
    <w:tmpl w:val="294220AC"/>
    <w:styleLink w:val="Letteredlist"/>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 w15:restartNumberingAfterBreak="0">
    <w:nsid w:val="3D163F7A"/>
    <w:multiLevelType w:val="multilevel"/>
    <w:tmpl w:val="C51432D8"/>
    <w:lvl w:ilvl="0">
      <w:start w:val="1"/>
      <w:numFmt w:val="decimal"/>
      <w:pStyle w:val="Heading1"/>
      <w:lvlText w:val="%1"/>
      <w:lvlJc w:val="left"/>
      <w:pPr>
        <w:tabs>
          <w:tab w:val="num" w:pos="432"/>
        </w:tabs>
        <w:ind w:left="432" w:hanging="432"/>
      </w:pPr>
      <w:rPr>
        <w:rFonts w:ascii="Arial" w:hAnsi="Arial"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Arial" w:hAnsi="Arial"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46E6242A"/>
    <w:multiLevelType w:val="hybridMultilevel"/>
    <w:tmpl w:val="9146C086"/>
    <w:lvl w:ilvl="0" w:tplc="5D1C976A">
      <w:start w:val="1"/>
      <w:numFmt w:val="decimal"/>
      <w:pStyle w:val="ECC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8E532EA"/>
    <w:multiLevelType w:val="hybridMultilevel"/>
    <w:tmpl w:val="5810E2A4"/>
    <w:lvl w:ilvl="0" w:tplc="20B4FF9A">
      <w:start w:val="1"/>
      <w:numFmt w:val="bullet"/>
      <w:lvlText w:val=""/>
      <w:lvlJc w:val="left"/>
      <w:pPr>
        <w:tabs>
          <w:tab w:val="num" w:pos="1559"/>
        </w:tabs>
        <w:ind w:left="1559" w:hanging="1559"/>
      </w:pPr>
      <w:rPr>
        <w:rFonts w:ascii="Symbol" w:hAnsi="Symbol" w:hint="default"/>
        <w:b w:val="0"/>
        <w:bCs w:val="0"/>
        <w:i w:val="0"/>
        <w:iCs w:val="0"/>
        <w:caps w:val="0"/>
        <w:smallCaps w:val="0"/>
        <w:strike w:val="0"/>
        <w:dstrike w:val="0"/>
        <w:vanish w:val="0"/>
        <w:color w:val="auto"/>
        <w:spacing w:val="0"/>
        <w:kern w:val="0"/>
        <w:position w:val="0"/>
        <w:u w:val="none" w:color="FFFF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9BE4C9A"/>
    <w:multiLevelType w:val="multilevel"/>
    <w:tmpl w:val="8FA093E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pStyle w:val="ECCLetteredList"/>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1" w15:restartNumberingAfterBreak="0">
    <w:nsid w:val="60902FB5"/>
    <w:multiLevelType w:val="hybridMultilevel"/>
    <w:tmpl w:val="DDEEA694"/>
    <w:lvl w:ilvl="0" w:tplc="08090019">
      <w:start w:val="1"/>
      <w:numFmt w:val="lowerLetter"/>
      <w:lvlText w:val="%1."/>
      <w:lvlJc w:val="left"/>
      <w:pPr>
        <w:ind w:left="786" w:hanging="360"/>
      </w:pPr>
      <w:rPr>
        <w:rFonts w:hint="default"/>
        <w:b w:val="0"/>
        <w:bCs w:val="0"/>
        <w:i w:val="0"/>
        <w:iCs w:val="0"/>
        <w:color w:val="D2232A"/>
        <w:sz w:val="20"/>
        <w:szCs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688A35D6"/>
    <w:multiLevelType w:val="multilevel"/>
    <w:tmpl w:val="BDD8AD68"/>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3" w15:restartNumberingAfterBreak="0">
    <w:nsid w:val="68F54EC0"/>
    <w:multiLevelType w:val="hybridMultilevel"/>
    <w:tmpl w:val="A02A04FA"/>
    <w:lvl w:ilvl="0" w:tplc="2452A798">
      <w:start w:val="1"/>
      <w:numFmt w:val="decimal"/>
      <w:lvlText w:val="%1."/>
      <w:lvlJc w:val="left"/>
      <w:pPr>
        <w:tabs>
          <w:tab w:val="num" w:pos="1440"/>
        </w:tabs>
        <w:ind w:left="144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15:restartNumberingAfterBreak="0">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
  </w:num>
  <w:num w:numId="2">
    <w:abstractNumId w:val="0"/>
  </w:num>
  <w:num w:numId="3">
    <w:abstractNumId w:val="10"/>
  </w:num>
  <w:num w:numId="4">
    <w:abstractNumId w:val="5"/>
  </w:num>
  <w:num w:numId="5">
    <w:abstractNumId w:val="8"/>
  </w:num>
  <w:num w:numId="6">
    <w:abstractNumId w:val="7"/>
  </w:num>
  <w:num w:numId="7">
    <w:abstractNumId w:val="9"/>
  </w:num>
  <w:num w:numId="8">
    <w:abstractNumId w:val="3"/>
  </w:num>
  <w:num w:numId="9">
    <w:abstractNumId w:val="3"/>
  </w:num>
  <w:num w:numId="10">
    <w:abstractNumId w:val="14"/>
  </w:num>
  <w:num w:numId="11">
    <w:abstractNumId w:val="6"/>
  </w:num>
  <w:num w:numId="12">
    <w:abstractNumId w:val="12"/>
  </w:num>
  <w:num w:numId="13">
    <w:abstractNumId w:val="4"/>
  </w:num>
  <w:num w:numId="14">
    <w:abstractNumId w:val="2"/>
  </w:num>
  <w:num w:numId="15">
    <w:abstractNumId w:val="13"/>
  </w:num>
  <w:num w:numId="16">
    <w:abstractNumId w:val="11"/>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6"/>
  <w:proofState w:spelling="clean" w:grammar="clean"/>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stylePaneSortMethod w:val="0000"/>
  <w:trackRevisions/>
  <w:documentProtection w:formatting="1" w:enforcement="0"/>
  <w:autoFormatOverride/>
  <w:styleLockQFSet/>
  <w:defaultTabStop w:val="567"/>
  <w:hyphenationZone w:val="425"/>
  <w:evenAndOddHeaders/>
  <w:characterSpacingControl w:val="doNotCompress"/>
  <w:hdrShapeDefaults>
    <o:shapedefaults v:ext="edit" spidmax="2050">
      <o:colormru v:ext="edit" colors="#7b6c58,#887e6e,#b0a69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F50"/>
    <w:rsid w:val="00000A25"/>
    <w:rsid w:val="00004159"/>
    <w:rsid w:val="000057CC"/>
    <w:rsid w:val="0001112E"/>
    <w:rsid w:val="00012E3B"/>
    <w:rsid w:val="00015ECC"/>
    <w:rsid w:val="0002738B"/>
    <w:rsid w:val="00041A18"/>
    <w:rsid w:val="0004622B"/>
    <w:rsid w:val="00051FC1"/>
    <w:rsid w:val="000569A8"/>
    <w:rsid w:val="000619A4"/>
    <w:rsid w:val="00067793"/>
    <w:rsid w:val="00075AD0"/>
    <w:rsid w:val="0007783C"/>
    <w:rsid w:val="00080D4D"/>
    <w:rsid w:val="00082DD7"/>
    <w:rsid w:val="00083A8C"/>
    <w:rsid w:val="000877E4"/>
    <w:rsid w:val="00087FDC"/>
    <w:rsid w:val="00090690"/>
    <w:rsid w:val="000950C5"/>
    <w:rsid w:val="00095620"/>
    <w:rsid w:val="000A1123"/>
    <w:rsid w:val="000A3940"/>
    <w:rsid w:val="000A51EA"/>
    <w:rsid w:val="000B6D45"/>
    <w:rsid w:val="000C028F"/>
    <w:rsid w:val="000C37B2"/>
    <w:rsid w:val="000D1710"/>
    <w:rsid w:val="000D31DA"/>
    <w:rsid w:val="000D43BB"/>
    <w:rsid w:val="000D53E0"/>
    <w:rsid w:val="000E168A"/>
    <w:rsid w:val="000E3E4D"/>
    <w:rsid w:val="000E42F5"/>
    <w:rsid w:val="000F0594"/>
    <w:rsid w:val="000F0CA8"/>
    <w:rsid w:val="000F24F5"/>
    <w:rsid w:val="000F2ED9"/>
    <w:rsid w:val="000F40CD"/>
    <w:rsid w:val="000F4522"/>
    <w:rsid w:val="001006CA"/>
    <w:rsid w:val="00100F8B"/>
    <w:rsid w:val="00102172"/>
    <w:rsid w:val="00107615"/>
    <w:rsid w:val="00110652"/>
    <w:rsid w:val="001150EE"/>
    <w:rsid w:val="001257F9"/>
    <w:rsid w:val="00132D8F"/>
    <w:rsid w:val="001408B4"/>
    <w:rsid w:val="001433C1"/>
    <w:rsid w:val="00143DF9"/>
    <w:rsid w:val="001526A2"/>
    <w:rsid w:val="00154F16"/>
    <w:rsid w:val="00156314"/>
    <w:rsid w:val="00162431"/>
    <w:rsid w:val="001630CF"/>
    <w:rsid w:val="001634D8"/>
    <w:rsid w:val="00163743"/>
    <w:rsid w:val="00170E1B"/>
    <w:rsid w:val="00172B28"/>
    <w:rsid w:val="00175FB3"/>
    <w:rsid w:val="00183B53"/>
    <w:rsid w:val="00183FE0"/>
    <w:rsid w:val="0018553F"/>
    <w:rsid w:val="0019009E"/>
    <w:rsid w:val="0019797C"/>
    <w:rsid w:val="001A01CA"/>
    <w:rsid w:val="001A4613"/>
    <w:rsid w:val="001B028B"/>
    <w:rsid w:val="001B0583"/>
    <w:rsid w:val="001B0A56"/>
    <w:rsid w:val="001B0EAB"/>
    <w:rsid w:val="001B23E0"/>
    <w:rsid w:val="001C30A8"/>
    <w:rsid w:val="001C36BB"/>
    <w:rsid w:val="001C4E25"/>
    <w:rsid w:val="001C666E"/>
    <w:rsid w:val="001C6AFD"/>
    <w:rsid w:val="001C7269"/>
    <w:rsid w:val="001D1CED"/>
    <w:rsid w:val="001D2341"/>
    <w:rsid w:val="001D74F4"/>
    <w:rsid w:val="001E1FC4"/>
    <w:rsid w:val="001E7FDB"/>
    <w:rsid w:val="0020079A"/>
    <w:rsid w:val="0021093D"/>
    <w:rsid w:val="00210DDC"/>
    <w:rsid w:val="002137CE"/>
    <w:rsid w:val="00214E14"/>
    <w:rsid w:val="00222F9E"/>
    <w:rsid w:val="002252DD"/>
    <w:rsid w:val="00226958"/>
    <w:rsid w:val="00227965"/>
    <w:rsid w:val="002302A9"/>
    <w:rsid w:val="00231A0F"/>
    <w:rsid w:val="00232B0A"/>
    <w:rsid w:val="00233ACC"/>
    <w:rsid w:val="00234BFC"/>
    <w:rsid w:val="00237A8B"/>
    <w:rsid w:val="002474AA"/>
    <w:rsid w:val="00247B0B"/>
    <w:rsid w:val="00252E3A"/>
    <w:rsid w:val="00260640"/>
    <w:rsid w:val="002617CB"/>
    <w:rsid w:val="00263FFB"/>
    <w:rsid w:val="00265F50"/>
    <w:rsid w:val="00272F9F"/>
    <w:rsid w:val="00274F84"/>
    <w:rsid w:val="002768FE"/>
    <w:rsid w:val="0027787F"/>
    <w:rsid w:val="0028060B"/>
    <w:rsid w:val="0028120C"/>
    <w:rsid w:val="00283417"/>
    <w:rsid w:val="00284FD2"/>
    <w:rsid w:val="0029505E"/>
    <w:rsid w:val="00295827"/>
    <w:rsid w:val="00295F16"/>
    <w:rsid w:val="00296C44"/>
    <w:rsid w:val="002A033F"/>
    <w:rsid w:val="002C2861"/>
    <w:rsid w:val="002C6DC3"/>
    <w:rsid w:val="002D1FA9"/>
    <w:rsid w:val="002D50A3"/>
    <w:rsid w:val="002D53BB"/>
    <w:rsid w:val="002E15AD"/>
    <w:rsid w:val="002E2455"/>
    <w:rsid w:val="002E2A72"/>
    <w:rsid w:val="002E6F0B"/>
    <w:rsid w:val="002F11E1"/>
    <w:rsid w:val="002F6086"/>
    <w:rsid w:val="002F70E6"/>
    <w:rsid w:val="003007C0"/>
    <w:rsid w:val="003034CB"/>
    <w:rsid w:val="00307A79"/>
    <w:rsid w:val="0031196D"/>
    <w:rsid w:val="00312F96"/>
    <w:rsid w:val="0031709E"/>
    <w:rsid w:val="003172AB"/>
    <w:rsid w:val="0031761C"/>
    <w:rsid w:val="003204D5"/>
    <w:rsid w:val="00320ED0"/>
    <w:rsid w:val="0032277C"/>
    <w:rsid w:val="00322E6A"/>
    <w:rsid w:val="003273E1"/>
    <w:rsid w:val="003314A0"/>
    <w:rsid w:val="00335B01"/>
    <w:rsid w:val="00350630"/>
    <w:rsid w:val="003535C8"/>
    <w:rsid w:val="00367C4E"/>
    <w:rsid w:val="00371B6B"/>
    <w:rsid w:val="00381169"/>
    <w:rsid w:val="0038287C"/>
    <w:rsid w:val="0038358E"/>
    <w:rsid w:val="003872C6"/>
    <w:rsid w:val="00387DDE"/>
    <w:rsid w:val="00391A01"/>
    <w:rsid w:val="0039491D"/>
    <w:rsid w:val="0039654E"/>
    <w:rsid w:val="003A0EB5"/>
    <w:rsid w:val="003A5711"/>
    <w:rsid w:val="003B6A76"/>
    <w:rsid w:val="003C64D9"/>
    <w:rsid w:val="003D0052"/>
    <w:rsid w:val="003D3CBF"/>
    <w:rsid w:val="003E2E42"/>
    <w:rsid w:val="003E31ED"/>
    <w:rsid w:val="003E70E0"/>
    <w:rsid w:val="003F0C22"/>
    <w:rsid w:val="003F7488"/>
    <w:rsid w:val="00403CE6"/>
    <w:rsid w:val="00404950"/>
    <w:rsid w:val="00407007"/>
    <w:rsid w:val="004110CA"/>
    <w:rsid w:val="0041160E"/>
    <w:rsid w:val="004139A2"/>
    <w:rsid w:val="00422EB0"/>
    <w:rsid w:val="0042761F"/>
    <w:rsid w:val="00431162"/>
    <w:rsid w:val="004325B9"/>
    <w:rsid w:val="00441EE0"/>
    <w:rsid w:val="00442962"/>
    <w:rsid w:val="00443482"/>
    <w:rsid w:val="004437BC"/>
    <w:rsid w:val="00450308"/>
    <w:rsid w:val="00457AD1"/>
    <w:rsid w:val="00461A1A"/>
    <w:rsid w:val="00462A7E"/>
    <w:rsid w:val="0046427F"/>
    <w:rsid w:val="0046786C"/>
    <w:rsid w:val="0047185D"/>
    <w:rsid w:val="00472375"/>
    <w:rsid w:val="00477DE4"/>
    <w:rsid w:val="00480444"/>
    <w:rsid w:val="004823F2"/>
    <w:rsid w:val="00483B45"/>
    <w:rsid w:val="00484AA3"/>
    <w:rsid w:val="00485665"/>
    <w:rsid w:val="00490AC3"/>
    <w:rsid w:val="00491977"/>
    <w:rsid w:val="00495065"/>
    <w:rsid w:val="004A1329"/>
    <w:rsid w:val="004A3BE2"/>
    <w:rsid w:val="004A7845"/>
    <w:rsid w:val="004B343E"/>
    <w:rsid w:val="004B49A8"/>
    <w:rsid w:val="004C1A87"/>
    <w:rsid w:val="004C25CB"/>
    <w:rsid w:val="004C4A2E"/>
    <w:rsid w:val="004C558D"/>
    <w:rsid w:val="004C59A7"/>
    <w:rsid w:val="004C74EC"/>
    <w:rsid w:val="004D3A73"/>
    <w:rsid w:val="004E057E"/>
    <w:rsid w:val="004E44C8"/>
    <w:rsid w:val="004E505F"/>
    <w:rsid w:val="004E53BE"/>
    <w:rsid w:val="004E7F82"/>
    <w:rsid w:val="004F3EA9"/>
    <w:rsid w:val="004F43B5"/>
    <w:rsid w:val="004F5BC8"/>
    <w:rsid w:val="00501992"/>
    <w:rsid w:val="00502462"/>
    <w:rsid w:val="005026AC"/>
    <w:rsid w:val="005079AD"/>
    <w:rsid w:val="00510AE7"/>
    <w:rsid w:val="0051610E"/>
    <w:rsid w:val="00516166"/>
    <w:rsid w:val="00520EFD"/>
    <w:rsid w:val="0052222B"/>
    <w:rsid w:val="005247B4"/>
    <w:rsid w:val="0053062A"/>
    <w:rsid w:val="00533919"/>
    <w:rsid w:val="00535050"/>
    <w:rsid w:val="00536F3C"/>
    <w:rsid w:val="0054260E"/>
    <w:rsid w:val="00550D79"/>
    <w:rsid w:val="00554DC8"/>
    <w:rsid w:val="005559AC"/>
    <w:rsid w:val="00555FB3"/>
    <w:rsid w:val="00557B5A"/>
    <w:rsid w:val="005611D0"/>
    <w:rsid w:val="00561BC8"/>
    <w:rsid w:val="0056247C"/>
    <w:rsid w:val="00566BD4"/>
    <w:rsid w:val="00566EA5"/>
    <w:rsid w:val="00576411"/>
    <w:rsid w:val="00577CAF"/>
    <w:rsid w:val="00580223"/>
    <w:rsid w:val="0058616B"/>
    <w:rsid w:val="00586B21"/>
    <w:rsid w:val="00594186"/>
    <w:rsid w:val="00595A73"/>
    <w:rsid w:val="005A05D1"/>
    <w:rsid w:val="005A53B8"/>
    <w:rsid w:val="005A6D5C"/>
    <w:rsid w:val="005B202B"/>
    <w:rsid w:val="005C0B92"/>
    <w:rsid w:val="005C10EB"/>
    <w:rsid w:val="005C2301"/>
    <w:rsid w:val="005C5A96"/>
    <w:rsid w:val="005D371D"/>
    <w:rsid w:val="005D52EF"/>
    <w:rsid w:val="005E1DC9"/>
    <w:rsid w:val="005E7495"/>
    <w:rsid w:val="005E7A7C"/>
    <w:rsid w:val="005F2377"/>
    <w:rsid w:val="005F7736"/>
    <w:rsid w:val="00604203"/>
    <w:rsid w:val="006050DF"/>
    <w:rsid w:val="006077E1"/>
    <w:rsid w:val="00612C1B"/>
    <w:rsid w:val="00621C12"/>
    <w:rsid w:val="00623E18"/>
    <w:rsid w:val="00625C5D"/>
    <w:rsid w:val="00634BDF"/>
    <w:rsid w:val="00635A22"/>
    <w:rsid w:val="00642083"/>
    <w:rsid w:val="0064310B"/>
    <w:rsid w:val="006526CB"/>
    <w:rsid w:val="0065550D"/>
    <w:rsid w:val="0066163D"/>
    <w:rsid w:val="00663E31"/>
    <w:rsid w:val="00664295"/>
    <w:rsid w:val="00665364"/>
    <w:rsid w:val="00667B35"/>
    <w:rsid w:val="00667C4F"/>
    <w:rsid w:val="006701FC"/>
    <w:rsid w:val="006713EB"/>
    <w:rsid w:val="00672391"/>
    <w:rsid w:val="00673A9B"/>
    <w:rsid w:val="006868DC"/>
    <w:rsid w:val="006876A8"/>
    <w:rsid w:val="00691BD5"/>
    <w:rsid w:val="0069438A"/>
    <w:rsid w:val="0069475D"/>
    <w:rsid w:val="006953A6"/>
    <w:rsid w:val="006A10EA"/>
    <w:rsid w:val="006A3B77"/>
    <w:rsid w:val="006A408C"/>
    <w:rsid w:val="006A49E3"/>
    <w:rsid w:val="006B03DC"/>
    <w:rsid w:val="006B0655"/>
    <w:rsid w:val="006B1EFD"/>
    <w:rsid w:val="006B2517"/>
    <w:rsid w:val="006C14E4"/>
    <w:rsid w:val="006C6DA8"/>
    <w:rsid w:val="006C7F61"/>
    <w:rsid w:val="006D0022"/>
    <w:rsid w:val="006D1829"/>
    <w:rsid w:val="006D407F"/>
    <w:rsid w:val="006E1A96"/>
    <w:rsid w:val="006E2615"/>
    <w:rsid w:val="006F0442"/>
    <w:rsid w:val="006F110A"/>
    <w:rsid w:val="006F5995"/>
    <w:rsid w:val="00706CAA"/>
    <w:rsid w:val="00714F0F"/>
    <w:rsid w:val="007160BE"/>
    <w:rsid w:val="00722F65"/>
    <w:rsid w:val="007257CD"/>
    <w:rsid w:val="00734A4F"/>
    <w:rsid w:val="007414C6"/>
    <w:rsid w:val="00743734"/>
    <w:rsid w:val="00762BCC"/>
    <w:rsid w:val="00763BA3"/>
    <w:rsid w:val="0076534E"/>
    <w:rsid w:val="00765B66"/>
    <w:rsid w:val="00767BB2"/>
    <w:rsid w:val="0077159C"/>
    <w:rsid w:val="00772DF0"/>
    <w:rsid w:val="00776D23"/>
    <w:rsid w:val="00780376"/>
    <w:rsid w:val="00780EE3"/>
    <w:rsid w:val="00791AAC"/>
    <w:rsid w:val="00793D82"/>
    <w:rsid w:val="00793F7C"/>
    <w:rsid w:val="0079513A"/>
    <w:rsid w:val="00796997"/>
    <w:rsid w:val="00797D4C"/>
    <w:rsid w:val="00797DEE"/>
    <w:rsid w:val="007B0500"/>
    <w:rsid w:val="007C0E7E"/>
    <w:rsid w:val="007C4098"/>
    <w:rsid w:val="007C5DFC"/>
    <w:rsid w:val="007D17C5"/>
    <w:rsid w:val="007D52EC"/>
    <w:rsid w:val="007D5B6C"/>
    <w:rsid w:val="007D6BFB"/>
    <w:rsid w:val="007D74BB"/>
    <w:rsid w:val="007D7892"/>
    <w:rsid w:val="007E1A57"/>
    <w:rsid w:val="007E2219"/>
    <w:rsid w:val="007F18C1"/>
    <w:rsid w:val="007F1CEE"/>
    <w:rsid w:val="0080145A"/>
    <w:rsid w:val="00807C77"/>
    <w:rsid w:val="00822813"/>
    <w:rsid w:val="0083735F"/>
    <w:rsid w:val="00837537"/>
    <w:rsid w:val="008423AD"/>
    <w:rsid w:val="00842766"/>
    <w:rsid w:val="008452ED"/>
    <w:rsid w:val="008505D6"/>
    <w:rsid w:val="00854EBF"/>
    <w:rsid w:val="00854F6E"/>
    <w:rsid w:val="00855F2A"/>
    <w:rsid w:val="0086094D"/>
    <w:rsid w:val="00864771"/>
    <w:rsid w:val="0086731C"/>
    <w:rsid w:val="00872382"/>
    <w:rsid w:val="0087677B"/>
    <w:rsid w:val="00880A37"/>
    <w:rsid w:val="00881EB8"/>
    <w:rsid w:val="00886906"/>
    <w:rsid w:val="008912FE"/>
    <w:rsid w:val="00891A24"/>
    <w:rsid w:val="008930BE"/>
    <w:rsid w:val="0089582A"/>
    <w:rsid w:val="008A245D"/>
    <w:rsid w:val="008A54FC"/>
    <w:rsid w:val="008A7CB9"/>
    <w:rsid w:val="008B70CD"/>
    <w:rsid w:val="008C3109"/>
    <w:rsid w:val="008C386B"/>
    <w:rsid w:val="008C720D"/>
    <w:rsid w:val="008C7A05"/>
    <w:rsid w:val="008D141C"/>
    <w:rsid w:val="008D2C13"/>
    <w:rsid w:val="008D2DE9"/>
    <w:rsid w:val="008D5729"/>
    <w:rsid w:val="008D7A0F"/>
    <w:rsid w:val="008E3BD8"/>
    <w:rsid w:val="008E4D34"/>
    <w:rsid w:val="008E6109"/>
    <w:rsid w:val="008F1AAA"/>
    <w:rsid w:val="008F396F"/>
    <w:rsid w:val="008F42AB"/>
    <w:rsid w:val="008F47AB"/>
    <w:rsid w:val="00905D39"/>
    <w:rsid w:val="00907A34"/>
    <w:rsid w:val="009170EA"/>
    <w:rsid w:val="00917EA1"/>
    <w:rsid w:val="0092076F"/>
    <w:rsid w:val="00930439"/>
    <w:rsid w:val="00933133"/>
    <w:rsid w:val="0093352D"/>
    <w:rsid w:val="0093669B"/>
    <w:rsid w:val="00937AEB"/>
    <w:rsid w:val="00940038"/>
    <w:rsid w:val="0095521C"/>
    <w:rsid w:val="00955678"/>
    <w:rsid w:val="009662E3"/>
    <w:rsid w:val="00966DD9"/>
    <w:rsid w:val="00980B0F"/>
    <w:rsid w:val="00985FBB"/>
    <w:rsid w:val="00986677"/>
    <w:rsid w:val="00993771"/>
    <w:rsid w:val="00993DFC"/>
    <w:rsid w:val="0099421C"/>
    <w:rsid w:val="00995C9E"/>
    <w:rsid w:val="009977CD"/>
    <w:rsid w:val="009A1E4D"/>
    <w:rsid w:val="009A2F3A"/>
    <w:rsid w:val="009A7A45"/>
    <w:rsid w:val="009C3803"/>
    <w:rsid w:val="009D2C13"/>
    <w:rsid w:val="009D3BA5"/>
    <w:rsid w:val="009D4BA1"/>
    <w:rsid w:val="009D7D5A"/>
    <w:rsid w:val="009E2FBA"/>
    <w:rsid w:val="009E4698"/>
    <w:rsid w:val="009E47EB"/>
    <w:rsid w:val="009E5197"/>
    <w:rsid w:val="009F1844"/>
    <w:rsid w:val="009F3A37"/>
    <w:rsid w:val="009F4F26"/>
    <w:rsid w:val="009F6A8F"/>
    <w:rsid w:val="009F6EA2"/>
    <w:rsid w:val="00A01F9D"/>
    <w:rsid w:val="00A02090"/>
    <w:rsid w:val="00A03731"/>
    <w:rsid w:val="00A061CE"/>
    <w:rsid w:val="00A076B5"/>
    <w:rsid w:val="00A16D54"/>
    <w:rsid w:val="00A17F69"/>
    <w:rsid w:val="00A23870"/>
    <w:rsid w:val="00A274DB"/>
    <w:rsid w:val="00A27800"/>
    <w:rsid w:val="00A30900"/>
    <w:rsid w:val="00A30D0F"/>
    <w:rsid w:val="00A3512F"/>
    <w:rsid w:val="00A41E1E"/>
    <w:rsid w:val="00A42FDF"/>
    <w:rsid w:val="00A55E0D"/>
    <w:rsid w:val="00A6411D"/>
    <w:rsid w:val="00A673EB"/>
    <w:rsid w:val="00A67F4D"/>
    <w:rsid w:val="00A7189B"/>
    <w:rsid w:val="00A73298"/>
    <w:rsid w:val="00A7467F"/>
    <w:rsid w:val="00A751C0"/>
    <w:rsid w:val="00A94F52"/>
    <w:rsid w:val="00A95ACB"/>
    <w:rsid w:val="00A97942"/>
    <w:rsid w:val="00AA079B"/>
    <w:rsid w:val="00AA086A"/>
    <w:rsid w:val="00AA2750"/>
    <w:rsid w:val="00AB0EC5"/>
    <w:rsid w:val="00AC04E6"/>
    <w:rsid w:val="00AC0EA5"/>
    <w:rsid w:val="00AC24C4"/>
    <w:rsid w:val="00AC2686"/>
    <w:rsid w:val="00AD0C8E"/>
    <w:rsid w:val="00AD1BE1"/>
    <w:rsid w:val="00AD7257"/>
    <w:rsid w:val="00AF0889"/>
    <w:rsid w:val="00AF2514"/>
    <w:rsid w:val="00AF2D0C"/>
    <w:rsid w:val="00AF47AE"/>
    <w:rsid w:val="00AF4C0E"/>
    <w:rsid w:val="00AF68B1"/>
    <w:rsid w:val="00B05893"/>
    <w:rsid w:val="00B076C5"/>
    <w:rsid w:val="00B14E5E"/>
    <w:rsid w:val="00B15427"/>
    <w:rsid w:val="00B17C49"/>
    <w:rsid w:val="00B21201"/>
    <w:rsid w:val="00B24147"/>
    <w:rsid w:val="00B25910"/>
    <w:rsid w:val="00B26973"/>
    <w:rsid w:val="00B307D4"/>
    <w:rsid w:val="00B30D3B"/>
    <w:rsid w:val="00B432D4"/>
    <w:rsid w:val="00B43A79"/>
    <w:rsid w:val="00B5143C"/>
    <w:rsid w:val="00B5300A"/>
    <w:rsid w:val="00B5315C"/>
    <w:rsid w:val="00B576D7"/>
    <w:rsid w:val="00B643ED"/>
    <w:rsid w:val="00B647C8"/>
    <w:rsid w:val="00B64A22"/>
    <w:rsid w:val="00B80892"/>
    <w:rsid w:val="00B80CAD"/>
    <w:rsid w:val="00B82735"/>
    <w:rsid w:val="00B83765"/>
    <w:rsid w:val="00B92306"/>
    <w:rsid w:val="00B92861"/>
    <w:rsid w:val="00BA026D"/>
    <w:rsid w:val="00BA7A69"/>
    <w:rsid w:val="00BB0E4F"/>
    <w:rsid w:val="00BB15E2"/>
    <w:rsid w:val="00BB77A4"/>
    <w:rsid w:val="00BC1676"/>
    <w:rsid w:val="00BC25AB"/>
    <w:rsid w:val="00BD05AD"/>
    <w:rsid w:val="00BD28DF"/>
    <w:rsid w:val="00BD6876"/>
    <w:rsid w:val="00BE0B23"/>
    <w:rsid w:val="00BE2864"/>
    <w:rsid w:val="00BF3BB0"/>
    <w:rsid w:val="00BF5215"/>
    <w:rsid w:val="00BF54DC"/>
    <w:rsid w:val="00BF628D"/>
    <w:rsid w:val="00C00565"/>
    <w:rsid w:val="00C00E2F"/>
    <w:rsid w:val="00C0338A"/>
    <w:rsid w:val="00C0637E"/>
    <w:rsid w:val="00C076BF"/>
    <w:rsid w:val="00C11CE0"/>
    <w:rsid w:val="00C212B5"/>
    <w:rsid w:val="00C25F81"/>
    <w:rsid w:val="00C27F02"/>
    <w:rsid w:val="00C3091B"/>
    <w:rsid w:val="00C32C20"/>
    <w:rsid w:val="00C33917"/>
    <w:rsid w:val="00C44908"/>
    <w:rsid w:val="00C504F4"/>
    <w:rsid w:val="00C512DE"/>
    <w:rsid w:val="00C552EB"/>
    <w:rsid w:val="00C573FF"/>
    <w:rsid w:val="00C57E85"/>
    <w:rsid w:val="00C624E4"/>
    <w:rsid w:val="00C65BB4"/>
    <w:rsid w:val="00C65C2A"/>
    <w:rsid w:val="00C666D6"/>
    <w:rsid w:val="00C72549"/>
    <w:rsid w:val="00C72C97"/>
    <w:rsid w:val="00C7422D"/>
    <w:rsid w:val="00C74DC6"/>
    <w:rsid w:val="00C77912"/>
    <w:rsid w:val="00C77F84"/>
    <w:rsid w:val="00C803AB"/>
    <w:rsid w:val="00C8071C"/>
    <w:rsid w:val="00C816CB"/>
    <w:rsid w:val="00C823A1"/>
    <w:rsid w:val="00C82461"/>
    <w:rsid w:val="00C85958"/>
    <w:rsid w:val="00C91E3B"/>
    <w:rsid w:val="00C93F71"/>
    <w:rsid w:val="00CA07CC"/>
    <w:rsid w:val="00CA0A54"/>
    <w:rsid w:val="00CA25B5"/>
    <w:rsid w:val="00CA4FCE"/>
    <w:rsid w:val="00CA5A0C"/>
    <w:rsid w:val="00CA5F8F"/>
    <w:rsid w:val="00CB05A7"/>
    <w:rsid w:val="00CB6580"/>
    <w:rsid w:val="00CC2B3E"/>
    <w:rsid w:val="00CC5A6F"/>
    <w:rsid w:val="00CD07E7"/>
    <w:rsid w:val="00CD2285"/>
    <w:rsid w:val="00CD5CE8"/>
    <w:rsid w:val="00CE271A"/>
    <w:rsid w:val="00CE6FF5"/>
    <w:rsid w:val="00CF5245"/>
    <w:rsid w:val="00CF6F6A"/>
    <w:rsid w:val="00CF7417"/>
    <w:rsid w:val="00D06683"/>
    <w:rsid w:val="00D07B1A"/>
    <w:rsid w:val="00D07F4A"/>
    <w:rsid w:val="00D1101B"/>
    <w:rsid w:val="00D1167E"/>
    <w:rsid w:val="00D14543"/>
    <w:rsid w:val="00D21634"/>
    <w:rsid w:val="00D234E7"/>
    <w:rsid w:val="00D27411"/>
    <w:rsid w:val="00D30E46"/>
    <w:rsid w:val="00D35404"/>
    <w:rsid w:val="00D3663D"/>
    <w:rsid w:val="00D4349F"/>
    <w:rsid w:val="00D458D2"/>
    <w:rsid w:val="00D46128"/>
    <w:rsid w:val="00D476F5"/>
    <w:rsid w:val="00D47EF6"/>
    <w:rsid w:val="00D50AC8"/>
    <w:rsid w:val="00D60476"/>
    <w:rsid w:val="00D60A44"/>
    <w:rsid w:val="00D60F43"/>
    <w:rsid w:val="00D63D79"/>
    <w:rsid w:val="00D643D5"/>
    <w:rsid w:val="00D67F77"/>
    <w:rsid w:val="00D7390F"/>
    <w:rsid w:val="00D73D19"/>
    <w:rsid w:val="00D74F04"/>
    <w:rsid w:val="00D75739"/>
    <w:rsid w:val="00D90913"/>
    <w:rsid w:val="00D9272F"/>
    <w:rsid w:val="00D92BEC"/>
    <w:rsid w:val="00DA18F2"/>
    <w:rsid w:val="00DA59C6"/>
    <w:rsid w:val="00DA6D88"/>
    <w:rsid w:val="00DB17F9"/>
    <w:rsid w:val="00DB24C1"/>
    <w:rsid w:val="00DB3FA8"/>
    <w:rsid w:val="00DB4466"/>
    <w:rsid w:val="00DC74F1"/>
    <w:rsid w:val="00DD3D6D"/>
    <w:rsid w:val="00DD4BC5"/>
    <w:rsid w:val="00DD4D45"/>
    <w:rsid w:val="00DD5136"/>
    <w:rsid w:val="00DD6973"/>
    <w:rsid w:val="00DE2754"/>
    <w:rsid w:val="00DE7437"/>
    <w:rsid w:val="00DE7F0B"/>
    <w:rsid w:val="00DF2C67"/>
    <w:rsid w:val="00DF3AE2"/>
    <w:rsid w:val="00DF7D21"/>
    <w:rsid w:val="00E03771"/>
    <w:rsid w:val="00E059C5"/>
    <w:rsid w:val="00E05F47"/>
    <w:rsid w:val="00E10D63"/>
    <w:rsid w:val="00E11D7E"/>
    <w:rsid w:val="00E14334"/>
    <w:rsid w:val="00E2303A"/>
    <w:rsid w:val="00E343BD"/>
    <w:rsid w:val="00E348D9"/>
    <w:rsid w:val="00E36601"/>
    <w:rsid w:val="00E46600"/>
    <w:rsid w:val="00E53052"/>
    <w:rsid w:val="00E60351"/>
    <w:rsid w:val="00E668CE"/>
    <w:rsid w:val="00E676F6"/>
    <w:rsid w:val="00E71AE7"/>
    <w:rsid w:val="00E752E6"/>
    <w:rsid w:val="00E76B4A"/>
    <w:rsid w:val="00E81E84"/>
    <w:rsid w:val="00E82714"/>
    <w:rsid w:val="00E878F3"/>
    <w:rsid w:val="00E87F1F"/>
    <w:rsid w:val="00E90896"/>
    <w:rsid w:val="00E968DF"/>
    <w:rsid w:val="00EA03CE"/>
    <w:rsid w:val="00EA1380"/>
    <w:rsid w:val="00EA2ED5"/>
    <w:rsid w:val="00EA6088"/>
    <w:rsid w:val="00EB09F1"/>
    <w:rsid w:val="00EB7A50"/>
    <w:rsid w:val="00EC072C"/>
    <w:rsid w:val="00EC1A2C"/>
    <w:rsid w:val="00EC4DC6"/>
    <w:rsid w:val="00ED2C10"/>
    <w:rsid w:val="00ED43CD"/>
    <w:rsid w:val="00EE2927"/>
    <w:rsid w:val="00EE6194"/>
    <w:rsid w:val="00EF2060"/>
    <w:rsid w:val="00F006F3"/>
    <w:rsid w:val="00F11542"/>
    <w:rsid w:val="00F13F4E"/>
    <w:rsid w:val="00F207C3"/>
    <w:rsid w:val="00F211A3"/>
    <w:rsid w:val="00F212EB"/>
    <w:rsid w:val="00F21377"/>
    <w:rsid w:val="00F23D13"/>
    <w:rsid w:val="00F23EE2"/>
    <w:rsid w:val="00F32DEC"/>
    <w:rsid w:val="00F43E24"/>
    <w:rsid w:val="00F45561"/>
    <w:rsid w:val="00F465D3"/>
    <w:rsid w:val="00F51BD6"/>
    <w:rsid w:val="00F56F06"/>
    <w:rsid w:val="00F56F62"/>
    <w:rsid w:val="00F62D48"/>
    <w:rsid w:val="00F70B37"/>
    <w:rsid w:val="00F73815"/>
    <w:rsid w:val="00F7770D"/>
    <w:rsid w:val="00F832A5"/>
    <w:rsid w:val="00F8405D"/>
    <w:rsid w:val="00F8458F"/>
    <w:rsid w:val="00F905E7"/>
    <w:rsid w:val="00F91FDD"/>
    <w:rsid w:val="00F9243A"/>
    <w:rsid w:val="00F92DB2"/>
    <w:rsid w:val="00F93115"/>
    <w:rsid w:val="00F96A41"/>
    <w:rsid w:val="00FA045C"/>
    <w:rsid w:val="00FA460F"/>
    <w:rsid w:val="00FA4E32"/>
    <w:rsid w:val="00FA5792"/>
    <w:rsid w:val="00FB04BE"/>
    <w:rsid w:val="00FB0D96"/>
    <w:rsid w:val="00FB200D"/>
    <w:rsid w:val="00FB3342"/>
    <w:rsid w:val="00FB3571"/>
    <w:rsid w:val="00FB3D3F"/>
    <w:rsid w:val="00FB4F1D"/>
    <w:rsid w:val="00FC46F7"/>
    <w:rsid w:val="00FC4FAC"/>
    <w:rsid w:val="00FD08F0"/>
    <w:rsid w:val="00FE185B"/>
    <w:rsid w:val="00FE6E0F"/>
    <w:rsid w:val="00FE7056"/>
    <w:rsid w:val="00FE7EEC"/>
    <w:rsid w:val="00FF0E5A"/>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ockticker"/>
  <w:shapeDefaults>
    <o:shapedefaults v:ext="edit" spidmax="2050">
      <o:colormru v:ext="edit" colors="#7b6c58,#887e6e,#b0a696"/>
    </o:shapedefaults>
    <o:shapelayout v:ext="edit">
      <o:idmap v:ext="edit" data="2"/>
    </o:shapelayout>
  </w:shapeDefaults>
  <w:decimalSymbol w:val="."/>
  <w:listSeparator w:val=","/>
  <w14:docId w14:val="18A36C9F"/>
  <w15:docId w15:val="{17E58EF1-1B50-43FD-9A04-0DEEFB361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a-DK" w:eastAsia="en-US" w:bidi="ar-SA"/>
      </w:rPr>
    </w:rPrDefault>
    <w:pPrDefault>
      <w:pPr>
        <w:spacing w:before="240" w:after="60"/>
        <w:jc w:val="both"/>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0"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0" w:qFormat="1"/>
    <w:lsdException w:name="Emphasis" w:locked="0" w:uiPriority="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semiHidden="1" w:uiPriority="31" w:qFormat="1"/>
    <w:lsdException w:name="Intense Reference" w:semiHidden="1" w:uiPriority="0"/>
    <w:lsdException w:name="Book Title" w:semiHidden="1"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ECC Base"/>
    <w:semiHidden/>
    <w:qFormat/>
    <w:rsid w:val="00714F0F"/>
    <w:rPr>
      <w:rFonts w:eastAsia="Calibri"/>
      <w:szCs w:val="22"/>
      <w:lang w:val="en-GB"/>
    </w:rPr>
  </w:style>
  <w:style w:type="paragraph" w:styleId="Heading1">
    <w:name w:val="heading 1"/>
    <w:aliases w:val="ECC Heading 1"/>
    <w:next w:val="Normal"/>
    <w:qFormat/>
    <w:rsid w:val="00A751C0"/>
    <w:pPr>
      <w:keepNext/>
      <w:numPr>
        <w:numId w:val="6"/>
      </w:numPr>
      <w:spacing w:before="600"/>
      <w:ind w:left="431" w:hanging="431"/>
      <w:outlineLvl w:val="0"/>
    </w:pPr>
    <w:rPr>
      <w:rFonts w:cs="Arial"/>
      <w:b/>
      <w:bCs/>
      <w:caps/>
      <w:color w:val="D2232A"/>
      <w:kern w:val="32"/>
      <w:szCs w:val="32"/>
    </w:rPr>
  </w:style>
  <w:style w:type="paragraph" w:styleId="Heading2">
    <w:name w:val="heading 2"/>
    <w:aliases w:val="ECC Heading 2"/>
    <w:next w:val="Normal"/>
    <w:qFormat/>
    <w:rsid w:val="00F51BD6"/>
    <w:pPr>
      <w:keepNext/>
      <w:numPr>
        <w:ilvl w:val="1"/>
        <w:numId w:val="6"/>
      </w:numPr>
      <w:spacing w:before="480"/>
      <w:ind w:left="578" w:hanging="578"/>
      <w:outlineLvl w:val="1"/>
    </w:pPr>
    <w:rPr>
      <w:rFonts w:cs="Arial"/>
      <w:b/>
      <w:bCs/>
      <w:iCs/>
      <w:caps/>
      <w:szCs w:val="28"/>
    </w:rPr>
  </w:style>
  <w:style w:type="paragraph" w:styleId="Heading3">
    <w:name w:val="heading 3"/>
    <w:aliases w:val="ECC Heading 3"/>
    <w:next w:val="Normal"/>
    <w:qFormat/>
    <w:rsid w:val="00E2303A"/>
    <w:pPr>
      <w:keepNext/>
      <w:numPr>
        <w:ilvl w:val="2"/>
        <w:numId w:val="6"/>
      </w:numPr>
      <w:spacing w:before="360"/>
      <w:outlineLvl w:val="2"/>
    </w:pPr>
    <w:rPr>
      <w:rFonts w:cs="Arial"/>
      <w:b/>
      <w:bCs/>
      <w:szCs w:val="26"/>
    </w:rPr>
  </w:style>
  <w:style w:type="paragraph" w:styleId="Heading4">
    <w:name w:val="heading 4"/>
    <w:aliases w:val="ECC Heading 4"/>
    <w:next w:val="Normal"/>
    <w:qFormat/>
    <w:rsid w:val="00F51BD6"/>
    <w:pPr>
      <w:numPr>
        <w:ilvl w:val="3"/>
        <w:numId w:val="6"/>
      </w:numPr>
      <w:spacing w:before="360"/>
      <w:ind w:left="862" w:hanging="862"/>
      <w:outlineLvl w:val="3"/>
    </w:pPr>
    <w:rPr>
      <w:rFonts w:cs="Arial"/>
      <w:bCs/>
      <w:i/>
      <w:color w:val="D2232A"/>
      <w:szCs w:val="26"/>
    </w:rPr>
  </w:style>
  <w:style w:type="paragraph" w:styleId="Heading5">
    <w:name w:val="heading 5"/>
    <w:basedOn w:val="Normal"/>
    <w:next w:val="Normal"/>
    <w:qFormat/>
    <w:locked/>
    <w:rsid w:val="009E47EB"/>
    <w:pPr>
      <w:numPr>
        <w:ilvl w:val="4"/>
        <w:numId w:val="6"/>
      </w:numPr>
      <w:outlineLvl w:val="4"/>
    </w:pPr>
    <w:rPr>
      <w:b/>
      <w:bCs/>
      <w:i/>
      <w:iCs/>
      <w:sz w:val="26"/>
      <w:szCs w:val="26"/>
    </w:rPr>
  </w:style>
  <w:style w:type="paragraph" w:styleId="Heading6">
    <w:name w:val="heading 6"/>
    <w:basedOn w:val="Normal"/>
    <w:next w:val="Normal"/>
    <w:qFormat/>
    <w:locked/>
    <w:rsid w:val="009E47EB"/>
    <w:pPr>
      <w:numPr>
        <w:ilvl w:val="5"/>
        <w:numId w:val="6"/>
      </w:numPr>
      <w:outlineLvl w:val="5"/>
    </w:pPr>
    <w:rPr>
      <w:b/>
      <w:bCs/>
      <w:sz w:val="22"/>
    </w:rPr>
  </w:style>
  <w:style w:type="paragraph" w:styleId="Heading7">
    <w:name w:val="heading 7"/>
    <w:basedOn w:val="Normal"/>
    <w:next w:val="Normal"/>
    <w:qFormat/>
    <w:locked/>
    <w:rsid w:val="009E47EB"/>
    <w:pPr>
      <w:numPr>
        <w:ilvl w:val="6"/>
        <w:numId w:val="6"/>
      </w:numPr>
      <w:outlineLvl w:val="6"/>
    </w:pPr>
    <w:rPr>
      <w:sz w:val="24"/>
    </w:rPr>
  </w:style>
  <w:style w:type="paragraph" w:styleId="Heading8">
    <w:name w:val="heading 8"/>
    <w:basedOn w:val="Normal"/>
    <w:next w:val="Normal"/>
    <w:qFormat/>
    <w:locked/>
    <w:rsid w:val="009E47EB"/>
    <w:pPr>
      <w:numPr>
        <w:ilvl w:val="7"/>
        <w:numId w:val="6"/>
      </w:numPr>
      <w:outlineLvl w:val="7"/>
    </w:pPr>
    <w:rPr>
      <w:i/>
      <w:iCs/>
      <w:sz w:val="24"/>
    </w:rPr>
  </w:style>
  <w:style w:type="paragraph" w:styleId="Heading9">
    <w:name w:val="heading 9"/>
    <w:basedOn w:val="Normal"/>
    <w:next w:val="Normal"/>
    <w:qFormat/>
    <w:locked/>
    <w:rsid w:val="009E47EB"/>
    <w:pPr>
      <w:numPr>
        <w:ilvl w:val="8"/>
        <w:numId w:val="6"/>
      </w:numPr>
      <w:outlineLvl w:val="8"/>
    </w:pPr>
    <w:rPr>
      <w:rFonts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BulletsLv1">
    <w:name w:val="ECC Bullets Lv1"/>
    <w:basedOn w:val="Normal"/>
    <w:rsid w:val="00714F0F"/>
    <w:pPr>
      <w:numPr>
        <w:numId w:val="2"/>
      </w:numPr>
      <w:tabs>
        <w:tab w:val="left" w:pos="340"/>
      </w:tabs>
      <w:spacing w:before="60" w:after="0" w:line="288" w:lineRule="auto"/>
      <w:ind w:left="340" w:hanging="340"/>
      <w:contextualSpacing/>
    </w:pPr>
  </w:style>
  <w:style w:type="paragraph" w:styleId="Header">
    <w:name w:val="header"/>
    <w:aliases w:val="encabezado,he,header odd,header odd1,header odd2,header"/>
    <w:basedOn w:val="Normal"/>
    <w:locked/>
    <w:rsid w:val="00C95C7C"/>
    <w:pPr>
      <w:tabs>
        <w:tab w:val="center" w:pos="4320"/>
        <w:tab w:val="right" w:pos="8640"/>
      </w:tabs>
    </w:pPr>
    <w:rPr>
      <w:b/>
      <w:sz w:val="16"/>
    </w:rPr>
  </w:style>
  <w:style w:type="paragraph" w:customStyle="1" w:styleId="ECCBox">
    <w:name w:val="ECC Box"/>
    <w:link w:val="ECCBoxZchn"/>
    <w:uiPriority w:val="99"/>
    <w:rsid w:val="0042761F"/>
    <w:pPr>
      <w:keepLines/>
      <w:pBdr>
        <w:top w:val="single" w:sz="12" w:space="4" w:color="auto"/>
        <w:left w:val="single" w:sz="12" w:space="4" w:color="auto"/>
        <w:bottom w:val="single" w:sz="12" w:space="4" w:color="auto"/>
        <w:right w:val="single" w:sz="12" w:space="4" w:color="auto"/>
      </w:pBdr>
      <w:spacing w:before="60"/>
    </w:pPr>
    <w:rPr>
      <w:lang w:eastAsia="de-DE"/>
    </w:rPr>
  </w:style>
  <w:style w:type="paragraph" w:customStyle="1" w:styleId="ECCAnnexheading1">
    <w:name w:val="ECC Annex heading1"/>
    <w:next w:val="Normal"/>
    <w:qFormat/>
    <w:rsid w:val="00E2303A"/>
    <w:pPr>
      <w:keepNext/>
      <w:pageBreakBefore/>
      <w:numPr>
        <w:numId w:val="1"/>
      </w:numPr>
    </w:pPr>
    <w:rPr>
      <w:b/>
      <w:caps/>
      <w:color w:val="D2232A"/>
    </w:rPr>
  </w:style>
  <w:style w:type="paragraph" w:styleId="TOC1">
    <w:name w:val="toc 1"/>
    <w:aliases w:val="ECC Index 1"/>
    <w:basedOn w:val="Normal"/>
    <w:link w:val="TOC1Char"/>
    <w:uiPriority w:val="39"/>
    <w:semiHidden/>
    <w:qFormat/>
    <w:rsid w:val="0038287C"/>
    <w:pPr>
      <w:tabs>
        <w:tab w:val="left" w:pos="425"/>
        <w:tab w:val="right" w:leader="dot" w:pos="9639"/>
      </w:tabs>
      <w:spacing w:after="0"/>
      <w:ind w:left="425" w:hanging="425"/>
    </w:pPr>
    <w:rPr>
      <w:b/>
      <w:noProof/>
      <w:szCs w:val="20"/>
      <w:lang w:val="da-DK"/>
    </w:rPr>
  </w:style>
  <w:style w:type="paragraph" w:styleId="FootnoteText">
    <w:name w:val="footnote text"/>
    <w:aliases w:val="ECC Footnote"/>
    <w:basedOn w:val="Normal"/>
    <w:link w:val="FootnoteTextChar"/>
    <w:rsid w:val="001526A2"/>
    <w:pPr>
      <w:widowControl w:val="0"/>
      <w:tabs>
        <w:tab w:val="left" w:pos="284"/>
      </w:tabs>
      <w:spacing w:after="0"/>
      <w:ind w:left="284" w:hanging="284"/>
    </w:pPr>
    <w:rPr>
      <w:sz w:val="16"/>
      <w:szCs w:val="16"/>
      <w:lang w:val="da-DK"/>
      <w14:cntxtAlts/>
    </w:rPr>
  </w:style>
  <w:style w:type="paragraph" w:styleId="TOC2">
    <w:name w:val="toc 2"/>
    <w:aliases w:val="ECC Index 2"/>
    <w:basedOn w:val="Normal"/>
    <w:uiPriority w:val="39"/>
    <w:semiHidden/>
    <w:qFormat/>
    <w:rsid w:val="0038287C"/>
    <w:pPr>
      <w:tabs>
        <w:tab w:val="left" w:pos="993"/>
        <w:tab w:val="right" w:leader="dot" w:pos="9639"/>
      </w:tabs>
      <w:spacing w:before="0" w:after="0"/>
      <w:ind w:left="992" w:hanging="567"/>
    </w:pPr>
    <w:rPr>
      <w:noProof/>
      <w:szCs w:val="20"/>
      <w:lang w:val="da-DK"/>
    </w:rPr>
  </w:style>
  <w:style w:type="paragraph" w:styleId="TOC3">
    <w:name w:val="toc 3"/>
    <w:aliases w:val="ECC Index 3"/>
    <w:basedOn w:val="Normal"/>
    <w:uiPriority w:val="39"/>
    <w:semiHidden/>
    <w:qFormat/>
    <w:rsid w:val="0038287C"/>
    <w:pPr>
      <w:tabs>
        <w:tab w:val="left" w:pos="1701"/>
        <w:tab w:val="right" w:leader="dot" w:pos="9639"/>
      </w:tabs>
      <w:spacing w:before="0" w:after="0"/>
      <w:ind w:left="1701" w:hanging="709"/>
    </w:pPr>
    <w:rPr>
      <w:noProof/>
      <w:szCs w:val="20"/>
      <w:lang w:val="da-DK"/>
    </w:rPr>
  </w:style>
  <w:style w:type="paragraph" w:styleId="TOC4">
    <w:name w:val="toc 4"/>
    <w:aliases w:val="ECC Index 4"/>
    <w:basedOn w:val="Normal"/>
    <w:uiPriority w:val="39"/>
    <w:semiHidden/>
    <w:rsid w:val="0038287C"/>
    <w:pPr>
      <w:tabs>
        <w:tab w:val="left" w:pos="2552"/>
        <w:tab w:val="right" w:leader="dot" w:pos="9639"/>
      </w:tabs>
      <w:spacing w:before="0" w:after="0"/>
      <w:ind w:left="2552" w:hanging="851"/>
    </w:pPr>
    <w:rPr>
      <w:noProof/>
      <w:szCs w:val="20"/>
      <w:lang w:val="da-DK"/>
    </w:rPr>
  </w:style>
  <w:style w:type="character" w:customStyle="1" w:styleId="ECCHLgreen">
    <w:name w:val="ECC HL green"/>
    <w:basedOn w:val="DefaultParagraphFont"/>
    <w:uiPriority w:val="1"/>
    <w:qFormat/>
    <w:rsid w:val="0038287C"/>
    <w:rPr>
      <w:bdr w:val="none" w:sz="0" w:space="0" w:color="auto"/>
      <w:shd w:val="solid" w:color="92D050" w:fill="auto"/>
      <w:lang w:val="en-GB"/>
    </w:rPr>
  </w:style>
  <w:style w:type="character" w:customStyle="1" w:styleId="FootnoteTextChar">
    <w:name w:val="Footnote Text Char"/>
    <w:aliases w:val="ECC Footnote Char"/>
    <w:basedOn w:val="DefaultParagraphFont"/>
    <w:link w:val="FootnoteText"/>
    <w:rsid w:val="001526A2"/>
    <w:rPr>
      <w:rFonts w:eastAsia="Calibri"/>
      <w:sz w:val="16"/>
      <w:szCs w:val="16"/>
      <w14:cntxtAlts/>
    </w:rPr>
  </w:style>
  <w:style w:type="character" w:styleId="FootnoteReference">
    <w:name w:val="footnote reference"/>
    <w:aliases w:val="ECC Footnote number"/>
    <w:basedOn w:val="DefaultParagraphFont"/>
    <w:rsid w:val="00DB17F9"/>
    <w:rPr>
      <w:rFonts w:ascii="Arial" w:hAnsi="Arial"/>
      <w:sz w:val="20"/>
      <w:vertAlign w:val="superscript"/>
    </w:rPr>
  </w:style>
  <w:style w:type="paragraph" w:styleId="Caption">
    <w:name w:val="caption"/>
    <w:aliases w:val="ECC Caption"/>
    <w:next w:val="Normal"/>
    <w:qFormat/>
    <w:rsid w:val="0038287C"/>
    <w:pPr>
      <w:keepLines/>
      <w:tabs>
        <w:tab w:val="left" w:pos="0"/>
        <w:tab w:val="center" w:pos="4820"/>
        <w:tab w:val="right" w:pos="9639"/>
      </w:tabs>
      <w:spacing w:after="240"/>
      <w:contextualSpacing/>
      <w:jc w:val="center"/>
    </w:pPr>
    <w:rPr>
      <w:b/>
      <w:bCs/>
      <w:color w:val="D2232A"/>
    </w:rPr>
  </w:style>
  <w:style w:type="paragraph" w:customStyle="1" w:styleId="ECCTablenote">
    <w:name w:val="ECC Table note"/>
    <w:qFormat/>
    <w:rsid w:val="00714F0F"/>
    <w:pPr>
      <w:spacing w:before="0"/>
      <w:ind w:left="284" w:hanging="284"/>
    </w:pPr>
    <w:rPr>
      <w:sz w:val="16"/>
      <w:szCs w:val="16"/>
      <w:lang w:val="en-GB"/>
    </w:rPr>
  </w:style>
  <w:style w:type="paragraph" w:customStyle="1" w:styleId="ECCBulletsLv2">
    <w:name w:val="ECC Bullets Lv2"/>
    <w:basedOn w:val="ECCBulletsLv1"/>
    <w:rsid w:val="00E36601"/>
    <w:pPr>
      <w:tabs>
        <w:tab w:val="clear" w:pos="340"/>
        <w:tab w:val="left" w:pos="680"/>
      </w:tabs>
      <w:ind w:left="680"/>
    </w:pPr>
  </w:style>
  <w:style w:type="paragraph" w:customStyle="1" w:styleId="ECCAnnexheading2">
    <w:name w:val="ECC Annex heading2"/>
    <w:next w:val="Normal"/>
    <w:rsid w:val="00E2303A"/>
    <w:pPr>
      <w:numPr>
        <w:ilvl w:val="1"/>
        <w:numId w:val="1"/>
      </w:numPr>
      <w:overflowPunct w:val="0"/>
      <w:autoSpaceDE w:val="0"/>
      <w:autoSpaceDN w:val="0"/>
      <w:adjustRightInd w:val="0"/>
      <w:spacing w:before="480" w:after="240"/>
      <w:textAlignment w:val="baseline"/>
    </w:pPr>
    <w:rPr>
      <w:b/>
      <w:caps/>
    </w:rPr>
  </w:style>
  <w:style w:type="paragraph" w:customStyle="1" w:styleId="ECCAnnexheading3">
    <w:name w:val="ECC Annex heading3"/>
    <w:next w:val="Normal"/>
    <w:rsid w:val="0001112E"/>
    <w:pPr>
      <w:numPr>
        <w:ilvl w:val="2"/>
        <w:numId w:val="1"/>
      </w:numPr>
      <w:overflowPunct w:val="0"/>
      <w:autoSpaceDE w:val="0"/>
      <w:autoSpaceDN w:val="0"/>
      <w:adjustRightInd w:val="0"/>
      <w:spacing w:before="360"/>
      <w:textAlignment w:val="baseline"/>
    </w:pPr>
    <w:rPr>
      <w:b/>
    </w:rPr>
  </w:style>
  <w:style w:type="paragraph" w:customStyle="1" w:styleId="ECCAnnexheading4">
    <w:name w:val="ECC Annex heading4"/>
    <w:next w:val="Normal"/>
    <w:rsid w:val="00E2303A"/>
    <w:pPr>
      <w:numPr>
        <w:ilvl w:val="3"/>
        <w:numId w:val="1"/>
      </w:numPr>
      <w:overflowPunct w:val="0"/>
      <w:autoSpaceDE w:val="0"/>
      <w:autoSpaceDN w:val="0"/>
      <w:adjustRightInd w:val="0"/>
      <w:spacing w:before="360"/>
      <w:textAlignment w:val="baseline"/>
    </w:pPr>
    <w:rPr>
      <w:i/>
      <w:color w:val="D2232A"/>
    </w:rPr>
  </w:style>
  <w:style w:type="paragraph" w:customStyle="1" w:styleId="ECCBulletsLv3">
    <w:name w:val="ECC Bullets Lv3"/>
    <w:basedOn w:val="ECCBulletsLv1"/>
    <w:rsid w:val="00E36601"/>
    <w:pPr>
      <w:tabs>
        <w:tab w:val="clear" w:pos="340"/>
        <w:tab w:val="left" w:pos="1021"/>
      </w:tabs>
      <w:ind w:left="1020"/>
    </w:pPr>
  </w:style>
  <w:style w:type="paragraph" w:customStyle="1" w:styleId="ECCStatement">
    <w:name w:val="ECC Statement"/>
    <w:basedOn w:val="Normal"/>
    <w:rsid w:val="0038287C"/>
    <w:rPr>
      <w:i/>
    </w:rPr>
  </w:style>
  <w:style w:type="paragraph" w:customStyle="1" w:styleId="ECCLetteredList">
    <w:name w:val="ECC Lettered List"/>
    <w:rsid w:val="00F51BD6"/>
    <w:pPr>
      <w:numPr>
        <w:ilvl w:val="1"/>
        <w:numId w:val="3"/>
      </w:numPr>
      <w:spacing w:after="0"/>
    </w:pPr>
  </w:style>
  <w:style w:type="paragraph" w:customStyle="1" w:styleId="ECCNumberedList">
    <w:name w:val="ECC Numbered List"/>
    <w:basedOn w:val="Normal"/>
    <w:rsid w:val="00714F0F"/>
    <w:pPr>
      <w:numPr>
        <w:numId w:val="4"/>
      </w:numPr>
      <w:spacing w:after="0"/>
    </w:pPr>
    <w:rPr>
      <w:szCs w:val="20"/>
    </w:rPr>
  </w:style>
  <w:style w:type="paragraph" w:customStyle="1" w:styleId="ECCReference">
    <w:name w:val="ECC Reference"/>
    <w:basedOn w:val="Normal"/>
    <w:qFormat/>
    <w:rsid w:val="0038287C"/>
    <w:pPr>
      <w:numPr>
        <w:numId w:val="5"/>
      </w:numPr>
      <w:spacing w:before="0" w:after="0"/>
    </w:pPr>
    <w:rPr>
      <w:lang w:eastAsia="ja-JP"/>
    </w:rPr>
  </w:style>
  <w:style w:type="paragraph" w:styleId="BalloonText">
    <w:name w:val="Balloon Text"/>
    <w:basedOn w:val="Normal"/>
    <w:link w:val="BalloonTextChar"/>
    <w:uiPriority w:val="99"/>
    <w:semiHidden/>
    <w:unhideWhenUsed/>
    <w:locked/>
    <w:rsid w:val="009E47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E47EB"/>
    <w:rPr>
      <w:rFonts w:ascii="Lucida Grande" w:hAnsi="Lucida Grande" w:cs="Lucida Grande"/>
      <w:sz w:val="18"/>
      <w:szCs w:val="18"/>
      <w:lang w:val="en-US"/>
    </w:rPr>
  </w:style>
  <w:style w:type="paragraph" w:customStyle="1" w:styleId="ECCEditorsNote">
    <w:name w:val="ECC Editor's Note"/>
    <w:next w:val="Normal"/>
    <w:rsid w:val="00C512DE"/>
    <w:pPr>
      <w:numPr>
        <w:numId w:val="9"/>
      </w:numPr>
      <w:shd w:val="solid" w:color="FFFF00" w:fill="auto"/>
      <w:spacing w:before="120"/>
    </w:pPr>
    <w:rPr>
      <w:rFonts w:eastAsia="Calibri"/>
      <w:szCs w:val="22"/>
      <w:lang w:eastAsia="de-DE"/>
    </w:rPr>
  </w:style>
  <w:style w:type="paragraph" w:customStyle="1" w:styleId="ECCpageHeader">
    <w:name w:val="ECC page Header"/>
    <w:rsid w:val="00E36601"/>
    <w:pPr>
      <w:tabs>
        <w:tab w:val="left" w:pos="0"/>
        <w:tab w:val="center" w:pos="4820"/>
        <w:tab w:val="right" w:pos="9639"/>
      </w:tabs>
      <w:spacing w:before="0" w:after="0"/>
    </w:pPr>
    <w:rPr>
      <w:b/>
      <w:sz w:val="16"/>
    </w:rPr>
  </w:style>
  <w:style w:type="paragraph" w:customStyle="1" w:styleId="ECCFiguregraphcentered">
    <w:name w:val="ECC Figure/graph centered"/>
    <w:next w:val="Normal"/>
    <w:rsid w:val="00283417"/>
    <w:pPr>
      <w:spacing w:after="240"/>
      <w:jc w:val="center"/>
    </w:pPr>
    <w:rPr>
      <w:noProof/>
      <w:lang w:val="de-DE" w:eastAsia="de-DE"/>
      <w14:cntxtAlts/>
    </w:rPr>
  </w:style>
  <w:style w:type="paragraph" w:customStyle="1" w:styleId="ECCLetterHead">
    <w:name w:val="ECC Letter Head"/>
    <w:basedOn w:val="Normal"/>
    <w:link w:val="ECCLetterHeadZchn"/>
    <w:qFormat/>
    <w:rsid w:val="0038287C"/>
    <w:pPr>
      <w:tabs>
        <w:tab w:val="right" w:pos="4750"/>
      </w:tabs>
      <w:spacing w:before="120"/>
    </w:pPr>
    <w:rPr>
      <w:b/>
      <w:sz w:val="22"/>
      <w:szCs w:val="20"/>
    </w:rPr>
  </w:style>
  <w:style w:type="character" w:customStyle="1" w:styleId="ECCHLyellow">
    <w:name w:val="ECC HL yellow"/>
    <w:basedOn w:val="DefaultParagraphFont"/>
    <w:uiPriority w:val="1"/>
    <w:qFormat/>
    <w:rsid w:val="0038287C"/>
    <w:rPr>
      <w:rFonts w:eastAsia="Calibri"/>
      <w:i w:val="0"/>
      <w:szCs w:val="22"/>
      <w:bdr w:val="none" w:sz="0" w:space="0" w:color="auto"/>
      <w:shd w:val="solid" w:color="FFFF00" w:fill="auto"/>
      <w:lang w:val="en-GB"/>
    </w:rPr>
  </w:style>
  <w:style w:type="paragraph" w:customStyle="1" w:styleId="ECCTableHeaderwhitefont">
    <w:name w:val="ECC Table Header white font"/>
    <w:basedOn w:val="ECCTableHeaderredfont"/>
    <w:qFormat/>
    <w:rsid w:val="0038287C"/>
    <w:pPr>
      <w:spacing w:after="120"/>
      <w:jc w:val="center"/>
    </w:pPr>
    <w:rPr>
      <w:color w:val="FFFFFF" w:themeColor="background1"/>
    </w:rPr>
  </w:style>
  <w:style w:type="paragraph" w:customStyle="1" w:styleId="ECCTabletext">
    <w:name w:val="ECC Table text"/>
    <w:basedOn w:val="Normal"/>
    <w:qFormat/>
    <w:rsid w:val="00714F0F"/>
    <w:pPr>
      <w:spacing w:before="60"/>
    </w:pPr>
  </w:style>
  <w:style w:type="paragraph" w:styleId="Signature">
    <w:name w:val="Signature"/>
    <w:basedOn w:val="Normal"/>
    <w:link w:val="SignatureChar"/>
    <w:uiPriority w:val="99"/>
    <w:semiHidden/>
    <w:unhideWhenUsed/>
    <w:locked/>
    <w:rsid w:val="007D52EC"/>
    <w:pPr>
      <w:spacing w:before="0" w:after="0"/>
      <w:ind w:left="4252"/>
    </w:pPr>
  </w:style>
  <w:style w:type="paragraph" w:customStyle="1" w:styleId="ECCTableHeaderredfont">
    <w:name w:val="ECC Table Header red font"/>
    <w:qFormat/>
    <w:rsid w:val="0038287C"/>
    <w:pPr>
      <w:spacing w:before="120"/>
    </w:pPr>
    <w:rPr>
      <w:bCs/>
      <w:color w:val="D2232A"/>
      <w:lang w:val="en-GB"/>
    </w:rPr>
  </w:style>
  <w:style w:type="character" w:customStyle="1" w:styleId="SignatureChar">
    <w:name w:val="Signature Char"/>
    <w:basedOn w:val="DefaultParagraphFont"/>
    <w:link w:val="Signature"/>
    <w:uiPriority w:val="99"/>
    <w:semiHidden/>
    <w:rsid w:val="007D52EC"/>
  </w:style>
  <w:style w:type="paragraph" w:customStyle="1" w:styleId="ECCpageFooter">
    <w:name w:val="ECC page Footer"/>
    <w:rsid w:val="00E36601"/>
    <w:pPr>
      <w:tabs>
        <w:tab w:val="left" w:pos="0"/>
        <w:tab w:val="center" w:pos="4820"/>
        <w:tab w:val="right" w:pos="9639"/>
      </w:tabs>
      <w:spacing w:before="0" w:after="0"/>
    </w:pPr>
    <w:rPr>
      <w:b/>
      <w:sz w:val="16"/>
      <w:szCs w:val="22"/>
      <w:lang w:val="de-DE" w:eastAsia="de-DE"/>
    </w:rPr>
  </w:style>
  <w:style w:type="character" w:customStyle="1" w:styleId="ECCBoxZchn">
    <w:name w:val="ECC Box Zchn"/>
    <w:link w:val="ECCBox"/>
    <w:uiPriority w:val="99"/>
    <w:rsid w:val="0042761F"/>
    <w:rPr>
      <w:szCs w:val="22"/>
      <w:lang w:val="en-GB" w:eastAsia="de-DE"/>
    </w:rPr>
  </w:style>
  <w:style w:type="character" w:customStyle="1" w:styleId="ECCHLbold">
    <w:name w:val="ECC HL bold"/>
    <w:basedOn w:val="Strong"/>
    <w:uiPriority w:val="1"/>
    <w:qFormat/>
    <w:rsid w:val="0038287C"/>
    <w:rPr>
      <w:b/>
      <w:bCs/>
    </w:rPr>
  </w:style>
  <w:style w:type="character" w:styleId="Emphasis">
    <w:name w:val="Emphasis"/>
    <w:aliases w:val="ECC HL italics"/>
    <w:basedOn w:val="DefaultParagraphFont"/>
    <w:uiPriority w:val="1"/>
    <w:qFormat/>
    <w:rsid w:val="00DB17F9"/>
    <w:rPr>
      <w:i/>
    </w:rPr>
  </w:style>
  <w:style w:type="character" w:customStyle="1" w:styleId="TOC1Char">
    <w:name w:val="TOC 1 Char"/>
    <w:aliases w:val="ECC Index 1 Char"/>
    <w:basedOn w:val="DefaultParagraphFont"/>
    <w:link w:val="TOC1"/>
    <w:uiPriority w:val="39"/>
    <w:semiHidden/>
    <w:rsid w:val="00D3663D"/>
    <w:rPr>
      <w:rFonts w:eastAsia="Calibri"/>
      <w:b/>
      <w:noProof/>
    </w:rPr>
  </w:style>
  <w:style w:type="paragraph" w:styleId="TOCHeading">
    <w:name w:val="TOC Heading"/>
    <w:basedOn w:val="Heading1"/>
    <w:next w:val="Normal"/>
    <w:uiPriority w:val="39"/>
    <w:semiHidden/>
    <w:qFormat/>
    <w:locked/>
    <w:rsid w:val="003A5711"/>
    <w:pPr>
      <w:keepLines/>
      <w:numPr>
        <w:numId w:val="0"/>
      </w:numPr>
      <w:spacing w:before="480" w:after="0"/>
      <w:outlineLvl w:val="9"/>
    </w:pPr>
    <w:rPr>
      <w:rFonts w:asciiTheme="majorHAnsi" w:eastAsiaTheme="majorEastAsia" w:hAnsiTheme="majorHAnsi" w:cstheme="majorBidi"/>
      <w:caps w:val="0"/>
      <w:color w:val="365F91" w:themeColor="accent1" w:themeShade="BF"/>
      <w:kern w:val="0"/>
      <w:sz w:val="28"/>
      <w:szCs w:val="28"/>
      <w:lang w:val="en-GB"/>
    </w:rPr>
  </w:style>
  <w:style w:type="character" w:customStyle="1" w:styleId="ECCHLcyan">
    <w:name w:val="ECC HL cyan"/>
    <w:basedOn w:val="DefaultParagraphFont"/>
    <w:uiPriority w:val="1"/>
    <w:qFormat/>
    <w:rsid w:val="0038287C"/>
    <w:rPr>
      <w:iCs w:val="0"/>
      <w:bdr w:val="none" w:sz="0" w:space="0" w:color="auto"/>
      <w:shd w:val="solid" w:color="00FFFF" w:fill="auto"/>
      <w:lang w:val="en-GB"/>
    </w:rPr>
  </w:style>
  <w:style w:type="character" w:customStyle="1" w:styleId="ECCHLorange">
    <w:name w:val="ECC HL orange"/>
    <w:basedOn w:val="DefaultParagraphFont"/>
    <w:uiPriority w:val="1"/>
    <w:qFormat/>
    <w:rsid w:val="0038287C"/>
    <w:rPr>
      <w:bdr w:val="none" w:sz="0" w:space="0" w:color="auto"/>
      <w:shd w:val="solid" w:color="FFC000" w:fill="auto"/>
    </w:rPr>
  </w:style>
  <w:style w:type="character" w:customStyle="1" w:styleId="ECCHLblue">
    <w:name w:val="ECC HL blue"/>
    <w:basedOn w:val="DefaultParagraphFont"/>
    <w:uiPriority w:val="1"/>
    <w:qFormat/>
    <w:rsid w:val="0038287C"/>
    <w:rPr>
      <w:rFonts w:eastAsia="Calibri"/>
      <w:color w:val="FFFF00"/>
      <w:szCs w:val="22"/>
      <w:bdr w:val="none" w:sz="0" w:space="0" w:color="auto"/>
      <w:shd w:val="solid" w:color="4F81BD" w:themeColor="accent1" w:fill="auto"/>
      <w:lang w:val="en-GB"/>
    </w:rPr>
  </w:style>
  <w:style w:type="character" w:customStyle="1" w:styleId="ECCHLpetrol">
    <w:name w:val="ECC HL petrol"/>
    <w:basedOn w:val="DefaultParagraphFont"/>
    <w:uiPriority w:val="1"/>
    <w:qFormat/>
    <w:rsid w:val="0038287C"/>
    <w:rPr>
      <w:iCs w:val="0"/>
      <w:color w:val="FFFFFF" w:themeColor="background1"/>
      <w:bdr w:val="none" w:sz="0" w:space="0" w:color="auto"/>
      <w:shd w:val="solid" w:color="008080" w:fill="auto"/>
    </w:rPr>
  </w:style>
  <w:style w:type="paragraph" w:styleId="ListParagraph">
    <w:name w:val="List Paragraph"/>
    <w:basedOn w:val="Normal"/>
    <w:uiPriority w:val="34"/>
    <w:qFormat/>
    <w:locked/>
    <w:rsid w:val="005C5A96"/>
    <w:pPr>
      <w:ind w:left="720"/>
      <w:contextualSpacing/>
    </w:pPr>
  </w:style>
  <w:style w:type="character" w:customStyle="1" w:styleId="ECCHLsubscript">
    <w:name w:val="ECC HL subscript"/>
    <w:uiPriority w:val="1"/>
    <w:qFormat/>
    <w:rsid w:val="0038287C"/>
    <w:rPr>
      <w:vertAlign w:val="subscript"/>
    </w:rPr>
  </w:style>
  <w:style w:type="character" w:customStyle="1" w:styleId="ECCHLsuperscript">
    <w:name w:val="ECC HL superscript"/>
    <w:uiPriority w:val="1"/>
    <w:qFormat/>
    <w:rsid w:val="0038287C"/>
    <w:rPr>
      <w:vertAlign w:val="superscript"/>
    </w:rPr>
  </w:style>
  <w:style w:type="character" w:customStyle="1" w:styleId="ECCLetterHeadZchn">
    <w:name w:val="ECC Letter Head Zchn"/>
    <w:basedOn w:val="DefaultParagraphFont"/>
    <w:link w:val="ECCLetterHead"/>
    <w:rsid w:val="00263FFB"/>
    <w:rPr>
      <w:rFonts w:eastAsia="Calibri"/>
      <w:b/>
      <w:sz w:val="22"/>
      <w:lang w:val="en-GB"/>
    </w:rPr>
  </w:style>
  <w:style w:type="character" w:customStyle="1" w:styleId="ECCHLmagenta">
    <w:name w:val="ECC HL magenta"/>
    <w:basedOn w:val="DefaultParagraphFont"/>
    <w:uiPriority w:val="1"/>
    <w:qFormat/>
    <w:rsid w:val="0038287C"/>
    <w:rPr>
      <w:color w:val="auto"/>
      <w:bdr w:val="none" w:sz="0" w:space="0" w:color="auto"/>
      <w:shd w:val="solid" w:color="FF3399" w:fill="auto"/>
      <w:lang w:val="en-GB"/>
    </w:rPr>
  </w:style>
  <w:style w:type="character" w:customStyle="1" w:styleId="ECCHLbrown">
    <w:name w:val="ECC HL brown"/>
    <w:basedOn w:val="DefaultParagraphFont"/>
    <w:uiPriority w:val="1"/>
    <w:qFormat/>
    <w:rsid w:val="0038287C"/>
    <w:rPr>
      <w:color w:val="D9D9D9" w:themeColor="background1" w:themeShade="D9"/>
      <w:bdr w:val="none" w:sz="0" w:space="0" w:color="auto"/>
      <w:shd w:val="solid" w:color="B95807" w:fill="auto"/>
    </w:rPr>
  </w:style>
  <w:style w:type="character" w:styleId="Hyperlink">
    <w:name w:val="Hyperlink"/>
    <w:aliases w:val="ECC Hyperlink"/>
    <w:basedOn w:val="DefaultParagraphFont"/>
    <w:uiPriority w:val="99"/>
    <w:rsid w:val="00DB17F9"/>
    <w:rPr>
      <w:color w:val="0000FF" w:themeColor="hyperlink"/>
      <w:u w:val="single"/>
    </w:rPr>
  </w:style>
  <w:style w:type="paragraph" w:customStyle="1" w:styleId="ECCHeadingnonumbering">
    <w:name w:val="ECC Heading no numbering"/>
    <w:basedOn w:val="Heading1"/>
    <w:rsid w:val="00DB17F9"/>
    <w:pPr>
      <w:numPr>
        <w:numId w:val="0"/>
      </w:numPr>
      <w:tabs>
        <w:tab w:val="left" w:pos="0"/>
        <w:tab w:val="center" w:pos="4820"/>
        <w:tab w:val="right" w:pos="9639"/>
      </w:tabs>
    </w:pPr>
  </w:style>
  <w:style w:type="character" w:customStyle="1" w:styleId="ECCParagraph">
    <w:name w:val="ECC Paragraph"/>
    <w:basedOn w:val="DefaultParagraphFont"/>
    <w:uiPriority w:val="1"/>
    <w:qFormat/>
    <w:rsid w:val="0038287C"/>
    <w:rPr>
      <w:rFonts w:ascii="Arial" w:hAnsi="Arial"/>
      <w:noProof w:val="0"/>
      <w:sz w:val="20"/>
      <w:bdr w:val="none" w:sz="0" w:space="0" w:color="auto"/>
      <w:lang w:val="en-GB"/>
    </w:rPr>
  </w:style>
  <w:style w:type="character" w:customStyle="1" w:styleId="ECCHLunderlined">
    <w:name w:val="ECC HL underlined"/>
    <w:uiPriority w:val="1"/>
    <w:qFormat/>
    <w:rsid w:val="0038287C"/>
    <w:rPr>
      <w:u w:val="single"/>
    </w:rPr>
  </w:style>
  <w:style w:type="table" w:styleId="ColorfulGrid">
    <w:name w:val="Colorful Grid"/>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leSimple1">
    <w:name w:val="Table Simple 1"/>
    <w:basedOn w:val="TableNormal"/>
    <w:uiPriority w:val="99"/>
    <w:semiHidden/>
    <w:unhideWhenUsed/>
    <w:locked/>
    <w:rsid w:val="00DB17F9"/>
    <w:pPr>
      <w:shd w:val="clear" w:color="FFFFFF" w:themeColor="background1" w:fill="auto"/>
      <w:spacing w:after="240"/>
      <w:textboxTightWrap w:val="lastLineOnly"/>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ColorfulGrid-Accent6">
    <w:name w:val="Colorful Grid Accent 6"/>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
    <w:name w:val="ECC Table - white header"/>
    <w:basedOn w:val="ECCTable-clean"/>
    <w:uiPriority w:val="99"/>
    <w:rsid w:val="0038287C"/>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left"/>
      </w:pPr>
      <w:rPr>
        <w:rFonts w:ascii="Arial" w:hAnsi="Arial"/>
        <w:b/>
        <w:i/>
        <w:color w:val="D22A23"/>
        <w:sz w:val="20"/>
      </w:rPr>
      <w:tblPr/>
      <w:trPr>
        <w:tblHeader/>
      </w:trPr>
      <w:tcPr>
        <w:shd w:val="clear" w:color="auto" w:fill="FFFFFF" w:themeFill="background1"/>
      </w:tcPr>
    </w:tblStylePr>
    <w:tblStylePr w:type="lastRow">
      <w:rPr>
        <w:b w:val="0"/>
      </w:rPr>
    </w:tblStylePr>
  </w:style>
  <w:style w:type="table" w:customStyle="1" w:styleId="ECCTable-redheader">
    <w:name w:val="ECC Table - red header"/>
    <w:basedOn w:val="ECCTable-clean"/>
    <w:uiPriority w:val="99"/>
    <w:rsid w:val="0038287C"/>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vAlign w:val="center"/>
      </w:tcPr>
    </w:tblStylePr>
  </w:style>
  <w:style w:type="table" w:customStyle="1" w:styleId="ECCTable-clean">
    <w:name w:val="ECC Table - clean"/>
    <w:uiPriority w:val="99"/>
    <w:rsid w:val="0038287C"/>
    <w:pPr>
      <w:spacing w:before="60"/>
    </w:pPr>
    <w:rPr>
      <w:rFonts w:eastAsia="Calibri"/>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i/>
      </w:rPr>
      <w:tblPr/>
      <w:trPr>
        <w:tblHeader/>
      </w:trPr>
    </w:tblStylePr>
  </w:style>
  <w:style w:type="character" w:customStyle="1" w:styleId="ECCHLgrey">
    <w:name w:val="ECC HL grey"/>
    <w:uiPriority w:val="1"/>
    <w:qFormat/>
    <w:rsid w:val="0038287C"/>
    <w:rPr>
      <w:bdr w:val="none" w:sz="0" w:space="0" w:color="auto"/>
      <w:shd w:val="solid" w:color="BFBFBF" w:themeColor="background1" w:themeShade="BF" w:fill="auto"/>
    </w:rPr>
  </w:style>
  <w:style w:type="table" w:styleId="TableGrid">
    <w:name w:val="Table Grid"/>
    <w:basedOn w:val="TableNormal"/>
    <w:locked/>
    <w:rsid w:val="00D06683"/>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semiHidden/>
    <w:qFormat/>
    <w:locked/>
    <w:rsid w:val="0038287C"/>
    <w:rPr>
      <w:b/>
      <w:bCs/>
    </w:rPr>
  </w:style>
  <w:style w:type="paragraph" w:customStyle="1" w:styleId="ECCBreak">
    <w:name w:val="ECC Break"/>
    <w:link w:val="ECCBreakZchn"/>
    <w:rsid w:val="0042761F"/>
    <w:pPr>
      <w:spacing w:before="360"/>
      <w:jc w:val="left"/>
    </w:pPr>
    <w:rPr>
      <w:b/>
      <w:bCs/>
      <w:iCs/>
      <w:caps/>
      <w:szCs w:val="28"/>
    </w:rPr>
  </w:style>
  <w:style w:type="character" w:customStyle="1" w:styleId="ECCBreakZchn">
    <w:name w:val="ECC Break Zchn"/>
    <w:basedOn w:val="DefaultParagraphFont"/>
    <w:link w:val="ECCBreak"/>
    <w:rsid w:val="0042761F"/>
    <w:rPr>
      <w:b/>
      <w:bCs/>
      <w:iCs/>
      <w:caps/>
      <w:szCs w:val="28"/>
    </w:rPr>
  </w:style>
  <w:style w:type="paragraph" w:customStyle="1" w:styleId="ECCAnnex-heading1">
    <w:name w:val="ECC Annex - heading1"/>
    <w:basedOn w:val="Heading1"/>
    <w:rsid w:val="0056247C"/>
    <w:pPr>
      <w:pageBreakBefore/>
      <w:numPr>
        <w:numId w:val="0"/>
      </w:numPr>
      <w:spacing w:before="400" w:after="240"/>
      <w:jc w:val="left"/>
    </w:pPr>
    <w:rPr>
      <w:lang w:val="en-GB"/>
    </w:rPr>
  </w:style>
  <w:style w:type="paragraph" w:customStyle="1" w:styleId="ECCTabletitle">
    <w:name w:val="ECC Table title"/>
    <w:basedOn w:val="Normal"/>
    <w:autoRedefine/>
    <w:rsid w:val="0056247C"/>
    <w:pPr>
      <w:numPr>
        <w:numId w:val="10"/>
      </w:numPr>
      <w:spacing w:before="360" w:after="240"/>
      <w:jc w:val="center"/>
    </w:pPr>
    <w:rPr>
      <w:rFonts w:eastAsia="Times New Roman"/>
      <w:b/>
      <w:color w:val="D2232A"/>
      <w:szCs w:val="24"/>
    </w:rPr>
  </w:style>
  <w:style w:type="paragraph" w:customStyle="1" w:styleId="Reporttitledescription">
    <w:name w:val="Report title/description"/>
    <w:basedOn w:val="Normal"/>
    <w:rsid w:val="0056247C"/>
    <w:pPr>
      <w:spacing w:before="600" w:after="0" w:line="288" w:lineRule="auto"/>
      <w:ind w:left="3402"/>
      <w:jc w:val="left"/>
    </w:pPr>
    <w:rPr>
      <w:rFonts w:eastAsia="Times New Roman"/>
      <w:color w:val="57433E"/>
      <w:sz w:val="24"/>
      <w:szCs w:val="24"/>
      <w:lang w:val="en-US"/>
    </w:rPr>
  </w:style>
  <w:style w:type="paragraph" w:customStyle="1" w:styleId="Lastupdated">
    <w:name w:val="Last updated"/>
    <w:basedOn w:val="Normal"/>
    <w:rsid w:val="0056247C"/>
    <w:pPr>
      <w:spacing w:before="120" w:after="120"/>
      <w:ind w:left="3402"/>
      <w:jc w:val="left"/>
    </w:pPr>
    <w:rPr>
      <w:rFonts w:eastAsia="Times New Roman"/>
      <w:bCs/>
      <w:sz w:val="18"/>
      <w:szCs w:val="24"/>
      <w:lang w:val="en-US"/>
    </w:rPr>
  </w:style>
  <w:style w:type="numbering" w:customStyle="1" w:styleId="Letteredlist">
    <w:name w:val="Lettered list"/>
    <w:rsid w:val="0056247C"/>
    <w:pPr>
      <w:numPr>
        <w:numId w:val="11"/>
      </w:numPr>
    </w:pPr>
  </w:style>
  <w:style w:type="paragraph" w:customStyle="1" w:styleId="NumberedList">
    <w:name w:val="Numbered List"/>
    <w:rsid w:val="0056247C"/>
    <w:pPr>
      <w:numPr>
        <w:numId w:val="12"/>
      </w:numPr>
      <w:spacing w:before="0" w:after="240"/>
    </w:pPr>
    <w:rPr>
      <w:szCs w:val="24"/>
    </w:rPr>
  </w:style>
  <w:style w:type="paragraph" w:styleId="Footer">
    <w:name w:val="footer"/>
    <w:basedOn w:val="Normal"/>
    <w:link w:val="FooterChar"/>
    <w:uiPriority w:val="99"/>
    <w:unhideWhenUsed/>
    <w:locked/>
    <w:rsid w:val="0056247C"/>
    <w:pPr>
      <w:tabs>
        <w:tab w:val="center" w:pos="4513"/>
        <w:tab w:val="right" w:pos="9026"/>
      </w:tabs>
      <w:spacing w:before="0" w:after="0"/>
    </w:pPr>
  </w:style>
  <w:style w:type="character" w:customStyle="1" w:styleId="FooterChar">
    <w:name w:val="Footer Char"/>
    <w:basedOn w:val="DefaultParagraphFont"/>
    <w:link w:val="Footer"/>
    <w:uiPriority w:val="99"/>
    <w:rsid w:val="0056247C"/>
    <w:rPr>
      <w:rFonts w:eastAsia="Calibri"/>
      <w:szCs w:val="22"/>
      <w:lang w:val="en-GB"/>
    </w:rPr>
  </w:style>
  <w:style w:type="character" w:customStyle="1" w:styleId="UnresolvedMention1">
    <w:name w:val="Unresolved Mention1"/>
    <w:basedOn w:val="DefaultParagraphFont"/>
    <w:uiPriority w:val="99"/>
    <w:semiHidden/>
    <w:unhideWhenUsed/>
    <w:rsid w:val="0056247C"/>
    <w:rPr>
      <w:color w:val="605E5C"/>
      <w:shd w:val="clear" w:color="auto" w:fill="E1DFDD"/>
    </w:rPr>
  </w:style>
  <w:style w:type="character" w:customStyle="1" w:styleId="UnresolvedMention2">
    <w:name w:val="Unresolved Mention2"/>
    <w:basedOn w:val="DefaultParagraphFont"/>
    <w:uiPriority w:val="99"/>
    <w:semiHidden/>
    <w:unhideWhenUsed/>
    <w:rsid w:val="00C33917"/>
    <w:rPr>
      <w:color w:val="605E5C"/>
      <w:shd w:val="clear" w:color="auto" w:fill="E1DFDD"/>
    </w:rPr>
  </w:style>
  <w:style w:type="character" w:styleId="CommentReference">
    <w:name w:val="annotation reference"/>
    <w:basedOn w:val="DefaultParagraphFont"/>
    <w:uiPriority w:val="99"/>
    <w:semiHidden/>
    <w:unhideWhenUsed/>
    <w:locked/>
    <w:rsid w:val="00B5300A"/>
    <w:rPr>
      <w:sz w:val="16"/>
      <w:szCs w:val="16"/>
    </w:rPr>
  </w:style>
  <w:style w:type="paragraph" w:styleId="CommentText">
    <w:name w:val="annotation text"/>
    <w:basedOn w:val="Normal"/>
    <w:link w:val="CommentTextChar"/>
    <w:uiPriority w:val="99"/>
    <w:semiHidden/>
    <w:unhideWhenUsed/>
    <w:locked/>
    <w:rsid w:val="00B5300A"/>
    <w:rPr>
      <w:szCs w:val="20"/>
    </w:rPr>
  </w:style>
  <w:style w:type="character" w:customStyle="1" w:styleId="CommentTextChar">
    <w:name w:val="Comment Text Char"/>
    <w:basedOn w:val="DefaultParagraphFont"/>
    <w:link w:val="CommentText"/>
    <w:uiPriority w:val="99"/>
    <w:semiHidden/>
    <w:rsid w:val="00B5300A"/>
    <w:rPr>
      <w:rFonts w:eastAsia="Calibri"/>
      <w:lang w:val="en-GB"/>
    </w:rPr>
  </w:style>
  <w:style w:type="paragraph" w:styleId="CommentSubject">
    <w:name w:val="annotation subject"/>
    <w:basedOn w:val="CommentText"/>
    <w:next w:val="CommentText"/>
    <w:link w:val="CommentSubjectChar"/>
    <w:uiPriority w:val="99"/>
    <w:semiHidden/>
    <w:unhideWhenUsed/>
    <w:locked/>
    <w:rsid w:val="00B5300A"/>
    <w:rPr>
      <w:b/>
      <w:bCs/>
    </w:rPr>
  </w:style>
  <w:style w:type="character" w:customStyle="1" w:styleId="CommentSubjectChar">
    <w:name w:val="Comment Subject Char"/>
    <w:basedOn w:val="CommentTextChar"/>
    <w:link w:val="CommentSubject"/>
    <w:uiPriority w:val="99"/>
    <w:semiHidden/>
    <w:rsid w:val="00B5300A"/>
    <w:rPr>
      <w:rFonts w:eastAsia="Calibri"/>
      <w:b/>
      <w:bCs/>
      <w:lang w:val="en-GB"/>
    </w:rPr>
  </w:style>
  <w:style w:type="paragraph" w:styleId="Revision">
    <w:name w:val="Revision"/>
    <w:hidden/>
    <w:uiPriority w:val="99"/>
    <w:semiHidden/>
    <w:rsid w:val="00796997"/>
    <w:pPr>
      <w:spacing w:before="0" w:after="0"/>
      <w:jc w:val="left"/>
    </w:pPr>
    <w:rPr>
      <w:rFonts w:eastAsia="Calibri"/>
      <w:szCs w:val="22"/>
      <w:lang w:val="en-GB"/>
    </w:rPr>
  </w:style>
  <w:style w:type="character" w:styleId="UnresolvedMention">
    <w:name w:val="Unresolved Mention"/>
    <w:basedOn w:val="DefaultParagraphFont"/>
    <w:uiPriority w:val="99"/>
    <w:semiHidden/>
    <w:unhideWhenUsed/>
    <w:rsid w:val="003D3CBF"/>
    <w:rPr>
      <w:color w:val="605E5C"/>
      <w:shd w:val="clear" w:color="auto" w:fill="E1DFDD"/>
    </w:rPr>
  </w:style>
  <w:style w:type="paragraph" w:customStyle="1" w:styleId="reference">
    <w:name w:val="reference"/>
    <w:basedOn w:val="Normal"/>
    <w:rsid w:val="008423AD"/>
    <w:pPr>
      <w:tabs>
        <w:tab w:val="num" w:pos="397"/>
      </w:tabs>
      <w:spacing w:before="0" w:after="0"/>
      <w:ind w:left="397" w:hanging="397"/>
      <w:jc w:val="left"/>
    </w:pPr>
    <w:rPr>
      <w:rFonts w:eastAsia="Times New Roman"/>
      <w:szCs w:val="24"/>
      <w:lang w:val="en-US" w:eastAsia="ja-JP"/>
    </w:rPr>
  </w:style>
  <w:style w:type="character" w:styleId="FollowedHyperlink">
    <w:name w:val="FollowedHyperlink"/>
    <w:basedOn w:val="DefaultParagraphFont"/>
    <w:uiPriority w:val="99"/>
    <w:semiHidden/>
    <w:unhideWhenUsed/>
    <w:locked/>
    <w:rsid w:val="00F211A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8251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pub/R-REG-RR-202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cdb.cept.org"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061124-A66F-4208-92F2-BC56104D3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2254</Words>
  <Characters>12849</Characters>
  <Application>Microsoft Office Word</Application>
  <DocSecurity>0</DocSecurity>
  <Lines>107</Lines>
  <Paragraphs>30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Draft revision ECC Decision (04)10</vt:lpstr>
      <vt:lpstr/>
    </vt:vector>
  </TitlesOfParts>
  <Manager/>
  <Company/>
  <LinksUpToDate>false</LinksUpToDate>
  <CharactersWithSpaces>15073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 Decision (04)10</dc:title>
  <dc:subject/>
  <dc:creator>ECC</dc:creator>
  <cp:keywords>ECC Decision (04)10</cp:keywords>
  <dc:description/>
  <cp:lastModifiedBy>ECO</cp:lastModifiedBy>
  <cp:revision>3</cp:revision>
  <dcterms:created xsi:type="dcterms:W3CDTF">2022-03-14T09:54:00Z</dcterms:created>
  <dcterms:modified xsi:type="dcterms:W3CDTF">2022-03-14T09:55:00Z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50d26f-5c2c-4137-8396-1b24eb24286c_Enabled">
    <vt:lpwstr>true</vt:lpwstr>
  </property>
  <property fmtid="{D5CDD505-2E9C-101B-9397-08002B2CF9AE}" pid="3" name="MSIP_Label_5a50d26f-5c2c-4137-8396-1b24eb24286c_SetDate">
    <vt:lpwstr>2022-01-12T16:52:10Z</vt:lpwstr>
  </property>
  <property fmtid="{D5CDD505-2E9C-101B-9397-08002B2CF9AE}" pid="4" name="MSIP_Label_5a50d26f-5c2c-4137-8396-1b24eb24286c_Method">
    <vt:lpwstr>Privileged</vt:lpwstr>
  </property>
  <property fmtid="{D5CDD505-2E9C-101B-9397-08002B2CF9AE}" pid="5" name="MSIP_Label_5a50d26f-5c2c-4137-8396-1b24eb24286c_Name">
    <vt:lpwstr>5a50d26f-5c2c-4137-8396-1b24eb24286c</vt:lpwstr>
  </property>
  <property fmtid="{D5CDD505-2E9C-101B-9397-08002B2CF9AE}" pid="6" name="MSIP_Label_5a50d26f-5c2c-4137-8396-1b24eb24286c_SiteId">
    <vt:lpwstr>0af648de-310c-4068-8ae4-f9418bae24cc</vt:lpwstr>
  </property>
  <property fmtid="{D5CDD505-2E9C-101B-9397-08002B2CF9AE}" pid="7" name="MSIP_Label_5a50d26f-5c2c-4137-8396-1b24eb24286c_ActionId">
    <vt:lpwstr>aa55bbd1-22e7-46bc-9fca-6c74e09c17ba</vt:lpwstr>
  </property>
  <property fmtid="{D5CDD505-2E9C-101B-9397-08002B2CF9AE}" pid="8" name="MSIP_Label_5a50d26f-5c2c-4137-8396-1b24eb24286c_ContentBits">
    <vt:lpwstr>0</vt:lpwstr>
  </property>
</Properties>
</file>