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F821AAC" w14:textId="77777777" w:rsidR="001303E3" w:rsidRDefault="001303E3">
      <w:pPr>
        <w:jc w:val="center"/>
        <w:rPr>
          <w:b/>
          <w:sz w:val="24"/>
          <w:lang w:val="en-GB"/>
        </w:rPr>
      </w:pPr>
    </w:p>
    <w:p w14:paraId="3D462D4C" w14:textId="77777777" w:rsidR="001303E3" w:rsidRDefault="001303E3">
      <w:pPr>
        <w:jc w:val="center"/>
        <w:rPr>
          <w:b/>
          <w:sz w:val="24"/>
          <w:lang w:val="en-GB"/>
        </w:rPr>
      </w:pPr>
    </w:p>
    <w:p w14:paraId="48449D57" w14:textId="77777777" w:rsidR="001303E3" w:rsidRDefault="00347D7B">
      <w:pPr>
        <w:jc w:val="center"/>
        <w:rPr>
          <w:b/>
          <w:sz w:val="24"/>
          <w:lang w:val="en-GB"/>
        </w:rPr>
      </w:pPr>
      <w:r>
        <w:rPr>
          <w:b/>
          <w:noProof/>
          <w:sz w:val="24"/>
          <w:lang w:val="fr-FR" w:eastAsia="fr-FR"/>
        </w:rPr>
        <mc:AlternateContent>
          <mc:Choice Requires="wpg">
            <w:drawing>
              <wp:anchor distT="0" distB="0" distL="114300" distR="114300" simplePos="0" relativeHeight="251657728" behindDoc="0" locked="0" layoutInCell="1" allowOverlap="1" wp14:anchorId="542FA70B" wp14:editId="432841B0">
                <wp:simplePos x="0" y="0"/>
                <wp:positionH relativeFrom="column">
                  <wp:posOffset>-835660</wp:posOffset>
                </wp:positionH>
                <wp:positionV relativeFrom="paragraph">
                  <wp:posOffset>69850</wp:posOffset>
                </wp:positionV>
                <wp:extent cx="7622540" cy="8389620"/>
                <wp:effectExtent l="2540" t="3175" r="4445" b="0"/>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2540" cy="8389620"/>
                          <a:chOff x="0" y="2700"/>
                          <a:chExt cx="11912" cy="13022"/>
                        </a:xfrm>
                      </wpg:grpSpPr>
                      <wps:wsp>
                        <wps:cNvPr id="2" name="Rectangle 3"/>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3" name="Text Box 4"/>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D762C3" w14:textId="77777777" w:rsidR="00CD6F65" w:rsidRDefault="00CD6F65">
                              <w:pPr>
                                <w:rPr>
                                  <w:color w:val="57433E"/>
                                  <w:sz w:val="68"/>
                                </w:rPr>
                              </w:pPr>
                              <w:r>
                                <w:rPr>
                                  <w:color w:val="FFFFFF"/>
                                  <w:sz w:val="68"/>
                                </w:rPr>
                                <w:t xml:space="preserve">ECC Decision </w:t>
                              </w:r>
                              <w:r>
                                <w:rPr>
                                  <w:color w:val="887E6E"/>
                                  <w:sz w:val="68"/>
                                </w:rPr>
                                <w:t>(12)01</w:t>
                              </w:r>
                            </w:p>
                          </w:txbxContent>
                        </wps:txbx>
                        <wps:bodyPr rot="0" vert="horz" wrap="square" lIns="2880000" tIns="540000" rIns="72000" bIns="45720" anchor="t" anchorCtr="0" upright="1">
                          <a:noAutofit/>
                        </wps:bodyPr>
                      </wps:wsp>
                      <wpg:grpSp>
                        <wpg:cNvPr id="4" name="Group 5"/>
                        <wpg:cNvGrpSpPr>
                          <a:grpSpLocks/>
                        </wpg:cNvGrpSpPr>
                        <wpg:grpSpPr bwMode="auto">
                          <a:xfrm>
                            <a:off x="1739" y="3125"/>
                            <a:ext cx="1735" cy="1735"/>
                            <a:chOff x="954" y="3125"/>
                            <a:chExt cx="1735" cy="1735"/>
                          </a:xfrm>
                        </wpg:grpSpPr>
                        <wps:wsp>
                          <wps:cNvPr id="5" name="Rectangle 6"/>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Rectangle 7"/>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42FA70B" id="Group 8" o:spid="_x0000_s1026" style="position:absolute;left:0;text-align:left;margin-left:-65.8pt;margin-top:5.5pt;width:600.2pt;height:660.6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rjvYQMAAGMNAAAOAAAAZHJzL2Uyb0RvYy54bWzsV9tunDAQfa/Uf7D83rAY2AsKG6W5qVLa&#10;Rk36AV4wFxUwtb2B9Os7toHNblK1TdImqroPKw+2xzNnzhzM/kFXleiaCVnwOsLu3gQjVsc8Keos&#10;wp+vTt/MMZKK1gktec0ifMMkPli+frXfNiEjPOdlwgQCJ7UM2ybCuVJN6DgyzllF5R5vWA2TKRcV&#10;VWCKzEkEbcF7VTpkMpk6LRdJI3jMpISnx3YSL43/NGWx+pimkilURhhiU+ZfmP+V/neW+zTMBG3y&#10;Iu7DoA+IoqJFDYeOro6pomgtijuuqiIWXPJU7cW8cniaFjEzOUA27mQnmzPB143JJQvbrBlhAmh3&#10;cHqw2/jD9ZloLpsLYaOH4TmPv0jAxWmbLLw9r+3MLkar9j1PoJ50rbhJvEtFpV1ASqgz+N6M+LJO&#10;oRgezqaEBD6UIYa5uTdfTElfgTiHMm32kdlknDjpN7vuwiV2q+tNCNGlc2hozzWx9rHp2gOZ5AYv&#10;+Ti8LnPaMFMGqfG4EKhIIgyx1LQCCD4ByWidlQx5OiZ9OKwaIJUWT1TzoxxWsUMheJszmkBQrslh&#10;a4M2JFTjpwBPMQIQ3cD3FpbEA8iA0wQmNcRkbiIaUaJhI6Q6Y7xCehBhAaGb6tHrc6ksoMMSXUzJ&#10;yyI5LcrSGCJbHZUCXVPopWNCPHLY12BrWVnrxTXX26xH/QQKZBOzAK14cgNJCm4bEgQEBjkX3zBq&#10;oRkjLL+uqWAYle9qAGrh+po2yhjAIPhhJIw1AxUAY2UMPwATI1rH4CvCahgeKdvy60YUWQ5HuSbr&#10;mh8CfdPCZK4DtGH10QKD/hKVvIFKV7qIb3mH/B0mIdXB4yHuP8UpgE6zZmy++ygVTE1sL5BTqlt1&#10;ff/9Jr3IfG4p9SwE60VVc83oba8v/kAK8xZAgWXEtiLr981TKbY7AyXR9fdcYg6j4Vj/mRf0yqtH&#10;ADINR8VeBBDp1rY4Pxk0+87GkTfPoNiQw65iT3f6zOjcrmLLBmRS997TiLhVPd1lWrn0if078y6S&#10;Py7AiOMTavqp+WlEwPt/Tf/VW9r91wN4Be+SbfaSyOYSHwit+9b3jaLfaneX9BcIV48sH4b73XA9&#10;ePQNIpj5nnfy77NtI3TmXmFu8qbD+q8O/alw2zarNt9Gy+8AAAD//wMAUEsDBBQABgAIAAAAIQCe&#10;qHCU4QAAAA0BAAAPAAAAZHJzL2Rvd25yZXYueG1sTI9Ba4NAEIXvhf6HZQq9JesqlWBdQwhtT6HQ&#10;JFB6m+hEJe6uuBs1/76TU3ubx/t4816+nk0nRhp866wGtYxAkC1d1dpaw/HwvliB8AFthZ2zpOFG&#10;HtbF40OOWeUm+0XjPtSCQ6zPUEMTQp9J6cuGDPql68myd3aDwcByqGU14MThppNxFKXSYGv5Q4M9&#10;bRsqL/ur0fAx4bRJ1Nu4u5y3t5/Dy+f3TpHWz0/z5hVEoDn8wXCvz9Wh4E4nd7WVF52GhUpUyiw7&#10;ikfdiShd8ZoTX0kSxyCLXP5fUfwCAAD//wMAUEsBAi0AFAAGAAgAAAAhALaDOJL+AAAA4QEAABMA&#10;AAAAAAAAAAAAAAAAAAAAAFtDb250ZW50X1R5cGVzXS54bWxQSwECLQAUAAYACAAAACEAOP0h/9YA&#10;AACUAQAACwAAAAAAAAAAAAAAAAAvAQAAX3JlbHMvLnJlbHNQSwECLQAUAAYACAAAACEA/O6472ED&#10;AABjDQAADgAAAAAAAAAAAAAAAAAuAgAAZHJzL2Uyb0RvYy54bWxQSwECLQAUAAYACAAAACEAnqhw&#10;lOEAAAANAQAADwAAAAAAAAAAAAAAAAC7BQAAZHJzL2Rvd25yZXYueG1sUEsFBgAAAAAEAAQA8wAA&#10;AMkGAAAAAA==&#10;">
                <v:rect id="Rectangle 3"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X8wQAAANoAAAAPAAAAZHJzL2Rvd25yZXYueG1sRI9Bi8Iw&#10;FITvgv8hPMGLaKpCka5RFkHsUa0evD2at23Z5qU2Ueu/N4LgcZiZb5jlujO1uFPrKssKppMIBHFu&#10;dcWFglO2HS9AOI+ssbZMCp7kYL3q95aYaPvgA92PvhABwi5BBaX3TSKly0sy6Ca2IQ7en20N+iDb&#10;QuoWHwFuajmLolgarDgslNjQpqT8/3gzChbx9Ryn8b7aZLvRKLv59DI3qVLDQff7A8JT57/hTzvV&#10;CmbwvhJugFy9AAAA//8DAFBLAQItABQABgAIAAAAIQDb4fbL7gAAAIUBAAATAAAAAAAAAAAAAAAA&#10;AAAAAABbQ29udGVudF9UeXBlc10ueG1sUEsBAi0AFAAGAAgAAAAhAFr0LFu/AAAAFQEAAAsAAAAA&#10;AAAAAAAAAAAAHwEAAF9yZWxzLy5yZWxzUEsBAi0AFAAGAAgAAAAhAL4dlfzBAAAA2gAAAA8AAAAA&#10;AAAAAAAAAAAABwIAAGRycy9kb3ducmV2LnhtbFBLBQYAAAAAAwADALcAAAD1AgAAAAA=&#10;" fillcolor="#d2232a" stroked="f">
                  <v:textbox inset=",15mm,2mm"/>
                </v:rect>
                <v:shapetype id="_x0000_t202" coordsize="21600,21600" o:spt="202" path="m,l,21600r21600,l21600,xe">
                  <v:stroke joinstyle="miter"/>
                  <v:path gradientshapeok="t" o:connecttype="rect"/>
                </v:shapetype>
                <v:shape id="Text Box 4"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UTnwwAAANoAAAAPAAAAZHJzL2Rvd25yZXYueG1sRI9Pi8Iw&#10;FMTvwn6H8Ba8adpVRLuNsiiCeFD8d9jbo3nblm1eShNr/fZGEDwOM/MbJl10phItNa60rCAeRiCI&#10;M6tLzhWcT+vBFITzyBory6TgTg4W849eiom2Nz5Qe/S5CBB2CSoovK8TKV1WkEE3tDVx8P5sY9AH&#10;2eRSN3gLcFPJryiaSIMlh4UCa1oWlP0fr0YBHn63u/Gq2szGy/06j8sYJV2U6n92P98gPHX+HX61&#10;N1rBCJ5Xwg2Q8wcAAAD//wMAUEsBAi0AFAAGAAgAAAAhANvh9svuAAAAhQEAABMAAAAAAAAAAAAA&#10;AAAAAAAAAFtDb250ZW50X1R5cGVzXS54bWxQSwECLQAUAAYACAAAACEAWvQsW78AAAAVAQAACwAA&#10;AAAAAAAAAAAAAAAfAQAAX3JlbHMvLnJlbHNQSwECLQAUAAYACAAAACEA861E58MAAADaAAAADwAA&#10;AAAAAAAAAAAAAAAHAgAAZHJzL2Rvd25yZXYueG1sUEsFBgAAAAADAAMAtwAAAPcCAAAAAA==&#10;" fillcolor="#d2232a" stroked="f">
                  <v:textbox inset="80mm,15mm,2mm">
                    <w:txbxContent>
                      <w:p w14:paraId="50D762C3" w14:textId="77777777" w:rsidR="00CD6F65" w:rsidRDefault="00CD6F65">
                        <w:pPr>
                          <w:rPr>
                            <w:color w:val="57433E"/>
                            <w:sz w:val="68"/>
                          </w:rPr>
                        </w:pPr>
                        <w:r>
                          <w:rPr>
                            <w:color w:val="FFFFFF"/>
                            <w:sz w:val="68"/>
                          </w:rPr>
                          <w:t xml:space="preserve">ECC Decision </w:t>
                        </w:r>
                        <w:r>
                          <w:rPr>
                            <w:color w:val="887E6E"/>
                            <w:sz w:val="68"/>
                          </w:rPr>
                          <w:t>(12)01</w:t>
                        </w:r>
                      </w:p>
                    </w:txbxContent>
                  </v:textbox>
                </v:shape>
                <v:group id="Group 5" o:spid="_x0000_s1029"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6" o:spid="_x0000_s1030"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3WEwgAAANoAAAAPAAAAZHJzL2Rvd25yZXYueG1sRI9Pi8Iw&#10;FMTvC36H8AQvi6Yr6Eo1iriIRfbi/+ujebbF5qU00dZvbxaEPQ4z8xtmtmhNKR5Uu8Kygq9BBII4&#10;tbrgTMHxsO5PQDiPrLG0TAqe5GAx73zMMNa24R099j4TAcIuRgW591UspUtzMugGtiIO3tXWBn2Q&#10;dSZ1jU2Am1IOo2gsDRYcFnKsaJVTetvfjYJos9p+Ju3kfEqaO1Gz4+/fn4tSvW67nILw1Pr/8Lud&#10;aAUj+LsSboCcvwAAAP//AwBQSwECLQAUAAYACAAAACEA2+H2y+4AAACFAQAAEwAAAAAAAAAAAAAA&#10;AAAAAAAAW0NvbnRlbnRfVHlwZXNdLnhtbFBLAQItABQABgAIAAAAIQBa9CxbvwAAABUBAAALAAAA&#10;AAAAAAAAAAAAAB8BAABfcmVscy8ucmVsc1BLAQItABQABgAIAAAAIQAqT3WEwgAAANoAAAAPAAAA&#10;AAAAAAAAAAAAAAcCAABkcnMvZG93bnJldi54bWxQSwUGAAAAAAMAAwC3AAAA9gIAAAAA&#10;" stroked="f">
                    <o:lock v:ext="edit" aspectratio="t"/>
                    <v:textbox inset=",15mm,2mm"/>
                  </v:rect>
                  <v:rect id="Rectangle 7" o:spid="_x0000_s1031"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HB8wQAAANoAAAAPAAAAZHJzL2Rvd25yZXYueG1sRI9Bi8Iw&#10;FITvgv8hPMGLrKmKRWpTWYQFb4tWhL09mmdb2rx0m6zWf78RBI/DzHzDpLvBtOJGvastK1jMIxDE&#10;hdU1lwrO+dfHBoTzyBpby6TgQQ522XiUYqLtnY90O/lSBAi7BBVU3neJlK6oyKCb2444eFfbG/RB&#10;9qXUPd4D3LRyGUWxNFhzWKiwo31FRXP6MwqI1qtNvmxz5J/fWdPoy+GbjFLTyfC5BeFp8O/wq33Q&#10;CmJ4Xgk3QGb/AAAA//8DAFBLAQItABQABgAIAAAAIQDb4fbL7gAAAIUBAAATAAAAAAAAAAAAAAAA&#10;AAAAAABbQ29udGVudF9UeXBlc10ueG1sUEsBAi0AFAAGAAgAAAAhAFr0LFu/AAAAFQEAAAsAAAAA&#10;AAAAAAAAAAAAHwEAAF9yZWxzLy5yZWxzUEsBAi0AFAAGAAgAAAAhAC+IcHzBAAAA2gAAAA8AAAAA&#10;AAAAAAAAAAAABwIAAGRycy9kb3ducmV2LnhtbFBLBQYAAAAAAwADALcAAAD1AgAAAAA=&#10;" fillcolor="#57433e" stroked="f">
                    <o:lock v:ext="edit" aspectratio="t"/>
                    <v:textbox inset=",15mm,2mm"/>
                  </v:rect>
                </v:group>
              </v:group>
            </w:pict>
          </mc:Fallback>
        </mc:AlternateContent>
      </w:r>
    </w:p>
    <w:p w14:paraId="0B54FF8E" w14:textId="77777777" w:rsidR="001303E3" w:rsidRDefault="001303E3">
      <w:pPr>
        <w:jc w:val="center"/>
        <w:rPr>
          <w:b/>
          <w:sz w:val="24"/>
          <w:lang w:val="en-GB"/>
        </w:rPr>
      </w:pPr>
    </w:p>
    <w:p w14:paraId="56DCA21B" w14:textId="77777777" w:rsidR="001303E3" w:rsidRDefault="001303E3">
      <w:pPr>
        <w:jc w:val="center"/>
        <w:rPr>
          <w:b/>
          <w:sz w:val="24"/>
          <w:lang w:val="en-GB"/>
        </w:rPr>
      </w:pPr>
    </w:p>
    <w:p w14:paraId="6943D680" w14:textId="77777777" w:rsidR="001303E3" w:rsidRDefault="001303E3">
      <w:pPr>
        <w:jc w:val="center"/>
        <w:rPr>
          <w:b/>
          <w:sz w:val="24"/>
          <w:lang w:val="en-GB"/>
        </w:rPr>
      </w:pPr>
    </w:p>
    <w:p w14:paraId="6A88CD88" w14:textId="77777777" w:rsidR="001303E3" w:rsidRDefault="001303E3">
      <w:pPr>
        <w:jc w:val="center"/>
        <w:rPr>
          <w:b/>
          <w:sz w:val="24"/>
          <w:lang w:val="en-GB"/>
        </w:rPr>
      </w:pPr>
    </w:p>
    <w:p w14:paraId="1D41BCDD" w14:textId="77777777" w:rsidR="001303E3" w:rsidRDefault="001303E3">
      <w:pPr>
        <w:jc w:val="center"/>
        <w:rPr>
          <w:b/>
          <w:sz w:val="24"/>
          <w:lang w:val="en-GB"/>
        </w:rPr>
      </w:pPr>
    </w:p>
    <w:p w14:paraId="7DF737AF" w14:textId="77777777" w:rsidR="001303E3" w:rsidRDefault="001303E3">
      <w:pPr>
        <w:jc w:val="center"/>
        <w:rPr>
          <w:b/>
          <w:sz w:val="24"/>
          <w:lang w:val="en-GB"/>
        </w:rPr>
      </w:pPr>
    </w:p>
    <w:p w14:paraId="102026C5" w14:textId="77777777" w:rsidR="001303E3" w:rsidRDefault="001303E3">
      <w:pPr>
        <w:jc w:val="center"/>
        <w:rPr>
          <w:b/>
          <w:sz w:val="24"/>
          <w:lang w:val="en-GB"/>
        </w:rPr>
      </w:pPr>
    </w:p>
    <w:p w14:paraId="3C7C0026" w14:textId="77777777" w:rsidR="001303E3" w:rsidRDefault="001303E3">
      <w:pPr>
        <w:jc w:val="center"/>
        <w:rPr>
          <w:b/>
          <w:sz w:val="24"/>
          <w:lang w:val="en-GB"/>
        </w:rPr>
      </w:pPr>
    </w:p>
    <w:p w14:paraId="7C1E8E90" w14:textId="77777777" w:rsidR="001303E3" w:rsidRDefault="001303E3">
      <w:pPr>
        <w:jc w:val="center"/>
        <w:rPr>
          <w:b/>
          <w:sz w:val="24"/>
          <w:lang w:val="en-GB"/>
        </w:rPr>
      </w:pPr>
    </w:p>
    <w:p w14:paraId="3B502592" w14:textId="4EE3B77E" w:rsidR="001303E3" w:rsidRPr="00880724" w:rsidRDefault="001303E3">
      <w:pPr>
        <w:pStyle w:val="Reporttitledescription"/>
        <w:rPr>
          <w:color w:val="000000" w:themeColor="text1"/>
          <w:lang w:val="en-GB"/>
        </w:rPr>
      </w:pPr>
      <w:r w:rsidRPr="00880724">
        <w:rPr>
          <w:color w:val="000000" w:themeColor="text1"/>
          <w:lang w:val="en-GB"/>
        </w:rPr>
        <w:t>Exemption from individual licensing and free circulation and use of satellite mobile terminals operating under the control of networks</w:t>
      </w:r>
      <w:r w:rsidR="00781CB6" w:rsidRPr="00880724">
        <w:rPr>
          <w:color w:val="000000" w:themeColor="text1"/>
          <w:lang w:val="en-GB"/>
        </w:rPr>
        <w:t xml:space="preserve"> in the range 1 to 3 GHz</w:t>
      </w:r>
    </w:p>
    <w:p w14:paraId="0CBE243D" w14:textId="629DBAAB" w:rsidR="0095684A" w:rsidRDefault="00880724" w:rsidP="001E2E19">
      <w:pPr>
        <w:pStyle w:val="Reporttitledescription"/>
        <w:rPr>
          <w:b/>
          <w:color w:val="auto"/>
          <w:sz w:val="18"/>
          <w:lang w:val="en-GB"/>
        </w:rPr>
      </w:pPr>
      <w:r>
        <w:rPr>
          <w:b/>
          <w:color w:val="auto"/>
          <w:sz w:val="18"/>
          <w:lang w:val="en-GB"/>
        </w:rPr>
        <w:t>a</w:t>
      </w:r>
      <w:r w:rsidR="0099144F">
        <w:rPr>
          <w:b/>
          <w:color w:val="auto"/>
          <w:sz w:val="18"/>
          <w:lang w:val="en-GB"/>
        </w:rPr>
        <w:t>pproved 0</w:t>
      </w:r>
      <w:r w:rsidR="00A742D6">
        <w:rPr>
          <w:b/>
          <w:color w:val="auto"/>
          <w:sz w:val="18"/>
          <w:lang w:val="en-GB"/>
        </w:rPr>
        <w:t xml:space="preserve">1 </w:t>
      </w:r>
      <w:r w:rsidR="00175AA4">
        <w:rPr>
          <w:b/>
          <w:color w:val="auto"/>
          <w:sz w:val="18"/>
          <w:lang w:val="en-GB"/>
        </w:rPr>
        <w:t>June 2012</w:t>
      </w:r>
    </w:p>
    <w:p w14:paraId="0E36EA64" w14:textId="5756CC3A" w:rsidR="001E2E19" w:rsidRPr="00480CDA" w:rsidRDefault="00260DF8" w:rsidP="001E2E19">
      <w:pPr>
        <w:pStyle w:val="Reporttitledescription"/>
        <w:spacing w:before="120"/>
        <w:rPr>
          <w:color w:val="auto"/>
          <w:sz w:val="18"/>
          <w:lang w:val="en-GB"/>
        </w:rPr>
      </w:pPr>
      <w:r>
        <w:rPr>
          <w:color w:val="auto"/>
          <w:sz w:val="18"/>
          <w:lang w:val="en-GB"/>
        </w:rPr>
        <w:t>l</w:t>
      </w:r>
      <w:r w:rsidR="00880724">
        <w:rPr>
          <w:color w:val="auto"/>
          <w:sz w:val="18"/>
          <w:lang w:val="en-GB"/>
        </w:rPr>
        <w:t>atest a</w:t>
      </w:r>
      <w:r w:rsidR="00727FC5">
        <w:rPr>
          <w:color w:val="auto"/>
          <w:sz w:val="18"/>
          <w:lang w:val="en-GB"/>
        </w:rPr>
        <w:t xml:space="preserve">mended </w:t>
      </w:r>
      <w:r w:rsidR="005F3637">
        <w:rPr>
          <w:color w:val="auto"/>
          <w:sz w:val="18"/>
          <w:lang w:val="en-GB"/>
        </w:rPr>
        <w:t>04 March</w:t>
      </w:r>
      <w:r w:rsidR="00727FC5">
        <w:rPr>
          <w:color w:val="auto"/>
          <w:sz w:val="18"/>
          <w:lang w:val="en-GB"/>
        </w:rPr>
        <w:t xml:space="preserve"> 2022</w:t>
      </w:r>
    </w:p>
    <w:p w14:paraId="6BCAB8B2" w14:textId="77777777" w:rsidR="001303E3" w:rsidRDefault="001303E3">
      <w:pPr>
        <w:pStyle w:val="Reporttitledescription"/>
        <w:rPr>
          <w:b/>
          <w:color w:val="auto"/>
          <w:sz w:val="18"/>
          <w:lang w:val="en-GB"/>
        </w:rPr>
      </w:pPr>
    </w:p>
    <w:p w14:paraId="5B1C719C" w14:textId="77777777" w:rsidR="001303E3" w:rsidRDefault="001303E3">
      <w:pPr>
        <w:pStyle w:val="Reporttitledescription"/>
        <w:rPr>
          <w:b/>
          <w:color w:val="auto"/>
          <w:sz w:val="18"/>
          <w:lang w:val="en-GB"/>
        </w:rPr>
        <w:sectPr w:rsidR="001303E3">
          <w:headerReference w:type="even" r:id="rId9"/>
          <w:headerReference w:type="default" r:id="rId10"/>
          <w:headerReference w:type="first" r:id="rId11"/>
          <w:pgSz w:w="11907" w:h="16840" w:code="9"/>
          <w:pgMar w:top="1513" w:right="1275" w:bottom="1134" w:left="1276" w:header="720" w:footer="735" w:gutter="0"/>
          <w:paperSrc w:first="1" w:other="1"/>
          <w:cols w:space="720"/>
          <w:titlePg/>
        </w:sectPr>
      </w:pPr>
    </w:p>
    <w:p w14:paraId="6D3F4BB4" w14:textId="77777777" w:rsidR="001303E3" w:rsidRDefault="001303E3" w:rsidP="00781CB6">
      <w:pPr>
        <w:pStyle w:val="Heading1"/>
        <w:keepNext/>
        <w:pageBreakBefore/>
        <w:tabs>
          <w:tab w:val="clear" w:pos="851"/>
        </w:tabs>
        <w:spacing w:before="400" w:after="240"/>
        <w:jc w:val="both"/>
        <w:rPr>
          <w:bCs/>
          <w:caps/>
          <w:color w:val="D2232A"/>
          <w:kern w:val="32"/>
          <w:sz w:val="20"/>
          <w:szCs w:val="32"/>
          <w:lang w:eastAsia="en-US"/>
        </w:rPr>
      </w:pPr>
      <w:r>
        <w:rPr>
          <w:bCs/>
          <w:caps/>
          <w:color w:val="D2232A"/>
          <w:kern w:val="32"/>
          <w:sz w:val="20"/>
          <w:szCs w:val="32"/>
          <w:lang w:eastAsia="en-US"/>
        </w:rPr>
        <w:lastRenderedPageBreak/>
        <w:t>explanatory memorandum</w:t>
      </w:r>
    </w:p>
    <w:p w14:paraId="30483705" w14:textId="77777777" w:rsidR="001303E3" w:rsidRDefault="001303E3" w:rsidP="00781CB6">
      <w:pPr>
        <w:pStyle w:val="Heading2"/>
        <w:keepNext/>
        <w:numPr>
          <w:ilvl w:val="0"/>
          <w:numId w:val="15"/>
        </w:numPr>
        <w:tabs>
          <w:tab w:val="clear" w:pos="851"/>
        </w:tabs>
        <w:spacing w:before="480" w:after="240"/>
        <w:jc w:val="both"/>
        <w:rPr>
          <w:bCs/>
          <w:iCs/>
          <w:caps/>
          <w:color w:val="D2232A"/>
          <w:sz w:val="20"/>
          <w:lang w:eastAsia="en-US"/>
        </w:rPr>
      </w:pPr>
      <w:r>
        <w:rPr>
          <w:bCs/>
          <w:iCs/>
          <w:caps/>
          <w:color w:val="D2232A"/>
          <w:sz w:val="20"/>
          <w:lang w:eastAsia="en-US"/>
        </w:rPr>
        <w:t>INTRODUCTION</w:t>
      </w:r>
    </w:p>
    <w:p w14:paraId="5D7393C1" w14:textId="77777777" w:rsidR="001303E3" w:rsidRDefault="001303E3" w:rsidP="00781CB6">
      <w:pPr>
        <w:pStyle w:val="ECCParagraph"/>
      </w:pPr>
      <w:r>
        <w:t xml:space="preserve">Licensing is an appropriate tool for administrations to regulate the use of radio equipment and the efficient use of the frequency spectrum. However, the technical characteristics of </w:t>
      </w:r>
      <w:r w:rsidR="00897DCC">
        <w:t xml:space="preserve">some </w:t>
      </w:r>
      <w:r>
        <w:t>mobile radio equipment require less intervention from the administrations as far as the installation and use of equipment is concerned.</w:t>
      </w:r>
    </w:p>
    <w:p w14:paraId="105F5618" w14:textId="318098D7" w:rsidR="001303E3" w:rsidRDefault="001303E3" w:rsidP="00781CB6">
      <w:pPr>
        <w:pStyle w:val="ECCParagraph"/>
      </w:pPr>
      <w:r>
        <w:t>When the efficient use of the frequency spectrum is not at risk and as long as harmful interference is unlikely, the installation and use of radio equipment should be exempted from individual licensing.</w:t>
      </w:r>
      <w:r>
        <w:rPr>
          <w:rFonts w:cs="Arial"/>
        </w:rPr>
        <w:t xml:space="preserve"> </w:t>
      </w:r>
      <w:r>
        <w:rPr>
          <w:rFonts w:cs="Arial"/>
          <w:szCs w:val="20"/>
        </w:rPr>
        <w:t xml:space="preserve">In </w:t>
      </w:r>
      <w:r w:rsidR="00BB2F33">
        <w:rPr>
          <w:rFonts w:cs="Arial"/>
          <w:szCs w:val="20"/>
        </w:rPr>
        <w:t xml:space="preserve">the </w:t>
      </w:r>
      <w:r>
        <w:rPr>
          <w:rFonts w:cs="Arial"/>
          <w:szCs w:val="20"/>
        </w:rPr>
        <w:t xml:space="preserve">EEA, Directive </w:t>
      </w:r>
      <w:r w:rsidR="00287C12">
        <w:rPr>
          <w:rFonts w:cs="Arial"/>
          <w:szCs w:val="20"/>
        </w:rPr>
        <w:t xml:space="preserve">(EU) </w:t>
      </w:r>
      <w:r w:rsidR="00BB2F33">
        <w:rPr>
          <w:rFonts w:cs="Arial"/>
          <w:szCs w:val="20"/>
        </w:rPr>
        <w:t xml:space="preserve">2018/1972 </w:t>
      </w:r>
      <w:r w:rsidR="00897DCC">
        <w:rPr>
          <w:rFonts w:cs="Arial"/>
          <w:szCs w:val="20"/>
        </w:rPr>
        <w:t xml:space="preserve">(“European Electronic Communications Code”) </w:t>
      </w:r>
      <w:r>
        <w:rPr>
          <w:rFonts w:cs="Arial"/>
          <w:szCs w:val="20"/>
        </w:rPr>
        <w:t>include</w:t>
      </w:r>
      <w:r w:rsidR="00BB2F33">
        <w:rPr>
          <w:rFonts w:cs="Arial"/>
          <w:szCs w:val="20"/>
        </w:rPr>
        <w:t>s</w:t>
      </w:r>
      <w:r>
        <w:rPr>
          <w:rFonts w:cs="Arial"/>
          <w:szCs w:val="20"/>
        </w:rPr>
        <w:t xml:space="preserve"> the principle that </w:t>
      </w:r>
      <w:r w:rsidR="00BB2F33">
        <w:rPr>
          <w:rFonts w:cs="Arial"/>
          <w:szCs w:val="20"/>
        </w:rPr>
        <w:t xml:space="preserve">general authorisations are to be used where possible and </w:t>
      </w:r>
      <w:r>
        <w:rPr>
          <w:rFonts w:cs="Arial"/>
          <w:szCs w:val="20"/>
        </w:rPr>
        <w:t xml:space="preserve">individual rights of use </w:t>
      </w:r>
      <w:r w:rsidR="00BB2F33">
        <w:rPr>
          <w:rFonts w:cs="Arial"/>
          <w:szCs w:val="20"/>
        </w:rPr>
        <w:t>are</w:t>
      </w:r>
      <w:r>
        <w:rPr>
          <w:rFonts w:cs="Arial"/>
          <w:szCs w:val="20"/>
        </w:rPr>
        <w:t xml:space="preserve"> only justified for reasons such as the</w:t>
      </w:r>
      <w:r w:rsidR="007C1E3F">
        <w:rPr>
          <w:rFonts w:cs="Arial"/>
          <w:szCs w:val="20"/>
        </w:rPr>
        <w:t xml:space="preserve"> </w:t>
      </w:r>
      <w:r>
        <w:rPr>
          <w:rFonts w:cs="Arial"/>
          <w:szCs w:val="20"/>
        </w:rPr>
        <w:t>efficient use of the spectrum and the avoidance of harmful interference</w:t>
      </w:r>
      <w:r>
        <w:t>.</w:t>
      </w:r>
    </w:p>
    <w:p w14:paraId="3476A073" w14:textId="77777777" w:rsidR="001303E3" w:rsidRDefault="001303E3" w:rsidP="00781CB6">
      <w:pPr>
        <w:pStyle w:val="ECCParagraph"/>
      </w:pPr>
      <w:r>
        <w:t>It is a general aim of the Electronic Communications Committee (ECC) to facilitate the free circulation and use of radio equipment within CEPT member countries.</w:t>
      </w:r>
    </w:p>
    <w:p w14:paraId="45F62B6D" w14:textId="77777777" w:rsidR="001303E3" w:rsidRDefault="001303E3" w:rsidP="00781CB6">
      <w:pPr>
        <w:pStyle w:val="ECCParagraph"/>
      </w:pPr>
      <w:r>
        <w:t>Three different levels of free circulation can be identified:</w:t>
      </w:r>
    </w:p>
    <w:p w14:paraId="0FECD1A9" w14:textId="77777777" w:rsidR="001303E3" w:rsidRDefault="001303E3" w:rsidP="00781CB6">
      <w:pPr>
        <w:pStyle w:val="ECCParBulleted"/>
        <w:numPr>
          <w:ilvl w:val="0"/>
          <w:numId w:val="27"/>
        </w:numPr>
      </w:pPr>
      <w:r>
        <w:t>free circulation without permission of using the radio equipment</w:t>
      </w:r>
      <w:r w:rsidR="002A370D">
        <w:t>;</w:t>
      </w:r>
    </w:p>
    <w:p w14:paraId="0B340ACD" w14:textId="77777777" w:rsidR="001303E3" w:rsidRDefault="001303E3" w:rsidP="00781CB6">
      <w:pPr>
        <w:pStyle w:val="ECCParBulleted"/>
        <w:numPr>
          <w:ilvl w:val="0"/>
          <w:numId w:val="27"/>
        </w:numPr>
      </w:pPr>
      <w:r>
        <w:t>free circulation with permission of using the radio equipment</w:t>
      </w:r>
      <w:r w:rsidR="002A370D">
        <w:t>;</w:t>
      </w:r>
    </w:p>
    <w:p w14:paraId="668F1C1C" w14:textId="77777777" w:rsidR="001303E3" w:rsidRDefault="001303E3" w:rsidP="00781CB6">
      <w:pPr>
        <w:pStyle w:val="ECCParBulleted"/>
        <w:numPr>
          <w:ilvl w:val="0"/>
          <w:numId w:val="27"/>
        </w:numPr>
      </w:pPr>
      <w:r>
        <w:t>free circulation with the permission of placing the radio equipment on the market.</w:t>
      </w:r>
    </w:p>
    <w:p w14:paraId="1B363C82" w14:textId="77777777" w:rsidR="001303E3" w:rsidRDefault="001303E3" w:rsidP="00781CB6">
      <w:pPr>
        <w:pStyle w:val="ECCParagraph"/>
      </w:pPr>
      <w:r>
        <w:t>This Decision deals only with level 2 of free circulation (free circulation with permission of using the radio equipment).</w:t>
      </w:r>
    </w:p>
    <w:p w14:paraId="0ABC1501" w14:textId="77777777" w:rsidR="001303E3" w:rsidRDefault="001303E3" w:rsidP="00781CB6">
      <w:pPr>
        <w:pStyle w:val="ECCParagraph"/>
        <w:rPr>
          <w:strike/>
        </w:rPr>
      </w:pPr>
      <w:r>
        <w:t>For the purpose of this Decision, the term “free circulation” means carriage of equipment and does not include the placing of equipment on the market.</w:t>
      </w:r>
    </w:p>
    <w:p w14:paraId="6C7E8FAB" w14:textId="782293AE" w:rsidR="001303E3" w:rsidRDefault="00836D30" w:rsidP="00781CB6">
      <w:pPr>
        <w:pStyle w:val="ECCParagraph"/>
      </w:pPr>
      <w:r>
        <w:t xml:space="preserve">This </w:t>
      </w:r>
      <w:r w:rsidR="003C4E74">
        <w:t>D</w:t>
      </w:r>
      <w:r>
        <w:t xml:space="preserve">ecision applies to satellite mobile terminals operating under the control of networks. </w:t>
      </w:r>
      <w:r w:rsidR="00B63D9C">
        <w:t>S</w:t>
      </w:r>
      <w:r>
        <w:t>ome CEPT administrations may require that satellite network operator</w:t>
      </w:r>
      <w:r w:rsidR="003C4E74">
        <w:t>s</w:t>
      </w:r>
      <w:r>
        <w:t xml:space="preserve"> obtain frequency authori</w:t>
      </w:r>
      <w:r w:rsidR="00781CB6">
        <w:t>s</w:t>
      </w:r>
      <w:r>
        <w:t xml:space="preserve">ation </w:t>
      </w:r>
      <w:r w:rsidR="003C4E74" w:rsidRPr="003C4E74">
        <w:rPr>
          <w:lang w:val="nb-NO"/>
        </w:rPr>
        <w:t xml:space="preserve">or that the network is notified to them, </w:t>
      </w:r>
      <w:r>
        <w:t xml:space="preserve">due to national regulatory requirements. </w:t>
      </w:r>
    </w:p>
    <w:p w14:paraId="4E5A77D3" w14:textId="77777777" w:rsidR="001303E3" w:rsidRDefault="001303E3" w:rsidP="00781CB6">
      <w:pPr>
        <w:pStyle w:val="Heading2"/>
        <w:keepNext/>
        <w:numPr>
          <w:ilvl w:val="0"/>
          <w:numId w:val="15"/>
        </w:numPr>
        <w:tabs>
          <w:tab w:val="clear" w:pos="851"/>
        </w:tabs>
        <w:spacing w:before="480" w:after="240"/>
        <w:jc w:val="both"/>
        <w:rPr>
          <w:bCs/>
          <w:iCs/>
          <w:caps/>
          <w:color w:val="D2232A"/>
          <w:sz w:val="20"/>
          <w:lang w:eastAsia="en-US"/>
        </w:rPr>
      </w:pPr>
      <w:r>
        <w:rPr>
          <w:bCs/>
          <w:iCs/>
          <w:caps/>
          <w:color w:val="D2232A"/>
          <w:sz w:val="20"/>
          <w:lang w:eastAsia="en-US"/>
        </w:rPr>
        <w:t>BACKGROUND</w:t>
      </w:r>
    </w:p>
    <w:p w14:paraId="7FB3B849" w14:textId="77777777" w:rsidR="00FA7FA2" w:rsidRPr="00D76698" w:rsidRDefault="00FA7FA2" w:rsidP="00FA7FA2">
      <w:pPr>
        <w:pStyle w:val="ECCParagraph"/>
      </w:pPr>
      <w:r w:rsidRPr="00D76698">
        <w:t>There is a general agreement that when the efficient use of the frequency spectrum is not at risk and as long as harmful interference is unlikely, the installation and use of radio equipment might be exempted from individual licensing.</w:t>
      </w:r>
    </w:p>
    <w:p w14:paraId="2CB1B22C" w14:textId="77777777" w:rsidR="00FA7FA2" w:rsidRPr="00D76698" w:rsidRDefault="00FA7FA2" w:rsidP="00FA7FA2">
      <w:pPr>
        <w:pStyle w:val="ECCParagraph"/>
      </w:pPr>
      <w:r w:rsidRPr="00D76698">
        <w:t xml:space="preserve">The free circulation and use of radio equipment and the provision of </w:t>
      </w:r>
      <w:r w:rsidR="00897DCC">
        <w:t>p</w:t>
      </w:r>
      <w:r w:rsidRPr="00D76698">
        <w:t>an</w:t>
      </w:r>
      <w:r w:rsidR="003C4E74">
        <w:t>-</w:t>
      </w:r>
      <w:r w:rsidRPr="00D76698">
        <w:t>European wide services will be greatly assisted when all CEPT administrations exempt the same categories of radio equipment from individual licensing and apply - to achieve that - the same criteria to decide on this.</w:t>
      </w:r>
    </w:p>
    <w:p w14:paraId="380CF9F5" w14:textId="61888101" w:rsidR="00FA7FA2" w:rsidRDefault="00FA7FA2" w:rsidP="00FA7FA2">
      <w:pPr>
        <w:pStyle w:val="ECCParagraph"/>
      </w:pPr>
      <w:r w:rsidRPr="00D76698">
        <w:t xml:space="preserve">When radio equipment is subject to an exemption from individual licensing, anyone can buy, install, possess and use the radio equipment without any prior individual permission from the administration. Furthermore, the administration will not register the individual equipment. The use of the equipment </w:t>
      </w:r>
      <w:r w:rsidR="00BF079D">
        <w:t>may</w:t>
      </w:r>
      <w:r w:rsidRPr="00D76698">
        <w:t xml:space="preserve"> be subject to general provisions or general authorisation.</w:t>
      </w:r>
    </w:p>
    <w:p w14:paraId="64DDF9C7" w14:textId="2FB8B99B" w:rsidR="0030309A" w:rsidRPr="00D76698" w:rsidRDefault="0030309A" w:rsidP="00FA7FA2">
      <w:pPr>
        <w:pStyle w:val="ECCParagraph"/>
      </w:pPr>
      <w:r w:rsidRPr="37EBA3E1">
        <w:rPr>
          <w:rFonts w:cs="Arial"/>
        </w:rPr>
        <w:t>ECC</w:t>
      </w:r>
      <w:r w:rsidR="007A12F7" w:rsidRPr="37EBA3E1">
        <w:rPr>
          <w:rFonts w:cs="Arial"/>
        </w:rPr>
        <w:t xml:space="preserve"> Decision </w:t>
      </w:r>
      <w:r w:rsidRPr="37EBA3E1">
        <w:rPr>
          <w:rFonts w:cs="Arial"/>
        </w:rPr>
        <w:t>(07)04 and ECC</w:t>
      </w:r>
      <w:r w:rsidR="007A12F7" w:rsidRPr="37EBA3E1">
        <w:rPr>
          <w:rFonts w:cs="Arial"/>
        </w:rPr>
        <w:t xml:space="preserve"> Decision </w:t>
      </w:r>
      <w:r w:rsidRPr="37EBA3E1">
        <w:rPr>
          <w:rFonts w:cs="Arial"/>
        </w:rPr>
        <w:t>(07)05 were withdrawn</w:t>
      </w:r>
      <w:r w:rsidR="00827B09">
        <w:t xml:space="preserve"> by the original version of this ECC Decision</w:t>
      </w:r>
      <w:r w:rsidRPr="37EBA3E1">
        <w:rPr>
          <w:rFonts w:cs="Arial"/>
        </w:rPr>
        <w:t xml:space="preserve"> on 1</w:t>
      </w:r>
      <w:r w:rsidR="00954A8C" w:rsidRPr="37EBA3E1">
        <w:rPr>
          <w:rFonts w:cs="Arial"/>
        </w:rPr>
        <w:t> </w:t>
      </w:r>
      <w:r w:rsidRPr="37EBA3E1">
        <w:rPr>
          <w:rFonts w:cs="Arial"/>
        </w:rPr>
        <w:t>June 2014.</w:t>
      </w:r>
    </w:p>
    <w:p w14:paraId="13B1EA0A" w14:textId="77777777" w:rsidR="001303E3" w:rsidRDefault="001303E3" w:rsidP="00781CB6">
      <w:pPr>
        <w:pStyle w:val="Heading2"/>
        <w:keepNext/>
        <w:numPr>
          <w:ilvl w:val="0"/>
          <w:numId w:val="15"/>
        </w:numPr>
        <w:tabs>
          <w:tab w:val="clear" w:pos="851"/>
        </w:tabs>
        <w:spacing w:before="480" w:after="240"/>
        <w:jc w:val="both"/>
        <w:rPr>
          <w:bCs/>
          <w:iCs/>
          <w:caps/>
          <w:color w:val="D2232A"/>
          <w:sz w:val="20"/>
          <w:lang w:eastAsia="en-US"/>
        </w:rPr>
      </w:pPr>
      <w:r>
        <w:rPr>
          <w:bCs/>
          <w:iCs/>
          <w:caps/>
          <w:color w:val="D2232A"/>
          <w:sz w:val="20"/>
          <w:lang w:eastAsia="en-US"/>
        </w:rPr>
        <w:lastRenderedPageBreak/>
        <w:t>REQUIREMENT FOR AN ECC DECISION</w:t>
      </w:r>
    </w:p>
    <w:p w14:paraId="2B6C4179" w14:textId="7B5547D3" w:rsidR="001303E3" w:rsidRDefault="001303E3" w:rsidP="00781CB6">
      <w:pPr>
        <w:pStyle w:val="ECCParagraph"/>
        <w:rPr>
          <w:rFonts w:cs="Arial"/>
          <w:szCs w:val="20"/>
        </w:rPr>
      </w:pPr>
      <w:r>
        <w:t xml:space="preserve">The aim of this Decision is to exempt from individual licensing and </w:t>
      </w:r>
      <w:r w:rsidR="0091224B">
        <w:t xml:space="preserve">allow </w:t>
      </w:r>
      <w:r>
        <w:t>free circulation and use of satellite mobile terminals operating under the control of networks. This Decision is as technology neutral as possible and does not discriminate against a particular type of technology</w:t>
      </w:r>
      <w:r>
        <w:rPr>
          <w:rFonts w:cs="Arial"/>
          <w:b/>
          <w:bCs/>
          <w:szCs w:val="20"/>
        </w:rPr>
        <w:t>.</w:t>
      </w:r>
    </w:p>
    <w:p w14:paraId="73188F81" w14:textId="7BE47811" w:rsidR="001303E3" w:rsidRDefault="001303E3" w:rsidP="00781CB6">
      <w:pPr>
        <w:pStyle w:val="Heading1"/>
        <w:keepNext/>
        <w:pageBreakBefore/>
        <w:tabs>
          <w:tab w:val="clear" w:pos="851"/>
        </w:tabs>
        <w:spacing w:before="400" w:after="240"/>
        <w:jc w:val="both"/>
        <w:rPr>
          <w:bCs/>
          <w:caps/>
          <w:color w:val="D2232A"/>
          <w:kern w:val="32"/>
          <w:sz w:val="20"/>
          <w:szCs w:val="32"/>
          <w:lang w:eastAsia="en-US"/>
        </w:rPr>
      </w:pPr>
      <w:r>
        <w:rPr>
          <w:bCs/>
          <w:caps/>
          <w:color w:val="D2232A"/>
          <w:kern w:val="32"/>
          <w:sz w:val="20"/>
          <w:szCs w:val="32"/>
          <w:lang w:eastAsia="en-US"/>
        </w:rPr>
        <w:lastRenderedPageBreak/>
        <w:t xml:space="preserve">ECC Decision of </w:t>
      </w:r>
      <w:r w:rsidR="007C1E3F">
        <w:rPr>
          <w:bCs/>
          <w:caps/>
          <w:color w:val="D2232A"/>
          <w:kern w:val="32"/>
          <w:sz w:val="20"/>
          <w:szCs w:val="32"/>
          <w:lang w:eastAsia="en-US"/>
        </w:rPr>
        <w:t>1 June</w:t>
      </w:r>
      <w:r>
        <w:rPr>
          <w:bCs/>
          <w:caps/>
          <w:color w:val="D2232A"/>
          <w:kern w:val="32"/>
          <w:sz w:val="20"/>
          <w:szCs w:val="32"/>
          <w:lang w:eastAsia="en-US"/>
        </w:rPr>
        <w:t xml:space="preserve"> </w:t>
      </w:r>
      <w:r w:rsidR="007C1E3F">
        <w:rPr>
          <w:bCs/>
          <w:caps/>
          <w:color w:val="D2232A"/>
          <w:kern w:val="32"/>
          <w:sz w:val="20"/>
          <w:szCs w:val="32"/>
          <w:lang w:eastAsia="en-US"/>
        </w:rPr>
        <w:t>2012</w:t>
      </w:r>
      <w:r>
        <w:rPr>
          <w:bCs/>
          <w:caps/>
          <w:color w:val="D2232A"/>
          <w:kern w:val="32"/>
          <w:sz w:val="20"/>
          <w:szCs w:val="32"/>
          <w:lang w:eastAsia="en-US"/>
        </w:rPr>
        <w:t xml:space="preserve"> on exemption from individual licensing and free circulation and use of satellite mobile terminals operating under the control of networks</w:t>
      </w:r>
      <w:r w:rsidR="00897DCC">
        <w:rPr>
          <w:bCs/>
          <w:caps/>
          <w:color w:val="D2232A"/>
          <w:kern w:val="32"/>
          <w:sz w:val="20"/>
          <w:szCs w:val="32"/>
          <w:lang w:eastAsia="en-US"/>
        </w:rPr>
        <w:t xml:space="preserve"> in the range 1 to 3 GHz</w:t>
      </w:r>
      <w:r>
        <w:rPr>
          <w:bCs/>
          <w:caps/>
          <w:color w:val="D2232A"/>
          <w:kern w:val="32"/>
          <w:sz w:val="20"/>
          <w:szCs w:val="32"/>
          <w:lang w:eastAsia="en-US"/>
        </w:rPr>
        <w:t xml:space="preserve"> (ecc/dec/(12</w:t>
      </w:r>
      <w:r w:rsidRPr="002A370D">
        <w:rPr>
          <w:bCs/>
          <w:caps/>
          <w:color w:val="D2232A"/>
          <w:kern w:val="32"/>
          <w:sz w:val="20"/>
          <w:szCs w:val="32"/>
          <w:lang w:eastAsia="en-US"/>
        </w:rPr>
        <w:t>)</w:t>
      </w:r>
      <w:r w:rsidR="007C1E3F" w:rsidRPr="002A370D">
        <w:rPr>
          <w:bCs/>
          <w:caps/>
          <w:color w:val="D2232A"/>
          <w:kern w:val="32"/>
          <w:sz w:val="20"/>
          <w:szCs w:val="32"/>
          <w:lang w:eastAsia="en-US"/>
        </w:rPr>
        <w:t>01</w:t>
      </w:r>
      <w:r w:rsidRPr="002A370D">
        <w:rPr>
          <w:bCs/>
          <w:caps/>
          <w:color w:val="D2232A"/>
          <w:kern w:val="32"/>
          <w:sz w:val="20"/>
          <w:szCs w:val="32"/>
          <w:lang w:eastAsia="en-US"/>
        </w:rPr>
        <w:t>)</w:t>
      </w:r>
      <w:r w:rsidR="005F3637">
        <w:rPr>
          <w:bCs/>
          <w:caps/>
          <w:color w:val="D2232A"/>
          <w:kern w:val="32"/>
          <w:sz w:val="20"/>
          <w:szCs w:val="32"/>
          <w:lang w:eastAsia="en-US"/>
        </w:rPr>
        <w:t>,</w:t>
      </w:r>
      <w:r w:rsidR="007B5197" w:rsidRPr="002A370D">
        <w:rPr>
          <w:bCs/>
          <w:caps/>
          <w:color w:val="D2232A"/>
          <w:kern w:val="32"/>
          <w:sz w:val="20"/>
          <w:szCs w:val="32"/>
          <w:lang w:eastAsia="en-US"/>
        </w:rPr>
        <w:t xml:space="preserve"> </w:t>
      </w:r>
      <w:r w:rsidR="007B5197" w:rsidRPr="002A370D">
        <w:rPr>
          <w:caps/>
          <w:color w:val="D2232A"/>
          <w:kern w:val="32"/>
          <w:sz w:val="20"/>
        </w:rPr>
        <w:t>Corrected 3 july 2015</w:t>
      </w:r>
      <w:r w:rsidR="005F3637">
        <w:rPr>
          <w:caps/>
          <w:color w:val="D2232A"/>
          <w:kern w:val="32"/>
          <w:sz w:val="20"/>
        </w:rPr>
        <w:t>,</w:t>
      </w:r>
      <w:r w:rsidR="0070164B" w:rsidRPr="002A370D">
        <w:rPr>
          <w:caps/>
          <w:color w:val="D2232A"/>
          <w:kern w:val="32"/>
          <w:sz w:val="20"/>
        </w:rPr>
        <w:t xml:space="preserve"> AMENDED </w:t>
      </w:r>
      <w:r w:rsidR="002A370D" w:rsidRPr="002A370D">
        <w:rPr>
          <w:caps/>
          <w:color w:val="D2232A"/>
          <w:kern w:val="32"/>
          <w:sz w:val="20"/>
        </w:rPr>
        <w:t xml:space="preserve">18 November </w:t>
      </w:r>
      <w:r w:rsidR="0070164B" w:rsidRPr="002A370D">
        <w:rPr>
          <w:caps/>
          <w:color w:val="D2232A"/>
          <w:kern w:val="32"/>
          <w:sz w:val="20"/>
        </w:rPr>
        <w:t>2016</w:t>
      </w:r>
      <w:r w:rsidR="005F3637">
        <w:rPr>
          <w:caps/>
          <w:color w:val="D2232A"/>
          <w:kern w:val="32"/>
          <w:sz w:val="20"/>
        </w:rPr>
        <w:t xml:space="preserve"> and</w:t>
      </w:r>
      <w:r w:rsidR="00897DCC">
        <w:rPr>
          <w:caps/>
          <w:color w:val="D2232A"/>
          <w:kern w:val="32"/>
          <w:sz w:val="20"/>
        </w:rPr>
        <w:t xml:space="preserve"> Amended </w:t>
      </w:r>
      <w:r w:rsidR="005F3637">
        <w:rPr>
          <w:caps/>
          <w:color w:val="D2232A"/>
          <w:kern w:val="32"/>
          <w:sz w:val="20"/>
        </w:rPr>
        <w:t>04 March</w:t>
      </w:r>
      <w:r w:rsidR="00897DCC">
        <w:rPr>
          <w:caps/>
          <w:color w:val="D2232A"/>
          <w:kern w:val="32"/>
          <w:sz w:val="20"/>
        </w:rPr>
        <w:t xml:space="preserve"> 202</w:t>
      </w:r>
      <w:r w:rsidR="005F3637">
        <w:rPr>
          <w:caps/>
          <w:color w:val="D2232A"/>
          <w:kern w:val="32"/>
          <w:sz w:val="20"/>
        </w:rPr>
        <w:t>2</w:t>
      </w:r>
    </w:p>
    <w:p w14:paraId="10462BD2" w14:textId="77777777" w:rsidR="001303E3" w:rsidRDefault="001303E3" w:rsidP="00781CB6">
      <w:pPr>
        <w:pStyle w:val="ECCParagraph"/>
      </w:pPr>
      <w:r>
        <w:t>“The European Conference of Postal and Telecommunications Administrations,</w:t>
      </w:r>
    </w:p>
    <w:p w14:paraId="6F0BD6C0" w14:textId="77777777" w:rsidR="001303E3" w:rsidRDefault="001303E3" w:rsidP="00781CB6">
      <w:pPr>
        <w:pStyle w:val="ECCParagraph"/>
        <w:rPr>
          <w:rFonts w:cs="Arial"/>
          <w:i/>
          <w:color w:val="D2232A"/>
        </w:rPr>
      </w:pPr>
      <w:r>
        <w:rPr>
          <w:rFonts w:cs="Arial"/>
          <w:i/>
          <w:color w:val="D2232A"/>
        </w:rPr>
        <w:t>considering</w:t>
      </w:r>
    </w:p>
    <w:p w14:paraId="343A7E2F" w14:textId="77777777" w:rsidR="005460B3" w:rsidRDefault="005460B3" w:rsidP="005460B3">
      <w:pPr>
        <w:pStyle w:val="LetteredList0"/>
      </w:pPr>
      <w:r w:rsidRPr="00694D15">
        <w:t>that one of the policy goals of the CEPT Electronic Communications Committee is to provide for the free circulation and use of radio equipment within the CEPT member countries</w:t>
      </w:r>
      <w:r>
        <w:t>;</w:t>
      </w:r>
    </w:p>
    <w:p w14:paraId="4307A36C" w14:textId="5CE67783" w:rsidR="001303E3" w:rsidRDefault="001303E3" w:rsidP="00781CB6">
      <w:pPr>
        <w:pStyle w:val="LetteredList0"/>
      </w:pPr>
      <w:r>
        <w:t>that within CEPT administrations there is a growing awareness of a need for harmonisation of licensing regimes in order to facilitate the free circulation of radio equipment;</w:t>
      </w:r>
    </w:p>
    <w:p w14:paraId="1715319D" w14:textId="77777777" w:rsidR="001303E3" w:rsidRDefault="001303E3" w:rsidP="00781CB6">
      <w:pPr>
        <w:pStyle w:val="LetteredList0"/>
      </w:pPr>
      <w:r>
        <w:t>that it therefore would be desirable for CEPT administrations to have common licensing regimes in order to control the installation, ownership and use of radio equipment;</w:t>
      </w:r>
    </w:p>
    <w:p w14:paraId="231D2389" w14:textId="1083B35C" w:rsidR="001303E3" w:rsidRDefault="001303E3" w:rsidP="00781CB6">
      <w:pPr>
        <w:pStyle w:val="LetteredList0"/>
      </w:pPr>
      <w:r>
        <w:t>that there is a strong desire within CEPT administrations to improve efficiency by reducing the control exercised by administrations in the form of mandatory provisions;</w:t>
      </w:r>
    </w:p>
    <w:p w14:paraId="2FE90DE5" w14:textId="77777777" w:rsidR="001303E3" w:rsidRDefault="001303E3" w:rsidP="00781CB6">
      <w:pPr>
        <w:pStyle w:val="LetteredList0"/>
      </w:pPr>
      <w:r>
        <w:t>that national licensing regimes should be as simple as possible, in order to minimise the burden upon the administrations and users of equipment;</w:t>
      </w:r>
    </w:p>
    <w:p w14:paraId="1AC6DCD7" w14:textId="77777777" w:rsidR="001303E3" w:rsidRPr="00025A03" w:rsidRDefault="001303E3" w:rsidP="00781CB6">
      <w:pPr>
        <w:pStyle w:val="LetteredList0"/>
      </w:pPr>
      <w:r>
        <w:t xml:space="preserve">that intervention by the national administrations with respect to the use of radio equipment should in </w:t>
      </w:r>
      <w:r w:rsidRPr="00025A03">
        <w:t>general not exceed the level necessary for the efficient use of the frequency spectrum;</w:t>
      </w:r>
    </w:p>
    <w:p w14:paraId="1B3F315F" w14:textId="6225D560" w:rsidR="001303E3" w:rsidRDefault="001303E3" w:rsidP="00781CB6">
      <w:pPr>
        <w:pStyle w:val="LetteredList0"/>
      </w:pPr>
      <w:r>
        <w:t>that harmoni</w:t>
      </w:r>
      <w:r w:rsidR="00536FEE">
        <w:t>s</w:t>
      </w:r>
      <w:r>
        <w:t xml:space="preserve">ed standards for the equipment operating in the frequency bands listed in Annex 1 are </w:t>
      </w:r>
      <w:r w:rsidR="00947816">
        <w:t>listed</w:t>
      </w:r>
      <w:r>
        <w:t xml:space="preserve"> in the ECA Table (ERC Report 25</w:t>
      </w:r>
      <w:r w:rsidR="00866AE1">
        <w:t xml:space="preserve"> </w:t>
      </w:r>
      <w:r w:rsidR="00866AE1">
        <w:fldChar w:fldCharType="begin"/>
      </w:r>
      <w:r w:rsidR="00866AE1">
        <w:instrText xml:space="preserve"> REF _Ref97804126 \r \h </w:instrText>
      </w:r>
      <w:r w:rsidR="00866AE1">
        <w:fldChar w:fldCharType="separate"/>
      </w:r>
      <w:r w:rsidR="00866AE1">
        <w:t>[2]</w:t>
      </w:r>
      <w:r w:rsidR="00866AE1">
        <w:fldChar w:fldCharType="end"/>
      </w:r>
      <w:r>
        <w:t>);</w:t>
      </w:r>
    </w:p>
    <w:p w14:paraId="186D8EF6" w14:textId="7ED9B0B5" w:rsidR="001303E3" w:rsidRDefault="001303E3" w:rsidP="00781CB6">
      <w:pPr>
        <w:pStyle w:val="LetteredList0"/>
      </w:pPr>
      <w:r>
        <w:t xml:space="preserve">that </w:t>
      </w:r>
      <w:r w:rsidR="00947816">
        <w:t xml:space="preserve">the </w:t>
      </w:r>
      <w:r>
        <w:t>ITU</w:t>
      </w:r>
      <w:r w:rsidR="00947816">
        <w:t>-R has</w:t>
      </w:r>
      <w:r>
        <w:t xml:space="preserve"> approved </w:t>
      </w:r>
      <w:r w:rsidR="00BD579A">
        <w:t xml:space="preserve">Recommendation ITU-R M.2014 </w:t>
      </w:r>
      <w:r w:rsidR="00866AE1">
        <w:fldChar w:fldCharType="begin"/>
      </w:r>
      <w:r w:rsidR="00866AE1">
        <w:instrText xml:space="preserve"> REF _Ref97804119 \r \h </w:instrText>
      </w:r>
      <w:r w:rsidR="00866AE1">
        <w:fldChar w:fldCharType="separate"/>
      </w:r>
      <w:r w:rsidR="00866AE1">
        <w:t>[3]</w:t>
      </w:r>
      <w:r w:rsidR="00866AE1">
        <w:fldChar w:fldCharType="end"/>
      </w:r>
      <w:r w:rsidR="00866AE1">
        <w:t xml:space="preserve"> </w:t>
      </w:r>
      <w:r w:rsidR="00BD579A">
        <w:t>on g</w:t>
      </w:r>
      <w:r w:rsidR="00BD579A" w:rsidRPr="00BD579A">
        <w:t>lobal circulation of IMT satellite terminals</w:t>
      </w:r>
      <w:r>
        <w:t>;</w:t>
      </w:r>
    </w:p>
    <w:p w14:paraId="3E1224AC" w14:textId="77777777" w:rsidR="001303E3" w:rsidRDefault="001303E3" w:rsidP="00781CB6">
      <w:pPr>
        <w:pStyle w:val="LetteredList0"/>
      </w:pPr>
      <w:r>
        <w:t>that RR No. 5.376A specifies that mobile satellite terminals in the band 1660-1660.5 MHz shall not cause harmful interference to stations of the radio astronomy service;</w:t>
      </w:r>
    </w:p>
    <w:p w14:paraId="5915A1E4" w14:textId="77777777" w:rsidR="00246FB8" w:rsidRDefault="00246FB8" w:rsidP="00781CB6">
      <w:pPr>
        <w:pStyle w:val="LetteredList0"/>
      </w:pPr>
      <w:r>
        <w:t xml:space="preserve">that some CEPT administrations may require operators of satellite networks and satellite systems to comply with specific regulatory conditions </w:t>
      </w:r>
      <w:r w:rsidR="00947816">
        <w:t>to</w:t>
      </w:r>
      <w:r>
        <w:t xml:space="preserve"> obtain an individual authorisation for their network </w:t>
      </w:r>
      <w:r w:rsidR="007833E7" w:rsidRPr="007833E7">
        <w:rPr>
          <w:lang w:val="nb-NO"/>
        </w:rPr>
        <w:t>or to notify their network/system,</w:t>
      </w:r>
      <w:r w:rsidR="007833E7">
        <w:rPr>
          <w:lang w:val="nb-NO"/>
        </w:rPr>
        <w:t xml:space="preserve"> </w:t>
      </w:r>
      <w:r>
        <w:t>due to national regulatory requirements;</w:t>
      </w:r>
    </w:p>
    <w:p w14:paraId="2DF085A4" w14:textId="77777777" w:rsidR="001303E3" w:rsidRDefault="001303E3" w:rsidP="00781CB6">
      <w:pPr>
        <w:pStyle w:val="LetteredList0"/>
      </w:pPr>
      <w:r>
        <w:t xml:space="preserve">that for </w:t>
      </w:r>
      <w:bookmarkStart w:id="0" w:name="OLE_LINK2"/>
      <w:bookmarkStart w:id="1" w:name="OLE_LINK1"/>
      <w:r>
        <w:t>mobile satellite terminals installed permanently on maritime vessels or aircraft</w:t>
      </w:r>
      <w:bookmarkEnd w:id="0"/>
      <w:bookmarkEnd w:id="1"/>
      <w:r>
        <w:t>, licensing or notification, if applicable, takes place in the country of registration;</w:t>
      </w:r>
    </w:p>
    <w:p w14:paraId="7F43A7EF" w14:textId="4472F701" w:rsidR="001303E3" w:rsidRDefault="001303E3" w:rsidP="00781CB6">
      <w:pPr>
        <w:pStyle w:val="LetteredList0"/>
      </w:pPr>
      <w:r>
        <w:t>that administrations should work towards the exemption of relevant radio equipment from individual licensing based on harmonised criteria detailed in ERC</w:t>
      </w:r>
      <w:r w:rsidR="00BF079D">
        <w:t xml:space="preserve"> Recommendation</w:t>
      </w:r>
      <w:r>
        <w:t xml:space="preserve"> 01-07</w:t>
      </w:r>
      <w:r w:rsidR="00866AE1">
        <w:t xml:space="preserve"> </w:t>
      </w:r>
      <w:r w:rsidR="00866AE1">
        <w:fldChar w:fldCharType="begin"/>
      </w:r>
      <w:r w:rsidR="00866AE1">
        <w:instrText xml:space="preserve"> REF _Ref97804158 \r \h </w:instrText>
      </w:r>
      <w:r w:rsidR="00866AE1">
        <w:fldChar w:fldCharType="separate"/>
      </w:r>
      <w:r w:rsidR="00866AE1">
        <w:t>[4]</w:t>
      </w:r>
      <w:r w:rsidR="00866AE1">
        <w:fldChar w:fldCharType="end"/>
      </w:r>
      <w:r>
        <w:t>;</w:t>
      </w:r>
    </w:p>
    <w:p w14:paraId="618E8757" w14:textId="051E56A7" w:rsidR="001303E3" w:rsidRDefault="001303E3" w:rsidP="00781CB6">
      <w:pPr>
        <w:pStyle w:val="LetteredList0"/>
      </w:pPr>
      <w:r w:rsidRPr="005C5FDA">
        <w:t xml:space="preserve">that in EU/EFTA countries the radio equipment that is under the scope of this Decision shall comply with the </w:t>
      </w:r>
      <w:r w:rsidR="007833E7">
        <w:t>Radio Equipment (</w:t>
      </w:r>
      <w:r w:rsidR="00F02D91" w:rsidRPr="005C5FDA">
        <w:t>RE</w:t>
      </w:r>
      <w:r w:rsidR="007833E7">
        <w:t>)</w:t>
      </w:r>
      <w:r w:rsidR="00E60552">
        <w:t xml:space="preserve"> </w:t>
      </w:r>
      <w:r w:rsidRPr="005C5FDA">
        <w:t>Directive</w:t>
      </w:r>
      <w:r w:rsidR="00E23490">
        <w:t xml:space="preserve"> </w:t>
      </w:r>
      <w:r w:rsidR="00F02D91" w:rsidRPr="005C5FDA">
        <w:rPr>
          <w:rStyle w:val="Strong"/>
          <w:b w:val="0"/>
        </w:rPr>
        <w:t>2014/53/EU</w:t>
      </w:r>
      <w:r w:rsidR="00866AE1">
        <w:rPr>
          <w:rStyle w:val="Strong"/>
          <w:b w:val="0"/>
        </w:rPr>
        <w:t xml:space="preserve"> </w:t>
      </w:r>
      <w:r w:rsidR="00866AE1">
        <w:rPr>
          <w:rStyle w:val="Strong"/>
          <w:b w:val="0"/>
        </w:rPr>
        <w:fldChar w:fldCharType="begin"/>
      </w:r>
      <w:r w:rsidR="00866AE1">
        <w:rPr>
          <w:rStyle w:val="Strong"/>
          <w:b w:val="0"/>
        </w:rPr>
        <w:instrText xml:space="preserve"> REF _Ref97804177 \r \h </w:instrText>
      </w:r>
      <w:r w:rsidR="00866AE1">
        <w:rPr>
          <w:rStyle w:val="Strong"/>
          <w:b w:val="0"/>
        </w:rPr>
      </w:r>
      <w:r w:rsidR="00866AE1">
        <w:rPr>
          <w:rStyle w:val="Strong"/>
          <w:b w:val="0"/>
        </w:rPr>
        <w:fldChar w:fldCharType="separate"/>
      </w:r>
      <w:r w:rsidR="00866AE1">
        <w:rPr>
          <w:rStyle w:val="Strong"/>
          <w:b w:val="0"/>
        </w:rPr>
        <w:t>[5]</w:t>
      </w:r>
      <w:r w:rsidR="00866AE1">
        <w:rPr>
          <w:rStyle w:val="Strong"/>
          <w:b w:val="0"/>
        </w:rPr>
        <w:fldChar w:fldCharType="end"/>
      </w:r>
      <w:r w:rsidRPr="005C5FDA">
        <w:t xml:space="preserve">. Conformity with the essential requirements of the </w:t>
      </w:r>
      <w:r w:rsidR="00F02D91" w:rsidRPr="005C5FDA">
        <w:t>RE</w:t>
      </w:r>
      <w:r w:rsidR="00E23490">
        <w:t xml:space="preserve"> </w:t>
      </w:r>
      <w:r w:rsidRPr="005C5FDA">
        <w:t>Directive may be demonstrated by compliance with the applicable harmonised European standard(s)</w:t>
      </w:r>
      <w:r w:rsidR="00954A8C">
        <w:t>,</w:t>
      </w:r>
      <w:r w:rsidRPr="005C5FDA">
        <w:t xml:space="preserve"> </w:t>
      </w:r>
      <w:r w:rsidR="00E23490">
        <w:t>cited in the Official Journal of the European Union (OJ)</w:t>
      </w:r>
      <w:r w:rsidR="00954A8C">
        <w:t>,</w:t>
      </w:r>
      <w:r w:rsidR="00E23490">
        <w:t xml:space="preserve"> </w:t>
      </w:r>
      <w:r w:rsidRPr="005C5FDA">
        <w:t xml:space="preserve">or by using the other conformity assessment procedures set out in the </w:t>
      </w:r>
      <w:r w:rsidR="000B1026">
        <w:t>RE</w:t>
      </w:r>
      <w:r w:rsidR="00E23490">
        <w:t xml:space="preserve"> </w:t>
      </w:r>
      <w:r w:rsidRPr="005C5FDA">
        <w:t>Directive.</w:t>
      </w:r>
    </w:p>
    <w:p w14:paraId="33EAF6D6" w14:textId="77777777" w:rsidR="000B1026" w:rsidRDefault="000B1026" w:rsidP="00781CB6">
      <w:pPr>
        <w:spacing w:after="0"/>
        <w:rPr>
          <w:rFonts w:cs="Arial"/>
          <w:sz w:val="20"/>
          <w:szCs w:val="24"/>
          <w:lang w:val="en-GB" w:eastAsia="en-US"/>
        </w:rPr>
      </w:pPr>
      <w:r>
        <w:br w:type="page"/>
      </w:r>
    </w:p>
    <w:p w14:paraId="580C4E9A" w14:textId="77777777" w:rsidR="001303E3" w:rsidRDefault="001303E3" w:rsidP="00781CB6">
      <w:pPr>
        <w:pStyle w:val="ECCParagraph"/>
        <w:rPr>
          <w:rFonts w:cs="Arial"/>
          <w:color w:val="D2232A"/>
        </w:rPr>
      </w:pPr>
      <w:r>
        <w:rPr>
          <w:rFonts w:cs="Arial"/>
          <w:i/>
          <w:color w:val="D2232A"/>
        </w:rPr>
        <w:lastRenderedPageBreak/>
        <w:t>DECIDES</w:t>
      </w:r>
    </w:p>
    <w:p w14:paraId="6B304222" w14:textId="798D0E1E" w:rsidR="001303E3" w:rsidRDefault="001303E3" w:rsidP="00781CB6">
      <w:pPr>
        <w:pStyle w:val="NumberedList"/>
        <w:rPr>
          <w:rFonts w:cs="Arial"/>
        </w:rPr>
      </w:pPr>
      <w:proofErr w:type="gramStart"/>
      <w:r>
        <w:rPr>
          <w:rFonts w:cs="Arial"/>
        </w:rPr>
        <w:t>that administrations</w:t>
      </w:r>
      <w:proofErr w:type="gramEnd"/>
      <w:r>
        <w:rPr>
          <w:rFonts w:cs="Arial"/>
        </w:rPr>
        <w:t xml:space="preserve">, with the exception of satellite terminals installed permanently on maritime vessels or aircraft, shall exempt from individual licensing and allow the free circulation and use of the satellite mobile terminals </w:t>
      </w:r>
      <w:r>
        <w:rPr>
          <w:rFonts w:cs="Arial"/>
          <w:iCs/>
        </w:rPr>
        <w:t xml:space="preserve">operating under the control of </w:t>
      </w:r>
      <w:r>
        <w:rPr>
          <w:rFonts w:cs="Arial"/>
        </w:rPr>
        <w:t>satellite networks, capable of providing electronic communications services</w:t>
      </w:r>
      <w:r>
        <w:rPr>
          <w:rFonts w:cs="Arial"/>
          <w:iCs/>
        </w:rPr>
        <w:t xml:space="preserve"> in the frequency </w:t>
      </w:r>
      <w:r>
        <w:rPr>
          <w:rFonts w:cs="Arial"/>
        </w:rPr>
        <w:t>bands, or parts of the frequency bands, listed in Annex 1;</w:t>
      </w:r>
    </w:p>
    <w:p w14:paraId="252FB211" w14:textId="77777777" w:rsidR="001303E3" w:rsidRPr="00516E48" w:rsidRDefault="001303E3" w:rsidP="00781CB6">
      <w:pPr>
        <w:pStyle w:val="NumberedList"/>
        <w:rPr>
          <w:rFonts w:cs="Arial"/>
        </w:rPr>
      </w:pPr>
      <w:r w:rsidRPr="00516E48">
        <w:rPr>
          <w:rFonts w:cs="Arial"/>
        </w:rPr>
        <w:t>that this Decision enters into force on</w:t>
      </w:r>
      <w:r>
        <w:t xml:space="preserve"> </w:t>
      </w:r>
      <w:r w:rsidR="004463B7">
        <w:t xml:space="preserve">18 November </w:t>
      </w:r>
      <w:r w:rsidR="004463B7" w:rsidRPr="002A370D">
        <w:t>2016</w:t>
      </w:r>
      <w:r w:rsidRPr="002A370D">
        <w:t>;</w:t>
      </w:r>
    </w:p>
    <w:p w14:paraId="31CF02AE" w14:textId="77777777" w:rsidR="001303E3" w:rsidRPr="002A370D" w:rsidRDefault="001303E3" w:rsidP="00781CB6">
      <w:pPr>
        <w:pStyle w:val="NumberedList"/>
        <w:rPr>
          <w:rFonts w:cs="Arial"/>
        </w:rPr>
      </w:pPr>
      <w:r>
        <w:rPr>
          <w:rFonts w:cs="Arial"/>
        </w:rPr>
        <w:t xml:space="preserve">that the preferred date for implementation of this Decision shall be </w:t>
      </w:r>
      <w:r w:rsidR="004463B7">
        <w:rPr>
          <w:rFonts w:cs="Arial"/>
        </w:rPr>
        <w:t xml:space="preserve">18 May </w:t>
      </w:r>
      <w:r w:rsidR="004463B7" w:rsidRPr="002A370D">
        <w:rPr>
          <w:rFonts w:cs="Arial"/>
        </w:rPr>
        <w:t>2017</w:t>
      </w:r>
      <w:r w:rsidRPr="002A370D">
        <w:t>;</w:t>
      </w:r>
    </w:p>
    <w:p w14:paraId="6DA69224" w14:textId="438538F5" w:rsidR="001303E3" w:rsidRDefault="001303E3" w:rsidP="00781CB6">
      <w:pPr>
        <w:pStyle w:val="NumberedList"/>
        <w:rPr>
          <w:rFonts w:cs="Arial"/>
        </w:rPr>
      </w:pPr>
      <w:r>
        <w:rPr>
          <w:rFonts w:cs="Arial"/>
        </w:rPr>
        <w:t>that CEPT administrations shall communicate the national measures implementing this Decision to the ECC Chairman and the O</w:t>
      </w:r>
      <w:r w:rsidR="00C807A0">
        <w:rPr>
          <w:rFonts w:cs="Arial"/>
        </w:rPr>
        <w:t>ffice</w:t>
      </w:r>
      <w:r>
        <w:rPr>
          <w:rFonts w:cs="Arial"/>
        </w:rPr>
        <w:t xml:space="preserve"> when the Decision is nationally implemented.”</w:t>
      </w:r>
    </w:p>
    <w:p w14:paraId="2A41737A" w14:textId="77777777" w:rsidR="002A370D" w:rsidRDefault="002A370D" w:rsidP="00781CB6">
      <w:pPr>
        <w:pStyle w:val="NumberedList"/>
        <w:numPr>
          <w:ilvl w:val="0"/>
          <w:numId w:val="0"/>
        </w:numPr>
        <w:ind w:left="397"/>
        <w:rPr>
          <w:rFonts w:cs="Arial"/>
        </w:rPr>
      </w:pPr>
    </w:p>
    <w:p w14:paraId="2BF7E7AA" w14:textId="77777777" w:rsidR="002A370D" w:rsidRDefault="002A370D" w:rsidP="00781CB6">
      <w:pPr>
        <w:pStyle w:val="NumberedList"/>
        <w:numPr>
          <w:ilvl w:val="0"/>
          <w:numId w:val="0"/>
        </w:numPr>
        <w:ind w:left="397"/>
        <w:rPr>
          <w:rFonts w:cs="Arial"/>
        </w:rPr>
      </w:pPr>
    </w:p>
    <w:p w14:paraId="607F1E27" w14:textId="77777777" w:rsidR="001303E3" w:rsidRDefault="001303E3" w:rsidP="00781CB6">
      <w:pPr>
        <w:pStyle w:val="ECCParagraph"/>
        <w:keepNext/>
        <w:rPr>
          <w:i/>
          <w:color w:val="D2232A"/>
        </w:rPr>
      </w:pPr>
      <w:r>
        <w:rPr>
          <w:i/>
          <w:color w:val="D2232A"/>
        </w:rPr>
        <w:t xml:space="preserve">Note: </w:t>
      </w:r>
    </w:p>
    <w:p w14:paraId="07B49D41" w14:textId="68E6F0B5" w:rsidR="001303E3" w:rsidRDefault="001303E3" w:rsidP="00781CB6">
      <w:pPr>
        <w:pStyle w:val="ECCParagraph"/>
        <w:keepNext/>
      </w:pPr>
      <w:r>
        <w:rPr>
          <w:i/>
          <w:szCs w:val="20"/>
        </w:rPr>
        <w:t xml:space="preserve">Please check the Office documentation database </w:t>
      </w:r>
      <w:hyperlink r:id="rId12" w:history="1">
        <w:r w:rsidR="007522E7" w:rsidRPr="00D274DC">
          <w:rPr>
            <w:rStyle w:val="Hyperlink"/>
            <w:i/>
            <w:szCs w:val="20"/>
          </w:rPr>
          <w:t>https://docdb.cept.org</w:t>
        </w:r>
      </w:hyperlink>
      <w:r>
        <w:rPr>
          <w:i/>
          <w:szCs w:val="20"/>
        </w:rPr>
        <w:t xml:space="preserve"> for the up to date position on the implementation of this and other </w:t>
      </w:r>
      <w:smartTag w:uri="urn:schemas-microsoft-com:office:smarttags" w:element="stockticker">
        <w:r>
          <w:rPr>
            <w:i/>
            <w:szCs w:val="20"/>
          </w:rPr>
          <w:t>ECC</w:t>
        </w:r>
      </w:smartTag>
      <w:r>
        <w:rPr>
          <w:i/>
          <w:szCs w:val="20"/>
        </w:rPr>
        <w:t xml:space="preserve"> Decisions.</w:t>
      </w:r>
    </w:p>
    <w:p w14:paraId="37018D59" w14:textId="77777777" w:rsidR="002A370D" w:rsidRDefault="002A370D" w:rsidP="00781CB6">
      <w:pPr>
        <w:spacing w:after="0"/>
      </w:pPr>
      <w:r>
        <w:br w:type="page"/>
      </w:r>
    </w:p>
    <w:p w14:paraId="519854CA" w14:textId="452EA68C" w:rsidR="001303E3" w:rsidRPr="002A370D" w:rsidRDefault="002A370D" w:rsidP="002A370D">
      <w:pPr>
        <w:rPr>
          <w:b/>
          <w:color w:val="D2232A"/>
          <w:sz w:val="20"/>
        </w:rPr>
      </w:pPr>
      <w:r w:rsidRPr="002A370D">
        <w:rPr>
          <w:b/>
          <w:color w:val="D2232A"/>
          <w:sz w:val="20"/>
        </w:rPr>
        <w:lastRenderedPageBreak/>
        <w:t>ANNEX</w:t>
      </w:r>
      <w:r w:rsidR="002B7066">
        <w:rPr>
          <w:b/>
          <w:color w:val="D2232A"/>
          <w:sz w:val="20"/>
        </w:rPr>
        <w:t xml:space="preserve"> 1</w:t>
      </w:r>
      <w:r w:rsidR="00BF079D">
        <w:rPr>
          <w:b/>
          <w:color w:val="D2232A"/>
          <w:sz w:val="20"/>
        </w:rPr>
        <w:t>: LIST OF FREQUENCY BANDS</w:t>
      </w:r>
    </w:p>
    <w:p w14:paraId="5BF9B1D5" w14:textId="77777777" w:rsidR="001303E3" w:rsidRDefault="001303E3">
      <w:pPr>
        <w:pStyle w:val="ECCTabletitle"/>
      </w:pPr>
      <w:r>
        <w:t xml:space="preserve">Frequency bands covered by this </w:t>
      </w:r>
      <w:r w:rsidR="00E15262">
        <w:t xml:space="preserve">ECC </w:t>
      </w:r>
      <w:r>
        <w:t>Decision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396"/>
        <w:gridCol w:w="2695"/>
        <w:gridCol w:w="4255"/>
      </w:tblGrid>
      <w:tr w:rsidR="001303E3" w14:paraId="0FF28C31" w14:textId="77777777">
        <w:trPr>
          <w:tblHeader/>
        </w:trPr>
        <w:tc>
          <w:tcPr>
            <w:tcW w:w="2450" w:type="dxa"/>
            <w:tcBorders>
              <w:top w:val="single" w:sz="4" w:space="0" w:color="D2232A"/>
              <w:left w:val="single" w:sz="4" w:space="0" w:color="D2232A"/>
              <w:bottom w:val="single" w:sz="4" w:space="0" w:color="D2232A"/>
              <w:right w:val="single" w:sz="4" w:space="0" w:color="FFFFFF"/>
            </w:tcBorders>
            <w:shd w:val="clear" w:color="auto" w:fill="D2232A"/>
            <w:vAlign w:val="center"/>
          </w:tcPr>
          <w:p w14:paraId="15281A2A" w14:textId="77777777" w:rsidR="001303E3" w:rsidRDefault="001303E3" w:rsidP="002A370D">
            <w:pPr>
              <w:spacing w:before="120" w:line="288" w:lineRule="auto"/>
              <w:jc w:val="center"/>
              <w:rPr>
                <w:b/>
                <w:color w:val="FFFFFF"/>
                <w:sz w:val="20"/>
                <w:szCs w:val="24"/>
                <w:lang w:val="en-US" w:eastAsia="en-US"/>
              </w:rPr>
            </w:pPr>
            <w:r>
              <w:rPr>
                <w:b/>
                <w:color w:val="FFFFFF"/>
                <w:sz w:val="20"/>
                <w:szCs w:val="24"/>
                <w:lang w:val="en-US" w:eastAsia="en-US"/>
              </w:rPr>
              <w:t>Frequency band</w:t>
            </w:r>
          </w:p>
        </w:tc>
        <w:tc>
          <w:tcPr>
            <w:tcW w:w="2761" w:type="dxa"/>
            <w:tcBorders>
              <w:top w:val="single" w:sz="4" w:space="0" w:color="D2232A"/>
              <w:left w:val="single" w:sz="4" w:space="0" w:color="FFFFFF"/>
              <w:bottom w:val="single" w:sz="4" w:space="0" w:color="D2232A"/>
              <w:right w:val="single" w:sz="4" w:space="0" w:color="FFFFFF"/>
            </w:tcBorders>
            <w:shd w:val="clear" w:color="auto" w:fill="D2232A"/>
            <w:vAlign w:val="center"/>
          </w:tcPr>
          <w:p w14:paraId="3E80724F" w14:textId="77777777" w:rsidR="001303E3" w:rsidRDefault="001303E3" w:rsidP="002A370D">
            <w:pPr>
              <w:spacing w:before="120" w:line="288" w:lineRule="auto"/>
              <w:jc w:val="center"/>
              <w:rPr>
                <w:b/>
                <w:color w:val="FFFFFF"/>
                <w:sz w:val="20"/>
                <w:szCs w:val="24"/>
                <w:lang w:val="en-US" w:eastAsia="en-US"/>
              </w:rPr>
            </w:pPr>
            <w:r>
              <w:rPr>
                <w:b/>
                <w:color w:val="FFFFFF"/>
                <w:sz w:val="20"/>
                <w:szCs w:val="24"/>
                <w:lang w:val="en-US" w:eastAsia="en-US"/>
              </w:rPr>
              <w:t>System</w:t>
            </w:r>
          </w:p>
        </w:tc>
        <w:tc>
          <w:tcPr>
            <w:tcW w:w="4361" w:type="dxa"/>
            <w:tcBorders>
              <w:top w:val="single" w:sz="4" w:space="0" w:color="D2232A"/>
              <w:left w:val="single" w:sz="4" w:space="0" w:color="FFFFFF"/>
              <w:bottom w:val="single" w:sz="4" w:space="0" w:color="D2232A"/>
              <w:right w:val="single" w:sz="4" w:space="0" w:color="D2232A"/>
            </w:tcBorders>
            <w:shd w:val="clear" w:color="auto" w:fill="D2232A"/>
            <w:vAlign w:val="center"/>
          </w:tcPr>
          <w:p w14:paraId="60AE0B40" w14:textId="7A7277ED" w:rsidR="001303E3" w:rsidRDefault="001303E3" w:rsidP="002A370D">
            <w:pPr>
              <w:spacing w:before="120" w:line="288" w:lineRule="auto"/>
              <w:jc w:val="center"/>
              <w:rPr>
                <w:b/>
                <w:color w:val="FFFFFF"/>
                <w:sz w:val="20"/>
                <w:szCs w:val="24"/>
                <w:lang w:val="en-US" w:eastAsia="en-US"/>
              </w:rPr>
            </w:pPr>
            <w:r>
              <w:rPr>
                <w:b/>
                <w:color w:val="FFFFFF"/>
                <w:sz w:val="20"/>
                <w:szCs w:val="24"/>
                <w:lang w:val="en-US" w:eastAsia="en-US"/>
              </w:rPr>
              <w:t>ERC/ECC Decision and/or</w:t>
            </w:r>
            <w:r w:rsidR="002A370D">
              <w:rPr>
                <w:b/>
                <w:color w:val="FFFFFF"/>
                <w:sz w:val="20"/>
                <w:szCs w:val="24"/>
                <w:lang w:val="en-US" w:eastAsia="en-US"/>
              </w:rPr>
              <w:br/>
            </w:r>
            <w:r>
              <w:rPr>
                <w:b/>
                <w:color w:val="FFFFFF"/>
                <w:sz w:val="20"/>
                <w:szCs w:val="24"/>
                <w:lang w:val="en-US" w:eastAsia="en-US"/>
              </w:rPr>
              <w:t>ITU RR reference</w:t>
            </w:r>
          </w:p>
        </w:tc>
      </w:tr>
      <w:tr w:rsidR="001303E3" w14:paraId="64437F63" w14:textId="77777777">
        <w:trPr>
          <w:trHeight w:val="370"/>
        </w:trPr>
        <w:tc>
          <w:tcPr>
            <w:tcW w:w="2450" w:type="dxa"/>
            <w:tcBorders>
              <w:top w:val="single" w:sz="4" w:space="0" w:color="D2232A"/>
              <w:left w:val="single" w:sz="4" w:space="0" w:color="D2232A"/>
              <w:bottom w:val="single" w:sz="4" w:space="0" w:color="D2232A"/>
              <w:right w:val="single" w:sz="4" w:space="0" w:color="D2232A"/>
            </w:tcBorders>
          </w:tcPr>
          <w:p w14:paraId="61DAEC2C" w14:textId="77777777" w:rsidR="001303E3" w:rsidRDefault="001303E3" w:rsidP="00B80BFF">
            <w:pPr>
              <w:spacing w:before="60" w:after="60" w:line="288" w:lineRule="auto"/>
              <w:jc w:val="left"/>
              <w:rPr>
                <w:noProof/>
                <w:sz w:val="20"/>
                <w:szCs w:val="24"/>
                <w:lang w:val="en-US" w:eastAsia="en-US"/>
              </w:rPr>
            </w:pPr>
            <w:r>
              <w:rPr>
                <w:noProof/>
                <w:sz w:val="20"/>
                <w:szCs w:val="24"/>
                <w:lang w:val="en-US" w:eastAsia="en-US"/>
              </w:rPr>
              <w:t>1518-1525 MHz</w:t>
            </w:r>
          </w:p>
        </w:tc>
        <w:tc>
          <w:tcPr>
            <w:tcW w:w="2761" w:type="dxa"/>
            <w:tcBorders>
              <w:top w:val="single" w:sz="4" w:space="0" w:color="D2232A"/>
              <w:left w:val="single" w:sz="4" w:space="0" w:color="D2232A"/>
              <w:bottom w:val="single" w:sz="4" w:space="0" w:color="D2232A"/>
              <w:right w:val="single" w:sz="4" w:space="0" w:color="D2232A"/>
            </w:tcBorders>
          </w:tcPr>
          <w:p w14:paraId="26A33578" w14:textId="77777777" w:rsidR="001303E3" w:rsidRDefault="001303E3" w:rsidP="00B80BFF">
            <w:pPr>
              <w:spacing w:before="60" w:after="60" w:line="288" w:lineRule="auto"/>
              <w:jc w:val="left"/>
              <w:rPr>
                <w:noProof/>
                <w:sz w:val="20"/>
                <w:szCs w:val="24"/>
                <w:lang w:val="en-US" w:eastAsia="en-US"/>
              </w:rPr>
            </w:pPr>
            <w:r>
              <w:rPr>
                <w:noProof/>
                <w:sz w:val="20"/>
                <w:szCs w:val="24"/>
                <w:lang w:val="en-US" w:eastAsia="en-US"/>
              </w:rPr>
              <w:t>MSS space-to-Earth</w:t>
            </w:r>
          </w:p>
        </w:tc>
        <w:tc>
          <w:tcPr>
            <w:tcW w:w="4361" w:type="dxa"/>
            <w:tcBorders>
              <w:top w:val="single" w:sz="4" w:space="0" w:color="D2232A"/>
              <w:left w:val="single" w:sz="4" w:space="0" w:color="D2232A"/>
              <w:bottom w:val="single" w:sz="4" w:space="0" w:color="D2232A"/>
              <w:right w:val="single" w:sz="4" w:space="0" w:color="D2232A"/>
            </w:tcBorders>
          </w:tcPr>
          <w:p w14:paraId="5E46FC22" w14:textId="7768F783" w:rsidR="001303E3" w:rsidRPr="00897DCC" w:rsidRDefault="001303E3" w:rsidP="00B80BFF">
            <w:pPr>
              <w:spacing w:before="60" w:after="60" w:line="288" w:lineRule="auto"/>
              <w:jc w:val="left"/>
              <w:rPr>
                <w:noProof/>
                <w:sz w:val="20"/>
                <w:szCs w:val="24"/>
                <w:lang w:val="fr-FR" w:eastAsia="en-US"/>
              </w:rPr>
            </w:pPr>
            <w:r w:rsidRPr="00897DCC">
              <w:rPr>
                <w:noProof/>
                <w:sz w:val="20"/>
                <w:szCs w:val="24"/>
                <w:lang w:val="fr-FR" w:eastAsia="en-US"/>
              </w:rPr>
              <w:t>Res.225 (Rev.WRC-12)</w:t>
            </w:r>
            <w:r w:rsidR="00306904">
              <w:rPr>
                <w:noProof/>
                <w:sz w:val="20"/>
                <w:szCs w:val="24"/>
                <w:lang w:val="fr-FR" w:eastAsia="en-US"/>
              </w:rPr>
              <w:t xml:space="preserve"> </w:t>
            </w:r>
            <w:r w:rsidR="00306904">
              <w:rPr>
                <w:noProof/>
                <w:sz w:val="20"/>
                <w:szCs w:val="24"/>
                <w:lang w:val="fr-FR" w:eastAsia="en-US"/>
              </w:rPr>
              <w:fldChar w:fldCharType="begin"/>
            </w:r>
            <w:r w:rsidR="00306904">
              <w:rPr>
                <w:noProof/>
                <w:sz w:val="20"/>
                <w:szCs w:val="24"/>
                <w:lang w:val="fr-FR" w:eastAsia="en-US"/>
              </w:rPr>
              <w:instrText xml:space="preserve"> REF _Ref97804511 \r \h </w:instrText>
            </w:r>
            <w:r w:rsidR="00306904">
              <w:rPr>
                <w:noProof/>
                <w:sz w:val="20"/>
                <w:szCs w:val="24"/>
                <w:lang w:val="fr-FR" w:eastAsia="en-US"/>
              </w:rPr>
            </w:r>
            <w:r w:rsidR="00306904">
              <w:rPr>
                <w:noProof/>
                <w:sz w:val="20"/>
                <w:szCs w:val="24"/>
                <w:lang w:val="fr-FR" w:eastAsia="en-US"/>
              </w:rPr>
              <w:fldChar w:fldCharType="separate"/>
            </w:r>
            <w:r w:rsidR="003A4C95">
              <w:rPr>
                <w:noProof/>
                <w:sz w:val="20"/>
                <w:szCs w:val="24"/>
                <w:lang w:val="fr-FR" w:eastAsia="en-US"/>
              </w:rPr>
              <w:t>[6]</w:t>
            </w:r>
            <w:r w:rsidR="00306904">
              <w:rPr>
                <w:noProof/>
                <w:sz w:val="20"/>
                <w:szCs w:val="24"/>
                <w:lang w:val="fr-FR" w:eastAsia="en-US"/>
              </w:rPr>
              <w:fldChar w:fldCharType="end"/>
            </w:r>
            <w:r>
              <w:rPr>
                <w:rStyle w:val="FootnoteReference"/>
                <w:noProof/>
                <w:szCs w:val="24"/>
                <w:lang w:val="en-US" w:eastAsia="en-US"/>
              </w:rPr>
              <w:footnoteReference w:id="2"/>
            </w:r>
            <w:r w:rsidR="009517A5" w:rsidRPr="00897DCC">
              <w:rPr>
                <w:noProof/>
                <w:sz w:val="20"/>
                <w:szCs w:val="24"/>
                <w:lang w:val="fr-FR" w:eastAsia="en-US"/>
              </w:rPr>
              <w:br/>
              <w:t>ECC</w:t>
            </w:r>
            <w:r w:rsidR="00BF079D">
              <w:rPr>
                <w:noProof/>
                <w:sz w:val="20"/>
                <w:szCs w:val="24"/>
                <w:lang w:val="fr-FR" w:eastAsia="en-US"/>
              </w:rPr>
              <w:t xml:space="preserve"> Decision </w:t>
            </w:r>
            <w:r w:rsidR="009517A5" w:rsidRPr="00897DCC">
              <w:rPr>
                <w:noProof/>
                <w:sz w:val="20"/>
                <w:szCs w:val="24"/>
                <w:lang w:val="fr-FR" w:eastAsia="en-US"/>
              </w:rPr>
              <w:t>(04)09</w:t>
            </w:r>
            <w:r w:rsidR="00F857B6">
              <w:rPr>
                <w:noProof/>
                <w:sz w:val="20"/>
                <w:szCs w:val="24"/>
                <w:lang w:val="fr-FR" w:eastAsia="en-US"/>
              </w:rPr>
              <w:t xml:space="preserve"> </w:t>
            </w:r>
            <w:r w:rsidR="00F857B6">
              <w:rPr>
                <w:noProof/>
                <w:sz w:val="20"/>
                <w:szCs w:val="24"/>
                <w:lang w:val="fr-FR" w:eastAsia="en-US"/>
              </w:rPr>
              <w:fldChar w:fldCharType="begin"/>
            </w:r>
            <w:r w:rsidR="00F857B6">
              <w:rPr>
                <w:noProof/>
                <w:sz w:val="20"/>
                <w:szCs w:val="24"/>
                <w:lang w:val="fr-FR" w:eastAsia="en-US"/>
              </w:rPr>
              <w:instrText xml:space="preserve"> REF _Ref97804289 \r \h </w:instrText>
            </w:r>
            <w:r w:rsidR="00F857B6">
              <w:rPr>
                <w:noProof/>
                <w:sz w:val="20"/>
                <w:szCs w:val="24"/>
                <w:lang w:val="fr-FR" w:eastAsia="en-US"/>
              </w:rPr>
            </w:r>
            <w:r w:rsidR="00F857B6">
              <w:rPr>
                <w:noProof/>
                <w:sz w:val="20"/>
                <w:szCs w:val="24"/>
                <w:lang w:val="fr-FR" w:eastAsia="en-US"/>
              </w:rPr>
              <w:fldChar w:fldCharType="separate"/>
            </w:r>
            <w:r w:rsidR="003A4C95">
              <w:rPr>
                <w:noProof/>
                <w:sz w:val="20"/>
                <w:szCs w:val="24"/>
                <w:lang w:val="fr-FR" w:eastAsia="en-US"/>
              </w:rPr>
              <w:t>[7]</w:t>
            </w:r>
            <w:r w:rsidR="00F857B6">
              <w:rPr>
                <w:noProof/>
                <w:sz w:val="20"/>
                <w:szCs w:val="24"/>
                <w:lang w:val="fr-FR" w:eastAsia="en-US"/>
              </w:rPr>
              <w:fldChar w:fldCharType="end"/>
            </w:r>
          </w:p>
        </w:tc>
      </w:tr>
      <w:tr w:rsidR="001303E3" w14:paraId="03E1819C" w14:textId="77777777">
        <w:trPr>
          <w:trHeight w:val="390"/>
        </w:trPr>
        <w:tc>
          <w:tcPr>
            <w:tcW w:w="2450" w:type="dxa"/>
            <w:tcBorders>
              <w:top w:val="single" w:sz="4" w:space="0" w:color="D2232A"/>
              <w:left w:val="single" w:sz="4" w:space="0" w:color="D2232A"/>
              <w:bottom w:val="single" w:sz="4" w:space="0" w:color="D2232A"/>
              <w:right w:val="single" w:sz="4" w:space="0" w:color="D2232A"/>
            </w:tcBorders>
          </w:tcPr>
          <w:p w14:paraId="0C7AED68" w14:textId="77777777" w:rsidR="001303E3" w:rsidRDefault="001303E3" w:rsidP="00B80BFF">
            <w:pPr>
              <w:spacing w:before="60" w:after="60" w:line="288" w:lineRule="auto"/>
              <w:jc w:val="left"/>
              <w:rPr>
                <w:noProof/>
                <w:sz w:val="20"/>
                <w:szCs w:val="24"/>
                <w:lang w:val="en-US" w:eastAsia="en-US"/>
              </w:rPr>
            </w:pPr>
            <w:r>
              <w:rPr>
                <w:noProof/>
                <w:sz w:val="20"/>
                <w:szCs w:val="24"/>
                <w:lang w:val="en-US" w:eastAsia="en-US"/>
              </w:rPr>
              <w:t>1525-1544 MHz</w:t>
            </w:r>
          </w:p>
        </w:tc>
        <w:tc>
          <w:tcPr>
            <w:tcW w:w="2761" w:type="dxa"/>
            <w:tcBorders>
              <w:top w:val="single" w:sz="4" w:space="0" w:color="D2232A"/>
              <w:left w:val="single" w:sz="4" w:space="0" w:color="D2232A"/>
              <w:bottom w:val="single" w:sz="4" w:space="0" w:color="D2232A"/>
              <w:right w:val="single" w:sz="4" w:space="0" w:color="D2232A"/>
            </w:tcBorders>
          </w:tcPr>
          <w:p w14:paraId="62F26C98" w14:textId="77777777" w:rsidR="001303E3" w:rsidRDefault="001303E3" w:rsidP="00B80BFF">
            <w:pPr>
              <w:spacing w:before="60" w:after="60" w:line="288" w:lineRule="auto"/>
              <w:jc w:val="left"/>
              <w:rPr>
                <w:noProof/>
                <w:sz w:val="20"/>
                <w:szCs w:val="24"/>
                <w:lang w:val="en-US" w:eastAsia="en-US"/>
              </w:rPr>
            </w:pPr>
            <w:r>
              <w:rPr>
                <w:noProof/>
                <w:sz w:val="20"/>
                <w:szCs w:val="24"/>
                <w:lang w:val="en-US" w:eastAsia="en-US"/>
              </w:rPr>
              <w:t>MSS space-to-Earth</w:t>
            </w:r>
          </w:p>
        </w:tc>
        <w:tc>
          <w:tcPr>
            <w:tcW w:w="4361" w:type="dxa"/>
            <w:tcBorders>
              <w:top w:val="single" w:sz="4" w:space="0" w:color="D2232A"/>
              <w:left w:val="single" w:sz="4" w:space="0" w:color="D2232A"/>
              <w:bottom w:val="single" w:sz="4" w:space="0" w:color="D2232A"/>
              <w:right w:val="single" w:sz="4" w:space="0" w:color="D2232A"/>
            </w:tcBorders>
          </w:tcPr>
          <w:p w14:paraId="093CFDCE" w14:textId="77777777" w:rsidR="001303E3" w:rsidRDefault="001303E3" w:rsidP="00B80BFF">
            <w:pPr>
              <w:spacing w:before="60" w:after="60" w:line="288" w:lineRule="auto"/>
              <w:jc w:val="left"/>
              <w:rPr>
                <w:noProof/>
                <w:sz w:val="20"/>
                <w:szCs w:val="24"/>
                <w:lang w:val="en-US" w:eastAsia="en-US"/>
              </w:rPr>
            </w:pPr>
            <w:r>
              <w:rPr>
                <w:noProof/>
                <w:sz w:val="20"/>
                <w:szCs w:val="24"/>
                <w:lang w:val="en-US" w:eastAsia="en-US"/>
              </w:rPr>
              <w:t>Res.225 (Rev.WRC-12)</w:t>
            </w:r>
          </w:p>
        </w:tc>
      </w:tr>
      <w:tr w:rsidR="001303E3" w14:paraId="42D0B5E0" w14:textId="77777777">
        <w:trPr>
          <w:trHeight w:val="396"/>
        </w:trPr>
        <w:tc>
          <w:tcPr>
            <w:tcW w:w="2450" w:type="dxa"/>
            <w:tcBorders>
              <w:top w:val="single" w:sz="4" w:space="0" w:color="D2232A"/>
              <w:left w:val="single" w:sz="4" w:space="0" w:color="D2232A"/>
              <w:bottom w:val="single" w:sz="4" w:space="0" w:color="D2232A"/>
              <w:right w:val="single" w:sz="4" w:space="0" w:color="D2232A"/>
            </w:tcBorders>
          </w:tcPr>
          <w:p w14:paraId="7D35F2DE" w14:textId="77777777" w:rsidR="001303E3" w:rsidRDefault="001303E3" w:rsidP="00B80BFF">
            <w:pPr>
              <w:spacing w:before="60" w:after="60" w:line="288" w:lineRule="auto"/>
              <w:jc w:val="left"/>
              <w:rPr>
                <w:noProof/>
                <w:sz w:val="20"/>
                <w:szCs w:val="24"/>
                <w:lang w:val="en-US" w:eastAsia="en-US"/>
              </w:rPr>
            </w:pPr>
            <w:r>
              <w:rPr>
                <w:noProof/>
                <w:sz w:val="20"/>
                <w:szCs w:val="24"/>
                <w:lang w:val="en-US" w:eastAsia="en-US"/>
              </w:rPr>
              <w:t>1545-1559 MHz</w:t>
            </w:r>
          </w:p>
        </w:tc>
        <w:tc>
          <w:tcPr>
            <w:tcW w:w="2761" w:type="dxa"/>
            <w:tcBorders>
              <w:top w:val="single" w:sz="4" w:space="0" w:color="D2232A"/>
              <w:left w:val="single" w:sz="4" w:space="0" w:color="D2232A"/>
              <w:bottom w:val="single" w:sz="4" w:space="0" w:color="D2232A"/>
              <w:right w:val="single" w:sz="4" w:space="0" w:color="D2232A"/>
            </w:tcBorders>
          </w:tcPr>
          <w:p w14:paraId="19B32D81" w14:textId="77777777" w:rsidR="001303E3" w:rsidRDefault="001303E3" w:rsidP="00B80BFF">
            <w:pPr>
              <w:spacing w:before="60" w:after="60" w:line="288" w:lineRule="auto"/>
              <w:jc w:val="left"/>
              <w:rPr>
                <w:noProof/>
                <w:sz w:val="20"/>
                <w:szCs w:val="24"/>
                <w:lang w:val="en-US" w:eastAsia="en-US"/>
              </w:rPr>
            </w:pPr>
            <w:r>
              <w:rPr>
                <w:noProof/>
                <w:sz w:val="20"/>
                <w:szCs w:val="24"/>
                <w:lang w:val="en-US" w:eastAsia="en-US"/>
              </w:rPr>
              <w:t>MSS space-to-Earth</w:t>
            </w:r>
          </w:p>
        </w:tc>
        <w:tc>
          <w:tcPr>
            <w:tcW w:w="4361" w:type="dxa"/>
            <w:tcBorders>
              <w:top w:val="single" w:sz="4" w:space="0" w:color="D2232A"/>
              <w:left w:val="single" w:sz="4" w:space="0" w:color="D2232A"/>
              <w:bottom w:val="single" w:sz="4" w:space="0" w:color="D2232A"/>
              <w:right w:val="single" w:sz="4" w:space="0" w:color="D2232A"/>
            </w:tcBorders>
          </w:tcPr>
          <w:p w14:paraId="09E57546" w14:textId="77777777" w:rsidR="001303E3" w:rsidRDefault="001303E3" w:rsidP="00B80BFF">
            <w:pPr>
              <w:spacing w:before="60" w:after="60" w:line="288" w:lineRule="auto"/>
              <w:jc w:val="left"/>
              <w:rPr>
                <w:noProof/>
                <w:sz w:val="20"/>
                <w:szCs w:val="24"/>
                <w:lang w:val="en-US" w:eastAsia="en-US"/>
              </w:rPr>
            </w:pPr>
            <w:r>
              <w:rPr>
                <w:noProof/>
                <w:sz w:val="20"/>
                <w:szCs w:val="24"/>
                <w:lang w:val="en-US" w:eastAsia="en-US"/>
              </w:rPr>
              <w:t>Res.225 (Rev.WRC-12)</w:t>
            </w:r>
          </w:p>
        </w:tc>
      </w:tr>
      <w:tr w:rsidR="001303E3" w14:paraId="74967BBC" w14:textId="77777777">
        <w:tc>
          <w:tcPr>
            <w:tcW w:w="2450" w:type="dxa"/>
            <w:tcBorders>
              <w:top w:val="single" w:sz="4" w:space="0" w:color="D2232A"/>
              <w:left w:val="single" w:sz="4" w:space="0" w:color="D2232A"/>
              <w:bottom w:val="single" w:sz="4" w:space="0" w:color="D2232A"/>
              <w:right w:val="single" w:sz="4" w:space="0" w:color="D2232A"/>
            </w:tcBorders>
          </w:tcPr>
          <w:p w14:paraId="5BDE3C19" w14:textId="77777777" w:rsidR="001303E3" w:rsidRDefault="001303E3" w:rsidP="00B80BFF">
            <w:pPr>
              <w:spacing w:before="60" w:after="60" w:line="288" w:lineRule="auto"/>
              <w:jc w:val="left"/>
              <w:rPr>
                <w:noProof/>
                <w:sz w:val="20"/>
                <w:szCs w:val="24"/>
                <w:lang w:val="en-US" w:eastAsia="en-US"/>
              </w:rPr>
            </w:pPr>
            <w:r>
              <w:rPr>
                <w:noProof/>
                <w:sz w:val="20"/>
                <w:szCs w:val="24"/>
                <w:lang w:val="en-US" w:eastAsia="en-US"/>
              </w:rPr>
              <w:t>1610-1626.5 MHz</w:t>
            </w:r>
            <w:r>
              <w:rPr>
                <w:noProof/>
                <w:sz w:val="20"/>
                <w:szCs w:val="24"/>
                <w:lang w:val="en-US" w:eastAsia="en-US"/>
              </w:rPr>
              <w:br/>
              <w:t>1613.8-1626.5 MHz</w:t>
            </w:r>
          </w:p>
        </w:tc>
        <w:tc>
          <w:tcPr>
            <w:tcW w:w="2761" w:type="dxa"/>
            <w:tcBorders>
              <w:top w:val="single" w:sz="4" w:space="0" w:color="D2232A"/>
              <w:left w:val="single" w:sz="4" w:space="0" w:color="D2232A"/>
              <w:bottom w:val="single" w:sz="4" w:space="0" w:color="D2232A"/>
              <w:right w:val="single" w:sz="4" w:space="0" w:color="D2232A"/>
            </w:tcBorders>
          </w:tcPr>
          <w:p w14:paraId="77B4703B" w14:textId="77777777" w:rsidR="001303E3" w:rsidRDefault="001303E3" w:rsidP="00B80BFF">
            <w:pPr>
              <w:spacing w:before="60" w:after="60" w:line="288" w:lineRule="auto"/>
              <w:jc w:val="left"/>
              <w:rPr>
                <w:noProof/>
                <w:sz w:val="20"/>
                <w:szCs w:val="24"/>
                <w:lang w:val="en-US" w:eastAsia="en-US"/>
              </w:rPr>
            </w:pPr>
            <w:r>
              <w:rPr>
                <w:noProof/>
                <w:sz w:val="20"/>
                <w:szCs w:val="24"/>
                <w:lang w:val="en-US" w:eastAsia="en-US"/>
              </w:rPr>
              <w:t>MSS Earth-to-space</w:t>
            </w:r>
            <w:r>
              <w:rPr>
                <w:noProof/>
                <w:sz w:val="20"/>
                <w:szCs w:val="24"/>
                <w:lang w:val="en-US" w:eastAsia="en-US"/>
              </w:rPr>
              <w:br/>
              <w:t>space-to-Earth (secondary)</w:t>
            </w:r>
          </w:p>
        </w:tc>
        <w:tc>
          <w:tcPr>
            <w:tcW w:w="4361" w:type="dxa"/>
            <w:tcBorders>
              <w:top w:val="single" w:sz="4" w:space="0" w:color="D2232A"/>
              <w:left w:val="single" w:sz="4" w:space="0" w:color="D2232A"/>
              <w:bottom w:val="single" w:sz="4" w:space="0" w:color="D2232A"/>
              <w:right w:val="single" w:sz="4" w:space="0" w:color="D2232A"/>
            </w:tcBorders>
          </w:tcPr>
          <w:p w14:paraId="60428FE0" w14:textId="4659BA7B" w:rsidR="001303E3" w:rsidRDefault="001303E3" w:rsidP="00276588">
            <w:pPr>
              <w:spacing w:before="60" w:after="60" w:line="288" w:lineRule="auto"/>
              <w:jc w:val="left"/>
              <w:rPr>
                <w:noProof/>
                <w:sz w:val="20"/>
                <w:szCs w:val="24"/>
                <w:lang w:val="fr-FR" w:eastAsia="en-US"/>
              </w:rPr>
            </w:pPr>
            <w:r>
              <w:rPr>
                <w:noProof/>
                <w:sz w:val="20"/>
                <w:szCs w:val="24"/>
                <w:lang w:val="fr-FR" w:eastAsia="en-US"/>
              </w:rPr>
              <w:t>Res.225(Rev.WRC-12)</w:t>
            </w:r>
            <w:r>
              <w:rPr>
                <w:noProof/>
                <w:sz w:val="20"/>
                <w:szCs w:val="24"/>
                <w:lang w:val="fr-FR" w:eastAsia="en-US"/>
              </w:rPr>
              <w:br/>
              <w:t>ECC</w:t>
            </w:r>
            <w:r w:rsidR="00BF079D">
              <w:rPr>
                <w:noProof/>
                <w:sz w:val="20"/>
                <w:szCs w:val="24"/>
                <w:lang w:val="fr-FR" w:eastAsia="en-US"/>
              </w:rPr>
              <w:t xml:space="preserve"> Decision </w:t>
            </w:r>
            <w:r>
              <w:rPr>
                <w:noProof/>
                <w:sz w:val="20"/>
                <w:szCs w:val="24"/>
                <w:lang w:val="fr-FR" w:eastAsia="en-US"/>
              </w:rPr>
              <w:t>(09)02</w:t>
            </w:r>
            <w:r w:rsidR="00F857B6">
              <w:rPr>
                <w:noProof/>
                <w:sz w:val="20"/>
                <w:szCs w:val="24"/>
                <w:lang w:val="fr-FR" w:eastAsia="en-US"/>
              </w:rPr>
              <w:t xml:space="preserve"> </w:t>
            </w:r>
            <w:r w:rsidR="00F857B6">
              <w:rPr>
                <w:noProof/>
                <w:sz w:val="20"/>
                <w:szCs w:val="24"/>
                <w:lang w:val="fr-FR" w:eastAsia="en-US"/>
              </w:rPr>
              <w:fldChar w:fldCharType="begin"/>
            </w:r>
            <w:r w:rsidR="00F857B6">
              <w:rPr>
                <w:noProof/>
                <w:sz w:val="20"/>
                <w:szCs w:val="24"/>
                <w:lang w:val="fr-FR" w:eastAsia="en-US"/>
              </w:rPr>
              <w:instrText xml:space="preserve"> REF _Ref97804319 \r \h </w:instrText>
            </w:r>
            <w:r w:rsidR="00F857B6">
              <w:rPr>
                <w:noProof/>
                <w:sz w:val="20"/>
                <w:szCs w:val="24"/>
                <w:lang w:val="fr-FR" w:eastAsia="en-US"/>
              </w:rPr>
            </w:r>
            <w:r w:rsidR="00F857B6">
              <w:rPr>
                <w:noProof/>
                <w:sz w:val="20"/>
                <w:szCs w:val="24"/>
                <w:lang w:val="fr-FR" w:eastAsia="en-US"/>
              </w:rPr>
              <w:fldChar w:fldCharType="separate"/>
            </w:r>
            <w:r w:rsidR="00F857B6">
              <w:rPr>
                <w:noProof/>
                <w:sz w:val="20"/>
                <w:szCs w:val="24"/>
                <w:lang w:val="fr-FR" w:eastAsia="en-US"/>
              </w:rPr>
              <w:t>[8]</w:t>
            </w:r>
            <w:r w:rsidR="00F857B6">
              <w:rPr>
                <w:noProof/>
                <w:sz w:val="20"/>
                <w:szCs w:val="24"/>
                <w:lang w:val="fr-FR" w:eastAsia="en-US"/>
              </w:rPr>
              <w:fldChar w:fldCharType="end"/>
            </w:r>
          </w:p>
        </w:tc>
      </w:tr>
      <w:tr w:rsidR="001303E3" w14:paraId="0CEAD223" w14:textId="77777777">
        <w:tc>
          <w:tcPr>
            <w:tcW w:w="2450" w:type="dxa"/>
            <w:tcBorders>
              <w:top w:val="single" w:sz="4" w:space="0" w:color="D2232A"/>
              <w:left w:val="single" w:sz="4" w:space="0" w:color="D2232A"/>
              <w:bottom w:val="single" w:sz="4" w:space="0" w:color="D2232A"/>
              <w:right w:val="single" w:sz="4" w:space="0" w:color="D2232A"/>
            </w:tcBorders>
          </w:tcPr>
          <w:p w14:paraId="4C15C2B3" w14:textId="77777777" w:rsidR="001303E3" w:rsidRDefault="001303E3" w:rsidP="00B80BFF">
            <w:pPr>
              <w:spacing w:before="60" w:after="60" w:line="288" w:lineRule="auto"/>
              <w:jc w:val="left"/>
              <w:rPr>
                <w:noProof/>
                <w:sz w:val="20"/>
                <w:szCs w:val="24"/>
                <w:lang w:val="en-US" w:eastAsia="en-US"/>
              </w:rPr>
            </w:pPr>
            <w:r>
              <w:rPr>
                <w:noProof/>
                <w:sz w:val="20"/>
                <w:szCs w:val="24"/>
                <w:lang w:val="en-US" w:eastAsia="en-US"/>
              </w:rPr>
              <w:t>1626.5-1645.5 MHz</w:t>
            </w:r>
          </w:p>
        </w:tc>
        <w:tc>
          <w:tcPr>
            <w:tcW w:w="2761" w:type="dxa"/>
            <w:tcBorders>
              <w:top w:val="single" w:sz="4" w:space="0" w:color="D2232A"/>
              <w:left w:val="single" w:sz="4" w:space="0" w:color="D2232A"/>
              <w:bottom w:val="single" w:sz="4" w:space="0" w:color="D2232A"/>
              <w:right w:val="single" w:sz="4" w:space="0" w:color="D2232A"/>
            </w:tcBorders>
          </w:tcPr>
          <w:p w14:paraId="79DB19FA" w14:textId="77777777" w:rsidR="001303E3" w:rsidRDefault="001303E3" w:rsidP="00B80BFF">
            <w:pPr>
              <w:spacing w:before="60" w:after="60" w:line="288" w:lineRule="auto"/>
              <w:jc w:val="left"/>
              <w:rPr>
                <w:noProof/>
                <w:sz w:val="20"/>
                <w:szCs w:val="24"/>
                <w:lang w:val="en-US" w:eastAsia="en-US"/>
              </w:rPr>
            </w:pPr>
            <w:r>
              <w:rPr>
                <w:noProof/>
                <w:sz w:val="20"/>
                <w:szCs w:val="24"/>
                <w:lang w:val="en-US" w:eastAsia="en-US"/>
              </w:rPr>
              <w:t>MSS Earth-to-space</w:t>
            </w:r>
          </w:p>
        </w:tc>
        <w:tc>
          <w:tcPr>
            <w:tcW w:w="4361" w:type="dxa"/>
            <w:tcBorders>
              <w:top w:val="single" w:sz="4" w:space="0" w:color="D2232A"/>
              <w:left w:val="single" w:sz="4" w:space="0" w:color="D2232A"/>
              <w:bottom w:val="single" w:sz="4" w:space="0" w:color="D2232A"/>
              <w:right w:val="single" w:sz="4" w:space="0" w:color="D2232A"/>
            </w:tcBorders>
          </w:tcPr>
          <w:p w14:paraId="65807A90" w14:textId="77777777" w:rsidR="001303E3" w:rsidRDefault="001303E3" w:rsidP="00B80BFF">
            <w:pPr>
              <w:spacing w:before="60" w:after="60" w:line="288" w:lineRule="auto"/>
              <w:jc w:val="left"/>
              <w:rPr>
                <w:noProof/>
                <w:sz w:val="20"/>
                <w:szCs w:val="24"/>
                <w:lang w:val="en-US" w:eastAsia="en-US"/>
              </w:rPr>
            </w:pPr>
            <w:r>
              <w:rPr>
                <w:noProof/>
                <w:sz w:val="20"/>
                <w:szCs w:val="24"/>
                <w:lang w:val="en-US" w:eastAsia="en-US"/>
              </w:rPr>
              <w:t>Res.225 (Rev.WRC-12)</w:t>
            </w:r>
          </w:p>
        </w:tc>
      </w:tr>
      <w:tr w:rsidR="001303E3" w14:paraId="1674C819" w14:textId="77777777">
        <w:tc>
          <w:tcPr>
            <w:tcW w:w="2450" w:type="dxa"/>
            <w:tcBorders>
              <w:top w:val="single" w:sz="4" w:space="0" w:color="D2232A"/>
              <w:left w:val="single" w:sz="4" w:space="0" w:color="D2232A"/>
              <w:bottom w:val="single" w:sz="4" w:space="0" w:color="D2232A"/>
              <w:right w:val="single" w:sz="4" w:space="0" w:color="D2232A"/>
            </w:tcBorders>
          </w:tcPr>
          <w:p w14:paraId="278C4ACE" w14:textId="77777777" w:rsidR="001303E3" w:rsidRDefault="001303E3" w:rsidP="00B80BFF">
            <w:pPr>
              <w:spacing w:before="60" w:after="60" w:line="288" w:lineRule="auto"/>
              <w:jc w:val="left"/>
              <w:rPr>
                <w:noProof/>
                <w:sz w:val="20"/>
                <w:szCs w:val="24"/>
                <w:lang w:val="en-US" w:eastAsia="en-US"/>
              </w:rPr>
            </w:pPr>
            <w:r>
              <w:rPr>
                <w:noProof/>
                <w:sz w:val="20"/>
                <w:szCs w:val="24"/>
                <w:lang w:val="en-US" w:eastAsia="en-US"/>
              </w:rPr>
              <w:t>1646.5-1660.5 MHz</w:t>
            </w:r>
          </w:p>
        </w:tc>
        <w:tc>
          <w:tcPr>
            <w:tcW w:w="2761" w:type="dxa"/>
            <w:tcBorders>
              <w:top w:val="single" w:sz="4" w:space="0" w:color="D2232A"/>
              <w:left w:val="single" w:sz="4" w:space="0" w:color="D2232A"/>
              <w:bottom w:val="single" w:sz="4" w:space="0" w:color="D2232A"/>
              <w:right w:val="single" w:sz="4" w:space="0" w:color="D2232A"/>
            </w:tcBorders>
          </w:tcPr>
          <w:p w14:paraId="4C1E7C41" w14:textId="77777777" w:rsidR="001303E3" w:rsidRDefault="001303E3" w:rsidP="00B80BFF">
            <w:pPr>
              <w:spacing w:before="60" w:after="60" w:line="288" w:lineRule="auto"/>
              <w:jc w:val="left"/>
              <w:rPr>
                <w:noProof/>
                <w:sz w:val="20"/>
                <w:szCs w:val="24"/>
                <w:lang w:val="en-US" w:eastAsia="en-US"/>
              </w:rPr>
            </w:pPr>
            <w:r>
              <w:rPr>
                <w:noProof/>
                <w:sz w:val="20"/>
                <w:szCs w:val="24"/>
                <w:lang w:val="en-US" w:eastAsia="en-US"/>
              </w:rPr>
              <w:t>MSS Earth-to-space</w:t>
            </w:r>
          </w:p>
        </w:tc>
        <w:tc>
          <w:tcPr>
            <w:tcW w:w="4361" w:type="dxa"/>
            <w:tcBorders>
              <w:top w:val="single" w:sz="4" w:space="0" w:color="D2232A"/>
              <w:left w:val="single" w:sz="4" w:space="0" w:color="D2232A"/>
              <w:bottom w:val="single" w:sz="4" w:space="0" w:color="D2232A"/>
              <w:right w:val="single" w:sz="4" w:space="0" w:color="D2232A"/>
            </w:tcBorders>
          </w:tcPr>
          <w:p w14:paraId="4891A507" w14:textId="77777777" w:rsidR="001303E3" w:rsidRDefault="001303E3" w:rsidP="00B80BFF">
            <w:pPr>
              <w:spacing w:before="60" w:after="60" w:line="288" w:lineRule="auto"/>
              <w:jc w:val="left"/>
              <w:rPr>
                <w:noProof/>
                <w:sz w:val="20"/>
                <w:szCs w:val="24"/>
                <w:lang w:val="en-US" w:eastAsia="en-US"/>
              </w:rPr>
            </w:pPr>
            <w:r>
              <w:rPr>
                <w:noProof/>
                <w:sz w:val="20"/>
                <w:szCs w:val="24"/>
                <w:lang w:val="en-US" w:eastAsia="en-US"/>
              </w:rPr>
              <w:t>Res.225 (Rev.WRC-12)</w:t>
            </w:r>
          </w:p>
        </w:tc>
      </w:tr>
      <w:tr w:rsidR="001303E3" w14:paraId="7D74F46D" w14:textId="77777777">
        <w:tc>
          <w:tcPr>
            <w:tcW w:w="2450" w:type="dxa"/>
            <w:tcBorders>
              <w:top w:val="single" w:sz="4" w:space="0" w:color="D2232A"/>
              <w:left w:val="single" w:sz="4" w:space="0" w:color="D2232A"/>
              <w:bottom w:val="single" w:sz="4" w:space="0" w:color="D2232A"/>
              <w:right w:val="single" w:sz="4" w:space="0" w:color="D2232A"/>
            </w:tcBorders>
          </w:tcPr>
          <w:p w14:paraId="192D36A9" w14:textId="77777777" w:rsidR="001303E3" w:rsidRDefault="001303E3" w:rsidP="00B80BFF">
            <w:pPr>
              <w:spacing w:before="60" w:after="60" w:line="288" w:lineRule="auto"/>
              <w:jc w:val="left"/>
              <w:rPr>
                <w:noProof/>
                <w:sz w:val="20"/>
                <w:szCs w:val="24"/>
                <w:lang w:val="en-US" w:eastAsia="en-US"/>
              </w:rPr>
            </w:pPr>
            <w:r>
              <w:rPr>
                <w:noProof/>
                <w:sz w:val="20"/>
                <w:szCs w:val="24"/>
                <w:lang w:val="en-US" w:eastAsia="en-US"/>
              </w:rPr>
              <w:t>1670-1675 MHz</w:t>
            </w:r>
          </w:p>
        </w:tc>
        <w:tc>
          <w:tcPr>
            <w:tcW w:w="2761" w:type="dxa"/>
            <w:tcBorders>
              <w:top w:val="single" w:sz="4" w:space="0" w:color="D2232A"/>
              <w:left w:val="single" w:sz="4" w:space="0" w:color="D2232A"/>
              <w:bottom w:val="single" w:sz="4" w:space="0" w:color="D2232A"/>
              <w:right w:val="single" w:sz="4" w:space="0" w:color="D2232A"/>
            </w:tcBorders>
          </w:tcPr>
          <w:p w14:paraId="7696A11F" w14:textId="77777777" w:rsidR="001303E3" w:rsidRDefault="001303E3" w:rsidP="00B80BFF">
            <w:pPr>
              <w:spacing w:before="60" w:after="60" w:line="288" w:lineRule="auto"/>
              <w:jc w:val="left"/>
              <w:rPr>
                <w:noProof/>
                <w:sz w:val="20"/>
                <w:szCs w:val="24"/>
                <w:lang w:val="en-US" w:eastAsia="en-US"/>
              </w:rPr>
            </w:pPr>
            <w:r>
              <w:rPr>
                <w:noProof/>
                <w:sz w:val="20"/>
                <w:szCs w:val="24"/>
                <w:lang w:val="en-US" w:eastAsia="en-US"/>
              </w:rPr>
              <w:t>MSS Earth-to-space</w:t>
            </w:r>
          </w:p>
        </w:tc>
        <w:tc>
          <w:tcPr>
            <w:tcW w:w="4361" w:type="dxa"/>
            <w:tcBorders>
              <w:top w:val="single" w:sz="4" w:space="0" w:color="D2232A"/>
              <w:left w:val="single" w:sz="4" w:space="0" w:color="D2232A"/>
              <w:bottom w:val="single" w:sz="4" w:space="0" w:color="D2232A"/>
              <w:right w:val="single" w:sz="4" w:space="0" w:color="D2232A"/>
            </w:tcBorders>
          </w:tcPr>
          <w:p w14:paraId="0BB01727" w14:textId="2B856487" w:rsidR="001303E3" w:rsidRPr="00897DCC" w:rsidRDefault="001303E3" w:rsidP="00B80BFF">
            <w:pPr>
              <w:spacing w:before="60" w:after="60" w:line="288" w:lineRule="auto"/>
              <w:jc w:val="left"/>
              <w:rPr>
                <w:noProof/>
                <w:sz w:val="20"/>
                <w:szCs w:val="24"/>
                <w:lang w:val="fr-FR" w:eastAsia="en-US"/>
              </w:rPr>
            </w:pPr>
            <w:r w:rsidRPr="00897DCC">
              <w:rPr>
                <w:noProof/>
                <w:sz w:val="20"/>
                <w:szCs w:val="24"/>
                <w:lang w:val="fr-FR" w:eastAsia="en-US"/>
              </w:rPr>
              <w:t>Res.225 (Rev.WRC-12)</w:t>
            </w:r>
            <w:r w:rsidR="009517A5" w:rsidRPr="00897DCC">
              <w:rPr>
                <w:noProof/>
                <w:sz w:val="20"/>
                <w:szCs w:val="24"/>
                <w:lang w:val="fr-FR" w:eastAsia="en-US"/>
              </w:rPr>
              <w:br/>
              <w:t>ECC</w:t>
            </w:r>
            <w:r w:rsidR="00BF079D">
              <w:rPr>
                <w:noProof/>
                <w:sz w:val="20"/>
                <w:szCs w:val="24"/>
                <w:lang w:val="fr-FR" w:eastAsia="en-US"/>
              </w:rPr>
              <w:t xml:space="preserve"> Decision </w:t>
            </w:r>
            <w:r w:rsidR="009517A5" w:rsidRPr="00897DCC">
              <w:rPr>
                <w:noProof/>
                <w:sz w:val="20"/>
                <w:szCs w:val="24"/>
                <w:lang w:val="fr-FR" w:eastAsia="en-US"/>
              </w:rPr>
              <w:t>(04)09</w:t>
            </w:r>
          </w:p>
        </w:tc>
      </w:tr>
      <w:tr w:rsidR="001303E3" w14:paraId="49963004" w14:textId="77777777">
        <w:tc>
          <w:tcPr>
            <w:tcW w:w="2450" w:type="dxa"/>
            <w:tcBorders>
              <w:top w:val="single" w:sz="4" w:space="0" w:color="D2232A"/>
              <w:left w:val="single" w:sz="4" w:space="0" w:color="D2232A"/>
              <w:bottom w:val="single" w:sz="4" w:space="0" w:color="D2232A"/>
              <w:right w:val="single" w:sz="4" w:space="0" w:color="D2232A"/>
            </w:tcBorders>
          </w:tcPr>
          <w:p w14:paraId="600393D9" w14:textId="567B471F" w:rsidR="001303E3" w:rsidRDefault="001303E3" w:rsidP="00B80BFF">
            <w:pPr>
              <w:spacing w:before="60" w:after="60" w:line="288" w:lineRule="auto"/>
              <w:jc w:val="left"/>
              <w:rPr>
                <w:noProof/>
                <w:sz w:val="20"/>
                <w:szCs w:val="24"/>
                <w:lang w:val="en-US" w:eastAsia="en-US"/>
              </w:rPr>
            </w:pPr>
            <w:r>
              <w:rPr>
                <w:noProof/>
                <w:sz w:val="20"/>
                <w:szCs w:val="24"/>
                <w:lang w:val="en-US" w:eastAsia="en-US"/>
              </w:rPr>
              <w:t>1980-2010 MHz</w:t>
            </w:r>
          </w:p>
        </w:tc>
        <w:tc>
          <w:tcPr>
            <w:tcW w:w="2761" w:type="dxa"/>
            <w:tcBorders>
              <w:top w:val="single" w:sz="4" w:space="0" w:color="D2232A"/>
              <w:left w:val="single" w:sz="4" w:space="0" w:color="D2232A"/>
              <w:bottom w:val="single" w:sz="4" w:space="0" w:color="D2232A"/>
              <w:right w:val="single" w:sz="4" w:space="0" w:color="D2232A"/>
            </w:tcBorders>
          </w:tcPr>
          <w:p w14:paraId="044BE5D2" w14:textId="77777777" w:rsidR="001303E3" w:rsidRDefault="001303E3" w:rsidP="00B80BFF">
            <w:pPr>
              <w:spacing w:before="60" w:after="60" w:line="288" w:lineRule="auto"/>
              <w:jc w:val="left"/>
              <w:rPr>
                <w:noProof/>
                <w:sz w:val="20"/>
                <w:szCs w:val="24"/>
                <w:lang w:val="en-US" w:eastAsia="en-US"/>
              </w:rPr>
            </w:pPr>
            <w:r>
              <w:rPr>
                <w:noProof/>
                <w:sz w:val="20"/>
                <w:szCs w:val="24"/>
                <w:lang w:val="en-US" w:eastAsia="en-US"/>
              </w:rPr>
              <w:t>MSS Earth-to-space</w:t>
            </w:r>
          </w:p>
        </w:tc>
        <w:tc>
          <w:tcPr>
            <w:tcW w:w="4361" w:type="dxa"/>
            <w:tcBorders>
              <w:top w:val="single" w:sz="4" w:space="0" w:color="D2232A"/>
              <w:left w:val="single" w:sz="4" w:space="0" w:color="D2232A"/>
              <w:bottom w:val="single" w:sz="4" w:space="0" w:color="D2232A"/>
              <w:right w:val="single" w:sz="4" w:space="0" w:color="D2232A"/>
            </w:tcBorders>
          </w:tcPr>
          <w:p w14:paraId="6EBC51AC" w14:textId="641C27F3" w:rsidR="001303E3" w:rsidRPr="0070164B" w:rsidRDefault="001303E3" w:rsidP="00B80BFF">
            <w:pPr>
              <w:spacing w:before="60" w:after="60" w:line="288" w:lineRule="auto"/>
              <w:jc w:val="left"/>
              <w:rPr>
                <w:noProof/>
                <w:sz w:val="20"/>
                <w:szCs w:val="24"/>
                <w:lang w:val="fr-FR" w:eastAsia="en-US"/>
              </w:rPr>
            </w:pPr>
            <w:r w:rsidRPr="0070164B">
              <w:rPr>
                <w:noProof/>
                <w:sz w:val="20"/>
                <w:szCs w:val="24"/>
                <w:lang w:val="fr-FR" w:eastAsia="en-US"/>
              </w:rPr>
              <w:t>Res.212 (Rev.WRC-</w:t>
            </w:r>
            <w:r w:rsidR="00F11D27" w:rsidRPr="0070164B">
              <w:rPr>
                <w:noProof/>
                <w:sz w:val="20"/>
                <w:szCs w:val="24"/>
                <w:lang w:val="fr-FR" w:eastAsia="en-US"/>
              </w:rPr>
              <w:t>15</w:t>
            </w:r>
            <w:r w:rsidRPr="0070164B">
              <w:rPr>
                <w:noProof/>
                <w:sz w:val="20"/>
                <w:szCs w:val="24"/>
                <w:lang w:val="fr-FR" w:eastAsia="en-US"/>
              </w:rPr>
              <w:t>)</w:t>
            </w:r>
            <w:r w:rsidRPr="0070164B">
              <w:rPr>
                <w:noProof/>
                <w:sz w:val="20"/>
                <w:szCs w:val="24"/>
                <w:lang w:val="fr-FR" w:eastAsia="en-US"/>
              </w:rPr>
              <w:br/>
              <w:t>ECC</w:t>
            </w:r>
            <w:r w:rsidR="00BF079D">
              <w:rPr>
                <w:noProof/>
                <w:sz w:val="20"/>
                <w:szCs w:val="24"/>
                <w:lang w:val="fr-FR" w:eastAsia="en-US"/>
              </w:rPr>
              <w:t xml:space="preserve"> Decision </w:t>
            </w:r>
            <w:r w:rsidRPr="0070164B">
              <w:rPr>
                <w:noProof/>
                <w:sz w:val="20"/>
                <w:szCs w:val="24"/>
                <w:lang w:val="fr-FR" w:eastAsia="en-US"/>
              </w:rPr>
              <w:t>(06)09</w:t>
            </w:r>
            <w:r w:rsidR="004B62DF">
              <w:rPr>
                <w:noProof/>
                <w:sz w:val="20"/>
                <w:szCs w:val="24"/>
                <w:lang w:val="fr-FR" w:eastAsia="en-US"/>
              </w:rPr>
              <w:t xml:space="preserve"> </w:t>
            </w:r>
            <w:r w:rsidR="004B62DF">
              <w:rPr>
                <w:noProof/>
                <w:sz w:val="20"/>
                <w:szCs w:val="24"/>
                <w:lang w:val="fr-FR" w:eastAsia="en-US"/>
              </w:rPr>
              <w:fldChar w:fldCharType="begin"/>
            </w:r>
            <w:r w:rsidR="004B62DF">
              <w:rPr>
                <w:noProof/>
                <w:sz w:val="20"/>
                <w:szCs w:val="24"/>
                <w:lang w:val="fr-FR" w:eastAsia="en-US"/>
              </w:rPr>
              <w:instrText xml:space="preserve"> REF _Ref97804346 \r \h </w:instrText>
            </w:r>
            <w:r w:rsidR="004B62DF">
              <w:rPr>
                <w:noProof/>
                <w:sz w:val="20"/>
                <w:szCs w:val="24"/>
                <w:lang w:val="fr-FR" w:eastAsia="en-US"/>
              </w:rPr>
            </w:r>
            <w:r w:rsidR="004B62DF">
              <w:rPr>
                <w:noProof/>
                <w:sz w:val="20"/>
                <w:szCs w:val="24"/>
                <w:lang w:val="fr-FR" w:eastAsia="en-US"/>
              </w:rPr>
              <w:fldChar w:fldCharType="separate"/>
            </w:r>
            <w:r w:rsidR="004B62DF">
              <w:rPr>
                <w:noProof/>
                <w:sz w:val="20"/>
                <w:szCs w:val="24"/>
                <w:lang w:val="fr-FR" w:eastAsia="en-US"/>
              </w:rPr>
              <w:t>[9]</w:t>
            </w:r>
            <w:r w:rsidR="004B62DF">
              <w:rPr>
                <w:noProof/>
                <w:sz w:val="20"/>
                <w:szCs w:val="24"/>
                <w:lang w:val="fr-FR" w:eastAsia="en-US"/>
              </w:rPr>
              <w:fldChar w:fldCharType="end"/>
            </w:r>
          </w:p>
        </w:tc>
      </w:tr>
      <w:tr w:rsidR="001303E3" w14:paraId="25A523DE" w14:textId="77777777">
        <w:tc>
          <w:tcPr>
            <w:tcW w:w="2450" w:type="dxa"/>
            <w:tcBorders>
              <w:top w:val="single" w:sz="4" w:space="0" w:color="D2232A"/>
              <w:left w:val="single" w:sz="4" w:space="0" w:color="D2232A"/>
              <w:bottom w:val="single" w:sz="4" w:space="0" w:color="D2232A"/>
              <w:right w:val="single" w:sz="4" w:space="0" w:color="D2232A"/>
            </w:tcBorders>
          </w:tcPr>
          <w:p w14:paraId="4EADEF44" w14:textId="77777777" w:rsidR="001303E3" w:rsidRDefault="001303E3" w:rsidP="00B80BFF">
            <w:pPr>
              <w:spacing w:before="60" w:after="60" w:line="288" w:lineRule="auto"/>
              <w:jc w:val="left"/>
              <w:rPr>
                <w:noProof/>
                <w:sz w:val="20"/>
                <w:szCs w:val="24"/>
                <w:lang w:val="en-US" w:eastAsia="en-US"/>
              </w:rPr>
            </w:pPr>
            <w:r>
              <w:rPr>
                <w:noProof/>
                <w:sz w:val="20"/>
                <w:szCs w:val="24"/>
                <w:lang w:val="en-US" w:eastAsia="en-US"/>
              </w:rPr>
              <w:t>2170-2200 MHz</w:t>
            </w:r>
          </w:p>
        </w:tc>
        <w:tc>
          <w:tcPr>
            <w:tcW w:w="2761" w:type="dxa"/>
            <w:tcBorders>
              <w:top w:val="single" w:sz="4" w:space="0" w:color="D2232A"/>
              <w:left w:val="single" w:sz="4" w:space="0" w:color="D2232A"/>
              <w:bottom w:val="single" w:sz="4" w:space="0" w:color="D2232A"/>
              <w:right w:val="single" w:sz="4" w:space="0" w:color="D2232A"/>
            </w:tcBorders>
          </w:tcPr>
          <w:p w14:paraId="01C0D2AF" w14:textId="77777777" w:rsidR="001303E3" w:rsidRDefault="001303E3" w:rsidP="00B80BFF">
            <w:pPr>
              <w:spacing w:before="60" w:after="60" w:line="288" w:lineRule="auto"/>
              <w:jc w:val="left"/>
              <w:rPr>
                <w:noProof/>
                <w:sz w:val="20"/>
                <w:szCs w:val="24"/>
                <w:lang w:val="en-US" w:eastAsia="en-US"/>
              </w:rPr>
            </w:pPr>
            <w:r>
              <w:rPr>
                <w:noProof/>
                <w:sz w:val="20"/>
                <w:szCs w:val="24"/>
                <w:lang w:val="en-US" w:eastAsia="en-US"/>
              </w:rPr>
              <w:t>MSS space-to-Earth</w:t>
            </w:r>
          </w:p>
        </w:tc>
        <w:tc>
          <w:tcPr>
            <w:tcW w:w="4361" w:type="dxa"/>
            <w:tcBorders>
              <w:top w:val="single" w:sz="4" w:space="0" w:color="D2232A"/>
              <w:left w:val="single" w:sz="4" w:space="0" w:color="D2232A"/>
              <w:bottom w:val="single" w:sz="4" w:space="0" w:color="D2232A"/>
              <w:right w:val="single" w:sz="4" w:space="0" w:color="D2232A"/>
            </w:tcBorders>
          </w:tcPr>
          <w:p w14:paraId="5D5F21EB" w14:textId="21E2B5F7" w:rsidR="001303E3" w:rsidRPr="0070164B" w:rsidRDefault="001303E3" w:rsidP="00B80BFF">
            <w:pPr>
              <w:spacing w:before="60" w:after="60" w:line="288" w:lineRule="auto"/>
              <w:jc w:val="left"/>
              <w:rPr>
                <w:noProof/>
                <w:sz w:val="20"/>
                <w:szCs w:val="24"/>
                <w:lang w:val="fr-FR" w:eastAsia="en-US"/>
              </w:rPr>
            </w:pPr>
            <w:r w:rsidRPr="0070164B">
              <w:rPr>
                <w:noProof/>
                <w:sz w:val="20"/>
                <w:szCs w:val="24"/>
                <w:lang w:val="fr-FR" w:eastAsia="en-US"/>
              </w:rPr>
              <w:t>Res.212 (Rev.WRC-</w:t>
            </w:r>
            <w:r w:rsidR="00F11D27" w:rsidRPr="0070164B">
              <w:rPr>
                <w:noProof/>
                <w:sz w:val="20"/>
                <w:szCs w:val="24"/>
                <w:lang w:val="fr-FR" w:eastAsia="en-US"/>
              </w:rPr>
              <w:t>15</w:t>
            </w:r>
            <w:r w:rsidRPr="0070164B">
              <w:rPr>
                <w:noProof/>
                <w:sz w:val="20"/>
                <w:szCs w:val="24"/>
                <w:lang w:val="fr-FR" w:eastAsia="en-US"/>
              </w:rPr>
              <w:t>)</w:t>
            </w:r>
            <w:r w:rsidRPr="0070164B">
              <w:rPr>
                <w:noProof/>
                <w:sz w:val="20"/>
                <w:szCs w:val="24"/>
                <w:lang w:val="fr-FR" w:eastAsia="en-US"/>
              </w:rPr>
              <w:br/>
              <w:t>ECC</w:t>
            </w:r>
            <w:r w:rsidR="00BF079D">
              <w:rPr>
                <w:noProof/>
                <w:sz w:val="20"/>
                <w:szCs w:val="24"/>
                <w:lang w:val="fr-FR" w:eastAsia="en-US"/>
              </w:rPr>
              <w:t xml:space="preserve"> Decision </w:t>
            </w:r>
            <w:r w:rsidRPr="0070164B">
              <w:rPr>
                <w:noProof/>
                <w:sz w:val="20"/>
                <w:szCs w:val="24"/>
                <w:lang w:val="fr-FR" w:eastAsia="en-US"/>
              </w:rPr>
              <w:t xml:space="preserve">(06)09 </w:t>
            </w:r>
          </w:p>
        </w:tc>
      </w:tr>
      <w:tr w:rsidR="001303E3" w14:paraId="48BD61EA" w14:textId="77777777">
        <w:tc>
          <w:tcPr>
            <w:tcW w:w="2450" w:type="dxa"/>
            <w:tcBorders>
              <w:top w:val="single" w:sz="4" w:space="0" w:color="D2232A"/>
              <w:left w:val="single" w:sz="4" w:space="0" w:color="D2232A"/>
              <w:bottom w:val="single" w:sz="4" w:space="0" w:color="D2232A"/>
              <w:right w:val="single" w:sz="4" w:space="0" w:color="D2232A"/>
            </w:tcBorders>
          </w:tcPr>
          <w:p w14:paraId="7771A81A" w14:textId="77777777" w:rsidR="001303E3" w:rsidRDefault="001303E3" w:rsidP="00B80BFF">
            <w:pPr>
              <w:spacing w:before="60" w:after="60" w:line="288" w:lineRule="auto"/>
              <w:jc w:val="left"/>
              <w:rPr>
                <w:noProof/>
                <w:sz w:val="20"/>
                <w:szCs w:val="24"/>
                <w:lang w:val="en-US" w:eastAsia="en-US"/>
              </w:rPr>
            </w:pPr>
            <w:r>
              <w:rPr>
                <w:noProof/>
                <w:sz w:val="20"/>
                <w:szCs w:val="24"/>
                <w:lang w:val="en-US" w:eastAsia="en-US"/>
              </w:rPr>
              <w:t>2483.5-2500 MHz</w:t>
            </w:r>
          </w:p>
        </w:tc>
        <w:tc>
          <w:tcPr>
            <w:tcW w:w="2761" w:type="dxa"/>
            <w:tcBorders>
              <w:top w:val="single" w:sz="4" w:space="0" w:color="D2232A"/>
              <w:left w:val="single" w:sz="4" w:space="0" w:color="D2232A"/>
              <w:bottom w:val="single" w:sz="4" w:space="0" w:color="D2232A"/>
              <w:right w:val="single" w:sz="4" w:space="0" w:color="D2232A"/>
            </w:tcBorders>
          </w:tcPr>
          <w:p w14:paraId="5E4AEF38" w14:textId="77777777" w:rsidR="001303E3" w:rsidRDefault="001303E3" w:rsidP="00B80BFF">
            <w:pPr>
              <w:spacing w:before="60" w:after="60" w:line="288" w:lineRule="auto"/>
              <w:jc w:val="left"/>
              <w:rPr>
                <w:noProof/>
                <w:sz w:val="20"/>
                <w:szCs w:val="24"/>
                <w:lang w:val="en-US" w:eastAsia="en-US"/>
              </w:rPr>
            </w:pPr>
            <w:r>
              <w:rPr>
                <w:noProof/>
                <w:sz w:val="20"/>
                <w:szCs w:val="24"/>
                <w:lang w:val="en-US" w:eastAsia="en-US"/>
              </w:rPr>
              <w:t>MSS space-to-Earth</w:t>
            </w:r>
          </w:p>
        </w:tc>
        <w:tc>
          <w:tcPr>
            <w:tcW w:w="4361" w:type="dxa"/>
            <w:tcBorders>
              <w:top w:val="single" w:sz="4" w:space="0" w:color="D2232A"/>
              <w:left w:val="single" w:sz="4" w:space="0" w:color="D2232A"/>
              <w:bottom w:val="single" w:sz="4" w:space="0" w:color="D2232A"/>
              <w:right w:val="single" w:sz="4" w:space="0" w:color="D2232A"/>
            </w:tcBorders>
          </w:tcPr>
          <w:p w14:paraId="7BC82842" w14:textId="65B83ADA" w:rsidR="001303E3" w:rsidRDefault="001303E3" w:rsidP="00276588">
            <w:pPr>
              <w:spacing w:before="60" w:after="60" w:line="288" w:lineRule="auto"/>
              <w:jc w:val="left"/>
              <w:rPr>
                <w:noProof/>
                <w:sz w:val="20"/>
                <w:szCs w:val="24"/>
                <w:lang w:val="pt-PT" w:eastAsia="en-US"/>
              </w:rPr>
            </w:pPr>
            <w:r>
              <w:rPr>
                <w:noProof/>
                <w:sz w:val="20"/>
                <w:szCs w:val="24"/>
                <w:lang w:val="pt-PT" w:eastAsia="en-US"/>
              </w:rPr>
              <w:t xml:space="preserve">Res.225 (Rev.WRC-12) </w:t>
            </w:r>
            <w:r>
              <w:rPr>
                <w:noProof/>
                <w:sz w:val="20"/>
                <w:szCs w:val="24"/>
                <w:lang w:val="pt-PT" w:eastAsia="en-US"/>
              </w:rPr>
              <w:br/>
              <w:t>ECC</w:t>
            </w:r>
            <w:r w:rsidR="00BF079D">
              <w:rPr>
                <w:noProof/>
                <w:sz w:val="20"/>
                <w:szCs w:val="24"/>
                <w:lang w:val="pt-PT" w:eastAsia="en-US"/>
              </w:rPr>
              <w:t xml:space="preserve"> Decision </w:t>
            </w:r>
            <w:r>
              <w:rPr>
                <w:noProof/>
                <w:sz w:val="20"/>
                <w:szCs w:val="24"/>
                <w:lang w:val="pt-PT" w:eastAsia="en-US"/>
              </w:rPr>
              <w:t>(09)02</w:t>
            </w:r>
          </w:p>
        </w:tc>
      </w:tr>
    </w:tbl>
    <w:p w14:paraId="4DFBE93D" w14:textId="77777777" w:rsidR="001303E3" w:rsidRDefault="001303E3">
      <w:pPr>
        <w:rPr>
          <w:sz w:val="20"/>
          <w:lang w:val="fr-FR"/>
        </w:rPr>
      </w:pPr>
    </w:p>
    <w:p w14:paraId="27730E01" w14:textId="77777777" w:rsidR="00070F8F" w:rsidRDefault="00070F8F">
      <w:pPr>
        <w:rPr>
          <w:sz w:val="20"/>
          <w:lang w:val="fr-FR"/>
        </w:rPr>
      </w:pPr>
    </w:p>
    <w:p w14:paraId="10392C11" w14:textId="2F73027F" w:rsidR="00070F8F" w:rsidRDefault="00070F8F" w:rsidP="00070F8F">
      <w:pPr>
        <w:pStyle w:val="ECCAnnex-heading1"/>
        <w:rPr>
          <w:b/>
          <w:bCs w:val="0"/>
        </w:rPr>
      </w:pPr>
      <w:r w:rsidRPr="00070F8F">
        <w:rPr>
          <w:b/>
          <w:bCs w:val="0"/>
        </w:rPr>
        <w:lastRenderedPageBreak/>
        <w:t>annex 2: list of references</w:t>
      </w:r>
    </w:p>
    <w:p w14:paraId="2F16CF6A" w14:textId="60499940" w:rsidR="00572FCD" w:rsidRPr="00070F8F" w:rsidRDefault="003B5865" w:rsidP="002F0636">
      <w:pPr>
        <w:pStyle w:val="ECCReference"/>
        <w:spacing w:before="60" w:after="60"/>
        <w:rPr>
          <w:szCs w:val="24"/>
        </w:rPr>
      </w:pPr>
      <w:r w:rsidRPr="003B5865">
        <w:t>Directive (EU) 2018/1972 of the European Parliament and of the Council of 11 December 2018 establishing the European Electronic Communications Code</w:t>
      </w:r>
      <w:r w:rsidR="00572FCD">
        <w:t xml:space="preserve"> </w:t>
      </w:r>
    </w:p>
    <w:bookmarkStart w:id="2" w:name="_Ref97804126"/>
    <w:p w14:paraId="1CC4191B" w14:textId="1BCEFA23" w:rsidR="00E0215D" w:rsidRDefault="00167067" w:rsidP="002F0636">
      <w:pPr>
        <w:pStyle w:val="ECCReference"/>
        <w:spacing w:before="60" w:after="60"/>
      </w:pPr>
      <w:r>
        <w:rPr>
          <w:noProof/>
        </w:rPr>
        <w:fldChar w:fldCharType="begin"/>
      </w:r>
      <w:r>
        <w:rPr>
          <w:noProof/>
        </w:rPr>
        <w:instrText>HYPERLINK "https://docdb.cept.org/document/593"</w:instrText>
      </w:r>
      <w:r>
        <w:rPr>
          <w:noProof/>
        </w:rPr>
        <w:fldChar w:fldCharType="separate"/>
      </w:r>
      <w:r>
        <w:rPr>
          <w:rStyle w:val="Hyperlink"/>
          <w:noProof/>
        </w:rPr>
        <w:t>ERC Report 025</w:t>
      </w:r>
      <w:r>
        <w:rPr>
          <w:noProof/>
        </w:rPr>
        <w:fldChar w:fldCharType="end"/>
      </w:r>
      <w:r w:rsidRPr="006D6727">
        <w:rPr>
          <w:noProof/>
        </w:rPr>
        <w:t>:</w:t>
      </w:r>
      <w:bookmarkEnd w:id="2"/>
      <w:r w:rsidR="00E0215D" w:rsidRPr="006D6727">
        <w:rPr>
          <w:noProof/>
        </w:rPr>
        <w:t xml:space="preserve"> "The European Table of Frequency Allocations and Applications in the frequency range 8.3 kHz to 3000 GHz (ECA Table)"</w:t>
      </w:r>
      <w:r w:rsidR="00E0215D">
        <w:rPr>
          <w:noProof/>
        </w:rPr>
        <w:t>, approved June 1994 and latest amended October 2021</w:t>
      </w:r>
    </w:p>
    <w:p w14:paraId="0BB89A7C" w14:textId="779D2DD7" w:rsidR="00572FCD" w:rsidRDefault="00E35A18" w:rsidP="002F0636">
      <w:pPr>
        <w:pStyle w:val="ECCReference"/>
        <w:spacing w:before="60" w:after="60"/>
      </w:pPr>
      <w:bookmarkStart w:id="3" w:name="_Ref97804119"/>
      <w:r>
        <w:t>Recommendation ITU-R M.2014</w:t>
      </w:r>
      <w:bookmarkEnd w:id="3"/>
      <w:r w:rsidR="002C01A6">
        <w:t>: “</w:t>
      </w:r>
      <w:r w:rsidR="002C01A6" w:rsidRPr="002C01A6">
        <w:t>Global circulation of IMT satellite terminals</w:t>
      </w:r>
      <w:r w:rsidR="002C01A6">
        <w:t>”</w:t>
      </w:r>
    </w:p>
    <w:bookmarkStart w:id="4" w:name="_Ref97804158"/>
    <w:p w14:paraId="5AE8BDA5" w14:textId="675AE6B0" w:rsidR="00866AE1" w:rsidRDefault="00406339" w:rsidP="002F0636">
      <w:pPr>
        <w:pStyle w:val="ECCReference"/>
        <w:spacing w:before="60" w:after="60"/>
      </w:pPr>
      <w:r>
        <w:fldChar w:fldCharType="begin"/>
      </w:r>
      <w:r>
        <w:instrText>HYPERLINK "https://docdb.cept.org/document/1011"</w:instrText>
      </w:r>
      <w:r>
        <w:fldChar w:fldCharType="separate"/>
      </w:r>
      <w:bookmarkEnd w:id="4"/>
      <w:r>
        <w:rPr>
          <w:rStyle w:val="Hyperlink"/>
        </w:rPr>
        <w:t>ERC Recommendation 01-07</w:t>
      </w:r>
      <w:r>
        <w:fldChar w:fldCharType="end"/>
      </w:r>
      <w:r w:rsidR="005B58BF">
        <w:t>: “ERC Recommendation of 1995 on harmonised regime for exemption from individual licensing for the use of radio spectrum”, approved May 1995, amended 1 May 2000 and revised 9 June 2004</w:t>
      </w:r>
    </w:p>
    <w:p w14:paraId="1B29CF8E" w14:textId="7520EFF8" w:rsidR="00866AE1" w:rsidRPr="00866AE1" w:rsidRDefault="007C1D08" w:rsidP="002F0636">
      <w:pPr>
        <w:pStyle w:val="ECCReference"/>
        <w:spacing w:before="60" w:after="60"/>
        <w:rPr>
          <w:rStyle w:val="Strong"/>
          <w:b w:val="0"/>
          <w:bCs w:val="0"/>
        </w:rPr>
      </w:pPr>
      <w:r w:rsidRPr="007C1D08">
        <w:rPr>
          <w:rStyle w:val="Strong"/>
          <w:b w:val="0"/>
        </w:rPr>
        <w:t>Directive 2014/53/EU of the European Parliament and of the Council of 16 April 2014 on the harmonisation of the laws of the Member States relating to the making available on the market of radio equipment and repealing Directive 1999/5/EC</w:t>
      </w:r>
    </w:p>
    <w:p w14:paraId="5BE596C0" w14:textId="6CAF56C9" w:rsidR="00866AE1" w:rsidRDefault="000559A2" w:rsidP="002F0636">
      <w:pPr>
        <w:pStyle w:val="ECCReference"/>
        <w:spacing w:before="60" w:after="60"/>
      </w:pPr>
      <w:bookmarkStart w:id="5" w:name="_Ref72221362"/>
      <w:bookmarkStart w:id="6" w:name="_Ref97804511"/>
      <w:r w:rsidRPr="005A5DCA">
        <w:t xml:space="preserve">ITU Radio Regulations, Edition of </w:t>
      </w:r>
      <w:bookmarkEnd w:id="5"/>
      <w:bookmarkEnd w:id="6"/>
      <w:r w:rsidR="00A6610E">
        <w:t>2020</w:t>
      </w:r>
    </w:p>
    <w:bookmarkStart w:id="7" w:name="_Ref97804289"/>
    <w:p w14:paraId="440B4A1C" w14:textId="7559C5BA" w:rsidR="00572FCD" w:rsidRPr="00CA632E" w:rsidRDefault="003D1E7C" w:rsidP="002F0636">
      <w:pPr>
        <w:pStyle w:val="ECCReference"/>
        <w:spacing w:before="60" w:after="60"/>
      </w:pPr>
      <w:r>
        <w:rPr>
          <w:noProof/>
          <w:lang w:val="fr-FR" w:eastAsia="en-US"/>
        </w:rPr>
        <w:fldChar w:fldCharType="begin"/>
      </w:r>
      <w:r>
        <w:rPr>
          <w:noProof/>
          <w:lang w:val="fr-FR" w:eastAsia="en-US"/>
        </w:rPr>
        <w:instrText>HYPERLINK "https://docdb.cept.org/document/382"</w:instrText>
      </w:r>
      <w:r>
        <w:rPr>
          <w:noProof/>
          <w:lang w:val="fr-FR" w:eastAsia="en-US"/>
        </w:rPr>
        <w:fldChar w:fldCharType="separate"/>
      </w:r>
      <w:r>
        <w:rPr>
          <w:rStyle w:val="Hyperlink"/>
          <w:noProof/>
          <w:lang w:val="fr-FR" w:eastAsia="en-US"/>
        </w:rPr>
        <w:t>ECC Decision (04)09</w:t>
      </w:r>
      <w:r>
        <w:rPr>
          <w:noProof/>
          <w:lang w:val="fr-FR" w:eastAsia="en-US"/>
        </w:rPr>
        <w:fldChar w:fldCharType="end"/>
      </w:r>
      <w:bookmarkEnd w:id="7"/>
      <w:r w:rsidR="007C1D08">
        <w:rPr>
          <w:noProof/>
          <w:lang w:val="fr-FR" w:eastAsia="en-US"/>
        </w:rPr>
        <w:t xml:space="preserve">: </w:t>
      </w:r>
      <w:r w:rsidR="00B60B4F">
        <w:t>“</w:t>
      </w:r>
      <w:r w:rsidR="007023E7">
        <w:t>T</w:t>
      </w:r>
      <w:r w:rsidR="004F62D5" w:rsidRPr="004F62D5">
        <w:rPr>
          <w:noProof/>
          <w:lang w:val="fr-FR" w:eastAsia="en-US"/>
        </w:rPr>
        <w:t>he designation of the bands 1518-1525 MHz and 1670-1675 MHz for the Mobile-Satellite Service</w:t>
      </w:r>
      <w:r w:rsidR="00B016E1">
        <w:rPr>
          <w:noProof/>
          <w:lang w:val="fr-FR" w:eastAsia="en-US"/>
        </w:rPr>
        <w:t>, approved November 2004</w:t>
      </w:r>
      <w:r w:rsidR="005C0716">
        <w:rPr>
          <w:noProof/>
          <w:lang w:val="fr-FR" w:eastAsia="en-US"/>
        </w:rPr>
        <w:t xml:space="preserve"> and a</w:t>
      </w:r>
      <w:r w:rsidR="005C0716" w:rsidRPr="005C0716">
        <w:rPr>
          <w:noProof/>
          <w:lang w:val="fr-FR" w:eastAsia="en-US"/>
        </w:rPr>
        <w:t>mended on June 2009</w:t>
      </w:r>
    </w:p>
    <w:bookmarkStart w:id="8" w:name="_Ref97804319"/>
    <w:p w14:paraId="467C5981" w14:textId="77777777" w:rsidR="00CA632E" w:rsidRDefault="008940A5" w:rsidP="002F0636">
      <w:pPr>
        <w:pStyle w:val="ECCReference"/>
        <w:spacing w:before="60" w:after="60"/>
      </w:pPr>
      <w:r>
        <w:rPr>
          <w:noProof/>
          <w:lang w:val="fr-FR" w:eastAsia="en-US"/>
        </w:rPr>
        <w:fldChar w:fldCharType="begin"/>
      </w:r>
      <w:r>
        <w:rPr>
          <w:noProof/>
          <w:lang w:val="fr-FR" w:eastAsia="en-US"/>
        </w:rPr>
        <w:instrText>HYPERLINK "https://docdb.cept.org/document/421"</w:instrText>
      </w:r>
      <w:r>
        <w:rPr>
          <w:noProof/>
          <w:lang w:val="fr-FR" w:eastAsia="en-US"/>
        </w:rPr>
        <w:fldChar w:fldCharType="separate"/>
      </w:r>
      <w:r>
        <w:rPr>
          <w:rStyle w:val="Hyperlink"/>
          <w:noProof/>
          <w:szCs w:val="24"/>
          <w:lang w:val="fr-FR" w:eastAsia="en-US"/>
        </w:rPr>
        <w:t>ECC Decision (09)02</w:t>
      </w:r>
      <w:r>
        <w:rPr>
          <w:noProof/>
          <w:lang w:val="fr-FR" w:eastAsia="en-US"/>
        </w:rPr>
        <w:fldChar w:fldCharType="end"/>
      </w:r>
      <w:bookmarkEnd w:id="8"/>
      <w:r w:rsidR="005C0716" w:rsidRPr="005119F3">
        <w:rPr>
          <w:noProof/>
          <w:lang w:val="fr-FR" w:eastAsia="en-US"/>
        </w:rPr>
        <w:t xml:space="preserve">: </w:t>
      </w:r>
      <w:r w:rsidR="007256FD">
        <w:t>“</w:t>
      </w:r>
      <w:r w:rsidR="007256FD" w:rsidRPr="005119F3">
        <w:rPr>
          <w:noProof/>
          <w:lang w:val="fr-FR" w:eastAsia="en-US"/>
        </w:rPr>
        <w:t>The harmonisation of the bands 1610-1626.5 MHz and 2483.5-2500 MHz for use by systems in the Mobile-Satellite Service</w:t>
      </w:r>
      <w:r w:rsidR="007023E7">
        <w:t>”</w:t>
      </w:r>
      <w:r w:rsidR="007256FD">
        <w:t xml:space="preserve">, approved </w:t>
      </w:r>
      <w:r w:rsidR="00634AC5" w:rsidRPr="00634AC5">
        <w:t>June 2009</w:t>
      </w:r>
      <w:r w:rsidR="00634AC5">
        <w:t xml:space="preserve"> and a</w:t>
      </w:r>
      <w:r w:rsidR="00634AC5" w:rsidRPr="00634AC5">
        <w:t>mended on November 2012</w:t>
      </w:r>
      <w:bookmarkStart w:id="9" w:name="_Ref97804346"/>
    </w:p>
    <w:p w14:paraId="5F2EBB23" w14:textId="117166AB" w:rsidR="004B62DF" w:rsidRDefault="00AF524D" w:rsidP="002F0636">
      <w:pPr>
        <w:pStyle w:val="ECCReference"/>
        <w:spacing w:before="60" w:after="60"/>
      </w:pPr>
      <w:hyperlink r:id="rId13" w:history="1">
        <w:r w:rsidR="00CD643B">
          <w:rPr>
            <w:rStyle w:val="Hyperlink"/>
          </w:rPr>
          <w:t>ECC Decision (06)09</w:t>
        </w:r>
      </w:hyperlink>
      <w:bookmarkEnd w:id="9"/>
      <w:r w:rsidR="007023E7">
        <w:rPr>
          <w:noProof/>
          <w:szCs w:val="24"/>
          <w:lang w:val="fr-FR" w:eastAsia="en-US"/>
        </w:rPr>
        <w:t xml:space="preserve">: </w:t>
      </w:r>
      <w:r w:rsidR="007023E7">
        <w:t>“</w:t>
      </w:r>
      <w:r w:rsidR="00E2748D">
        <w:t>T</w:t>
      </w:r>
      <w:r w:rsidR="00E2748D" w:rsidRPr="00E2748D">
        <w:t>he designation of the bands 1980-2010 MHz and 2170-2200 MHz for use by systems in the Mobile-Satellite Service including those supplemented by a Complementary Ground Component (CGC)</w:t>
      </w:r>
      <w:r w:rsidR="007023E7">
        <w:t>”</w:t>
      </w:r>
      <w:r w:rsidR="00CA632E">
        <w:t xml:space="preserve">, approved </w:t>
      </w:r>
      <w:r w:rsidR="00933B8A">
        <w:t xml:space="preserve"> </w:t>
      </w:r>
      <w:r w:rsidR="00CA632E" w:rsidRPr="00CA632E">
        <w:t>December 2006</w:t>
      </w:r>
      <w:r w:rsidR="00CA632E">
        <w:t xml:space="preserve"> and </w:t>
      </w:r>
      <w:r w:rsidR="00933B8A" w:rsidRPr="00933B8A">
        <w:t>amended 5 September 2007</w:t>
      </w:r>
    </w:p>
    <w:p w14:paraId="6D6A5758" w14:textId="77777777" w:rsidR="00070F8F" w:rsidRPr="00070F8F" w:rsidRDefault="00070F8F" w:rsidP="002F0636">
      <w:pPr>
        <w:pStyle w:val="ECCParagraph"/>
        <w:spacing w:before="60" w:after="60"/>
      </w:pPr>
    </w:p>
    <w:sectPr w:rsidR="00070F8F" w:rsidRPr="00070F8F" w:rsidSect="002868E0">
      <w:headerReference w:type="even" r:id="rId14"/>
      <w:headerReference w:type="default" r:id="rId15"/>
      <w:headerReference w:type="first" r:id="rId16"/>
      <w:pgSz w:w="11907" w:h="16840" w:code="9"/>
      <w:pgMar w:top="1513" w:right="1275" w:bottom="1134" w:left="1276" w:header="720" w:footer="735" w:gutter="0"/>
      <w:paperSrc w:first="1" w:other="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85DE0" w14:textId="77777777" w:rsidR="00AF524D" w:rsidRDefault="00AF524D">
      <w:r>
        <w:separator/>
      </w:r>
    </w:p>
  </w:endnote>
  <w:endnote w:type="continuationSeparator" w:id="0">
    <w:p w14:paraId="4DB8FCE8" w14:textId="77777777" w:rsidR="00AF524D" w:rsidRDefault="00AF524D">
      <w:r>
        <w:continuationSeparator/>
      </w:r>
    </w:p>
  </w:endnote>
  <w:endnote w:type="continuationNotice" w:id="1">
    <w:p w14:paraId="2A9447FE" w14:textId="77777777" w:rsidR="00AF524D" w:rsidRDefault="00AF52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0EE5" w14:textId="77777777" w:rsidR="00AF524D" w:rsidRDefault="00AF524D">
      <w:r>
        <w:separator/>
      </w:r>
    </w:p>
  </w:footnote>
  <w:footnote w:type="continuationSeparator" w:id="0">
    <w:p w14:paraId="1FC7465E" w14:textId="77777777" w:rsidR="00AF524D" w:rsidRDefault="00AF524D">
      <w:r>
        <w:continuationSeparator/>
      </w:r>
    </w:p>
  </w:footnote>
  <w:footnote w:type="continuationNotice" w:id="1">
    <w:p w14:paraId="39A32941" w14:textId="77777777" w:rsidR="00AF524D" w:rsidRDefault="00AF524D">
      <w:pPr>
        <w:spacing w:after="0"/>
      </w:pPr>
    </w:p>
  </w:footnote>
  <w:footnote w:id="2">
    <w:p w14:paraId="21186ED2" w14:textId="64CCAEEB" w:rsidR="00CD6F65" w:rsidRDefault="00CD6F65" w:rsidP="0080147F">
      <w:pPr>
        <w:pStyle w:val="ECCFootnote"/>
        <w:rPr>
          <w:lang w:val="nb-NO"/>
        </w:rPr>
      </w:pPr>
      <w:r>
        <w:rPr>
          <w:rStyle w:val="FootnoteReference"/>
        </w:rPr>
        <w:footnoteRef/>
      </w:r>
      <w:r>
        <w:t xml:space="preserve"> </w:t>
      </w:r>
      <w:r>
        <w:rPr>
          <w:szCs w:val="16"/>
        </w:rPr>
        <w:t>ITU Resolution 225</w:t>
      </w:r>
      <w:r>
        <w:t xml:space="preserve"> </w:t>
      </w:r>
      <w:r w:rsidR="00DC177B" w:rsidRPr="00DC177B">
        <w:t>(Rev.WRC-12)</w:t>
      </w:r>
      <w:r w:rsidR="00DC177B">
        <w:t xml:space="preserve"> </w:t>
      </w:r>
      <w:r>
        <w:t>covers the satellite component of IMT and not all MSS systems.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14F3B" w14:textId="42B19E7F" w:rsidR="005A45F0" w:rsidRDefault="00AF524D">
    <w:pPr>
      <w:pStyle w:val="Header"/>
    </w:pPr>
    <w:r>
      <w:rPr>
        <w:noProof/>
      </w:rPr>
      <w:pict w14:anchorId="79F4E2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903985" o:spid="_x0000_s1026" type="#_x0000_t136" style="position:absolute;margin-left:0;margin-top:0;width:472.65pt;height:186.85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5D3FC" w14:textId="55E565FC" w:rsidR="00CD6F65" w:rsidRPr="00427BCE" w:rsidRDefault="00AF524D" w:rsidP="00823843">
    <w:pPr>
      <w:pStyle w:val="Header1"/>
      <w:rPr>
        <w:sz w:val="16"/>
        <w:szCs w:val="16"/>
      </w:rPr>
    </w:pPr>
    <w:r>
      <w:rPr>
        <w:noProof/>
      </w:rPr>
      <w:pict w14:anchorId="64F995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903986" o:spid="_x0000_s1027" type="#_x0000_t136" style="position:absolute;margin-left:0;margin-top:0;width:472.65pt;height:186.85pt;rotation:315;z-index:-2516520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8D0E93" w:rsidRPr="00480CDA">
      <w:rPr>
        <w:sz w:val="16"/>
        <w:szCs w:val="16"/>
        <w:lang w:val="en-GB"/>
      </w:rPr>
      <w:t xml:space="preserve">Draft amended </w:t>
    </w:r>
    <w:r w:rsidR="00CD6F65" w:rsidRPr="00480CDA">
      <w:rPr>
        <w:sz w:val="16"/>
        <w:szCs w:val="16"/>
        <w:lang w:val="en-GB"/>
      </w:rPr>
      <w:t xml:space="preserve">ECC/DEC(12)01 – Page </w:t>
    </w:r>
    <w:r w:rsidR="00CD6F65" w:rsidRPr="00427BCE">
      <w:rPr>
        <w:sz w:val="16"/>
        <w:szCs w:val="16"/>
        <w:lang w:val="da-DK"/>
      </w:rPr>
      <w:fldChar w:fldCharType="begin"/>
    </w:r>
    <w:r w:rsidR="00CD6F65" w:rsidRPr="00480CDA">
      <w:rPr>
        <w:sz w:val="16"/>
        <w:szCs w:val="16"/>
        <w:lang w:val="en-GB"/>
      </w:rPr>
      <w:instrText xml:space="preserve"> PAGE  \* Arabic  \* MERGEFORMAT </w:instrText>
    </w:r>
    <w:r w:rsidR="00CD6F65" w:rsidRPr="00427BCE">
      <w:rPr>
        <w:sz w:val="16"/>
        <w:szCs w:val="16"/>
        <w:lang w:val="da-DK"/>
      </w:rPr>
      <w:fldChar w:fldCharType="separate"/>
    </w:r>
    <w:r w:rsidR="00480CDA">
      <w:rPr>
        <w:noProof/>
        <w:sz w:val="16"/>
        <w:szCs w:val="16"/>
        <w:lang w:val="en-GB"/>
      </w:rPr>
      <w:t>4</w:t>
    </w:r>
    <w:r w:rsidR="00CD6F65" w:rsidRPr="00427BCE">
      <w:rPr>
        <w:sz w:val="16"/>
        <w:szCs w:val="16"/>
        <w:lang w:val="da-DK"/>
      </w:rPr>
      <w:fldChar w:fldCharType="end"/>
    </w:r>
  </w:p>
  <w:p w14:paraId="0B524C55" w14:textId="77777777" w:rsidR="00CD6F65" w:rsidRPr="005D14B0" w:rsidRDefault="00CD6F65" w:rsidP="005D14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E2E05" w14:textId="596523F6" w:rsidR="00CD6F65" w:rsidRDefault="00347D7B" w:rsidP="00960CE1">
    <w:pPr>
      <w:pStyle w:val="Header"/>
      <w:jc w:val="right"/>
    </w:pPr>
    <w:r>
      <w:rPr>
        <w:noProof/>
        <w:lang w:val="fr-FR" w:eastAsia="fr-FR"/>
      </w:rPr>
      <w:drawing>
        <wp:anchor distT="0" distB="0" distL="114300" distR="114300" simplePos="0" relativeHeight="251658240" behindDoc="0" locked="0" layoutInCell="1" allowOverlap="1" wp14:anchorId="241CF017" wp14:editId="053365B8">
          <wp:simplePos x="0" y="0"/>
          <wp:positionH relativeFrom="page">
            <wp:posOffset>5717540</wp:posOffset>
          </wp:positionH>
          <wp:positionV relativeFrom="page">
            <wp:posOffset>648335</wp:posOffset>
          </wp:positionV>
          <wp:extent cx="1461770" cy="546100"/>
          <wp:effectExtent l="0" t="0" r="0" b="0"/>
          <wp:wrapNone/>
          <wp:docPr id="9" name="Picture 4" descr="Description: Description: 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57216" behindDoc="0" locked="0" layoutInCell="1" allowOverlap="1" wp14:anchorId="1FD202A3" wp14:editId="56BBE2EE">
          <wp:simplePos x="0" y="0"/>
          <wp:positionH relativeFrom="page">
            <wp:posOffset>572770</wp:posOffset>
          </wp:positionH>
          <wp:positionV relativeFrom="page">
            <wp:posOffset>457200</wp:posOffset>
          </wp:positionV>
          <wp:extent cx="889000" cy="889000"/>
          <wp:effectExtent l="0" t="0" r="0" b="0"/>
          <wp:wrapNone/>
          <wp:docPr id="8" name="Picture 3" descr="Description: Description: 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E0582" w14:textId="149819D7" w:rsidR="00480CDA" w:rsidRDefault="002868E0">
    <w:pPr>
      <w:pStyle w:val="Header"/>
    </w:pPr>
    <w:r w:rsidRPr="007A12F7">
      <w:rPr>
        <w:sz w:val="16"/>
        <w:szCs w:val="16"/>
        <w:lang w:val="en-IE"/>
      </w:rPr>
      <w:t xml:space="preserve">ECC/DEC/(12)01 – Page </w:t>
    </w:r>
    <w:r w:rsidRPr="00427BCE">
      <w:rPr>
        <w:sz w:val="16"/>
        <w:szCs w:val="16"/>
        <w:lang w:val="da-DK"/>
      </w:rPr>
      <w:fldChar w:fldCharType="begin"/>
    </w:r>
    <w:r w:rsidRPr="007A12F7">
      <w:rPr>
        <w:sz w:val="16"/>
        <w:szCs w:val="16"/>
        <w:lang w:val="en-IE"/>
      </w:rPr>
      <w:instrText xml:space="preserve"> PAGE  \* Arabic  \* MERGEFORMAT </w:instrText>
    </w:r>
    <w:r w:rsidRPr="00427BCE">
      <w:rPr>
        <w:sz w:val="16"/>
        <w:szCs w:val="16"/>
        <w:lang w:val="da-DK"/>
      </w:rPr>
      <w:fldChar w:fldCharType="separate"/>
    </w:r>
    <w:r w:rsidR="0069166B" w:rsidRPr="007A12F7">
      <w:rPr>
        <w:noProof/>
        <w:sz w:val="16"/>
        <w:szCs w:val="16"/>
        <w:lang w:val="en-IE"/>
      </w:rPr>
      <w:t>6</w:t>
    </w:r>
    <w:r w:rsidRPr="00427BCE">
      <w:rPr>
        <w:sz w:val="16"/>
        <w:szCs w:val="16"/>
        <w:lang w:val="da-DK"/>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F067E" w14:textId="352CD946" w:rsidR="00480CDA" w:rsidRDefault="002868E0" w:rsidP="005A45F0">
    <w:pPr>
      <w:pStyle w:val="Header"/>
      <w:jc w:val="right"/>
    </w:pPr>
    <w:r w:rsidRPr="007A12F7">
      <w:rPr>
        <w:sz w:val="16"/>
        <w:szCs w:val="16"/>
        <w:lang w:val="en-IE"/>
      </w:rPr>
      <w:t>ECC/DEC/</w:t>
    </w:r>
    <w:r w:rsidR="002A370D" w:rsidRPr="007A12F7">
      <w:rPr>
        <w:sz w:val="16"/>
        <w:szCs w:val="16"/>
        <w:lang w:val="en-IE"/>
      </w:rPr>
      <w:t xml:space="preserve">(12)01 - </w:t>
    </w:r>
    <w:r w:rsidRPr="007A12F7">
      <w:rPr>
        <w:sz w:val="16"/>
        <w:szCs w:val="16"/>
        <w:lang w:val="en-IE"/>
      </w:rPr>
      <w:t xml:space="preserve">Page </w:t>
    </w:r>
    <w:r w:rsidRPr="00427BCE">
      <w:rPr>
        <w:sz w:val="16"/>
        <w:szCs w:val="16"/>
        <w:lang w:val="da-DK"/>
      </w:rPr>
      <w:fldChar w:fldCharType="begin"/>
    </w:r>
    <w:r w:rsidRPr="007A12F7">
      <w:rPr>
        <w:sz w:val="16"/>
        <w:szCs w:val="16"/>
        <w:lang w:val="en-IE"/>
      </w:rPr>
      <w:instrText xml:space="preserve"> PAGE  \* Arabic  \* MERGEFORMAT </w:instrText>
    </w:r>
    <w:r w:rsidRPr="00427BCE">
      <w:rPr>
        <w:sz w:val="16"/>
        <w:szCs w:val="16"/>
        <w:lang w:val="da-DK"/>
      </w:rPr>
      <w:fldChar w:fldCharType="separate"/>
    </w:r>
    <w:r w:rsidR="0069166B" w:rsidRPr="007A12F7">
      <w:rPr>
        <w:noProof/>
        <w:sz w:val="16"/>
        <w:szCs w:val="16"/>
        <w:lang w:val="en-IE"/>
      </w:rPr>
      <w:t>5</w:t>
    </w:r>
    <w:r w:rsidRPr="00427BCE">
      <w:rPr>
        <w:sz w:val="16"/>
        <w:szCs w:val="16"/>
        <w:lang w:val="da-DK"/>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3B82A" w14:textId="5822DB2E" w:rsidR="00CD6F65" w:rsidRPr="00427BCE" w:rsidRDefault="00CD6F65" w:rsidP="00823843">
    <w:pPr>
      <w:pStyle w:val="Header2"/>
      <w:rPr>
        <w:sz w:val="16"/>
        <w:szCs w:val="16"/>
      </w:rPr>
    </w:pPr>
    <w:r w:rsidRPr="007A12F7">
      <w:rPr>
        <w:sz w:val="16"/>
        <w:szCs w:val="16"/>
        <w:lang w:val="en-IE"/>
      </w:rPr>
      <w:t xml:space="preserve">ECC/DEC(12)01 – Page </w:t>
    </w:r>
    <w:r w:rsidRPr="00427BCE">
      <w:rPr>
        <w:sz w:val="16"/>
        <w:szCs w:val="16"/>
        <w:lang w:val="da-DK"/>
      </w:rPr>
      <w:fldChar w:fldCharType="begin"/>
    </w:r>
    <w:r w:rsidRPr="007A12F7">
      <w:rPr>
        <w:sz w:val="16"/>
        <w:szCs w:val="16"/>
        <w:lang w:val="en-IE"/>
      </w:rPr>
      <w:instrText xml:space="preserve"> PAGE  \* Arabic  \* MERGEFORMAT </w:instrText>
    </w:r>
    <w:r w:rsidRPr="00427BCE">
      <w:rPr>
        <w:sz w:val="16"/>
        <w:szCs w:val="16"/>
        <w:lang w:val="da-DK"/>
      </w:rPr>
      <w:fldChar w:fldCharType="separate"/>
    </w:r>
    <w:r w:rsidR="0069166B" w:rsidRPr="007A12F7">
      <w:rPr>
        <w:noProof/>
        <w:sz w:val="16"/>
        <w:szCs w:val="16"/>
        <w:lang w:val="en-IE"/>
      </w:rPr>
      <w:t>2</w:t>
    </w:r>
    <w:r w:rsidRPr="00427BCE">
      <w:rPr>
        <w:sz w:val="16"/>
        <w:szCs w:val="16"/>
        <w:lang w:val="da-DK"/>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6062D"/>
    <w:multiLevelType w:val="hybridMultilevel"/>
    <w:tmpl w:val="D33ADC22"/>
    <w:lvl w:ilvl="0" w:tplc="09AAFE48">
      <w:start w:val="23"/>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E060383"/>
    <w:multiLevelType w:val="multilevel"/>
    <w:tmpl w:val="EBB62B36"/>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2" w15:restartNumberingAfterBreak="0">
    <w:nsid w:val="212F4188"/>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D0D17E7"/>
    <w:multiLevelType w:val="multilevel"/>
    <w:tmpl w:val="14F2EE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2F4E0E54"/>
    <w:multiLevelType w:val="multilevel"/>
    <w:tmpl w:val="294220AC"/>
    <w:numStyleLink w:val="Letteredlist"/>
  </w:abstractNum>
  <w:abstractNum w:abstractNumId="5" w15:restartNumberingAfterBreak="0">
    <w:nsid w:val="2F9A72C9"/>
    <w:multiLevelType w:val="hybridMultilevel"/>
    <w:tmpl w:val="CF882B38"/>
    <w:lvl w:ilvl="0" w:tplc="78E8E71C">
      <w:start w:val="1"/>
      <w:numFmt w:val="lowerLetter"/>
      <w:lvlText w:val="%1)"/>
      <w:lvlJc w:val="left"/>
      <w:pPr>
        <w:ind w:left="786" w:hanging="360"/>
      </w:pPr>
      <w:rPr>
        <w:rFonts w:ascii="Arial" w:hAnsi="Arial" w:cs="Times New Roman" w:hint="default"/>
        <w:b w:val="0"/>
        <w:bCs w:val="0"/>
        <w:i w:val="0"/>
        <w:iCs w:val="0"/>
        <w:color w:val="D2232A"/>
        <w:sz w:val="20"/>
        <w:szCs w:val="20"/>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6" w15:restartNumberingAfterBreak="0">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cs="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cs="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cs="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7" w15:restartNumberingAfterBreak="0">
    <w:nsid w:val="35CC17F7"/>
    <w:multiLevelType w:val="multilevel"/>
    <w:tmpl w:val="0440665E"/>
    <w:lvl w:ilvl="0">
      <w:start w:val="1"/>
      <w:numFmt w:val="decimal"/>
      <w:lvlText w:val="%1."/>
      <w:lvlJc w:val="left"/>
      <w:pPr>
        <w:tabs>
          <w:tab w:val="num" w:pos="720"/>
        </w:tabs>
        <w:ind w:left="72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8" w15:restartNumberingAfterBreak="0">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361343C0"/>
    <w:multiLevelType w:val="multilevel"/>
    <w:tmpl w:val="294220AC"/>
    <w:styleLink w:val="Letteredlist"/>
    <w:lvl w:ilvl="0">
      <w:start w:val="1"/>
      <w:numFmt w:val="lowerLetter"/>
      <w:pStyle w:val="LetteredList0"/>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1" w15:restartNumberingAfterBreak="0">
    <w:nsid w:val="3D163F7A"/>
    <w:multiLevelType w:val="multilevel"/>
    <w:tmpl w:val="BDCA875C"/>
    <w:lvl w:ilvl="0">
      <w:start w:val="1"/>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color w:val="D2232A"/>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27E184A"/>
    <w:multiLevelType w:val="hybridMultilevel"/>
    <w:tmpl w:val="F51A9A3A"/>
    <w:lvl w:ilvl="0" w:tplc="0B1E7C38">
      <w:start w:val="1"/>
      <w:numFmt w:val="bullet"/>
      <w:pStyle w:val="ECCParBulleted"/>
      <w:lvlText w:val=""/>
      <w:lvlJc w:val="left"/>
      <w:pPr>
        <w:tabs>
          <w:tab w:val="num" w:pos="360"/>
        </w:tabs>
        <w:ind w:left="360" w:hanging="360"/>
      </w:pPr>
      <w:rPr>
        <w:rFonts w:ascii="Wingdings" w:hAnsi="Wingdings" w:hint="default"/>
        <w:color w:val="D2232A"/>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3D7275"/>
    <w:multiLevelType w:val="hybridMultilevel"/>
    <w:tmpl w:val="8FB0BDEC"/>
    <w:lvl w:ilvl="0" w:tplc="C928A84A">
      <w:start w:val="1"/>
      <w:numFmt w:val="decimal"/>
      <w:lvlText w:val="%1."/>
      <w:lvlJc w:val="left"/>
      <w:pPr>
        <w:tabs>
          <w:tab w:val="num" w:pos="360"/>
        </w:tabs>
        <w:ind w:left="360" w:hanging="360"/>
      </w:pPr>
      <w:rPr>
        <w:rFonts w:hint="default"/>
        <w:color w:val="C0000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E6242A"/>
    <w:multiLevelType w:val="hybridMultilevel"/>
    <w:tmpl w:val="2ECCD46A"/>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cs="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cs="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cs="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54A576F7"/>
    <w:multiLevelType w:val="hybridMultilevel"/>
    <w:tmpl w:val="E74273F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5D29287F"/>
    <w:multiLevelType w:val="hybridMultilevel"/>
    <w:tmpl w:val="73C00256"/>
    <w:lvl w:ilvl="0" w:tplc="2382B4D2">
      <w:start w:val="4"/>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61567838"/>
    <w:multiLevelType w:val="hybridMultilevel"/>
    <w:tmpl w:val="BC4E8EE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62552B0A"/>
    <w:multiLevelType w:val="hybridMultilevel"/>
    <w:tmpl w:val="8AA8ED3E"/>
    <w:lvl w:ilvl="0" w:tplc="8D2E8EC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63156673"/>
    <w:multiLevelType w:val="hybridMultilevel"/>
    <w:tmpl w:val="82E622EE"/>
    <w:lvl w:ilvl="0" w:tplc="16703D3C">
      <w:start w:val="1"/>
      <w:numFmt w:val="decimal"/>
      <w:lvlText w:val="%1."/>
      <w:lvlJc w:val="left"/>
      <w:pPr>
        <w:tabs>
          <w:tab w:val="num" w:pos="360"/>
        </w:tabs>
        <w:ind w:left="36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7767BF"/>
    <w:multiLevelType w:val="multilevel"/>
    <w:tmpl w:val="7060B39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3" w15:restartNumberingAfterBreak="0">
    <w:nsid w:val="7B3212E4"/>
    <w:multiLevelType w:val="multilevel"/>
    <w:tmpl w:val="FAD0ADAE"/>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8"/>
  </w:num>
  <w:num w:numId="2">
    <w:abstractNumId w:val="0"/>
  </w:num>
  <w:num w:numId="3">
    <w:abstractNumId w:val="22"/>
  </w:num>
  <w:num w:numId="4">
    <w:abstractNumId w:val="22"/>
  </w:num>
  <w:num w:numId="5">
    <w:abstractNumId w:val="22"/>
  </w:num>
  <w:num w:numId="6">
    <w:abstractNumId w:val="19"/>
  </w:num>
  <w:num w:numId="7">
    <w:abstractNumId w:val="22"/>
  </w:num>
  <w:num w:numId="8">
    <w:abstractNumId w:val="22"/>
  </w:num>
  <w:num w:numId="9">
    <w:abstractNumId w:val="6"/>
  </w:num>
  <w:num w:numId="10">
    <w:abstractNumId w:val="16"/>
  </w:num>
  <w:num w:numId="11">
    <w:abstractNumId w:val="8"/>
  </w:num>
  <w:num w:numId="12">
    <w:abstractNumId w:val="17"/>
  </w:num>
  <w:num w:numId="13">
    <w:abstractNumId w:val="7"/>
  </w:num>
  <w:num w:numId="14">
    <w:abstractNumId w:val="3"/>
  </w:num>
  <w:num w:numId="15">
    <w:abstractNumId w:val="11"/>
  </w:num>
  <w:num w:numId="16">
    <w:abstractNumId w:val="23"/>
  </w:num>
  <w:num w:numId="17">
    <w:abstractNumId w:val="15"/>
  </w:num>
  <w:num w:numId="18">
    <w:abstractNumId w:val="2"/>
  </w:num>
  <w:num w:numId="19">
    <w:abstractNumId w:val="4"/>
  </w:num>
  <w:num w:numId="20">
    <w:abstractNumId w:val="9"/>
  </w:num>
  <w:num w:numId="21">
    <w:abstractNumId w:val="12"/>
  </w:num>
  <w:num w:numId="22">
    <w:abstractNumId w:val="10"/>
  </w:num>
  <w:num w:numId="23">
    <w:abstractNumId w:val="1"/>
  </w:num>
  <w:num w:numId="24">
    <w:abstractNumId w:val="1"/>
  </w:num>
  <w:num w:numId="25">
    <w:abstractNumId w:val="10"/>
  </w:num>
  <w:num w:numId="26">
    <w:abstractNumId w:val="21"/>
  </w:num>
  <w:num w:numId="27">
    <w:abstractNumId w:val="13"/>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4"/>
  </w:num>
  <w:num w:numId="31">
    <w:abstractNumId w:val="14"/>
    <w:lvlOverride w:ilvl="0">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660"/>
    <w:rsid w:val="0000673A"/>
    <w:rsid w:val="00025689"/>
    <w:rsid w:val="00025A03"/>
    <w:rsid w:val="00030926"/>
    <w:rsid w:val="00043446"/>
    <w:rsid w:val="00050A19"/>
    <w:rsid w:val="000559A2"/>
    <w:rsid w:val="00066ACA"/>
    <w:rsid w:val="00070F8F"/>
    <w:rsid w:val="000711AA"/>
    <w:rsid w:val="00073B69"/>
    <w:rsid w:val="000903E9"/>
    <w:rsid w:val="000B1026"/>
    <w:rsid w:val="000C08A6"/>
    <w:rsid w:val="000F15C8"/>
    <w:rsid w:val="001032B0"/>
    <w:rsid w:val="00107557"/>
    <w:rsid w:val="0011137C"/>
    <w:rsid w:val="00121234"/>
    <w:rsid w:val="001303E3"/>
    <w:rsid w:val="00135E3B"/>
    <w:rsid w:val="00137F77"/>
    <w:rsid w:val="00142DEA"/>
    <w:rsid w:val="0015190B"/>
    <w:rsid w:val="0016662A"/>
    <w:rsid w:val="00167067"/>
    <w:rsid w:val="0017016E"/>
    <w:rsid w:val="00170A9D"/>
    <w:rsid w:val="00172EA5"/>
    <w:rsid w:val="00175AA4"/>
    <w:rsid w:val="00184823"/>
    <w:rsid w:val="001907E1"/>
    <w:rsid w:val="00193FCD"/>
    <w:rsid w:val="0019762C"/>
    <w:rsid w:val="00197C47"/>
    <w:rsid w:val="001B4536"/>
    <w:rsid w:val="001D099D"/>
    <w:rsid w:val="001D24D1"/>
    <w:rsid w:val="001D6762"/>
    <w:rsid w:val="001E2E19"/>
    <w:rsid w:val="001F4DE7"/>
    <w:rsid w:val="001F5318"/>
    <w:rsid w:val="00206AFB"/>
    <w:rsid w:val="00213C16"/>
    <w:rsid w:val="00242660"/>
    <w:rsid w:val="00246FB8"/>
    <w:rsid w:val="00260DF8"/>
    <w:rsid w:val="00265C4F"/>
    <w:rsid w:val="00276588"/>
    <w:rsid w:val="0027730F"/>
    <w:rsid w:val="002868E0"/>
    <w:rsid w:val="00287C12"/>
    <w:rsid w:val="00294A0B"/>
    <w:rsid w:val="00296129"/>
    <w:rsid w:val="002967F9"/>
    <w:rsid w:val="002A370D"/>
    <w:rsid w:val="002B32B0"/>
    <w:rsid w:val="002B7066"/>
    <w:rsid w:val="002C01A6"/>
    <w:rsid w:val="002C7146"/>
    <w:rsid w:val="002D53A9"/>
    <w:rsid w:val="002F0636"/>
    <w:rsid w:val="0030309A"/>
    <w:rsid w:val="00306904"/>
    <w:rsid w:val="0031797C"/>
    <w:rsid w:val="00343979"/>
    <w:rsid w:val="00347D7B"/>
    <w:rsid w:val="00353557"/>
    <w:rsid w:val="0036592A"/>
    <w:rsid w:val="003674CE"/>
    <w:rsid w:val="003A4C95"/>
    <w:rsid w:val="003B5865"/>
    <w:rsid w:val="003C4E74"/>
    <w:rsid w:val="003D1E7C"/>
    <w:rsid w:val="003E3DB4"/>
    <w:rsid w:val="003E68B9"/>
    <w:rsid w:val="00406339"/>
    <w:rsid w:val="00425070"/>
    <w:rsid w:val="00427BCE"/>
    <w:rsid w:val="00431E6A"/>
    <w:rsid w:val="004463B7"/>
    <w:rsid w:val="00456FBA"/>
    <w:rsid w:val="00480CDA"/>
    <w:rsid w:val="004822B7"/>
    <w:rsid w:val="00485BC5"/>
    <w:rsid w:val="0049502C"/>
    <w:rsid w:val="004952AC"/>
    <w:rsid w:val="004967AD"/>
    <w:rsid w:val="004B62DF"/>
    <w:rsid w:val="004D5102"/>
    <w:rsid w:val="004E1BF9"/>
    <w:rsid w:val="004E2509"/>
    <w:rsid w:val="004F62D5"/>
    <w:rsid w:val="00506DC1"/>
    <w:rsid w:val="005119F3"/>
    <w:rsid w:val="00516E48"/>
    <w:rsid w:val="0051761A"/>
    <w:rsid w:val="00536FEE"/>
    <w:rsid w:val="005460B3"/>
    <w:rsid w:val="00553467"/>
    <w:rsid w:val="005655EA"/>
    <w:rsid w:val="00565ED9"/>
    <w:rsid w:val="005672BD"/>
    <w:rsid w:val="00572FCD"/>
    <w:rsid w:val="00586BBA"/>
    <w:rsid w:val="00587B94"/>
    <w:rsid w:val="005935F7"/>
    <w:rsid w:val="005A45F0"/>
    <w:rsid w:val="005B462C"/>
    <w:rsid w:val="005B58BF"/>
    <w:rsid w:val="005B78E9"/>
    <w:rsid w:val="005C0716"/>
    <w:rsid w:val="005C5FDA"/>
    <w:rsid w:val="005D14B0"/>
    <w:rsid w:val="005D228C"/>
    <w:rsid w:val="005F3637"/>
    <w:rsid w:val="005F647C"/>
    <w:rsid w:val="00606099"/>
    <w:rsid w:val="006261E6"/>
    <w:rsid w:val="006266E5"/>
    <w:rsid w:val="00631D8D"/>
    <w:rsid w:val="00634AC5"/>
    <w:rsid w:val="00661866"/>
    <w:rsid w:val="00675400"/>
    <w:rsid w:val="0069066C"/>
    <w:rsid w:val="0069166B"/>
    <w:rsid w:val="00693669"/>
    <w:rsid w:val="00694D15"/>
    <w:rsid w:val="006A12BF"/>
    <w:rsid w:val="006B0C19"/>
    <w:rsid w:val="006B282C"/>
    <w:rsid w:val="006D3D04"/>
    <w:rsid w:val="006D5E2D"/>
    <w:rsid w:val="006D5EFB"/>
    <w:rsid w:val="006D7101"/>
    <w:rsid w:val="006E05D5"/>
    <w:rsid w:val="006F74FA"/>
    <w:rsid w:val="0070164B"/>
    <w:rsid w:val="007023E7"/>
    <w:rsid w:val="007256FD"/>
    <w:rsid w:val="00727FC5"/>
    <w:rsid w:val="007371D2"/>
    <w:rsid w:val="007522E7"/>
    <w:rsid w:val="00763C94"/>
    <w:rsid w:val="00767FD9"/>
    <w:rsid w:val="00781CB6"/>
    <w:rsid w:val="007833E7"/>
    <w:rsid w:val="007A12F7"/>
    <w:rsid w:val="007A60EE"/>
    <w:rsid w:val="007A799C"/>
    <w:rsid w:val="007B5197"/>
    <w:rsid w:val="007C1D08"/>
    <w:rsid w:val="007C1E3F"/>
    <w:rsid w:val="007E04FC"/>
    <w:rsid w:val="00800133"/>
    <w:rsid w:val="0080147F"/>
    <w:rsid w:val="008026A9"/>
    <w:rsid w:val="00823843"/>
    <w:rsid w:val="00827B09"/>
    <w:rsid w:val="00834415"/>
    <w:rsid w:val="00836D30"/>
    <w:rsid w:val="00860B53"/>
    <w:rsid w:val="00866AE1"/>
    <w:rsid w:val="00870610"/>
    <w:rsid w:val="008718C7"/>
    <w:rsid w:val="00880724"/>
    <w:rsid w:val="00887688"/>
    <w:rsid w:val="008933F8"/>
    <w:rsid w:val="008940A5"/>
    <w:rsid w:val="00897DCC"/>
    <w:rsid w:val="008A2F04"/>
    <w:rsid w:val="008A4A49"/>
    <w:rsid w:val="008C374E"/>
    <w:rsid w:val="008D0E93"/>
    <w:rsid w:val="008E3151"/>
    <w:rsid w:val="0090475F"/>
    <w:rsid w:val="00904C13"/>
    <w:rsid w:val="0091224B"/>
    <w:rsid w:val="00933B8A"/>
    <w:rsid w:val="0094460D"/>
    <w:rsid w:val="00947816"/>
    <w:rsid w:val="009517A5"/>
    <w:rsid w:val="00954A8C"/>
    <w:rsid w:val="0095684A"/>
    <w:rsid w:val="00960CE1"/>
    <w:rsid w:val="00960F15"/>
    <w:rsid w:val="009708B8"/>
    <w:rsid w:val="00972362"/>
    <w:rsid w:val="009723A7"/>
    <w:rsid w:val="0098080C"/>
    <w:rsid w:val="00981809"/>
    <w:rsid w:val="00984736"/>
    <w:rsid w:val="00984C59"/>
    <w:rsid w:val="0099144F"/>
    <w:rsid w:val="0099153D"/>
    <w:rsid w:val="009D2986"/>
    <w:rsid w:val="009E099F"/>
    <w:rsid w:val="009E74EF"/>
    <w:rsid w:val="009E781E"/>
    <w:rsid w:val="009E79D1"/>
    <w:rsid w:val="00A1328B"/>
    <w:rsid w:val="00A132EB"/>
    <w:rsid w:val="00A20C96"/>
    <w:rsid w:val="00A42D77"/>
    <w:rsid w:val="00A46B34"/>
    <w:rsid w:val="00A535FA"/>
    <w:rsid w:val="00A618DA"/>
    <w:rsid w:val="00A6610E"/>
    <w:rsid w:val="00A72831"/>
    <w:rsid w:val="00A742D6"/>
    <w:rsid w:val="00A93924"/>
    <w:rsid w:val="00A97F49"/>
    <w:rsid w:val="00AD7A11"/>
    <w:rsid w:val="00AE404A"/>
    <w:rsid w:val="00AF524D"/>
    <w:rsid w:val="00B016E1"/>
    <w:rsid w:val="00B03145"/>
    <w:rsid w:val="00B26C12"/>
    <w:rsid w:val="00B40EDC"/>
    <w:rsid w:val="00B51633"/>
    <w:rsid w:val="00B553AF"/>
    <w:rsid w:val="00B56AC7"/>
    <w:rsid w:val="00B60B4F"/>
    <w:rsid w:val="00B63D9C"/>
    <w:rsid w:val="00B67ADB"/>
    <w:rsid w:val="00B7396C"/>
    <w:rsid w:val="00B80BFF"/>
    <w:rsid w:val="00B844CD"/>
    <w:rsid w:val="00BB2F33"/>
    <w:rsid w:val="00BD579A"/>
    <w:rsid w:val="00BD5A61"/>
    <w:rsid w:val="00BF079D"/>
    <w:rsid w:val="00BF20CD"/>
    <w:rsid w:val="00BF693A"/>
    <w:rsid w:val="00C05BD8"/>
    <w:rsid w:val="00C07A70"/>
    <w:rsid w:val="00C1495E"/>
    <w:rsid w:val="00C16CF1"/>
    <w:rsid w:val="00C24719"/>
    <w:rsid w:val="00C45E5D"/>
    <w:rsid w:val="00C5327C"/>
    <w:rsid w:val="00C807A0"/>
    <w:rsid w:val="00C924AE"/>
    <w:rsid w:val="00C97CB1"/>
    <w:rsid w:val="00CA632E"/>
    <w:rsid w:val="00CD643B"/>
    <w:rsid w:val="00CD6F65"/>
    <w:rsid w:val="00CE276F"/>
    <w:rsid w:val="00D0262A"/>
    <w:rsid w:val="00D037C0"/>
    <w:rsid w:val="00D04F30"/>
    <w:rsid w:val="00D22085"/>
    <w:rsid w:val="00D2724C"/>
    <w:rsid w:val="00D55B0C"/>
    <w:rsid w:val="00D614C0"/>
    <w:rsid w:val="00D7756A"/>
    <w:rsid w:val="00DA1B89"/>
    <w:rsid w:val="00DB24A8"/>
    <w:rsid w:val="00DC177B"/>
    <w:rsid w:val="00DC2659"/>
    <w:rsid w:val="00DE42D6"/>
    <w:rsid w:val="00E0215D"/>
    <w:rsid w:val="00E050BC"/>
    <w:rsid w:val="00E15262"/>
    <w:rsid w:val="00E23490"/>
    <w:rsid w:val="00E26B48"/>
    <w:rsid w:val="00E2748D"/>
    <w:rsid w:val="00E31CFC"/>
    <w:rsid w:val="00E35A18"/>
    <w:rsid w:val="00E37A7C"/>
    <w:rsid w:val="00E41A46"/>
    <w:rsid w:val="00E50947"/>
    <w:rsid w:val="00E5385E"/>
    <w:rsid w:val="00E54D46"/>
    <w:rsid w:val="00E60552"/>
    <w:rsid w:val="00E64AFC"/>
    <w:rsid w:val="00E66D8F"/>
    <w:rsid w:val="00E8573D"/>
    <w:rsid w:val="00EA2D03"/>
    <w:rsid w:val="00EA4C53"/>
    <w:rsid w:val="00ED5698"/>
    <w:rsid w:val="00EE02EC"/>
    <w:rsid w:val="00F02636"/>
    <w:rsid w:val="00F02D91"/>
    <w:rsid w:val="00F03DC7"/>
    <w:rsid w:val="00F111A3"/>
    <w:rsid w:val="00F11D27"/>
    <w:rsid w:val="00F23D0D"/>
    <w:rsid w:val="00F53236"/>
    <w:rsid w:val="00F70AC0"/>
    <w:rsid w:val="00F84392"/>
    <w:rsid w:val="00F857B6"/>
    <w:rsid w:val="00F877D9"/>
    <w:rsid w:val="00F96958"/>
    <w:rsid w:val="00FA7A13"/>
    <w:rsid w:val="00FA7FA2"/>
    <w:rsid w:val="00FB5277"/>
    <w:rsid w:val="00FC4675"/>
    <w:rsid w:val="00FF7268"/>
    <w:rsid w:val="37EBA3E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F325312"/>
  <w15:docId w15:val="{F6D3ABBA-4751-462E-94C4-DD9775922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ascii="Arial" w:hAnsi="Arial"/>
      <w:sz w:val="22"/>
      <w:lang w:val="nb-NO" w:eastAsia="de-DE"/>
    </w:rPr>
  </w:style>
  <w:style w:type="paragraph" w:styleId="Heading1">
    <w:name w:val="heading 1"/>
    <w:aliases w:val="ECC Heading 1"/>
    <w:basedOn w:val="Normal"/>
    <w:next w:val="Normal"/>
    <w:qFormat/>
    <w:pPr>
      <w:tabs>
        <w:tab w:val="left" w:pos="851"/>
      </w:tabs>
      <w:spacing w:before="360"/>
      <w:jc w:val="left"/>
      <w:outlineLvl w:val="0"/>
    </w:pPr>
    <w:rPr>
      <w:rFonts w:cs="Arial"/>
      <w:b/>
      <w:sz w:val="28"/>
      <w:szCs w:val="28"/>
      <w:lang w:val="en-GB"/>
    </w:rPr>
  </w:style>
  <w:style w:type="paragraph" w:styleId="Heading2">
    <w:name w:val="heading 2"/>
    <w:aliases w:val="ECC Heading 2"/>
    <w:basedOn w:val="Heading1"/>
    <w:next w:val="Normal"/>
    <w:qFormat/>
    <w:pPr>
      <w:spacing w:before="120"/>
      <w:outlineLvl w:val="1"/>
    </w:pPr>
    <w:rPr>
      <w:sz w:val="24"/>
    </w:rPr>
  </w:style>
  <w:style w:type="paragraph" w:styleId="Heading3">
    <w:name w:val="heading 3"/>
    <w:aliases w:val="ECC Heading 3"/>
    <w:basedOn w:val="Heading2"/>
    <w:next w:val="Normal"/>
    <w:qFormat/>
    <w:pPr>
      <w:numPr>
        <w:ilvl w:val="2"/>
      </w:numPr>
      <w:ind w:left="851" w:hanging="851"/>
      <w:outlineLvl w:val="2"/>
    </w:pPr>
    <w:rPr>
      <w:i/>
      <w:sz w:val="22"/>
    </w:rPr>
  </w:style>
  <w:style w:type="paragraph" w:styleId="Heading4">
    <w:name w:val="heading 4"/>
    <w:aliases w:val="ECC Heading 4"/>
    <w:basedOn w:val="Normal"/>
    <w:next w:val="Normal"/>
    <w:qFormat/>
    <w:pPr>
      <w:numPr>
        <w:ilvl w:val="3"/>
        <w:numId w:val="3"/>
      </w:numPr>
      <w:outlineLvl w:val="3"/>
    </w:pPr>
    <w:rPr>
      <w:u w:val="single"/>
    </w:rPr>
  </w:style>
  <w:style w:type="paragraph" w:styleId="Heading5">
    <w:name w:val="heading 5"/>
    <w:basedOn w:val="Normal"/>
    <w:next w:val="Normal"/>
    <w:qFormat/>
    <w:pPr>
      <w:numPr>
        <w:ilvl w:val="4"/>
        <w:numId w:val="3"/>
      </w:numPr>
      <w:outlineLvl w:val="4"/>
    </w:pPr>
    <w:rPr>
      <w:b/>
      <w:sz w:val="20"/>
    </w:rPr>
  </w:style>
  <w:style w:type="paragraph" w:styleId="Heading6">
    <w:name w:val="heading 6"/>
    <w:basedOn w:val="Normal"/>
    <w:next w:val="Normal"/>
    <w:qFormat/>
    <w:pPr>
      <w:numPr>
        <w:ilvl w:val="5"/>
        <w:numId w:val="3"/>
      </w:numPr>
      <w:outlineLvl w:val="5"/>
    </w:pPr>
    <w:rPr>
      <w:sz w:val="20"/>
      <w:u w:val="single"/>
    </w:rPr>
  </w:style>
  <w:style w:type="paragraph" w:styleId="Heading7">
    <w:name w:val="heading 7"/>
    <w:basedOn w:val="Normal"/>
    <w:next w:val="Normal"/>
    <w:qFormat/>
    <w:pPr>
      <w:numPr>
        <w:ilvl w:val="6"/>
        <w:numId w:val="3"/>
      </w:numPr>
      <w:outlineLvl w:val="6"/>
    </w:pPr>
    <w:rPr>
      <w:i/>
      <w:sz w:val="20"/>
    </w:rPr>
  </w:style>
  <w:style w:type="paragraph" w:styleId="Heading8">
    <w:name w:val="heading 8"/>
    <w:basedOn w:val="Normal"/>
    <w:next w:val="Normal"/>
    <w:qFormat/>
    <w:pPr>
      <w:numPr>
        <w:ilvl w:val="7"/>
        <w:numId w:val="3"/>
      </w:numPr>
      <w:outlineLvl w:val="7"/>
    </w:pPr>
    <w:rPr>
      <w:i/>
      <w:sz w:val="20"/>
    </w:rPr>
  </w:style>
  <w:style w:type="paragraph" w:styleId="Heading9">
    <w:name w:val="heading 9"/>
    <w:basedOn w:val="Normal"/>
    <w:next w:val="Normal"/>
    <w:qFormat/>
    <w:pPr>
      <w:numPr>
        <w:ilvl w:val="8"/>
        <w:numId w:val="3"/>
      </w:numPr>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cabezado,he,header odd,header odd1,header odd2"/>
    <w:basedOn w:val="Normal"/>
    <w:link w:val="HeaderChar"/>
    <w:pPr>
      <w:tabs>
        <w:tab w:val="center" w:pos="4536"/>
        <w:tab w:val="right" w:pos="9072"/>
      </w:tabs>
      <w:spacing w:after="0"/>
      <w:jc w:val="left"/>
    </w:pPr>
    <w:rPr>
      <w:b/>
    </w:rPr>
  </w:style>
  <w:style w:type="paragraph" w:styleId="List">
    <w:name w:val="List"/>
    <w:basedOn w:val="Normal"/>
    <w:pPr>
      <w:tabs>
        <w:tab w:val="left" w:pos="1418"/>
      </w:tabs>
      <w:ind w:left="1418" w:hanging="567"/>
    </w:pPr>
  </w:style>
  <w:style w:type="paragraph" w:customStyle="1" w:styleId="Header2">
    <w:name w:val="Header2"/>
    <w:basedOn w:val="Heade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TableofFigures">
    <w:name w:val="table of figures"/>
    <w:basedOn w:val="Normal"/>
    <w:next w:val="Normal"/>
    <w:semiHidden/>
    <w:pPr>
      <w:ind w:left="400" w:hanging="400"/>
    </w:pPr>
    <w:rPr>
      <w:sz w:val="20"/>
      <w:lang w:val="de-DE"/>
    </w:rPr>
  </w:style>
  <w:style w:type="paragraph" w:styleId="Title">
    <w:name w:val="Title"/>
    <w:basedOn w:val="Normal"/>
    <w:qFormat/>
    <w:pPr>
      <w:jc w:val="center"/>
    </w:pPr>
    <w:rPr>
      <w:b/>
      <w:sz w:val="28"/>
      <w:lang w:val="de-DE"/>
    </w:rPr>
  </w:style>
  <w:style w:type="paragraph" w:customStyle="1" w:styleId="Kasten">
    <w:name w:val="Kasten"/>
    <w:basedOn w:val="Normal"/>
    <w:pPr>
      <w:pBdr>
        <w:top w:val="single" w:sz="12" w:space="1" w:color="auto"/>
        <w:left w:val="single" w:sz="12" w:space="4" w:color="auto"/>
        <w:bottom w:val="single" w:sz="12" w:space="1" w:color="auto"/>
        <w:right w:val="single" w:sz="12" w:space="4" w:color="auto"/>
      </w:pBdr>
    </w:pPr>
  </w:style>
  <w:style w:type="character" w:styleId="Hyperlink">
    <w:name w:val="Hyperlink"/>
    <w:uiPriority w:val="99"/>
    <w:rPr>
      <w:color w:val="0000FF"/>
      <w:u w:val="single"/>
    </w:rPr>
  </w:style>
  <w:style w:type="paragraph" w:customStyle="1" w:styleId="Note">
    <w:name w:val="Note"/>
    <w:basedOn w:val="Normal"/>
    <w:next w:val="Normal"/>
    <w:pPr>
      <w:tabs>
        <w:tab w:val="left" w:pos="851"/>
      </w:tabs>
      <w:ind w:left="851" w:hanging="851"/>
    </w:pPr>
    <w:rPr>
      <w:b/>
      <w:lang w:val="en-GB"/>
    </w:rPr>
  </w:style>
  <w:style w:type="paragraph" w:customStyle="1" w:styleId="Header1">
    <w:name w:val="Header1"/>
    <w:basedOn w:val="Header"/>
    <w:link w:val="HeaderZchnZchn"/>
    <w:pPr>
      <w:spacing w:before="60"/>
    </w:pPr>
    <w:rPr>
      <w:lang w:eastAsia="x-none"/>
    </w:rPr>
  </w:style>
  <w:style w:type="character" w:customStyle="1" w:styleId="HeaderZchnZchn">
    <w:name w:val="Header Zchn Zchn"/>
    <w:link w:val="Header1"/>
    <w:rPr>
      <w:rFonts w:ascii="Arial" w:hAnsi="Arial"/>
      <w:b/>
      <w:sz w:val="22"/>
      <w:lang w:val="nb-NO"/>
    </w:rPr>
  </w:style>
  <w:style w:type="paragraph" w:customStyle="1" w:styleId="ECCParagraph">
    <w:name w:val="ECC Paragraph"/>
    <w:basedOn w:val="Normal"/>
    <w:link w:val="ECCParagraphChar"/>
    <w:pPr>
      <w:spacing w:after="240"/>
    </w:pPr>
    <w:rPr>
      <w:sz w:val="20"/>
      <w:szCs w:val="24"/>
      <w:lang w:val="en-GB" w:eastAsia="en-US"/>
    </w:rPr>
  </w:style>
  <w:style w:type="paragraph" w:customStyle="1" w:styleId="ECCParBulleted">
    <w:name w:val="ECC Par Bulleted"/>
    <w:basedOn w:val="ECCParagraph"/>
    <w:pPr>
      <w:numPr>
        <w:numId w:val="21"/>
      </w:numPr>
      <w:spacing w:after="120"/>
    </w:pPr>
  </w:style>
  <w:style w:type="paragraph" w:customStyle="1" w:styleId="ECCAnnex-heading1">
    <w:name w:val="ECC Annex - heading1"/>
    <w:basedOn w:val="Heading1"/>
    <w:next w:val="ECCParagraph"/>
    <w:pPr>
      <w:keepNext/>
      <w:pageBreakBefore/>
      <w:tabs>
        <w:tab w:val="clear" w:pos="851"/>
      </w:tabs>
      <w:spacing w:before="400" w:after="240"/>
    </w:pPr>
    <w:rPr>
      <w:b w:val="0"/>
      <w:bCs/>
      <w:caps/>
      <w:color w:val="D2232A"/>
      <w:kern w:val="32"/>
      <w:sz w:val="20"/>
      <w:szCs w:val="32"/>
      <w:lang w:eastAsia="en-US"/>
    </w:rPr>
  </w:style>
  <w:style w:type="paragraph" w:customStyle="1" w:styleId="ECCFiguretitle">
    <w:name w:val="ECC Figure title"/>
    <w:basedOn w:val="ECCParagraph"/>
    <w:next w:val="ECCParagraph"/>
    <w:pPr>
      <w:numPr>
        <w:numId w:val="17"/>
      </w:numPr>
      <w:spacing w:before="240" w:after="480"/>
      <w:jc w:val="center"/>
    </w:pPr>
    <w:rPr>
      <w:b/>
      <w:color w:val="D2232A"/>
    </w:rPr>
  </w:style>
  <w:style w:type="paragraph" w:customStyle="1" w:styleId="ECCTabletitle">
    <w:name w:val="ECC Table title"/>
    <w:basedOn w:val="ECCFiguretitle"/>
    <w:next w:val="ECCParagraph"/>
    <w:autoRedefine/>
    <w:pPr>
      <w:numPr>
        <w:numId w:val="16"/>
      </w:numPr>
      <w:spacing w:before="360" w:after="240"/>
      <w:ind w:left="0" w:firstLine="0"/>
    </w:pPr>
  </w:style>
  <w:style w:type="paragraph" w:customStyle="1" w:styleId="ECCFootnote">
    <w:name w:val="ECC Footnote"/>
    <w:basedOn w:val="Normal"/>
    <w:autoRedefine/>
    <w:rsid w:val="0080147F"/>
    <w:pPr>
      <w:tabs>
        <w:tab w:val="left" w:pos="142"/>
      </w:tabs>
      <w:spacing w:after="0"/>
      <w:ind w:left="142" w:hanging="142"/>
      <w:jc w:val="left"/>
    </w:pPr>
    <w:rPr>
      <w:sz w:val="16"/>
      <w:szCs w:val="24"/>
      <w:lang w:val="en-US" w:eastAsia="en-US"/>
    </w:rPr>
  </w:style>
  <w:style w:type="paragraph" w:customStyle="1" w:styleId="ECCAnnexheading2">
    <w:name w:val="ECC Annex heading2"/>
    <w:basedOn w:val="Normal"/>
    <w:next w:val="ECCParagraph"/>
    <w:pPr>
      <w:overflowPunct w:val="0"/>
      <w:autoSpaceDE w:val="0"/>
      <w:autoSpaceDN w:val="0"/>
      <w:adjustRightInd w:val="0"/>
      <w:spacing w:before="480" w:after="240"/>
      <w:jc w:val="left"/>
      <w:textAlignment w:val="baseline"/>
    </w:pPr>
    <w:rPr>
      <w:b/>
      <w:caps/>
      <w:sz w:val="20"/>
      <w:szCs w:val="24"/>
      <w:lang w:val="en-US" w:eastAsia="en-US"/>
    </w:rPr>
  </w:style>
  <w:style w:type="paragraph" w:customStyle="1" w:styleId="ECCAnnexheading3">
    <w:name w:val="ECC Annex heading3"/>
    <w:basedOn w:val="Normal"/>
    <w:next w:val="ECCParagraph"/>
    <w:pPr>
      <w:overflowPunct w:val="0"/>
      <w:autoSpaceDE w:val="0"/>
      <w:autoSpaceDN w:val="0"/>
      <w:adjustRightInd w:val="0"/>
      <w:spacing w:before="360"/>
      <w:jc w:val="left"/>
      <w:textAlignment w:val="baseline"/>
    </w:pPr>
    <w:rPr>
      <w:b/>
      <w:sz w:val="20"/>
      <w:szCs w:val="24"/>
      <w:lang w:val="en-US" w:eastAsia="en-US"/>
    </w:rPr>
  </w:style>
  <w:style w:type="paragraph" w:customStyle="1" w:styleId="ECCAnnexheading4">
    <w:name w:val="ECC Annex heading4"/>
    <w:basedOn w:val="Normal"/>
    <w:next w:val="ECCParagraph"/>
    <w:pPr>
      <w:overflowPunct w:val="0"/>
      <w:autoSpaceDE w:val="0"/>
      <w:autoSpaceDN w:val="0"/>
      <w:adjustRightInd w:val="0"/>
      <w:spacing w:before="360"/>
      <w:jc w:val="left"/>
      <w:textAlignment w:val="baseline"/>
    </w:pPr>
    <w:rPr>
      <w:i/>
      <w:color w:val="D2232A"/>
      <w:sz w:val="20"/>
      <w:szCs w:val="24"/>
      <w:lang w:val="en-US" w:eastAsia="en-US"/>
    </w:rPr>
  </w:style>
  <w:style w:type="paragraph" w:customStyle="1" w:styleId="Reporttitledescription">
    <w:name w:val="Report title/description"/>
    <w:basedOn w:val="Normal"/>
    <w:pPr>
      <w:spacing w:before="600" w:after="0" w:line="288" w:lineRule="auto"/>
      <w:ind w:left="3402"/>
      <w:jc w:val="left"/>
    </w:pPr>
    <w:rPr>
      <w:color w:val="57433E"/>
      <w:sz w:val="24"/>
      <w:szCs w:val="24"/>
      <w:lang w:val="en-US" w:eastAsia="en-US"/>
    </w:rPr>
  </w:style>
  <w:style w:type="paragraph" w:customStyle="1" w:styleId="Lastupdated">
    <w:name w:val="Last updated"/>
    <w:basedOn w:val="Normal"/>
    <w:pPr>
      <w:spacing w:before="120"/>
      <w:ind w:left="3402"/>
      <w:jc w:val="left"/>
    </w:pPr>
    <w:rPr>
      <w:bCs/>
      <w:sz w:val="18"/>
      <w:szCs w:val="24"/>
      <w:lang w:val="en-US" w:eastAsia="en-US"/>
    </w:rPr>
  </w:style>
  <w:style w:type="numbering" w:customStyle="1" w:styleId="Letteredlist">
    <w:name w:val="Lettered list"/>
    <w:pPr>
      <w:numPr>
        <w:numId w:val="20"/>
      </w:numPr>
    </w:pPr>
  </w:style>
  <w:style w:type="paragraph" w:customStyle="1" w:styleId="LetteredList0">
    <w:name w:val="Lettered List"/>
    <w:basedOn w:val="Normal"/>
    <w:pPr>
      <w:numPr>
        <w:numId w:val="19"/>
      </w:numPr>
      <w:spacing w:after="240"/>
    </w:pPr>
    <w:rPr>
      <w:rFonts w:cs="Arial"/>
      <w:sz w:val="20"/>
      <w:szCs w:val="24"/>
      <w:lang w:val="en-GB" w:eastAsia="en-US"/>
    </w:rPr>
  </w:style>
  <w:style w:type="paragraph" w:customStyle="1" w:styleId="NumberedList">
    <w:name w:val="Numbered List"/>
    <w:basedOn w:val="ECCParagraph"/>
    <w:pPr>
      <w:numPr>
        <w:numId w:val="22"/>
      </w:numPr>
    </w:p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pPr>
      <w:spacing w:after="0"/>
      <w:jc w:val="left"/>
    </w:pPr>
    <w:rPr>
      <w:sz w:val="20"/>
      <w:lang w:val="en-US" w:eastAsia="en-US"/>
    </w:rPr>
  </w:style>
  <w:style w:type="character" w:customStyle="1" w:styleId="CommentTextChar">
    <w:name w:val="Comment Text Char"/>
    <w:link w:val="CommentText"/>
    <w:uiPriority w:val="99"/>
    <w:rPr>
      <w:rFonts w:ascii="Arial" w:hAnsi="Arial"/>
      <w:lang w:val="en-US" w:eastAsia="en-US"/>
    </w:rPr>
  </w:style>
  <w:style w:type="paragraph" w:styleId="CommentSubject">
    <w:name w:val="annotation subject"/>
    <w:basedOn w:val="CommentText"/>
    <w:next w:val="CommentText"/>
    <w:link w:val="CommentSubjectChar"/>
    <w:pPr>
      <w:spacing w:after="120"/>
      <w:jc w:val="both"/>
    </w:pPr>
    <w:rPr>
      <w:b/>
      <w:bCs/>
      <w:lang w:val="nb-NO" w:eastAsia="de-DE"/>
    </w:rPr>
  </w:style>
  <w:style w:type="character" w:customStyle="1" w:styleId="CommentSubjectChar">
    <w:name w:val="Comment Subject Char"/>
    <w:link w:val="CommentSubject"/>
    <w:rPr>
      <w:rFonts w:ascii="Arial" w:hAnsi="Arial"/>
      <w:b/>
      <w:bCs/>
      <w:lang w:val="nb-NO" w:eastAsia="de-DE"/>
    </w:rPr>
  </w:style>
  <w:style w:type="paragraph" w:styleId="Revision">
    <w:name w:val="Revision"/>
    <w:hidden/>
    <w:uiPriority w:val="99"/>
    <w:semiHidden/>
    <w:rPr>
      <w:rFonts w:ascii="Arial" w:hAnsi="Arial"/>
      <w:sz w:val="22"/>
      <w:lang w:val="nb-NO" w:eastAsia="de-DE"/>
    </w:rPr>
  </w:style>
  <w:style w:type="paragraph" w:styleId="BalloonText">
    <w:name w:val="Balloon Text"/>
    <w:basedOn w:val="Normal"/>
    <w:link w:val="BalloonTextChar"/>
    <w:pPr>
      <w:spacing w:after="0"/>
    </w:pPr>
    <w:rPr>
      <w:rFonts w:ascii="Tahoma" w:hAnsi="Tahoma"/>
      <w:sz w:val="16"/>
      <w:szCs w:val="16"/>
    </w:rPr>
  </w:style>
  <w:style w:type="character" w:customStyle="1" w:styleId="BalloonTextChar">
    <w:name w:val="Balloon Text Char"/>
    <w:link w:val="BalloonText"/>
    <w:rPr>
      <w:rFonts w:ascii="Tahoma" w:hAnsi="Tahoma" w:cs="Tahoma"/>
      <w:sz w:val="16"/>
      <w:szCs w:val="16"/>
      <w:lang w:val="nb-NO" w:eastAsia="de-DE"/>
    </w:rPr>
  </w:style>
  <w:style w:type="paragraph" w:styleId="Footer">
    <w:name w:val="footer"/>
    <w:basedOn w:val="Normal"/>
    <w:link w:val="FooterChar"/>
    <w:pPr>
      <w:tabs>
        <w:tab w:val="center" w:pos="4536"/>
        <w:tab w:val="right" w:pos="9072"/>
      </w:tabs>
      <w:spacing w:after="0"/>
    </w:pPr>
  </w:style>
  <w:style w:type="character" w:customStyle="1" w:styleId="FooterChar">
    <w:name w:val="Footer Char"/>
    <w:link w:val="Footer"/>
    <w:rPr>
      <w:rFonts w:ascii="Arial" w:hAnsi="Arial"/>
      <w:sz w:val="22"/>
      <w:lang w:val="nb-NO" w:eastAsia="de-DE"/>
    </w:rPr>
  </w:style>
  <w:style w:type="paragraph" w:customStyle="1" w:styleId="Default">
    <w:name w:val="Default"/>
    <w:pPr>
      <w:autoSpaceDE w:val="0"/>
      <w:autoSpaceDN w:val="0"/>
      <w:adjustRightInd w:val="0"/>
    </w:pPr>
    <w:rPr>
      <w:rFonts w:ascii="EUAlbertina" w:hAnsi="EUAlbertina" w:cs="EUAlbertina"/>
      <w:color w:val="000000"/>
      <w:sz w:val="24"/>
      <w:szCs w:val="24"/>
      <w:lang w:val="pt-PT" w:eastAsia="pt-PT"/>
    </w:rPr>
  </w:style>
  <w:style w:type="character" w:customStyle="1" w:styleId="HeaderChar">
    <w:name w:val="Header Char"/>
    <w:aliases w:val="encabezado Char,he Char,header odd Char,header odd1 Char,header odd2 Char"/>
    <w:link w:val="Header"/>
    <w:rsid w:val="005D14B0"/>
    <w:rPr>
      <w:rFonts w:ascii="Arial" w:hAnsi="Arial"/>
      <w:b/>
      <w:sz w:val="22"/>
      <w:lang w:val="nb-NO" w:eastAsia="de-DE"/>
    </w:rPr>
  </w:style>
  <w:style w:type="paragraph" w:customStyle="1" w:styleId="8660412C4D884999B44DBF3481676D47">
    <w:name w:val="8660412C4D884999B44DBF3481676D47"/>
    <w:rsid w:val="005D14B0"/>
    <w:pPr>
      <w:spacing w:after="200" w:line="276" w:lineRule="auto"/>
    </w:pPr>
    <w:rPr>
      <w:rFonts w:ascii="Calibri" w:hAnsi="Calibri"/>
      <w:sz w:val="22"/>
      <w:szCs w:val="22"/>
      <w:lang w:val="en-US" w:eastAsia="en-US"/>
    </w:rPr>
  </w:style>
  <w:style w:type="character" w:styleId="Strong">
    <w:name w:val="Strong"/>
    <w:basedOn w:val="DefaultParagraphFont"/>
    <w:uiPriority w:val="22"/>
    <w:qFormat/>
    <w:rsid w:val="00CE276F"/>
    <w:rPr>
      <w:b/>
      <w:bCs/>
    </w:rPr>
  </w:style>
  <w:style w:type="character" w:customStyle="1" w:styleId="ECCParagraphChar">
    <w:name w:val="ECC Paragraph Char"/>
    <w:link w:val="ECCParagraph"/>
    <w:uiPriority w:val="99"/>
    <w:locked/>
    <w:rsid w:val="007A60EE"/>
    <w:rPr>
      <w:rFonts w:ascii="Arial" w:hAnsi="Arial"/>
      <w:szCs w:val="24"/>
      <w:lang w:val="en-GB" w:eastAsia="en-US"/>
    </w:rPr>
  </w:style>
  <w:style w:type="paragraph" w:customStyle="1" w:styleId="ECCReference">
    <w:name w:val="ECC Reference"/>
    <w:basedOn w:val="Normal"/>
    <w:qFormat/>
    <w:rsid w:val="00572FCD"/>
    <w:pPr>
      <w:numPr>
        <w:numId w:val="30"/>
      </w:numPr>
    </w:pPr>
    <w:rPr>
      <w:rFonts w:eastAsia="Calibri"/>
      <w:sz w:val="20"/>
      <w:szCs w:val="22"/>
      <w:lang w:val="en-GB" w:eastAsia="ja-JP"/>
    </w:rPr>
  </w:style>
  <w:style w:type="character" w:styleId="UnresolvedMention">
    <w:name w:val="Unresolved Mention"/>
    <w:basedOn w:val="DefaultParagraphFont"/>
    <w:uiPriority w:val="99"/>
    <w:unhideWhenUsed/>
    <w:rsid w:val="00406339"/>
    <w:rPr>
      <w:color w:val="605E5C"/>
      <w:shd w:val="clear" w:color="auto" w:fill="E1DFDD"/>
    </w:rPr>
  </w:style>
  <w:style w:type="character" w:styleId="Mention">
    <w:name w:val="Mention"/>
    <w:basedOn w:val="DefaultParagraphFont"/>
    <w:uiPriority w:val="99"/>
    <w:unhideWhenUsed/>
    <w:rsid w:val="004E1BF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419462">
      <w:bodyDiv w:val="1"/>
      <w:marLeft w:val="0"/>
      <w:marRight w:val="0"/>
      <w:marTop w:val="0"/>
      <w:marBottom w:val="0"/>
      <w:divBdr>
        <w:top w:val="none" w:sz="0" w:space="0" w:color="auto"/>
        <w:left w:val="none" w:sz="0" w:space="0" w:color="auto"/>
        <w:bottom w:val="none" w:sz="0" w:space="0" w:color="auto"/>
        <w:right w:val="none" w:sz="0" w:space="0" w:color="auto"/>
      </w:divBdr>
      <w:divsChild>
        <w:div w:id="1311056338">
          <w:marLeft w:val="0"/>
          <w:marRight w:val="0"/>
          <w:marTop w:val="0"/>
          <w:marBottom w:val="0"/>
          <w:divBdr>
            <w:top w:val="none" w:sz="0" w:space="0" w:color="auto"/>
            <w:left w:val="none" w:sz="0" w:space="0" w:color="auto"/>
            <w:bottom w:val="none" w:sz="0" w:space="0" w:color="auto"/>
            <w:right w:val="none" w:sz="0" w:space="0" w:color="auto"/>
          </w:divBdr>
        </w:div>
        <w:div w:id="49504278">
          <w:marLeft w:val="0"/>
          <w:marRight w:val="0"/>
          <w:marTop w:val="0"/>
          <w:marBottom w:val="0"/>
          <w:divBdr>
            <w:top w:val="none" w:sz="0" w:space="0" w:color="auto"/>
            <w:left w:val="none" w:sz="0" w:space="0" w:color="auto"/>
            <w:bottom w:val="none" w:sz="0" w:space="0" w:color="auto"/>
            <w:right w:val="none" w:sz="0" w:space="0" w:color="auto"/>
          </w:divBdr>
        </w:div>
        <w:div w:id="1659069988">
          <w:marLeft w:val="0"/>
          <w:marRight w:val="0"/>
          <w:marTop w:val="0"/>
          <w:marBottom w:val="0"/>
          <w:divBdr>
            <w:top w:val="none" w:sz="0" w:space="0" w:color="auto"/>
            <w:left w:val="none" w:sz="0" w:space="0" w:color="auto"/>
            <w:bottom w:val="none" w:sz="0" w:space="0" w:color="auto"/>
            <w:right w:val="none" w:sz="0" w:space="0" w:color="auto"/>
          </w:divBdr>
        </w:div>
        <w:div w:id="510798081">
          <w:marLeft w:val="0"/>
          <w:marRight w:val="0"/>
          <w:marTop w:val="0"/>
          <w:marBottom w:val="0"/>
          <w:divBdr>
            <w:top w:val="none" w:sz="0" w:space="0" w:color="auto"/>
            <w:left w:val="none" w:sz="0" w:space="0" w:color="auto"/>
            <w:bottom w:val="none" w:sz="0" w:space="0" w:color="auto"/>
            <w:right w:val="none" w:sz="0" w:space="0" w:color="auto"/>
          </w:divBdr>
        </w:div>
      </w:divsChild>
    </w:div>
    <w:div w:id="1694306717">
      <w:bodyDiv w:val="1"/>
      <w:marLeft w:val="0"/>
      <w:marRight w:val="0"/>
      <w:marTop w:val="0"/>
      <w:marBottom w:val="0"/>
      <w:divBdr>
        <w:top w:val="none" w:sz="0" w:space="0" w:color="auto"/>
        <w:left w:val="none" w:sz="0" w:space="0" w:color="auto"/>
        <w:bottom w:val="none" w:sz="0" w:space="0" w:color="auto"/>
        <w:right w:val="none" w:sz="0" w:space="0" w:color="auto"/>
      </w:divBdr>
    </w:div>
    <w:div w:id="196851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db.cept.org/document/403"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cdb.cept.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96D76-7639-4E7A-8C46-84C90F7DFB40}">
  <ds:schemaRefs>
    <ds:schemaRef ds:uri="http://schemas.openxmlformats.org/officeDocument/2006/bibliography"/>
  </ds:schemaRefs>
</ds:datastoreItem>
</file>

<file path=customXml/itemProps2.xml><?xml version="1.0" encoding="utf-8"?>
<ds:datastoreItem xmlns:ds="http://schemas.openxmlformats.org/officeDocument/2006/customXml" ds:itemID="{AC9F6270-8EB6-46DC-A437-F65841C23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1518</Words>
  <Characters>8658</Characters>
  <Application>Microsoft Office Word</Application>
  <DocSecurity>0</DocSecurity>
  <Lines>72</Lines>
  <Paragraphs>20</Paragraphs>
  <ScaleCrop>false</ScaleCrop>
  <Company/>
  <LinksUpToDate>false</LinksUpToDate>
  <CharactersWithSpaces>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ECO</dc:creator>
  <cp:keywords/>
  <cp:lastModifiedBy>ECO</cp:lastModifiedBy>
  <cp:revision>5</cp:revision>
  <dcterms:created xsi:type="dcterms:W3CDTF">2022-03-14T11:50:00Z</dcterms:created>
  <dcterms:modified xsi:type="dcterms:W3CDTF">2022-03-14T11:52:00Z</dcterms:modified>
</cp:coreProperties>
</file>