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96371F" w14:textId="77777777" w:rsidR="006312FB" w:rsidRPr="00D76698" w:rsidRDefault="006312FB">
      <w:pPr>
        <w:rPr>
          <w:lang w:val="en-GB"/>
        </w:rPr>
      </w:pPr>
    </w:p>
    <w:p w14:paraId="58CD9FF0" w14:textId="77777777" w:rsidR="006312FB" w:rsidRPr="00D76698" w:rsidRDefault="006312FB">
      <w:pPr>
        <w:jc w:val="center"/>
        <w:rPr>
          <w:lang w:val="en-GB"/>
        </w:rPr>
      </w:pPr>
    </w:p>
    <w:p w14:paraId="637DA7CE" w14:textId="77777777" w:rsidR="006312FB" w:rsidRPr="00D76698" w:rsidRDefault="006312FB">
      <w:pPr>
        <w:jc w:val="center"/>
        <w:rPr>
          <w:lang w:val="en-GB"/>
        </w:rPr>
      </w:pPr>
    </w:p>
    <w:p w14:paraId="669B8012" w14:textId="77777777" w:rsidR="006312FB" w:rsidRPr="00D76698" w:rsidRDefault="006312FB">
      <w:pPr>
        <w:rPr>
          <w:lang w:val="en-GB"/>
        </w:rPr>
      </w:pPr>
    </w:p>
    <w:p w14:paraId="768D2481" w14:textId="77777777" w:rsidR="006312FB" w:rsidRPr="00D76698" w:rsidRDefault="006312FB">
      <w:pPr>
        <w:rPr>
          <w:lang w:val="en-GB"/>
        </w:rPr>
      </w:pPr>
    </w:p>
    <w:p w14:paraId="1FBE4D45" w14:textId="77777777" w:rsidR="006312FB" w:rsidRPr="00D76698" w:rsidRDefault="00E35AF2">
      <w:pPr>
        <w:jc w:val="center"/>
        <w:rPr>
          <w:b/>
          <w:sz w:val="24"/>
          <w:lang w:val="en-GB"/>
        </w:rPr>
      </w:pPr>
      <w:r w:rsidRPr="00D76698">
        <w:rPr>
          <w:b/>
          <w:noProof/>
          <w:sz w:val="24"/>
          <w:szCs w:val="20"/>
          <w:lang w:val="fr-FR" w:eastAsia="fr-FR"/>
        </w:rPr>
        <mc:AlternateContent>
          <mc:Choice Requires="wpg">
            <w:drawing>
              <wp:anchor distT="0" distB="0" distL="114300" distR="114300" simplePos="0" relativeHeight="251657728" behindDoc="0" locked="0" layoutInCell="1" allowOverlap="1" wp14:anchorId="7AE67F25" wp14:editId="77A89B4F">
                <wp:simplePos x="0" y="0"/>
                <wp:positionH relativeFrom="column">
                  <wp:posOffset>-720090</wp:posOffset>
                </wp:positionH>
                <wp:positionV relativeFrom="paragraph">
                  <wp:posOffset>69850</wp:posOffset>
                </wp:positionV>
                <wp:extent cx="7564120" cy="8268970"/>
                <wp:effectExtent l="0" t="0" r="0" b="0"/>
                <wp:wrapNone/>
                <wp:docPr id="2"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4120" cy="8268970"/>
                          <a:chOff x="0" y="2700"/>
                          <a:chExt cx="11912" cy="13022"/>
                        </a:xfrm>
                      </wpg:grpSpPr>
                      <wps:wsp>
                        <wps:cNvPr id="5" name="Rectangle 8"/>
                        <wps:cNvSpPr>
                          <a:spLocks noChangeArrowheads="1"/>
                        </wps:cNvSpPr>
                        <wps:spPr bwMode="auto">
                          <a:xfrm>
                            <a:off x="6" y="15439"/>
                            <a:ext cx="11906" cy="283"/>
                          </a:xfrm>
                          <a:prstGeom prst="rect">
                            <a:avLst/>
                          </a:prstGeom>
                          <a:solidFill>
                            <a:srgbClr val="D2232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540000" rIns="72000" bIns="45720" anchor="t" anchorCtr="0" upright="1">
                          <a:noAutofit/>
                        </wps:bodyPr>
                      </wps:wsp>
                      <wps:wsp>
                        <wps:cNvPr id="6" name="Text Box 9"/>
                        <wps:cNvSpPr txBox="1">
                          <a:spLocks noChangeArrowheads="1"/>
                        </wps:cNvSpPr>
                        <wps:spPr bwMode="auto">
                          <a:xfrm>
                            <a:off x="0" y="2700"/>
                            <a:ext cx="11906" cy="2564"/>
                          </a:xfrm>
                          <a:prstGeom prst="rect">
                            <a:avLst/>
                          </a:prstGeom>
                          <a:solidFill>
                            <a:srgbClr val="D2232A"/>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05996B9" w14:textId="77777777" w:rsidR="006312FB" w:rsidRDefault="00886ADE">
                              <w:pPr>
                                <w:rPr>
                                  <w:color w:val="57433E"/>
                                  <w:sz w:val="68"/>
                                </w:rPr>
                              </w:pPr>
                              <w:r>
                                <w:rPr>
                                  <w:color w:val="FFFFFF"/>
                                  <w:sz w:val="68"/>
                                </w:rPr>
                                <w:t xml:space="preserve">ERC Decision </w:t>
                              </w:r>
                              <w:r>
                                <w:rPr>
                                  <w:color w:val="887E6E"/>
                                  <w:sz w:val="68"/>
                                </w:rPr>
                                <w:t>(98)22</w:t>
                              </w:r>
                            </w:p>
                          </w:txbxContent>
                        </wps:txbx>
                        <wps:bodyPr rot="0" vert="horz" wrap="square" lIns="2880000" tIns="540000" rIns="72000" bIns="45720" anchor="t" anchorCtr="0" upright="1">
                          <a:noAutofit/>
                        </wps:bodyPr>
                      </wps:wsp>
                      <wpg:grpSp>
                        <wpg:cNvPr id="7" name="Group 26"/>
                        <wpg:cNvGrpSpPr>
                          <a:grpSpLocks/>
                        </wpg:cNvGrpSpPr>
                        <wpg:grpSpPr bwMode="auto">
                          <a:xfrm>
                            <a:off x="1739" y="3125"/>
                            <a:ext cx="1735" cy="1735"/>
                            <a:chOff x="954" y="3125"/>
                            <a:chExt cx="1735" cy="1735"/>
                          </a:xfrm>
                        </wpg:grpSpPr>
                        <wps:wsp>
                          <wps:cNvPr id="8" name="Rectangle 24"/>
                          <wps:cNvSpPr>
                            <a:spLocks noChangeAspect="1" noChangeArrowheads="1"/>
                          </wps:cNvSpPr>
                          <wps:spPr bwMode="auto">
                            <a:xfrm rot="2700000">
                              <a:off x="954" y="3125"/>
                              <a:ext cx="1735" cy="17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540000" rIns="72000" bIns="45720" anchor="t" anchorCtr="0" upright="1">
                            <a:noAutofit/>
                          </wps:bodyPr>
                        </wps:wsp>
                        <wps:wsp>
                          <wps:cNvPr id="9" name="Rectangle 25"/>
                          <wps:cNvSpPr>
                            <a:spLocks noChangeAspect="1" noChangeArrowheads="1"/>
                          </wps:cNvSpPr>
                          <wps:spPr bwMode="auto">
                            <a:xfrm rot="2700000">
                              <a:off x="1241" y="3444"/>
                              <a:ext cx="1126" cy="1126"/>
                            </a:xfrm>
                            <a:prstGeom prst="rect">
                              <a:avLst/>
                            </a:prstGeom>
                            <a:solidFill>
                              <a:srgbClr val="57433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540000" rIns="7200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7AE67F25" id="Group 28" o:spid="_x0000_s1026" style="position:absolute;left:0;text-align:left;margin-left:-56.7pt;margin-top:5.5pt;width:595.6pt;height:651.1pt;z-index:251657728" coordorigin=",2700" coordsize="11912,130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">
                <v:rect id="Rectangle 8" o:spid="_x0000_s1027" style="position:absolute;left:6;top:15439;width:11906;height: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" fillcolor="#d2232a" stroked="f">
                  <v:textbox inset=",15mm,2mm"/>
                </v:rect>
                <v:shapetype id="_x0000_t202" coordsize="21600,21600" o:spt="202" path="m,l,21600r21600,l21600,xe">
                  <v:stroke joinstyle="miter"/>
                  <v:path gradientshapeok="t" o:connecttype="rect"/>
                </v:shapetype>
                <v:shape id="Text Box 9" o:spid="_x0000_s1028" type="#_x0000_t202" style="position:absolute;top:2700;width:11906;height:25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" fillcolor="#d2232a" stroked="f">
                  <v:textbox inset="80mm,15mm,2mm">
                    <w:txbxContent>
                      <w:p w14:paraId="605996B9" w14:textId="77777777" w:rsidR="006312FB" w:rsidRDefault="00886ADE">
                        <w:pPr>
                          <w:rPr>
                            <w:color w:val="57433E"/>
                            <w:sz w:val="68"/>
                          </w:rPr>
                        </w:pPr>
                        <w:r>
                          <w:rPr>
                            <w:color w:val="FFFFFF"/>
                            <w:sz w:val="68"/>
                          </w:rPr>
                          <w:t xml:space="preserve">ERC Decision </w:t>
                        </w:r>
                        <w:r>
                          <w:rPr>
                            <w:color w:val="887E6E"/>
                            <w:sz w:val="68"/>
                          </w:rPr>
                          <w:t>(98)22</w:t>
                        </w:r>
                      </w:p>
                    </w:txbxContent>
                  </v:textbox>
                </v:shape>
                <v:group id="Group 26" o:spid="_x0000_s1029" style="position:absolute;left:1739;top:3125;width:1735;height:1735" coordorigin="954,3125" coordsize="1735,1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rect id="Rectangle 24" o:spid="_x0000_s1030" style="position:absolute;left:954;top:3125;width:1735;height:1735;rotation: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" stroked="f">
                    <o:lock v:ext="edit" aspectratio="t"/>
                    <v:textbox inset=",15mm,2mm"/>
                  </v:rect>
                  <v:rect id="Rectangle 25" o:spid="_x0000_s1031" style="position:absolute;left:1241;top:3444;width:1126;height:1126;rotation: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" fillcolor="#57433e" stroked="f">
                    <o:lock v:ext="edit" aspectratio="t"/>
                    <v:textbox inset=",15mm,2mm"/>
                  </v:rect>
                </v:group>
              </v:group>
            </w:pict>
          </mc:Fallback>
        </mc:AlternateContent>
      </w:r>
    </w:p>
    <w:p w14:paraId="62A712D3" w14:textId="77777777" w:rsidR="006312FB" w:rsidRPr="00D76698" w:rsidRDefault="006312FB">
      <w:pPr>
        <w:jc w:val="center"/>
        <w:rPr>
          <w:b/>
          <w:sz w:val="24"/>
          <w:lang w:val="en-GB"/>
        </w:rPr>
      </w:pPr>
    </w:p>
    <w:p w14:paraId="3E8A22C9" w14:textId="77777777" w:rsidR="006312FB" w:rsidRPr="00D76698" w:rsidRDefault="006312FB">
      <w:pPr>
        <w:jc w:val="center"/>
        <w:rPr>
          <w:b/>
          <w:sz w:val="24"/>
          <w:lang w:val="en-GB"/>
        </w:rPr>
      </w:pPr>
    </w:p>
    <w:p w14:paraId="546555B4" w14:textId="77777777" w:rsidR="006312FB" w:rsidRPr="00D76698" w:rsidRDefault="006312FB">
      <w:pPr>
        <w:jc w:val="center"/>
        <w:rPr>
          <w:b/>
          <w:sz w:val="24"/>
          <w:lang w:val="en-GB"/>
        </w:rPr>
      </w:pPr>
    </w:p>
    <w:p w14:paraId="4E95CEAE" w14:textId="77777777" w:rsidR="006312FB" w:rsidRPr="00D76698" w:rsidRDefault="006312FB">
      <w:pPr>
        <w:jc w:val="center"/>
        <w:rPr>
          <w:b/>
          <w:sz w:val="24"/>
          <w:lang w:val="en-GB"/>
        </w:rPr>
      </w:pPr>
    </w:p>
    <w:p w14:paraId="6426BF74" w14:textId="77777777" w:rsidR="006312FB" w:rsidRPr="00D76698" w:rsidRDefault="006312FB">
      <w:pPr>
        <w:jc w:val="center"/>
        <w:rPr>
          <w:b/>
          <w:sz w:val="24"/>
          <w:lang w:val="en-GB"/>
        </w:rPr>
      </w:pPr>
    </w:p>
    <w:p w14:paraId="3D8BA19A" w14:textId="77777777" w:rsidR="006312FB" w:rsidRPr="00D76698" w:rsidRDefault="006312FB">
      <w:pPr>
        <w:jc w:val="center"/>
        <w:rPr>
          <w:b/>
          <w:sz w:val="24"/>
          <w:lang w:val="en-GB"/>
        </w:rPr>
      </w:pPr>
    </w:p>
    <w:p w14:paraId="30C37055" w14:textId="77777777" w:rsidR="006312FB" w:rsidRPr="00D76698" w:rsidRDefault="006312FB">
      <w:pPr>
        <w:jc w:val="center"/>
        <w:rPr>
          <w:b/>
          <w:sz w:val="24"/>
          <w:lang w:val="en-GB"/>
        </w:rPr>
      </w:pPr>
    </w:p>
    <w:p w14:paraId="54B9291F" w14:textId="77777777" w:rsidR="006312FB" w:rsidRPr="00D76698" w:rsidRDefault="006312FB">
      <w:pPr>
        <w:jc w:val="center"/>
        <w:rPr>
          <w:b/>
          <w:sz w:val="24"/>
          <w:lang w:val="en-GB"/>
        </w:rPr>
      </w:pPr>
    </w:p>
    <w:p w14:paraId="5E6B6599" w14:textId="77777777" w:rsidR="006312FB" w:rsidRPr="00D76698" w:rsidRDefault="006312FB">
      <w:pPr>
        <w:jc w:val="center"/>
        <w:rPr>
          <w:b/>
          <w:sz w:val="24"/>
          <w:lang w:val="en-GB"/>
        </w:rPr>
      </w:pPr>
    </w:p>
    <w:p w14:paraId="59258888" w14:textId="77777777" w:rsidR="006312FB" w:rsidRPr="00D76698" w:rsidRDefault="006312FB">
      <w:pPr>
        <w:jc w:val="center"/>
        <w:rPr>
          <w:b/>
          <w:sz w:val="24"/>
          <w:lang w:val="en-GB"/>
        </w:rPr>
      </w:pPr>
    </w:p>
    <w:p w14:paraId="0FF39D1B" w14:textId="77777777" w:rsidR="006312FB" w:rsidRPr="00D76698" w:rsidRDefault="006312FB">
      <w:pPr>
        <w:rPr>
          <w:b/>
          <w:sz w:val="24"/>
          <w:lang w:val="en-GB"/>
        </w:rPr>
      </w:pPr>
    </w:p>
    <w:p w14:paraId="0FDEC42B" w14:textId="77777777" w:rsidR="006312FB" w:rsidRPr="00D76698" w:rsidRDefault="006312FB">
      <w:pPr>
        <w:jc w:val="center"/>
        <w:rPr>
          <w:b/>
          <w:sz w:val="24"/>
          <w:lang w:val="en-GB"/>
        </w:rPr>
      </w:pPr>
    </w:p>
    <w:p w14:paraId="7018514D" w14:textId="31B3C80E" w:rsidR="006312FB" w:rsidRPr="00D76698" w:rsidRDefault="00886ADE">
      <w:pPr>
        <w:pStyle w:val="Reporttitledescription"/>
        <w:rPr>
          <w:color w:val="auto"/>
          <w:lang w:val="en-GB"/>
        </w:rPr>
      </w:pPr>
      <w:r w:rsidRPr="00D76698">
        <w:rPr>
          <w:color w:val="auto"/>
          <w:lang w:val="en-GB"/>
        </w:rPr>
        <w:t xml:space="preserve">Exemption from </w:t>
      </w:r>
      <w:r w:rsidR="00E1494F">
        <w:rPr>
          <w:color w:val="auto"/>
          <w:lang w:val="en-GB"/>
        </w:rPr>
        <w:t>i</w:t>
      </w:r>
      <w:r w:rsidRPr="00D76698">
        <w:rPr>
          <w:color w:val="auto"/>
          <w:lang w:val="en-GB"/>
        </w:rPr>
        <w:t xml:space="preserve">ndividual </w:t>
      </w:r>
      <w:r w:rsidR="00E1494F">
        <w:rPr>
          <w:color w:val="auto"/>
          <w:lang w:val="en-GB"/>
        </w:rPr>
        <w:t>l</w:t>
      </w:r>
      <w:r w:rsidRPr="00D76698">
        <w:rPr>
          <w:color w:val="auto"/>
          <w:lang w:val="en-GB"/>
        </w:rPr>
        <w:t xml:space="preserve">icensing </w:t>
      </w:r>
      <w:r w:rsidR="00E1494F">
        <w:rPr>
          <w:lang w:val="en-GB"/>
        </w:rPr>
        <w:t xml:space="preserve">and free circulation and use </w:t>
      </w:r>
      <w:r w:rsidRPr="00D76698">
        <w:rPr>
          <w:color w:val="auto"/>
          <w:lang w:val="en-GB"/>
        </w:rPr>
        <w:t xml:space="preserve">of DECT equipment </w:t>
      </w:r>
    </w:p>
    <w:p w14:paraId="6FF3F334" w14:textId="77777777" w:rsidR="006312FB" w:rsidRPr="00D76698" w:rsidRDefault="008D7D8C">
      <w:pPr>
        <w:pStyle w:val="Reporttitledescription"/>
        <w:rPr>
          <w:b/>
          <w:color w:val="auto"/>
          <w:sz w:val="18"/>
          <w:lang w:val="en-GB"/>
        </w:rPr>
      </w:pPr>
      <w:r w:rsidRPr="00D76698">
        <w:rPr>
          <w:b/>
          <w:color w:val="auto"/>
          <w:sz w:val="18"/>
          <w:lang w:val="en-GB"/>
        </w:rPr>
        <w:t>A</w:t>
      </w:r>
      <w:r w:rsidR="00886ADE" w:rsidRPr="00D76698">
        <w:rPr>
          <w:b/>
          <w:color w:val="auto"/>
          <w:sz w:val="18"/>
          <w:lang w:val="en-GB"/>
        </w:rPr>
        <w:t>pproved 23 November 1998</w:t>
      </w:r>
    </w:p>
    <w:p w14:paraId="50E2ABD1" w14:textId="7FA2D242" w:rsidR="006312FB" w:rsidRPr="00D76698" w:rsidRDefault="00F417AB">
      <w:pPr>
        <w:pStyle w:val="Lastupdated"/>
        <w:rPr>
          <w:b/>
          <w:lang w:val="en-GB"/>
        </w:rPr>
      </w:pPr>
      <w:r>
        <w:rPr>
          <w:b/>
          <w:lang w:val="en-GB"/>
        </w:rPr>
        <w:t>latest a</w:t>
      </w:r>
      <w:r w:rsidR="00B626F5">
        <w:rPr>
          <w:b/>
          <w:lang w:val="en-GB"/>
        </w:rPr>
        <w:t xml:space="preserve">mended </w:t>
      </w:r>
      <w:r w:rsidR="00677033">
        <w:rPr>
          <w:b/>
          <w:lang w:val="en-GB"/>
        </w:rPr>
        <w:t>5 November</w:t>
      </w:r>
      <w:r w:rsidR="00B626F5">
        <w:rPr>
          <w:b/>
          <w:lang w:val="en-GB"/>
        </w:rPr>
        <w:t xml:space="preserve"> 2021</w:t>
      </w:r>
    </w:p>
    <w:p w14:paraId="22E65076" w14:textId="77777777" w:rsidR="006312FB" w:rsidRPr="00D76698" w:rsidRDefault="00886ADE" w:rsidP="00F417AB">
      <w:pPr>
        <w:pStyle w:val="Heading1"/>
      </w:pPr>
      <w:r w:rsidRPr="00D76698">
        <w:lastRenderedPageBreak/>
        <w:t>explanatory memorandum</w:t>
      </w:r>
    </w:p>
    <w:p w14:paraId="78A9890B" w14:textId="77777777" w:rsidR="006312FB" w:rsidRPr="00D76698" w:rsidRDefault="00886ADE">
      <w:pPr>
        <w:pStyle w:val="Heading2"/>
        <w:rPr>
          <w:lang w:val="en-GB"/>
        </w:rPr>
      </w:pPr>
      <w:r w:rsidRPr="00D76698">
        <w:rPr>
          <w:lang w:val="en-GB"/>
        </w:rPr>
        <w:t>INTRODUCTION</w:t>
      </w:r>
    </w:p>
    <w:p w14:paraId="1AFB6475" w14:textId="77777777" w:rsidR="006312FB" w:rsidRPr="00D76698" w:rsidRDefault="00886ADE">
      <w:pPr>
        <w:pStyle w:val="ECCParagraph"/>
      </w:pPr>
      <w:r w:rsidRPr="00D76698">
        <w:t>Licensing is an appropriate tool for administrations to regulate the use of radio equipment and the efficient use of the frequency spectrum. However, the technical characteristics of radio equipment require less intervention from the administrations as far as the installation and use of equipment is concerned. Administrations and especially users, retailers and manufacturers will benefit from a more deregulated system of authorising the use of radio equipment.</w:t>
      </w:r>
    </w:p>
    <w:p w14:paraId="3949A0EA" w14:textId="77777777" w:rsidR="00595984" w:rsidRDefault="00595984" w:rsidP="00595984">
      <w:pPr>
        <w:pStyle w:val="ECCParagraph"/>
      </w:pPr>
      <w:r w:rsidRPr="00595984">
        <w:t>It is a general aim of the Electronic Communications Committee (ECC) to facilitate the free circulation and use of radio equipmen</w:t>
      </w:r>
      <w:r>
        <w:t>t within CEPT member countries.</w:t>
      </w:r>
    </w:p>
    <w:p w14:paraId="58AF04A0" w14:textId="77777777" w:rsidR="00595984" w:rsidRPr="00595984" w:rsidRDefault="00595984" w:rsidP="00595984">
      <w:pPr>
        <w:pStyle w:val="ECCParagraph"/>
      </w:pPr>
      <w:r w:rsidRPr="00595984">
        <w:t>For the purpose of this Decision, the term “free circulation” means carriage of equipment and does not include the placing of equipment on the market.</w:t>
      </w:r>
    </w:p>
    <w:p w14:paraId="4D51633D" w14:textId="77777777" w:rsidR="006312FB" w:rsidRPr="00D76698" w:rsidRDefault="00886ADE">
      <w:pPr>
        <w:pStyle w:val="Heading2"/>
        <w:rPr>
          <w:lang w:val="en-GB"/>
        </w:rPr>
      </w:pPr>
      <w:r w:rsidRPr="00D76698">
        <w:rPr>
          <w:lang w:val="en-GB"/>
        </w:rPr>
        <w:t>BACKGROUND</w:t>
      </w:r>
    </w:p>
    <w:p w14:paraId="4658F154" w14:textId="77777777" w:rsidR="006312FB" w:rsidRPr="00D76698" w:rsidRDefault="00886ADE">
      <w:pPr>
        <w:pStyle w:val="ECCParagraph"/>
      </w:pPr>
      <w:r w:rsidRPr="00D76698">
        <w:t>There is a general agreement that when the efficient use of the frequency spectrum is not at risk and as long as harmful interference is unlikely, the installation and use of radio equipment might be exempted from individual licensing.</w:t>
      </w:r>
    </w:p>
    <w:p w14:paraId="6E13A53B" w14:textId="5BBFA3B8" w:rsidR="006312FB" w:rsidRPr="00D76698" w:rsidRDefault="00886ADE">
      <w:pPr>
        <w:pStyle w:val="ECCParagraph"/>
      </w:pPr>
      <w:r w:rsidRPr="00D76698">
        <w:t>The free circulation and use of radio equipment and the provision of Pan</w:t>
      </w:r>
      <w:r w:rsidR="00A33394">
        <w:t>-</w:t>
      </w:r>
      <w:r w:rsidRPr="00D76698">
        <w:t>European wide services will be greatly assisted when all CEPT administrations exempt the same categories of radio equipment from individual licensing and apply - to achieve that - the same criteria to decide on this.</w:t>
      </w:r>
    </w:p>
    <w:p w14:paraId="02B6AAAB" w14:textId="77777777" w:rsidR="006312FB" w:rsidRPr="00D76698" w:rsidRDefault="00886ADE">
      <w:pPr>
        <w:pStyle w:val="ECCParagraph"/>
      </w:pPr>
      <w:r w:rsidRPr="00D76698">
        <w:t>When radio equipment is subject to an exemption from individual licensing, anyone can buy, install, possess and use the radio equipment without any prior individual permission from the administration. Furthermore, the administration will not register the individual equipment. The use of the equipment can be subject to general provisions or general authorisation.</w:t>
      </w:r>
    </w:p>
    <w:p w14:paraId="34BE1AB1" w14:textId="77777777" w:rsidR="006312FB" w:rsidRPr="00D76698" w:rsidRDefault="00886ADE">
      <w:pPr>
        <w:pStyle w:val="Heading2"/>
        <w:rPr>
          <w:lang w:val="en-GB"/>
        </w:rPr>
      </w:pPr>
      <w:r w:rsidRPr="00D76698">
        <w:rPr>
          <w:lang w:val="en-GB"/>
        </w:rPr>
        <w:t>REQUIREMENT FOR AN ECC/ERC DECISION</w:t>
      </w:r>
    </w:p>
    <w:p w14:paraId="7C12D775" w14:textId="330BBB1C" w:rsidR="006312FB" w:rsidRPr="00D76698" w:rsidRDefault="00886ADE">
      <w:pPr>
        <w:pStyle w:val="ECCParagraph"/>
      </w:pPr>
      <w:r w:rsidRPr="00D76698">
        <w:t>ERC</w:t>
      </w:r>
      <w:r w:rsidR="00716768">
        <w:t xml:space="preserve"> Recommendation</w:t>
      </w:r>
      <w:r w:rsidRPr="00D76698">
        <w:t xml:space="preserve"> 01-07 that was adopted in 1995 (amended in 2004) listed harmonised criteria for the administrations to decide whether an exemption from individual licensing should be applied. The aim of this Decision is to exempt DECT equipment, complying with the </w:t>
      </w:r>
      <w:r w:rsidR="00B42125">
        <w:t xml:space="preserve">ETSI </w:t>
      </w:r>
      <w:r w:rsidRPr="00D76698">
        <w:t>EN 301 406 and specific usage conditions, from individual licensing because they fulfil the criteria for exemption listed in ERC</w:t>
      </w:r>
      <w:r w:rsidR="00716768">
        <w:t xml:space="preserve"> Recommendation</w:t>
      </w:r>
      <w:r w:rsidR="00716768" w:rsidRPr="00D76698">
        <w:t xml:space="preserve"> </w:t>
      </w:r>
      <w:r w:rsidRPr="00D76698">
        <w:t>01-07.</w:t>
      </w:r>
    </w:p>
    <w:p w14:paraId="79E0AE91" w14:textId="1BCDEC12" w:rsidR="00573961" w:rsidRDefault="00573961" w:rsidP="00573961">
      <w:pPr>
        <w:pStyle w:val="ECCParagraph"/>
      </w:pPr>
      <w:r w:rsidRPr="00D76698">
        <w:t xml:space="preserve">This Decision is further intended to provide a basis for administrations to </w:t>
      </w:r>
      <w:r w:rsidR="00154AC7">
        <w:t xml:space="preserve">allow </w:t>
      </w:r>
      <w:r w:rsidRPr="00D76698">
        <w:t>the free circulation and use of DECT equipment</w:t>
      </w:r>
      <w:r w:rsidR="004E4EF5" w:rsidRPr="004E4EF5">
        <w:t xml:space="preserve"> throughout Europe</w:t>
      </w:r>
      <w:r w:rsidRPr="00D76698">
        <w:t>.</w:t>
      </w:r>
    </w:p>
    <w:p w14:paraId="3B95F5AD" w14:textId="2A94414D" w:rsidR="006312FB" w:rsidRPr="00D76698" w:rsidRDefault="00AD1724" w:rsidP="00716768">
      <w:pPr>
        <w:pStyle w:val="Heading1"/>
      </w:pPr>
      <w:r w:rsidRPr="00D76698">
        <w:lastRenderedPageBreak/>
        <w:t>ER</w:t>
      </w:r>
      <w:r w:rsidR="00886ADE" w:rsidRPr="00D76698">
        <w:t xml:space="preserve">C Decision of 23 November 1998 on Exemption from Individual Licensing </w:t>
      </w:r>
      <w:r w:rsidR="00BF5000">
        <w:t xml:space="preserve">and free circulation and use </w:t>
      </w:r>
      <w:r w:rsidR="00886ADE" w:rsidRPr="00D76698">
        <w:t>of DECT equipment (ERC decision (98)22)</w:t>
      </w:r>
      <w:r w:rsidRPr="00D76698">
        <w:t>,</w:t>
      </w:r>
      <w:r w:rsidR="00886ADE" w:rsidRPr="00D76698">
        <w:t xml:space="preserve"> amended </w:t>
      </w:r>
      <w:r w:rsidR="0021066F" w:rsidRPr="00D76698">
        <w:t>8 November</w:t>
      </w:r>
      <w:r w:rsidR="00886ADE" w:rsidRPr="00D76698">
        <w:t xml:space="preserve"> 2013</w:t>
      </w:r>
      <w:r w:rsidR="009A4903">
        <w:t xml:space="preserve"> and </w:t>
      </w:r>
      <w:r w:rsidR="002A15F4">
        <w:t xml:space="preserve">amended </w:t>
      </w:r>
      <w:r w:rsidR="00677033">
        <w:t>5 November</w:t>
      </w:r>
      <w:r w:rsidR="009A4903">
        <w:t xml:space="preserve"> 2021</w:t>
      </w:r>
    </w:p>
    <w:p w14:paraId="02FEB136" w14:textId="77777777" w:rsidR="006312FB" w:rsidRPr="00D76698" w:rsidRDefault="00886ADE" w:rsidP="00D76698">
      <w:pPr>
        <w:pStyle w:val="ECCParagraph"/>
      </w:pPr>
      <w:r w:rsidRPr="00D76698">
        <w:t>“The European Conference of Postal and Telecommunications Administrations,</w:t>
      </w:r>
    </w:p>
    <w:p w14:paraId="7FE12367" w14:textId="77777777" w:rsidR="006312FB" w:rsidRPr="00D76698" w:rsidRDefault="00886ADE" w:rsidP="00560EBB">
      <w:pPr>
        <w:pStyle w:val="ECCParagraph"/>
        <w:rPr>
          <w:i/>
          <w:color w:val="D2232A"/>
        </w:rPr>
      </w:pPr>
      <w:r w:rsidRPr="00D76698">
        <w:rPr>
          <w:i/>
          <w:color w:val="D2232A"/>
        </w:rPr>
        <w:t xml:space="preserve">considering </w:t>
      </w:r>
    </w:p>
    <w:p w14:paraId="7B182EDD" w14:textId="77777777" w:rsidR="006312FB" w:rsidRPr="00D76698" w:rsidRDefault="00886ADE" w:rsidP="00560EBB">
      <w:pPr>
        <w:pStyle w:val="ListParagraph"/>
        <w:numPr>
          <w:ilvl w:val="0"/>
          <w:numId w:val="33"/>
        </w:numPr>
        <w:spacing w:after="240"/>
        <w:ind w:left="567" w:hanging="567"/>
        <w:jc w:val="both"/>
        <w:rPr>
          <w:lang w:val="en-GB"/>
        </w:rPr>
      </w:pPr>
      <w:r w:rsidRPr="00D76698">
        <w:rPr>
          <w:lang w:val="en-GB"/>
        </w:rPr>
        <w:t>that within the CEPT administrations there is a growing awareness of a need for harmonisation of licensing regimes in order to facilitate the free circulation of radio equipment;</w:t>
      </w:r>
    </w:p>
    <w:p w14:paraId="69CABC35" w14:textId="77777777" w:rsidR="00702AEA" w:rsidRPr="00D76698" w:rsidRDefault="00702AEA" w:rsidP="00560EBB">
      <w:pPr>
        <w:pStyle w:val="ListParagraph"/>
        <w:spacing w:after="240"/>
        <w:ind w:left="567"/>
        <w:jc w:val="both"/>
        <w:rPr>
          <w:lang w:val="en-GB"/>
        </w:rPr>
      </w:pPr>
    </w:p>
    <w:p w14:paraId="21A33B10" w14:textId="77777777" w:rsidR="006312FB" w:rsidRPr="00D76698" w:rsidRDefault="00886ADE" w:rsidP="00D76698">
      <w:pPr>
        <w:pStyle w:val="ListParagraph"/>
        <w:numPr>
          <w:ilvl w:val="0"/>
          <w:numId w:val="33"/>
        </w:numPr>
        <w:tabs>
          <w:tab w:val="left" w:pos="-996"/>
          <w:tab w:val="left" w:pos="-576"/>
          <w:tab w:val="left" w:pos="688"/>
          <w:tab w:val="left" w:pos="1821"/>
          <w:tab w:val="left" w:pos="3024"/>
          <w:tab w:val="left" w:pos="3744"/>
          <w:tab w:val="left" w:pos="4464"/>
          <w:tab w:val="left" w:pos="5184"/>
          <w:tab w:val="left" w:pos="5904"/>
          <w:tab w:val="left" w:pos="6624"/>
          <w:tab w:val="left" w:pos="7344"/>
          <w:tab w:val="left" w:pos="8064"/>
          <w:tab w:val="left" w:pos="8784"/>
          <w:tab w:val="left" w:pos="9504"/>
        </w:tabs>
        <w:spacing w:after="240" w:line="258" w:lineRule="auto"/>
        <w:ind w:left="567" w:hanging="567"/>
        <w:jc w:val="both"/>
        <w:rPr>
          <w:lang w:val="en-GB"/>
        </w:rPr>
      </w:pPr>
      <w:r w:rsidRPr="00D76698">
        <w:rPr>
          <w:lang w:val="en-GB"/>
        </w:rPr>
        <w:t>that it therefore would be desirable for CEPT administrations to have common licence regimes at their disposal in order to control the installation, ownership and use of radio equipment;</w:t>
      </w:r>
    </w:p>
    <w:p w14:paraId="0E1D8751" w14:textId="77777777" w:rsidR="00702AEA" w:rsidRPr="00D76698" w:rsidRDefault="00702AEA" w:rsidP="00560EBB">
      <w:pPr>
        <w:pStyle w:val="ListParagraph"/>
        <w:tabs>
          <w:tab w:val="left" w:pos="-996"/>
          <w:tab w:val="left" w:pos="-576"/>
          <w:tab w:val="left" w:pos="688"/>
          <w:tab w:val="left" w:pos="1821"/>
          <w:tab w:val="left" w:pos="3024"/>
          <w:tab w:val="left" w:pos="3744"/>
          <w:tab w:val="left" w:pos="4464"/>
          <w:tab w:val="left" w:pos="5184"/>
          <w:tab w:val="left" w:pos="5904"/>
          <w:tab w:val="left" w:pos="6624"/>
          <w:tab w:val="left" w:pos="7344"/>
          <w:tab w:val="left" w:pos="8064"/>
          <w:tab w:val="left" w:pos="8784"/>
          <w:tab w:val="left" w:pos="9504"/>
        </w:tabs>
        <w:spacing w:after="240" w:line="258" w:lineRule="auto"/>
        <w:ind w:left="567"/>
        <w:jc w:val="both"/>
        <w:rPr>
          <w:lang w:val="en-GB"/>
        </w:rPr>
      </w:pPr>
    </w:p>
    <w:p w14:paraId="1DDCF23D" w14:textId="77777777" w:rsidR="006312FB" w:rsidRPr="00D76698" w:rsidRDefault="00886ADE" w:rsidP="00560EBB">
      <w:pPr>
        <w:pStyle w:val="ListParagraph"/>
        <w:numPr>
          <w:ilvl w:val="0"/>
          <w:numId w:val="33"/>
        </w:numPr>
        <w:tabs>
          <w:tab w:val="left" w:pos="-996"/>
          <w:tab w:val="left" w:pos="-576"/>
          <w:tab w:val="left" w:pos="688"/>
          <w:tab w:val="left" w:pos="1821"/>
          <w:tab w:val="left" w:pos="3024"/>
          <w:tab w:val="left" w:pos="3744"/>
          <w:tab w:val="left" w:pos="4464"/>
          <w:tab w:val="left" w:pos="5184"/>
          <w:tab w:val="left" w:pos="5904"/>
          <w:tab w:val="left" w:pos="6624"/>
          <w:tab w:val="left" w:pos="7344"/>
          <w:tab w:val="left" w:pos="8064"/>
          <w:tab w:val="left" w:pos="8784"/>
          <w:tab w:val="left" w:pos="9504"/>
        </w:tabs>
        <w:spacing w:after="240" w:line="258" w:lineRule="auto"/>
        <w:ind w:left="567" w:hanging="567"/>
        <w:jc w:val="both"/>
        <w:rPr>
          <w:lang w:val="en-GB"/>
        </w:rPr>
      </w:pPr>
      <w:r w:rsidRPr="00D76698">
        <w:rPr>
          <w:lang w:val="en-GB"/>
        </w:rPr>
        <w:t>that there is a strong desire within the CEPT administrations to improve efficiency by reducing the control exercised by administrations in the form of mandatory provisions;</w:t>
      </w:r>
    </w:p>
    <w:p w14:paraId="4045D066" w14:textId="77777777" w:rsidR="00702AEA" w:rsidRPr="00D76698" w:rsidRDefault="00702AEA" w:rsidP="00560EBB">
      <w:pPr>
        <w:pStyle w:val="ListParagraph"/>
        <w:tabs>
          <w:tab w:val="left" w:pos="-996"/>
          <w:tab w:val="left" w:pos="-576"/>
          <w:tab w:val="left" w:pos="688"/>
          <w:tab w:val="left" w:pos="1821"/>
          <w:tab w:val="left" w:pos="3024"/>
          <w:tab w:val="left" w:pos="3744"/>
          <w:tab w:val="left" w:pos="4464"/>
          <w:tab w:val="left" w:pos="5184"/>
          <w:tab w:val="left" w:pos="5904"/>
          <w:tab w:val="left" w:pos="6624"/>
          <w:tab w:val="left" w:pos="7344"/>
          <w:tab w:val="left" w:pos="8064"/>
          <w:tab w:val="left" w:pos="8784"/>
          <w:tab w:val="left" w:pos="9504"/>
        </w:tabs>
        <w:spacing w:after="240" w:line="258" w:lineRule="auto"/>
        <w:ind w:left="567"/>
        <w:jc w:val="both"/>
        <w:rPr>
          <w:lang w:val="en-GB"/>
        </w:rPr>
      </w:pPr>
    </w:p>
    <w:p w14:paraId="5158A269" w14:textId="2588D223" w:rsidR="00702AEA" w:rsidRPr="00D76698" w:rsidRDefault="00886ADE" w:rsidP="00560EBB">
      <w:pPr>
        <w:pStyle w:val="ListParagraph"/>
        <w:numPr>
          <w:ilvl w:val="0"/>
          <w:numId w:val="33"/>
        </w:numPr>
        <w:tabs>
          <w:tab w:val="left" w:pos="-996"/>
          <w:tab w:val="left" w:pos="-576"/>
          <w:tab w:val="left" w:pos="688"/>
          <w:tab w:val="left" w:pos="1821"/>
          <w:tab w:val="left" w:pos="3024"/>
          <w:tab w:val="left" w:pos="3744"/>
          <w:tab w:val="left" w:pos="4464"/>
          <w:tab w:val="left" w:pos="5184"/>
          <w:tab w:val="left" w:pos="5904"/>
          <w:tab w:val="left" w:pos="6624"/>
          <w:tab w:val="left" w:pos="7344"/>
          <w:tab w:val="left" w:pos="8064"/>
          <w:tab w:val="left" w:pos="8784"/>
          <w:tab w:val="left" w:pos="9504"/>
        </w:tabs>
        <w:spacing w:after="240" w:line="258" w:lineRule="auto"/>
        <w:ind w:left="567" w:hanging="567"/>
        <w:jc w:val="both"/>
        <w:rPr>
          <w:lang w:val="en-GB"/>
        </w:rPr>
      </w:pPr>
      <w:r w:rsidRPr="00D76698">
        <w:rPr>
          <w:lang w:val="en-GB"/>
        </w:rPr>
        <w:t>that ERC</w:t>
      </w:r>
      <w:r w:rsidR="00356260">
        <w:rPr>
          <w:lang w:val="en-GB"/>
        </w:rPr>
        <w:t xml:space="preserve"> Decision</w:t>
      </w:r>
      <w:r w:rsidR="00476385">
        <w:rPr>
          <w:lang w:val="en-GB"/>
        </w:rPr>
        <w:t xml:space="preserve"> </w:t>
      </w:r>
      <w:r w:rsidRPr="00D76698">
        <w:rPr>
          <w:lang w:val="en-GB"/>
        </w:rPr>
        <w:t xml:space="preserve">(94)03 </w:t>
      </w:r>
      <w:r w:rsidR="00B250E3" w:rsidRPr="00016447">
        <w:rPr>
          <w:lang w:val="en-GB"/>
        </w:rPr>
        <w:t xml:space="preserve">and EU Council Directive 91/287/EEC </w:t>
      </w:r>
      <w:r w:rsidRPr="00D76698">
        <w:rPr>
          <w:lang w:val="en-GB"/>
        </w:rPr>
        <w:t>designate the 1880-1900 MHz frequency band for the DECT system;</w:t>
      </w:r>
    </w:p>
    <w:p w14:paraId="505B6950" w14:textId="77777777" w:rsidR="00702AEA" w:rsidRPr="00D76698" w:rsidRDefault="00702AEA" w:rsidP="00560EBB">
      <w:pPr>
        <w:pStyle w:val="ListParagraph"/>
        <w:tabs>
          <w:tab w:val="left" w:pos="-996"/>
          <w:tab w:val="left" w:pos="-576"/>
          <w:tab w:val="left" w:pos="688"/>
          <w:tab w:val="left" w:pos="1821"/>
          <w:tab w:val="left" w:pos="3024"/>
          <w:tab w:val="left" w:pos="3744"/>
          <w:tab w:val="left" w:pos="4464"/>
          <w:tab w:val="left" w:pos="5184"/>
          <w:tab w:val="left" w:pos="5904"/>
          <w:tab w:val="left" w:pos="6624"/>
          <w:tab w:val="left" w:pos="7344"/>
          <w:tab w:val="left" w:pos="8064"/>
          <w:tab w:val="left" w:pos="8784"/>
          <w:tab w:val="left" w:pos="9504"/>
        </w:tabs>
        <w:spacing w:after="240" w:line="258" w:lineRule="auto"/>
        <w:ind w:left="567"/>
        <w:jc w:val="both"/>
        <w:rPr>
          <w:lang w:val="en-GB"/>
        </w:rPr>
      </w:pPr>
    </w:p>
    <w:p w14:paraId="5DE413BA" w14:textId="77777777" w:rsidR="006312FB" w:rsidRPr="00D76698" w:rsidRDefault="00886ADE" w:rsidP="00560EBB">
      <w:pPr>
        <w:pStyle w:val="ListParagraph"/>
        <w:numPr>
          <w:ilvl w:val="0"/>
          <w:numId w:val="33"/>
        </w:numPr>
        <w:tabs>
          <w:tab w:val="left" w:pos="-996"/>
          <w:tab w:val="left" w:pos="-576"/>
          <w:tab w:val="left" w:pos="688"/>
          <w:tab w:val="left" w:pos="1821"/>
          <w:tab w:val="left" w:pos="3024"/>
          <w:tab w:val="left" w:pos="3744"/>
          <w:tab w:val="left" w:pos="4464"/>
          <w:tab w:val="left" w:pos="5184"/>
          <w:tab w:val="left" w:pos="5904"/>
          <w:tab w:val="left" w:pos="6624"/>
          <w:tab w:val="left" w:pos="7344"/>
          <w:tab w:val="left" w:pos="8064"/>
          <w:tab w:val="left" w:pos="8784"/>
          <w:tab w:val="left" w:pos="9504"/>
        </w:tabs>
        <w:spacing w:after="240" w:line="258" w:lineRule="auto"/>
        <w:ind w:left="567" w:hanging="567"/>
        <w:jc w:val="both"/>
        <w:rPr>
          <w:lang w:val="en-GB"/>
        </w:rPr>
      </w:pPr>
      <w:r w:rsidRPr="00D76698">
        <w:rPr>
          <w:lang w:val="en-GB"/>
        </w:rPr>
        <w:t>that there is considerable difference in national licensing, laws and regulations and that harmonisation therefore can only be introduced gradually;</w:t>
      </w:r>
    </w:p>
    <w:p w14:paraId="11D5B578" w14:textId="77777777" w:rsidR="00702AEA" w:rsidRPr="00D76698" w:rsidRDefault="00702AEA" w:rsidP="00560EBB">
      <w:pPr>
        <w:pStyle w:val="ListParagraph"/>
        <w:tabs>
          <w:tab w:val="left" w:pos="-996"/>
          <w:tab w:val="left" w:pos="-576"/>
          <w:tab w:val="left" w:pos="688"/>
          <w:tab w:val="left" w:pos="1821"/>
          <w:tab w:val="left" w:pos="3024"/>
          <w:tab w:val="left" w:pos="3744"/>
          <w:tab w:val="left" w:pos="4464"/>
          <w:tab w:val="left" w:pos="5184"/>
          <w:tab w:val="left" w:pos="5904"/>
          <w:tab w:val="left" w:pos="6624"/>
          <w:tab w:val="left" w:pos="7344"/>
          <w:tab w:val="left" w:pos="8064"/>
          <w:tab w:val="left" w:pos="8784"/>
          <w:tab w:val="left" w:pos="9504"/>
        </w:tabs>
        <w:spacing w:after="240" w:line="258" w:lineRule="auto"/>
        <w:ind w:left="567"/>
        <w:jc w:val="both"/>
        <w:rPr>
          <w:lang w:val="en-GB"/>
        </w:rPr>
      </w:pPr>
    </w:p>
    <w:p w14:paraId="4E9F697A" w14:textId="77777777" w:rsidR="006312FB" w:rsidRPr="00D76698" w:rsidRDefault="00886ADE" w:rsidP="00560EBB">
      <w:pPr>
        <w:pStyle w:val="ListParagraph"/>
        <w:numPr>
          <w:ilvl w:val="0"/>
          <w:numId w:val="33"/>
        </w:numPr>
        <w:tabs>
          <w:tab w:val="left" w:pos="-996"/>
          <w:tab w:val="left" w:pos="-576"/>
          <w:tab w:val="left" w:pos="688"/>
          <w:tab w:val="left" w:pos="1821"/>
          <w:tab w:val="left" w:pos="3024"/>
          <w:tab w:val="left" w:pos="3744"/>
          <w:tab w:val="left" w:pos="4464"/>
          <w:tab w:val="left" w:pos="5184"/>
          <w:tab w:val="left" w:pos="5904"/>
          <w:tab w:val="left" w:pos="6624"/>
          <w:tab w:val="left" w:pos="7344"/>
          <w:tab w:val="left" w:pos="8064"/>
          <w:tab w:val="left" w:pos="8784"/>
          <w:tab w:val="left" w:pos="9504"/>
        </w:tabs>
        <w:spacing w:after="240" w:line="258" w:lineRule="auto"/>
        <w:ind w:left="567" w:hanging="567"/>
        <w:jc w:val="both"/>
        <w:rPr>
          <w:lang w:val="en-GB"/>
        </w:rPr>
      </w:pPr>
      <w:r w:rsidRPr="00D76698">
        <w:rPr>
          <w:lang w:val="en-GB"/>
        </w:rPr>
        <w:t>that national licensing regimes should be as simple as possible, in order to minimise the burden upon the administrations and users of equipment;</w:t>
      </w:r>
    </w:p>
    <w:p w14:paraId="549E3F97" w14:textId="77777777" w:rsidR="00702AEA" w:rsidRPr="00D76698" w:rsidRDefault="00702AEA" w:rsidP="00560EBB">
      <w:pPr>
        <w:pStyle w:val="ListParagraph"/>
        <w:tabs>
          <w:tab w:val="left" w:pos="-996"/>
          <w:tab w:val="left" w:pos="-576"/>
          <w:tab w:val="left" w:pos="688"/>
          <w:tab w:val="left" w:pos="1821"/>
          <w:tab w:val="left" w:pos="3024"/>
          <w:tab w:val="left" w:pos="3744"/>
          <w:tab w:val="left" w:pos="4464"/>
          <w:tab w:val="left" w:pos="5184"/>
          <w:tab w:val="left" w:pos="5904"/>
          <w:tab w:val="left" w:pos="6624"/>
          <w:tab w:val="left" w:pos="7344"/>
          <w:tab w:val="left" w:pos="8064"/>
          <w:tab w:val="left" w:pos="8784"/>
          <w:tab w:val="left" w:pos="9504"/>
        </w:tabs>
        <w:spacing w:after="240" w:line="258" w:lineRule="auto"/>
        <w:ind w:left="567"/>
        <w:jc w:val="both"/>
        <w:rPr>
          <w:lang w:val="en-GB"/>
        </w:rPr>
      </w:pPr>
    </w:p>
    <w:p w14:paraId="55FA6EA1" w14:textId="77777777" w:rsidR="006312FB" w:rsidRPr="00D76698" w:rsidRDefault="00886ADE" w:rsidP="00560EBB">
      <w:pPr>
        <w:pStyle w:val="ListParagraph"/>
        <w:numPr>
          <w:ilvl w:val="0"/>
          <w:numId w:val="33"/>
        </w:numPr>
        <w:tabs>
          <w:tab w:val="left" w:pos="-996"/>
          <w:tab w:val="left" w:pos="-576"/>
          <w:tab w:val="left" w:pos="688"/>
          <w:tab w:val="left" w:pos="1821"/>
          <w:tab w:val="left" w:pos="3024"/>
          <w:tab w:val="left" w:pos="3744"/>
          <w:tab w:val="left" w:pos="4464"/>
          <w:tab w:val="left" w:pos="5184"/>
          <w:tab w:val="left" w:pos="5904"/>
          <w:tab w:val="left" w:pos="6624"/>
          <w:tab w:val="left" w:pos="7344"/>
          <w:tab w:val="left" w:pos="8064"/>
          <w:tab w:val="left" w:pos="8784"/>
          <w:tab w:val="left" w:pos="9504"/>
        </w:tabs>
        <w:spacing w:after="240" w:line="258" w:lineRule="auto"/>
        <w:ind w:left="567" w:hanging="567"/>
        <w:jc w:val="both"/>
        <w:rPr>
          <w:lang w:val="en-GB"/>
        </w:rPr>
      </w:pPr>
      <w:r w:rsidRPr="00D76698">
        <w:rPr>
          <w:lang w:val="en-GB"/>
        </w:rPr>
        <w:t>that intervention by the national administrations with respect to the use of radio equipment should in general not exceed the level necessary for the efficient use of the frequency spectrum;</w:t>
      </w:r>
    </w:p>
    <w:p w14:paraId="0372EA1D" w14:textId="77777777" w:rsidR="00702AEA" w:rsidRPr="00D76698" w:rsidRDefault="00702AEA" w:rsidP="00560EBB">
      <w:pPr>
        <w:pStyle w:val="ListParagraph"/>
        <w:ind w:left="567"/>
        <w:jc w:val="both"/>
        <w:rPr>
          <w:lang w:val="en-GB"/>
        </w:rPr>
      </w:pPr>
    </w:p>
    <w:p w14:paraId="6A8C02EB" w14:textId="0CF25B97" w:rsidR="006312FB" w:rsidRPr="00D76698" w:rsidRDefault="00886ADE" w:rsidP="00D76698">
      <w:pPr>
        <w:pStyle w:val="ListParagraph"/>
        <w:numPr>
          <w:ilvl w:val="0"/>
          <w:numId w:val="33"/>
        </w:numPr>
        <w:tabs>
          <w:tab w:val="left" w:pos="-996"/>
          <w:tab w:val="left" w:pos="-576"/>
          <w:tab w:val="left" w:pos="688"/>
          <w:tab w:val="left" w:pos="1821"/>
          <w:tab w:val="left" w:pos="3024"/>
          <w:tab w:val="left" w:pos="3744"/>
          <w:tab w:val="left" w:pos="4464"/>
          <w:tab w:val="left" w:pos="5184"/>
          <w:tab w:val="left" w:pos="5904"/>
          <w:tab w:val="left" w:pos="6624"/>
          <w:tab w:val="left" w:pos="7344"/>
          <w:tab w:val="left" w:pos="8064"/>
          <w:tab w:val="left" w:pos="8784"/>
          <w:tab w:val="left" w:pos="9504"/>
        </w:tabs>
        <w:spacing w:after="240" w:line="258" w:lineRule="auto"/>
        <w:ind w:left="567" w:hanging="567"/>
        <w:jc w:val="both"/>
        <w:rPr>
          <w:lang w:val="en-GB"/>
        </w:rPr>
      </w:pPr>
      <w:r w:rsidRPr="00D76698">
        <w:rPr>
          <w:lang w:val="en-GB"/>
        </w:rPr>
        <w:t>that administrations should work towards the exemption of relevant radio equipment from individual licensing based on harmonised criteria detailed in ERC</w:t>
      </w:r>
      <w:r w:rsidR="003E102D">
        <w:rPr>
          <w:lang w:val="en-GB"/>
        </w:rPr>
        <w:t xml:space="preserve"> Recommendation</w:t>
      </w:r>
      <w:r w:rsidRPr="00D76698">
        <w:rPr>
          <w:lang w:val="en-GB"/>
        </w:rPr>
        <w:t xml:space="preserve"> 01-07;</w:t>
      </w:r>
    </w:p>
    <w:p w14:paraId="1858EDE8" w14:textId="77777777" w:rsidR="00702AEA" w:rsidRPr="00D76698" w:rsidRDefault="00702AEA" w:rsidP="00560EBB">
      <w:pPr>
        <w:pStyle w:val="ListParagraph"/>
        <w:tabs>
          <w:tab w:val="left" w:pos="-996"/>
          <w:tab w:val="left" w:pos="-576"/>
          <w:tab w:val="left" w:pos="688"/>
          <w:tab w:val="left" w:pos="1821"/>
          <w:tab w:val="left" w:pos="3024"/>
          <w:tab w:val="left" w:pos="3744"/>
          <w:tab w:val="left" w:pos="4464"/>
          <w:tab w:val="left" w:pos="5184"/>
          <w:tab w:val="left" w:pos="5904"/>
          <w:tab w:val="left" w:pos="6624"/>
          <w:tab w:val="left" w:pos="7344"/>
          <w:tab w:val="left" w:pos="8064"/>
          <w:tab w:val="left" w:pos="8784"/>
          <w:tab w:val="left" w:pos="9504"/>
        </w:tabs>
        <w:spacing w:after="240" w:line="258" w:lineRule="auto"/>
        <w:ind w:left="567"/>
        <w:jc w:val="both"/>
        <w:rPr>
          <w:lang w:val="en-GB"/>
        </w:rPr>
      </w:pPr>
    </w:p>
    <w:p w14:paraId="2B32718A" w14:textId="177F2C2B" w:rsidR="006312FB" w:rsidRPr="00D76698" w:rsidRDefault="00886ADE" w:rsidP="00560EBB">
      <w:pPr>
        <w:pStyle w:val="ListParagraph"/>
        <w:numPr>
          <w:ilvl w:val="0"/>
          <w:numId w:val="33"/>
        </w:numPr>
        <w:spacing w:after="240"/>
        <w:ind w:left="567" w:hanging="567"/>
        <w:jc w:val="both"/>
        <w:rPr>
          <w:lang w:val="en-GB"/>
        </w:rPr>
      </w:pPr>
      <w:r w:rsidRPr="00D76698">
        <w:rPr>
          <w:lang w:val="en-GB"/>
        </w:rPr>
        <w:t>that DECT equipment, depending on the radiated power level, may fulfil the criteria for exemption from individual licensing listed in ERC</w:t>
      </w:r>
      <w:r w:rsidR="003E102D">
        <w:rPr>
          <w:lang w:val="en-GB"/>
        </w:rPr>
        <w:t xml:space="preserve"> Recommendation</w:t>
      </w:r>
      <w:r w:rsidRPr="00D76698">
        <w:rPr>
          <w:lang w:val="en-GB"/>
        </w:rPr>
        <w:t xml:space="preserve"> 01-07;</w:t>
      </w:r>
    </w:p>
    <w:p w14:paraId="493A73A1" w14:textId="77777777" w:rsidR="00702AEA" w:rsidRPr="00D76698" w:rsidRDefault="00702AEA" w:rsidP="00560EBB">
      <w:pPr>
        <w:pStyle w:val="ListParagraph"/>
        <w:spacing w:after="240"/>
        <w:ind w:left="567"/>
        <w:jc w:val="both"/>
        <w:rPr>
          <w:lang w:val="en-GB"/>
        </w:rPr>
      </w:pPr>
    </w:p>
    <w:p w14:paraId="6272BFAD" w14:textId="04CE39C1" w:rsidR="006312FB" w:rsidRPr="00D76698" w:rsidRDefault="00886ADE" w:rsidP="00D76698">
      <w:pPr>
        <w:pStyle w:val="ListParagraph"/>
        <w:numPr>
          <w:ilvl w:val="0"/>
          <w:numId w:val="33"/>
        </w:numPr>
        <w:tabs>
          <w:tab w:val="left" w:pos="567"/>
        </w:tabs>
        <w:spacing w:after="240"/>
        <w:ind w:left="567" w:hanging="567"/>
        <w:jc w:val="both"/>
        <w:rPr>
          <w:lang w:val="en-GB"/>
        </w:rPr>
      </w:pPr>
      <w:r w:rsidRPr="00D76698">
        <w:rPr>
          <w:lang w:val="en-GB"/>
        </w:rPr>
        <w:t xml:space="preserve">that the </w:t>
      </w:r>
      <w:r w:rsidR="00FD2701">
        <w:rPr>
          <w:lang w:val="en-GB"/>
        </w:rPr>
        <w:t>ETSI</w:t>
      </w:r>
      <w:r w:rsidRPr="00D76698">
        <w:rPr>
          <w:lang w:val="en-GB"/>
        </w:rPr>
        <w:t xml:space="preserve"> EN 301 406 contains technical requirements for DECT in the frequency band 1880-1900 MHz, covering equipment for residential and enterprise systems, for machine to machine communications, as well as for terminals of public access systems;</w:t>
      </w:r>
    </w:p>
    <w:p w14:paraId="67304808" w14:textId="77777777" w:rsidR="00702AEA" w:rsidRPr="00D76698" w:rsidRDefault="00702AEA" w:rsidP="00560EBB">
      <w:pPr>
        <w:pStyle w:val="ListParagraph"/>
        <w:ind w:left="567"/>
        <w:jc w:val="both"/>
        <w:rPr>
          <w:lang w:val="en-GB"/>
        </w:rPr>
      </w:pPr>
    </w:p>
    <w:p w14:paraId="4248423C" w14:textId="77777777" w:rsidR="006312FB" w:rsidRPr="00D76698" w:rsidRDefault="00886ADE" w:rsidP="00D76698">
      <w:pPr>
        <w:pStyle w:val="ListParagraph"/>
        <w:numPr>
          <w:ilvl w:val="0"/>
          <w:numId w:val="33"/>
        </w:numPr>
        <w:tabs>
          <w:tab w:val="left" w:pos="567"/>
        </w:tabs>
        <w:spacing w:after="240"/>
        <w:ind w:left="567" w:hanging="567"/>
        <w:jc w:val="both"/>
        <w:rPr>
          <w:lang w:val="en-GB"/>
        </w:rPr>
      </w:pPr>
      <w:r w:rsidRPr="00D76698">
        <w:rPr>
          <w:lang w:val="en-GB"/>
        </w:rPr>
        <w:t>that residential and enterprise equipment is mainly installed indoors and base stations for coverage of onsite related outdoor areas are intended to be installed below rooftop and below 7 m;</w:t>
      </w:r>
    </w:p>
    <w:p w14:paraId="6921BDC7" w14:textId="77777777" w:rsidR="00702AEA" w:rsidRPr="00D76698" w:rsidRDefault="00702AEA" w:rsidP="00560EBB">
      <w:pPr>
        <w:pStyle w:val="ListParagraph"/>
        <w:tabs>
          <w:tab w:val="left" w:pos="567"/>
        </w:tabs>
        <w:spacing w:after="240"/>
        <w:ind w:left="567"/>
        <w:jc w:val="both"/>
        <w:rPr>
          <w:lang w:val="en-GB"/>
        </w:rPr>
      </w:pPr>
    </w:p>
    <w:p w14:paraId="4E7A6E28" w14:textId="28BD7BF3" w:rsidR="006312FB" w:rsidRPr="009139C6" w:rsidRDefault="00886ADE" w:rsidP="00560EBB">
      <w:pPr>
        <w:pStyle w:val="ListParagraph"/>
        <w:numPr>
          <w:ilvl w:val="0"/>
          <w:numId w:val="33"/>
        </w:numPr>
        <w:tabs>
          <w:tab w:val="left" w:pos="567"/>
        </w:tabs>
        <w:spacing w:after="240"/>
        <w:ind w:left="567" w:hanging="567"/>
        <w:jc w:val="both"/>
        <w:rPr>
          <w:lang w:val="en-GB"/>
        </w:rPr>
      </w:pPr>
      <w:r w:rsidRPr="009139C6">
        <w:rPr>
          <w:lang w:val="en-GB"/>
        </w:rPr>
        <w:t>that in EU/EFTA countries the radio equipment that is under the scope of this Decision shall comply with the RE Directive</w:t>
      </w:r>
      <w:r w:rsidR="009139C6" w:rsidRPr="009139C6">
        <w:rPr>
          <w:lang w:val="en-GB"/>
        </w:rPr>
        <w:t xml:space="preserve"> </w:t>
      </w:r>
      <w:r w:rsidR="009139C6" w:rsidRPr="009139C6">
        <w:rPr>
          <w:bCs/>
          <w:lang w:val="en-GB"/>
        </w:rPr>
        <w:t>2014/53/EU</w:t>
      </w:r>
      <w:r w:rsidRPr="009139C6">
        <w:rPr>
          <w:lang w:val="en-GB"/>
        </w:rPr>
        <w:t>. Conformity with the essential requirements of the RE Directive may be demonstrated by compliance with the applicable harmonised European standard(s)</w:t>
      </w:r>
      <w:r w:rsidR="00E97A4E" w:rsidRPr="009139C6">
        <w:rPr>
          <w:lang w:val="en-GB"/>
        </w:rPr>
        <w:t xml:space="preserve"> cited in the Official Journal of the European Union (OJ</w:t>
      </w:r>
      <w:r w:rsidR="009A4903">
        <w:rPr>
          <w:lang w:val="en-GB"/>
        </w:rPr>
        <w:t>EU</w:t>
      </w:r>
      <w:r w:rsidR="00E97A4E" w:rsidRPr="009139C6">
        <w:rPr>
          <w:lang w:val="en-GB"/>
        </w:rPr>
        <w:t>)</w:t>
      </w:r>
      <w:r w:rsidRPr="009139C6">
        <w:rPr>
          <w:lang w:val="en-GB"/>
        </w:rPr>
        <w:t xml:space="preserve"> or by using the other conformity assessment procedures set out in the RE Directive.</w:t>
      </w:r>
    </w:p>
    <w:p w14:paraId="49E0DFD4" w14:textId="77777777" w:rsidR="006312FB" w:rsidRPr="00D76698" w:rsidRDefault="006312FB" w:rsidP="00D76698">
      <w:pPr>
        <w:jc w:val="both"/>
        <w:rPr>
          <w:lang w:val="en-GB"/>
        </w:rPr>
      </w:pPr>
    </w:p>
    <w:p w14:paraId="52F7A60D" w14:textId="77777777" w:rsidR="006312FB" w:rsidRPr="00D76698" w:rsidRDefault="00886ADE" w:rsidP="00560EBB">
      <w:pPr>
        <w:jc w:val="both"/>
        <w:rPr>
          <w:lang w:val="en-GB"/>
        </w:rPr>
      </w:pPr>
      <w:r w:rsidRPr="00D76698">
        <w:rPr>
          <w:lang w:val="en-GB"/>
        </w:rPr>
        <w:br w:type="page"/>
      </w:r>
    </w:p>
    <w:p w14:paraId="01AA18FE" w14:textId="77777777" w:rsidR="006312FB" w:rsidRPr="00D76698" w:rsidRDefault="00886ADE" w:rsidP="00D76698">
      <w:pPr>
        <w:pStyle w:val="ECCParagraph"/>
        <w:rPr>
          <w:color w:val="D2232A"/>
        </w:rPr>
      </w:pPr>
      <w:r w:rsidRPr="00D76698">
        <w:rPr>
          <w:i/>
          <w:color w:val="D2232A"/>
        </w:rPr>
        <w:lastRenderedPageBreak/>
        <w:t>DECIDES</w:t>
      </w:r>
    </w:p>
    <w:p w14:paraId="758D7AB2" w14:textId="5BD09A2F" w:rsidR="006312FB" w:rsidRPr="00D76698" w:rsidRDefault="00886ADE" w:rsidP="00560EBB">
      <w:pPr>
        <w:numPr>
          <w:ilvl w:val="0"/>
          <w:numId w:val="26"/>
        </w:numPr>
        <w:tabs>
          <w:tab w:val="left" w:pos="567"/>
        </w:tabs>
        <w:autoSpaceDE w:val="0"/>
        <w:autoSpaceDN w:val="0"/>
        <w:ind w:left="567" w:hanging="567"/>
        <w:jc w:val="both"/>
        <w:rPr>
          <w:lang w:val="en-GB"/>
        </w:rPr>
      </w:pPr>
      <w:r w:rsidRPr="00D76698">
        <w:rPr>
          <w:lang w:val="en-GB"/>
        </w:rPr>
        <w:t xml:space="preserve">that CEPT administrations shall exempt from individual licensing DECT equipment, operating within the 1880-1900 MHz band that complies with </w:t>
      </w:r>
      <w:r w:rsidR="0079470F">
        <w:rPr>
          <w:lang w:val="en-GB"/>
        </w:rPr>
        <w:t xml:space="preserve">ETSI </w:t>
      </w:r>
      <w:r w:rsidRPr="00D76698">
        <w:rPr>
          <w:lang w:val="en-GB"/>
        </w:rPr>
        <w:t>EN 301</w:t>
      </w:r>
      <w:r w:rsidR="00D76698">
        <w:rPr>
          <w:lang w:val="en-GB"/>
        </w:rPr>
        <w:t> </w:t>
      </w:r>
      <w:r w:rsidRPr="00D76698">
        <w:rPr>
          <w:lang w:val="en-GB"/>
        </w:rPr>
        <w:t>406 and the following usage conditions:</w:t>
      </w:r>
    </w:p>
    <w:p w14:paraId="4FA9083C" w14:textId="77777777" w:rsidR="008D7D8C" w:rsidRPr="00D76698" w:rsidRDefault="008D7D8C" w:rsidP="00560EBB">
      <w:pPr>
        <w:tabs>
          <w:tab w:val="left" w:pos="567"/>
        </w:tabs>
        <w:autoSpaceDE w:val="0"/>
        <w:autoSpaceDN w:val="0"/>
        <w:jc w:val="both"/>
        <w:rPr>
          <w:lang w:val="en-GB"/>
        </w:rPr>
      </w:pPr>
    </w:p>
    <w:p w14:paraId="22ADB7B2" w14:textId="77777777" w:rsidR="008D7D8C" w:rsidRPr="00D76698" w:rsidRDefault="0021066F" w:rsidP="00560EBB">
      <w:pPr>
        <w:pStyle w:val="ListParagraph"/>
        <w:numPr>
          <w:ilvl w:val="0"/>
          <w:numId w:val="29"/>
        </w:numPr>
        <w:tabs>
          <w:tab w:val="left" w:pos="851"/>
        </w:tabs>
        <w:autoSpaceDE w:val="0"/>
        <w:autoSpaceDN w:val="0"/>
        <w:spacing w:after="120"/>
        <w:ind w:left="851" w:hanging="284"/>
        <w:jc w:val="both"/>
        <w:rPr>
          <w:lang w:val="en-GB"/>
        </w:rPr>
      </w:pPr>
      <w:r w:rsidRPr="00D76698">
        <w:rPr>
          <w:lang w:val="en-GB"/>
        </w:rPr>
        <w:t>nominal transmit power of up to 250 mW (24 dBm)</w:t>
      </w:r>
    </w:p>
    <w:p w14:paraId="7D6CEF98" w14:textId="77777777" w:rsidR="0021066F" w:rsidRPr="00D76698" w:rsidRDefault="0021066F" w:rsidP="00560EBB">
      <w:pPr>
        <w:tabs>
          <w:tab w:val="left" w:pos="851"/>
        </w:tabs>
        <w:autoSpaceDE w:val="0"/>
        <w:autoSpaceDN w:val="0"/>
        <w:spacing w:after="120"/>
        <w:ind w:left="851" w:hanging="284"/>
        <w:jc w:val="both"/>
        <w:rPr>
          <w:lang w:val="en-GB"/>
        </w:rPr>
      </w:pPr>
      <w:r w:rsidRPr="00D76698">
        <w:rPr>
          <w:lang w:val="en-GB"/>
        </w:rPr>
        <w:tab/>
        <w:t>and</w:t>
      </w:r>
    </w:p>
    <w:p w14:paraId="57308271" w14:textId="6CE73457" w:rsidR="008D7D8C" w:rsidRPr="00D76698" w:rsidRDefault="0021066F" w:rsidP="00560EBB">
      <w:pPr>
        <w:pStyle w:val="ListParagraph"/>
        <w:numPr>
          <w:ilvl w:val="0"/>
          <w:numId w:val="29"/>
        </w:numPr>
        <w:tabs>
          <w:tab w:val="left" w:pos="851"/>
        </w:tabs>
        <w:autoSpaceDE w:val="0"/>
        <w:autoSpaceDN w:val="0"/>
        <w:ind w:left="851" w:hanging="284"/>
        <w:jc w:val="both"/>
        <w:rPr>
          <w:lang w:val="en-GB"/>
        </w:rPr>
      </w:pPr>
      <w:r w:rsidRPr="00D76698">
        <w:rPr>
          <w:lang w:val="en-GB"/>
        </w:rPr>
        <w:t>equivalent isotropic radiated power (</w:t>
      </w:r>
      <w:r w:rsidR="002A15F4">
        <w:rPr>
          <w:lang w:val="en-GB"/>
        </w:rPr>
        <w:t>e.i.r.</w:t>
      </w:r>
      <w:r w:rsidR="00716768">
        <w:rPr>
          <w:lang w:val="en-GB"/>
        </w:rPr>
        <w:t>p.</w:t>
      </w:r>
      <w:r w:rsidRPr="00D76698">
        <w:rPr>
          <w:lang w:val="en-GB"/>
        </w:rPr>
        <w:t>) of up to:</w:t>
      </w:r>
    </w:p>
    <w:p w14:paraId="7B091C5D" w14:textId="6CF685E5" w:rsidR="006312FB" w:rsidRPr="00D76698" w:rsidRDefault="00886ADE" w:rsidP="00560EBB">
      <w:pPr>
        <w:numPr>
          <w:ilvl w:val="2"/>
          <w:numId w:val="28"/>
        </w:numPr>
        <w:tabs>
          <w:tab w:val="left" w:pos="567"/>
        </w:tabs>
        <w:autoSpaceDE w:val="0"/>
        <w:autoSpaceDN w:val="0"/>
        <w:spacing w:before="120"/>
        <w:ind w:left="1134" w:hanging="283"/>
        <w:jc w:val="both"/>
        <w:rPr>
          <w:lang w:val="en-GB"/>
        </w:rPr>
      </w:pPr>
      <w:r w:rsidRPr="00D76698">
        <w:rPr>
          <w:lang w:val="en-GB"/>
        </w:rPr>
        <w:t>26 dBm for omnidirectional antennas</w:t>
      </w:r>
    </w:p>
    <w:p w14:paraId="27920A88" w14:textId="77777777" w:rsidR="006312FB" w:rsidRPr="00D76698" w:rsidRDefault="00886ADE" w:rsidP="00560EBB">
      <w:pPr>
        <w:numPr>
          <w:ilvl w:val="2"/>
          <w:numId w:val="28"/>
        </w:numPr>
        <w:tabs>
          <w:tab w:val="left" w:pos="567"/>
        </w:tabs>
        <w:autoSpaceDE w:val="0"/>
        <w:autoSpaceDN w:val="0"/>
        <w:spacing w:before="120"/>
        <w:ind w:left="1134" w:hanging="283"/>
        <w:jc w:val="both"/>
        <w:rPr>
          <w:lang w:val="en-GB"/>
        </w:rPr>
      </w:pPr>
      <w:r w:rsidRPr="00D76698">
        <w:rPr>
          <w:lang w:val="en-GB"/>
        </w:rPr>
        <w:t>30 dBm for directional antennas;</w:t>
      </w:r>
    </w:p>
    <w:p w14:paraId="28AAC8DE" w14:textId="77777777" w:rsidR="006312FB" w:rsidRPr="00D76698" w:rsidRDefault="006312FB" w:rsidP="00560EBB">
      <w:pPr>
        <w:numPr>
          <w:ilvl w:val="12"/>
          <w:numId w:val="0"/>
        </w:numPr>
        <w:ind w:left="567" w:hanging="567"/>
        <w:jc w:val="both"/>
        <w:rPr>
          <w:lang w:val="en-GB"/>
        </w:rPr>
      </w:pPr>
    </w:p>
    <w:p w14:paraId="3AE8AEBC" w14:textId="50E66968" w:rsidR="00D76698" w:rsidRPr="00D76698" w:rsidRDefault="00D76698" w:rsidP="00560EBB">
      <w:pPr>
        <w:numPr>
          <w:ilvl w:val="0"/>
          <w:numId w:val="26"/>
        </w:numPr>
        <w:tabs>
          <w:tab w:val="left" w:pos="567"/>
        </w:tabs>
        <w:autoSpaceDE w:val="0"/>
        <w:autoSpaceDN w:val="0"/>
        <w:ind w:left="567" w:hanging="567"/>
        <w:jc w:val="both"/>
        <w:rPr>
          <w:lang w:val="en-GB"/>
        </w:rPr>
      </w:pPr>
      <w:r w:rsidRPr="00D76698">
        <w:rPr>
          <w:lang w:val="en-GB"/>
        </w:rPr>
        <w:t xml:space="preserve">that CEPT administrations shall allow free circulation and use of DECT equipment </w:t>
      </w:r>
      <w:r w:rsidR="00287B71">
        <w:rPr>
          <w:lang w:val="en-GB"/>
        </w:rPr>
        <w:t xml:space="preserve">covered by </w:t>
      </w:r>
      <w:r w:rsidR="008A2178">
        <w:rPr>
          <w:lang w:val="en-GB"/>
        </w:rPr>
        <w:t>the present Decision</w:t>
      </w:r>
      <w:r w:rsidRPr="00D76698">
        <w:rPr>
          <w:lang w:val="en-GB"/>
        </w:rPr>
        <w:t>;</w:t>
      </w:r>
    </w:p>
    <w:p w14:paraId="0B844415" w14:textId="77777777" w:rsidR="00D76698" w:rsidRPr="00D76698" w:rsidRDefault="00D76698" w:rsidP="00560EBB">
      <w:pPr>
        <w:numPr>
          <w:ilvl w:val="12"/>
          <w:numId w:val="0"/>
        </w:numPr>
        <w:ind w:left="567" w:hanging="567"/>
        <w:jc w:val="both"/>
        <w:rPr>
          <w:lang w:val="en-GB"/>
        </w:rPr>
      </w:pPr>
    </w:p>
    <w:p w14:paraId="6C348EAD" w14:textId="77777777" w:rsidR="006312FB" w:rsidRPr="00D76698" w:rsidRDefault="00886ADE" w:rsidP="00560EBB">
      <w:pPr>
        <w:numPr>
          <w:ilvl w:val="0"/>
          <w:numId w:val="26"/>
        </w:numPr>
        <w:tabs>
          <w:tab w:val="left" w:pos="567"/>
        </w:tabs>
        <w:autoSpaceDE w:val="0"/>
        <w:autoSpaceDN w:val="0"/>
        <w:ind w:left="567" w:hanging="567"/>
        <w:jc w:val="both"/>
        <w:rPr>
          <w:lang w:val="en-GB"/>
        </w:rPr>
      </w:pPr>
      <w:r w:rsidRPr="00D76698">
        <w:rPr>
          <w:lang w:val="en-GB"/>
        </w:rPr>
        <w:t xml:space="preserve">that this Decision enters into force on </w:t>
      </w:r>
      <w:r w:rsidR="0011100A" w:rsidRPr="00D76698">
        <w:rPr>
          <w:lang w:val="en-GB"/>
        </w:rPr>
        <w:t>8 November 2013</w:t>
      </w:r>
      <w:r w:rsidRPr="00D76698">
        <w:rPr>
          <w:lang w:val="en-GB"/>
        </w:rPr>
        <w:t>;</w:t>
      </w:r>
    </w:p>
    <w:p w14:paraId="375273C4" w14:textId="77777777" w:rsidR="006312FB" w:rsidRPr="00D76698" w:rsidRDefault="006312FB" w:rsidP="00560EBB">
      <w:pPr>
        <w:numPr>
          <w:ilvl w:val="12"/>
          <w:numId w:val="0"/>
        </w:numPr>
        <w:ind w:left="567" w:hanging="567"/>
        <w:jc w:val="both"/>
        <w:rPr>
          <w:lang w:val="en-GB"/>
        </w:rPr>
      </w:pPr>
    </w:p>
    <w:p w14:paraId="712FF5D9" w14:textId="77777777" w:rsidR="006312FB" w:rsidRPr="00D76698" w:rsidRDefault="00886ADE" w:rsidP="00560EBB">
      <w:pPr>
        <w:numPr>
          <w:ilvl w:val="0"/>
          <w:numId w:val="26"/>
        </w:numPr>
        <w:tabs>
          <w:tab w:val="left" w:pos="567"/>
        </w:tabs>
        <w:autoSpaceDE w:val="0"/>
        <w:autoSpaceDN w:val="0"/>
        <w:ind w:left="567" w:hanging="567"/>
        <w:jc w:val="both"/>
        <w:rPr>
          <w:lang w:val="en-GB"/>
        </w:rPr>
      </w:pPr>
      <w:r w:rsidRPr="00D76698">
        <w:rPr>
          <w:lang w:val="en-GB"/>
        </w:rPr>
        <w:t xml:space="preserve">that the preferred date for implementation of this Decision shall be </w:t>
      </w:r>
      <w:r w:rsidR="0011100A" w:rsidRPr="00D76698">
        <w:rPr>
          <w:lang w:val="en-GB"/>
        </w:rPr>
        <w:t>8 May 2014</w:t>
      </w:r>
      <w:r w:rsidRPr="00D76698">
        <w:rPr>
          <w:lang w:val="en-GB"/>
        </w:rPr>
        <w:t>;</w:t>
      </w:r>
    </w:p>
    <w:p w14:paraId="57F78941" w14:textId="77777777" w:rsidR="006312FB" w:rsidRPr="00D76698" w:rsidRDefault="006312FB" w:rsidP="00560EBB">
      <w:pPr>
        <w:numPr>
          <w:ilvl w:val="12"/>
          <w:numId w:val="0"/>
        </w:numPr>
        <w:ind w:left="567" w:hanging="567"/>
        <w:jc w:val="both"/>
        <w:rPr>
          <w:lang w:val="en-GB"/>
        </w:rPr>
      </w:pPr>
    </w:p>
    <w:p w14:paraId="4E597388" w14:textId="77777777" w:rsidR="006312FB" w:rsidRPr="00D76698" w:rsidRDefault="00886ADE" w:rsidP="00D76698">
      <w:pPr>
        <w:numPr>
          <w:ilvl w:val="0"/>
          <w:numId w:val="26"/>
        </w:numPr>
        <w:tabs>
          <w:tab w:val="left" w:pos="567"/>
        </w:tabs>
        <w:autoSpaceDE w:val="0"/>
        <w:autoSpaceDN w:val="0"/>
        <w:ind w:left="567" w:hanging="567"/>
        <w:jc w:val="both"/>
        <w:rPr>
          <w:lang w:val="en-GB"/>
        </w:rPr>
      </w:pPr>
      <w:r w:rsidRPr="00D76698">
        <w:rPr>
          <w:lang w:val="en-GB"/>
        </w:rPr>
        <w:t>that CEPT administrations shall communicate the national measures implementing this Decision to the ECC Chairman and the Office when this ERC Decision is nationally implemented.”</w:t>
      </w:r>
    </w:p>
    <w:p w14:paraId="58B1F7FB" w14:textId="77777777" w:rsidR="006312FB" w:rsidRPr="00D76698" w:rsidRDefault="006312FB" w:rsidP="00560EBB">
      <w:pPr>
        <w:pStyle w:val="ECCParagraph"/>
        <w:keepNext/>
      </w:pPr>
    </w:p>
    <w:p w14:paraId="3E832E47" w14:textId="77777777" w:rsidR="006312FB" w:rsidRPr="00D76698" w:rsidRDefault="006312FB" w:rsidP="00560EBB">
      <w:pPr>
        <w:pStyle w:val="ECCParagraph"/>
        <w:keepNext/>
      </w:pPr>
    </w:p>
    <w:p w14:paraId="49932851" w14:textId="77777777" w:rsidR="006312FB" w:rsidRPr="00D76698" w:rsidRDefault="00886ADE" w:rsidP="00560EBB">
      <w:pPr>
        <w:pStyle w:val="ECCParagraph"/>
        <w:keepNext/>
        <w:rPr>
          <w:i/>
          <w:color w:val="D2232A"/>
        </w:rPr>
      </w:pPr>
      <w:r w:rsidRPr="00D76698">
        <w:rPr>
          <w:i/>
          <w:color w:val="D2232A"/>
        </w:rPr>
        <w:t xml:space="preserve">Note: </w:t>
      </w:r>
    </w:p>
    <w:p w14:paraId="2D7E930E" w14:textId="487B8685" w:rsidR="006312FB" w:rsidRPr="00D76698" w:rsidRDefault="00886ADE" w:rsidP="00560EBB">
      <w:pPr>
        <w:pStyle w:val="ECCParagraph"/>
        <w:keepNext/>
      </w:pPr>
      <w:r w:rsidRPr="00D76698">
        <w:rPr>
          <w:i/>
          <w:szCs w:val="20"/>
        </w:rPr>
        <w:t xml:space="preserve">Please check the Office documentation database </w:t>
      </w:r>
      <w:hyperlink r:id="rId8" w:history="1">
        <w:r w:rsidR="001F4AE7" w:rsidRPr="00D274DC">
          <w:rPr>
            <w:rStyle w:val="Hyperlink"/>
            <w:i/>
            <w:szCs w:val="20"/>
          </w:rPr>
          <w:t>https://docdb.cept.org</w:t>
        </w:r>
      </w:hyperlink>
      <w:r w:rsidRPr="00D76698">
        <w:rPr>
          <w:i/>
          <w:szCs w:val="20"/>
        </w:rPr>
        <w:t xml:space="preserve"> for the up to date position on the implementation of this and other </w:t>
      </w:r>
      <w:smartTag w:uri="urn:schemas-microsoft-com:office:smarttags" w:element="stockticker">
        <w:r w:rsidRPr="00D76698">
          <w:rPr>
            <w:i/>
            <w:szCs w:val="20"/>
          </w:rPr>
          <w:t>ECC/ERC</w:t>
        </w:r>
      </w:smartTag>
      <w:r w:rsidRPr="00D76698">
        <w:rPr>
          <w:i/>
          <w:szCs w:val="20"/>
        </w:rPr>
        <w:t xml:space="preserve"> Decisions.</w:t>
      </w:r>
    </w:p>
    <w:p w14:paraId="6BDC3B94" w14:textId="77777777" w:rsidR="006312FB" w:rsidRPr="00D76698" w:rsidRDefault="006312FB" w:rsidP="00560EBB">
      <w:pPr>
        <w:pStyle w:val="ECCParagraph"/>
      </w:pPr>
    </w:p>
    <w:sectPr w:rsidR="006312FB" w:rsidRPr="00D76698">
      <w:headerReference w:type="even" r:id="rId9"/>
      <w:headerReference w:type="default" r:id="rId10"/>
      <w:headerReference w:type="first" r:id="rId11"/>
      <w:pgSz w:w="11907" w:h="16840" w:code="9"/>
      <w:pgMar w:top="1440" w:right="1134" w:bottom="1440" w:left="1134" w:header="426"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C2C12B" w14:textId="77777777" w:rsidR="00353AB1" w:rsidRDefault="00353AB1">
      <w:r>
        <w:separator/>
      </w:r>
    </w:p>
  </w:endnote>
  <w:endnote w:type="continuationSeparator" w:id="0">
    <w:p w14:paraId="6FB88171" w14:textId="77777777" w:rsidR="00353AB1" w:rsidRDefault="00353A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auto"/>
    <w:pitch w:val="variable"/>
    <w:sig w:usb0="03000000"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Lucida Grande">
    <w:altName w:val="Times New Roman"/>
    <w:charset w:val="00"/>
    <w:family w:val="auto"/>
    <w:pitch w:val="variable"/>
    <w:sig w:usb0="00000000"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C2BA08" w14:textId="77777777" w:rsidR="00353AB1" w:rsidRDefault="00353AB1">
      <w:r>
        <w:separator/>
      </w:r>
    </w:p>
  </w:footnote>
  <w:footnote w:type="continuationSeparator" w:id="0">
    <w:p w14:paraId="3E955ED2" w14:textId="77777777" w:rsidR="00353AB1" w:rsidRDefault="00353A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ED134F" w14:textId="2BEF681E" w:rsidR="006312FB" w:rsidRPr="008D7D8C" w:rsidRDefault="008D7D8C" w:rsidP="008D7D8C">
    <w:pPr>
      <w:pStyle w:val="Header"/>
    </w:pPr>
    <w:r>
      <w:rPr>
        <w:lang w:val="da-DK"/>
      </w:rPr>
      <w:t xml:space="preserve">ERC/DEC/(98)22 </w:t>
    </w:r>
    <w:r>
      <w:rPr>
        <w:szCs w:val="16"/>
        <w:lang w:val="da-DK"/>
      </w:rPr>
      <w:t xml:space="preserve">Page </w:t>
    </w:r>
    <w:r>
      <w:fldChar w:fldCharType="begin"/>
    </w:r>
    <w:r>
      <w:instrText xml:space="preserve"> PAGE  \* Arabic  \* MERGEFORMAT </w:instrText>
    </w:r>
    <w:r>
      <w:fldChar w:fldCharType="separate"/>
    </w:r>
    <w:r w:rsidR="00617219" w:rsidRPr="00617219">
      <w:rPr>
        <w:noProof/>
        <w:szCs w:val="16"/>
        <w:lang w:val="da-DK"/>
      </w:rPr>
      <w:t>4</w:t>
    </w:r>
    <w:r>
      <w:rPr>
        <w:noProof/>
        <w:szCs w:val="16"/>
        <w:lang w:val="da-DK"/>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6A7191" w14:textId="7BF52E0F" w:rsidR="006312FB" w:rsidRDefault="00886ADE">
    <w:pPr>
      <w:pStyle w:val="Header"/>
      <w:jc w:val="right"/>
      <w:rPr>
        <w:szCs w:val="16"/>
        <w:lang w:val="da-DK"/>
      </w:rPr>
    </w:pPr>
    <w:r>
      <w:rPr>
        <w:lang w:val="da-DK"/>
      </w:rPr>
      <w:t xml:space="preserve">ERC/DEC/(98)22 </w:t>
    </w:r>
    <w:r>
      <w:rPr>
        <w:szCs w:val="16"/>
        <w:lang w:val="da-DK"/>
      </w:rPr>
      <w:t xml:space="preserve">Page </w:t>
    </w:r>
    <w:r>
      <w:fldChar w:fldCharType="begin"/>
    </w:r>
    <w:r>
      <w:instrText xml:space="preserve"> PAGE  \* Arabic  \* MERGEFORMAT </w:instrText>
    </w:r>
    <w:r>
      <w:fldChar w:fldCharType="separate"/>
    </w:r>
    <w:r w:rsidR="00617219" w:rsidRPr="00617219">
      <w:rPr>
        <w:noProof/>
        <w:szCs w:val="16"/>
        <w:lang w:val="da-DK"/>
      </w:rPr>
      <w:t>3</w:t>
    </w:r>
    <w:r>
      <w:rPr>
        <w:noProof/>
        <w:szCs w:val="16"/>
        <w:lang w:val="da-DK"/>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129D59" w14:textId="77777777" w:rsidR="006312FB" w:rsidRDefault="00886ADE">
    <w:pPr>
      <w:pStyle w:val="Header"/>
      <w:jc w:val="right"/>
    </w:pPr>
    <w:r>
      <w:rPr>
        <w:noProof/>
        <w:szCs w:val="20"/>
        <w:lang w:val="fr-FR" w:eastAsia="fr-FR"/>
      </w:rPr>
      <w:drawing>
        <wp:anchor distT="0" distB="0" distL="114300" distR="114300" simplePos="0" relativeHeight="251658240" behindDoc="0" locked="0" layoutInCell="1" allowOverlap="1" wp14:anchorId="04385C10" wp14:editId="0130757C">
          <wp:simplePos x="0" y="0"/>
          <wp:positionH relativeFrom="page">
            <wp:posOffset>5717540</wp:posOffset>
          </wp:positionH>
          <wp:positionV relativeFrom="page">
            <wp:posOffset>648335</wp:posOffset>
          </wp:positionV>
          <wp:extent cx="1461770" cy="546100"/>
          <wp:effectExtent l="25400" t="0" r="11430" b="0"/>
          <wp:wrapNone/>
          <wp:docPr id="4" name="Picture 4" descr="ecc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cc_logo"/>
                  <pic:cNvPicPr>
                    <a:picLocks noChangeAspect="1" noChangeArrowheads="1"/>
                  </pic:cNvPicPr>
                </pic:nvPicPr>
                <pic:blipFill>
                  <a:blip r:embed="rId1"/>
                  <a:srcRect/>
                  <a:stretch>
                    <a:fillRect/>
                  </a:stretch>
                </pic:blipFill>
                <pic:spPr bwMode="auto">
                  <a:xfrm>
                    <a:off x="0" y="0"/>
                    <a:ext cx="1461770" cy="546100"/>
                  </a:xfrm>
                  <a:prstGeom prst="rect">
                    <a:avLst/>
                  </a:prstGeom>
                  <a:noFill/>
                </pic:spPr>
              </pic:pic>
            </a:graphicData>
          </a:graphic>
        </wp:anchor>
      </w:drawing>
    </w:r>
    <w:r>
      <w:rPr>
        <w:noProof/>
        <w:szCs w:val="20"/>
        <w:lang w:val="fr-FR" w:eastAsia="fr-FR"/>
      </w:rPr>
      <w:drawing>
        <wp:anchor distT="0" distB="0" distL="114300" distR="114300" simplePos="0" relativeHeight="251657216" behindDoc="0" locked="0" layoutInCell="1" allowOverlap="1" wp14:anchorId="3B17B4D8" wp14:editId="17818F0D">
          <wp:simplePos x="0" y="0"/>
          <wp:positionH relativeFrom="page">
            <wp:posOffset>572770</wp:posOffset>
          </wp:positionH>
          <wp:positionV relativeFrom="page">
            <wp:posOffset>457200</wp:posOffset>
          </wp:positionV>
          <wp:extent cx="889000" cy="889000"/>
          <wp:effectExtent l="25400" t="0" r="0" b="0"/>
          <wp:wrapNone/>
          <wp:docPr id="3" name="Picture 3" descr="cep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ept logo"/>
                  <pic:cNvPicPr>
                    <a:picLocks noChangeAspect="1" noChangeArrowheads="1"/>
                  </pic:cNvPicPr>
                </pic:nvPicPr>
                <pic:blipFill>
                  <a:blip r:embed="rId2"/>
                  <a:srcRect/>
                  <a:stretch>
                    <a:fillRect/>
                  </a:stretch>
                </pic:blipFill>
                <pic:spPr bwMode="auto">
                  <a:xfrm>
                    <a:off x="0" y="0"/>
                    <a:ext cx="889000" cy="889000"/>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F13B6"/>
    <w:multiLevelType w:val="hybridMultilevel"/>
    <w:tmpl w:val="DD14F8C8"/>
    <w:lvl w:ilvl="0" w:tplc="C928A84A">
      <w:start w:val="1"/>
      <w:numFmt w:val="decimal"/>
      <w:lvlText w:val="%1."/>
      <w:lvlJc w:val="left"/>
      <w:pPr>
        <w:ind w:left="720" w:hanging="360"/>
      </w:pPr>
      <w:rPr>
        <w:rFonts w:hint="default"/>
        <w:color w:val="C00000"/>
      </w:rPr>
    </w:lvl>
    <w:lvl w:ilvl="1" w:tplc="04060019">
      <w:start w:val="1"/>
      <w:numFmt w:val="lowerLetter"/>
      <w:lvlText w:val="%2."/>
      <w:lvlJc w:val="left"/>
      <w:pPr>
        <w:ind w:left="1440" w:hanging="360"/>
      </w:pPr>
    </w:lvl>
    <w:lvl w:ilvl="2" w:tplc="43B872B6">
      <w:numFmt w:val="bullet"/>
      <w:lvlText w:val="–"/>
      <w:lvlJc w:val="left"/>
      <w:pPr>
        <w:ind w:left="2160" w:hanging="180"/>
      </w:pPr>
      <w:rPr>
        <w:rFonts w:ascii="Times New Roman" w:eastAsia="Times New Roman" w:hAnsi="Times New Roman" w:cs="Times New Roman" w:hint="default"/>
        <w:color w:val="FF0000"/>
      </w:r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15:restartNumberingAfterBreak="0">
    <w:nsid w:val="0A9364D5"/>
    <w:multiLevelType w:val="singleLevel"/>
    <w:tmpl w:val="0409000F"/>
    <w:lvl w:ilvl="0">
      <w:start w:val="1"/>
      <w:numFmt w:val="decimal"/>
      <w:lvlText w:val="%1."/>
      <w:legacy w:legacy="1" w:legacySpace="0" w:legacyIndent="360"/>
      <w:lvlJc w:val="left"/>
      <w:pPr>
        <w:ind w:left="360" w:hanging="360"/>
      </w:pPr>
    </w:lvl>
  </w:abstractNum>
  <w:abstractNum w:abstractNumId="2" w15:restartNumberingAfterBreak="0">
    <w:nsid w:val="0E0870B8"/>
    <w:multiLevelType w:val="hybridMultilevel"/>
    <w:tmpl w:val="0D5CBE5C"/>
    <w:lvl w:ilvl="0" w:tplc="6B4A692A">
      <w:start w:val="1"/>
      <w:numFmt w:val="decimal"/>
      <w:lvlText w:val="%1)"/>
      <w:lvlJc w:val="left"/>
      <w:pPr>
        <w:tabs>
          <w:tab w:val="num" w:pos="720"/>
        </w:tabs>
        <w:ind w:left="720" w:hanging="360"/>
      </w:pPr>
      <w:rPr>
        <w:rFonts w:hint="default"/>
      </w:rPr>
    </w:lvl>
    <w:lvl w:ilvl="1" w:tplc="04130019">
      <w:start w:val="1"/>
      <w:numFmt w:val="lowerLetter"/>
      <w:lvlText w:val="%2."/>
      <w:lvlJc w:val="left"/>
      <w:pPr>
        <w:tabs>
          <w:tab w:val="num" w:pos="1440"/>
        </w:tabs>
        <w:ind w:left="1440" w:hanging="360"/>
      </w:pPr>
    </w:lvl>
    <w:lvl w:ilvl="2" w:tplc="0413001B">
      <w:start w:val="1"/>
      <w:numFmt w:val="lowerRoman"/>
      <w:lvlText w:val="%3."/>
      <w:lvlJc w:val="right"/>
      <w:pPr>
        <w:tabs>
          <w:tab w:val="num" w:pos="2160"/>
        </w:tabs>
        <w:ind w:left="2160" w:hanging="180"/>
      </w:pPr>
    </w:lvl>
    <w:lvl w:ilvl="3" w:tplc="0413000F">
      <w:start w:val="1"/>
      <w:numFmt w:val="decimal"/>
      <w:lvlText w:val="%4."/>
      <w:lvlJc w:val="left"/>
      <w:pPr>
        <w:tabs>
          <w:tab w:val="num" w:pos="2880"/>
        </w:tabs>
        <w:ind w:left="2880" w:hanging="360"/>
      </w:pPr>
    </w:lvl>
    <w:lvl w:ilvl="4" w:tplc="04130019">
      <w:start w:val="1"/>
      <w:numFmt w:val="lowerLetter"/>
      <w:lvlText w:val="%5."/>
      <w:lvlJc w:val="left"/>
      <w:pPr>
        <w:tabs>
          <w:tab w:val="num" w:pos="3600"/>
        </w:tabs>
        <w:ind w:left="3600" w:hanging="360"/>
      </w:pPr>
    </w:lvl>
    <w:lvl w:ilvl="5" w:tplc="0413001B">
      <w:start w:val="1"/>
      <w:numFmt w:val="lowerRoman"/>
      <w:lvlText w:val="%6."/>
      <w:lvlJc w:val="right"/>
      <w:pPr>
        <w:tabs>
          <w:tab w:val="num" w:pos="4320"/>
        </w:tabs>
        <w:ind w:left="4320" w:hanging="180"/>
      </w:pPr>
    </w:lvl>
    <w:lvl w:ilvl="6" w:tplc="0413000F">
      <w:start w:val="1"/>
      <w:numFmt w:val="decimal"/>
      <w:lvlText w:val="%7."/>
      <w:lvlJc w:val="left"/>
      <w:pPr>
        <w:tabs>
          <w:tab w:val="num" w:pos="5040"/>
        </w:tabs>
        <w:ind w:left="5040" w:hanging="360"/>
      </w:pPr>
    </w:lvl>
    <w:lvl w:ilvl="7" w:tplc="04130019">
      <w:start w:val="1"/>
      <w:numFmt w:val="lowerLetter"/>
      <w:lvlText w:val="%8."/>
      <w:lvlJc w:val="left"/>
      <w:pPr>
        <w:tabs>
          <w:tab w:val="num" w:pos="5760"/>
        </w:tabs>
        <w:ind w:left="5760" w:hanging="360"/>
      </w:pPr>
    </w:lvl>
    <w:lvl w:ilvl="8" w:tplc="0413001B">
      <w:start w:val="1"/>
      <w:numFmt w:val="lowerRoman"/>
      <w:lvlText w:val="%9."/>
      <w:lvlJc w:val="right"/>
      <w:pPr>
        <w:tabs>
          <w:tab w:val="num" w:pos="6480"/>
        </w:tabs>
        <w:ind w:left="6480" w:hanging="180"/>
      </w:pPr>
    </w:lvl>
  </w:abstractNum>
  <w:abstractNum w:abstractNumId="3" w15:restartNumberingAfterBreak="0">
    <w:nsid w:val="1543661A"/>
    <w:multiLevelType w:val="multilevel"/>
    <w:tmpl w:val="FF0640BA"/>
    <w:lvl w:ilvl="0">
      <w:start w:val="1"/>
      <w:numFmt w:val="decimal"/>
      <w:suff w:val="space"/>
      <w:lvlText w:val="ANNEX %1:"/>
      <w:lvlJc w:val="left"/>
      <w:pPr>
        <w:ind w:left="0" w:firstLine="0"/>
      </w:pPr>
      <w:rPr>
        <w:rFonts w:ascii="Arial" w:hAnsi="Arial" w:hint="default"/>
        <w:b/>
        <w:bCs w:val="0"/>
        <w:i w:val="0"/>
        <w:iCs w:val="0"/>
        <w:smallCaps w:val="0"/>
        <w:strike w:val="0"/>
        <w:dstrike w:val="0"/>
        <w:vanish w:val="0"/>
        <w:color w:val="D2232A"/>
        <w:spacing w:val="0"/>
        <w:position w:val="0"/>
        <w:sz w:val="20"/>
        <w:u w:val="none"/>
        <w:vertAlign w:val="baseline"/>
        <w:em w:val="none"/>
      </w:rPr>
    </w:lvl>
    <w:lvl w:ilvl="1">
      <w:start w:val="1"/>
      <w:numFmt w:val="decimal"/>
      <w:suff w:val="space"/>
      <w:lvlText w:val="A.%1.%2"/>
      <w:lvlJc w:val="left"/>
      <w:pPr>
        <w:ind w:left="576" w:hanging="576"/>
      </w:pPr>
      <w:rPr>
        <w:rFonts w:hint="default"/>
      </w:rPr>
    </w:lvl>
    <w:lvl w:ilvl="2">
      <w:start w:val="1"/>
      <w:numFmt w:val="decimal"/>
      <w:lvlText w:val="A.%1.%2.%3"/>
      <w:lvlJc w:val="left"/>
      <w:pPr>
        <w:tabs>
          <w:tab w:val="num" w:pos="720"/>
        </w:tabs>
        <w:ind w:left="720" w:hanging="720"/>
      </w:pPr>
      <w:rPr>
        <w:rFonts w:hint="default"/>
      </w:rPr>
    </w:lvl>
    <w:lvl w:ilvl="3">
      <w:start w:val="1"/>
      <w:numFmt w:val="decimal"/>
      <w:lvlText w:val="A.%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1BB101DD"/>
    <w:multiLevelType w:val="multilevel"/>
    <w:tmpl w:val="4252BC28"/>
    <w:lvl w:ilvl="0">
      <w:numFmt w:val="bullet"/>
      <w:lvlText w:val="–"/>
      <w:lvlJc w:val="left"/>
      <w:pPr>
        <w:tabs>
          <w:tab w:val="num" w:pos="397"/>
        </w:tabs>
        <w:ind w:left="397" w:hanging="397"/>
      </w:pPr>
      <w:rPr>
        <w:rFonts w:ascii="Times New Roman" w:eastAsia="Times New Roman" w:hAnsi="Times New Roman" w:cs="Times New Roman" w:hint="default"/>
        <w:b w:val="0"/>
        <w:i w:val="0"/>
        <w:color w:val="FF0000"/>
        <w:sz w:val="20"/>
      </w:rPr>
    </w:lvl>
    <w:lvl w:ilvl="1">
      <w:start w:val="1"/>
      <w:numFmt w:val="lowerLetter"/>
      <w:lvlText w:val="%2)"/>
      <w:lvlJc w:val="left"/>
      <w:pPr>
        <w:tabs>
          <w:tab w:val="num" w:pos="397"/>
        </w:tabs>
        <w:ind w:left="737" w:hanging="340"/>
      </w:pPr>
      <w:rPr>
        <w:rFonts w:ascii="Arial" w:hAnsi="Arial" w:hint="default"/>
        <w:b w:val="0"/>
        <w:i w:val="0"/>
        <w:color w:val="D2232A"/>
        <w:sz w:val="20"/>
      </w:rPr>
    </w:lvl>
    <w:lvl w:ilvl="2">
      <w:start w:val="1"/>
      <w:numFmt w:val="none"/>
      <w:lvlText w:val=""/>
      <w:lvlJc w:val="left"/>
      <w:pPr>
        <w:tabs>
          <w:tab w:val="num" w:pos="720"/>
        </w:tabs>
        <w:ind w:left="720" w:hanging="720"/>
      </w:pPr>
      <w:rPr>
        <w:rFonts w:ascii="Arial Bold" w:hAnsi="Arial Bold" w:hint="default"/>
        <w:b/>
        <w:i w:val="0"/>
        <w:sz w:val="20"/>
      </w:rPr>
    </w:lvl>
    <w:lvl w:ilvl="3">
      <w:start w:val="1"/>
      <w:numFmt w:val="none"/>
      <w:lvlText w:val=""/>
      <w:lvlJc w:val="left"/>
      <w:pPr>
        <w:tabs>
          <w:tab w:val="num" w:pos="864"/>
        </w:tabs>
        <w:ind w:left="864" w:hanging="864"/>
      </w:pPr>
      <w:rPr>
        <w:rFonts w:ascii="Arial" w:hAnsi="Arial" w:hint="default"/>
        <w:b w:val="0"/>
        <w:i/>
        <w:color w:val="2F2E79"/>
        <w:sz w:val="20"/>
      </w:rPr>
    </w:lvl>
    <w:lvl w:ilvl="4">
      <w:start w:val="1"/>
      <w:numFmt w:val="none"/>
      <w:lvlText w:val=""/>
      <w:lvlJc w:val="left"/>
      <w:pPr>
        <w:tabs>
          <w:tab w:val="num" w:pos="1008"/>
        </w:tabs>
        <w:ind w:left="1008" w:hanging="1008"/>
      </w:pPr>
      <w:rPr>
        <w:rFonts w:hint="default"/>
        <w:sz w:val="24"/>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5" w15:restartNumberingAfterBreak="0">
    <w:nsid w:val="1E060383"/>
    <w:multiLevelType w:val="multilevel"/>
    <w:tmpl w:val="EBB62B36"/>
    <w:lvl w:ilvl="0">
      <w:start w:val="1"/>
      <w:numFmt w:val="lowerLetter"/>
      <w:pStyle w:val="LetteredList"/>
      <w:lvlText w:val="%1)"/>
      <w:lvlJc w:val="left"/>
      <w:pPr>
        <w:tabs>
          <w:tab w:val="num" w:pos="397"/>
        </w:tabs>
        <w:ind w:left="397" w:hanging="397"/>
      </w:pPr>
      <w:rPr>
        <w:rFonts w:ascii="Arial" w:hAnsi="Arial" w:hint="default"/>
        <w:color w:val="D2232A"/>
        <w:sz w:val="20"/>
      </w:rPr>
    </w:lvl>
    <w:lvl w:ilvl="1">
      <w:start w:val="1"/>
      <w:numFmt w:val="none"/>
      <w:lvlText w:val=""/>
      <w:lvlJc w:val="left"/>
      <w:pPr>
        <w:tabs>
          <w:tab w:val="num" w:pos="1080"/>
        </w:tabs>
        <w:ind w:left="1080" w:hanging="360"/>
      </w:pPr>
      <w:rPr>
        <w:rFonts w:hint="default"/>
      </w:rPr>
    </w:lvl>
    <w:lvl w:ilvl="2">
      <w:start w:val="1"/>
      <w:numFmt w:val="none"/>
      <w:lvlText w:val=""/>
      <w:lvlJc w:val="right"/>
      <w:pPr>
        <w:tabs>
          <w:tab w:val="num" w:pos="1800"/>
        </w:tabs>
        <w:ind w:left="1800" w:hanging="180"/>
      </w:pPr>
      <w:rPr>
        <w:rFonts w:hint="default"/>
      </w:rPr>
    </w:lvl>
    <w:lvl w:ilvl="3">
      <w:start w:val="1"/>
      <w:numFmt w:val="none"/>
      <w:lvlText w:val=""/>
      <w:lvlJc w:val="left"/>
      <w:pPr>
        <w:tabs>
          <w:tab w:val="num" w:pos="2520"/>
        </w:tabs>
        <w:ind w:left="2520" w:hanging="360"/>
      </w:pPr>
      <w:rPr>
        <w:rFonts w:hint="default"/>
      </w:rPr>
    </w:lvl>
    <w:lvl w:ilvl="4">
      <w:start w:val="1"/>
      <w:numFmt w:val="none"/>
      <w:lvlText w:val=""/>
      <w:lvlJc w:val="left"/>
      <w:pPr>
        <w:tabs>
          <w:tab w:val="num" w:pos="3240"/>
        </w:tabs>
        <w:ind w:left="3240" w:hanging="360"/>
      </w:pPr>
      <w:rPr>
        <w:rFonts w:hint="default"/>
      </w:rPr>
    </w:lvl>
    <w:lvl w:ilvl="5">
      <w:start w:val="1"/>
      <w:numFmt w:val="none"/>
      <w:lvlText w:val=""/>
      <w:lvlJc w:val="right"/>
      <w:pPr>
        <w:tabs>
          <w:tab w:val="num" w:pos="3960"/>
        </w:tabs>
        <w:ind w:left="3960" w:hanging="180"/>
      </w:pPr>
      <w:rPr>
        <w:rFonts w:hint="default"/>
      </w:rPr>
    </w:lvl>
    <w:lvl w:ilvl="6">
      <w:start w:val="1"/>
      <w:numFmt w:val="none"/>
      <w:lvlText w:val=""/>
      <w:lvlJc w:val="left"/>
      <w:pPr>
        <w:tabs>
          <w:tab w:val="num" w:pos="4680"/>
        </w:tabs>
        <w:ind w:left="4680" w:hanging="360"/>
      </w:pPr>
      <w:rPr>
        <w:rFonts w:hint="default"/>
      </w:rPr>
    </w:lvl>
    <w:lvl w:ilvl="7">
      <w:start w:val="1"/>
      <w:numFmt w:val="none"/>
      <w:lvlText w:val=""/>
      <w:lvlJc w:val="left"/>
      <w:pPr>
        <w:tabs>
          <w:tab w:val="num" w:pos="5400"/>
        </w:tabs>
        <w:ind w:left="5400" w:hanging="360"/>
      </w:pPr>
      <w:rPr>
        <w:rFonts w:hint="default"/>
      </w:rPr>
    </w:lvl>
    <w:lvl w:ilvl="8">
      <w:start w:val="1"/>
      <w:numFmt w:val="none"/>
      <w:lvlText w:val=""/>
      <w:lvlJc w:val="right"/>
      <w:pPr>
        <w:tabs>
          <w:tab w:val="num" w:pos="6120"/>
        </w:tabs>
        <w:ind w:left="6120" w:hanging="180"/>
      </w:pPr>
      <w:rPr>
        <w:rFonts w:hint="default"/>
      </w:rPr>
    </w:lvl>
  </w:abstractNum>
  <w:abstractNum w:abstractNumId="6" w15:restartNumberingAfterBreak="0">
    <w:nsid w:val="212F4188"/>
    <w:multiLevelType w:val="multilevel"/>
    <w:tmpl w:val="BF1AD4A4"/>
    <w:lvl w:ilvl="0">
      <w:start w:val="1"/>
      <w:numFmt w:val="decimal"/>
      <w:pStyle w:val="ECCAnnex-heading1"/>
      <w:suff w:val="space"/>
      <w:lvlText w:val="ANNEX %1:"/>
      <w:lvlJc w:val="left"/>
      <w:pPr>
        <w:ind w:left="0" w:firstLine="0"/>
      </w:pPr>
      <w:rPr>
        <w:rFonts w:ascii="Arial" w:hAnsi="Arial" w:hint="default"/>
        <w:b/>
        <w:bCs w:val="0"/>
        <w:i w:val="0"/>
        <w:iCs w:val="0"/>
        <w:smallCaps w:val="0"/>
        <w:strike w:val="0"/>
        <w:dstrike w:val="0"/>
        <w:vanish w:val="0"/>
        <w:color w:val="D2232A"/>
        <w:spacing w:val="0"/>
        <w:position w:val="0"/>
        <w:sz w:val="20"/>
        <w:u w:val="none"/>
        <w:vertAlign w:val="baseline"/>
        <w:em w:val="none"/>
      </w:rPr>
    </w:lvl>
    <w:lvl w:ilvl="1">
      <w:start w:val="1"/>
      <w:numFmt w:val="decimal"/>
      <w:pStyle w:val="ECCAnnexheading2"/>
      <w:suff w:val="space"/>
      <w:lvlText w:val="A%1.%2"/>
      <w:lvlJc w:val="left"/>
      <w:pPr>
        <w:ind w:left="576" w:hanging="576"/>
      </w:pPr>
      <w:rPr>
        <w:rFonts w:hint="default"/>
      </w:rPr>
    </w:lvl>
    <w:lvl w:ilvl="2">
      <w:start w:val="1"/>
      <w:numFmt w:val="decimal"/>
      <w:pStyle w:val="ECCAnnexheading3"/>
      <w:lvlText w:val="A%1.%2.%3"/>
      <w:lvlJc w:val="left"/>
      <w:pPr>
        <w:tabs>
          <w:tab w:val="num" w:pos="720"/>
        </w:tabs>
        <w:ind w:left="720" w:hanging="720"/>
      </w:pPr>
      <w:rPr>
        <w:rFonts w:hint="default"/>
      </w:rPr>
    </w:lvl>
    <w:lvl w:ilvl="3">
      <w:start w:val="1"/>
      <w:numFmt w:val="decimal"/>
      <w:pStyle w:val="ECCAnnexheading4"/>
      <w:lvlText w:val="A%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2F9A72C9"/>
    <w:multiLevelType w:val="hybridMultilevel"/>
    <w:tmpl w:val="CF882B38"/>
    <w:lvl w:ilvl="0" w:tplc="78E8E71C">
      <w:start w:val="1"/>
      <w:numFmt w:val="lowerLetter"/>
      <w:lvlText w:val="%1)"/>
      <w:lvlJc w:val="left"/>
      <w:pPr>
        <w:ind w:left="786" w:hanging="360"/>
      </w:pPr>
      <w:rPr>
        <w:rFonts w:ascii="Arial" w:hAnsi="Arial" w:hint="default"/>
        <w:b w:val="0"/>
        <w:bCs w:val="0"/>
        <w:i w:val="0"/>
        <w:iCs w:val="0"/>
        <w:color w:val="D2232A"/>
        <w:sz w:val="20"/>
        <w:szCs w:val="20"/>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8" w15:restartNumberingAfterBreak="0">
    <w:nsid w:val="3269348F"/>
    <w:multiLevelType w:val="hybridMultilevel"/>
    <w:tmpl w:val="9EB40B58"/>
    <w:lvl w:ilvl="0" w:tplc="4C0CFF66">
      <w:start w:val="1"/>
      <w:numFmt w:val="lowerLetter"/>
      <w:lvlText w:val="%1)"/>
      <w:lvlJc w:val="left"/>
      <w:pPr>
        <w:ind w:left="1080" w:hanging="72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9" w15:restartNumberingAfterBreak="0">
    <w:nsid w:val="32A77A34"/>
    <w:multiLevelType w:val="hybridMultilevel"/>
    <w:tmpl w:val="31DAC7DE"/>
    <w:lvl w:ilvl="0" w:tplc="3A02A90A">
      <w:start w:val="1"/>
      <w:numFmt w:val="bullet"/>
      <w:pStyle w:val="WGNNA-bulleted"/>
      <w:lvlText w:val=""/>
      <w:lvlJc w:val="left"/>
      <w:pPr>
        <w:tabs>
          <w:tab w:val="num" w:pos="372"/>
        </w:tabs>
        <w:ind w:left="372" w:hanging="372"/>
      </w:pPr>
      <w:rPr>
        <w:rFonts w:ascii="Wingdings" w:hAnsi="Wingdings" w:hint="default"/>
        <w:color w:val="auto"/>
      </w:rPr>
    </w:lvl>
    <w:lvl w:ilvl="1" w:tplc="8D403736">
      <w:start w:val="1"/>
      <w:numFmt w:val="bullet"/>
      <w:lvlText w:val="o"/>
      <w:lvlJc w:val="left"/>
      <w:pPr>
        <w:tabs>
          <w:tab w:val="num" w:pos="306"/>
        </w:tabs>
        <w:ind w:left="306" w:hanging="360"/>
      </w:pPr>
      <w:rPr>
        <w:rFonts w:ascii="Courier New" w:hAnsi="Courier New" w:hint="default"/>
      </w:rPr>
    </w:lvl>
    <w:lvl w:ilvl="2" w:tplc="5BD807E8">
      <w:start w:val="1"/>
      <w:numFmt w:val="bullet"/>
      <w:lvlText w:val=""/>
      <w:lvlJc w:val="left"/>
      <w:pPr>
        <w:tabs>
          <w:tab w:val="num" w:pos="1026"/>
        </w:tabs>
        <w:ind w:left="1026" w:hanging="360"/>
      </w:pPr>
      <w:rPr>
        <w:rFonts w:ascii="Wingdings" w:hAnsi="Wingdings" w:hint="default"/>
      </w:rPr>
    </w:lvl>
    <w:lvl w:ilvl="3" w:tplc="981C1218">
      <w:start w:val="1"/>
      <w:numFmt w:val="bullet"/>
      <w:lvlText w:val=""/>
      <w:lvlJc w:val="left"/>
      <w:pPr>
        <w:tabs>
          <w:tab w:val="num" w:pos="1746"/>
        </w:tabs>
        <w:ind w:left="1746" w:hanging="360"/>
      </w:pPr>
      <w:rPr>
        <w:rFonts w:ascii="Symbol" w:hAnsi="Symbol" w:hint="default"/>
      </w:rPr>
    </w:lvl>
    <w:lvl w:ilvl="4" w:tplc="8FCAD614">
      <w:start w:val="1"/>
      <w:numFmt w:val="bullet"/>
      <w:lvlText w:val="o"/>
      <w:lvlJc w:val="left"/>
      <w:pPr>
        <w:tabs>
          <w:tab w:val="num" w:pos="2466"/>
        </w:tabs>
        <w:ind w:left="2466" w:hanging="360"/>
      </w:pPr>
      <w:rPr>
        <w:rFonts w:ascii="Courier New" w:hAnsi="Courier New" w:hint="default"/>
      </w:rPr>
    </w:lvl>
    <w:lvl w:ilvl="5" w:tplc="7DCA0EC2">
      <w:start w:val="1"/>
      <w:numFmt w:val="bullet"/>
      <w:lvlText w:val=""/>
      <w:lvlJc w:val="left"/>
      <w:pPr>
        <w:tabs>
          <w:tab w:val="num" w:pos="3186"/>
        </w:tabs>
        <w:ind w:left="3186" w:hanging="360"/>
      </w:pPr>
      <w:rPr>
        <w:rFonts w:ascii="Wingdings" w:hAnsi="Wingdings" w:hint="default"/>
      </w:rPr>
    </w:lvl>
    <w:lvl w:ilvl="6" w:tplc="9FECB932">
      <w:start w:val="1"/>
      <w:numFmt w:val="bullet"/>
      <w:lvlText w:val=""/>
      <w:lvlJc w:val="left"/>
      <w:pPr>
        <w:tabs>
          <w:tab w:val="num" w:pos="3906"/>
        </w:tabs>
        <w:ind w:left="3906" w:hanging="360"/>
      </w:pPr>
      <w:rPr>
        <w:rFonts w:ascii="Symbol" w:hAnsi="Symbol" w:hint="default"/>
      </w:rPr>
    </w:lvl>
    <w:lvl w:ilvl="7" w:tplc="4D062F30">
      <w:start w:val="1"/>
      <w:numFmt w:val="bullet"/>
      <w:lvlText w:val="o"/>
      <w:lvlJc w:val="left"/>
      <w:pPr>
        <w:tabs>
          <w:tab w:val="num" w:pos="4626"/>
        </w:tabs>
        <w:ind w:left="4626" w:hanging="360"/>
      </w:pPr>
      <w:rPr>
        <w:rFonts w:ascii="Courier New" w:hAnsi="Courier New" w:hint="default"/>
      </w:rPr>
    </w:lvl>
    <w:lvl w:ilvl="8" w:tplc="AE00BD02">
      <w:start w:val="1"/>
      <w:numFmt w:val="bullet"/>
      <w:lvlText w:val=""/>
      <w:lvlJc w:val="left"/>
      <w:pPr>
        <w:tabs>
          <w:tab w:val="num" w:pos="5346"/>
        </w:tabs>
        <w:ind w:left="5346" w:hanging="360"/>
      </w:pPr>
      <w:rPr>
        <w:rFonts w:ascii="Wingdings" w:hAnsi="Wingdings" w:hint="default"/>
      </w:rPr>
    </w:lvl>
  </w:abstractNum>
  <w:abstractNum w:abstractNumId="10" w15:restartNumberingAfterBreak="0">
    <w:nsid w:val="361343C0"/>
    <w:multiLevelType w:val="multilevel"/>
    <w:tmpl w:val="294220AC"/>
    <w:styleLink w:val="Letteredlist0"/>
    <w:lvl w:ilvl="0">
      <w:start w:val="1"/>
      <w:numFmt w:val="lowerLetter"/>
      <w:lvlText w:val="%1)"/>
      <w:lvlJc w:val="left"/>
      <w:pPr>
        <w:tabs>
          <w:tab w:val="num" w:pos="397"/>
        </w:tabs>
        <w:ind w:left="397" w:hanging="397"/>
      </w:pPr>
      <w:rPr>
        <w:rFonts w:ascii="Arial" w:hAnsi="Arial" w:hint="default"/>
        <w:color w:val="D2232A"/>
        <w:sz w:val="20"/>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1" w15:restartNumberingAfterBreak="0">
    <w:nsid w:val="39151866"/>
    <w:multiLevelType w:val="multilevel"/>
    <w:tmpl w:val="53846CC4"/>
    <w:lvl w:ilvl="0">
      <w:start w:val="1"/>
      <w:numFmt w:val="decimal"/>
      <w:lvlText w:val="%1."/>
      <w:lvlJc w:val="left"/>
      <w:pPr>
        <w:tabs>
          <w:tab w:val="num" w:pos="397"/>
        </w:tabs>
        <w:ind w:left="397" w:hanging="397"/>
      </w:pPr>
      <w:rPr>
        <w:rFonts w:ascii="Arial" w:hAnsi="Arial" w:hint="default"/>
        <w:b w:val="0"/>
        <w:i w:val="0"/>
        <w:color w:val="D2232A"/>
        <w:sz w:val="20"/>
      </w:rPr>
    </w:lvl>
    <w:lvl w:ilvl="1">
      <w:start w:val="1"/>
      <w:numFmt w:val="lowerLetter"/>
      <w:lvlText w:val="%2)"/>
      <w:lvlJc w:val="left"/>
      <w:pPr>
        <w:tabs>
          <w:tab w:val="num" w:pos="397"/>
        </w:tabs>
        <w:ind w:left="737" w:hanging="340"/>
      </w:pPr>
      <w:rPr>
        <w:rFonts w:ascii="Arial" w:hAnsi="Arial" w:hint="default"/>
        <w:b w:val="0"/>
        <w:i w:val="0"/>
        <w:color w:val="D2232A"/>
        <w:sz w:val="20"/>
      </w:rPr>
    </w:lvl>
    <w:lvl w:ilvl="2">
      <w:start w:val="1"/>
      <w:numFmt w:val="none"/>
      <w:lvlText w:val=""/>
      <w:lvlJc w:val="left"/>
      <w:pPr>
        <w:tabs>
          <w:tab w:val="num" w:pos="720"/>
        </w:tabs>
        <w:ind w:left="720" w:hanging="720"/>
      </w:pPr>
      <w:rPr>
        <w:rFonts w:ascii="Arial Bold" w:hAnsi="Arial Bold" w:hint="default"/>
        <w:b/>
        <w:i w:val="0"/>
        <w:sz w:val="20"/>
      </w:rPr>
    </w:lvl>
    <w:lvl w:ilvl="3">
      <w:start w:val="1"/>
      <w:numFmt w:val="none"/>
      <w:lvlText w:val=""/>
      <w:lvlJc w:val="left"/>
      <w:pPr>
        <w:tabs>
          <w:tab w:val="num" w:pos="864"/>
        </w:tabs>
        <w:ind w:left="864" w:hanging="864"/>
      </w:pPr>
      <w:rPr>
        <w:rFonts w:ascii="Arial" w:hAnsi="Arial" w:hint="default"/>
        <w:b w:val="0"/>
        <w:i/>
        <w:color w:val="2F2E79"/>
        <w:sz w:val="20"/>
      </w:rPr>
    </w:lvl>
    <w:lvl w:ilvl="4">
      <w:start w:val="1"/>
      <w:numFmt w:val="none"/>
      <w:lvlText w:val=""/>
      <w:lvlJc w:val="left"/>
      <w:pPr>
        <w:tabs>
          <w:tab w:val="num" w:pos="1008"/>
        </w:tabs>
        <w:ind w:left="1008" w:hanging="1008"/>
      </w:pPr>
      <w:rPr>
        <w:rFonts w:hint="default"/>
        <w:sz w:val="24"/>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12" w15:restartNumberingAfterBreak="0">
    <w:nsid w:val="3C275A4E"/>
    <w:multiLevelType w:val="hybridMultilevel"/>
    <w:tmpl w:val="5AE2E4D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3D163F7A"/>
    <w:multiLevelType w:val="multilevel"/>
    <w:tmpl w:val="BDCA875C"/>
    <w:lvl w:ilvl="0">
      <w:start w:val="1"/>
      <w:numFmt w:val="decimal"/>
      <w:pStyle w:val="Heading2"/>
      <w:lvlText w:val="%1"/>
      <w:lvlJc w:val="left"/>
      <w:pPr>
        <w:tabs>
          <w:tab w:val="num" w:pos="432"/>
        </w:tabs>
        <w:ind w:left="432" w:hanging="432"/>
      </w:pPr>
      <w:rPr>
        <w:rFonts w:ascii="Arial" w:hAnsi="Arial" w:hint="default"/>
        <w:b/>
        <w:i w:val="0"/>
        <w:color w:val="D2232A"/>
        <w:sz w:val="20"/>
        <w:szCs w:val="20"/>
      </w:rPr>
    </w:lvl>
    <w:lvl w:ilvl="1">
      <w:start w:val="1"/>
      <w:numFmt w:val="decimal"/>
      <w:pStyle w:val="Heading3"/>
      <w:lvlText w:val="%1.%2"/>
      <w:lvlJc w:val="left"/>
      <w:pPr>
        <w:tabs>
          <w:tab w:val="num" w:pos="576"/>
        </w:tabs>
        <w:ind w:left="576" w:hanging="576"/>
      </w:pPr>
      <w:rPr>
        <w:rFonts w:ascii="Arial" w:hAnsi="Arial" w:hint="default"/>
        <w:b/>
        <w:i w:val="0"/>
        <w:color w:val="D2232A"/>
        <w:sz w:val="20"/>
      </w:rPr>
    </w:lvl>
    <w:lvl w:ilvl="2">
      <w:start w:val="1"/>
      <w:numFmt w:val="decimal"/>
      <w:pStyle w:val="Heading4"/>
      <w:lvlText w:val="%1.%2.%3"/>
      <w:lvlJc w:val="left"/>
      <w:pPr>
        <w:tabs>
          <w:tab w:val="num" w:pos="720"/>
        </w:tabs>
        <w:ind w:left="720" w:hanging="720"/>
      </w:pPr>
      <w:rPr>
        <w:rFonts w:ascii="Arial" w:hAnsi="Arial" w:hint="default"/>
        <w:b/>
        <w:i w:val="0"/>
        <w:caps w:val="0"/>
        <w:sz w:val="20"/>
        <w:szCs w:val="20"/>
      </w:rPr>
    </w:lvl>
    <w:lvl w:ilvl="3">
      <w:start w:val="1"/>
      <w:numFmt w:val="decimal"/>
      <w:pStyle w:val="Heading4"/>
      <w:lvlText w:val="%1.%2.%3.%4"/>
      <w:lvlJc w:val="left"/>
      <w:pPr>
        <w:tabs>
          <w:tab w:val="num" w:pos="864"/>
        </w:tabs>
        <w:ind w:left="864" w:hanging="864"/>
      </w:pPr>
      <w:rPr>
        <w:rFonts w:ascii="Times New Roman" w:hAnsi="Times New Roman" w:hint="default"/>
        <w:b w:val="0"/>
        <w:i/>
        <w:sz w:val="20"/>
      </w:rPr>
    </w:lvl>
    <w:lvl w:ilvl="4">
      <w:start w:val="1"/>
      <w:numFmt w:val="decimal"/>
      <w:pStyle w:val="Heading5"/>
      <w:lvlText w:val="%1.%2.%3.%4.%5"/>
      <w:lvlJc w:val="left"/>
      <w:pPr>
        <w:tabs>
          <w:tab w:val="num" w:pos="1008"/>
        </w:tabs>
        <w:ind w:left="1008" w:hanging="1008"/>
      </w:pPr>
      <w:rPr>
        <w:rFonts w:hint="default"/>
        <w:sz w:val="24"/>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4" w15:restartNumberingAfterBreak="0">
    <w:nsid w:val="427E184A"/>
    <w:multiLevelType w:val="hybridMultilevel"/>
    <w:tmpl w:val="F51A9A3A"/>
    <w:lvl w:ilvl="0" w:tplc="C65085F2">
      <w:start w:val="1"/>
      <w:numFmt w:val="bullet"/>
      <w:pStyle w:val="ECCParBulleted"/>
      <w:lvlText w:val=""/>
      <w:lvlJc w:val="left"/>
      <w:pPr>
        <w:tabs>
          <w:tab w:val="num" w:pos="360"/>
        </w:tabs>
        <w:ind w:left="360" w:hanging="360"/>
      </w:pPr>
      <w:rPr>
        <w:rFonts w:ascii="Wingdings" w:hAnsi="Wingdings" w:hint="default"/>
        <w:color w:val="D2232A"/>
      </w:rPr>
    </w:lvl>
    <w:lvl w:ilvl="1" w:tplc="2722AF3A" w:tentative="1">
      <w:start w:val="1"/>
      <w:numFmt w:val="bullet"/>
      <w:lvlText w:val="o"/>
      <w:lvlJc w:val="left"/>
      <w:pPr>
        <w:tabs>
          <w:tab w:val="num" w:pos="1440"/>
        </w:tabs>
        <w:ind w:left="1440" w:hanging="360"/>
      </w:pPr>
      <w:rPr>
        <w:rFonts w:ascii="Courier New" w:hAnsi="Courier New" w:cs="Arial" w:hint="default"/>
      </w:rPr>
    </w:lvl>
    <w:lvl w:ilvl="2" w:tplc="DF3A6222" w:tentative="1">
      <w:start w:val="1"/>
      <w:numFmt w:val="bullet"/>
      <w:lvlText w:val=""/>
      <w:lvlJc w:val="left"/>
      <w:pPr>
        <w:tabs>
          <w:tab w:val="num" w:pos="2160"/>
        </w:tabs>
        <w:ind w:left="2160" w:hanging="360"/>
      </w:pPr>
      <w:rPr>
        <w:rFonts w:ascii="Wingdings" w:hAnsi="Wingdings" w:hint="default"/>
      </w:rPr>
    </w:lvl>
    <w:lvl w:ilvl="3" w:tplc="38384B7C" w:tentative="1">
      <w:start w:val="1"/>
      <w:numFmt w:val="bullet"/>
      <w:lvlText w:val=""/>
      <w:lvlJc w:val="left"/>
      <w:pPr>
        <w:tabs>
          <w:tab w:val="num" w:pos="2880"/>
        </w:tabs>
        <w:ind w:left="2880" w:hanging="360"/>
      </w:pPr>
      <w:rPr>
        <w:rFonts w:ascii="Symbol" w:hAnsi="Symbol" w:hint="default"/>
      </w:rPr>
    </w:lvl>
    <w:lvl w:ilvl="4" w:tplc="3FACFB98" w:tentative="1">
      <w:start w:val="1"/>
      <w:numFmt w:val="bullet"/>
      <w:lvlText w:val="o"/>
      <w:lvlJc w:val="left"/>
      <w:pPr>
        <w:tabs>
          <w:tab w:val="num" w:pos="3600"/>
        </w:tabs>
        <w:ind w:left="3600" w:hanging="360"/>
      </w:pPr>
      <w:rPr>
        <w:rFonts w:ascii="Courier New" w:hAnsi="Courier New" w:cs="Arial" w:hint="default"/>
      </w:rPr>
    </w:lvl>
    <w:lvl w:ilvl="5" w:tplc="9AB23964" w:tentative="1">
      <w:start w:val="1"/>
      <w:numFmt w:val="bullet"/>
      <w:lvlText w:val=""/>
      <w:lvlJc w:val="left"/>
      <w:pPr>
        <w:tabs>
          <w:tab w:val="num" w:pos="4320"/>
        </w:tabs>
        <w:ind w:left="4320" w:hanging="360"/>
      </w:pPr>
      <w:rPr>
        <w:rFonts w:ascii="Wingdings" w:hAnsi="Wingdings" w:hint="default"/>
      </w:rPr>
    </w:lvl>
    <w:lvl w:ilvl="6" w:tplc="0CD81336" w:tentative="1">
      <w:start w:val="1"/>
      <w:numFmt w:val="bullet"/>
      <w:lvlText w:val=""/>
      <w:lvlJc w:val="left"/>
      <w:pPr>
        <w:tabs>
          <w:tab w:val="num" w:pos="5040"/>
        </w:tabs>
        <w:ind w:left="5040" w:hanging="360"/>
      </w:pPr>
      <w:rPr>
        <w:rFonts w:ascii="Symbol" w:hAnsi="Symbol" w:hint="default"/>
      </w:rPr>
    </w:lvl>
    <w:lvl w:ilvl="7" w:tplc="41885BBC" w:tentative="1">
      <w:start w:val="1"/>
      <w:numFmt w:val="bullet"/>
      <w:lvlText w:val="o"/>
      <w:lvlJc w:val="left"/>
      <w:pPr>
        <w:tabs>
          <w:tab w:val="num" w:pos="5760"/>
        </w:tabs>
        <w:ind w:left="5760" w:hanging="360"/>
      </w:pPr>
      <w:rPr>
        <w:rFonts w:ascii="Courier New" w:hAnsi="Courier New" w:cs="Arial" w:hint="default"/>
      </w:rPr>
    </w:lvl>
    <w:lvl w:ilvl="8" w:tplc="BC0A8502"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E6242A"/>
    <w:multiLevelType w:val="hybridMultilevel"/>
    <w:tmpl w:val="48DEBF0A"/>
    <w:lvl w:ilvl="0" w:tplc="0B1E7C38">
      <w:start w:val="1"/>
      <w:numFmt w:val="decimal"/>
      <w:pStyle w:val="reference"/>
      <w:lvlText w:val="[%1]"/>
      <w:lvlJc w:val="left"/>
      <w:pPr>
        <w:tabs>
          <w:tab w:val="num" w:pos="397"/>
        </w:tabs>
        <w:ind w:left="397" w:hanging="397"/>
      </w:pPr>
      <w:rPr>
        <w:rFonts w:ascii="Arial" w:hAnsi="Arial" w:hint="default"/>
        <w:b w:val="0"/>
        <w:i w:val="0"/>
        <w:color w:val="D2232A"/>
        <w:sz w:val="20"/>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6" w15:restartNumberingAfterBreak="0">
    <w:nsid w:val="499B11C1"/>
    <w:multiLevelType w:val="multilevel"/>
    <w:tmpl w:val="CF28CB36"/>
    <w:lvl w:ilvl="0">
      <w:start w:val="1"/>
      <w:numFmt w:val="decimal"/>
      <w:pStyle w:val="ECCFiguretitle"/>
      <w:suff w:val="space"/>
      <w:lvlText w:val="Figure %1:"/>
      <w:lvlJc w:val="left"/>
      <w:pPr>
        <w:ind w:left="360" w:hanging="360"/>
      </w:pPr>
      <w:rPr>
        <w:rFonts w:ascii="Arial" w:hAnsi="Arial" w:hint="default"/>
        <w:b/>
        <w:i w:val="0"/>
        <w:color w:val="D2232A"/>
        <w:sz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15:restartNumberingAfterBreak="0">
    <w:nsid w:val="504E0D90"/>
    <w:multiLevelType w:val="hybridMultilevel"/>
    <w:tmpl w:val="112E64D0"/>
    <w:lvl w:ilvl="0" w:tplc="56CC27A0">
      <w:start w:val="1"/>
      <w:numFmt w:val="lowerLetter"/>
      <w:lvlText w:val="%1."/>
      <w:lvlJc w:val="left"/>
      <w:pPr>
        <w:ind w:left="720" w:hanging="360"/>
      </w:pPr>
      <w:rPr>
        <w:rFonts w:ascii="Arial" w:hAnsi="Arial" w:hint="default"/>
        <w:color w:val="C00000"/>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65F42E0"/>
    <w:multiLevelType w:val="hybridMultilevel"/>
    <w:tmpl w:val="96ACDCE4"/>
    <w:lvl w:ilvl="0" w:tplc="C928A84A">
      <w:start w:val="1"/>
      <w:numFmt w:val="decimal"/>
      <w:lvlText w:val="%1."/>
      <w:lvlJc w:val="left"/>
      <w:pPr>
        <w:ind w:left="720" w:hanging="360"/>
      </w:pPr>
      <w:rPr>
        <w:rFonts w:hint="default"/>
        <w:color w:val="C00000"/>
      </w:r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9" w15:restartNumberingAfterBreak="0">
    <w:nsid w:val="5A0A7942"/>
    <w:multiLevelType w:val="hybridMultilevel"/>
    <w:tmpl w:val="9758A0BA"/>
    <w:lvl w:ilvl="0" w:tplc="C1B02910">
      <w:start w:val="1"/>
      <w:numFmt w:val="lowerLetter"/>
      <w:lvlText w:val="%1)"/>
      <w:lvlJc w:val="left"/>
      <w:pPr>
        <w:ind w:left="720" w:hanging="360"/>
      </w:pPr>
      <w:rPr>
        <w:rFonts w:hint="default"/>
        <w:color w:val="FF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A3A37F2"/>
    <w:multiLevelType w:val="singleLevel"/>
    <w:tmpl w:val="78E8E71C"/>
    <w:lvl w:ilvl="0">
      <w:start w:val="1"/>
      <w:numFmt w:val="lowerLetter"/>
      <w:lvlText w:val="%1)"/>
      <w:lvlJc w:val="left"/>
      <w:pPr>
        <w:tabs>
          <w:tab w:val="num" w:pos="340"/>
        </w:tabs>
        <w:ind w:left="340" w:hanging="340"/>
      </w:pPr>
      <w:rPr>
        <w:rFonts w:ascii="Arial" w:hAnsi="Arial" w:hint="default"/>
        <w:b w:val="0"/>
        <w:bCs w:val="0"/>
        <w:i w:val="0"/>
        <w:iCs w:val="0"/>
        <w:color w:val="D2232A"/>
        <w:sz w:val="20"/>
        <w:szCs w:val="20"/>
      </w:rPr>
    </w:lvl>
  </w:abstractNum>
  <w:abstractNum w:abstractNumId="21" w15:restartNumberingAfterBreak="0">
    <w:nsid w:val="63613D33"/>
    <w:multiLevelType w:val="hybridMultilevel"/>
    <w:tmpl w:val="0D96875C"/>
    <w:lvl w:ilvl="0" w:tplc="C1B02910">
      <w:start w:val="1"/>
      <w:numFmt w:val="lowerLetter"/>
      <w:lvlText w:val="%1)"/>
      <w:lvlJc w:val="left"/>
      <w:pPr>
        <w:ind w:left="720" w:hanging="360"/>
      </w:pPr>
      <w:rPr>
        <w:rFonts w:hint="default"/>
        <w:color w:val="FF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3CA071C"/>
    <w:multiLevelType w:val="hybridMultilevel"/>
    <w:tmpl w:val="D7D0D90E"/>
    <w:lvl w:ilvl="0" w:tplc="56CC27A0">
      <w:start w:val="1"/>
      <w:numFmt w:val="lowerLetter"/>
      <w:lvlText w:val="%1."/>
      <w:lvlJc w:val="left"/>
      <w:pPr>
        <w:ind w:left="720" w:hanging="360"/>
      </w:pPr>
      <w:rPr>
        <w:rFonts w:ascii="Arial" w:hAnsi="Arial" w:hint="default"/>
        <w:color w:val="C00000"/>
        <w:sz w:val="2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5900A89"/>
    <w:multiLevelType w:val="hybridMultilevel"/>
    <w:tmpl w:val="0E761AB2"/>
    <w:lvl w:ilvl="0" w:tplc="43B872B6">
      <w:numFmt w:val="bullet"/>
      <w:lvlText w:val="–"/>
      <w:lvlJc w:val="left"/>
      <w:pPr>
        <w:ind w:left="720" w:hanging="360"/>
      </w:pPr>
      <w:rPr>
        <w:rFonts w:ascii="Times New Roman" w:eastAsia="Times New Roman" w:hAnsi="Times New Roman" w:cs="Times New Roman" w:hint="default"/>
        <w:color w:val="FF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88A35D6"/>
    <w:multiLevelType w:val="multilevel"/>
    <w:tmpl w:val="BDD8AD68"/>
    <w:styleLink w:val="ECCNumberedList"/>
    <w:lvl w:ilvl="0">
      <w:start w:val="1"/>
      <w:numFmt w:val="decimal"/>
      <w:lvlText w:val="%1."/>
      <w:lvlJc w:val="left"/>
      <w:pPr>
        <w:tabs>
          <w:tab w:val="num" w:pos="397"/>
        </w:tabs>
        <w:ind w:left="397" w:hanging="397"/>
      </w:pPr>
      <w:rPr>
        <w:rFonts w:ascii="Arial" w:hAnsi="Arial" w:hint="default"/>
        <w:b w:val="0"/>
        <w:i w:val="0"/>
        <w:color w:val="D2232A"/>
        <w:sz w:val="20"/>
      </w:rPr>
    </w:lvl>
    <w:lvl w:ilvl="1">
      <w:start w:val="1"/>
      <w:numFmt w:val="lowerLetter"/>
      <w:lvlText w:val="%2)"/>
      <w:lvlJc w:val="left"/>
      <w:pPr>
        <w:tabs>
          <w:tab w:val="num" w:pos="397"/>
        </w:tabs>
        <w:ind w:left="737" w:hanging="340"/>
      </w:pPr>
      <w:rPr>
        <w:rFonts w:ascii="Arial" w:hAnsi="Arial" w:hint="default"/>
        <w:b w:val="0"/>
        <w:i w:val="0"/>
        <w:color w:val="D2232A"/>
        <w:sz w:val="20"/>
      </w:rPr>
    </w:lvl>
    <w:lvl w:ilvl="2">
      <w:start w:val="1"/>
      <w:numFmt w:val="none"/>
      <w:lvlText w:val=""/>
      <w:lvlJc w:val="left"/>
      <w:pPr>
        <w:tabs>
          <w:tab w:val="num" w:pos="720"/>
        </w:tabs>
        <w:ind w:left="720" w:hanging="720"/>
      </w:pPr>
      <w:rPr>
        <w:rFonts w:ascii="Arial Bold" w:hAnsi="Arial Bold" w:hint="default"/>
        <w:b/>
        <w:i w:val="0"/>
        <w:sz w:val="20"/>
      </w:rPr>
    </w:lvl>
    <w:lvl w:ilvl="3">
      <w:start w:val="1"/>
      <w:numFmt w:val="none"/>
      <w:lvlText w:val=""/>
      <w:lvlJc w:val="left"/>
      <w:pPr>
        <w:tabs>
          <w:tab w:val="num" w:pos="864"/>
        </w:tabs>
        <w:ind w:left="864" w:hanging="864"/>
      </w:pPr>
      <w:rPr>
        <w:rFonts w:ascii="Arial" w:hAnsi="Arial" w:hint="default"/>
        <w:b w:val="0"/>
        <w:i/>
        <w:color w:val="2F2E79"/>
        <w:sz w:val="20"/>
      </w:rPr>
    </w:lvl>
    <w:lvl w:ilvl="4">
      <w:start w:val="1"/>
      <w:numFmt w:val="none"/>
      <w:lvlText w:val=""/>
      <w:lvlJc w:val="left"/>
      <w:pPr>
        <w:tabs>
          <w:tab w:val="num" w:pos="1008"/>
        </w:tabs>
        <w:ind w:left="1008" w:hanging="1008"/>
      </w:pPr>
      <w:rPr>
        <w:rFonts w:hint="default"/>
        <w:sz w:val="24"/>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25" w15:restartNumberingAfterBreak="0">
    <w:nsid w:val="6C6B0172"/>
    <w:multiLevelType w:val="multilevel"/>
    <w:tmpl w:val="0122C030"/>
    <w:styleLink w:val="ECCNumbers-Letters"/>
    <w:lvl w:ilvl="0">
      <w:start w:val="1"/>
      <w:numFmt w:val="decimal"/>
      <w:pStyle w:val="ECCNumbered-LetteredList"/>
      <w:lvlText w:val="%1."/>
      <w:lvlJc w:val="left"/>
      <w:pPr>
        <w:tabs>
          <w:tab w:val="num" w:pos="340"/>
        </w:tabs>
        <w:ind w:left="340" w:hanging="340"/>
      </w:pPr>
      <w:rPr>
        <w:rFonts w:ascii="Arial" w:hAnsi="Arial" w:hint="default"/>
        <w:b w:val="0"/>
        <w:i w:val="0"/>
        <w:color w:val="D2232A"/>
        <w:sz w:val="20"/>
      </w:rPr>
    </w:lvl>
    <w:lvl w:ilvl="1">
      <w:start w:val="1"/>
      <w:numFmt w:val="lowerLetter"/>
      <w:lvlText w:val="%2)"/>
      <w:lvlJc w:val="left"/>
      <w:pPr>
        <w:tabs>
          <w:tab w:val="num" w:pos="680"/>
        </w:tabs>
        <w:ind w:left="680" w:hanging="340"/>
      </w:pPr>
      <w:rPr>
        <w:rFonts w:ascii="Arial" w:hAnsi="Arial" w:hint="default"/>
        <w:b w:val="0"/>
        <w:i w:val="0"/>
        <w:color w:val="D2232A"/>
        <w:sz w:val="20"/>
      </w:rPr>
    </w:lvl>
    <w:lvl w:ilvl="2">
      <w:start w:val="1"/>
      <w:numFmt w:val="bullet"/>
      <w:lvlText w:val=""/>
      <w:lvlJc w:val="left"/>
      <w:pPr>
        <w:tabs>
          <w:tab w:val="num" w:pos="1021"/>
        </w:tabs>
        <w:ind w:left="1021" w:hanging="341"/>
      </w:pPr>
      <w:rPr>
        <w:rFonts w:ascii="Wingdings" w:hAnsi="Wingdings" w:hint="default"/>
        <w:b/>
        <w:i w:val="0"/>
        <w:color w:val="D2232A"/>
        <w:sz w:val="20"/>
      </w:rPr>
    </w:lvl>
    <w:lvl w:ilvl="3">
      <w:start w:val="1"/>
      <w:numFmt w:val="none"/>
      <w:lvlText w:val=""/>
      <w:lvlJc w:val="left"/>
      <w:pPr>
        <w:tabs>
          <w:tab w:val="num" w:pos="1077"/>
        </w:tabs>
        <w:ind w:left="1728" w:hanging="648"/>
      </w:pPr>
      <w:rPr>
        <w:rFonts w:hint="default"/>
        <w:b w:val="0"/>
        <w:i/>
        <w:color w:val="2F2E79"/>
        <w:sz w:val="20"/>
      </w:rPr>
    </w:lvl>
    <w:lvl w:ilvl="4">
      <w:start w:val="1"/>
      <w:numFmt w:val="none"/>
      <w:lvlText w:val=""/>
      <w:lvlJc w:val="left"/>
      <w:pPr>
        <w:ind w:left="2232" w:hanging="792"/>
      </w:pPr>
      <w:rPr>
        <w:rFonts w:hint="default"/>
        <w:sz w:val="24"/>
      </w:rPr>
    </w:lvl>
    <w:lvl w:ilvl="5">
      <w:start w:val="1"/>
      <w:numFmt w:val="none"/>
      <w:lvlText w:val=""/>
      <w:lvlJc w:val="left"/>
      <w:pPr>
        <w:ind w:left="2736" w:hanging="936"/>
      </w:pPr>
      <w:rPr>
        <w:rFonts w:hint="default"/>
      </w:rPr>
    </w:lvl>
    <w:lvl w:ilvl="6">
      <w:start w:val="1"/>
      <w:numFmt w:val="none"/>
      <w:lvlText w:val=""/>
      <w:lvlJc w:val="left"/>
      <w:pPr>
        <w:ind w:left="3240" w:hanging="1080"/>
      </w:pPr>
      <w:rPr>
        <w:rFonts w:hint="default"/>
      </w:rPr>
    </w:lvl>
    <w:lvl w:ilvl="7">
      <w:start w:val="1"/>
      <w:numFmt w:val="none"/>
      <w:lvlText w:val=""/>
      <w:lvlJc w:val="left"/>
      <w:pPr>
        <w:ind w:left="3744" w:hanging="1224"/>
      </w:pPr>
      <w:rPr>
        <w:rFonts w:hint="default"/>
      </w:rPr>
    </w:lvl>
    <w:lvl w:ilvl="8">
      <w:start w:val="1"/>
      <w:numFmt w:val="none"/>
      <w:lvlText w:val=""/>
      <w:lvlJc w:val="left"/>
      <w:pPr>
        <w:ind w:left="4320" w:hanging="1440"/>
      </w:pPr>
      <w:rPr>
        <w:rFonts w:hint="default"/>
      </w:rPr>
    </w:lvl>
  </w:abstractNum>
  <w:abstractNum w:abstractNumId="26" w15:restartNumberingAfterBreak="0">
    <w:nsid w:val="6CE6105D"/>
    <w:multiLevelType w:val="hybridMultilevel"/>
    <w:tmpl w:val="E9B440D4"/>
    <w:lvl w:ilvl="0" w:tplc="C1B02910">
      <w:start w:val="1"/>
      <w:numFmt w:val="lowerLetter"/>
      <w:lvlText w:val="%1)"/>
      <w:lvlJc w:val="left"/>
      <w:pPr>
        <w:ind w:left="720" w:hanging="360"/>
      </w:pPr>
      <w:rPr>
        <w:rFonts w:hint="default"/>
        <w:color w:val="FF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E394BEB"/>
    <w:multiLevelType w:val="hybridMultilevel"/>
    <w:tmpl w:val="4DAAEB3E"/>
    <w:lvl w:ilvl="0" w:tplc="43B872B6">
      <w:numFmt w:val="bullet"/>
      <w:lvlText w:val="–"/>
      <w:lvlJc w:val="left"/>
      <w:pPr>
        <w:ind w:left="720" w:hanging="360"/>
      </w:pPr>
      <w:rPr>
        <w:rFonts w:ascii="Times New Roman" w:eastAsia="Times New Roman" w:hAnsi="Times New Roman" w:cs="Times New Roman" w:hint="default"/>
        <w:color w:val="FF0000"/>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8" w15:restartNumberingAfterBreak="0">
    <w:nsid w:val="7B3212E4"/>
    <w:multiLevelType w:val="multilevel"/>
    <w:tmpl w:val="A724997C"/>
    <w:lvl w:ilvl="0">
      <w:start w:val="1"/>
      <w:numFmt w:val="decimal"/>
      <w:pStyle w:val="ECCTabletitle"/>
      <w:suff w:val="space"/>
      <w:lvlText w:val="Table %1:"/>
      <w:lvlJc w:val="left"/>
      <w:pPr>
        <w:ind w:left="360" w:hanging="360"/>
      </w:pPr>
      <w:rPr>
        <w:rFonts w:ascii="Arial" w:hAnsi="Arial" w:hint="default"/>
        <w:b/>
        <w:i w:val="0"/>
        <w:color w:val="D2232A"/>
        <w:sz w:val="20"/>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9" w15:restartNumberingAfterBreak="0">
    <w:nsid w:val="7BC90F0A"/>
    <w:multiLevelType w:val="hybridMultilevel"/>
    <w:tmpl w:val="4A1451DE"/>
    <w:lvl w:ilvl="0" w:tplc="43B872B6">
      <w:numFmt w:val="bullet"/>
      <w:lvlText w:val="–"/>
      <w:lvlJc w:val="left"/>
      <w:pPr>
        <w:ind w:left="720" w:hanging="360"/>
      </w:pPr>
      <w:rPr>
        <w:rFonts w:ascii="Times New Roman" w:eastAsia="Times New Roman" w:hAnsi="Times New Roman" w:cs="Times New Roman" w:hint="default"/>
        <w:color w:val="FF0000"/>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0" w15:restartNumberingAfterBreak="0">
    <w:nsid w:val="7E70721F"/>
    <w:multiLevelType w:val="hybridMultilevel"/>
    <w:tmpl w:val="E384C7EC"/>
    <w:lvl w:ilvl="0" w:tplc="43B872B6">
      <w:numFmt w:val="bullet"/>
      <w:lvlText w:val="–"/>
      <w:lvlJc w:val="left"/>
      <w:pPr>
        <w:ind w:left="720" w:hanging="360"/>
      </w:pPr>
      <w:rPr>
        <w:rFonts w:ascii="Times New Roman" w:eastAsia="Times New Roman" w:hAnsi="Times New Roman" w:cs="Times New Roman" w:hint="default"/>
        <w:color w:val="FF0000"/>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13"/>
  </w:num>
  <w:num w:numId="2">
    <w:abstractNumId w:val="28"/>
  </w:num>
  <w:num w:numId="3">
    <w:abstractNumId w:val="16"/>
  </w:num>
  <w:num w:numId="4">
    <w:abstractNumId w:val="6"/>
  </w:num>
  <w:num w:numId="5">
    <w:abstractNumId w:val="20"/>
  </w:num>
  <w:num w:numId="6">
    <w:abstractNumId w:val="10"/>
  </w:num>
  <w:num w:numId="7">
    <w:abstractNumId w:val="9"/>
  </w:num>
  <w:num w:numId="8">
    <w:abstractNumId w:val="15"/>
  </w:num>
  <w:num w:numId="9">
    <w:abstractNumId w:val="14"/>
  </w:num>
  <w:num w:numId="10">
    <w:abstractNumId w:val="11"/>
  </w:num>
  <w:num w:numId="11">
    <w:abstractNumId w:val="15"/>
    <w:lvlOverride w:ilvl="0">
      <w:startOverride w:val="1"/>
    </w:lvlOverride>
  </w:num>
  <w:num w:numId="12">
    <w:abstractNumId w:val="5"/>
  </w:num>
  <w:num w:numId="13">
    <w:abstractNumId w:val="3"/>
  </w:num>
  <w:num w:numId="14">
    <w:abstractNumId w:val="25"/>
  </w:num>
  <w:num w:numId="15">
    <w:abstractNumId w:val="24"/>
  </w:num>
  <w:num w:numId="1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8"/>
  </w:num>
  <w:num w:numId="19">
    <w:abstractNumId w:val="27"/>
  </w:num>
  <w:num w:numId="20">
    <w:abstractNumId w:val="12"/>
  </w:num>
  <w:num w:numId="21">
    <w:abstractNumId w:val="29"/>
  </w:num>
  <w:num w:numId="22">
    <w:abstractNumId w:val="30"/>
  </w:num>
  <w:num w:numId="23">
    <w:abstractNumId w:val="2"/>
  </w:num>
  <w:num w:numId="24">
    <w:abstractNumId w:val="4"/>
  </w:num>
  <w:num w:numId="25">
    <w:abstractNumId w:val="1"/>
  </w:num>
  <w:num w:numId="26">
    <w:abstractNumId w:val="18"/>
  </w:num>
  <w:num w:numId="27">
    <w:abstractNumId w:val="23"/>
  </w:num>
  <w:num w:numId="28">
    <w:abstractNumId w:val="0"/>
  </w:num>
  <w:num w:numId="29">
    <w:abstractNumId w:val="22"/>
  </w:num>
  <w:num w:numId="30">
    <w:abstractNumId w:val="17"/>
  </w:num>
  <w:num w:numId="31">
    <w:abstractNumId w:val="19"/>
  </w:num>
  <w:num w:numId="32">
    <w:abstractNumId w:val="26"/>
  </w:num>
  <w:num w:numId="3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9"/>
  <w:removeDateAndTime/>
  <w:proofState w:spelling="clean" w:grammar="clean"/>
  <w:stylePaneFormatFilter w:val="2001" w:allStyles="1" w:customStyles="0" w:latentStyles="0" w:stylesInUse="0" w:headingStyles="0" w:numberingStyles="0" w:tableStyles="0" w:directFormattingOnRuns="0" w:directFormattingOnParagraphs="0" w:directFormattingOnNumbering="0" w:directFormattingOnTables="0" w:clearFormatting="0" w:top3HeadingStyles="1" w:visibleStyles="0" w:alternateStyleNames="0"/>
  <w:trackRevisions/>
  <w:defaultTabStop w:val="720"/>
  <w:hyphenationZone w:val="425"/>
  <w:evenAndOddHeaders/>
  <w:characterSpacingControl w:val="doNotCompress"/>
  <w:hdrShapeDefaults>
    <o:shapedefaults v:ext="edit" spidmax="2050">
      <o:colormru v:ext="edit" colors="#7b6c58,#887e6e,#d2232a,#57433e,#b0a696"/>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312FB"/>
    <w:rsid w:val="00030AB7"/>
    <w:rsid w:val="000713AB"/>
    <w:rsid w:val="00083726"/>
    <w:rsid w:val="00092DBF"/>
    <w:rsid w:val="000C0A15"/>
    <w:rsid w:val="000C7A59"/>
    <w:rsid w:val="000F619A"/>
    <w:rsid w:val="0011100A"/>
    <w:rsid w:val="00154AC7"/>
    <w:rsid w:val="001A3921"/>
    <w:rsid w:val="001F4AE7"/>
    <w:rsid w:val="001F62D3"/>
    <w:rsid w:val="0021066F"/>
    <w:rsid w:val="0021263C"/>
    <w:rsid w:val="00234B44"/>
    <w:rsid w:val="00287B71"/>
    <w:rsid w:val="00297421"/>
    <w:rsid w:val="002A15F4"/>
    <w:rsid w:val="002A7015"/>
    <w:rsid w:val="002D2909"/>
    <w:rsid w:val="002D63CA"/>
    <w:rsid w:val="003169BA"/>
    <w:rsid w:val="00353AB1"/>
    <w:rsid w:val="00356260"/>
    <w:rsid w:val="003E102D"/>
    <w:rsid w:val="00476213"/>
    <w:rsid w:val="00476385"/>
    <w:rsid w:val="00494286"/>
    <w:rsid w:val="004E4EF5"/>
    <w:rsid w:val="0050500A"/>
    <w:rsid w:val="005544E7"/>
    <w:rsid w:val="00560EBB"/>
    <w:rsid w:val="00573961"/>
    <w:rsid w:val="00575061"/>
    <w:rsid w:val="00595984"/>
    <w:rsid w:val="005F3DFD"/>
    <w:rsid w:val="00617219"/>
    <w:rsid w:val="006312FB"/>
    <w:rsid w:val="00652337"/>
    <w:rsid w:val="00677033"/>
    <w:rsid w:val="00685BF3"/>
    <w:rsid w:val="006868CD"/>
    <w:rsid w:val="006A5781"/>
    <w:rsid w:val="006A5F0A"/>
    <w:rsid w:val="006D74D2"/>
    <w:rsid w:val="00702AEA"/>
    <w:rsid w:val="00716768"/>
    <w:rsid w:val="00784C64"/>
    <w:rsid w:val="0079470F"/>
    <w:rsid w:val="007C620D"/>
    <w:rsid w:val="007E280E"/>
    <w:rsid w:val="007E50DC"/>
    <w:rsid w:val="00834793"/>
    <w:rsid w:val="00886ADE"/>
    <w:rsid w:val="008A2178"/>
    <w:rsid w:val="008D0AC3"/>
    <w:rsid w:val="008D7D8C"/>
    <w:rsid w:val="008E388B"/>
    <w:rsid w:val="008F3AFE"/>
    <w:rsid w:val="009003E9"/>
    <w:rsid w:val="009139C6"/>
    <w:rsid w:val="009204C1"/>
    <w:rsid w:val="00933891"/>
    <w:rsid w:val="00946439"/>
    <w:rsid w:val="009A4903"/>
    <w:rsid w:val="00A33394"/>
    <w:rsid w:val="00A80143"/>
    <w:rsid w:val="00A97576"/>
    <w:rsid w:val="00AA3012"/>
    <w:rsid w:val="00AD1724"/>
    <w:rsid w:val="00B030C3"/>
    <w:rsid w:val="00B250E3"/>
    <w:rsid w:val="00B42125"/>
    <w:rsid w:val="00B626F5"/>
    <w:rsid w:val="00B94E04"/>
    <w:rsid w:val="00BB5089"/>
    <w:rsid w:val="00BF5000"/>
    <w:rsid w:val="00C148A8"/>
    <w:rsid w:val="00CA70A2"/>
    <w:rsid w:val="00CF7AD9"/>
    <w:rsid w:val="00D07FF3"/>
    <w:rsid w:val="00D15650"/>
    <w:rsid w:val="00D413B6"/>
    <w:rsid w:val="00D76698"/>
    <w:rsid w:val="00D77077"/>
    <w:rsid w:val="00D94869"/>
    <w:rsid w:val="00E03201"/>
    <w:rsid w:val="00E12165"/>
    <w:rsid w:val="00E1494F"/>
    <w:rsid w:val="00E27762"/>
    <w:rsid w:val="00E35AF2"/>
    <w:rsid w:val="00E4674C"/>
    <w:rsid w:val="00E925CC"/>
    <w:rsid w:val="00E97A4E"/>
    <w:rsid w:val="00EE4592"/>
    <w:rsid w:val="00EF5827"/>
    <w:rsid w:val="00F417AB"/>
    <w:rsid w:val="00F50E2F"/>
    <w:rsid w:val="00F87214"/>
    <w:rsid w:val="00FD2701"/>
    <w:rsid w:val="00FF30C4"/>
  </w:rsids>
  <m:mathPr>
    <m:mathFont m:val="Cambria Math"/>
    <m:brkBin m:val="before"/>
    <m:brkBinSub m:val="--"/>
    <m:smallFrac m:val="0"/>
    <m:dispDef m:val="0"/>
    <m:lMargin m:val="0"/>
    <m:rMargin m:val="0"/>
    <m:defJc m:val="centerGroup"/>
    <m:wrapRight/>
    <m:intLim m:val="subSup"/>
    <m:naryLim m:val="subSup"/>
  </m:mathPr>
  <w:themeFontLang w:val="de-DE"/>
  <w:clrSchemeMapping w:bg1="light1" w:t1="dark1" w:bg2="light2" w:t2="dark2" w:accent1="accent1" w:accent2="accent2" w:accent3="accent3" w:accent4="accent4" w:accent5="accent5" w:accent6="accent6" w:hyperlink="hyperlink" w:followedHyperlink="followedHyperlink"/>
  <w:doNotAutoCompressPictures/>
  <w:smartTagType w:namespaceuri="urn:schemas-microsoft-com:office:smarttags" w:name="stockticker"/>
  <w:shapeDefaults>
    <o:shapedefaults v:ext="edit" spidmax="2050">
      <o:colormru v:ext="edit" colors="#7b6c58,#887e6e,#d2232a,#57433e,#b0a696"/>
    </o:shapedefaults>
    <o:shapelayout v:ext="edit">
      <o:idmap v:ext="edit" data="2"/>
    </o:shapelayout>
  </w:shapeDefaults>
  <w:decimalSymbol w:val="."/>
  <w:listSeparator w:val=","/>
  <w14:docId w14:val="03422329"/>
  <w15:docId w15:val="{03653F86-030E-4E95-89F6-F186B6A39F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5C7C"/>
    <w:rPr>
      <w:rFonts w:ascii="Arial" w:hAnsi="Arial"/>
      <w:szCs w:val="24"/>
      <w:lang w:val="en-US"/>
    </w:rPr>
  </w:style>
  <w:style w:type="paragraph" w:styleId="Heading1">
    <w:name w:val="heading 1"/>
    <w:aliases w:val="ECC Heading 1"/>
    <w:basedOn w:val="Normal"/>
    <w:next w:val="ECCParagraph"/>
    <w:autoRedefine/>
    <w:qFormat/>
    <w:rsid w:val="00F417AB"/>
    <w:pPr>
      <w:keepNext/>
      <w:pageBreakBefore/>
      <w:spacing w:before="400" w:after="240"/>
      <w:outlineLvl w:val="0"/>
    </w:pPr>
    <w:rPr>
      <w:rFonts w:cs="Arial"/>
      <w:b/>
      <w:bCs/>
      <w:caps/>
      <w:color w:val="D2232A"/>
      <w:kern w:val="32"/>
      <w:szCs w:val="32"/>
      <w:lang w:val="en-GB"/>
    </w:rPr>
  </w:style>
  <w:style w:type="paragraph" w:styleId="Heading2">
    <w:name w:val="heading 2"/>
    <w:aliases w:val="ECC Heading 2"/>
    <w:basedOn w:val="Normal"/>
    <w:next w:val="ECCParagraph"/>
    <w:autoRedefine/>
    <w:qFormat/>
    <w:rsid w:val="00FE1795"/>
    <w:pPr>
      <w:keepNext/>
      <w:numPr>
        <w:numId w:val="1"/>
      </w:numPr>
      <w:spacing w:before="480" w:after="240"/>
      <w:outlineLvl w:val="1"/>
    </w:pPr>
    <w:rPr>
      <w:rFonts w:cs="Arial"/>
      <w:b/>
      <w:bCs/>
      <w:iCs/>
      <w:caps/>
      <w:color w:val="D2232A"/>
      <w:szCs w:val="28"/>
    </w:rPr>
  </w:style>
  <w:style w:type="paragraph" w:styleId="Heading3">
    <w:name w:val="heading 3"/>
    <w:aliases w:val="ECC Heading 3"/>
    <w:basedOn w:val="Normal"/>
    <w:next w:val="ECCParagraph"/>
    <w:autoRedefine/>
    <w:qFormat/>
    <w:rsid w:val="00FE1795"/>
    <w:pPr>
      <w:keepNext/>
      <w:numPr>
        <w:ilvl w:val="1"/>
        <w:numId w:val="1"/>
      </w:numPr>
      <w:spacing w:before="360" w:after="120"/>
      <w:outlineLvl w:val="2"/>
    </w:pPr>
    <w:rPr>
      <w:rFonts w:cs="Arial"/>
      <w:b/>
      <w:bCs/>
      <w:szCs w:val="26"/>
    </w:rPr>
  </w:style>
  <w:style w:type="paragraph" w:styleId="Heading4">
    <w:name w:val="heading 4"/>
    <w:aliases w:val="ECC Heading 4"/>
    <w:basedOn w:val="Normal"/>
    <w:next w:val="ECCParagraph"/>
    <w:autoRedefine/>
    <w:qFormat/>
    <w:rsid w:val="00C95C7C"/>
    <w:pPr>
      <w:numPr>
        <w:ilvl w:val="3"/>
        <w:numId w:val="1"/>
      </w:numPr>
      <w:spacing w:before="360" w:after="120"/>
      <w:outlineLvl w:val="3"/>
    </w:pPr>
    <w:rPr>
      <w:rFonts w:cs="Arial"/>
      <w:bCs/>
      <w:i/>
      <w:color w:val="D2232A"/>
      <w:szCs w:val="26"/>
    </w:rPr>
  </w:style>
  <w:style w:type="paragraph" w:styleId="Heading5">
    <w:name w:val="heading 5"/>
    <w:basedOn w:val="Normal"/>
    <w:next w:val="Normal"/>
    <w:qFormat/>
    <w:rsid w:val="004F32DC"/>
    <w:pPr>
      <w:numPr>
        <w:ilvl w:val="4"/>
        <w:numId w:val="1"/>
      </w:numPr>
      <w:spacing w:before="240" w:after="60"/>
      <w:outlineLvl w:val="4"/>
    </w:pPr>
    <w:rPr>
      <w:b/>
      <w:bCs/>
      <w:i/>
      <w:iCs/>
      <w:sz w:val="26"/>
      <w:szCs w:val="26"/>
    </w:rPr>
  </w:style>
  <w:style w:type="paragraph" w:styleId="Heading6">
    <w:name w:val="heading 6"/>
    <w:basedOn w:val="Normal"/>
    <w:next w:val="Normal"/>
    <w:qFormat/>
    <w:rsid w:val="004F32DC"/>
    <w:pPr>
      <w:numPr>
        <w:ilvl w:val="5"/>
        <w:numId w:val="1"/>
      </w:numPr>
      <w:spacing w:before="240" w:after="60"/>
      <w:outlineLvl w:val="5"/>
    </w:pPr>
    <w:rPr>
      <w:b/>
      <w:bCs/>
      <w:sz w:val="22"/>
      <w:szCs w:val="22"/>
    </w:rPr>
  </w:style>
  <w:style w:type="paragraph" w:styleId="Heading7">
    <w:name w:val="heading 7"/>
    <w:basedOn w:val="Normal"/>
    <w:next w:val="Normal"/>
    <w:qFormat/>
    <w:rsid w:val="004F32DC"/>
    <w:pPr>
      <w:numPr>
        <w:ilvl w:val="6"/>
        <w:numId w:val="1"/>
      </w:numPr>
      <w:spacing w:before="240" w:after="60"/>
      <w:outlineLvl w:val="6"/>
    </w:pPr>
    <w:rPr>
      <w:sz w:val="24"/>
    </w:rPr>
  </w:style>
  <w:style w:type="paragraph" w:styleId="Heading8">
    <w:name w:val="heading 8"/>
    <w:basedOn w:val="Normal"/>
    <w:next w:val="Normal"/>
    <w:qFormat/>
    <w:rsid w:val="004F32DC"/>
    <w:pPr>
      <w:numPr>
        <w:ilvl w:val="7"/>
        <w:numId w:val="1"/>
      </w:numPr>
      <w:spacing w:before="240" w:after="60"/>
      <w:outlineLvl w:val="7"/>
    </w:pPr>
    <w:rPr>
      <w:i/>
      <w:iCs/>
      <w:sz w:val="24"/>
    </w:rPr>
  </w:style>
  <w:style w:type="paragraph" w:styleId="Heading9">
    <w:name w:val="heading 9"/>
    <w:basedOn w:val="Normal"/>
    <w:next w:val="Normal"/>
    <w:qFormat/>
    <w:rsid w:val="004F32DC"/>
    <w:pPr>
      <w:numPr>
        <w:ilvl w:val="8"/>
        <w:numId w:val="1"/>
      </w:num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CCParagraph">
    <w:name w:val="ECC Paragraph"/>
    <w:basedOn w:val="Normal"/>
    <w:rsid w:val="004E66F0"/>
    <w:pPr>
      <w:spacing w:after="240"/>
      <w:jc w:val="both"/>
    </w:pPr>
    <w:rPr>
      <w:lang w:val="en-GB"/>
    </w:rPr>
  </w:style>
  <w:style w:type="paragraph" w:customStyle="1" w:styleId="ECCParBulleted">
    <w:name w:val="ECC Par Bulleted"/>
    <w:basedOn w:val="ECCParagraph"/>
    <w:rsid w:val="00FE1795"/>
    <w:pPr>
      <w:numPr>
        <w:numId w:val="9"/>
      </w:numPr>
      <w:spacing w:after="120"/>
    </w:pPr>
  </w:style>
  <w:style w:type="paragraph" w:styleId="Header">
    <w:name w:val="header"/>
    <w:aliases w:val="encabezado,he,header odd,header odd1,header odd2"/>
    <w:basedOn w:val="Normal"/>
    <w:link w:val="HeaderChar"/>
    <w:uiPriority w:val="99"/>
    <w:rsid w:val="00C95C7C"/>
    <w:pPr>
      <w:tabs>
        <w:tab w:val="center" w:pos="4320"/>
        <w:tab w:val="right" w:pos="8640"/>
      </w:tabs>
    </w:pPr>
    <w:rPr>
      <w:b/>
      <w:sz w:val="16"/>
    </w:rPr>
  </w:style>
  <w:style w:type="paragraph" w:styleId="Footer">
    <w:name w:val="footer"/>
    <w:basedOn w:val="Normal"/>
    <w:semiHidden/>
    <w:rsid w:val="0077244E"/>
    <w:pPr>
      <w:tabs>
        <w:tab w:val="center" w:pos="4320"/>
        <w:tab w:val="right" w:pos="8640"/>
      </w:tabs>
    </w:pPr>
  </w:style>
  <w:style w:type="paragraph" w:customStyle="1" w:styleId="ECCAnnex-heading1">
    <w:name w:val="ECC Annex - heading1"/>
    <w:basedOn w:val="Heading1"/>
    <w:next w:val="ECCParagraph"/>
    <w:rsid w:val="00031379"/>
    <w:pPr>
      <w:numPr>
        <w:numId w:val="4"/>
      </w:numPr>
    </w:pPr>
  </w:style>
  <w:style w:type="paragraph" w:styleId="TOC1">
    <w:name w:val="toc 1"/>
    <w:basedOn w:val="Normal"/>
    <w:next w:val="Normal"/>
    <w:autoRedefine/>
    <w:semiHidden/>
    <w:rsid w:val="00EA7A83"/>
    <w:pPr>
      <w:tabs>
        <w:tab w:val="left" w:pos="360"/>
        <w:tab w:val="right" w:leader="dot" w:pos="9629"/>
      </w:tabs>
      <w:spacing w:before="240"/>
    </w:pPr>
    <w:rPr>
      <w:b/>
      <w:caps/>
    </w:rPr>
  </w:style>
  <w:style w:type="character" w:styleId="Hyperlink">
    <w:name w:val="Hyperlink"/>
    <w:basedOn w:val="DefaultParagraphFont"/>
    <w:semiHidden/>
    <w:rsid w:val="00A82384"/>
    <w:rPr>
      <w:color w:val="0000FF"/>
      <w:u w:val="single"/>
    </w:rPr>
  </w:style>
  <w:style w:type="paragraph" w:styleId="TOC2">
    <w:name w:val="toc 2"/>
    <w:basedOn w:val="Normal"/>
    <w:next w:val="Normal"/>
    <w:autoRedefine/>
    <w:semiHidden/>
    <w:rsid w:val="00EA7A83"/>
    <w:pPr>
      <w:tabs>
        <w:tab w:val="left" w:pos="900"/>
        <w:tab w:val="right" w:leader="dot" w:pos="9629"/>
      </w:tabs>
      <w:ind w:left="360"/>
    </w:pPr>
  </w:style>
  <w:style w:type="paragraph" w:styleId="TOC3">
    <w:name w:val="toc 3"/>
    <w:basedOn w:val="Normal"/>
    <w:next w:val="Normal"/>
    <w:autoRedefine/>
    <w:semiHidden/>
    <w:rsid w:val="00CF7259"/>
    <w:pPr>
      <w:tabs>
        <w:tab w:val="left" w:pos="1440"/>
        <w:tab w:val="right" w:leader="dot" w:pos="9629"/>
      </w:tabs>
      <w:ind w:left="900"/>
    </w:pPr>
  </w:style>
  <w:style w:type="paragraph" w:styleId="TOC4">
    <w:name w:val="toc 4"/>
    <w:basedOn w:val="Normal"/>
    <w:next w:val="Normal"/>
    <w:autoRedefine/>
    <w:semiHidden/>
    <w:rsid w:val="007D1E37"/>
    <w:pPr>
      <w:tabs>
        <w:tab w:val="left" w:pos="2340"/>
        <w:tab w:val="right" w:leader="dot" w:pos="9629"/>
      </w:tabs>
      <w:ind w:left="1440"/>
    </w:pPr>
    <w:rPr>
      <w:i/>
    </w:rPr>
  </w:style>
  <w:style w:type="table" w:styleId="TableGrid">
    <w:name w:val="Table Grid"/>
    <w:basedOn w:val="TableNormal"/>
    <w:semiHidden/>
    <w:rsid w:val="006F49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CCFiguretitle">
    <w:name w:val="ECC Figure title"/>
    <w:basedOn w:val="ECCParagraph"/>
    <w:next w:val="ECCParagraph"/>
    <w:rsid w:val="00C95C7C"/>
    <w:pPr>
      <w:numPr>
        <w:numId w:val="3"/>
      </w:numPr>
      <w:spacing w:before="240" w:after="480"/>
      <w:jc w:val="center"/>
    </w:pPr>
    <w:rPr>
      <w:b/>
      <w:color w:val="D2232A"/>
    </w:rPr>
  </w:style>
  <w:style w:type="paragraph" w:customStyle="1" w:styleId="ECCTabletitle">
    <w:name w:val="ECC Table title"/>
    <w:basedOn w:val="ECCFiguretitle"/>
    <w:next w:val="ECCParagraph"/>
    <w:autoRedefine/>
    <w:rsid w:val="00C95C7C"/>
    <w:pPr>
      <w:numPr>
        <w:numId w:val="2"/>
      </w:numPr>
      <w:spacing w:before="360" w:after="240"/>
    </w:pPr>
  </w:style>
  <w:style w:type="paragraph" w:customStyle="1" w:styleId="ECCFootnote">
    <w:name w:val="ECC Footnote"/>
    <w:basedOn w:val="Normal"/>
    <w:autoRedefine/>
    <w:rsid w:val="008935B9"/>
    <w:pPr>
      <w:ind w:left="454" w:hanging="454"/>
    </w:pPr>
    <w:rPr>
      <w:sz w:val="16"/>
    </w:rPr>
  </w:style>
  <w:style w:type="paragraph" w:styleId="FootnoteText">
    <w:name w:val="footnote text"/>
    <w:basedOn w:val="Normal"/>
    <w:semiHidden/>
    <w:rsid w:val="008935B9"/>
    <w:rPr>
      <w:szCs w:val="20"/>
    </w:rPr>
  </w:style>
  <w:style w:type="character" w:styleId="FootnoteReference">
    <w:name w:val="footnote reference"/>
    <w:basedOn w:val="DefaultParagraphFont"/>
    <w:semiHidden/>
    <w:rsid w:val="008935B9"/>
    <w:rPr>
      <w:vertAlign w:val="superscript"/>
    </w:rPr>
  </w:style>
  <w:style w:type="paragraph" w:customStyle="1" w:styleId="Text">
    <w:name w:val="Text"/>
    <w:basedOn w:val="Normal"/>
    <w:rsid w:val="001F7826"/>
    <w:pPr>
      <w:widowControl w:val="0"/>
      <w:autoSpaceDE w:val="0"/>
      <w:autoSpaceDN w:val="0"/>
      <w:spacing w:line="252" w:lineRule="auto"/>
      <w:ind w:firstLine="202"/>
      <w:jc w:val="both"/>
    </w:pPr>
    <w:rPr>
      <w:szCs w:val="20"/>
    </w:rPr>
  </w:style>
  <w:style w:type="paragraph" w:customStyle="1" w:styleId="ECCTablenote">
    <w:name w:val="ECC Table note"/>
    <w:basedOn w:val="ECCParagraph"/>
    <w:next w:val="ECCParagraph"/>
    <w:autoRedefine/>
    <w:rsid w:val="0031313E"/>
    <w:pPr>
      <w:spacing w:after="0"/>
      <w:ind w:left="284" w:hanging="284"/>
    </w:pPr>
    <w:rPr>
      <w:sz w:val="16"/>
      <w:szCs w:val="16"/>
    </w:rPr>
  </w:style>
  <w:style w:type="paragraph" w:customStyle="1" w:styleId="reference">
    <w:name w:val="reference"/>
    <w:basedOn w:val="Normal"/>
    <w:rsid w:val="00A50B64"/>
    <w:pPr>
      <w:numPr>
        <w:numId w:val="8"/>
      </w:numPr>
    </w:pPr>
    <w:rPr>
      <w:lang w:eastAsia="ja-JP"/>
    </w:rPr>
  </w:style>
  <w:style w:type="paragraph" w:customStyle="1" w:styleId="ECCAnnexheading2">
    <w:name w:val="ECC Annex heading2"/>
    <w:basedOn w:val="Normal"/>
    <w:next w:val="ECCParagraph"/>
    <w:rsid w:val="00C95C7C"/>
    <w:pPr>
      <w:numPr>
        <w:ilvl w:val="1"/>
        <w:numId w:val="4"/>
      </w:numPr>
      <w:overflowPunct w:val="0"/>
      <w:autoSpaceDE w:val="0"/>
      <w:autoSpaceDN w:val="0"/>
      <w:adjustRightInd w:val="0"/>
      <w:spacing w:before="480" w:after="240"/>
      <w:textAlignment w:val="baseline"/>
    </w:pPr>
    <w:rPr>
      <w:b/>
      <w:caps/>
    </w:rPr>
  </w:style>
  <w:style w:type="paragraph" w:customStyle="1" w:styleId="ECCAnnexheading3">
    <w:name w:val="ECC Annex heading3"/>
    <w:basedOn w:val="Normal"/>
    <w:next w:val="ECCParagraph"/>
    <w:rsid w:val="00FA5088"/>
    <w:pPr>
      <w:numPr>
        <w:ilvl w:val="2"/>
        <w:numId w:val="4"/>
      </w:numPr>
      <w:overflowPunct w:val="0"/>
      <w:autoSpaceDE w:val="0"/>
      <w:autoSpaceDN w:val="0"/>
      <w:adjustRightInd w:val="0"/>
      <w:spacing w:before="360" w:after="120"/>
      <w:textAlignment w:val="baseline"/>
    </w:pPr>
    <w:rPr>
      <w:b/>
    </w:rPr>
  </w:style>
  <w:style w:type="paragraph" w:customStyle="1" w:styleId="ECCAnnexheading4">
    <w:name w:val="ECC Annex heading4"/>
    <w:basedOn w:val="Normal"/>
    <w:next w:val="ECCParagraph"/>
    <w:rsid w:val="00C95C7C"/>
    <w:pPr>
      <w:numPr>
        <w:ilvl w:val="3"/>
        <w:numId w:val="4"/>
      </w:numPr>
      <w:overflowPunct w:val="0"/>
      <w:autoSpaceDE w:val="0"/>
      <w:autoSpaceDN w:val="0"/>
      <w:adjustRightInd w:val="0"/>
      <w:spacing w:before="360" w:after="120"/>
      <w:textAlignment w:val="baseline"/>
    </w:pPr>
    <w:rPr>
      <w:i/>
      <w:color w:val="D2232A"/>
    </w:rPr>
  </w:style>
  <w:style w:type="paragraph" w:styleId="BodyTextIndent">
    <w:name w:val="Body Text Indent"/>
    <w:basedOn w:val="Normal"/>
    <w:rsid w:val="00FE1795"/>
    <w:rPr>
      <w:rFonts w:ascii="Times New Roman" w:hAnsi="Times New Roman"/>
      <w:sz w:val="24"/>
      <w:lang w:val="de-DE" w:eastAsia="en-GB"/>
    </w:rPr>
  </w:style>
  <w:style w:type="paragraph" w:customStyle="1" w:styleId="Reporttitledescription">
    <w:name w:val="Report title/description"/>
    <w:basedOn w:val="Normal"/>
    <w:rsid w:val="00C95C7C"/>
    <w:pPr>
      <w:spacing w:before="600" w:line="288" w:lineRule="auto"/>
      <w:ind w:left="3402"/>
    </w:pPr>
    <w:rPr>
      <w:color w:val="57433E"/>
      <w:sz w:val="24"/>
    </w:rPr>
  </w:style>
  <w:style w:type="paragraph" w:customStyle="1" w:styleId="Lastupdated">
    <w:name w:val="Last updated"/>
    <w:basedOn w:val="Normal"/>
    <w:rsid w:val="00FE1795"/>
    <w:pPr>
      <w:spacing w:before="120" w:after="120"/>
      <w:ind w:left="3402"/>
    </w:pPr>
    <w:rPr>
      <w:bCs/>
      <w:sz w:val="18"/>
    </w:rPr>
  </w:style>
  <w:style w:type="numbering" w:customStyle="1" w:styleId="Letteredlist0">
    <w:name w:val="Lettered list"/>
    <w:rsid w:val="00FE1795"/>
    <w:pPr>
      <w:numPr>
        <w:numId w:val="6"/>
      </w:numPr>
    </w:pPr>
  </w:style>
  <w:style w:type="paragraph" w:customStyle="1" w:styleId="WGNNA-bulleted">
    <w:name w:val="WGNNA-bulleted"/>
    <w:basedOn w:val="Normal"/>
    <w:rsid w:val="00FE1795"/>
    <w:pPr>
      <w:numPr>
        <w:numId w:val="7"/>
      </w:numPr>
      <w:spacing w:after="120"/>
      <w:jc w:val="both"/>
    </w:pPr>
    <w:rPr>
      <w:rFonts w:ascii="Times New Roman" w:hAnsi="Times New Roman"/>
      <w:sz w:val="24"/>
      <w:lang w:val="fr-FR" w:eastAsia="fr-FR"/>
    </w:rPr>
  </w:style>
  <w:style w:type="paragraph" w:customStyle="1" w:styleId="LetteredList">
    <w:name w:val="Lettered List"/>
    <w:basedOn w:val="Normal"/>
    <w:rsid w:val="00044EDB"/>
    <w:pPr>
      <w:numPr>
        <w:numId w:val="12"/>
      </w:numPr>
      <w:spacing w:after="120"/>
      <w:jc w:val="both"/>
    </w:pPr>
  </w:style>
  <w:style w:type="paragraph" w:customStyle="1" w:styleId="NumberedList">
    <w:name w:val="Numbered List"/>
    <w:basedOn w:val="ECCParagraph"/>
    <w:rsid w:val="007C6571"/>
  </w:style>
  <w:style w:type="numbering" w:customStyle="1" w:styleId="ECCNumbers-Letters">
    <w:name w:val="ECC Numbers-Letters"/>
    <w:uiPriority w:val="99"/>
    <w:rsid w:val="007C6571"/>
    <w:pPr>
      <w:numPr>
        <w:numId w:val="14"/>
      </w:numPr>
    </w:pPr>
  </w:style>
  <w:style w:type="numbering" w:customStyle="1" w:styleId="ECCNumberedList">
    <w:name w:val="ECC Numbered List"/>
    <w:uiPriority w:val="99"/>
    <w:rsid w:val="007C6571"/>
    <w:pPr>
      <w:numPr>
        <w:numId w:val="15"/>
      </w:numPr>
    </w:pPr>
  </w:style>
  <w:style w:type="paragraph" w:customStyle="1" w:styleId="ECCNumbered-LetteredList">
    <w:name w:val="ECC Numbered-Lettered List"/>
    <w:basedOn w:val="Normal"/>
    <w:rsid w:val="007C6571"/>
    <w:pPr>
      <w:numPr>
        <w:numId w:val="14"/>
      </w:numPr>
    </w:pPr>
  </w:style>
  <w:style w:type="paragraph" w:styleId="BalloonText">
    <w:name w:val="Balloon Text"/>
    <w:basedOn w:val="Normal"/>
    <w:link w:val="BalloonTextChar"/>
    <w:uiPriority w:val="99"/>
    <w:semiHidden/>
    <w:unhideWhenUsed/>
    <w:rsid w:val="007C657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C6571"/>
    <w:rPr>
      <w:rFonts w:ascii="Lucida Grande" w:hAnsi="Lucida Grande" w:cs="Lucida Grande"/>
      <w:sz w:val="18"/>
      <w:szCs w:val="18"/>
      <w:lang w:val="en-US"/>
    </w:rPr>
  </w:style>
  <w:style w:type="paragraph" w:styleId="BodyText">
    <w:name w:val="Body Text"/>
    <w:basedOn w:val="Normal"/>
    <w:link w:val="BodyTextChar"/>
    <w:rsid w:val="00E65E22"/>
    <w:pPr>
      <w:autoSpaceDE w:val="0"/>
      <w:autoSpaceDN w:val="0"/>
      <w:spacing w:after="120"/>
    </w:pPr>
    <w:rPr>
      <w:rFonts w:ascii="Times New Roman" w:hAnsi="Times New Roman"/>
      <w:sz w:val="24"/>
      <w:lang w:val="en-GB" w:eastAsia="nl-NL"/>
    </w:rPr>
  </w:style>
  <w:style w:type="character" w:customStyle="1" w:styleId="BodyTextChar">
    <w:name w:val="Body Text Char"/>
    <w:basedOn w:val="DefaultParagraphFont"/>
    <w:link w:val="BodyText"/>
    <w:rsid w:val="00E65E22"/>
    <w:rPr>
      <w:sz w:val="24"/>
      <w:szCs w:val="24"/>
      <w:lang w:eastAsia="nl-NL"/>
    </w:rPr>
  </w:style>
  <w:style w:type="paragraph" w:styleId="ListParagraph">
    <w:name w:val="List Paragraph"/>
    <w:basedOn w:val="Normal"/>
    <w:uiPriority w:val="34"/>
    <w:qFormat/>
    <w:rsid w:val="00E65E22"/>
    <w:pPr>
      <w:ind w:left="720"/>
      <w:contextualSpacing/>
    </w:pPr>
  </w:style>
  <w:style w:type="character" w:styleId="CommentReference">
    <w:name w:val="annotation reference"/>
    <w:basedOn w:val="DefaultParagraphFont"/>
    <w:uiPriority w:val="99"/>
    <w:semiHidden/>
    <w:unhideWhenUsed/>
    <w:rsid w:val="00EE4592"/>
    <w:rPr>
      <w:sz w:val="16"/>
      <w:szCs w:val="16"/>
    </w:rPr>
  </w:style>
  <w:style w:type="paragraph" w:styleId="CommentText">
    <w:name w:val="annotation text"/>
    <w:basedOn w:val="Normal"/>
    <w:link w:val="CommentTextChar"/>
    <w:uiPriority w:val="99"/>
    <w:semiHidden/>
    <w:unhideWhenUsed/>
    <w:rsid w:val="00EE4592"/>
    <w:rPr>
      <w:szCs w:val="20"/>
    </w:rPr>
  </w:style>
  <w:style w:type="character" w:customStyle="1" w:styleId="CommentTextChar">
    <w:name w:val="Comment Text Char"/>
    <w:basedOn w:val="DefaultParagraphFont"/>
    <w:link w:val="CommentText"/>
    <w:uiPriority w:val="99"/>
    <w:semiHidden/>
    <w:rsid w:val="00EE4592"/>
    <w:rPr>
      <w:rFonts w:ascii="Arial" w:hAnsi="Arial"/>
      <w:lang w:val="en-US"/>
    </w:rPr>
  </w:style>
  <w:style w:type="paragraph" w:styleId="CommentSubject">
    <w:name w:val="annotation subject"/>
    <w:basedOn w:val="CommentText"/>
    <w:next w:val="CommentText"/>
    <w:link w:val="CommentSubjectChar"/>
    <w:uiPriority w:val="99"/>
    <w:semiHidden/>
    <w:unhideWhenUsed/>
    <w:rsid w:val="00EE4592"/>
    <w:rPr>
      <w:b/>
      <w:bCs/>
    </w:rPr>
  </w:style>
  <w:style w:type="character" w:customStyle="1" w:styleId="CommentSubjectChar">
    <w:name w:val="Comment Subject Char"/>
    <w:basedOn w:val="CommentTextChar"/>
    <w:link w:val="CommentSubject"/>
    <w:uiPriority w:val="99"/>
    <w:semiHidden/>
    <w:rsid w:val="00EE4592"/>
    <w:rPr>
      <w:rFonts w:ascii="Arial" w:hAnsi="Arial"/>
      <w:b/>
      <w:bCs/>
      <w:lang w:val="en-US"/>
    </w:rPr>
  </w:style>
  <w:style w:type="character" w:customStyle="1" w:styleId="HeaderChar">
    <w:name w:val="Header Char"/>
    <w:aliases w:val="encabezado Char,he Char,header odd Char,header odd1 Char,header odd2 Char"/>
    <w:basedOn w:val="DefaultParagraphFont"/>
    <w:link w:val="Header"/>
    <w:uiPriority w:val="99"/>
    <w:rsid w:val="00EF5827"/>
    <w:rPr>
      <w:rFonts w:ascii="Arial" w:hAnsi="Arial"/>
      <w:b/>
      <w:sz w:val="16"/>
      <w:szCs w:val="24"/>
      <w:lang w:val="en-US"/>
    </w:rPr>
  </w:style>
  <w:style w:type="paragraph" w:styleId="Revision">
    <w:name w:val="Revision"/>
    <w:hidden/>
    <w:uiPriority w:val="99"/>
    <w:semiHidden/>
    <w:rsid w:val="00F417AB"/>
    <w:rPr>
      <w:rFonts w:ascii="Arial" w:hAnsi="Arial"/>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ocdb.cept.or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3.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852DEA-D2EA-4EC3-BBB1-254E12C088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918</Words>
  <Characters>5238</Characters>
  <Application>Microsoft Office Word</Application>
  <DocSecurity>0</DocSecurity>
  <Lines>43</Lines>
  <Paragraphs>12</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ANFR</Company>
  <LinksUpToDate>false</LinksUpToDate>
  <CharactersWithSpaces>6144</CharactersWithSpaces>
  <SharedDoc>false</SharedDoc>
  <HLinks>
    <vt:vector size="12" baseType="variant">
      <vt:variant>
        <vt:i4>3342362</vt:i4>
      </vt:variant>
      <vt:variant>
        <vt:i4>-1</vt:i4>
      </vt:variant>
      <vt:variant>
        <vt:i4>2051</vt:i4>
      </vt:variant>
      <vt:variant>
        <vt:i4>1</vt:i4>
      </vt:variant>
      <vt:variant>
        <vt:lpwstr>cept logo</vt:lpwstr>
      </vt:variant>
      <vt:variant>
        <vt:lpwstr/>
      </vt:variant>
      <vt:variant>
        <vt:i4>852028</vt:i4>
      </vt:variant>
      <vt:variant>
        <vt:i4>-1</vt:i4>
      </vt:variant>
      <vt:variant>
        <vt:i4>2052</vt:i4>
      </vt:variant>
      <vt:variant>
        <vt:i4>1</vt:i4>
      </vt:variant>
      <vt:variant>
        <vt:lpwstr>ecc_logo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ERC Decision (98)22; </dc:title>
  <dc:subject>ERC Decision (98)22; </dc:subject>
  <dc:creator>ECC</dc:creator>
  <cp:keywords>ERC Decision (98)22</cp:keywords>
  <cp:lastModifiedBy>ECO</cp:lastModifiedBy>
  <cp:revision>4</cp:revision>
  <dcterms:created xsi:type="dcterms:W3CDTF">2021-11-09T12:15:00Z</dcterms:created>
  <dcterms:modified xsi:type="dcterms:W3CDTF">2021-11-09T12:17:00Z</dcterms:modified>
</cp:coreProperties>
</file>