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21C" w:rsidRDefault="008F221C">
      <w:pPr>
        <w:rPr>
          <w:b/>
          <w:bCs/>
          <w:sz w:val="20"/>
          <w:szCs w:val="20"/>
        </w:rPr>
      </w:pPr>
      <w:bookmarkStart w:id="0" w:name="_GoBack"/>
      <w:bookmarkEnd w:id="0"/>
    </w:p>
    <w:p w:rsidR="008F221C" w:rsidRDefault="007312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Normative part</w:t>
      </w:r>
    </w:p>
    <w:p w:rsidR="008F221C" w:rsidRDefault="008F221C">
      <w:pPr>
        <w:rPr>
          <w:bCs/>
          <w:sz w:val="20"/>
          <w:szCs w:val="20"/>
          <w:lang w:val="fr-CH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6521"/>
        <w:gridCol w:w="4536"/>
      </w:tblGrid>
      <w:tr w:rsidR="008F221C">
        <w:trPr>
          <w:trHeight w:val="240"/>
        </w:trPr>
        <w:tc>
          <w:tcPr>
            <w:tcW w:w="534" w:type="dxa"/>
            <w:vAlign w:val="center"/>
          </w:tcPr>
          <w:p w:rsidR="008F221C" w:rsidRDefault="007312F1">
            <w:pPr>
              <w:spacing w:before="100" w:after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Nr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8F221C" w:rsidRDefault="007312F1">
            <w:pPr>
              <w:spacing w:before="100" w:after="100"/>
              <w:rPr>
                <w:b/>
                <w:sz w:val="20"/>
              </w:rPr>
            </w:pPr>
            <w:r>
              <w:rPr>
                <w:b/>
                <w:sz w:val="20"/>
              </w:rPr>
              <w:t>Parameter</w:t>
            </w:r>
          </w:p>
        </w:tc>
        <w:tc>
          <w:tcPr>
            <w:tcW w:w="6521" w:type="dxa"/>
            <w:vAlign w:val="center"/>
          </w:tcPr>
          <w:p w:rsidR="008F221C" w:rsidRDefault="007312F1">
            <w:pPr>
              <w:spacing w:before="100" w:after="100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4536" w:type="dxa"/>
            <w:vAlign w:val="center"/>
          </w:tcPr>
          <w:p w:rsidR="008F221C" w:rsidRDefault="007312F1">
            <w:pPr>
              <w:spacing w:before="100" w:after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Comments </w:t>
            </w:r>
          </w:p>
        </w:tc>
      </w:tr>
      <w:tr w:rsidR="008F221C">
        <w:trPr>
          <w:trHeight w:val="117"/>
        </w:trPr>
        <w:tc>
          <w:tcPr>
            <w:tcW w:w="534" w:type="dxa"/>
          </w:tcPr>
          <w:p w:rsidR="008F221C" w:rsidRDefault="007312F1">
            <w:pPr>
              <w:spacing w:before="100" w:after="10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409" w:type="dxa"/>
          </w:tcPr>
          <w:p w:rsidR="008F221C" w:rsidRDefault="007312F1">
            <w:pPr>
              <w:spacing w:before="100" w:after="100"/>
              <w:rPr>
                <w:sz w:val="20"/>
                <w:u w:val="single"/>
              </w:rPr>
            </w:pPr>
            <w:r>
              <w:rPr>
                <w:b/>
                <w:bCs/>
                <w:sz w:val="20"/>
              </w:rPr>
              <w:t>Radiocommunication</w:t>
            </w:r>
            <w:r>
              <w:rPr>
                <w:b/>
                <w:bCs/>
                <w:sz w:val="20"/>
              </w:rPr>
              <w:br/>
              <w:t>Service</w:t>
            </w:r>
          </w:p>
        </w:tc>
        <w:tc>
          <w:tcPr>
            <w:tcW w:w="6521" w:type="dxa"/>
          </w:tcPr>
          <w:p w:rsidR="008F221C" w:rsidRDefault="007312F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Mobile Service</w:t>
            </w:r>
          </w:p>
        </w:tc>
        <w:tc>
          <w:tcPr>
            <w:tcW w:w="4536" w:type="dxa"/>
          </w:tcPr>
          <w:p w:rsidR="008F221C" w:rsidRDefault="008F221C">
            <w:pPr>
              <w:spacing w:before="60" w:after="60"/>
              <w:rPr>
                <w:sz w:val="20"/>
              </w:rPr>
            </w:pPr>
          </w:p>
        </w:tc>
      </w:tr>
      <w:tr w:rsidR="008F221C">
        <w:trPr>
          <w:trHeight w:val="288"/>
        </w:trPr>
        <w:tc>
          <w:tcPr>
            <w:tcW w:w="534" w:type="dxa"/>
          </w:tcPr>
          <w:p w:rsidR="008F221C" w:rsidRDefault="007312F1">
            <w:pPr>
              <w:spacing w:before="100" w:after="10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409" w:type="dxa"/>
          </w:tcPr>
          <w:p w:rsidR="008F221C" w:rsidRDefault="007312F1">
            <w:pPr>
              <w:spacing w:before="100" w:after="10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Application</w:t>
            </w:r>
          </w:p>
          <w:p w:rsidR="008F221C" w:rsidRDefault="008F221C">
            <w:pPr>
              <w:spacing w:before="100" w:after="100"/>
              <w:rPr>
                <w:sz w:val="20"/>
                <w:u w:val="single"/>
              </w:rPr>
            </w:pPr>
          </w:p>
        </w:tc>
        <w:tc>
          <w:tcPr>
            <w:tcW w:w="6521" w:type="dxa"/>
          </w:tcPr>
          <w:p w:rsidR="008F221C" w:rsidRDefault="007312F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MFCN</w:t>
            </w:r>
          </w:p>
        </w:tc>
        <w:tc>
          <w:tcPr>
            <w:tcW w:w="4536" w:type="dxa"/>
          </w:tcPr>
          <w:p w:rsidR="008F221C" w:rsidRDefault="007312F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MFCN in the 24.25-27.5 GHz band shall not be used for connectivity from base stations to terminals on-board UAV. Only communications for connectivity from terminals on-board UAV to base stations is authorised (see </w:t>
            </w:r>
            <w:r>
              <w:rPr>
                <w:i/>
                <w:sz w:val="20"/>
              </w:rPr>
              <w:t>decides 7</w:t>
            </w:r>
            <w:r>
              <w:rPr>
                <w:sz w:val="20"/>
              </w:rPr>
              <w:t xml:space="preserve"> in ECC Decision (18)06).</w:t>
            </w:r>
          </w:p>
        </w:tc>
      </w:tr>
      <w:tr w:rsidR="008F221C">
        <w:trPr>
          <w:trHeight w:val="235"/>
        </w:trPr>
        <w:tc>
          <w:tcPr>
            <w:tcW w:w="534" w:type="dxa"/>
          </w:tcPr>
          <w:p w:rsidR="008F221C" w:rsidRDefault="007312F1">
            <w:pPr>
              <w:spacing w:before="100" w:after="10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409" w:type="dxa"/>
          </w:tcPr>
          <w:p w:rsidR="008F221C" w:rsidRDefault="007312F1">
            <w:pPr>
              <w:spacing w:before="100" w:after="10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Frequency band</w:t>
            </w:r>
          </w:p>
          <w:p w:rsidR="008F221C" w:rsidRDefault="008F221C">
            <w:pPr>
              <w:spacing w:before="100" w:after="100"/>
              <w:rPr>
                <w:sz w:val="20"/>
                <w:u w:val="single"/>
              </w:rPr>
            </w:pPr>
          </w:p>
        </w:tc>
        <w:tc>
          <w:tcPr>
            <w:tcW w:w="6521" w:type="dxa"/>
          </w:tcPr>
          <w:p w:rsidR="008F221C" w:rsidRDefault="007312F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24.25-27.5 GHz</w:t>
            </w:r>
          </w:p>
        </w:tc>
        <w:tc>
          <w:tcPr>
            <w:tcW w:w="4536" w:type="dxa"/>
          </w:tcPr>
          <w:p w:rsidR="008F221C" w:rsidRDefault="007312F1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CEPT administrations shall make available by the end of 2020 at least 1 GHz for MFCN in this band, subject to market demand (see </w:t>
            </w:r>
            <w:r>
              <w:rPr>
                <w:i/>
                <w:sz w:val="20"/>
              </w:rPr>
              <w:t>decides 2</w:t>
            </w:r>
            <w:r>
              <w:rPr>
                <w:sz w:val="20"/>
              </w:rPr>
              <w:t xml:space="preserve"> in ECC Decision (18)06).</w:t>
            </w:r>
          </w:p>
        </w:tc>
      </w:tr>
      <w:tr w:rsidR="008F221C">
        <w:trPr>
          <w:trHeight w:val="2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1C" w:rsidRDefault="007312F1">
            <w:pPr>
              <w:spacing w:before="100" w:after="10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1C" w:rsidRDefault="007312F1">
            <w:pPr>
              <w:spacing w:before="100" w:after="10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Channelling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1C" w:rsidRDefault="007312F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frequency arrangement is a TDD arrangement with a block size of 200 MHz; </w:t>
            </w:r>
          </w:p>
          <w:p w:rsidR="008F221C" w:rsidRDefault="007312F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 block  size  could  be  adjusted  to  narrower  blocks  (multiples  of  50 MHz)  adjacent  to  other  users,  to allow full use of spectrum, if required; </w:t>
            </w:r>
          </w:p>
          <w:p w:rsidR="008F221C" w:rsidRDefault="007312F1" w:rsidP="0024477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blocks need to be offset to accommodate other uses, </w:t>
            </w:r>
            <w:proofErr w:type="gramStart"/>
            <w:r>
              <w:rPr>
                <w:sz w:val="20"/>
                <w:szCs w:val="20"/>
              </w:rPr>
              <w:t>this shift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244776"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>be done in 10 MHz steps.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1C" w:rsidRDefault="008F221C">
            <w:pPr>
              <w:spacing w:before="0" w:after="0"/>
              <w:rPr>
                <w:sz w:val="20"/>
              </w:rPr>
            </w:pPr>
          </w:p>
        </w:tc>
      </w:tr>
      <w:tr w:rsidR="008F221C">
        <w:trPr>
          <w:trHeight w:val="480"/>
        </w:trPr>
        <w:tc>
          <w:tcPr>
            <w:tcW w:w="534" w:type="dxa"/>
          </w:tcPr>
          <w:p w:rsidR="008F221C" w:rsidRDefault="007312F1">
            <w:pPr>
              <w:spacing w:before="100" w:after="10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409" w:type="dxa"/>
          </w:tcPr>
          <w:p w:rsidR="008F221C" w:rsidRDefault="007312F1">
            <w:pPr>
              <w:spacing w:before="100" w:after="10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Modulation / </w:t>
            </w:r>
            <w:r>
              <w:rPr>
                <w:b/>
                <w:bCs/>
                <w:sz w:val="20"/>
              </w:rPr>
              <w:br/>
              <w:t xml:space="preserve">Occupied bandwidth </w:t>
            </w:r>
          </w:p>
        </w:tc>
        <w:tc>
          <w:tcPr>
            <w:tcW w:w="6521" w:type="dxa"/>
          </w:tcPr>
          <w:p w:rsidR="008F221C" w:rsidRDefault="007312F1">
            <w:pPr>
              <w:spacing w:before="60" w:after="6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4536" w:type="dxa"/>
          </w:tcPr>
          <w:p w:rsidR="008F221C" w:rsidRDefault="007312F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Technology neutral approach</w:t>
            </w:r>
          </w:p>
        </w:tc>
      </w:tr>
      <w:tr w:rsidR="008F221C">
        <w:trPr>
          <w:trHeight w:val="463"/>
        </w:trPr>
        <w:tc>
          <w:tcPr>
            <w:tcW w:w="534" w:type="dxa"/>
          </w:tcPr>
          <w:p w:rsidR="008F221C" w:rsidRDefault="007312F1">
            <w:pPr>
              <w:spacing w:before="100" w:after="10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409" w:type="dxa"/>
          </w:tcPr>
          <w:p w:rsidR="008F221C" w:rsidRDefault="007312F1">
            <w:pPr>
              <w:spacing w:before="100" w:after="100"/>
              <w:rPr>
                <w:sz w:val="20"/>
                <w:u w:val="single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Direction / </w:t>
            </w:r>
            <w:r>
              <w:rPr>
                <w:b/>
                <w:bCs/>
                <w:sz w:val="20"/>
                <w:lang w:val="en-US"/>
              </w:rPr>
              <w:br/>
              <w:t>Separation</w:t>
            </w:r>
          </w:p>
        </w:tc>
        <w:tc>
          <w:tcPr>
            <w:tcW w:w="6521" w:type="dxa"/>
          </w:tcPr>
          <w:p w:rsidR="008F221C" w:rsidRDefault="007312F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TDD: not applicable</w:t>
            </w:r>
          </w:p>
        </w:tc>
        <w:tc>
          <w:tcPr>
            <w:tcW w:w="4536" w:type="dxa"/>
          </w:tcPr>
          <w:p w:rsidR="008F221C" w:rsidRDefault="008F221C">
            <w:pPr>
              <w:spacing w:before="60" w:after="60"/>
              <w:rPr>
                <w:sz w:val="20"/>
              </w:rPr>
            </w:pPr>
          </w:p>
        </w:tc>
      </w:tr>
      <w:tr w:rsidR="008F221C">
        <w:trPr>
          <w:trHeight w:val="264"/>
        </w:trPr>
        <w:tc>
          <w:tcPr>
            <w:tcW w:w="534" w:type="dxa"/>
          </w:tcPr>
          <w:p w:rsidR="008F221C" w:rsidRDefault="007312F1">
            <w:pPr>
              <w:spacing w:before="100" w:after="10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409" w:type="dxa"/>
          </w:tcPr>
          <w:p w:rsidR="008F221C" w:rsidRDefault="007312F1">
            <w:pPr>
              <w:spacing w:before="100" w:after="10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Transmit power / Power density</w:t>
            </w:r>
          </w:p>
          <w:p w:rsidR="008F221C" w:rsidRDefault="008F221C">
            <w:pPr>
              <w:spacing w:before="100" w:after="100"/>
              <w:rPr>
                <w:sz w:val="20"/>
                <w:u w:val="single"/>
              </w:rPr>
            </w:pPr>
          </w:p>
        </w:tc>
        <w:tc>
          <w:tcPr>
            <w:tcW w:w="6521" w:type="dxa"/>
          </w:tcPr>
          <w:p w:rsidR="008F221C" w:rsidRDefault="007312F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Least Restrictive Technical Conditions (LRTC) applicable to the MFCN systems are specified in Annex 2 of ECC Decision (18)06:</w:t>
            </w:r>
          </w:p>
          <w:p w:rsidR="008F221C" w:rsidRDefault="007312F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Base station:</w:t>
            </w:r>
          </w:p>
          <w:p w:rsidR="008F221C" w:rsidRDefault="007312F1">
            <w:pPr>
              <w:numPr>
                <w:ilvl w:val="0"/>
                <w:numId w:val="18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Table 2: MFCN BS transitional region requirements for coexistence between MFCN networks in adjacent blocks (assuming synchronised operation)</w:t>
            </w:r>
          </w:p>
          <w:p w:rsidR="008F221C" w:rsidRDefault="007312F1">
            <w:pPr>
              <w:numPr>
                <w:ilvl w:val="0"/>
                <w:numId w:val="18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Table 3: MFCN BS baseline requirements for coexistence with MFCN networks in other (non-adjacent) blocks in the band (assuming synchronised operation) </w:t>
            </w:r>
          </w:p>
          <w:p w:rsidR="008F221C" w:rsidRDefault="007312F1">
            <w:pPr>
              <w:numPr>
                <w:ilvl w:val="0"/>
                <w:numId w:val="18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Table 4: MFCN BS additional baseline requirement: maximum </w:t>
            </w:r>
            <w:r>
              <w:rPr>
                <w:sz w:val="20"/>
              </w:rPr>
              <w:lastRenderedPageBreak/>
              <w:t>emissions into the 23.6-24.0 GHz band</w:t>
            </w:r>
          </w:p>
          <w:p w:rsidR="008F221C" w:rsidRDefault="007312F1">
            <w:pPr>
              <w:numPr>
                <w:ilvl w:val="0"/>
                <w:numId w:val="18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Table 5: Conditions applying to the elevation of the main beam from 5G AAS outdoor base stations</w:t>
            </w:r>
          </w:p>
          <w:p w:rsidR="008F221C" w:rsidRDefault="007312F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Terminal station:</w:t>
            </w:r>
          </w:p>
          <w:p w:rsidR="008F221C" w:rsidRDefault="007312F1">
            <w:pPr>
              <w:numPr>
                <w:ilvl w:val="0"/>
                <w:numId w:val="18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Table 6: MFCN terminal station maximum emissions into the 23.6-24.0 GHz band</w:t>
            </w:r>
          </w:p>
        </w:tc>
        <w:tc>
          <w:tcPr>
            <w:tcW w:w="4536" w:type="dxa"/>
          </w:tcPr>
          <w:p w:rsidR="008F221C" w:rsidRDefault="007312F1">
            <w:pPr>
              <w:spacing w:before="60" w:after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The maximum in-block radiated power may be set in the licensing provisions (individual Right of Use).</w:t>
            </w:r>
          </w:p>
          <w:p w:rsidR="008F221C" w:rsidRDefault="008F221C">
            <w:pPr>
              <w:spacing w:before="60" w:after="60"/>
              <w:rPr>
                <w:sz w:val="20"/>
                <w:lang w:val="en-US"/>
              </w:rPr>
            </w:pPr>
          </w:p>
        </w:tc>
      </w:tr>
      <w:tr w:rsidR="008F221C">
        <w:trPr>
          <w:trHeight w:val="807"/>
        </w:trPr>
        <w:tc>
          <w:tcPr>
            <w:tcW w:w="534" w:type="dxa"/>
          </w:tcPr>
          <w:p w:rsidR="008F221C" w:rsidRDefault="007312F1">
            <w:pPr>
              <w:spacing w:before="100" w:after="10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</w:t>
            </w:r>
          </w:p>
        </w:tc>
        <w:tc>
          <w:tcPr>
            <w:tcW w:w="2409" w:type="dxa"/>
          </w:tcPr>
          <w:p w:rsidR="008F221C" w:rsidRDefault="007312F1">
            <w:pPr>
              <w:spacing w:before="100" w:after="100"/>
              <w:rPr>
                <w:sz w:val="20"/>
                <w:u w:val="single"/>
              </w:rPr>
            </w:pPr>
            <w:r>
              <w:rPr>
                <w:b/>
                <w:bCs/>
                <w:sz w:val="20"/>
              </w:rPr>
              <w:t xml:space="preserve">Channel access and occupation rules </w:t>
            </w:r>
          </w:p>
        </w:tc>
        <w:tc>
          <w:tcPr>
            <w:tcW w:w="6521" w:type="dxa"/>
          </w:tcPr>
          <w:p w:rsidR="008F221C" w:rsidRDefault="007312F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Tables 2 and 3 in ECC Decision (18)06 are defined assuming synchronised operation. Administrations may define appropriate mitigation measures to be applied in case of unsynchronised or semi-synchronised operations, taking into account, if available, an ECC Report on a toolbox for coexistence of MFCN in unsynchronised or semi-synchronised operations. Alternatively, administrations may further develop and use an appropriate block edge mask at national level.</w:t>
            </w:r>
          </w:p>
        </w:tc>
        <w:tc>
          <w:tcPr>
            <w:tcW w:w="4536" w:type="dxa"/>
          </w:tcPr>
          <w:p w:rsidR="008F221C" w:rsidRDefault="008F221C">
            <w:pPr>
              <w:spacing w:before="60" w:after="60"/>
              <w:rPr>
                <w:sz w:val="20"/>
              </w:rPr>
            </w:pPr>
          </w:p>
        </w:tc>
      </w:tr>
      <w:tr w:rsidR="008F221C">
        <w:trPr>
          <w:trHeight w:val="288"/>
        </w:trPr>
        <w:tc>
          <w:tcPr>
            <w:tcW w:w="534" w:type="dxa"/>
          </w:tcPr>
          <w:p w:rsidR="008F221C" w:rsidRDefault="007312F1">
            <w:pPr>
              <w:spacing w:before="100" w:after="100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409" w:type="dxa"/>
          </w:tcPr>
          <w:p w:rsidR="008F221C" w:rsidRDefault="007312F1">
            <w:pPr>
              <w:spacing w:before="100" w:after="10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Authorisation regime</w:t>
            </w:r>
          </w:p>
          <w:p w:rsidR="008F221C" w:rsidRDefault="008F221C">
            <w:pPr>
              <w:spacing w:before="100" w:after="100"/>
              <w:rPr>
                <w:sz w:val="20"/>
                <w:u w:val="single"/>
              </w:rPr>
            </w:pPr>
          </w:p>
        </w:tc>
        <w:tc>
          <w:tcPr>
            <w:tcW w:w="6521" w:type="dxa"/>
          </w:tcPr>
          <w:p w:rsidR="008F221C" w:rsidRDefault="007312F1">
            <w:pPr>
              <w:spacing w:before="60" w:after="60"/>
              <w:rPr>
                <w:sz w:val="20"/>
                <w:lang w:val="fr-FR"/>
              </w:rPr>
            </w:pPr>
            <w:proofErr w:type="spellStart"/>
            <w:r>
              <w:rPr>
                <w:sz w:val="20"/>
                <w:lang w:val="fr-FR"/>
              </w:rPr>
              <w:t>Individual</w:t>
            </w:r>
            <w:proofErr w:type="spellEnd"/>
            <w:r>
              <w:rPr>
                <w:sz w:val="20"/>
                <w:lang w:val="fr-FR"/>
              </w:rPr>
              <w:t xml:space="preserve"> autorisation</w:t>
            </w:r>
          </w:p>
          <w:p w:rsidR="008F221C" w:rsidRDefault="008F221C">
            <w:pPr>
              <w:spacing w:before="60" w:after="60"/>
              <w:rPr>
                <w:sz w:val="20"/>
              </w:rPr>
            </w:pPr>
          </w:p>
        </w:tc>
        <w:tc>
          <w:tcPr>
            <w:tcW w:w="4536" w:type="dxa"/>
          </w:tcPr>
          <w:p w:rsidR="008F221C" w:rsidRDefault="007312F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The technical conditions related to coexistence with other services attached to ECC Decision (18)06 have been developed on the assumption of an individual authorisation framework; any other assumption on the authorisation framework, such as general authorisation or a combined individual/general authorisation regime may require different and/or supplementary technical conditions (see </w:t>
            </w:r>
            <w:r>
              <w:rPr>
                <w:i/>
                <w:sz w:val="20"/>
              </w:rPr>
              <w:t>considering j</w:t>
            </w:r>
            <w:r>
              <w:rPr>
                <w:sz w:val="20"/>
              </w:rPr>
              <w:t>) in ECC Decision (18)06).</w:t>
            </w:r>
          </w:p>
        </w:tc>
      </w:tr>
      <w:tr w:rsidR="008F221C">
        <w:trPr>
          <w:trHeight w:val="372"/>
        </w:trPr>
        <w:tc>
          <w:tcPr>
            <w:tcW w:w="534" w:type="dxa"/>
          </w:tcPr>
          <w:p w:rsidR="008F221C" w:rsidRDefault="007312F1">
            <w:pPr>
              <w:spacing w:before="100" w:after="10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409" w:type="dxa"/>
          </w:tcPr>
          <w:p w:rsidR="008F221C" w:rsidRDefault="007312F1">
            <w:pPr>
              <w:spacing w:before="100" w:after="100"/>
              <w:rPr>
                <w:sz w:val="20"/>
                <w:u w:val="single"/>
              </w:rPr>
            </w:pPr>
            <w:r>
              <w:rPr>
                <w:b/>
                <w:bCs/>
                <w:sz w:val="20"/>
              </w:rPr>
              <w:t>Additional essential requirements according to Art. 3.3 of RE Directive</w:t>
            </w:r>
          </w:p>
        </w:tc>
        <w:tc>
          <w:tcPr>
            <w:tcW w:w="6521" w:type="dxa"/>
          </w:tcPr>
          <w:p w:rsidR="008F221C" w:rsidRDefault="007312F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4536" w:type="dxa"/>
          </w:tcPr>
          <w:p w:rsidR="008F221C" w:rsidRDefault="008F221C">
            <w:pPr>
              <w:spacing w:before="60" w:after="60"/>
              <w:rPr>
                <w:sz w:val="20"/>
              </w:rPr>
            </w:pPr>
          </w:p>
        </w:tc>
      </w:tr>
      <w:tr w:rsidR="008F221C">
        <w:trPr>
          <w:trHeight w:val="900"/>
        </w:trPr>
        <w:tc>
          <w:tcPr>
            <w:tcW w:w="534" w:type="dxa"/>
          </w:tcPr>
          <w:p w:rsidR="008F221C" w:rsidRDefault="007312F1">
            <w:pPr>
              <w:spacing w:before="100" w:after="10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2409" w:type="dxa"/>
          </w:tcPr>
          <w:p w:rsidR="008F221C" w:rsidRDefault="007312F1">
            <w:pPr>
              <w:spacing w:before="100" w:after="10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Frequency planning assumptions</w:t>
            </w:r>
          </w:p>
        </w:tc>
        <w:tc>
          <w:tcPr>
            <w:tcW w:w="6521" w:type="dxa"/>
          </w:tcPr>
          <w:p w:rsidR="008F221C" w:rsidRDefault="007312F1">
            <w:pPr>
              <w:spacing w:before="60" w:after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Appropriate provisions are needed in the </w:t>
            </w:r>
            <w:proofErr w:type="spellStart"/>
            <w:r>
              <w:rPr>
                <w:sz w:val="20"/>
                <w:lang w:val="en-US"/>
              </w:rPr>
              <w:t>authorisation</w:t>
            </w:r>
            <w:proofErr w:type="spellEnd"/>
            <w:r>
              <w:rPr>
                <w:sz w:val="20"/>
                <w:lang w:val="en-US"/>
              </w:rPr>
              <w:t xml:space="preserve"> for MFCN to define precisely how to safeguard in a proportionate way the use of existing EESS/SRS receiving earth stations and the possibility for future earth station deployments in the 25.5-27 GHz frequency band </w:t>
            </w:r>
            <w:r>
              <w:rPr>
                <w:sz w:val="20"/>
              </w:rPr>
              <w:t xml:space="preserve"> (see </w:t>
            </w:r>
            <w:r>
              <w:rPr>
                <w:i/>
                <w:sz w:val="20"/>
              </w:rPr>
              <w:t>considering o</w:t>
            </w:r>
            <w:r>
              <w:rPr>
                <w:sz w:val="20"/>
              </w:rPr>
              <w:t>) in ECC Decision (18)06).</w:t>
            </w:r>
          </w:p>
          <w:p w:rsidR="008F221C" w:rsidRDefault="007312F1">
            <w:pPr>
              <w:spacing w:before="60" w:after="0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Appropriate provisions are needed in the </w:t>
            </w:r>
            <w:proofErr w:type="spellStart"/>
            <w:r>
              <w:rPr>
                <w:sz w:val="20"/>
                <w:lang w:val="en-US"/>
              </w:rPr>
              <w:t>authorisation</w:t>
            </w:r>
            <w:proofErr w:type="spellEnd"/>
            <w:r>
              <w:rPr>
                <w:sz w:val="20"/>
                <w:lang w:val="en-US"/>
              </w:rPr>
              <w:t xml:space="preserve"> for MFCN to define precisely how to safeguard in a proportionate way the use of existing FSS transmitting earth stations and the possibility for future earth station deployments in the 24.65-25.25 GHz frequency band</w:t>
            </w:r>
            <w:r>
              <w:rPr>
                <w:sz w:val="20"/>
              </w:rPr>
              <w:t xml:space="preserve"> (see </w:t>
            </w:r>
            <w:r>
              <w:rPr>
                <w:i/>
                <w:sz w:val="20"/>
              </w:rPr>
              <w:t>considering p</w:t>
            </w:r>
            <w:r>
              <w:rPr>
                <w:sz w:val="20"/>
              </w:rPr>
              <w:t>) in ECC Decision (18)06).</w:t>
            </w:r>
          </w:p>
          <w:p w:rsidR="008F221C" w:rsidRDefault="007312F1">
            <w:pPr>
              <w:spacing w:before="60" w:after="0"/>
              <w:rPr>
                <w:sz w:val="20"/>
                <w:lang w:val="en-US"/>
              </w:rPr>
            </w:pPr>
            <w:r>
              <w:rPr>
                <w:sz w:val="20"/>
              </w:rPr>
              <w:t>The</w:t>
            </w:r>
            <w:r>
              <w:rPr>
                <w:sz w:val="20"/>
                <w:lang w:val="en-US"/>
              </w:rPr>
              <w:t xml:space="preserve"> protection of Radio Astronomy Service (RAS) observations in the 23.6-24.0 GHz band will require the implementation of suitable separation distances between RAS stations and MFCN transmitters on </w:t>
            </w:r>
            <w:r>
              <w:rPr>
                <w:sz w:val="20"/>
                <w:lang w:val="en-US"/>
              </w:rPr>
              <w:lastRenderedPageBreak/>
              <w:t>a case-by-case basis.</w:t>
            </w:r>
          </w:p>
        </w:tc>
        <w:tc>
          <w:tcPr>
            <w:tcW w:w="4536" w:type="dxa"/>
          </w:tcPr>
          <w:p w:rsidR="008F221C" w:rsidRDefault="008F221C">
            <w:pPr>
              <w:spacing w:before="60" w:after="60"/>
              <w:rPr>
                <w:iCs/>
                <w:sz w:val="20"/>
                <w:szCs w:val="20"/>
              </w:rPr>
            </w:pPr>
          </w:p>
        </w:tc>
      </w:tr>
    </w:tbl>
    <w:p w:rsidR="008F221C" w:rsidRDefault="008F221C"/>
    <w:p w:rsidR="008F221C" w:rsidRDefault="007312F1">
      <w:pPr>
        <w:rPr>
          <w:b/>
        </w:rPr>
      </w:pPr>
      <w:r>
        <w:rPr>
          <w:b/>
        </w:rPr>
        <w:t>Informative Part</w:t>
      </w:r>
    </w:p>
    <w:p w:rsidR="008F221C" w:rsidRDefault="008F221C"/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6521"/>
        <w:gridCol w:w="4536"/>
      </w:tblGrid>
      <w:tr w:rsidR="008F221C">
        <w:trPr>
          <w:trHeight w:val="240"/>
        </w:trPr>
        <w:tc>
          <w:tcPr>
            <w:tcW w:w="534" w:type="dxa"/>
            <w:vAlign w:val="center"/>
          </w:tcPr>
          <w:p w:rsidR="008F221C" w:rsidRDefault="007312F1">
            <w:pPr>
              <w:spacing w:before="100" w:after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Nr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8F221C" w:rsidRDefault="007312F1">
            <w:pPr>
              <w:spacing w:before="100" w:after="100"/>
              <w:rPr>
                <w:b/>
                <w:sz w:val="20"/>
              </w:rPr>
            </w:pPr>
            <w:r>
              <w:rPr>
                <w:b/>
                <w:sz w:val="20"/>
              </w:rPr>
              <w:t>Parameter</w:t>
            </w:r>
          </w:p>
        </w:tc>
        <w:tc>
          <w:tcPr>
            <w:tcW w:w="6521" w:type="dxa"/>
            <w:vAlign w:val="center"/>
          </w:tcPr>
          <w:p w:rsidR="008F221C" w:rsidRDefault="007312F1">
            <w:pPr>
              <w:spacing w:before="100" w:after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Description </w:t>
            </w:r>
          </w:p>
        </w:tc>
        <w:tc>
          <w:tcPr>
            <w:tcW w:w="4536" w:type="dxa"/>
            <w:vAlign w:val="center"/>
          </w:tcPr>
          <w:p w:rsidR="008F221C" w:rsidRDefault="007312F1">
            <w:pPr>
              <w:spacing w:before="100" w:after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Comments </w:t>
            </w:r>
          </w:p>
        </w:tc>
      </w:tr>
      <w:tr w:rsidR="008F221C">
        <w:trPr>
          <w:trHeight w:val="290"/>
        </w:trPr>
        <w:tc>
          <w:tcPr>
            <w:tcW w:w="534" w:type="dxa"/>
          </w:tcPr>
          <w:p w:rsidR="008F221C" w:rsidRDefault="007312F1">
            <w:pPr>
              <w:spacing w:before="100" w:after="10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2409" w:type="dxa"/>
          </w:tcPr>
          <w:p w:rsidR="008F221C" w:rsidRDefault="007312F1">
            <w:pPr>
              <w:spacing w:before="100" w:after="10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Planned changes</w:t>
            </w:r>
          </w:p>
        </w:tc>
        <w:tc>
          <w:tcPr>
            <w:tcW w:w="6521" w:type="dxa"/>
          </w:tcPr>
          <w:p w:rsidR="008F221C" w:rsidRDefault="007312F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A regular assessment of the evolution of MFCN system characteristics, including network deployments, in a timeline consistent with the 5 years review process of the Decision, or sooner if necessary, will provide additional confidence that these LRTC ensure adequate protection of other services, in particular space services (see </w:t>
            </w:r>
            <w:r>
              <w:rPr>
                <w:i/>
                <w:sz w:val="20"/>
              </w:rPr>
              <w:t>considering p</w:t>
            </w:r>
            <w:r>
              <w:rPr>
                <w:sz w:val="20"/>
              </w:rPr>
              <w:t>) in ECC Decision (18)06).</w:t>
            </w:r>
          </w:p>
        </w:tc>
        <w:tc>
          <w:tcPr>
            <w:tcW w:w="4536" w:type="dxa"/>
          </w:tcPr>
          <w:p w:rsidR="008F221C" w:rsidRDefault="008F221C">
            <w:pPr>
              <w:spacing w:before="60" w:after="60"/>
              <w:rPr>
                <w:sz w:val="20"/>
              </w:rPr>
            </w:pPr>
          </w:p>
        </w:tc>
      </w:tr>
      <w:tr w:rsidR="008F221C">
        <w:trPr>
          <w:trHeight w:val="767"/>
        </w:trPr>
        <w:tc>
          <w:tcPr>
            <w:tcW w:w="534" w:type="dxa"/>
          </w:tcPr>
          <w:p w:rsidR="008F221C" w:rsidRDefault="007312F1">
            <w:pPr>
              <w:spacing w:before="100" w:after="10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  <w:p w:rsidR="008F221C" w:rsidRDefault="008F221C">
            <w:pPr>
              <w:spacing w:before="100" w:after="100"/>
              <w:rPr>
                <w:b/>
                <w:bCs/>
                <w:sz w:val="20"/>
              </w:rPr>
            </w:pPr>
          </w:p>
        </w:tc>
        <w:tc>
          <w:tcPr>
            <w:tcW w:w="2409" w:type="dxa"/>
          </w:tcPr>
          <w:p w:rsidR="008F221C" w:rsidRDefault="007312F1">
            <w:pPr>
              <w:spacing w:before="100" w:after="10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Reference</w:t>
            </w:r>
          </w:p>
        </w:tc>
        <w:tc>
          <w:tcPr>
            <w:tcW w:w="6521" w:type="dxa"/>
          </w:tcPr>
          <w:p w:rsidR="008F221C" w:rsidRDefault="007312F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EC Decision : under development</w:t>
            </w:r>
          </w:p>
          <w:p w:rsidR="008F221C" w:rsidRDefault="007312F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Harmonised Standards: TBD</w:t>
            </w:r>
          </w:p>
          <w:p w:rsidR="008F221C" w:rsidRDefault="007312F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CEPT: ECC Decision (18)06 (corrected 26 October 2018)</w:t>
            </w:r>
          </w:p>
        </w:tc>
        <w:tc>
          <w:tcPr>
            <w:tcW w:w="4536" w:type="dxa"/>
          </w:tcPr>
          <w:p w:rsidR="008F221C" w:rsidRDefault="008F221C">
            <w:pPr>
              <w:spacing w:before="60" w:after="60"/>
              <w:rPr>
                <w:sz w:val="20"/>
                <w:lang w:val="en-US"/>
              </w:rPr>
            </w:pPr>
          </w:p>
        </w:tc>
      </w:tr>
      <w:tr w:rsidR="008F221C">
        <w:trPr>
          <w:trHeight w:val="290"/>
        </w:trPr>
        <w:tc>
          <w:tcPr>
            <w:tcW w:w="534" w:type="dxa"/>
          </w:tcPr>
          <w:p w:rsidR="008F221C" w:rsidRDefault="007312F1">
            <w:pPr>
              <w:spacing w:before="100" w:after="10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2409" w:type="dxa"/>
          </w:tcPr>
          <w:p w:rsidR="008F221C" w:rsidRDefault="007312F1">
            <w:pPr>
              <w:spacing w:before="100" w:after="100"/>
              <w:rPr>
                <w:sz w:val="20"/>
                <w:u w:val="single"/>
              </w:rPr>
            </w:pPr>
            <w:r>
              <w:rPr>
                <w:b/>
                <w:bCs/>
                <w:sz w:val="20"/>
              </w:rPr>
              <w:t xml:space="preserve">Notification number </w:t>
            </w:r>
          </w:p>
        </w:tc>
        <w:tc>
          <w:tcPr>
            <w:tcW w:w="6521" w:type="dxa"/>
          </w:tcPr>
          <w:p w:rsidR="008F221C" w:rsidRDefault="008F221C">
            <w:pPr>
              <w:spacing w:before="60" w:after="60"/>
              <w:rPr>
                <w:sz w:val="20"/>
              </w:rPr>
            </w:pPr>
          </w:p>
        </w:tc>
        <w:tc>
          <w:tcPr>
            <w:tcW w:w="4536" w:type="dxa"/>
          </w:tcPr>
          <w:p w:rsidR="008F221C" w:rsidRDefault="008F221C">
            <w:pPr>
              <w:spacing w:before="60" w:after="60"/>
              <w:rPr>
                <w:sz w:val="20"/>
              </w:rPr>
            </w:pPr>
          </w:p>
        </w:tc>
      </w:tr>
      <w:tr w:rsidR="008F221C">
        <w:trPr>
          <w:trHeight w:val="354"/>
        </w:trPr>
        <w:tc>
          <w:tcPr>
            <w:tcW w:w="534" w:type="dxa"/>
          </w:tcPr>
          <w:p w:rsidR="008F221C" w:rsidRDefault="007312F1">
            <w:pPr>
              <w:spacing w:before="100" w:after="10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2409" w:type="dxa"/>
          </w:tcPr>
          <w:p w:rsidR="008F221C" w:rsidRDefault="007312F1">
            <w:pPr>
              <w:spacing w:before="100" w:after="100"/>
              <w:rPr>
                <w:sz w:val="20"/>
                <w:u w:val="single"/>
              </w:rPr>
            </w:pPr>
            <w:r>
              <w:rPr>
                <w:b/>
                <w:bCs/>
                <w:sz w:val="20"/>
              </w:rPr>
              <w:t xml:space="preserve">Remarks </w:t>
            </w:r>
          </w:p>
        </w:tc>
        <w:tc>
          <w:tcPr>
            <w:tcW w:w="6521" w:type="dxa"/>
          </w:tcPr>
          <w:p w:rsidR="008F221C" w:rsidRDefault="008F221C">
            <w:pPr>
              <w:spacing w:before="60" w:after="60"/>
              <w:rPr>
                <w:sz w:val="20"/>
              </w:rPr>
            </w:pPr>
          </w:p>
        </w:tc>
        <w:tc>
          <w:tcPr>
            <w:tcW w:w="4536" w:type="dxa"/>
          </w:tcPr>
          <w:p w:rsidR="008F221C" w:rsidRDefault="008F221C">
            <w:pPr>
              <w:spacing w:before="60" w:after="60"/>
              <w:rPr>
                <w:sz w:val="20"/>
              </w:rPr>
            </w:pPr>
          </w:p>
        </w:tc>
      </w:tr>
    </w:tbl>
    <w:p w:rsidR="008F221C" w:rsidRDefault="008F221C"/>
    <w:sectPr w:rsidR="008F22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575" w:right="1418" w:bottom="709" w:left="1701" w:header="284" w:footer="14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AC6" w:rsidRDefault="00F54AC6">
      <w:r>
        <w:separator/>
      </w:r>
    </w:p>
  </w:endnote>
  <w:endnote w:type="continuationSeparator" w:id="0">
    <w:p w:rsidR="00F54AC6" w:rsidRDefault="00F5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21C" w:rsidRDefault="008F22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21C" w:rsidRDefault="007312F1">
    <w:pPr>
      <w:tabs>
        <w:tab w:val="left" w:pos="12758"/>
      </w:tabs>
      <w:rPr>
        <w:color w:val="000000"/>
        <w:sz w:val="16"/>
        <w:szCs w:val="16"/>
        <w:lang w:val="en-US"/>
      </w:rPr>
    </w:pPr>
    <w:r>
      <w:rPr>
        <w:color w:val="000000"/>
        <w:sz w:val="16"/>
        <w:szCs w:val="16"/>
        <w:lang w:val="en-US"/>
      </w:rPr>
      <w:tab/>
      <w:t xml:space="preserve">Page </w:t>
    </w:r>
    <w:r>
      <w:rPr>
        <w:rStyle w:val="PageNumber"/>
        <w:rFonts w:ascii="Times New Roman" w:hAnsi="Times New Roman"/>
        <w:sz w:val="16"/>
        <w:szCs w:val="16"/>
      </w:rPr>
      <w:fldChar w:fldCharType="begin"/>
    </w:r>
    <w:r>
      <w:rPr>
        <w:rStyle w:val="PageNumber"/>
        <w:rFonts w:ascii="Times New Roman" w:hAnsi="Times New Roman"/>
        <w:sz w:val="16"/>
        <w:szCs w:val="16"/>
        <w:lang w:val="en-US"/>
      </w:rPr>
      <w:instrText xml:space="preserve"> PAGE </w:instrText>
    </w:r>
    <w:r>
      <w:rPr>
        <w:rStyle w:val="PageNumber"/>
        <w:rFonts w:ascii="Times New Roman" w:hAnsi="Times New Roman"/>
        <w:sz w:val="16"/>
        <w:szCs w:val="16"/>
      </w:rPr>
      <w:fldChar w:fldCharType="separate"/>
    </w:r>
    <w:r w:rsidR="000E2AA3">
      <w:rPr>
        <w:rStyle w:val="PageNumber"/>
        <w:rFonts w:ascii="Times New Roman" w:hAnsi="Times New Roman"/>
        <w:noProof/>
        <w:sz w:val="16"/>
        <w:szCs w:val="16"/>
        <w:lang w:val="en-US"/>
      </w:rPr>
      <w:t>2</w:t>
    </w:r>
    <w:r>
      <w:rPr>
        <w:rStyle w:val="PageNumber"/>
        <w:rFonts w:ascii="Times New Roman" w:hAnsi="Times New Roman"/>
        <w:sz w:val="16"/>
        <w:szCs w:val="16"/>
      </w:rPr>
      <w:fldChar w:fldCharType="end"/>
    </w:r>
    <w:r>
      <w:rPr>
        <w:rStyle w:val="PageNumber"/>
        <w:rFonts w:ascii="Times New Roman" w:hAnsi="Times New Roman"/>
        <w:sz w:val="16"/>
        <w:szCs w:val="16"/>
        <w:lang w:val="en-US"/>
      </w:rPr>
      <w:t xml:space="preserve"> / </w:t>
    </w:r>
    <w:r>
      <w:rPr>
        <w:rStyle w:val="PageNumber"/>
        <w:rFonts w:ascii="Times New Roman" w:hAnsi="Times New Roman"/>
        <w:sz w:val="16"/>
        <w:szCs w:val="16"/>
      </w:rPr>
      <w:fldChar w:fldCharType="begin"/>
    </w:r>
    <w:r>
      <w:rPr>
        <w:rStyle w:val="PageNumber"/>
        <w:rFonts w:ascii="Times New Roman" w:hAnsi="Times New Roman"/>
        <w:sz w:val="16"/>
        <w:szCs w:val="16"/>
        <w:lang w:val="en-US"/>
      </w:rPr>
      <w:instrText xml:space="preserve"> NUMPAGES </w:instrText>
    </w:r>
    <w:r>
      <w:rPr>
        <w:rStyle w:val="PageNumber"/>
        <w:rFonts w:ascii="Times New Roman" w:hAnsi="Times New Roman"/>
        <w:sz w:val="16"/>
        <w:szCs w:val="16"/>
      </w:rPr>
      <w:fldChar w:fldCharType="separate"/>
    </w:r>
    <w:r w:rsidR="000E2AA3">
      <w:rPr>
        <w:rStyle w:val="PageNumber"/>
        <w:rFonts w:ascii="Times New Roman" w:hAnsi="Times New Roman"/>
        <w:noProof/>
        <w:sz w:val="16"/>
        <w:szCs w:val="16"/>
        <w:lang w:val="en-US"/>
      </w:rPr>
      <w:t>3</w:t>
    </w:r>
    <w:r>
      <w:rPr>
        <w:rStyle w:val="PageNumber"/>
        <w:rFonts w:ascii="Times New Roman" w:hAnsi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21C" w:rsidRDefault="008F22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AC6" w:rsidRDefault="00F54AC6">
      <w:r>
        <w:separator/>
      </w:r>
    </w:p>
  </w:footnote>
  <w:footnote w:type="continuationSeparator" w:id="0">
    <w:p w:rsidR="00F54AC6" w:rsidRDefault="00F54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21C" w:rsidRDefault="008F22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21C" w:rsidRDefault="007312F1">
    <w:pPr>
      <w:pStyle w:val="Header"/>
      <w:spacing w:after="240"/>
      <w:jc w:val="center"/>
      <w:rPr>
        <w:b/>
      </w:rPr>
    </w:pPr>
    <w:r>
      <w:rPr>
        <w:b/>
        <w:color w:val="000000"/>
        <w:szCs w:val="22"/>
        <w:lang w:val="en-US"/>
      </w:rPr>
      <w:t>RIS Model for ECC Decision (18)06 of 06 July 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21C" w:rsidRDefault="008F22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abstractNum w:abstractNumId="0">
    <w:nsid w:val="039B7E71"/>
    <w:multiLevelType w:val="hybridMultilevel"/>
    <w:tmpl w:val="04AA47F6"/>
    <w:lvl w:ilvl="0" w:tplc="10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5342C7"/>
    <w:multiLevelType w:val="hybridMultilevel"/>
    <w:tmpl w:val="1E5E47CC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14148E"/>
    <w:multiLevelType w:val="hybridMultilevel"/>
    <w:tmpl w:val="CE0ACBCC"/>
    <w:lvl w:ilvl="0" w:tplc="57FE42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DC74F0"/>
    <w:multiLevelType w:val="multilevel"/>
    <w:tmpl w:val="0807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77100EA"/>
    <w:multiLevelType w:val="multilevel"/>
    <w:tmpl w:val="8842F0C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30DF5"/>
    <w:multiLevelType w:val="hybridMultilevel"/>
    <w:tmpl w:val="1284982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0254D4"/>
    <w:multiLevelType w:val="multilevel"/>
    <w:tmpl w:val="3C5E4572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1D1DFF"/>
    <w:multiLevelType w:val="hybridMultilevel"/>
    <w:tmpl w:val="FB8AA724"/>
    <w:lvl w:ilvl="0" w:tplc="1B3ABF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BA2679"/>
    <w:multiLevelType w:val="hybridMultilevel"/>
    <w:tmpl w:val="CE0ACBCC"/>
    <w:lvl w:ilvl="0" w:tplc="57FE42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C04ACB"/>
    <w:multiLevelType w:val="hybridMultilevel"/>
    <w:tmpl w:val="2BBAF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92F52"/>
    <w:multiLevelType w:val="hybridMultilevel"/>
    <w:tmpl w:val="CE0ACBCC"/>
    <w:lvl w:ilvl="0" w:tplc="57FE42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773DB1"/>
    <w:multiLevelType w:val="hybridMultilevel"/>
    <w:tmpl w:val="23FAB73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107A1F"/>
    <w:multiLevelType w:val="hybridMultilevel"/>
    <w:tmpl w:val="993630E2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62689D"/>
    <w:multiLevelType w:val="multilevel"/>
    <w:tmpl w:val="2A349B2A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B0301F"/>
    <w:multiLevelType w:val="hybridMultilevel"/>
    <w:tmpl w:val="FF8EA94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7D6FC8"/>
    <w:multiLevelType w:val="multilevel"/>
    <w:tmpl w:val="4CFEFD38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52493B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5E547D51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0"/>
  </w:num>
  <w:num w:numId="5">
    <w:abstractNumId w:val="1"/>
  </w:num>
  <w:num w:numId="6">
    <w:abstractNumId w:val="12"/>
  </w:num>
  <w:num w:numId="7">
    <w:abstractNumId w:val="4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5"/>
  </w:num>
  <w:num w:numId="13">
    <w:abstractNumId w:val="8"/>
  </w:num>
  <w:num w:numId="14">
    <w:abstractNumId w:val="11"/>
  </w:num>
  <w:num w:numId="15">
    <w:abstractNumId w:val="2"/>
  </w:num>
  <w:num w:numId="16">
    <w:abstractNumId w:val="10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removePersonalInformation/>
  <w:removeDateAndTim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12F1"/>
    <w:rsid w:val="000E2AA3"/>
    <w:rsid w:val="001E6B75"/>
    <w:rsid w:val="00241070"/>
    <w:rsid w:val="00244776"/>
    <w:rsid w:val="00331545"/>
    <w:rsid w:val="00681088"/>
    <w:rsid w:val="007312F1"/>
    <w:rsid w:val="008C41B5"/>
    <w:rsid w:val="008F221C"/>
    <w:rsid w:val="00A406A2"/>
    <w:rsid w:val="00F5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0FE8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20" w:after="20"/>
    </w:pPr>
    <w:rPr>
      <w:rFonts w:ascii="Arial" w:hAnsi="Arial"/>
      <w:sz w:val="22"/>
      <w:szCs w:val="24"/>
      <w:lang w:val="en-GB" w:eastAsia="de-CH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atvorlageArial-BoldMT14ptFett">
    <w:name w:val="Formatvorlage Arial-BoldMT 14 pt Fett"/>
    <w:rPr>
      <w:rFonts w:ascii="Arial" w:hAnsi="Arial"/>
      <w:b/>
      <w:bCs/>
      <w:sz w:val="28"/>
    </w:rPr>
  </w:style>
  <w:style w:type="paragraph" w:customStyle="1" w:styleId="CM1">
    <w:name w:val="CM1"/>
    <w:basedOn w:val="Normal"/>
    <w:pPr>
      <w:widowControl w:val="0"/>
      <w:autoSpaceDE w:val="0"/>
      <w:autoSpaceDN w:val="0"/>
      <w:adjustRightInd w:val="0"/>
      <w:spacing w:line="231" w:lineRule="atLeast"/>
    </w:pPr>
    <w:rPr>
      <w:rFonts w:cs="Arial"/>
      <w:lang w:val="de-CH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Formatvorlage9pt">
    <w:name w:val="Formatvorlage 9 pt"/>
    <w:rPr>
      <w:rFonts w:ascii="Arial" w:hAnsi="Arial"/>
      <w:sz w:val="18"/>
    </w:rPr>
  </w:style>
  <w:style w:type="character" w:customStyle="1" w:styleId="FormatvorlageArialMT9pt">
    <w:name w:val="Formatvorlage ArialMT 9 pt"/>
    <w:rPr>
      <w:rFonts w:ascii="Arial" w:hAnsi="Arial"/>
      <w:sz w:val="18"/>
    </w:rPr>
  </w:style>
  <w:style w:type="paragraph" w:customStyle="1" w:styleId="CM5">
    <w:name w:val="CM5"/>
    <w:basedOn w:val="Normal"/>
    <w:pPr>
      <w:widowControl w:val="0"/>
      <w:autoSpaceDE w:val="0"/>
      <w:autoSpaceDN w:val="0"/>
      <w:adjustRightInd w:val="0"/>
      <w:spacing w:after="205"/>
    </w:pPr>
    <w:rPr>
      <w:rFonts w:cs="Arial"/>
      <w:lang w:val="de-CH"/>
    </w:rPr>
  </w:style>
  <w:style w:type="character" w:styleId="Hyperlink">
    <w:name w:val="Hyperlink"/>
    <w:rPr>
      <w:color w:val="0000FF"/>
      <w:u w:val="single"/>
    </w:rPr>
  </w:style>
  <w:style w:type="paragraph" w:customStyle="1" w:styleId="Formatvorlage1">
    <w:name w:val="Formatvorlage1"/>
    <w:basedOn w:val="Normal"/>
    <w:pPr>
      <w:spacing w:before="100" w:after="100"/>
    </w:pPr>
    <w:rPr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Kopf">
    <w:name w:val="Kopf"/>
    <w:basedOn w:val="Normal"/>
    <w:link w:val="KopfCar"/>
    <w:pPr>
      <w:suppressAutoHyphens/>
      <w:spacing w:line="200" w:lineRule="exact"/>
    </w:pPr>
    <w:rPr>
      <w:rFonts w:cs="Arial"/>
      <w:noProof/>
      <w:sz w:val="15"/>
      <w:szCs w:val="15"/>
      <w:lang w:val="de-CH"/>
    </w:rPr>
  </w:style>
  <w:style w:type="character" w:customStyle="1" w:styleId="KopfCar">
    <w:name w:val="Kopf Car"/>
    <w:link w:val="Kopf"/>
    <w:rPr>
      <w:rFonts w:ascii="Arial" w:hAnsi="Arial" w:cs="Arial"/>
      <w:noProof/>
      <w:sz w:val="15"/>
      <w:szCs w:val="15"/>
      <w:lang w:val="de-CH" w:eastAsia="de-CH" w:bidi="ar-SA"/>
    </w:rPr>
  </w:style>
  <w:style w:type="paragraph" w:customStyle="1" w:styleId="Formatvorlage2">
    <w:name w:val="Formatvorlage2"/>
    <w:basedOn w:val="Normal"/>
    <w:pPr>
      <w:spacing w:before="100" w:after="100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ogo">
    <w:name w:val="Logo"/>
    <w:rPr>
      <w:rFonts w:ascii="Arial" w:hAnsi="Arial"/>
      <w:noProof/>
      <w:sz w:val="15"/>
      <w:lang w:val="de-CH" w:eastAsia="de-CH"/>
    </w:rPr>
  </w:style>
  <w:style w:type="paragraph" w:customStyle="1" w:styleId="FormatvorlageCM4FettRechts068cmZeilenabstandMindestens143">
    <w:name w:val="Formatvorlage CM4 + Fett Rechts:  0.68 cm Zeilenabstand:  Mindestens 14.3..."/>
    <w:basedOn w:val="Normal"/>
    <w:pPr>
      <w:widowControl w:val="0"/>
      <w:autoSpaceDE w:val="0"/>
      <w:autoSpaceDN w:val="0"/>
      <w:adjustRightInd w:val="0"/>
      <w:spacing w:line="286" w:lineRule="atLeast"/>
      <w:ind w:right="386"/>
    </w:pPr>
    <w:rPr>
      <w:b/>
      <w:bCs/>
      <w:szCs w:val="20"/>
      <w:lang w:val="de-CH"/>
    </w:rPr>
  </w:style>
  <w:style w:type="paragraph" w:customStyle="1" w:styleId="Formatvorlage3">
    <w:name w:val="Formatvorlage3"/>
    <w:basedOn w:val="Normal"/>
    <w:pPr>
      <w:spacing w:before="100" w:after="100"/>
    </w:pPr>
    <w:rPr>
      <w:b/>
    </w:rPr>
  </w:style>
  <w:style w:type="table" w:styleId="TableGrid">
    <w:name w:val="Table Grid"/>
    <w:basedOn w:val="TableNormal"/>
    <w:pPr>
      <w:spacing w:before="20" w:after="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Emphasis">
    <w:name w:val="Emphasis"/>
    <w:qFormat/>
    <w:rPr>
      <w:i/>
      <w:iCs/>
    </w:rPr>
  </w:style>
  <w:style w:type="paragraph" w:styleId="Revision">
    <w:name w:val="Revision"/>
    <w:hidden/>
    <w:uiPriority w:val="99"/>
    <w:semiHidden/>
    <w:rPr>
      <w:rFonts w:ascii="Arial" w:hAnsi="Arial"/>
      <w:sz w:val="22"/>
      <w:szCs w:val="24"/>
      <w:lang w:val="en-GB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20" w:after="20"/>
    </w:pPr>
    <w:rPr>
      <w:rFonts w:ascii="Arial" w:hAnsi="Arial"/>
      <w:sz w:val="22"/>
      <w:szCs w:val="24"/>
      <w:lang w:val="en-GB" w:eastAsia="de-CH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atvorlageArial-BoldMT14ptFett">
    <w:name w:val="Formatvorlage Arial-BoldMT 14 pt Fett"/>
    <w:rPr>
      <w:rFonts w:ascii="Arial" w:hAnsi="Arial"/>
      <w:b/>
      <w:bCs/>
      <w:sz w:val="28"/>
    </w:rPr>
  </w:style>
  <w:style w:type="paragraph" w:customStyle="1" w:styleId="CM1">
    <w:name w:val="CM1"/>
    <w:basedOn w:val="Normal"/>
    <w:pPr>
      <w:widowControl w:val="0"/>
      <w:autoSpaceDE w:val="0"/>
      <w:autoSpaceDN w:val="0"/>
      <w:adjustRightInd w:val="0"/>
      <w:spacing w:line="231" w:lineRule="atLeast"/>
    </w:pPr>
    <w:rPr>
      <w:rFonts w:cs="Arial"/>
      <w:lang w:val="de-CH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Formatvorlage9pt">
    <w:name w:val="Formatvorlage 9 pt"/>
    <w:rPr>
      <w:rFonts w:ascii="Arial" w:hAnsi="Arial"/>
      <w:sz w:val="18"/>
    </w:rPr>
  </w:style>
  <w:style w:type="character" w:customStyle="1" w:styleId="FormatvorlageArialMT9pt">
    <w:name w:val="Formatvorlage ArialMT 9 pt"/>
    <w:rPr>
      <w:rFonts w:ascii="Arial" w:hAnsi="Arial"/>
      <w:sz w:val="18"/>
    </w:rPr>
  </w:style>
  <w:style w:type="paragraph" w:customStyle="1" w:styleId="CM5">
    <w:name w:val="CM5"/>
    <w:basedOn w:val="Normal"/>
    <w:pPr>
      <w:widowControl w:val="0"/>
      <w:autoSpaceDE w:val="0"/>
      <w:autoSpaceDN w:val="0"/>
      <w:adjustRightInd w:val="0"/>
      <w:spacing w:after="205"/>
    </w:pPr>
    <w:rPr>
      <w:rFonts w:cs="Arial"/>
      <w:lang w:val="de-CH"/>
    </w:rPr>
  </w:style>
  <w:style w:type="character" w:styleId="Hyperlink">
    <w:name w:val="Hyperlink"/>
    <w:rPr>
      <w:color w:val="0000FF"/>
      <w:u w:val="single"/>
    </w:rPr>
  </w:style>
  <w:style w:type="paragraph" w:customStyle="1" w:styleId="Formatvorlage1">
    <w:name w:val="Formatvorlage1"/>
    <w:basedOn w:val="Normal"/>
    <w:pPr>
      <w:spacing w:before="100" w:after="100"/>
    </w:pPr>
    <w:rPr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Kopf">
    <w:name w:val="Kopf"/>
    <w:basedOn w:val="Normal"/>
    <w:link w:val="KopfCar"/>
    <w:pPr>
      <w:suppressAutoHyphens/>
      <w:spacing w:line="200" w:lineRule="exact"/>
    </w:pPr>
    <w:rPr>
      <w:rFonts w:cs="Arial"/>
      <w:noProof/>
      <w:sz w:val="15"/>
      <w:szCs w:val="15"/>
      <w:lang w:val="de-CH"/>
    </w:rPr>
  </w:style>
  <w:style w:type="character" w:customStyle="1" w:styleId="KopfCar">
    <w:name w:val="Kopf Car"/>
    <w:link w:val="Kopf"/>
    <w:rPr>
      <w:rFonts w:ascii="Arial" w:hAnsi="Arial" w:cs="Arial"/>
      <w:noProof/>
      <w:sz w:val="15"/>
      <w:szCs w:val="15"/>
      <w:lang w:val="de-CH" w:eastAsia="de-CH" w:bidi="ar-SA"/>
    </w:rPr>
  </w:style>
  <w:style w:type="paragraph" w:customStyle="1" w:styleId="Formatvorlage2">
    <w:name w:val="Formatvorlage2"/>
    <w:basedOn w:val="Normal"/>
    <w:pPr>
      <w:spacing w:before="100" w:after="100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ogo">
    <w:name w:val="Logo"/>
    <w:rPr>
      <w:rFonts w:ascii="Arial" w:hAnsi="Arial"/>
      <w:noProof/>
      <w:sz w:val="15"/>
      <w:lang w:val="de-CH" w:eastAsia="de-CH"/>
    </w:rPr>
  </w:style>
  <w:style w:type="paragraph" w:customStyle="1" w:styleId="FormatvorlageCM4FettRechts068cmZeilenabstandMindestens143">
    <w:name w:val="Formatvorlage CM4 + Fett Rechts:  0.68 cm Zeilenabstand:  Mindestens 14.3..."/>
    <w:basedOn w:val="Normal"/>
    <w:pPr>
      <w:widowControl w:val="0"/>
      <w:autoSpaceDE w:val="0"/>
      <w:autoSpaceDN w:val="0"/>
      <w:adjustRightInd w:val="0"/>
      <w:spacing w:line="286" w:lineRule="atLeast"/>
      <w:ind w:right="386"/>
    </w:pPr>
    <w:rPr>
      <w:b/>
      <w:bCs/>
      <w:szCs w:val="20"/>
      <w:lang w:val="de-CH"/>
    </w:rPr>
  </w:style>
  <w:style w:type="paragraph" w:customStyle="1" w:styleId="Formatvorlage3">
    <w:name w:val="Formatvorlage3"/>
    <w:basedOn w:val="Normal"/>
    <w:pPr>
      <w:spacing w:before="100" w:after="100"/>
    </w:pPr>
    <w:rPr>
      <w:b/>
    </w:rPr>
  </w:style>
  <w:style w:type="table" w:styleId="TableGrid">
    <w:name w:val="Table Grid"/>
    <w:basedOn w:val="TableNormal"/>
    <w:pPr>
      <w:spacing w:before="20" w:after="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Emphasis">
    <w:name w:val="Emphasis"/>
    <w:qFormat/>
    <w:rPr>
      <w:i/>
      <w:iCs/>
    </w:rPr>
  </w:style>
  <w:style w:type="paragraph" w:styleId="Revision">
    <w:name w:val="Revision"/>
    <w:hidden/>
    <w:uiPriority w:val="99"/>
    <w:semiHidden/>
    <w:rPr>
      <w:rFonts w:ascii="Arial" w:hAnsi="Arial"/>
      <w:sz w:val="22"/>
      <w:szCs w:val="24"/>
      <w:lang w:val="en-GB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3812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Template 26 GHz</vt:lpstr>
      <vt:lpstr/>
      <vt:lpstr/>
    </vt:vector>
  </TitlesOfParts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26 GHz</dc:title>
  <dc:creator/>
  <dc:description>adopted, 03 June 2019</dc:description>
  <cp:lastModifiedBy/>
  <cp:revision>1</cp:revision>
  <dcterms:created xsi:type="dcterms:W3CDTF">2019-06-13T09:46:00Z</dcterms:created>
  <dcterms:modified xsi:type="dcterms:W3CDTF">2019-06-13T09:48:00Z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a8008cfd-f557-4e98-a05b-f0dc04ce45e3</vt:lpwstr>
  </property>
  <property fmtid="{D5CDD505-2E9C-101B-9397-08002B2CF9AE}" pid="3" name="CTP_TimeStamp">
    <vt:lpwstr>2019-01-17 19:55:00Z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