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Pr="00617020" w:rsidRDefault="006C03D0" w:rsidP="007C4348">
      <w:pPr>
        <w:pStyle w:val="Heading3"/>
        <w:rPr>
          <w:lang w:val="en-GB"/>
        </w:rPr>
      </w:pPr>
    </w:p>
    <w:p w:rsidR="006C03D0" w:rsidRPr="00617020" w:rsidRDefault="006C03D0" w:rsidP="006C03D0">
      <w:pPr>
        <w:jc w:val="center"/>
        <w:rPr>
          <w:lang w:val="en-GB"/>
        </w:rPr>
      </w:pPr>
    </w:p>
    <w:p w:rsidR="006C03D0" w:rsidRPr="00617020" w:rsidRDefault="006C03D0" w:rsidP="006C03D0">
      <w:pPr>
        <w:jc w:val="center"/>
        <w:rPr>
          <w:lang w:val="en-GB"/>
        </w:rPr>
      </w:pPr>
    </w:p>
    <w:p w:rsidR="006C03D0" w:rsidRPr="00617020" w:rsidRDefault="006C03D0" w:rsidP="006C03D0">
      <w:pPr>
        <w:rPr>
          <w:lang w:val="en-GB"/>
        </w:rPr>
      </w:pPr>
    </w:p>
    <w:p w:rsidR="006C03D0" w:rsidRPr="00617020" w:rsidRDefault="006C03D0" w:rsidP="006C03D0">
      <w:pPr>
        <w:rPr>
          <w:lang w:val="en-GB"/>
        </w:rPr>
      </w:pPr>
    </w:p>
    <w:p w:rsidR="006C03D0" w:rsidRPr="00617020" w:rsidRDefault="007C6571" w:rsidP="006C03D0">
      <w:pPr>
        <w:jc w:val="center"/>
        <w:rPr>
          <w:b/>
          <w:sz w:val="24"/>
          <w:lang w:val="en-GB"/>
        </w:rPr>
      </w:pPr>
      <w:r w:rsidRPr="00617020">
        <w:rPr>
          <w:b/>
          <w:noProof/>
          <w:sz w:val="24"/>
          <w:szCs w:val="20"/>
          <w:lang w:val="en-GB" w:eastAsia="en-GB"/>
        </w:rPr>
        <mc:AlternateContent>
          <mc:Choice Requires="wpg">
            <w:drawing>
              <wp:anchor distT="0" distB="0" distL="114300" distR="114300" simplePos="0" relativeHeight="251657728" behindDoc="0" locked="0" layoutInCell="1" allowOverlap="1" wp14:anchorId="635E66EF" wp14:editId="379FB884">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348" w:rsidRPr="00FE1795" w:rsidRDefault="007C4348"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05</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7C4348" w:rsidRPr="00FE1795" w:rsidRDefault="007C4348"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05</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617020" w:rsidRDefault="006C03D0" w:rsidP="006C03D0">
      <w:pPr>
        <w:jc w:val="center"/>
        <w:rPr>
          <w:b/>
          <w:sz w:val="24"/>
          <w:lang w:val="en-GB"/>
        </w:rPr>
      </w:pPr>
    </w:p>
    <w:p w:rsidR="006C03D0" w:rsidRPr="00617020" w:rsidRDefault="006C03D0" w:rsidP="006C03D0">
      <w:pPr>
        <w:jc w:val="center"/>
        <w:rPr>
          <w:b/>
          <w:sz w:val="24"/>
          <w:lang w:val="en-GB"/>
        </w:rPr>
      </w:pPr>
    </w:p>
    <w:p w:rsidR="006C03D0" w:rsidRPr="00617020" w:rsidRDefault="006C03D0" w:rsidP="006C03D0">
      <w:pPr>
        <w:jc w:val="center"/>
        <w:rPr>
          <w:b/>
          <w:sz w:val="24"/>
          <w:lang w:val="en-GB"/>
        </w:rPr>
      </w:pPr>
    </w:p>
    <w:p w:rsidR="006C03D0" w:rsidRPr="00617020" w:rsidRDefault="006C03D0" w:rsidP="006C03D0">
      <w:pPr>
        <w:jc w:val="center"/>
        <w:rPr>
          <w:b/>
          <w:sz w:val="24"/>
          <w:lang w:val="en-GB"/>
        </w:rPr>
      </w:pPr>
    </w:p>
    <w:p w:rsidR="006C03D0" w:rsidRPr="00617020" w:rsidRDefault="006C03D0" w:rsidP="006C03D0">
      <w:pPr>
        <w:jc w:val="center"/>
        <w:rPr>
          <w:b/>
          <w:sz w:val="24"/>
          <w:lang w:val="en-GB"/>
        </w:rPr>
      </w:pPr>
    </w:p>
    <w:p w:rsidR="006C03D0" w:rsidRPr="00617020" w:rsidRDefault="006C03D0" w:rsidP="006C03D0">
      <w:pPr>
        <w:jc w:val="center"/>
        <w:rPr>
          <w:b/>
          <w:sz w:val="24"/>
          <w:lang w:val="en-GB"/>
        </w:rPr>
      </w:pPr>
    </w:p>
    <w:p w:rsidR="006C03D0" w:rsidRPr="00617020" w:rsidRDefault="006C03D0" w:rsidP="006C03D0">
      <w:pPr>
        <w:jc w:val="center"/>
        <w:rPr>
          <w:b/>
          <w:sz w:val="24"/>
          <w:lang w:val="en-GB"/>
        </w:rPr>
      </w:pPr>
    </w:p>
    <w:p w:rsidR="006C03D0" w:rsidRPr="00617020" w:rsidRDefault="006C03D0" w:rsidP="006C03D0">
      <w:pPr>
        <w:jc w:val="center"/>
        <w:rPr>
          <w:b/>
          <w:sz w:val="24"/>
          <w:lang w:val="en-GB"/>
        </w:rPr>
      </w:pPr>
    </w:p>
    <w:p w:rsidR="006C03D0" w:rsidRPr="00617020" w:rsidRDefault="006C03D0" w:rsidP="006C03D0">
      <w:pPr>
        <w:jc w:val="center"/>
        <w:rPr>
          <w:b/>
          <w:sz w:val="24"/>
          <w:lang w:val="en-GB"/>
        </w:rPr>
      </w:pPr>
    </w:p>
    <w:p w:rsidR="006C03D0" w:rsidRPr="00617020" w:rsidRDefault="006C03D0" w:rsidP="006C03D0">
      <w:pPr>
        <w:jc w:val="center"/>
        <w:rPr>
          <w:b/>
          <w:sz w:val="24"/>
          <w:lang w:val="en-GB"/>
        </w:rPr>
      </w:pPr>
    </w:p>
    <w:p w:rsidR="006C03D0" w:rsidRPr="00617020" w:rsidRDefault="006C03D0" w:rsidP="006C03D0">
      <w:pPr>
        <w:rPr>
          <w:b/>
          <w:sz w:val="24"/>
          <w:lang w:val="en-GB"/>
        </w:rPr>
      </w:pPr>
    </w:p>
    <w:p w:rsidR="006C03D0" w:rsidRPr="00617020" w:rsidRDefault="006C03D0" w:rsidP="006C03D0">
      <w:pPr>
        <w:jc w:val="center"/>
        <w:rPr>
          <w:b/>
          <w:sz w:val="24"/>
          <w:lang w:val="en-GB"/>
        </w:rPr>
      </w:pPr>
    </w:p>
    <w:p w:rsidR="006C03D0" w:rsidRPr="00617020" w:rsidRDefault="00F52785" w:rsidP="00F52785">
      <w:pPr>
        <w:pStyle w:val="Reporttitledescription"/>
        <w:rPr>
          <w:color w:val="auto"/>
          <w:lang w:val="en-GB"/>
        </w:rPr>
      </w:pPr>
      <w:r w:rsidRPr="00617020">
        <w:rPr>
          <w:color w:val="auto"/>
          <w:lang w:val="en-GB"/>
        </w:rPr>
        <w:t>Harmonised utilization of spectrum for Mobile/Fixed Communications Networks (MFCN) operating within the band 2500-2690 MHz</w:t>
      </w:r>
      <w:r w:rsidR="00C9294A" w:rsidRPr="00617020">
        <w:rPr>
          <w:rStyle w:val="FootnoteReference"/>
          <w:color w:val="auto"/>
          <w:lang w:val="en-GB"/>
        </w:rPr>
        <w:footnoteReference w:id="1"/>
      </w:r>
    </w:p>
    <w:p w:rsidR="006C03D0" w:rsidRPr="00617020" w:rsidRDefault="00F52785" w:rsidP="006C03D0">
      <w:pPr>
        <w:pStyle w:val="Reporttitledescription"/>
        <w:rPr>
          <w:b/>
          <w:color w:val="auto"/>
          <w:sz w:val="18"/>
          <w:lang w:val="en-GB"/>
        </w:rPr>
      </w:pPr>
      <w:bookmarkStart w:id="0" w:name="Text8"/>
      <w:r w:rsidRPr="00617020">
        <w:rPr>
          <w:b/>
          <w:color w:val="auto"/>
          <w:sz w:val="18"/>
          <w:lang w:val="en-GB"/>
        </w:rPr>
        <w:t>Approved 18 March 2005</w:t>
      </w:r>
      <w:bookmarkEnd w:id="0"/>
    </w:p>
    <w:p w:rsidR="006C03D0" w:rsidRPr="00617020" w:rsidRDefault="00F52785" w:rsidP="006C03D0">
      <w:pPr>
        <w:pStyle w:val="Lastupdated"/>
        <w:rPr>
          <w:b/>
          <w:lang w:val="en-GB"/>
        </w:rPr>
      </w:pPr>
      <w:bookmarkStart w:id="1" w:name="Text3"/>
      <w:r w:rsidRPr="00617020">
        <w:rPr>
          <w:b/>
          <w:lang w:val="en-GB"/>
        </w:rPr>
        <w:t xml:space="preserve">Amended </w:t>
      </w:r>
      <w:bookmarkEnd w:id="1"/>
      <w:r w:rsidR="00DB5234" w:rsidRPr="00617020">
        <w:rPr>
          <w:b/>
          <w:lang w:val="en-GB"/>
        </w:rPr>
        <w:t>03 July 2015</w:t>
      </w:r>
    </w:p>
    <w:p w:rsidR="00821628" w:rsidRPr="00617020" w:rsidRDefault="00821628" w:rsidP="00F52785">
      <w:pPr>
        <w:rPr>
          <w:lang w:val="en-GB"/>
        </w:rPr>
      </w:pPr>
    </w:p>
    <w:p w:rsidR="006C03D0" w:rsidRPr="00617020" w:rsidRDefault="00F52785" w:rsidP="006C03D0">
      <w:pPr>
        <w:pStyle w:val="Heading1"/>
      </w:pPr>
      <w:r w:rsidRPr="00617020">
        <w:lastRenderedPageBreak/>
        <w:t>explanatory memorandum</w:t>
      </w:r>
    </w:p>
    <w:p w:rsidR="006C03D0" w:rsidRPr="00617020" w:rsidRDefault="00F52785" w:rsidP="009610A1">
      <w:pPr>
        <w:pStyle w:val="Heading2"/>
        <w:numPr>
          <w:ilvl w:val="0"/>
          <w:numId w:val="39"/>
        </w:numPr>
        <w:rPr>
          <w:lang w:val="en-GB"/>
        </w:rPr>
      </w:pPr>
      <w:r w:rsidRPr="00617020">
        <w:rPr>
          <w:lang w:val="en-GB"/>
        </w:rPr>
        <w:t>INTRODUCTION</w:t>
      </w:r>
    </w:p>
    <w:p w:rsidR="00F52785" w:rsidRPr="00617020" w:rsidRDefault="00F52785" w:rsidP="00F52785">
      <w:pPr>
        <w:pStyle w:val="ECCParagraph"/>
      </w:pPr>
      <w:r w:rsidRPr="00617020">
        <w:t>On 9 March 2001, the European Commission issued Mandate 4</w:t>
      </w:r>
      <w:r w:rsidRPr="00617020">
        <w:rPr>
          <w:vertAlign w:val="superscript"/>
        </w:rPr>
        <w:footnoteReference w:id="2"/>
      </w:r>
      <w:r w:rsidRPr="00617020">
        <w:t xml:space="preserve"> calling upon CEPT to undertake preliminary investigations and to adopt the measures necessary to ensure the availability in the community of harmonised frequency bands, within the additional spectrum bands identified by WRC-2000 for the provision of terrestrial and satellite IMT-2000 services.  In response to this mandate the ECC adopted </w:t>
      </w:r>
      <w:r w:rsidR="00780AE6" w:rsidRPr="00617020">
        <w:t>ECC/</w:t>
      </w:r>
      <w:r w:rsidRPr="00617020">
        <w:t>D</w:t>
      </w:r>
      <w:r w:rsidR="00780AE6" w:rsidRPr="00617020">
        <w:t>EC</w:t>
      </w:r>
      <w:proofErr w:type="gramStart"/>
      <w:r w:rsidR="00780AE6" w:rsidRPr="00617020">
        <w:t>/</w:t>
      </w:r>
      <w:r w:rsidRPr="00617020">
        <w:t>(</w:t>
      </w:r>
      <w:proofErr w:type="gramEnd"/>
      <w:r w:rsidRPr="00617020">
        <w:t>02)06</w:t>
      </w:r>
      <w:r w:rsidR="00780AE6" w:rsidRPr="00617020">
        <w:t xml:space="preserve"> </w:t>
      </w:r>
      <w:r w:rsidR="00780AE6" w:rsidRPr="00617020">
        <w:fldChar w:fldCharType="begin"/>
      </w:r>
      <w:r w:rsidR="00780AE6" w:rsidRPr="00617020">
        <w:instrText xml:space="preserve"> REF _Ref413656605 \n \h </w:instrText>
      </w:r>
      <w:r w:rsidR="00780AE6" w:rsidRPr="00617020">
        <w:fldChar w:fldCharType="separate"/>
      </w:r>
      <w:r w:rsidR="00617020">
        <w:t>[7]</w:t>
      </w:r>
      <w:r w:rsidR="00780AE6" w:rsidRPr="00617020">
        <w:fldChar w:fldCharType="end"/>
      </w:r>
      <w:r w:rsidRPr="00617020">
        <w:t>, which decided:</w:t>
      </w:r>
    </w:p>
    <w:p w:rsidR="00F52785" w:rsidRPr="00617020" w:rsidRDefault="00F52785" w:rsidP="00F52785">
      <w:pPr>
        <w:pStyle w:val="ECCParBulleted"/>
      </w:pPr>
      <w:r w:rsidRPr="00617020">
        <w:t>to designate the 2500 to 2690 MHz band to IMT-2000/UMTS systems;</w:t>
      </w:r>
    </w:p>
    <w:p w:rsidR="00F52785" w:rsidRPr="00617020" w:rsidRDefault="00F52785" w:rsidP="00F52785">
      <w:pPr>
        <w:pStyle w:val="ECCParBulleted"/>
      </w:pPr>
      <w:r w:rsidRPr="00617020">
        <w:t>that the 2500 to 2690 MHz band should be made available for use by IMT-2000/UMTS systems by 1 January 2008, subject to market demand and national licensing schemes;</w:t>
      </w:r>
    </w:p>
    <w:p w:rsidR="00F52785" w:rsidRPr="00617020" w:rsidRDefault="00F52785" w:rsidP="00F52785">
      <w:pPr>
        <w:pStyle w:val="ECCParBulleted"/>
      </w:pPr>
      <w:r w:rsidRPr="00617020">
        <w:t>to designate the 2520 to 2670 MHz band for use by terrestrial IMT-2000/UMTS systems; and</w:t>
      </w:r>
    </w:p>
    <w:p w:rsidR="00F52785" w:rsidRPr="00617020" w:rsidRDefault="00F52785" w:rsidP="00F52785">
      <w:pPr>
        <w:pStyle w:val="ECCParBulleted"/>
      </w:pPr>
      <w:proofErr w:type="gramStart"/>
      <w:r w:rsidRPr="00617020">
        <w:t>that</w:t>
      </w:r>
      <w:proofErr w:type="gramEnd"/>
      <w:r w:rsidRPr="00617020">
        <w:t xml:space="preserve"> the detailed spectrum arrangements for the 2500 to 2690 MHz band, as well as the utilisation of the bands 2500 to 2520 MHz / 2670 to 2690 MHz, should be decided in an additional ECC Decision by the end of 2004.</w:t>
      </w:r>
    </w:p>
    <w:p w:rsidR="00F52785" w:rsidRPr="00617020" w:rsidRDefault="00F52785" w:rsidP="00F52785">
      <w:pPr>
        <w:pStyle w:val="ECCParagraph"/>
      </w:pPr>
      <w:r w:rsidRPr="00617020">
        <w:t>This resulted in the development of ECC</w:t>
      </w:r>
      <w:r w:rsidR="00780AE6" w:rsidRPr="00617020">
        <w:t>/</w:t>
      </w:r>
      <w:r w:rsidRPr="00617020">
        <w:t>D</w:t>
      </w:r>
      <w:r w:rsidR="00780AE6" w:rsidRPr="00617020">
        <w:t>EC</w:t>
      </w:r>
      <w:proofErr w:type="gramStart"/>
      <w:r w:rsidR="00780AE6" w:rsidRPr="00617020">
        <w:t>/</w:t>
      </w:r>
      <w:r w:rsidRPr="00617020">
        <w:t>(</w:t>
      </w:r>
      <w:proofErr w:type="gramEnd"/>
      <w:r w:rsidRPr="00617020">
        <w:t xml:space="preserve">05)05. With the </w:t>
      </w:r>
      <w:r w:rsidR="00A627C0" w:rsidRPr="00617020">
        <w:t>2015</w:t>
      </w:r>
      <w:r w:rsidRPr="00617020">
        <w:t xml:space="preserve"> revision of ECC</w:t>
      </w:r>
      <w:r w:rsidR="00780AE6" w:rsidRPr="00617020">
        <w:t>/</w:t>
      </w:r>
      <w:r w:rsidRPr="00617020">
        <w:t>D</w:t>
      </w:r>
      <w:r w:rsidR="00780AE6" w:rsidRPr="00617020">
        <w:t>EC/</w:t>
      </w:r>
      <w:r w:rsidRPr="00617020">
        <w:t>(05)05, CEPT has decided to withdraw ECC</w:t>
      </w:r>
      <w:r w:rsidR="00780AE6" w:rsidRPr="00617020">
        <w:t>/</w:t>
      </w:r>
      <w:r w:rsidRPr="00617020">
        <w:t>D</w:t>
      </w:r>
      <w:r w:rsidR="00780AE6" w:rsidRPr="00617020">
        <w:t>EC/</w:t>
      </w:r>
      <w:r w:rsidRPr="00617020">
        <w:t>(02)06 since all relevant aspects of an MFCN usage of the 2500-2690 MHz band have now been included into the revised ECC</w:t>
      </w:r>
      <w:r w:rsidR="00780AE6" w:rsidRPr="00617020">
        <w:t>/</w:t>
      </w:r>
      <w:r w:rsidRPr="00617020">
        <w:t>D</w:t>
      </w:r>
      <w:r w:rsidR="00780AE6" w:rsidRPr="00617020">
        <w:t>EC/</w:t>
      </w:r>
      <w:r w:rsidRPr="00617020">
        <w:t>(05)05 so that ECC</w:t>
      </w:r>
      <w:r w:rsidR="00780AE6" w:rsidRPr="00617020">
        <w:t>/</w:t>
      </w:r>
      <w:r w:rsidRPr="00617020">
        <w:t>D</w:t>
      </w:r>
      <w:r w:rsidR="00780AE6" w:rsidRPr="00617020">
        <w:t>EC/</w:t>
      </w:r>
      <w:r w:rsidRPr="00617020">
        <w:t>(02)06 was no longer needed as a separate ECC-Decision.</w:t>
      </w:r>
    </w:p>
    <w:p w:rsidR="00F52785" w:rsidRPr="00617020" w:rsidRDefault="00F52785" w:rsidP="00F52785">
      <w:pPr>
        <w:pStyle w:val="ECCParagraph"/>
      </w:pPr>
      <w:r w:rsidRPr="00617020">
        <w:t>Following CEPT’s response to Mandate 4, the European Commission issued Mandate 5</w:t>
      </w:r>
      <w:r w:rsidRPr="00617020">
        <w:rPr>
          <w:vertAlign w:val="superscript"/>
        </w:rPr>
        <w:footnoteReference w:id="3"/>
      </w:r>
      <w:r w:rsidRPr="00617020">
        <w:t xml:space="preserve"> in August 2003. This mandate requires CEPT to develop and adopt the measures necessary to ensure a harmonised and efficient use of the frequency band 2500-2690 MHz for IMT-2000/UMTS. Specifically CEPT is mandated to develop channelling arrangements for the band 2500-2690 MHz taking into account and commenting on at least the following issues;</w:t>
      </w:r>
    </w:p>
    <w:p w:rsidR="00F52785" w:rsidRPr="00617020" w:rsidRDefault="00780AE6" w:rsidP="00F52785">
      <w:pPr>
        <w:pStyle w:val="ECCParBulleted"/>
      </w:pPr>
      <w:r w:rsidRPr="00617020">
        <w:t>Availability of the bands 2500-</w:t>
      </w:r>
      <w:r w:rsidR="00F52785" w:rsidRPr="00617020">
        <w:t>2520 / 2670-2690 MHz for the use by the IMT-2000 satellite component and/or terrestrial component;</w:t>
      </w:r>
    </w:p>
    <w:p w:rsidR="00F52785" w:rsidRPr="00617020" w:rsidRDefault="00F52785" w:rsidP="00F52785">
      <w:pPr>
        <w:pStyle w:val="ECCParBulleted"/>
      </w:pPr>
      <w:r w:rsidRPr="00617020">
        <w:t>The impact of BSS sound at 2605-2655 MHz (and possibly other services in the band 2500-2690 MHz) on IMT-2000/UMTS services;</w:t>
      </w:r>
    </w:p>
    <w:p w:rsidR="00F52785" w:rsidRPr="00617020" w:rsidRDefault="00F52785" w:rsidP="00F52785">
      <w:pPr>
        <w:pStyle w:val="ECCParBulleted"/>
      </w:pPr>
      <w:r w:rsidRPr="00617020">
        <w:t>The impact of technological advances such as variable duplex spacing or other developments that may facilitate flexible channelling arrangements as well as technology neutrality, noting that these technologies must be commercially available by 2008;</w:t>
      </w:r>
    </w:p>
    <w:p w:rsidR="00F52785" w:rsidRPr="00617020" w:rsidRDefault="00F52785" w:rsidP="00F52785">
      <w:pPr>
        <w:pStyle w:val="ECCParBulleted"/>
      </w:pPr>
      <w:r w:rsidRPr="00617020">
        <w:t>The desirability to take utmost account of making regulation technologically neutral, and</w:t>
      </w:r>
    </w:p>
    <w:p w:rsidR="00F52785" w:rsidRPr="00617020" w:rsidRDefault="00F52785" w:rsidP="00F52785">
      <w:pPr>
        <w:pStyle w:val="ECCParBulleted"/>
      </w:pPr>
      <w:r w:rsidRPr="00617020">
        <w:t>Efficient and harmonised use of spectrum.</w:t>
      </w:r>
    </w:p>
    <w:p w:rsidR="00F52785" w:rsidRPr="00617020" w:rsidRDefault="00F52785" w:rsidP="00F52785">
      <w:pPr>
        <w:pStyle w:val="ECCParagraph"/>
      </w:pPr>
      <w:r w:rsidRPr="00617020">
        <w:t>On 5 July 2006, the European Commission issued a Mandate to CEPT to develop least restrictive technical conditions for frequency bands addressed in the context of WAPECS (Wireless Access Policy for Electronic Communications Services). In response to this mandate the ECC adopted CEPT Report 19</w:t>
      </w:r>
      <w:r w:rsidR="00780AE6" w:rsidRPr="00617020">
        <w:t xml:space="preserve"> </w:t>
      </w:r>
      <w:r w:rsidR="00780AE6" w:rsidRPr="00617020">
        <w:fldChar w:fldCharType="begin"/>
      </w:r>
      <w:r w:rsidR="00780AE6" w:rsidRPr="00617020">
        <w:instrText xml:space="preserve"> REF _Ref413656274 \n \h </w:instrText>
      </w:r>
      <w:r w:rsidR="00780AE6" w:rsidRPr="00617020">
        <w:fldChar w:fldCharType="separate"/>
      </w:r>
      <w:r w:rsidR="00617020">
        <w:t>[2]</w:t>
      </w:r>
      <w:r w:rsidR="00780AE6" w:rsidRPr="00617020">
        <w:fldChar w:fldCharType="end"/>
      </w:r>
      <w:r w:rsidRPr="00617020">
        <w:t xml:space="preserve"> which contains the least restrictive technical conditions (e.g. a block-edge mask </w:t>
      </w:r>
      <w:r w:rsidR="00695888">
        <w:t>(</w:t>
      </w:r>
      <w:r w:rsidRPr="00617020">
        <w:t>BEM</w:t>
      </w:r>
      <w:r w:rsidR="00695888">
        <w:t>)</w:t>
      </w:r>
      <w:r w:rsidRPr="00617020">
        <w:t xml:space="preserve">) for the 2500-2690 MHz </w:t>
      </w:r>
      <w:bookmarkStart w:id="2" w:name="_GoBack"/>
      <w:bookmarkEnd w:id="2"/>
      <w:r w:rsidRPr="00617020">
        <w:t>band amongst other bands.</w:t>
      </w:r>
    </w:p>
    <w:p w:rsidR="00FD144F" w:rsidRPr="00617020" w:rsidRDefault="00FD144F" w:rsidP="00F52785">
      <w:pPr>
        <w:pStyle w:val="ECCParagraph"/>
      </w:pPr>
      <w:r w:rsidRPr="00617020">
        <w:t>In 2015, the ECC/DEC/(02)06</w:t>
      </w:r>
      <w:r w:rsidR="00780AE6" w:rsidRPr="00617020">
        <w:t xml:space="preserve"> </w:t>
      </w:r>
      <w:r w:rsidR="00780AE6" w:rsidRPr="00617020">
        <w:fldChar w:fldCharType="begin"/>
      </w:r>
      <w:r w:rsidR="00780AE6" w:rsidRPr="00617020">
        <w:instrText xml:space="preserve"> REF _Ref413656605 \n \h </w:instrText>
      </w:r>
      <w:r w:rsidR="00780AE6" w:rsidRPr="00617020">
        <w:fldChar w:fldCharType="separate"/>
      </w:r>
      <w:r w:rsidR="00617020">
        <w:t>[7]</w:t>
      </w:r>
      <w:r w:rsidR="00780AE6" w:rsidRPr="00617020">
        <w:fldChar w:fldCharType="end"/>
      </w:r>
      <w:r w:rsidRPr="00617020">
        <w:t xml:space="preserve"> of 15 November 2002 related to the designation of frequency band 2500-2690 MHz for UMTS/IMT-2000 was reviewed and it was concluded that this Decision was suitable for withdrawal as the content of this decision has been incorporated into the revision of ECC/DEC/(05)05</w:t>
      </w:r>
      <w:r w:rsidR="00780AE6" w:rsidRPr="00617020">
        <w:t xml:space="preserve"> </w:t>
      </w:r>
      <w:r w:rsidRPr="00617020">
        <w:t xml:space="preserve">which </w:t>
      </w:r>
      <w:proofErr w:type="gramStart"/>
      <w:r w:rsidRPr="00617020">
        <w:lastRenderedPageBreak/>
        <w:t>now</w:t>
      </w:r>
      <w:proofErr w:type="gramEnd"/>
      <w:r w:rsidRPr="00617020">
        <w:t xml:space="preserve"> contains both the designation of and channelling arrangements for the band </w:t>
      </w:r>
      <w:r w:rsidR="00A627C0" w:rsidRPr="00617020">
        <w:t xml:space="preserve">2500-2690 MHz </w:t>
      </w:r>
      <w:r w:rsidRPr="00617020">
        <w:t>and covers mobile/fixed communications networks (MFCN) in a technology neutral way.</w:t>
      </w:r>
    </w:p>
    <w:p w:rsidR="006C03D0" w:rsidRPr="00617020" w:rsidRDefault="005F7AD5" w:rsidP="009610A1">
      <w:pPr>
        <w:pStyle w:val="Heading2"/>
        <w:rPr>
          <w:lang w:val="en-GB"/>
        </w:rPr>
      </w:pPr>
      <w:r w:rsidRPr="00617020">
        <w:rPr>
          <w:lang w:val="en-GB"/>
        </w:rPr>
        <w:t xml:space="preserve">BACKGROUND </w:t>
      </w:r>
    </w:p>
    <w:p w:rsidR="005908F9" w:rsidRPr="00617020" w:rsidRDefault="005908F9" w:rsidP="005908F9">
      <w:pPr>
        <w:pStyle w:val="ECCParagraph"/>
      </w:pPr>
      <w:r w:rsidRPr="00617020">
        <w:t>The CEPT has recognised the importance of the European-wide harmonised availability of MFCN services to the citizens of Europe.</w:t>
      </w:r>
    </w:p>
    <w:p w:rsidR="005908F9" w:rsidRPr="00617020" w:rsidRDefault="005908F9" w:rsidP="005908F9">
      <w:pPr>
        <w:pStyle w:val="ECCParagraph"/>
      </w:pPr>
      <w:r w:rsidRPr="00617020">
        <w:t>The first IMT-2000/UMTS systems have been introduced within Europe utilising the frequency bands identified for IMT-2000 at the WARC-92 in RR 5.388 and in accordance with the ERC</w:t>
      </w:r>
      <w:r w:rsidR="00780AE6" w:rsidRPr="00617020">
        <w:t>/</w:t>
      </w:r>
      <w:r w:rsidRPr="00617020">
        <w:t>D</w:t>
      </w:r>
      <w:r w:rsidR="00780AE6" w:rsidRPr="00617020">
        <w:t>EC/</w:t>
      </w:r>
      <w:r w:rsidRPr="00617020">
        <w:t>(97)07</w:t>
      </w:r>
      <w:r w:rsidR="00780AE6" w:rsidRPr="00617020">
        <w:t xml:space="preserve"> </w:t>
      </w:r>
      <w:r w:rsidR="00780AE6" w:rsidRPr="00617020">
        <w:fldChar w:fldCharType="begin"/>
      </w:r>
      <w:r w:rsidR="00780AE6" w:rsidRPr="00617020">
        <w:instrText xml:space="preserve"> REF _Ref413656397 \n \h </w:instrText>
      </w:r>
      <w:r w:rsidR="00780AE6" w:rsidRPr="00617020">
        <w:fldChar w:fldCharType="separate"/>
      </w:r>
      <w:r w:rsidR="00617020">
        <w:t>[3]</w:t>
      </w:r>
      <w:r w:rsidR="00780AE6" w:rsidRPr="00617020">
        <w:fldChar w:fldCharType="end"/>
      </w:r>
      <w:r w:rsidRPr="00617020">
        <w:t xml:space="preserve">, </w:t>
      </w:r>
      <w:r w:rsidR="00780AE6" w:rsidRPr="00617020">
        <w:t>ERC/DEC/</w:t>
      </w:r>
      <w:r w:rsidRPr="00617020">
        <w:t>(99)25</w:t>
      </w:r>
      <w:r w:rsidR="00780AE6" w:rsidRPr="00617020">
        <w:t xml:space="preserve"> </w:t>
      </w:r>
      <w:r w:rsidR="00780AE6" w:rsidRPr="00617020">
        <w:fldChar w:fldCharType="begin"/>
      </w:r>
      <w:r w:rsidR="00780AE6" w:rsidRPr="00617020">
        <w:instrText xml:space="preserve"> REF _Ref413656413 \n \h </w:instrText>
      </w:r>
      <w:r w:rsidR="00780AE6" w:rsidRPr="00617020">
        <w:fldChar w:fldCharType="separate"/>
      </w:r>
      <w:r w:rsidR="00617020">
        <w:t>[4]</w:t>
      </w:r>
      <w:r w:rsidR="00780AE6" w:rsidRPr="00617020">
        <w:fldChar w:fldCharType="end"/>
      </w:r>
      <w:r w:rsidRPr="00617020">
        <w:t xml:space="preserve"> and </w:t>
      </w:r>
      <w:r w:rsidR="00780AE6" w:rsidRPr="00617020">
        <w:t>ERC/DEC/</w:t>
      </w:r>
      <w:r w:rsidRPr="00617020">
        <w:t>(00)01</w:t>
      </w:r>
      <w:r w:rsidR="00780AE6" w:rsidRPr="00617020">
        <w:t xml:space="preserve"> </w:t>
      </w:r>
      <w:r w:rsidR="00780AE6" w:rsidRPr="00617020">
        <w:fldChar w:fldCharType="begin"/>
      </w:r>
      <w:r w:rsidR="00780AE6" w:rsidRPr="00617020">
        <w:instrText xml:space="preserve"> REF _Ref413656424 \n \h </w:instrText>
      </w:r>
      <w:r w:rsidR="00780AE6" w:rsidRPr="00617020">
        <w:fldChar w:fldCharType="separate"/>
      </w:r>
      <w:r w:rsidR="00617020">
        <w:t>[5]</w:t>
      </w:r>
      <w:r w:rsidR="00780AE6" w:rsidRPr="00617020">
        <w:fldChar w:fldCharType="end"/>
      </w:r>
      <w:r w:rsidRPr="00617020">
        <w:t xml:space="preserve"> and ERC</w:t>
      </w:r>
      <w:r w:rsidR="00780AE6" w:rsidRPr="00617020">
        <w:t>/</w:t>
      </w:r>
      <w:r w:rsidRPr="00617020">
        <w:t>R</w:t>
      </w:r>
      <w:r w:rsidR="00780AE6" w:rsidRPr="00617020">
        <w:t>EC/(</w:t>
      </w:r>
      <w:r w:rsidRPr="00617020">
        <w:t>02</w:t>
      </w:r>
      <w:r w:rsidR="00780AE6" w:rsidRPr="00617020">
        <w:t>)</w:t>
      </w:r>
      <w:r w:rsidRPr="00617020">
        <w:t>10</w:t>
      </w:r>
      <w:r w:rsidR="00780AE6" w:rsidRPr="00617020">
        <w:t xml:space="preserve"> </w:t>
      </w:r>
      <w:r w:rsidR="00780AE6" w:rsidRPr="00617020">
        <w:fldChar w:fldCharType="begin"/>
      </w:r>
      <w:r w:rsidR="00780AE6" w:rsidRPr="00617020">
        <w:instrText xml:space="preserve"> REF _Ref413656433 \n \h </w:instrText>
      </w:r>
      <w:r w:rsidR="00780AE6" w:rsidRPr="00617020">
        <w:fldChar w:fldCharType="separate"/>
      </w:r>
      <w:r w:rsidR="00617020">
        <w:t>[6]</w:t>
      </w:r>
      <w:r w:rsidR="00780AE6" w:rsidRPr="00617020">
        <w:fldChar w:fldCharType="end"/>
      </w:r>
      <w:r w:rsidRPr="00617020">
        <w:t>.</w:t>
      </w:r>
    </w:p>
    <w:p w:rsidR="005908F9" w:rsidRPr="00617020" w:rsidRDefault="005908F9" w:rsidP="005908F9">
      <w:pPr>
        <w:pStyle w:val="ECCParagraph"/>
      </w:pPr>
      <w:r w:rsidRPr="00617020">
        <w:t xml:space="preserve">In 1998, the European Community adopted a Decision, to facilitate the rapid and coordinated introduction of compatible UMTS networks and services, </w:t>
      </w:r>
      <w:r w:rsidR="00780AE6" w:rsidRPr="00617020">
        <w:t xml:space="preserve">Commission </w:t>
      </w:r>
      <w:r w:rsidRPr="00617020">
        <w:t>D</w:t>
      </w:r>
      <w:r w:rsidR="00780AE6" w:rsidRPr="00617020">
        <w:t>ecision</w:t>
      </w:r>
      <w:r w:rsidRPr="00617020">
        <w:t xml:space="preserve"> 128/1999/EC</w:t>
      </w:r>
      <w:r w:rsidR="00780AE6" w:rsidRPr="00617020">
        <w:t xml:space="preserve"> </w:t>
      </w:r>
      <w:r w:rsidR="00AC0F69" w:rsidRPr="00617020">
        <w:fldChar w:fldCharType="begin"/>
      </w:r>
      <w:r w:rsidR="00AC0F69" w:rsidRPr="00617020">
        <w:instrText xml:space="preserve"> REF _Ref413656448 \n \h </w:instrText>
      </w:r>
      <w:r w:rsidR="00AC0F69" w:rsidRPr="00617020">
        <w:fldChar w:fldCharType="separate"/>
      </w:r>
      <w:r w:rsidR="00617020">
        <w:t>[8]</w:t>
      </w:r>
      <w:r w:rsidR="00AC0F69" w:rsidRPr="00617020">
        <w:fldChar w:fldCharType="end"/>
      </w:r>
      <w:r w:rsidRPr="00617020">
        <w:t>, the ‘UMTS Decision’. This Decision defined UMTS and described the characteristics which UMTS is to be capable of supporting. It instructed the Commission to give Mandates to CEPT to harmonise frequency use, and to take measures, where appropriate in cooperation with ETSI, to promote a common and open standard for the provision of compatible UMTS services throughout Europe.</w:t>
      </w:r>
    </w:p>
    <w:p w:rsidR="005908F9" w:rsidRPr="00617020" w:rsidRDefault="005908F9" w:rsidP="005908F9">
      <w:pPr>
        <w:pStyle w:val="ECCParagraph"/>
      </w:pPr>
      <w:r w:rsidRPr="00617020">
        <w:t>The latest of these mandates was issued on 5 July 2006 to develop least restrictive technical conditions for frequency bands addressed in the context of WAPECS (Wireless Access Policy for Electronic Communications Services). In response to this mandate the ECC adopted CEPT Report 19</w:t>
      </w:r>
      <w:r w:rsidR="00780AE6" w:rsidRPr="00617020">
        <w:t xml:space="preserve"> </w:t>
      </w:r>
      <w:r w:rsidR="00780AE6" w:rsidRPr="00617020">
        <w:fldChar w:fldCharType="begin"/>
      </w:r>
      <w:r w:rsidR="00780AE6" w:rsidRPr="00617020">
        <w:instrText xml:space="preserve"> REF _Ref413656274 \n \h </w:instrText>
      </w:r>
      <w:r w:rsidR="00780AE6" w:rsidRPr="00617020">
        <w:fldChar w:fldCharType="separate"/>
      </w:r>
      <w:r w:rsidR="00617020">
        <w:t>[2]</w:t>
      </w:r>
      <w:r w:rsidR="00780AE6" w:rsidRPr="00617020">
        <w:fldChar w:fldCharType="end"/>
      </w:r>
      <w:r w:rsidRPr="00617020">
        <w:t xml:space="preserve"> which contains the least restrictive technical conditions </w:t>
      </w:r>
      <w:r w:rsidR="0036703C" w:rsidRPr="00617020">
        <w:t xml:space="preserve">(LRTC), </w:t>
      </w:r>
      <w:r w:rsidRPr="00617020">
        <w:t>e.g. a BEM</w:t>
      </w:r>
      <w:r w:rsidR="0036703C" w:rsidRPr="00617020">
        <w:t>,</w:t>
      </w:r>
      <w:r w:rsidRPr="00617020">
        <w:t xml:space="preserve"> for the 2500-2690 MHz band amongst other bands.</w:t>
      </w:r>
    </w:p>
    <w:p w:rsidR="00A51575" w:rsidRPr="00617020" w:rsidRDefault="00A51575" w:rsidP="00A51575">
      <w:pPr>
        <w:pStyle w:val="ECCParagraph"/>
      </w:pPr>
      <w:r w:rsidRPr="00617020">
        <w:t xml:space="preserve">Initially two separate ECC Decisions addressed the band </w:t>
      </w:r>
      <w:r w:rsidR="00857EBD" w:rsidRPr="00617020">
        <w:t xml:space="preserve">2500-2690 MHz </w:t>
      </w:r>
      <w:r w:rsidRPr="00617020">
        <w:t>for UMTS/IMT-2000. ECC/DEC</w:t>
      </w:r>
      <w:proofErr w:type="gramStart"/>
      <w:r w:rsidRPr="00617020">
        <w:t>/(</w:t>
      </w:r>
      <w:proofErr w:type="gramEnd"/>
      <w:r w:rsidRPr="00617020">
        <w:t>02)06</w:t>
      </w:r>
      <w:r w:rsidR="00780AE6" w:rsidRPr="00617020">
        <w:t xml:space="preserve"> </w:t>
      </w:r>
      <w:r w:rsidR="00780AE6" w:rsidRPr="00617020">
        <w:fldChar w:fldCharType="begin"/>
      </w:r>
      <w:r w:rsidR="00780AE6" w:rsidRPr="00617020">
        <w:instrText xml:space="preserve"> REF _Ref413656605 \n \h </w:instrText>
      </w:r>
      <w:r w:rsidR="007C4348" w:rsidRPr="00617020">
        <w:instrText xml:space="preserve"> \* MERGEFORMAT </w:instrText>
      </w:r>
      <w:r w:rsidR="00780AE6" w:rsidRPr="00617020">
        <w:fldChar w:fldCharType="separate"/>
      </w:r>
      <w:r w:rsidR="00617020">
        <w:t>[7]</w:t>
      </w:r>
      <w:r w:rsidR="00780AE6" w:rsidRPr="00617020">
        <w:fldChar w:fldCharType="end"/>
      </w:r>
      <w:r w:rsidRPr="00617020">
        <w:t xml:space="preserve"> designated the band for UMTS/IMT-2000 whilst ECC/DEC/(05)05</w:t>
      </w:r>
      <w:r w:rsidR="00780AE6" w:rsidRPr="00617020">
        <w:t xml:space="preserve"> </w:t>
      </w:r>
      <w:r w:rsidRPr="00617020">
        <w:t>provided the channelling arrangements for UMTS/IMT-2000.</w:t>
      </w:r>
    </w:p>
    <w:p w:rsidR="00A51575" w:rsidRPr="00617020" w:rsidRDefault="00A51575" w:rsidP="00A51575">
      <w:pPr>
        <w:pStyle w:val="ECCParagraph"/>
      </w:pPr>
      <w:r w:rsidRPr="00617020">
        <w:t xml:space="preserve">During the revision </w:t>
      </w:r>
      <w:r w:rsidR="00A627C0" w:rsidRPr="00617020">
        <w:t xml:space="preserve">process </w:t>
      </w:r>
      <w:r w:rsidRPr="00617020">
        <w:t>of ECC/DEC</w:t>
      </w:r>
      <w:proofErr w:type="gramStart"/>
      <w:r w:rsidRPr="00617020">
        <w:t>/(</w:t>
      </w:r>
      <w:proofErr w:type="gramEnd"/>
      <w:r w:rsidRPr="00617020">
        <w:t xml:space="preserve">05)05 </w:t>
      </w:r>
      <w:r w:rsidR="00A627C0" w:rsidRPr="00617020">
        <w:t xml:space="preserve">carried out in 2015 </w:t>
      </w:r>
      <w:r w:rsidR="0036703C" w:rsidRPr="00617020">
        <w:t xml:space="preserve">care was taken </w:t>
      </w:r>
      <w:r w:rsidRPr="00617020">
        <w:t>to make it technology neutral by designating it for MFCN instead of UMTS/IMT-2000</w:t>
      </w:r>
      <w:r w:rsidR="0036703C" w:rsidRPr="00617020">
        <w:t xml:space="preserve">. </w:t>
      </w:r>
      <w:r w:rsidR="00A627C0" w:rsidRPr="00617020">
        <w:t>As a consequence, this Decision, revising ECC/DEC</w:t>
      </w:r>
      <w:proofErr w:type="gramStart"/>
      <w:r w:rsidR="00A627C0" w:rsidRPr="00617020">
        <w:t>/(</w:t>
      </w:r>
      <w:proofErr w:type="gramEnd"/>
      <w:r w:rsidR="00A627C0" w:rsidRPr="00617020">
        <w:t>05)05, also</w:t>
      </w:r>
      <w:r w:rsidRPr="00617020">
        <w:t xml:space="preserve"> cover</w:t>
      </w:r>
      <w:r w:rsidR="00A627C0" w:rsidRPr="00617020">
        <w:t>s</w:t>
      </w:r>
      <w:r w:rsidRPr="00617020">
        <w:t xml:space="preserve"> the designation of the </w:t>
      </w:r>
      <w:r w:rsidR="00857EBD" w:rsidRPr="00617020">
        <w:t xml:space="preserve">2500-2690 MHz </w:t>
      </w:r>
      <w:r w:rsidRPr="00617020">
        <w:t xml:space="preserve">band </w:t>
      </w:r>
      <w:r w:rsidR="00A627C0" w:rsidRPr="00617020">
        <w:t>for MFCN</w:t>
      </w:r>
      <w:r w:rsidR="00A627C0" w:rsidRPr="00617020" w:rsidDel="00A627C0">
        <w:t xml:space="preserve"> </w:t>
      </w:r>
    </w:p>
    <w:p w:rsidR="006C03D0" w:rsidRPr="00617020" w:rsidRDefault="005F7AD5" w:rsidP="009610A1">
      <w:pPr>
        <w:pStyle w:val="Heading2"/>
        <w:rPr>
          <w:lang w:val="en-GB"/>
        </w:rPr>
      </w:pPr>
      <w:r w:rsidRPr="00617020">
        <w:rPr>
          <w:lang w:val="en-GB"/>
        </w:rPr>
        <w:t>REQUIREMENT FOR AN ECC DECISION</w:t>
      </w:r>
    </w:p>
    <w:p w:rsidR="005908F9" w:rsidRPr="00617020" w:rsidRDefault="005908F9" w:rsidP="00C9294A">
      <w:pPr>
        <w:pStyle w:val="ECCParagraph"/>
      </w:pPr>
      <w:r w:rsidRPr="00617020">
        <w:t>The ECC recognises that a harmonised implementation of MFCN</w:t>
      </w:r>
      <w:r w:rsidR="00257862" w:rsidRPr="00617020">
        <w:t xml:space="preserve"> in the band 2500-</w:t>
      </w:r>
      <w:r w:rsidRPr="00617020">
        <w:t>2690 MHz will be of greatest benefit to operators, manufacturers and end users and will promote the continued development of MFCN services across Europe.</w:t>
      </w:r>
    </w:p>
    <w:p w:rsidR="00C9294A" w:rsidRPr="00617020" w:rsidRDefault="00C9294A" w:rsidP="00C9294A">
      <w:pPr>
        <w:pStyle w:val="ECCParagraph"/>
      </w:pPr>
      <w:r w:rsidRPr="00617020">
        <w:t>The ECC recognises that for MFCN services to continue to be developed successfully and in accordance with the global IMT definitions, manufacturers and operators must be given the confidence to make the necessary investment. The ECC believes that the continued development of MFCN services will be facilitated by harmonised use of IMT spectrum across the CEPT, and a commitment by CEPT member countries to implement this Decision will provide a clear indication that additional paired and unpaired frequency bands, necessary for the future successful development of MFCN services of will be made available in a timely manner, subject to market demand, and on a Europe-wide basis.</w:t>
      </w:r>
    </w:p>
    <w:p w:rsidR="00C9294A" w:rsidRPr="00617020" w:rsidRDefault="00C9294A" w:rsidP="00C9294A">
      <w:pPr>
        <w:pStyle w:val="ECCParagraph"/>
      </w:pPr>
      <w:r w:rsidRPr="00617020">
        <w:t>The ECC recognises that harmonised u</w:t>
      </w:r>
      <w:r w:rsidR="00257862" w:rsidRPr="00617020">
        <w:t>se of the frequency band 2500-</w:t>
      </w:r>
      <w:r w:rsidRPr="00617020">
        <w:t>2690 MHz must ensure that spectrum is available for MFCN systems while allowing administrations to respond to market demand.</w:t>
      </w:r>
    </w:p>
    <w:p w:rsidR="005908F9" w:rsidRPr="00617020" w:rsidRDefault="005908F9" w:rsidP="005908F9">
      <w:pPr>
        <w:pStyle w:val="ECCParagraph"/>
      </w:pPr>
    </w:p>
    <w:p w:rsidR="006C03D0" w:rsidRPr="00617020" w:rsidRDefault="005F7AD5" w:rsidP="006C03D0">
      <w:pPr>
        <w:pStyle w:val="Heading1"/>
      </w:pPr>
      <w:r w:rsidRPr="00617020">
        <w:lastRenderedPageBreak/>
        <w:t>ECC Decision of</w:t>
      </w:r>
      <w:r w:rsidR="00A8085A" w:rsidRPr="00617020">
        <w:t xml:space="preserve"> </w:t>
      </w:r>
      <w:r w:rsidR="00C9294A" w:rsidRPr="00617020">
        <w:t>18 march 2005</w:t>
      </w:r>
      <w:r w:rsidR="00A8085A" w:rsidRPr="00617020">
        <w:t xml:space="preserve"> </w:t>
      </w:r>
      <w:r w:rsidRPr="00617020">
        <w:t>on</w:t>
      </w:r>
      <w:r w:rsidR="00A8085A" w:rsidRPr="00617020">
        <w:t xml:space="preserve"> </w:t>
      </w:r>
      <w:r w:rsidR="00C9294A" w:rsidRPr="00617020">
        <w:t>the harmonised utilisation of spectrum for Mobile/Fixed Communications Networks (MFCN) operating within the band 2500-2690 MH</w:t>
      </w:r>
      <w:r w:rsidR="00C9294A" w:rsidRPr="00617020">
        <w:rPr>
          <w:sz w:val="16"/>
        </w:rPr>
        <w:t>z</w:t>
      </w:r>
      <w:r w:rsidR="00C9294A" w:rsidRPr="00617020">
        <w:t xml:space="preserve"> </w:t>
      </w:r>
      <w:r w:rsidR="00A8085A" w:rsidRPr="00617020">
        <w:t>(</w:t>
      </w:r>
      <w:r w:rsidR="00246B4B" w:rsidRPr="00617020">
        <w:t>ECC/DEC</w:t>
      </w:r>
      <w:proofErr w:type="gramStart"/>
      <w:r w:rsidR="00246B4B" w:rsidRPr="00617020">
        <w:t>/(</w:t>
      </w:r>
      <w:proofErr w:type="gramEnd"/>
      <w:r w:rsidR="00246B4B" w:rsidRPr="00617020">
        <w:t>05)05</w:t>
      </w:r>
      <w:r w:rsidR="00857EBD" w:rsidRPr="00617020">
        <w:t>)</w:t>
      </w:r>
      <w:r w:rsidR="007C4348" w:rsidRPr="00617020">
        <w:t xml:space="preserve"> amended 3 July 2015</w:t>
      </w:r>
    </w:p>
    <w:p w:rsidR="006C03D0" w:rsidRPr="00617020" w:rsidRDefault="005F7AD5" w:rsidP="006C03D0">
      <w:pPr>
        <w:pStyle w:val="ECCParagraph"/>
      </w:pPr>
      <w:r w:rsidRPr="00617020">
        <w:t>“The European Conference of Postal and Telecommunications Administrations,</w:t>
      </w:r>
    </w:p>
    <w:p w:rsidR="006C03D0" w:rsidRPr="00617020" w:rsidRDefault="00C9294A" w:rsidP="006C03D0">
      <w:pPr>
        <w:pStyle w:val="ECCParagraph"/>
        <w:rPr>
          <w:i/>
          <w:color w:val="D2232A"/>
        </w:rPr>
      </w:pPr>
      <w:proofErr w:type="gramStart"/>
      <w:r w:rsidRPr="00617020">
        <w:rPr>
          <w:i/>
          <w:color w:val="D2232A"/>
        </w:rPr>
        <w:t>considering</w:t>
      </w:r>
      <w:proofErr w:type="gramEnd"/>
      <w:r w:rsidRPr="00617020">
        <w:rPr>
          <w:i/>
          <w:color w:val="D2232A"/>
        </w:rPr>
        <w:t xml:space="preserve"> </w:t>
      </w:r>
    </w:p>
    <w:p w:rsidR="001D6328" w:rsidRPr="00617020" w:rsidRDefault="00EF63C2" w:rsidP="007C4348">
      <w:pPr>
        <w:pStyle w:val="LetteredList"/>
        <w:rPr>
          <w:szCs w:val="20"/>
          <w:lang w:val="en-GB"/>
        </w:rPr>
      </w:pPr>
      <w:r w:rsidRPr="00617020">
        <w:rPr>
          <w:lang w:val="en-GB"/>
        </w:rPr>
        <w:t>that MFCN for the purpose of this Decision includes IMT and other communications networks</w:t>
      </w:r>
      <w:r w:rsidR="00B238C3" w:rsidRPr="00617020">
        <w:rPr>
          <w:lang w:val="en-GB"/>
        </w:rPr>
        <w:t xml:space="preserve"> in the mobile and fixed services</w:t>
      </w:r>
      <w:r w:rsidR="001D6328" w:rsidRPr="00617020">
        <w:rPr>
          <w:szCs w:val="20"/>
          <w:lang w:val="en-GB"/>
        </w:rPr>
        <w:t>;</w:t>
      </w:r>
    </w:p>
    <w:p w:rsidR="001D6328" w:rsidRPr="00617020" w:rsidRDefault="001D6328" w:rsidP="007C4348">
      <w:pPr>
        <w:pStyle w:val="LetteredList"/>
        <w:rPr>
          <w:szCs w:val="20"/>
          <w:lang w:val="en-GB"/>
        </w:rPr>
      </w:pPr>
      <w:r w:rsidRPr="00617020">
        <w:rPr>
          <w:szCs w:val="20"/>
          <w:lang w:val="en-GB"/>
        </w:rPr>
        <w:t>that IMT covers both IMT-2000 and IMT-Advanced, as defined in Resolution ITU-R 56</w:t>
      </w:r>
      <w:r w:rsidR="00865672" w:rsidRPr="00617020">
        <w:rPr>
          <w:szCs w:val="20"/>
          <w:lang w:val="en-GB"/>
        </w:rPr>
        <w:t xml:space="preserve"> </w:t>
      </w:r>
      <w:r w:rsidR="00865672" w:rsidRPr="00617020">
        <w:rPr>
          <w:szCs w:val="20"/>
          <w:lang w:val="en-GB"/>
        </w:rPr>
        <w:fldChar w:fldCharType="begin"/>
      </w:r>
      <w:r w:rsidR="00865672" w:rsidRPr="00617020">
        <w:rPr>
          <w:szCs w:val="20"/>
          <w:lang w:val="en-GB"/>
        </w:rPr>
        <w:instrText xml:space="preserve"> REF _Ref413659990 \n \h </w:instrText>
      </w:r>
      <w:r w:rsidR="00DB0675" w:rsidRPr="00617020">
        <w:rPr>
          <w:szCs w:val="20"/>
          <w:lang w:val="en-GB"/>
        </w:rPr>
        <w:instrText xml:space="preserve"> \* MERGEFORMAT </w:instrText>
      </w:r>
      <w:r w:rsidR="00865672" w:rsidRPr="00617020">
        <w:rPr>
          <w:szCs w:val="20"/>
          <w:lang w:val="en-GB"/>
        </w:rPr>
      </w:r>
      <w:r w:rsidR="00865672" w:rsidRPr="00617020">
        <w:rPr>
          <w:szCs w:val="20"/>
          <w:lang w:val="en-GB"/>
        </w:rPr>
        <w:fldChar w:fldCharType="separate"/>
      </w:r>
      <w:r w:rsidR="00617020">
        <w:rPr>
          <w:szCs w:val="20"/>
          <w:lang w:val="en-GB"/>
        </w:rPr>
        <w:t>[11]</w:t>
      </w:r>
      <w:r w:rsidR="00865672" w:rsidRPr="00617020">
        <w:rPr>
          <w:szCs w:val="20"/>
          <w:lang w:val="en-GB"/>
        </w:rPr>
        <w:fldChar w:fldCharType="end"/>
      </w:r>
      <w:r w:rsidRPr="00617020">
        <w:rPr>
          <w:szCs w:val="20"/>
          <w:lang w:val="en-GB"/>
        </w:rPr>
        <w:t xml:space="preserve"> (Naming for International Mobile Telecommunications);</w:t>
      </w:r>
    </w:p>
    <w:p w:rsidR="001D6328" w:rsidRPr="00617020" w:rsidRDefault="001D6328" w:rsidP="007C4348">
      <w:pPr>
        <w:pStyle w:val="LetteredList"/>
        <w:rPr>
          <w:szCs w:val="20"/>
          <w:lang w:val="en-GB"/>
        </w:rPr>
      </w:pPr>
      <w:r w:rsidRPr="00617020">
        <w:rPr>
          <w:szCs w:val="20"/>
          <w:lang w:val="en-GB"/>
        </w:rPr>
        <w:t xml:space="preserve">that detailed specifications of IMT radio interfaces are described in Recommendation ITU-R M.1457 </w:t>
      </w:r>
      <w:r w:rsidR="00076322" w:rsidRPr="00617020">
        <w:rPr>
          <w:szCs w:val="20"/>
          <w:lang w:val="en-GB"/>
        </w:rPr>
        <w:fldChar w:fldCharType="begin"/>
      </w:r>
      <w:r w:rsidR="00076322" w:rsidRPr="00617020">
        <w:rPr>
          <w:szCs w:val="20"/>
          <w:lang w:val="en-GB"/>
        </w:rPr>
        <w:instrText xml:space="preserve"> REF _Ref422845336 \r \h </w:instrText>
      </w:r>
      <w:r w:rsidR="00076322" w:rsidRPr="00617020">
        <w:rPr>
          <w:szCs w:val="20"/>
          <w:lang w:val="en-GB"/>
        </w:rPr>
      </w:r>
      <w:r w:rsidR="00076322" w:rsidRPr="00617020">
        <w:rPr>
          <w:szCs w:val="20"/>
          <w:lang w:val="en-GB"/>
        </w:rPr>
        <w:fldChar w:fldCharType="separate"/>
      </w:r>
      <w:r w:rsidR="00617020">
        <w:rPr>
          <w:szCs w:val="20"/>
          <w:lang w:val="en-GB"/>
        </w:rPr>
        <w:t>[10]</w:t>
      </w:r>
      <w:r w:rsidR="00076322" w:rsidRPr="00617020">
        <w:rPr>
          <w:szCs w:val="20"/>
          <w:lang w:val="en-GB"/>
        </w:rPr>
        <w:fldChar w:fldCharType="end"/>
      </w:r>
      <w:r w:rsidR="00AC0F69" w:rsidRPr="00617020">
        <w:rPr>
          <w:szCs w:val="20"/>
          <w:lang w:val="en-GB"/>
        </w:rPr>
        <w:t xml:space="preserve"> </w:t>
      </w:r>
      <w:r w:rsidRPr="00617020">
        <w:rPr>
          <w:szCs w:val="20"/>
          <w:lang w:val="en-GB"/>
        </w:rPr>
        <w:t>for IMT-2000 and Recommendation ITU-R M.2012</w:t>
      </w:r>
      <w:r w:rsidR="00AC0F69" w:rsidRPr="00617020">
        <w:rPr>
          <w:szCs w:val="20"/>
          <w:lang w:val="en-GB"/>
        </w:rPr>
        <w:t xml:space="preserve"> </w:t>
      </w:r>
      <w:r w:rsidR="00AC0F69" w:rsidRPr="00617020">
        <w:rPr>
          <w:szCs w:val="20"/>
          <w:lang w:val="en-GB"/>
        </w:rPr>
        <w:fldChar w:fldCharType="begin"/>
      </w:r>
      <w:r w:rsidR="00AC0F69" w:rsidRPr="00617020">
        <w:rPr>
          <w:szCs w:val="20"/>
          <w:lang w:val="en-GB"/>
        </w:rPr>
        <w:instrText xml:space="preserve"> REF _Ref413657411 \n \h </w:instrText>
      </w:r>
      <w:r w:rsidR="00DB0675" w:rsidRPr="00617020">
        <w:rPr>
          <w:szCs w:val="20"/>
          <w:lang w:val="en-GB"/>
        </w:rPr>
        <w:instrText xml:space="preserve"> \* MERGEFORMAT </w:instrText>
      </w:r>
      <w:r w:rsidR="00AC0F69" w:rsidRPr="00617020">
        <w:rPr>
          <w:szCs w:val="20"/>
          <w:lang w:val="en-GB"/>
        </w:rPr>
      </w:r>
      <w:r w:rsidR="00AC0F69" w:rsidRPr="00617020">
        <w:rPr>
          <w:szCs w:val="20"/>
          <w:lang w:val="en-GB"/>
        </w:rPr>
        <w:fldChar w:fldCharType="separate"/>
      </w:r>
      <w:r w:rsidR="00617020">
        <w:rPr>
          <w:szCs w:val="20"/>
          <w:lang w:val="en-GB"/>
        </w:rPr>
        <w:t>[9]</w:t>
      </w:r>
      <w:r w:rsidR="00AC0F69" w:rsidRPr="00617020">
        <w:rPr>
          <w:szCs w:val="20"/>
          <w:lang w:val="en-GB"/>
        </w:rPr>
        <w:fldChar w:fldCharType="end"/>
      </w:r>
      <w:r w:rsidRPr="00617020">
        <w:rPr>
          <w:szCs w:val="20"/>
          <w:lang w:val="en-GB"/>
        </w:rPr>
        <w:t xml:space="preserve"> for IMT-Advanced;</w:t>
      </w:r>
    </w:p>
    <w:p w:rsidR="00DB0675" w:rsidRPr="00617020" w:rsidRDefault="001D6328" w:rsidP="007C4348">
      <w:pPr>
        <w:pStyle w:val="LetteredList"/>
        <w:rPr>
          <w:szCs w:val="20"/>
          <w:lang w:val="en-GB"/>
        </w:rPr>
      </w:pPr>
      <w:r w:rsidRPr="00617020">
        <w:rPr>
          <w:spacing w:val="-2"/>
          <w:szCs w:val="20"/>
          <w:lang w:val="en-GB" w:eastAsia="en-GB"/>
        </w:rPr>
        <w:t>that WRC-2000 identified additional frequency bands for IMT-2000 in RR 5.384A of the Radio Regulations applying to the Mobile Service together with Resolutions 223</w:t>
      </w:r>
      <w:r w:rsidR="00865672" w:rsidRPr="00617020">
        <w:rPr>
          <w:spacing w:val="-2"/>
          <w:szCs w:val="20"/>
          <w:lang w:val="en-GB" w:eastAsia="en-GB"/>
        </w:rPr>
        <w:t xml:space="preserve"> </w:t>
      </w:r>
      <w:r w:rsidR="00865672" w:rsidRPr="00617020">
        <w:rPr>
          <w:spacing w:val="-2"/>
          <w:szCs w:val="20"/>
          <w:lang w:val="en-GB" w:eastAsia="en-GB"/>
        </w:rPr>
        <w:fldChar w:fldCharType="begin"/>
      </w:r>
      <w:r w:rsidR="00865672" w:rsidRPr="00617020">
        <w:rPr>
          <w:spacing w:val="-2"/>
          <w:szCs w:val="20"/>
          <w:lang w:val="en-GB" w:eastAsia="en-GB"/>
        </w:rPr>
        <w:instrText xml:space="preserve"> REF _Ref413660045 \n \h </w:instrText>
      </w:r>
      <w:r w:rsidR="00DB0675" w:rsidRPr="00617020">
        <w:rPr>
          <w:spacing w:val="-2"/>
          <w:szCs w:val="20"/>
          <w:lang w:val="en-GB" w:eastAsia="en-GB"/>
        </w:rPr>
        <w:instrText xml:space="preserve"> \* MERGEFORMAT </w:instrText>
      </w:r>
      <w:r w:rsidR="00865672" w:rsidRPr="00617020">
        <w:rPr>
          <w:spacing w:val="-2"/>
          <w:szCs w:val="20"/>
          <w:lang w:val="en-GB" w:eastAsia="en-GB"/>
        </w:rPr>
      </w:r>
      <w:r w:rsidR="00865672" w:rsidRPr="00617020">
        <w:rPr>
          <w:spacing w:val="-2"/>
          <w:szCs w:val="20"/>
          <w:lang w:val="en-GB" w:eastAsia="en-GB"/>
        </w:rPr>
        <w:fldChar w:fldCharType="separate"/>
      </w:r>
      <w:r w:rsidR="00617020">
        <w:rPr>
          <w:spacing w:val="-2"/>
          <w:szCs w:val="20"/>
          <w:lang w:val="en-GB" w:eastAsia="en-GB"/>
        </w:rPr>
        <w:t>[12]</w:t>
      </w:r>
      <w:r w:rsidR="00865672" w:rsidRPr="00617020">
        <w:rPr>
          <w:spacing w:val="-2"/>
          <w:szCs w:val="20"/>
          <w:lang w:val="en-GB" w:eastAsia="en-GB"/>
        </w:rPr>
        <w:fldChar w:fldCharType="end"/>
      </w:r>
      <w:r w:rsidRPr="00617020">
        <w:rPr>
          <w:spacing w:val="-2"/>
          <w:szCs w:val="20"/>
          <w:lang w:val="en-GB" w:eastAsia="en-GB"/>
        </w:rPr>
        <w:t xml:space="preserve"> and 225</w:t>
      </w:r>
      <w:r w:rsidR="00865672" w:rsidRPr="00617020">
        <w:rPr>
          <w:spacing w:val="-2"/>
          <w:szCs w:val="20"/>
          <w:lang w:val="en-GB" w:eastAsia="en-GB"/>
        </w:rPr>
        <w:fldChar w:fldCharType="begin"/>
      </w:r>
      <w:r w:rsidR="00865672" w:rsidRPr="00617020">
        <w:rPr>
          <w:spacing w:val="-2"/>
          <w:szCs w:val="20"/>
          <w:lang w:val="en-GB" w:eastAsia="en-GB"/>
        </w:rPr>
        <w:instrText xml:space="preserve"> REF _Ref413660054 \n \h </w:instrText>
      </w:r>
      <w:r w:rsidR="00DB0675" w:rsidRPr="00617020">
        <w:rPr>
          <w:spacing w:val="-2"/>
          <w:szCs w:val="20"/>
          <w:lang w:val="en-GB" w:eastAsia="en-GB"/>
        </w:rPr>
        <w:instrText xml:space="preserve"> \* MERGEFORMAT </w:instrText>
      </w:r>
      <w:r w:rsidR="00865672" w:rsidRPr="00617020">
        <w:rPr>
          <w:spacing w:val="-2"/>
          <w:szCs w:val="20"/>
          <w:lang w:val="en-GB" w:eastAsia="en-GB"/>
        </w:rPr>
      </w:r>
      <w:r w:rsidR="00865672" w:rsidRPr="00617020">
        <w:rPr>
          <w:spacing w:val="-2"/>
          <w:szCs w:val="20"/>
          <w:lang w:val="en-GB" w:eastAsia="en-GB"/>
        </w:rPr>
        <w:fldChar w:fldCharType="separate"/>
      </w:r>
      <w:r w:rsidR="00617020">
        <w:rPr>
          <w:spacing w:val="-2"/>
          <w:szCs w:val="20"/>
          <w:lang w:val="en-GB" w:eastAsia="en-GB"/>
        </w:rPr>
        <w:t>[14]</w:t>
      </w:r>
      <w:r w:rsidR="00865672" w:rsidRPr="00617020">
        <w:rPr>
          <w:spacing w:val="-2"/>
          <w:szCs w:val="20"/>
          <w:lang w:val="en-GB" w:eastAsia="en-GB"/>
        </w:rPr>
        <w:fldChar w:fldCharType="end"/>
      </w:r>
      <w:r w:rsidR="00865672" w:rsidRPr="00617020">
        <w:rPr>
          <w:spacing w:val="-2"/>
          <w:szCs w:val="20"/>
          <w:lang w:val="en-GB" w:eastAsia="en-GB"/>
        </w:rPr>
        <w:t xml:space="preserve"> </w:t>
      </w:r>
      <w:r w:rsidRPr="00617020">
        <w:rPr>
          <w:spacing w:val="-2"/>
          <w:szCs w:val="20"/>
          <w:lang w:val="en-GB" w:eastAsia="en-GB"/>
        </w:rPr>
        <w:t>and in RR 5.317A together with Resolution 224</w:t>
      </w:r>
      <w:r w:rsidR="00865672" w:rsidRPr="00617020">
        <w:rPr>
          <w:spacing w:val="-2"/>
          <w:szCs w:val="20"/>
          <w:lang w:val="en-GB" w:eastAsia="en-GB"/>
        </w:rPr>
        <w:t xml:space="preserve"> </w:t>
      </w:r>
      <w:r w:rsidR="00865672" w:rsidRPr="00617020">
        <w:rPr>
          <w:spacing w:val="-2"/>
          <w:szCs w:val="20"/>
          <w:lang w:val="en-GB" w:eastAsia="en-GB"/>
        </w:rPr>
        <w:fldChar w:fldCharType="begin"/>
      </w:r>
      <w:r w:rsidR="00865672" w:rsidRPr="00617020">
        <w:rPr>
          <w:spacing w:val="-2"/>
          <w:szCs w:val="20"/>
          <w:lang w:val="en-GB" w:eastAsia="en-GB"/>
        </w:rPr>
        <w:instrText xml:space="preserve"> REF _Ref413660103 \n \h </w:instrText>
      </w:r>
      <w:r w:rsidR="00DB0675" w:rsidRPr="00617020">
        <w:rPr>
          <w:spacing w:val="-2"/>
          <w:szCs w:val="20"/>
          <w:lang w:val="en-GB" w:eastAsia="en-GB"/>
        </w:rPr>
        <w:instrText xml:space="preserve"> \* MERGEFORMAT </w:instrText>
      </w:r>
      <w:r w:rsidR="00865672" w:rsidRPr="00617020">
        <w:rPr>
          <w:spacing w:val="-2"/>
          <w:szCs w:val="20"/>
          <w:lang w:val="en-GB" w:eastAsia="en-GB"/>
        </w:rPr>
      </w:r>
      <w:r w:rsidR="00865672" w:rsidRPr="00617020">
        <w:rPr>
          <w:spacing w:val="-2"/>
          <w:szCs w:val="20"/>
          <w:lang w:val="en-GB" w:eastAsia="en-GB"/>
        </w:rPr>
        <w:fldChar w:fldCharType="separate"/>
      </w:r>
      <w:r w:rsidR="00617020">
        <w:rPr>
          <w:spacing w:val="-2"/>
          <w:szCs w:val="20"/>
          <w:lang w:val="en-GB" w:eastAsia="en-GB"/>
        </w:rPr>
        <w:t>[13]</w:t>
      </w:r>
      <w:r w:rsidR="00865672" w:rsidRPr="00617020">
        <w:rPr>
          <w:spacing w:val="-2"/>
          <w:szCs w:val="20"/>
          <w:lang w:val="en-GB" w:eastAsia="en-GB"/>
        </w:rPr>
        <w:fldChar w:fldCharType="end"/>
      </w:r>
      <w:r w:rsidRPr="00617020">
        <w:rPr>
          <w:spacing w:val="-2"/>
          <w:szCs w:val="20"/>
          <w:lang w:val="en-GB" w:eastAsia="en-GB"/>
        </w:rPr>
        <w:t>;</w:t>
      </w:r>
      <w:r w:rsidR="00DB0675" w:rsidRPr="00617020">
        <w:rPr>
          <w:szCs w:val="20"/>
          <w:lang w:val="en-GB"/>
        </w:rPr>
        <w:t xml:space="preserve"> </w:t>
      </w:r>
    </w:p>
    <w:p w:rsidR="00DB0675" w:rsidRPr="00617020" w:rsidRDefault="000F23DD" w:rsidP="007C4348">
      <w:pPr>
        <w:pStyle w:val="LetteredList"/>
        <w:rPr>
          <w:szCs w:val="20"/>
          <w:lang w:val="en-GB"/>
        </w:rPr>
      </w:pPr>
      <w:r w:rsidRPr="00617020">
        <w:rPr>
          <w:spacing w:val="-2"/>
          <w:lang w:val="en-GB"/>
        </w:rPr>
        <w:t xml:space="preserve">that WRC-07 </w:t>
      </w:r>
      <w:r w:rsidR="001D6328" w:rsidRPr="00617020">
        <w:rPr>
          <w:spacing w:val="-2"/>
          <w:szCs w:val="20"/>
          <w:lang w:val="en-GB" w:eastAsia="en-GB"/>
        </w:rPr>
        <w:t>revised these identifications to cover IMT as described in considering b) above;</w:t>
      </w:r>
      <w:r w:rsidR="00DB0675" w:rsidRPr="00617020">
        <w:rPr>
          <w:szCs w:val="20"/>
          <w:lang w:val="en-GB"/>
        </w:rPr>
        <w:t xml:space="preserve"> </w:t>
      </w:r>
    </w:p>
    <w:p w:rsidR="00DB0675" w:rsidRPr="00617020" w:rsidRDefault="001D6328" w:rsidP="007C4348">
      <w:pPr>
        <w:pStyle w:val="LetteredList"/>
        <w:rPr>
          <w:szCs w:val="20"/>
          <w:lang w:val="en-GB"/>
        </w:rPr>
      </w:pPr>
      <w:r w:rsidRPr="00617020">
        <w:rPr>
          <w:szCs w:val="20"/>
          <w:lang w:val="en-GB" w:eastAsia="en-GB"/>
        </w:rPr>
        <w:t>that there is a need to facilitate the interoperability of MFCN throughout Europe;</w:t>
      </w:r>
      <w:r w:rsidR="00DB0675" w:rsidRPr="00617020">
        <w:rPr>
          <w:szCs w:val="20"/>
          <w:lang w:val="en-GB"/>
        </w:rPr>
        <w:t xml:space="preserve"> </w:t>
      </w:r>
    </w:p>
    <w:p w:rsidR="00DB0675" w:rsidRPr="00617020" w:rsidRDefault="005D0DC3" w:rsidP="007C4348">
      <w:pPr>
        <w:pStyle w:val="LetteredList"/>
        <w:rPr>
          <w:szCs w:val="20"/>
          <w:lang w:val="en-GB"/>
        </w:rPr>
      </w:pPr>
      <w:r w:rsidRPr="00617020">
        <w:rPr>
          <w:szCs w:val="20"/>
          <w:lang w:val="en-GB" w:eastAsia="en-GB"/>
        </w:rPr>
        <w:t xml:space="preserve">that MFCN spectrum may be used for Supplemental </w:t>
      </w:r>
      <w:proofErr w:type="spellStart"/>
      <w:r w:rsidRPr="00617020">
        <w:rPr>
          <w:szCs w:val="20"/>
          <w:lang w:val="en-GB" w:eastAsia="en-GB"/>
        </w:rPr>
        <w:t>DownLink</w:t>
      </w:r>
      <w:proofErr w:type="spellEnd"/>
      <w:r w:rsidRPr="00617020">
        <w:rPr>
          <w:szCs w:val="20"/>
          <w:lang w:val="en-GB" w:eastAsia="en-GB"/>
        </w:rPr>
        <w:t xml:space="preserve"> (SDL), i.e. downlink without paired uplink spectrum;</w:t>
      </w:r>
      <w:r w:rsidR="00DB0675" w:rsidRPr="00617020">
        <w:rPr>
          <w:szCs w:val="20"/>
          <w:lang w:val="en-GB"/>
        </w:rPr>
        <w:t xml:space="preserve"> </w:t>
      </w:r>
    </w:p>
    <w:p w:rsidR="00DB0675" w:rsidRPr="00617020" w:rsidRDefault="00257862" w:rsidP="007C4348">
      <w:pPr>
        <w:pStyle w:val="LetteredList"/>
        <w:rPr>
          <w:szCs w:val="20"/>
          <w:lang w:val="en-GB"/>
        </w:rPr>
      </w:pPr>
      <w:r w:rsidRPr="00617020">
        <w:rPr>
          <w:spacing w:val="-2"/>
          <w:szCs w:val="20"/>
          <w:lang w:val="en-GB" w:eastAsia="en-GB"/>
        </w:rPr>
        <w:t>that the band 2500-</w:t>
      </w:r>
      <w:r w:rsidR="001D6328" w:rsidRPr="00617020">
        <w:rPr>
          <w:spacing w:val="-2"/>
          <w:szCs w:val="20"/>
          <w:lang w:val="en-GB" w:eastAsia="en-GB"/>
        </w:rPr>
        <w:t xml:space="preserve">2690 MHz is currently used for </w:t>
      </w:r>
      <w:r w:rsidR="005D0DC3" w:rsidRPr="00617020">
        <w:rPr>
          <w:spacing w:val="-2"/>
          <w:szCs w:val="20"/>
          <w:lang w:val="en-GB" w:eastAsia="en-GB"/>
        </w:rPr>
        <w:t>MFCN</w:t>
      </w:r>
      <w:r w:rsidR="001D6328" w:rsidRPr="00617020">
        <w:rPr>
          <w:spacing w:val="-2"/>
          <w:szCs w:val="20"/>
          <w:lang w:val="en-GB" w:eastAsia="en-GB"/>
        </w:rPr>
        <w:t xml:space="preserve"> in most CEPT member countries;</w:t>
      </w:r>
      <w:r w:rsidR="00DB0675" w:rsidRPr="00617020">
        <w:rPr>
          <w:szCs w:val="20"/>
          <w:lang w:val="en-GB"/>
        </w:rPr>
        <w:t xml:space="preserve"> </w:t>
      </w:r>
    </w:p>
    <w:p w:rsidR="00DB0675" w:rsidRPr="00617020" w:rsidRDefault="001D6328" w:rsidP="007C4348">
      <w:pPr>
        <w:pStyle w:val="LetteredList"/>
        <w:rPr>
          <w:szCs w:val="20"/>
          <w:lang w:val="en-GB"/>
        </w:rPr>
      </w:pPr>
      <w:r w:rsidRPr="00617020">
        <w:rPr>
          <w:spacing w:val="-2"/>
          <w:szCs w:val="20"/>
          <w:lang w:val="en-GB" w:eastAsia="en-GB"/>
        </w:rPr>
        <w:t xml:space="preserve">that there will be differences in the demand for MFCN spectrum and there are different licensing schemes across Europe which could lead to an offset in timescales concerning the use of the </w:t>
      </w:r>
      <w:r w:rsidR="00257862" w:rsidRPr="00617020">
        <w:rPr>
          <w:szCs w:val="20"/>
          <w:lang w:val="en-GB" w:eastAsia="en-GB"/>
        </w:rPr>
        <w:t>band 2500-</w:t>
      </w:r>
      <w:r w:rsidRPr="00617020">
        <w:rPr>
          <w:szCs w:val="20"/>
          <w:lang w:val="en-GB" w:eastAsia="en-GB"/>
        </w:rPr>
        <w:t>2690 MHz for MFCN</w:t>
      </w:r>
      <w:r w:rsidRPr="00617020">
        <w:rPr>
          <w:spacing w:val="-2"/>
          <w:szCs w:val="20"/>
          <w:lang w:val="en-GB" w:eastAsia="en-GB"/>
        </w:rPr>
        <w:t>;</w:t>
      </w:r>
      <w:r w:rsidR="00DB0675" w:rsidRPr="00617020">
        <w:rPr>
          <w:szCs w:val="20"/>
          <w:lang w:val="en-GB"/>
        </w:rPr>
        <w:t xml:space="preserve"> </w:t>
      </w:r>
    </w:p>
    <w:p w:rsidR="001D6328" w:rsidRPr="00617020" w:rsidRDefault="001D6328" w:rsidP="007C4348">
      <w:pPr>
        <w:pStyle w:val="LetteredList"/>
        <w:rPr>
          <w:szCs w:val="20"/>
          <w:lang w:val="en-GB" w:eastAsia="en-GB"/>
        </w:rPr>
      </w:pPr>
      <w:r w:rsidRPr="00617020">
        <w:rPr>
          <w:szCs w:val="20"/>
          <w:lang w:val="en-GB" w:eastAsia="en-GB"/>
        </w:rPr>
        <w:t>that CEPT supports the development by ITU-R of globally harmonised frequency arrangements for the bands identified for IMT;</w:t>
      </w:r>
    </w:p>
    <w:p w:rsidR="001D6328" w:rsidRPr="00617020" w:rsidRDefault="001D6328" w:rsidP="007C4348">
      <w:pPr>
        <w:pStyle w:val="LetteredList"/>
        <w:rPr>
          <w:spacing w:val="-2"/>
          <w:szCs w:val="20"/>
          <w:lang w:val="en-GB" w:eastAsia="en-GB"/>
        </w:rPr>
      </w:pPr>
      <w:r w:rsidRPr="00617020">
        <w:rPr>
          <w:spacing w:val="-2"/>
          <w:szCs w:val="20"/>
          <w:lang w:val="en-GB" w:eastAsia="en-GB"/>
        </w:rPr>
        <w:t>that ECC Report 45 addresses sharing and adjacent band compatibility studies between IMT-2000/UMTS in the band 2500</w:t>
      </w:r>
      <w:r w:rsidR="00257862" w:rsidRPr="00617020">
        <w:rPr>
          <w:spacing w:val="-2"/>
          <w:szCs w:val="20"/>
          <w:lang w:val="en-GB" w:eastAsia="en-GB"/>
        </w:rPr>
        <w:t>-</w:t>
      </w:r>
      <w:r w:rsidRPr="00617020">
        <w:rPr>
          <w:spacing w:val="-2"/>
          <w:szCs w:val="20"/>
          <w:lang w:val="en-GB" w:eastAsia="en-GB"/>
        </w:rPr>
        <w:t>2690 MHz and other services;</w:t>
      </w:r>
    </w:p>
    <w:p w:rsidR="001D6328" w:rsidRPr="00617020" w:rsidRDefault="001D6328" w:rsidP="007C4348">
      <w:pPr>
        <w:pStyle w:val="LetteredList"/>
        <w:rPr>
          <w:spacing w:val="-2"/>
          <w:szCs w:val="20"/>
          <w:lang w:val="en-GB" w:eastAsia="en-GB"/>
        </w:rPr>
      </w:pPr>
      <w:r w:rsidRPr="00617020">
        <w:rPr>
          <w:spacing w:val="-2"/>
          <w:szCs w:val="20"/>
          <w:lang w:val="en-GB" w:eastAsia="en-GB"/>
        </w:rPr>
        <w:t xml:space="preserve">that CEPT Report 19 </w:t>
      </w:r>
      <w:r w:rsidR="00780AE6" w:rsidRPr="00617020">
        <w:rPr>
          <w:spacing w:val="-2"/>
          <w:szCs w:val="20"/>
          <w:lang w:val="en-GB" w:eastAsia="en-GB"/>
        </w:rPr>
        <w:fldChar w:fldCharType="begin"/>
      </w:r>
      <w:r w:rsidR="00780AE6" w:rsidRPr="00617020">
        <w:rPr>
          <w:spacing w:val="-2"/>
          <w:szCs w:val="20"/>
          <w:lang w:val="en-GB" w:eastAsia="en-GB"/>
        </w:rPr>
        <w:instrText xml:space="preserve"> REF _Ref413656274 \n \h </w:instrText>
      </w:r>
      <w:r w:rsidR="00DB0675" w:rsidRPr="00617020">
        <w:rPr>
          <w:spacing w:val="-2"/>
          <w:szCs w:val="20"/>
          <w:lang w:val="en-GB" w:eastAsia="en-GB"/>
        </w:rPr>
        <w:instrText xml:space="preserve"> \* MERGEFORMAT </w:instrText>
      </w:r>
      <w:r w:rsidR="00780AE6" w:rsidRPr="00617020">
        <w:rPr>
          <w:spacing w:val="-2"/>
          <w:szCs w:val="20"/>
          <w:lang w:val="en-GB" w:eastAsia="en-GB"/>
        </w:rPr>
      </w:r>
      <w:r w:rsidR="00780AE6" w:rsidRPr="00617020">
        <w:rPr>
          <w:spacing w:val="-2"/>
          <w:szCs w:val="20"/>
          <w:lang w:val="en-GB" w:eastAsia="en-GB"/>
        </w:rPr>
        <w:fldChar w:fldCharType="separate"/>
      </w:r>
      <w:r w:rsidR="00617020">
        <w:rPr>
          <w:spacing w:val="-2"/>
          <w:szCs w:val="20"/>
          <w:lang w:val="en-GB" w:eastAsia="en-GB"/>
        </w:rPr>
        <w:t>[2]</w:t>
      </w:r>
      <w:r w:rsidR="00780AE6" w:rsidRPr="00617020">
        <w:rPr>
          <w:spacing w:val="-2"/>
          <w:szCs w:val="20"/>
          <w:lang w:val="en-GB" w:eastAsia="en-GB"/>
        </w:rPr>
        <w:fldChar w:fldCharType="end"/>
      </w:r>
      <w:r w:rsidR="00780AE6" w:rsidRPr="00617020">
        <w:rPr>
          <w:spacing w:val="-2"/>
          <w:szCs w:val="20"/>
          <w:lang w:val="en-GB" w:eastAsia="en-GB"/>
        </w:rPr>
        <w:t xml:space="preserve"> </w:t>
      </w:r>
      <w:r w:rsidRPr="00617020">
        <w:rPr>
          <w:spacing w:val="-2"/>
          <w:szCs w:val="20"/>
          <w:lang w:val="en-GB" w:eastAsia="en-GB"/>
        </w:rPr>
        <w:t>contains least restrictive technical conditions in the context of WAPECS (Wireless Access Policy for Electronic Communications Services) for the frequency band 2500-2690 MHz amongst other bands;</w:t>
      </w:r>
    </w:p>
    <w:p w:rsidR="001D6328" w:rsidRPr="00617020" w:rsidRDefault="001D6328" w:rsidP="007C4348">
      <w:pPr>
        <w:pStyle w:val="LetteredList"/>
        <w:rPr>
          <w:spacing w:val="-2"/>
          <w:szCs w:val="20"/>
          <w:lang w:val="en-GB" w:eastAsia="en-GB"/>
        </w:rPr>
      </w:pPr>
      <w:r w:rsidRPr="00617020">
        <w:rPr>
          <w:spacing w:val="-2"/>
          <w:szCs w:val="20"/>
          <w:lang w:val="en-GB" w:eastAsia="en-GB"/>
        </w:rPr>
        <w:t xml:space="preserve">that co-ordination may be required on a national basis to protect the </w:t>
      </w:r>
      <w:proofErr w:type="spellStart"/>
      <w:r w:rsidRPr="00617020">
        <w:rPr>
          <w:spacing w:val="-2"/>
          <w:szCs w:val="20"/>
          <w:lang w:val="en-GB" w:eastAsia="en-GB"/>
        </w:rPr>
        <w:t>Radioastronomy</w:t>
      </w:r>
      <w:proofErr w:type="spellEnd"/>
      <w:r w:rsidRPr="00617020">
        <w:rPr>
          <w:spacing w:val="-2"/>
          <w:szCs w:val="20"/>
          <w:lang w:val="en-GB" w:eastAsia="en-GB"/>
        </w:rPr>
        <w:t xml:space="preserve"> Service (see RR 4.6, RR 5.30, RR 5.149, RR 5.340)</w:t>
      </w:r>
    </w:p>
    <w:p w:rsidR="001D6328" w:rsidRPr="00617020" w:rsidRDefault="001D6328" w:rsidP="007C4348">
      <w:pPr>
        <w:pStyle w:val="LetteredList"/>
        <w:rPr>
          <w:szCs w:val="20"/>
          <w:lang w:val="en-GB" w:eastAsia="en-GB"/>
        </w:rPr>
      </w:pPr>
      <w:r w:rsidRPr="00617020">
        <w:rPr>
          <w:szCs w:val="20"/>
          <w:lang w:val="en-GB" w:eastAsia="en-GB"/>
        </w:rPr>
        <w:t>that to facilitate global roaming it is important to have harmonised spectrum, licensing and circulation arrangements for the use of IMT terminals;</w:t>
      </w:r>
    </w:p>
    <w:p w:rsidR="001D6328" w:rsidRPr="00617020" w:rsidRDefault="001D6328" w:rsidP="007C4348">
      <w:pPr>
        <w:pStyle w:val="LetteredList"/>
        <w:rPr>
          <w:szCs w:val="20"/>
          <w:lang w:val="en-GB" w:eastAsia="en-GB"/>
        </w:rPr>
      </w:pPr>
      <w:r w:rsidRPr="00617020">
        <w:rPr>
          <w:szCs w:val="20"/>
          <w:lang w:val="en-GB" w:eastAsia="en-GB"/>
        </w:rPr>
        <w:t>that measures are necessary to ensure a harmonised and efficient use of the frequency band 2500</w:t>
      </w:r>
      <w:r w:rsidR="000F23DD" w:rsidRPr="00617020">
        <w:rPr>
          <w:szCs w:val="20"/>
          <w:lang w:val="en-GB" w:eastAsia="en-GB"/>
        </w:rPr>
        <w:t>-</w:t>
      </w:r>
      <w:r w:rsidRPr="00617020">
        <w:rPr>
          <w:szCs w:val="20"/>
          <w:lang w:val="en-GB" w:eastAsia="en-GB"/>
        </w:rPr>
        <w:t>2690 MHz for MFCN;</w:t>
      </w:r>
    </w:p>
    <w:p w:rsidR="001D6328" w:rsidRPr="00617020" w:rsidRDefault="001D6328" w:rsidP="007C4348">
      <w:pPr>
        <w:pStyle w:val="LetteredList"/>
        <w:rPr>
          <w:szCs w:val="20"/>
          <w:lang w:val="en-GB" w:eastAsia="en-GB"/>
        </w:rPr>
      </w:pPr>
      <w:r w:rsidRPr="00617020">
        <w:rPr>
          <w:spacing w:val="-2"/>
          <w:szCs w:val="20"/>
          <w:lang w:val="en-GB" w:eastAsia="en-GB"/>
        </w:rPr>
        <w:t>that flexibility should be afforded to administrations to determine, at a national level, the availability of the 2500</w:t>
      </w:r>
      <w:r w:rsidR="000F23DD" w:rsidRPr="00617020">
        <w:rPr>
          <w:spacing w:val="-2"/>
          <w:szCs w:val="20"/>
          <w:lang w:val="en-GB" w:eastAsia="en-GB"/>
        </w:rPr>
        <w:t>-</w:t>
      </w:r>
      <w:r w:rsidRPr="00617020">
        <w:rPr>
          <w:spacing w:val="-2"/>
          <w:szCs w:val="20"/>
          <w:lang w:val="en-GB" w:eastAsia="en-GB"/>
        </w:rPr>
        <w:t>2690 MHz band for MFCN in order to meet their specific deployment of existing systems (e.g. fixed service, MMDS, ENG-OB), based on market demand and other national considerations;</w:t>
      </w:r>
    </w:p>
    <w:p w:rsidR="005D0DC3" w:rsidRPr="00617020" w:rsidRDefault="005D0DC3" w:rsidP="007C4348">
      <w:pPr>
        <w:pStyle w:val="LetteredList"/>
        <w:rPr>
          <w:spacing w:val="-2"/>
          <w:szCs w:val="20"/>
          <w:lang w:val="en-GB" w:eastAsia="en-GB"/>
        </w:rPr>
      </w:pPr>
      <w:r w:rsidRPr="00617020">
        <w:rPr>
          <w:spacing w:val="-2"/>
          <w:szCs w:val="20"/>
          <w:lang w:val="en-GB" w:eastAsia="en-GB"/>
        </w:rPr>
        <w:t xml:space="preserve">that data traffic over </w:t>
      </w:r>
      <w:r w:rsidR="008E59F3" w:rsidRPr="00617020">
        <w:rPr>
          <w:spacing w:val="-2"/>
          <w:szCs w:val="20"/>
          <w:lang w:val="en-GB" w:eastAsia="en-GB"/>
        </w:rPr>
        <w:t xml:space="preserve">public </w:t>
      </w:r>
      <w:r w:rsidRPr="00617020">
        <w:rPr>
          <w:spacing w:val="-2"/>
          <w:szCs w:val="20"/>
          <w:lang w:val="en-GB" w:eastAsia="en-GB"/>
        </w:rPr>
        <w:t>mobile broadband networks is predicted to increase over the coming years with an evolution towards asymmetrical traffic due to mobile multimedia usage which may lead to an increasing demand for downlink capacity which could be addressed by MFCN Supplemental downlink (SDL);</w:t>
      </w:r>
    </w:p>
    <w:p w:rsidR="00A51575" w:rsidRPr="00617020" w:rsidRDefault="00A51575" w:rsidP="007C4348">
      <w:pPr>
        <w:pStyle w:val="LetteredList"/>
        <w:rPr>
          <w:szCs w:val="20"/>
          <w:lang w:val="en-GB" w:eastAsia="en-GB"/>
        </w:rPr>
      </w:pPr>
      <w:r w:rsidRPr="00617020">
        <w:rPr>
          <w:szCs w:val="20"/>
          <w:lang w:val="en-GB" w:eastAsia="en-GB"/>
        </w:rPr>
        <w:t>that the existing ECC Decision ECC/DEC/(02)06 is no longer required and suitable at CEPT level;</w:t>
      </w:r>
    </w:p>
    <w:p w:rsidR="005D0DC3" w:rsidRPr="00617020" w:rsidRDefault="005D0DC3" w:rsidP="007C4348">
      <w:pPr>
        <w:pStyle w:val="LetteredList"/>
        <w:rPr>
          <w:szCs w:val="20"/>
          <w:lang w:val="en-GB" w:eastAsia="en-GB"/>
        </w:rPr>
      </w:pPr>
      <w:r w:rsidRPr="00617020">
        <w:rPr>
          <w:szCs w:val="20"/>
          <w:lang w:val="en-GB" w:eastAsia="en-GB"/>
        </w:rPr>
        <w:t xml:space="preserve">that this ECC Decision, updating the original version of ECC/DEC/(05)05 which entered into force </w:t>
      </w:r>
      <w:r w:rsidRPr="00617020">
        <w:rPr>
          <w:szCs w:val="20"/>
          <w:lang w:val="en-GB"/>
        </w:rPr>
        <w:t xml:space="preserve">at 18 March 2005, caters for </w:t>
      </w:r>
      <w:r w:rsidRPr="00617020">
        <w:rPr>
          <w:szCs w:val="20"/>
          <w:lang w:val="en-GB" w:eastAsia="en-GB"/>
        </w:rPr>
        <w:t>the latest developments at a technical and regulatory level;</w:t>
      </w:r>
    </w:p>
    <w:p w:rsidR="005D0DC3" w:rsidRPr="00617020" w:rsidRDefault="005D0DC3" w:rsidP="007C4348">
      <w:pPr>
        <w:pStyle w:val="LetteredList"/>
        <w:rPr>
          <w:szCs w:val="20"/>
          <w:lang w:val="en-GB" w:eastAsia="en-GB"/>
        </w:rPr>
      </w:pPr>
      <w:r w:rsidRPr="00617020">
        <w:rPr>
          <w:szCs w:val="20"/>
          <w:lang w:val="en-GB" w:eastAsia="en-GB"/>
        </w:rPr>
        <w:t xml:space="preserve">that in case of TDD networks in the same geographical area, it is beneficial to synchronise them (avoiding simultaneous uplink and downlink transmissions) to improve the efficient usage of spectrum by </w:t>
      </w:r>
      <w:r w:rsidRPr="00617020">
        <w:rPr>
          <w:szCs w:val="20"/>
          <w:lang w:val="en-GB" w:eastAsia="en-GB"/>
        </w:rPr>
        <w:lastRenderedPageBreak/>
        <w:t>avoiding restricted blocks/</w:t>
      </w:r>
      <w:proofErr w:type="spellStart"/>
      <w:r w:rsidRPr="00617020">
        <w:rPr>
          <w:szCs w:val="20"/>
          <w:lang w:val="en-GB" w:eastAsia="en-GB"/>
        </w:rPr>
        <w:t>guardbands</w:t>
      </w:r>
      <w:proofErr w:type="spellEnd"/>
      <w:r w:rsidRPr="00617020">
        <w:rPr>
          <w:szCs w:val="20"/>
          <w:lang w:val="en-GB" w:eastAsia="en-GB"/>
        </w:rPr>
        <w:t xml:space="preserve"> between their networks and custom operator-specific filters on their </w:t>
      </w:r>
      <w:proofErr w:type="spellStart"/>
      <w:r w:rsidRPr="00617020">
        <w:rPr>
          <w:szCs w:val="20"/>
          <w:lang w:val="en-GB" w:eastAsia="en-GB"/>
        </w:rPr>
        <w:t>equipments</w:t>
      </w:r>
      <w:proofErr w:type="spellEnd"/>
      <w:r w:rsidRPr="00617020">
        <w:rPr>
          <w:szCs w:val="20"/>
          <w:lang w:val="en-GB" w:eastAsia="en-GB"/>
        </w:rPr>
        <w:t xml:space="preserve"> as described in ECC Report 216;</w:t>
      </w:r>
    </w:p>
    <w:p w:rsidR="00FE7F80" w:rsidRPr="00617020" w:rsidRDefault="0024195C" w:rsidP="007C4348">
      <w:pPr>
        <w:pStyle w:val="LetteredList"/>
        <w:rPr>
          <w:szCs w:val="20"/>
          <w:lang w:val="en-GB" w:eastAsia="en-GB"/>
        </w:rPr>
      </w:pPr>
      <w:r w:rsidRPr="00617020">
        <w:rPr>
          <w:szCs w:val="20"/>
          <w:lang w:val="en-GB" w:eastAsia="en-GB"/>
        </w:rPr>
        <w:t>that in case of TDD networks, in some situations, special measures from the administration may be needed to ensure whole-band inter-operator synchronization, such as defining a default time reference, default UL/DL ratio, and scope of those measures (e.g. small cells may be excluded from those constraints);</w:t>
      </w:r>
    </w:p>
    <w:p w:rsidR="00FE7F80" w:rsidRPr="00617020" w:rsidRDefault="00FE7F80" w:rsidP="00FE7F80">
      <w:pPr>
        <w:pStyle w:val="LetteredList"/>
        <w:rPr>
          <w:szCs w:val="20"/>
          <w:lang w:val="en-GB" w:eastAsia="en-GB"/>
        </w:rPr>
      </w:pPr>
      <w:r w:rsidRPr="00617020">
        <w:rPr>
          <w:lang w:val="en-GB"/>
        </w:rPr>
        <w:t>in the case of unsynchronized TDD networks and adjacent TDD and FDD UL blocks, the compliance of two adjacent operators with the BEM requirements may be achieved by introducing frequency separation (e.g. through the authorisation process at national level) between the block edges of both operators. Another option may be for CEPT administrations to introduce restricted spectrum block. Operators would then be required to limit the power used in the upper or lower part of their assigned spectrum, to limit the interference due to the selectivity of the adjacent operator’s receiver.</w:t>
      </w:r>
      <w:r w:rsidRPr="00617020">
        <w:rPr>
          <w:szCs w:val="20"/>
          <w:lang w:val="en-GB" w:eastAsia="en-GB"/>
        </w:rPr>
        <w:t xml:space="preserve"> </w:t>
      </w:r>
    </w:p>
    <w:p w:rsidR="0024195C" w:rsidRPr="00617020" w:rsidRDefault="0024195C" w:rsidP="007C4348">
      <w:pPr>
        <w:pStyle w:val="LetteredList"/>
        <w:rPr>
          <w:szCs w:val="20"/>
          <w:lang w:val="en-GB" w:eastAsia="en-GB"/>
        </w:rPr>
      </w:pPr>
      <w:r w:rsidRPr="00617020">
        <w:rPr>
          <w:szCs w:val="20"/>
          <w:lang w:val="en-GB" w:eastAsia="en-GB"/>
        </w:rPr>
        <w:t>that wider channel bandwidths such as 10, 20 and 40 MHz could be accommodated thereby enabling higher data rates;</w:t>
      </w:r>
    </w:p>
    <w:p w:rsidR="00C2707E" w:rsidRPr="00617020" w:rsidRDefault="00C2707E" w:rsidP="007C4348">
      <w:pPr>
        <w:pStyle w:val="LetteredList"/>
        <w:rPr>
          <w:szCs w:val="20"/>
          <w:lang w:val="en-GB" w:eastAsia="en-GB"/>
        </w:rPr>
      </w:pPr>
      <w:r w:rsidRPr="00617020">
        <w:rPr>
          <w:lang w:val="en-GB"/>
        </w:rPr>
        <w:t xml:space="preserve">mobile network operators could enter into bilateral or multilateral agreements to develop less stringent technical parameters </w:t>
      </w:r>
    </w:p>
    <w:p w:rsidR="00C2707E" w:rsidRPr="00617020" w:rsidRDefault="00C2707E" w:rsidP="007C4348">
      <w:pPr>
        <w:pStyle w:val="LetteredList"/>
        <w:rPr>
          <w:szCs w:val="20"/>
          <w:lang w:val="en-GB" w:eastAsia="en-GB"/>
        </w:rPr>
      </w:pPr>
      <w:r w:rsidRPr="00617020">
        <w:rPr>
          <w:lang w:val="en-GB"/>
        </w:rPr>
        <w:t xml:space="preserve">Base Station operating in this band may also make use of equivalent </w:t>
      </w:r>
      <w:proofErr w:type="spellStart"/>
      <w:r w:rsidRPr="00617020">
        <w:rPr>
          <w:lang w:val="en-GB"/>
        </w:rPr>
        <w:t>isotropically</w:t>
      </w:r>
      <w:proofErr w:type="spellEnd"/>
      <w:r w:rsidRPr="00617020">
        <w:rPr>
          <w:lang w:val="en-GB"/>
        </w:rPr>
        <w:t xml:space="preserve"> radiated power (e.i.r.p.) limits other than those set out </w:t>
      </w:r>
      <w:r w:rsidR="008E59F3" w:rsidRPr="00617020">
        <w:rPr>
          <w:lang w:val="en-GB"/>
        </w:rPr>
        <w:t>in Annex 2</w:t>
      </w:r>
      <w:r w:rsidRPr="00617020">
        <w:rPr>
          <w:lang w:val="en-GB"/>
        </w:rPr>
        <w:t xml:space="preserve"> provided that appropriate mitigation techniques are applied which comply with Directive 1999/5/EC and which offer at least an equivalent level of protection to that provided by these technical parameters. </w:t>
      </w:r>
    </w:p>
    <w:p w:rsidR="00FE7F80" w:rsidRPr="00617020" w:rsidRDefault="00FE7F80" w:rsidP="00FE7F80">
      <w:pPr>
        <w:pStyle w:val="LetteredList"/>
        <w:rPr>
          <w:szCs w:val="20"/>
          <w:lang w:val="en-GB" w:eastAsia="en-GB"/>
        </w:rPr>
      </w:pPr>
      <w:proofErr w:type="gramStart"/>
      <w:r w:rsidRPr="00617020">
        <w:rPr>
          <w:szCs w:val="20"/>
          <w:lang w:val="en-GB" w:eastAsia="en-GB"/>
        </w:rPr>
        <w:t>that</w:t>
      </w:r>
      <w:proofErr w:type="gramEnd"/>
      <w:r w:rsidRPr="00617020">
        <w:rPr>
          <w:szCs w:val="20"/>
          <w:lang w:val="en-GB" w:eastAsia="en-GB"/>
        </w:rPr>
        <w:t xml:space="preserve"> in EU/EFTA countries the radio equipment that is under the scope of this Decision shall comply with the R&amp;TTE Directive (1999/5/EC ). Conformity with the essential requirements of the R&amp;TTE Directive may be demonstrated by compliance with the applicable harmonised European standard(s) or by using the other conformity assessment procedures set out in the R&amp;TTE Directive;</w:t>
      </w:r>
    </w:p>
    <w:p w:rsidR="00FE7F80" w:rsidRPr="00617020" w:rsidRDefault="00FE7F80" w:rsidP="007C4348">
      <w:pPr>
        <w:pStyle w:val="LetteredList"/>
        <w:numPr>
          <w:ilvl w:val="0"/>
          <w:numId w:val="0"/>
        </w:numPr>
        <w:ind w:left="397"/>
        <w:rPr>
          <w:szCs w:val="20"/>
          <w:highlight w:val="cyan"/>
          <w:lang w:val="en-GB" w:eastAsia="en-GB"/>
        </w:rPr>
      </w:pPr>
    </w:p>
    <w:p w:rsidR="001D6328" w:rsidRPr="00617020" w:rsidRDefault="001D6328" w:rsidP="00C2707E">
      <w:pPr>
        <w:spacing w:before="120"/>
        <w:ind w:left="1068"/>
        <w:rPr>
          <w:i/>
          <w:color w:val="D2232A"/>
          <w:lang w:val="en-GB"/>
        </w:rPr>
      </w:pPr>
    </w:p>
    <w:p w:rsidR="006C03D0" w:rsidRPr="00617020" w:rsidRDefault="005F7AD5" w:rsidP="006C03D0">
      <w:pPr>
        <w:pStyle w:val="ECCParagraph"/>
        <w:rPr>
          <w:color w:val="D2232A"/>
        </w:rPr>
      </w:pPr>
      <w:r w:rsidRPr="00617020">
        <w:rPr>
          <w:i/>
          <w:color w:val="D2232A"/>
        </w:rPr>
        <w:t>DECIDES</w:t>
      </w:r>
      <w:r w:rsidRPr="00617020">
        <w:rPr>
          <w:color w:val="D2232A"/>
        </w:rPr>
        <w:t xml:space="preserve"> </w:t>
      </w:r>
    </w:p>
    <w:p w:rsidR="001D6328" w:rsidRPr="00617020" w:rsidRDefault="001D6328" w:rsidP="001D6328">
      <w:pPr>
        <w:pStyle w:val="NumberedList"/>
        <w:spacing w:after="120"/>
      </w:pPr>
      <w:r w:rsidRPr="00617020">
        <w:t>that CEPT administrations shall designate the frequency band 2500</w:t>
      </w:r>
      <w:r w:rsidR="000F23DD" w:rsidRPr="00617020">
        <w:t>-</w:t>
      </w:r>
      <w:r w:rsidRPr="00617020">
        <w:t>2690 MHz to mobile/fixed communications networks (MFCN);</w:t>
      </w:r>
    </w:p>
    <w:p w:rsidR="006C03D0" w:rsidRPr="00617020" w:rsidRDefault="001D6328" w:rsidP="001D6328">
      <w:pPr>
        <w:pStyle w:val="NumberedList"/>
        <w:spacing w:after="120"/>
      </w:pPr>
      <w:r w:rsidRPr="00617020">
        <w:t>that administrations shall make provisions to allow for the harmonised utilisation of spectrum in the frequency band 2500</w:t>
      </w:r>
      <w:r w:rsidR="000F23DD" w:rsidRPr="00617020">
        <w:t>-</w:t>
      </w:r>
      <w:r w:rsidRPr="00617020">
        <w:t xml:space="preserve">2690 MHz for MFCN, as identified in </w:t>
      </w:r>
      <w:r w:rsidR="001D3081" w:rsidRPr="00617020">
        <w:rPr>
          <w:b/>
        </w:rPr>
        <w:fldChar w:fldCharType="begin"/>
      </w:r>
      <w:r w:rsidR="001D3081" w:rsidRPr="00617020">
        <w:instrText xml:space="preserve"> REF _Ref413654868 \n \h </w:instrText>
      </w:r>
      <w:r w:rsidR="001D3081" w:rsidRPr="00617020">
        <w:rPr>
          <w:b/>
        </w:rPr>
      </w:r>
      <w:r w:rsidR="001D3081" w:rsidRPr="00617020">
        <w:rPr>
          <w:b/>
        </w:rPr>
        <w:fldChar w:fldCharType="separate"/>
      </w:r>
      <w:r w:rsidR="00617020">
        <w:t>ANNEX 1:</w:t>
      </w:r>
      <w:r w:rsidR="001D3081" w:rsidRPr="00617020">
        <w:rPr>
          <w:b/>
        </w:rPr>
        <w:fldChar w:fldCharType="end"/>
      </w:r>
      <w:r w:rsidR="00EF63C2" w:rsidRPr="00617020">
        <w:t xml:space="preserve"> </w:t>
      </w:r>
      <w:r w:rsidRPr="00617020">
        <w:t>to this Decision</w:t>
      </w:r>
      <w:r w:rsidR="000F3919" w:rsidRPr="00617020">
        <w:t>;</w:t>
      </w:r>
    </w:p>
    <w:p w:rsidR="003E1C71" w:rsidRPr="00617020" w:rsidRDefault="003E1C71" w:rsidP="003E1C71">
      <w:pPr>
        <w:pStyle w:val="NumberedList"/>
      </w:pPr>
      <w:r w:rsidRPr="00617020">
        <w:t xml:space="preserve">that the LRTC to be applied to the MFCN frequency arrangement are specified in Annex </w:t>
      </w:r>
      <w:r w:rsidR="0024195C" w:rsidRPr="00617020">
        <w:t>2</w:t>
      </w:r>
      <w:r w:rsidRPr="00617020">
        <w:t>;</w:t>
      </w:r>
    </w:p>
    <w:p w:rsidR="007E23E4" w:rsidRPr="00617020" w:rsidRDefault="001D6328" w:rsidP="001D6328">
      <w:pPr>
        <w:pStyle w:val="NumberedList"/>
        <w:spacing w:after="120"/>
      </w:pPr>
      <w:r w:rsidRPr="00617020">
        <w:t>that the frequency band in decides 1 is available for MFCN systems, subject to market demand and national licensing schemes</w:t>
      </w:r>
      <w:r w:rsidR="007E23E4" w:rsidRPr="00617020">
        <w:t>;</w:t>
      </w:r>
    </w:p>
    <w:p w:rsidR="00A51575" w:rsidRPr="00617020" w:rsidRDefault="00A51575" w:rsidP="00A51575">
      <w:pPr>
        <w:pStyle w:val="NumberedList"/>
        <w:rPr>
          <w:szCs w:val="20"/>
        </w:rPr>
      </w:pPr>
      <w:r w:rsidRPr="00617020">
        <w:rPr>
          <w:szCs w:val="20"/>
        </w:rPr>
        <w:t>to withdraw the ECC Decision ECC/DEC/(02)06 of 15 November 2002 related to the designation of frequency band 2500 - 2690 MHz for UMTS/IMT-2000</w:t>
      </w:r>
    </w:p>
    <w:p w:rsidR="000F3919" w:rsidRPr="00617020" w:rsidRDefault="001D6328" w:rsidP="000F3919">
      <w:pPr>
        <w:pStyle w:val="NumberedList"/>
        <w:rPr>
          <w:szCs w:val="20"/>
        </w:rPr>
      </w:pPr>
      <w:r w:rsidRPr="00617020">
        <w:rPr>
          <w:szCs w:val="20"/>
        </w:rPr>
        <w:t>that this Decision shall enter into force at</w:t>
      </w:r>
      <w:r w:rsidR="002866A5" w:rsidRPr="00617020">
        <w:rPr>
          <w:szCs w:val="20"/>
        </w:rPr>
        <w:t xml:space="preserve"> 3 July</w:t>
      </w:r>
      <w:r w:rsidR="0024195C" w:rsidRPr="00617020">
        <w:rPr>
          <w:szCs w:val="20"/>
        </w:rPr>
        <w:t xml:space="preserve"> 2015</w:t>
      </w:r>
      <w:r w:rsidR="00C665E0" w:rsidRPr="00617020">
        <w:rPr>
          <w:szCs w:val="20"/>
        </w:rPr>
        <w:t>;</w:t>
      </w:r>
    </w:p>
    <w:p w:rsidR="00276213" w:rsidRPr="00617020" w:rsidRDefault="00276213" w:rsidP="000F3919">
      <w:pPr>
        <w:pStyle w:val="NumberedList"/>
        <w:rPr>
          <w:szCs w:val="20"/>
        </w:rPr>
      </w:pPr>
      <w:proofErr w:type="gramStart"/>
      <w:r w:rsidRPr="00617020">
        <w:t>that</w:t>
      </w:r>
      <w:proofErr w:type="gramEnd"/>
      <w:r w:rsidRPr="00617020">
        <w:t xml:space="preserve"> CEPT </w:t>
      </w:r>
      <w:r w:rsidRPr="00617020">
        <w:rPr>
          <w:b/>
        </w:rPr>
        <w:t>administrations shall</w:t>
      </w:r>
      <w:r w:rsidRPr="00617020">
        <w:t xml:space="preserve"> communicate the national measures implementing this Decision to the ECC Chairman and the Office when the Decision is nationally implemented.”</w:t>
      </w:r>
    </w:p>
    <w:p w:rsidR="00617020" w:rsidRDefault="00617020" w:rsidP="00D90B0A">
      <w:pPr>
        <w:pStyle w:val="ECCParagraph"/>
        <w:keepNext/>
        <w:rPr>
          <w:i/>
          <w:color w:val="D2232A"/>
        </w:rPr>
      </w:pPr>
    </w:p>
    <w:p w:rsidR="001C46EA" w:rsidRPr="00617020" w:rsidRDefault="001C46EA" w:rsidP="00D90B0A">
      <w:pPr>
        <w:pStyle w:val="ECCParagraph"/>
        <w:keepNext/>
        <w:rPr>
          <w:i/>
          <w:color w:val="D2232A"/>
        </w:rPr>
      </w:pPr>
      <w:r w:rsidRPr="00617020">
        <w:rPr>
          <w:i/>
          <w:color w:val="D2232A"/>
        </w:rPr>
        <w:t xml:space="preserve">Note: </w:t>
      </w:r>
    </w:p>
    <w:p w:rsidR="001C46EA" w:rsidRPr="00617020" w:rsidRDefault="001C46EA" w:rsidP="00D90B0A">
      <w:pPr>
        <w:pStyle w:val="ECCParagraph"/>
        <w:keepNext/>
      </w:pPr>
      <w:r w:rsidRPr="00617020">
        <w:rPr>
          <w:i/>
          <w:szCs w:val="20"/>
        </w:rPr>
        <w:t xml:space="preserve">Please check the Office documentation database http://www.ecodocdb.dk for the up to date position on the implementation of this and other </w:t>
      </w:r>
      <w:smartTag w:uri="urn:schemas-microsoft-com:office:smarttags" w:element="stockticker">
        <w:r w:rsidRPr="00617020">
          <w:rPr>
            <w:i/>
            <w:szCs w:val="20"/>
          </w:rPr>
          <w:t>ECC</w:t>
        </w:r>
      </w:smartTag>
      <w:r w:rsidRPr="00617020">
        <w:rPr>
          <w:i/>
          <w:szCs w:val="20"/>
        </w:rPr>
        <w:t xml:space="preserve"> Decisions.</w:t>
      </w:r>
    </w:p>
    <w:p w:rsidR="006C03D0" w:rsidRPr="00617020" w:rsidRDefault="00B20F6F" w:rsidP="006C03D0">
      <w:pPr>
        <w:pStyle w:val="ECCAnnex-heading1"/>
        <w:rPr>
          <w:sz w:val="16"/>
        </w:rPr>
      </w:pPr>
      <w:bookmarkStart w:id="3" w:name="_Ref413654868"/>
      <w:r w:rsidRPr="00617020">
        <w:lastRenderedPageBreak/>
        <w:t>HARMONISED SPECTRUM SCHEME FOR MFCN IN THE BAND 2500-2690 MH</w:t>
      </w:r>
      <w:r w:rsidRPr="00617020">
        <w:rPr>
          <w:sz w:val="16"/>
        </w:rPr>
        <w:t>z</w:t>
      </w:r>
      <w:bookmarkEnd w:id="3"/>
    </w:p>
    <w:p w:rsidR="00B20F6F" w:rsidRPr="00617020" w:rsidRDefault="00B20F6F" w:rsidP="00B20F6F">
      <w:pPr>
        <w:pStyle w:val="ECCNumbered-LetteredList"/>
        <w:rPr>
          <w:lang w:val="en-GB"/>
        </w:rPr>
      </w:pPr>
      <w:r w:rsidRPr="00617020">
        <w:rPr>
          <w:lang w:val="en-GB"/>
        </w:rPr>
        <w:t xml:space="preserve">The frequency band 2500-2570 MHz is paired with 2620-2690 MHz for FDD operation with the mobile transmit within the lower band and base </w:t>
      </w:r>
      <w:r w:rsidR="005869E6" w:rsidRPr="00617020">
        <w:rPr>
          <w:lang w:val="en-GB"/>
        </w:rPr>
        <w:t xml:space="preserve">station </w:t>
      </w:r>
      <w:r w:rsidRPr="00617020">
        <w:rPr>
          <w:lang w:val="en-GB"/>
        </w:rPr>
        <w:t>transmit within the upper band;</w:t>
      </w:r>
    </w:p>
    <w:p w:rsidR="00B20F6F" w:rsidRPr="00617020" w:rsidRDefault="00B20F6F" w:rsidP="00B20F6F">
      <w:pPr>
        <w:pStyle w:val="ECCNumbered-LetteredList"/>
        <w:rPr>
          <w:lang w:val="en-GB"/>
        </w:rPr>
      </w:pPr>
      <w:r w:rsidRPr="00617020">
        <w:rPr>
          <w:lang w:val="en-GB"/>
        </w:rPr>
        <w:t xml:space="preserve">Administrations may assign the frequency band 2570-2620 MHz either for TDD or for </w:t>
      </w:r>
      <w:r w:rsidR="0024195C" w:rsidRPr="00617020">
        <w:rPr>
          <w:lang w:val="en-GB"/>
        </w:rPr>
        <w:t>Supplemental Downlink</w:t>
      </w:r>
      <w:r w:rsidRPr="00617020">
        <w:rPr>
          <w:lang w:val="en-GB"/>
        </w:rPr>
        <w:t>. Any guard bands required to ensure adjacent band compatibility at 2570 MHz and 2620 MHz boundaries will be decided on a national basis and taken within the band 2570-2620 MHz;</w:t>
      </w:r>
    </w:p>
    <w:p w:rsidR="00B20F6F" w:rsidRPr="00617020" w:rsidRDefault="00B20F6F" w:rsidP="00B20F6F">
      <w:pPr>
        <w:pStyle w:val="ECCNumbered-LetteredList"/>
        <w:rPr>
          <w:lang w:val="en-GB"/>
        </w:rPr>
      </w:pPr>
      <w:r w:rsidRPr="00617020">
        <w:rPr>
          <w:lang w:val="en-GB"/>
        </w:rPr>
        <w:t>Assigned blocks shall be in multiple of 5.0 MHz;</w:t>
      </w:r>
    </w:p>
    <w:p w:rsidR="00B20F6F" w:rsidRPr="00617020" w:rsidRDefault="00B20F6F" w:rsidP="00B20F6F">
      <w:pPr>
        <w:pStyle w:val="ECCNumbered-LetteredList"/>
        <w:rPr>
          <w:lang w:val="en-GB"/>
        </w:rPr>
      </w:pPr>
      <w:r w:rsidRPr="00617020">
        <w:rPr>
          <w:lang w:val="en-GB"/>
        </w:rPr>
        <w:t>The</w:t>
      </w:r>
      <w:r w:rsidR="0024195C" w:rsidRPr="00617020">
        <w:rPr>
          <w:lang w:val="en-GB"/>
        </w:rPr>
        <w:t xml:space="preserve"> MFCN channelling arrangements blocks in the band 2500-2690 MHz are depicted in Figure 1.</w:t>
      </w:r>
    </w:p>
    <w:p w:rsidR="00B20F6F" w:rsidRPr="00617020" w:rsidRDefault="00B20F6F" w:rsidP="00B20F6F">
      <w:pPr>
        <w:pStyle w:val="ECCNumbered-LetteredList"/>
        <w:numPr>
          <w:ilvl w:val="0"/>
          <w:numId w:val="0"/>
        </w:numPr>
        <w:ind w:left="340" w:hanging="340"/>
        <w:rPr>
          <w:lang w:val="en-GB"/>
        </w:rPr>
      </w:pPr>
    </w:p>
    <w:p w:rsidR="00BD4D75" w:rsidRPr="00617020" w:rsidRDefault="00BD4D75">
      <w:pPr>
        <w:rPr>
          <w:lang w:val="en-GB"/>
        </w:rPr>
        <w:sectPr w:rsidR="00BD4D75" w:rsidRPr="00617020" w:rsidSect="00DB5234">
          <w:headerReference w:type="even" r:id="rId9"/>
          <w:headerReference w:type="default" r:id="rId10"/>
          <w:headerReference w:type="first" r:id="rId11"/>
          <w:pgSz w:w="11907" w:h="16840" w:code="9"/>
          <w:pgMar w:top="1440" w:right="1134" w:bottom="1440" w:left="1134" w:header="284" w:footer="709" w:gutter="0"/>
          <w:cols w:space="708"/>
          <w:titlePg/>
          <w:docGrid w:linePitch="360"/>
        </w:sectPr>
      </w:pPr>
    </w:p>
    <w:p w:rsidR="006C03D0" w:rsidRPr="00617020" w:rsidRDefault="006C03D0" w:rsidP="003E1632">
      <w:pPr>
        <w:rPr>
          <w:lang w:val="en-GB"/>
        </w:rPr>
      </w:pPr>
    </w:p>
    <w:tbl>
      <w:tblPr>
        <w:tblpPr w:leftFromText="141" w:rightFromText="141" w:vertAnchor="text" w:horzAnchor="margin" w:tblpX="-150" w:tblpY="74"/>
        <w:tblW w:w="15679" w:type="dxa"/>
        <w:tblLayout w:type="fixed"/>
        <w:tblCellMar>
          <w:left w:w="70" w:type="dxa"/>
          <w:right w:w="70" w:type="dxa"/>
        </w:tblCellMar>
        <w:tblLook w:val="0000" w:firstRow="0" w:lastRow="0" w:firstColumn="0" w:lastColumn="0" w:noHBand="0" w:noVBand="0"/>
      </w:tblPr>
      <w:tblGrid>
        <w:gridCol w:w="333"/>
        <w:gridCol w:w="404"/>
        <w:gridCol w:w="404"/>
        <w:gridCol w:w="404"/>
        <w:gridCol w:w="404"/>
        <w:gridCol w:w="404"/>
        <w:gridCol w:w="404"/>
        <w:gridCol w:w="404"/>
        <w:gridCol w:w="404"/>
        <w:gridCol w:w="404"/>
        <w:gridCol w:w="404"/>
        <w:gridCol w:w="404"/>
        <w:gridCol w:w="404"/>
        <w:gridCol w:w="399"/>
        <w:gridCol w:w="404"/>
        <w:gridCol w:w="404"/>
        <w:gridCol w:w="404"/>
        <w:gridCol w:w="404"/>
        <w:gridCol w:w="404"/>
        <w:gridCol w:w="403"/>
        <w:gridCol w:w="404"/>
        <w:gridCol w:w="404"/>
        <w:gridCol w:w="404"/>
        <w:gridCol w:w="395"/>
        <w:gridCol w:w="413"/>
        <w:gridCol w:w="404"/>
        <w:gridCol w:w="404"/>
        <w:gridCol w:w="404"/>
        <w:gridCol w:w="404"/>
        <w:gridCol w:w="404"/>
        <w:gridCol w:w="404"/>
        <w:gridCol w:w="404"/>
        <w:gridCol w:w="404"/>
        <w:gridCol w:w="404"/>
        <w:gridCol w:w="404"/>
        <w:gridCol w:w="404"/>
        <w:gridCol w:w="404"/>
        <w:gridCol w:w="404"/>
        <w:gridCol w:w="404"/>
      </w:tblGrid>
      <w:tr w:rsidR="003E1632" w:rsidRPr="00617020" w:rsidTr="00EE4B34">
        <w:trPr>
          <w:trHeight w:val="1069"/>
        </w:trPr>
        <w:tc>
          <w:tcPr>
            <w:tcW w:w="333" w:type="dxa"/>
            <w:textDirection w:val="btLr"/>
          </w:tcPr>
          <w:p w:rsidR="003E1632" w:rsidRPr="00617020" w:rsidRDefault="003E1632" w:rsidP="00EE4B34">
            <w:pPr>
              <w:ind w:left="113" w:right="113"/>
              <w:rPr>
                <w:sz w:val="16"/>
                <w:lang w:val="en-GB"/>
              </w:rPr>
            </w:pPr>
            <w:r w:rsidRPr="00617020">
              <w:rPr>
                <w:sz w:val="16"/>
                <w:lang w:val="en-GB"/>
              </w:rPr>
              <w:t>2500 MHz</w:t>
            </w:r>
          </w:p>
        </w:tc>
        <w:tc>
          <w:tcPr>
            <w:tcW w:w="404" w:type="dxa"/>
            <w:textDirection w:val="btLr"/>
          </w:tcPr>
          <w:p w:rsidR="003E1632" w:rsidRPr="00617020" w:rsidRDefault="003E1632" w:rsidP="00EE4B34">
            <w:pPr>
              <w:ind w:left="113" w:right="113"/>
              <w:rPr>
                <w:sz w:val="6"/>
                <w:lang w:val="en-GB"/>
              </w:rPr>
            </w:pPr>
          </w:p>
          <w:p w:rsidR="003E1632" w:rsidRPr="00617020" w:rsidRDefault="003E1632" w:rsidP="00EE4B34">
            <w:pPr>
              <w:ind w:left="113" w:right="113"/>
              <w:rPr>
                <w:sz w:val="16"/>
                <w:lang w:val="en-GB"/>
              </w:rPr>
            </w:pPr>
            <w:r w:rsidRPr="00617020">
              <w:rPr>
                <w:sz w:val="16"/>
                <w:lang w:val="en-GB"/>
              </w:rPr>
              <w:t>2505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2510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2515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2520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2525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2530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2535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2540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2545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2550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2555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2560 MHz</w:t>
            </w:r>
          </w:p>
        </w:tc>
        <w:tc>
          <w:tcPr>
            <w:tcW w:w="399"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2565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2570 MHz</w:t>
            </w:r>
          </w:p>
        </w:tc>
        <w:tc>
          <w:tcPr>
            <w:tcW w:w="404" w:type="dxa"/>
            <w:textDirection w:val="btLr"/>
          </w:tcPr>
          <w:p w:rsidR="003E1632" w:rsidRPr="00617020" w:rsidRDefault="003E1632" w:rsidP="00EE4B34">
            <w:pPr>
              <w:ind w:left="113" w:right="113"/>
              <w:rPr>
                <w:sz w:val="16"/>
                <w:lang w:val="en-GB"/>
              </w:rPr>
            </w:pPr>
            <w:r w:rsidRPr="00617020">
              <w:rPr>
                <w:sz w:val="16"/>
                <w:lang w:val="en-GB"/>
              </w:rPr>
              <w:t>2575 MHz</w:t>
            </w:r>
          </w:p>
        </w:tc>
        <w:tc>
          <w:tcPr>
            <w:tcW w:w="404" w:type="dxa"/>
            <w:textDirection w:val="btLr"/>
          </w:tcPr>
          <w:p w:rsidR="003E1632" w:rsidRPr="00617020" w:rsidRDefault="003E1632" w:rsidP="00EE4B34">
            <w:pPr>
              <w:ind w:left="113" w:right="113"/>
              <w:rPr>
                <w:sz w:val="16"/>
                <w:lang w:val="en-GB"/>
              </w:rPr>
            </w:pPr>
            <w:r w:rsidRPr="00617020">
              <w:rPr>
                <w:sz w:val="16"/>
                <w:lang w:val="en-GB"/>
              </w:rPr>
              <w:t>2580 MHz</w:t>
            </w:r>
          </w:p>
        </w:tc>
        <w:tc>
          <w:tcPr>
            <w:tcW w:w="404" w:type="dxa"/>
            <w:textDirection w:val="btLr"/>
          </w:tcPr>
          <w:p w:rsidR="003E1632" w:rsidRPr="00617020" w:rsidRDefault="003E1632" w:rsidP="00EE4B34">
            <w:pPr>
              <w:ind w:left="113" w:right="113"/>
              <w:rPr>
                <w:sz w:val="16"/>
                <w:lang w:val="en-GB"/>
              </w:rPr>
            </w:pPr>
            <w:r w:rsidRPr="00617020">
              <w:rPr>
                <w:sz w:val="16"/>
                <w:lang w:val="en-GB"/>
              </w:rPr>
              <w:t>2585 MHz</w:t>
            </w:r>
          </w:p>
        </w:tc>
        <w:tc>
          <w:tcPr>
            <w:tcW w:w="404" w:type="dxa"/>
            <w:textDirection w:val="btLr"/>
          </w:tcPr>
          <w:p w:rsidR="003E1632" w:rsidRPr="00617020" w:rsidRDefault="003E1632" w:rsidP="00EE4B34">
            <w:pPr>
              <w:ind w:left="113" w:right="113"/>
              <w:rPr>
                <w:sz w:val="16"/>
                <w:lang w:val="en-GB"/>
              </w:rPr>
            </w:pPr>
            <w:r w:rsidRPr="00617020">
              <w:rPr>
                <w:sz w:val="16"/>
                <w:lang w:val="en-GB"/>
              </w:rPr>
              <w:t>2590 MHz</w:t>
            </w:r>
          </w:p>
        </w:tc>
        <w:tc>
          <w:tcPr>
            <w:tcW w:w="403" w:type="dxa"/>
            <w:textDirection w:val="btLr"/>
          </w:tcPr>
          <w:p w:rsidR="003E1632" w:rsidRPr="00617020" w:rsidRDefault="003E1632" w:rsidP="00EE4B34">
            <w:pPr>
              <w:ind w:left="113" w:right="113"/>
              <w:rPr>
                <w:sz w:val="16"/>
                <w:lang w:val="en-GB"/>
              </w:rPr>
            </w:pPr>
            <w:r w:rsidRPr="00617020">
              <w:rPr>
                <w:sz w:val="16"/>
                <w:lang w:val="en-GB"/>
              </w:rPr>
              <w:t>2595 MHz</w:t>
            </w:r>
          </w:p>
        </w:tc>
        <w:tc>
          <w:tcPr>
            <w:tcW w:w="404" w:type="dxa"/>
            <w:textDirection w:val="btLr"/>
          </w:tcPr>
          <w:p w:rsidR="003E1632" w:rsidRPr="00617020" w:rsidRDefault="003E1632" w:rsidP="00EE4B34">
            <w:pPr>
              <w:ind w:left="113" w:right="113"/>
              <w:rPr>
                <w:sz w:val="16"/>
                <w:lang w:val="en-GB"/>
              </w:rPr>
            </w:pPr>
            <w:r w:rsidRPr="00617020">
              <w:rPr>
                <w:sz w:val="16"/>
                <w:lang w:val="en-GB"/>
              </w:rPr>
              <w:t>2600 MHz</w:t>
            </w:r>
          </w:p>
        </w:tc>
        <w:tc>
          <w:tcPr>
            <w:tcW w:w="404" w:type="dxa"/>
            <w:textDirection w:val="btLr"/>
          </w:tcPr>
          <w:p w:rsidR="003E1632" w:rsidRPr="00617020" w:rsidRDefault="003E1632" w:rsidP="00EE4B34">
            <w:pPr>
              <w:ind w:left="113" w:right="113"/>
              <w:rPr>
                <w:sz w:val="16"/>
                <w:lang w:val="en-GB"/>
              </w:rPr>
            </w:pPr>
            <w:r w:rsidRPr="00617020">
              <w:rPr>
                <w:sz w:val="16"/>
                <w:lang w:val="en-GB"/>
              </w:rPr>
              <w:t>2605 MHz</w:t>
            </w:r>
          </w:p>
        </w:tc>
        <w:tc>
          <w:tcPr>
            <w:tcW w:w="404" w:type="dxa"/>
            <w:textDirection w:val="btLr"/>
          </w:tcPr>
          <w:p w:rsidR="003E1632" w:rsidRPr="00617020" w:rsidRDefault="003E1632" w:rsidP="00EE4B34">
            <w:pPr>
              <w:ind w:left="113" w:right="113"/>
              <w:rPr>
                <w:sz w:val="16"/>
                <w:lang w:val="en-GB"/>
              </w:rPr>
            </w:pPr>
            <w:r w:rsidRPr="00617020">
              <w:rPr>
                <w:sz w:val="16"/>
                <w:lang w:val="en-GB"/>
              </w:rPr>
              <w:t>2610 MHz</w:t>
            </w:r>
          </w:p>
        </w:tc>
        <w:tc>
          <w:tcPr>
            <w:tcW w:w="395" w:type="dxa"/>
            <w:textDirection w:val="btLr"/>
          </w:tcPr>
          <w:p w:rsidR="003E1632" w:rsidRPr="00617020" w:rsidRDefault="003E1632" w:rsidP="00EE4B34">
            <w:pPr>
              <w:ind w:left="113" w:right="113"/>
              <w:rPr>
                <w:sz w:val="16"/>
                <w:lang w:val="en-GB"/>
              </w:rPr>
            </w:pPr>
            <w:r w:rsidRPr="00617020">
              <w:rPr>
                <w:sz w:val="16"/>
                <w:lang w:val="en-GB"/>
              </w:rPr>
              <w:t>2615 MHz</w:t>
            </w:r>
          </w:p>
        </w:tc>
        <w:tc>
          <w:tcPr>
            <w:tcW w:w="413" w:type="dxa"/>
            <w:textDirection w:val="btLr"/>
          </w:tcPr>
          <w:p w:rsidR="003E1632" w:rsidRPr="00617020" w:rsidRDefault="003E1632" w:rsidP="00EE4B34">
            <w:pPr>
              <w:ind w:left="113" w:right="113"/>
              <w:rPr>
                <w:sz w:val="16"/>
                <w:lang w:val="en-GB"/>
              </w:rPr>
            </w:pPr>
            <w:r w:rsidRPr="00617020">
              <w:rPr>
                <w:sz w:val="16"/>
                <w:lang w:val="en-GB"/>
              </w:rPr>
              <w:t>2620 MHz</w:t>
            </w:r>
          </w:p>
        </w:tc>
        <w:tc>
          <w:tcPr>
            <w:tcW w:w="404" w:type="dxa"/>
            <w:textDirection w:val="btLr"/>
          </w:tcPr>
          <w:p w:rsidR="003E1632" w:rsidRPr="00617020" w:rsidRDefault="003E1632" w:rsidP="00EE4B34">
            <w:pPr>
              <w:ind w:left="113" w:right="113"/>
              <w:rPr>
                <w:sz w:val="2"/>
                <w:lang w:val="en-GB"/>
              </w:rPr>
            </w:pPr>
          </w:p>
          <w:p w:rsidR="003E1632" w:rsidRPr="00617020" w:rsidRDefault="003E1632" w:rsidP="00EE4B34">
            <w:pPr>
              <w:ind w:left="113" w:right="113"/>
              <w:rPr>
                <w:sz w:val="16"/>
                <w:lang w:val="en-GB"/>
              </w:rPr>
            </w:pPr>
            <w:r w:rsidRPr="00617020">
              <w:rPr>
                <w:sz w:val="16"/>
                <w:lang w:val="en-GB"/>
              </w:rPr>
              <w:t>2625 MHz</w:t>
            </w:r>
          </w:p>
        </w:tc>
        <w:tc>
          <w:tcPr>
            <w:tcW w:w="404" w:type="dxa"/>
            <w:textDirection w:val="btLr"/>
          </w:tcPr>
          <w:p w:rsidR="003E1632" w:rsidRPr="00617020" w:rsidRDefault="003E1632" w:rsidP="00EE4B34">
            <w:pPr>
              <w:ind w:left="113" w:right="113"/>
              <w:rPr>
                <w:sz w:val="2"/>
                <w:lang w:val="en-GB"/>
              </w:rPr>
            </w:pPr>
          </w:p>
          <w:p w:rsidR="003E1632" w:rsidRPr="00617020" w:rsidRDefault="003E1632" w:rsidP="00EE4B34">
            <w:pPr>
              <w:ind w:left="113" w:right="113"/>
              <w:rPr>
                <w:sz w:val="16"/>
                <w:lang w:val="en-GB"/>
              </w:rPr>
            </w:pPr>
            <w:r w:rsidRPr="00617020">
              <w:rPr>
                <w:sz w:val="16"/>
                <w:lang w:val="en-GB"/>
              </w:rPr>
              <w:t>2630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2635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2640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2645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2650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2655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2660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2665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2670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2675 MHz</w:t>
            </w:r>
          </w:p>
        </w:tc>
        <w:tc>
          <w:tcPr>
            <w:tcW w:w="404" w:type="dxa"/>
            <w:textDirection w:val="btLr"/>
          </w:tcPr>
          <w:p w:rsidR="003E1632" w:rsidRPr="00617020" w:rsidRDefault="003E1632" w:rsidP="00EE4B34">
            <w:pPr>
              <w:ind w:left="113" w:right="113"/>
              <w:rPr>
                <w:sz w:val="6"/>
                <w:lang w:val="en-GB"/>
              </w:rPr>
            </w:pPr>
          </w:p>
          <w:p w:rsidR="003E1632" w:rsidRPr="00617020" w:rsidRDefault="003E1632" w:rsidP="00EE4B34">
            <w:pPr>
              <w:ind w:left="113" w:right="113"/>
              <w:rPr>
                <w:sz w:val="16"/>
                <w:lang w:val="en-GB"/>
              </w:rPr>
            </w:pPr>
            <w:r w:rsidRPr="00617020">
              <w:rPr>
                <w:sz w:val="16"/>
                <w:lang w:val="en-GB"/>
              </w:rPr>
              <w:t>2680 MHz</w:t>
            </w:r>
          </w:p>
        </w:tc>
        <w:tc>
          <w:tcPr>
            <w:tcW w:w="404" w:type="dxa"/>
            <w:textDirection w:val="btLr"/>
          </w:tcPr>
          <w:p w:rsidR="003E1632" w:rsidRPr="00617020" w:rsidRDefault="003E1632" w:rsidP="00EE4B34">
            <w:pPr>
              <w:ind w:left="113" w:right="113"/>
              <w:rPr>
                <w:sz w:val="6"/>
                <w:lang w:val="en-GB"/>
              </w:rPr>
            </w:pPr>
          </w:p>
          <w:p w:rsidR="003E1632" w:rsidRPr="00617020" w:rsidRDefault="003E1632" w:rsidP="00EE4B34">
            <w:pPr>
              <w:ind w:left="113" w:right="113"/>
              <w:rPr>
                <w:sz w:val="16"/>
                <w:lang w:val="en-GB"/>
              </w:rPr>
            </w:pPr>
            <w:r w:rsidRPr="00617020">
              <w:rPr>
                <w:sz w:val="16"/>
                <w:lang w:val="en-GB"/>
              </w:rPr>
              <w:t>2685 MHz</w:t>
            </w:r>
          </w:p>
        </w:tc>
        <w:tc>
          <w:tcPr>
            <w:tcW w:w="404" w:type="dxa"/>
            <w:textDirection w:val="btLr"/>
          </w:tcPr>
          <w:p w:rsidR="003E1632" w:rsidRPr="00617020" w:rsidRDefault="003E1632" w:rsidP="00EE4B34">
            <w:pPr>
              <w:ind w:left="113" w:right="113"/>
              <w:rPr>
                <w:sz w:val="4"/>
                <w:lang w:val="en-GB"/>
              </w:rPr>
            </w:pPr>
          </w:p>
          <w:p w:rsidR="003E1632" w:rsidRPr="00617020" w:rsidRDefault="003E1632" w:rsidP="00EE4B34">
            <w:pPr>
              <w:ind w:left="113" w:right="113"/>
              <w:rPr>
                <w:sz w:val="16"/>
                <w:lang w:val="en-GB"/>
              </w:rPr>
            </w:pPr>
            <w:r w:rsidRPr="00617020">
              <w:rPr>
                <w:sz w:val="16"/>
                <w:lang w:val="en-GB"/>
              </w:rPr>
              <w:t>2690 MHz</w:t>
            </w:r>
          </w:p>
        </w:tc>
      </w:tr>
    </w:tbl>
    <w:p w:rsidR="003E1632" w:rsidRPr="00617020" w:rsidRDefault="003E1632" w:rsidP="003E1632">
      <w:pPr>
        <w:rPr>
          <w:vanish/>
          <w:lang w:val="en-GB"/>
        </w:rPr>
      </w:pPr>
    </w:p>
    <w:tbl>
      <w:tblPr>
        <w:tblW w:w="15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404"/>
        <w:gridCol w:w="404"/>
        <w:gridCol w:w="404"/>
        <w:gridCol w:w="404"/>
        <w:gridCol w:w="404"/>
        <w:gridCol w:w="404"/>
        <w:gridCol w:w="404"/>
        <w:gridCol w:w="404"/>
        <w:gridCol w:w="404"/>
        <w:gridCol w:w="404"/>
        <w:gridCol w:w="402"/>
        <w:gridCol w:w="402"/>
        <w:gridCol w:w="403"/>
        <w:gridCol w:w="3960"/>
        <w:gridCol w:w="432"/>
        <w:gridCol w:w="432"/>
        <w:gridCol w:w="432"/>
        <w:gridCol w:w="404"/>
        <w:gridCol w:w="404"/>
        <w:gridCol w:w="404"/>
        <w:gridCol w:w="404"/>
        <w:gridCol w:w="404"/>
        <w:gridCol w:w="404"/>
        <w:gridCol w:w="404"/>
        <w:gridCol w:w="404"/>
        <w:gridCol w:w="404"/>
        <w:gridCol w:w="404"/>
        <w:gridCol w:w="404"/>
      </w:tblGrid>
      <w:tr w:rsidR="003E1632" w:rsidRPr="00617020" w:rsidTr="00EE4B34">
        <w:trPr>
          <w:cantSplit/>
          <w:trHeight w:val="513"/>
        </w:trPr>
        <w:tc>
          <w:tcPr>
            <w:tcW w:w="403"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UL01</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UL02</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UL03</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UL04</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UL05</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UL06</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UL07</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UL08</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w:t>
            </w:r>
          </w:p>
          <w:p w:rsidR="003E1632" w:rsidRPr="00617020" w:rsidRDefault="003E1632" w:rsidP="00EE4B34">
            <w:pPr>
              <w:jc w:val="center"/>
              <w:rPr>
                <w:sz w:val="16"/>
                <w:lang w:val="en-GB"/>
              </w:rPr>
            </w:pPr>
            <w:r w:rsidRPr="00617020">
              <w:rPr>
                <w:sz w:val="16"/>
                <w:lang w:val="en-GB"/>
              </w:rPr>
              <w:t>09</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w:t>
            </w:r>
          </w:p>
          <w:p w:rsidR="003E1632" w:rsidRPr="00617020" w:rsidRDefault="003E1632" w:rsidP="00EE4B34">
            <w:pPr>
              <w:jc w:val="center"/>
              <w:rPr>
                <w:sz w:val="16"/>
                <w:lang w:val="en-GB"/>
              </w:rPr>
            </w:pPr>
            <w:r w:rsidRPr="00617020">
              <w:rPr>
                <w:sz w:val="16"/>
                <w:lang w:val="en-GB"/>
              </w:rPr>
              <w:t>10</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w:t>
            </w:r>
          </w:p>
          <w:p w:rsidR="003E1632" w:rsidRPr="00617020" w:rsidRDefault="003E1632" w:rsidP="00EE4B34">
            <w:pPr>
              <w:jc w:val="center"/>
              <w:rPr>
                <w:sz w:val="16"/>
                <w:lang w:val="en-GB"/>
              </w:rPr>
            </w:pPr>
            <w:r w:rsidRPr="00617020">
              <w:rPr>
                <w:sz w:val="16"/>
                <w:lang w:val="en-GB"/>
              </w:rPr>
              <w:t>11</w:t>
            </w:r>
          </w:p>
        </w:tc>
        <w:tc>
          <w:tcPr>
            <w:tcW w:w="402"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 12</w:t>
            </w:r>
          </w:p>
        </w:tc>
        <w:tc>
          <w:tcPr>
            <w:tcW w:w="402"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w:t>
            </w:r>
            <w:r w:rsidRPr="00617020">
              <w:rPr>
                <w:sz w:val="16"/>
                <w:lang w:val="en-GB"/>
              </w:rPr>
              <w:br/>
              <w:t>13</w:t>
            </w:r>
          </w:p>
        </w:tc>
        <w:tc>
          <w:tcPr>
            <w:tcW w:w="403"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UL</w:t>
            </w:r>
          </w:p>
          <w:p w:rsidR="003E1632" w:rsidRPr="00617020" w:rsidRDefault="003E1632" w:rsidP="00EE4B34">
            <w:pPr>
              <w:jc w:val="center"/>
              <w:rPr>
                <w:sz w:val="16"/>
                <w:lang w:val="en-GB"/>
              </w:rPr>
            </w:pPr>
            <w:r w:rsidRPr="00617020">
              <w:rPr>
                <w:sz w:val="16"/>
                <w:lang w:val="en-GB"/>
              </w:rPr>
              <w:t>14</w:t>
            </w:r>
          </w:p>
        </w:tc>
        <w:tc>
          <w:tcPr>
            <w:tcW w:w="3960" w:type="dxa"/>
            <w:vMerge w:val="restart"/>
          </w:tcPr>
          <w:p w:rsidR="003E1632" w:rsidRPr="00617020" w:rsidRDefault="003E1632" w:rsidP="00EE4B34">
            <w:pPr>
              <w:jc w:val="center"/>
              <w:rPr>
                <w:lang w:val="en-GB"/>
              </w:rPr>
            </w:pPr>
          </w:p>
          <w:p w:rsidR="004920EE" w:rsidRPr="00617020" w:rsidRDefault="004920EE">
            <w:pPr>
              <w:jc w:val="center"/>
              <w:rPr>
                <w:vertAlign w:val="superscript"/>
                <w:lang w:val="en-GB"/>
              </w:rPr>
            </w:pPr>
            <w:r w:rsidRPr="00617020">
              <w:rPr>
                <w:lang w:val="en-GB"/>
              </w:rPr>
              <w:t xml:space="preserve">Alternative 1: </w:t>
            </w:r>
            <w:r w:rsidR="003E1632" w:rsidRPr="00617020">
              <w:rPr>
                <w:lang w:val="en-GB"/>
              </w:rPr>
              <w:t>TDD</w:t>
            </w:r>
            <w:r w:rsidRPr="00617020">
              <w:rPr>
                <w:lang w:val="en-GB"/>
              </w:rPr>
              <w:t xml:space="preserve"> blocks</w:t>
            </w:r>
            <w:r w:rsidR="003E1632" w:rsidRPr="00617020">
              <w:rPr>
                <w:vertAlign w:val="superscript"/>
                <w:lang w:val="en-GB"/>
              </w:rPr>
              <w:t>*</w:t>
            </w:r>
            <w:r w:rsidRPr="00617020">
              <w:rPr>
                <w:vertAlign w:val="superscript"/>
                <w:lang w:val="en-GB"/>
              </w:rPr>
              <w:br/>
            </w:r>
          </w:p>
          <w:p w:rsidR="003E1632" w:rsidRPr="00617020" w:rsidRDefault="004920EE" w:rsidP="007C4348">
            <w:pPr>
              <w:jc w:val="center"/>
              <w:rPr>
                <w:lang w:val="en-GB"/>
              </w:rPr>
            </w:pPr>
            <w:r w:rsidRPr="00617020">
              <w:rPr>
                <w:lang w:val="en-GB"/>
              </w:rPr>
              <w:t>Alternative 2: Supplemental Downlink blocks</w:t>
            </w:r>
            <w:r w:rsidR="00AA0D89" w:rsidRPr="00617020">
              <w:rPr>
                <w:lang w:val="en-GB"/>
              </w:rPr>
              <w:t>*</w:t>
            </w:r>
            <w:r w:rsidRPr="00617020">
              <w:rPr>
                <w:lang w:val="en-GB"/>
              </w:rPr>
              <w:br/>
            </w:r>
          </w:p>
        </w:tc>
        <w:tc>
          <w:tcPr>
            <w:tcW w:w="432"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w:t>
            </w:r>
          </w:p>
          <w:p w:rsidR="003E1632" w:rsidRPr="00617020" w:rsidRDefault="003E1632" w:rsidP="00EE4B34">
            <w:pPr>
              <w:jc w:val="center"/>
              <w:rPr>
                <w:sz w:val="16"/>
                <w:lang w:val="en-GB"/>
              </w:rPr>
            </w:pPr>
            <w:r w:rsidRPr="00617020">
              <w:rPr>
                <w:sz w:val="16"/>
                <w:lang w:val="en-GB"/>
              </w:rPr>
              <w:t>01</w:t>
            </w:r>
          </w:p>
        </w:tc>
        <w:tc>
          <w:tcPr>
            <w:tcW w:w="432"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w:t>
            </w:r>
          </w:p>
          <w:p w:rsidR="003E1632" w:rsidRPr="00617020" w:rsidRDefault="003E1632" w:rsidP="00EE4B34">
            <w:pPr>
              <w:jc w:val="center"/>
              <w:rPr>
                <w:sz w:val="16"/>
                <w:lang w:val="en-GB"/>
              </w:rPr>
            </w:pPr>
            <w:r w:rsidRPr="00617020">
              <w:rPr>
                <w:sz w:val="16"/>
                <w:lang w:val="en-GB"/>
              </w:rPr>
              <w:t>02</w:t>
            </w:r>
          </w:p>
        </w:tc>
        <w:tc>
          <w:tcPr>
            <w:tcW w:w="432"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DL03</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DL04</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DL05</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DL06</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DL07</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DL08</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DL09</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w:t>
            </w:r>
          </w:p>
          <w:p w:rsidR="003E1632" w:rsidRPr="00617020" w:rsidRDefault="003E1632" w:rsidP="00EE4B34">
            <w:pPr>
              <w:jc w:val="center"/>
              <w:rPr>
                <w:sz w:val="16"/>
                <w:lang w:val="en-GB"/>
              </w:rPr>
            </w:pPr>
            <w:r w:rsidRPr="00617020">
              <w:rPr>
                <w:sz w:val="16"/>
                <w:lang w:val="en-GB"/>
              </w:rPr>
              <w:t>10</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DL11</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DL12</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DL13</w:t>
            </w:r>
          </w:p>
        </w:tc>
        <w:tc>
          <w:tcPr>
            <w:tcW w:w="404" w:type="dxa"/>
          </w:tcPr>
          <w:p w:rsidR="003E1632" w:rsidRPr="00617020" w:rsidRDefault="003E1632" w:rsidP="00EE4B34">
            <w:pPr>
              <w:jc w:val="center"/>
              <w:rPr>
                <w:sz w:val="16"/>
                <w:lang w:val="en-GB"/>
              </w:rPr>
            </w:pPr>
          </w:p>
          <w:p w:rsidR="003E1632" w:rsidRPr="00617020" w:rsidRDefault="003E1632" w:rsidP="00EE4B34">
            <w:pPr>
              <w:jc w:val="center"/>
              <w:rPr>
                <w:sz w:val="16"/>
                <w:lang w:val="en-GB"/>
              </w:rPr>
            </w:pPr>
            <w:r w:rsidRPr="00617020">
              <w:rPr>
                <w:sz w:val="16"/>
                <w:lang w:val="en-GB"/>
              </w:rPr>
              <w:t>DL14</w:t>
            </w:r>
          </w:p>
        </w:tc>
      </w:tr>
      <w:tr w:rsidR="003E1632" w:rsidRPr="00617020" w:rsidTr="00EE4B34">
        <w:trPr>
          <w:cantSplit/>
          <w:trHeight w:val="513"/>
        </w:trPr>
        <w:tc>
          <w:tcPr>
            <w:tcW w:w="5650" w:type="dxa"/>
            <w:gridSpan w:val="14"/>
            <w:tcBorders>
              <w:bottom w:val="single" w:sz="4" w:space="0" w:color="auto"/>
            </w:tcBorders>
          </w:tcPr>
          <w:p w:rsidR="003E1632" w:rsidRPr="00617020" w:rsidRDefault="003E1632" w:rsidP="00EE4B34">
            <w:pPr>
              <w:rPr>
                <w:sz w:val="16"/>
                <w:lang w:val="en-GB"/>
              </w:rPr>
            </w:pPr>
          </w:p>
          <w:p w:rsidR="003E1632" w:rsidRPr="00617020" w:rsidRDefault="003E1632" w:rsidP="00EE4B34">
            <w:pPr>
              <w:jc w:val="center"/>
              <w:rPr>
                <w:lang w:val="en-GB"/>
              </w:rPr>
            </w:pPr>
            <w:r w:rsidRPr="00617020">
              <w:rPr>
                <w:lang w:val="en-GB"/>
              </w:rPr>
              <w:t xml:space="preserve">FDD Uplink Blocks </w:t>
            </w:r>
          </w:p>
        </w:tc>
        <w:tc>
          <w:tcPr>
            <w:tcW w:w="3960" w:type="dxa"/>
            <w:vMerge/>
          </w:tcPr>
          <w:p w:rsidR="003E1632" w:rsidRPr="00617020" w:rsidRDefault="003E1632" w:rsidP="00EE4B34">
            <w:pPr>
              <w:jc w:val="center"/>
              <w:rPr>
                <w:lang w:val="en-GB"/>
              </w:rPr>
            </w:pPr>
          </w:p>
        </w:tc>
        <w:tc>
          <w:tcPr>
            <w:tcW w:w="5740" w:type="dxa"/>
            <w:gridSpan w:val="14"/>
          </w:tcPr>
          <w:p w:rsidR="003E1632" w:rsidRPr="00617020" w:rsidRDefault="003E1632" w:rsidP="00EE4B34">
            <w:pPr>
              <w:rPr>
                <w:sz w:val="16"/>
                <w:lang w:val="en-GB"/>
              </w:rPr>
            </w:pPr>
          </w:p>
          <w:p w:rsidR="003E1632" w:rsidRPr="00617020" w:rsidRDefault="003E1632" w:rsidP="00EE4B34">
            <w:pPr>
              <w:jc w:val="center"/>
              <w:rPr>
                <w:lang w:val="en-GB"/>
              </w:rPr>
            </w:pPr>
            <w:r w:rsidRPr="00617020">
              <w:rPr>
                <w:lang w:val="en-GB"/>
              </w:rPr>
              <w:t>FDD Downlink Blocks</w:t>
            </w:r>
          </w:p>
        </w:tc>
      </w:tr>
    </w:tbl>
    <w:p w:rsidR="003E1632" w:rsidRPr="00617020" w:rsidRDefault="003E1632" w:rsidP="003E1632">
      <w:pPr>
        <w:rPr>
          <w:lang w:val="en-GB"/>
        </w:rPr>
      </w:pPr>
    </w:p>
    <w:p w:rsidR="003E1632" w:rsidRPr="00617020" w:rsidRDefault="003E1632" w:rsidP="00276213">
      <w:pPr>
        <w:pStyle w:val="ECCTablenote"/>
      </w:pPr>
      <w:r w:rsidRPr="00617020">
        <w:t>*Any guard bands required to ensure adjacent band compatibility at 2570 MHz and 2620 MHz boundaries will be decided on a national basis and taken within the band 2570-2620 MHz.</w:t>
      </w:r>
    </w:p>
    <w:p w:rsidR="00954DA7" w:rsidRPr="00617020" w:rsidRDefault="00954DA7" w:rsidP="003E1632">
      <w:pPr>
        <w:rPr>
          <w:rStyle w:val="ECCHLunderlined"/>
          <w:lang w:val="en-GB"/>
        </w:rPr>
      </w:pPr>
    </w:p>
    <w:p w:rsidR="003E1632" w:rsidRPr="00617020" w:rsidRDefault="003E1632" w:rsidP="003E1632">
      <w:pPr>
        <w:rPr>
          <w:lang w:val="en-GB"/>
        </w:rPr>
      </w:pPr>
    </w:p>
    <w:p w:rsidR="006C03D0" w:rsidRPr="00617020" w:rsidRDefault="002B1460" w:rsidP="002B1460">
      <w:pPr>
        <w:pStyle w:val="ECCFiguretitle"/>
      </w:pPr>
      <w:r w:rsidRPr="00617020">
        <w:t>MFCN channelling arrangements blocks in the band 2500-2690 MHz</w:t>
      </w:r>
    </w:p>
    <w:p w:rsidR="003E1632" w:rsidRPr="00617020" w:rsidRDefault="003E1632">
      <w:pPr>
        <w:rPr>
          <w:lang w:val="en-GB"/>
        </w:rPr>
        <w:sectPr w:rsidR="003E1632" w:rsidRPr="00617020" w:rsidSect="000F23DD">
          <w:headerReference w:type="even" r:id="rId12"/>
          <w:headerReference w:type="default" r:id="rId13"/>
          <w:headerReference w:type="first" r:id="rId14"/>
          <w:pgSz w:w="16840" w:h="11907" w:orient="landscape" w:code="9"/>
          <w:pgMar w:top="1134" w:right="1440" w:bottom="1134" w:left="1134" w:header="709" w:footer="709" w:gutter="0"/>
          <w:cols w:space="708"/>
          <w:titlePg/>
          <w:docGrid w:linePitch="360"/>
        </w:sectPr>
      </w:pPr>
    </w:p>
    <w:p w:rsidR="005869E6" w:rsidRPr="00617020" w:rsidRDefault="005869E6" w:rsidP="005869E6">
      <w:pPr>
        <w:pStyle w:val="ECCAnnex-heading1"/>
      </w:pPr>
      <w:bookmarkStart w:id="4" w:name="_Toc193527934"/>
      <w:r w:rsidRPr="00617020">
        <w:lastRenderedPageBreak/>
        <w:t>Least restrictive technical conditions for mfcn in the frequency band 2500-2690 mh</w:t>
      </w:r>
      <w:r w:rsidRPr="00617020">
        <w:rPr>
          <w:sz w:val="16"/>
        </w:rPr>
        <w:t>z</w:t>
      </w:r>
    </w:p>
    <w:bookmarkEnd w:id="4"/>
    <w:p w:rsidR="00573FB3" w:rsidRPr="00617020" w:rsidRDefault="00573FB3" w:rsidP="007C4348">
      <w:pPr>
        <w:pStyle w:val="ECCParagraph"/>
      </w:pPr>
      <w:r w:rsidRPr="00617020">
        <w:t xml:space="preserve">The following technical parameters called Block Edge Mask (BEM) shall be applied as an essential component of conditions necessary to ensure coexistence in the absence of bilateral or multilateral agreements between neighbouring networks, without precluding less stringent technical parameters if agreed among the operators of such networks. </w:t>
      </w:r>
    </w:p>
    <w:p w:rsidR="00266F44" w:rsidRPr="00617020" w:rsidRDefault="00266F44" w:rsidP="00266F44">
      <w:pPr>
        <w:keepNext/>
        <w:numPr>
          <w:ilvl w:val="0"/>
          <w:numId w:val="2"/>
        </w:numPr>
        <w:suppressAutoHyphens/>
        <w:spacing w:before="360" w:after="240"/>
        <w:ind w:left="567" w:hanging="567"/>
        <w:jc w:val="center"/>
        <w:rPr>
          <w:rFonts w:eastAsia="Batang" w:cs="Arial"/>
          <w:b/>
          <w:color w:val="D2232A"/>
          <w:lang w:val="en-GB"/>
        </w:rPr>
      </w:pPr>
      <w:r w:rsidRPr="00617020">
        <w:rPr>
          <w:rFonts w:eastAsia="Batang" w:cs="Arial"/>
          <w:b/>
          <w:color w:val="D2232A"/>
          <w:lang w:val="en-GB"/>
        </w:rPr>
        <w:t>MFCN BS BEM elements</w:t>
      </w:r>
    </w:p>
    <w:tbl>
      <w:tblPr>
        <w:tblW w:w="9090" w:type="dxa"/>
        <w:jc w:val="center"/>
        <w:tblInd w:w="716" w:type="dxa"/>
        <w:tblCellMar>
          <w:left w:w="0" w:type="dxa"/>
          <w:right w:w="0" w:type="dxa"/>
        </w:tblCellMar>
        <w:tblLook w:val="04A0" w:firstRow="1" w:lastRow="0" w:firstColumn="1" w:lastColumn="0" w:noHBand="0" w:noVBand="1"/>
      </w:tblPr>
      <w:tblGrid>
        <w:gridCol w:w="1567"/>
        <w:gridCol w:w="7523"/>
      </w:tblGrid>
      <w:tr w:rsidR="00266F44" w:rsidRPr="00617020" w:rsidTr="008E59F3">
        <w:trPr>
          <w:jc w:val="center"/>
        </w:trPr>
        <w:tc>
          <w:tcPr>
            <w:tcW w:w="1567" w:type="dxa"/>
            <w:tcBorders>
              <w:top w:val="single" w:sz="8" w:space="0" w:color="C00000"/>
              <w:left w:val="single" w:sz="8" w:space="0" w:color="D2232A"/>
              <w:bottom w:val="single" w:sz="8" w:space="0" w:color="D2232A"/>
              <w:right w:val="single" w:sz="8" w:space="0" w:color="D2232A"/>
            </w:tcBorders>
            <w:tcMar>
              <w:top w:w="11" w:type="dxa"/>
              <w:left w:w="108" w:type="dxa"/>
              <w:bottom w:w="11" w:type="dxa"/>
              <w:right w:w="108" w:type="dxa"/>
            </w:tcMar>
            <w:vAlign w:val="center"/>
            <w:hideMark/>
          </w:tcPr>
          <w:p w:rsidR="00266F44" w:rsidRPr="00617020" w:rsidRDefault="00266F44" w:rsidP="008E59F3">
            <w:pPr>
              <w:keepNext/>
              <w:spacing w:before="60" w:after="60"/>
              <w:rPr>
                <w:rFonts w:cs="Arial"/>
                <w:lang w:val="en-GB" w:eastAsia="ja-JP"/>
              </w:rPr>
            </w:pPr>
            <w:r w:rsidRPr="00617020">
              <w:rPr>
                <w:lang w:val="en-GB" w:eastAsia="ja-JP"/>
              </w:rPr>
              <w:t>In-block</w:t>
            </w:r>
          </w:p>
        </w:tc>
        <w:tc>
          <w:tcPr>
            <w:tcW w:w="7523" w:type="dxa"/>
            <w:tcBorders>
              <w:top w:val="single" w:sz="8" w:space="0" w:color="C00000"/>
              <w:left w:val="nil"/>
              <w:bottom w:val="single" w:sz="8" w:space="0" w:color="D2232A"/>
              <w:right w:val="single" w:sz="8" w:space="0" w:color="D2232A"/>
            </w:tcBorders>
            <w:tcMar>
              <w:top w:w="11" w:type="dxa"/>
              <w:left w:w="108" w:type="dxa"/>
              <w:bottom w:w="11" w:type="dxa"/>
              <w:right w:w="108" w:type="dxa"/>
            </w:tcMar>
            <w:vAlign w:val="center"/>
            <w:hideMark/>
          </w:tcPr>
          <w:p w:rsidR="00266F44" w:rsidRPr="00617020" w:rsidRDefault="00266F44" w:rsidP="008E59F3">
            <w:pPr>
              <w:keepNext/>
              <w:rPr>
                <w:rFonts w:cs="Arial"/>
                <w:lang w:val="en-GB" w:eastAsia="ja-JP"/>
              </w:rPr>
            </w:pPr>
            <w:r w:rsidRPr="00617020">
              <w:rPr>
                <w:lang w:val="en-GB" w:eastAsia="ja-JP"/>
              </w:rPr>
              <w:t>Block for which the BEM is derived.</w:t>
            </w:r>
          </w:p>
        </w:tc>
      </w:tr>
      <w:tr w:rsidR="00266F44" w:rsidRPr="00617020" w:rsidTr="008E59F3">
        <w:trPr>
          <w:trHeight w:val="654"/>
          <w:jc w:val="center"/>
        </w:trPr>
        <w:tc>
          <w:tcPr>
            <w:tcW w:w="1567" w:type="dxa"/>
            <w:tcBorders>
              <w:top w:val="nil"/>
              <w:left w:val="single" w:sz="8" w:space="0" w:color="D2232A"/>
              <w:bottom w:val="single" w:sz="8" w:space="0" w:color="D2232A"/>
              <w:right w:val="single" w:sz="8" w:space="0" w:color="D2232A"/>
            </w:tcBorders>
            <w:tcMar>
              <w:top w:w="11" w:type="dxa"/>
              <w:left w:w="108" w:type="dxa"/>
              <w:bottom w:w="11" w:type="dxa"/>
              <w:right w:w="108" w:type="dxa"/>
            </w:tcMar>
            <w:vAlign w:val="center"/>
            <w:hideMark/>
          </w:tcPr>
          <w:p w:rsidR="00266F44" w:rsidRPr="00617020" w:rsidRDefault="00266F44" w:rsidP="008E59F3">
            <w:pPr>
              <w:keepNext/>
              <w:spacing w:before="60" w:after="60"/>
              <w:rPr>
                <w:rFonts w:cs="Arial"/>
                <w:lang w:val="en-GB" w:eastAsia="ja-JP"/>
              </w:rPr>
            </w:pPr>
            <w:r w:rsidRPr="00617020">
              <w:rPr>
                <w:lang w:val="en-GB" w:eastAsia="ja-JP"/>
              </w:rPr>
              <w:t>Baseline</w:t>
            </w:r>
          </w:p>
        </w:tc>
        <w:tc>
          <w:tcPr>
            <w:tcW w:w="7523" w:type="dxa"/>
            <w:tcBorders>
              <w:top w:val="nil"/>
              <w:left w:val="nil"/>
              <w:bottom w:val="single" w:sz="8" w:space="0" w:color="D2232A"/>
              <w:right w:val="single" w:sz="8" w:space="0" w:color="D2232A"/>
            </w:tcBorders>
            <w:tcMar>
              <w:top w:w="11" w:type="dxa"/>
              <w:left w:w="108" w:type="dxa"/>
              <w:bottom w:w="11" w:type="dxa"/>
              <w:right w:w="108" w:type="dxa"/>
            </w:tcMar>
            <w:vAlign w:val="center"/>
            <w:hideMark/>
          </w:tcPr>
          <w:p w:rsidR="00266F44" w:rsidRPr="00617020" w:rsidRDefault="00266F44" w:rsidP="008E59F3">
            <w:pPr>
              <w:rPr>
                <w:rFonts w:ascii="Times New Roman" w:hAnsi="Times New Roman"/>
                <w:szCs w:val="20"/>
                <w:lang w:val="en-GB" w:eastAsia="fr-FR"/>
              </w:rPr>
            </w:pPr>
            <w:r w:rsidRPr="00617020">
              <w:rPr>
                <w:lang w:val="en-GB"/>
              </w:rPr>
              <w:t>Spectrum used for TDD and FDD UL, DL and SDL, except from the operator block in question and corresponding transitional regions</w:t>
            </w:r>
          </w:p>
        </w:tc>
      </w:tr>
      <w:tr w:rsidR="00266F44" w:rsidRPr="00617020" w:rsidTr="00617020">
        <w:trPr>
          <w:trHeight w:val="1595"/>
          <w:jc w:val="center"/>
        </w:trPr>
        <w:tc>
          <w:tcPr>
            <w:tcW w:w="1567" w:type="dxa"/>
            <w:tcBorders>
              <w:top w:val="nil"/>
              <w:left w:val="single" w:sz="8" w:space="0" w:color="D2232A"/>
              <w:bottom w:val="single" w:sz="8" w:space="0" w:color="D2232A"/>
              <w:right w:val="single" w:sz="8" w:space="0" w:color="D2232A"/>
            </w:tcBorders>
            <w:tcMar>
              <w:top w:w="11" w:type="dxa"/>
              <w:left w:w="108" w:type="dxa"/>
              <w:bottom w:w="11" w:type="dxa"/>
              <w:right w:w="108" w:type="dxa"/>
            </w:tcMar>
            <w:vAlign w:val="center"/>
            <w:hideMark/>
          </w:tcPr>
          <w:p w:rsidR="00266F44" w:rsidRPr="00617020" w:rsidRDefault="00266F44" w:rsidP="008E59F3">
            <w:pPr>
              <w:spacing w:before="60" w:after="60"/>
              <w:rPr>
                <w:rFonts w:cs="Arial"/>
                <w:lang w:val="en-GB" w:eastAsia="ja-JP"/>
              </w:rPr>
            </w:pPr>
            <w:r w:rsidRPr="00617020">
              <w:rPr>
                <w:lang w:val="en-GB" w:eastAsia="ja-JP"/>
              </w:rPr>
              <w:t>Transitional region</w:t>
            </w:r>
          </w:p>
        </w:tc>
        <w:tc>
          <w:tcPr>
            <w:tcW w:w="7523" w:type="dxa"/>
            <w:tcBorders>
              <w:top w:val="nil"/>
              <w:left w:val="nil"/>
              <w:bottom w:val="single" w:sz="8" w:space="0" w:color="D2232A"/>
              <w:right w:val="single" w:sz="8" w:space="0" w:color="D2232A"/>
            </w:tcBorders>
            <w:tcMar>
              <w:top w:w="11" w:type="dxa"/>
              <w:left w:w="108" w:type="dxa"/>
              <w:bottom w:w="11" w:type="dxa"/>
              <w:right w:w="108" w:type="dxa"/>
            </w:tcMar>
            <w:vAlign w:val="center"/>
            <w:hideMark/>
          </w:tcPr>
          <w:p w:rsidR="00266F44" w:rsidRPr="00617020" w:rsidRDefault="00266F44" w:rsidP="008E59F3">
            <w:pPr>
              <w:rPr>
                <w:rFonts w:ascii="Times New Roman" w:hAnsi="Times New Roman"/>
                <w:szCs w:val="20"/>
                <w:lang w:val="en-GB" w:eastAsia="fr-FR"/>
              </w:rPr>
            </w:pPr>
            <w:r w:rsidRPr="00617020">
              <w:rPr>
                <w:lang w:val="en-GB"/>
              </w:rPr>
              <w:t>For FDD DL blocks, the transitional region applies 0 to 5 MHz below and above the block assigned to the operator. For TDD blocks, the transitional region applies 0 to 5 MHz below and above the block assigned to the operator. Transitional regions do not apply to TDD blocks allocated to other operators, unless networks are synchronised. The transitional regions do not apply below 2570MHz or above 2690 MHz.</w:t>
            </w:r>
          </w:p>
        </w:tc>
      </w:tr>
      <w:tr w:rsidR="00266F44" w:rsidRPr="00617020" w:rsidTr="00617020">
        <w:trPr>
          <w:trHeight w:val="796"/>
          <w:jc w:val="center"/>
        </w:trPr>
        <w:tc>
          <w:tcPr>
            <w:tcW w:w="1567" w:type="dxa"/>
            <w:tcBorders>
              <w:top w:val="nil"/>
              <w:left w:val="single" w:sz="8" w:space="0" w:color="D2232A"/>
              <w:bottom w:val="single" w:sz="8" w:space="0" w:color="D2232A"/>
              <w:right w:val="single" w:sz="8" w:space="0" w:color="D2232A"/>
            </w:tcBorders>
            <w:tcMar>
              <w:top w:w="11" w:type="dxa"/>
              <w:left w:w="108" w:type="dxa"/>
              <w:bottom w:w="11" w:type="dxa"/>
              <w:right w:w="108" w:type="dxa"/>
            </w:tcMar>
            <w:vAlign w:val="center"/>
            <w:hideMark/>
          </w:tcPr>
          <w:p w:rsidR="00266F44" w:rsidRPr="00617020" w:rsidRDefault="00266F44" w:rsidP="008E59F3">
            <w:pPr>
              <w:spacing w:before="60" w:after="60"/>
              <w:rPr>
                <w:rFonts w:asciiTheme="minorHAnsi" w:hAnsiTheme="minorHAnsi" w:cs="Arial"/>
                <w:lang w:val="en-GB" w:eastAsia="ja-JP"/>
              </w:rPr>
            </w:pPr>
            <w:r w:rsidRPr="00617020">
              <w:rPr>
                <w:lang w:val="en-GB" w:eastAsia="ja-JP"/>
              </w:rPr>
              <w:t>Guard bands</w:t>
            </w:r>
            <w:r w:rsidRPr="00617020">
              <w:rPr>
                <w:rFonts w:asciiTheme="minorHAnsi" w:hAnsiTheme="minorHAnsi"/>
                <w:lang w:val="en-GB" w:eastAsia="ja-JP"/>
              </w:rPr>
              <w:t xml:space="preserve"> </w:t>
            </w:r>
          </w:p>
        </w:tc>
        <w:tc>
          <w:tcPr>
            <w:tcW w:w="7523" w:type="dxa"/>
            <w:tcBorders>
              <w:top w:val="nil"/>
              <w:left w:val="nil"/>
              <w:bottom w:val="single" w:sz="8" w:space="0" w:color="D2232A"/>
              <w:right w:val="single" w:sz="8" w:space="0" w:color="D2232A"/>
            </w:tcBorders>
            <w:tcMar>
              <w:top w:w="11" w:type="dxa"/>
              <w:left w:w="108" w:type="dxa"/>
              <w:bottom w:w="11" w:type="dxa"/>
              <w:right w:w="108" w:type="dxa"/>
            </w:tcMar>
            <w:vAlign w:val="center"/>
            <w:hideMark/>
          </w:tcPr>
          <w:p w:rsidR="00266F44" w:rsidRPr="00617020" w:rsidRDefault="00266F44" w:rsidP="008E59F3">
            <w:pPr>
              <w:rPr>
                <w:lang w:val="en-GB"/>
              </w:rPr>
            </w:pPr>
            <w:r w:rsidRPr="00617020">
              <w:rPr>
                <w:lang w:val="en-GB"/>
              </w:rPr>
              <w:t xml:space="preserve">Any guard bands required to ensure adjacent band compatibility at 2570 MHz </w:t>
            </w:r>
          </w:p>
          <w:p w:rsidR="00266F44" w:rsidRPr="00617020" w:rsidRDefault="00266F44" w:rsidP="008E59F3">
            <w:pPr>
              <w:rPr>
                <w:lang w:val="en-GB"/>
              </w:rPr>
            </w:pPr>
            <w:r w:rsidRPr="00617020">
              <w:rPr>
                <w:lang w:val="en-GB"/>
              </w:rPr>
              <w:t xml:space="preserve">and 2620 MHz boundaries will be decided on a national basis and taken within </w:t>
            </w:r>
          </w:p>
          <w:p w:rsidR="00266F44" w:rsidRPr="00617020" w:rsidRDefault="00266F44" w:rsidP="00617020">
            <w:pPr>
              <w:rPr>
                <w:rFonts w:asciiTheme="minorHAnsi" w:hAnsiTheme="minorHAnsi" w:cs="Arial"/>
                <w:lang w:val="en-GB" w:eastAsia="ja-JP"/>
              </w:rPr>
            </w:pPr>
            <w:r w:rsidRPr="00617020">
              <w:rPr>
                <w:lang w:val="en-GB"/>
              </w:rPr>
              <w:t>the band 2570-2620 MHz.</w:t>
            </w:r>
          </w:p>
        </w:tc>
      </w:tr>
    </w:tbl>
    <w:p w:rsidR="00266F44" w:rsidRPr="00617020" w:rsidRDefault="00266F44" w:rsidP="00573FB3">
      <w:pPr>
        <w:rPr>
          <w:lang w:val="en-GB"/>
        </w:rPr>
      </w:pPr>
    </w:p>
    <w:p w:rsidR="00573FB3" w:rsidRPr="00617020" w:rsidRDefault="00573FB3" w:rsidP="00573FB3">
      <w:pPr>
        <w:rPr>
          <w:lang w:val="en-GB"/>
        </w:rPr>
      </w:pPr>
    </w:p>
    <w:p w:rsidR="00573FB3" w:rsidRPr="00617020" w:rsidRDefault="00573FB3" w:rsidP="007C4348">
      <w:pPr>
        <w:pStyle w:val="ECCParagraph"/>
      </w:pPr>
      <w:r w:rsidRPr="00617020">
        <w:t>CEPT administrations should ensure that network operators are free to enter into bilateral or multilateral agreements to develop less stringent technical parameters and, if agreed among all affected parties, these less stringent technical parameters may be used.</w:t>
      </w:r>
    </w:p>
    <w:p w:rsidR="00573FB3" w:rsidRPr="00617020" w:rsidRDefault="00573FB3" w:rsidP="007C4348">
      <w:pPr>
        <w:pStyle w:val="ECCParagraph"/>
      </w:pPr>
      <w:r w:rsidRPr="00617020">
        <w:t xml:space="preserve">Equipment operating in this band may also make use of equivalent </w:t>
      </w:r>
      <w:proofErr w:type="spellStart"/>
      <w:r w:rsidRPr="00617020">
        <w:t>isotropically</w:t>
      </w:r>
      <w:proofErr w:type="spellEnd"/>
      <w:r w:rsidRPr="00617020">
        <w:t xml:space="preserve"> radiated power (e.i.r.p.) limits other than those set out below provided that appropriate mitigation techniques are applied which comply with Directive 1999/5/EC and which offer at least an equivalent level of protection to that provided by these technical parameters.</w:t>
      </w:r>
    </w:p>
    <w:p w:rsidR="00573FB3" w:rsidRPr="00617020" w:rsidRDefault="00573FB3" w:rsidP="007C4348">
      <w:pPr>
        <w:pStyle w:val="ECCParagraph"/>
      </w:pPr>
      <w:r w:rsidRPr="00617020">
        <w:t xml:space="preserve">In the case of unsynchronized TDD networks and adjacent TDD and FDD UL blocks, the compliance of two adjacent operators with the BEM requirements may be achieved by introducing frequency separation (e.g. through the authorisation process at national level) between the block edges of both operators. </w:t>
      </w:r>
    </w:p>
    <w:p w:rsidR="00573FB3" w:rsidRPr="00617020" w:rsidRDefault="00573FB3" w:rsidP="007C4348">
      <w:pPr>
        <w:pStyle w:val="ECCParagraph"/>
      </w:pPr>
      <w:r w:rsidRPr="00617020">
        <w:t>Another option may be for CEPT administrations to introduce restricted spectrum block. Operators would then be required to limit the power used in the upper or lower part of their assigned spectrum, to limit the interference due to the selectivity of the adjacent operator’s receiver.</w:t>
      </w:r>
    </w:p>
    <w:p w:rsidR="00573FB3" w:rsidRPr="00617020" w:rsidRDefault="00573FB3" w:rsidP="007C4348">
      <w:pPr>
        <w:pStyle w:val="ECCParagraph"/>
      </w:pPr>
      <w:r w:rsidRPr="00617020">
        <w:t xml:space="preserve">It should also be noted that a 5 MHz TDD block (2615-2620 MHz) immediately adjacent to a FDD DL block may suffer an increased risk of interference due to the emissions from the FDD DL. This may however for instance be mitigated by a TDD BS receiver antenna with lower gain or by placing the TDD BS receiver antenna at lower height. Administrations should also be aware of the above and therefore treat it appropriately when they award spectrum. </w:t>
      </w:r>
    </w:p>
    <w:p w:rsidR="00573FB3" w:rsidRPr="00617020" w:rsidRDefault="00573FB3" w:rsidP="007C4348">
      <w:pPr>
        <w:pStyle w:val="ECCParagraph"/>
      </w:pPr>
      <w:r w:rsidRPr="00617020">
        <w:t>In the case of downlink only operation in the 2615-2620 MHz that is adjacent to FDD downlink there is no reason to treat it differently from the remaining blocks in 2570-2615 MHz..</w:t>
      </w:r>
    </w:p>
    <w:p w:rsidR="00573FB3" w:rsidRPr="00617020" w:rsidRDefault="00573FB3" w:rsidP="007C4348">
      <w:pPr>
        <w:pStyle w:val="ECCParagraph"/>
      </w:pPr>
      <w:r w:rsidRPr="00617020">
        <w:t xml:space="preserve">Where small cells have specifically been considered within this annex, these include various cell types including in-building cells (that may typically operate at up to 20 dBm </w:t>
      </w:r>
      <w:proofErr w:type="spellStart"/>
      <w:r w:rsidRPr="00617020">
        <w:t>eirp</w:t>
      </w:r>
      <w:proofErr w:type="spellEnd"/>
      <w:r w:rsidRPr="00617020">
        <w:t xml:space="preserve"> in residential scenarios and up to 24 dBm </w:t>
      </w:r>
      <w:proofErr w:type="spellStart"/>
      <w:r w:rsidRPr="00617020">
        <w:t>eirp</w:t>
      </w:r>
      <w:proofErr w:type="spellEnd"/>
      <w:r w:rsidRPr="00617020">
        <w:t xml:space="preserve"> in enterprises) and outdoor cells that may typically operate at up to 40 dBm </w:t>
      </w:r>
      <w:proofErr w:type="spellStart"/>
      <w:r w:rsidRPr="00617020">
        <w:t>eirp</w:t>
      </w:r>
      <w:proofErr w:type="spellEnd"/>
      <w:r w:rsidRPr="00617020">
        <w:t xml:space="preserve">. </w:t>
      </w:r>
    </w:p>
    <w:p w:rsidR="00573FB3" w:rsidRPr="00617020" w:rsidRDefault="00573FB3" w:rsidP="00573FB3">
      <w:pPr>
        <w:pStyle w:val="ECCAnnexheading2"/>
        <w:rPr>
          <w:lang w:val="en-GB"/>
        </w:rPr>
      </w:pPr>
      <w:r w:rsidRPr="00617020">
        <w:rPr>
          <w:lang w:val="en-GB"/>
        </w:rPr>
        <w:lastRenderedPageBreak/>
        <w:t>UNRESTRICTED BEM FOR BASE STATIONS</w:t>
      </w:r>
    </w:p>
    <w:p w:rsidR="00573FB3" w:rsidRPr="00617020" w:rsidRDefault="00573FB3" w:rsidP="007C4348">
      <w:pPr>
        <w:pStyle w:val="ECCParagraph"/>
      </w:pPr>
      <w:r w:rsidRPr="00617020">
        <w:t xml:space="preserve">The BEM for an unrestricted spectrum block is built up by combining Tables </w:t>
      </w:r>
      <w:r w:rsidR="00266F44" w:rsidRPr="00617020">
        <w:t>2</w:t>
      </w:r>
      <w:r w:rsidRPr="00617020">
        <w:t xml:space="preserve">, </w:t>
      </w:r>
      <w:r w:rsidR="00266F44" w:rsidRPr="00617020">
        <w:t>3</w:t>
      </w:r>
      <w:r w:rsidRPr="00617020">
        <w:t xml:space="preserve"> and </w:t>
      </w:r>
      <w:r w:rsidR="00266F44" w:rsidRPr="00617020">
        <w:t>4</w:t>
      </w:r>
      <w:r w:rsidRPr="00617020">
        <w:t xml:space="preserve"> in such a way that the limit for each frequency is given by the higher value out of the baseline requirements and the block specific requirements: </w:t>
      </w:r>
    </w:p>
    <w:p w:rsidR="00573FB3" w:rsidRPr="00617020" w:rsidRDefault="00573FB3" w:rsidP="00573FB3">
      <w:pPr>
        <w:keepNext/>
        <w:numPr>
          <w:ilvl w:val="0"/>
          <w:numId w:val="2"/>
        </w:numPr>
        <w:suppressAutoHyphens/>
        <w:spacing w:before="360" w:after="240"/>
        <w:ind w:left="567" w:hanging="567"/>
        <w:jc w:val="center"/>
        <w:rPr>
          <w:rFonts w:eastAsia="Batang" w:cs="Arial"/>
          <w:b/>
          <w:color w:val="D2232A"/>
          <w:lang w:val="en-GB"/>
        </w:rPr>
      </w:pPr>
      <w:r w:rsidRPr="00617020">
        <w:rPr>
          <w:rFonts w:eastAsia="Batang" w:cs="Arial"/>
          <w:b/>
          <w:color w:val="D2232A"/>
          <w:lang w:val="en-GB"/>
        </w:rPr>
        <w:t>BS In-block e.i.r.p power limit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09"/>
        <w:gridCol w:w="2127"/>
        <w:gridCol w:w="5633"/>
      </w:tblGrid>
      <w:tr w:rsidR="00573FB3" w:rsidRPr="00617020" w:rsidTr="008E59F3">
        <w:trPr>
          <w:tblHeader/>
        </w:trPr>
        <w:tc>
          <w:tcPr>
            <w:tcW w:w="1809"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BEM element</w:t>
            </w:r>
          </w:p>
        </w:tc>
        <w:tc>
          <w:tcPr>
            <w:tcW w:w="2127"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Frequency range</w:t>
            </w:r>
          </w:p>
        </w:tc>
        <w:tc>
          <w:tcPr>
            <w:tcW w:w="563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Power limit, e.i.r.p</w:t>
            </w:r>
          </w:p>
        </w:tc>
      </w:tr>
      <w:tr w:rsidR="00573FB3" w:rsidRPr="00617020" w:rsidTr="008E59F3">
        <w:tc>
          <w:tcPr>
            <w:tcW w:w="1809"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keepNext/>
              <w:rPr>
                <w:rFonts w:cs="Arial"/>
                <w:lang w:val="en-GB"/>
              </w:rPr>
            </w:pPr>
            <w:r w:rsidRPr="00617020">
              <w:rPr>
                <w:rFonts w:cs="Arial"/>
                <w:lang w:val="en-GB"/>
              </w:rPr>
              <w:t>In-block</w:t>
            </w:r>
          </w:p>
        </w:tc>
        <w:tc>
          <w:tcPr>
            <w:tcW w:w="2127"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keepNext/>
              <w:rPr>
                <w:rFonts w:cs="Arial"/>
                <w:lang w:val="en-GB"/>
              </w:rPr>
            </w:pPr>
            <w:r w:rsidRPr="00617020">
              <w:rPr>
                <w:rFonts w:cs="Arial"/>
                <w:lang w:val="en-GB"/>
              </w:rPr>
              <w:t>Block assigned to the operator</w:t>
            </w:r>
          </w:p>
        </w:tc>
        <w:tc>
          <w:tcPr>
            <w:tcW w:w="5633"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keepNext/>
              <w:spacing w:line="288" w:lineRule="auto"/>
              <w:rPr>
                <w:rFonts w:cs="Arial"/>
                <w:lang w:val="en-GB"/>
              </w:rPr>
            </w:pPr>
            <w:r w:rsidRPr="00617020">
              <w:rPr>
                <w:rFonts w:cs="Arial"/>
                <w:lang w:val="en-GB"/>
              </w:rPr>
              <w:t xml:space="preserve"> + 61 dBm/5 MHz</w:t>
            </w:r>
          </w:p>
          <w:p w:rsidR="00573FB3" w:rsidRPr="00617020" w:rsidRDefault="00573FB3" w:rsidP="008E59F3">
            <w:pPr>
              <w:keepNext/>
              <w:spacing w:line="288" w:lineRule="auto"/>
              <w:rPr>
                <w:rFonts w:cs="Arial"/>
                <w:lang w:val="en-GB"/>
              </w:rPr>
            </w:pPr>
            <w:r w:rsidRPr="00617020">
              <w:rPr>
                <w:rFonts w:cs="Arial"/>
                <w:lang w:val="en-GB"/>
              </w:rPr>
              <w:t>CEPT administrations can relax this limit to 68 dBm/5 MHz for specific deployments e.g. in areas of low population density provided that this does not significantly increase the risk of terminal station receiver blocking.</w:t>
            </w:r>
          </w:p>
        </w:tc>
      </w:tr>
    </w:tbl>
    <w:p w:rsidR="00573FB3" w:rsidRPr="00617020" w:rsidRDefault="00573FB3" w:rsidP="00573FB3">
      <w:pPr>
        <w:rPr>
          <w:lang w:val="en-GB"/>
        </w:rPr>
      </w:pPr>
    </w:p>
    <w:p w:rsidR="00573FB3" w:rsidRPr="00617020" w:rsidRDefault="00573FB3" w:rsidP="00573FB3">
      <w:pPr>
        <w:rPr>
          <w:lang w:val="en-GB"/>
        </w:rPr>
      </w:pPr>
    </w:p>
    <w:p w:rsidR="00573FB3" w:rsidRPr="00617020" w:rsidRDefault="00573FB3" w:rsidP="00573FB3">
      <w:pPr>
        <w:keepNext/>
        <w:numPr>
          <w:ilvl w:val="0"/>
          <w:numId w:val="2"/>
        </w:numPr>
        <w:suppressAutoHyphens/>
        <w:spacing w:before="360" w:after="240"/>
        <w:ind w:left="567" w:hanging="567"/>
        <w:jc w:val="center"/>
        <w:rPr>
          <w:rFonts w:eastAsia="Batang" w:cs="Arial"/>
          <w:b/>
          <w:color w:val="D2232A"/>
          <w:lang w:val="en-GB"/>
        </w:rPr>
      </w:pPr>
      <w:r w:rsidRPr="00617020">
        <w:rPr>
          <w:rFonts w:eastAsia="Batang" w:cs="Arial"/>
          <w:b/>
          <w:color w:val="D2232A"/>
          <w:lang w:val="en-GB"/>
        </w:rPr>
        <w:t xml:space="preserve">BS Baseline requirement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09"/>
        <w:gridCol w:w="4820"/>
        <w:gridCol w:w="2940"/>
      </w:tblGrid>
      <w:tr w:rsidR="00573FB3" w:rsidRPr="00617020" w:rsidTr="008E59F3">
        <w:trPr>
          <w:tblHeader/>
        </w:trPr>
        <w:tc>
          <w:tcPr>
            <w:tcW w:w="1809"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BEM element</w:t>
            </w:r>
          </w:p>
        </w:tc>
        <w:tc>
          <w:tcPr>
            <w:tcW w:w="482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Frequency range</w:t>
            </w:r>
          </w:p>
        </w:tc>
        <w:tc>
          <w:tcPr>
            <w:tcW w:w="2940"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Maximum mean e.i.r.p</w:t>
            </w:r>
          </w:p>
        </w:tc>
      </w:tr>
      <w:tr w:rsidR="00573FB3" w:rsidRPr="00617020" w:rsidTr="008E59F3">
        <w:tc>
          <w:tcPr>
            <w:tcW w:w="1809"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r w:rsidRPr="00617020">
              <w:rPr>
                <w:rFonts w:cs="Arial"/>
                <w:lang w:val="en-GB"/>
              </w:rPr>
              <w:t xml:space="preserve">Baseline </w:t>
            </w:r>
          </w:p>
        </w:tc>
        <w:tc>
          <w:tcPr>
            <w:tcW w:w="4820" w:type="dxa"/>
            <w:tcBorders>
              <w:top w:val="single" w:sz="4" w:space="0" w:color="D2232A"/>
              <w:left w:val="single" w:sz="4" w:space="0" w:color="D2232A"/>
              <w:bottom w:val="single" w:sz="4" w:space="0" w:color="D2232A"/>
              <w:right w:val="single" w:sz="4" w:space="0" w:color="D2232A"/>
            </w:tcBorders>
          </w:tcPr>
          <w:p w:rsidR="00573FB3" w:rsidRPr="00617020" w:rsidRDefault="00573FB3" w:rsidP="00617020">
            <w:pPr>
              <w:rPr>
                <w:rFonts w:cs="Arial"/>
                <w:lang w:val="en-GB"/>
              </w:rPr>
            </w:pPr>
            <w:r w:rsidRPr="00617020">
              <w:rPr>
                <w:rFonts w:cstheme="minorHAnsi"/>
                <w:color w:val="000000" w:themeColor="text1"/>
                <w:lang w:val="en-GB"/>
              </w:rPr>
              <w:t xml:space="preserve"> FDD DL blocks (including SDL blocks), TDD blocks synchronized with the interfering TDD block </w:t>
            </w:r>
            <w:r w:rsidRPr="00617020">
              <w:rPr>
                <w:rFonts w:cstheme="minorHAnsi"/>
                <w:color w:val="000000" w:themeColor="text1"/>
                <w:vertAlign w:val="superscript"/>
                <w:lang w:val="en-GB"/>
              </w:rPr>
              <w:t>(2)</w:t>
            </w:r>
            <w:r w:rsidRPr="00617020">
              <w:rPr>
                <w:rFonts w:cstheme="minorHAnsi"/>
                <w:color w:val="000000" w:themeColor="text1"/>
                <w:lang w:val="en-GB"/>
              </w:rPr>
              <w:t>, or used for downlink only operati</w:t>
            </w:r>
            <w:r w:rsidR="00617020">
              <w:rPr>
                <w:rFonts w:cstheme="minorHAnsi"/>
                <w:color w:val="000000" w:themeColor="text1"/>
                <w:lang w:val="en-GB"/>
              </w:rPr>
              <w:t>on. It further applies to 2615-</w:t>
            </w:r>
            <w:r w:rsidRPr="00617020">
              <w:rPr>
                <w:rFonts w:cstheme="minorHAnsi"/>
                <w:color w:val="000000" w:themeColor="text1"/>
                <w:lang w:val="en-GB"/>
              </w:rPr>
              <w:t xml:space="preserve">2620 MHz.  </w:t>
            </w:r>
          </w:p>
        </w:tc>
        <w:tc>
          <w:tcPr>
            <w:tcW w:w="2940"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r w:rsidRPr="00617020">
              <w:rPr>
                <w:rFonts w:cs="Arial"/>
                <w:lang w:val="en-GB"/>
              </w:rPr>
              <w:t xml:space="preserve">+4 dBm/ MHz  </w:t>
            </w:r>
            <w:r w:rsidRPr="00617020">
              <w:rPr>
                <w:rFonts w:cs="Arial"/>
                <w:vertAlign w:val="superscript"/>
                <w:lang w:val="en-GB"/>
              </w:rPr>
              <w:t>(1)</w:t>
            </w:r>
          </w:p>
        </w:tc>
      </w:tr>
      <w:tr w:rsidR="00573FB3" w:rsidRPr="00617020" w:rsidTr="008E59F3">
        <w:tc>
          <w:tcPr>
            <w:tcW w:w="1809"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r w:rsidRPr="00617020">
              <w:rPr>
                <w:rFonts w:cs="Arial"/>
                <w:lang w:val="en-GB"/>
              </w:rPr>
              <w:t xml:space="preserve">Baseline </w:t>
            </w:r>
          </w:p>
        </w:tc>
        <w:tc>
          <w:tcPr>
            <w:tcW w:w="4820"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r w:rsidRPr="00617020">
              <w:rPr>
                <w:lang w:val="en-GB"/>
              </w:rPr>
              <w:t xml:space="preserve">Frequencies in the band 2 500-2 690 MHz not covered by the definition in the row above. </w:t>
            </w:r>
          </w:p>
        </w:tc>
        <w:tc>
          <w:tcPr>
            <w:tcW w:w="2940"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r w:rsidRPr="00617020">
              <w:rPr>
                <w:rFonts w:cs="Arial"/>
                <w:lang w:val="en-GB"/>
              </w:rPr>
              <w:t>-45 dBm/ MHz</w:t>
            </w:r>
          </w:p>
        </w:tc>
      </w:tr>
    </w:tbl>
    <w:p w:rsidR="00573FB3" w:rsidRPr="00617020" w:rsidRDefault="00573FB3" w:rsidP="00573FB3">
      <w:pPr>
        <w:rPr>
          <w:lang w:val="en-GB"/>
        </w:rPr>
      </w:pPr>
      <w:r w:rsidRPr="00617020">
        <w:rPr>
          <w:vertAlign w:val="superscript"/>
          <w:lang w:val="en-GB"/>
        </w:rPr>
        <w:t>(1)</w:t>
      </w:r>
      <w:r w:rsidRPr="00617020">
        <w:rPr>
          <w:lang w:val="en-GB"/>
        </w:rPr>
        <w:t xml:space="preserve"> </w:t>
      </w:r>
      <w:r w:rsidRPr="00617020">
        <w:rPr>
          <w:rFonts w:eastAsia="Batang"/>
          <w:lang w:val="en-GB"/>
        </w:rPr>
        <w:t>t</w:t>
      </w:r>
      <w:r w:rsidRPr="00617020">
        <w:rPr>
          <w:lang w:val="en-GB"/>
        </w:rPr>
        <w:t xml:space="preserve">he BS baseline BEM elements calculated  for protection of spectrum used for downlink transmissions is based on the assumption that the emissions come from a Macro BS. It should be noted that small cells may be deployed at lower heights and thus closer to UEs which can result in higher levels of interference if the above power limits are used. </w:t>
      </w:r>
    </w:p>
    <w:p w:rsidR="00573FB3" w:rsidRPr="00617020" w:rsidRDefault="00573FB3" w:rsidP="00573FB3">
      <w:pPr>
        <w:rPr>
          <w:lang w:val="en-GB"/>
        </w:rPr>
      </w:pPr>
      <w:r w:rsidRPr="00617020">
        <w:rPr>
          <w:vertAlign w:val="superscript"/>
          <w:lang w:val="en-GB"/>
        </w:rPr>
        <w:t xml:space="preserve"> (2) </w:t>
      </w:r>
      <w:r w:rsidRPr="00617020">
        <w:rPr>
          <w:lang w:val="en-GB"/>
        </w:rPr>
        <w:t xml:space="preserve">Synchronized operation in the context of this Decision means operation of TDD in two different systems, where no simultaneous UL reception and DL transmissions occurs.  </w:t>
      </w:r>
    </w:p>
    <w:p w:rsidR="00573FB3" w:rsidRPr="00617020" w:rsidRDefault="00573FB3" w:rsidP="00573FB3">
      <w:pPr>
        <w:pStyle w:val="ECCTabletitle"/>
        <w:rPr>
          <w:rFonts w:eastAsia="Batang"/>
        </w:rPr>
      </w:pPr>
      <w:r w:rsidRPr="00617020">
        <w:rPr>
          <w:rFonts w:eastAsia="Batang"/>
        </w:rPr>
        <w:t xml:space="preserve">BS Transitional region power limits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92"/>
        <w:gridCol w:w="3969"/>
        <w:gridCol w:w="3508"/>
      </w:tblGrid>
      <w:tr w:rsidR="00573FB3" w:rsidRPr="00617020" w:rsidTr="008E59F3">
        <w:trPr>
          <w:tblHeader/>
        </w:trPr>
        <w:tc>
          <w:tcPr>
            <w:tcW w:w="2092"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BEM element</w:t>
            </w:r>
          </w:p>
        </w:tc>
        <w:tc>
          <w:tcPr>
            <w:tcW w:w="3969"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Frequency range</w:t>
            </w:r>
          </w:p>
        </w:tc>
        <w:tc>
          <w:tcPr>
            <w:tcW w:w="350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Maximum mean e.i.r.p</w:t>
            </w:r>
          </w:p>
        </w:tc>
      </w:tr>
      <w:tr w:rsidR="00573FB3" w:rsidRPr="00617020" w:rsidTr="008E59F3">
        <w:tc>
          <w:tcPr>
            <w:tcW w:w="2092"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Transitional region</w:t>
            </w:r>
          </w:p>
        </w:tc>
        <w:tc>
          <w:tcPr>
            <w:tcW w:w="3969"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p>
          <w:p w:rsidR="00573FB3" w:rsidRPr="00617020" w:rsidRDefault="00573FB3" w:rsidP="008E59F3">
            <w:pPr>
              <w:rPr>
                <w:rFonts w:cs="Arial"/>
                <w:lang w:val="en-GB"/>
              </w:rPr>
            </w:pPr>
            <w:r w:rsidRPr="00617020">
              <w:rPr>
                <w:rFonts w:cs="Arial"/>
                <w:lang w:val="en-GB"/>
              </w:rPr>
              <w:t xml:space="preserve">-5 to 0 MHz offset from lower block edge </w:t>
            </w:r>
          </w:p>
          <w:p w:rsidR="00573FB3" w:rsidRPr="00617020" w:rsidRDefault="00573FB3" w:rsidP="008E59F3">
            <w:pPr>
              <w:rPr>
                <w:rFonts w:cs="Arial"/>
                <w:lang w:val="en-GB"/>
              </w:rPr>
            </w:pPr>
          </w:p>
        </w:tc>
        <w:tc>
          <w:tcPr>
            <w:tcW w:w="3508"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 xml:space="preserve"> +16 dBm/ 5 MHz </w:t>
            </w:r>
            <w:r w:rsidRPr="00617020">
              <w:rPr>
                <w:rFonts w:cs="Arial"/>
                <w:vertAlign w:val="superscript"/>
                <w:lang w:val="en-GB"/>
              </w:rPr>
              <w:t>(1)</w:t>
            </w:r>
            <w:r w:rsidRPr="00617020">
              <w:rPr>
                <w:rFonts w:cs="Arial"/>
                <w:lang w:val="en-GB"/>
              </w:rPr>
              <w:t xml:space="preserve"> </w:t>
            </w:r>
          </w:p>
        </w:tc>
      </w:tr>
      <w:tr w:rsidR="00573FB3" w:rsidRPr="00617020" w:rsidTr="008E59F3">
        <w:tc>
          <w:tcPr>
            <w:tcW w:w="2092"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Transitional region</w:t>
            </w:r>
          </w:p>
        </w:tc>
        <w:tc>
          <w:tcPr>
            <w:tcW w:w="3969"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p>
          <w:p w:rsidR="00573FB3" w:rsidRPr="00617020" w:rsidRDefault="00573FB3" w:rsidP="008E59F3">
            <w:pPr>
              <w:rPr>
                <w:rFonts w:cs="Arial"/>
                <w:lang w:val="en-GB"/>
              </w:rPr>
            </w:pPr>
            <w:r w:rsidRPr="00617020">
              <w:rPr>
                <w:rFonts w:cs="Arial"/>
                <w:lang w:val="en-GB"/>
              </w:rPr>
              <w:t>0 to 5 MHz offset from upper block edge</w:t>
            </w:r>
          </w:p>
          <w:p w:rsidR="00573FB3" w:rsidRPr="00617020" w:rsidRDefault="00573FB3" w:rsidP="008E59F3">
            <w:pPr>
              <w:rPr>
                <w:rFonts w:cs="Arial"/>
                <w:lang w:val="en-GB"/>
              </w:rPr>
            </w:pPr>
          </w:p>
        </w:tc>
        <w:tc>
          <w:tcPr>
            <w:tcW w:w="3508"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 xml:space="preserve"> +16 dBm/ 5 MHz </w:t>
            </w:r>
            <w:r w:rsidRPr="00617020">
              <w:rPr>
                <w:rFonts w:cs="Arial"/>
                <w:vertAlign w:val="superscript"/>
                <w:lang w:val="en-GB"/>
              </w:rPr>
              <w:t xml:space="preserve">(1) </w:t>
            </w:r>
          </w:p>
        </w:tc>
      </w:tr>
    </w:tbl>
    <w:p w:rsidR="00573FB3" w:rsidRPr="00617020" w:rsidRDefault="00573FB3" w:rsidP="00573FB3">
      <w:pPr>
        <w:rPr>
          <w:rFonts w:eastAsia="Batang"/>
          <w:lang w:val="en-GB"/>
        </w:rPr>
      </w:pPr>
    </w:p>
    <w:p w:rsidR="00573FB3" w:rsidRPr="00617020" w:rsidRDefault="00573FB3" w:rsidP="00573FB3">
      <w:pPr>
        <w:rPr>
          <w:rFonts w:eastAsia="Batang"/>
          <w:lang w:val="en-GB"/>
        </w:rPr>
      </w:pPr>
      <w:r w:rsidRPr="00617020" w:rsidDel="0023464F">
        <w:rPr>
          <w:rFonts w:eastAsia="Batang"/>
          <w:lang w:val="en-GB"/>
        </w:rPr>
        <w:t xml:space="preserve"> </w:t>
      </w:r>
      <w:r w:rsidRPr="00617020">
        <w:rPr>
          <w:vertAlign w:val="superscript"/>
          <w:lang w:val="en-GB"/>
        </w:rPr>
        <w:t>(1)</w:t>
      </w:r>
      <w:r w:rsidRPr="00617020">
        <w:rPr>
          <w:lang w:val="en-GB"/>
        </w:rPr>
        <w:t xml:space="preserve"> In table </w:t>
      </w:r>
      <w:r w:rsidR="00266F44" w:rsidRPr="00617020">
        <w:rPr>
          <w:lang w:val="en-GB"/>
        </w:rPr>
        <w:t>4</w:t>
      </w:r>
      <w:r w:rsidRPr="00617020">
        <w:rPr>
          <w:lang w:val="en-GB"/>
        </w:rPr>
        <w:t xml:space="preserve">, the BS transitional region BEM elements are based on the assumption that the emissions come from a Macro BS. It should be noted that small cells may be deployed at lower heights and thus closer to UEs which can result in higher levels of interference if the above power limits are used. </w:t>
      </w:r>
      <w:r w:rsidR="005619B3" w:rsidRPr="00617020">
        <w:rPr>
          <w:lang w:val="en-GB"/>
        </w:rPr>
        <w:t xml:space="preserve">For such cases, administrations could establish lower maximum mean e.i.r.p </w:t>
      </w:r>
      <w:r w:rsidRPr="00617020">
        <w:rPr>
          <w:lang w:val="en-GB"/>
        </w:rPr>
        <w:t xml:space="preserve"> on a national level.</w:t>
      </w:r>
    </w:p>
    <w:p w:rsidR="00573FB3" w:rsidRPr="00617020" w:rsidRDefault="00573FB3" w:rsidP="007C4348">
      <w:pPr>
        <w:pStyle w:val="ECCAnnexheading2"/>
        <w:keepNext/>
        <w:rPr>
          <w:bCs/>
          <w:iCs/>
          <w:lang w:val="en-GB"/>
        </w:rPr>
      </w:pPr>
      <w:r w:rsidRPr="00617020">
        <w:rPr>
          <w:lang w:val="en-GB"/>
        </w:rPr>
        <w:lastRenderedPageBreak/>
        <w:t>RESTRICTED BEM FOR BASE STATIONS</w:t>
      </w:r>
    </w:p>
    <w:p w:rsidR="00573FB3" w:rsidRPr="00617020" w:rsidRDefault="00573FB3" w:rsidP="007C4348">
      <w:pPr>
        <w:pStyle w:val="ECCParagraph"/>
        <w:keepNext/>
      </w:pPr>
      <w:r w:rsidRPr="00617020">
        <w:t xml:space="preserve">The BEM for a restricted spectrum block is built up by combining Tables </w:t>
      </w:r>
      <w:r w:rsidR="00266F44" w:rsidRPr="00617020">
        <w:t>3</w:t>
      </w:r>
      <w:r w:rsidRPr="00617020">
        <w:t xml:space="preserve"> and </w:t>
      </w:r>
      <w:r w:rsidR="00266F44" w:rsidRPr="00617020">
        <w:t>5</w:t>
      </w:r>
      <w:r w:rsidRPr="00617020">
        <w:t xml:space="preserve"> in such a way that the limit for each frequency is given by the higher value out of the baseline requirements and the block specific requirements.</w:t>
      </w:r>
    </w:p>
    <w:p w:rsidR="00573FB3" w:rsidRPr="00617020" w:rsidRDefault="00573FB3" w:rsidP="00573FB3">
      <w:pPr>
        <w:rPr>
          <w:lang w:val="en-GB"/>
        </w:rPr>
      </w:pPr>
      <w:r w:rsidRPr="00617020">
        <w:rPr>
          <w:lang w:val="en-GB"/>
        </w:rPr>
        <w:t xml:space="preserve">The restricted blocks are 2570-2575 MHz (except in UL mode operation in that block) and any 5 MHz block between unsynchronized TDD networks.     </w:t>
      </w:r>
    </w:p>
    <w:p w:rsidR="00573FB3" w:rsidRPr="00617020" w:rsidRDefault="00573FB3" w:rsidP="00573FB3">
      <w:pPr>
        <w:pStyle w:val="ECCTabletitle"/>
        <w:rPr>
          <w:rFonts w:eastAsia="Batang"/>
        </w:rPr>
      </w:pPr>
      <w:r w:rsidRPr="00617020">
        <w:rPr>
          <w:rFonts w:eastAsia="Batang"/>
        </w:rPr>
        <w:t>BS In-block power limit for restricted spectrum blocks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09"/>
        <w:gridCol w:w="3402"/>
        <w:gridCol w:w="4358"/>
      </w:tblGrid>
      <w:tr w:rsidR="00573FB3" w:rsidRPr="00617020" w:rsidTr="007C4348">
        <w:trPr>
          <w:tblHeader/>
        </w:trPr>
        <w:tc>
          <w:tcPr>
            <w:tcW w:w="1809"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BEM element</w:t>
            </w:r>
          </w:p>
        </w:tc>
        <w:tc>
          <w:tcPr>
            <w:tcW w:w="3402"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Frequency range</w:t>
            </w:r>
          </w:p>
        </w:tc>
        <w:tc>
          <w:tcPr>
            <w:tcW w:w="435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Power limit,</w:t>
            </w:r>
            <w:r w:rsidRPr="00617020">
              <w:rPr>
                <w:rFonts w:cs="Arial"/>
                <w:color w:val="FFFFFF"/>
                <w:lang w:val="en-GB"/>
              </w:rPr>
              <w:t xml:space="preserve"> </w:t>
            </w:r>
            <w:r w:rsidRPr="00617020">
              <w:rPr>
                <w:rFonts w:cs="Arial"/>
                <w:b/>
                <w:color w:val="FFFFFF"/>
                <w:lang w:val="en-GB"/>
              </w:rPr>
              <w:t>e.i.r.p</w:t>
            </w:r>
          </w:p>
        </w:tc>
      </w:tr>
      <w:tr w:rsidR="00573FB3" w:rsidRPr="00617020" w:rsidTr="007C4348">
        <w:tc>
          <w:tcPr>
            <w:tcW w:w="1809"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keepNext/>
              <w:rPr>
                <w:rFonts w:cs="Arial"/>
                <w:lang w:val="en-GB"/>
              </w:rPr>
            </w:pPr>
            <w:r w:rsidRPr="00617020">
              <w:rPr>
                <w:rFonts w:cs="Arial"/>
                <w:lang w:val="en-GB"/>
              </w:rPr>
              <w:t>In-block</w:t>
            </w:r>
          </w:p>
        </w:tc>
        <w:tc>
          <w:tcPr>
            <w:tcW w:w="3402"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keepNext/>
              <w:rPr>
                <w:rFonts w:cs="Arial"/>
                <w:lang w:val="en-GB"/>
              </w:rPr>
            </w:pPr>
            <w:r w:rsidRPr="00617020">
              <w:rPr>
                <w:rFonts w:cs="Arial"/>
                <w:lang w:val="en-GB"/>
              </w:rPr>
              <w:t>Restricted Block spectrum</w:t>
            </w:r>
          </w:p>
        </w:tc>
        <w:tc>
          <w:tcPr>
            <w:tcW w:w="4358"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7C4348">
            <w:pPr>
              <w:keepNext/>
              <w:spacing w:before="120" w:line="288" w:lineRule="auto"/>
              <w:rPr>
                <w:rFonts w:cs="Arial"/>
                <w:lang w:val="en-GB"/>
              </w:rPr>
            </w:pPr>
            <w:r w:rsidRPr="00617020">
              <w:rPr>
                <w:rFonts w:cs="Arial"/>
                <w:lang w:val="en-GB"/>
              </w:rPr>
              <w:t xml:space="preserve"> + 25 dBm/5 MHz  </w:t>
            </w:r>
            <w:r w:rsidRPr="00617020">
              <w:rPr>
                <w:rFonts w:cs="Arial"/>
                <w:vertAlign w:val="superscript"/>
                <w:lang w:val="en-GB"/>
              </w:rPr>
              <w:t>(1)</w:t>
            </w:r>
          </w:p>
          <w:p w:rsidR="00573FB3" w:rsidRPr="00617020" w:rsidRDefault="00573FB3" w:rsidP="008E59F3">
            <w:pPr>
              <w:keepNext/>
              <w:spacing w:line="288" w:lineRule="auto"/>
              <w:rPr>
                <w:rFonts w:cs="Arial"/>
                <w:lang w:val="en-GB"/>
              </w:rPr>
            </w:pPr>
          </w:p>
        </w:tc>
      </w:tr>
    </w:tbl>
    <w:p w:rsidR="00573FB3" w:rsidRPr="00617020" w:rsidRDefault="00573FB3" w:rsidP="00573FB3">
      <w:pPr>
        <w:rPr>
          <w:lang w:val="en-GB"/>
        </w:rPr>
      </w:pPr>
    </w:p>
    <w:p w:rsidR="00573FB3" w:rsidRPr="00617020" w:rsidRDefault="00573FB3" w:rsidP="00573FB3">
      <w:pPr>
        <w:rPr>
          <w:lang w:val="en-GB"/>
        </w:rPr>
      </w:pPr>
      <w:r w:rsidRPr="00617020">
        <w:rPr>
          <w:vertAlign w:val="superscript"/>
          <w:lang w:val="en-GB"/>
        </w:rPr>
        <w:t>(1)</w:t>
      </w:r>
      <w:r w:rsidRPr="00617020">
        <w:rPr>
          <w:lang w:val="en-GB"/>
        </w:rPr>
        <w:t xml:space="preserve"> It is noted that in some deployment scenarios this in-block power limit may not guarantee interference free UL operation in adjacent channels, although this would typically be mitigated by building penetration loss and/or difference in antenna height. Other mitigation methods may also be applied. </w:t>
      </w:r>
    </w:p>
    <w:p w:rsidR="00573FB3" w:rsidRPr="00617020" w:rsidRDefault="00573FB3" w:rsidP="00573FB3">
      <w:pPr>
        <w:pStyle w:val="ECCAnnexheading2"/>
        <w:rPr>
          <w:lang w:val="en-GB"/>
        </w:rPr>
      </w:pPr>
      <w:r w:rsidRPr="00617020">
        <w:rPr>
          <w:lang w:val="en-GB"/>
        </w:rPr>
        <w:t xml:space="preserve"> RESTRICTED BEM FOR BASE STATIONS WITH RESTRICTIONS ON ANTENNA PLACEMENT</w:t>
      </w:r>
    </w:p>
    <w:p w:rsidR="00573FB3" w:rsidRPr="00617020" w:rsidRDefault="00573FB3" w:rsidP="00573FB3">
      <w:pPr>
        <w:rPr>
          <w:lang w:val="en-GB"/>
        </w:rPr>
      </w:pPr>
      <w:r w:rsidRPr="00617020">
        <w:rPr>
          <w:lang w:val="en-GB"/>
        </w:rPr>
        <w:t xml:space="preserve">In cases where antennas are placed indoors or where the antenna height is below a certain height, a CEPT administration may use alternative parameters in line with Table </w:t>
      </w:r>
      <w:r w:rsidR="00266F44" w:rsidRPr="00617020">
        <w:rPr>
          <w:lang w:val="en-GB"/>
        </w:rPr>
        <w:t>6</w:t>
      </w:r>
      <w:r w:rsidRPr="00617020">
        <w:rPr>
          <w:lang w:val="en-GB"/>
        </w:rPr>
        <w:t xml:space="preserve">, provided that at geographical borders to other countries Table </w:t>
      </w:r>
      <w:r w:rsidR="00266F44" w:rsidRPr="00617020">
        <w:rPr>
          <w:lang w:val="en-GB"/>
        </w:rPr>
        <w:t>3</w:t>
      </w:r>
      <w:r w:rsidRPr="00617020">
        <w:rPr>
          <w:lang w:val="en-GB"/>
        </w:rPr>
        <w:t xml:space="preserve"> applies and that Table </w:t>
      </w:r>
      <w:r w:rsidR="00266F44" w:rsidRPr="00617020">
        <w:rPr>
          <w:lang w:val="en-GB"/>
        </w:rPr>
        <w:t>5</w:t>
      </w:r>
      <w:r w:rsidRPr="00617020">
        <w:rPr>
          <w:lang w:val="en-GB"/>
        </w:rPr>
        <w:t xml:space="preserve"> remains valid nationwide. </w:t>
      </w:r>
    </w:p>
    <w:p w:rsidR="00573FB3" w:rsidRPr="00617020" w:rsidRDefault="00573FB3" w:rsidP="00573FB3">
      <w:pPr>
        <w:rPr>
          <w:lang w:val="en-GB"/>
        </w:rPr>
      </w:pPr>
      <w:r w:rsidRPr="00617020">
        <w:rPr>
          <w:lang w:val="en-GB"/>
        </w:rPr>
        <w:t xml:space="preserve">It should be noted that restricted power use along with additional restrictions on the placement of antennas (such as being indoor or under a certain height) is applicable even if the channel bandwidth of the restricted power use is more than 5MHz.   </w:t>
      </w:r>
    </w:p>
    <w:p w:rsidR="00573FB3" w:rsidRPr="00617020" w:rsidRDefault="00573FB3" w:rsidP="00573FB3">
      <w:pPr>
        <w:pStyle w:val="ECCTabletitle"/>
        <w:rPr>
          <w:rFonts w:eastAsia="Batang"/>
        </w:rPr>
      </w:pPr>
      <w:r w:rsidRPr="00617020">
        <w:rPr>
          <w:rFonts w:eastAsia="Batang"/>
        </w:rPr>
        <w:t>BS BEM for restricted spectrum blocks with restrictions on antenna 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51"/>
        <w:gridCol w:w="4820"/>
        <w:gridCol w:w="2798"/>
      </w:tblGrid>
      <w:tr w:rsidR="00573FB3" w:rsidRPr="00617020" w:rsidTr="008E59F3">
        <w:trPr>
          <w:tblHeader/>
        </w:trPr>
        <w:tc>
          <w:tcPr>
            <w:tcW w:w="1951"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BEM element</w:t>
            </w:r>
          </w:p>
        </w:tc>
        <w:tc>
          <w:tcPr>
            <w:tcW w:w="482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Frequency range</w:t>
            </w:r>
          </w:p>
        </w:tc>
        <w:tc>
          <w:tcPr>
            <w:tcW w:w="279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573FB3" w:rsidRPr="00617020" w:rsidRDefault="00573FB3" w:rsidP="008E59F3">
            <w:pPr>
              <w:keepNext/>
              <w:spacing w:line="288" w:lineRule="auto"/>
              <w:jc w:val="center"/>
              <w:rPr>
                <w:rFonts w:cs="Arial"/>
                <w:b/>
                <w:color w:val="FFFFFF"/>
                <w:lang w:val="en-GB"/>
              </w:rPr>
            </w:pPr>
            <w:r w:rsidRPr="00617020">
              <w:rPr>
                <w:rFonts w:cs="Arial"/>
                <w:b/>
                <w:color w:val="FFFFFF"/>
                <w:lang w:val="en-GB"/>
              </w:rPr>
              <w:t>Maximum mean e.i.r.p</w:t>
            </w:r>
          </w:p>
        </w:tc>
      </w:tr>
      <w:tr w:rsidR="00573FB3" w:rsidRPr="00617020" w:rsidTr="008E59F3">
        <w:tc>
          <w:tcPr>
            <w:tcW w:w="1951"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 xml:space="preserve">Baseline </w:t>
            </w:r>
          </w:p>
        </w:tc>
        <w:tc>
          <w:tcPr>
            <w:tcW w:w="4820"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p>
          <w:p w:rsidR="00573FB3" w:rsidRPr="00617020" w:rsidRDefault="00573FB3" w:rsidP="008E59F3">
            <w:pPr>
              <w:rPr>
                <w:rFonts w:cs="Arial"/>
                <w:lang w:val="en-GB"/>
              </w:rPr>
            </w:pPr>
            <w:r w:rsidRPr="00617020">
              <w:rPr>
                <w:rFonts w:cs="Arial"/>
                <w:lang w:val="en-GB"/>
              </w:rPr>
              <w:t>Start of the band (2500 MHz) to -5 MHz (lower edge)</w:t>
            </w:r>
          </w:p>
          <w:p w:rsidR="00573FB3" w:rsidRPr="00617020" w:rsidRDefault="00573FB3" w:rsidP="008E59F3">
            <w:pPr>
              <w:rPr>
                <w:rFonts w:cs="Arial"/>
                <w:lang w:val="en-GB"/>
              </w:rPr>
            </w:pPr>
          </w:p>
        </w:tc>
        <w:tc>
          <w:tcPr>
            <w:tcW w:w="2798"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 xml:space="preserve">-22 dBm/MHz </w:t>
            </w:r>
          </w:p>
        </w:tc>
      </w:tr>
      <w:tr w:rsidR="00573FB3" w:rsidRPr="00617020" w:rsidTr="008E59F3">
        <w:tc>
          <w:tcPr>
            <w:tcW w:w="1951"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Transitional region</w:t>
            </w:r>
          </w:p>
        </w:tc>
        <w:tc>
          <w:tcPr>
            <w:tcW w:w="4820"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p>
          <w:p w:rsidR="00573FB3" w:rsidRPr="00617020" w:rsidRDefault="00573FB3" w:rsidP="008E59F3">
            <w:pPr>
              <w:rPr>
                <w:rFonts w:cs="Arial"/>
                <w:lang w:val="en-GB"/>
              </w:rPr>
            </w:pPr>
            <w:r w:rsidRPr="00617020">
              <w:rPr>
                <w:rFonts w:cs="Arial"/>
                <w:lang w:val="en-GB"/>
              </w:rPr>
              <w:t xml:space="preserve">-5 to 0 MHz offset from lower block edge </w:t>
            </w:r>
          </w:p>
          <w:p w:rsidR="00573FB3" w:rsidRPr="00617020" w:rsidRDefault="00573FB3" w:rsidP="008E59F3">
            <w:pPr>
              <w:rPr>
                <w:rFonts w:cs="Arial"/>
                <w:lang w:val="en-GB"/>
              </w:rPr>
            </w:pPr>
          </w:p>
        </w:tc>
        <w:tc>
          <w:tcPr>
            <w:tcW w:w="2798"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 xml:space="preserve"> -6 dBm/ 5MHz  </w:t>
            </w:r>
          </w:p>
        </w:tc>
      </w:tr>
      <w:tr w:rsidR="00573FB3" w:rsidRPr="00617020" w:rsidTr="008E59F3">
        <w:tc>
          <w:tcPr>
            <w:tcW w:w="1951"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Transitional region</w:t>
            </w:r>
          </w:p>
        </w:tc>
        <w:tc>
          <w:tcPr>
            <w:tcW w:w="4820"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p>
          <w:p w:rsidR="00573FB3" w:rsidRPr="00617020" w:rsidRDefault="00573FB3" w:rsidP="008E59F3">
            <w:pPr>
              <w:rPr>
                <w:rFonts w:cs="Arial"/>
                <w:lang w:val="en-GB"/>
              </w:rPr>
            </w:pPr>
            <w:r w:rsidRPr="00617020">
              <w:rPr>
                <w:rFonts w:cs="Arial"/>
                <w:lang w:val="en-GB"/>
              </w:rPr>
              <w:t>0 to 5 MHz offset from upper block edge</w:t>
            </w:r>
          </w:p>
          <w:p w:rsidR="00573FB3" w:rsidRPr="00617020" w:rsidRDefault="00573FB3" w:rsidP="008E59F3">
            <w:pPr>
              <w:rPr>
                <w:rFonts w:cs="Arial"/>
                <w:lang w:val="en-GB"/>
              </w:rPr>
            </w:pPr>
          </w:p>
        </w:tc>
        <w:tc>
          <w:tcPr>
            <w:tcW w:w="2798"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 xml:space="preserve"> -6 dBm/ 5 MHz </w:t>
            </w:r>
          </w:p>
        </w:tc>
      </w:tr>
      <w:tr w:rsidR="00573FB3" w:rsidRPr="00617020" w:rsidTr="008E59F3">
        <w:tc>
          <w:tcPr>
            <w:tcW w:w="1951"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Baseline</w:t>
            </w:r>
          </w:p>
        </w:tc>
        <w:tc>
          <w:tcPr>
            <w:tcW w:w="4820" w:type="dxa"/>
            <w:tcBorders>
              <w:top w:val="single" w:sz="4" w:space="0" w:color="D2232A"/>
              <w:left w:val="single" w:sz="4" w:space="0" w:color="D2232A"/>
              <w:bottom w:val="single" w:sz="4" w:space="0" w:color="D2232A"/>
              <w:right w:val="single" w:sz="4" w:space="0" w:color="D2232A"/>
            </w:tcBorders>
          </w:tcPr>
          <w:p w:rsidR="00573FB3" w:rsidRPr="00617020" w:rsidRDefault="00573FB3" w:rsidP="008E59F3">
            <w:pPr>
              <w:rPr>
                <w:rFonts w:cs="Arial"/>
                <w:lang w:val="en-GB"/>
              </w:rPr>
            </w:pPr>
          </w:p>
          <w:p w:rsidR="00573FB3" w:rsidRPr="00617020" w:rsidRDefault="00573FB3" w:rsidP="008E59F3">
            <w:pPr>
              <w:rPr>
                <w:rFonts w:cs="Arial"/>
                <w:lang w:val="en-GB"/>
              </w:rPr>
            </w:pPr>
            <w:r w:rsidRPr="00617020">
              <w:rPr>
                <w:rFonts w:cs="Arial"/>
                <w:lang w:val="en-GB"/>
              </w:rPr>
              <w:t>+5 MHz (upper edge) to end of band (2690 MHz)</w:t>
            </w:r>
          </w:p>
          <w:p w:rsidR="00573FB3" w:rsidRPr="00617020" w:rsidRDefault="00573FB3" w:rsidP="008E59F3">
            <w:pPr>
              <w:rPr>
                <w:rFonts w:cs="Arial"/>
                <w:lang w:val="en-GB"/>
              </w:rPr>
            </w:pPr>
          </w:p>
        </w:tc>
        <w:tc>
          <w:tcPr>
            <w:tcW w:w="2798"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8E59F3">
            <w:pPr>
              <w:rPr>
                <w:rFonts w:cs="Arial"/>
                <w:lang w:val="en-GB"/>
              </w:rPr>
            </w:pPr>
            <w:r w:rsidRPr="00617020">
              <w:rPr>
                <w:rFonts w:cs="Arial"/>
                <w:lang w:val="en-GB"/>
              </w:rPr>
              <w:t>-22 dBm/MHz</w:t>
            </w:r>
          </w:p>
        </w:tc>
      </w:tr>
    </w:tbl>
    <w:p w:rsidR="00573FB3" w:rsidRPr="00617020" w:rsidRDefault="00573FB3" w:rsidP="007C4348">
      <w:pPr>
        <w:pStyle w:val="ECCAnnexheading2"/>
        <w:keepNext/>
        <w:rPr>
          <w:lang w:val="en-GB"/>
        </w:rPr>
      </w:pPr>
      <w:r w:rsidRPr="00617020">
        <w:rPr>
          <w:lang w:val="en-GB"/>
        </w:rPr>
        <w:lastRenderedPageBreak/>
        <w:t>LIMITS FOR TERMINAL STATIONS</w:t>
      </w:r>
    </w:p>
    <w:p w:rsidR="00573FB3" w:rsidRPr="00617020" w:rsidRDefault="00573FB3" w:rsidP="007C4348">
      <w:pPr>
        <w:pStyle w:val="ECCTabletitle"/>
        <w:keepNext/>
        <w:rPr>
          <w:rFonts w:eastAsia="Batang"/>
        </w:rPr>
      </w:pPr>
      <w:r w:rsidRPr="00617020">
        <w:rPr>
          <w:rFonts w:eastAsia="Batang"/>
        </w:rPr>
        <w:t>In-block power limits for terminal stations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92"/>
        <w:gridCol w:w="3969"/>
        <w:gridCol w:w="3508"/>
      </w:tblGrid>
      <w:tr w:rsidR="00573FB3" w:rsidRPr="00617020" w:rsidTr="008E59F3">
        <w:trPr>
          <w:tblHeader/>
        </w:trPr>
        <w:tc>
          <w:tcPr>
            <w:tcW w:w="2092"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573FB3" w:rsidRPr="00617020" w:rsidRDefault="00573FB3" w:rsidP="007C4348">
            <w:pPr>
              <w:keepNext/>
              <w:spacing w:line="288" w:lineRule="auto"/>
              <w:jc w:val="center"/>
              <w:rPr>
                <w:rFonts w:cs="Arial"/>
                <w:b/>
                <w:color w:val="FFFFFF"/>
                <w:lang w:val="en-GB"/>
              </w:rPr>
            </w:pPr>
            <w:r w:rsidRPr="00617020">
              <w:rPr>
                <w:rFonts w:cs="Arial"/>
                <w:b/>
                <w:color w:val="FFFFFF"/>
                <w:lang w:val="en-GB"/>
              </w:rPr>
              <w:t>BEM element</w:t>
            </w:r>
          </w:p>
        </w:tc>
        <w:tc>
          <w:tcPr>
            <w:tcW w:w="3969"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573FB3" w:rsidRPr="00617020" w:rsidRDefault="00573FB3" w:rsidP="007C4348">
            <w:pPr>
              <w:keepNext/>
              <w:spacing w:line="288" w:lineRule="auto"/>
              <w:jc w:val="center"/>
              <w:rPr>
                <w:rFonts w:cs="Arial"/>
                <w:b/>
                <w:color w:val="FFFFFF"/>
                <w:lang w:val="en-GB"/>
              </w:rPr>
            </w:pPr>
          </w:p>
        </w:tc>
        <w:tc>
          <w:tcPr>
            <w:tcW w:w="350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573FB3" w:rsidRPr="00617020" w:rsidRDefault="00573FB3" w:rsidP="007C4348">
            <w:pPr>
              <w:keepNext/>
              <w:spacing w:line="288" w:lineRule="auto"/>
              <w:jc w:val="center"/>
              <w:rPr>
                <w:rFonts w:cs="Arial"/>
                <w:b/>
                <w:color w:val="FFFFFF"/>
                <w:lang w:val="en-GB"/>
              </w:rPr>
            </w:pPr>
            <w:r w:rsidRPr="00617020">
              <w:rPr>
                <w:rFonts w:cs="Arial"/>
                <w:b/>
                <w:color w:val="FFFFFF"/>
                <w:lang w:val="en-GB"/>
              </w:rPr>
              <w:t>Maximum mean power</w:t>
            </w:r>
          </w:p>
          <w:p w:rsidR="00573FB3" w:rsidRPr="00617020" w:rsidRDefault="00573FB3" w:rsidP="007C4348">
            <w:pPr>
              <w:keepNext/>
              <w:spacing w:line="288" w:lineRule="auto"/>
              <w:jc w:val="center"/>
              <w:rPr>
                <w:rFonts w:cs="Arial"/>
                <w:b/>
                <w:color w:val="FFFFFF"/>
                <w:lang w:val="en-GB"/>
              </w:rPr>
            </w:pPr>
            <w:r w:rsidRPr="00617020">
              <w:rPr>
                <w:rFonts w:cs="Arial"/>
                <w:color w:val="FFFFFF"/>
                <w:lang w:val="en-GB"/>
              </w:rPr>
              <w:t>(including Automatic Transmitter Power Control (ATPC) range</w:t>
            </w:r>
            <w:r w:rsidRPr="00617020">
              <w:rPr>
                <w:rFonts w:cs="Arial"/>
                <w:b/>
                <w:color w:val="FFFFFF"/>
                <w:lang w:val="en-GB"/>
              </w:rPr>
              <w:t>)</w:t>
            </w:r>
          </w:p>
        </w:tc>
      </w:tr>
      <w:tr w:rsidR="00573FB3" w:rsidRPr="00617020" w:rsidTr="008E59F3">
        <w:tc>
          <w:tcPr>
            <w:tcW w:w="2092"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617020">
            <w:pPr>
              <w:keepNext/>
              <w:spacing w:before="120" w:after="120"/>
              <w:rPr>
                <w:rFonts w:cs="Arial"/>
                <w:lang w:val="en-GB"/>
              </w:rPr>
            </w:pPr>
            <w:r w:rsidRPr="00617020">
              <w:rPr>
                <w:rFonts w:cs="Arial"/>
                <w:lang w:val="en-GB"/>
              </w:rPr>
              <w:t xml:space="preserve">In-block </w:t>
            </w:r>
          </w:p>
        </w:tc>
        <w:tc>
          <w:tcPr>
            <w:tcW w:w="3969" w:type="dxa"/>
            <w:tcBorders>
              <w:top w:val="single" w:sz="4" w:space="0" w:color="D2232A"/>
              <w:left w:val="single" w:sz="4" w:space="0" w:color="D2232A"/>
              <w:bottom w:val="single" w:sz="4" w:space="0" w:color="D2232A"/>
              <w:right w:val="single" w:sz="4" w:space="0" w:color="D2232A"/>
            </w:tcBorders>
          </w:tcPr>
          <w:p w:rsidR="00573FB3" w:rsidRPr="00617020" w:rsidRDefault="00573FB3" w:rsidP="00617020">
            <w:pPr>
              <w:keepNext/>
              <w:spacing w:before="120" w:after="120"/>
              <w:rPr>
                <w:rFonts w:cs="Arial"/>
                <w:lang w:val="en-GB"/>
              </w:rPr>
            </w:pPr>
            <w:r w:rsidRPr="00617020">
              <w:rPr>
                <w:rFonts w:cs="Arial"/>
                <w:lang w:val="en-GB"/>
              </w:rPr>
              <w:t>Total radiated power (TRP)</w:t>
            </w:r>
          </w:p>
        </w:tc>
        <w:tc>
          <w:tcPr>
            <w:tcW w:w="3508"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617020">
            <w:pPr>
              <w:keepNext/>
              <w:spacing w:before="120" w:after="120"/>
              <w:rPr>
                <w:rFonts w:cs="Arial"/>
                <w:lang w:val="en-GB"/>
              </w:rPr>
            </w:pPr>
            <w:r w:rsidRPr="00617020">
              <w:rPr>
                <w:rFonts w:cs="Arial"/>
                <w:lang w:val="en-GB"/>
              </w:rPr>
              <w:t>31 dBm/5 MHz</w:t>
            </w:r>
          </w:p>
        </w:tc>
      </w:tr>
      <w:tr w:rsidR="00573FB3" w:rsidRPr="00617020" w:rsidTr="008E59F3">
        <w:tc>
          <w:tcPr>
            <w:tcW w:w="2092"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617020">
            <w:pPr>
              <w:spacing w:before="120" w:after="120"/>
              <w:rPr>
                <w:rFonts w:cs="Arial"/>
                <w:lang w:val="en-GB"/>
              </w:rPr>
            </w:pPr>
            <w:r w:rsidRPr="00617020">
              <w:rPr>
                <w:rFonts w:cs="Arial"/>
                <w:lang w:val="en-GB"/>
              </w:rPr>
              <w:t xml:space="preserve">In-block </w:t>
            </w:r>
          </w:p>
        </w:tc>
        <w:tc>
          <w:tcPr>
            <w:tcW w:w="3969" w:type="dxa"/>
            <w:tcBorders>
              <w:top w:val="single" w:sz="4" w:space="0" w:color="D2232A"/>
              <w:left w:val="single" w:sz="4" w:space="0" w:color="D2232A"/>
              <w:bottom w:val="single" w:sz="4" w:space="0" w:color="D2232A"/>
              <w:right w:val="single" w:sz="4" w:space="0" w:color="D2232A"/>
            </w:tcBorders>
          </w:tcPr>
          <w:p w:rsidR="00573FB3" w:rsidRPr="00617020" w:rsidRDefault="00573FB3" w:rsidP="00617020">
            <w:pPr>
              <w:spacing w:before="120" w:after="120"/>
              <w:rPr>
                <w:rFonts w:cs="Arial"/>
                <w:lang w:val="en-GB"/>
              </w:rPr>
            </w:pPr>
            <w:r w:rsidRPr="00617020">
              <w:rPr>
                <w:rFonts w:cs="Arial"/>
                <w:lang w:val="en-GB"/>
              </w:rPr>
              <w:t>e.i.r.p.</w:t>
            </w:r>
          </w:p>
        </w:tc>
        <w:tc>
          <w:tcPr>
            <w:tcW w:w="3508" w:type="dxa"/>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617020">
            <w:pPr>
              <w:spacing w:before="120" w:after="120"/>
              <w:rPr>
                <w:rFonts w:cs="Arial"/>
                <w:lang w:val="en-GB"/>
              </w:rPr>
            </w:pPr>
            <w:r w:rsidRPr="00617020">
              <w:rPr>
                <w:rFonts w:cs="Arial"/>
                <w:lang w:val="en-GB"/>
              </w:rPr>
              <w:t>35 dBm/5 MHz</w:t>
            </w:r>
          </w:p>
        </w:tc>
      </w:tr>
      <w:tr w:rsidR="00573FB3" w:rsidRPr="00617020" w:rsidTr="008E59F3">
        <w:tc>
          <w:tcPr>
            <w:tcW w:w="9569" w:type="dxa"/>
            <w:gridSpan w:val="3"/>
            <w:tcBorders>
              <w:top w:val="single" w:sz="4" w:space="0" w:color="D2232A"/>
              <w:left w:val="single" w:sz="4" w:space="0" w:color="D2232A"/>
              <w:bottom w:val="single" w:sz="4" w:space="0" w:color="D2232A"/>
              <w:right w:val="single" w:sz="4" w:space="0" w:color="D2232A"/>
            </w:tcBorders>
            <w:vAlign w:val="center"/>
          </w:tcPr>
          <w:p w:rsidR="00573FB3" w:rsidRPr="00617020" w:rsidRDefault="00573FB3" w:rsidP="007C4348">
            <w:pPr>
              <w:rPr>
                <w:rFonts w:cs="Arial"/>
                <w:lang w:val="en-GB"/>
              </w:rPr>
            </w:pPr>
            <w:r w:rsidRPr="00617020">
              <w:rPr>
                <w:rFonts w:cs="Arial"/>
                <w:lang w:val="en-GB"/>
              </w:rPr>
              <w:t xml:space="preserve">NB: </w:t>
            </w:r>
            <w:r w:rsidR="007C4348" w:rsidRPr="00617020">
              <w:rPr>
                <w:rFonts w:cs="Arial"/>
                <w:lang w:val="en-GB"/>
              </w:rPr>
              <w:t>e</w:t>
            </w:r>
            <w:r w:rsidRPr="00617020">
              <w:rPr>
                <w:rFonts w:cs="Arial"/>
                <w:lang w:val="en-GB"/>
              </w:rPr>
              <w:t>.i.r.p. should be used for fixed or installed terminal stations and the TRP should be used for the mobile or nomadic terminal stations. TRP is a measure of how much power the antenna actually radiates. The TRP is defined as the integral of the power transmitted in different directions over the entire radiation sphere.</w:t>
            </w:r>
          </w:p>
        </w:tc>
      </w:tr>
    </w:tbl>
    <w:p w:rsidR="00573FB3" w:rsidRPr="00617020" w:rsidRDefault="00573FB3" w:rsidP="00573FB3">
      <w:pPr>
        <w:pStyle w:val="ECCAnnexheading2"/>
        <w:rPr>
          <w:bCs/>
          <w:iCs/>
          <w:lang w:val="en-GB"/>
        </w:rPr>
      </w:pPr>
      <w:r w:rsidRPr="00617020">
        <w:rPr>
          <w:lang w:val="en-GB"/>
        </w:rPr>
        <w:t>Examples of Combining BEM elements</w:t>
      </w:r>
    </w:p>
    <w:p w:rsidR="00573FB3" w:rsidRPr="00617020" w:rsidRDefault="00573FB3" w:rsidP="00573FB3">
      <w:pPr>
        <w:rPr>
          <w:lang w:val="en-GB"/>
        </w:rPr>
      </w:pPr>
      <w:r w:rsidRPr="00617020">
        <w:rPr>
          <w:lang w:val="en-GB"/>
        </w:rPr>
        <w:t>The BEM elements as described above are combined to provide a BEM for a particular block. Figures 2 to 5 provide examples of such combinations of BEM elements for TDD and FDD.</w:t>
      </w:r>
    </w:p>
    <w:p w:rsidR="007C4348" w:rsidRPr="00617020" w:rsidRDefault="007C4348" w:rsidP="00573FB3">
      <w:pPr>
        <w:rPr>
          <w:lang w:val="en-GB"/>
        </w:rPr>
      </w:pPr>
    </w:p>
    <w:p w:rsidR="00573FB3" w:rsidRPr="00617020" w:rsidRDefault="00573FB3" w:rsidP="00573FB3">
      <w:pPr>
        <w:rPr>
          <w:lang w:val="en-GB"/>
        </w:rPr>
      </w:pPr>
    </w:p>
    <w:p w:rsidR="007C4348" w:rsidRPr="00617020" w:rsidRDefault="007C4348" w:rsidP="00573FB3">
      <w:pPr>
        <w:rPr>
          <w:lang w:val="en-GB"/>
        </w:rPr>
      </w:pPr>
    </w:p>
    <w:p w:rsidR="00573FB3" w:rsidRPr="00617020" w:rsidRDefault="00573FB3" w:rsidP="00BD4D75">
      <w:pPr>
        <w:jc w:val="center"/>
        <w:rPr>
          <w:lang w:val="en-GB"/>
        </w:rPr>
      </w:pPr>
      <w:r w:rsidRPr="00617020">
        <w:rPr>
          <w:noProof/>
          <w:lang w:val="en-GB" w:eastAsia="en-GB"/>
        </w:rPr>
        <w:drawing>
          <wp:inline distT="0" distB="0" distL="0" distR="0" wp14:anchorId="057663B1" wp14:editId="29DB3892">
            <wp:extent cx="4611600" cy="23724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D block-SDL.png"/>
                    <pic:cNvPicPr/>
                  </pic:nvPicPr>
                  <pic:blipFill>
                    <a:blip r:embed="rId15">
                      <a:extLst>
                        <a:ext uri="{28A0092B-C50C-407E-A947-70E740481C1C}">
                          <a14:useLocalDpi xmlns:a14="http://schemas.microsoft.com/office/drawing/2010/main" val="0"/>
                        </a:ext>
                      </a:extLst>
                    </a:blip>
                    <a:stretch>
                      <a:fillRect/>
                    </a:stretch>
                  </pic:blipFill>
                  <pic:spPr>
                    <a:xfrm>
                      <a:off x="0" y="0"/>
                      <a:ext cx="4611600" cy="2372400"/>
                    </a:xfrm>
                    <a:prstGeom prst="rect">
                      <a:avLst/>
                    </a:prstGeom>
                  </pic:spPr>
                </pic:pic>
              </a:graphicData>
            </a:graphic>
          </wp:inline>
        </w:drawing>
      </w:r>
    </w:p>
    <w:p w:rsidR="00573FB3" w:rsidRPr="00617020" w:rsidRDefault="00573FB3" w:rsidP="00573FB3">
      <w:pPr>
        <w:rPr>
          <w:b/>
          <w:lang w:val="en-GB"/>
        </w:rPr>
      </w:pPr>
    </w:p>
    <w:p w:rsidR="00BD4D75" w:rsidRPr="00617020" w:rsidRDefault="00BD4D75" w:rsidP="00BD4D75">
      <w:pPr>
        <w:pStyle w:val="ECCFiguretitle"/>
      </w:pPr>
      <w:r w:rsidRPr="00617020">
        <w:t xml:space="preserve">Combined BEM elements for an FDD block above 2620 MHz </w:t>
      </w:r>
      <w:r w:rsidR="007C4348" w:rsidRPr="00617020">
        <w:br/>
      </w:r>
      <w:r w:rsidRPr="00617020">
        <w:t>with</w:t>
      </w:r>
      <w:r w:rsidR="007C4348" w:rsidRPr="00617020">
        <w:t xml:space="preserve"> </w:t>
      </w:r>
      <w:r w:rsidRPr="00617020">
        <w:t xml:space="preserve">downlink only operation within 2570-2620 MHz </w:t>
      </w:r>
    </w:p>
    <w:p w:rsidR="00573FB3" w:rsidRPr="00617020" w:rsidRDefault="00573FB3" w:rsidP="00573FB3">
      <w:pPr>
        <w:rPr>
          <w:b/>
          <w:lang w:val="en-GB"/>
        </w:rPr>
      </w:pPr>
    </w:p>
    <w:p w:rsidR="00573FB3" w:rsidRPr="00617020" w:rsidRDefault="00573FB3" w:rsidP="00573FB3">
      <w:pPr>
        <w:rPr>
          <w:b/>
          <w:lang w:val="en-GB"/>
        </w:rPr>
      </w:pPr>
    </w:p>
    <w:p w:rsidR="00573FB3" w:rsidRPr="00617020" w:rsidRDefault="00573FB3" w:rsidP="00573FB3">
      <w:pPr>
        <w:rPr>
          <w:lang w:val="en-GB"/>
        </w:rPr>
      </w:pPr>
    </w:p>
    <w:p w:rsidR="00573FB3" w:rsidRPr="00617020" w:rsidRDefault="00573FB3" w:rsidP="00BD4D75">
      <w:pPr>
        <w:jc w:val="center"/>
        <w:rPr>
          <w:lang w:val="en-GB"/>
        </w:rPr>
      </w:pPr>
      <w:r w:rsidRPr="00617020">
        <w:rPr>
          <w:noProof/>
          <w:lang w:val="en-GB" w:eastAsia="en-GB"/>
        </w:rPr>
        <w:lastRenderedPageBreak/>
        <w:drawing>
          <wp:inline distT="0" distB="0" distL="0" distR="0" wp14:anchorId="5A160683" wp14:editId="1A04C8C0">
            <wp:extent cx="4680000" cy="23724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D block-TDD.png"/>
                    <pic:cNvPicPr/>
                  </pic:nvPicPr>
                  <pic:blipFill>
                    <a:blip r:embed="rId16">
                      <a:extLst>
                        <a:ext uri="{28A0092B-C50C-407E-A947-70E740481C1C}">
                          <a14:useLocalDpi xmlns:a14="http://schemas.microsoft.com/office/drawing/2010/main" val="0"/>
                        </a:ext>
                      </a:extLst>
                    </a:blip>
                    <a:stretch>
                      <a:fillRect/>
                    </a:stretch>
                  </pic:blipFill>
                  <pic:spPr>
                    <a:xfrm>
                      <a:off x="0" y="0"/>
                      <a:ext cx="4680000" cy="2372400"/>
                    </a:xfrm>
                    <a:prstGeom prst="rect">
                      <a:avLst/>
                    </a:prstGeom>
                  </pic:spPr>
                </pic:pic>
              </a:graphicData>
            </a:graphic>
          </wp:inline>
        </w:drawing>
      </w:r>
    </w:p>
    <w:p w:rsidR="00BD4D75" w:rsidRPr="00617020" w:rsidRDefault="00BD4D75" w:rsidP="00BD4D75">
      <w:pPr>
        <w:pStyle w:val="ECCFiguretitle"/>
      </w:pPr>
      <w:r w:rsidRPr="00617020">
        <w:t xml:space="preserve">Combined BEM elements for an FDD block with TDD </w:t>
      </w:r>
      <w:r w:rsidR="007C4348" w:rsidRPr="00617020">
        <w:br/>
      </w:r>
      <w:r w:rsidRPr="00617020">
        <w:t>(synchronized/unsynchronized) networks within 2570-2620 MHz</w:t>
      </w:r>
    </w:p>
    <w:p w:rsidR="007C4348" w:rsidRPr="00617020" w:rsidRDefault="007C4348" w:rsidP="007C4348">
      <w:pPr>
        <w:pStyle w:val="ECCParagraph"/>
      </w:pPr>
    </w:p>
    <w:p w:rsidR="007C4348" w:rsidRPr="00617020" w:rsidRDefault="007C4348" w:rsidP="007C4348">
      <w:pPr>
        <w:pStyle w:val="ECCParagraph"/>
      </w:pPr>
    </w:p>
    <w:p w:rsidR="00573FB3" w:rsidRPr="00617020" w:rsidRDefault="00573FB3" w:rsidP="00BD4D75">
      <w:pPr>
        <w:jc w:val="center"/>
        <w:rPr>
          <w:lang w:val="en-GB"/>
        </w:rPr>
      </w:pPr>
      <w:r w:rsidRPr="00617020">
        <w:rPr>
          <w:noProof/>
          <w:lang w:val="en-GB" w:eastAsia="en-GB"/>
        </w:rPr>
        <w:drawing>
          <wp:inline distT="0" distB="0" distL="0" distR="0" wp14:anchorId="44963C93" wp14:editId="529EB08A">
            <wp:extent cx="4680000" cy="24336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D-sync.png"/>
                    <pic:cNvPicPr/>
                  </pic:nvPicPr>
                  <pic:blipFill>
                    <a:blip r:embed="rId17">
                      <a:extLst>
                        <a:ext uri="{28A0092B-C50C-407E-A947-70E740481C1C}">
                          <a14:useLocalDpi xmlns:a14="http://schemas.microsoft.com/office/drawing/2010/main" val="0"/>
                        </a:ext>
                      </a:extLst>
                    </a:blip>
                    <a:stretch>
                      <a:fillRect/>
                    </a:stretch>
                  </pic:blipFill>
                  <pic:spPr>
                    <a:xfrm>
                      <a:off x="0" y="0"/>
                      <a:ext cx="4680000" cy="2433600"/>
                    </a:xfrm>
                    <a:prstGeom prst="rect">
                      <a:avLst/>
                    </a:prstGeom>
                  </pic:spPr>
                </pic:pic>
              </a:graphicData>
            </a:graphic>
          </wp:inline>
        </w:drawing>
      </w:r>
    </w:p>
    <w:p w:rsidR="00BD4D75" w:rsidRPr="00617020" w:rsidRDefault="00BD4D75" w:rsidP="00BD4D75">
      <w:pPr>
        <w:pStyle w:val="ECCFiguretitle"/>
      </w:pPr>
      <w:r w:rsidRPr="00617020">
        <w:t>Combined BEM elements for synchronized TDD blocks / downlink only blocks</w:t>
      </w:r>
    </w:p>
    <w:p w:rsidR="00573FB3" w:rsidRPr="00617020" w:rsidRDefault="00573FB3" w:rsidP="00573FB3">
      <w:pPr>
        <w:rPr>
          <w:b/>
          <w:lang w:val="en-GB"/>
        </w:rPr>
      </w:pPr>
    </w:p>
    <w:p w:rsidR="00573FB3" w:rsidRPr="00617020" w:rsidRDefault="00573FB3" w:rsidP="00BD4D75">
      <w:pPr>
        <w:jc w:val="center"/>
        <w:rPr>
          <w:b/>
          <w:lang w:val="en-GB"/>
        </w:rPr>
      </w:pPr>
      <w:r w:rsidRPr="00617020">
        <w:rPr>
          <w:b/>
          <w:noProof/>
          <w:lang w:val="en-GB" w:eastAsia="en-GB"/>
        </w:rPr>
        <w:lastRenderedPageBreak/>
        <w:drawing>
          <wp:inline distT="0" distB="0" distL="0" distR="0" wp14:anchorId="2CE76F82" wp14:editId="45AD8BBE">
            <wp:extent cx="4676400" cy="23940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D-Unsync.png"/>
                    <pic:cNvPicPr/>
                  </pic:nvPicPr>
                  <pic:blipFill>
                    <a:blip r:embed="rId18">
                      <a:extLst>
                        <a:ext uri="{28A0092B-C50C-407E-A947-70E740481C1C}">
                          <a14:useLocalDpi xmlns:a14="http://schemas.microsoft.com/office/drawing/2010/main" val="0"/>
                        </a:ext>
                      </a:extLst>
                    </a:blip>
                    <a:stretch>
                      <a:fillRect/>
                    </a:stretch>
                  </pic:blipFill>
                  <pic:spPr>
                    <a:xfrm>
                      <a:off x="0" y="0"/>
                      <a:ext cx="4676400" cy="2394000"/>
                    </a:xfrm>
                    <a:prstGeom prst="rect">
                      <a:avLst/>
                    </a:prstGeom>
                  </pic:spPr>
                </pic:pic>
              </a:graphicData>
            </a:graphic>
          </wp:inline>
        </w:drawing>
      </w:r>
    </w:p>
    <w:p w:rsidR="00BD4D75" w:rsidRPr="00617020" w:rsidRDefault="00BD4D75" w:rsidP="00BD4D75">
      <w:pPr>
        <w:pStyle w:val="ECCFiguretitle"/>
      </w:pPr>
      <w:r w:rsidRPr="00617020">
        <w:t>Combined BEM elements for Unsynchronized TDD blocks</w:t>
      </w:r>
    </w:p>
    <w:p w:rsidR="007C4348" w:rsidRPr="00617020" w:rsidRDefault="007C4348" w:rsidP="007C4348">
      <w:pPr>
        <w:pStyle w:val="ECCParagraph"/>
      </w:pPr>
    </w:p>
    <w:p w:rsidR="00BD4D75" w:rsidRPr="00617020" w:rsidRDefault="00BD4D75" w:rsidP="00BD4D75">
      <w:pPr>
        <w:jc w:val="center"/>
        <w:rPr>
          <w:b/>
          <w:lang w:val="en-GB"/>
        </w:rPr>
      </w:pPr>
    </w:p>
    <w:p w:rsidR="00573FB3" w:rsidRPr="00617020" w:rsidRDefault="00573FB3" w:rsidP="00573FB3">
      <w:pPr>
        <w:rPr>
          <w:b/>
          <w:lang w:val="en-GB"/>
        </w:rPr>
      </w:pPr>
    </w:p>
    <w:p w:rsidR="00573FB3" w:rsidRPr="00617020" w:rsidRDefault="00573FB3" w:rsidP="00BD4D75">
      <w:pPr>
        <w:jc w:val="center"/>
        <w:rPr>
          <w:b/>
          <w:lang w:val="en-GB"/>
        </w:rPr>
      </w:pPr>
      <w:r w:rsidRPr="00617020">
        <w:rPr>
          <w:b/>
          <w:noProof/>
          <w:lang w:val="en-GB" w:eastAsia="en-GB"/>
        </w:rPr>
        <w:drawing>
          <wp:inline distT="0" distB="0" distL="0" distR="0" wp14:anchorId="2DD6D6BC" wp14:editId="25F8B48D">
            <wp:extent cx="4676400" cy="29448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rictedChannel.png"/>
                    <pic:cNvPicPr/>
                  </pic:nvPicPr>
                  <pic:blipFill>
                    <a:blip r:embed="rId19">
                      <a:extLst>
                        <a:ext uri="{28A0092B-C50C-407E-A947-70E740481C1C}">
                          <a14:useLocalDpi xmlns:a14="http://schemas.microsoft.com/office/drawing/2010/main" val="0"/>
                        </a:ext>
                      </a:extLst>
                    </a:blip>
                    <a:stretch>
                      <a:fillRect/>
                    </a:stretch>
                  </pic:blipFill>
                  <pic:spPr>
                    <a:xfrm>
                      <a:off x="0" y="0"/>
                      <a:ext cx="4676400" cy="2944800"/>
                    </a:xfrm>
                    <a:prstGeom prst="rect">
                      <a:avLst/>
                    </a:prstGeom>
                  </pic:spPr>
                </pic:pic>
              </a:graphicData>
            </a:graphic>
          </wp:inline>
        </w:drawing>
      </w:r>
    </w:p>
    <w:p w:rsidR="00BD4D75" w:rsidRPr="00617020" w:rsidRDefault="00BD4D75" w:rsidP="00BD4D75">
      <w:pPr>
        <w:pStyle w:val="ECCFiguretitle"/>
      </w:pPr>
      <w:r w:rsidRPr="00617020">
        <w:t xml:space="preserve">Combined BEM elements for synchronized TDD/downlink only blocks and </w:t>
      </w:r>
      <w:r w:rsidR="007C4348" w:rsidRPr="00617020">
        <w:br/>
      </w:r>
      <w:r w:rsidRPr="00617020">
        <w:t>a rest</w:t>
      </w:r>
      <w:r w:rsidR="007C4348" w:rsidRPr="00617020">
        <w:t>ricted spectrum block in 2570-</w:t>
      </w:r>
      <w:r w:rsidRPr="00617020">
        <w:t>2575 MHz</w:t>
      </w:r>
    </w:p>
    <w:p w:rsidR="00573FB3" w:rsidRPr="00617020" w:rsidRDefault="00573FB3" w:rsidP="005869E6">
      <w:pPr>
        <w:ind w:left="360"/>
        <w:rPr>
          <w:b/>
          <w:lang w:val="en-GB"/>
        </w:rPr>
      </w:pPr>
    </w:p>
    <w:p w:rsidR="006C03D0" w:rsidRPr="00617020" w:rsidRDefault="005F7AD5" w:rsidP="006C03D0">
      <w:pPr>
        <w:pStyle w:val="ECCAnnex-heading1"/>
      </w:pPr>
      <w:bookmarkStart w:id="5" w:name="_Toc280099660"/>
      <w:r w:rsidRPr="00617020">
        <w:lastRenderedPageBreak/>
        <w:t>List of reference</w:t>
      </w:r>
      <w:bookmarkEnd w:id="5"/>
      <w:r w:rsidR="005869E6" w:rsidRPr="00617020">
        <w:t>S</w:t>
      </w:r>
    </w:p>
    <w:p w:rsidR="006C03D0" w:rsidRPr="00617020" w:rsidRDefault="005F7AD5" w:rsidP="006C03D0">
      <w:pPr>
        <w:pStyle w:val="ECCParagraph"/>
      </w:pPr>
      <w:r w:rsidRPr="00617020">
        <w:t>This annex contains the list of relevant reference documents.</w:t>
      </w:r>
    </w:p>
    <w:p w:rsidR="006C03D0" w:rsidRPr="00617020" w:rsidRDefault="000F1B83" w:rsidP="00865672">
      <w:pPr>
        <w:pStyle w:val="reference"/>
        <w:numPr>
          <w:ilvl w:val="0"/>
          <w:numId w:val="11"/>
        </w:numPr>
        <w:rPr>
          <w:rFonts w:cs="Arial"/>
          <w:lang w:val="en-GB"/>
        </w:rPr>
      </w:pPr>
      <w:bookmarkStart w:id="6" w:name="_Ref413656173"/>
      <w:r w:rsidRPr="00617020">
        <w:rPr>
          <w:rFonts w:cs="Arial"/>
          <w:lang w:val="en-GB"/>
        </w:rPr>
        <w:t>Commission Decision 2008/477/EC</w:t>
      </w:r>
      <w:bookmarkEnd w:id="6"/>
      <w:r w:rsidR="00865672" w:rsidRPr="00617020">
        <w:rPr>
          <w:rFonts w:cs="Arial"/>
          <w:lang w:val="en-GB"/>
        </w:rPr>
        <w:t xml:space="preserve"> on the harmonisation of the 2500-2690 MHz frequency band for terrestrial systems capable of providing electronic communications services in the Community</w:t>
      </w:r>
    </w:p>
    <w:p w:rsidR="00755002" w:rsidRPr="00617020" w:rsidRDefault="000F1B83" w:rsidP="006C03D0">
      <w:pPr>
        <w:pStyle w:val="reference"/>
        <w:rPr>
          <w:rFonts w:cs="Arial"/>
          <w:lang w:val="en-GB"/>
        </w:rPr>
      </w:pPr>
      <w:bookmarkStart w:id="7" w:name="_Ref413656274"/>
      <w:r w:rsidRPr="00617020">
        <w:rPr>
          <w:rFonts w:cs="Arial"/>
          <w:lang w:val="en-GB"/>
        </w:rPr>
        <w:t>CEPT Report 19</w:t>
      </w:r>
      <w:bookmarkEnd w:id="7"/>
      <w:r w:rsidR="00865672" w:rsidRPr="00617020">
        <w:rPr>
          <w:rFonts w:cs="Arial"/>
          <w:lang w:val="en-GB"/>
        </w:rPr>
        <w:t xml:space="preserve">: </w:t>
      </w:r>
      <w:r w:rsidR="00865672" w:rsidRPr="00617020">
        <w:rPr>
          <w:rFonts w:cs="Arial"/>
          <w:szCs w:val="20"/>
          <w:lang w:val="en-GB"/>
        </w:rPr>
        <w:t xml:space="preserve">Report from CEPT to the European Commission in response to </w:t>
      </w:r>
      <w:r w:rsidR="00865672" w:rsidRPr="00617020">
        <w:rPr>
          <w:rFonts w:cs="Arial"/>
          <w:szCs w:val="20"/>
          <w:lang w:val="en-GB"/>
        </w:rPr>
        <w:br/>
        <w:t>EC Mandate to develop least restrictive technical conditions for frequency bands addressed in the context of WAPECS</w:t>
      </w:r>
    </w:p>
    <w:p w:rsidR="00257862" w:rsidRPr="00617020" w:rsidRDefault="00257862" w:rsidP="006C03D0">
      <w:pPr>
        <w:pStyle w:val="reference"/>
        <w:rPr>
          <w:rFonts w:cs="Arial"/>
          <w:lang w:val="en-GB"/>
        </w:rPr>
      </w:pPr>
      <w:bookmarkStart w:id="8" w:name="_Ref413656397"/>
      <w:r w:rsidRPr="00617020">
        <w:rPr>
          <w:rFonts w:cs="Arial"/>
          <w:lang w:val="en-GB"/>
        </w:rPr>
        <w:t>ERC Decision (97)07</w:t>
      </w:r>
      <w:bookmarkEnd w:id="8"/>
      <w:r w:rsidR="00865672" w:rsidRPr="00617020">
        <w:rPr>
          <w:rFonts w:cs="Arial"/>
          <w:lang w:val="en-GB"/>
        </w:rPr>
        <w:t xml:space="preserve"> </w:t>
      </w:r>
      <w:r w:rsidR="00865672" w:rsidRPr="00617020">
        <w:rPr>
          <w:rFonts w:cs="Arial"/>
          <w:szCs w:val="20"/>
          <w:lang w:val="en-GB"/>
        </w:rPr>
        <w:t>on the frequency bands for the introduction of the Universal Mobile Telecommunications System (UMTS)</w:t>
      </w:r>
    </w:p>
    <w:p w:rsidR="00257862" w:rsidRPr="00617020" w:rsidRDefault="00257862" w:rsidP="006C03D0">
      <w:pPr>
        <w:pStyle w:val="reference"/>
        <w:rPr>
          <w:rFonts w:cs="Arial"/>
          <w:lang w:val="en-GB"/>
        </w:rPr>
      </w:pPr>
      <w:bookmarkStart w:id="9" w:name="_Ref413656413"/>
      <w:r w:rsidRPr="00617020">
        <w:rPr>
          <w:rFonts w:cs="Arial"/>
          <w:lang w:val="en-GB"/>
        </w:rPr>
        <w:t>ERC Decision (99)25</w:t>
      </w:r>
      <w:bookmarkEnd w:id="9"/>
      <w:r w:rsidR="00865672" w:rsidRPr="00617020">
        <w:rPr>
          <w:rFonts w:cs="Arial"/>
          <w:lang w:val="en-GB"/>
        </w:rPr>
        <w:t xml:space="preserve"> </w:t>
      </w:r>
      <w:r w:rsidR="00865672" w:rsidRPr="00617020">
        <w:rPr>
          <w:rFonts w:cs="Arial"/>
          <w:szCs w:val="20"/>
          <w:lang w:val="en-GB"/>
        </w:rPr>
        <w:t>on the harmonised utilisation of spectrum for terrestrial Universal Mobile Telecommunications System (UMTS) operating within the bands 1900 - 1980 MHz, 2010 - 2025 MHz and 2110 - 2170 MHz</w:t>
      </w:r>
    </w:p>
    <w:p w:rsidR="00257862" w:rsidRPr="00617020" w:rsidRDefault="00257862" w:rsidP="006C03D0">
      <w:pPr>
        <w:pStyle w:val="reference"/>
        <w:rPr>
          <w:rFonts w:cs="Arial"/>
          <w:lang w:val="en-GB"/>
        </w:rPr>
      </w:pPr>
      <w:bookmarkStart w:id="10" w:name="_Ref413656424"/>
      <w:r w:rsidRPr="00617020">
        <w:rPr>
          <w:rFonts w:cs="Arial"/>
          <w:lang w:val="en-GB"/>
        </w:rPr>
        <w:t>ERC Decision (00)01</w:t>
      </w:r>
      <w:bookmarkEnd w:id="10"/>
      <w:r w:rsidR="00865672" w:rsidRPr="00617020">
        <w:rPr>
          <w:rFonts w:cs="Arial"/>
          <w:lang w:val="en-GB"/>
        </w:rPr>
        <w:t xml:space="preserve"> </w:t>
      </w:r>
      <w:r w:rsidR="00865672" w:rsidRPr="00617020">
        <w:rPr>
          <w:rFonts w:cs="Arial"/>
          <w:szCs w:val="20"/>
          <w:lang w:val="en-GB"/>
        </w:rPr>
        <w:t xml:space="preserve">on the frequency bands for the introduction of terrestrial </w:t>
      </w:r>
      <w:proofErr w:type="spellStart"/>
      <w:r w:rsidR="00865672" w:rsidRPr="00617020">
        <w:rPr>
          <w:rFonts w:cs="Arial"/>
          <w:szCs w:val="20"/>
          <w:lang w:val="en-GB"/>
        </w:rPr>
        <w:t>Unversal</w:t>
      </w:r>
      <w:proofErr w:type="spellEnd"/>
      <w:r w:rsidR="00865672" w:rsidRPr="00617020">
        <w:rPr>
          <w:rFonts w:cs="Arial"/>
          <w:szCs w:val="20"/>
          <w:lang w:val="en-GB"/>
        </w:rPr>
        <w:t xml:space="preserve"> Mobile Telecommunications System (UMTS)</w:t>
      </w:r>
    </w:p>
    <w:p w:rsidR="00257862" w:rsidRPr="00617020" w:rsidRDefault="006A0C56" w:rsidP="006C03D0">
      <w:pPr>
        <w:pStyle w:val="reference"/>
        <w:rPr>
          <w:rFonts w:cs="Arial"/>
          <w:lang w:val="en-GB"/>
        </w:rPr>
      </w:pPr>
      <w:bookmarkStart w:id="11" w:name="_Ref413656433"/>
      <w:r w:rsidRPr="00617020">
        <w:rPr>
          <w:rFonts w:cs="Arial"/>
          <w:lang w:val="en-GB"/>
        </w:rPr>
        <w:t>ERC Recommendation (02)10</w:t>
      </w:r>
      <w:bookmarkEnd w:id="11"/>
      <w:r w:rsidR="00865672" w:rsidRPr="00617020">
        <w:rPr>
          <w:rFonts w:cs="Arial"/>
          <w:lang w:val="en-GB"/>
        </w:rPr>
        <w:t xml:space="preserve">: </w:t>
      </w:r>
      <w:r w:rsidR="00865672" w:rsidRPr="00617020">
        <w:rPr>
          <w:rFonts w:cs="Arial"/>
          <w:szCs w:val="20"/>
          <w:lang w:val="en-GB"/>
        </w:rPr>
        <w:t>Harmonised utilisation of spectrum for 1.28Mcps UTRA TDD option in connection with ERC/DEC/(99)25</w:t>
      </w:r>
    </w:p>
    <w:p w:rsidR="001D3081" w:rsidRPr="00617020" w:rsidRDefault="001D3081" w:rsidP="006C03D0">
      <w:pPr>
        <w:pStyle w:val="reference"/>
        <w:rPr>
          <w:rFonts w:cs="Arial"/>
          <w:lang w:val="en-GB"/>
        </w:rPr>
      </w:pPr>
      <w:bookmarkStart w:id="12" w:name="_Ref413656605"/>
      <w:r w:rsidRPr="00617020">
        <w:rPr>
          <w:rFonts w:cs="Arial"/>
          <w:lang w:val="en-GB"/>
        </w:rPr>
        <w:t>ECC/DEC/(02)06</w:t>
      </w:r>
      <w:bookmarkEnd w:id="12"/>
      <w:r w:rsidR="00865672" w:rsidRPr="00617020">
        <w:rPr>
          <w:rFonts w:cs="Arial"/>
          <w:lang w:val="en-GB"/>
        </w:rPr>
        <w:t xml:space="preserve"> </w:t>
      </w:r>
      <w:r w:rsidR="00865672" w:rsidRPr="00617020">
        <w:rPr>
          <w:rFonts w:cs="Arial"/>
          <w:szCs w:val="20"/>
          <w:lang w:val="en-GB"/>
        </w:rPr>
        <w:t>on the designation of frequency band 2500-2690 MHz for UMTS/IMT-2000</w:t>
      </w:r>
    </w:p>
    <w:p w:rsidR="00276213" w:rsidRPr="00617020" w:rsidRDefault="00276213" w:rsidP="00865672">
      <w:pPr>
        <w:pStyle w:val="reference"/>
        <w:rPr>
          <w:rFonts w:cs="Arial"/>
          <w:lang w:val="en-GB"/>
        </w:rPr>
      </w:pPr>
      <w:bookmarkStart w:id="13" w:name="_Ref413656448"/>
      <w:r w:rsidRPr="00617020">
        <w:rPr>
          <w:rFonts w:cs="Arial"/>
          <w:lang w:val="en-GB"/>
        </w:rPr>
        <w:t>Commission Decision 128/1999/EC</w:t>
      </w:r>
      <w:bookmarkEnd w:id="13"/>
      <w:r w:rsidR="00865672" w:rsidRPr="00617020">
        <w:rPr>
          <w:rFonts w:cs="Arial"/>
          <w:lang w:val="en-GB"/>
        </w:rPr>
        <w:t xml:space="preserve"> on the coordinated introduction of a third-generation mobile and wireless communications system (UMTS) in the Community</w:t>
      </w:r>
    </w:p>
    <w:p w:rsidR="00276213" w:rsidRPr="00617020" w:rsidRDefault="00C2156F" w:rsidP="006C03D0">
      <w:pPr>
        <w:pStyle w:val="reference"/>
        <w:rPr>
          <w:rFonts w:cs="Arial"/>
          <w:lang w:val="en-GB"/>
        </w:rPr>
      </w:pPr>
      <w:bookmarkStart w:id="14" w:name="_Ref413657411"/>
      <w:r w:rsidRPr="00617020">
        <w:rPr>
          <w:rFonts w:cs="Arial"/>
          <w:lang w:val="en-GB"/>
        </w:rPr>
        <w:t>Recommendation ITU-R M.2012</w:t>
      </w:r>
      <w:bookmarkEnd w:id="14"/>
      <w:r w:rsidR="00AC0F69" w:rsidRPr="00617020">
        <w:rPr>
          <w:rFonts w:cs="Arial"/>
          <w:lang w:val="en-GB"/>
        </w:rPr>
        <w:t xml:space="preserve">: </w:t>
      </w:r>
      <w:r w:rsidR="00AC0F69" w:rsidRPr="00617020">
        <w:rPr>
          <w:rFonts w:cs="Arial"/>
          <w:szCs w:val="20"/>
          <w:lang w:val="en-GB"/>
        </w:rPr>
        <w:t>Detailed specifications of the terrestrial radio interfaces of International Mobile Telecommunications Advanced (IMT-Advanced)</w:t>
      </w:r>
    </w:p>
    <w:p w:rsidR="00AC0F69" w:rsidRPr="00617020" w:rsidRDefault="00AC0F69" w:rsidP="006C03D0">
      <w:pPr>
        <w:pStyle w:val="reference"/>
        <w:rPr>
          <w:rFonts w:cs="Arial"/>
          <w:lang w:val="en-GB"/>
        </w:rPr>
      </w:pPr>
      <w:bookmarkStart w:id="15" w:name="_Ref422845336"/>
      <w:r w:rsidRPr="00617020">
        <w:rPr>
          <w:rFonts w:cs="Arial"/>
          <w:lang w:val="en-GB"/>
        </w:rPr>
        <w:t xml:space="preserve">Recommendation ITU-R M.1457: </w:t>
      </w:r>
      <w:r w:rsidRPr="00617020">
        <w:rPr>
          <w:rFonts w:cs="Arial"/>
          <w:szCs w:val="20"/>
          <w:lang w:val="en-GB"/>
        </w:rPr>
        <w:t>Detailed specifications of the terrestrial radio interfaces of International Mobile Telecommunications-2000 (IMT-2000)</w:t>
      </w:r>
      <w:bookmarkEnd w:id="15"/>
    </w:p>
    <w:p w:rsidR="00C2156F" w:rsidRPr="00617020" w:rsidRDefault="00C2156F" w:rsidP="006C03D0">
      <w:pPr>
        <w:pStyle w:val="reference"/>
        <w:rPr>
          <w:rFonts w:cs="Arial"/>
          <w:lang w:val="en-GB"/>
        </w:rPr>
      </w:pPr>
      <w:bookmarkStart w:id="16" w:name="_Ref413659990"/>
      <w:r w:rsidRPr="00617020">
        <w:rPr>
          <w:rFonts w:cs="Arial"/>
          <w:lang w:val="en-GB"/>
        </w:rPr>
        <w:t>Resolution ITU-R 56</w:t>
      </w:r>
      <w:r w:rsidR="00AC0F69" w:rsidRPr="00617020">
        <w:rPr>
          <w:rFonts w:cs="Arial"/>
          <w:lang w:val="en-GB"/>
        </w:rPr>
        <w:t>: Naming for International Mobile Telecommunications</w:t>
      </w:r>
      <w:bookmarkEnd w:id="16"/>
    </w:p>
    <w:p w:rsidR="00C2156F" w:rsidRPr="00617020" w:rsidRDefault="00C2156F" w:rsidP="006C03D0">
      <w:pPr>
        <w:pStyle w:val="reference"/>
        <w:rPr>
          <w:rFonts w:cs="Arial"/>
          <w:lang w:val="en-GB"/>
        </w:rPr>
      </w:pPr>
      <w:bookmarkStart w:id="17" w:name="_Ref413660045"/>
      <w:r w:rsidRPr="00617020">
        <w:rPr>
          <w:rFonts w:cs="Arial"/>
          <w:lang w:val="en-GB"/>
        </w:rPr>
        <w:t>Resolution ITU-R 223</w:t>
      </w:r>
      <w:r w:rsidR="00AC0F69" w:rsidRPr="00617020">
        <w:rPr>
          <w:rFonts w:cs="Arial"/>
          <w:lang w:val="en-GB"/>
        </w:rPr>
        <w:t>: Additional bands identified for IMT-2000</w:t>
      </w:r>
      <w:bookmarkEnd w:id="17"/>
    </w:p>
    <w:p w:rsidR="00C2156F" w:rsidRPr="00617020" w:rsidRDefault="00C2156F" w:rsidP="006C03D0">
      <w:pPr>
        <w:pStyle w:val="reference"/>
        <w:rPr>
          <w:rFonts w:cs="Arial"/>
          <w:lang w:val="en-GB"/>
        </w:rPr>
      </w:pPr>
      <w:bookmarkStart w:id="18" w:name="_Ref413660103"/>
      <w:r w:rsidRPr="00617020">
        <w:rPr>
          <w:rFonts w:cs="Arial"/>
          <w:lang w:val="en-GB"/>
        </w:rPr>
        <w:t>Resolution ITU-R 224</w:t>
      </w:r>
      <w:r w:rsidR="00AC0F69" w:rsidRPr="00617020">
        <w:rPr>
          <w:rFonts w:cs="Arial"/>
          <w:lang w:val="en-GB"/>
        </w:rPr>
        <w:t>: Compatibility studies in relation to Resolution 224 in the bands 698-806 MHz and 790-862 MHz</w:t>
      </w:r>
      <w:bookmarkEnd w:id="18"/>
    </w:p>
    <w:p w:rsidR="00C2156F" w:rsidRPr="00617020" w:rsidRDefault="00C2156F" w:rsidP="006C03D0">
      <w:pPr>
        <w:pStyle w:val="reference"/>
        <w:rPr>
          <w:lang w:val="en-GB"/>
        </w:rPr>
      </w:pPr>
      <w:bookmarkStart w:id="19" w:name="_Ref413660054"/>
      <w:r w:rsidRPr="00617020">
        <w:rPr>
          <w:rFonts w:cs="Arial"/>
          <w:lang w:val="en-GB"/>
        </w:rPr>
        <w:t>Resolution ITU-R 225</w:t>
      </w:r>
      <w:r w:rsidR="00AC0F69" w:rsidRPr="00617020">
        <w:rPr>
          <w:rFonts w:cs="Arial"/>
          <w:lang w:val="en-GB"/>
        </w:rPr>
        <w:t>: Use of additional frequency bands for the satellite component of IMT</w:t>
      </w:r>
      <w:bookmarkEnd w:id="19"/>
    </w:p>
    <w:p w:rsidR="00AC0F69" w:rsidRPr="00617020" w:rsidRDefault="00AC0F69" w:rsidP="00865672">
      <w:pPr>
        <w:pStyle w:val="ECCParagraph"/>
      </w:pPr>
    </w:p>
    <w:sectPr w:rsidR="00AC0F69" w:rsidRPr="00617020" w:rsidSect="00327498">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A34" w:rsidRDefault="00B06A34" w:rsidP="006C03D0">
      <w:r>
        <w:separator/>
      </w:r>
    </w:p>
  </w:endnote>
  <w:endnote w:type="continuationSeparator" w:id="0">
    <w:p w:rsidR="00B06A34" w:rsidRDefault="00B06A34"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59"/>
    <w:family w:val="auto"/>
    <w:notTrueType/>
    <w:pitch w:val="variable"/>
    <w:sig w:usb0="00000001"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A34" w:rsidRDefault="00B06A34" w:rsidP="006C03D0">
      <w:r>
        <w:separator/>
      </w:r>
    </w:p>
  </w:footnote>
  <w:footnote w:type="continuationSeparator" w:id="0">
    <w:p w:rsidR="00B06A34" w:rsidRDefault="00B06A34" w:rsidP="006C03D0">
      <w:r>
        <w:continuationSeparator/>
      </w:r>
    </w:p>
  </w:footnote>
  <w:footnote w:id="1">
    <w:p w:rsidR="007C4348" w:rsidRPr="00C9294A" w:rsidRDefault="007C4348" w:rsidP="00617020">
      <w:r>
        <w:rPr>
          <w:rStyle w:val="FootnoteReference"/>
        </w:rPr>
        <w:footnoteRef/>
      </w:r>
      <w:r>
        <w:t xml:space="preserve"> </w:t>
      </w:r>
      <w:r w:rsidRPr="00617020">
        <w:t>Co</w:t>
      </w:r>
      <w:r w:rsidRPr="00E30F03">
        <w:t xml:space="preserve">mparable technical specifications to those given in this </w:t>
      </w:r>
      <w:smartTag w:uri="urn:schemas-microsoft-com:office:smarttags" w:element="stockticker">
        <w:r w:rsidRPr="00E30F03">
          <w:t>ECC</w:t>
        </w:r>
      </w:smartTag>
      <w:r w:rsidRPr="00E30F03">
        <w:t xml:space="preserve"> Decision are given in Commission Decision 200</w:t>
      </w:r>
      <w:r>
        <w:t>8</w:t>
      </w:r>
      <w:r w:rsidRPr="00E30F03">
        <w:t>/</w:t>
      </w:r>
      <w:r>
        <w:t>477</w:t>
      </w:r>
      <w:r w:rsidRPr="00E30F03">
        <w:t>/EC of 1</w:t>
      </w:r>
      <w:r>
        <w:t xml:space="preserve">3 June </w:t>
      </w:r>
      <w:r w:rsidRPr="00E30F03">
        <w:t>200</w:t>
      </w:r>
      <w:r>
        <w:t xml:space="preserve">8 </w:t>
      </w:r>
      <w:r>
        <w:fldChar w:fldCharType="begin"/>
      </w:r>
      <w:r>
        <w:instrText xml:space="preserve"> REF _Ref413656173 \n \h </w:instrText>
      </w:r>
      <w:r>
        <w:fldChar w:fldCharType="separate"/>
      </w:r>
      <w:r w:rsidR="00617020">
        <w:t>[1]</w:t>
      </w:r>
      <w:r>
        <w:fldChar w:fldCharType="end"/>
      </w:r>
      <w:r w:rsidRPr="00E30F03">
        <w:t>. EU/EFTA Member States and, if so approved by the EEA Joint Committee, Iceland, Liechtenstein and Norway are obliged to implement the EC Decision</w:t>
      </w:r>
      <w:r>
        <w:t>.</w:t>
      </w:r>
    </w:p>
  </w:footnote>
  <w:footnote w:id="2">
    <w:p w:rsidR="007C4348" w:rsidRDefault="007C4348" w:rsidP="00F52785">
      <w:pPr>
        <w:pStyle w:val="ECCFootnote"/>
      </w:pPr>
      <w:r>
        <w:rPr>
          <w:rStyle w:val="FootnoteReference"/>
        </w:rPr>
        <w:footnoteRef/>
      </w:r>
      <w:r>
        <w:t xml:space="preserve"> Mandate to CEPT to</w:t>
      </w:r>
      <w:r w:rsidRPr="00F52785">
        <w:rPr>
          <w:lang w:val="en-GB"/>
        </w:rPr>
        <w:t xml:space="preserve"> harmonise</w:t>
      </w:r>
      <w:r>
        <w:t xml:space="preserve"> frequency usage in order to facilitate a</w:t>
      </w:r>
      <w:r w:rsidRPr="00F52785">
        <w:rPr>
          <w:lang w:val="en-GB"/>
        </w:rPr>
        <w:t xml:space="preserve"> co-ordinated</w:t>
      </w:r>
      <w:r>
        <w:t xml:space="preserve"> implementation in the Community of third generation mobile and wireless communication systems operating in additional frequency bands as identified by WRC-2000 for IMT-2000 systems, 9 March 2001.</w:t>
      </w:r>
    </w:p>
  </w:footnote>
  <w:footnote w:id="3">
    <w:p w:rsidR="007C4348" w:rsidRPr="00375CC6" w:rsidRDefault="007C4348" w:rsidP="00F52785">
      <w:pPr>
        <w:pStyle w:val="ECCFootnote"/>
        <w:rPr>
          <w:snapToGrid w:val="0"/>
          <w:szCs w:val="16"/>
          <w:lang w:val="en-IE"/>
        </w:rPr>
      </w:pPr>
      <w:r>
        <w:rPr>
          <w:rStyle w:val="FootnoteReference"/>
        </w:rPr>
        <w:footnoteRef/>
      </w:r>
      <w:r>
        <w:t xml:space="preserve"> </w:t>
      </w:r>
      <w:r>
        <w:rPr>
          <w:lang w:val="en-IE"/>
        </w:rPr>
        <w:t>Mandate to CEPT to harmonise the frequency usage within the additional frequency band of 2500-2690 MHz to be made available for IMT-2000/UMTS systems in Europe (</w:t>
      </w:r>
      <w:r>
        <w:rPr>
          <w:snapToGrid w:val="0"/>
          <w:lang w:val="en-IE"/>
        </w:rPr>
        <w:t>Mandate 5), August 2003</w:t>
      </w:r>
      <w:r w:rsidRPr="00375CC6">
        <w:rPr>
          <w:snapToGrid w:val="0"/>
          <w:szCs w:val="16"/>
          <w:lang w:val="en-I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48" w:rsidRDefault="007C4348">
    <w:pPr>
      <w:pStyle w:val="Header"/>
      <w:rPr>
        <w:lang w:val="da-DK"/>
      </w:rPr>
    </w:pPr>
  </w:p>
  <w:p w:rsidR="007C4348" w:rsidRPr="007C5F95" w:rsidRDefault="007C4348">
    <w:pPr>
      <w:pStyle w:val="Header"/>
      <w:rPr>
        <w:szCs w:val="16"/>
        <w:lang w:val="da-DK"/>
      </w:rPr>
    </w:pPr>
    <w:r>
      <w:rPr>
        <w:lang w:val="da-DK"/>
      </w:rPr>
      <w:t>ECC/DEC/</w:t>
    </w:r>
    <w:r w:rsidRPr="007C5F95">
      <w:rPr>
        <w:lang w:val="da-DK"/>
      </w:rPr>
      <w:t>(</w:t>
    </w:r>
    <w:r>
      <w:rPr>
        <w:lang w:val="da-DK"/>
      </w:rPr>
      <w:t>05</w:t>
    </w:r>
    <w:r w:rsidRPr="007C5F95">
      <w:rPr>
        <w:lang w:val="da-DK"/>
      </w:rPr>
      <w:t>)</w:t>
    </w:r>
    <w:r>
      <w:rPr>
        <w:lang w:val="da-DK"/>
      </w:rPr>
      <w:t>05</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695888" w:rsidRPr="00695888">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48" w:rsidRDefault="007C4348" w:rsidP="006C03D0">
    <w:pPr>
      <w:pStyle w:val="Header"/>
      <w:jc w:val="right"/>
      <w:rPr>
        <w:lang w:val="da-DK"/>
      </w:rPr>
    </w:pPr>
  </w:p>
  <w:p w:rsidR="007C4348" w:rsidRPr="007C5F95" w:rsidRDefault="007C4348" w:rsidP="006C03D0">
    <w:pPr>
      <w:pStyle w:val="Header"/>
      <w:jc w:val="right"/>
      <w:rPr>
        <w:szCs w:val="16"/>
        <w:lang w:val="da-DK"/>
      </w:rPr>
    </w:pPr>
    <w:r>
      <w:rPr>
        <w:lang w:val="da-DK"/>
      </w:rPr>
      <w:t>ECC/DEC/</w:t>
    </w:r>
    <w:r w:rsidRPr="007C5F95">
      <w:rPr>
        <w:lang w:val="da-DK"/>
      </w:rPr>
      <w:t>(</w:t>
    </w:r>
    <w:r>
      <w:rPr>
        <w:lang w:val="da-DK"/>
      </w:rPr>
      <w:t>05</w:t>
    </w:r>
    <w:r w:rsidRPr="007C5F95">
      <w:rPr>
        <w:lang w:val="da-DK"/>
      </w:rPr>
      <w:t>)</w:t>
    </w:r>
    <w:r>
      <w:rPr>
        <w:lang w:val="da-DK"/>
      </w:rPr>
      <w:t>05</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695888" w:rsidRPr="00695888">
      <w:rPr>
        <w:noProof/>
        <w:szCs w:val="16"/>
        <w:lang w:val="da-DK"/>
      </w:rPr>
      <w:t>5</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48" w:rsidRPr="007876EE" w:rsidRDefault="007C4348" w:rsidP="007876EE">
    <w:pPr>
      <w:pStyle w:val="Header"/>
      <w:jc w:val="right"/>
      <w:rPr>
        <w:sz w:val="20"/>
        <w:szCs w:val="20"/>
      </w:rPr>
    </w:pPr>
    <w:r w:rsidRPr="007876EE">
      <w:rPr>
        <w:noProof/>
        <w:sz w:val="20"/>
        <w:szCs w:val="20"/>
        <w:lang w:val="en-GB" w:eastAsia="en-GB"/>
      </w:rPr>
      <w:drawing>
        <wp:anchor distT="0" distB="0" distL="114300" distR="114300" simplePos="0" relativeHeight="251658240" behindDoc="0" locked="0" layoutInCell="1" allowOverlap="1" wp14:anchorId="66600DC6" wp14:editId="0DFD4BF6">
          <wp:simplePos x="0" y="0"/>
          <wp:positionH relativeFrom="page">
            <wp:posOffset>5717540</wp:posOffset>
          </wp:positionH>
          <wp:positionV relativeFrom="page">
            <wp:posOffset>648335</wp:posOffset>
          </wp:positionV>
          <wp:extent cx="1461770" cy="546100"/>
          <wp:effectExtent l="25400" t="0" r="11430" b="0"/>
          <wp:wrapNone/>
          <wp:docPr id="17"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7876EE">
      <w:rPr>
        <w:noProof/>
        <w:sz w:val="20"/>
        <w:szCs w:val="20"/>
        <w:lang w:val="en-GB" w:eastAsia="en-GB"/>
      </w:rPr>
      <w:drawing>
        <wp:anchor distT="0" distB="0" distL="114300" distR="114300" simplePos="0" relativeHeight="251657216" behindDoc="0" locked="0" layoutInCell="1" allowOverlap="1" wp14:anchorId="4957C67A" wp14:editId="4766134E">
          <wp:simplePos x="0" y="0"/>
          <wp:positionH relativeFrom="page">
            <wp:posOffset>572770</wp:posOffset>
          </wp:positionH>
          <wp:positionV relativeFrom="page">
            <wp:posOffset>457200</wp:posOffset>
          </wp:positionV>
          <wp:extent cx="889000" cy="889000"/>
          <wp:effectExtent l="25400" t="0" r="0" b="0"/>
          <wp:wrapNone/>
          <wp:docPr id="18"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48" w:rsidRDefault="007C4348">
    <w:pPr>
      <w:pStyle w:val="Header"/>
    </w:pPr>
    <w:r w:rsidRPr="00B20F6F">
      <w:rPr>
        <w:lang w:val="en-GB"/>
      </w:rPr>
      <w:t>ECC/DEC</w:t>
    </w:r>
    <w:proofErr w:type="gramStart"/>
    <w:r w:rsidRPr="00B20F6F">
      <w:rPr>
        <w:lang w:val="en-GB"/>
      </w:rPr>
      <w:t>/(</w:t>
    </w:r>
    <w:proofErr w:type="gramEnd"/>
    <w:r w:rsidRPr="00B20F6F">
      <w:rPr>
        <w:lang w:val="en-GB"/>
      </w:rPr>
      <w:t xml:space="preserve">05)05 </w:t>
    </w:r>
    <w:r w:rsidRPr="00B20F6F">
      <w:rPr>
        <w:szCs w:val="16"/>
        <w:lang w:val="en-GB"/>
      </w:rPr>
      <w:t xml:space="preserve">Page </w:t>
    </w:r>
    <w:r>
      <w:fldChar w:fldCharType="begin"/>
    </w:r>
    <w:r>
      <w:instrText xml:space="preserve"> PAGE  \* Arabic  \* MERGEFORMAT </w:instrText>
    </w:r>
    <w:r>
      <w:fldChar w:fldCharType="separate"/>
    </w:r>
    <w:r w:rsidR="00695888" w:rsidRPr="00695888">
      <w:rPr>
        <w:noProof/>
        <w:szCs w:val="16"/>
        <w:lang w:val="en-GB"/>
      </w:rPr>
      <w:t>14</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48" w:rsidRDefault="007C4348">
    <w:pPr>
      <w:pStyle w:val="Header"/>
    </w:pPr>
    <w:r w:rsidRPr="00B20F6F">
      <w:rPr>
        <w:lang w:val="en-GB"/>
      </w:rPr>
      <w:t>ECC/DEC</w:t>
    </w:r>
    <w:proofErr w:type="gramStart"/>
    <w:r w:rsidRPr="00B20F6F">
      <w:rPr>
        <w:lang w:val="en-GB"/>
      </w:rPr>
      <w:t>/(</w:t>
    </w:r>
    <w:proofErr w:type="gramEnd"/>
    <w:r w:rsidRPr="00B20F6F">
      <w:rPr>
        <w:lang w:val="en-GB"/>
      </w:rPr>
      <w:t xml:space="preserve">05)05 </w:t>
    </w:r>
    <w:r w:rsidRPr="00B20F6F">
      <w:rPr>
        <w:szCs w:val="16"/>
        <w:lang w:val="en-GB"/>
      </w:rPr>
      <w:t xml:space="preserve">Page </w:t>
    </w:r>
    <w:r>
      <w:fldChar w:fldCharType="begin"/>
    </w:r>
    <w:r>
      <w:instrText xml:space="preserve"> PAGE  \* Arabic  \* MERGEFORMAT </w:instrText>
    </w:r>
    <w:r>
      <w:fldChar w:fldCharType="separate"/>
    </w:r>
    <w:r w:rsidR="00695888" w:rsidRPr="00695888">
      <w:rPr>
        <w:noProof/>
        <w:szCs w:val="16"/>
        <w:lang w:val="en-GB"/>
      </w:rPr>
      <w:t>13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48" w:rsidRPr="00B20F6F" w:rsidRDefault="007C4348" w:rsidP="00B20F6F">
    <w:pPr>
      <w:pStyle w:val="Header"/>
      <w:jc w:val="right"/>
      <w:rPr>
        <w:szCs w:val="16"/>
        <w:lang w:val="en-GB"/>
      </w:rPr>
    </w:pPr>
    <w:r w:rsidRPr="00B20F6F">
      <w:rPr>
        <w:lang w:val="en-GB"/>
      </w:rPr>
      <w:t>ECC/DEC</w:t>
    </w:r>
    <w:proofErr w:type="gramStart"/>
    <w:r w:rsidRPr="00B20F6F">
      <w:rPr>
        <w:lang w:val="en-GB"/>
      </w:rPr>
      <w:t>/(</w:t>
    </w:r>
    <w:proofErr w:type="gramEnd"/>
    <w:r w:rsidRPr="00B20F6F">
      <w:rPr>
        <w:lang w:val="en-GB"/>
      </w:rPr>
      <w:t xml:space="preserve">05)05 </w:t>
    </w:r>
    <w:r w:rsidRPr="00B20F6F">
      <w:rPr>
        <w:szCs w:val="16"/>
        <w:lang w:val="en-GB"/>
      </w:rPr>
      <w:t xml:space="preserve">Page </w:t>
    </w:r>
    <w:r>
      <w:fldChar w:fldCharType="begin"/>
    </w:r>
    <w:r>
      <w:instrText xml:space="preserve"> PAGE  \* Arabic  \* MERGEFORMAT </w:instrText>
    </w:r>
    <w:r>
      <w:fldChar w:fldCharType="separate"/>
    </w:r>
    <w:r w:rsidR="00695888" w:rsidRPr="00695888">
      <w:rPr>
        <w:noProof/>
        <w:szCs w:val="16"/>
        <w:lang w:val="en-GB"/>
      </w:rPr>
      <w:t>8</w:t>
    </w:r>
    <w:r>
      <w:rPr>
        <w:noProof/>
        <w:szCs w:val="16"/>
        <w:lang w:val="da-DK"/>
      </w:rPr>
      <w:fldChar w:fldCharType="end"/>
    </w:r>
  </w:p>
  <w:p w:rsidR="007C4348" w:rsidRPr="00B20F6F" w:rsidRDefault="007C4348">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F35183"/>
    <w:multiLevelType w:val="hybridMultilevel"/>
    <w:tmpl w:val="CDF0419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417B2"/>
    <w:multiLevelType w:val="hybridMultilevel"/>
    <w:tmpl w:val="970C549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061D34C3"/>
    <w:multiLevelType w:val="hybridMultilevel"/>
    <w:tmpl w:val="CFF8E2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A0740C2"/>
    <w:multiLevelType w:val="hybridMultilevel"/>
    <w:tmpl w:val="6F823164"/>
    <w:lvl w:ilvl="0" w:tplc="08090001">
      <w:start w:val="1"/>
      <w:numFmt w:val="bullet"/>
      <w:lvlText w:val=""/>
      <w:lvlJc w:val="left"/>
      <w:pPr>
        <w:tabs>
          <w:tab w:val="num" w:pos="720"/>
        </w:tabs>
        <w:ind w:left="720" w:hanging="360"/>
      </w:pPr>
      <w:rPr>
        <w:rFonts w:ascii="Symbol" w:hAnsi="Symbol" w:hint="default"/>
      </w:rPr>
    </w:lvl>
    <w:lvl w:ilvl="1" w:tplc="893423B0">
      <w:start w:val="2500"/>
      <w:numFmt w:val="bullet"/>
      <w:lvlText w:val="-"/>
      <w:lvlJc w:val="left"/>
      <w:pPr>
        <w:tabs>
          <w:tab w:val="num" w:pos="1800"/>
        </w:tabs>
        <w:ind w:left="1800" w:hanging="72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nsid w:val="1C261470"/>
    <w:multiLevelType w:val="hybridMultilevel"/>
    <w:tmpl w:val="8EE0CB76"/>
    <w:lvl w:ilvl="0" w:tplc="08090001">
      <w:start w:val="1"/>
      <w:numFmt w:val="bullet"/>
      <w:lvlText w:val=""/>
      <w:lvlJc w:val="left"/>
      <w:pPr>
        <w:tabs>
          <w:tab w:val="num" w:pos="720"/>
        </w:tabs>
        <w:ind w:left="720" w:hanging="360"/>
      </w:pPr>
      <w:rPr>
        <w:rFonts w:ascii="Symbol" w:hAnsi="Symbol" w:hint="default"/>
      </w:rPr>
    </w:lvl>
    <w:lvl w:ilvl="1" w:tplc="E0F82B58">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060383"/>
    <w:multiLevelType w:val="multilevel"/>
    <w:tmpl w:val="EBB62B36"/>
    <w:lvl w:ilvl="0">
      <w:start w:val="1"/>
      <w:numFmt w:val="lowerLetter"/>
      <w:pStyle w:val="LetteredList"/>
      <w:lvlText w:val="%1)"/>
      <w:lvlJc w:val="left"/>
      <w:pPr>
        <w:tabs>
          <w:tab w:val="num" w:pos="539"/>
        </w:tabs>
        <w:ind w:left="539"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9">
    <w:nsid w:val="1F1F22D2"/>
    <w:multiLevelType w:val="multilevel"/>
    <w:tmpl w:val="F000FA1A"/>
    <w:lvl w:ilvl="0">
      <w:start w:val="1"/>
      <w:numFmt w:val="upperRoman"/>
      <w:pStyle w:val="Titreannexe"/>
      <w:lvlText w:val="Annex %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FB056A8"/>
    <w:multiLevelType w:val="hybridMultilevel"/>
    <w:tmpl w:val="9A681B30"/>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1">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30073F16"/>
    <w:multiLevelType w:val="hybridMultilevel"/>
    <w:tmpl w:val="FB849B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6">
    <w:nsid w:val="347D619C"/>
    <w:multiLevelType w:val="hybridMultilevel"/>
    <w:tmpl w:val="DD1878F4"/>
    <w:lvl w:ilvl="0" w:tplc="08090001">
      <w:start w:val="1"/>
      <w:numFmt w:val="bullet"/>
      <w:lvlText w:val=""/>
      <w:lvlJc w:val="left"/>
      <w:pPr>
        <w:tabs>
          <w:tab w:val="num" w:pos="1428"/>
        </w:tabs>
        <w:ind w:left="1428" w:hanging="360"/>
      </w:pPr>
      <w:rPr>
        <w:rFonts w:ascii="Symbol" w:hAnsi="Symbol" w:hint="default"/>
        <w:color w:val="auto"/>
      </w:rPr>
    </w:lvl>
    <w:lvl w:ilvl="1" w:tplc="FFFFFFFF">
      <w:start w:val="1"/>
      <w:numFmt w:val="lowerLetter"/>
      <w:lvlText w:val="%2)"/>
      <w:lvlJc w:val="left"/>
      <w:pPr>
        <w:tabs>
          <w:tab w:val="num" w:pos="2508"/>
        </w:tabs>
        <w:ind w:left="2508" w:hanging="360"/>
      </w:pPr>
      <w:rPr>
        <w:rFonts w:hint="default"/>
        <w:color w:val="auto"/>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cs="Wingdings"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cs="Wingdings"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17">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D163F7A"/>
    <w:multiLevelType w:val="multilevel"/>
    <w:tmpl w:val="BA5046C4"/>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2">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481A6197"/>
    <w:multiLevelType w:val="hybridMultilevel"/>
    <w:tmpl w:val="59BC0DE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A9E5FAA"/>
    <w:multiLevelType w:val="singleLevel"/>
    <w:tmpl w:val="04090017"/>
    <w:lvl w:ilvl="0">
      <w:start w:val="1"/>
      <w:numFmt w:val="lowerLetter"/>
      <w:lvlText w:val="%1)"/>
      <w:lvlJc w:val="left"/>
      <w:pPr>
        <w:tabs>
          <w:tab w:val="num" w:pos="360"/>
        </w:tabs>
        <w:ind w:left="360" w:hanging="360"/>
      </w:pPr>
    </w:lvl>
  </w:abstractNum>
  <w:abstractNum w:abstractNumId="26">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7">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8">
    <w:nsid w:val="6B7703C5"/>
    <w:multiLevelType w:val="hybridMultilevel"/>
    <w:tmpl w:val="866C4E30"/>
    <w:lvl w:ilvl="0" w:tplc="FFFFFFFF">
      <w:start w:val="1"/>
      <w:numFmt w:val="bullet"/>
      <w:lvlText w:val=""/>
      <w:lvlJc w:val="left"/>
      <w:pPr>
        <w:tabs>
          <w:tab w:val="num" w:pos="1776"/>
        </w:tabs>
        <w:ind w:left="1776" w:hanging="360"/>
      </w:pPr>
      <w:rPr>
        <w:rFonts w:ascii="Symbol" w:hAnsi="Symbol" w:hint="default"/>
        <w:color w:val="auto"/>
      </w:rPr>
    </w:lvl>
    <w:lvl w:ilvl="1" w:tplc="FFFFFFFF" w:tentative="1">
      <w:start w:val="1"/>
      <w:numFmt w:val="bullet"/>
      <w:lvlText w:val="o"/>
      <w:lvlJc w:val="left"/>
      <w:pPr>
        <w:tabs>
          <w:tab w:val="num" w:pos="2856"/>
        </w:tabs>
        <w:ind w:left="2856" w:hanging="360"/>
      </w:pPr>
      <w:rPr>
        <w:rFonts w:ascii="Courier New" w:hAnsi="Courier New" w:cs="Wingdings"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cs="Wingdings"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cs="Wingdings"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9">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24"/>
  </w:num>
  <w:num w:numId="4">
    <w:abstractNumId w:val="11"/>
  </w:num>
  <w:num w:numId="5">
    <w:abstractNumId w:val="26"/>
  </w:num>
  <w:num w:numId="6">
    <w:abstractNumId w:val="17"/>
  </w:num>
  <w:num w:numId="7">
    <w:abstractNumId w:val="15"/>
  </w:num>
  <w:num w:numId="8">
    <w:abstractNumId w:val="22"/>
  </w:num>
  <w:num w:numId="9">
    <w:abstractNumId w:val="21"/>
  </w:num>
  <w:num w:numId="10">
    <w:abstractNumId w:val="18"/>
  </w:num>
  <w:num w:numId="11">
    <w:abstractNumId w:val="22"/>
    <w:lvlOverride w:ilvl="0">
      <w:startOverride w:val="1"/>
    </w:lvlOverride>
  </w:num>
  <w:num w:numId="12">
    <w:abstractNumId w:val="8"/>
  </w:num>
  <w:num w:numId="13">
    <w:abstractNumId w:val="4"/>
  </w:num>
  <w:num w:numId="14">
    <w:abstractNumId w:val="29"/>
  </w:num>
  <w:num w:numId="15">
    <w:abstractNumId w:val="2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30"/>
  </w:num>
  <w:num w:numId="20">
    <w:abstractNumId w:val="19"/>
  </w:num>
  <w:num w:numId="21">
    <w:abstractNumId w:val="32"/>
  </w:num>
  <w:num w:numId="22">
    <w:abstractNumId w:val="33"/>
  </w:num>
  <w:num w:numId="23">
    <w:abstractNumId w:val="3"/>
  </w:num>
  <w:num w:numId="24">
    <w:abstractNumId w:val="6"/>
  </w:num>
  <w:num w:numId="25">
    <w:abstractNumId w:val="13"/>
  </w:num>
  <w:num w:numId="26">
    <w:abstractNumId w:val="5"/>
  </w:num>
  <w:num w:numId="27">
    <w:abstractNumId w:val="7"/>
  </w:num>
  <w:num w:numId="28">
    <w:abstractNumId w:val="25"/>
  </w:num>
  <w:num w:numId="29">
    <w:abstractNumId w:val="28"/>
  </w:num>
  <w:num w:numId="30">
    <w:abstractNumId w:val="16"/>
  </w:num>
  <w:num w:numId="31">
    <w:abstractNumId w:val="2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614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785"/>
    <w:rsid w:val="00020A90"/>
    <w:rsid w:val="00031379"/>
    <w:rsid w:val="00047A69"/>
    <w:rsid w:val="000600F3"/>
    <w:rsid w:val="00065564"/>
    <w:rsid w:val="00072B81"/>
    <w:rsid w:val="00076322"/>
    <w:rsid w:val="000A47CA"/>
    <w:rsid w:val="000B7367"/>
    <w:rsid w:val="000C183F"/>
    <w:rsid w:val="000F0C12"/>
    <w:rsid w:val="000F1B83"/>
    <w:rsid w:val="000F23DD"/>
    <w:rsid w:val="000F3919"/>
    <w:rsid w:val="0013619B"/>
    <w:rsid w:val="001478DE"/>
    <w:rsid w:val="00156A83"/>
    <w:rsid w:val="0017024D"/>
    <w:rsid w:val="00193C0E"/>
    <w:rsid w:val="001C46EA"/>
    <w:rsid w:val="001D3081"/>
    <w:rsid w:val="001D6328"/>
    <w:rsid w:val="001E0C8D"/>
    <w:rsid w:val="00204A2E"/>
    <w:rsid w:val="0024195C"/>
    <w:rsid w:val="00246B4B"/>
    <w:rsid w:val="00257862"/>
    <w:rsid w:val="002654A1"/>
    <w:rsid w:val="00266F44"/>
    <w:rsid w:val="002741A5"/>
    <w:rsid w:val="00276213"/>
    <w:rsid w:val="002866A5"/>
    <w:rsid w:val="002941F6"/>
    <w:rsid w:val="002B1460"/>
    <w:rsid w:val="002E1BC4"/>
    <w:rsid w:val="00317846"/>
    <w:rsid w:val="00327498"/>
    <w:rsid w:val="0036703C"/>
    <w:rsid w:val="00375CC6"/>
    <w:rsid w:val="0037720F"/>
    <w:rsid w:val="003E1632"/>
    <w:rsid w:val="003E1C71"/>
    <w:rsid w:val="004012BC"/>
    <w:rsid w:val="00412E32"/>
    <w:rsid w:val="0047259B"/>
    <w:rsid w:val="004920EE"/>
    <w:rsid w:val="00496AFF"/>
    <w:rsid w:val="004A03B0"/>
    <w:rsid w:val="004A10D7"/>
    <w:rsid w:val="004C490C"/>
    <w:rsid w:val="004C730D"/>
    <w:rsid w:val="004D4301"/>
    <w:rsid w:val="004F3192"/>
    <w:rsid w:val="005032C5"/>
    <w:rsid w:val="005375A1"/>
    <w:rsid w:val="005619B3"/>
    <w:rsid w:val="00573FB3"/>
    <w:rsid w:val="0058263A"/>
    <w:rsid w:val="005869E6"/>
    <w:rsid w:val="005908F9"/>
    <w:rsid w:val="00590B7F"/>
    <w:rsid w:val="005D0DC3"/>
    <w:rsid w:val="005E49EF"/>
    <w:rsid w:val="005F7AD5"/>
    <w:rsid w:val="00617020"/>
    <w:rsid w:val="00655814"/>
    <w:rsid w:val="00695888"/>
    <w:rsid w:val="006A0C56"/>
    <w:rsid w:val="006C03D0"/>
    <w:rsid w:val="006D00F7"/>
    <w:rsid w:val="0070052E"/>
    <w:rsid w:val="00713DBA"/>
    <w:rsid w:val="00755002"/>
    <w:rsid w:val="00780124"/>
    <w:rsid w:val="0078060D"/>
    <w:rsid w:val="00780AE6"/>
    <w:rsid w:val="007876EE"/>
    <w:rsid w:val="007C30B4"/>
    <w:rsid w:val="007C4348"/>
    <w:rsid w:val="007C6571"/>
    <w:rsid w:val="007E23E4"/>
    <w:rsid w:val="007E537D"/>
    <w:rsid w:val="00803182"/>
    <w:rsid w:val="00821628"/>
    <w:rsid w:val="00827E5E"/>
    <w:rsid w:val="008550A0"/>
    <w:rsid w:val="00857EBD"/>
    <w:rsid w:val="00865672"/>
    <w:rsid w:val="008931D6"/>
    <w:rsid w:val="008A79FA"/>
    <w:rsid w:val="008E59F3"/>
    <w:rsid w:val="00953B8B"/>
    <w:rsid w:val="00954DA7"/>
    <w:rsid w:val="009610A1"/>
    <w:rsid w:val="009B6C78"/>
    <w:rsid w:val="009B6F27"/>
    <w:rsid w:val="009E2482"/>
    <w:rsid w:val="009F14FD"/>
    <w:rsid w:val="009F389E"/>
    <w:rsid w:val="00A33424"/>
    <w:rsid w:val="00A41673"/>
    <w:rsid w:val="00A51575"/>
    <w:rsid w:val="00A51F19"/>
    <w:rsid w:val="00A627C0"/>
    <w:rsid w:val="00A8085A"/>
    <w:rsid w:val="00A86D8F"/>
    <w:rsid w:val="00A94D3D"/>
    <w:rsid w:val="00AA0D89"/>
    <w:rsid w:val="00AB646A"/>
    <w:rsid w:val="00AC0F69"/>
    <w:rsid w:val="00AD7CBE"/>
    <w:rsid w:val="00B03382"/>
    <w:rsid w:val="00B06A34"/>
    <w:rsid w:val="00B20F6F"/>
    <w:rsid w:val="00B23041"/>
    <w:rsid w:val="00B238C3"/>
    <w:rsid w:val="00B93A39"/>
    <w:rsid w:val="00BD4D75"/>
    <w:rsid w:val="00BE59E8"/>
    <w:rsid w:val="00C1340F"/>
    <w:rsid w:val="00C2156F"/>
    <w:rsid w:val="00C2707E"/>
    <w:rsid w:val="00C43308"/>
    <w:rsid w:val="00C46BBD"/>
    <w:rsid w:val="00C500FA"/>
    <w:rsid w:val="00C64D00"/>
    <w:rsid w:val="00C665E0"/>
    <w:rsid w:val="00C87E58"/>
    <w:rsid w:val="00C9294A"/>
    <w:rsid w:val="00D52074"/>
    <w:rsid w:val="00D80DD6"/>
    <w:rsid w:val="00D825B5"/>
    <w:rsid w:val="00D90B0A"/>
    <w:rsid w:val="00DA090D"/>
    <w:rsid w:val="00DB0675"/>
    <w:rsid w:val="00DB5234"/>
    <w:rsid w:val="00DB552F"/>
    <w:rsid w:val="00DC0568"/>
    <w:rsid w:val="00DC24C1"/>
    <w:rsid w:val="00E0580A"/>
    <w:rsid w:val="00E06495"/>
    <w:rsid w:val="00E53BEE"/>
    <w:rsid w:val="00E65E22"/>
    <w:rsid w:val="00E73D39"/>
    <w:rsid w:val="00ED33EE"/>
    <w:rsid w:val="00EE4B34"/>
    <w:rsid w:val="00EF63C2"/>
    <w:rsid w:val="00F177F1"/>
    <w:rsid w:val="00F212A5"/>
    <w:rsid w:val="00F216A8"/>
    <w:rsid w:val="00F32EE8"/>
    <w:rsid w:val="00F52785"/>
    <w:rsid w:val="00F72DAB"/>
    <w:rsid w:val="00FA4704"/>
    <w:rsid w:val="00FB0442"/>
    <w:rsid w:val="00FD144F"/>
    <w:rsid w:val="00FE7F8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614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CA"/>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9610A1"/>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aliases w:val="encabezado,he,header odd,header odd1,header odd2"/>
    <w:basedOn w:val="Normal"/>
    <w:link w:val="HeaderChar"/>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tabs>
        <w:tab w:val="clear" w:pos="539"/>
        <w:tab w:val="num" w:pos="397"/>
      </w:tabs>
      <w:spacing w:after="120"/>
      <w:ind w:left="397"/>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HeaderChar">
    <w:name w:val="Header Char"/>
    <w:aliases w:val="encabezado Char,he Char,header odd Char,header odd1 Char,header odd2 Char"/>
    <w:basedOn w:val="DefaultParagraphFont"/>
    <w:link w:val="Header"/>
    <w:rsid w:val="003E1632"/>
    <w:rPr>
      <w:rFonts w:ascii="Arial" w:hAnsi="Arial"/>
      <w:b/>
      <w:sz w:val="16"/>
      <w:szCs w:val="24"/>
      <w:lang w:val="en-US"/>
    </w:rPr>
  </w:style>
  <w:style w:type="character" w:customStyle="1" w:styleId="FooterChar">
    <w:name w:val="Footer Char"/>
    <w:basedOn w:val="DefaultParagraphFont"/>
    <w:link w:val="Footer"/>
    <w:rsid w:val="003E1632"/>
    <w:rPr>
      <w:rFonts w:ascii="Arial" w:hAnsi="Arial"/>
      <w:szCs w:val="24"/>
      <w:lang w:val="en-US"/>
    </w:rPr>
  </w:style>
  <w:style w:type="character" w:customStyle="1" w:styleId="FootnoteTextChar">
    <w:name w:val="Footnote Text Char"/>
    <w:basedOn w:val="DefaultParagraphFont"/>
    <w:link w:val="FootnoteText"/>
    <w:semiHidden/>
    <w:rsid w:val="003E1632"/>
    <w:rPr>
      <w:rFonts w:ascii="Arial" w:hAnsi="Arial"/>
      <w:lang w:val="en-US"/>
    </w:rPr>
  </w:style>
  <w:style w:type="paragraph" w:customStyle="1" w:styleId="Titreannexe">
    <w:name w:val="Titre annexe"/>
    <w:basedOn w:val="Normal"/>
    <w:rsid w:val="00C43308"/>
    <w:pPr>
      <w:numPr>
        <w:numId w:val="35"/>
      </w:numPr>
    </w:pPr>
    <w:rPr>
      <w:rFonts w:cs="Arial"/>
      <w:b/>
      <w:sz w:val="28"/>
      <w:lang w:val="en-GB" w:eastAsia="en-GB"/>
    </w:rPr>
  </w:style>
  <w:style w:type="character" w:customStyle="1" w:styleId="ECCHLunderlined">
    <w:name w:val="ECC HL underlined"/>
    <w:uiPriority w:val="1"/>
    <w:qFormat/>
    <w:rsid w:val="00954DA7"/>
    <w:rPr>
      <w:u w:val="single"/>
    </w:rPr>
  </w:style>
  <w:style w:type="paragraph" w:customStyle="1" w:styleId="CM7">
    <w:name w:val="CM7"/>
    <w:basedOn w:val="Normal"/>
    <w:next w:val="Normal"/>
    <w:rsid w:val="00DC24C1"/>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paragraph" w:customStyle="1" w:styleId="CM22">
    <w:name w:val="CM22"/>
    <w:basedOn w:val="Normal"/>
    <w:next w:val="Normal"/>
    <w:rsid w:val="00DC24C1"/>
    <w:pPr>
      <w:widowControl w:val="0"/>
      <w:autoSpaceDE w:val="0"/>
      <w:autoSpaceDN w:val="0"/>
      <w:adjustRightInd w:val="0"/>
      <w:spacing w:after="17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CA"/>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9610A1"/>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aliases w:val="encabezado,he,header odd,header odd1,header odd2"/>
    <w:basedOn w:val="Normal"/>
    <w:link w:val="HeaderChar"/>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tabs>
        <w:tab w:val="clear" w:pos="539"/>
        <w:tab w:val="num" w:pos="397"/>
      </w:tabs>
      <w:spacing w:after="120"/>
      <w:ind w:left="397"/>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HeaderChar">
    <w:name w:val="Header Char"/>
    <w:aliases w:val="encabezado Char,he Char,header odd Char,header odd1 Char,header odd2 Char"/>
    <w:basedOn w:val="DefaultParagraphFont"/>
    <w:link w:val="Header"/>
    <w:rsid w:val="003E1632"/>
    <w:rPr>
      <w:rFonts w:ascii="Arial" w:hAnsi="Arial"/>
      <w:b/>
      <w:sz w:val="16"/>
      <w:szCs w:val="24"/>
      <w:lang w:val="en-US"/>
    </w:rPr>
  </w:style>
  <w:style w:type="character" w:customStyle="1" w:styleId="FooterChar">
    <w:name w:val="Footer Char"/>
    <w:basedOn w:val="DefaultParagraphFont"/>
    <w:link w:val="Footer"/>
    <w:rsid w:val="003E1632"/>
    <w:rPr>
      <w:rFonts w:ascii="Arial" w:hAnsi="Arial"/>
      <w:szCs w:val="24"/>
      <w:lang w:val="en-US"/>
    </w:rPr>
  </w:style>
  <w:style w:type="character" w:customStyle="1" w:styleId="FootnoteTextChar">
    <w:name w:val="Footnote Text Char"/>
    <w:basedOn w:val="DefaultParagraphFont"/>
    <w:link w:val="FootnoteText"/>
    <w:semiHidden/>
    <w:rsid w:val="003E1632"/>
    <w:rPr>
      <w:rFonts w:ascii="Arial" w:hAnsi="Arial"/>
      <w:lang w:val="en-US"/>
    </w:rPr>
  </w:style>
  <w:style w:type="paragraph" w:customStyle="1" w:styleId="Titreannexe">
    <w:name w:val="Titre annexe"/>
    <w:basedOn w:val="Normal"/>
    <w:rsid w:val="00C43308"/>
    <w:pPr>
      <w:numPr>
        <w:numId w:val="35"/>
      </w:numPr>
    </w:pPr>
    <w:rPr>
      <w:rFonts w:cs="Arial"/>
      <w:b/>
      <w:sz w:val="28"/>
      <w:lang w:val="en-GB" w:eastAsia="en-GB"/>
    </w:rPr>
  </w:style>
  <w:style w:type="character" w:customStyle="1" w:styleId="ECCHLunderlined">
    <w:name w:val="ECC HL underlined"/>
    <w:uiPriority w:val="1"/>
    <w:qFormat/>
    <w:rsid w:val="00954DA7"/>
    <w:rPr>
      <w:u w:val="single"/>
    </w:rPr>
  </w:style>
  <w:style w:type="paragraph" w:customStyle="1" w:styleId="CM7">
    <w:name w:val="CM7"/>
    <w:basedOn w:val="Normal"/>
    <w:next w:val="Normal"/>
    <w:rsid w:val="00DC24C1"/>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paragraph" w:customStyle="1" w:styleId="CM22">
    <w:name w:val="CM22"/>
    <w:basedOn w:val="Normal"/>
    <w:next w:val="Normal"/>
    <w:rsid w:val="00DC24C1"/>
    <w:pPr>
      <w:widowControl w:val="0"/>
      <w:autoSpaceDE w:val="0"/>
      <w:autoSpaceDN w:val="0"/>
      <w:adjustRightInd w:val="0"/>
      <w:spacing w:after="17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9E127-741F-437E-8524-0820C2B3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3891</Words>
  <Characters>22180</Characters>
  <Application>Microsoft Office Word</Application>
  <DocSecurity>0</DocSecurity>
  <Lines>184</Lines>
  <Paragraphs>52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26019</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author</cp:lastModifiedBy>
  <cp:revision>3</cp:revision>
  <cp:lastPrinted>2015-07-03T11:29:00Z</cp:lastPrinted>
  <dcterms:created xsi:type="dcterms:W3CDTF">2015-07-03T11:29:00Z</dcterms:created>
  <dcterms:modified xsi:type="dcterms:W3CDTF">2018-01-23T12:15:00Z</dcterms:modified>
</cp:coreProperties>
</file>