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25" w:rsidRDefault="00F82525">
      <w:pPr>
        <w:widowControl w:val="0"/>
        <w:tabs>
          <w:tab w:val="left" w:pos="-720"/>
          <w:tab w:val="left" w:pos="1296"/>
          <w:tab w:val="left" w:pos="8064"/>
        </w:tabs>
        <w:jc w:val="center"/>
        <w:rPr>
          <w:b/>
          <w:bCs/>
        </w:rPr>
      </w:pPr>
      <w:bookmarkStart w:id="0" w:name="_GoBack"/>
      <w:bookmarkEnd w:id="0"/>
      <w:r>
        <w:rPr>
          <w:b/>
          <w:bCs/>
        </w:rPr>
        <w:t>CEPT/ERC/RECOMMENDATION 11-01 E (Turku 1996)</w:t>
      </w:r>
    </w:p>
    <w:p w:rsidR="00F82525" w:rsidRDefault="00F82525">
      <w:pPr>
        <w:widowControl w:val="0"/>
        <w:tabs>
          <w:tab w:val="left" w:pos="-720"/>
          <w:tab w:val="left" w:pos="1296"/>
          <w:tab w:val="left" w:pos="8064"/>
        </w:tabs>
        <w:jc w:val="center"/>
        <w:rPr>
          <w:b/>
          <w:bCs/>
        </w:rPr>
      </w:pPr>
    </w:p>
    <w:p w:rsidR="00F82525" w:rsidRDefault="00F82525">
      <w:pPr>
        <w:widowControl w:val="0"/>
        <w:tabs>
          <w:tab w:val="left" w:pos="-720"/>
          <w:tab w:val="left" w:pos="1296"/>
          <w:tab w:val="left" w:pos="8064"/>
        </w:tabs>
        <w:jc w:val="center"/>
        <w:rPr>
          <w:b/>
          <w:bCs/>
        </w:rPr>
      </w:pPr>
    </w:p>
    <w:p w:rsidR="00F82525" w:rsidRDefault="00F82525">
      <w:pPr>
        <w:widowControl w:val="0"/>
        <w:tabs>
          <w:tab w:val="left" w:pos="-720"/>
          <w:tab w:val="left" w:pos="1296"/>
          <w:tab w:val="left" w:pos="8064"/>
        </w:tabs>
        <w:jc w:val="center"/>
        <w:rPr>
          <w:b/>
          <w:bCs/>
        </w:rPr>
      </w:pPr>
      <w:r>
        <w:rPr>
          <w:b/>
          <w:bCs/>
        </w:rPr>
        <w:t xml:space="preserve">TYPE APPROVAL FOR SATELLITE EARTH STATIONS EQUIPMENT, </w:t>
      </w:r>
    </w:p>
    <w:p w:rsidR="00F82525" w:rsidRDefault="00F82525">
      <w:pPr>
        <w:widowControl w:val="0"/>
        <w:tabs>
          <w:tab w:val="left" w:pos="-720"/>
          <w:tab w:val="left" w:pos="1296"/>
          <w:tab w:val="left" w:pos="8064"/>
        </w:tabs>
        <w:jc w:val="center"/>
        <w:rPr>
          <w:b/>
          <w:bCs/>
        </w:rPr>
      </w:pPr>
      <w:r>
        <w:rPr>
          <w:b/>
          <w:bCs/>
        </w:rPr>
        <w:t>VSAT (Very Small Aperture Terminals) and SNG (Satellite News Gathering)</w:t>
      </w:r>
    </w:p>
    <w:p w:rsidR="00F82525" w:rsidRDefault="00F82525">
      <w:pPr>
        <w:widowControl w:val="0"/>
        <w:tabs>
          <w:tab w:val="left" w:pos="-720"/>
          <w:tab w:val="left" w:pos="1296"/>
          <w:tab w:val="left" w:pos="8064"/>
        </w:tabs>
        <w:jc w:val="center"/>
      </w:pPr>
    </w:p>
    <w:p w:rsidR="00F82525" w:rsidRDefault="00F82525">
      <w:pPr>
        <w:widowControl w:val="0"/>
        <w:tabs>
          <w:tab w:val="left" w:pos="-720"/>
          <w:tab w:val="left" w:pos="1296"/>
          <w:tab w:val="left" w:pos="8064"/>
        </w:tabs>
        <w:jc w:val="center"/>
      </w:pPr>
    </w:p>
    <w:p w:rsidR="00F82525" w:rsidRDefault="00F82525">
      <w:pPr>
        <w:widowControl w:val="0"/>
        <w:tabs>
          <w:tab w:val="left" w:pos="-720"/>
          <w:tab w:val="left" w:pos="1296"/>
          <w:tab w:val="left" w:pos="8064"/>
        </w:tabs>
        <w:jc w:val="center"/>
      </w:pPr>
      <w:r>
        <w:t>Recommendation proposed by the Working Group "Radio Regulatory" (WGRR)</w:t>
      </w:r>
    </w:p>
    <w:p w:rsidR="00F82525" w:rsidRDefault="00F82525">
      <w:pPr>
        <w:widowControl w:val="0"/>
        <w:tabs>
          <w:tab w:val="left" w:pos="-720"/>
          <w:tab w:val="left" w:pos="1296"/>
          <w:tab w:val="left" w:pos="8064"/>
        </w:tabs>
        <w:jc w:val="both"/>
      </w:pPr>
    </w:p>
    <w:p w:rsidR="00F82525" w:rsidRDefault="00F82525">
      <w:pPr>
        <w:widowControl w:val="0"/>
        <w:tabs>
          <w:tab w:val="left" w:pos="-720"/>
          <w:tab w:val="left" w:pos="1296"/>
          <w:tab w:val="left" w:pos="8064"/>
        </w:tabs>
        <w:jc w:val="both"/>
        <w:rPr>
          <w:i/>
          <w:iCs/>
        </w:rPr>
      </w:pPr>
      <w:r>
        <w:rPr>
          <w:i/>
          <w:iCs/>
        </w:rPr>
        <w:t>Text of the Recommendation adopted by the "European Radiocommunications Committee" (ERC):</w:t>
      </w:r>
    </w:p>
    <w:p w:rsidR="00F82525" w:rsidRDefault="00F82525">
      <w:pPr>
        <w:widowControl w:val="0"/>
        <w:tabs>
          <w:tab w:val="left" w:pos="-720"/>
          <w:tab w:val="left" w:pos="1296"/>
          <w:tab w:val="left" w:pos="8064"/>
        </w:tabs>
        <w:jc w:val="both"/>
      </w:pPr>
    </w:p>
    <w:p w:rsidR="00F82525" w:rsidRDefault="00F82525">
      <w:pPr>
        <w:widowControl w:val="0"/>
        <w:tabs>
          <w:tab w:val="left" w:pos="-720"/>
          <w:tab w:val="left" w:pos="1296"/>
          <w:tab w:val="left" w:pos="8064"/>
        </w:tabs>
        <w:jc w:val="both"/>
      </w:pPr>
    </w:p>
    <w:p w:rsidR="00F82525" w:rsidRDefault="00F82525">
      <w:pPr>
        <w:widowControl w:val="0"/>
        <w:tabs>
          <w:tab w:val="left" w:pos="-720"/>
          <w:tab w:val="left" w:pos="1296"/>
          <w:tab w:val="left" w:pos="8064"/>
        </w:tabs>
        <w:jc w:val="both"/>
      </w:pPr>
      <w:r>
        <w:rPr>
          <w:b/>
          <w:bCs/>
        </w:rPr>
        <w:t>INTRODUCTION</w:t>
      </w:r>
    </w:p>
    <w:p w:rsidR="00F82525" w:rsidRDefault="00F82525">
      <w:pPr>
        <w:widowControl w:val="0"/>
        <w:tabs>
          <w:tab w:val="left" w:pos="-720"/>
          <w:tab w:val="left" w:pos="1296"/>
          <w:tab w:val="left" w:pos="8064"/>
        </w:tabs>
        <w:jc w:val="both"/>
      </w:pPr>
    </w:p>
    <w:p w:rsidR="00F82525" w:rsidRDefault="00F82525">
      <w:pPr>
        <w:widowControl w:val="0"/>
        <w:tabs>
          <w:tab w:val="left" w:pos="-720"/>
          <w:tab w:val="left" w:pos="1296"/>
          <w:tab w:val="left" w:pos="8064"/>
        </w:tabs>
        <w:jc w:val="both"/>
      </w:pPr>
      <w:r>
        <w:t>It is noted that the equipment covered by this Recommendation is within the scope of directive 93/97/EEC supplementing directive 91/263/EEC on the approximation of the laws of the Member States concerning telecommunications terminal equipment, including the mutual recognition of their conformity, in respect of satellite earth station.</w:t>
      </w:r>
    </w:p>
    <w:p w:rsidR="00F82525" w:rsidRDefault="00F82525">
      <w:pPr>
        <w:widowControl w:val="0"/>
        <w:tabs>
          <w:tab w:val="left" w:pos="-720"/>
          <w:tab w:val="left" w:pos="1296"/>
          <w:tab w:val="left" w:pos="8064"/>
        </w:tabs>
        <w:jc w:val="both"/>
      </w:pPr>
    </w:p>
    <w:p w:rsidR="00F82525" w:rsidRDefault="00F82525">
      <w:pPr>
        <w:widowControl w:val="0"/>
        <w:tabs>
          <w:tab w:val="left" w:pos="-720"/>
          <w:tab w:val="left" w:pos="1296"/>
          <w:tab w:val="left" w:pos="8064"/>
        </w:tabs>
        <w:jc w:val="both"/>
      </w:pPr>
      <w:r>
        <w:t>Since however a CTR has not been developed for the equipment the mentioned directive can not yet be applied in practice and therefore an interim CEPT type approval procedure is developed to make mutual recognition of type approval possible already now, when the equipment is in conformity with the relevant ETS.</w:t>
      </w:r>
    </w:p>
    <w:p w:rsidR="00F82525" w:rsidRDefault="00F82525">
      <w:pPr>
        <w:widowControl w:val="0"/>
        <w:tabs>
          <w:tab w:val="left" w:pos="-720"/>
          <w:tab w:val="left" w:pos="1296"/>
          <w:tab w:val="left" w:pos="8064"/>
        </w:tabs>
        <w:jc w:val="both"/>
      </w:pPr>
    </w:p>
    <w:p w:rsidR="00F82525" w:rsidRDefault="00F82525">
      <w:pPr>
        <w:widowControl w:val="0"/>
        <w:tabs>
          <w:tab w:val="left" w:pos="-720"/>
          <w:tab w:val="left" w:pos="1296"/>
          <w:tab w:val="left" w:pos="8064"/>
        </w:tabs>
        <w:jc w:val="both"/>
      </w:pPr>
      <w:r>
        <w:t>“The European Conference of Postal and Telecommunications Administrations,</w:t>
      </w:r>
    </w:p>
    <w:p w:rsidR="00F82525" w:rsidRDefault="00F82525">
      <w:pPr>
        <w:widowControl w:val="0"/>
        <w:tabs>
          <w:tab w:val="left" w:pos="-720"/>
          <w:tab w:val="left" w:pos="1296"/>
          <w:tab w:val="left" w:pos="8064"/>
        </w:tabs>
        <w:jc w:val="both"/>
      </w:pPr>
    </w:p>
    <w:p w:rsidR="00F82525" w:rsidRDefault="00F82525">
      <w:pPr>
        <w:widowControl w:val="0"/>
        <w:tabs>
          <w:tab w:val="left" w:pos="-720"/>
          <w:tab w:val="left" w:pos="1296"/>
          <w:tab w:val="left" w:pos="8064"/>
        </w:tabs>
        <w:jc w:val="both"/>
      </w:pPr>
      <w:r>
        <w:rPr>
          <w:i/>
          <w:iCs/>
        </w:rPr>
        <w:t>considering</w:t>
      </w:r>
    </w:p>
    <w:p w:rsidR="00F82525" w:rsidRDefault="00F82525">
      <w:pPr>
        <w:widowControl w:val="0"/>
        <w:tabs>
          <w:tab w:val="left" w:pos="-720"/>
          <w:tab w:val="left" w:pos="1296"/>
          <w:tab w:val="left" w:pos="8064"/>
        </w:tabs>
        <w:jc w:val="both"/>
      </w:pPr>
    </w:p>
    <w:p w:rsidR="00F82525" w:rsidRDefault="00F82525">
      <w:pPr>
        <w:widowControl w:val="0"/>
        <w:numPr>
          <w:ilvl w:val="0"/>
          <w:numId w:val="1"/>
        </w:numPr>
        <w:tabs>
          <w:tab w:val="left" w:pos="-720"/>
          <w:tab w:val="left" w:pos="1296"/>
          <w:tab w:val="left" w:pos="8064"/>
        </w:tabs>
        <w:jc w:val="both"/>
      </w:pPr>
      <w:r>
        <w:t>that the VSAT terminals are using the frequ</w:t>
      </w:r>
      <w:r>
        <w:softHyphen/>
        <w:t>ency bands 14.0 GHz - 14.5 GHz (uplink) and 10.7 GHz - 11.7 GHz and 12.50 GHz - 12.75 GHz (downlink) and the SNG terminals are using the frequency bands 12.75 GHz - 13.25 GHz and 13.75 GHz - 14.5 GHz (uplink) and 10.7 GHz - 11.7 GHz and 12.50 GHz - 12.75 GHz (downlink),</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2"/>
        </w:numPr>
        <w:tabs>
          <w:tab w:val="left" w:pos="-720"/>
          <w:tab w:val="left" w:pos="1296"/>
          <w:tab w:val="left" w:pos="8064"/>
        </w:tabs>
        <w:jc w:val="both"/>
      </w:pPr>
      <w:r>
        <w:t>that it would be advantageous for CEPT administrations to have a common approach in the harmonisation of the procedures for type appro</w:t>
      </w:r>
      <w:r>
        <w:softHyphen/>
        <w:t>val and marking of VSAT and SNG ter</w:t>
      </w:r>
      <w:r>
        <w:softHyphen/>
        <w:t>minals,</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3"/>
        </w:numPr>
        <w:tabs>
          <w:tab w:val="left" w:pos="-720"/>
          <w:tab w:val="left" w:pos="1296"/>
          <w:tab w:val="left" w:pos="8064"/>
        </w:tabs>
        <w:jc w:val="both"/>
      </w:pPr>
      <w:r>
        <w:t>that the VSAT and SNG terminals fall wit</w:t>
      </w:r>
      <w:r>
        <w:softHyphen/>
        <w:t>hin the scope of the EC Directive 91/263/EEC [1] extended by EC Directive 93/97/EEC [2] which cover Satellite Earth Station terminals and that these Directives provide for the testing of compli</w:t>
      </w:r>
      <w:r>
        <w:softHyphen/>
        <w:t>an</w:t>
      </w:r>
      <w:r>
        <w:softHyphen/>
        <w:t>ce with the es</w:t>
      </w:r>
      <w:r>
        <w:softHyphen/>
        <w:t>sential re</w:t>
      </w:r>
      <w:r>
        <w:softHyphen/>
        <w:t>quirements through a Noti</w:t>
      </w:r>
      <w:r>
        <w:softHyphen/>
        <w:t>fied Body,</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4"/>
        </w:numPr>
        <w:tabs>
          <w:tab w:val="left" w:pos="-720"/>
          <w:tab w:val="left" w:pos="1296"/>
          <w:tab w:val="left" w:pos="8064"/>
        </w:tabs>
        <w:jc w:val="both"/>
      </w:pPr>
      <w:r>
        <w:t>that equipment may at the same time be subject to other regulations outside the scope of this Recommendation (e.g. EMC, electrical safety etc.),</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5"/>
        </w:numPr>
        <w:tabs>
          <w:tab w:val="left" w:pos="-720"/>
          <w:tab w:val="left" w:pos="1296"/>
          <w:tab w:val="left" w:pos="8064"/>
        </w:tabs>
        <w:jc w:val="both"/>
      </w:pPr>
      <w:r>
        <w:t>that in the absence of CTRs or TBRs within the EEA countries, the granting of type appro</w:t>
      </w:r>
      <w:r>
        <w:softHyphen/>
        <w:t>val is only pos</w:t>
      </w:r>
      <w:r>
        <w:softHyphen/>
        <w:t>sible against the essential requirements of ETS 300 159 [3] and ETS 300 160 [4] for VSAT and ETS 300 327 [5] for SNG,</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6"/>
        </w:numPr>
        <w:tabs>
          <w:tab w:val="left" w:pos="-720"/>
          <w:tab w:val="left" w:pos="1296"/>
          <w:tab w:val="left" w:pos="8064"/>
        </w:tabs>
        <w:jc w:val="both"/>
      </w:pPr>
      <w:r>
        <w:t>that CEPT administra</w:t>
      </w:r>
      <w:r>
        <w:softHyphen/>
        <w:t>tions permit VSAT and SNG terminals to be placed on the mar</w:t>
      </w:r>
      <w:r>
        <w:softHyphen/>
        <w:t>ket provided that the equipment conforms to the relevant ETS,</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7"/>
        </w:numPr>
        <w:tabs>
          <w:tab w:val="left" w:pos="-720"/>
          <w:tab w:val="left" w:pos="1296"/>
          <w:tab w:val="left" w:pos="8064"/>
        </w:tabs>
        <w:jc w:val="both"/>
      </w:pPr>
      <w:r>
        <w:t>that ETSI report ETR 169, Satellite Earth Stations and Sys</w:t>
      </w:r>
      <w:r>
        <w:softHyphen/>
        <w:t>tems (SES); Common Techni</w:t>
      </w:r>
      <w:r>
        <w:softHyphen/>
        <w:t>cal Regulations (CTRs) in Satellite Earth Stations Equipment field has defined the essen</w:t>
      </w:r>
      <w:r>
        <w:softHyphen/>
        <w:t>tial re</w:t>
      </w:r>
      <w:r>
        <w:softHyphen/>
        <w:t>quire</w:t>
      </w:r>
      <w:r>
        <w:softHyphen/>
        <w:t>ments for satellite termi</w:t>
      </w:r>
      <w:r>
        <w:softHyphen/>
        <w:t>nal equipment (art. 4e of the Directive 91/263/EEC), see enclosed Annex I,</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8"/>
        </w:numPr>
        <w:tabs>
          <w:tab w:val="left" w:pos="-720"/>
          <w:tab w:val="left" w:pos="1296"/>
          <w:tab w:val="left" w:pos="8064"/>
        </w:tabs>
        <w:jc w:val="both"/>
        <w:sectPr w:rsidR="00F82525">
          <w:headerReference w:type="first" r:id="rId8"/>
          <w:footerReference w:type="first" r:id="rId9"/>
          <w:pgSz w:w="11907" w:h="16840" w:code="9"/>
          <w:pgMar w:top="2160" w:right="1440" w:bottom="1134" w:left="1440" w:header="1009" w:footer="578" w:gutter="0"/>
          <w:pgNumType w:start="2"/>
          <w:cols w:space="709"/>
          <w:noEndnote/>
          <w:titlePg/>
        </w:sectPr>
      </w:pPr>
    </w:p>
    <w:p w:rsidR="00F82525" w:rsidRDefault="00F82525">
      <w:pPr>
        <w:widowControl w:val="0"/>
        <w:numPr>
          <w:ilvl w:val="0"/>
          <w:numId w:val="9"/>
        </w:numPr>
        <w:tabs>
          <w:tab w:val="left" w:pos="-720"/>
          <w:tab w:val="left" w:pos="1296"/>
          <w:tab w:val="left" w:pos="8064"/>
        </w:tabs>
        <w:jc w:val="both"/>
      </w:pPr>
      <w:r>
        <w:lastRenderedPageBreak/>
        <w:t>that the Satellite Earth Station terminals declared to be directly con</w:t>
      </w:r>
      <w:r>
        <w:softHyphen/>
        <w:t>nected to the pub</w:t>
      </w:r>
      <w:r>
        <w:softHyphen/>
        <w:t>lic network can be required to fulfil the es</w:t>
      </w:r>
      <w:r>
        <w:softHyphen/>
        <w:t>sential require</w:t>
      </w:r>
      <w:r>
        <w:softHyphen/>
        <w:t>ments for interconnection with PSTN. For these requirements manu</w:t>
      </w:r>
      <w:r>
        <w:softHyphen/>
        <w:t>fac</w:t>
      </w:r>
      <w:r>
        <w:softHyphen/>
        <w:t>turers have to obtain supplementary type approval by each CEPT type approval authority. In this case national marking can be required,</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tabs>
          <w:tab w:val="left" w:pos="-720"/>
          <w:tab w:val="left" w:pos="1296"/>
          <w:tab w:val="left" w:pos="8064"/>
        </w:tabs>
        <w:jc w:val="both"/>
      </w:pPr>
      <w:r>
        <w:rPr>
          <w:i/>
          <w:iCs/>
        </w:rPr>
        <w:t>recommends</w:t>
      </w:r>
    </w:p>
    <w:p w:rsidR="00F82525" w:rsidRDefault="00F82525">
      <w:pPr>
        <w:widowControl w:val="0"/>
        <w:tabs>
          <w:tab w:val="left" w:pos="-720"/>
          <w:tab w:val="left" w:pos="1296"/>
          <w:tab w:val="left" w:pos="8064"/>
        </w:tabs>
        <w:jc w:val="both"/>
      </w:pPr>
    </w:p>
    <w:p w:rsidR="00F82525" w:rsidRDefault="00F82525">
      <w:pPr>
        <w:widowControl w:val="0"/>
        <w:numPr>
          <w:ilvl w:val="0"/>
          <w:numId w:val="10"/>
        </w:numPr>
        <w:tabs>
          <w:tab w:val="left" w:pos="-720"/>
          <w:tab w:val="left" w:pos="1296"/>
          <w:tab w:val="left" w:pos="8064"/>
        </w:tabs>
        <w:jc w:val="both"/>
      </w:pPr>
      <w:r>
        <w:t>that CEPT administrations shall accept the type ap</w:t>
      </w:r>
      <w:r>
        <w:softHyphen/>
        <w:t>proval given by any CEPT type approval authority to equipment complying with the essen</w:t>
      </w:r>
      <w:r>
        <w:softHyphen/>
        <w:t>tial requirements in the latest version of the relevant ETS fol</w:t>
      </w:r>
      <w:r>
        <w:softHyphen/>
        <w:t>low</w:t>
      </w:r>
      <w:r>
        <w:softHyphen/>
        <w:t>ing type testing at a test laboratory ac</w:t>
      </w:r>
      <w:r>
        <w:softHyphen/>
        <w:t>credited in accor</w:t>
      </w:r>
      <w:r>
        <w:softHyphen/>
        <w:t>dance with the ISO guides 25 and 38 or EN 45001 and EN 45002 or a National Standard conforming to ISO guides 25 or EN 45001 and EN 45002,</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11"/>
        </w:numPr>
        <w:tabs>
          <w:tab w:val="left" w:pos="-720"/>
          <w:tab w:val="left" w:pos="1296"/>
          <w:tab w:val="left" w:pos="8064"/>
        </w:tabs>
        <w:jc w:val="both"/>
      </w:pPr>
      <w:r>
        <w:t>that the VSAT and SNG satellite terminal equipment shall bear a mark as spe</w:t>
      </w:r>
      <w:r>
        <w:softHyphen/>
        <w:t>cified in Annex II of this Rec</w:t>
      </w:r>
      <w:r>
        <w:softHyphen/>
        <w:t>om</w:t>
      </w:r>
      <w:r>
        <w:softHyphen/>
        <w:t>menda</w:t>
      </w:r>
      <w:r>
        <w:softHyphen/>
        <w:t>tion,</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12"/>
        </w:numPr>
        <w:tabs>
          <w:tab w:val="left" w:pos="-720"/>
          <w:tab w:val="left" w:pos="1296"/>
          <w:tab w:val="left" w:pos="8064"/>
        </w:tabs>
        <w:jc w:val="both"/>
      </w:pPr>
      <w:r>
        <w:t>that, once VSAT and SNG satellite terminals have been granted type approval by any CEPT type approval authority according to the requirements of Recommends 1 and 2 above, no additional type approval information shall be required by CEPT administrations except to identify the equipment.”</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tabs>
          <w:tab w:val="left" w:pos="-720"/>
          <w:tab w:val="left" w:pos="1296"/>
          <w:tab w:val="left" w:pos="8064"/>
        </w:tabs>
        <w:jc w:val="both"/>
      </w:pPr>
      <w:r>
        <w:t>References</w:t>
      </w:r>
    </w:p>
    <w:p w:rsidR="00F82525" w:rsidRDefault="00F82525">
      <w:pPr>
        <w:widowControl w:val="0"/>
        <w:tabs>
          <w:tab w:val="left" w:pos="-720"/>
          <w:tab w:val="left" w:pos="1296"/>
          <w:tab w:val="left" w:pos="8064"/>
        </w:tabs>
        <w:jc w:val="both"/>
      </w:pPr>
    </w:p>
    <w:p w:rsidR="00F82525" w:rsidRDefault="00F82525">
      <w:pPr>
        <w:widowControl w:val="0"/>
        <w:numPr>
          <w:ilvl w:val="0"/>
          <w:numId w:val="13"/>
        </w:numPr>
        <w:tabs>
          <w:tab w:val="left" w:pos="-720"/>
          <w:tab w:val="left" w:pos="1296"/>
          <w:tab w:val="left" w:pos="8064"/>
        </w:tabs>
        <w:jc w:val="both"/>
      </w:pPr>
      <w:r>
        <w:t>Council directive 91/263/EEC: "On the approximation of the laws of the Member States concerning telecommunications terminal equipment, including the mutual recognition of their conformity" (The TTE Directive).</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14"/>
        </w:numPr>
        <w:tabs>
          <w:tab w:val="left" w:pos="-720"/>
          <w:tab w:val="left" w:pos="1296"/>
          <w:tab w:val="left" w:pos="8064"/>
        </w:tabs>
        <w:jc w:val="both"/>
      </w:pPr>
      <w:r>
        <w:t>Council Directive 93/97/EEC: "Supplementing Directive 91/263/EEC in respect of Satellite Earth Station equipment" (The SES Directive).</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15"/>
        </w:numPr>
        <w:tabs>
          <w:tab w:val="left" w:pos="-720"/>
          <w:tab w:val="left" w:pos="1296"/>
          <w:tab w:val="left" w:pos="8064"/>
        </w:tabs>
        <w:jc w:val="both"/>
      </w:pPr>
      <w:r>
        <w:t>ETS 300 159: "Satellite Earth Stations (SES); Transmit/receive Very Small Aperture Terminals (VSATs) used for data communications operating in the Fixed Satellite Service (FSS) 11/12/14 GHz frequency bands".</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16"/>
        </w:numPr>
        <w:tabs>
          <w:tab w:val="left" w:pos="-720"/>
          <w:tab w:val="left" w:pos="1296"/>
          <w:tab w:val="left" w:pos="8064"/>
        </w:tabs>
        <w:jc w:val="both"/>
      </w:pPr>
      <w:r>
        <w:t>ETS 300 160: "Satellite Earth Stations (SES); Control and monitoring functions at a Very Small Aperture Terminal (VSAT)".</w:t>
      </w:r>
    </w:p>
    <w:p w:rsidR="00F82525" w:rsidRDefault="00F82525">
      <w:pPr>
        <w:widowControl w:val="0"/>
        <w:numPr>
          <w:ilvl w:val="12"/>
          <w:numId w:val="0"/>
        </w:numPr>
        <w:tabs>
          <w:tab w:val="left" w:pos="-720"/>
          <w:tab w:val="left" w:pos="1296"/>
          <w:tab w:val="left" w:pos="8064"/>
        </w:tabs>
        <w:ind w:left="357" w:hanging="357"/>
        <w:jc w:val="both"/>
      </w:pPr>
    </w:p>
    <w:p w:rsidR="00F82525" w:rsidRDefault="00F82525">
      <w:pPr>
        <w:widowControl w:val="0"/>
        <w:numPr>
          <w:ilvl w:val="0"/>
          <w:numId w:val="17"/>
        </w:numPr>
        <w:tabs>
          <w:tab w:val="left" w:pos="-720"/>
          <w:tab w:val="left" w:pos="1296"/>
          <w:tab w:val="left" w:pos="8064"/>
        </w:tabs>
        <w:jc w:val="both"/>
      </w:pPr>
      <w:r>
        <w:t>ETS 300 327: "Satellite Earth stations and Systems (SES); Satellite News Gathering (SNG) Transportable Earth Stations (TESs) (13-14/11-12 GHz)".</w:t>
      </w:r>
    </w:p>
    <w:p w:rsidR="00F82525" w:rsidRDefault="00F82525">
      <w:pPr>
        <w:widowControl w:val="0"/>
        <w:tabs>
          <w:tab w:val="center" w:pos="5021"/>
          <w:tab w:val="left" w:pos="8064"/>
        </w:tabs>
        <w:jc w:val="center"/>
        <w:sectPr w:rsidR="00F82525">
          <w:headerReference w:type="first" r:id="rId10"/>
          <w:footerReference w:type="first" r:id="rId11"/>
          <w:pgSz w:w="11907" w:h="16840" w:code="9"/>
          <w:pgMar w:top="2160" w:right="1440" w:bottom="1134" w:left="1440" w:header="1009" w:footer="578" w:gutter="0"/>
          <w:pgNumType w:start="2"/>
          <w:cols w:space="709"/>
          <w:noEndnote/>
          <w:titlePg/>
        </w:sectPr>
      </w:pPr>
    </w:p>
    <w:p w:rsidR="00F82525" w:rsidRDefault="00F82525">
      <w:pPr>
        <w:widowControl w:val="0"/>
        <w:tabs>
          <w:tab w:val="center" w:pos="5021"/>
          <w:tab w:val="left" w:pos="8064"/>
        </w:tabs>
        <w:jc w:val="center"/>
      </w:pPr>
      <w:r>
        <w:rPr>
          <w:b/>
          <w:bCs/>
        </w:rPr>
        <w:lastRenderedPageBreak/>
        <w:t>ANNEX I</w:t>
      </w:r>
    </w:p>
    <w:p w:rsidR="00F82525" w:rsidRDefault="00F82525">
      <w:pPr>
        <w:widowControl w:val="0"/>
        <w:tabs>
          <w:tab w:val="left" w:pos="-720"/>
          <w:tab w:val="left" w:pos="1296"/>
          <w:tab w:val="left" w:pos="8064"/>
        </w:tabs>
        <w:jc w:val="both"/>
      </w:pPr>
    </w:p>
    <w:p w:rsidR="00F82525" w:rsidRDefault="00F82525">
      <w:pPr>
        <w:widowControl w:val="0"/>
        <w:tabs>
          <w:tab w:val="left" w:pos="-720"/>
          <w:tab w:val="left" w:pos="1296"/>
          <w:tab w:val="left" w:pos="8064"/>
        </w:tabs>
        <w:jc w:val="center"/>
      </w:pPr>
      <w:r>
        <w:t>ESSENTIAL REQUIREMENTS FOR VSAT AND SNG TERMINALS</w:t>
      </w:r>
    </w:p>
    <w:p w:rsidR="00F82525" w:rsidRDefault="00F82525">
      <w:pPr>
        <w:widowControl w:val="0"/>
        <w:tabs>
          <w:tab w:val="left" w:pos="-720"/>
          <w:tab w:val="left" w:pos="1296"/>
          <w:tab w:val="left" w:pos="8064"/>
        </w:tabs>
        <w:jc w:val="center"/>
      </w:pPr>
      <w:r>
        <w:t>(art. 4e of the Directive 91/263/EEC)</w:t>
      </w:r>
    </w:p>
    <w:p w:rsidR="00F82525" w:rsidRDefault="00F82525">
      <w:pPr>
        <w:widowControl w:val="0"/>
        <w:tabs>
          <w:tab w:val="left" w:pos="-720"/>
          <w:tab w:val="left" w:pos="1296"/>
          <w:tab w:val="left" w:pos="8064"/>
        </w:tabs>
        <w:jc w:val="both"/>
      </w:pPr>
    </w:p>
    <w:p w:rsidR="00F82525" w:rsidRDefault="00F82525">
      <w:pPr>
        <w:widowControl w:val="0"/>
        <w:tabs>
          <w:tab w:val="left" w:pos="-720"/>
          <w:tab w:val="left" w:pos="1296"/>
          <w:tab w:val="left" w:pos="8064"/>
        </w:tabs>
        <w:jc w:val="both"/>
      </w:pPr>
    </w:p>
    <w:tbl>
      <w:tblPr>
        <w:tblW w:w="0" w:type="auto"/>
        <w:jc w:val="center"/>
        <w:tblLayout w:type="fixed"/>
        <w:tblCellMar>
          <w:left w:w="206" w:type="dxa"/>
          <w:right w:w="206" w:type="dxa"/>
        </w:tblCellMar>
        <w:tblLook w:val="0000" w:firstRow="0" w:lastRow="0" w:firstColumn="0" w:lastColumn="0" w:noHBand="0" w:noVBand="0"/>
      </w:tblPr>
      <w:tblGrid>
        <w:gridCol w:w="4842"/>
        <w:gridCol w:w="2588"/>
        <w:gridCol w:w="2606"/>
      </w:tblGrid>
      <w:tr w:rsidR="00F82525">
        <w:tblPrEx>
          <w:tblCellMar>
            <w:top w:w="0" w:type="dxa"/>
            <w:bottom w:w="0" w:type="dxa"/>
          </w:tblCellMar>
        </w:tblPrEx>
        <w:trPr>
          <w:jc w:val="center"/>
        </w:trPr>
        <w:tc>
          <w:tcPr>
            <w:tcW w:w="4842" w:type="dxa"/>
            <w:tcBorders>
              <w:top w:val="double" w:sz="6" w:space="0" w:color="000000"/>
              <w:left w:val="double" w:sz="6" w:space="0" w:color="000000"/>
              <w:bottom w:val="single" w:sz="6" w:space="0" w:color="FFFFFF"/>
              <w:right w:val="single" w:sz="6" w:space="0" w:color="FFFFFF"/>
            </w:tcBorders>
          </w:tcPr>
          <w:p w:rsidR="00F82525" w:rsidRDefault="00F82525">
            <w:pPr>
              <w:widowControl w:val="0"/>
              <w:spacing w:line="201" w:lineRule="exact"/>
              <w:jc w:val="both"/>
            </w:pPr>
          </w:p>
          <w:p w:rsidR="00F82525" w:rsidRDefault="00F82525">
            <w:pPr>
              <w:widowControl w:val="0"/>
              <w:tabs>
                <w:tab w:val="left" w:pos="-720"/>
                <w:tab w:val="left" w:pos="1296"/>
                <w:tab w:val="left" w:pos="8064"/>
              </w:tabs>
              <w:jc w:val="both"/>
            </w:pPr>
            <w:r>
              <w:t>Requirement title</w:t>
            </w:r>
          </w:p>
        </w:tc>
        <w:tc>
          <w:tcPr>
            <w:tcW w:w="2588" w:type="dxa"/>
            <w:tcBorders>
              <w:top w:val="double" w:sz="6" w:space="0" w:color="000000"/>
              <w:left w:val="single" w:sz="6" w:space="0" w:color="000000"/>
              <w:bottom w:val="single" w:sz="6" w:space="0" w:color="FFFFFF"/>
              <w:right w:val="single" w:sz="6" w:space="0" w:color="000000"/>
            </w:tcBorders>
          </w:tcPr>
          <w:p w:rsidR="00F82525" w:rsidRDefault="00F82525">
            <w:pPr>
              <w:widowControl w:val="0"/>
              <w:spacing w:line="201" w:lineRule="exact"/>
              <w:jc w:val="center"/>
            </w:pPr>
          </w:p>
          <w:p w:rsidR="00F82525" w:rsidRDefault="00F82525">
            <w:pPr>
              <w:widowControl w:val="0"/>
              <w:tabs>
                <w:tab w:val="center" w:pos="1088"/>
                <w:tab w:val="left" w:pos="1296"/>
                <w:tab w:val="left" w:pos="8064"/>
              </w:tabs>
              <w:jc w:val="center"/>
            </w:pPr>
            <w:r>
              <w:t>VSAT</w:t>
            </w:r>
          </w:p>
          <w:p w:rsidR="00F82525" w:rsidRDefault="00F82525">
            <w:pPr>
              <w:widowControl w:val="0"/>
              <w:tabs>
                <w:tab w:val="center" w:pos="1088"/>
                <w:tab w:val="left" w:pos="1296"/>
                <w:tab w:val="left" w:pos="8064"/>
              </w:tabs>
              <w:jc w:val="center"/>
            </w:pPr>
            <w:r>
              <w:t>ETS 300 159</w:t>
            </w:r>
          </w:p>
        </w:tc>
        <w:tc>
          <w:tcPr>
            <w:tcW w:w="2606" w:type="dxa"/>
            <w:tcBorders>
              <w:top w:val="doub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center" w:pos="1097"/>
                <w:tab w:val="left" w:pos="1296"/>
                <w:tab w:val="left" w:pos="8064"/>
              </w:tabs>
              <w:jc w:val="center"/>
            </w:pPr>
            <w:r>
              <w:t>SNG</w:t>
            </w:r>
          </w:p>
          <w:p w:rsidR="00F82525" w:rsidRDefault="00F82525">
            <w:pPr>
              <w:widowControl w:val="0"/>
              <w:tabs>
                <w:tab w:val="center" w:pos="1097"/>
                <w:tab w:val="left" w:pos="1296"/>
                <w:tab w:val="left" w:pos="8064"/>
              </w:tabs>
              <w:jc w:val="center"/>
            </w:pPr>
            <w:r>
              <w:t>ETS 300 327</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single" w:sz="6" w:space="0" w:color="FFFFFF"/>
              <w:right w:val="single" w:sz="6" w:space="0" w:color="FFFFFF"/>
            </w:tcBorders>
          </w:tcPr>
          <w:p w:rsidR="00F82525" w:rsidRDefault="00F82525">
            <w:pPr>
              <w:widowControl w:val="0"/>
              <w:spacing w:line="201" w:lineRule="exact"/>
              <w:jc w:val="both"/>
            </w:pPr>
          </w:p>
          <w:p w:rsidR="00F82525" w:rsidRDefault="00F82525">
            <w:pPr>
              <w:widowControl w:val="0"/>
              <w:tabs>
                <w:tab w:val="left" w:pos="-720"/>
                <w:tab w:val="left" w:pos="1296"/>
                <w:tab w:val="left" w:pos="8064"/>
              </w:tabs>
              <w:jc w:val="both"/>
            </w:pPr>
            <w:r>
              <w:t>Spurious radiation above 1 GHz</w:t>
            </w:r>
          </w:p>
        </w:tc>
        <w:tc>
          <w:tcPr>
            <w:tcW w:w="2588" w:type="dxa"/>
            <w:tcBorders>
              <w:top w:val="single" w:sz="6" w:space="0" w:color="000000"/>
              <w:left w:val="single" w:sz="6" w:space="0" w:color="000000"/>
              <w:bottom w:val="single" w:sz="6" w:space="0" w:color="FFFFFF"/>
              <w:right w:val="single" w:sz="6" w:space="0" w:color="000000"/>
            </w:tcBorders>
          </w:tcPr>
          <w:p w:rsidR="00F82525" w:rsidRDefault="00F82525">
            <w:pPr>
              <w:widowControl w:val="0"/>
              <w:spacing w:line="201" w:lineRule="exact"/>
              <w:jc w:val="center"/>
            </w:pPr>
          </w:p>
          <w:p w:rsidR="00F82525" w:rsidRDefault="00F82525">
            <w:pPr>
              <w:widowControl w:val="0"/>
              <w:tabs>
                <w:tab w:val="center" w:pos="1088"/>
                <w:tab w:val="left" w:pos="1296"/>
                <w:tab w:val="left" w:pos="8064"/>
              </w:tabs>
              <w:jc w:val="center"/>
            </w:pPr>
            <w:r>
              <w:t>Applicable</w:t>
            </w:r>
          </w:p>
        </w:tc>
        <w:tc>
          <w:tcPr>
            <w:tcW w:w="2606" w:type="dxa"/>
            <w:tcBorders>
              <w:top w:val="sing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center" w:pos="1097"/>
                <w:tab w:val="left" w:pos="1296"/>
                <w:tab w:val="left" w:pos="8064"/>
              </w:tabs>
              <w:jc w:val="center"/>
            </w:pPr>
            <w:r>
              <w:t>Applicable</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single" w:sz="6" w:space="0" w:color="FFFFFF"/>
              <w:right w:val="single" w:sz="6" w:space="0" w:color="FFFFFF"/>
            </w:tcBorders>
          </w:tcPr>
          <w:p w:rsidR="00F82525" w:rsidRDefault="00F82525">
            <w:pPr>
              <w:widowControl w:val="0"/>
              <w:spacing w:line="201" w:lineRule="exact"/>
              <w:jc w:val="both"/>
            </w:pPr>
          </w:p>
          <w:p w:rsidR="00F82525" w:rsidRDefault="00F82525">
            <w:pPr>
              <w:widowControl w:val="0"/>
              <w:tabs>
                <w:tab w:val="left" w:pos="-720"/>
                <w:tab w:val="left" w:pos="1296"/>
                <w:tab w:val="left" w:pos="8064"/>
              </w:tabs>
              <w:jc w:val="both"/>
            </w:pPr>
            <w:r>
              <w:t>On axis spurious radiation</w:t>
            </w:r>
          </w:p>
        </w:tc>
        <w:tc>
          <w:tcPr>
            <w:tcW w:w="2588" w:type="dxa"/>
            <w:tcBorders>
              <w:top w:val="single" w:sz="6" w:space="0" w:color="000000"/>
              <w:left w:val="single" w:sz="6" w:space="0" w:color="000000"/>
              <w:bottom w:val="single" w:sz="6" w:space="0" w:color="FFFFFF"/>
              <w:right w:val="single" w:sz="6" w:space="0" w:color="000000"/>
            </w:tcBorders>
          </w:tcPr>
          <w:p w:rsidR="00F82525" w:rsidRDefault="00F82525">
            <w:pPr>
              <w:widowControl w:val="0"/>
              <w:spacing w:line="201" w:lineRule="exact"/>
              <w:jc w:val="center"/>
            </w:pPr>
          </w:p>
          <w:p w:rsidR="00F82525" w:rsidRDefault="00F82525">
            <w:pPr>
              <w:widowControl w:val="0"/>
              <w:tabs>
                <w:tab w:val="center" w:pos="1088"/>
                <w:tab w:val="left" w:pos="1296"/>
                <w:tab w:val="left" w:pos="8064"/>
              </w:tabs>
              <w:jc w:val="center"/>
            </w:pPr>
            <w:r>
              <w:t>Applicable</w:t>
            </w:r>
          </w:p>
        </w:tc>
        <w:tc>
          <w:tcPr>
            <w:tcW w:w="2606" w:type="dxa"/>
            <w:tcBorders>
              <w:top w:val="sing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center" w:pos="1097"/>
                <w:tab w:val="left" w:pos="1296"/>
                <w:tab w:val="left" w:pos="8064"/>
              </w:tabs>
              <w:jc w:val="center"/>
            </w:pPr>
            <w:r>
              <w:t>Applicable</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single" w:sz="6" w:space="0" w:color="FFFFFF"/>
              <w:right w:val="single" w:sz="6" w:space="0" w:color="FFFFFF"/>
            </w:tcBorders>
          </w:tcPr>
          <w:p w:rsidR="00F82525" w:rsidRDefault="00F82525">
            <w:pPr>
              <w:widowControl w:val="0"/>
              <w:spacing w:line="201" w:lineRule="exact"/>
              <w:jc w:val="both"/>
            </w:pPr>
          </w:p>
          <w:p w:rsidR="00F82525" w:rsidRDefault="00F82525">
            <w:pPr>
              <w:widowControl w:val="0"/>
              <w:tabs>
                <w:tab w:val="left" w:pos="-720"/>
                <w:tab w:val="left" w:pos="1296"/>
                <w:tab w:val="left" w:pos="8064"/>
              </w:tabs>
              <w:jc w:val="both"/>
            </w:pPr>
            <w:r>
              <w:t>Tx carrier center frequency stabi</w:t>
            </w:r>
            <w:r>
              <w:softHyphen/>
              <w:t>li</w:t>
            </w:r>
            <w:r>
              <w:softHyphen/>
              <w:t>ty</w:t>
            </w:r>
          </w:p>
        </w:tc>
        <w:tc>
          <w:tcPr>
            <w:tcW w:w="2588" w:type="dxa"/>
            <w:tcBorders>
              <w:top w:val="single" w:sz="6" w:space="0" w:color="000000"/>
              <w:left w:val="single" w:sz="6" w:space="0" w:color="000000"/>
              <w:bottom w:val="single" w:sz="6" w:space="0" w:color="FFFFFF"/>
              <w:right w:val="single" w:sz="6" w:space="0" w:color="000000"/>
            </w:tcBorders>
          </w:tcPr>
          <w:p w:rsidR="00F82525" w:rsidRDefault="00F82525">
            <w:pPr>
              <w:widowControl w:val="0"/>
              <w:spacing w:line="201" w:lineRule="exact"/>
              <w:jc w:val="center"/>
            </w:pPr>
          </w:p>
          <w:p w:rsidR="00F82525" w:rsidRDefault="00F82525">
            <w:pPr>
              <w:widowControl w:val="0"/>
              <w:tabs>
                <w:tab w:val="center" w:pos="1088"/>
                <w:tab w:val="left" w:pos="1296"/>
                <w:tab w:val="left" w:pos="8064"/>
              </w:tabs>
              <w:jc w:val="center"/>
            </w:pPr>
            <w:r>
              <w:t>Applicable</w:t>
            </w:r>
          </w:p>
        </w:tc>
        <w:tc>
          <w:tcPr>
            <w:tcW w:w="2606" w:type="dxa"/>
            <w:tcBorders>
              <w:top w:val="sing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center" w:pos="1097"/>
                <w:tab w:val="left" w:pos="1296"/>
                <w:tab w:val="left" w:pos="8064"/>
              </w:tabs>
              <w:jc w:val="center"/>
            </w:pPr>
            <w:r>
              <w:t>Applicable</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single" w:sz="6" w:space="0" w:color="FFFFFF"/>
              <w:right w:val="single" w:sz="6" w:space="0" w:color="FFFFFF"/>
            </w:tcBorders>
          </w:tcPr>
          <w:p w:rsidR="00F82525" w:rsidRDefault="00F82525">
            <w:pPr>
              <w:widowControl w:val="0"/>
              <w:spacing w:line="201" w:lineRule="exact"/>
              <w:jc w:val="both"/>
            </w:pPr>
          </w:p>
          <w:p w:rsidR="00F82525" w:rsidRDefault="00F82525">
            <w:pPr>
              <w:widowControl w:val="0"/>
              <w:tabs>
                <w:tab w:val="left" w:pos="-720"/>
                <w:tab w:val="left" w:pos="1296"/>
                <w:tab w:val="left" w:pos="8064"/>
              </w:tabs>
              <w:jc w:val="both"/>
            </w:pPr>
            <w:r>
              <w:t xml:space="preserve">Off axis e.i.r.p. </w:t>
            </w:r>
          </w:p>
        </w:tc>
        <w:tc>
          <w:tcPr>
            <w:tcW w:w="2588" w:type="dxa"/>
            <w:tcBorders>
              <w:top w:val="single" w:sz="6" w:space="0" w:color="000000"/>
              <w:left w:val="single" w:sz="6" w:space="0" w:color="000000"/>
              <w:bottom w:val="single" w:sz="6" w:space="0" w:color="FFFFFF"/>
              <w:right w:val="single" w:sz="6" w:space="0" w:color="000000"/>
            </w:tcBorders>
          </w:tcPr>
          <w:p w:rsidR="00F82525" w:rsidRDefault="00F82525">
            <w:pPr>
              <w:widowControl w:val="0"/>
              <w:spacing w:line="201" w:lineRule="exact"/>
              <w:jc w:val="center"/>
            </w:pPr>
          </w:p>
          <w:p w:rsidR="00F82525" w:rsidRDefault="00F82525">
            <w:pPr>
              <w:widowControl w:val="0"/>
              <w:tabs>
                <w:tab w:val="center" w:pos="1088"/>
                <w:tab w:val="left" w:pos="1296"/>
                <w:tab w:val="left" w:pos="8064"/>
              </w:tabs>
              <w:jc w:val="center"/>
            </w:pPr>
            <w:r>
              <w:t>Applicable</w:t>
            </w:r>
          </w:p>
        </w:tc>
        <w:tc>
          <w:tcPr>
            <w:tcW w:w="2606" w:type="dxa"/>
            <w:tcBorders>
              <w:top w:val="sing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center" w:pos="1097"/>
                <w:tab w:val="left" w:pos="1296"/>
                <w:tab w:val="left" w:pos="8064"/>
              </w:tabs>
              <w:jc w:val="center"/>
            </w:pPr>
            <w:r>
              <w:t>Applicable</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single" w:sz="6" w:space="0" w:color="FFFFFF"/>
              <w:right w:val="single" w:sz="6" w:space="0" w:color="FFFFFF"/>
            </w:tcBorders>
          </w:tcPr>
          <w:p w:rsidR="00F82525" w:rsidRDefault="00F82525">
            <w:pPr>
              <w:widowControl w:val="0"/>
              <w:spacing w:line="201" w:lineRule="exact"/>
              <w:jc w:val="both"/>
            </w:pPr>
          </w:p>
          <w:p w:rsidR="00F82525" w:rsidRDefault="00F82525">
            <w:pPr>
              <w:widowControl w:val="0"/>
              <w:tabs>
                <w:tab w:val="left" w:pos="-720"/>
                <w:tab w:val="left" w:pos="1296"/>
                <w:tab w:val="left" w:pos="8064"/>
              </w:tabs>
              <w:jc w:val="both"/>
            </w:pPr>
            <w:r>
              <w:t>Tx polari</w:t>
            </w:r>
            <w:r>
              <w:softHyphen/>
              <w:t>sation discrimination</w:t>
            </w:r>
          </w:p>
        </w:tc>
        <w:tc>
          <w:tcPr>
            <w:tcW w:w="2588" w:type="dxa"/>
            <w:tcBorders>
              <w:top w:val="single" w:sz="6" w:space="0" w:color="000000"/>
              <w:left w:val="single" w:sz="6" w:space="0" w:color="000000"/>
              <w:bottom w:val="single" w:sz="6" w:space="0" w:color="FFFFFF"/>
              <w:right w:val="single" w:sz="6" w:space="0" w:color="000000"/>
            </w:tcBorders>
          </w:tcPr>
          <w:p w:rsidR="00F82525" w:rsidRDefault="00F82525">
            <w:pPr>
              <w:widowControl w:val="0"/>
              <w:spacing w:line="201" w:lineRule="exact"/>
              <w:jc w:val="center"/>
            </w:pPr>
          </w:p>
          <w:p w:rsidR="00F82525" w:rsidRDefault="00F82525">
            <w:pPr>
              <w:widowControl w:val="0"/>
              <w:tabs>
                <w:tab w:val="center" w:pos="1088"/>
                <w:tab w:val="left" w:pos="1296"/>
                <w:tab w:val="left" w:pos="8064"/>
              </w:tabs>
              <w:jc w:val="center"/>
            </w:pPr>
            <w:r>
              <w:t>Applicable</w:t>
            </w:r>
          </w:p>
        </w:tc>
        <w:tc>
          <w:tcPr>
            <w:tcW w:w="2606" w:type="dxa"/>
            <w:tcBorders>
              <w:top w:val="sing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center" w:pos="1097"/>
                <w:tab w:val="left" w:pos="1296"/>
                <w:tab w:val="left" w:pos="8064"/>
              </w:tabs>
              <w:jc w:val="center"/>
            </w:pPr>
            <w:r>
              <w:t>Applicable</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single" w:sz="6" w:space="0" w:color="FFFFFF"/>
              <w:right w:val="single" w:sz="6" w:space="0" w:color="FFFFFF"/>
            </w:tcBorders>
          </w:tcPr>
          <w:p w:rsidR="00F82525" w:rsidRDefault="00F82525">
            <w:pPr>
              <w:widowControl w:val="0"/>
              <w:spacing w:line="201" w:lineRule="exact"/>
              <w:jc w:val="both"/>
            </w:pPr>
          </w:p>
          <w:p w:rsidR="00F82525" w:rsidRDefault="00F82525">
            <w:pPr>
              <w:widowControl w:val="0"/>
              <w:tabs>
                <w:tab w:val="left" w:pos="-720"/>
                <w:tab w:val="left" w:pos="1296"/>
                <w:tab w:val="left" w:pos="8064"/>
              </w:tabs>
              <w:jc w:val="both"/>
            </w:pPr>
            <w:r>
              <w:t>Carrier on-off</w:t>
            </w:r>
          </w:p>
        </w:tc>
        <w:tc>
          <w:tcPr>
            <w:tcW w:w="2588" w:type="dxa"/>
            <w:tcBorders>
              <w:top w:val="single" w:sz="6" w:space="0" w:color="000000"/>
              <w:left w:val="single" w:sz="6" w:space="0" w:color="000000"/>
              <w:bottom w:val="single" w:sz="6" w:space="0" w:color="FFFFFF"/>
              <w:right w:val="single" w:sz="6" w:space="0" w:color="000000"/>
            </w:tcBorders>
          </w:tcPr>
          <w:p w:rsidR="00F82525" w:rsidRDefault="00F82525">
            <w:pPr>
              <w:widowControl w:val="0"/>
              <w:spacing w:line="201" w:lineRule="exact"/>
              <w:jc w:val="center"/>
            </w:pPr>
          </w:p>
          <w:p w:rsidR="00F82525" w:rsidRDefault="00F82525">
            <w:pPr>
              <w:widowControl w:val="0"/>
              <w:tabs>
                <w:tab w:val="center" w:pos="1088"/>
                <w:tab w:val="left" w:pos="1296"/>
                <w:tab w:val="left" w:pos="8064"/>
              </w:tabs>
              <w:jc w:val="center"/>
            </w:pPr>
            <w:r>
              <w:t>Applicable</w:t>
            </w:r>
          </w:p>
        </w:tc>
        <w:tc>
          <w:tcPr>
            <w:tcW w:w="2606" w:type="dxa"/>
            <w:tcBorders>
              <w:top w:val="sing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center" w:pos="1097"/>
                <w:tab w:val="left" w:pos="1296"/>
                <w:tab w:val="left" w:pos="8064"/>
              </w:tabs>
              <w:jc w:val="center"/>
            </w:pPr>
            <w:r>
              <w:t>Not applicable</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double" w:sz="6" w:space="0" w:color="000000"/>
              <w:right w:val="single" w:sz="6" w:space="0" w:color="FFFFFF"/>
            </w:tcBorders>
          </w:tcPr>
          <w:p w:rsidR="00F82525" w:rsidRDefault="00F82525">
            <w:pPr>
              <w:widowControl w:val="0"/>
              <w:spacing w:line="201" w:lineRule="exact"/>
              <w:jc w:val="both"/>
            </w:pPr>
          </w:p>
          <w:p w:rsidR="00F82525" w:rsidRDefault="00F82525">
            <w:pPr>
              <w:widowControl w:val="0"/>
              <w:tabs>
                <w:tab w:val="left" w:pos="-720"/>
                <w:tab w:val="left" w:pos="1296"/>
                <w:tab w:val="left" w:pos="8064"/>
              </w:tabs>
              <w:spacing w:after="58"/>
              <w:jc w:val="both"/>
            </w:pPr>
            <w:r>
              <w:t>Mechanical (antenna poin</w:t>
            </w:r>
            <w:r>
              <w:softHyphen/>
              <w:t>ting)</w:t>
            </w:r>
          </w:p>
        </w:tc>
        <w:tc>
          <w:tcPr>
            <w:tcW w:w="2588" w:type="dxa"/>
            <w:tcBorders>
              <w:top w:val="single" w:sz="6" w:space="0" w:color="000000"/>
              <w:left w:val="single" w:sz="6" w:space="0" w:color="000000"/>
              <w:bottom w:val="double" w:sz="6" w:space="0" w:color="000000"/>
              <w:right w:val="single" w:sz="6" w:space="0" w:color="000000"/>
            </w:tcBorders>
          </w:tcPr>
          <w:p w:rsidR="00F82525" w:rsidRDefault="00F82525">
            <w:pPr>
              <w:widowControl w:val="0"/>
              <w:spacing w:line="201" w:lineRule="exact"/>
              <w:jc w:val="center"/>
            </w:pPr>
          </w:p>
          <w:p w:rsidR="00F82525" w:rsidRDefault="00F82525">
            <w:pPr>
              <w:widowControl w:val="0"/>
              <w:tabs>
                <w:tab w:val="center" w:pos="1088"/>
                <w:tab w:val="left" w:pos="1296"/>
                <w:tab w:val="left" w:pos="8064"/>
              </w:tabs>
              <w:spacing w:after="58"/>
              <w:jc w:val="center"/>
            </w:pPr>
            <w:r>
              <w:t>Applicable</w:t>
            </w:r>
          </w:p>
        </w:tc>
        <w:tc>
          <w:tcPr>
            <w:tcW w:w="2606" w:type="dxa"/>
            <w:tcBorders>
              <w:top w:val="single" w:sz="6" w:space="0" w:color="000000"/>
              <w:left w:val="single" w:sz="6" w:space="0" w:color="000000"/>
              <w:bottom w:val="double" w:sz="6" w:space="0" w:color="000000"/>
              <w:right w:val="double" w:sz="6" w:space="0" w:color="000000"/>
            </w:tcBorders>
          </w:tcPr>
          <w:p w:rsidR="00F82525" w:rsidRDefault="00F82525">
            <w:pPr>
              <w:widowControl w:val="0"/>
              <w:spacing w:line="201" w:lineRule="exact"/>
              <w:jc w:val="center"/>
            </w:pPr>
          </w:p>
          <w:p w:rsidR="00F82525" w:rsidRDefault="00F82525">
            <w:pPr>
              <w:widowControl w:val="0"/>
              <w:tabs>
                <w:tab w:val="left" w:pos="-720"/>
                <w:tab w:val="left" w:pos="1296"/>
                <w:tab w:val="left" w:pos="8064"/>
              </w:tabs>
              <w:spacing w:after="58"/>
              <w:jc w:val="center"/>
            </w:pPr>
            <w:r>
              <w:t xml:space="preserve">   Applicable</w:t>
            </w:r>
          </w:p>
        </w:tc>
      </w:tr>
    </w:tbl>
    <w:p w:rsidR="00F82525" w:rsidRDefault="00F82525">
      <w:pPr>
        <w:widowControl w:val="0"/>
        <w:tabs>
          <w:tab w:val="left" w:pos="-720"/>
          <w:tab w:val="left" w:pos="1296"/>
          <w:tab w:val="left" w:pos="8064"/>
        </w:tabs>
        <w:jc w:val="both"/>
      </w:pP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ind w:left="344"/>
        <w:jc w:val="both"/>
      </w:pPr>
      <w:r>
        <w:t>All requirements in ETS 300 159 and ETS 300 327 to be documented in test reports issued by accredited test laboratories.</w:t>
      </w: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jc w:val="both"/>
      </w:pP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jc w:val="both"/>
      </w:pPr>
    </w:p>
    <w:tbl>
      <w:tblPr>
        <w:tblW w:w="0" w:type="auto"/>
        <w:jc w:val="center"/>
        <w:tblLayout w:type="fixed"/>
        <w:tblCellMar>
          <w:left w:w="216" w:type="dxa"/>
          <w:right w:w="216" w:type="dxa"/>
        </w:tblCellMar>
        <w:tblLook w:val="0000" w:firstRow="0" w:lastRow="0" w:firstColumn="0" w:lastColumn="0" w:noHBand="0" w:noVBand="0"/>
      </w:tblPr>
      <w:tblGrid>
        <w:gridCol w:w="4842"/>
        <w:gridCol w:w="2486"/>
      </w:tblGrid>
      <w:tr w:rsidR="00F82525">
        <w:tblPrEx>
          <w:tblCellMar>
            <w:top w:w="0" w:type="dxa"/>
            <w:bottom w:w="0" w:type="dxa"/>
          </w:tblCellMar>
        </w:tblPrEx>
        <w:trPr>
          <w:jc w:val="center"/>
        </w:trPr>
        <w:tc>
          <w:tcPr>
            <w:tcW w:w="4842" w:type="dxa"/>
            <w:tcBorders>
              <w:top w:val="double" w:sz="6" w:space="0" w:color="000000"/>
              <w:left w:val="double" w:sz="6" w:space="0" w:color="000000"/>
              <w:bottom w:val="single" w:sz="6" w:space="0" w:color="FFFFFF"/>
              <w:right w:val="single" w:sz="6" w:space="0" w:color="000000"/>
            </w:tcBorders>
          </w:tcPr>
          <w:p w:rsidR="00F82525" w:rsidRDefault="00F82525">
            <w:pPr>
              <w:widowControl w:val="0"/>
              <w:spacing w:line="201" w:lineRule="exact"/>
              <w:jc w:val="both"/>
            </w:pP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jc w:val="both"/>
            </w:pPr>
            <w:r>
              <w:t>Requirement title</w:t>
            </w:r>
          </w:p>
        </w:tc>
        <w:tc>
          <w:tcPr>
            <w:tcW w:w="2486" w:type="dxa"/>
            <w:tcBorders>
              <w:top w:val="doub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center" w:pos="1027"/>
                <w:tab w:val="left" w:pos="1701"/>
                <w:tab w:val="left" w:pos="2552"/>
                <w:tab w:val="left" w:pos="3403"/>
                <w:tab w:val="left" w:pos="4254"/>
                <w:tab w:val="left" w:pos="5104"/>
                <w:tab w:val="left" w:pos="5955"/>
                <w:tab w:val="left" w:pos="6806"/>
                <w:tab w:val="left" w:pos="7657"/>
                <w:tab w:val="left" w:pos="8508"/>
              </w:tabs>
              <w:jc w:val="center"/>
            </w:pPr>
            <w:r>
              <w:t>VSAT</w:t>
            </w:r>
          </w:p>
          <w:p w:rsidR="00F82525" w:rsidRDefault="00F82525">
            <w:pPr>
              <w:widowControl w:val="0"/>
              <w:tabs>
                <w:tab w:val="center" w:pos="1027"/>
                <w:tab w:val="left" w:pos="1701"/>
                <w:tab w:val="left" w:pos="2552"/>
                <w:tab w:val="left" w:pos="3403"/>
                <w:tab w:val="left" w:pos="4254"/>
                <w:tab w:val="left" w:pos="5104"/>
                <w:tab w:val="left" w:pos="5955"/>
                <w:tab w:val="left" w:pos="6806"/>
                <w:tab w:val="left" w:pos="7657"/>
                <w:tab w:val="left" w:pos="8508"/>
              </w:tabs>
              <w:jc w:val="center"/>
            </w:pPr>
            <w:r>
              <w:t>ETS 300 160</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single" w:sz="6" w:space="0" w:color="FFFFFF"/>
              <w:right w:val="single" w:sz="6" w:space="0" w:color="000000"/>
            </w:tcBorders>
          </w:tcPr>
          <w:p w:rsidR="00F82525" w:rsidRDefault="00F82525">
            <w:pPr>
              <w:widowControl w:val="0"/>
              <w:spacing w:line="201" w:lineRule="exact"/>
              <w:jc w:val="both"/>
            </w:pP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jc w:val="both"/>
            </w:pPr>
            <w:r>
              <w:t>Processor moni</w:t>
            </w:r>
            <w:r>
              <w:softHyphen/>
              <w:t>toring</w:t>
            </w:r>
          </w:p>
        </w:tc>
        <w:tc>
          <w:tcPr>
            <w:tcW w:w="2486" w:type="dxa"/>
            <w:tcBorders>
              <w:top w:val="sing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center" w:pos="1027"/>
                <w:tab w:val="left" w:pos="1701"/>
                <w:tab w:val="left" w:pos="2552"/>
                <w:tab w:val="left" w:pos="3403"/>
                <w:tab w:val="left" w:pos="4254"/>
                <w:tab w:val="left" w:pos="5104"/>
                <w:tab w:val="left" w:pos="5955"/>
                <w:tab w:val="left" w:pos="6806"/>
                <w:tab w:val="left" w:pos="7657"/>
                <w:tab w:val="left" w:pos="8508"/>
              </w:tabs>
              <w:jc w:val="center"/>
            </w:pPr>
            <w:r>
              <w:t>Applicable</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single" w:sz="6" w:space="0" w:color="FFFFFF"/>
              <w:right w:val="single" w:sz="6" w:space="0" w:color="000000"/>
            </w:tcBorders>
          </w:tcPr>
          <w:p w:rsidR="00F82525" w:rsidRDefault="00F82525">
            <w:pPr>
              <w:widowControl w:val="0"/>
              <w:spacing w:line="201" w:lineRule="exact"/>
              <w:jc w:val="both"/>
            </w:pP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jc w:val="both"/>
            </w:pPr>
            <w:r>
              <w:t>Transmit subsy</w:t>
            </w:r>
            <w:r>
              <w:softHyphen/>
              <w:t>stem moni</w:t>
            </w:r>
            <w:r>
              <w:softHyphen/>
              <w:t>to</w:t>
            </w:r>
            <w:r>
              <w:softHyphen/>
              <w:t>ring</w:t>
            </w:r>
          </w:p>
        </w:tc>
        <w:tc>
          <w:tcPr>
            <w:tcW w:w="2486" w:type="dxa"/>
            <w:tcBorders>
              <w:top w:val="sing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jc w:val="center"/>
            </w:pPr>
            <w:r>
              <w:t>Applicable</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single" w:sz="6" w:space="0" w:color="FFFFFF"/>
              <w:right w:val="single" w:sz="6" w:space="0" w:color="000000"/>
            </w:tcBorders>
          </w:tcPr>
          <w:p w:rsidR="00F82525" w:rsidRDefault="00F82525">
            <w:pPr>
              <w:widowControl w:val="0"/>
              <w:spacing w:line="201" w:lineRule="exact"/>
              <w:jc w:val="both"/>
            </w:pP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jc w:val="both"/>
            </w:pPr>
            <w:r>
              <w:t>Control channel reception</w:t>
            </w:r>
          </w:p>
        </w:tc>
        <w:tc>
          <w:tcPr>
            <w:tcW w:w="2486" w:type="dxa"/>
            <w:tcBorders>
              <w:top w:val="sing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center" w:pos="1027"/>
                <w:tab w:val="left" w:pos="1701"/>
                <w:tab w:val="left" w:pos="2552"/>
                <w:tab w:val="left" w:pos="3403"/>
                <w:tab w:val="left" w:pos="4254"/>
                <w:tab w:val="left" w:pos="5104"/>
                <w:tab w:val="left" w:pos="5955"/>
                <w:tab w:val="left" w:pos="6806"/>
                <w:tab w:val="left" w:pos="7657"/>
                <w:tab w:val="left" w:pos="8508"/>
              </w:tabs>
              <w:jc w:val="center"/>
            </w:pPr>
            <w:r>
              <w:t>Applicable</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single" w:sz="6" w:space="0" w:color="FFFFFF"/>
              <w:right w:val="single" w:sz="6" w:space="0" w:color="000000"/>
            </w:tcBorders>
          </w:tcPr>
          <w:p w:rsidR="00F82525" w:rsidRDefault="00F82525">
            <w:pPr>
              <w:widowControl w:val="0"/>
              <w:spacing w:line="201" w:lineRule="exact"/>
              <w:jc w:val="both"/>
            </w:pP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jc w:val="both"/>
            </w:pPr>
            <w:r>
              <w:t>VSAT transmis</w:t>
            </w:r>
            <w:r>
              <w:softHyphen/>
              <w:t>sion vali</w:t>
            </w:r>
            <w:r>
              <w:softHyphen/>
              <w:t>da</w:t>
            </w:r>
            <w:r>
              <w:softHyphen/>
              <w:t>tion</w:t>
            </w:r>
          </w:p>
        </w:tc>
        <w:tc>
          <w:tcPr>
            <w:tcW w:w="2486" w:type="dxa"/>
            <w:tcBorders>
              <w:top w:val="single" w:sz="6" w:space="0" w:color="000000"/>
              <w:left w:val="single" w:sz="6" w:space="0" w:color="000000"/>
              <w:bottom w:val="single" w:sz="6" w:space="0" w:color="FFFFFF"/>
              <w:right w:val="double" w:sz="6" w:space="0" w:color="000000"/>
            </w:tcBorders>
          </w:tcPr>
          <w:p w:rsidR="00F82525" w:rsidRDefault="00F82525">
            <w:pPr>
              <w:widowControl w:val="0"/>
              <w:spacing w:line="201" w:lineRule="exact"/>
              <w:jc w:val="center"/>
            </w:pP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jc w:val="center"/>
            </w:pPr>
            <w:r>
              <w:t>Applicable</w:t>
            </w:r>
          </w:p>
        </w:tc>
      </w:tr>
      <w:tr w:rsidR="00F82525">
        <w:tblPrEx>
          <w:tblCellMar>
            <w:top w:w="0" w:type="dxa"/>
            <w:bottom w:w="0" w:type="dxa"/>
          </w:tblCellMar>
        </w:tblPrEx>
        <w:trPr>
          <w:jc w:val="center"/>
        </w:trPr>
        <w:tc>
          <w:tcPr>
            <w:tcW w:w="4842" w:type="dxa"/>
            <w:tcBorders>
              <w:top w:val="single" w:sz="6" w:space="0" w:color="000000"/>
              <w:left w:val="double" w:sz="6" w:space="0" w:color="000000"/>
              <w:bottom w:val="double" w:sz="6" w:space="0" w:color="000000"/>
              <w:right w:val="single" w:sz="6" w:space="0" w:color="000000"/>
            </w:tcBorders>
          </w:tcPr>
          <w:p w:rsidR="00F82525" w:rsidRDefault="00F82525">
            <w:pPr>
              <w:widowControl w:val="0"/>
              <w:spacing w:line="201" w:lineRule="exact"/>
              <w:jc w:val="both"/>
            </w:pP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spacing w:after="58"/>
              <w:jc w:val="both"/>
            </w:pPr>
            <w:r>
              <w:t>Suppression of trans</w:t>
            </w:r>
            <w:r>
              <w:softHyphen/>
              <w:t>mission on receipt of a disable mes</w:t>
            </w:r>
            <w:r>
              <w:softHyphen/>
              <w:t>sage</w:t>
            </w:r>
          </w:p>
        </w:tc>
        <w:tc>
          <w:tcPr>
            <w:tcW w:w="2486" w:type="dxa"/>
            <w:tcBorders>
              <w:top w:val="single" w:sz="6" w:space="0" w:color="000000"/>
              <w:left w:val="single" w:sz="6" w:space="0" w:color="000000"/>
              <w:bottom w:val="double" w:sz="6" w:space="0" w:color="000000"/>
              <w:right w:val="double" w:sz="6" w:space="0" w:color="000000"/>
            </w:tcBorders>
          </w:tcPr>
          <w:p w:rsidR="00F82525" w:rsidRDefault="00F82525">
            <w:pPr>
              <w:widowControl w:val="0"/>
              <w:spacing w:line="201" w:lineRule="exact"/>
              <w:jc w:val="center"/>
            </w:pPr>
          </w:p>
          <w:p w:rsidR="00F82525" w:rsidRDefault="00F82525">
            <w:pPr>
              <w:widowControl w:val="0"/>
              <w:tabs>
                <w:tab w:val="center" w:pos="1027"/>
                <w:tab w:val="left" w:pos="1701"/>
                <w:tab w:val="left" w:pos="2552"/>
                <w:tab w:val="left" w:pos="3403"/>
                <w:tab w:val="left" w:pos="4254"/>
                <w:tab w:val="left" w:pos="5104"/>
                <w:tab w:val="left" w:pos="5955"/>
                <w:tab w:val="left" w:pos="6806"/>
                <w:tab w:val="left" w:pos="7657"/>
                <w:tab w:val="left" w:pos="8508"/>
              </w:tabs>
              <w:spacing w:after="58"/>
              <w:jc w:val="center"/>
            </w:pPr>
            <w:r>
              <w:t>Applicable</w:t>
            </w:r>
          </w:p>
        </w:tc>
      </w:tr>
    </w:tbl>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ind w:left="344"/>
        <w:jc w:val="both"/>
      </w:pPr>
    </w:p>
    <w:p w:rsidR="00F82525" w:rsidRDefault="00F82525">
      <w:pPr>
        <w:widowControl w:val="0"/>
        <w:tabs>
          <w:tab w:val="left" w:pos="0"/>
          <w:tab w:val="left" w:pos="344"/>
          <w:tab w:val="left" w:pos="1701"/>
          <w:tab w:val="left" w:pos="2552"/>
          <w:tab w:val="left" w:pos="3403"/>
          <w:tab w:val="left" w:pos="4254"/>
          <w:tab w:val="left" w:pos="5104"/>
          <w:tab w:val="left" w:pos="5955"/>
          <w:tab w:val="left" w:pos="6806"/>
          <w:tab w:val="left" w:pos="7657"/>
          <w:tab w:val="left" w:pos="8508"/>
        </w:tabs>
        <w:ind w:left="344"/>
        <w:jc w:val="both"/>
      </w:pPr>
      <w:r>
        <w:t>All requirements in ETS 300 160 to be documented by manufacturer's declaration.</w:t>
      </w:r>
    </w:p>
    <w:p w:rsidR="00F82525" w:rsidRDefault="00F82525">
      <w:pPr>
        <w:widowControl w:val="0"/>
        <w:tabs>
          <w:tab w:val="center" w:pos="5021"/>
          <w:tab w:val="left" w:pos="8061"/>
        </w:tabs>
        <w:jc w:val="center"/>
        <w:rPr>
          <w:b/>
          <w:bCs/>
        </w:rPr>
        <w:sectPr w:rsidR="00F82525">
          <w:headerReference w:type="first" r:id="rId12"/>
          <w:footerReference w:type="first" r:id="rId13"/>
          <w:pgSz w:w="11907" w:h="16840" w:code="9"/>
          <w:pgMar w:top="2160" w:right="1440" w:bottom="1134" w:left="1440" w:header="1009" w:footer="578" w:gutter="0"/>
          <w:pgNumType w:start="2"/>
          <w:cols w:space="709"/>
          <w:noEndnote/>
          <w:titlePg/>
        </w:sectPr>
      </w:pPr>
    </w:p>
    <w:p w:rsidR="00F82525" w:rsidRDefault="00F82525">
      <w:pPr>
        <w:widowControl w:val="0"/>
        <w:tabs>
          <w:tab w:val="center" w:pos="5021"/>
          <w:tab w:val="left" w:pos="8061"/>
        </w:tabs>
        <w:jc w:val="center"/>
        <w:rPr>
          <w:b/>
          <w:bCs/>
        </w:rPr>
      </w:pPr>
      <w:r>
        <w:rPr>
          <w:b/>
          <w:bCs/>
        </w:rPr>
        <w:lastRenderedPageBreak/>
        <w:t>ANNEX II</w:t>
      </w:r>
    </w:p>
    <w:p w:rsidR="00F82525" w:rsidRDefault="00F82525">
      <w:pPr>
        <w:widowControl w:val="0"/>
        <w:tabs>
          <w:tab w:val="left" w:pos="720"/>
          <w:tab w:val="left" w:pos="1298"/>
          <w:tab w:val="left" w:pos="8061"/>
        </w:tabs>
        <w:jc w:val="both"/>
        <w:rPr>
          <w:b/>
          <w:bCs/>
        </w:rPr>
      </w:pPr>
    </w:p>
    <w:p w:rsidR="00F82525" w:rsidRDefault="00F82525">
      <w:pPr>
        <w:widowControl w:val="0"/>
        <w:tabs>
          <w:tab w:val="center" w:pos="5021"/>
          <w:tab w:val="left" w:pos="8061"/>
        </w:tabs>
        <w:jc w:val="center"/>
      </w:pPr>
      <w:r>
        <w:t>THE MARKING FOR VSAT and SNG TERMINALS</w:t>
      </w:r>
    </w:p>
    <w:p w:rsidR="00F82525" w:rsidRDefault="00F82525">
      <w:pPr>
        <w:widowControl w:val="0"/>
        <w:tabs>
          <w:tab w:val="left" w:pos="720"/>
          <w:tab w:val="left" w:pos="1298"/>
          <w:tab w:val="left" w:pos="8061"/>
        </w:tabs>
        <w:jc w:val="both"/>
      </w:pPr>
    </w:p>
    <w:p w:rsidR="00F82525" w:rsidRDefault="00F82525">
      <w:pPr>
        <w:widowControl w:val="0"/>
        <w:tabs>
          <w:tab w:val="left" w:pos="720"/>
          <w:tab w:val="left" w:pos="1298"/>
          <w:tab w:val="left" w:pos="8061"/>
        </w:tabs>
        <w:jc w:val="both"/>
      </w:pPr>
    </w:p>
    <w:p w:rsidR="00F82525" w:rsidRDefault="00F82525">
      <w:pPr>
        <w:widowControl w:val="0"/>
        <w:tabs>
          <w:tab w:val="left" w:pos="720"/>
          <w:tab w:val="left" w:pos="1298"/>
          <w:tab w:val="left" w:pos="8061"/>
        </w:tabs>
        <w:jc w:val="both"/>
      </w:pPr>
      <w:r>
        <w:t>The marking shall be placed on the terminal equipment of the VSAT and SNG in the following forms:</w:t>
      </w:r>
    </w:p>
    <w:p w:rsidR="00F82525" w:rsidRDefault="00F82525">
      <w:pPr>
        <w:widowControl w:val="0"/>
        <w:tabs>
          <w:tab w:val="left" w:pos="720"/>
          <w:tab w:val="left" w:pos="1298"/>
          <w:tab w:val="left" w:pos="8061"/>
        </w:tabs>
        <w:jc w:val="both"/>
      </w:pPr>
    </w:p>
    <w:p w:rsidR="00F82525" w:rsidRDefault="00F82525">
      <w:pPr>
        <w:widowControl w:val="0"/>
        <w:tabs>
          <w:tab w:val="center" w:pos="5021"/>
          <w:tab w:val="left" w:pos="8061"/>
        </w:tabs>
        <w:jc w:val="center"/>
      </w:pPr>
      <w:r>
        <w:t>(ERC VSAT Y)</w:t>
      </w:r>
    </w:p>
    <w:p w:rsidR="00F82525" w:rsidRDefault="00F82525">
      <w:pPr>
        <w:widowControl w:val="0"/>
        <w:tabs>
          <w:tab w:val="center" w:pos="5021"/>
          <w:tab w:val="left" w:pos="8061"/>
        </w:tabs>
        <w:jc w:val="center"/>
      </w:pPr>
      <w:r>
        <w:t>(ERC SNG Y)</w:t>
      </w:r>
    </w:p>
    <w:p w:rsidR="00F82525" w:rsidRDefault="00F82525">
      <w:pPr>
        <w:widowControl w:val="0"/>
        <w:tabs>
          <w:tab w:val="left" w:pos="720"/>
          <w:tab w:val="left" w:pos="1298"/>
          <w:tab w:val="left" w:pos="8061"/>
        </w:tabs>
        <w:jc w:val="both"/>
      </w:pPr>
    </w:p>
    <w:p w:rsidR="00F82525" w:rsidRDefault="00F82525">
      <w:pPr>
        <w:widowControl w:val="0"/>
        <w:tabs>
          <w:tab w:val="left" w:pos="720"/>
          <w:tab w:val="left" w:pos="1298"/>
          <w:tab w:val="left" w:pos="8061"/>
        </w:tabs>
        <w:jc w:val="both"/>
      </w:pPr>
      <w:r>
        <w:t>Y is the symbol of the country where the equipment has been type approved. This symbol could be followed by the national authorisa</w:t>
      </w:r>
      <w:r>
        <w:softHyphen/>
        <w:t>tion number and the year of type approval.</w:t>
      </w:r>
    </w:p>
    <w:sectPr w:rsidR="00F82525">
      <w:headerReference w:type="first" r:id="rId14"/>
      <w:footerReference w:type="first" r:id="rId15"/>
      <w:pgSz w:w="11907" w:h="16840" w:code="9"/>
      <w:pgMar w:top="2160" w:right="1440" w:bottom="1134" w:left="1440" w:header="1009" w:footer="578" w:gutter="0"/>
      <w:pgNumType w:start="2"/>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25" w:rsidRDefault="00F82525">
      <w:r>
        <w:separator/>
      </w:r>
    </w:p>
  </w:endnote>
  <w:endnote w:type="continuationSeparator" w:id="0">
    <w:p w:rsidR="00F82525" w:rsidRDefault="00F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25" w:rsidRDefault="00F82525">
    <w:pPr>
      <w:pStyle w:val="Footer"/>
      <w:rPr>
        <w:sz w:val="18"/>
        <w:szCs w:val="18"/>
      </w:rPr>
    </w:pPr>
    <w:r>
      <w:rPr>
        <w:sz w:val="18"/>
        <w:szCs w:val="18"/>
      </w:rPr>
      <w:t>Edition of August 26, 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25" w:rsidRDefault="00F82525">
    <w:pPr>
      <w:pStyle w:val="Footer"/>
      <w:jc w:val="right"/>
      <w:rPr>
        <w:sz w:val="18"/>
        <w:szCs w:val="18"/>
      </w:rPr>
    </w:pPr>
    <w:r>
      <w:rPr>
        <w:sz w:val="18"/>
        <w:szCs w:val="18"/>
      </w:rPr>
      <w:t>Edition of August 26, 1996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25" w:rsidRDefault="00F82525">
    <w:pPr>
      <w:pStyle w:val="Footer"/>
      <w:rPr>
        <w:sz w:val="18"/>
        <w:szCs w:val="18"/>
      </w:rPr>
    </w:pPr>
    <w:r>
      <w:rPr>
        <w:sz w:val="18"/>
        <w:szCs w:val="18"/>
      </w:rPr>
      <w:t>Edition of August 26, 1996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25" w:rsidRDefault="00F82525">
    <w:pPr>
      <w:pStyle w:val="Footer"/>
      <w:jc w:val="right"/>
      <w:rPr>
        <w:sz w:val="18"/>
        <w:szCs w:val="18"/>
      </w:rPr>
    </w:pPr>
    <w:r>
      <w:rPr>
        <w:sz w:val="18"/>
        <w:szCs w:val="18"/>
      </w:rPr>
      <w:t>Edition of August 26, 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25" w:rsidRDefault="00F82525">
      <w:r>
        <w:separator/>
      </w:r>
    </w:p>
  </w:footnote>
  <w:footnote w:type="continuationSeparator" w:id="0">
    <w:p w:rsidR="00F82525" w:rsidRDefault="00F82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25" w:rsidRDefault="00F82525">
    <w:pPr>
      <w:pStyle w:val="Header"/>
      <w:jc w:val="right"/>
      <w:rPr>
        <w:rFonts w:ascii="Arial" w:hAnsi="Arial" w:cs="Arial"/>
        <w:b/>
        <w:bCs/>
        <w:sz w:val="16"/>
        <w:szCs w:val="16"/>
      </w:rPr>
    </w:pPr>
    <w:r>
      <w:rPr>
        <w:rFonts w:ascii="Arial" w:hAnsi="Arial" w:cs="Arial"/>
        <w:b/>
        <w:bCs/>
        <w:sz w:val="16"/>
        <w:szCs w:val="16"/>
      </w:rPr>
      <w:t>CEPT/ERC/REC 11-01 E</w:t>
    </w:r>
  </w:p>
  <w:p w:rsidR="00F82525" w:rsidRDefault="00F82525">
    <w:pPr>
      <w:pStyle w:val="Header"/>
      <w:jc w:val="right"/>
      <w:rPr>
        <w:rFonts w:ascii="Arial" w:hAnsi="Arial" w:cs="Arial"/>
        <w:sz w:val="16"/>
        <w:szCs w:val="16"/>
      </w:rPr>
    </w:pPr>
    <w:r>
      <w:rPr>
        <w:rFonts w:ascii="Arial" w:hAnsi="Arial" w:cs="Arial"/>
        <w:sz w:val="16"/>
        <w:szCs w:val="16"/>
      </w:rPr>
      <w:t>Page 1</w:t>
    </w:r>
  </w:p>
  <w:p w:rsidR="00F82525" w:rsidRDefault="00F82525">
    <w:pPr>
      <w:pStyle w:val="Header"/>
      <w:jc w:val="right"/>
      <w:rPr>
        <w:rFonts w:ascii="Arial" w:hAnsi="Arial" w:cs="Arial"/>
        <w:sz w:val="16"/>
        <w:szCs w:val="16"/>
      </w:rPr>
    </w:pPr>
    <w:r>
      <w:rPr>
        <w:rFonts w:ascii="Arial" w:hAnsi="Arial" w:cs="Arial"/>
        <w:sz w:val="16"/>
        <w:szCs w:val="16"/>
      </w:rPr>
      <w:t>Distribution: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25" w:rsidRDefault="00F82525">
    <w:pPr>
      <w:pStyle w:val="Header"/>
      <w:rPr>
        <w:rFonts w:ascii="Arial" w:hAnsi="Arial" w:cs="Arial"/>
        <w:b/>
        <w:bCs/>
        <w:sz w:val="16"/>
        <w:szCs w:val="16"/>
      </w:rPr>
    </w:pPr>
    <w:r>
      <w:rPr>
        <w:rFonts w:ascii="Arial" w:hAnsi="Arial" w:cs="Arial"/>
        <w:b/>
        <w:bCs/>
        <w:sz w:val="16"/>
        <w:szCs w:val="16"/>
      </w:rPr>
      <w:t>CEPT/ERC/REC 11-01 E</w:t>
    </w:r>
  </w:p>
  <w:p w:rsidR="00F82525" w:rsidRDefault="00F82525">
    <w:pPr>
      <w:pStyle w:val="Header"/>
      <w:rPr>
        <w:rFonts w:ascii="Arial" w:hAnsi="Arial" w:cs="Arial"/>
        <w:sz w:val="16"/>
        <w:szCs w:val="16"/>
      </w:rPr>
    </w:pPr>
    <w:r>
      <w:rPr>
        <w:rFonts w:ascii="Arial" w:hAnsi="Arial" w:cs="Arial"/>
        <w:sz w:val="16"/>
        <w:szCs w:val="16"/>
      </w:rPr>
      <w:t>Page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25" w:rsidRDefault="00F82525">
    <w:pPr>
      <w:pStyle w:val="Header"/>
      <w:jc w:val="right"/>
      <w:rPr>
        <w:rFonts w:ascii="Arial" w:hAnsi="Arial" w:cs="Arial"/>
        <w:b/>
        <w:bCs/>
        <w:sz w:val="16"/>
        <w:szCs w:val="16"/>
      </w:rPr>
    </w:pPr>
    <w:r>
      <w:rPr>
        <w:rFonts w:ascii="Arial" w:hAnsi="Arial" w:cs="Arial"/>
        <w:b/>
        <w:bCs/>
        <w:sz w:val="16"/>
        <w:szCs w:val="16"/>
      </w:rPr>
      <w:t>CEPT/ERC/REC 11-01 E</w:t>
    </w:r>
  </w:p>
  <w:p w:rsidR="00F82525" w:rsidRDefault="00F82525">
    <w:pPr>
      <w:pStyle w:val="Header"/>
      <w:jc w:val="right"/>
      <w:rPr>
        <w:rFonts w:ascii="Arial" w:hAnsi="Arial" w:cs="Arial"/>
        <w:sz w:val="16"/>
        <w:szCs w:val="16"/>
      </w:rPr>
    </w:pPr>
    <w:r>
      <w:rPr>
        <w:rFonts w:ascii="Arial" w:hAnsi="Arial" w:cs="Arial"/>
        <w:sz w:val="16"/>
        <w:szCs w:val="16"/>
      </w:rPr>
      <w:t>Annex I, Page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25" w:rsidRDefault="00F82525">
    <w:pPr>
      <w:pStyle w:val="Header"/>
      <w:rPr>
        <w:rFonts w:ascii="Arial" w:hAnsi="Arial" w:cs="Arial"/>
        <w:b/>
        <w:bCs/>
        <w:sz w:val="16"/>
        <w:szCs w:val="16"/>
      </w:rPr>
    </w:pPr>
    <w:r>
      <w:rPr>
        <w:rFonts w:ascii="Arial" w:hAnsi="Arial" w:cs="Arial"/>
        <w:b/>
        <w:bCs/>
        <w:sz w:val="16"/>
        <w:szCs w:val="16"/>
      </w:rPr>
      <w:t>CEPT/ERC/REC 11-01 E</w:t>
    </w:r>
  </w:p>
  <w:p w:rsidR="00F82525" w:rsidRDefault="00F82525">
    <w:pPr>
      <w:pStyle w:val="Header"/>
      <w:rPr>
        <w:rFonts w:ascii="Arial" w:hAnsi="Arial" w:cs="Arial"/>
        <w:sz w:val="16"/>
        <w:szCs w:val="16"/>
      </w:rPr>
    </w:pPr>
    <w:r>
      <w:rPr>
        <w:rFonts w:ascii="Arial" w:hAnsi="Arial" w:cs="Arial"/>
        <w:sz w:val="16"/>
        <w:szCs w:val="16"/>
      </w:rPr>
      <w:t>Annex II, Page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F0660"/>
    <w:multiLevelType w:val="singleLevel"/>
    <w:tmpl w:val="6A246846"/>
    <w:lvl w:ilvl="0">
      <w:start w:val="1"/>
      <w:numFmt w:val="lowerLetter"/>
      <w:lvlText w:val="%1)"/>
      <w:legacy w:legacy="1" w:legacySpace="0" w:legacyIndent="357"/>
      <w:lvlJc w:val="left"/>
      <w:pPr>
        <w:ind w:left="357" w:hanging="357"/>
      </w:pPr>
      <w:rPr>
        <w:rFonts w:cs="Times New Roman"/>
      </w:rPr>
    </w:lvl>
  </w:abstractNum>
  <w:abstractNum w:abstractNumId="1">
    <w:nsid w:val="4C6F0B5F"/>
    <w:multiLevelType w:val="singleLevel"/>
    <w:tmpl w:val="FB0E0BC8"/>
    <w:lvl w:ilvl="0">
      <w:start w:val="1"/>
      <w:numFmt w:val="decimal"/>
      <w:lvlText w:val="[%1]"/>
      <w:legacy w:legacy="1" w:legacySpace="0" w:legacyIndent="357"/>
      <w:lvlJc w:val="left"/>
      <w:pPr>
        <w:ind w:left="357" w:hanging="357"/>
      </w:pPr>
      <w:rPr>
        <w:rFonts w:cs="Times New Roman"/>
      </w:rPr>
    </w:lvl>
  </w:abstractNum>
  <w:abstractNum w:abstractNumId="2">
    <w:nsid w:val="63DF320D"/>
    <w:multiLevelType w:val="singleLevel"/>
    <w:tmpl w:val="9766ADC2"/>
    <w:lvl w:ilvl="0">
      <w:start w:val="1"/>
      <w:numFmt w:val="decimal"/>
      <w:lvlText w:val="%1)"/>
      <w:legacy w:legacy="1" w:legacySpace="0" w:legacyIndent="357"/>
      <w:lvlJc w:val="left"/>
      <w:pPr>
        <w:ind w:left="357" w:hanging="357"/>
      </w:pPr>
      <w:rPr>
        <w:rFonts w:cs="Times New Roman"/>
      </w:rPr>
    </w:lvl>
  </w:abstractNum>
  <w:num w:numId="1">
    <w:abstractNumId w:val="0"/>
  </w:num>
  <w:num w:numId="2">
    <w:abstractNumId w:val="0"/>
    <w:lvlOverride w:ilvl="0">
      <w:lvl w:ilvl="0">
        <w:start w:val="1"/>
        <w:numFmt w:val="lowerLetter"/>
        <w:lvlText w:val="%1)"/>
        <w:legacy w:legacy="1" w:legacySpace="0" w:legacyIndent="357"/>
        <w:lvlJc w:val="left"/>
        <w:pPr>
          <w:ind w:left="357" w:hanging="357"/>
        </w:pPr>
        <w:rPr>
          <w:rFonts w:cs="Times New Roman"/>
        </w:rPr>
      </w:lvl>
    </w:lvlOverride>
  </w:num>
  <w:num w:numId="3">
    <w:abstractNumId w:val="0"/>
    <w:lvlOverride w:ilvl="0">
      <w:lvl w:ilvl="0">
        <w:start w:val="1"/>
        <w:numFmt w:val="lowerLetter"/>
        <w:lvlText w:val="%1)"/>
        <w:legacy w:legacy="1" w:legacySpace="0" w:legacyIndent="357"/>
        <w:lvlJc w:val="left"/>
        <w:pPr>
          <w:ind w:left="357" w:hanging="357"/>
        </w:pPr>
        <w:rPr>
          <w:rFonts w:cs="Times New Roman"/>
        </w:rPr>
      </w:lvl>
    </w:lvlOverride>
  </w:num>
  <w:num w:numId="4">
    <w:abstractNumId w:val="0"/>
    <w:lvlOverride w:ilvl="0">
      <w:lvl w:ilvl="0">
        <w:start w:val="1"/>
        <w:numFmt w:val="lowerLetter"/>
        <w:lvlText w:val="%1)"/>
        <w:legacy w:legacy="1" w:legacySpace="0" w:legacyIndent="357"/>
        <w:lvlJc w:val="left"/>
        <w:pPr>
          <w:ind w:left="357" w:hanging="357"/>
        </w:pPr>
        <w:rPr>
          <w:rFonts w:cs="Times New Roman"/>
        </w:rPr>
      </w:lvl>
    </w:lvlOverride>
  </w:num>
  <w:num w:numId="5">
    <w:abstractNumId w:val="0"/>
    <w:lvlOverride w:ilvl="0">
      <w:lvl w:ilvl="0">
        <w:start w:val="1"/>
        <w:numFmt w:val="lowerLetter"/>
        <w:lvlText w:val="%1)"/>
        <w:legacy w:legacy="1" w:legacySpace="0" w:legacyIndent="357"/>
        <w:lvlJc w:val="left"/>
        <w:pPr>
          <w:ind w:left="357" w:hanging="357"/>
        </w:pPr>
        <w:rPr>
          <w:rFonts w:cs="Times New Roman"/>
        </w:rPr>
      </w:lvl>
    </w:lvlOverride>
  </w:num>
  <w:num w:numId="6">
    <w:abstractNumId w:val="0"/>
    <w:lvlOverride w:ilvl="0">
      <w:lvl w:ilvl="0">
        <w:start w:val="1"/>
        <w:numFmt w:val="lowerLetter"/>
        <w:lvlText w:val="%1)"/>
        <w:legacy w:legacy="1" w:legacySpace="0" w:legacyIndent="357"/>
        <w:lvlJc w:val="left"/>
        <w:pPr>
          <w:ind w:left="357" w:hanging="357"/>
        </w:pPr>
        <w:rPr>
          <w:rFonts w:cs="Times New Roman"/>
        </w:rPr>
      </w:lvl>
    </w:lvlOverride>
  </w:num>
  <w:num w:numId="7">
    <w:abstractNumId w:val="0"/>
    <w:lvlOverride w:ilvl="0">
      <w:lvl w:ilvl="0">
        <w:start w:val="1"/>
        <w:numFmt w:val="lowerLetter"/>
        <w:lvlText w:val="%1)"/>
        <w:legacy w:legacy="1" w:legacySpace="0" w:legacyIndent="357"/>
        <w:lvlJc w:val="left"/>
        <w:pPr>
          <w:ind w:left="357" w:hanging="357"/>
        </w:pPr>
        <w:rPr>
          <w:rFonts w:cs="Times New Roman"/>
        </w:rPr>
      </w:lvl>
    </w:lvlOverride>
  </w:num>
  <w:num w:numId="8">
    <w:abstractNumId w:val="0"/>
    <w:lvlOverride w:ilvl="0">
      <w:lvl w:ilvl="0">
        <w:start w:val="1"/>
        <w:numFmt w:val="lowerLetter"/>
        <w:lvlText w:val="%1)"/>
        <w:legacy w:legacy="1" w:legacySpace="0" w:legacyIndent="357"/>
        <w:lvlJc w:val="left"/>
        <w:pPr>
          <w:ind w:left="357" w:hanging="357"/>
        </w:pPr>
        <w:rPr>
          <w:rFonts w:cs="Times New Roman"/>
        </w:rPr>
      </w:lvl>
    </w:lvlOverride>
  </w:num>
  <w:num w:numId="9">
    <w:abstractNumId w:val="0"/>
    <w:lvlOverride w:ilvl="0">
      <w:lvl w:ilvl="0">
        <w:start w:val="1"/>
        <w:numFmt w:val="lowerLetter"/>
        <w:lvlText w:val="%1)"/>
        <w:legacy w:legacy="1" w:legacySpace="0" w:legacyIndent="357"/>
        <w:lvlJc w:val="left"/>
        <w:pPr>
          <w:ind w:left="357" w:hanging="357"/>
        </w:pPr>
        <w:rPr>
          <w:rFonts w:cs="Times New Roman"/>
        </w:rPr>
      </w:lvl>
    </w:lvlOverride>
  </w:num>
  <w:num w:numId="10">
    <w:abstractNumId w:val="2"/>
  </w:num>
  <w:num w:numId="11">
    <w:abstractNumId w:val="2"/>
    <w:lvlOverride w:ilvl="0">
      <w:lvl w:ilvl="0">
        <w:start w:val="1"/>
        <w:numFmt w:val="decimal"/>
        <w:lvlText w:val="%1)"/>
        <w:legacy w:legacy="1" w:legacySpace="0" w:legacyIndent="357"/>
        <w:lvlJc w:val="left"/>
        <w:pPr>
          <w:ind w:left="357" w:hanging="357"/>
        </w:pPr>
        <w:rPr>
          <w:rFonts w:cs="Times New Roman"/>
        </w:rPr>
      </w:lvl>
    </w:lvlOverride>
  </w:num>
  <w:num w:numId="12">
    <w:abstractNumId w:val="2"/>
    <w:lvlOverride w:ilvl="0">
      <w:lvl w:ilvl="0">
        <w:start w:val="1"/>
        <w:numFmt w:val="decimal"/>
        <w:lvlText w:val="%1)"/>
        <w:legacy w:legacy="1" w:legacySpace="0" w:legacyIndent="357"/>
        <w:lvlJc w:val="left"/>
        <w:pPr>
          <w:ind w:left="357" w:hanging="357"/>
        </w:pPr>
        <w:rPr>
          <w:rFonts w:cs="Times New Roman"/>
        </w:rPr>
      </w:lvl>
    </w:lvlOverride>
  </w:num>
  <w:num w:numId="13">
    <w:abstractNumId w:val="1"/>
  </w:num>
  <w:num w:numId="14">
    <w:abstractNumId w:val="1"/>
    <w:lvlOverride w:ilvl="0">
      <w:lvl w:ilvl="0">
        <w:start w:val="1"/>
        <w:numFmt w:val="decimal"/>
        <w:lvlText w:val="[%1]"/>
        <w:legacy w:legacy="1" w:legacySpace="0" w:legacyIndent="357"/>
        <w:lvlJc w:val="left"/>
        <w:pPr>
          <w:ind w:left="357" w:hanging="357"/>
        </w:pPr>
        <w:rPr>
          <w:rFonts w:cs="Times New Roman"/>
        </w:rPr>
      </w:lvl>
    </w:lvlOverride>
  </w:num>
  <w:num w:numId="15">
    <w:abstractNumId w:val="1"/>
    <w:lvlOverride w:ilvl="0">
      <w:lvl w:ilvl="0">
        <w:start w:val="1"/>
        <w:numFmt w:val="decimal"/>
        <w:lvlText w:val="[%1]"/>
        <w:legacy w:legacy="1" w:legacySpace="0" w:legacyIndent="357"/>
        <w:lvlJc w:val="left"/>
        <w:pPr>
          <w:ind w:left="357" w:hanging="357"/>
        </w:pPr>
        <w:rPr>
          <w:rFonts w:cs="Times New Roman"/>
        </w:rPr>
      </w:lvl>
    </w:lvlOverride>
  </w:num>
  <w:num w:numId="16">
    <w:abstractNumId w:val="1"/>
    <w:lvlOverride w:ilvl="0">
      <w:lvl w:ilvl="0">
        <w:start w:val="1"/>
        <w:numFmt w:val="decimal"/>
        <w:lvlText w:val="[%1]"/>
        <w:legacy w:legacy="1" w:legacySpace="0" w:legacyIndent="357"/>
        <w:lvlJc w:val="left"/>
        <w:pPr>
          <w:ind w:left="357" w:hanging="357"/>
        </w:pPr>
        <w:rPr>
          <w:rFonts w:cs="Times New Roman"/>
        </w:rPr>
      </w:lvl>
    </w:lvlOverride>
  </w:num>
  <w:num w:numId="17">
    <w:abstractNumId w:val="1"/>
    <w:lvlOverride w:ilvl="0">
      <w:lvl w:ilvl="0">
        <w:start w:val="1"/>
        <w:numFmt w:val="decimal"/>
        <w:lvlText w:val="[%1]"/>
        <w:legacy w:legacy="1" w:legacySpace="0" w:legacyIndent="357"/>
        <w:lvlJc w:val="left"/>
        <w:pPr>
          <w:ind w:left="357" w:hanging="357"/>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71"/>
    <w:rsid w:val="003F2871"/>
    <w:rsid w:val="00F82525"/>
    <w:rsid w:val="00FB0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0"/>
      <w:szCs w:val="20"/>
      <w:lang w:val="en-GB" w:eastAsia="en-GB"/>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0"/>
      <w:szCs w:val="20"/>
      <w:lang w:val="en-GB" w:eastAsia="en-GB"/>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5238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Recommendation ERC xx-xx</vt:lpstr>
    </vt:vector>
  </TitlesOfParts>
  <Company>ERO</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ERC xx-xx</dc:title>
  <dc:creator>Chris Michelotti</dc:creator>
  <cp:lastModifiedBy>Bente Pedersen</cp:lastModifiedBy>
  <cp:revision>2</cp:revision>
  <cp:lastPrinted>1996-08-23T07:57:00Z</cp:lastPrinted>
  <dcterms:created xsi:type="dcterms:W3CDTF">2017-06-28T06:38:00Z</dcterms:created>
  <dcterms:modified xsi:type="dcterms:W3CDTF">2017-06-28T06:38:00Z</dcterms:modified>
</cp:coreProperties>
</file>