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006C" w14:textId="10457AC1" w:rsidR="00C74BE6" w:rsidRPr="00523933" w:rsidRDefault="00C74BE6">
      <w:pPr>
        <w:rPr>
          <w:lang w:val="en-GB"/>
        </w:rPr>
      </w:pPr>
      <w:bookmarkStart w:id="0" w:name="_GoBack"/>
      <w:bookmarkEnd w:id="0"/>
    </w:p>
    <w:p w14:paraId="11E6081A" w14:textId="2A81D307" w:rsidR="00C74BE6" w:rsidRPr="00523933" w:rsidRDefault="00C74BE6" w:rsidP="00C74BE6">
      <w:pPr>
        <w:jc w:val="center"/>
        <w:rPr>
          <w:lang w:val="en-GB"/>
        </w:rPr>
      </w:pPr>
    </w:p>
    <w:p w14:paraId="42BE5337" w14:textId="77777777" w:rsidR="00C74BE6" w:rsidRPr="00523933" w:rsidRDefault="00C74BE6" w:rsidP="00C74BE6">
      <w:pPr>
        <w:rPr>
          <w:lang w:val="en-GB"/>
        </w:rPr>
      </w:pPr>
    </w:p>
    <w:p w14:paraId="1A8B2E56" w14:textId="393F8527" w:rsidR="00C74BE6" w:rsidRPr="003C3811" w:rsidRDefault="00C74BE6" w:rsidP="003C3811">
      <w:pPr>
        <w:jc w:val="right"/>
        <w:rPr>
          <w:b/>
          <w:lang w:val="en-GB"/>
        </w:rPr>
      </w:pPr>
    </w:p>
    <w:p w14:paraId="687D6C69" w14:textId="5B9719C7" w:rsidR="00C74BE6" w:rsidRPr="00523933" w:rsidRDefault="00E06395" w:rsidP="00C74BE6">
      <w:pPr>
        <w:jc w:val="center"/>
        <w:rPr>
          <w:b/>
          <w:sz w:val="24"/>
          <w:lang w:val="en-GB"/>
        </w:rPr>
      </w:pPr>
      <w:r>
        <w:rPr>
          <w:b/>
          <w:noProof/>
          <w:sz w:val="24"/>
          <w:szCs w:val="20"/>
          <w:lang w:val="da-DK" w:eastAsia="da-DK"/>
        </w:rPr>
        <mc:AlternateContent>
          <mc:Choice Requires="wpg">
            <w:drawing>
              <wp:anchor distT="0" distB="0" distL="114300" distR="114300" simplePos="0" relativeHeight="251657728" behindDoc="0" locked="0" layoutInCell="1" allowOverlap="1" wp14:anchorId="4B00B5D9" wp14:editId="642431CB">
                <wp:simplePos x="0" y="0"/>
                <wp:positionH relativeFrom="column">
                  <wp:posOffset>-720090</wp:posOffset>
                </wp:positionH>
                <wp:positionV relativeFrom="paragraph">
                  <wp:posOffset>69850</wp:posOffset>
                </wp:positionV>
                <wp:extent cx="7564120" cy="8268970"/>
                <wp:effectExtent l="0" t="0" r="0" b="0"/>
                <wp:wrapNone/>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8A134" w14:textId="38351A28" w:rsidR="003E21EA" w:rsidRPr="00C95C7C" w:rsidRDefault="003E21EA"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08</w:t>
                              </w:r>
                            </w:p>
                          </w:txbxContent>
                        </wps:txbx>
                        <wps:bodyPr rot="0" vert="horz" wrap="square" lIns="2880000" tIns="360000" rIns="91440" bIns="45720" anchor="t" anchorCtr="0" upright="1">
                          <a:noAutofit/>
                        </wps:bodyPr>
                      </wps:wsp>
                      <wpg:grpSp>
                        <wpg:cNvPr id="8" name="Group 28"/>
                        <wpg:cNvGrpSpPr>
                          <a:grpSpLocks/>
                        </wpg:cNvGrpSpPr>
                        <wpg:grpSpPr bwMode="auto">
                          <a:xfrm>
                            <a:off x="1674" y="3087"/>
                            <a:ext cx="1790" cy="1790"/>
                            <a:chOff x="964" y="3424"/>
                            <a:chExt cx="1457" cy="1457"/>
                          </a:xfrm>
                        </wpg:grpSpPr>
                        <wps:wsp>
                          <wps:cNvPr id="11"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2"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14:paraId="0728A134" w14:textId="38351A28" w:rsidR="003E21EA" w:rsidRPr="00C95C7C" w:rsidRDefault="003E21EA"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08</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zCsAA&#10;AADbAAAADwAAAGRycy9kb3ducmV2LnhtbERPS4vCMBC+C/sfwix4EU3Ngkg1yrJQ8bIH3x6HZmyL&#10;zaQ0Ubv/3iwI3ubje8582dla3Kn1lWMN41ECgjh3puJCw36XDacgfEA2WDsmDX/kYbn46M0xNe7B&#10;G7pvQyFiCPsUNZQhNKmUPi/Joh+5hjhyF9daDBG2hTQtPmK4raVKkom0WHFsKLGhn5Ly6/ZmNfyu&#10;5e0U1HW6OlRfrAZKZdn5qHX/s/uegQjUhbf45V6bOH8M/7/E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7zCsAAAADbAAAADwAAAAAAAAAAAAAAAACYAgAAZHJzL2Rvd25y&#10;ZXYueG1sUEsFBgAAAAAEAAQA9QAAAIUDA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ezMEA&#10;AADbAAAADwAAAGRycy9kb3ducmV2LnhtbERPTYvCMBC9L/gfwgheFk0VWaUaRQTZCl501fPQjG21&#10;mZQma6u/3ggLe5vH+5z5sjWluFPtCssKhoMIBHFqdcGZguPPpj8F4TyyxtIyKXiQg+Wi8zHHWNuG&#10;93Q/+EyEEHYxKsi9r2IpXZqTQTewFXHgLrY26AOsM6lrbEK4KeUoir6kwYJDQ44VrXNKb4dfo+Bp&#10;8Ht8O39Omu36muhkt3le8KRUr9uuZiA8tf5f/OdOdJg/gvc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HszBAAAA2wAAAA8AAAAAAAAAAAAAAAAAmAIAAGRycy9kb3du&#10;cmV2LnhtbFBLBQYAAAAABAAEAPUAAACGAwAAAAA=&#10;" fillcolor="#d2232a" stroked="f">
                    <v:textbox inset=",10mm"/>
                  </v:shape>
                </v:group>
              </v:group>
            </w:pict>
          </mc:Fallback>
        </mc:AlternateContent>
      </w:r>
    </w:p>
    <w:p w14:paraId="2EB4E9D0" w14:textId="77777777" w:rsidR="00C74BE6" w:rsidRPr="00523933" w:rsidRDefault="00C74BE6" w:rsidP="00C74BE6">
      <w:pPr>
        <w:jc w:val="center"/>
        <w:rPr>
          <w:b/>
          <w:sz w:val="24"/>
          <w:lang w:val="en-GB"/>
        </w:rPr>
      </w:pPr>
    </w:p>
    <w:p w14:paraId="6D7A9917" w14:textId="77777777" w:rsidR="00C74BE6" w:rsidRPr="00523933" w:rsidRDefault="00C74BE6" w:rsidP="00C74BE6">
      <w:pPr>
        <w:jc w:val="center"/>
        <w:rPr>
          <w:b/>
          <w:sz w:val="24"/>
          <w:lang w:val="en-GB"/>
        </w:rPr>
      </w:pPr>
    </w:p>
    <w:p w14:paraId="135000F8" w14:textId="77777777" w:rsidR="00C74BE6" w:rsidRPr="00523933" w:rsidRDefault="00C74BE6" w:rsidP="00C74BE6">
      <w:pPr>
        <w:jc w:val="center"/>
        <w:rPr>
          <w:b/>
          <w:sz w:val="24"/>
          <w:lang w:val="en-GB"/>
        </w:rPr>
      </w:pPr>
    </w:p>
    <w:p w14:paraId="7F41D613" w14:textId="77777777" w:rsidR="00C74BE6" w:rsidRPr="00523933" w:rsidRDefault="00C74BE6" w:rsidP="00C74BE6">
      <w:pPr>
        <w:jc w:val="center"/>
        <w:rPr>
          <w:b/>
          <w:sz w:val="24"/>
          <w:lang w:val="en-GB"/>
        </w:rPr>
      </w:pPr>
    </w:p>
    <w:p w14:paraId="1BBE88A5" w14:textId="77777777" w:rsidR="00C74BE6" w:rsidRPr="00523933" w:rsidRDefault="00C74BE6" w:rsidP="00C74BE6">
      <w:pPr>
        <w:jc w:val="center"/>
        <w:rPr>
          <w:b/>
          <w:sz w:val="24"/>
          <w:lang w:val="en-GB"/>
        </w:rPr>
      </w:pPr>
    </w:p>
    <w:p w14:paraId="778CF196" w14:textId="77777777" w:rsidR="00C74BE6" w:rsidRPr="00523933" w:rsidRDefault="00C74BE6" w:rsidP="00C74BE6">
      <w:pPr>
        <w:jc w:val="center"/>
        <w:rPr>
          <w:b/>
          <w:sz w:val="24"/>
          <w:lang w:val="en-GB"/>
        </w:rPr>
      </w:pPr>
    </w:p>
    <w:p w14:paraId="751D0AEA" w14:textId="77777777" w:rsidR="00C74BE6" w:rsidRPr="00523933" w:rsidRDefault="00C74BE6" w:rsidP="00C74BE6">
      <w:pPr>
        <w:jc w:val="center"/>
        <w:rPr>
          <w:b/>
          <w:sz w:val="24"/>
          <w:lang w:val="en-GB"/>
        </w:rPr>
      </w:pPr>
    </w:p>
    <w:p w14:paraId="7638A3EC" w14:textId="77777777" w:rsidR="00C74BE6" w:rsidRPr="00523933" w:rsidRDefault="00C74BE6" w:rsidP="00C74BE6">
      <w:pPr>
        <w:jc w:val="center"/>
        <w:rPr>
          <w:b/>
          <w:sz w:val="24"/>
          <w:lang w:val="en-GB"/>
        </w:rPr>
      </w:pPr>
    </w:p>
    <w:p w14:paraId="75F58ABE" w14:textId="77777777" w:rsidR="00C74BE6" w:rsidRPr="00523933" w:rsidRDefault="00C74BE6" w:rsidP="00C74BE6">
      <w:pPr>
        <w:jc w:val="center"/>
        <w:rPr>
          <w:b/>
          <w:sz w:val="24"/>
          <w:lang w:val="en-GB"/>
        </w:rPr>
      </w:pPr>
    </w:p>
    <w:p w14:paraId="67D89E85" w14:textId="77777777" w:rsidR="00C74BE6" w:rsidRPr="00523933" w:rsidRDefault="00C74BE6" w:rsidP="00C74BE6">
      <w:pPr>
        <w:jc w:val="center"/>
        <w:rPr>
          <w:b/>
          <w:sz w:val="24"/>
          <w:lang w:val="en-GB"/>
        </w:rPr>
      </w:pPr>
    </w:p>
    <w:p w14:paraId="7C464C20" w14:textId="77777777" w:rsidR="00C74BE6" w:rsidRPr="00523933" w:rsidRDefault="00C74BE6" w:rsidP="00C74BE6">
      <w:pPr>
        <w:rPr>
          <w:b/>
          <w:sz w:val="24"/>
          <w:lang w:val="en-GB"/>
        </w:rPr>
      </w:pPr>
    </w:p>
    <w:p w14:paraId="2FE35279" w14:textId="77777777" w:rsidR="00C74BE6" w:rsidRPr="00523933" w:rsidRDefault="00C74BE6" w:rsidP="00C74BE6">
      <w:pPr>
        <w:jc w:val="center"/>
        <w:rPr>
          <w:b/>
          <w:sz w:val="24"/>
          <w:lang w:val="en-GB"/>
        </w:rPr>
      </w:pPr>
    </w:p>
    <w:p w14:paraId="3EDFC6B2" w14:textId="5D5B648F" w:rsidR="00AE48BC" w:rsidRPr="00523933" w:rsidRDefault="00AE48BC" w:rsidP="00757A26">
      <w:pPr>
        <w:pStyle w:val="Reporttitledescription"/>
        <w:rPr>
          <w:lang w:val="en-GB"/>
        </w:rPr>
      </w:pPr>
      <w:r w:rsidRPr="00523933">
        <w:rPr>
          <w:lang w:val="en-GB"/>
        </w:rPr>
        <w:t xml:space="preserve">Frequency planning and </w:t>
      </w:r>
      <w:r w:rsidR="00B54649">
        <w:rPr>
          <w:lang w:val="en-GB"/>
        </w:rPr>
        <w:t>cross-border</w:t>
      </w:r>
      <w:r w:rsidR="00B54649" w:rsidRPr="00523933">
        <w:rPr>
          <w:lang w:val="en-GB"/>
        </w:rPr>
        <w:t xml:space="preserve"> </w:t>
      </w:r>
      <w:r w:rsidRPr="00523933">
        <w:rPr>
          <w:lang w:val="en-GB"/>
        </w:rPr>
        <w:t xml:space="preserve">coordination </w:t>
      </w:r>
      <w:r w:rsidR="000030FC">
        <w:rPr>
          <w:lang w:val="en-GB"/>
        </w:rPr>
        <w:t>between GSM Land Mobile Systems</w:t>
      </w:r>
      <w:r w:rsidR="000030FC" w:rsidRPr="00523933">
        <w:rPr>
          <w:lang w:val="en-GB"/>
        </w:rPr>
        <w:t xml:space="preserve"> </w:t>
      </w:r>
      <w:r w:rsidR="00757A26">
        <w:rPr>
          <w:lang w:val="en-GB"/>
        </w:rPr>
        <w:br/>
      </w:r>
      <w:r w:rsidR="000030FC" w:rsidRPr="001C218F">
        <w:rPr>
          <w:lang w:val="en-GB"/>
        </w:rPr>
        <w:t>(</w:t>
      </w:r>
      <w:r w:rsidRPr="001C218F">
        <w:rPr>
          <w:lang w:val="en-GB"/>
        </w:rPr>
        <w:t>GSM</w:t>
      </w:r>
      <w:r w:rsidR="00011133" w:rsidRPr="001C218F">
        <w:rPr>
          <w:lang w:val="en-GB"/>
        </w:rPr>
        <w:t> </w:t>
      </w:r>
      <w:r w:rsidRPr="001C218F">
        <w:rPr>
          <w:lang w:val="en-GB"/>
        </w:rPr>
        <w:t>900, GSM</w:t>
      </w:r>
      <w:r w:rsidR="00947B73" w:rsidRPr="001C218F">
        <w:rPr>
          <w:lang w:val="en-GB"/>
        </w:rPr>
        <w:t> </w:t>
      </w:r>
      <w:r w:rsidRPr="001C218F">
        <w:rPr>
          <w:lang w:val="en-GB"/>
        </w:rPr>
        <w:t>1800, and GSM-R</w:t>
      </w:r>
      <w:r w:rsidR="000030FC" w:rsidRPr="001C218F">
        <w:rPr>
          <w:lang w:val="en-GB"/>
        </w:rPr>
        <w:t>)</w:t>
      </w:r>
    </w:p>
    <w:p w14:paraId="230F6CBC" w14:textId="1CC1CA4B" w:rsidR="00185211" w:rsidRPr="00523933" w:rsidRDefault="00185211" w:rsidP="00AE48BC">
      <w:pPr>
        <w:pStyle w:val="Reporttitledescription"/>
        <w:rPr>
          <w:lang w:val="en-GB"/>
        </w:rPr>
      </w:pPr>
      <w:r w:rsidRPr="00523933">
        <w:rPr>
          <w:lang w:val="en-GB"/>
        </w:rPr>
        <w:t>Replacing recommendations T/R 20-08</w:t>
      </w:r>
      <w:r w:rsidR="001D36A2">
        <w:rPr>
          <w:lang w:val="en-GB"/>
        </w:rPr>
        <w:t xml:space="preserve"> </w:t>
      </w:r>
      <w:r w:rsidR="001D36A2">
        <w:rPr>
          <w:lang w:val="en-GB"/>
        </w:rPr>
        <w:fldChar w:fldCharType="begin"/>
      </w:r>
      <w:r w:rsidR="001D36A2">
        <w:rPr>
          <w:lang w:val="en-GB"/>
        </w:rPr>
        <w:instrText xml:space="preserve"> REF _Ref462393346 \n \h </w:instrText>
      </w:r>
      <w:r w:rsidR="001D36A2">
        <w:rPr>
          <w:lang w:val="en-GB"/>
        </w:rPr>
      </w:r>
      <w:r w:rsidR="001D36A2">
        <w:rPr>
          <w:lang w:val="en-GB"/>
        </w:rPr>
        <w:fldChar w:fldCharType="separate"/>
      </w:r>
      <w:r w:rsidR="00DC780C">
        <w:rPr>
          <w:lang w:val="en-GB"/>
        </w:rPr>
        <w:t>[1]</w:t>
      </w:r>
      <w:r w:rsidR="001D36A2">
        <w:rPr>
          <w:lang w:val="en-GB"/>
        </w:rPr>
        <w:fldChar w:fldCharType="end"/>
      </w:r>
      <w:r w:rsidRPr="00523933">
        <w:rPr>
          <w:lang w:val="en-GB"/>
        </w:rPr>
        <w:t xml:space="preserve"> and 22-07</w:t>
      </w:r>
      <w:r w:rsidR="001D36A2">
        <w:rPr>
          <w:lang w:val="en-GB"/>
        </w:rPr>
        <w:t xml:space="preserve"> </w:t>
      </w:r>
      <w:r w:rsidR="001D36A2">
        <w:rPr>
          <w:lang w:val="en-GB"/>
        </w:rPr>
        <w:fldChar w:fldCharType="begin"/>
      </w:r>
      <w:r w:rsidR="001D36A2">
        <w:rPr>
          <w:lang w:val="en-GB"/>
        </w:rPr>
        <w:instrText xml:space="preserve"> REF _Ref462393354 \n \h </w:instrText>
      </w:r>
      <w:r w:rsidR="001D36A2">
        <w:rPr>
          <w:lang w:val="en-GB"/>
        </w:rPr>
      </w:r>
      <w:r w:rsidR="001D36A2">
        <w:rPr>
          <w:lang w:val="en-GB"/>
        </w:rPr>
        <w:fldChar w:fldCharType="separate"/>
      </w:r>
      <w:r w:rsidR="00DC780C">
        <w:rPr>
          <w:lang w:val="en-GB"/>
        </w:rPr>
        <w:t>[2]</w:t>
      </w:r>
      <w:r w:rsidR="001D36A2">
        <w:rPr>
          <w:lang w:val="en-GB"/>
        </w:rPr>
        <w:fldChar w:fldCharType="end"/>
      </w:r>
    </w:p>
    <w:p w14:paraId="21CB3B05" w14:textId="77777777" w:rsidR="00C74BE6" w:rsidRPr="00523933" w:rsidRDefault="00AE48BC" w:rsidP="00C74BE6">
      <w:pPr>
        <w:pStyle w:val="Reporttitledescription"/>
        <w:rPr>
          <w:b/>
          <w:sz w:val="18"/>
          <w:lang w:val="en-GB"/>
        </w:rPr>
      </w:pPr>
      <w:r w:rsidRPr="00523933">
        <w:rPr>
          <w:b/>
          <w:sz w:val="18"/>
          <w:lang w:val="en-GB"/>
        </w:rPr>
        <w:t>Approved 01 February 2006</w:t>
      </w:r>
    </w:p>
    <w:p w14:paraId="0CA3F6AD" w14:textId="5838F191" w:rsidR="00C74BE6" w:rsidRPr="00523933" w:rsidRDefault="00AE48BC" w:rsidP="00C74BE6">
      <w:pPr>
        <w:pStyle w:val="Lastupdated"/>
        <w:rPr>
          <w:b/>
          <w:lang w:val="en-GB"/>
        </w:rPr>
      </w:pPr>
      <w:r w:rsidRPr="009264A0">
        <w:rPr>
          <w:b/>
          <w:lang w:val="en-GB"/>
        </w:rPr>
        <w:t xml:space="preserve">Amended </w:t>
      </w:r>
      <w:r w:rsidR="00D01852">
        <w:rPr>
          <w:b/>
          <w:lang w:val="en-GB"/>
        </w:rPr>
        <w:t>0</w:t>
      </w:r>
      <w:r w:rsidR="003C3811">
        <w:rPr>
          <w:b/>
          <w:lang w:val="en-GB"/>
        </w:rPr>
        <w:t xml:space="preserve">3 </w:t>
      </w:r>
      <w:r w:rsidR="00D01852">
        <w:rPr>
          <w:b/>
          <w:lang w:val="en-GB"/>
        </w:rPr>
        <w:t>Februar</w:t>
      </w:r>
      <w:r w:rsidR="003C3811">
        <w:rPr>
          <w:b/>
          <w:lang w:val="en-GB"/>
        </w:rPr>
        <w:t>y</w:t>
      </w:r>
      <w:r w:rsidR="00E74A03" w:rsidRPr="009264A0">
        <w:rPr>
          <w:b/>
          <w:lang w:val="en-GB"/>
        </w:rPr>
        <w:t xml:space="preserve"> 201</w:t>
      </w:r>
      <w:r w:rsidR="009264A0" w:rsidRPr="009264A0">
        <w:rPr>
          <w:b/>
          <w:lang w:val="en-GB"/>
        </w:rPr>
        <w:t>7</w:t>
      </w:r>
    </w:p>
    <w:p w14:paraId="093B05BF" w14:textId="77777777" w:rsidR="00C74BE6" w:rsidRPr="00523933" w:rsidRDefault="00C74BE6">
      <w:pPr>
        <w:rPr>
          <w:lang w:val="en-GB"/>
        </w:rPr>
      </w:pPr>
    </w:p>
    <w:p w14:paraId="38581B06" w14:textId="77777777" w:rsidR="00203E66" w:rsidRPr="00523933" w:rsidRDefault="00203E66">
      <w:pPr>
        <w:rPr>
          <w:lang w:val="en-GB"/>
        </w:rPr>
        <w:sectPr w:rsidR="00203E66" w:rsidRPr="00523933">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27117638" w14:textId="77777777" w:rsidR="00C74BE6" w:rsidRPr="00523933" w:rsidRDefault="00523933" w:rsidP="00C74BE6">
      <w:pPr>
        <w:pStyle w:val="Heading1"/>
      </w:pPr>
      <w:r w:rsidRPr="00523933">
        <w:lastRenderedPageBreak/>
        <w:t>introduction</w:t>
      </w:r>
    </w:p>
    <w:p w14:paraId="31E49EFE" w14:textId="39887B68" w:rsidR="000030FC" w:rsidRPr="003B13B2" w:rsidRDefault="000030FC" w:rsidP="000030FC">
      <w:pPr>
        <w:pStyle w:val="ECCParagraph"/>
      </w:pPr>
      <w:r w:rsidRPr="003B13B2">
        <w:t>Recommendation T/R 20-08</w:t>
      </w:r>
      <w:r w:rsidR="001D36A2">
        <w:t xml:space="preserve"> </w:t>
      </w:r>
      <w:r w:rsidR="001D36A2">
        <w:fldChar w:fldCharType="begin"/>
      </w:r>
      <w:r w:rsidR="001D36A2">
        <w:instrText xml:space="preserve"> REF _Ref462393346 \n \h </w:instrText>
      </w:r>
      <w:r w:rsidR="001D36A2">
        <w:fldChar w:fldCharType="separate"/>
      </w:r>
      <w:r w:rsidR="00DC780C">
        <w:t>[1]</w:t>
      </w:r>
      <w:r w:rsidR="001D36A2">
        <w:fldChar w:fldCharType="end"/>
      </w:r>
      <w:r w:rsidRPr="003B13B2">
        <w:t xml:space="preserve"> and T/R 22-07</w:t>
      </w:r>
      <w:r w:rsidR="001D36A2">
        <w:t xml:space="preserve"> </w:t>
      </w:r>
      <w:r w:rsidR="001D36A2">
        <w:fldChar w:fldCharType="begin"/>
      </w:r>
      <w:r w:rsidR="001D36A2">
        <w:instrText xml:space="preserve"> REF _Ref462393354 \n \h </w:instrText>
      </w:r>
      <w:r w:rsidR="001D36A2">
        <w:fldChar w:fldCharType="separate"/>
      </w:r>
      <w:r w:rsidR="00DC780C">
        <w:t>[2]</w:t>
      </w:r>
      <w:r w:rsidR="001D36A2">
        <w:fldChar w:fldCharType="end"/>
      </w:r>
      <w:r w:rsidRPr="003B13B2">
        <w:t xml:space="preserve"> were combined and replaced with the first version of this Recomm</w:t>
      </w:r>
      <w:r w:rsidR="005B2748">
        <w:t>endation and it</w:t>
      </w:r>
      <w:r w:rsidRPr="003B13B2">
        <w:t xml:space="preserve"> contains provisions for planning and coordination of frequencies for GSM land mobile systems in the bands 900 MHz and 1800 MHz.</w:t>
      </w:r>
    </w:p>
    <w:p w14:paraId="2AB43B95" w14:textId="77777777" w:rsidR="000030FC" w:rsidRPr="003B13B2" w:rsidRDefault="000030FC" w:rsidP="000030FC">
      <w:pPr>
        <w:pStyle w:val="ECCParagraph"/>
      </w:pPr>
      <w:r w:rsidRPr="003B13B2">
        <w:t>It should be noted that this Recommendation does not cover land mobile systems other than GSM (for instance UMTS, LTE or WiMAX).</w:t>
      </w:r>
    </w:p>
    <w:p w14:paraId="5F5E9DA4" w14:textId="1D6F6839" w:rsidR="00C74BE6" w:rsidRPr="00523933" w:rsidRDefault="005E11DA" w:rsidP="00C74BE6">
      <w:pPr>
        <w:pStyle w:val="Heading1"/>
      </w:pPr>
      <w:r w:rsidRPr="00523933">
        <w:lastRenderedPageBreak/>
        <w:t>ECC recommendation</w:t>
      </w:r>
      <w:r w:rsidR="00835C5B" w:rsidRPr="00523933">
        <w:t xml:space="preserve"> </w:t>
      </w:r>
      <w:r w:rsidRPr="00523933">
        <w:t xml:space="preserve">(05)08 </w:t>
      </w:r>
      <w:r w:rsidR="00835C5B" w:rsidRPr="00523933">
        <w:t xml:space="preserve">on </w:t>
      </w:r>
      <w:r w:rsidR="00466D79" w:rsidRPr="00523933">
        <w:t xml:space="preserve">Frequency </w:t>
      </w:r>
      <w:r w:rsidR="00466D79" w:rsidRPr="001C218F">
        <w:t>planning and</w:t>
      </w:r>
      <w:r w:rsidR="00947B73" w:rsidRPr="001C218F">
        <w:t xml:space="preserve"> </w:t>
      </w:r>
      <w:r w:rsidR="00B54649" w:rsidRPr="001C218F">
        <w:t>cross-border</w:t>
      </w:r>
      <w:r w:rsidR="00466D79" w:rsidRPr="001C218F">
        <w:t xml:space="preserve"> coordination </w:t>
      </w:r>
      <w:r w:rsidR="005B2748" w:rsidRPr="001C218F">
        <w:t>between Gsm land mobile systems (</w:t>
      </w:r>
      <w:r w:rsidR="00466D79" w:rsidRPr="001C218F">
        <w:t>GSM 900, GSM 1800 and GSM-R</w:t>
      </w:r>
      <w:r w:rsidR="005B2748" w:rsidRPr="001C218F">
        <w:t>)</w:t>
      </w:r>
      <w:r w:rsidR="00757A26">
        <w:t xml:space="preserve"> amended 3 february 2017</w:t>
      </w:r>
    </w:p>
    <w:p w14:paraId="4BD2869A" w14:textId="77777777" w:rsidR="00C74BE6" w:rsidRPr="00523933" w:rsidRDefault="00835C5B" w:rsidP="00C74BE6">
      <w:pPr>
        <w:pStyle w:val="ECCParagraph"/>
      </w:pPr>
      <w:r w:rsidRPr="00523933">
        <w:t>“The European Conference of Postal and Telecommunications Administrations</w:t>
      </w:r>
      <w:r w:rsidR="00466D79" w:rsidRPr="00523933">
        <w:t>,</w:t>
      </w:r>
    </w:p>
    <w:p w14:paraId="66829C9B" w14:textId="77777777" w:rsidR="00C74BE6" w:rsidRPr="00523933" w:rsidRDefault="00466D79" w:rsidP="00C74BE6">
      <w:pPr>
        <w:pStyle w:val="ECCParagraph"/>
        <w:rPr>
          <w:i/>
          <w:color w:val="D2232A"/>
        </w:rPr>
      </w:pPr>
      <w:r w:rsidRPr="00523933">
        <w:rPr>
          <w:i/>
          <w:color w:val="D2232A"/>
        </w:rPr>
        <w:t>considering</w:t>
      </w:r>
    </w:p>
    <w:p w14:paraId="3BBEDE45" w14:textId="6A5A4E8F" w:rsidR="00466D79" w:rsidRPr="00523933" w:rsidRDefault="00466D79" w:rsidP="00523933">
      <w:pPr>
        <w:pStyle w:val="LetteredList"/>
        <w:ind w:left="357" w:hanging="357"/>
        <w:rPr>
          <w:lang w:val="en-GB"/>
        </w:rPr>
      </w:pPr>
      <w:r w:rsidRPr="00523933">
        <w:rPr>
          <w:lang w:val="en-GB"/>
        </w:rPr>
        <w:t xml:space="preserve">that the GSM </w:t>
      </w:r>
      <w:r w:rsidR="000030FC">
        <w:rPr>
          <w:lang w:val="en-GB"/>
        </w:rPr>
        <w:t xml:space="preserve">900 and 1800 MHz </w:t>
      </w:r>
      <w:r w:rsidR="000030FC" w:rsidRPr="00523933">
        <w:rPr>
          <w:lang w:val="en-GB"/>
        </w:rPr>
        <w:t>system</w:t>
      </w:r>
      <w:r w:rsidR="000030FC">
        <w:rPr>
          <w:lang w:val="en-GB"/>
        </w:rPr>
        <w:t>s</w:t>
      </w:r>
      <w:r w:rsidR="000030FC" w:rsidRPr="00523933">
        <w:rPr>
          <w:lang w:val="en-GB"/>
        </w:rPr>
        <w:t xml:space="preserve"> </w:t>
      </w:r>
      <w:r w:rsidRPr="00523933">
        <w:rPr>
          <w:lang w:val="en-GB"/>
        </w:rPr>
        <w:t xml:space="preserve">use the frequency bands </w:t>
      </w:r>
      <w:r w:rsidR="000030FC" w:rsidRPr="00523933">
        <w:rPr>
          <w:lang w:val="en-GB"/>
        </w:rPr>
        <w:t>8</w:t>
      </w:r>
      <w:r w:rsidR="000030FC">
        <w:rPr>
          <w:lang w:val="en-GB"/>
        </w:rPr>
        <w:t>8</w:t>
      </w:r>
      <w:r w:rsidR="000030FC" w:rsidRPr="00523933">
        <w:rPr>
          <w:lang w:val="en-GB"/>
        </w:rPr>
        <w:t>0</w:t>
      </w:r>
      <w:r w:rsidRPr="00523933">
        <w:rPr>
          <w:lang w:val="en-GB"/>
        </w:rPr>
        <w:t xml:space="preserve">-915 MHz / </w:t>
      </w:r>
      <w:r w:rsidR="000030FC" w:rsidRPr="00523933">
        <w:rPr>
          <w:lang w:val="en-GB"/>
        </w:rPr>
        <w:t>9</w:t>
      </w:r>
      <w:r w:rsidR="000030FC">
        <w:rPr>
          <w:lang w:val="en-GB"/>
        </w:rPr>
        <w:t>2</w:t>
      </w:r>
      <w:r w:rsidR="000030FC" w:rsidRPr="00523933">
        <w:rPr>
          <w:lang w:val="en-GB"/>
        </w:rPr>
        <w:t>5</w:t>
      </w:r>
      <w:r w:rsidRPr="00523933">
        <w:rPr>
          <w:lang w:val="en-GB"/>
        </w:rPr>
        <w:t xml:space="preserve">-960 MHz and 1710-1785 MHz / 1805-1880 MHz in accordance with relevant agreements, </w:t>
      </w:r>
      <w:r w:rsidR="000030FC">
        <w:rPr>
          <w:lang w:val="en-GB"/>
        </w:rPr>
        <w:t>D</w:t>
      </w:r>
      <w:r w:rsidR="000030FC" w:rsidRPr="00523933">
        <w:rPr>
          <w:lang w:val="en-GB"/>
        </w:rPr>
        <w:t xml:space="preserve">irectives </w:t>
      </w:r>
      <w:r w:rsidRPr="00523933">
        <w:rPr>
          <w:lang w:val="en-GB"/>
        </w:rPr>
        <w:t xml:space="preserve">and </w:t>
      </w:r>
      <w:r w:rsidR="000030FC">
        <w:rPr>
          <w:lang w:val="en-GB"/>
        </w:rPr>
        <w:t>ECC</w:t>
      </w:r>
      <w:r w:rsidR="00947B73">
        <w:rPr>
          <w:lang w:val="en-GB"/>
        </w:rPr>
        <w:t> </w:t>
      </w:r>
      <w:r w:rsidR="000030FC">
        <w:rPr>
          <w:lang w:val="en-GB"/>
        </w:rPr>
        <w:t xml:space="preserve">Decisions and </w:t>
      </w:r>
      <w:r w:rsidR="00916D4E">
        <w:rPr>
          <w:lang w:val="en-GB"/>
        </w:rPr>
        <w:t xml:space="preserve"> </w:t>
      </w:r>
      <w:r w:rsidR="000030FC">
        <w:rPr>
          <w:lang w:val="en-GB"/>
        </w:rPr>
        <w:t>R</w:t>
      </w:r>
      <w:r w:rsidR="000030FC" w:rsidRPr="00523933">
        <w:rPr>
          <w:lang w:val="en-GB"/>
        </w:rPr>
        <w:t>ecommendations</w:t>
      </w:r>
      <w:r w:rsidRPr="00523933">
        <w:rPr>
          <w:lang w:val="en-GB"/>
        </w:rPr>
        <w:t>,</w:t>
      </w:r>
      <w:r w:rsidR="000030FC" w:rsidRPr="000030FC">
        <w:rPr>
          <w:szCs w:val="20"/>
        </w:rPr>
        <w:t xml:space="preserve"> </w:t>
      </w:r>
      <w:r w:rsidR="000030FC">
        <w:rPr>
          <w:szCs w:val="20"/>
        </w:rPr>
        <w:t>such as ERC/DEC(94)01</w:t>
      </w:r>
      <w:r w:rsidR="001D36A2">
        <w:rPr>
          <w:szCs w:val="20"/>
        </w:rPr>
        <w:t xml:space="preserve"> </w:t>
      </w:r>
      <w:r w:rsidR="007D3FE0">
        <w:rPr>
          <w:szCs w:val="20"/>
        </w:rPr>
        <w:fldChar w:fldCharType="begin"/>
      </w:r>
      <w:r w:rsidR="007D3FE0">
        <w:rPr>
          <w:szCs w:val="20"/>
        </w:rPr>
        <w:instrText xml:space="preserve"> REF _Ref485716280 \r \h </w:instrText>
      </w:r>
      <w:r w:rsidR="007D3FE0">
        <w:rPr>
          <w:szCs w:val="20"/>
        </w:rPr>
      </w:r>
      <w:r w:rsidR="007D3FE0">
        <w:rPr>
          <w:szCs w:val="20"/>
        </w:rPr>
        <w:fldChar w:fldCharType="separate"/>
      </w:r>
      <w:r w:rsidR="007D3FE0">
        <w:rPr>
          <w:szCs w:val="20"/>
        </w:rPr>
        <w:t>[3]</w:t>
      </w:r>
      <w:r w:rsidR="007D3FE0">
        <w:rPr>
          <w:szCs w:val="20"/>
        </w:rPr>
        <w:fldChar w:fldCharType="end"/>
      </w:r>
      <w:r w:rsidR="000030FC">
        <w:rPr>
          <w:szCs w:val="20"/>
        </w:rPr>
        <w:t>, ERC/DEC(97)02</w:t>
      </w:r>
      <w:r w:rsidR="001D36A2">
        <w:rPr>
          <w:szCs w:val="20"/>
        </w:rPr>
        <w:t xml:space="preserve"> </w:t>
      </w:r>
      <w:r w:rsidR="007D3FE0">
        <w:rPr>
          <w:szCs w:val="20"/>
        </w:rPr>
        <w:fldChar w:fldCharType="begin"/>
      </w:r>
      <w:r w:rsidR="007D3FE0">
        <w:rPr>
          <w:szCs w:val="20"/>
        </w:rPr>
        <w:instrText xml:space="preserve"> REF _Ref485716310 \r \h </w:instrText>
      </w:r>
      <w:r w:rsidR="007D3FE0">
        <w:rPr>
          <w:szCs w:val="20"/>
        </w:rPr>
      </w:r>
      <w:r w:rsidR="007D3FE0">
        <w:rPr>
          <w:szCs w:val="20"/>
        </w:rPr>
        <w:fldChar w:fldCharType="separate"/>
      </w:r>
      <w:r w:rsidR="007D3FE0">
        <w:rPr>
          <w:szCs w:val="20"/>
        </w:rPr>
        <w:t>[4]</w:t>
      </w:r>
      <w:r w:rsidR="007D3FE0">
        <w:rPr>
          <w:szCs w:val="20"/>
        </w:rPr>
        <w:fldChar w:fldCharType="end"/>
      </w:r>
      <w:r w:rsidR="000030FC">
        <w:rPr>
          <w:szCs w:val="20"/>
        </w:rPr>
        <w:t>, ERC/DEC(95)03</w:t>
      </w:r>
      <w:r w:rsidR="007D3FE0">
        <w:rPr>
          <w:szCs w:val="20"/>
        </w:rPr>
        <w:t xml:space="preserve"> </w:t>
      </w:r>
      <w:r w:rsidR="007D3FE0">
        <w:rPr>
          <w:szCs w:val="20"/>
        </w:rPr>
        <w:fldChar w:fldCharType="begin"/>
      </w:r>
      <w:r w:rsidR="007D3FE0">
        <w:rPr>
          <w:szCs w:val="20"/>
        </w:rPr>
        <w:instrText xml:space="preserve"> REF _Ref485716331 \r \h </w:instrText>
      </w:r>
      <w:r w:rsidR="007D3FE0">
        <w:rPr>
          <w:szCs w:val="20"/>
        </w:rPr>
      </w:r>
      <w:r w:rsidR="007D3FE0">
        <w:rPr>
          <w:szCs w:val="20"/>
        </w:rPr>
        <w:fldChar w:fldCharType="separate"/>
      </w:r>
      <w:r w:rsidR="007D3FE0">
        <w:rPr>
          <w:szCs w:val="20"/>
        </w:rPr>
        <w:t>[5]</w:t>
      </w:r>
      <w:r w:rsidR="007D3FE0">
        <w:rPr>
          <w:szCs w:val="20"/>
        </w:rPr>
        <w:fldChar w:fldCharType="end"/>
      </w:r>
      <w:r w:rsidR="00592434">
        <w:rPr>
          <w:szCs w:val="20"/>
        </w:rPr>
        <w:t>;</w:t>
      </w:r>
    </w:p>
    <w:p w14:paraId="100F3E21" w14:textId="6AE8142C" w:rsidR="009E4D8A" w:rsidRPr="00E72713" w:rsidRDefault="009E4D8A">
      <w:pPr>
        <w:pStyle w:val="LetteredList"/>
        <w:ind w:left="357" w:hanging="357"/>
        <w:rPr>
          <w:lang w:val="en-GB"/>
        </w:rPr>
      </w:pPr>
      <w:r w:rsidRPr="00E72713">
        <w:rPr>
          <w:lang w:val="en-GB"/>
        </w:rPr>
        <w:t>that the GSM-R system uses the frequency bands 876-880 MHz / 921-925 MHz in accordance with ECC</w:t>
      </w:r>
      <w:r w:rsidR="003D2C7C" w:rsidRPr="00E72713">
        <w:rPr>
          <w:lang w:val="en-GB"/>
        </w:rPr>
        <w:t>/</w:t>
      </w:r>
      <w:r w:rsidRPr="00E72713">
        <w:rPr>
          <w:lang w:val="en-GB"/>
        </w:rPr>
        <w:t>D</w:t>
      </w:r>
      <w:r w:rsidR="003D2C7C" w:rsidRPr="00E72713">
        <w:rPr>
          <w:lang w:val="en-GB"/>
        </w:rPr>
        <w:t>EC</w:t>
      </w:r>
      <w:r w:rsidR="00CF14A2" w:rsidRPr="00E72713">
        <w:rPr>
          <w:lang w:val="en-GB"/>
        </w:rPr>
        <w:t>/</w:t>
      </w:r>
      <w:r w:rsidRPr="00E72713">
        <w:rPr>
          <w:lang w:val="en-GB"/>
        </w:rPr>
        <w:t>(02)05</w:t>
      </w:r>
      <w:r w:rsidR="007D3FE0">
        <w:rPr>
          <w:lang w:val="en-GB"/>
        </w:rPr>
        <w:t xml:space="preserve"> </w:t>
      </w:r>
      <w:r w:rsidR="007D3FE0">
        <w:rPr>
          <w:lang w:val="en-GB"/>
        </w:rPr>
        <w:fldChar w:fldCharType="begin"/>
      </w:r>
      <w:r w:rsidR="007D3FE0">
        <w:rPr>
          <w:lang w:val="en-GB"/>
        </w:rPr>
        <w:instrText xml:space="preserve"> REF _Ref485716342 \r \h </w:instrText>
      </w:r>
      <w:r w:rsidR="007D3FE0">
        <w:rPr>
          <w:lang w:val="en-GB"/>
        </w:rPr>
      </w:r>
      <w:r w:rsidR="007D3FE0">
        <w:rPr>
          <w:lang w:val="en-GB"/>
        </w:rPr>
        <w:fldChar w:fldCharType="separate"/>
      </w:r>
      <w:r w:rsidR="007D3FE0">
        <w:rPr>
          <w:lang w:val="en-GB"/>
        </w:rPr>
        <w:t>[6]</w:t>
      </w:r>
      <w:r w:rsidR="007D3FE0">
        <w:rPr>
          <w:lang w:val="en-GB"/>
        </w:rPr>
        <w:fldChar w:fldCharType="end"/>
      </w:r>
      <w:r w:rsidRPr="00E72713">
        <w:rPr>
          <w:lang w:val="en-GB"/>
        </w:rPr>
        <w:t xml:space="preserve">, the European  Rail Traffic Management  System (ERTMS) and the Directive 2008/57/EC </w:t>
      </w:r>
      <w:r w:rsidR="001D36A2" w:rsidRPr="005F30B4">
        <w:rPr>
          <w:lang w:val="en-GB"/>
        </w:rPr>
        <w:fldChar w:fldCharType="begin"/>
      </w:r>
      <w:r w:rsidR="001D36A2" w:rsidRPr="00E72713">
        <w:rPr>
          <w:lang w:val="en-GB"/>
        </w:rPr>
        <w:instrText xml:space="preserve"> REF _Ref462393453 \n \h </w:instrText>
      </w:r>
      <w:r w:rsidR="001D36A2" w:rsidRPr="005F30B4">
        <w:rPr>
          <w:lang w:val="en-GB"/>
        </w:rPr>
      </w:r>
      <w:r w:rsidR="001D36A2" w:rsidRPr="005F30B4">
        <w:rPr>
          <w:lang w:val="en-GB"/>
        </w:rPr>
        <w:fldChar w:fldCharType="separate"/>
      </w:r>
      <w:r w:rsidR="00DC780C">
        <w:rPr>
          <w:lang w:val="en-GB"/>
        </w:rPr>
        <w:t>[7]</w:t>
      </w:r>
      <w:r w:rsidR="001D36A2" w:rsidRPr="005F30B4">
        <w:rPr>
          <w:lang w:val="en-GB"/>
        </w:rPr>
        <w:fldChar w:fldCharType="end"/>
      </w:r>
      <w:r w:rsidRPr="00E72713">
        <w:rPr>
          <w:lang w:val="en-GB"/>
        </w:rPr>
        <w:t xml:space="preserve"> of the European Parliament and of the Council on the interoperability of the rail system within the Community, and Commission Regulation (EU) 2016/919</w:t>
      </w:r>
      <w:r w:rsidR="001D36A2" w:rsidRPr="00E72713">
        <w:rPr>
          <w:lang w:val="en-GB"/>
        </w:rPr>
        <w:t xml:space="preserve"> </w:t>
      </w:r>
      <w:r w:rsidR="001D36A2" w:rsidRPr="005F30B4">
        <w:rPr>
          <w:lang w:val="en-GB"/>
        </w:rPr>
        <w:fldChar w:fldCharType="begin"/>
      </w:r>
      <w:r w:rsidR="001D36A2" w:rsidRPr="00E72713">
        <w:rPr>
          <w:lang w:val="en-GB"/>
        </w:rPr>
        <w:instrText xml:space="preserve"> REF _Ref462393537 \n \h </w:instrText>
      </w:r>
      <w:r w:rsidR="001D36A2" w:rsidRPr="005F30B4">
        <w:rPr>
          <w:lang w:val="en-GB"/>
        </w:rPr>
      </w:r>
      <w:r w:rsidR="001D36A2" w:rsidRPr="005F30B4">
        <w:rPr>
          <w:lang w:val="en-GB"/>
        </w:rPr>
        <w:fldChar w:fldCharType="separate"/>
      </w:r>
      <w:r w:rsidR="00DC780C">
        <w:rPr>
          <w:lang w:val="en-GB"/>
        </w:rPr>
        <w:t>[8]</w:t>
      </w:r>
      <w:r w:rsidR="001D36A2" w:rsidRPr="005F30B4">
        <w:rPr>
          <w:lang w:val="en-GB"/>
        </w:rPr>
        <w:fldChar w:fldCharType="end"/>
      </w:r>
      <w:r w:rsidRPr="00E72713">
        <w:rPr>
          <w:lang w:val="en-GB"/>
        </w:rPr>
        <w:t xml:space="preserve"> on the technical specification for interoperability relating to the ‘control-command and signalling’ subsystems of the rail system in the European Union</w:t>
      </w:r>
      <w:r w:rsidR="00592434">
        <w:rPr>
          <w:lang w:val="en-GB"/>
        </w:rPr>
        <w:t>;</w:t>
      </w:r>
    </w:p>
    <w:p w14:paraId="33CF259F" w14:textId="526CD4B7" w:rsidR="009E4D8A" w:rsidRPr="009E4D8A" w:rsidRDefault="009E4D8A" w:rsidP="00280547">
      <w:pPr>
        <w:pStyle w:val="LetteredList"/>
        <w:ind w:left="357" w:hanging="357"/>
        <w:rPr>
          <w:lang w:val="en-GB"/>
        </w:rPr>
      </w:pPr>
      <w:r w:rsidRPr="009E4D8A">
        <w:rPr>
          <w:lang w:val="en-GB"/>
        </w:rPr>
        <w:t xml:space="preserve">that the bands 873.0-876.0 MHz / 918.0-921.0 MHz may be used on a national basis as extension bands for GSM-R </w:t>
      </w:r>
      <w:r w:rsidRPr="001C218F">
        <w:rPr>
          <w:lang w:val="en-GB"/>
        </w:rPr>
        <w:t xml:space="preserve">as </w:t>
      </w:r>
      <w:r w:rsidR="002F10BF" w:rsidRPr="001C218F">
        <w:rPr>
          <w:lang w:val="en-GB"/>
        </w:rPr>
        <w:t>considered</w:t>
      </w:r>
      <w:r w:rsidR="002F10BF">
        <w:rPr>
          <w:lang w:val="en-GB"/>
        </w:rPr>
        <w:t xml:space="preserve"> </w:t>
      </w:r>
      <w:r w:rsidRPr="009E4D8A">
        <w:rPr>
          <w:lang w:val="en-GB"/>
        </w:rPr>
        <w:t>in ECC</w:t>
      </w:r>
      <w:r w:rsidR="00CF14A2">
        <w:rPr>
          <w:lang w:val="en-GB"/>
        </w:rPr>
        <w:t>/</w:t>
      </w:r>
      <w:r w:rsidRPr="009E4D8A">
        <w:rPr>
          <w:lang w:val="en-GB"/>
        </w:rPr>
        <w:t>D</w:t>
      </w:r>
      <w:r w:rsidR="00CF14A2">
        <w:rPr>
          <w:lang w:val="en-GB"/>
        </w:rPr>
        <w:t>EC/</w:t>
      </w:r>
      <w:r w:rsidRPr="009E4D8A">
        <w:rPr>
          <w:lang w:val="en-GB"/>
        </w:rPr>
        <w:t>(04)06</w:t>
      </w:r>
      <w:r w:rsidR="000E4EF1">
        <w:rPr>
          <w:lang w:val="en-GB"/>
        </w:rPr>
        <w:t xml:space="preserve"> </w:t>
      </w:r>
      <w:r w:rsidR="007D3FE0">
        <w:rPr>
          <w:lang w:val="en-GB"/>
        </w:rPr>
        <w:fldChar w:fldCharType="begin"/>
      </w:r>
      <w:r w:rsidR="007D3FE0">
        <w:rPr>
          <w:lang w:val="en-GB"/>
        </w:rPr>
        <w:instrText xml:space="preserve"> REF _Ref485716379 \r \h </w:instrText>
      </w:r>
      <w:r w:rsidR="007D3FE0">
        <w:rPr>
          <w:lang w:val="en-GB"/>
        </w:rPr>
      </w:r>
      <w:r w:rsidR="007D3FE0">
        <w:rPr>
          <w:lang w:val="en-GB"/>
        </w:rPr>
        <w:fldChar w:fldCharType="separate"/>
      </w:r>
      <w:r w:rsidR="007D3FE0">
        <w:rPr>
          <w:lang w:val="en-GB"/>
        </w:rPr>
        <w:t>[9]</w:t>
      </w:r>
      <w:r w:rsidR="007D3FE0">
        <w:rPr>
          <w:lang w:val="en-GB"/>
        </w:rPr>
        <w:fldChar w:fldCharType="end"/>
      </w:r>
      <w:r w:rsidR="007D3FE0">
        <w:rPr>
          <w:lang w:val="en-GB"/>
        </w:rPr>
        <w:t xml:space="preserve"> </w:t>
      </w:r>
      <w:r w:rsidRPr="009E4D8A">
        <w:rPr>
          <w:lang w:val="en-GB"/>
        </w:rPr>
        <w:t>and ECC</w:t>
      </w:r>
      <w:r w:rsidR="00CF14A2">
        <w:rPr>
          <w:lang w:val="en-GB"/>
        </w:rPr>
        <w:t>/</w:t>
      </w:r>
      <w:r w:rsidRPr="009E4D8A">
        <w:rPr>
          <w:lang w:val="en-GB"/>
        </w:rPr>
        <w:t>D</w:t>
      </w:r>
      <w:r w:rsidR="00CF14A2">
        <w:rPr>
          <w:lang w:val="en-GB"/>
        </w:rPr>
        <w:t>EC/</w:t>
      </w:r>
      <w:r w:rsidRPr="009E4D8A">
        <w:rPr>
          <w:lang w:val="en-GB"/>
        </w:rPr>
        <w:t>(02)05, and administrations may use the guidance provided in this Recommendation when negotiating bilateral or multilateral agreements for the coordination between GSM-R systems</w:t>
      </w:r>
      <w:r w:rsidR="00592434">
        <w:rPr>
          <w:lang w:val="en-GB"/>
        </w:rPr>
        <w:t>;</w:t>
      </w:r>
    </w:p>
    <w:p w14:paraId="3B398513" w14:textId="70A08FA1" w:rsidR="009E4D8A" w:rsidRPr="00372B05" w:rsidRDefault="009E4D8A" w:rsidP="009E4D8A">
      <w:pPr>
        <w:pStyle w:val="LetteredList"/>
        <w:ind w:left="357" w:hanging="357"/>
        <w:rPr>
          <w:lang w:val="en-GB"/>
        </w:rPr>
      </w:pPr>
      <w:r w:rsidRPr="009E4D8A">
        <w:rPr>
          <w:lang w:val="en-GB"/>
        </w:rPr>
        <w:t>that the ECC Report 162</w:t>
      </w:r>
      <w:r w:rsidR="000E4EF1">
        <w:rPr>
          <w:lang w:val="en-GB"/>
        </w:rPr>
        <w:t xml:space="preserve"> </w:t>
      </w:r>
      <w:r w:rsidR="000E4EF1">
        <w:rPr>
          <w:lang w:val="en-GB"/>
        </w:rPr>
        <w:fldChar w:fldCharType="begin"/>
      </w:r>
      <w:r w:rsidR="000E4EF1">
        <w:rPr>
          <w:lang w:val="en-GB"/>
        </w:rPr>
        <w:instrText xml:space="preserve"> REF _Ref462394380 \n \h </w:instrText>
      </w:r>
      <w:r w:rsidR="000E4EF1">
        <w:rPr>
          <w:lang w:val="en-GB"/>
        </w:rPr>
      </w:r>
      <w:r w:rsidR="000E4EF1">
        <w:rPr>
          <w:lang w:val="en-GB"/>
        </w:rPr>
        <w:fldChar w:fldCharType="separate"/>
      </w:r>
      <w:r w:rsidR="00DC780C">
        <w:rPr>
          <w:lang w:val="en-GB"/>
        </w:rPr>
        <w:t>[10]</w:t>
      </w:r>
      <w:r w:rsidR="000E4EF1">
        <w:rPr>
          <w:lang w:val="en-GB"/>
        </w:rPr>
        <w:fldChar w:fldCharType="end"/>
      </w:r>
      <w:r w:rsidRPr="009E4D8A">
        <w:rPr>
          <w:lang w:val="en-GB"/>
        </w:rPr>
        <w:t xml:space="preserve"> and the ECC Report 229</w:t>
      </w:r>
      <w:r w:rsidR="000E4EF1">
        <w:rPr>
          <w:lang w:val="en-GB"/>
        </w:rPr>
        <w:t xml:space="preserve"> </w:t>
      </w:r>
      <w:r w:rsidR="000E4EF1">
        <w:rPr>
          <w:lang w:val="en-GB"/>
        </w:rPr>
        <w:fldChar w:fldCharType="begin"/>
      </w:r>
      <w:r w:rsidR="000E4EF1">
        <w:rPr>
          <w:lang w:val="en-GB"/>
        </w:rPr>
        <w:instrText xml:space="preserve"> REF _Ref462394391 \n \h </w:instrText>
      </w:r>
      <w:r w:rsidR="000E4EF1">
        <w:rPr>
          <w:lang w:val="en-GB"/>
        </w:rPr>
      </w:r>
      <w:r w:rsidR="000E4EF1">
        <w:rPr>
          <w:lang w:val="en-GB"/>
        </w:rPr>
        <w:fldChar w:fldCharType="separate"/>
      </w:r>
      <w:r w:rsidR="00DC780C">
        <w:rPr>
          <w:lang w:val="en-GB"/>
        </w:rPr>
        <w:t>[11]</w:t>
      </w:r>
      <w:r w:rsidR="000E4EF1">
        <w:rPr>
          <w:lang w:val="en-GB"/>
        </w:rPr>
        <w:fldChar w:fldCharType="end"/>
      </w:r>
      <w:r w:rsidRPr="009E4D8A">
        <w:rPr>
          <w:lang w:val="en-GB"/>
        </w:rPr>
        <w:t xml:space="preserve"> may be considered by administrations and/or  operators to address interference cases between GSM-R and public mobile networks on a local/regional/national basis, taking into accoun</w:t>
      </w:r>
      <w:r w:rsidRPr="00372B05">
        <w:rPr>
          <w:lang w:val="en-GB"/>
        </w:rPr>
        <w:t>t the operational aspects</w:t>
      </w:r>
      <w:r w:rsidR="00592434">
        <w:rPr>
          <w:lang w:val="en-GB"/>
        </w:rPr>
        <w:t>;</w:t>
      </w:r>
    </w:p>
    <w:p w14:paraId="5C2C9DDA" w14:textId="2115F559" w:rsidR="00E26F3B" w:rsidRPr="00280547" w:rsidRDefault="00E26F3B" w:rsidP="00523933">
      <w:pPr>
        <w:pStyle w:val="LetteredList"/>
        <w:ind w:left="357" w:hanging="357"/>
        <w:rPr>
          <w:lang w:val="en-GB"/>
        </w:rPr>
      </w:pPr>
      <w:r>
        <w:t>that GSM</w:t>
      </w:r>
      <w:r w:rsidRPr="00513DBC">
        <w:t xml:space="preserve"> equipment complies with the </w:t>
      </w:r>
      <w:r w:rsidRPr="00280547">
        <w:rPr>
          <w:lang w:val="en-GB"/>
        </w:rPr>
        <w:t xml:space="preserve">harmonised </w:t>
      </w:r>
      <w:r w:rsidRPr="00513DBC">
        <w:t>European standards EN 301 502</w:t>
      </w:r>
      <w:r w:rsidR="000E4EF1">
        <w:t xml:space="preserve"> </w:t>
      </w:r>
      <w:r w:rsidR="000E4EF1">
        <w:fldChar w:fldCharType="begin"/>
      </w:r>
      <w:r w:rsidR="000E4EF1">
        <w:instrText xml:space="preserve"> REF _Ref462394440 \n \h </w:instrText>
      </w:r>
      <w:r w:rsidR="000E4EF1">
        <w:fldChar w:fldCharType="separate"/>
      </w:r>
      <w:r w:rsidR="00DC780C">
        <w:t>[12]</w:t>
      </w:r>
      <w:r w:rsidR="000E4EF1">
        <w:fldChar w:fldCharType="end"/>
      </w:r>
      <w:r w:rsidRPr="00513DBC">
        <w:t xml:space="preserve"> (base stations) or EN 301 511</w:t>
      </w:r>
      <w:r w:rsidR="000E4EF1">
        <w:t xml:space="preserve"> </w:t>
      </w:r>
      <w:r w:rsidR="000E4EF1">
        <w:fldChar w:fldCharType="begin"/>
      </w:r>
      <w:r w:rsidR="000E4EF1">
        <w:instrText xml:space="preserve"> REF _Ref462394453 \n \h </w:instrText>
      </w:r>
      <w:r w:rsidR="000E4EF1">
        <w:fldChar w:fldCharType="separate"/>
      </w:r>
      <w:r w:rsidR="00DC780C">
        <w:t>[13]</w:t>
      </w:r>
      <w:r w:rsidR="000E4EF1">
        <w:fldChar w:fldCharType="end"/>
      </w:r>
      <w:r w:rsidRPr="00513DBC">
        <w:t xml:space="preserve"> (mobile stations)</w:t>
      </w:r>
      <w:r w:rsidR="00592434">
        <w:t>;</w:t>
      </w:r>
    </w:p>
    <w:p w14:paraId="2BA912D0" w14:textId="4F5FB2FA" w:rsidR="00372B05" w:rsidRPr="00280547" w:rsidRDefault="00372B05" w:rsidP="00372B05">
      <w:pPr>
        <w:pStyle w:val="LetteredList"/>
        <w:ind w:left="357" w:hanging="357"/>
        <w:rPr>
          <w:lang w:val="en-GB"/>
        </w:rPr>
      </w:pPr>
      <w:r w:rsidRPr="00280547">
        <w:t xml:space="preserve">that ETSI has developed and published TS  102 933-1 </w:t>
      </w:r>
      <w:r w:rsidR="000E4EF1" w:rsidRPr="00280547">
        <w:fldChar w:fldCharType="begin"/>
      </w:r>
      <w:r w:rsidR="000E4EF1" w:rsidRPr="00280547">
        <w:instrText xml:space="preserve"> REF _Ref462394467 \n \h </w:instrText>
      </w:r>
      <w:r w:rsidR="00280547">
        <w:instrText xml:space="preserve"> \* MERGEFORMAT </w:instrText>
      </w:r>
      <w:r w:rsidR="000E4EF1" w:rsidRPr="00280547">
        <w:fldChar w:fldCharType="separate"/>
      </w:r>
      <w:r w:rsidR="00DC780C">
        <w:t>[14]</w:t>
      </w:r>
      <w:r w:rsidR="000E4EF1" w:rsidRPr="00280547">
        <w:fldChar w:fldCharType="end"/>
      </w:r>
      <w:r w:rsidR="000E4EF1" w:rsidRPr="00280547">
        <w:t xml:space="preserve"> </w:t>
      </w:r>
      <w:r w:rsidRPr="00280547">
        <w:t xml:space="preserve">and TS 102 933-2 </w:t>
      </w:r>
      <w:r w:rsidR="000E4EF1" w:rsidRPr="00280547">
        <w:fldChar w:fldCharType="begin"/>
      </w:r>
      <w:r w:rsidR="000E4EF1" w:rsidRPr="00280547">
        <w:instrText xml:space="preserve"> REF _Ref462394480 \n \h </w:instrText>
      </w:r>
      <w:r w:rsidR="00280547">
        <w:instrText xml:space="preserve"> \* MERGEFORMAT </w:instrText>
      </w:r>
      <w:r w:rsidR="000E4EF1" w:rsidRPr="00280547">
        <w:fldChar w:fldCharType="separate"/>
      </w:r>
      <w:r w:rsidR="00DC780C">
        <w:t>[15]</w:t>
      </w:r>
      <w:r w:rsidR="000E4EF1" w:rsidRPr="00280547">
        <w:fldChar w:fldCharType="end"/>
      </w:r>
      <w:r w:rsidR="000E4EF1" w:rsidRPr="00280547">
        <w:t xml:space="preserve"> </w:t>
      </w:r>
      <w:r w:rsidRPr="00280547">
        <w:t>on improved GSM-R receiver parameters, mandatory for all new, upgraded, or renewed GSM-R equipment as per Commission Regulation (EU) 2016/919</w:t>
      </w:r>
      <w:r w:rsidR="00280547" w:rsidRPr="00280547">
        <w:t xml:space="preserve"> [19]</w:t>
      </w:r>
      <w:r w:rsidR="00592434">
        <w:t>;</w:t>
      </w:r>
    </w:p>
    <w:p w14:paraId="02FE2AB7" w14:textId="3DCDF50E" w:rsidR="00372B05" w:rsidRPr="00372B05" w:rsidRDefault="00372B05" w:rsidP="00372B05">
      <w:pPr>
        <w:pStyle w:val="LetteredList"/>
        <w:ind w:left="357" w:hanging="357"/>
        <w:rPr>
          <w:lang w:val="en-GB"/>
        </w:rPr>
      </w:pPr>
      <w:r w:rsidRPr="00372B05">
        <w:rPr>
          <w:lang w:val="en-GB"/>
        </w:rPr>
        <w:t>that GSM systems operate in 200 kHz channels</w:t>
      </w:r>
      <w:r w:rsidR="00592434">
        <w:rPr>
          <w:lang w:val="en-GB"/>
        </w:rPr>
        <w:t>;</w:t>
      </w:r>
    </w:p>
    <w:p w14:paraId="3278D093" w14:textId="620933B7" w:rsidR="00E26F3B" w:rsidRPr="00A80CDF" w:rsidRDefault="00466D79">
      <w:pPr>
        <w:pStyle w:val="LetteredList"/>
        <w:ind w:left="357" w:hanging="357"/>
        <w:rPr>
          <w:lang w:val="en-GB"/>
        </w:rPr>
      </w:pPr>
      <w:r w:rsidRPr="00A80CDF">
        <w:rPr>
          <w:lang w:val="en-GB"/>
        </w:rPr>
        <w:t xml:space="preserve">that in the implementation of the GSM and GSM-R systems it is necessary to take </w:t>
      </w:r>
      <w:r w:rsidR="00E26F3B" w:rsidRPr="00A80CDF">
        <w:rPr>
          <w:lang w:val="en-GB"/>
        </w:rPr>
        <w:t xml:space="preserve">into </w:t>
      </w:r>
      <w:r w:rsidRPr="00A80CDF">
        <w:rPr>
          <w:lang w:val="en-GB"/>
        </w:rPr>
        <w:t xml:space="preserve">account national policies for the use of </w:t>
      </w:r>
      <w:r w:rsidR="00592434">
        <w:rPr>
          <w:lang w:val="en-GB"/>
        </w:rPr>
        <w:t>the frequency bands in question;</w:t>
      </w:r>
    </w:p>
    <w:p w14:paraId="5FE66A0C" w14:textId="29EE8B0C" w:rsidR="00466D79" w:rsidRDefault="00466D79" w:rsidP="00523933">
      <w:pPr>
        <w:pStyle w:val="LetteredList"/>
        <w:ind w:left="357" w:hanging="357"/>
        <w:rPr>
          <w:lang w:val="en-GB"/>
        </w:rPr>
      </w:pPr>
      <w:r w:rsidRPr="00523933">
        <w:rPr>
          <w:lang w:val="en-GB"/>
        </w:rPr>
        <w:t>that national frequency planning for the GSM and GSM-R systems is carried out by the operators and approved by the national administrations or carried out by such administrations in</w:t>
      </w:r>
      <w:r w:rsidR="00592434">
        <w:rPr>
          <w:lang w:val="en-GB"/>
        </w:rPr>
        <w:t xml:space="preserve"> cooperation with the operators;</w:t>
      </w:r>
    </w:p>
    <w:p w14:paraId="257F359D" w14:textId="17100EFF" w:rsidR="000030FC" w:rsidRPr="000030FC" w:rsidRDefault="000030FC" w:rsidP="00523933">
      <w:pPr>
        <w:pStyle w:val="LetteredList"/>
        <w:ind w:left="357" w:hanging="357"/>
        <w:rPr>
          <w:lang w:val="en-GB"/>
        </w:rPr>
      </w:pPr>
      <w:r>
        <w:rPr>
          <w:szCs w:val="20"/>
        </w:rPr>
        <w:t>that the frequency bands 880-915 MHz</w:t>
      </w:r>
      <w:r w:rsidR="003C4A74">
        <w:rPr>
          <w:szCs w:val="20"/>
        </w:rPr>
        <w:t xml:space="preserve"> /</w:t>
      </w:r>
      <w:r>
        <w:rPr>
          <w:szCs w:val="20"/>
        </w:rPr>
        <w:t xml:space="preserve"> 925-960 MHz</w:t>
      </w:r>
      <w:r w:rsidR="003C4A74">
        <w:rPr>
          <w:szCs w:val="20"/>
        </w:rPr>
        <w:t xml:space="preserve"> and</w:t>
      </w:r>
      <w:r w:rsidR="00B54649">
        <w:rPr>
          <w:szCs w:val="20"/>
        </w:rPr>
        <w:t xml:space="preserve"> 1710-1785 MHz</w:t>
      </w:r>
      <w:r w:rsidR="003C4A74">
        <w:rPr>
          <w:szCs w:val="20"/>
        </w:rPr>
        <w:t xml:space="preserve"> /</w:t>
      </w:r>
      <w:r w:rsidR="00B54649">
        <w:rPr>
          <w:szCs w:val="20"/>
        </w:rPr>
        <w:t xml:space="preserve"> 1805-1880 MHz</w:t>
      </w:r>
      <w:r>
        <w:rPr>
          <w:szCs w:val="20"/>
        </w:rPr>
        <w:t xml:space="preserve"> can also be used for other land mobile systems (</w:t>
      </w:r>
      <w:r w:rsidRPr="008B21CF">
        <w:rPr>
          <w:szCs w:val="20"/>
        </w:rPr>
        <w:t>UMTS</w:t>
      </w:r>
      <w:r>
        <w:rPr>
          <w:szCs w:val="20"/>
        </w:rPr>
        <w:t xml:space="preserve">, LTE and </w:t>
      </w:r>
      <w:r w:rsidRPr="008B21CF">
        <w:rPr>
          <w:szCs w:val="20"/>
        </w:rPr>
        <w:t>WiMAX</w:t>
      </w:r>
      <w:r>
        <w:rPr>
          <w:szCs w:val="20"/>
        </w:rPr>
        <w:t>) than GSM according to ECC</w:t>
      </w:r>
      <w:r w:rsidR="000E4EF1">
        <w:rPr>
          <w:szCs w:val="20"/>
        </w:rPr>
        <w:t>/</w:t>
      </w:r>
      <w:r>
        <w:rPr>
          <w:szCs w:val="20"/>
        </w:rPr>
        <w:t>D</w:t>
      </w:r>
      <w:r w:rsidR="000E4EF1">
        <w:rPr>
          <w:szCs w:val="20"/>
        </w:rPr>
        <w:t>EC/</w:t>
      </w:r>
      <w:r>
        <w:rPr>
          <w:szCs w:val="20"/>
        </w:rPr>
        <w:t>(06)13</w:t>
      </w:r>
      <w:r w:rsidR="000E4EF1">
        <w:rPr>
          <w:szCs w:val="20"/>
        </w:rPr>
        <w:t xml:space="preserve"> </w:t>
      </w:r>
      <w:r w:rsidR="007D3FE0">
        <w:rPr>
          <w:szCs w:val="20"/>
        </w:rPr>
        <w:fldChar w:fldCharType="begin"/>
      </w:r>
      <w:r w:rsidR="007D3FE0">
        <w:rPr>
          <w:szCs w:val="20"/>
        </w:rPr>
        <w:instrText xml:space="preserve"> REF _Ref485716412 \r \h </w:instrText>
      </w:r>
      <w:r w:rsidR="007D3FE0">
        <w:rPr>
          <w:szCs w:val="20"/>
        </w:rPr>
      </w:r>
      <w:r w:rsidR="007D3FE0">
        <w:rPr>
          <w:szCs w:val="20"/>
        </w:rPr>
        <w:fldChar w:fldCharType="separate"/>
      </w:r>
      <w:r w:rsidR="007D3FE0">
        <w:rPr>
          <w:szCs w:val="20"/>
        </w:rPr>
        <w:t>[16]</w:t>
      </w:r>
      <w:r w:rsidR="007D3FE0">
        <w:rPr>
          <w:szCs w:val="20"/>
        </w:rPr>
        <w:fldChar w:fldCharType="end"/>
      </w:r>
      <w:r w:rsidR="00592434">
        <w:rPr>
          <w:szCs w:val="20"/>
        </w:rPr>
        <w:t>;</w:t>
      </w:r>
    </w:p>
    <w:p w14:paraId="1C38870D" w14:textId="1BD9F5C5" w:rsidR="000030FC" w:rsidRPr="002F10BF" w:rsidRDefault="000030FC" w:rsidP="00523933">
      <w:pPr>
        <w:pStyle w:val="LetteredList"/>
        <w:ind w:left="357" w:hanging="357"/>
        <w:rPr>
          <w:lang w:val="en-GB"/>
        </w:rPr>
      </w:pPr>
      <w:r w:rsidRPr="008B21CF">
        <w:rPr>
          <w:szCs w:val="20"/>
        </w:rPr>
        <w:t xml:space="preserve">that frequency planning and frequency coordination </w:t>
      </w:r>
      <w:r w:rsidR="00B54649">
        <w:rPr>
          <w:szCs w:val="20"/>
        </w:rPr>
        <w:t>for</w:t>
      </w:r>
      <w:r w:rsidRPr="008B21CF">
        <w:rPr>
          <w:szCs w:val="20"/>
        </w:rPr>
        <w:t xml:space="preserve"> GSM</w:t>
      </w:r>
      <w:r w:rsidR="00B54649">
        <w:rPr>
          <w:szCs w:val="20"/>
        </w:rPr>
        <w:t>/</w:t>
      </w:r>
      <w:r w:rsidRPr="008B21CF">
        <w:rPr>
          <w:szCs w:val="20"/>
        </w:rPr>
        <w:t>UMTS/LTE/WiMAX land mobile systems</w:t>
      </w:r>
      <w:r w:rsidR="003C4A74">
        <w:rPr>
          <w:szCs w:val="20"/>
        </w:rPr>
        <w:t xml:space="preserve"> operating within the 900 and 1800 MHz bands</w:t>
      </w:r>
      <w:r>
        <w:rPr>
          <w:szCs w:val="20"/>
        </w:rPr>
        <w:t xml:space="preserve"> should be based on</w:t>
      </w:r>
      <w:r w:rsidRPr="008B21CF">
        <w:rPr>
          <w:szCs w:val="20"/>
        </w:rPr>
        <w:t xml:space="preserve"> ECC</w:t>
      </w:r>
      <w:r w:rsidR="000E4EF1">
        <w:rPr>
          <w:szCs w:val="20"/>
        </w:rPr>
        <w:t>/</w:t>
      </w:r>
      <w:r w:rsidRPr="008B21CF">
        <w:rPr>
          <w:szCs w:val="20"/>
        </w:rPr>
        <w:t>R</w:t>
      </w:r>
      <w:r w:rsidR="000E4EF1">
        <w:rPr>
          <w:szCs w:val="20"/>
        </w:rPr>
        <w:t>EC/</w:t>
      </w:r>
      <w:r w:rsidRPr="008B21CF">
        <w:rPr>
          <w:szCs w:val="20"/>
        </w:rPr>
        <w:t>(08)</w:t>
      </w:r>
      <w:r>
        <w:rPr>
          <w:szCs w:val="20"/>
        </w:rPr>
        <w:t>02</w:t>
      </w:r>
      <w:r w:rsidR="000E4EF1">
        <w:rPr>
          <w:szCs w:val="20"/>
        </w:rPr>
        <w:t xml:space="preserve"> </w:t>
      </w:r>
      <w:r w:rsidR="000E4EF1">
        <w:rPr>
          <w:szCs w:val="20"/>
        </w:rPr>
        <w:fldChar w:fldCharType="begin"/>
      </w:r>
      <w:r w:rsidR="000E4EF1">
        <w:rPr>
          <w:szCs w:val="20"/>
        </w:rPr>
        <w:instrText xml:space="preserve"> REF _Ref462394739 \n \h </w:instrText>
      </w:r>
      <w:r w:rsidR="000E4EF1">
        <w:rPr>
          <w:szCs w:val="20"/>
        </w:rPr>
      </w:r>
      <w:r w:rsidR="000E4EF1">
        <w:rPr>
          <w:szCs w:val="20"/>
        </w:rPr>
        <w:fldChar w:fldCharType="separate"/>
      </w:r>
      <w:r w:rsidR="00DC780C">
        <w:rPr>
          <w:szCs w:val="20"/>
        </w:rPr>
        <w:t>[17]</w:t>
      </w:r>
      <w:r w:rsidR="000E4EF1">
        <w:rPr>
          <w:szCs w:val="20"/>
        </w:rPr>
        <w:fldChar w:fldCharType="end"/>
      </w:r>
      <w:r w:rsidR="00592434">
        <w:rPr>
          <w:szCs w:val="20"/>
        </w:rPr>
        <w:t>;</w:t>
      </w:r>
    </w:p>
    <w:p w14:paraId="213C1433" w14:textId="1A6239C7" w:rsidR="00A80CDF" w:rsidRPr="001C218F" w:rsidRDefault="00A80CDF" w:rsidP="00523933">
      <w:pPr>
        <w:pStyle w:val="LetteredList"/>
        <w:ind w:left="357" w:hanging="357"/>
        <w:rPr>
          <w:lang w:val="en-GB"/>
        </w:rPr>
      </w:pPr>
      <w:r w:rsidRPr="001C218F">
        <w:t>that to balance interference-free frequency usage and service coverage needs in border areas, coordination or bilateral agree</w:t>
      </w:r>
      <w:r w:rsidR="00592434">
        <w:t>ments are likely to be required;</w:t>
      </w:r>
    </w:p>
    <w:p w14:paraId="3FA1CE59" w14:textId="346195C1" w:rsidR="00466D79" w:rsidRPr="001C218F" w:rsidRDefault="00466D79" w:rsidP="00523933">
      <w:pPr>
        <w:pStyle w:val="LetteredList"/>
        <w:ind w:left="357" w:hanging="357"/>
        <w:rPr>
          <w:lang w:val="en-GB"/>
        </w:rPr>
      </w:pPr>
      <w:r w:rsidRPr="001C218F">
        <w:rPr>
          <w:lang w:val="en-GB"/>
        </w:rPr>
        <w:t xml:space="preserve">that frequency planning </w:t>
      </w:r>
      <w:r w:rsidR="003C4A74" w:rsidRPr="001C218F">
        <w:rPr>
          <w:lang w:val="en-GB"/>
        </w:rPr>
        <w:t xml:space="preserve">and cross-border coordination </w:t>
      </w:r>
      <w:r w:rsidR="000030FC" w:rsidRPr="001C218F">
        <w:rPr>
          <w:lang w:val="en-GB"/>
        </w:rPr>
        <w:t xml:space="preserve">should </w:t>
      </w:r>
      <w:r w:rsidRPr="001C218F">
        <w:rPr>
          <w:lang w:val="en-GB"/>
        </w:rPr>
        <w:t xml:space="preserve">be based on </w:t>
      </w:r>
      <w:r w:rsidR="003C4A74" w:rsidRPr="001C218F">
        <w:rPr>
          <w:lang w:val="en-GB"/>
        </w:rPr>
        <w:t xml:space="preserve">bi- or multilateral agreements </w:t>
      </w:r>
      <w:r w:rsidRPr="001C218F">
        <w:rPr>
          <w:lang w:val="en-GB"/>
        </w:rPr>
        <w:t xml:space="preserve">between national </w:t>
      </w:r>
      <w:r w:rsidR="00592434">
        <w:rPr>
          <w:lang w:val="en-GB"/>
        </w:rPr>
        <w:t>administrations;</w:t>
      </w:r>
    </w:p>
    <w:p w14:paraId="70A73C62" w14:textId="115F296A" w:rsidR="00466D79" w:rsidRPr="00523933" w:rsidRDefault="00466D79" w:rsidP="00523933">
      <w:pPr>
        <w:pStyle w:val="LetteredList"/>
        <w:ind w:left="357" w:hanging="357"/>
        <w:rPr>
          <w:lang w:val="en-GB"/>
        </w:rPr>
      </w:pPr>
      <w:r w:rsidRPr="00523933">
        <w:rPr>
          <w:lang w:val="en-GB"/>
        </w:rPr>
        <w:t xml:space="preserve">that agreements have successfully been concluded between some administrations concerning coordination of frequencies for the land mobile service, notably the “HCM </w:t>
      </w:r>
      <w:r w:rsidR="000A6CEB" w:rsidRPr="00513DBC">
        <w:t>(Harmonised Calculation Method)</w:t>
      </w:r>
      <w:r w:rsidR="000A6CEB">
        <w:t xml:space="preserve"> </w:t>
      </w:r>
      <w:r w:rsidRPr="00523933">
        <w:rPr>
          <w:lang w:val="en-GB"/>
        </w:rPr>
        <w:t>Agreement”</w:t>
      </w:r>
      <w:r w:rsidR="00871067" w:rsidRPr="00757A26">
        <w:rPr>
          <w:rStyle w:val="FootnoteReference"/>
          <w:color w:val="auto"/>
          <w:lang w:val="en-GB"/>
        </w:rPr>
        <w:footnoteReference w:id="1"/>
      </w:r>
      <w:r w:rsidRPr="00523933">
        <w:rPr>
          <w:lang w:val="en-GB"/>
        </w:rPr>
        <w:t xml:space="preserve"> which also contains details of propagation issu</w:t>
      </w:r>
      <w:r w:rsidR="00592434">
        <w:rPr>
          <w:lang w:val="en-GB"/>
        </w:rPr>
        <w:t>es and co-ordination procedures;</w:t>
      </w:r>
      <w:r w:rsidRPr="00523933">
        <w:rPr>
          <w:lang w:val="en-GB"/>
        </w:rPr>
        <w:t xml:space="preserve"> </w:t>
      </w:r>
    </w:p>
    <w:p w14:paraId="5AC46879" w14:textId="326667EA" w:rsidR="00466D79" w:rsidRPr="00523933" w:rsidRDefault="00466D79" w:rsidP="00523933">
      <w:pPr>
        <w:pStyle w:val="LetteredList"/>
        <w:ind w:left="357" w:hanging="357"/>
        <w:rPr>
          <w:lang w:val="en-GB"/>
        </w:rPr>
      </w:pPr>
      <w:r w:rsidRPr="00523933">
        <w:rPr>
          <w:lang w:val="en-GB"/>
        </w:rPr>
        <w:lastRenderedPageBreak/>
        <w:t xml:space="preserve">that in order to facilitate coordination and to avoid inefficient frequency usage in border areas, a large number of parameters (technical and operational) need to be </w:t>
      </w:r>
      <w:r w:rsidR="00BA1EA4">
        <w:rPr>
          <w:lang w:val="en-GB"/>
        </w:rPr>
        <w:t>exchanged</w:t>
      </w:r>
      <w:r w:rsidR="00592434">
        <w:rPr>
          <w:lang w:val="en-GB"/>
        </w:rPr>
        <w:t>;</w:t>
      </w:r>
    </w:p>
    <w:p w14:paraId="3BE8C0F3" w14:textId="1CB0B3DB" w:rsidR="00466D79" w:rsidRPr="00523933" w:rsidRDefault="00466D79" w:rsidP="00523933">
      <w:pPr>
        <w:pStyle w:val="LetteredList"/>
        <w:ind w:left="357" w:hanging="357"/>
        <w:rPr>
          <w:lang w:val="en-GB"/>
        </w:rPr>
      </w:pPr>
      <w:r w:rsidRPr="00523933">
        <w:rPr>
          <w:lang w:val="en-GB"/>
        </w:rPr>
        <w:t>that in the case of</w:t>
      </w:r>
      <w:r w:rsidR="00384977" w:rsidRPr="00523933">
        <w:rPr>
          <w:lang w:val="en-GB"/>
        </w:rPr>
        <w:t xml:space="preserve"> </w:t>
      </w:r>
      <w:r w:rsidRPr="00523933">
        <w:rPr>
          <w:lang w:val="en-GB"/>
        </w:rPr>
        <w:t>operator arrangements approved by national administrations it is possible to deviate from this Recommendation</w:t>
      </w:r>
      <w:r w:rsidR="00BA1EA4">
        <w:rPr>
          <w:lang w:val="en-GB"/>
        </w:rPr>
        <w:t xml:space="preserve"> and bi- or multilateral agreements</w:t>
      </w:r>
      <w:r w:rsidR="00592434">
        <w:rPr>
          <w:lang w:val="en-GB"/>
        </w:rPr>
        <w:t>;</w:t>
      </w:r>
    </w:p>
    <w:p w14:paraId="6B3EFFB1" w14:textId="1F015C29" w:rsidR="00466D79" w:rsidRPr="00523933" w:rsidRDefault="00466D79" w:rsidP="00523933">
      <w:pPr>
        <w:pStyle w:val="LetteredList"/>
        <w:ind w:left="357" w:hanging="357"/>
        <w:rPr>
          <w:lang w:val="en-GB"/>
        </w:rPr>
      </w:pPr>
      <w:r w:rsidRPr="00523933">
        <w:rPr>
          <w:lang w:val="en-GB"/>
        </w:rPr>
        <w:t>that in many CEPT member countries there are multip</w:t>
      </w:r>
      <w:r w:rsidR="00592434">
        <w:rPr>
          <w:lang w:val="en-GB"/>
        </w:rPr>
        <w:t>le operators for the GSM system;</w:t>
      </w:r>
    </w:p>
    <w:p w14:paraId="6AE42C33" w14:textId="75735526" w:rsidR="00466D79" w:rsidRDefault="00466D79" w:rsidP="00523933">
      <w:pPr>
        <w:pStyle w:val="LetteredList"/>
        <w:ind w:left="357" w:hanging="357"/>
        <w:rPr>
          <w:lang w:val="en-GB"/>
        </w:rPr>
      </w:pPr>
      <w:r w:rsidRPr="00523933">
        <w:rPr>
          <w:lang w:val="en-GB"/>
        </w:rPr>
        <w:t xml:space="preserve">that </w:t>
      </w:r>
      <w:r w:rsidR="00BA1EA4">
        <w:rPr>
          <w:lang w:val="en-GB"/>
        </w:rPr>
        <w:t>cross-border</w:t>
      </w:r>
      <w:r w:rsidR="00BA1EA4" w:rsidRPr="00523933">
        <w:rPr>
          <w:lang w:val="en-GB"/>
        </w:rPr>
        <w:t xml:space="preserve"> </w:t>
      </w:r>
      <w:r w:rsidRPr="00523933">
        <w:rPr>
          <w:lang w:val="en-GB"/>
        </w:rPr>
        <w:t xml:space="preserve">coordination </w:t>
      </w:r>
      <w:r w:rsidR="000030FC">
        <w:rPr>
          <w:szCs w:val="20"/>
        </w:rPr>
        <w:t xml:space="preserve">between a GSM system and </w:t>
      </w:r>
      <w:r w:rsidR="003D6994">
        <w:rPr>
          <w:szCs w:val="20"/>
        </w:rPr>
        <w:t xml:space="preserve">land mobile </w:t>
      </w:r>
      <w:r w:rsidR="00BA1EA4">
        <w:rPr>
          <w:szCs w:val="20"/>
        </w:rPr>
        <w:t>systems other than UMTS/LTE/WiMAX</w:t>
      </w:r>
      <w:r w:rsidR="000030FC">
        <w:rPr>
          <w:szCs w:val="20"/>
        </w:rPr>
        <w:t xml:space="preserve"> should be based on bi- or multilateral agreement, taking account of compatibility studies,</w:t>
      </w:r>
      <w:r w:rsidRPr="00523933">
        <w:rPr>
          <w:lang w:val="en-GB"/>
        </w:rPr>
        <w:t xml:space="preserve"> interservice sharing</w:t>
      </w:r>
      <w:r w:rsidR="000030FC">
        <w:rPr>
          <w:lang w:val="en-GB"/>
        </w:rPr>
        <w:t xml:space="preserve"> and other relevant deliverables</w:t>
      </w:r>
      <w:r w:rsidRPr="00523933">
        <w:rPr>
          <w:lang w:val="en-GB"/>
        </w:rPr>
        <w:t xml:space="preserve"> in accord</w:t>
      </w:r>
      <w:r w:rsidR="00592434">
        <w:rPr>
          <w:lang w:val="en-GB"/>
        </w:rPr>
        <w:t>ance with the Radio Regulations;</w:t>
      </w:r>
    </w:p>
    <w:p w14:paraId="71746661" w14:textId="77777777" w:rsidR="00EF0813" w:rsidRPr="00523933" w:rsidRDefault="00EF0813" w:rsidP="00EF0813">
      <w:pPr>
        <w:pStyle w:val="LetteredList"/>
        <w:numPr>
          <w:ilvl w:val="0"/>
          <w:numId w:val="0"/>
        </w:numPr>
        <w:spacing w:after="0"/>
        <w:ind w:left="357"/>
        <w:rPr>
          <w:lang w:val="en-GB"/>
        </w:rPr>
      </w:pPr>
    </w:p>
    <w:p w14:paraId="4E8086F4" w14:textId="77777777" w:rsidR="00D37EE3" w:rsidRPr="00523933" w:rsidRDefault="00835C5B" w:rsidP="00D37EE3">
      <w:pPr>
        <w:pStyle w:val="ECCParagraph"/>
        <w:rPr>
          <w:i/>
          <w:color w:val="D2232A"/>
        </w:rPr>
      </w:pPr>
      <w:r w:rsidRPr="00523933">
        <w:rPr>
          <w:i/>
          <w:color w:val="D2232A"/>
        </w:rPr>
        <w:t>recommends</w:t>
      </w:r>
      <w:r w:rsidR="00D37EE3" w:rsidRPr="00523933">
        <w:rPr>
          <w:i/>
          <w:color w:val="D2232A"/>
        </w:rPr>
        <w:t xml:space="preserve"> </w:t>
      </w:r>
    </w:p>
    <w:p w14:paraId="4B8B8458" w14:textId="46F327D5" w:rsidR="00A4709B" w:rsidRPr="000C44D3" w:rsidRDefault="000C44D3" w:rsidP="002063AA">
      <w:pPr>
        <w:pStyle w:val="ListParagraph"/>
        <w:numPr>
          <w:ilvl w:val="0"/>
          <w:numId w:val="9"/>
        </w:numPr>
        <w:spacing w:after="240"/>
        <w:ind w:left="357" w:hanging="357"/>
      </w:pPr>
      <w:r w:rsidRPr="000C44D3">
        <w:rPr>
          <w:lang w:val="en-GB"/>
        </w:rPr>
        <w:t>that frequency co-ordination between GSM systems (GSM900, GSM1800 and GSM-R)</w:t>
      </w:r>
      <w:r>
        <w:rPr>
          <w:lang w:val="en-GB"/>
        </w:rPr>
        <w:t xml:space="preserve"> </w:t>
      </w:r>
      <w:r w:rsidRPr="000C44D3">
        <w:rPr>
          <w:lang w:val="en-GB"/>
        </w:rPr>
        <w:t>in neighbouring countries shall be based</w:t>
      </w:r>
      <w:r w:rsidR="00592434">
        <w:rPr>
          <w:lang w:val="en-GB"/>
        </w:rPr>
        <w:t xml:space="preserve"> on bi/multi-lateral agreements;</w:t>
      </w:r>
    </w:p>
    <w:p w14:paraId="33C6242B" w14:textId="6FF83546" w:rsidR="00466D79" w:rsidRDefault="00466D79" w:rsidP="004F6729">
      <w:pPr>
        <w:pStyle w:val="ECCParagraph"/>
        <w:numPr>
          <w:ilvl w:val="0"/>
          <w:numId w:val="9"/>
        </w:numPr>
        <w:ind w:left="357" w:hanging="357"/>
      </w:pPr>
      <w:r w:rsidRPr="00523933">
        <w:t>that frequency co-ordination between GSM systems</w:t>
      </w:r>
      <w:r w:rsidR="00384977" w:rsidRPr="00523933">
        <w:t xml:space="preserve"> </w:t>
      </w:r>
      <w:r w:rsidRPr="00523933">
        <w:t>in border areas shall be based on the concept of preferential frequencies</w:t>
      </w:r>
      <w:r w:rsidR="00104A0A">
        <w:t xml:space="preserve"> and common threshold levels</w:t>
      </w:r>
      <w:r w:rsidR="00592434">
        <w:t>;</w:t>
      </w:r>
    </w:p>
    <w:p w14:paraId="5366642E" w14:textId="09D98EC0" w:rsidR="00104A0A" w:rsidRPr="000A6CEB" w:rsidRDefault="00104A0A" w:rsidP="004F6729">
      <w:pPr>
        <w:pStyle w:val="ECCParagraph"/>
        <w:numPr>
          <w:ilvl w:val="0"/>
          <w:numId w:val="9"/>
        </w:numPr>
        <w:ind w:left="357" w:hanging="357"/>
      </w:pPr>
      <w:r w:rsidRPr="00280547">
        <w:t>that each new frequency assignment exceeding the defined coordination threshold level must be coordinated with frequencies already assigned in the same geographical area for use by the stations of ne</w:t>
      </w:r>
      <w:r w:rsidR="00592434">
        <w:t>ighbouring administration(s);</w:t>
      </w:r>
    </w:p>
    <w:p w14:paraId="100DADA3" w14:textId="77777777" w:rsidR="00466D79" w:rsidRPr="00523933" w:rsidRDefault="00466D79" w:rsidP="004F6729">
      <w:pPr>
        <w:pStyle w:val="ECCParagraph"/>
        <w:numPr>
          <w:ilvl w:val="0"/>
          <w:numId w:val="9"/>
        </w:numPr>
        <w:ind w:left="357" w:hanging="357"/>
      </w:pPr>
      <w:r w:rsidRPr="00523933">
        <w:t>that frequency coordination in border areas is based on the following concept:</w:t>
      </w:r>
    </w:p>
    <w:p w14:paraId="77CB05AD" w14:textId="71321812" w:rsidR="00466D79" w:rsidRPr="00523933" w:rsidRDefault="00466D79" w:rsidP="00A4262D">
      <w:pPr>
        <w:pStyle w:val="ECCParagraph"/>
        <w:numPr>
          <w:ilvl w:val="1"/>
          <w:numId w:val="9"/>
        </w:numPr>
      </w:pPr>
      <w:r w:rsidRPr="00523933">
        <w:t>In the case of a preferential frequency agreement</w:t>
      </w:r>
      <w:r w:rsidR="00592434">
        <w:t>.</w:t>
      </w:r>
    </w:p>
    <w:p w14:paraId="42A5B848" w14:textId="02B909E6" w:rsidR="00E103FC" w:rsidRPr="00523933" w:rsidRDefault="00466D79" w:rsidP="002063AA">
      <w:pPr>
        <w:pStyle w:val="ECCParagraph"/>
        <w:numPr>
          <w:ilvl w:val="2"/>
          <w:numId w:val="9"/>
        </w:numPr>
        <w:spacing w:after="120"/>
      </w:pPr>
      <w:r w:rsidRPr="00523933">
        <w:t>Preferential frequencies, except adjacent block-end preferential frequencies, may be used without coordination if the field strength of each carrier produced by the base station does not exceed a value of 19 dB</w:t>
      </w:r>
      <w:r w:rsidR="00384977" w:rsidRPr="00523933">
        <w:t>µ</w:t>
      </w:r>
      <w:r w:rsidRPr="00523933">
        <w:t>V/m</w:t>
      </w:r>
      <w:r w:rsidR="000030FC">
        <w:t>/200 kHz</w:t>
      </w:r>
      <w:r w:rsidRPr="00523933">
        <w:t xml:space="preserve"> in the 900 MHz band and 25 dBµV/m</w:t>
      </w:r>
      <w:r w:rsidR="000030FC">
        <w:t>/200 kHz</w:t>
      </w:r>
      <w:r w:rsidRPr="00523933">
        <w:t xml:space="preserve"> in the 1800 MHz band for digital systems at a height of 3 m above ground at a distance of 15 km </w:t>
      </w:r>
      <w:r w:rsidR="00592434">
        <w:t>inside the neighbouring country.</w:t>
      </w:r>
    </w:p>
    <w:p w14:paraId="6A9B7480" w14:textId="7C951260" w:rsidR="00466D79" w:rsidRPr="00523933" w:rsidRDefault="00466D79" w:rsidP="00E103FC">
      <w:pPr>
        <w:pStyle w:val="ECCParagraph"/>
        <w:ind w:left="720"/>
      </w:pPr>
      <w:r w:rsidRPr="00523933">
        <w:t>When blocks of preferential frequencies are allocated to different countries in border areas</w:t>
      </w:r>
      <w:r w:rsidR="00EB5FF3">
        <w:t>,</w:t>
      </w:r>
      <w:r w:rsidRPr="00523933">
        <w:t xml:space="preserve"> all adjacent block-end channels shall be treated in such a way</w:t>
      </w:r>
      <w:r w:rsidR="00EB5FF3">
        <w:t>,</w:t>
      </w:r>
      <w:r w:rsidRPr="00523933">
        <w:t xml:space="preserve"> that adjacent channel interference </w:t>
      </w:r>
      <w:r w:rsidR="001B7A07">
        <w:t xml:space="preserve">should </w:t>
      </w:r>
      <w:r w:rsidRPr="001B7A07">
        <w:t>be a</w:t>
      </w:r>
      <w:r w:rsidRPr="00523933">
        <w:t>voided by either forwarding the characteristics of base stations using block-end channels or regulating the use of the block-end channels in bi/multi-lateral agreements.</w:t>
      </w:r>
    </w:p>
    <w:p w14:paraId="68D1443D" w14:textId="77777777" w:rsidR="00466D79" w:rsidRPr="00523933" w:rsidRDefault="00466D79" w:rsidP="00A4262D">
      <w:pPr>
        <w:pStyle w:val="ECCParagraph"/>
        <w:numPr>
          <w:ilvl w:val="2"/>
          <w:numId w:val="9"/>
        </w:numPr>
      </w:pPr>
      <w:r w:rsidRPr="00523933">
        <w:t xml:space="preserve">Non-preferential frequencies may be used without coordination if the </w:t>
      </w:r>
      <w:r w:rsidR="00384977" w:rsidRPr="00523933">
        <w:t xml:space="preserve">field strength of each carrier </w:t>
      </w:r>
      <w:r w:rsidRPr="00523933">
        <w:t>produced by the base station does not exceed a value of 19</w:t>
      </w:r>
      <w:r w:rsidR="00523933">
        <w:t> </w:t>
      </w:r>
      <w:r w:rsidRPr="00523933">
        <w:t>dB</w:t>
      </w:r>
      <w:r w:rsidR="00384977" w:rsidRPr="00523933">
        <w:t>µ</w:t>
      </w:r>
      <w:r w:rsidRPr="00523933">
        <w:t>V/m</w:t>
      </w:r>
      <w:r w:rsidR="000030FC">
        <w:t>/200 kHz</w:t>
      </w:r>
      <w:r w:rsidRPr="00523933">
        <w:t xml:space="preserve"> in the 900 MHz band and 25</w:t>
      </w:r>
      <w:r w:rsidR="00523933">
        <w:t> </w:t>
      </w:r>
      <w:r w:rsidRPr="00523933">
        <w:t>dBµV/m</w:t>
      </w:r>
      <w:r w:rsidR="000030FC">
        <w:t>/200 kHz</w:t>
      </w:r>
      <w:r w:rsidRPr="00523933">
        <w:t xml:space="preserve"> in the 1800 MHz band for digital and analogue systems at a height of 3 m above ground at the borderline.</w:t>
      </w:r>
    </w:p>
    <w:p w14:paraId="3F33CE06" w14:textId="73DFE13B" w:rsidR="00466D79" w:rsidRPr="00523933" w:rsidRDefault="00466D79" w:rsidP="00A4262D">
      <w:pPr>
        <w:pStyle w:val="ECCParagraph"/>
        <w:numPr>
          <w:ilvl w:val="2"/>
          <w:numId w:val="9"/>
        </w:numPr>
      </w:pPr>
      <w:r w:rsidRPr="00523933">
        <w:t xml:space="preserve">Frequencies on which the field strength exceeds the limits laid down in </w:t>
      </w:r>
      <w:r w:rsidR="00A95EDB">
        <w:t>4</w:t>
      </w:r>
      <w:r w:rsidRPr="00523933">
        <w:t xml:space="preserve">.1.1 and </w:t>
      </w:r>
      <w:r w:rsidR="00A95EDB">
        <w:t>4</w:t>
      </w:r>
      <w:r w:rsidRPr="00523933">
        <w:t>.1.2 shall be co-ordinated.</w:t>
      </w:r>
    </w:p>
    <w:p w14:paraId="41738B4E" w14:textId="77777777" w:rsidR="00466D79" w:rsidRPr="00523933" w:rsidRDefault="00466D79" w:rsidP="002063AA">
      <w:pPr>
        <w:pStyle w:val="ECCParagraph"/>
        <w:numPr>
          <w:ilvl w:val="1"/>
          <w:numId w:val="9"/>
        </w:numPr>
        <w:spacing w:after="120"/>
        <w:ind w:left="357" w:hanging="357"/>
      </w:pPr>
      <w:r w:rsidRPr="00523933">
        <w:t>In the case where a preferential frequency agreement is not available:</w:t>
      </w:r>
    </w:p>
    <w:p w14:paraId="08B401FC" w14:textId="77777777" w:rsidR="00466D79" w:rsidRPr="001C218F" w:rsidRDefault="00466D79" w:rsidP="00E103FC">
      <w:pPr>
        <w:pStyle w:val="ECCParagraph"/>
        <w:ind w:left="357"/>
      </w:pPr>
      <w:r w:rsidRPr="00523933">
        <w:t xml:space="preserve">All </w:t>
      </w:r>
      <w:r w:rsidRPr="001C218F">
        <w:t>frequencies shall be treated as non-preferential ones.</w:t>
      </w:r>
    </w:p>
    <w:p w14:paraId="7CBCE16E" w14:textId="5A43E7A8" w:rsidR="00466D79" w:rsidRPr="001C218F" w:rsidRDefault="00466D79" w:rsidP="00A4262D">
      <w:pPr>
        <w:pStyle w:val="ECCParagraph"/>
        <w:numPr>
          <w:ilvl w:val="1"/>
          <w:numId w:val="9"/>
        </w:numPr>
      </w:pPr>
      <w:r w:rsidRPr="001C218F">
        <w:t>Frequency planning in coastal areas is based on the concept of preferential frequencies and coordinated frequencies</w:t>
      </w:r>
      <w:r w:rsidR="00A95EDB" w:rsidRPr="001C218F">
        <w:t>,</w:t>
      </w:r>
      <w:r w:rsidRPr="001C218F">
        <w:t xml:space="preserve"> assuming a middle line between the countries involved. Other principles for frequency planning and frequency coordination in coastal areas may be agreed between the administrations concerned.</w:t>
      </w:r>
    </w:p>
    <w:p w14:paraId="752144B3" w14:textId="77777777" w:rsidR="00466D79" w:rsidRPr="001C218F" w:rsidRDefault="00466D79" w:rsidP="00A4262D">
      <w:pPr>
        <w:pStyle w:val="ECCParagraph"/>
        <w:numPr>
          <w:ilvl w:val="1"/>
          <w:numId w:val="9"/>
        </w:numPr>
      </w:pPr>
      <w:r w:rsidRPr="001C218F">
        <w:t xml:space="preserve">Propagation criteria for calculating the interfering field strength are described in </w:t>
      </w:r>
      <w:r w:rsidRPr="001C218F">
        <w:rPr>
          <w:b/>
        </w:rPr>
        <w:t>Annex 1</w:t>
      </w:r>
      <w:r w:rsidRPr="001C218F">
        <w:t>.</w:t>
      </w:r>
    </w:p>
    <w:p w14:paraId="18557E17" w14:textId="77777777" w:rsidR="00466D79" w:rsidRPr="001C218F" w:rsidRDefault="00466D79" w:rsidP="00A4262D">
      <w:pPr>
        <w:pStyle w:val="ECCParagraph"/>
        <w:numPr>
          <w:ilvl w:val="1"/>
          <w:numId w:val="9"/>
        </w:numPr>
      </w:pPr>
      <w:r w:rsidRPr="001C218F">
        <w:t xml:space="preserve">For adding multiple interferers the simplified algorithm described in </w:t>
      </w:r>
      <w:r w:rsidRPr="001C218F">
        <w:rPr>
          <w:b/>
        </w:rPr>
        <w:t>Annex 2</w:t>
      </w:r>
      <w:r w:rsidRPr="001C218F">
        <w:t xml:space="preserve"> can be used.</w:t>
      </w:r>
    </w:p>
    <w:p w14:paraId="22D303F6" w14:textId="4FA72835" w:rsidR="00466D79" w:rsidRPr="001C218F" w:rsidRDefault="001614F7" w:rsidP="00A4262D">
      <w:pPr>
        <w:pStyle w:val="ECCParagraph"/>
        <w:numPr>
          <w:ilvl w:val="1"/>
          <w:numId w:val="9"/>
        </w:numPr>
      </w:pPr>
      <w:r w:rsidRPr="001C218F">
        <w:t>T</w:t>
      </w:r>
      <w:r w:rsidR="00466D79" w:rsidRPr="001C218F">
        <w:t xml:space="preserve">he technical parameters described in </w:t>
      </w:r>
      <w:r w:rsidR="00466D79" w:rsidRPr="001C218F">
        <w:rPr>
          <w:b/>
        </w:rPr>
        <w:t>Annex 3</w:t>
      </w:r>
      <w:r w:rsidR="00466D79" w:rsidRPr="001C218F">
        <w:t xml:space="preserve"> are used in the frequency coordination for GSM system</w:t>
      </w:r>
      <w:r w:rsidR="000C44D3" w:rsidRPr="001C218F">
        <w:t>s</w:t>
      </w:r>
      <w:r w:rsidR="00466D79" w:rsidRPr="001C218F">
        <w:t>.</w:t>
      </w:r>
    </w:p>
    <w:p w14:paraId="4F16200D" w14:textId="0D4324FD" w:rsidR="00466D79" w:rsidRPr="001C218F" w:rsidRDefault="001614F7" w:rsidP="00A4262D">
      <w:pPr>
        <w:pStyle w:val="ECCParagraph"/>
        <w:numPr>
          <w:ilvl w:val="0"/>
          <w:numId w:val="9"/>
        </w:numPr>
        <w:ind w:left="357" w:hanging="357"/>
      </w:pPr>
      <w:r w:rsidRPr="001C218F">
        <w:lastRenderedPageBreak/>
        <w:t xml:space="preserve">that </w:t>
      </w:r>
      <w:r w:rsidR="00466D79" w:rsidRPr="001C218F">
        <w:t xml:space="preserve">frequency coordination </w:t>
      </w:r>
      <w:r w:rsidR="002E4CA0" w:rsidRPr="001C218F">
        <w:t>is subject to operators’ agreement.</w:t>
      </w:r>
    </w:p>
    <w:p w14:paraId="4DE99523" w14:textId="63EEAE63" w:rsidR="00466D79" w:rsidRPr="001C218F" w:rsidRDefault="00466D79" w:rsidP="002063AA">
      <w:pPr>
        <w:pStyle w:val="ECCParagraph"/>
        <w:numPr>
          <w:ilvl w:val="1"/>
          <w:numId w:val="9"/>
        </w:numPr>
        <w:spacing w:after="120"/>
        <w:ind w:left="357" w:hanging="357"/>
      </w:pPr>
      <w:r w:rsidRPr="001C218F">
        <w:t xml:space="preserve">When requesting coordination, at least the following characteristics of base stations shall be forwarded to the </w:t>
      </w:r>
      <w:r w:rsidR="006C0F62" w:rsidRPr="001C218F">
        <w:t>a</w:t>
      </w:r>
      <w:r w:rsidRPr="001C218F">
        <w:t xml:space="preserve">dministration(s) affected unless otherwise laid down in bi/multi-lateral agreements: </w:t>
      </w:r>
    </w:p>
    <w:p w14:paraId="6A94CF4A" w14:textId="29D2571D" w:rsidR="00466D79" w:rsidRPr="001C218F" w:rsidRDefault="00466D79" w:rsidP="00A4262D">
      <w:pPr>
        <w:pStyle w:val="LetteredList"/>
        <w:numPr>
          <w:ilvl w:val="0"/>
          <w:numId w:val="11"/>
        </w:numPr>
        <w:ind w:left="709"/>
        <w:rPr>
          <w:lang w:val="en-GB"/>
        </w:rPr>
      </w:pPr>
      <w:r w:rsidRPr="001C218F">
        <w:rPr>
          <w:lang w:val="en-GB"/>
        </w:rPr>
        <w:t>carrier frequency (MHz)</w:t>
      </w:r>
      <w:r w:rsidR="00592434">
        <w:rPr>
          <w:lang w:val="en-GB"/>
        </w:rPr>
        <w:t>;</w:t>
      </w:r>
    </w:p>
    <w:p w14:paraId="0203C9C1" w14:textId="7B741613" w:rsidR="00466D79" w:rsidRPr="00523933" w:rsidRDefault="00592434" w:rsidP="00523933">
      <w:pPr>
        <w:pStyle w:val="LetteredList"/>
        <w:numPr>
          <w:ilvl w:val="0"/>
          <w:numId w:val="11"/>
        </w:numPr>
        <w:ind w:left="709"/>
        <w:rPr>
          <w:lang w:val="en-GB"/>
        </w:rPr>
      </w:pPr>
      <w:r>
        <w:rPr>
          <w:lang w:val="en-GB"/>
        </w:rPr>
        <w:t>name of transmitter station;</w:t>
      </w:r>
    </w:p>
    <w:p w14:paraId="00566E38" w14:textId="2F7FCB58" w:rsidR="00466D79" w:rsidRPr="00523933" w:rsidRDefault="00466D79" w:rsidP="00523933">
      <w:pPr>
        <w:pStyle w:val="LetteredList"/>
        <w:numPr>
          <w:ilvl w:val="0"/>
          <w:numId w:val="11"/>
        </w:numPr>
        <w:ind w:left="709"/>
        <w:rPr>
          <w:lang w:val="en-GB"/>
        </w:rPr>
      </w:pPr>
      <w:r w:rsidRPr="00523933">
        <w:rPr>
          <w:lang w:val="en-GB"/>
        </w:rPr>
        <w:t>country of location of transmitter station</w:t>
      </w:r>
      <w:r w:rsidR="00592434">
        <w:rPr>
          <w:lang w:val="en-GB"/>
        </w:rPr>
        <w:t>;</w:t>
      </w:r>
    </w:p>
    <w:p w14:paraId="5291A326" w14:textId="54A8C3B6" w:rsidR="00466D79" w:rsidRPr="00523933" w:rsidRDefault="00466D79" w:rsidP="00523933">
      <w:pPr>
        <w:pStyle w:val="LetteredList"/>
        <w:numPr>
          <w:ilvl w:val="0"/>
          <w:numId w:val="11"/>
        </w:numPr>
        <w:ind w:left="709"/>
        <w:rPr>
          <w:lang w:val="en-GB"/>
        </w:rPr>
      </w:pPr>
      <w:r w:rsidRPr="00523933">
        <w:rPr>
          <w:lang w:val="en-GB"/>
        </w:rPr>
        <w:t>geographical coordinates (W/E, N)</w:t>
      </w:r>
      <w:r w:rsidR="00592434">
        <w:rPr>
          <w:lang w:val="en-GB"/>
        </w:rPr>
        <w:t>;</w:t>
      </w:r>
    </w:p>
    <w:p w14:paraId="26B5B6D1" w14:textId="696907AA" w:rsidR="00466D79" w:rsidRPr="00523933" w:rsidRDefault="00466D79" w:rsidP="00523933">
      <w:pPr>
        <w:pStyle w:val="LetteredList"/>
        <w:numPr>
          <w:ilvl w:val="0"/>
          <w:numId w:val="11"/>
        </w:numPr>
        <w:ind w:left="709"/>
        <w:rPr>
          <w:lang w:val="en-GB"/>
        </w:rPr>
      </w:pPr>
      <w:r w:rsidRPr="00523933">
        <w:rPr>
          <w:lang w:val="en-GB"/>
        </w:rPr>
        <w:t>effective antenna height (m)</w:t>
      </w:r>
      <w:r w:rsidR="00592434">
        <w:rPr>
          <w:lang w:val="en-GB"/>
        </w:rPr>
        <w:t>;</w:t>
      </w:r>
    </w:p>
    <w:p w14:paraId="5A7745DB" w14:textId="7D57E9D5" w:rsidR="00466D79" w:rsidRPr="00523933" w:rsidRDefault="00466D79" w:rsidP="00523933">
      <w:pPr>
        <w:pStyle w:val="LetteredList"/>
        <w:numPr>
          <w:ilvl w:val="0"/>
          <w:numId w:val="11"/>
        </w:numPr>
        <w:ind w:left="709"/>
        <w:rPr>
          <w:lang w:val="en-GB"/>
        </w:rPr>
      </w:pPr>
      <w:r w:rsidRPr="00523933">
        <w:rPr>
          <w:lang w:val="en-GB"/>
        </w:rPr>
        <w:t>antenna polarisation</w:t>
      </w:r>
      <w:r w:rsidR="00592434">
        <w:rPr>
          <w:lang w:val="en-GB"/>
        </w:rPr>
        <w:t>;</w:t>
      </w:r>
    </w:p>
    <w:p w14:paraId="51C29133" w14:textId="30B291DB" w:rsidR="00466D79" w:rsidRPr="00523933" w:rsidRDefault="00466D79" w:rsidP="00523933">
      <w:pPr>
        <w:pStyle w:val="LetteredList"/>
        <w:numPr>
          <w:ilvl w:val="0"/>
          <w:numId w:val="11"/>
        </w:numPr>
        <w:ind w:left="709"/>
        <w:rPr>
          <w:lang w:val="en-GB"/>
        </w:rPr>
      </w:pPr>
      <w:r w:rsidRPr="00523933">
        <w:rPr>
          <w:lang w:val="en-GB"/>
        </w:rPr>
        <w:t>antenna azimuth (deg)</w:t>
      </w:r>
      <w:r w:rsidR="00592434">
        <w:rPr>
          <w:lang w:val="en-GB"/>
        </w:rPr>
        <w:t>;</w:t>
      </w:r>
    </w:p>
    <w:p w14:paraId="0608392C" w14:textId="4D92539A" w:rsidR="00466D79" w:rsidRPr="00523933" w:rsidRDefault="00466D79" w:rsidP="00523933">
      <w:pPr>
        <w:pStyle w:val="LetteredList"/>
        <w:numPr>
          <w:ilvl w:val="0"/>
          <w:numId w:val="11"/>
        </w:numPr>
        <w:ind w:left="709"/>
        <w:rPr>
          <w:lang w:val="en-GB"/>
        </w:rPr>
      </w:pPr>
      <w:r w:rsidRPr="00523933">
        <w:rPr>
          <w:lang w:val="en-GB"/>
        </w:rPr>
        <w:t>directivity in antenna systems or antenna gain (dBi)</w:t>
      </w:r>
      <w:r w:rsidR="00592434">
        <w:rPr>
          <w:lang w:val="en-GB"/>
        </w:rPr>
        <w:t>;</w:t>
      </w:r>
    </w:p>
    <w:p w14:paraId="24311C04" w14:textId="019E1B02" w:rsidR="00466D79" w:rsidRPr="00523933" w:rsidRDefault="00466D79" w:rsidP="00523933">
      <w:pPr>
        <w:pStyle w:val="LetteredList"/>
        <w:numPr>
          <w:ilvl w:val="0"/>
          <w:numId w:val="11"/>
        </w:numPr>
        <w:ind w:left="709"/>
        <w:rPr>
          <w:lang w:val="en-GB"/>
        </w:rPr>
      </w:pPr>
      <w:r w:rsidRPr="00523933">
        <w:rPr>
          <w:lang w:val="en-GB"/>
        </w:rPr>
        <w:t>effective radiated power (dBW)</w:t>
      </w:r>
      <w:r w:rsidR="00592434">
        <w:rPr>
          <w:lang w:val="en-GB"/>
        </w:rPr>
        <w:t>;</w:t>
      </w:r>
    </w:p>
    <w:p w14:paraId="79D86500" w14:textId="297EC9F6" w:rsidR="00466D79" w:rsidRPr="00523933" w:rsidRDefault="00466D79" w:rsidP="00523933">
      <w:pPr>
        <w:pStyle w:val="LetteredList"/>
        <w:numPr>
          <w:ilvl w:val="0"/>
          <w:numId w:val="11"/>
        </w:numPr>
        <w:ind w:left="709"/>
        <w:rPr>
          <w:lang w:val="en-GB"/>
        </w:rPr>
      </w:pPr>
      <w:r w:rsidRPr="00523933">
        <w:rPr>
          <w:lang w:val="en-GB"/>
        </w:rPr>
        <w:t>expected coverage zone or radius (km)</w:t>
      </w:r>
      <w:r w:rsidR="00592434">
        <w:rPr>
          <w:lang w:val="en-GB"/>
        </w:rPr>
        <w:t>;</w:t>
      </w:r>
    </w:p>
    <w:p w14:paraId="1672F8FE" w14:textId="77777777" w:rsidR="00466D79" w:rsidRDefault="00466D79" w:rsidP="00523933">
      <w:pPr>
        <w:pStyle w:val="LetteredList"/>
        <w:numPr>
          <w:ilvl w:val="0"/>
          <w:numId w:val="11"/>
        </w:numPr>
        <w:ind w:left="709"/>
        <w:rPr>
          <w:lang w:val="en-GB"/>
        </w:rPr>
      </w:pPr>
      <w:r w:rsidRPr="00523933">
        <w:rPr>
          <w:lang w:val="en-GB"/>
        </w:rPr>
        <w:t>date of entry into service (month, year).</w:t>
      </w:r>
    </w:p>
    <w:p w14:paraId="03DAE8A7" w14:textId="77777777" w:rsidR="00757A26" w:rsidRPr="00523933" w:rsidRDefault="00757A26" w:rsidP="002063AA">
      <w:pPr>
        <w:pStyle w:val="LetteredList"/>
        <w:numPr>
          <w:ilvl w:val="0"/>
          <w:numId w:val="0"/>
        </w:numPr>
        <w:spacing w:after="0"/>
        <w:ind w:left="349"/>
        <w:rPr>
          <w:lang w:val="en-GB"/>
        </w:rPr>
      </w:pPr>
    </w:p>
    <w:p w14:paraId="7F34EE40" w14:textId="12105EFB" w:rsidR="00466D79" w:rsidRPr="00523933" w:rsidRDefault="00466D79" w:rsidP="00A4262D">
      <w:pPr>
        <w:pStyle w:val="ECCParagraph"/>
        <w:numPr>
          <w:ilvl w:val="1"/>
          <w:numId w:val="9"/>
        </w:numPr>
      </w:pPr>
      <w:r w:rsidRPr="00523933">
        <w:t xml:space="preserve">The </w:t>
      </w:r>
      <w:r w:rsidR="006C0F62">
        <w:t>a</w:t>
      </w:r>
      <w:r w:rsidRPr="00523933">
        <w:t xml:space="preserve">dministration affected shall evaluate the request for coordination and shall within 30 days notify the result of the evaluation to the </w:t>
      </w:r>
      <w:r w:rsidR="006C0F62">
        <w:t>a</w:t>
      </w:r>
      <w:r w:rsidRPr="00523933">
        <w:t>dministration requesting coordination.</w:t>
      </w:r>
    </w:p>
    <w:p w14:paraId="770BFFA0" w14:textId="1918826D" w:rsidR="00466D79" w:rsidRPr="00523933" w:rsidRDefault="00466D79" w:rsidP="00A4262D">
      <w:pPr>
        <w:pStyle w:val="ECCParagraph"/>
        <w:numPr>
          <w:ilvl w:val="1"/>
          <w:numId w:val="9"/>
        </w:numPr>
      </w:pPr>
      <w:r w:rsidRPr="00523933">
        <w:t xml:space="preserve">The </w:t>
      </w:r>
      <w:r w:rsidR="006C0F62">
        <w:t>a</w:t>
      </w:r>
      <w:r w:rsidRPr="00523933">
        <w:t>dministration affected may request additional information on stations to be co-ordinated.</w:t>
      </w:r>
    </w:p>
    <w:p w14:paraId="18599360" w14:textId="2F73C4BD" w:rsidR="00466D79" w:rsidRPr="00523933" w:rsidRDefault="00466D79" w:rsidP="00A4262D">
      <w:pPr>
        <w:pStyle w:val="ECCParagraph"/>
        <w:numPr>
          <w:ilvl w:val="1"/>
          <w:numId w:val="9"/>
        </w:numPr>
      </w:pPr>
      <w:r w:rsidRPr="00523933">
        <w:t xml:space="preserve">If no reply is received by the </w:t>
      </w:r>
      <w:r w:rsidR="006C0F62">
        <w:t>a</w:t>
      </w:r>
      <w:r w:rsidRPr="00523933">
        <w:t xml:space="preserve">dministration requesting coordination within 30 days it may send a reminder to the </w:t>
      </w:r>
      <w:r w:rsidR="006C0F62">
        <w:t>a</w:t>
      </w:r>
      <w:r w:rsidRPr="00523933">
        <w:t xml:space="preserve">dministration affected. An </w:t>
      </w:r>
      <w:r w:rsidR="006C0F62">
        <w:t>a</w:t>
      </w:r>
      <w:r w:rsidRPr="00523933">
        <w:t>dministration not having responded within 30 days following communication of the reminder shall be deemed to have given its consent and the frequency may be put into use with the characteristics given in the request for coordination.</w:t>
      </w:r>
    </w:p>
    <w:p w14:paraId="6A100953" w14:textId="77777777" w:rsidR="00466D79" w:rsidRPr="00523933" w:rsidRDefault="00466D79" w:rsidP="00A4262D">
      <w:pPr>
        <w:pStyle w:val="ECCParagraph"/>
        <w:numPr>
          <w:ilvl w:val="1"/>
          <w:numId w:val="9"/>
        </w:numPr>
      </w:pPr>
      <w:r w:rsidRPr="00523933">
        <w:t>The periods mentioned above may be extended by common consent.</w:t>
      </w:r>
    </w:p>
    <w:p w14:paraId="033FE171" w14:textId="0345EAF9" w:rsidR="00C74BE6" w:rsidRDefault="006C0F62">
      <w:pPr>
        <w:pStyle w:val="ECCParagraph"/>
        <w:numPr>
          <w:ilvl w:val="0"/>
          <w:numId w:val="9"/>
        </w:numPr>
        <w:ind w:left="357" w:hanging="357"/>
      </w:pPr>
      <w:r>
        <w:t>t</w:t>
      </w:r>
      <w:r w:rsidR="00466D79" w:rsidRPr="00523933">
        <w:t xml:space="preserve">hat in general, </w:t>
      </w:r>
      <w:r>
        <w:t>a</w:t>
      </w:r>
      <w:r w:rsidR="00466D79" w:rsidRPr="00523933">
        <w:t>dministrations may diverge from the technical parameters, calculation method and procedures described in this Recommendation subject to bi/multi-lateral agreements, for</w:t>
      </w:r>
      <w:r w:rsidR="00E103FC" w:rsidRPr="00523933">
        <w:t xml:space="preserve"> example HCM </w:t>
      </w:r>
      <w:r w:rsidR="000C44D3" w:rsidRPr="000C44D3">
        <w:t>(Harmonised Calculation Method)</w:t>
      </w:r>
      <w:r w:rsidR="000C44D3">
        <w:t xml:space="preserve"> </w:t>
      </w:r>
      <w:r w:rsidR="00E103FC" w:rsidRPr="00523933">
        <w:t>Agreement</w:t>
      </w:r>
      <w:r w:rsidR="00E103FC" w:rsidRPr="000E4EF1">
        <w:rPr>
          <w:rStyle w:val="FootnoteReference"/>
          <w:color w:val="auto"/>
        </w:rPr>
        <w:footnoteReference w:id="2"/>
      </w:r>
      <w:r w:rsidR="00E103FC" w:rsidRPr="000E4EF1">
        <w:t>.</w:t>
      </w:r>
      <w:r w:rsidR="00523933">
        <w:t>”</w:t>
      </w:r>
    </w:p>
    <w:p w14:paraId="70410F32" w14:textId="16AC506D" w:rsidR="00A2604A" w:rsidRPr="00523933" w:rsidRDefault="00A2604A" w:rsidP="00A2604A">
      <w:pPr>
        <w:rPr>
          <w:lang w:val="en-GB"/>
        </w:rPr>
      </w:pPr>
    </w:p>
    <w:p w14:paraId="0AF0F770" w14:textId="77777777" w:rsidR="00C74BE6" w:rsidRPr="00523933" w:rsidRDefault="00D72352" w:rsidP="00C74BE6">
      <w:pPr>
        <w:pStyle w:val="ECCAnnex-heading1"/>
      </w:pPr>
      <w:r>
        <w:lastRenderedPageBreak/>
        <w:t>prop</w:t>
      </w:r>
      <w:r w:rsidR="009956F7">
        <w:t>a</w:t>
      </w:r>
      <w:r>
        <w:t>gation curves</w:t>
      </w:r>
    </w:p>
    <w:p w14:paraId="59514A58" w14:textId="77777777" w:rsidR="00695971" w:rsidRPr="00523933" w:rsidRDefault="00695971" w:rsidP="000E4EF1">
      <w:pPr>
        <w:jc w:val="both"/>
        <w:rPr>
          <w:lang w:val="en-GB"/>
        </w:rPr>
      </w:pPr>
      <w:r w:rsidRPr="00523933">
        <w:rPr>
          <w:lang w:val="en-GB"/>
        </w:rPr>
        <w:t>The curves attached to this Annex should be used to determine the interfering field strength. Administrations may agree on other curves</w:t>
      </w:r>
      <w:r w:rsidR="0001623E">
        <w:rPr>
          <w:lang w:val="en-GB"/>
        </w:rPr>
        <w:t xml:space="preserve"> and methods</w:t>
      </w:r>
      <w:r w:rsidR="00D72352" w:rsidRPr="000E4EF1">
        <w:rPr>
          <w:rStyle w:val="FootnoteReference"/>
          <w:color w:val="auto"/>
          <w:lang w:val="en-GB"/>
        </w:rPr>
        <w:footnoteReference w:id="3"/>
      </w:r>
      <w:r w:rsidRPr="000E4EF1">
        <w:rPr>
          <w:lang w:val="en-GB"/>
        </w:rPr>
        <w:t>.</w:t>
      </w:r>
    </w:p>
    <w:p w14:paraId="1E9DF6D3" w14:textId="2E23F71F" w:rsidR="00E74A03" w:rsidRDefault="00695971" w:rsidP="00D72352">
      <w:pPr>
        <w:pStyle w:val="ECCAnnexheading2"/>
        <w:rPr>
          <w:lang w:val="en-GB"/>
        </w:rPr>
      </w:pPr>
      <w:r w:rsidRPr="00523933">
        <w:rPr>
          <w:lang w:val="en-GB"/>
        </w:rPr>
        <w:t>Correction factors for GSM 900 and GSM-R</w:t>
      </w:r>
    </w:p>
    <w:p w14:paraId="2D12C2DD" w14:textId="77777777" w:rsidR="00695971" w:rsidRDefault="00695971" w:rsidP="00695971">
      <w:pPr>
        <w:rPr>
          <w:lang w:val="en-GB"/>
        </w:rPr>
      </w:pPr>
      <w:r w:rsidRPr="00523933">
        <w:rPr>
          <w:lang w:val="en-GB"/>
        </w:rPr>
        <w:t xml:space="preserve">A general correction factor of </w:t>
      </w:r>
      <w:r w:rsidR="00E81363">
        <w:rPr>
          <w:lang w:val="en-GB"/>
        </w:rPr>
        <w:t>-</w:t>
      </w:r>
      <w:r w:rsidRPr="00523933">
        <w:rPr>
          <w:lang w:val="en-GB"/>
        </w:rPr>
        <w:t>2 dB is used in the 900 MHz band.</w:t>
      </w:r>
    </w:p>
    <w:p w14:paraId="22F5522F" w14:textId="77777777" w:rsidR="0076771F" w:rsidRPr="00523933" w:rsidRDefault="0076771F" w:rsidP="00695971">
      <w:pPr>
        <w:rPr>
          <w:lang w:val="en-GB"/>
        </w:rPr>
      </w:pPr>
    </w:p>
    <w:p w14:paraId="43CA5354" w14:textId="77777777" w:rsidR="00695971" w:rsidRPr="00523933" w:rsidRDefault="00695971" w:rsidP="00695971">
      <w:pPr>
        <w:rPr>
          <w:lang w:val="en-GB"/>
        </w:rPr>
      </w:pPr>
      <w:r w:rsidRPr="00523933">
        <w:rPr>
          <w:lang w:val="en-GB"/>
        </w:rPr>
        <w:t>Correction factor to convert receiving antenna heights from 10 m to 3 m:</w:t>
      </w:r>
    </w:p>
    <w:p w14:paraId="43EB9C73" w14:textId="77777777" w:rsidR="00695971" w:rsidRPr="00523933" w:rsidRDefault="00695971" w:rsidP="00384977">
      <w:pPr>
        <w:tabs>
          <w:tab w:val="right" w:pos="2268"/>
        </w:tabs>
        <w:rPr>
          <w:lang w:val="en-GB"/>
        </w:rPr>
      </w:pPr>
      <w:r w:rsidRPr="00523933">
        <w:rPr>
          <w:lang w:val="en-GB"/>
        </w:rPr>
        <w:t>Distance &lt; 50 km:</w:t>
      </w:r>
      <w:r w:rsidR="00384977" w:rsidRPr="00523933">
        <w:rPr>
          <w:lang w:val="en-GB"/>
        </w:rPr>
        <w:tab/>
      </w:r>
      <w:r w:rsidR="00523933" w:rsidRPr="00523933">
        <w:rPr>
          <w:lang w:val="en-GB"/>
        </w:rPr>
        <w:t>-</w:t>
      </w:r>
      <w:r w:rsidRPr="00523933">
        <w:rPr>
          <w:lang w:val="en-GB"/>
        </w:rPr>
        <w:t>10 dB</w:t>
      </w:r>
    </w:p>
    <w:p w14:paraId="40DDC6F0" w14:textId="77777777" w:rsidR="00695971" w:rsidRPr="00523933" w:rsidRDefault="00695971" w:rsidP="00384977">
      <w:pPr>
        <w:tabs>
          <w:tab w:val="right" w:pos="2268"/>
        </w:tabs>
        <w:rPr>
          <w:lang w:val="en-GB"/>
        </w:rPr>
      </w:pPr>
      <w:r w:rsidRPr="00523933">
        <w:rPr>
          <w:lang w:val="en-GB"/>
        </w:rPr>
        <w:t>Distance &gt; 100 km:</w:t>
      </w:r>
      <w:r w:rsidR="00384977" w:rsidRPr="00523933">
        <w:rPr>
          <w:lang w:val="en-GB"/>
        </w:rPr>
        <w:tab/>
      </w:r>
      <w:r w:rsidR="00523933" w:rsidRPr="00523933">
        <w:rPr>
          <w:lang w:val="en-GB"/>
        </w:rPr>
        <w:t>-</w:t>
      </w:r>
      <w:r w:rsidRPr="00523933">
        <w:rPr>
          <w:lang w:val="en-GB"/>
        </w:rPr>
        <w:t>3 dB</w:t>
      </w:r>
    </w:p>
    <w:p w14:paraId="1725B2E4" w14:textId="77777777" w:rsidR="00695971" w:rsidRPr="00523933" w:rsidRDefault="00695971" w:rsidP="00695971">
      <w:pPr>
        <w:rPr>
          <w:lang w:val="en-GB"/>
        </w:rPr>
      </w:pPr>
      <w:r w:rsidRPr="00523933">
        <w:rPr>
          <w:lang w:val="en-GB"/>
        </w:rPr>
        <w:t>Linear interpolation is used for intermediate distances from 50 to 100 km.</w:t>
      </w:r>
    </w:p>
    <w:p w14:paraId="1C4C962B" w14:textId="77777777" w:rsidR="00695971" w:rsidRPr="00523933" w:rsidRDefault="00695971" w:rsidP="00695971">
      <w:pPr>
        <w:rPr>
          <w:lang w:val="en-GB"/>
        </w:rPr>
      </w:pPr>
      <w:r w:rsidRPr="00523933">
        <w:rPr>
          <w:lang w:val="en-GB"/>
        </w:rPr>
        <w:t xml:space="preserve">For sea path propagation the correction factor to convert receiving antenna heights from 10 m to 3 m is </w:t>
      </w:r>
      <w:r w:rsidR="00523933">
        <w:rPr>
          <w:lang w:val="en-GB"/>
        </w:rPr>
        <w:br/>
      </w:r>
      <w:r w:rsidR="00523933" w:rsidRPr="00523933">
        <w:rPr>
          <w:lang w:val="en-GB"/>
        </w:rPr>
        <w:t>-</w:t>
      </w:r>
      <w:r w:rsidRPr="00523933">
        <w:rPr>
          <w:lang w:val="en-GB"/>
        </w:rPr>
        <w:t>10 dB.</w:t>
      </w:r>
    </w:p>
    <w:p w14:paraId="4129B215" w14:textId="77777777" w:rsidR="00E74A03" w:rsidRDefault="00695971" w:rsidP="00D72352">
      <w:pPr>
        <w:pStyle w:val="ECCAnnexheading2"/>
        <w:rPr>
          <w:lang w:val="en-GB"/>
        </w:rPr>
      </w:pPr>
      <w:r w:rsidRPr="00523933">
        <w:rPr>
          <w:lang w:val="en-GB"/>
        </w:rPr>
        <w:t>Correction factors applicable for GSM 1800</w:t>
      </w:r>
    </w:p>
    <w:p w14:paraId="77A1ADE3" w14:textId="77777777" w:rsidR="00695971" w:rsidRDefault="00695971" w:rsidP="00695971">
      <w:pPr>
        <w:rPr>
          <w:lang w:val="en-GB"/>
        </w:rPr>
      </w:pPr>
      <w:r w:rsidRPr="00523933">
        <w:rPr>
          <w:lang w:val="en-GB"/>
        </w:rPr>
        <w:t>A</w:t>
      </w:r>
      <w:r w:rsidR="00E81363">
        <w:rPr>
          <w:lang w:val="en-GB"/>
        </w:rPr>
        <w:t xml:space="preserve"> general correction factor of -</w:t>
      </w:r>
      <w:r w:rsidRPr="00523933">
        <w:rPr>
          <w:lang w:val="en-GB"/>
        </w:rPr>
        <w:t>9 dB is used in the 1800 MHz band.</w:t>
      </w:r>
    </w:p>
    <w:p w14:paraId="385E8EB2" w14:textId="77777777" w:rsidR="0076771F" w:rsidRPr="00523933" w:rsidRDefault="0076771F" w:rsidP="00695971">
      <w:pPr>
        <w:rPr>
          <w:lang w:val="en-GB"/>
        </w:rPr>
      </w:pPr>
    </w:p>
    <w:p w14:paraId="1098CAA3" w14:textId="77777777" w:rsidR="00695971" w:rsidRPr="00523933" w:rsidRDefault="00695971" w:rsidP="00695971">
      <w:pPr>
        <w:rPr>
          <w:lang w:val="en-GB"/>
        </w:rPr>
      </w:pPr>
      <w:r w:rsidRPr="00523933">
        <w:rPr>
          <w:lang w:val="en-GB"/>
        </w:rPr>
        <w:t xml:space="preserve">Correction factor to convert receiving antenna heights from 10 m to 3 m: </w:t>
      </w:r>
    </w:p>
    <w:p w14:paraId="50A29BB7" w14:textId="77777777" w:rsidR="00695971" w:rsidRPr="00523933" w:rsidRDefault="00384977" w:rsidP="00384977">
      <w:pPr>
        <w:tabs>
          <w:tab w:val="right" w:pos="2268"/>
        </w:tabs>
        <w:rPr>
          <w:lang w:val="en-GB"/>
        </w:rPr>
      </w:pPr>
      <w:r w:rsidRPr="00523933">
        <w:rPr>
          <w:lang w:val="en-GB"/>
        </w:rPr>
        <w:t>Distance &lt; 50 km:</w:t>
      </w:r>
      <w:r w:rsidRPr="00523933">
        <w:rPr>
          <w:lang w:val="en-GB"/>
        </w:rPr>
        <w:tab/>
      </w:r>
      <w:r w:rsidR="00695971" w:rsidRPr="00523933">
        <w:rPr>
          <w:lang w:val="en-GB"/>
        </w:rPr>
        <w:t>-10 dB</w:t>
      </w:r>
    </w:p>
    <w:p w14:paraId="093CA6C8" w14:textId="77777777" w:rsidR="00695971" w:rsidRPr="00523933" w:rsidRDefault="00384977" w:rsidP="00384977">
      <w:pPr>
        <w:tabs>
          <w:tab w:val="right" w:pos="2268"/>
        </w:tabs>
        <w:rPr>
          <w:lang w:val="en-GB"/>
        </w:rPr>
      </w:pPr>
      <w:r w:rsidRPr="00523933">
        <w:rPr>
          <w:lang w:val="en-GB"/>
        </w:rPr>
        <w:t>Distance &gt; 100 km:</w:t>
      </w:r>
      <w:r w:rsidRPr="00523933">
        <w:rPr>
          <w:lang w:val="en-GB"/>
        </w:rPr>
        <w:tab/>
      </w:r>
      <w:r w:rsidR="00695971" w:rsidRPr="00523933">
        <w:rPr>
          <w:lang w:val="en-GB"/>
        </w:rPr>
        <w:t>-3 dB</w:t>
      </w:r>
    </w:p>
    <w:p w14:paraId="76D6FE53" w14:textId="77777777" w:rsidR="00695971" w:rsidRPr="00523933" w:rsidRDefault="00695971" w:rsidP="00695971">
      <w:pPr>
        <w:rPr>
          <w:lang w:val="en-GB"/>
        </w:rPr>
      </w:pPr>
      <w:r w:rsidRPr="00523933">
        <w:rPr>
          <w:lang w:val="en-GB"/>
        </w:rPr>
        <w:t>Linear interpolation is used for intermediate distances.</w:t>
      </w:r>
    </w:p>
    <w:p w14:paraId="30E7B4C8" w14:textId="77777777" w:rsidR="00695971" w:rsidRPr="00523933" w:rsidRDefault="00695971" w:rsidP="00695971">
      <w:pPr>
        <w:rPr>
          <w:lang w:val="en-GB"/>
        </w:rPr>
      </w:pPr>
      <w:r w:rsidRPr="00523933">
        <w:rPr>
          <w:lang w:val="en-GB"/>
        </w:rPr>
        <w:t>For sea path propagation the correction factor for receivin</w:t>
      </w:r>
      <w:r w:rsidR="00E81363">
        <w:rPr>
          <w:lang w:val="en-GB"/>
        </w:rPr>
        <w:t>g antenna from 10 m to 3 m is -</w:t>
      </w:r>
      <w:r w:rsidRPr="00523933">
        <w:rPr>
          <w:lang w:val="en-GB"/>
        </w:rPr>
        <w:t>10 dB.</w:t>
      </w:r>
    </w:p>
    <w:p w14:paraId="440F3599" w14:textId="77777777" w:rsidR="00E74A03" w:rsidRDefault="00695971" w:rsidP="00D72352">
      <w:pPr>
        <w:pStyle w:val="ECCAnnexheading2"/>
        <w:rPr>
          <w:lang w:val="en-GB"/>
        </w:rPr>
      </w:pPr>
      <w:r w:rsidRPr="00523933">
        <w:rPr>
          <w:lang w:val="en-GB"/>
        </w:rPr>
        <w:t>Effective antenna height</w:t>
      </w:r>
    </w:p>
    <w:p w14:paraId="1687F95D" w14:textId="77777777" w:rsidR="0001623E" w:rsidRPr="00523933" w:rsidRDefault="00695971" w:rsidP="000E4EF1">
      <w:pPr>
        <w:jc w:val="both"/>
        <w:rPr>
          <w:lang w:val="en-GB"/>
        </w:rPr>
      </w:pPr>
      <w:r w:rsidRPr="00523933">
        <w:rPr>
          <w:lang w:val="en-GB"/>
        </w:rPr>
        <w:t>The effective antenna height used to determine interfering field strength is defined as its height in metres over the average level of the ground between distances of 3 and 15 km from the base station/transmitting antenna in the direction of the mobile/receiving antenna. The evaluation of the average height of the terrain may be subject to agreement between administrations.</w:t>
      </w:r>
    </w:p>
    <w:p w14:paraId="797622E6" w14:textId="77777777" w:rsidR="00C74BE6" w:rsidRPr="00523933" w:rsidRDefault="00695971" w:rsidP="00C74BE6">
      <w:pPr>
        <w:pStyle w:val="ECCParagraph"/>
        <w:keepNext/>
        <w:keepLines/>
        <w:jc w:val="center"/>
      </w:pPr>
      <w:r w:rsidRPr="00523933">
        <w:rPr>
          <w:noProof/>
          <w:szCs w:val="20"/>
          <w:lang w:val="da-DK" w:eastAsia="da-DK"/>
        </w:rPr>
        <w:lastRenderedPageBreak/>
        <w:drawing>
          <wp:inline distT="0" distB="0" distL="0" distR="0" wp14:anchorId="754D1075" wp14:editId="3D4AFC8F">
            <wp:extent cx="5842000" cy="7695565"/>
            <wp:effectExtent l="19050" t="0" r="6350" b="0"/>
            <wp:docPr id="9" name="Kép 9" descr="scan-gr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graf1"/>
                    <pic:cNvPicPr>
                      <a:picLocks noChangeAspect="1" noChangeArrowheads="1"/>
                    </pic:cNvPicPr>
                  </pic:nvPicPr>
                  <pic:blipFill>
                    <a:blip r:embed="rId15"/>
                    <a:srcRect/>
                    <a:stretch>
                      <a:fillRect/>
                    </a:stretch>
                  </pic:blipFill>
                  <pic:spPr bwMode="auto">
                    <a:xfrm>
                      <a:off x="0" y="0"/>
                      <a:ext cx="5842000" cy="7695565"/>
                    </a:xfrm>
                    <a:prstGeom prst="rect">
                      <a:avLst/>
                    </a:prstGeom>
                    <a:noFill/>
                    <a:ln w="9525">
                      <a:noFill/>
                      <a:miter lim="800000"/>
                      <a:headEnd/>
                      <a:tailEnd/>
                    </a:ln>
                  </pic:spPr>
                </pic:pic>
              </a:graphicData>
            </a:graphic>
          </wp:inline>
        </w:drawing>
      </w:r>
    </w:p>
    <w:p w14:paraId="4425C1A6" w14:textId="77777777" w:rsidR="00BD7E2C" w:rsidRPr="00523933" w:rsidRDefault="00695971" w:rsidP="00F02640">
      <w:pPr>
        <w:pStyle w:val="ECCFiguretitle"/>
      </w:pPr>
      <w:r w:rsidRPr="00523933">
        <w:t>Propagation curves for frequencies above 400 MHz (400-960 MHz)</w:t>
      </w:r>
    </w:p>
    <w:p w14:paraId="7782CCF3" w14:textId="77777777" w:rsidR="00695971" w:rsidRPr="00523933" w:rsidRDefault="00695971" w:rsidP="00F02640">
      <w:pPr>
        <w:pStyle w:val="ECCParagraph"/>
        <w:keepNext/>
        <w:keepLines/>
        <w:jc w:val="center"/>
        <w:rPr>
          <w:noProof/>
          <w:szCs w:val="20"/>
          <w:lang w:eastAsia="hu-HU"/>
        </w:rPr>
      </w:pPr>
      <w:r w:rsidRPr="00523933">
        <w:rPr>
          <w:noProof/>
          <w:szCs w:val="20"/>
          <w:lang w:val="da-DK" w:eastAsia="da-DK"/>
        </w:rPr>
        <w:lastRenderedPageBreak/>
        <w:drawing>
          <wp:inline distT="0" distB="0" distL="0" distR="0" wp14:anchorId="6B426F30" wp14:editId="6EB080AB">
            <wp:extent cx="5927090" cy="8445500"/>
            <wp:effectExtent l="19050" t="0" r="0" b="0"/>
            <wp:docPr id="4" name="Kép 4" descr="scan-gr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graf2"/>
                    <pic:cNvPicPr>
                      <a:picLocks noChangeAspect="1" noChangeArrowheads="1"/>
                    </pic:cNvPicPr>
                  </pic:nvPicPr>
                  <pic:blipFill>
                    <a:blip r:embed="rId16"/>
                    <a:srcRect/>
                    <a:stretch>
                      <a:fillRect/>
                    </a:stretch>
                  </pic:blipFill>
                  <pic:spPr bwMode="auto">
                    <a:xfrm>
                      <a:off x="0" y="0"/>
                      <a:ext cx="5927090" cy="8445500"/>
                    </a:xfrm>
                    <a:prstGeom prst="rect">
                      <a:avLst/>
                    </a:prstGeom>
                    <a:noFill/>
                    <a:ln w="9525">
                      <a:noFill/>
                      <a:miter lim="800000"/>
                      <a:headEnd/>
                      <a:tailEnd/>
                    </a:ln>
                  </pic:spPr>
                </pic:pic>
              </a:graphicData>
            </a:graphic>
          </wp:inline>
        </w:drawing>
      </w:r>
    </w:p>
    <w:p w14:paraId="6FFD89B3" w14:textId="77777777" w:rsidR="00C74BE6" w:rsidRPr="00523933" w:rsidRDefault="00695971" w:rsidP="00C74BE6">
      <w:pPr>
        <w:pStyle w:val="ECCFiguretitle"/>
      </w:pPr>
      <w:r w:rsidRPr="00523933">
        <w:t>Propagation curves for frequencies 450 MHz to 1000 MHz</w:t>
      </w:r>
    </w:p>
    <w:p w14:paraId="6C9888F1" w14:textId="178AC3E4" w:rsidR="00695971" w:rsidRPr="00523933" w:rsidRDefault="00F02640" w:rsidP="00321381">
      <w:pPr>
        <w:pStyle w:val="ECCAnnex-heading1"/>
      </w:pPr>
      <w:r w:rsidRPr="00523933">
        <w:lastRenderedPageBreak/>
        <w:t xml:space="preserve">SIMPLIFIED ALGORITHM FOR CALCULATION OF TOTAL </w:t>
      </w:r>
      <w:r w:rsidR="0001623E">
        <w:t>interfering</w:t>
      </w:r>
      <w:r w:rsidR="0001623E" w:rsidRPr="00523933">
        <w:t xml:space="preserve"> </w:t>
      </w:r>
      <w:r w:rsidRPr="00523933">
        <w:t xml:space="preserve">FIELD </w:t>
      </w:r>
      <w:r w:rsidR="0001623E">
        <w:t>strength</w:t>
      </w:r>
      <w:r w:rsidR="0001623E" w:rsidRPr="00523933">
        <w:t xml:space="preserve"> </w:t>
      </w:r>
      <w:r w:rsidRPr="00523933">
        <w:t>IN THE CASE OF MULTIPLE-ENTRY INTERFERENCE</w:t>
      </w:r>
    </w:p>
    <w:p w14:paraId="32CA7B90" w14:textId="77777777" w:rsidR="00695971" w:rsidRPr="00523933" w:rsidRDefault="00695971" w:rsidP="00321381">
      <w:pPr>
        <w:pStyle w:val="ECCAnnexheading2"/>
        <w:rPr>
          <w:lang w:val="en-GB"/>
        </w:rPr>
      </w:pPr>
      <w:r w:rsidRPr="00523933">
        <w:rPr>
          <w:lang w:val="en-GB"/>
        </w:rPr>
        <w:t>Notation</w:t>
      </w:r>
    </w:p>
    <w:p w14:paraId="1CF32073" w14:textId="0E409D0A" w:rsidR="00695971" w:rsidRPr="00523933" w:rsidRDefault="00695971" w:rsidP="00BF4BE8">
      <w:pPr>
        <w:tabs>
          <w:tab w:val="left" w:pos="907"/>
        </w:tabs>
        <w:ind w:left="1078" w:hanging="369"/>
        <w:rPr>
          <w:lang w:val="en-GB"/>
        </w:rPr>
      </w:pPr>
      <w:r w:rsidRPr="00523933">
        <w:rPr>
          <w:lang w:val="en-GB"/>
        </w:rPr>
        <w:t>P</w:t>
      </w:r>
      <w:r w:rsidR="00BF4BE8" w:rsidRPr="00523933">
        <w:rPr>
          <w:lang w:val="en-GB"/>
        </w:rPr>
        <w:tab/>
      </w:r>
      <w:r w:rsidRPr="00523933">
        <w:rPr>
          <w:lang w:val="en-GB"/>
        </w:rPr>
        <w:t xml:space="preserve">= e.i.r.p. of wanted transmitter in </w:t>
      </w:r>
      <w:r w:rsidR="00592434">
        <w:rPr>
          <w:lang w:val="en-GB"/>
        </w:rPr>
        <w:t>the direction of receiver (dBm);</w:t>
      </w:r>
    </w:p>
    <w:p w14:paraId="3630AD27" w14:textId="6A916D33" w:rsidR="00695971" w:rsidRPr="00523933" w:rsidRDefault="00695971" w:rsidP="00BF4BE8">
      <w:pPr>
        <w:tabs>
          <w:tab w:val="left" w:pos="907"/>
        </w:tabs>
        <w:ind w:left="1078" w:hanging="369"/>
        <w:rPr>
          <w:lang w:val="en-GB"/>
        </w:rPr>
      </w:pPr>
      <w:r w:rsidRPr="00523933">
        <w:rPr>
          <w:lang w:val="en-GB"/>
        </w:rPr>
        <w:t>L</w:t>
      </w:r>
      <w:r w:rsidR="00BF4BE8" w:rsidRPr="00523933">
        <w:rPr>
          <w:lang w:val="en-GB"/>
        </w:rPr>
        <w:tab/>
      </w:r>
      <w:r w:rsidRPr="00523933">
        <w:rPr>
          <w:lang w:val="en-GB"/>
        </w:rPr>
        <w:t>= Isotropic path loss from wanted transmitter to receiver</w:t>
      </w:r>
      <w:r w:rsidR="00592434">
        <w:rPr>
          <w:lang w:val="en-GB"/>
        </w:rPr>
        <w:t xml:space="preserve"> (dB);</w:t>
      </w:r>
    </w:p>
    <w:p w14:paraId="046F6EB0" w14:textId="3DC6025A" w:rsidR="00695971" w:rsidRPr="00523933" w:rsidRDefault="00695971" w:rsidP="00BF4BE8">
      <w:pPr>
        <w:tabs>
          <w:tab w:val="left" w:pos="907"/>
        </w:tabs>
        <w:ind w:left="1078" w:hanging="369"/>
        <w:rPr>
          <w:lang w:val="en-GB"/>
        </w:rPr>
      </w:pPr>
      <w:r w:rsidRPr="00523933">
        <w:rPr>
          <w:lang w:val="en-GB"/>
        </w:rPr>
        <w:t>P</w:t>
      </w:r>
      <w:r w:rsidRPr="00523933">
        <w:rPr>
          <w:vertAlign w:val="subscript"/>
          <w:lang w:val="en-GB"/>
        </w:rPr>
        <w:t>i</w:t>
      </w:r>
      <w:r w:rsidR="00BF4BE8" w:rsidRPr="00523933">
        <w:rPr>
          <w:lang w:val="en-GB"/>
        </w:rPr>
        <w:tab/>
      </w:r>
      <w:r w:rsidRPr="00523933">
        <w:rPr>
          <w:lang w:val="en-GB"/>
        </w:rPr>
        <w:t xml:space="preserve">= e.i.r.p. of interfering transmitter into </w:t>
      </w:r>
      <w:r w:rsidR="00592434">
        <w:rPr>
          <w:lang w:val="en-GB"/>
        </w:rPr>
        <w:t>the direction of receiver (dBm);</w:t>
      </w:r>
    </w:p>
    <w:p w14:paraId="41F60E49" w14:textId="628D21C2" w:rsidR="00695971" w:rsidRPr="00523933" w:rsidRDefault="00695971" w:rsidP="00BF4BE8">
      <w:pPr>
        <w:tabs>
          <w:tab w:val="left" w:pos="907"/>
        </w:tabs>
        <w:ind w:left="1078" w:hanging="369"/>
        <w:rPr>
          <w:lang w:val="en-GB"/>
        </w:rPr>
      </w:pPr>
      <w:r w:rsidRPr="00523933">
        <w:rPr>
          <w:lang w:val="en-GB"/>
        </w:rPr>
        <w:t>L</w:t>
      </w:r>
      <w:r w:rsidRPr="00523933">
        <w:rPr>
          <w:vertAlign w:val="subscript"/>
          <w:lang w:val="en-GB"/>
        </w:rPr>
        <w:t>i</w:t>
      </w:r>
      <w:r w:rsidR="00BF4BE8" w:rsidRPr="00523933">
        <w:rPr>
          <w:lang w:val="en-GB"/>
        </w:rPr>
        <w:tab/>
      </w:r>
      <w:r w:rsidRPr="00523933">
        <w:rPr>
          <w:lang w:val="en-GB"/>
        </w:rPr>
        <w:t>= Isotropic path loss from interfering</w:t>
      </w:r>
      <w:r w:rsidR="00592434">
        <w:rPr>
          <w:lang w:val="en-GB"/>
        </w:rPr>
        <w:t xml:space="preserve"> transmitter i to receiver (dB);</w:t>
      </w:r>
    </w:p>
    <w:p w14:paraId="178ED0C7" w14:textId="4245EAFF" w:rsidR="00695971" w:rsidRPr="00523933" w:rsidRDefault="00695971" w:rsidP="00BF4BE8">
      <w:pPr>
        <w:tabs>
          <w:tab w:val="left" w:pos="907"/>
        </w:tabs>
        <w:ind w:left="1078" w:hanging="369"/>
        <w:rPr>
          <w:lang w:val="en-GB"/>
        </w:rPr>
      </w:pPr>
      <w:r w:rsidRPr="00523933">
        <w:rPr>
          <w:lang w:val="en-GB"/>
        </w:rPr>
        <w:t>a</w:t>
      </w:r>
      <w:r w:rsidR="00BF4BE8" w:rsidRPr="00523933">
        <w:rPr>
          <w:lang w:val="en-GB"/>
        </w:rPr>
        <w:tab/>
      </w:r>
      <w:r w:rsidRPr="00523933">
        <w:rPr>
          <w:lang w:val="en-GB"/>
        </w:rPr>
        <w:t>= Receiver antenna gain t</w:t>
      </w:r>
      <w:r w:rsidR="00592434">
        <w:rPr>
          <w:lang w:val="en-GB"/>
        </w:rPr>
        <w:t>owards wanted transmitter (dBi);</w:t>
      </w:r>
    </w:p>
    <w:p w14:paraId="5CEC15FE" w14:textId="51705631" w:rsidR="00695971" w:rsidRPr="00523933" w:rsidRDefault="00695971" w:rsidP="00BF4BE8">
      <w:pPr>
        <w:tabs>
          <w:tab w:val="left" w:pos="907"/>
        </w:tabs>
        <w:ind w:left="1078" w:hanging="369"/>
        <w:rPr>
          <w:lang w:val="en-GB"/>
        </w:rPr>
      </w:pPr>
      <w:r w:rsidRPr="00523933">
        <w:rPr>
          <w:lang w:val="en-GB"/>
        </w:rPr>
        <w:t>a</w:t>
      </w:r>
      <w:r w:rsidRPr="00523933">
        <w:rPr>
          <w:vertAlign w:val="subscript"/>
          <w:lang w:val="en-GB"/>
        </w:rPr>
        <w:t>i</w:t>
      </w:r>
      <w:r w:rsidR="00BF4BE8" w:rsidRPr="00523933">
        <w:rPr>
          <w:lang w:val="en-GB"/>
        </w:rPr>
        <w:tab/>
      </w:r>
      <w:r w:rsidRPr="00523933">
        <w:rPr>
          <w:lang w:val="en-GB"/>
        </w:rPr>
        <w:t>= Receiver antenna gain towards i</w:t>
      </w:r>
      <w:r w:rsidR="00592434">
        <w:rPr>
          <w:lang w:val="en-GB"/>
        </w:rPr>
        <w:t>nterfering transmitter i (dBi);</w:t>
      </w:r>
    </w:p>
    <w:p w14:paraId="681497D9" w14:textId="1C03FF43" w:rsidR="00695971" w:rsidRPr="00523933" w:rsidRDefault="00384977" w:rsidP="00BF4BE8">
      <w:pPr>
        <w:tabs>
          <w:tab w:val="left" w:pos="907"/>
        </w:tabs>
        <w:ind w:left="1078" w:hanging="369"/>
        <w:rPr>
          <w:lang w:val="en-GB"/>
        </w:rPr>
      </w:pPr>
      <w:r w:rsidRPr="00523933">
        <w:rPr>
          <w:lang w:val="en-GB"/>
        </w:rPr>
        <w:t>β</w:t>
      </w:r>
      <w:r w:rsidR="00695971" w:rsidRPr="00523933">
        <w:rPr>
          <w:vertAlign w:val="subscript"/>
          <w:lang w:val="en-GB"/>
        </w:rPr>
        <w:t>i</w:t>
      </w:r>
      <w:r w:rsidR="00BF4BE8" w:rsidRPr="00523933">
        <w:rPr>
          <w:lang w:val="en-GB"/>
        </w:rPr>
        <w:tab/>
      </w:r>
      <w:r w:rsidR="00695971" w:rsidRPr="00523933">
        <w:rPr>
          <w:lang w:val="en-GB"/>
        </w:rPr>
        <w:t>= Gain due to receiver filter selectivity on inter</w:t>
      </w:r>
      <w:r w:rsidR="00592434">
        <w:rPr>
          <w:lang w:val="en-GB"/>
        </w:rPr>
        <w:t>ference from transmitter i (dB);</w:t>
      </w:r>
    </w:p>
    <w:p w14:paraId="79125338" w14:textId="3777C1FB" w:rsidR="00695971" w:rsidRPr="00523933" w:rsidRDefault="00384977" w:rsidP="00BF4BE8">
      <w:pPr>
        <w:tabs>
          <w:tab w:val="left" w:pos="907"/>
        </w:tabs>
        <w:ind w:left="1078" w:hanging="369"/>
        <w:rPr>
          <w:lang w:val="en-GB"/>
        </w:rPr>
      </w:pPr>
      <w:r w:rsidRPr="00523933">
        <w:rPr>
          <w:rFonts w:ascii="Times New Roman" w:hAnsi="Times New Roman"/>
          <w:lang w:val="en-GB"/>
        </w:rPr>
        <w:t>γ</w:t>
      </w:r>
      <w:r w:rsidR="00BF4BE8" w:rsidRPr="00523933">
        <w:rPr>
          <w:lang w:val="en-GB"/>
        </w:rPr>
        <w:tab/>
      </w:r>
      <w:r w:rsidR="00695971" w:rsidRPr="00523933">
        <w:rPr>
          <w:lang w:val="en-GB"/>
        </w:rPr>
        <w:t xml:space="preserve">= Estimated shadowing margin </w:t>
      </w:r>
      <w:r w:rsidR="00592434">
        <w:rPr>
          <w:lang w:val="en-GB"/>
        </w:rPr>
        <w:t>to be allowed on C/I value (dB);</w:t>
      </w:r>
    </w:p>
    <w:p w14:paraId="4F0F810E" w14:textId="16B3FA8B" w:rsidR="00695971" w:rsidRPr="00523933" w:rsidRDefault="00BF4BE8" w:rsidP="00BF4BE8">
      <w:pPr>
        <w:tabs>
          <w:tab w:val="left" w:pos="907"/>
        </w:tabs>
        <w:ind w:left="1078" w:hanging="369"/>
        <w:rPr>
          <w:lang w:val="en-GB"/>
        </w:rPr>
      </w:pPr>
      <w:r w:rsidRPr="00523933">
        <w:rPr>
          <w:lang w:val="en-GB"/>
        </w:rPr>
        <w:t>C</w:t>
      </w:r>
      <w:r w:rsidRPr="00523933">
        <w:rPr>
          <w:lang w:val="en-GB"/>
        </w:rPr>
        <w:tab/>
      </w:r>
      <w:r w:rsidR="00695971" w:rsidRPr="00523933">
        <w:rPr>
          <w:lang w:val="en-GB"/>
        </w:rPr>
        <w:t>= Total wanted carrie</w:t>
      </w:r>
      <w:r w:rsidR="00592434">
        <w:rPr>
          <w:lang w:val="en-GB"/>
        </w:rPr>
        <w:t>r power at receiver input (dBm);</w:t>
      </w:r>
    </w:p>
    <w:p w14:paraId="20D6DDB7" w14:textId="136ACC1D" w:rsidR="00695971" w:rsidRPr="00523933" w:rsidRDefault="00695971" w:rsidP="00BF4BE8">
      <w:pPr>
        <w:tabs>
          <w:tab w:val="left" w:pos="907"/>
        </w:tabs>
        <w:ind w:left="1078" w:hanging="369"/>
        <w:rPr>
          <w:lang w:val="en-GB"/>
        </w:rPr>
      </w:pPr>
      <w:r w:rsidRPr="00523933">
        <w:rPr>
          <w:lang w:val="en-GB"/>
        </w:rPr>
        <w:t>I</w:t>
      </w:r>
      <w:r w:rsidRPr="00523933">
        <w:rPr>
          <w:vertAlign w:val="subscript"/>
          <w:lang w:val="en-GB"/>
        </w:rPr>
        <w:t>i</w:t>
      </w:r>
      <w:r w:rsidR="00BF4BE8" w:rsidRPr="00523933">
        <w:rPr>
          <w:lang w:val="en-GB"/>
        </w:rPr>
        <w:tab/>
      </w:r>
      <w:r w:rsidRPr="00523933">
        <w:rPr>
          <w:lang w:val="en-GB"/>
        </w:rPr>
        <w:t>= Effective interfering power due to transmitter i at receiver input (allowing for the effe</w:t>
      </w:r>
      <w:r w:rsidR="00592434">
        <w:rPr>
          <w:lang w:val="en-GB"/>
        </w:rPr>
        <w:t>ct of receiver filtering) (dBm);</w:t>
      </w:r>
    </w:p>
    <w:p w14:paraId="6E0470F9" w14:textId="100295C9" w:rsidR="00695971" w:rsidRPr="00523933" w:rsidRDefault="00695971" w:rsidP="00BF4BE8">
      <w:pPr>
        <w:tabs>
          <w:tab w:val="left" w:pos="907"/>
        </w:tabs>
        <w:ind w:left="1078" w:hanging="369"/>
        <w:rPr>
          <w:lang w:val="en-GB"/>
        </w:rPr>
      </w:pPr>
      <w:r w:rsidRPr="00523933">
        <w:rPr>
          <w:lang w:val="en-GB"/>
        </w:rPr>
        <w:t>I</w:t>
      </w:r>
      <w:r w:rsidR="00BF4BE8" w:rsidRPr="00523933">
        <w:rPr>
          <w:lang w:val="en-GB"/>
        </w:rPr>
        <w:tab/>
      </w:r>
      <w:r w:rsidRPr="00523933">
        <w:rPr>
          <w:lang w:val="en-GB"/>
        </w:rPr>
        <w:t>= Total effective interfering power at receiver input (allow</w:t>
      </w:r>
      <w:r w:rsidR="00592434">
        <w:rPr>
          <w:lang w:val="en-GB"/>
        </w:rPr>
        <w:t>ing for shadowing margin) (dBm);</w:t>
      </w:r>
    </w:p>
    <w:p w14:paraId="3B6EE2D7" w14:textId="77777777" w:rsidR="00695971" w:rsidRPr="00523933" w:rsidRDefault="00384977" w:rsidP="00BF4BE8">
      <w:pPr>
        <w:tabs>
          <w:tab w:val="left" w:pos="907"/>
        </w:tabs>
        <w:ind w:left="1078" w:hanging="369"/>
        <w:rPr>
          <w:lang w:val="en-GB"/>
        </w:rPr>
      </w:pPr>
      <w:r w:rsidRPr="00523933">
        <w:rPr>
          <w:rFonts w:ascii="Times New Roman" w:hAnsi="Times New Roman"/>
          <w:lang w:val="en-GB"/>
        </w:rPr>
        <w:t>χ</w:t>
      </w:r>
      <w:r w:rsidR="00BF4BE8" w:rsidRPr="00523933">
        <w:rPr>
          <w:lang w:val="en-GB"/>
        </w:rPr>
        <w:tab/>
      </w:r>
      <w:r w:rsidR="00695971" w:rsidRPr="00523933">
        <w:rPr>
          <w:lang w:val="en-GB"/>
        </w:rPr>
        <w:t>=C/I threshold value.</w:t>
      </w:r>
    </w:p>
    <w:p w14:paraId="2801189D" w14:textId="77777777" w:rsidR="00695971" w:rsidRPr="00523933" w:rsidRDefault="00695971" w:rsidP="00321381">
      <w:pPr>
        <w:pStyle w:val="ECCAnnexheading2"/>
        <w:rPr>
          <w:lang w:val="en-GB"/>
        </w:rPr>
      </w:pPr>
      <w:r w:rsidRPr="00523933">
        <w:rPr>
          <w:lang w:val="en-GB"/>
        </w:rPr>
        <w:t>Base mobile Path Algorithm</w:t>
      </w:r>
    </w:p>
    <w:p w14:paraId="4D1A15F4" w14:textId="77777777" w:rsidR="00695971" w:rsidRPr="00523933" w:rsidRDefault="00695971" w:rsidP="000E4EF1">
      <w:pPr>
        <w:pStyle w:val="LetteredList"/>
        <w:numPr>
          <w:ilvl w:val="0"/>
          <w:numId w:val="12"/>
        </w:numPr>
        <w:ind w:left="1134" w:hanging="425"/>
        <w:rPr>
          <w:lang w:val="en-GB"/>
        </w:rPr>
      </w:pPr>
      <w:r w:rsidRPr="00523933">
        <w:rPr>
          <w:lang w:val="en-GB"/>
        </w:rPr>
        <w:t>For each cell in question, take one or more "worst case" mobile station MS locations. These are locations at which the C/I is known, or believed to be, lowest.</w:t>
      </w:r>
    </w:p>
    <w:p w14:paraId="7CC90016" w14:textId="77777777" w:rsidR="00695971" w:rsidRPr="00523933" w:rsidRDefault="00695971" w:rsidP="002063AA">
      <w:pPr>
        <w:pStyle w:val="LetteredList"/>
        <w:numPr>
          <w:ilvl w:val="0"/>
          <w:numId w:val="12"/>
        </w:numPr>
        <w:ind w:left="1134" w:hanging="425"/>
        <w:rPr>
          <w:lang w:val="en-GB"/>
        </w:rPr>
      </w:pPr>
      <w:r w:rsidRPr="00523933">
        <w:rPr>
          <w:lang w:val="en-GB"/>
        </w:rPr>
        <w:t>Calculate the wanted carrier power at the receiver input:</w:t>
      </w:r>
    </w:p>
    <w:p w14:paraId="46155303" w14:textId="77777777" w:rsidR="00695971" w:rsidRPr="000E4EF1" w:rsidRDefault="00FB2C8B" w:rsidP="000E4EF1">
      <w:pPr>
        <w:pStyle w:val="LetteredList"/>
        <w:numPr>
          <w:ilvl w:val="0"/>
          <w:numId w:val="0"/>
        </w:numPr>
        <w:rPr>
          <w:rFonts w:cs="Arial"/>
          <w:lang w:val="en-GB"/>
        </w:rPr>
      </w:pPr>
      <m:oMathPara>
        <m:oMathParaPr>
          <m:jc m:val="center"/>
        </m:oMathParaPr>
        <m:oMath>
          <m:r>
            <m:rPr>
              <m:sty m:val="p"/>
            </m:rPr>
            <w:rPr>
              <w:rFonts w:ascii="Cambria Math" w:hAnsi="Cambria Math" w:cs="Arial"/>
              <w:lang w:val="en-GB"/>
            </w:rPr>
            <m:t>C=P-L+a</m:t>
          </m:r>
        </m:oMath>
      </m:oMathPara>
    </w:p>
    <w:p w14:paraId="58EBDF5C" w14:textId="77777777" w:rsidR="000E4EF1" w:rsidRDefault="00695971" w:rsidP="000E4EF1">
      <w:pPr>
        <w:pStyle w:val="LetteredList"/>
        <w:numPr>
          <w:ilvl w:val="0"/>
          <w:numId w:val="12"/>
        </w:numPr>
        <w:ind w:left="1134" w:hanging="425"/>
        <w:rPr>
          <w:lang w:val="en-GB"/>
        </w:rPr>
      </w:pPr>
      <w:r w:rsidRPr="00523933">
        <w:rPr>
          <w:lang w:val="en-GB"/>
        </w:rPr>
        <w:t>Calculate the effective interfering power due to each potentially interfering transmitter (whether co-channel or adjacent channel) at the receiver input (allowing for the effect of receiver filtering):</w:t>
      </w:r>
    </w:p>
    <w:p w14:paraId="3B1E8038" w14:textId="3249C65A" w:rsidR="00695971" w:rsidRPr="000E4EF1" w:rsidRDefault="008834B1" w:rsidP="000E4EF1">
      <w:pPr>
        <w:pStyle w:val="LetteredList"/>
        <w:numPr>
          <w:ilvl w:val="0"/>
          <w:numId w:val="0"/>
        </w:numPr>
        <w:jc w:val="center"/>
        <w:rPr>
          <w:rFonts w:cs="Arial"/>
          <w:lang w:val="en-GB"/>
        </w:rPr>
      </w:pPr>
      <m:oMathPara>
        <m:oMath>
          <m:sSub>
            <m:sSubPr>
              <m:ctrlPr>
                <w:rPr>
                  <w:rFonts w:ascii="Cambria Math" w:hAnsi="Cambria Math" w:cs="Arial"/>
                  <w:lang w:val="en-GB"/>
                </w:rPr>
              </m:ctrlPr>
            </m:sSubPr>
            <m:e>
              <m:r>
                <m:rPr>
                  <m:sty m:val="p"/>
                </m:rPr>
                <w:rPr>
                  <w:rFonts w:ascii="Cambria Math" w:hAnsi="Cambria Math" w:cs="Arial"/>
                  <w:lang w:val="en-GB"/>
                </w:rPr>
                <m:t>I</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P</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L</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a</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β</m:t>
              </m:r>
            </m:e>
            <m:sub>
              <m:r>
                <m:rPr>
                  <m:sty m:val="p"/>
                </m:rPr>
                <w:rPr>
                  <w:rFonts w:ascii="Cambria Math" w:hAnsi="Cambria Math" w:cs="Arial"/>
                  <w:lang w:val="en-GB"/>
                </w:rPr>
                <m:t>i</m:t>
              </m:r>
            </m:sub>
          </m:sSub>
        </m:oMath>
      </m:oMathPara>
    </w:p>
    <w:p w14:paraId="1C29ADED" w14:textId="77777777" w:rsidR="00695971" w:rsidRPr="00523933" w:rsidRDefault="00695971" w:rsidP="00A4262D">
      <w:pPr>
        <w:pStyle w:val="LetteredList"/>
        <w:numPr>
          <w:ilvl w:val="0"/>
          <w:numId w:val="12"/>
        </w:numPr>
        <w:ind w:left="1134" w:hanging="425"/>
        <w:rPr>
          <w:lang w:val="en-GB"/>
        </w:rPr>
      </w:pPr>
      <w:r w:rsidRPr="00523933">
        <w:rPr>
          <w:lang w:val="en-GB"/>
        </w:rPr>
        <w:t>Sum the interfering powers at the receiver and allow for the shadowing margin:</w:t>
      </w:r>
    </w:p>
    <w:p w14:paraId="06021ED0" w14:textId="77777777" w:rsidR="00FB2C8B" w:rsidRPr="000E4EF1" w:rsidRDefault="00FB2C8B" w:rsidP="000E4EF1">
      <w:pPr>
        <w:pStyle w:val="LetteredList"/>
        <w:numPr>
          <w:ilvl w:val="0"/>
          <w:numId w:val="0"/>
        </w:numPr>
        <w:rPr>
          <w:rFonts w:cs="Arial"/>
          <w:lang w:val="en-GB"/>
        </w:rPr>
      </w:pPr>
      <m:oMathPara>
        <m:oMathParaPr>
          <m:jc m:val="center"/>
        </m:oMathParaPr>
        <m:oMath>
          <m:r>
            <m:rPr>
              <m:sty m:val="p"/>
            </m:rPr>
            <w:rPr>
              <w:rFonts w:ascii="Cambria Math" w:hAnsi="Cambria Math" w:cs="Arial"/>
              <w:lang w:val="en-GB"/>
            </w:rPr>
            <m:t xml:space="preserve">I=10 </m:t>
          </m:r>
          <m:sSub>
            <m:sSubPr>
              <m:ctrlPr>
                <w:rPr>
                  <w:rFonts w:ascii="Cambria Math" w:hAnsi="Cambria Math" w:cs="Arial"/>
                  <w:lang w:val="en-GB"/>
                </w:rPr>
              </m:ctrlPr>
            </m:sSubPr>
            <m:e>
              <m:r>
                <m:rPr>
                  <m:sty m:val="p"/>
                </m:rPr>
                <w:rPr>
                  <w:rFonts w:ascii="Cambria Math" w:hAnsi="Cambria Math" w:cs="Arial"/>
                  <w:lang w:val="en-GB"/>
                </w:rPr>
                <m:t>log</m:t>
              </m:r>
            </m:e>
            <m:sub>
              <m:r>
                <m:rPr>
                  <m:sty m:val="p"/>
                </m:rPr>
                <w:rPr>
                  <w:rFonts w:ascii="Cambria Math" w:hAnsi="Cambria Math" w:cs="Arial"/>
                  <w:lang w:val="en-GB"/>
                </w:rPr>
                <m:t>10</m:t>
              </m:r>
            </m:sub>
          </m:sSub>
          <m:nary>
            <m:naryPr>
              <m:chr m:val="∑"/>
              <m:limLoc m:val="undOvr"/>
              <m:subHide m:val="1"/>
              <m:supHide m:val="1"/>
              <m:ctrlPr>
                <w:rPr>
                  <w:rFonts w:ascii="Cambria Math" w:hAnsi="Cambria Math" w:cs="Arial"/>
                  <w:lang w:val="en-GB"/>
                </w:rPr>
              </m:ctrlPr>
            </m:naryPr>
            <m:sub/>
            <m:sup/>
            <m:e>
              <m:sSup>
                <m:sSupPr>
                  <m:ctrlPr>
                    <w:rPr>
                      <w:rFonts w:ascii="Cambria Math" w:hAnsi="Cambria Math" w:cs="Arial"/>
                      <w:lang w:val="en-GB"/>
                    </w:rPr>
                  </m:ctrlPr>
                </m:sSupPr>
                <m:e>
                  <m:r>
                    <m:rPr>
                      <m:sty m:val="p"/>
                    </m:rPr>
                    <w:rPr>
                      <w:rFonts w:ascii="Cambria Math" w:hAnsi="Cambria Math" w:cs="Arial"/>
                      <w:lang w:val="en-GB"/>
                    </w:rPr>
                    <m:t>10</m:t>
                  </m:r>
                </m:e>
                <m:sup>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I</m:t>
                      </m:r>
                    </m:e>
                    <m:sub>
                      <m:r>
                        <m:rPr>
                          <m:sty m:val="p"/>
                        </m:rPr>
                        <w:rPr>
                          <w:rFonts w:ascii="Cambria Math" w:hAnsi="Cambria Math" w:cs="Arial"/>
                          <w:lang w:val="en-GB"/>
                        </w:rPr>
                        <m:t>i</m:t>
                      </m:r>
                    </m:sub>
                  </m:sSub>
                  <m:r>
                    <m:rPr>
                      <m:sty m:val="p"/>
                    </m:rPr>
                    <w:rPr>
                      <w:rFonts w:ascii="Cambria Math" w:hAnsi="Cambria Math" w:cs="Arial"/>
                      <w:lang w:val="en-GB"/>
                    </w:rPr>
                    <m:t>/10)</m:t>
                  </m:r>
                </m:sup>
              </m:sSup>
              <m:r>
                <m:rPr>
                  <m:sty m:val="p"/>
                </m:rPr>
                <w:rPr>
                  <w:rFonts w:ascii="Cambria Math" w:hAnsi="Cambria Math" w:cs="Arial"/>
                  <w:lang w:val="en-GB"/>
                </w:rPr>
                <m:t>+γ</m:t>
              </m:r>
            </m:e>
          </m:nary>
        </m:oMath>
      </m:oMathPara>
    </w:p>
    <w:p w14:paraId="1A64D081" w14:textId="24B474D0" w:rsidR="00695971" w:rsidRPr="00523933" w:rsidRDefault="00695971" w:rsidP="00A4262D">
      <w:pPr>
        <w:pStyle w:val="LetteredList"/>
        <w:numPr>
          <w:ilvl w:val="0"/>
          <w:numId w:val="12"/>
        </w:numPr>
        <w:ind w:left="1134" w:hanging="425"/>
        <w:rPr>
          <w:lang w:val="en-GB"/>
        </w:rPr>
      </w:pPr>
      <w:r w:rsidRPr="00523933">
        <w:rPr>
          <w:lang w:val="en-GB"/>
        </w:rPr>
        <w:t xml:space="preserve">Check the effective C/I ratio against the threshold value </w:t>
      </w:r>
      <w:r w:rsidR="00FB2C8B" w:rsidRPr="00523933">
        <w:rPr>
          <w:rFonts w:ascii="Times New Roman" w:hAnsi="Times New Roman"/>
          <w:lang w:val="en-GB"/>
        </w:rPr>
        <w:t>λ</w:t>
      </w:r>
      <w:r w:rsidRPr="00523933">
        <w:rPr>
          <w:lang w:val="en-GB"/>
        </w:rPr>
        <w:t>.</w:t>
      </w:r>
    </w:p>
    <w:p w14:paraId="289FAE85" w14:textId="77777777" w:rsidR="00695971" w:rsidRPr="00523933" w:rsidRDefault="00695971" w:rsidP="00321381">
      <w:pPr>
        <w:pStyle w:val="ECCAnnexheading2"/>
        <w:rPr>
          <w:lang w:val="en-GB"/>
        </w:rPr>
      </w:pPr>
      <w:r w:rsidRPr="00523933">
        <w:rPr>
          <w:lang w:val="en-GB"/>
        </w:rPr>
        <w:t>Mobile base Path Algorithm</w:t>
      </w:r>
    </w:p>
    <w:p w14:paraId="10F6ED00" w14:textId="77777777" w:rsidR="00695971" w:rsidRPr="00523933" w:rsidRDefault="00695971" w:rsidP="00A4262D">
      <w:pPr>
        <w:pStyle w:val="LetteredList"/>
        <w:numPr>
          <w:ilvl w:val="0"/>
          <w:numId w:val="13"/>
        </w:numPr>
        <w:ind w:left="1134" w:hanging="425"/>
        <w:rPr>
          <w:lang w:val="en-GB"/>
        </w:rPr>
      </w:pPr>
      <w:r w:rsidRPr="00523933">
        <w:rPr>
          <w:lang w:val="en-GB"/>
        </w:rPr>
        <w:t>Take each cell that has a potentially interfering mobile station (MS). If N is the number of carrier frequencies allocated to that cell that can cause potential interference to the base station (BS), assume there are N MS's, one radiating each carrier, in that cell.</w:t>
      </w:r>
    </w:p>
    <w:p w14:paraId="6BEED3D1" w14:textId="4BB57993" w:rsidR="00695971" w:rsidRPr="00523933" w:rsidRDefault="00695971" w:rsidP="00DE5A67">
      <w:pPr>
        <w:pStyle w:val="LetteredList"/>
        <w:numPr>
          <w:ilvl w:val="0"/>
          <w:numId w:val="0"/>
        </w:numPr>
        <w:ind w:left="1134"/>
        <w:rPr>
          <w:lang w:val="en-GB"/>
        </w:rPr>
      </w:pPr>
      <w:r w:rsidRPr="00523933">
        <w:rPr>
          <w:lang w:val="en-GB"/>
        </w:rPr>
        <w:t>A proportion of the total number of MS's so identified (e.g. 20%) should be assumed to be the worst case locations of thei</w:t>
      </w:r>
      <w:r w:rsidR="000E4EF1">
        <w:rPr>
          <w:lang w:val="en-GB"/>
        </w:rPr>
        <w:t>r cells and the rest at the mid-</w:t>
      </w:r>
      <w:r w:rsidR="00940400">
        <w:rPr>
          <w:lang w:val="en-GB"/>
        </w:rPr>
        <w:t>point of their cells.</w:t>
      </w:r>
    </w:p>
    <w:p w14:paraId="4440E951" w14:textId="77777777" w:rsidR="00695971" w:rsidRPr="00523933" w:rsidRDefault="00695971" w:rsidP="00DE5A67">
      <w:pPr>
        <w:pStyle w:val="LetteredList"/>
        <w:numPr>
          <w:ilvl w:val="0"/>
          <w:numId w:val="0"/>
        </w:numPr>
        <w:ind w:left="1134"/>
        <w:rPr>
          <w:lang w:val="en-GB"/>
        </w:rPr>
      </w:pPr>
      <w:r w:rsidRPr="00523933">
        <w:rPr>
          <w:lang w:val="en-GB"/>
        </w:rPr>
        <w:t>Alternatively a "Monte Carlo" simulation can be undertaken in which a number of "snapshots" of the interference scenario are taken. In each snapshot, the interfering MS's are placed at random locations (uniformly distributed) within their cells. To find for example the 90% C/I value. 100 snapshots could be taken, and the C/I which is exceeded by 90 of the snapshots used.</w:t>
      </w:r>
    </w:p>
    <w:p w14:paraId="0943B3F4" w14:textId="77777777" w:rsidR="00695971" w:rsidRPr="00523933" w:rsidRDefault="00695971" w:rsidP="00A4262D">
      <w:pPr>
        <w:pStyle w:val="LetteredList"/>
        <w:numPr>
          <w:ilvl w:val="0"/>
          <w:numId w:val="13"/>
        </w:numPr>
        <w:ind w:left="1134" w:hanging="425"/>
        <w:rPr>
          <w:lang w:val="en-GB"/>
        </w:rPr>
      </w:pPr>
      <w:r w:rsidRPr="00523933">
        <w:rPr>
          <w:lang w:val="en-GB"/>
        </w:rPr>
        <w:t>Perform steps (b) to (e) of the base-mobile path algorithm.</w:t>
      </w:r>
    </w:p>
    <w:p w14:paraId="055B3DDC" w14:textId="77777777" w:rsidR="00695971" w:rsidRPr="00523933" w:rsidRDefault="00695971" w:rsidP="00321381">
      <w:pPr>
        <w:pStyle w:val="ECCAnnexheading2"/>
        <w:rPr>
          <w:lang w:val="en-GB"/>
        </w:rPr>
      </w:pPr>
      <w:r w:rsidRPr="00523933">
        <w:rPr>
          <w:lang w:val="en-GB"/>
        </w:rPr>
        <w:t>Notes on Calculation of Parameters</w:t>
      </w:r>
    </w:p>
    <w:p w14:paraId="1860C677" w14:textId="77777777" w:rsidR="00695971" w:rsidRPr="00523933" w:rsidRDefault="00695971" w:rsidP="00A4262D">
      <w:pPr>
        <w:pStyle w:val="LetteredList"/>
        <w:numPr>
          <w:ilvl w:val="0"/>
          <w:numId w:val="14"/>
        </w:numPr>
        <w:ind w:left="1134" w:hanging="425"/>
        <w:rPr>
          <w:lang w:val="en-GB"/>
        </w:rPr>
      </w:pPr>
      <w:r w:rsidRPr="00523933">
        <w:rPr>
          <w:lang w:val="en-GB"/>
        </w:rPr>
        <w:t>P, P</w:t>
      </w:r>
      <w:r w:rsidRPr="00523933">
        <w:rPr>
          <w:vertAlign w:val="subscript"/>
          <w:lang w:val="en-GB"/>
        </w:rPr>
        <w:t>i</w:t>
      </w:r>
      <w:r w:rsidR="00DE5A67" w:rsidRPr="00523933">
        <w:rPr>
          <w:lang w:val="en-GB"/>
        </w:rPr>
        <w:t xml:space="preserve"> </w:t>
      </w:r>
      <w:r w:rsidR="00F430D2">
        <w:rPr>
          <w:lang w:val="en-GB"/>
        </w:rPr>
        <w:t xml:space="preserve">– </w:t>
      </w:r>
      <w:r w:rsidRPr="00523933">
        <w:rPr>
          <w:lang w:val="en-GB"/>
        </w:rPr>
        <w:t>These should be supplied by the land mobile network operators. For GSM transmitters each P, P</w:t>
      </w:r>
      <w:r w:rsidRPr="00523933">
        <w:rPr>
          <w:vertAlign w:val="subscript"/>
          <w:lang w:val="en-GB"/>
        </w:rPr>
        <w:t>i</w:t>
      </w:r>
      <w:r w:rsidRPr="00523933">
        <w:rPr>
          <w:lang w:val="en-GB"/>
        </w:rPr>
        <w:t xml:space="preserve"> is the power in the active part of the timeslot.</w:t>
      </w:r>
    </w:p>
    <w:p w14:paraId="53AA76C8" w14:textId="77777777" w:rsidR="00695971" w:rsidRPr="00523933" w:rsidRDefault="00695971" w:rsidP="00A4262D">
      <w:pPr>
        <w:pStyle w:val="LetteredList"/>
        <w:numPr>
          <w:ilvl w:val="0"/>
          <w:numId w:val="14"/>
        </w:numPr>
        <w:ind w:left="1134" w:hanging="425"/>
        <w:rPr>
          <w:lang w:val="en-GB"/>
        </w:rPr>
      </w:pPr>
      <w:r w:rsidRPr="00523933">
        <w:rPr>
          <w:lang w:val="en-GB"/>
        </w:rPr>
        <w:lastRenderedPageBreak/>
        <w:t>L, L</w:t>
      </w:r>
      <w:r w:rsidRPr="00523933">
        <w:rPr>
          <w:vertAlign w:val="subscript"/>
          <w:lang w:val="en-GB"/>
        </w:rPr>
        <w:t>i</w:t>
      </w:r>
      <w:r w:rsidRPr="00523933">
        <w:rPr>
          <w:lang w:val="en-GB"/>
        </w:rPr>
        <w:t xml:space="preserve"> </w:t>
      </w:r>
      <w:r w:rsidR="00F430D2">
        <w:rPr>
          <w:lang w:val="en-GB"/>
        </w:rPr>
        <w:t xml:space="preserve">– </w:t>
      </w:r>
      <w:r w:rsidRPr="00523933">
        <w:rPr>
          <w:lang w:val="en-GB"/>
        </w:rPr>
        <w:t>These can either be calculated using appropriate terrain modelling, or some simplified power distance law, e.g. d</w:t>
      </w:r>
      <w:r w:rsidRPr="00523933">
        <w:rPr>
          <w:vertAlign w:val="superscript"/>
          <w:lang w:val="en-GB"/>
        </w:rPr>
        <w:t>-3.3</w:t>
      </w:r>
      <w:r w:rsidRPr="00523933">
        <w:rPr>
          <w:lang w:val="en-GB"/>
        </w:rPr>
        <w:t>.</w:t>
      </w:r>
    </w:p>
    <w:p w14:paraId="4D9BAF4C" w14:textId="77777777" w:rsidR="00695971" w:rsidRPr="00523933" w:rsidRDefault="00695971" w:rsidP="00A4262D">
      <w:pPr>
        <w:pStyle w:val="LetteredList"/>
        <w:numPr>
          <w:ilvl w:val="0"/>
          <w:numId w:val="14"/>
        </w:numPr>
        <w:ind w:left="1134" w:hanging="425"/>
        <w:rPr>
          <w:lang w:val="en-GB"/>
        </w:rPr>
      </w:pPr>
      <w:r w:rsidRPr="00523933">
        <w:rPr>
          <w:lang w:val="en-GB"/>
        </w:rPr>
        <w:t>a, ai</w:t>
      </w:r>
      <w:r w:rsidR="00DE5A67" w:rsidRPr="00523933">
        <w:rPr>
          <w:lang w:val="en-GB"/>
        </w:rPr>
        <w:t xml:space="preserve"> </w:t>
      </w:r>
      <w:r w:rsidR="00F430D2">
        <w:rPr>
          <w:lang w:val="en-GB"/>
        </w:rPr>
        <w:t xml:space="preserve">– </w:t>
      </w:r>
      <w:r w:rsidRPr="00523933">
        <w:rPr>
          <w:lang w:val="en-GB"/>
        </w:rPr>
        <w:t>These should be supplied by the land mobile network operators.</w:t>
      </w:r>
    </w:p>
    <w:p w14:paraId="68A0CBE0" w14:textId="77777777" w:rsidR="00695971" w:rsidRPr="00523933" w:rsidRDefault="00DE5A67" w:rsidP="00A4262D">
      <w:pPr>
        <w:pStyle w:val="LetteredList"/>
        <w:numPr>
          <w:ilvl w:val="0"/>
          <w:numId w:val="14"/>
        </w:numPr>
        <w:ind w:left="1134" w:hanging="425"/>
        <w:rPr>
          <w:lang w:val="en-GB"/>
        </w:rPr>
      </w:pPr>
      <w:r w:rsidRPr="00523933">
        <w:rPr>
          <w:rFonts w:cs="Arial"/>
          <w:lang w:val="en-GB"/>
        </w:rPr>
        <w:t xml:space="preserve">βi </w:t>
      </w:r>
      <w:r w:rsidR="00F430D2">
        <w:rPr>
          <w:lang w:val="en-GB"/>
        </w:rPr>
        <w:t xml:space="preserve">– </w:t>
      </w:r>
      <w:r w:rsidR="00695971" w:rsidRPr="00523933">
        <w:rPr>
          <w:rFonts w:cs="Arial"/>
          <w:lang w:val="en-GB"/>
        </w:rPr>
        <w:t>These</w:t>
      </w:r>
      <w:r w:rsidR="00695971" w:rsidRPr="00523933">
        <w:rPr>
          <w:lang w:val="en-GB"/>
        </w:rPr>
        <w:t xml:space="preserve"> can be read off Figure </w:t>
      </w:r>
      <w:r w:rsidR="00321381" w:rsidRPr="00523933">
        <w:rPr>
          <w:lang w:val="en-GB"/>
        </w:rPr>
        <w:t>3</w:t>
      </w:r>
      <w:r w:rsidR="00695971" w:rsidRPr="00523933">
        <w:rPr>
          <w:lang w:val="en-GB"/>
        </w:rPr>
        <w:t xml:space="preserve"> </w:t>
      </w:r>
    </w:p>
    <w:p w14:paraId="7BBA4556" w14:textId="77777777" w:rsidR="00695971" w:rsidRPr="00523933" w:rsidRDefault="00695971" w:rsidP="00A4262D">
      <w:pPr>
        <w:pStyle w:val="LetteredList"/>
        <w:numPr>
          <w:ilvl w:val="0"/>
          <w:numId w:val="14"/>
        </w:numPr>
        <w:ind w:left="1134" w:hanging="425"/>
        <w:rPr>
          <w:lang w:val="en-GB"/>
        </w:rPr>
      </w:pPr>
      <w:r w:rsidRPr="00523933">
        <w:rPr>
          <w:lang w:val="en-GB"/>
        </w:rPr>
        <w:t>If shadowing effects have been allowed for in the calculation of L and L</w:t>
      </w:r>
      <w:r w:rsidRPr="00523933">
        <w:rPr>
          <w:vertAlign w:val="subscript"/>
          <w:lang w:val="en-GB"/>
        </w:rPr>
        <w:t>i</w:t>
      </w:r>
      <w:r w:rsidRPr="00523933">
        <w:rPr>
          <w:lang w:val="en-GB"/>
        </w:rPr>
        <w:t>,</w:t>
      </w:r>
      <w:r w:rsidR="00321381" w:rsidRPr="00523933">
        <w:rPr>
          <w:rFonts w:ascii="Times New Roman" w:hAnsi="Times New Roman"/>
          <w:lang w:val="en-GB"/>
        </w:rPr>
        <w:t xml:space="preserve"> γ</w:t>
      </w:r>
      <w:r w:rsidRPr="00523933">
        <w:rPr>
          <w:lang w:val="en-GB"/>
        </w:rPr>
        <w:t xml:space="preserve"> can be set to 0. Otherwise a value of 7 dB could be used (this assumes the wanted and unwanted signals each</w:t>
      </w:r>
      <w:r w:rsidR="00384977" w:rsidRPr="00523933">
        <w:rPr>
          <w:lang w:val="en-GB"/>
        </w:rPr>
        <w:t xml:space="preserve"> </w:t>
      </w:r>
      <w:r w:rsidRPr="00523933">
        <w:rPr>
          <w:lang w:val="en-GB"/>
        </w:rPr>
        <w:t xml:space="preserve">have a 5 dB shadowing margin (log normal distribution) and the composite shadowing margin is </w:t>
      </w:r>
      <w:r w:rsidR="00DE5A67" w:rsidRPr="00523933">
        <w:rPr>
          <w:rFonts w:cs="Arial"/>
          <w:lang w:val="en-GB"/>
        </w:rPr>
        <w:t>√</w:t>
      </w:r>
      <w:r w:rsidR="00523933">
        <w:rPr>
          <w:lang w:val="en-GB"/>
        </w:rPr>
        <w:t>2 x 5 dB, i.e. 7 d</w:t>
      </w:r>
      <w:r w:rsidRPr="00523933">
        <w:rPr>
          <w:lang w:val="en-GB"/>
        </w:rPr>
        <w:t>B).</w:t>
      </w:r>
    </w:p>
    <w:p w14:paraId="3402E2D6" w14:textId="77777777" w:rsidR="00695971" w:rsidRPr="00523933" w:rsidRDefault="00DE5A67" w:rsidP="00A4262D">
      <w:pPr>
        <w:pStyle w:val="LetteredList"/>
        <w:numPr>
          <w:ilvl w:val="0"/>
          <w:numId w:val="14"/>
        </w:numPr>
        <w:ind w:left="1134" w:hanging="425"/>
        <w:rPr>
          <w:lang w:val="en-GB"/>
        </w:rPr>
      </w:pPr>
      <w:r w:rsidRPr="00523933">
        <w:rPr>
          <w:rFonts w:ascii="Times New Roman" w:hAnsi="Times New Roman"/>
          <w:lang w:val="en-GB"/>
        </w:rPr>
        <w:t>χ</w:t>
      </w:r>
      <w:r w:rsidR="00695971" w:rsidRPr="00523933">
        <w:rPr>
          <w:lang w:val="en-GB"/>
        </w:rPr>
        <w:t xml:space="preserve"> can be taken as follows:</w:t>
      </w:r>
    </w:p>
    <w:p w14:paraId="6DC5097A" w14:textId="49FAB04E" w:rsidR="00695971" w:rsidRDefault="00695971" w:rsidP="00DE5A67">
      <w:pPr>
        <w:pStyle w:val="LetteredList"/>
        <w:numPr>
          <w:ilvl w:val="0"/>
          <w:numId w:val="0"/>
        </w:numPr>
        <w:ind w:left="1134"/>
        <w:rPr>
          <w:lang w:val="en-GB"/>
        </w:rPr>
      </w:pPr>
      <w:r w:rsidRPr="00523933">
        <w:rPr>
          <w:lang w:val="en-GB"/>
        </w:rPr>
        <w:t>GSM receiver</w:t>
      </w:r>
      <w:r w:rsidRPr="00523933">
        <w:rPr>
          <w:lang w:val="en-GB"/>
        </w:rPr>
        <w:tab/>
        <w:t>=</w:t>
      </w:r>
      <w:r w:rsidR="00384977" w:rsidRPr="00523933">
        <w:rPr>
          <w:lang w:val="en-GB"/>
        </w:rPr>
        <w:t xml:space="preserve"> </w:t>
      </w:r>
      <w:r w:rsidRPr="00523933">
        <w:rPr>
          <w:lang w:val="en-GB"/>
        </w:rPr>
        <w:t>9 dB</w:t>
      </w:r>
      <w:r w:rsidR="00697550">
        <w:rPr>
          <w:lang w:val="en-GB"/>
        </w:rPr>
        <w:t>.</w:t>
      </w:r>
    </w:p>
    <w:p w14:paraId="065F3D7C" w14:textId="77777777" w:rsidR="00697550" w:rsidRPr="00523933" w:rsidRDefault="00697550" w:rsidP="00697550">
      <w:pPr>
        <w:pStyle w:val="LetteredList"/>
        <w:numPr>
          <w:ilvl w:val="0"/>
          <w:numId w:val="0"/>
        </w:numPr>
        <w:rPr>
          <w:lang w:val="en-GB"/>
        </w:rPr>
      </w:pPr>
    </w:p>
    <w:p w14:paraId="3B097014" w14:textId="1029EE70" w:rsidR="00523933" w:rsidRPr="00523933" w:rsidRDefault="00697550" w:rsidP="00697550">
      <w:pPr>
        <w:pStyle w:val="ECCParagraph"/>
        <w:tabs>
          <w:tab w:val="left" w:pos="3686"/>
        </w:tabs>
        <w:spacing w:after="120"/>
        <w:rPr>
          <w:i/>
          <w:color w:val="D2232A"/>
        </w:rPr>
      </w:pPr>
      <w:r>
        <w:rPr>
          <w:i/>
          <w:color w:val="D2232A"/>
        </w:rPr>
        <w:t>Note</w:t>
      </w:r>
    </w:p>
    <w:p w14:paraId="741D7253" w14:textId="77777777" w:rsidR="00695971" w:rsidRPr="00523933" w:rsidRDefault="00695971" w:rsidP="00523933">
      <w:pPr>
        <w:pStyle w:val="LetteredList"/>
        <w:numPr>
          <w:ilvl w:val="0"/>
          <w:numId w:val="0"/>
        </w:numPr>
        <w:rPr>
          <w:i/>
          <w:lang w:val="en-GB"/>
        </w:rPr>
      </w:pPr>
      <w:r w:rsidRPr="00523933">
        <w:rPr>
          <w:i/>
          <w:lang w:val="en-GB"/>
        </w:rPr>
        <w:t>The calculation must take into account all interfering transmitters from the wanted Land Mobile Network as well as those from the nei</w:t>
      </w:r>
      <w:r w:rsidR="00523933">
        <w:rPr>
          <w:i/>
          <w:lang w:val="en-GB"/>
        </w:rPr>
        <w:t>ghbouring Land Mobile Networks.</w:t>
      </w:r>
    </w:p>
    <w:p w14:paraId="28B7C9CC" w14:textId="77777777" w:rsidR="00F02640" w:rsidRPr="00523933" w:rsidRDefault="00F02640" w:rsidP="00F02640">
      <w:pPr>
        <w:pStyle w:val="ECCParagraph"/>
        <w:keepNext/>
        <w:keepLines/>
        <w:jc w:val="center"/>
        <w:rPr>
          <w:noProof/>
          <w:szCs w:val="20"/>
          <w:lang w:eastAsia="hu-HU"/>
        </w:rPr>
      </w:pPr>
      <w:r w:rsidRPr="00523933">
        <w:rPr>
          <w:noProof/>
          <w:szCs w:val="20"/>
          <w:lang w:val="da-DK" w:eastAsia="da-DK"/>
        </w:rPr>
        <w:drawing>
          <wp:inline distT="0" distB="0" distL="0" distR="0" wp14:anchorId="04450042" wp14:editId="16D3E557">
            <wp:extent cx="5760000" cy="6205608"/>
            <wp:effectExtent l="247650" t="0" r="221700" b="0"/>
            <wp:docPr id="7" name="Kép 7" descr="fig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A2-1"/>
                    <pic:cNvPicPr>
                      <a:picLocks noChangeAspect="1" noChangeArrowheads="1"/>
                    </pic:cNvPicPr>
                  </pic:nvPicPr>
                  <pic:blipFill>
                    <a:blip r:embed="rId17"/>
                    <a:srcRect/>
                    <a:stretch>
                      <a:fillRect/>
                    </a:stretch>
                  </pic:blipFill>
                  <pic:spPr bwMode="auto">
                    <a:xfrm rot="16200000">
                      <a:off x="0" y="0"/>
                      <a:ext cx="5760000" cy="6205608"/>
                    </a:xfrm>
                    <a:prstGeom prst="rect">
                      <a:avLst/>
                    </a:prstGeom>
                    <a:noFill/>
                    <a:ln w="9525">
                      <a:noFill/>
                      <a:miter lim="800000"/>
                      <a:headEnd/>
                      <a:tailEnd/>
                    </a:ln>
                  </pic:spPr>
                </pic:pic>
              </a:graphicData>
            </a:graphic>
          </wp:inline>
        </w:drawing>
      </w:r>
    </w:p>
    <w:p w14:paraId="2DC56376" w14:textId="77777777" w:rsidR="00F02640" w:rsidRPr="00523933" w:rsidRDefault="00321381" w:rsidP="00F02640">
      <w:pPr>
        <w:pStyle w:val="ECCFiguretitle"/>
      </w:pPr>
      <w:bookmarkStart w:id="1" w:name="_Toc280099660"/>
      <w:r w:rsidRPr="00523933">
        <w:t>Receiver filter selectivity</w:t>
      </w:r>
    </w:p>
    <w:bookmarkEnd w:id="1"/>
    <w:p w14:paraId="0885833B" w14:textId="77777777" w:rsidR="00C74BE6" w:rsidRPr="00523933" w:rsidRDefault="00F02640" w:rsidP="00C74BE6">
      <w:pPr>
        <w:pStyle w:val="ECCAnnex-heading1"/>
      </w:pPr>
      <w:r w:rsidRPr="00523933">
        <w:lastRenderedPageBreak/>
        <w:t>TECHNICAL PARAMETERS NECESSARY FOR COORDINATION OF THE GSM SERVICE</w:t>
      </w:r>
    </w:p>
    <w:p w14:paraId="05082E5A" w14:textId="0EC67D24" w:rsidR="00F02640" w:rsidRPr="00523933" w:rsidRDefault="00F02640" w:rsidP="00F02640">
      <w:pPr>
        <w:pStyle w:val="ECCParagraph"/>
        <w:rPr>
          <w:i/>
        </w:rPr>
      </w:pPr>
      <w:r w:rsidRPr="00523933">
        <w:rPr>
          <w:i/>
        </w:rPr>
        <w:t>C/I ratios applicable to GSM 900, GSM-R and GSM 1800 systems</w:t>
      </w:r>
      <w:r w:rsidR="00697550">
        <w:rPr>
          <w:i/>
        </w:rPr>
        <w:t>.</w:t>
      </w:r>
    </w:p>
    <w:p w14:paraId="25E6E3DA" w14:textId="77777777" w:rsidR="00F02640" w:rsidRPr="00523933" w:rsidRDefault="00F02640" w:rsidP="00F02640">
      <w:pPr>
        <w:pStyle w:val="ECCParagraph"/>
      </w:pPr>
      <w:r w:rsidRPr="00523933">
        <w:t>The C/I ratio is the ratio between wanted signal power to interfering signal power at the receiver input during the active part of the GSM timeslot including multiple interferes.</w:t>
      </w:r>
    </w:p>
    <w:p w14:paraId="25BFDBAB" w14:textId="77777777" w:rsidR="00F02640" w:rsidRPr="00523933" w:rsidRDefault="00F02640" w:rsidP="00F02640">
      <w:pPr>
        <w:pStyle w:val="ECCParagraph"/>
      </w:pPr>
      <w:r w:rsidRPr="00523933">
        <w:t>The following C/I ratios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101"/>
        <w:gridCol w:w="1275"/>
        <w:gridCol w:w="1560"/>
        <w:gridCol w:w="1984"/>
        <w:gridCol w:w="1985"/>
        <w:gridCol w:w="1950"/>
      </w:tblGrid>
      <w:tr w:rsidR="00CE105B" w:rsidRPr="00523933" w14:paraId="7C82D25C" w14:textId="77777777" w:rsidTr="000E4EF1">
        <w:trPr>
          <w:tblHeader/>
        </w:trPr>
        <w:tc>
          <w:tcPr>
            <w:tcW w:w="1101"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4C5AEECF" w14:textId="77777777" w:rsidR="00CE105B" w:rsidRPr="00523933" w:rsidRDefault="00CE105B" w:rsidP="000E4EF1">
            <w:pPr>
              <w:spacing w:before="240" w:after="120"/>
              <w:jc w:val="center"/>
              <w:rPr>
                <w:b/>
                <w:color w:val="FFFFFF"/>
                <w:lang w:val="en-GB"/>
              </w:rPr>
            </w:pPr>
            <w:r w:rsidRPr="00523933">
              <w:rPr>
                <w:b/>
                <w:color w:val="FFFFFF"/>
                <w:lang w:val="en-GB"/>
              </w:rPr>
              <w:t>Wanted signal</w:t>
            </w:r>
          </w:p>
        </w:tc>
        <w:tc>
          <w:tcPr>
            <w:tcW w:w="1275"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788642C" w14:textId="77777777" w:rsidR="00CE105B" w:rsidRPr="00523933" w:rsidRDefault="00CE105B" w:rsidP="000E4EF1">
            <w:pPr>
              <w:spacing w:before="240" w:after="120"/>
              <w:jc w:val="center"/>
              <w:rPr>
                <w:b/>
                <w:color w:val="FFFFFF"/>
                <w:lang w:val="en-GB"/>
              </w:rPr>
            </w:pPr>
            <w:r w:rsidRPr="00523933">
              <w:rPr>
                <w:b/>
                <w:color w:val="FFFFFF"/>
                <w:lang w:val="en-GB"/>
              </w:rPr>
              <w:t>Interferer signal</w:t>
            </w:r>
          </w:p>
        </w:tc>
        <w:tc>
          <w:tcPr>
            <w:tcW w:w="156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2677D82F" w14:textId="77777777" w:rsidR="00CE105B" w:rsidRPr="00523933" w:rsidRDefault="00CE105B" w:rsidP="000E4EF1">
            <w:pPr>
              <w:spacing w:before="240" w:after="120"/>
              <w:jc w:val="center"/>
              <w:rPr>
                <w:b/>
                <w:color w:val="FFFFFF"/>
                <w:lang w:val="en-GB"/>
              </w:rPr>
            </w:pPr>
            <w:r w:rsidRPr="00523933">
              <w:rPr>
                <w:b/>
                <w:color w:val="FFFFFF"/>
                <w:lang w:val="en-GB"/>
              </w:rPr>
              <w:t>Co-channel interference</w:t>
            </w:r>
          </w:p>
        </w:tc>
        <w:tc>
          <w:tcPr>
            <w:tcW w:w="1984"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EAD41A3" w14:textId="77777777" w:rsidR="00CE105B" w:rsidRPr="00523933" w:rsidRDefault="00CE105B" w:rsidP="000E4EF1">
            <w:pPr>
              <w:spacing w:before="120" w:after="120"/>
              <w:jc w:val="center"/>
              <w:rPr>
                <w:b/>
                <w:color w:val="FFFFFF"/>
                <w:lang w:val="en-GB"/>
              </w:rPr>
            </w:pPr>
            <w:r w:rsidRPr="00523933">
              <w:rPr>
                <w:b/>
                <w:color w:val="FFFFFF"/>
                <w:lang w:val="en-GB"/>
              </w:rPr>
              <w:t>Adjacent channel interference</w:t>
            </w:r>
            <w:r w:rsidRPr="00523933">
              <w:rPr>
                <w:b/>
                <w:color w:val="FFFFFF"/>
                <w:lang w:val="en-GB"/>
              </w:rPr>
              <w:br/>
              <w:t>200 kHz</w:t>
            </w:r>
          </w:p>
        </w:tc>
        <w:tc>
          <w:tcPr>
            <w:tcW w:w="198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7BBFDC1" w14:textId="77777777" w:rsidR="00CE105B" w:rsidRPr="00523933" w:rsidRDefault="00CE105B" w:rsidP="000E4EF1">
            <w:pPr>
              <w:spacing w:before="120" w:after="120"/>
              <w:jc w:val="center"/>
              <w:rPr>
                <w:b/>
                <w:color w:val="FFFFFF"/>
                <w:lang w:val="en-GB"/>
              </w:rPr>
            </w:pPr>
            <w:r w:rsidRPr="00523933">
              <w:rPr>
                <w:b/>
                <w:color w:val="FFFFFF"/>
                <w:lang w:val="en-GB"/>
              </w:rPr>
              <w:t>Adjacent channel interference</w:t>
            </w:r>
            <w:r w:rsidRPr="00523933">
              <w:rPr>
                <w:b/>
                <w:color w:val="FFFFFF"/>
                <w:lang w:val="en-GB"/>
              </w:rPr>
              <w:br/>
              <w:t>400 kHz</w:t>
            </w:r>
          </w:p>
        </w:tc>
        <w:tc>
          <w:tcPr>
            <w:tcW w:w="1950"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4202B266" w14:textId="77777777" w:rsidR="00CE105B" w:rsidRPr="00523933" w:rsidRDefault="00CE105B" w:rsidP="000E4EF1">
            <w:pPr>
              <w:spacing w:before="120" w:after="120"/>
              <w:jc w:val="center"/>
              <w:rPr>
                <w:b/>
                <w:color w:val="FFFFFF"/>
                <w:lang w:val="en-GB"/>
              </w:rPr>
            </w:pPr>
            <w:r w:rsidRPr="00523933">
              <w:rPr>
                <w:b/>
                <w:color w:val="FFFFFF"/>
                <w:lang w:val="en-GB"/>
              </w:rPr>
              <w:t>Adjacent channel interference</w:t>
            </w:r>
            <w:r w:rsidRPr="00523933">
              <w:rPr>
                <w:b/>
                <w:color w:val="FFFFFF"/>
                <w:lang w:val="en-GB"/>
              </w:rPr>
              <w:br/>
              <w:t>600 kHz</w:t>
            </w:r>
          </w:p>
        </w:tc>
      </w:tr>
      <w:tr w:rsidR="00CE105B" w:rsidRPr="00523933" w14:paraId="474F5230" w14:textId="77777777" w:rsidTr="000E4EF1">
        <w:tc>
          <w:tcPr>
            <w:tcW w:w="1101" w:type="dxa"/>
            <w:tcBorders>
              <w:top w:val="single" w:sz="4" w:space="0" w:color="D2232A"/>
              <w:left w:val="single" w:sz="4" w:space="0" w:color="D2232A"/>
              <w:bottom w:val="single" w:sz="4" w:space="0" w:color="D2232A"/>
              <w:right w:val="single" w:sz="4" w:space="0" w:color="D2232A"/>
            </w:tcBorders>
          </w:tcPr>
          <w:p w14:paraId="41CD156C" w14:textId="77777777" w:rsidR="00CE105B" w:rsidRPr="00523933" w:rsidRDefault="00CE105B" w:rsidP="000E4EF1">
            <w:pPr>
              <w:spacing w:before="120" w:after="120"/>
              <w:rPr>
                <w:lang w:val="en-GB"/>
              </w:rPr>
            </w:pPr>
            <w:r w:rsidRPr="00523933">
              <w:rPr>
                <w:lang w:val="en-GB"/>
              </w:rPr>
              <w:t>GSM</w:t>
            </w:r>
          </w:p>
        </w:tc>
        <w:tc>
          <w:tcPr>
            <w:tcW w:w="1275" w:type="dxa"/>
            <w:tcBorders>
              <w:top w:val="single" w:sz="4" w:space="0" w:color="D2232A"/>
              <w:left w:val="single" w:sz="4" w:space="0" w:color="D2232A"/>
              <w:bottom w:val="single" w:sz="4" w:space="0" w:color="D2232A"/>
              <w:right w:val="single" w:sz="4" w:space="0" w:color="D2232A"/>
            </w:tcBorders>
          </w:tcPr>
          <w:p w14:paraId="73BBAFC4" w14:textId="77777777" w:rsidR="00CE105B" w:rsidRPr="00523933" w:rsidRDefault="00CE105B" w:rsidP="000E4EF1">
            <w:pPr>
              <w:spacing w:before="120" w:after="120"/>
              <w:rPr>
                <w:lang w:val="en-GB"/>
              </w:rPr>
            </w:pPr>
            <w:r w:rsidRPr="00523933">
              <w:rPr>
                <w:lang w:val="en-GB"/>
              </w:rPr>
              <w:t>GSM</w:t>
            </w:r>
          </w:p>
        </w:tc>
        <w:tc>
          <w:tcPr>
            <w:tcW w:w="1560" w:type="dxa"/>
            <w:tcBorders>
              <w:top w:val="single" w:sz="4" w:space="0" w:color="D2232A"/>
              <w:left w:val="single" w:sz="4" w:space="0" w:color="D2232A"/>
              <w:bottom w:val="single" w:sz="4" w:space="0" w:color="D2232A"/>
              <w:right w:val="single" w:sz="4" w:space="0" w:color="D2232A"/>
            </w:tcBorders>
          </w:tcPr>
          <w:p w14:paraId="0252E2C0" w14:textId="77777777" w:rsidR="00CE105B" w:rsidRPr="00523933" w:rsidRDefault="00CE105B" w:rsidP="000E4EF1">
            <w:pPr>
              <w:spacing w:before="120" w:after="120"/>
              <w:rPr>
                <w:lang w:val="en-GB"/>
              </w:rPr>
            </w:pPr>
            <w:r w:rsidRPr="00523933">
              <w:rPr>
                <w:lang w:val="en-GB"/>
              </w:rPr>
              <w:t>9 dB</w:t>
            </w:r>
          </w:p>
        </w:tc>
        <w:tc>
          <w:tcPr>
            <w:tcW w:w="1984" w:type="dxa"/>
            <w:tcBorders>
              <w:top w:val="single" w:sz="4" w:space="0" w:color="D2232A"/>
              <w:left w:val="single" w:sz="4" w:space="0" w:color="D2232A"/>
              <w:bottom w:val="single" w:sz="4" w:space="0" w:color="D2232A"/>
              <w:right w:val="single" w:sz="4" w:space="0" w:color="D2232A"/>
            </w:tcBorders>
          </w:tcPr>
          <w:p w14:paraId="40D18CA2" w14:textId="77777777" w:rsidR="00CE105B" w:rsidRPr="00523933" w:rsidRDefault="00CE105B" w:rsidP="000E4EF1">
            <w:pPr>
              <w:spacing w:before="120" w:after="120"/>
              <w:rPr>
                <w:lang w:val="en-GB"/>
              </w:rPr>
            </w:pPr>
            <w:r w:rsidRPr="00523933">
              <w:rPr>
                <w:lang w:val="en-GB"/>
              </w:rPr>
              <w:t>- 9 dB</w:t>
            </w:r>
          </w:p>
        </w:tc>
        <w:tc>
          <w:tcPr>
            <w:tcW w:w="1985" w:type="dxa"/>
            <w:tcBorders>
              <w:top w:val="single" w:sz="4" w:space="0" w:color="D2232A"/>
              <w:left w:val="single" w:sz="4" w:space="0" w:color="D2232A"/>
              <w:bottom w:val="single" w:sz="4" w:space="0" w:color="D2232A"/>
              <w:right w:val="single" w:sz="4" w:space="0" w:color="D2232A"/>
            </w:tcBorders>
          </w:tcPr>
          <w:p w14:paraId="420CF520" w14:textId="77777777" w:rsidR="00CE105B" w:rsidRPr="00523933" w:rsidRDefault="00CE105B" w:rsidP="000E4EF1">
            <w:pPr>
              <w:spacing w:before="120" w:after="120"/>
              <w:rPr>
                <w:lang w:val="en-GB"/>
              </w:rPr>
            </w:pPr>
            <w:r w:rsidRPr="00523933">
              <w:rPr>
                <w:lang w:val="en-GB"/>
              </w:rPr>
              <w:t>- 41 dB</w:t>
            </w:r>
          </w:p>
        </w:tc>
        <w:tc>
          <w:tcPr>
            <w:tcW w:w="1950" w:type="dxa"/>
            <w:tcBorders>
              <w:top w:val="single" w:sz="4" w:space="0" w:color="D2232A"/>
              <w:left w:val="single" w:sz="4" w:space="0" w:color="D2232A"/>
              <w:bottom w:val="single" w:sz="4" w:space="0" w:color="D2232A"/>
              <w:right w:val="single" w:sz="4" w:space="0" w:color="D2232A"/>
            </w:tcBorders>
          </w:tcPr>
          <w:p w14:paraId="0624A80B" w14:textId="77777777" w:rsidR="00CE105B" w:rsidRPr="00523933" w:rsidRDefault="00CE105B" w:rsidP="000E4EF1">
            <w:pPr>
              <w:spacing w:before="120" w:after="120"/>
              <w:rPr>
                <w:lang w:val="en-GB"/>
              </w:rPr>
            </w:pPr>
            <w:r w:rsidRPr="00523933">
              <w:rPr>
                <w:lang w:val="en-GB"/>
              </w:rPr>
              <w:t>- 49 dB</w:t>
            </w:r>
          </w:p>
        </w:tc>
      </w:tr>
    </w:tbl>
    <w:p w14:paraId="4910CB03" w14:textId="77777777" w:rsidR="00F02640" w:rsidRPr="00523933" w:rsidRDefault="00F02640" w:rsidP="00F02640">
      <w:pPr>
        <w:pStyle w:val="ECCParagraph"/>
      </w:pPr>
      <w:r w:rsidRPr="00523933">
        <w:t>Curves indicating</w:t>
      </w:r>
      <w:r w:rsidR="00384977" w:rsidRPr="00523933">
        <w:t xml:space="preserve"> </w:t>
      </w:r>
      <w:r w:rsidRPr="00523933">
        <w:t xml:space="preserve">C/I values for intermediate values of frequency offset are attached to this Annex. </w:t>
      </w:r>
    </w:p>
    <w:p w14:paraId="43CEF235" w14:textId="2E09C702" w:rsidR="00F02640" w:rsidRPr="00523933" w:rsidRDefault="00F02640" w:rsidP="00CE105B">
      <w:pPr>
        <w:pStyle w:val="ECCParagraph"/>
        <w:spacing w:before="240"/>
        <w:rPr>
          <w:b/>
          <w:i/>
        </w:rPr>
      </w:pPr>
      <w:r w:rsidRPr="00523933">
        <w:rPr>
          <w:b/>
          <w:i/>
        </w:rPr>
        <w:t xml:space="preserve">For GSM 900 </w:t>
      </w:r>
      <w:r w:rsidR="00B12DBF">
        <w:rPr>
          <w:b/>
          <w:i/>
        </w:rPr>
        <w:t xml:space="preserve">and </w:t>
      </w:r>
      <w:r w:rsidRPr="00523933">
        <w:rPr>
          <w:b/>
          <w:i/>
        </w:rPr>
        <w:t>GSM-R system:</w:t>
      </w:r>
    </w:p>
    <w:p w14:paraId="752EBD1B" w14:textId="77777777" w:rsidR="00F02640" w:rsidRPr="00523933" w:rsidRDefault="00F02640" w:rsidP="00CE105B">
      <w:pPr>
        <w:rPr>
          <w:lang w:val="en-GB"/>
        </w:rPr>
      </w:pPr>
      <w:r w:rsidRPr="00523933">
        <w:rPr>
          <w:lang w:val="en-GB"/>
        </w:rPr>
        <w:t>Minimum field strength to be protected (Emin) for mobile stations: 32 dB</w:t>
      </w:r>
      <w:r w:rsidR="00CE105B" w:rsidRPr="00523933">
        <w:rPr>
          <w:rFonts w:cs="Arial"/>
          <w:lang w:val="en-GB"/>
        </w:rPr>
        <w:t>μ</w:t>
      </w:r>
      <w:r w:rsidR="00B12DBF">
        <w:rPr>
          <w:rFonts w:cs="Arial"/>
          <w:lang w:val="en-GB"/>
        </w:rPr>
        <w:t>V</w:t>
      </w:r>
      <w:r w:rsidRPr="00523933">
        <w:rPr>
          <w:lang w:val="en-GB"/>
        </w:rPr>
        <w:t>/m</w:t>
      </w:r>
      <w:r w:rsidR="00B12DBF">
        <w:rPr>
          <w:lang w:val="en-GB"/>
        </w:rPr>
        <w:t>/200 kHz</w:t>
      </w:r>
    </w:p>
    <w:p w14:paraId="1D19BD8E" w14:textId="4E38EEA0" w:rsidR="00F02640" w:rsidRPr="00523933" w:rsidRDefault="00F02640" w:rsidP="00CE105B">
      <w:pPr>
        <w:rPr>
          <w:lang w:val="en-GB"/>
        </w:rPr>
      </w:pPr>
      <w:r w:rsidRPr="00523933">
        <w:rPr>
          <w:lang w:val="en-GB"/>
        </w:rPr>
        <w:t>(50% of location and 50% of time in the mobile receive band)</w:t>
      </w:r>
      <w:r w:rsidR="00592434">
        <w:rPr>
          <w:lang w:val="en-GB"/>
        </w:rPr>
        <w:t>.</w:t>
      </w:r>
    </w:p>
    <w:p w14:paraId="7F89B717" w14:textId="77777777" w:rsidR="00F02640" w:rsidRPr="00523933" w:rsidRDefault="00F02640" w:rsidP="00CE105B">
      <w:pPr>
        <w:pStyle w:val="ECCParagraph"/>
        <w:spacing w:before="240"/>
        <w:rPr>
          <w:b/>
          <w:i/>
        </w:rPr>
      </w:pPr>
      <w:r w:rsidRPr="00523933">
        <w:rPr>
          <w:b/>
          <w:i/>
        </w:rPr>
        <w:t>For GSM 1800 system</w:t>
      </w:r>
    </w:p>
    <w:p w14:paraId="6141EAA2" w14:textId="77777777" w:rsidR="00F02640" w:rsidRPr="00523933" w:rsidRDefault="00F02640" w:rsidP="00CE105B">
      <w:pPr>
        <w:rPr>
          <w:lang w:val="en-GB"/>
        </w:rPr>
      </w:pPr>
      <w:r w:rsidRPr="00523933">
        <w:rPr>
          <w:lang w:val="en-GB"/>
        </w:rPr>
        <w:t>Minimum field strength to be protected (Emin):</w:t>
      </w:r>
    </w:p>
    <w:p w14:paraId="38D33DAA" w14:textId="79274936" w:rsidR="00F02640" w:rsidRPr="00523933" w:rsidRDefault="00F02640" w:rsidP="002063AA">
      <w:pPr>
        <w:spacing w:before="120" w:after="120"/>
        <w:rPr>
          <w:lang w:val="en-GB"/>
        </w:rPr>
      </w:pPr>
      <w:r w:rsidRPr="00523933">
        <w:rPr>
          <w:lang w:val="en-GB"/>
        </w:rPr>
        <w:t>(50 % of location and 50 % of time)</w:t>
      </w:r>
      <w:r w:rsidR="00592434">
        <w:rPr>
          <w:lang w:val="en-GB"/>
        </w:rPr>
        <w:t>.</w:t>
      </w:r>
    </w:p>
    <w:p w14:paraId="1AF1836B" w14:textId="2AD1D7E7" w:rsidR="00F02640" w:rsidRPr="003C3811" w:rsidRDefault="00F02640" w:rsidP="00B12DBF">
      <w:pPr>
        <w:tabs>
          <w:tab w:val="right" w:pos="3969"/>
        </w:tabs>
        <w:rPr>
          <w:lang w:val="de-DE"/>
        </w:rPr>
      </w:pPr>
      <w:r w:rsidRPr="003C3811">
        <w:rPr>
          <w:lang w:val="de-DE"/>
        </w:rPr>
        <w:t>GSM-1800 MS</w:t>
      </w:r>
      <w:r w:rsidR="00CE105B" w:rsidRPr="003C3811">
        <w:rPr>
          <w:lang w:val="de-DE"/>
        </w:rPr>
        <w:tab/>
      </w:r>
      <w:r w:rsidRPr="003C3811">
        <w:rPr>
          <w:lang w:val="de-DE"/>
        </w:rPr>
        <w:t xml:space="preserve">42 dB </w:t>
      </w:r>
      <w:r w:rsidR="00321381" w:rsidRPr="003C3811">
        <w:rPr>
          <w:lang w:val="de-DE"/>
        </w:rPr>
        <w:t>µV/m</w:t>
      </w:r>
      <w:r w:rsidR="00B12DBF" w:rsidRPr="003C3811">
        <w:rPr>
          <w:lang w:val="de-DE"/>
        </w:rPr>
        <w:t>/200 kHz</w:t>
      </w:r>
      <w:r w:rsidR="00592434">
        <w:rPr>
          <w:lang w:val="de-DE"/>
        </w:rPr>
        <w:t>;</w:t>
      </w:r>
    </w:p>
    <w:p w14:paraId="3E4B5F7C" w14:textId="353D465B" w:rsidR="00F02640" w:rsidRPr="003C3811" w:rsidRDefault="00F02640" w:rsidP="00B12DBF">
      <w:pPr>
        <w:tabs>
          <w:tab w:val="right" w:pos="3969"/>
        </w:tabs>
        <w:rPr>
          <w:lang w:val="de-DE"/>
        </w:rPr>
      </w:pPr>
      <w:r w:rsidRPr="003C3811">
        <w:rPr>
          <w:lang w:val="de-DE"/>
        </w:rPr>
        <w:t>GSM-1800 BS</w:t>
      </w:r>
      <w:r w:rsidR="00CE105B" w:rsidRPr="003C3811">
        <w:rPr>
          <w:lang w:val="de-DE"/>
        </w:rPr>
        <w:tab/>
      </w:r>
      <w:r w:rsidR="00E81363" w:rsidRPr="003C3811">
        <w:rPr>
          <w:lang w:val="de-DE"/>
        </w:rPr>
        <w:t>3</w:t>
      </w:r>
      <w:r w:rsidR="00321381" w:rsidRPr="003C3811">
        <w:rPr>
          <w:lang w:val="de-DE"/>
        </w:rPr>
        <w:t>8 dB µV/m</w:t>
      </w:r>
      <w:r w:rsidR="00B12DBF" w:rsidRPr="003C3811">
        <w:rPr>
          <w:lang w:val="de-DE"/>
        </w:rPr>
        <w:t>/200 kHz</w:t>
      </w:r>
      <w:r w:rsidRPr="003C3811">
        <w:rPr>
          <w:lang w:val="de-DE"/>
        </w:rPr>
        <w:t>.</w:t>
      </w:r>
    </w:p>
    <w:p w14:paraId="6C9AFA0D" w14:textId="77777777" w:rsidR="00496432" w:rsidRPr="003C3811" w:rsidRDefault="00496432" w:rsidP="00B12DBF">
      <w:pPr>
        <w:pStyle w:val="ECCParagraph"/>
        <w:rPr>
          <w:lang w:val="de-DE"/>
        </w:rPr>
      </w:pPr>
    </w:p>
    <w:p w14:paraId="5B692543" w14:textId="7860E4C4" w:rsidR="00B12DBF" w:rsidRPr="00523933" w:rsidRDefault="00354ED7" w:rsidP="00697550">
      <w:pPr>
        <w:pStyle w:val="ECCParagraph"/>
        <w:spacing w:after="120"/>
        <w:rPr>
          <w:i/>
          <w:color w:val="D2232A"/>
        </w:rPr>
      </w:pPr>
      <w:r>
        <w:rPr>
          <w:i/>
          <w:color w:val="D2232A"/>
        </w:rPr>
        <w:t>Notes</w:t>
      </w:r>
    </w:p>
    <w:p w14:paraId="6BC75301" w14:textId="5AECB338" w:rsidR="000A6CEB" w:rsidRPr="00523933" w:rsidRDefault="00B12DBF" w:rsidP="00CE105B">
      <w:pPr>
        <w:pStyle w:val="ECCParagraph"/>
        <w:spacing w:before="240"/>
      </w:pPr>
      <w:r>
        <w:t xml:space="preserve">Values from ETSI TS </w:t>
      </w:r>
      <w:r w:rsidR="000C44D3" w:rsidRPr="000C44D3">
        <w:t>145 005</w:t>
      </w:r>
      <w:r>
        <w:t xml:space="preserve"> </w:t>
      </w:r>
      <w:r w:rsidR="00D65E95">
        <w:fldChar w:fldCharType="begin"/>
      </w:r>
      <w:r w:rsidR="00D65E95">
        <w:instrText xml:space="preserve"> REF _Ref462395945 \n \h </w:instrText>
      </w:r>
      <w:r w:rsidR="00D65E95">
        <w:fldChar w:fldCharType="separate"/>
      </w:r>
      <w:r w:rsidR="00DC780C">
        <w:t>[18]</w:t>
      </w:r>
      <w:r w:rsidR="00D65E95">
        <w:fldChar w:fldCharType="end"/>
      </w:r>
      <w:r w:rsidR="003C3811">
        <w:t xml:space="preserve"> </w:t>
      </w:r>
      <w:r>
        <w:t xml:space="preserve">– Digital cellular </w:t>
      </w:r>
      <w:r w:rsidRPr="00925736">
        <w:t>telecommunications system (Phase 2+); Radio Transmission and Reception</w:t>
      </w:r>
    </w:p>
    <w:p w14:paraId="58C83B22" w14:textId="77777777" w:rsidR="00F02640" w:rsidRPr="00523933" w:rsidRDefault="00F02640" w:rsidP="00CE105B">
      <w:pPr>
        <w:pStyle w:val="ECCParagraph"/>
        <w:keepNext/>
        <w:keepLines/>
        <w:jc w:val="center"/>
        <w:rPr>
          <w:noProof/>
          <w:szCs w:val="20"/>
          <w:lang w:eastAsia="hu-HU"/>
        </w:rPr>
      </w:pPr>
      <w:r w:rsidRPr="00523933">
        <w:rPr>
          <w:noProof/>
          <w:szCs w:val="20"/>
          <w:lang w:val="da-DK" w:eastAsia="da-DK"/>
        </w:rPr>
        <w:lastRenderedPageBreak/>
        <w:drawing>
          <wp:inline distT="0" distB="0" distL="0" distR="0" wp14:anchorId="182F0BB6" wp14:editId="5FE10854">
            <wp:extent cx="5760000" cy="6205608"/>
            <wp:effectExtent l="247650" t="0" r="221700" b="0"/>
            <wp:docPr id="10" name="Kép 10" descr="fig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A2-1"/>
                    <pic:cNvPicPr>
                      <a:picLocks noChangeAspect="1" noChangeArrowheads="1"/>
                    </pic:cNvPicPr>
                  </pic:nvPicPr>
                  <pic:blipFill>
                    <a:blip r:embed="rId17"/>
                    <a:srcRect/>
                    <a:stretch>
                      <a:fillRect/>
                    </a:stretch>
                  </pic:blipFill>
                  <pic:spPr bwMode="auto">
                    <a:xfrm rot="16200000">
                      <a:off x="0" y="0"/>
                      <a:ext cx="5760000" cy="6205608"/>
                    </a:xfrm>
                    <a:prstGeom prst="rect">
                      <a:avLst/>
                    </a:prstGeom>
                    <a:noFill/>
                    <a:ln w="9525">
                      <a:noFill/>
                      <a:miter lim="800000"/>
                      <a:headEnd/>
                      <a:tailEnd/>
                    </a:ln>
                  </pic:spPr>
                </pic:pic>
              </a:graphicData>
            </a:graphic>
          </wp:inline>
        </w:drawing>
      </w:r>
    </w:p>
    <w:p w14:paraId="1491653D" w14:textId="77777777" w:rsidR="00CE105B" w:rsidRPr="00523933" w:rsidRDefault="00321381" w:rsidP="00321381">
      <w:pPr>
        <w:pStyle w:val="ECCFiguretitle"/>
      </w:pPr>
      <w:r w:rsidRPr="00523933">
        <w:t>Receiver filter selectivity</w:t>
      </w:r>
    </w:p>
    <w:p w14:paraId="3D446386" w14:textId="1A5414DD" w:rsidR="000C44D3" w:rsidRDefault="000C44D3">
      <w:pPr>
        <w:rPr>
          <w:lang w:val="en-GB"/>
        </w:rPr>
      </w:pPr>
      <w:r>
        <w:br w:type="page"/>
      </w:r>
    </w:p>
    <w:p w14:paraId="26B11730" w14:textId="567883E8" w:rsidR="00F02640" w:rsidRDefault="000C44D3" w:rsidP="009264A0">
      <w:pPr>
        <w:pStyle w:val="ECCAnnex-heading1"/>
        <w:numPr>
          <w:ilvl w:val="0"/>
          <w:numId w:val="0"/>
        </w:numPr>
      </w:pPr>
      <w:r>
        <w:lastRenderedPageBreak/>
        <w:t>Annex 4: List of References</w:t>
      </w:r>
    </w:p>
    <w:p w14:paraId="737AAC90" w14:textId="7D8AC2BD" w:rsidR="00654336" w:rsidRDefault="003D2C7C" w:rsidP="00D65E95">
      <w:pPr>
        <w:pStyle w:val="reference"/>
      </w:pPr>
      <w:bookmarkStart w:id="2" w:name="_Ref213741794"/>
      <w:bookmarkStart w:id="3" w:name="_Ref462393346"/>
      <w:r>
        <w:t>C</w:t>
      </w:r>
      <w:r w:rsidR="00654336">
        <w:t>E</w:t>
      </w:r>
      <w:r>
        <w:t>PT</w:t>
      </w:r>
      <w:r w:rsidR="00654336">
        <w:t xml:space="preserve"> Recommendation T/R 20-0</w:t>
      </w:r>
      <w:bookmarkEnd w:id="2"/>
      <w:r w:rsidR="00654336">
        <w:t>8</w:t>
      </w:r>
      <w:bookmarkEnd w:id="3"/>
      <w:r w:rsidR="00D65E95">
        <w:t xml:space="preserve">: </w:t>
      </w:r>
      <w:r w:rsidR="00D65E95" w:rsidRPr="00D65E95">
        <w:t>Frequency planning and frequency coordination for the GSM system</w:t>
      </w:r>
      <w:r w:rsidR="009264A0">
        <w:t xml:space="preserve"> (withdrawn)</w:t>
      </w:r>
    </w:p>
    <w:p w14:paraId="443B0D11" w14:textId="4F5DD2DC" w:rsidR="00654336" w:rsidRDefault="003D2C7C" w:rsidP="00D65E95">
      <w:pPr>
        <w:pStyle w:val="reference"/>
      </w:pPr>
      <w:bookmarkStart w:id="4" w:name="_Ref462393354"/>
      <w:r>
        <w:t>C</w:t>
      </w:r>
      <w:r w:rsidR="00654336">
        <w:t>E</w:t>
      </w:r>
      <w:r>
        <w:t>PT</w:t>
      </w:r>
      <w:r w:rsidR="00654336">
        <w:t xml:space="preserve"> Recommendation T/R 22-07</w:t>
      </w:r>
      <w:bookmarkEnd w:id="4"/>
      <w:r w:rsidR="00D65E95">
        <w:t>:</w:t>
      </w:r>
      <w:r w:rsidR="00D65E95" w:rsidRPr="00D65E95">
        <w:t xml:space="preserve"> Frequency bands, planning and coordination for systems using the DCS 1800 standards</w:t>
      </w:r>
      <w:r w:rsidR="00D65E95">
        <w:t xml:space="preserve"> </w:t>
      </w:r>
      <w:r w:rsidR="009264A0">
        <w:t>(withdrawn)</w:t>
      </w:r>
    </w:p>
    <w:p w14:paraId="4BEE46BE" w14:textId="25ACB24A" w:rsidR="00654336" w:rsidRPr="003D2C7C" w:rsidRDefault="00C27CFB" w:rsidP="00C27CFB">
      <w:pPr>
        <w:pStyle w:val="reference"/>
      </w:pPr>
      <w:bookmarkStart w:id="5" w:name="_Ref485716280"/>
      <w:r w:rsidRPr="00C27CFB">
        <w:rPr>
          <w:szCs w:val="20"/>
        </w:rPr>
        <w:t xml:space="preserve">ERC Decision </w:t>
      </w:r>
      <w:r w:rsidR="0076771F">
        <w:rPr>
          <w:szCs w:val="20"/>
        </w:rPr>
        <w:t xml:space="preserve">(94)01 </w:t>
      </w:r>
      <w:r w:rsidRPr="00C27CFB">
        <w:rPr>
          <w:szCs w:val="20"/>
        </w:rPr>
        <w:t>of 24 October 1994 on the frequency bands to be designated for the coordinated introduction of the GSM digital pan-European communications system</w:t>
      </w:r>
      <w:bookmarkEnd w:id="5"/>
    </w:p>
    <w:p w14:paraId="3732B9BE" w14:textId="2D8F94FF" w:rsidR="003D2C7C" w:rsidRPr="003D2C7C" w:rsidRDefault="00D65E95" w:rsidP="00D65E95">
      <w:pPr>
        <w:pStyle w:val="reference"/>
      </w:pPr>
      <w:bookmarkStart w:id="6" w:name="_Ref485716310"/>
      <w:r w:rsidRPr="00D65E95">
        <w:rPr>
          <w:szCs w:val="20"/>
        </w:rPr>
        <w:t>ERC Decision</w:t>
      </w:r>
      <w:r w:rsidR="0076771F">
        <w:rPr>
          <w:szCs w:val="20"/>
        </w:rPr>
        <w:t xml:space="preserve"> (97)02</w:t>
      </w:r>
      <w:r w:rsidRPr="00D65E95">
        <w:rPr>
          <w:szCs w:val="20"/>
        </w:rPr>
        <w:t xml:space="preserve"> of 21 March 1997 on the extended frequency bands to be used for the GSM Digital Pan-European Communications System</w:t>
      </w:r>
      <w:bookmarkEnd w:id="6"/>
    </w:p>
    <w:p w14:paraId="2F4FF0C7" w14:textId="421EB5B1" w:rsidR="003D2C7C" w:rsidRPr="003D2C7C" w:rsidRDefault="00C27CFB" w:rsidP="00C27CFB">
      <w:pPr>
        <w:pStyle w:val="reference"/>
      </w:pPr>
      <w:bookmarkStart w:id="7" w:name="_Ref485716331"/>
      <w:r w:rsidRPr="00C27CFB">
        <w:rPr>
          <w:szCs w:val="20"/>
        </w:rPr>
        <w:t xml:space="preserve">ERC Decision </w:t>
      </w:r>
      <w:r w:rsidR="0076771F">
        <w:rPr>
          <w:szCs w:val="20"/>
        </w:rPr>
        <w:t xml:space="preserve">(95)03 </w:t>
      </w:r>
      <w:r w:rsidRPr="00C27CFB">
        <w:rPr>
          <w:szCs w:val="20"/>
        </w:rPr>
        <w:t>of 1 December 1995 on the frequency bands to be designated for the introduction of DCS 1800</w:t>
      </w:r>
      <w:bookmarkEnd w:id="7"/>
      <w:r>
        <w:rPr>
          <w:szCs w:val="20"/>
        </w:rPr>
        <w:t xml:space="preserve"> </w:t>
      </w:r>
    </w:p>
    <w:p w14:paraId="0F38C214" w14:textId="07EF7380" w:rsidR="003D2C7C" w:rsidRDefault="00D65E95" w:rsidP="00D65E95">
      <w:pPr>
        <w:pStyle w:val="reference"/>
      </w:pPr>
      <w:bookmarkStart w:id="8" w:name="_Ref485716342"/>
      <w:r w:rsidRPr="00D65E95">
        <w:t xml:space="preserve">ECC Decision </w:t>
      </w:r>
      <w:r w:rsidR="0076771F">
        <w:t xml:space="preserve">(02)05 </w:t>
      </w:r>
      <w:r w:rsidRPr="00D65E95">
        <w:t>of 8 March 2013 on the designation and availability of frequency bands for railway purposes in the 87</w:t>
      </w:r>
      <w:r w:rsidR="00D075DB">
        <w:t>6-880 MHz and 921-925 MHz bands</w:t>
      </w:r>
      <w:bookmarkEnd w:id="8"/>
    </w:p>
    <w:p w14:paraId="196E13C6" w14:textId="6FA099DF" w:rsidR="003D2C7C" w:rsidRPr="001D36A2" w:rsidRDefault="001D36A2" w:rsidP="00C27CFB">
      <w:pPr>
        <w:pStyle w:val="reference"/>
      </w:pPr>
      <w:bookmarkStart w:id="9" w:name="_Ref462393453"/>
      <w:r>
        <w:rPr>
          <w:lang w:val="en-GB"/>
        </w:rPr>
        <w:t xml:space="preserve">Directive </w:t>
      </w:r>
      <w:r w:rsidR="00CF14A2" w:rsidRPr="009E4D8A">
        <w:rPr>
          <w:lang w:val="en-GB"/>
        </w:rPr>
        <w:t>2008/57/EC</w:t>
      </w:r>
      <w:bookmarkEnd w:id="9"/>
      <w:r w:rsidR="00CF14A2" w:rsidRPr="009E4D8A">
        <w:rPr>
          <w:lang w:val="en-GB"/>
        </w:rPr>
        <w:t xml:space="preserve"> </w:t>
      </w:r>
      <w:r w:rsidR="00C27CFB" w:rsidRPr="00C27CFB">
        <w:rPr>
          <w:lang w:val="en-GB"/>
        </w:rPr>
        <w:t>OF THE EUROPEAN PARLIAMENT AND OF THE COUNCIL of 17 June 2008 on the interoperability of the rail system within the Community</w:t>
      </w:r>
    </w:p>
    <w:p w14:paraId="209D7F41" w14:textId="2FF4FA72" w:rsidR="001D36A2" w:rsidRPr="001D36A2" w:rsidRDefault="001D36A2" w:rsidP="00D075DB">
      <w:pPr>
        <w:pStyle w:val="reference"/>
      </w:pPr>
      <w:bookmarkStart w:id="10" w:name="_Ref462393537"/>
      <w:r w:rsidRPr="009E4D8A">
        <w:rPr>
          <w:lang w:val="en-GB"/>
        </w:rPr>
        <w:t>Commission Regulation (EU) 2016/919</w:t>
      </w:r>
      <w:bookmarkEnd w:id="10"/>
      <w:r w:rsidR="0076771F">
        <w:rPr>
          <w:lang w:val="en-GB"/>
        </w:rPr>
        <w:t xml:space="preserve"> </w:t>
      </w:r>
      <w:r w:rsidR="00D075DB" w:rsidRPr="00D075DB">
        <w:rPr>
          <w:lang w:val="en-GB"/>
        </w:rPr>
        <w:t>of 27 May 2016 on the technical specification for interoperability relating to the ‘control-command and signalling’ subsystems of the rail system in the European Union</w:t>
      </w:r>
    </w:p>
    <w:p w14:paraId="0744F332" w14:textId="2AF7DA97" w:rsidR="001D36A2" w:rsidRPr="001D36A2" w:rsidRDefault="00D65E95" w:rsidP="00D65E95">
      <w:pPr>
        <w:pStyle w:val="reference"/>
      </w:pPr>
      <w:bookmarkStart w:id="11" w:name="_Ref485716379"/>
      <w:r w:rsidRPr="00D65E95">
        <w:rPr>
          <w:lang w:val="en-GB"/>
        </w:rPr>
        <w:t>ECC Decision</w:t>
      </w:r>
      <w:r w:rsidR="00D075DB">
        <w:rPr>
          <w:lang w:val="en-GB"/>
        </w:rPr>
        <w:t xml:space="preserve"> </w:t>
      </w:r>
      <w:r w:rsidR="00D075DB" w:rsidRPr="009E4D8A">
        <w:rPr>
          <w:lang w:val="en-GB"/>
        </w:rPr>
        <w:t>(04)06</w:t>
      </w:r>
      <w:r w:rsidRPr="00D65E95">
        <w:rPr>
          <w:lang w:val="en-GB"/>
        </w:rPr>
        <w:t xml:space="preserve"> of 19 March 2004 on the availability of frequency bands for the introduction of Wide Band Digital Land Mobile PMR/PAMR in the 400 MHz and 800/900 MHz bands</w:t>
      </w:r>
      <w:bookmarkEnd w:id="11"/>
    </w:p>
    <w:p w14:paraId="7D99C58E" w14:textId="3CDC90A7" w:rsidR="001D36A2" w:rsidRDefault="001D36A2" w:rsidP="00C27CFB">
      <w:pPr>
        <w:pStyle w:val="reference"/>
      </w:pPr>
      <w:bookmarkStart w:id="12" w:name="_Ref462394380"/>
      <w:r>
        <w:t>ECC Report 162</w:t>
      </w:r>
      <w:bookmarkEnd w:id="12"/>
      <w:r w:rsidR="00C27CFB">
        <w:t xml:space="preserve">: </w:t>
      </w:r>
      <w:r w:rsidR="00C27CFB" w:rsidRPr="00C27CFB">
        <w:t>Practical mechanism to improve the compatibility between GSM-R and public mobile networks and guidance on practical coordination</w:t>
      </w:r>
    </w:p>
    <w:p w14:paraId="2ACEA0B8" w14:textId="7494E64D" w:rsidR="001D36A2" w:rsidRDefault="001D36A2" w:rsidP="00C27CFB">
      <w:pPr>
        <w:pStyle w:val="reference"/>
      </w:pPr>
      <w:bookmarkStart w:id="13" w:name="_Ref462394391"/>
      <w:r>
        <w:t>ECC Report 229</w:t>
      </w:r>
      <w:bookmarkEnd w:id="13"/>
      <w:r w:rsidR="00C27CFB">
        <w:t xml:space="preserve">: </w:t>
      </w:r>
      <w:r w:rsidR="00C27CFB" w:rsidRPr="00C27CFB">
        <w:t>Guidance for improving coexistence between GSM-R and MFCN in the 900 MHz band</w:t>
      </w:r>
    </w:p>
    <w:p w14:paraId="630E9B1A" w14:textId="128BAB23" w:rsidR="001D36A2" w:rsidRDefault="001D36A2" w:rsidP="00D65E95">
      <w:pPr>
        <w:pStyle w:val="reference"/>
      </w:pPr>
      <w:bookmarkStart w:id="14" w:name="_Ref462394440"/>
      <w:r>
        <w:t>EN 301 502</w:t>
      </w:r>
      <w:bookmarkEnd w:id="14"/>
      <w:r w:rsidR="00D65E95">
        <w:t xml:space="preserve">: </w:t>
      </w:r>
      <w:r w:rsidR="00D65E95" w:rsidRPr="00D65E95">
        <w:t>Global System for Mobile communications (GSM); Base Station (BS) equipment</w:t>
      </w:r>
    </w:p>
    <w:p w14:paraId="7A54EABB" w14:textId="7EA3398E" w:rsidR="001D36A2" w:rsidRDefault="001D36A2" w:rsidP="00D65E95">
      <w:pPr>
        <w:pStyle w:val="reference"/>
      </w:pPr>
      <w:bookmarkStart w:id="15" w:name="_Ref462394453"/>
      <w:r w:rsidRPr="00513DBC">
        <w:t>EN 301 511</w:t>
      </w:r>
      <w:bookmarkEnd w:id="15"/>
      <w:r w:rsidR="00D65E95">
        <w:t xml:space="preserve">: </w:t>
      </w:r>
      <w:r w:rsidR="00D65E95" w:rsidRPr="00D65E95">
        <w:t>Global System for Mobile communications (GSM); Mobile Stations (MS) equipment</w:t>
      </w:r>
    </w:p>
    <w:p w14:paraId="7FF515DB" w14:textId="7631EFE3" w:rsidR="001D36A2" w:rsidRDefault="001D36A2" w:rsidP="001D36A2">
      <w:pPr>
        <w:pStyle w:val="reference"/>
      </w:pPr>
      <w:bookmarkStart w:id="16" w:name="_Ref462394467"/>
      <w:r>
        <w:t xml:space="preserve">TS 102 933-1: </w:t>
      </w:r>
      <w:r w:rsidRPr="001D36A2">
        <w:t>Railway Telecommunications (RT); GSM-R improved receiver parameters; Part 1: Requirements for radio reception</w:t>
      </w:r>
      <w:bookmarkEnd w:id="16"/>
    </w:p>
    <w:p w14:paraId="5B7E4C1B" w14:textId="4E496031" w:rsidR="001D36A2" w:rsidRDefault="001D36A2" w:rsidP="001D36A2">
      <w:pPr>
        <w:pStyle w:val="reference"/>
      </w:pPr>
      <w:bookmarkStart w:id="17" w:name="_Ref462394480"/>
      <w:r>
        <w:t xml:space="preserve">TS 102 933-2: </w:t>
      </w:r>
      <w:r w:rsidRPr="001D36A2">
        <w:t>Railway Telecommunications (RT); GSM-R improved receiver parameters; Part 2: Radio conformance testing</w:t>
      </w:r>
      <w:bookmarkEnd w:id="17"/>
    </w:p>
    <w:p w14:paraId="53149D37" w14:textId="547B0D3F" w:rsidR="001D36A2" w:rsidRDefault="00D65E95" w:rsidP="00D65E95">
      <w:pPr>
        <w:pStyle w:val="reference"/>
      </w:pPr>
      <w:bookmarkStart w:id="18" w:name="_Ref485716412"/>
      <w:r w:rsidRPr="00D65E95">
        <w:t xml:space="preserve">ECC Decision </w:t>
      </w:r>
      <w:r w:rsidR="00D075DB" w:rsidRPr="000E4EF1">
        <w:t>(06)13</w:t>
      </w:r>
      <w:r w:rsidR="00D075DB">
        <w:t xml:space="preserve"> </w:t>
      </w:r>
      <w:r w:rsidRPr="00D65E95">
        <w:t>of 21 June 2013 on the designation of the bands 880-915 MHz, 925-960 MHz, 1710-1785 MHz and 1805-1880 MHz for terrestrial UMTS, LTE and WiMAX systems.</w:t>
      </w:r>
      <w:bookmarkEnd w:id="18"/>
    </w:p>
    <w:p w14:paraId="430A2D41" w14:textId="06780EDB" w:rsidR="000E4EF1" w:rsidRDefault="000E4EF1" w:rsidP="00D65E95">
      <w:pPr>
        <w:pStyle w:val="reference"/>
      </w:pPr>
      <w:bookmarkStart w:id="19" w:name="_Ref462394739"/>
      <w:r>
        <w:t>ECC Recommendation (08)02</w:t>
      </w:r>
      <w:bookmarkEnd w:id="19"/>
      <w:r w:rsidR="00D65E95">
        <w:t xml:space="preserve">: </w:t>
      </w:r>
      <w:r w:rsidR="00D65E95" w:rsidRPr="00D65E95">
        <w:t>Frequency planning and frequency coordination for GSM / UMTS / LTE / WiMAX Land Mobile systems operating within the 900 and 1800 MHz bands</w:t>
      </w:r>
    </w:p>
    <w:p w14:paraId="084CDAE9" w14:textId="16529BC5" w:rsidR="00D65E95" w:rsidRDefault="000E4EF1" w:rsidP="00D65E95">
      <w:pPr>
        <w:pStyle w:val="reference"/>
      </w:pPr>
      <w:bookmarkStart w:id="20" w:name="_Ref462395945"/>
      <w:r>
        <w:t xml:space="preserve">ETSI Technical Specification </w:t>
      </w:r>
      <w:r w:rsidR="00D65E95">
        <w:t xml:space="preserve">TS </w:t>
      </w:r>
      <w:r w:rsidRPr="000C44D3">
        <w:t>145 005</w:t>
      </w:r>
      <w:r w:rsidR="00D65E95">
        <w:t xml:space="preserve">: Digital cellular telecommunications system (Phase 2+) (GSM); </w:t>
      </w:r>
      <w:r w:rsidR="00D65E95" w:rsidRPr="00D65E95">
        <w:t>Radio transmission and reception</w:t>
      </w:r>
      <w:bookmarkEnd w:id="20"/>
    </w:p>
    <w:p w14:paraId="0F0B0C52" w14:textId="023F28FD" w:rsidR="00280547" w:rsidRDefault="00280547" w:rsidP="00280547">
      <w:pPr>
        <w:pStyle w:val="reference"/>
      </w:pPr>
      <w:r w:rsidRPr="00280547">
        <w:t>Commission Regulation (EU) 2016/919 of 27 May 2016 on the technical specification for interoperability relating to the ‘control-command and signalling’ subsystems of the rail system in the European Union</w:t>
      </w:r>
    </w:p>
    <w:p w14:paraId="2E106DF3" w14:textId="48F36FBC" w:rsidR="001D36A2" w:rsidRPr="00523933" w:rsidRDefault="001D36A2" w:rsidP="001D36A2">
      <w:pPr>
        <w:pStyle w:val="ECCParagraph"/>
        <w:jc w:val="left"/>
      </w:pPr>
    </w:p>
    <w:sectPr w:rsidR="001D36A2" w:rsidRPr="00523933" w:rsidSect="00C74BE6">
      <w:headerReference w:type="even" r:id="rId18"/>
      <w:headerReference w:type="default" r:id="rId19"/>
      <w:footerReference w:type="even" r:id="rId20"/>
      <w:footerReference w:type="default" r:id="rId21"/>
      <w:headerReference w:type="first" r:id="rId2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ED475" w14:textId="77777777" w:rsidR="008834B1" w:rsidRDefault="008834B1" w:rsidP="00C74BE6">
      <w:r>
        <w:separator/>
      </w:r>
    </w:p>
  </w:endnote>
  <w:endnote w:type="continuationSeparator" w:id="0">
    <w:p w14:paraId="118333DB" w14:textId="77777777" w:rsidR="008834B1" w:rsidRDefault="008834B1"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294F" w14:textId="3ED46FA1" w:rsidR="003E21EA" w:rsidRDefault="003E21EA">
    <w:pPr>
      <w:pStyle w:val="Footer"/>
    </w:pPr>
    <w:r w:rsidRPr="009264A0">
      <w:rPr>
        <w:sz w:val="18"/>
        <w:szCs w:val="18"/>
        <w:lang w:val="da-DK"/>
      </w:rPr>
      <w:t xml:space="preserve">Edition </w:t>
    </w:r>
    <w:r w:rsidR="00757A26">
      <w:rPr>
        <w:sz w:val="18"/>
        <w:szCs w:val="18"/>
        <w:lang w:val="da-DK"/>
      </w:rPr>
      <w:t>3 February</w:t>
    </w:r>
    <w:r w:rsidRPr="009264A0">
      <w:rPr>
        <w:sz w:val="18"/>
        <w:szCs w:val="18"/>
        <w:lang w:val="da-DK"/>
      </w:rPr>
      <w:t xml:space="preserve"> 201</w:t>
    </w:r>
    <w:r w:rsidR="009264A0" w:rsidRPr="009264A0">
      <w:rPr>
        <w:sz w:val="18"/>
        <w:szCs w:val="18"/>
        <w:lang w:val="da-DK"/>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B85E9" w14:textId="4BE98AFE" w:rsidR="003E21EA" w:rsidRDefault="003E21EA">
    <w:pPr>
      <w:pStyle w:val="Footer"/>
    </w:pPr>
    <w:r w:rsidRPr="009264A0">
      <w:rPr>
        <w:sz w:val="18"/>
        <w:szCs w:val="18"/>
        <w:lang w:val="da-DK"/>
      </w:rPr>
      <w:t xml:space="preserve">Edition </w:t>
    </w:r>
    <w:r w:rsidR="00757A26">
      <w:rPr>
        <w:sz w:val="18"/>
        <w:szCs w:val="18"/>
        <w:lang w:val="da-DK"/>
      </w:rPr>
      <w:t>3 February</w:t>
    </w:r>
    <w:r w:rsidRPr="009264A0">
      <w:rPr>
        <w:sz w:val="18"/>
        <w:szCs w:val="18"/>
        <w:lang w:val="da-DK"/>
      </w:rPr>
      <w:t xml:space="preserve"> 201</w:t>
    </w:r>
    <w:r w:rsidR="009264A0" w:rsidRPr="009264A0">
      <w:rPr>
        <w:sz w:val="18"/>
        <w:szCs w:val="18"/>
        <w:lang w:val="da-DK"/>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1A4D" w14:textId="1FBDF73A" w:rsidR="003E21EA" w:rsidRPr="00822AE0" w:rsidRDefault="003E21EA">
    <w:pPr>
      <w:pStyle w:val="Footer"/>
      <w:rPr>
        <w:sz w:val="18"/>
        <w:szCs w:val="18"/>
        <w:lang w:val="da-DK"/>
      </w:rPr>
    </w:pPr>
    <w:r w:rsidRPr="009264A0">
      <w:rPr>
        <w:sz w:val="18"/>
        <w:szCs w:val="18"/>
        <w:lang w:val="da-DK"/>
      </w:rPr>
      <w:t xml:space="preserve">Edition </w:t>
    </w:r>
    <w:r w:rsidR="003C3811">
      <w:rPr>
        <w:sz w:val="18"/>
        <w:szCs w:val="18"/>
        <w:lang w:val="da-DK"/>
      </w:rPr>
      <w:t xml:space="preserve">3 </w:t>
    </w:r>
    <w:r w:rsidR="00757A26">
      <w:rPr>
        <w:sz w:val="18"/>
        <w:szCs w:val="18"/>
        <w:lang w:val="da-DK"/>
      </w:rPr>
      <w:t>Febr</w:t>
    </w:r>
    <w:r w:rsidR="003C3811">
      <w:rPr>
        <w:sz w:val="18"/>
        <w:szCs w:val="18"/>
        <w:lang w:val="da-DK"/>
      </w:rPr>
      <w:t>uary</w:t>
    </w:r>
    <w:r w:rsidRPr="009264A0">
      <w:rPr>
        <w:sz w:val="18"/>
        <w:szCs w:val="18"/>
        <w:lang w:val="da-DK"/>
      </w:rPr>
      <w:t xml:space="preserve"> 201</w:t>
    </w:r>
    <w:r w:rsidR="009264A0" w:rsidRPr="009264A0">
      <w:rPr>
        <w:sz w:val="18"/>
        <w:szCs w:val="18"/>
        <w:lang w:val="da-DK"/>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0492" w14:textId="77777777" w:rsidR="00757A26" w:rsidRDefault="00757A26">
    <w:pPr>
      <w:pStyle w:val="Footer"/>
    </w:pPr>
    <w:r w:rsidRPr="009264A0">
      <w:rPr>
        <w:sz w:val="18"/>
        <w:szCs w:val="18"/>
        <w:lang w:val="da-DK"/>
      </w:rPr>
      <w:t xml:space="preserve">Edition </w:t>
    </w:r>
    <w:r>
      <w:rPr>
        <w:sz w:val="18"/>
        <w:szCs w:val="18"/>
        <w:lang w:val="da-DK"/>
      </w:rPr>
      <w:t>3 February</w:t>
    </w:r>
    <w:r w:rsidRPr="009264A0">
      <w:rPr>
        <w:sz w:val="18"/>
        <w:szCs w:val="18"/>
        <w:lang w:val="da-DK"/>
      </w:rPr>
      <w:t xml:space="preserv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8FC2F" w14:textId="77777777" w:rsidR="00757A26" w:rsidRDefault="00757A26">
    <w:pPr>
      <w:pStyle w:val="Footer"/>
    </w:pPr>
    <w:r w:rsidRPr="009264A0">
      <w:rPr>
        <w:sz w:val="18"/>
        <w:szCs w:val="18"/>
        <w:lang w:val="da-DK"/>
      </w:rPr>
      <w:t xml:space="preserve">Edition </w:t>
    </w:r>
    <w:r>
      <w:rPr>
        <w:sz w:val="18"/>
        <w:szCs w:val="18"/>
        <w:lang w:val="da-DK"/>
      </w:rPr>
      <w:t>3 February</w:t>
    </w:r>
    <w:r w:rsidRPr="009264A0">
      <w:rPr>
        <w:sz w:val="18"/>
        <w:szCs w:val="18"/>
        <w:lang w:val="da-DK"/>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B5CE9" w14:textId="77777777" w:rsidR="008834B1" w:rsidRDefault="008834B1" w:rsidP="00C74BE6">
      <w:r>
        <w:separator/>
      </w:r>
    </w:p>
  </w:footnote>
  <w:footnote w:type="continuationSeparator" w:id="0">
    <w:p w14:paraId="107B913C" w14:textId="77777777" w:rsidR="008834B1" w:rsidRDefault="008834B1" w:rsidP="00C74BE6">
      <w:r>
        <w:continuationSeparator/>
      </w:r>
    </w:p>
  </w:footnote>
  <w:footnote w:id="1">
    <w:p w14:paraId="519A251A" w14:textId="2D985FA5" w:rsidR="003E21EA" w:rsidRPr="00871067" w:rsidRDefault="003E21EA" w:rsidP="00871067">
      <w:pPr>
        <w:pStyle w:val="ECCFootnote"/>
        <w:rPr>
          <w:lang w:val="hu-HU"/>
        </w:rPr>
      </w:pPr>
      <w:r w:rsidRPr="00757A26">
        <w:rPr>
          <w:rStyle w:val="FootnoteReference"/>
          <w:color w:val="auto"/>
        </w:rPr>
        <w:footnoteRef/>
      </w:r>
      <w:r>
        <w:t xml:space="preserve"> </w:t>
      </w:r>
      <w:r w:rsidRPr="00871067">
        <w:t xml:space="preserve">Agreement between the administrations of Austria, Belgium, the Czech Republic, Germany, France, Hungary, the Netherlands, Croatia, Italy, Liechtenstein, Lithuania, Luxembourg, Poland, Romania, the Slovak Republic, Slovenia and Switzerland on the Coordination of frequencies between 29.7 MHz and </w:t>
      </w:r>
      <w:r>
        <w:t>43</w:t>
      </w:r>
      <w:r w:rsidRPr="00871067">
        <w:t xml:space="preserve">.5 GHz for </w:t>
      </w:r>
      <w:r>
        <w:t xml:space="preserve">the </w:t>
      </w:r>
      <w:r w:rsidRPr="00871067">
        <w:t xml:space="preserve">Fixed Service and </w:t>
      </w:r>
      <w:r>
        <w:t xml:space="preserve">the </w:t>
      </w:r>
      <w:r w:rsidRPr="00871067">
        <w:t xml:space="preserve">Land Mobile Service. The latest version of this agreement can be found from </w:t>
      </w:r>
      <w:hyperlink r:id="rId1" w:history="1">
        <w:r w:rsidRPr="0048424E">
          <w:t>http://www.hcm-agreement.eu/</w:t>
        </w:r>
      </w:hyperlink>
    </w:p>
  </w:footnote>
  <w:footnote w:id="2">
    <w:p w14:paraId="378E2401" w14:textId="07B0B187" w:rsidR="003E21EA" w:rsidRPr="00E103FC" w:rsidRDefault="003E21EA" w:rsidP="00E103FC">
      <w:pPr>
        <w:pStyle w:val="ECCFootnote"/>
        <w:rPr>
          <w:lang w:val="hu-HU"/>
        </w:rPr>
      </w:pPr>
      <w:r w:rsidRPr="000E4EF1">
        <w:rPr>
          <w:rStyle w:val="FootnoteReference"/>
          <w:color w:val="auto"/>
        </w:rPr>
        <w:footnoteRef/>
      </w:r>
      <w:r w:rsidRPr="000E4EF1">
        <w:t xml:space="preserve"> </w:t>
      </w:r>
      <w:r>
        <w:t>Agreement</w:t>
      </w:r>
      <w:r w:rsidRPr="00E103FC">
        <w:t xml:space="preserve"> between </w:t>
      </w:r>
      <w:r w:rsidRPr="00523933">
        <w:t xml:space="preserve">the administrations of Austria, Belgium, the Czech Republic, Germany, France, Hungary, the Netherlands, Croatia, Italy, Liechtenstein, Lithuania, Luxembourg, Poland, Romania, the Slovak Republic, Slovenia and Switzerland on the Coordination of frequencies between 29.7 MHz and </w:t>
      </w:r>
      <w:r>
        <w:t>43</w:t>
      </w:r>
      <w:r w:rsidRPr="00523933">
        <w:t xml:space="preserve">.5 GHz for </w:t>
      </w:r>
      <w:r>
        <w:t xml:space="preserve">the </w:t>
      </w:r>
      <w:r w:rsidRPr="00523933">
        <w:t xml:space="preserve">Fixed Service and </w:t>
      </w:r>
      <w:r>
        <w:t xml:space="preserve">the </w:t>
      </w:r>
      <w:r w:rsidRPr="00523933">
        <w:t>Land Mobile Service</w:t>
      </w:r>
      <w:r w:rsidRPr="00E103FC">
        <w:t xml:space="preserve">. The latest version of this agreement can be found from </w:t>
      </w:r>
      <w:hyperlink r:id="rId2" w:history="1">
        <w:r w:rsidRPr="004B487E">
          <w:t>http://www.hcm-agreement.eu/</w:t>
        </w:r>
      </w:hyperlink>
    </w:p>
  </w:footnote>
  <w:footnote w:id="3">
    <w:p w14:paraId="34CB6473" w14:textId="739E1D2E" w:rsidR="003E21EA" w:rsidRPr="009956F7" w:rsidRDefault="003E21EA" w:rsidP="00D72352">
      <w:pPr>
        <w:pStyle w:val="ECCFootnote"/>
      </w:pPr>
      <w:r w:rsidRPr="000E4EF1">
        <w:rPr>
          <w:rStyle w:val="FootnoteReference"/>
          <w:color w:val="auto"/>
        </w:rPr>
        <w:footnoteRef/>
      </w:r>
      <w:r w:rsidR="00757A26">
        <w:rPr>
          <w:lang w:val="en-GB"/>
        </w:rPr>
        <w:t xml:space="preserve"> F</w:t>
      </w:r>
      <w:r>
        <w:rPr>
          <w:lang w:val="en-GB"/>
        </w:rPr>
        <w:t xml:space="preserve">or example </w:t>
      </w:r>
      <w:r w:rsidRPr="000A6CEB">
        <w:rPr>
          <w:lang w:val="en-GB"/>
        </w:rPr>
        <w:t>HCM (</w:t>
      </w:r>
      <w:r w:rsidRPr="009264A0">
        <w:rPr>
          <w:lang w:val="en-GB"/>
        </w:rPr>
        <w:t>Harmonised Calculation Method</w:t>
      </w:r>
      <w:r w:rsidRPr="00513DBC">
        <w:t>)</w:t>
      </w:r>
      <w:r>
        <w:t xml:space="preserve"> </w:t>
      </w:r>
      <w:r>
        <w:rPr>
          <w:lang w:val="en-GB"/>
        </w:rPr>
        <w:t>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B2BA" w14:textId="2873DB61" w:rsidR="003E21EA" w:rsidRPr="007C5F95" w:rsidRDefault="003E21EA">
    <w:pPr>
      <w:pStyle w:val="Header"/>
      <w:rPr>
        <w:b w:val="0"/>
        <w:lang w:val="da-DK"/>
      </w:rPr>
    </w:pPr>
    <w:r w:rsidRPr="007C5F95">
      <w:rPr>
        <w:b w:val="0"/>
        <w:lang w:val="da-DK"/>
      </w:rPr>
      <w:t>Draft ECC REPORT XXX</w:t>
    </w:r>
  </w:p>
  <w:p w14:paraId="26408C79" w14:textId="77777777" w:rsidR="003E21EA" w:rsidRPr="007C5F95" w:rsidRDefault="003E21EA">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AB45" w14:textId="7FB3CE1C" w:rsidR="003E21EA" w:rsidRPr="007C5F95" w:rsidRDefault="003E21EA" w:rsidP="00C74BE6">
    <w:pPr>
      <w:pStyle w:val="Header"/>
      <w:jc w:val="right"/>
      <w:rPr>
        <w:b w:val="0"/>
        <w:lang w:val="da-DK"/>
      </w:rPr>
    </w:pPr>
    <w:r w:rsidRPr="007C5F95">
      <w:rPr>
        <w:b w:val="0"/>
        <w:lang w:val="da-DK"/>
      </w:rPr>
      <w:t>Draft ECC REPORT XXX</w:t>
    </w:r>
  </w:p>
  <w:p w14:paraId="3C464DA8" w14:textId="77777777" w:rsidR="003E21EA" w:rsidRPr="007C5F95" w:rsidRDefault="003E21EA"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523933">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32179" w14:textId="626A70BD" w:rsidR="003E21EA" w:rsidRDefault="003E21EA">
    <w:pPr>
      <w:pStyle w:val="Header"/>
    </w:pPr>
    <w:r>
      <w:rPr>
        <w:noProof/>
        <w:szCs w:val="20"/>
        <w:lang w:val="da-DK" w:eastAsia="da-DK"/>
      </w:rPr>
      <w:drawing>
        <wp:anchor distT="0" distB="0" distL="114300" distR="114300" simplePos="0" relativeHeight="251658240" behindDoc="0" locked="0" layoutInCell="1" allowOverlap="1" wp14:anchorId="2E55287F" wp14:editId="13FF5C31">
          <wp:simplePos x="0" y="0"/>
          <wp:positionH relativeFrom="page">
            <wp:posOffset>5717540</wp:posOffset>
          </wp:positionH>
          <wp:positionV relativeFrom="page">
            <wp:posOffset>648335</wp:posOffset>
          </wp:positionV>
          <wp:extent cx="1461770" cy="546100"/>
          <wp:effectExtent l="25400" t="0" r="11430" b="0"/>
          <wp:wrapNone/>
          <wp:docPr id="15" name="Picture 1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4680854A" wp14:editId="4B863848">
          <wp:simplePos x="0" y="0"/>
          <wp:positionH relativeFrom="page">
            <wp:posOffset>572770</wp:posOffset>
          </wp:positionH>
          <wp:positionV relativeFrom="page">
            <wp:posOffset>457200</wp:posOffset>
          </wp:positionV>
          <wp:extent cx="889000" cy="889000"/>
          <wp:effectExtent l="25400" t="0" r="0" b="0"/>
          <wp:wrapNone/>
          <wp:docPr id="16" name="Picture 1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E87CE" w14:textId="75DEC290" w:rsidR="003E21EA" w:rsidRPr="007C5F95" w:rsidRDefault="003E21EA">
    <w:pPr>
      <w:pStyle w:val="Header"/>
      <w:rPr>
        <w:szCs w:val="16"/>
        <w:lang w:val="da-DK"/>
      </w:rPr>
    </w:pPr>
    <w:r>
      <w:rPr>
        <w:lang w:val="da-DK"/>
      </w:rPr>
      <w:t>ECC/REC/</w:t>
    </w:r>
    <w:r w:rsidRPr="007C5F95">
      <w:rPr>
        <w:lang w:val="da-DK"/>
      </w:rPr>
      <w:t>(</w:t>
    </w:r>
    <w:r>
      <w:rPr>
        <w:lang w:val="da-DK"/>
      </w:rPr>
      <w:t>05</w:t>
    </w:r>
    <w:r w:rsidRPr="007C5F95">
      <w:rPr>
        <w:lang w:val="da-DK"/>
      </w:rPr>
      <w:t>)</w:t>
    </w:r>
    <w:r>
      <w:rPr>
        <w:lang w:val="da-DK"/>
      </w:rPr>
      <w:t>08</w:t>
    </w:r>
    <w:r>
      <w:rPr>
        <w:szCs w:val="16"/>
        <w:lang w:val="da-DK"/>
      </w:rPr>
      <w:t xml:space="preserve"> Page </w:t>
    </w:r>
    <w:r>
      <w:fldChar w:fldCharType="begin"/>
    </w:r>
    <w:r>
      <w:instrText xml:space="preserve"> PAGE  \* Arabic  \* MERGEFORMAT </w:instrText>
    </w:r>
    <w:r>
      <w:fldChar w:fldCharType="separate"/>
    </w:r>
    <w:r w:rsidR="00695AA4">
      <w:rPr>
        <w:noProof/>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D5D6" w14:textId="026795DB" w:rsidR="003E21EA" w:rsidRPr="007C5F95" w:rsidRDefault="003E21EA" w:rsidP="00C74BE6">
    <w:pPr>
      <w:pStyle w:val="Header"/>
      <w:jc w:val="right"/>
      <w:rPr>
        <w:szCs w:val="16"/>
        <w:lang w:val="da-DK"/>
      </w:rPr>
    </w:pPr>
    <w:r>
      <w:rPr>
        <w:lang w:val="da-DK"/>
      </w:rPr>
      <w:t>ECC/REC/</w:t>
    </w:r>
    <w:r w:rsidRPr="007C5F95">
      <w:rPr>
        <w:lang w:val="da-DK"/>
      </w:rPr>
      <w:t>(</w:t>
    </w:r>
    <w:r>
      <w:rPr>
        <w:lang w:val="da-DK"/>
      </w:rPr>
      <w:t>05</w:t>
    </w:r>
    <w:r w:rsidRPr="007C5F95">
      <w:rPr>
        <w:lang w:val="da-DK"/>
      </w:rPr>
      <w:t>)</w:t>
    </w:r>
    <w:r>
      <w:rPr>
        <w:lang w:val="da-DK"/>
      </w:rPr>
      <w:t>08</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95AA4">
      <w:rPr>
        <w:noProof/>
      </w:rPr>
      <w:t>13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F7A9" w14:textId="2FF6F904" w:rsidR="003E21EA" w:rsidRPr="001223D0" w:rsidRDefault="003E21EA"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2F4188"/>
    <w:multiLevelType w:val="multilevel"/>
    <w:tmpl w:val="06BCAF00"/>
    <w:lvl w:ilvl="0">
      <w:start w:val="1"/>
      <w:numFmt w:val="decimal"/>
      <w:pStyle w:val="ECCAnnex-heading1"/>
      <w:suff w:val="space"/>
      <w:lvlText w:val="ANNEX %1:"/>
      <w:lvlJc w:val="left"/>
      <w:pPr>
        <w:ind w:left="0" w:firstLine="0"/>
      </w:pPr>
      <w:rPr>
        <w:i w:val="0"/>
        <w:iCs w:val="0"/>
        <w:smallCaps w:val="0"/>
        <w:strike w:val="0"/>
        <w:dstrike w:val="0"/>
        <w:noProof w:val="0"/>
        <w:vanish w:val="0"/>
        <w:color w:val="D2232A"/>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81C57F7"/>
    <w:multiLevelType w:val="multilevel"/>
    <w:tmpl w:val="E522FFDE"/>
    <w:lvl w:ilvl="0">
      <w:start w:val="1"/>
      <w:numFmt w:val="lowerLetter"/>
      <w:pStyle w:val="LetteredList"/>
      <w:lvlText w:val="%1)"/>
      <w:lvlJc w:val="left"/>
      <w:pPr>
        <w:ind w:left="1070" w:hanging="360"/>
      </w:pPr>
      <w:rPr>
        <w:rFonts w:ascii="Arial" w:hAnsi="Arial" w:hint="default"/>
        <w:b w:val="0"/>
        <w:bCs w:val="0"/>
        <w:i w:val="0"/>
        <w:iCs w:val="0"/>
        <w:color w:val="D2232A"/>
        <w:sz w:val="20"/>
        <w:szCs w:val="20"/>
      </w:rPr>
    </w:lvl>
    <w:lvl w:ilvl="1">
      <w:start w:val="1"/>
      <w:numFmt w:val="none"/>
      <w:lvlText w:val=""/>
      <w:lvlJc w:val="left"/>
      <w:pPr>
        <w:tabs>
          <w:tab w:val="num" w:pos="1790"/>
        </w:tabs>
        <w:ind w:left="1790" w:hanging="360"/>
      </w:pPr>
      <w:rPr>
        <w:rFonts w:hint="default"/>
      </w:rPr>
    </w:lvl>
    <w:lvl w:ilvl="2">
      <w:start w:val="1"/>
      <w:numFmt w:val="none"/>
      <w:lvlText w:val=""/>
      <w:lvlJc w:val="right"/>
      <w:pPr>
        <w:tabs>
          <w:tab w:val="num" w:pos="2510"/>
        </w:tabs>
        <w:ind w:left="2510" w:hanging="180"/>
      </w:pPr>
      <w:rPr>
        <w:rFonts w:hint="default"/>
      </w:rPr>
    </w:lvl>
    <w:lvl w:ilvl="3">
      <w:start w:val="1"/>
      <w:numFmt w:val="none"/>
      <w:lvlText w:val=""/>
      <w:lvlJc w:val="left"/>
      <w:pPr>
        <w:tabs>
          <w:tab w:val="num" w:pos="3230"/>
        </w:tabs>
        <w:ind w:left="3230" w:hanging="360"/>
      </w:pPr>
      <w:rPr>
        <w:rFonts w:hint="default"/>
      </w:rPr>
    </w:lvl>
    <w:lvl w:ilvl="4">
      <w:start w:val="1"/>
      <w:numFmt w:val="none"/>
      <w:lvlText w:val=""/>
      <w:lvlJc w:val="left"/>
      <w:pPr>
        <w:tabs>
          <w:tab w:val="num" w:pos="3950"/>
        </w:tabs>
        <w:ind w:left="3950" w:hanging="360"/>
      </w:pPr>
      <w:rPr>
        <w:rFonts w:hint="default"/>
      </w:rPr>
    </w:lvl>
    <w:lvl w:ilvl="5">
      <w:start w:val="1"/>
      <w:numFmt w:val="none"/>
      <w:lvlText w:val=""/>
      <w:lvlJc w:val="right"/>
      <w:pPr>
        <w:tabs>
          <w:tab w:val="num" w:pos="4670"/>
        </w:tabs>
        <w:ind w:left="4670" w:hanging="180"/>
      </w:pPr>
      <w:rPr>
        <w:rFonts w:hint="default"/>
      </w:rPr>
    </w:lvl>
    <w:lvl w:ilvl="6">
      <w:start w:val="1"/>
      <w:numFmt w:val="none"/>
      <w:lvlText w:val=""/>
      <w:lvlJc w:val="left"/>
      <w:pPr>
        <w:tabs>
          <w:tab w:val="num" w:pos="5390"/>
        </w:tabs>
        <w:ind w:left="5390" w:hanging="360"/>
      </w:pPr>
      <w:rPr>
        <w:rFonts w:hint="default"/>
      </w:rPr>
    </w:lvl>
    <w:lvl w:ilvl="7">
      <w:start w:val="1"/>
      <w:numFmt w:val="none"/>
      <w:lvlText w:val=""/>
      <w:lvlJc w:val="left"/>
      <w:pPr>
        <w:tabs>
          <w:tab w:val="num" w:pos="6110"/>
        </w:tabs>
        <w:ind w:left="6110" w:hanging="360"/>
      </w:pPr>
      <w:rPr>
        <w:rFonts w:hint="default"/>
      </w:rPr>
    </w:lvl>
    <w:lvl w:ilvl="8">
      <w:start w:val="1"/>
      <w:numFmt w:val="none"/>
      <w:lvlText w:val=""/>
      <w:lvlJc w:val="right"/>
      <w:pPr>
        <w:tabs>
          <w:tab w:val="num" w:pos="6830"/>
        </w:tabs>
        <w:ind w:left="6830" w:hanging="180"/>
      </w:pPr>
      <w:rPr>
        <w:rFonts w:hint="default"/>
      </w:rPr>
    </w:lvl>
  </w:abstractNum>
  <w:abstractNum w:abstractNumId="3">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B866EC8"/>
    <w:multiLevelType w:val="multilevel"/>
    <w:tmpl w:val="B112A0B6"/>
    <w:lvl w:ilvl="0">
      <w:start w:val="1"/>
      <w:numFmt w:val="decimal"/>
      <w:lvlText w:val="%1"/>
      <w:lvlJc w:val="left"/>
      <w:pPr>
        <w:tabs>
          <w:tab w:val="num" w:pos="360"/>
        </w:tabs>
        <w:ind w:left="360" w:hanging="360"/>
      </w:pPr>
      <w:rPr>
        <w:rFonts w:hint="default"/>
        <w:color w:val="C00000"/>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6381176D"/>
    <w:multiLevelType w:val="multilevel"/>
    <w:tmpl w:val="2430C214"/>
    <w:lvl w:ilvl="0">
      <w:start w:val="1"/>
      <w:numFmt w:val="decimal"/>
      <w:lvlText w:val="%1"/>
      <w:lvlJc w:val="left"/>
      <w:pPr>
        <w:tabs>
          <w:tab w:val="num" w:pos="360"/>
        </w:tabs>
        <w:ind w:left="360" w:hanging="360"/>
      </w:pPr>
      <w:rPr>
        <w:rFonts w:hint="default"/>
        <w:color w:val="C00000"/>
      </w:rPr>
    </w:lvl>
    <w:lvl w:ilvl="1">
      <w:start w:val="1"/>
      <w:numFmt w:val="decimal"/>
      <w:lvlText w:val="%1.%2"/>
      <w:lvlJc w:val="left"/>
      <w:pPr>
        <w:tabs>
          <w:tab w:val="num" w:pos="360"/>
        </w:tabs>
        <w:ind w:left="360" w:hanging="360"/>
      </w:pPr>
      <w:rPr>
        <w:rFonts w:hint="default"/>
        <w:color w:val="C00000"/>
      </w:rPr>
    </w:lvl>
    <w:lvl w:ilvl="2">
      <w:start w:val="1"/>
      <w:numFmt w:val="decimal"/>
      <w:lvlText w:val="%1.%2.%3"/>
      <w:lvlJc w:val="left"/>
      <w:pPr>
        <w:tabs>
          <w:tab w:val="num" w:pos="720"/>
        </w:tabs>
        <w:ind w:left="720" w:hanging="720"/>
      </w:pPr>
      <w:rPr>
        <w:rFonts w:hint="default"/>
        <w:color w:val="C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7FD1D37"/>
    <w:multiLevelType w:val="multilevel"/>
    <w:tmpl w:val="11704F94"/>
    <w:lvl w:ilvl="0">
      <w:start w:val="1"/>
      <w:numFmt w:val="bullet"/>
      <w:lvlText w:val=""/>
      <w:lvlJc w:val="left"/>
      <w:pPr>
        <w:tabs>
          <w:tab w:val="num" w:pos="397"/>
        </w:tabs>
        <w:ind w:left="397" w:hanging="397"/>
      </w:pPr>
      <w:rPr>
        <w:rFonts w:ascii="Symbol" w:hAnsi="Symbo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4"/>
  </w:num>
  <w:num w:numId="3">
    <w:abstractNumId w:val="11"/>
  </w:num>
  <w:num w:numId="4">
    <w:abstractNumId w:val="6"/>
  </w:num>
  <w:num w:numId="5">
    <w:abstractNumId w:val="5"/>
  </w:num>
  <w:num w:numId="6">
    <w:abstractNumId w:val="1"/>
  </w:num>
  <w:num w:numId="7">
    <w:abstractNumId w:val="8"/>
  </w:num>
  <w:num w:numId="8">
    <w:abstractNumId w:val="3"/>
  </w:num>
  <w:num w:numId="9">
    <w:abstractNumId w:val="9"/>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10"/>
  </w:num>
  <w:num w:numId="18">
    <w:abstractNumId w:val="2"/>
  </w:num>
  <w:num w:numId="19">
    <w:abstractNumId w:val="2"/>
  </w:num>
  <w:num w:numId="20">
    <w:abstractNumId w:val="2"/>
  </w:num>
  <w:num w:numId="21">
    <w:abstractNumId w:val="1"/>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25"/>
    <w:rsid w:val="000030FC"/>
    <w:rsid w:val="00011133"/>
    <w:rsid w:val="0001623E"/>
    <w:rsid w:val="000452D8"/>
    <w:rsid w:val="00046E89"/>
    <w:rsid w:val="00073658"/>
    <w:rsid w:val="000A48F1"/>
    <w:rsid w:val="000A6CEB"/>
    <w:rsid w:val="000B316D"/>
    <w:rsid w:val="000C44D3"/>
    <w:rsid w:val="000E4EF1"/>
    <w:rsid w:val="00100A6C"/>
    <w:rsid w:val="00101D37"/>
    <w:rsid w:val="00104A0A"/>
    <w:rsid w:val="00117CB9"/>
    <w:rsid w:val="0015770A"/>
    <w:rsid w:val="001614F7"/>
    <w:rsid w:val="0018093F"/>
    <w:rsid w:val="00185211"/>
    <w:rsid w:val="00186B49"/>
    <w:rsid w:val="001B5B5A"/>
    <w:rsid w:val="001B7A07"/>
    <w:rsid w:val="001C218F"/>
    <w:rsid w:val="001D36A2"/>
    <w:rsid w:val="00203E66"/>
    <w:rsid w:val="002063AA"/>
    <w:rsid w:val="002337C7"/>
    <w:rsid w:val="00246DBA"/>
    <w:rsid w:val="00275E7B"/>
    <w:rsid w:val="00280547"/>
    <w:rsid w:val="002D042B"/>
    <w:rsid w:val="002D4266"/>
    <w:rsid w:val="002E4CA0"/>
    <w:rsid w:val="002F10BF"/>
    <w:rsid w:val="00321381"/>
    <w:rsid w:val="00354ED7"/>
    <w:rsid w:val="003566D1"/>
    <w:rsid w:val="00361099"/>
    <w:rsid w:val="00372B05"/>
    <w:rsid w:val="003812D3"/>
    <w:rsid w:val="00384977"/>
    <w:rsid w:val="003A0B9F"/>
    <w:rsid w:val="003A5ABB"/>
    <w:rsid w:val="003C3811"/>
    <w:rsid w:val="003C4A74"/>
    <w:rsid w:val="003C6E97"/>
    <w:rsid w:val="003D2C7C"/>
    <w:rsid w:val="003D6994"/>
    <w:rsid w:val="003E21EA"/>
    <w:rsid w:val="00401113"/>
    <w:rsid w:val="00413616"/>
    <w:rsid w:val="00434F37"/>
    <w:rsid w:val="00466D79"/>
    <w:rsid w:val="00496432"/>
    <w:rsid w:val="004E19EA"/>
    <w:rsid w:val="004F209B"/>
    <w:rsid w:val="004F6729"/>
    <w:rsid w:val="005053A9"/>
    <w:rsid w:val="00523933"/>
    <w:rsid w:val="005411D5"/>
    <w:rsid w:val="0055625C"/>
    <w:rsid w:val="00592434"/>
    <w:rsid w:val="00596F48"/>
    <w:rsid w:val="005B0F4A"/>
    <w:rsid w:val="005B2748"/>
    <w:rsid w:val="005B62C5"/>
    <w:rsid w:val="005C5325"/>
    <w:rsid w:val="005E11DA"/>
    <w:rsid w:val="005F30B4"/>
    <w:rsid w:val="005F6730"/>
    <w:rsid w:val="00604487"/>
    <w:rsid w:val="00610D98"/>
    <w:rsid w:val="006300C0"/>
    <w:rsid w:val="00654336"/>
    <w:rsid w:val="00695971"/>
    <w:rsid w:val="00695AA4"/>
    <w:rsid w:val="00697550"/>
    <w:rsid w:val="00697617"/>
    <w:rsid w:val="006A0B75"/>
    <w:rsid w:val="006C0051"/>
    <w:rsid w:val="006C0F62"/>
    <w:rsid w:val="006E6C93"/>
    <w:rsid w:val="00757A26"/>
    <w:rsid w:val="0076771F"/>
    <w:rsid w:val="007830ED"/>
    <w:rsid w:val="007D3FE0"/>
    <w:rsid w:val="00802200"/>
    <w:rsid w:val="00822AE0"/>
    <w:rsid w:val="008354FF"/>
    <w:rsid w:val="00835C5B"/>
    <w:rsid w:val="00856088"/>
    <w:rsid w:val="00856CFC"/>
    <w:rsid w:val="00871067"/>
    <w:rsid w:val="008831AD"/>
    <w:rsid w:val="008834B1"/>
    <w:rsid w:val="008A45A1"/>
    <w:rsid w:val="008C5BED"/>
    <w:rsid w:val="008F3427"/>
    <w:rsid w:val="008F491B"/>
    <w:rsid w:val="00916D4E"/>
    <w:rsid w:val="009264A0"/>
    <w:rsid w:val="00940400"/>
    <w:rsid w:val="00947B73"/>
    <w:rsid w:val="009956F7"/>
    <w:rsid w:val="009B06B8"/>
    <w:rsid w:val="009E4D8A"/>
    <w:rsid w:val="009E62B3"/>
    <w:rsid w:val="00A014F1"/>
    <w:rsid w:val="00A16182"/>
    <w:rsid w:val="00A2604A"/>
    <w:rsid w:val="00A33C64"/>
    <w:rsid w:val="00A4262D"/>
    <w:rsid w:val="00A4709B"/>
    <w:rsid w:val="00A67E57"/>
    <w:rsid w:val="00A80CDF"/>
    <w:rsid w:val="00A84A2E"/>
    <w:rsid w:val="00A95EDB"/>
    <w:rsid w:val="00A9752E"/>
    <w:rsid w:val="00AE48BC"/>
    <w:rsid w:val="00AE4D5B"/>
    <w:rsid w:val="00B0014B"/>
    <w:rsid w:val="00B0504C"/>
    <w:rsid w:val="00B069A1"/>
    <w:rsid w:val="00B12DBF"/>
    <w:rsid w:val="00B1765D"/>
    <w:rsid w:val="00B271BE"/>
    <w:rsid w:val="00B54649"/>
    <w:rsid w:val="00B64633"/>
    <w:rsid w:val="00B671E0"/>
    <w:rsid w:val="00B839FF"/>
    <w:rsid w:val="00B877F8"/>
    <w:rsid w:val="00B9324C"/>
    <w:rsid w:val="00BA1EA4"/>
    <w:rsid w:val="00BB635F"/>
    <w:rsid w:val="00BD7E2C"/>
    <w:rsid w:val="00BE5E0F"/>
    <w:rsid w:val="00BF4BE8"/>
    <w:rsid w:val="00C068AB"/>
    <w:rsid w:val="00C13F30"/>
    <w:rsid w:val="00C25DC7"/>
    <w:rsid w:val="00C26913"/>
    <w:rsid w:val="00C27CFB"/>
    <w:rsid w:val="00C647A4"/>
    <w:rsid w:val="00C74BE6"/>
    <w:rsid w:val="00CA1493"/>
    <w:rsid w:val="00CA79E0"/>
    <w:rsid w:val="00CE105B"/>
    <w:rsid w:val="00CF14A2"/>
    <w:rsid w:val="00D01852"/>
    <w:rsid w:val="00D075DB"/>
    <w:rsid w:val="00D27832"/>
    <w:rsid w:val="00D37EE3"/>
    <w:rsid w:val="00D62709"/>
    <w:rsid w:val="00D65E95"/>
    <w:rsid w:val="00D72352"/>
    <w:rsid w:val="00DC780C"/>
    <w:rsid w:val="00DE5A67"/>
    <w:rsid w:val="00E06395"/>
    <w:rsid w:val="00E103FC"/>
    <w:rsid w:val="00E1213A"/>
    <w:rsid w:val="00E131CD"/>
    <w:rsid w:val="00E26F3B"/>
    <w:rsid w:val="00E41DD2"/>
    <w:rsid w:val="00E42B99"/>
    <w:rsid w:val="00E4486C"/>
    <w:rsid w:val="00E47CC7"/>
    <w:rsid w:val="00E72713"/>
    <w:rsid w:val="00E74A03"/>
    <w:rsid w:val="00E81363"/>
    <w:rsid w:val="00E875E6"/>
    <w:rsid w:val="00EB3E13"/>
    <w:rsid w:val="00EB5FF3"/>
    <w:rsid w:val="00EF0813"/>
    <w:rsid w:val="00EF7B7C"/>
    <w:rsid w:val="00F02640"/>
    <w:rsid w:val="00F03E27"/>
    <w:rsid w:val="00F36BD1"/>
    <w:rsid w:val="00F415C0"/>
    <w:rsid w:val="00F430D2"/>
    <w:rsid w:val="00F443CE"/>
    <w:rsid w:val="00F62C42"/>
    <w:rsid w:val="00F659C7"/>
    <w:rsid w:val="00FB2C8B"/>
    <w:rsid w:val="00FD097A"/>
    <w:rsid w:val="00FD3FA4"/>
  </w:rsids>
  <m:mathPr>
    <m:mathFont m:val="Cambria Math"/>
    <m:brkBin m:val="before"/>
    <m:brkBinSub m:val="--"/>
    <m:smallFrac m:val="0"/>
    <m:dispDef m:val="0"/>
    <m:lMargin m:val="0"/>
    <m:rMargin m:val="0"/>
    <m:defJc m:val="centerGroup"/>
    <m:wrapRight/>
    <m:intLim m:val="subSup"/>
    <m:naryLim m:val="subSup"/>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14:docId w14:val="3151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10"/>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PlaceholderText">
    <w:name w:val="Placeholder Text"/>
    <w:basedOn w:val="DefaultParagraphFont"/>
    <w:uiPriority w:val="99"/>
    <w:semiHidden/>
    <w:rsid w:val="00FB2C8B"/>
    <w:rPr>
      <w:color w:val="808080"/>
    </w:rPr>
  </w:style>
  <w:style w:type="character" w:styleId="CommentReference">
    <w:name w:val="annotation reference"/>
    <w:basedOn w:val="DefaultParagraphFont"/>
    <w:unhideWhenUsed/>
    <w:rsid w:val="000030FC"/>
    <w:rPr>
      <w:sz w:val="16"/>
      <w:szCs w:val="16"/>
    </w:rPr>
  </w:style>
  <w:style w:type="paragraph" w:styleId="CommentText">
    <w:name w:val="annotation text"/>
    <w:basedOn w:val="Normal"/>
    <w:link w:val="CommentTextChar"/>
    <w:unhideWhenUsed/>
    <w:rsid w:val="000030FC"/>
    <w:rPr>
      <w:szCs w:val="20"/>
    </w:rPr>
  </w:style>
  <w:style w:type="character" w:customStyle="1" w:styleId="CommentTextChar">
    <w:name w:val="Comment Text Char"/>
    <w:basedOn w:val="DefaultParagraphFont"/>
    <w:link w:val="CommentText"/>
    <w:rsid w:val="000030FC"/>
    <w:rPr>
      <w:rFonts w:ascii="Arial" w:hAnsi="Arial"/>
      <w:lang w:val="en-US"/>
    </w:rPr>
  </w:style>
  <w:style w:type="paragraph" w:styleId="CommentSubject">
    <w:name w:val="annotation subject"/>
    <w:basedOn w:val="CommentText"/>
    <w:next w:val="CommentText"/>
    <w:link w:val="CommentSubjectChar"/>
    <w:uiPriority w:val="99"/>
    <w:semiHidden/>
    <w:unhideWhenUsed/>
    <w:rsid w:val="000030FC"/>
    <w:rPr>
      <w:b/>
      <w:bCs/>
    </w:rPr>
  </w:style>
  <w:style w:type="character" w:customStyle="1" w:styleId="CommentSubjectChar">
    <w:name w:val="Comment Subject Char"/>
    <w:basedOn w:val="CommentTextChar"/>
    <w:link w:val="CommentSubject"/>
    <w:uiPriority w:val="99"/>
    <w:semiHidden/>
    <w:rsid w:val="000030FC"/>
    <w:rPr>
      <w:rFonts w:ascii="Arial" w:hAnsi="Arial"/>
      <w:b/>
      <w:bCs/>
      <w:lang w:val="en-US"/>
    </w:rPr>
  </w:style>
  <w:style w:type="paragraph" w:styleId="Revision">
    <w:name w:val="Revision"/>
    <w:hidden/>
    <w:uiPriority w:val="99"/>
    <w:semiHidden/>
    <w:rsid w:val="004F6729"/>
    <w:rPr>
      <w:rFonts w:ascii="Arial" w:hAnsi="Arial"/>
      <w:szCs w:val="24"/>
      <w:lang w:val="en-US"/>
    </w:rPr>
  </w:style>
  <w:style w:type="paragraph" w:styleId="ListParagraph">
    <w:name w:val="List Paragraph"/>
    <w:basedOn w:val="Normal"/>
    <w:uiPriority w:val="34"/>
    <w:qFormat/>
    <w:rsid w:val="00A47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10"/>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PlaceholderText">
    <w:name w:val="Placeholder Text"/>
    <w:basedOn w:val="DefaultParagraphFont"/>
    <w:uiPriority w:val="99"/>
    <w:semiHidden/>
    <w:rsid w:val="00FB2C8B"/>
    <w:rPr>
      <w:color w:val="808080"/>
    </w:rPr>
  </w:style>
  <w:style w:type="character" w:styleId="CommentReference">
    <w:name w:val="annotation reference"/>
    <w:basedOn w:val="DefaultParagraphFont"/>
    <w:unhideWhenUsed/>
    <w:rsid w:val="000030FC"/>
    <w:rPr>
      <w:sz w:val="16"/>
      <w:szCs w:val="16"/>
    </w:rPr>
  </w:style>
  <w:style w:type="paragraph" w:styleId="CommentText">
    <w:name w:val="annotation text"/>
    <w:basedOn w:val="Normal"/>
    <w:link w:val="CommentTextChar"/>
    <w:unhideWhenUsed/>
    <w:rsid w:val="000030FC"/>
    <w:rPr>
      <w:szCs w:val="20"/>
    </w:rPr>
  </w:style>
  <w:style w:type="character" w:customStyle="1" w:styleId="CommentTextChar">
    <w:name w:val="Comment Text Char"/>
    <w:basedOn w:val="DefaultParagraphFont"/>
    <w:link w:val="CommentText"/>
    <w:rsid w:val="000030FC"/>
    <w:rPr>
      <w:rFonts w:ascii="Arial" w:hAnsi="Arial"/>
      <w:lang w:val="en-US"/>
    </w:rPr>
  </w:style>
  <w:style w:type="paragraph" w:styleId="CommentSubject">
    <w:name w:val="annotation subject"/>
    <w:basedOn w:val="CommentText"/>
    <w:next w:val="CommentText"/>
    <w:link w:val="CommentSubjectChar"/>
    <w:uiPriority w:val="99"/>
    <w:semiHidden/>
    <w:unhideWhenUsed/>
    <w:rsid w:val="000030FC"/>
    <w:rPr>
      <w:b/>
      <w:bCs/>
    </w:rPr>
  </w:style>
  <w:style w:type="character" w:customStyle="1" w:styleId="CommentSubjectChar">
    <w:name w:val="Comment Subject Char"/>
    <w:basedOn w:val="CommentTextChar"/>
    <w:link w:val="CommentSubject"/>
    <w:uiPriority w:val="99"/>
    <w:semiHidden/>
    <w:rsid w:val="000030FC"/>
    <w:rPr>
      <w:rFonts w:ascii="Arial" w:hAnsi="Arial"/>
      <w:b/>
      <w:bCs/>
      <w:lang w:val="en-US"/>
    </w:rPr>
  </w:style>
  <w:style w:type="paragraph" w:styleId="Revision">
    <w:name w:val="Revision"/>
    <w:hidden/>
    <w:uiPriority w:val="99"/>
    <w:semiHidden/>
    <w:rsid w:val="004F6729"/>
    <w:rPr>
      <w:rFonts w:ascii="Arial" w:hAnsi="Arial"/>
      <w:szCs w:val="24"/>
      <w:lang w:val="en-US"/>
    </w:rPr>
  </w:style>
  <w:style w:type="paragraph" w:styleId="ListParagraph">
    <w:name w:val="List Paragraph"/>
    <w:basedOn w:val="Normal"/>
    <w:uiPriority w:val="34"/>
    <w:qFormat/>
    <w:rsid w:val="00A47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hcm-agreement.eu/" TargetMode="External"/><Relationship Id="rId1" Type="http://schemas.openxmlformats.org/officeDocument/2006/relationships/hyperlink" Target="http://www.hcm-agreement.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nka\Documents\toth_laszlo\Doksik\ECC\Template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763D1-3867-4E02-8E94-3FFB5A63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0</TotalTime>
  <Pages>13</Pages>
  <Words>2594</Words>
  <Characters>15829</Characters>
  <Application>Microsoft Office Word</Application>
  <DocSecurity>0</DocSecurity>
  <Lines>131</Lines>
  <Paragraphs>36</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New ECC Report Style</vt:lpstr>
      <vt:lpstr>New ECC Report Style</vt:lpstr>
      <vt:lpstr>New ECC Report Style</vt:lpstr>
    </vt:vector>
  </TitlesOfParts>
  <Company>WGFM#86</Company>
  <LinksUpToDate>false</LinksUpToDate>
  <CharactersWithSpaces>18387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Thomas Weber</dc:creator>
  <dc:description>This template is used as guidance to draft ECC Reports.</dc:description>
  <cp:lastModifiedBy>Thomas Weber</cp:lastModifiedBy>
  <cp:revision>2</cp:revision>
  <cp:lastPrinted>2017-02-07T10:19:00Z</cp:lastPrinted>
  <dcterms:created xsi:type="dcterms:W3CDTF">2017-06-20T10:04:00Z</dcterms:created>
  <dcterms:modified xsi:type="dcterms:W3CDTF">2017-06-20T10:04:00Z</dcterms:modified>
  <cp:contentStatus>approved by WGFM#87</cp:contentStatus>
</cp:coreProperties>
</file>