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A1A" w:rsidRPr="009E1BAB" w:rsidRDefault="00737A1A" w:rsidP="00487A8E">
      <w:pPr>
        <w:pStyle w:val="Heading1"/>
      </w:pPr>
    </w:p>
    <w:p w:rsidR="00737A1A" w:rsidRPr="009E1BAB" w:rsidRDefault="00737A1A" w:rsidP="006B723B">
      <w:pPr>
        <w:jc w:val="center"/>
        <w:rPr>
          <w:lang w:val="en-GB"/>
        </w:rPr>
      </w:pPr>
    </w:p>
    <w:p w:rsidR="00737A1A" w:rsidRPr="009E1BAB" w:rsidRDefault="00737A1A" w:rsidP="006B723B">
      <w:pPr>
        <w:jc w:val="center"/>
        <w:rPr>
          <w:lang w:val="en-GB"/>
        </w:rPr>
      </w:pPr>
    </w:p>
    <w:p w:rsidR="00737A1A" w:rsidRPr="009E1BAB" w:rsidRDefault="00737A1A" w:rsidP="006B723B">
      <w:pPr>
        <w:rPr>
          <w:lang w:val="en-GB"/>
        </w:rPr>
      </w:pPr>
    </w:p>
    <w:p w:rsidR="00737A1A" w:rsidRPr="009E1BAB" w:rsidRDefault="00737A1A" w:rsidP="006B723B">
      <w:pPr>
        <w:rPr>
          <w:lang w:val="en-GB"/>
        </w:rPr>
      </w:pPr>
    </w:p>
    <w:p w:rsidR="00737A1A" w:rsidRPr="009E1BAB" w:rsidRDefault="002278F2" w:rsidP="006B723B">
      <w:pPr>
        <w:jc w:val="center"/>
        <w:rPr>
          <w:b/>
          <w:sz w:val="24"/>
          <w:lang w:val="en-GB"/>
        </w:rPr>
      </w:pPr>
      <w:r>
        <w:rPr>
          <w:noProof/>
          <w:lang w:val="da-DK" w:eastAsia="da-DK"/>
        </w:rPr>
        <mc:AlternateContent>
          <mc:Choice Requires="wpg">
            <w:drawing>
              <wp:anchor distT="0" distB="0" distL="114300" distR="114300" simplePos="0" relativeHeight="251660288" behindDoc="0" locked="0" layoutInCell="1" allowOverlap="1" wp14:anchorId="0052228C" wp14:editId="6A041093">
                <wp:simplePos x="0" y="0"/>
                <wp:positionH relativeFrom="column">
                  <wp:posOffset>-720090</wp:posOffset>
                </wp:positionH>
                <wp:positionV relativeFrom="paragraph">
                  <wp:posOffset>69850</wp:posOffset>
                </wp:positionV>
                <wp:extent cx="7564120" cy="8268970"/>
                <wp:effectExtent l="0" t="0" r="0" b="0"/>
                <wp:wrapNone/>
                <wp:docPr id="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4"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7A1A" w:rsidRPr="00C95C7C" w:rsidRDefault="00737A1A" w:rsidP="006B723B">
                              <w:pPr>
                                <w:rPr>
                                  <w:color w:val="FFFFFF"/>
                                  <w:sz w:val="68"/>
                                </w:rPr>
                              </w:pPr>
                              <w:r w:rsidRPr="00C95C7C">
                                <w:rPr>
                                  <w:color w:val="FFFFFF"/>
                                  <w:sz w:val="68"/>
                                </w:rPr>
                                <w:t xml:space="preserve">ECC Recommendation </w:t>
                              </w:r>
                              <w:r>
                                <w:rPr>
                                  <w:color w:val="887E6E"/>
                                  <w:sz w:val="68"/>
                                </w:rPr>
                                <w:t>(12)02</w:t>
                              </w:r>
                            </w:p>
                            <w:p w:rsidR="00737A1A" w:rsidRPr="00C95C7C" w:rsidRDefault="00737A1A" w:rsidP="006B723B">
                              <w:pPr>
                                <w:rPr>
                                  <w:color w:val="887E6E"/>
                                  <w:sz w:val="44"/>
                                </w:rPr>
                              </w:pPr>
                            </w:p>
                          </w:txbxContent>
                        </wps:txbx>
                        <wps:bodyPr rot="0" vert="horz" wrap="square" lIns="2880000" tIns="360000" rIns="91440" bIns="45720" anchor="t" anchorCtr="0" upright="1">
                          <a:noAutofit/>
                        </wps:bodyPr>
                      </wps:wsp>
                      <wpg:grpSp>
                        <wpg:cNvPr id="6" name="Group 28"/>
                        <wpg:cNvGrpSpPr>
                          <a:grpSpLocks/>
                        </wpg:cNvGrpSpPr>
                        <wpg:grpSpPr bwMode="auto">
                          <a:xfrm>
                            <a:off x="1674" y="3087"/>
                            <a:ext cx="1790" cy="1790"/>
                            <a:chOff x="964" y="3424"/>
                            <a:chExt cx="1457" cy="1457"/>
                          </a:xfrm>
                        </wpg:grpSpPr>
                        <wps:wsp>
                          <wps:cNvPr id="7"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8"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6028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2INQ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HScdaCBE+lXiOxmbsywSW3Mn+Xf9WGgdheC+yXxVMW0/n9XVpFpP1&#10;+L3I4Ty2GQRisy1kq48Ar8kWQ/C4CwHfDiSDm2Gw9B0XIpXBXOQuozicgpRVEMn9Pje0dxO302bH&#10;iR3XbHU823W1BxZLzHPR1sk27Rjkm9pDqj4N0ncV6zlGSmm8Jkj9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UzMUA&#10;AADaAAAADwAAAGRycy9kb3ducmV2LnhtbESPT2vCQBTE7wW/w/KE3nQT6T+jG5FioQgKpj14fGaf&#10;SUj2bchuNemndwtCj8PM/IZZrnrTiAt1rrKsIJ5GIIhzqysuFHx/fUzeQDiPrLGxTAoGcrBKRw9L&#10;TLS98oEumS9EgLBLUEHpfZtI6fKSDLqpbYmDd7adQR9kV0jd4TXATSNnUfQiDVYcFkps6b2kvM5+&#10;jILs1Ryft3Y47XZxvP9dD5t6vomUehz36wUIT73/D9/bn1rBE/xdCTd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ZTM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FfO8IA&#10;AADaAAAADwAAAGRycy9kb3ducmV2LnhtbESPT0sDMRTE7wW/Q3iCtzaxoMi2aRFF0IvSPwjeXpPX&#10;TejmJWxid/32Rih4HGbmN8xyPYZOnKnPPrKG25kCQWyi9dxq2O9epg8gckG22EUmDT+UYb26miyx&#10;sXHgDZ23pRUVwrlBDa6U1EiZjaOAeRYTcfWOsQ9YquxbaXscKjx0cq7UvQzouS44TPTkyJy230HD&#10;x9toPJnD1/vcPafhM+1ReaX1zfX4uABRaCz/4Uv71Wq4g78r9Qb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V87wgAAANoAAAAPAAAAAAAAAAAAAAAAAJgCAABkcnMvZG93&#10;bnJldi54bWxQSwUGAAAAAAQABAD1AAAAhwMAAAAA&#10;" fillcolor="#57433e" stroked="f">
                  <v:textbox inset="80mm,10mm">
                    <w:txbxContent>
                      <w:p w:rsidR="00737A1A" w:rsidRPr="00C95C7C" w:rsidRDefault="00737A1A" w:rsidP="006B723B">
                        <w:pPr>
                          <w:rPr>
                            <w:color w:val="FFFFFF"/>
                            <w:sz w:val="68"/>
                          </w:rPr>
                        </w:pPr>
                        <w:r w:rsidRPr="00C95C7C">
                          <w:rPr>
                            <w:color w:val="FFFFFF"/>
                            <w:sz w:val="68"/>
                          </w:rPr>
                          <w:t xml:space="preserve">ECC Recommendation </w:t>
                        </w:r>
                        <w:r>
                          <w:rPr>
                            <w:color w:val="887E6E"/>
                            <w:sz w:val="68"/>
                          </w:rPr>
                          <w:t>(12)02</w:t>
                        </w:r>
                      </w:p>
                      <w:p w:rsidR="00737A1A" w:rsidRPr="00C95C7C" w:rsidRDefault="00737A1A" w:rsidP="006B723B">
                        <w:pPr>
                          <w:rPr>
                            <w:color w:val="887E6E"/>
                            <w:sz w:val="44"/>
                          </w:rPr>
                        </w:pP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P7sQA&#10;AADaAAAADwAAAGRycy9kb3ducmV2LnhtbESPQWvCQBSE74L/YXlCL6VuuoUaUjciQoqXHrS1enxk&#10;X5OQ7NuQXTX9926h4HGYmW+Y5Wq0nbjQ4BvHGp7nCQji0pmGKw1fn8VTCsIHZIOdY9LwSx5W+XSy&#10;xMy4K+/osg+ViBD2GWqoQ+gzKX1Zk0U/dz1x9H7cYDFEOVTSDHiNcNtJlSSv0mLDcaHGnjY1le3+&#10;bDV8bOX5GFSbvh+aF1aPShXF6Vvrh9m4fgMRaAz38H97azQs4O9Kv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Fj+7EAAAA2gAAAA8AAAAAAAAAAAAAAAAAmAIAAGRycy9k&#10;b3ducmV2LnhtbFBLBQYAAAAABAAEAPUAAACJ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65MEA&#10;AADaAAAADwAAAGRycy9kb3ducmV2LnhtbERPy2rCQBTdF/yH4Qpuik6UUiVmFBGkKXTTVF1fMjcP&#10;zdwJmalJ8/WdRaHLw3kn+8E04kGdqy0rWC4iEMS51TWXCs5fp/kGhPPIGhvLpOCHHOx3k6cEY217&#10;/qRH5ksRQtjFqKDyvo2ldHlFBt3CtsSBK2xn0AfYlVJ32Idw08hVFL1KgzWHhgpbOlaU37Nvo2A0&#10;+PZyvz6v+/fjLdXpx2ks8KLUbDoctiA8Df5f/OdOtYKwNVwJN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xuuTBAAAA2gAAAA8AAAAAAAAAAAAAAAAAmAIAAGRycy9kb3du&#10;cmV2LnhtbFBLBQYAAAAABAAEAPUAAACGAwAAAAA=&#10;" fillcolor="#d2232a" stroked="f">
                    <v:textbox inset=",10mm"/>
                  </v:shape>
                </v:group>
              </v:group>
            </w:pict>
          </mc:Fallback>
        </mc:AlternateContent>
      </w:r>
    </w:p>
    <w:p w:rsidR="00737A1A" w:rsidRPr="009E1BAB" w:rsidRDefault="00737A1A" w:rsidP="006B723B">
      <w:pPr>
        <w:jc w:val="center"/>
        <w:rPr>
          <w:b/>
          <w:sz w:val="24"/>
          <w:lang w:val="en-GB"/>
        </w:rPr>
      </w:pPr>
    </w:p>
    <w:p w:rsidR="00737A1A" w:rsidRPr="009E1BAB" w:rsidRDefault="00737A1A" w:rsidP="006B723B">
      <w:pPr>
        <w:jc w:val="center"/>
        <w:rPr>
          <w:b/>
          <w:sz w:val="24"/>
          <w:lang w:val="en-GB"/>
        </w:rPr>
      </w:pPr>
    </w:p>
    <w:p w:rsidR="00737A1A" w:rsidRPr="009E1BAB" w:rsidRDefault="00737A1A" w:rsidP="006B723B">
      <w:pPr>
        <w:jc w:val="center"/>
        <w:rPr>
          <w:b/>
          <w:sz w:val="24"/>
          <w:lang w:val="en-GB"/>
        </w:rPr>
      </w:pPr>
    </w:p>
    <w:p w:rsidR="00737A1A" w:rsidRPr="009E1BAB" w:rsidRDefault="00737A1A" w:rsidP="006B723B">
      <w:pPr>
        <w:jc w:val="center"/>
        <w:rPr>
          <w:b/>
          <w:sz w:val="24"/>
          <w:lang w:val="en-GB"/>
        </w:rPr>
      </w:pPr>
    </w:p>
    <w:p w:rsidR="00737A1A" w:rsidRPr="009E1BAB" w:rsidRDefault="00737A1A" w:rsidP="006B723B">
      <w:pPr>
        <w:jc w:val="center"/>
        <w:rPr>
          <w:b/>
          <w:sz w:val="24"/>
          <w:lang w:val="en-GB"/>
        </w:rPr>
      </w:pPr>
    </w:p>
    <w:p w:rsidR="00737A1A" w:rsidRPr="009E1BAB" w:rsidRDefault="00737A1A" w:rsidP="006B723B">
      <w:pPr>
        <w:jc w:val="center"/>
        <w:rPr>
          <w:b/>
          <w:sz w:val="24"/>
          <w:lang w:val="en-GB"/>
        </w:rPr>
      </w:pPr>
    </w:p>
    <w:p w:rsidR="00737A1A" w:rsidRPr="009E1BAB" w:rsidRDefault="00737A1A" w:rsidP="006B723B">
      <w:pPr>
        <w:jc w:val="center"/>
        <w:rPr>
          <w:b/>
          <w:sz w:val="24"/>
          <w:lang w:val="en-GB"/>
        </w:rPr>
      </w:pPr>
    </w:p>
    <w:p w:rsidR="00737A1A" w:rsidRPr="009E1BAB" w:rsidRDefault="00737A1A" w:rsidP="006B723B">
      <w:pPr>
        <w:jc w:val="center"/>
        <w:rPr>
          <w:b/>
          <w:sz w:val="24"/>
          <w:lang w:val="en-GB"/>
        </w:rPr>
      </w:pPr>
    </w:p>
    <w:p w:rsidR="00737A1A" w:rsidRPr="009E1BAB" w:rsidRDefault="00737A1A" w:rsidP="006B723B">
      <w:pPr>
        <w:jc w:val="center"/>
        <w:rPr>
          <w:b/>
          <w:sz w:val="24"/>
          <w:lang w:val="en-GB"/>
        </w:rPr>
      </w:pPr>
    </w:p>
    <w:p w:rsidR="00737A1A" w:rsidRPr="009E1BAB" w:rsidRDefault="00737A1A" w:rsidP="006B723B">
      <w:pPr>
        <w:jc w:val="center"/>
        <w:rPr>
          <w:b/>
          <w:sz w:val="24"/>
          <w:lang w:val="en-GB"/>
        </w:rPr>
      </w:pPr>
    </w:p>
    <w:p w:rsidR="00737A1A" w:rsidRPr="009E1BAB" w:rsidRDefault="00737A1A" w:rsidP="006B723B">
      <w:pPr>
        <w:rPr>
          <w:b/>
          <w:sz w:val="24"/>
          <w:lang w:val="en-GB"/>
        </w:rPr>
      </w:pPr>
    </w:p>
    <w:p w:rsidR="00737A1A" w:rsidRPr="009E1BAB" w:rsidRDefault="00737A1A" w:rsidP="006B723B">
      <w:pPr>
        <w:jc w:val="center"/>
        <w:rPr>
          <w:b/>
          <w:sz w:val="24"/>
          <w:lang w:val="en-GB"/>
        </w:rPr>
      </w:pPr>
    </w:p>
    <w:p w:rsidR="00737A1A" w:rsidRPr="009E1BAB" w:rsidRDefault="00737A1A" w:rsidP="00C95C7C">
      <w:pPr>
        <w:pStyle w:val="Reporttitledescription"/>
        <w:rPr>
          <w:lang w:val="en-GB"/>
        </w:rPr>
      </w:pPr>
      <w:r w:rsidRPr="009E1BAB">
        <w:rPr>
          <w:lang w:val="en-GB"/>
        </w:rPr>
        <w:t>Number Portability – Best Practices</w:t>
      </w:r>
      <w:r w:rsidRPr="009E1BAB">
        <w:rPr>
          <w:lang w:val="en-GB"/>
        </w:rPr>
        <w:tab/>
      </w:r>
    </w:p>
    <w:p w:rsidR="00737A1A" w:rsidRPr="009E1BAB" w:rsidRDefault="00B8025D" w:rsidP="006B723B">
      <w:pPr>
        <w:pStyle w:val="Reporttitledescription"/>
        <w:rPr>
          <w:b/>
          <w:sz w:val="18"/>
          <w:lang w:val="en-GB"/>
        </w:rPr>
      </w:pPr>
      <w:r>
        <w:rPr>
          <w:b/>
          <w:sz w:val="18"/>
          <w:lang w:val="en-GB"/>
        </w:rPr>
        <w:t>A</w:t>
      </w:r>
      <w:r w:rsidR="00A45D17">
        <w:rPr>
          <w:b/>
          <w:sz w:val="18"/>
          <w:lang w:val="en-GB"/>
        </w:rPr>
        <w:t>pproved</w:t>
      </w:r>
      <w:r w:rsidR="0076305A">
        <w:rPr>
          <w:b/>
          <w:sz w:val="18"/>
          <w:lang w:val="en-GB"/>
        </w:rPr>
        <w:t xml:space="preserve"> </w:t>
      </w:r>
      <w:r w:rsidR="00784DDC">
        <w:rPr>
          <w:b/>
          <w:sz w:val="18"/>
          <w:lang w:val="en-GB"/>
        </w:rPr>
        <w:t>11 May</w:t>
      </w:r>
      <w:r w:rsidR="00737A1A">
        <w:rPr>
          <w:b/>
          <w:sz w:val="18"/>
          <w:lang w:val="en-GB"/>
        </w:rPr>
        <w:t xml:space="preserve"> 2012</w:t>
      </w:r>
    </w:p>
    <w:p w:rsidR="00737A1A" w:rsidRPr="009E1BAB" w:rsidRDefault="00737A1A" w:rsidP="006B723B">
      <w:pPr>
        <w:pStyle w:val="Lastupdated"/>
        <w:rPr>
          <w:lang w:val="en-GB"/>
        </w:rPr>
      </w:pPr>
    </w:p>
    <w:p w:rsidR="00737A1A" w:rsidRPr="009E1BAB" w:rsidRDefault="00737A1A">
      <w:pPr>
        <w:rPr>
          <w:lang w:val="en-GB"/>
        </w:rPr>
        <w:sectPr w:rsidR="00737A1A" w:rsidRPr="009E1BAB">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rsidR="00737A1A" w:rsidRPr="009E1BAB" w:rsidRDefault="00737A1A" w:rsidP="006C4FBD">
      <w:pPr>
        <w:pStyle w:val="Heading1"/>
      </w:pPr>
      <w:r w:rsidRPr="009E1BAB">
        <w:lastRenderedPageBreak/>
        <w:t>introduction</w:t>
      </w:r>
    </w:p>
    <w:p w:rsidR="00737A1A" w:rsidRDefault="00737A1A" w:rsidP="00491156">
      <w:pPr>
        <w:pStyle w:val="ECCParagraph"/>
      </w:pPr>
      <w:r>
        <w:t>Number portability (NP) plays an important role in a competitive telecommunications market. The possibility for a subscriber to continue using a specific telephone number when changing operators is a key facilitator of subscriber choice and effective competition. It reduces barriers to switching and makes it easier for new entrants to challenge existing market positions.</w:t>
      </w:r>
    </w:p>
    <w:p w:rsidR="00737A1A" w:rsidRDefault="00737A1A" w:rsidP="00491156">
      <w:pPr>
        <w:pStyle w:val="ECCParagraph"/>
      </w:pPr>
      <w:r>
        <w:t>Today most European countries have implemented number portability. The wide-spread implementation of number portability emphasises the need to develop guidelines on number portability, and to develop ‘best practice’ recommendations in this area. These best practice recommendations should be beneficial to those countries which have not yet implemented number portability and are considering doing so in the future and to those countries which have implemented number portability and are planning to improve their current practices.</w:t>
      </w:r>
    </w:p>
    <w:p w:rsidR="00737A1A" w:rsidRDefault="00737A1A" w:rsidP="00491156">
      <w:pPr>
        <w:pStyle w:val="ECCParagraph"/>
      </w:pPr>
      <w:r>
        <w:t>The EU/EEA obligation on operators to port a telephone number in the shortest time possible sets new standards for the subscriber right and possibilities regarding number portability, and imposes obligations on the operators, who henceforth will face technical and administrative challenges in complying with these requirements.</w:t>
      </w:r>
    </w:p>
    <w:p w:rsidR="00737A1A" w:rsidRDefault="00737A1A" w:rsidP="005F1BEE">
      <w:pPr>
        <w:pStyle w:val="ECCParagraph"/>
      </w:pPr>
      <w:r w:rsidRPr="00B37C1A">
        <w:t>Most European countries offer the subscriber the ability to port his number even during an on-going contract period, including minimum contract period. Porting of the number may then legally terminate the contract, but this is not necessarily the case. Both cases in fact are a ‘decoupling’ of a right to port and the contractual obligations between the subscriber and the donor operator, and compensation from the subscriber to the donor operator may be a requirement. This increases competition and flexibility to subscribers. In a minority of European countries where it is not possible to port a number during an on-going contract period, there is a potential lock-in effect.</w:t>
      </w:r>
    </w:p>
    <w:p w:rsidR="00737A1A" w:rsidRPr="009E1BAB" w:rsidRDefault="00737A1A" w:rsidP="00491156">
      <w:pPr>
        <w:pStyle w:val="ECCParagraph"/>
      </w:pPr>
    </w:p>
    <w:p w:rsidR="00737A1A" w:rsidRPr="009E1BAB" w:rsidRDefault="00737A1A" w:rsidP="006C4FBD">
      <w:pPr>
        <w:pStyle w:val="Heading1"/>
      </w:pPr>
      <w:r w:rsidRPr="009E1BAB">
        <w:lastRenderedPageBreak/>
        <w:t xml:space="preserve">ECC recommendation of </w:t>
      </w:r>
      <w:r w:rsidR="00784DDC">
        <w:t>12(02)</w:t>
      </w:r>
      <w:r w:rsidRPr="009E1BAB">
        <w:t xml:space="preserve"> on</w:t>
      </w:r>
      <w:r w:rsidR="00784DDC">
        <w:t xml:space="preserve"> </w:t>
      </w:r>
      <w:r w:rsidRPr="009E1BAB">
        <w:t>number portability – best practices</w:t>
      </w:r>
    </w:p>
    <w:p w:rsidR="00737A1A" w:rsidRPr="009E1BAB" w:rsidRDefault="00737A1A" w:rsidP="006B723B">
      <w:pPr>
        <w:pStyle w:val="ECCParagraph"/>
      </w:pPr>
      <w:r w:rsidRPr="009E1BAB">
        <w:t>“The European Conference of Postal and Telecommunications Administrations,</w:t>
      </w:r>
    </w:p>
    <w:p w:rsidR="00737A1A" w:rsidRPr="009E1BAB" w:rsidRDefault="00737A1A" w:rsidP="006B723B">
      <w:pPr>
        <w:pStyle w:val="ECCParagraph"/>
        <w:rPr>
          <w:i/>
          <w:color w:val="D2232A"/>
        </w:rPr>
      </w:pPr>
      <w:r w:rsidRPr="009E1BAB">
        <w:rPr>
          <w:i/>
          <w:color w:val="D2232A"/>
        </w:rPr>
        <w:t>considering</w:t>
      </w:r>
    </w:p>
    <w:p w:rsidR="00737A1A" w:rsidRPr="00491156" w:rsidRDefault="00737A1A" w:rsidP="00491156">
      <w:pPr>
        <w:pStyle w:val="LetteredList"/>
        <w:rPr>
          <w:lang w:val="en-GB"/>
        </w:rPr>
      </w:pPr>
      <w:r w:rsidRPr="00491156">
        <w:rPr>
          <w:lang w:val="en-GB"/>
        </w:rPr>
        <w:t xml:space="preserve">that </w:t>
      </w:r>
      <w:r>
        <w:rPr>
          <w:lang w:val="en-GB"/>
        </w:rPr>
        <w:t>number portability (</w:t>
      </w:r>
      <w:r w:rsidRPr="00491156">
        <w:rPr>
          <w:lang w:val="en-GB"/>
        </w:rPr>
        <w:t>NP</w:t>
      </w:r>
      <w:r>
        <w:rPr>
          <w:lang w:val="en-GB"/>
        </w:rPr>
        <w:t>)</w:t>
      </w:r>
      <w:r w:rsidRPr="00491156">
        <w:rPr>
          <w:lang w:val="en-GB"/>
        </w:rPr>
        <w:t xml:space="preserve"> is a right for the subscriber </w:t>
      </w:r>
      <w:r>
        <w:rPr>
          <w:lang w:val="en-GB"/>
        </w:rPr>
        <w:t>and it</w:t>
      </w:r>
      <w:r w:rsidRPr="00491156">
        <w:rPr>
          <w:lang w:val="en-GB"/>
        </w:rPr>
        <w:t xml:space="preserve"> cannot be refused by the donor operator;</w:t>
      </w:r>
    </w:p>
    <w:p w:rsidR="00737A1A" w:rsidRPr="00491156" w:rsidRDefault="00737A1A" w:rsidP="00491156">
      <w:pPr>
        <w:pStyle w:val="LetteredList"/>
        <w:rPr>
          <w:lang w:val="en-GB"/>
        </w:rPr>
      </w:pPr>
      <w:r w:rsidRPr="00491156">
        <w:rPr>
          <w:lang w:val="en-GB"/>
        </w:rPr>
        <w:t>that NP is a key facilitator of subscriber choice and effective competition in a competitive telecommunications environment;</w:t>
      </w:r>
    </w:p>
    <w:p w:rsidR="00737A1A" w:rsidRPr="00491156" w:rsidRDefault="00737A1A" w:rsidP="00491156">
      <w:pPr>
        <w:pStyle w:val="LetteredList"/>
        <w:rPr>
          <w:lang w:val="en-GB"/>
        </w:rPr>
      </w:pPr>
      <w:r w:rsidRPr="00491156">
        <w:rPr>
          <w:lang w:val="en-GB"/>
        </w:rPr>
        <w:t>that it is important to the subscriber that NP is fast, easy, reliable and inexpensive;</w:t>
      </w:r>
    </w:p>
    <w:p w:rsidR="00737A1A" w:rsidRPr="00491156" w:rsidRDefault="00737A1A" w:rsidP="00491156">
      <w:pPr>
        <w:pStyle w:val="LetteredList"/>
        <w:rPr>
          <w:lang w:val="en-GB"/>
        </w:rPr>
      </w:pPr>
      <w:r w:rsidRPr="00491156">
        <w:rPr>
          <w:lang w:val="en-GB"/>
        </w:rPr>
        <w:t>that it is essential to have access to NP without being hindered unnecessarily by legal, technical or practical obstacles;</w:t>
      </w:r>
    </w:p>
    <w:p w:rsidR="00737A1A" w:rsidRPr="00491156" w:rsidRDefault="00737A1A" w:rsidP="00491156">
      <w:pPr>
        <w:pStyle w:val="LetteredList"/>
        <w:rPr>
          <w:lang w:val="en-GB"/>
        </w:rPr>
      </w:pPr>
      <w:r w:rsidRPr="00491156">
        <w:rPr>
          <w:lang w:val="en-GB"/>
        </w:rPr>
        <w:t>that it is important to the subscriber that the loss of service during the process of porting, i.e. the time where the subscriber is not reachable or cannot place calls identified by the ported number, is as short as possible;</w:t>
      </w:r>
    </w:p>
    <w:p w:rsidR="00737A1A" w:rsidRPr="00491156" w:rsidRDefault="00737A1A" w:rsidP="00491156">
      <w:pPr>
        <w:pStyle w:val="LetteredList"/>
        <w:rPr>
          <w:lang w:val="en-GB"/>
        </w:rPr>
      </w:pPr>
      <w:r w:rsidRPr="00491156">
        <w:rPr>
          <w:lang w:val="en-GB"/>
        </w:rPr>
        <w:t>that NP regulations and procedures can be subject to national variation;</w:t>
      </w:r>
    </w:p>
    <w:p w:rsidR="00737A1A" w:rsidRPr="00491156" w:rsidRDefault="00737A1A" w:rsidP="00491156">
      <w:pPr>
        <w:pStyle w:val="LetteredList"/>
        <w:rPr>
          <w:lang w:val="en-GB"/>
        </w:rPr>
      </w:pPr>
      <w:r w:rsidRPr="00491156">
        <w:rPr>
          <w:lang w:val="en-GB"/>
        </w:rPr>
        <w:t>that a two-step donor operator led porting process has a risk of being stalled by the donor operator;</w:t>
      </w:r>
    </w:p>
    <w:p w:rsidR="00737A1A" w:rsidRPr="00491156" w:rsidRDefault="00737A1A" w:rsidP="00491156">
      <w:pPr>
        <w:pStyle w:val="LetteredList"/>
        <w:rPr>
          <w:lang w:val="en-GB"/>
        </w:rPr>
      </w:pPr>
      <w:r w:rsidRPr="00491156">
        <w:rPr>
          <w:lang w:val="en-GB"/>
        </w:rPr>
        <w:t>that in many European countries the right to port is decoupled from any obligations between the subscriber and the donor operator, including minimum contract period</w:t>
      </w:r>
      <w:r>
        <w:rPr>
          <w:lang w:val="en-GB"/>
        </w:rPr>
        <w:t>,</w:t>
      </w:r>
      <w:r w:rsidRPr="00491156">
        <w:rPr>
          <w:lang w:val="en-GB"/>
        </w:rPr>
        <w:t xml:space="preserve"> and that the experience with this is positive;</w:t>
      </w:r>
    </w:p>
    <w:p w:rsidR="00737A1A" w:rsidRPr="00491156" w:rsidRDefault="00737A1A" w:rsidP="00491156">
      <w:pPr>
        <w:pStyle w:val="LetteredList"/>
        <w:rPr>
          <w:lang w:val="en-GB"/>
        </w:rPr>
      </w:pPr>
      <w:r w:rsidRPr="00491156">
        <w:rPr>
          <w:lang w:val="en-GB"/>
        </w:rPr>
        <w:t xml:space="preserve">that unsolicited porting seldom </w:t>
      </w:r>
      <w:r>
        <w:rPr>
          <w:lang w:val="en-GB"/>
        </w:rPr>
        <w:t xml:space="preserve">occurs </w:t>
      </w:r>
      <w:r w:rsidRPr="00491156">
        <w:rPr>
          <w:lang w:val="en-GB"/>
        </w:rPr>
        <w:t>in most countries and that this could be because there is a high risk of detection, low economic advantage, high marketing risk and because the porting scheme is based upon and dependent upon trust between market parties;</w:t>
      </w:r>
      <w:r>
        <w:rPr>
          <w:lang w:val="en-GB"/>
        </w:rPr>
        <w:t xml:space="preserve"> and</w:t>
      </w:r>
    </w:p>
    <w:p w:rsidR="00737A1A" w:rsidRDefault="00737A1A" w:rsidP="00491156">
      <w:pPr>
        <w:pStyle w:val="LetteredList"/>
        <w:rPr>
          <w:lang w:val="en-GB"/>
        </w:rPr>
      </w:pPr>
      <w:r w:rsidRPr="00491156">
        <w:rPr>
          <w:lang w:val="en-GB"/>
        </w:rPr>
        <w:t xml:space="preserve">that porting is </w:t>
      </w:r>
      <w:r>
        <w:rPr>
          <w:lang w:val="en-GB"/>
        </w:rPr>
        <w:t xml:space="preserve">increasingly </w:t>
      </w:r>
      <w:r w:rsidRPr="00491156">
        <w:rPr>
          <w:lang w:val="en-GB"/>
        </w:rPr>
        <w:t>associated with bundle</w:t>
      </w:r>
      <w:r>
        <w:rPr>
          <w:lang w:val="en-GB"/>
        </w:rPr>
        <w:t>d</w:t>
      </w:r>
      <w:r w:rsidRPr="00491156">
        <w:rPr>
          <w:lang w:val="en-GB"/>
        </w:rPr>
        <w:t xml:space="preserve"> services </w:t>
      </w:r>
      <w:r>
        <w:rPr>
          <w:lang w:val="en-GB"/>
        </w:rPr>
        <w:t xml:space="preserve">and therefore </w:t>
      </w:r>
      <w:r w:rsidRPr="00491156">
        <w:rPr>
          <w:lang w:val="en-GB"/>
        </w:rPr>
        <w:t xml:space="preserve">the subscriber </w:t>
      </w:r>
      <w:r>
        <w:rPr>
          <w:lang w:val="en-GB"/>
        </w:rPr>
        <w:t xml:space="preserve">may need </w:t>
      </w:r>
      <w:r w:rsidRPr="00491156">
        <w:rPr>
          <w:lang w:val="en-GB"/>
        </w:rPr>
        <w:t>to switch a set of service</w:t>
      </w:r>
      <w:r>
        <w:rPr>
          <w:lang w:val="en-GB"/>
        </w:rPr>
        <w:t>s</w:t>
      </w:r>
      <w:r w:rsidRPr="00491156">
        <w:rPr>
          <w:lang w:val="en-GB"/>
        </w:rPr>
        <w:t xml:space="preserve"> in </w:t>
      </w:r>
      <w:r>
        <w:rPr>
          <w:lang w:val="en-GB"/>
        </w:rPr>
        <w:t xml:space="preserve">the </w:t>
      </w:r>
      <w:r w:rsidRPr="00491156">
        <w:rPr>
          <w:lang w:val="en-GB"/>
        </w:rPr>
        <w:t>same time frame;</w:t>
      </w:r>
    </w:p>
    <w:p w:rsidR="00737A1A" w:rsidRDefault="00737A1A" w:rsidP="00491156">
      <w:pPr>
        <w:rPr>
          <w:lang w:val="en-GB"/>
        </w:rPr>
      </w:pPr>
    </w:p>
    <w:p w:rsidR="00737A1A" w:rsidRPr="009E1BAB" w:rsidRDefault="00737A1A" w:rsidP="006B723B">
      <w:pPr>
        <w:pStyle w:val="ECCParagraph"/>
        <w:rPr>
          <w:i/>
          <w:color w:val="D2232A"/>
        </w:rPr>
      </w:pPr>
      <w:r w:rsidRPr="009E1BAB">
        <w:rPr>
          <w:i/>
          <w:color w:val="D2232A"/>
        </w:rPr>
        <w:t>recommends</w:t>
      </w:r>
    </w:p>
    <w:p w:rsidR="00737A1A" w:rsidRPr="00491156" w:rsidRDefault="00737A1A" w:rsidP="00491156">
      <w:pPr>
        <w:numPr>
          <w:ilvl w:val="0"/>
          <w:numId w:val="42"/>
        </w:numPr>
        <w:spacing w:after="120"/>
        <w:jc w:val="both"/>
        <w:rPr>
          <w:lang w:val="en-GB"/>
        </w:rPr>
      </w:pPr>
      <w:r w:rsidRPr="00491156">
        <w:rPr>
          <w:lang w:val="en-GB"/>
        </w:rPr>
        <w:t xml:space="preserve">that NP process should be recipient </w:t>
      </w:r>
      <w:r>
        <w:rPr>
          <w:lang w:val="en-GB"/>
        </w:rPr>
        <w:t xml:space="preserve">operator </w:t>
      </w:r>
      <w:r w:rsidRPr="00491156">
        <w:rPr>
          <w:lang w:val="en-GB"/>
        </w:rPr>
        <w:t xml:space="preserve">led and </w:t>
      </w:r>
      <w:r>
        <w:rPr>
          <w:lang w:val="en-GB"/>
        </w:rPr>
        <w:t>be a ‘</w:t>
      </w:r>
      <w:r w:rsidRPr="00491156">
        <w:rPr>
          <w:lang w:val="en-GB"/>
        </w:rPr>
        <w:t>one stop shop</w:t>
      </w:r>
      <w:r>
        <w:rPr>
          <w:lang w:val="en-GB"/>
        </w:rPr>
        <w:t>’</w:t>
      </w:r>
      <w:r w:rsidRPr="00491156">
        <w:rPr>
          <w:lang w:val="en-GB"/>
        </w:rPr>
        <w:t>;</w:t>
      </w:r>
    </w:p>
    <w:p w:rsidR="00A936DD" w:rsidRPr="00491156" w:rsidRDefault="00A936DD" w:rsidP="00A936DD">
      <w:pPr>
        <w:numPr>
          <w:ilvl w:val="0"/>
          <w:numId w:val="42"/>
        </w:numPr>
        <w:spacing w:after="120"/>
        <w:jc w:val="both"/>
        <w:rPr>
          <w:lang w:val="en-GB"/>
        </w:rPr>
      </w:pPr>
      <w:r w:rsidRPr="00491156">
        <w:rPr>
          <w:lang w:val="en-GB"/>
        </w:rPr>
        <w:t>that subscribers should be able to port during on-going contract periods;</w:t>
      </w:r>
    </w:p>
    <w:p w:rsidR="00737A1A" w:rsidRPr="00491156" w:rsidRDefault="00737A1A" w:rsidP="00491156">
      <w:pPr>
        <w:numPr>
          <w:ilvl w:val="0"/>
          <w:numId w:val="42"/>
        </w:numPr>
        <w:spacing w:after="120"/>
        <w:jc w:val="both"/>
        <w:rPr>
          <w:lang w:val="en-GB"/>
        </w:rPr>
      </w:pPr>
      <w:r w:rsidRPr="00491156">
        <w:rPr>
          <w:lang w:val="en-GB"/>
        </w:rPr>
        <w:t xml:space="preserve">that the activation of porting should be regarded as </w:t>
      </w:r>
      <w:r w:rsidR="00A936DD">
        <w:rPr>
          <w:lang w:val="en-GB"/>
        </w:rPr>
        <w:t xml:space="preserve">an obligation for the donor operator to terminate delivering the </w:t>
      </w:r>
      <w:r w:rsidRPr="00491156">
        <w:rPr>
          <w:lang w:val="en-GB"/>
        </w:rPr>
        <w:t>service</w:t>
      </w:r>
      <w:r>
        <w:rPr>
          <w:lang w:val="en-GB"/>
        </w:rPr>
        <w:t>(s)</w:t>
      </w:r>
      <w:r w:rsidRPr="00491156">
        <w:rPr>
          <w:lang w:val="en-GB"/>
        </w:rPr>
        <w:t xml:space="preserve"> corresponding to the ported number;</w:t>
      </w:r>
    </w:p>
    <w:p w:rsidR="00737A1A" w:rsidRPr="00491156" w:rsidRDefault="00737A1A" w:rsidP="00491156">
      <w:pPr>
        <w:numPr>
          <w:ilvl w:val="0"/>
          <w:numId w:val="42"/>
        </w:numPr>
        <w:spacing w:after="120"/>
        <w:jc w:val="both"/>
        <w:rPr>
          <w:lang w:val="en-GB"/>
        </w:rPr>
      </w:pPr>
      <w:r w:rsidRPr="00491156">
        <w:rPr>
          <w:lang w:val="en-GB"/>
        </w:rPr>
        <w:t xml:space="preserve">that </w:t>
      </w:r>
      <w:r>
        <w:rPr>
          <w:lang w:val="en-GB"/>
        </w:rPr>
        <w:t>operators should meet all reasonable requests to port a number on a specific date as requested by the subscriber</w:t>
      </w:r>
      <w:r w:rsidRPr="00491156">
        <w:rPr>
          <w:lang w:val="en-GB"/>
        </w:rPr>
        <w:t>;</w:t>
      </w:r>
    </w:p>
    <w:p w:rsidR="00737A1A" w:rsidRPr="00491156" w:rsidRDefault="00737A1A" w:rsidP="00491156">
      <w:pPr>
        <w:numPr>
          <w:ilvl w:val="0"/>
          <w:numId w:val="42"/>
        </w:numPr>
        <w:spacing w:after="120"/>
        <w:jc w:val="both"/>
        <w:rPr>
          <w:lang w:val="en-GB"/>
        </w:rPr>
      </w:pPr>
      <w:r w:rsidRPr="00491156">
        <w:rPr>
          <w:lang w:val="en-GB"/>
        </w:rPr>
        <w:t>that the NP process should be as short and efficient as possible:</w:t>
      </w:r>
    </w:p>
    <w:p w:rsidR="00737A1A" w:rsidRPr="00491156" w:rsidRDefault="00737A1A" w:rsidP="00491156">
      <w:pPr>
        <w:numPr>
          <w:ilvl w:val="0"/>
          <w:numId w:val="43"/>
        </w:numPr>
        <w:tabs>
          <w:tab w:val="left" w:pos="540"/>
        </w:tabs>
        <w:spacing w:after="120"/>
        <w:jc w:val="both"/>
        <w:rPr>
          <w:lang w:val="en-GB"/>
        </w:rPr>
      </w:pPr>
      <w:r w:rsidRPr="00491156">
        <w:rPr>
          <w:lang w:val="en-GB"/>
        </w:rPr>
        <w:t>Loss of service shall be as short as possible</w:t>
      </w:r>
      <w:r>
        <w:rPr>
          <w:lang w:val="en-GB"/>
        </w:rPr>
        <w:t>. The National Regulatory Authorities</w:t>
      </w:r>
      <w:r w:rsidRPr="00491156">
        <w:rPr>
          <w:lang w:val="en-GB"/>
        </w:rPr>
        <w:t xml:space="preserve"> </w:t>
      </w:r>
      <w:r>
        <w:rPr>
          <w:lang w:val="en-GB"/>
        </w:rPr>
        <w:t>(NRA) should define the maximum time for loss of service which should be significantly shorter than one working day. T</w:t>
      </w:r>
      <w:r w:rsidRPr="00491156">
        <w:rPr>
          <w:lang w:val="en-GB"/>
        </w:rPr>
        <w:t xml:space="preserve">his implies that donor </w:t>
      </w:r>
      <w:r>
        <w:rPr>
          <w:lang w:val="en-GB"/>
        </w:rPr>
        <w:t xml:space="preserve">operator </w:t>
      </w:r>
      <w:r w:rsidRPr="00491156">
        <w:rPr>
          <w:lang w:val="en-GB"/>
        </w:rPr>
        <w:t xml:space="preserve">disconnection, recipient </w:t>
      </w:r>
      <w:r>
        <w:rPr>
          <w:lang w:val="en-GB"/>
        </w:rPr>
        <w:t xml:space="preserve">operator </w:t>
      </w:r>
      <w:r w:rsidRPr="00491156">
        <w:rPr>
          <w:lang w:val="en-GB"/>
        </w:rPr>
        <w:t xml:space="preserve">activation and all other originating operators’ routing tables shall be coordinated within this </w:t>
      </w:r>
      <w:r>
        <w:rPr>
          <w:lang w:val="en-GB"/>
        </w:rPr>
        <w:t xml:space="preserve">certain </w:t>
      </w:r>
      <w:r w:rsidRPr="00491156">
        <w:rPr>
          <w:lang w:val="en-GB"/>
        </w:rPr>
        <w:t>time frame;</w:t>
      </w:r>
    </w:p>
    <w:p w:rsidR="00737A1A" w:rsidRPr="00491156" w:rsidRDefault="00737A1A" w:rsidP="00491156">
      <w:pPr>
        <w:numPr>
          <w:ilvl w:val="0"/>
          <w:numId w:val="43"/>
        </w:numPr>
        <w:tabs>
          <w:tab w:val="left" w:pos="540"/>
        </w:tabs>
        <w:spacing w:after="120"/>
        <w:jc w:val="both"/>
        <w:rPr>
          <w:lang w:val="en-GB"/>
        </w:rPr>
      </w:pPr>
      <w:r w:rsidRPr="00491156">
        <w:rPr>
          <w:lang w:val="en-GB"/>
        </w:rPr>
        <w:t>The validation phase in the portability process (e.g. subscriber data verification by the donor</w:t>
      </w:r>
      <w:r>
        <w:rPr>
          <w:lang w:val="en-GB"/>
        </w:rPr>
        <w:t xml:space="preserve"> operator</w:t>
      </w:r>
      <w:r w:rsidRPr="00491156">
        <w:rPr>
          <w:lang w:val="en-GB"/>
        </w:rPr>
        <w:t>) shall be as short and efficient as possible based on clear and stable parameters (e.g. by using porting codes or other forms of quick and reliable subscriber identification processes) and the validation should be automated</w:t>
      </w:r>
      <w:r>
        <w:rPr>
          <w:lang w:val="en-GB"/>
        </w:rPr>
        <w:t xml:space="preserve"> as much as possible</w:t>
      </w:r>
      <w:r w:rsidRPr="00491156">
        <w:rPr>
          <w:lang w:val="en-GB"/>
        </w:rPr>
        <w:t>;</w:t>
      </w:r>
    </w:p>
    <w:p w:rsidR="00737A1A" w:rsidRPr="00491156" w:rsidRDefault="00737A1A" w:rsidP="00491156">
      <w:pPr>
        <w:numPr>
          <w:ilvl w:val="0"/>
          <w:numId w:val="43"/>
        </w:numPr>
        <w:tabs>
          <w:tab w:val="left" w:pos="540"/>
        </w:tabs>
        <w:spacing w:after="120"/>
        <w:jc w:val="both"/>
        <w:rPr>
          <w:lang w:val="en-GB"/>
        </w:rPr>
      </w:pPr>
      <w:r w:rsidRPr="00491156">
        <w:rPr>
          <w:lang w:val="en-GB"/>
        </w:rPr>
        <w:t>Portability times</w:t>
      </w:r>
      <w:r>
        <w:rPr>
          <w:lang w:val="en-GB"/>
        </w:rPr>
        <w:t>cales</w:t>
      </w:r>
      <w:r w:rsidRPr="00491156">
        <w:rPr>
          <w:lang w:val="en-GB"/>
        </w:rPr>
        <w:t xml:space="preserve"> should be reviewed regularly and, if possible, reduced;</w:t>
      </w:r>
    </w:p>
    <w:p w:rsidR="00737A1A" w:rsidRPr="00491156" w:rsidRDefault="00737A1A" w:rsidP="00491156">
      <w:pPr>
        <w:numPr>
          <w:ilvl w:val="0"/>
          <w:numId w:val="43"/>
        </w:numPr>
        <w:tabs>
          <w:tab w:val="left" w:pos="540"/>
        </w:tabs>
        <w:spacing w:after="120"/>
        <w:jc w:val="both"/>
        <w:rPr>
          <w:lang w:val="en-GB"/>
        </w:rPr>
      </w:pPr>
      <w:r w:rsidRPr="00491156">
        <w:rPr>
          <w:lang w:val="en-GB"/>
        </w:rPr>
        <w:t>Reasons for rejecting a porting</w:t>
      </w:r>
      <w:r>
        <w:rPr>
          <w:lang w:val="en-GB"/>
        </w:rPr>
        <w:t xml:space="preserve"> request</w:t>
      </w:r>
      <w:r w:rsidRPr="00491156">
        <w:rPr>
          <w:lang w:val="en-GB"/>
        </w:rPr>
        <w:t xml:space="preserve"> sh</w:t>
      </w:r>
      <w:r>
        <w:rPr>
          <w:lang w:val="en-GB"/>
        </w:rPr>
        <w:t>ould</w:t>
      </w:r>
      <w:r w:rsidRPr="00491156">
        <w:rPr>
          <w:lang w:val="en-GB"/>
        </w:rPr>
        <w:t xml:space="preserve"> be clearly identified in NP rules (e.g. regulations or industry standards) and sh</w:t>
      </w:r>
      <w:r>
        <w:rPr>
          <w:lang w:val="en-GB"/>
        </w:rPr>
        <w:t>ould</w:t>
      </w:r>
      <w:r w:rsidRPr="00491156">
        <w:rPr>
          <w:lang w:val="en-GB"/>
        </w:rPr>
        <w:t xml:space="preserve"> fulfil the following main purposes:</w:t>
      </w:r>
    </w:p>
    <w:p w:rsidR="00737A1A" w:rsidRPr="009E1BAB" w:rsidRDefault="00737A1A" w:rsidP="00873512">
      <w:pPr>
        <w:numPr>
          <w:ilvl w:val="1"/>
          <w:numId w:val="43"/>
        </w:numPr>
        <w:tabs>
          <w:tab w:val="clear" w:pos="2160"/>
          <w:tab w:val="left" w:pos="540"/>
        </w:tabs>
        <w:spacing w:after="120"/>
        <w:ind w:left="1560"/>
        <w:jc w:val="both"/>
        <w:rPr>
          <w:lang w:val="en-GB"/>
        </w:rPr>
      </w:pPr>
      <w:r w:rsidRPr="009E1BAB">
        <w:rPr>
          <w:lang w:val="en-GB"/>
        </w:rPr>
        <w:t xml:space="preserve">to avoid invalid rejection by the donor </w:t>
      </w:r>
      <w:r>
        <w:rPr>
          <w:lang w:val="en-GB"/>
        </w:rPr>
        <w:t xml:space="preserve">operator </w:t>
      </w:r>
      <w:r w:rsidRPr="009E1BAB">
        <w:rPr>
          <w:lang w:val="en-GB"/>
        </w:rPr>
        <w:t>or unsolicited porting, and</w:t>
      </w:r>
    </w:p>
    <w:p w:rsidR="00737A1A" w:rsidRPr="009E1BAB" w:rsidRDefault="00737A1A" w:rsidP="00873512">
      <w:pPr>
        <w:numPr>
          <w:ilvl w:val="1"/>
          <w:numId w:val="43"/>
        </w:numPr>
        <w:tabs>
          <w:tab w:val="clear" w:pos="2160"/>
          <w:tab w:val="left" w:pos="540"/>
        </w:tabs>
        <w:spacing w:after="120"/>
        <w:ind w:left="1560"/>
        <w:jc w:val="both"/>
        <w:rPr>
          <w:lang w:val="en-GB"/>
        </w:rPr>
      </w:pPr>
      <w:r w:rsidRPr="009E1BAB">
        <w:rPr>
          <w:lang w:val="en-GB"/>
        </w:rPr>
        <w:t>to guarantee the subscriber’s will;</w:t>
      </w:r>
    </w:p>
    <w:p w:rsidR="00737A1A" w:rsidRDefault="00737A1A" w:rsidP="00491156">
      <w:pPr>
        <w:numPr>
          <w:ilvl w:val="0"/>
          <w:numId w:val="42"/>
        </w:numPr>
        <w:spacing w:after="120"/>
        <w:jc w:val="both"/>
        <w:rPr>
          <w:lang w:val="en-GB"/>
        </w:rPr>
      </w:pPr>
      <w:r w:rsidRPr="00491156">
        <w:rPr>
          <w:lang w:val="en-GB"/>
        </w:rPr>
        <w:lastRenderedPageBreak/>
        <w:t>that disrupt</w:t>
      </w:r>
      <w:r>
        <w:rPr>
          <w:lang w:val="en-GB"/>
        </w:rPr>
        <w:t>ion of</w:t>
      </w:r>
      <w:r w:rsidRPr="00491156">
        <w:rPr>
          <w:lang w:val="en-GB"/>
        </w:rPr>
        <w:t xml:space="preserve"> the switching process by the donor </w:t>
      </w:r>
      <w:r>
        <w:rPr>
          <w:lang w:val="en-GB"/>
        </w:rPr>
        <w:t xml:space="preserve">operator </w:t>
      </w:r>
      <w:r w:rsidRPr="00491156">
        <w:rPr>
          <w:lang w:val="en-GB"/>
        </w:rPr>
        <w:t>during the validation phase, or during the portability process, should be prevented</w:t>
      </w:r>
      <w:r>
        <w:rPr>
          <w:lang w:val="en-GB"/>
        </w:rPr>
        <w:t>, unless in case of slamming</w:t>
      </w:r>
      <w:r w:rsidRPr="00491156">
        <w:rPr>
          <w:lang w:val="en-GB"/>
        </w:rPr>
        <w:t>;</w:t>
      </w:r>
    </w:p>
    <w:p w:rsidR="00737A1A" w:rsidRPr="00491156" w:rsidRDefault="00737A1A" w:rsidP="001809C1">
      <w:pPr>
        <w:numPr>
          <w:ilvl w:val="0"/>
          <w:numId w:val="42"/>
        </w:numPr>
        <w:spacing w:after="120"/>
        <w:jc w:val="both"/>
        <w:rPr>
          <w:lang w:val="en-GB"/>
        </w:rPr>
      </w:pPr>
      <w:proofErr w:type="gramStart"/>
      <w:r w:rsidRPr="00491156">
        <w:rPr>
          <w:lang w:val="en-GB"/>
        </w:rPr>
        <w:t>that</w:t>
      </w:r>
      <w:proofErr w:type="gramEnd"/>
      <w:r w:rsidRPr="00491156">
        <w:rPr>
          <w:lang w:val="en-GB"/>
        </w:rPr>
        <w:t xml:space="preserve"> the recipient </w:t>
      </w:r>
      <w:r>
        <w:rPr>
          <w:lang w:val="en-GB"/>
        </w:rPr>
        <w:t xml:space="preserve">operator </w:t>
      </w:r>
      <w:r w:rsidRPr="00491156">
        <w:rPr>
          <w:lang w:val="en-GB"/>
        </w:rPr>
        <w:t>should authenticate the porting request in an efficient manner</w:t>
      </w:r>
      <w:r>
        <w:rPr>
          <w:lang w:val="en-GB"/>
        </w:rPr>
        <w:t>,</w:t>
      </w:r>
      <w:r w:rsidRPr="00491156">
        <w:rPr>
          <w:lang w:val="en-GB"/>
        </w:rPr>
        <w:t xml:space="preserve"> e.g. by collecting a written identification and/or authorisation (</w:t>
      </w:r>
      <w:r>
        <w:rPr>
          <w:lang w:val="en-GB"/>
        </w:rPr>
        <w:t>Short Message Service [</w:t>
      </w:r>
      <w:r w:rsidRPr="00491156">
        <w:rPr>
          <w:lang w:val="en-GB"/>
        </w:rPr>
        <w:t>SMS</w:t>
      </w:r>
      <w:r>
        <w:rPr>
          <w:lang w:val="en-GB"/>
        </w:rPr>
        <w:t>]</w:t>
      </w:r>
      <w:r w:rsidR="00A936DD">
        <w:rPr>
          <w:lang w:val="en-GB"/>
        </w:rPr>
        <w:t>,</w:t>
      </w:r>
      <w:r w:rsidRPr="00491156">
        <w:rPr>
          <w:lang w:val="en-GB"/>
        </w:rPr>
        <w:t xml:space="preserve"> e-mail </w:t>
      </w:r>
      <w:r w:rsidRPr="001809C1">
        <w:rPr>
          <w:lang w:val="en-GB"/>
        </w:rPr>
        <w:t xml:space="preserve">or request on secured customer interface </w:t>
      </w:r>
      <w:r w:rsidRPr="00491156">
        <w:rPr>
          <w:lang w:val="en-GB"/>
        </w:rPr>
        <w:t xml:space="preserve">could be sufficient) from the subscriber before the porting is initiated. The donor </w:t>
      </w:r>
      <w:r>
        <w:rPr>
          <w:lang w:val="en-GB"/>
        </w:rPr>
        <w:t xml:space="preserve">operator </w:t>
      </w:r>
      <w:r w:rsidRPr="00491156">
        <w:rPr>
          <w:lang w:val="en-GB"/>
        </w:rPr>
        <w:t xml:space="preserve">may request the </w:t>
      </w:r>
      <w:r>
        <w:rPr>
          <w:lang w:val="en-GB"/>
        </w:rPr>
        <w:t xml:space="preserve">documentation of the </w:t>
      </w:r>
      <w:r w:rsidRPr="00491156">
        <w:rPr>
          <w:lang w:val="en-GB"/>
        </w:rPr>
        <w:t>authorisation only after he has accepted the porting</w:t>
      </w:r>
      <w:r>
        <w:rPr>
          <w:lang w:val="en-GB"/>
        </w:rPr>
        <w:t>, so that the donor operator would not be able to stall the process</w:t>
      </w:r>
      <w:r w:rsidRPr="00491156">
        <w:rPr>
          <w:lang w:val="en-GB"/>
        </w:rPr>
        <w:t>. This could be for a limited volume in case of random testing or a suspicio</w:t>
      </w:r>
      <w:r>
        <w:rPr>
          <w:lang w:val="en-GB"/>
        </w:rPr>
        <w:t>u</w:t>
      </w:r>
      <w:r w:rsidRPr="00491156">
        <w:rPr>
          <w:lang w:val="en-GB"/>
        </w:rPr>
        <w:t>s porting request;</w:t>
      </w:r>
    </w:p>
    <w:p w:rsidR="00737A1A" w:rsidRPr="00491156" w:rsidRDefault="00737A1A" w:rsidP="00491156">
      <w:pPr>
        <w:numPr>
          <w:ilvl w:val="0"/>
          <w:numId w:val="42"/>
        </w:numPr>
        <w:spacing w:after="120"/>
        <w:jc w:val="both"/>
        <w:rPr>
          <w:lang w:val="en-GB"/>
        </w:rPr>
      </w:pPr>
      <w:r w:rsidRPr="00491156">
        <w:rPr>
          <w:lang w:val="en-GB"/>
        </w:rPr>
        <w:t xml:space="preserve">that acceptance </w:t>
      </w:r>
      <w:r>
        <w:rPr>
          <w:lang w:val="en-GB"/>
        </w:rPr>
        <w:t xml:space="preserve">of a porting request </w:t>
      </w:r>
      <w:r w:rsidRPr="00491156">
        <w:rPr>
          <w:lang w:val="en-GB"/>
        </w:rPr>
        <w:t xml:space="preserve">by parties </w:t>
      </w:r>
      <w:r>
        <w:rPr>
          <w:lang w:val="en-GB"/>
        </w:rPr>
        <w:t>other than the donor</w:t>
      </w:r>
      <w:r w:rsidRPr="00062D4D">
        <w:rPr>
          <w:lang w:val="en-GB"/>
        </w:rPr>
        <w:t xml:space="preserve"> </w:t>
      </w:r>
      <w:r>
        <w:rPr>
          <w:lang w:val="en-GB"/>
        </w:rPr>
        <w:t xml:space="preserve">operator, </w:t>
      </w:r>
      <w:r w:rsidRPr="00491156">
        <w:rPr>
          <w:lang w:val="en-GB"/>
        </w:rPr>
        <w:t xml:space="preserve">e.g. by the NRA or Central Reference Database (CRDB) entity, </w:t>
      </w:r>
      <w:r>
        <w:rPr>
          <w:lang w:val="en-GB"/>
        </w:rPr>
        <w:t>c</w:t>
      </w:r>
      <w:r w:rsidRPr="00491156">
        <w:rPr>
          <w:lang w:val="en-GB"/>
        </w:rPr>
        <w:t xml:space="preserve">ould be implemented </w:t>
      </w:r>
      <w:r>
        <w:rPr>
          <w:lang w:val="en-GB"/>
        </w:rPr>
        <w:t>as a last measure</w:t>
      </w:r>
      <w:r w:rsidRPr="00491156">
        <w:rPr>
          <w:lang w:val="en-GB"/>
        </w:rPr>
        <w:t xml:space="preserve"> for </w:t>
      </w:r>
      <w:r w:rsidR="00EC60E2">
        <w:rPr>
          <w:lang w:val="en-GB"/>
        </w:rPr>
        <w:t xml:space="preserve">the exceptional </w:t>
      </w:r>
      <w:r w:rsidRPr="00491156">
        <w:rPr>
          <w:lang w:val="en-GB"/>
        </w:rPr>
        <w:t xml:space="preserve">cases when the donor </w:t>
      </w:r>
      <w:r>
        <w:rPr>
          <w:lang w:val="en-GB"/>
        </w:rPr>
        <w:t xml:space="preserve">operator cannot </w:t>
      </w:r>
      <w:r w:rsidRPr="00491156">
        <w:rPr>
          <w:lang w:val="en-GB"/>
        </w:rPr>
        <w:t>answer the porting request;</w:t>
      </w:r>
    </w:p>
    <w:p w:rsidR="00737A1A" w:rsidRPr="00491156" w:rsidRDefault="00737A1A" w:rsidP="004A018F">
      <w:pPr>
        <w:numPr>
          <w:ilvl w:val="0"/>
          <w:numId w:val="42"/>
        </w:numPr>
        <w:spacing w:after="120"/>
        <w:jc w:val="both"/>
        <w:rPr>
          <w:lang w:val="en-GB"/>
        </w:rPr>
      </w:pPr>
      <w:r w:rsidRPr="00491156">
        <w:rPr>
          <w:lang w:val="en-GB"/>
        </w:rPr>
        <w:t>that the NRA should aim to synchronise processes (e.g. fixed, mobile and/or local loop unbundling [LLU]) in order to facilitate the switching of bundle</w:t>
      </w:r>
      <w:r>
        <w:rPr>
          <w:lang w:val="en-GB"/>
        </w:rPr>
        <w:t xml:space="preserve">d </w:t>
      </w:r>
      <w:r w:rsidRPr="00491156">
        <w:rPr>
          <w:lang w:val="en-GB"/>
        </w:rPr>
        <w:t>services (e.g. in case of a triple play) where number portability is included;</w:t>
      </w:r>
    </w:p>
    <w:p w:rsidR="00737A1A" w:rsidRPr="00491156" w:rsidRDefault="00737A1A" w:rsidP="00491156">
      <w:pPr>
        <w:numPr>
          <w:ilvl w:val="0"/>
          <w:numId w:val="42"/>
        </w:numPr>
        <w:spacing w:after="120"/>
        <w:jc w:val="both"/>
        <w:rPr>
          <w:lang w:val="en-GB"/>
        </w:rPr>
      </w:pPr>
      <w:r w:rsidRPr="00491156">
        <w:rPr>
          <w:lang w:val="en-GB"/>
        </w:rPr>
        <w:t xml:space="preserve">that the NRA should </w:t>
      </w:r>
      <w:r>
        <w:rPr>
          <w:lang w:val="en-GB"/>
        </w:rPr>
        <w:t>promote</w:t>
      </w:r>
      <w:r w:rsidRPr="00491156">
        <w:rPr>
          <w:lang w:val="en-GB"/>
        </w:rPr>
        <w:t xml:space="preserve"> that multiple play offers or services using multiple numbers (e.g. multiple subscriber numbers [MSN] or direct dial-in [DDI]) should not prevent porting of all or </w:t>
      </w:r>
      <w:r>
        <w:rPr>
          <w:lang w:val="en-GB"/>
        </w:rPr>
        <w:t>some</w:t>
      </w:r>
      <w:r w:rsidRPr="00491156">
        <w:rPr>
          <w:lang w:val="en-GB"/>
        </w:rPr>
        <w:t xml:space="preserve"> of the numbers assigned to the subscriber;</w:t>
      </w:r>
    </w:p>
    <w:p w:rsidR="00737A1A" w:rsidRPr="00491156" w:rsidRDefault="00737A1A" w:rsidP="00491156">
      <w:pPr>
        <w:numPr>
          <w:ilvl w:val="0"/>
          <w:numId w:val="42"/>
        </w:numPr>
        <w:spacing w:after="120"/>
        <w:jc w:val="both"/>
        <w:rPr>
          <w:lang w:val="en-GB"/>
        </w:rPr>
      </w:pPr>
      <w:r w:rsidRPr="00491156">
        <w:rPr>
          <w:lang w:val="en-GB"/>
        </w:rPr>
        <w:t>that the NRA should examine possibilities for more efficient NP processes together with relevant stake holders;</w:t>
      </w:r>
      <w:r>
        <w:rPr>
          <w:lang w:val="en-GB"/>
        </w:rPr>
        <w:t xml:space="preserve"> and</w:t>
      </w:r>
    </w:p>
    <w:p w:rsidR="00737A1A" w:rsidRDefault="00737A1A" w:rsidP="00491156">
      <w:pPr>
        <w:numPr>
          <w:ilvl w:val="0"/>
          <w:numId w:val="42"/>
        </w:numPr>
        <w:spacing w:after="120"/>
        <w:jc w:val="both"/>
        <w:rPr>
          <w:lang w:val="en-GB"/>
        </w:rPr>
      </w:pPr>
      <w:proofErr w:type="gramStart"/>
      <w:r w:rsidRPr="00491156">
        <w:rPr>
          <w:lang w:val="en-GB"/>
        </w:rPr>
        <w:t>that</w:t>
      </w:r>
      <w:proofErr w:type="gramEnd"/>
      <w:r w:rsidRPr="00491156">
        <w:rPr>
          <w:lang w:val="en-GB"/>
        </w:rPr>
        <w:t xml:space="preserve"> the technical NP implementation should be based on direct routing principles (e.g. All Call Query </w:t>
      </w:r>
      <w:r>
        <w:rPr>
          <w:lang w:val="en-GB"/>
        </w:rPr>
        <w:t>[A</w:t>
      </w:r>
      <w:r w:rsidR="00B31555">
        <w:rPr>
          <w:lang w:val="en-GB"/>
        </w:rPr>
        <w:t>C</w:t>
      </w:r>
      <w:r>
        <w:rPr>
          <w:lang w:val="en-GB"/>
        </w:rPr>
        <w:t xml:space="preserve">Q] </w:t>
      </w:r>
      <w:r w:rsidRPr="00491156">
        <w:rPr>
          <w:lang w:val="en-GB"/>
        </w:rPr>
        <w:t>or equivalent routing method).</w:t>
      </w:r>
      <w:r>
        <w:rPr>
          <w:lang w:val="en-GB"/>
        </w:rPr>
        <w:t>”</w:t>
      </w:r>
    </w:p>
    <w:sectPr w:rsidR="00737A1A" w:rsidSect="006B723B">
      <w:headerReference w:type="even" r:id="rId14"/>
      <w:headerReference w:type="default" r:id="rId15"/>
      <w:headerReference w:type="first" r:id="rId1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05E" w:rsidRDefault="0090605E" w:rsidP="006B723B">
      <w:r>
        <w:separator/>
      </w:r>
    </w:p>
  </w:endnote>
  <w:endnote w:type="continuationSeparator" w:id="0">
    <w:p w:rsidR="0090605E" w:rsidRDefault="0090605E" w:rsidP="006B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charset w:val="59"/>
    <w:family w:val="auto"/>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1A" w:rsidRDefault="00737A1A">
    <w:pPr>
      <w:pStyle w:val="Footer"/>
    </w:pPr>
    <w:r>
      <w:rPr>
        <w:sz w:val="16"/>
        <w:szCs w:val="16"/>
        <w:lang w:val="da-DK"/>
      </w:rPr>
      <w:t xml:space="preserve">Edition </w:t>
    </w:r>
    <w:r w:rsidR="00A936DD">
      <w:rPr>
        <w:sz w:val="16"/>
        <w:szCs w:val="16"/>
        <w:lang w:val="da-DK"/>
      </w:rPr>
      <w:t xml:space="preserve">11 May </w:t>
    </w:r>
    <w:r>
      <w:rPr>
        <w:sz w:val="16"/>
        <w:szCs w:val="16"/>
        <w:lang w:val="da-DK"/>
      </w:rPr>
      <w:t>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1A" w:rsidRDefault="00737A1A">
    <w:pPr>
      <w:pStyle w:val="Footer"/>
    </w:pPr>
    <w:r w:rsidRPr="005812B9">
      <w:rPr>
        <w:sz w:val="16"/>
        <w:szCs w:val="16"/>
        <w:lang w:val="da-DK"/>
      </w:rPr>
      <w:t xml:space="preserve">Edition </w:t>
    </w:r>
    <w:r w:rsidR="00A936DD">
      <w:rPr>
        <w:sz w:val="16"/>
        <w:szCs w:val="16"/>
        <w:lang w:val="da-DK"/>
      </w:rPr>
      <w:t xml:space="preserve">11 May </w:t>
    </w:r>
    <w:r>
      <w:rPr>
        <w:sz w:val="16"/>
        <w:szCs w:val="16"/>
        <w:lang w:val="da-DK"/>
      </w:rPr>
      <w:t>2012</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5D" w:rsidRDefault="00B80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05E" w:rsidRDefault="0090605E" w:rsidP="006B723B">
      <w:r>
        <w:separator/>
      </w:r>
    </w:p>
  </w:footnote>
  <w:footnote w:type="continuationSeparator" w:id="0">
    <w:p w:rsidR="0090605E" w:rsidRDefault="0090605E" w:rsidP="006B7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1A" w:rsidRPr="007C5F95" w:rsidRDefault="00737A1A">
    <w:pPr>
      <w:pStyle w:val="Header"/>
      <w:rPr>
        <w:b w:val="0"/>
        <w:lang w:val="da-DK"/>
      </w:rPr>
    </w:pPr>
    <w:r w:rsidRPr="007C5F95">
      <w:rPr>
        <w:b w:val="0"/>
        <w:lang w:val="da-DK"/>
      </w:rPr>
      <w:t>Draft ECC REPORT XXX</w:t>
    </w:r>
  </w:p>
  <w:p w:rsidR="00737A1A" w:rsidRPr="007C5F95" w:rsidRDefault="00737A1A">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1A" w:rsidRPr="007C5F95" w:rsidRDefault="00737A1A" w:rsidP="006B723B">
    <w:pPr>
      <w:pStyle w:val="Header"/>
      <w:jc w:val="right"/>
      <w:rPr>
        <w:b w:val="0"/>
        <w:lang w:val="da-DK"/>
      </w:rPr>
    </w:pPr>
    <w:r w:rsidRPr="007C5F95">
      <w:rPr>
        <w:b w:val="0"/>
        <w:lang w:val="da-DK"/>
      </w:rPr>
      <w:t>Draft ECC REPORT XXX</w:t>
    </w:r>
  </w:p>
  <w:p w:rsidR="00737A1A" w:rsidRPr="007C5F95" w:rsidRDefault="00737A1A" w:rsidP="006B723B">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1A" w:rsidRDefault="002278F2">
    <w:pPr>
      <w:pStyle w:val="Header"/>
    </w:pPr>
    <w:r>
      <w:rPr>
        <w:noProof/>
        <w:lang w:val="da-DK" w:eastAsia="da-DK"/>
      </w:rPr>
      <w:drawing>
        <wp:anchor distT="0" distB="0" distL="114300" distR="114300" simplePos="0" relativeHeight="251658240" behindDoc="0" locked="0" layoutInCell="1" allowOverlap="1" wp14:anchorId="761AB83A" wp14:editId="7A1A76D6">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7216" behindDoc="0" locked="0" layoutInCell="1" allowOverlap="1" wp14:anchorId="644DF3FD" wp14:editId="1D9621AE">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1A" w:rsidRPr="007C5F95" w:rsidRDefault="00737A1A">
    <w:pPr>
      <w:pStyle w:val="Header"/>
      <w:rPr>
        <w:szCs w:val="16"/>
        <w:lang w:val="da-DK"/>
      </w:rPr>
    </w:pPr>
    <w:r w:rsidRPr="007C5F95">
      <w:rPr>
        <w:lang w:val="da-DK"/>
      </w:rPr>
      <w:t>ECC</w:t>
    </w:r>
    <w:r w:rsidR="00B8025D">
      <w:rPr>
        <w:lang w:val="da-DK"/>
      </w:rPr>
      <w:t>/</w:t>
    </w:r>
    <w:r w:rsidRPr="007C5F95">
      <w:rPr>
        <w:lang w:val="da-DK"/>
      </w:rPr>
      <w:t>REC</w:t>
    </w:r>
    <w:r w:rsidR="00B8025D">
      <w:rPr>
        <w:lang w:val="da-DK"/>
      </w:rPr>
      <w:t>/</w:t>
    </w:r>
    <w:r w:rsidRPr="007C5F95">
      <w:rPr>
        <w:lang w:val="da-DK"/>
      </w:rPr>
      <w:t>(</w:t>
    </w:r>
    <w:r>
      <w:rPr>
        <w:lang w:val="da-DK"/>
      </w:rPr>
      <w:t>12</w:t>
    </w:r>
    <w:r w:rsidRPr="007C5F95">
      <w:rPr>
        <w:lang w:val="da-DK"/>
      </w:rPr>
      <w:t>)</w:t>
    </w:r>
    <w:r>
      <w:rPr>
        <w:lang w:val="da-DK"/>
      </w:rPr>
      <w:t>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B8025D">
      <w:rPr>
        <w:noProof/>
        <w:szCs w:val="16"/>
        <w:lang w:val="da-DK"/>
      </w:rPr>
      <w:t>4</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1A" w:rsidRPr="007C5F95" w:rsidRDefault="00737A1A" w:rsidP="006B723B">
    <w:pPr>
      <w:pStyle w:val="Header"/>
      <w:jc w:val="right"/>
      <w:rPr>
        <w:szCs w:val="16"/>
        <w:lang w:val="da-DK"/>
      </w:rPr>
    </w:pPr>
    <w:r w:rsidRPr="007C5F95">
      <w:rPr>
        <w:lang w:val="da-DK"/>
      </w:rPr>
      <w:t>ECC</w:t>
    </w:r>
    <w:r w:rsidR="00B8025D">
      <w:rPr>
        <w:lang w:val="da-DK"/>
      </w:rPr>
      <w:t>/</w:t>
    </w:r>
    <w:r w:rsidRPr="007C5F95">
      <w:rPr>
        <w:lang w:val="da-DK"/>
      </w:rPr>
      <w:t>REC</w:t>
    </w:r>
    <w:r w:rsidR="00B8025D">
      <w:rPr>
        <w:lang w:val="da-DK"/>
      </w:rPr>
      <w:t>/</w:t>
    </w:r>
    <w:r w:rsidRPr="007C5F95">
      <w:rPr>
        <w:lang w:val="da-DK"/>
      </w:rPr>
      <w:t>(</w:t>
    </w:r>
    <w:r>
      <w:rPr>
        <w:lang w:val="da-DK"/>
      </w:rPr>
      <w:t>12</w:t>
    </w:r>
    <w:r w:rsidRPr="007C5F95">
      <w:rPr>
        <w:lang w:val="da-DK"/>
      </w:rPr>
      <w:t>)</w:t>
    </w:r>
    <w:r>
      <w:rPr>
        <w:lang w:val="da-DK"/>
      </w:rPr>
      <w:t>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B8025D">
      <w:rPr>
        <w:noProof/>
        <w:szCs w:val="16"/>
        <w:lang w:val="da-DK"/>
      </w:rPr>
      <w:t>3</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1A" w:rsidRPr="001223D0" w:rsidRDefault="00737A1A" w:rsidP="006B723B">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11AD498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321170"/>
    <w:multiLevelType w:val="multilevel"/>
    <w:tmpl w:val="3466827E"/>
    <w:lvl w:ilvl="0">
      <w:start w:val="1"/>
      <w:numFmt w:val="decimal"/>
      <w:lvlText w:val="[%1]"/>
      <w:lvlJc w:val="left"/>
      <w:pPr>
        <w:tabs>
          <w:tab w:val="num" w:pos="397"/>
        </w:tabs>
        <w:ind w:left="397" w:hanging="397"/>
      </w:pPr>
      <w:rPr>
        <w:rFonts w:ascii="Arial" w:hAnsi="Arial" w:cs="Times New Roman" w:hint="default"/>
        <w:b w:val="0"/>
        <w:i w:val="0"/>
        <w:color w:val="FF000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A64190E"/>
    <w:multiLevelType w:val="multilevel"/>
    <w:tmpl w:val="294220AC"/>
    <w:lvl w:ilvl="0">
      <w:start w:val="1"/>
      <w:numFmt w:val="lowerLetter"/>
      <w:lvlText w:val="%1)"/>
      <w:lvlJc w:val="left"/>
      <w:pPr>
        <w:tabs>
          <w:tab w:val="num" w:pos="397"/>
        </w:tabs>
        <w:ind w:left="397" w:hanging="397"/>
      </w:pPr>
      <w:rPr>
        <w:rFonts w:ascii="Arial" w:hAnsi="Arial" w:cs="Times New Roman" w:hint="default"/>
        <w:color w:val="D2232A"/>
        <w:sz w:val="2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cs="Times New Roman" w:hint="default"/>
        <w:color w:val="D2232A"/>
        <w:sz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5">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13F2504"/>
    <w:multiLevelType w:val="multilevel"/>
    <w:tmpl w:val="B7782DC4"/>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29A1340F"/>
    <w:multiLevelType w:val="multilevel"/>
    <w:tmpl w:val="34562E8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AAF2372"/>
    <w:multiLevelType w:val="multilevel"/>
    <w:tmpl w:val="88FE1592"/>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Bold" w:hAnsi="Arial Bold"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2B2448E4"/>
    <w:multiLevelType w:val="multilevel"/>
    <w:tmpl w:val="C0449AC4"/>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2B4F312A"/>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D0B46CA"/>
    <w:multiLevelType w:val="multilevel"/>
    <w:tmpl w:val="25EC305E"/>
    <w:lvl w:ilvl="0">
      <w:start w:val="1"/>
      <w:numFmt w:val="lowerLetter"/>
      <w:lvlText w:val="%1)"/>
      <w:lvlJc w:val="left"/>
      <w:pPr>
        <w:tabs>
          <w:tab w:val="num" w:pos="397"/>
        </w:tabs>
        <w:ind w:left="397" w:hanging="397"/>
      </w:pPr>
      <w:rPr>
        <w:rFonts w:ascii="Arial" w:hAnsi="Arial" w:cs="Times New Roman" w:hint="default"/>
        <w:color w:val="D2232A"/>
        <w:sz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13">
    <w:nsid w:val="2DF95636"/>
    <w:multiLevelType w:val="multilevel"/>
    <w:tmpl w:val="2FFE94E8"/>
    <w:lvl w:ilvl="0">
      <w:start w:val="1"/>
      <w:numFmt w:val="decimal"/>
      <w:lvlText w:val="[%1]"/>
      <w:lvlJc w:val="left"/>
      <w:pPr>
        <w:tabs>
          <w:tab w:val="num" w:pos="720"/>
        </w:tabs>
        <w:ind w:left="720" w:hanging="720"/>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6C25D0E"/>
    <w:multiLevelType w:val="multilevel"/>
    <w:tmpl w:val="25EC305E"/>
    <w:lvl w:ilvl="0">
      <w:start w:val="1"/>
      <w:numFmt w:val="lowerLetter"/>
      <w:lvlText w:val="%1)"/>
      <w:lvlJc w:val="left"/>
      <w:pPr>
        <w:tabs>
          <w:tab w:val="num" w:pos="397"/>
        </w:tabs>
        <w:ind w:left="397" w:hanging="397"/>
      </w:pPr>
      <w:rPr>
        <w:rFonts w:ascii="Arial" w:hAnsi="Arial" w:cs="Times New Roman" w:hint="default"/>
        <w:color w:val="D2232A"/>
        <w:sz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15">
    <w:nsid w:val="3B880D6D"/>
    <w:multiLevelType w:val="multilevel"/>
    <w:tmpl w:val="ADCC13AA"/>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BCE08D9"/>
    <w:multiLevelType w:val="multilevel"/>
    <w:tmpl w:val="00144118"/>
    <w:lvl w:ilvl="0">
      <w:start w:val="1"/>
      <w:numFmt w:val="decimal"/>
      <w:suff w:val="space"/>
      <w:lvlText w:val="ANNEX %1:"/>
      <w:lvlJc w:val="left"/>
      <w:rPr>
        <w:rFonts w:ascii="Arial Bold" w:hAnsi="Arial Bold"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3C0D7371"/>
    <w:multiLevelType w:val="hybridMultilevel"/>
    <w:tmpl w:val="51A8025C"/>
    <w:lvl w:ilvl="0" w:tplc="F6548660">
      <w:start w:val="1"/>
      <w:numFmt w:val="decimal"/>
      <w:lvlText w:val="%1)"/>
      <w:lvlJc w:val="left"/>
      <w:pPr>
        <w:tabs>
          <w:tab w:val="num" w:pos="360"/>
        </w:tabs>
        <w:ind w:left="360" w:hanging="360"/>
      </w:pPr>
      <w:rPr>
        <w:rFonts w:cs="Times New Roman"/>
        <w:color w:val="C0000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3D163F7A"/>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9">
    <w:nsid w:val="3D7329F1"/>
    <w:multiLevelType w:val="multilevel"/>
    <w:tmpl w:val="23689E52"/>
    <w:lvl w:ilvl="0">
      <w:start w:val="1"/>
      <w:numFmt w:val="decimal"/>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3DE11B9E"/>
    <w:multiLevelType w:val="multilevel"/>
    <w:tmpl w:val="FB5EDC84"/>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3EEE7FB8"/>
    <w:multiLevelType w:val="multilevel"/>
    <w:tmpl w:val="4F027B32"/>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418957A2"/>
    <w:multiLevelType w:val="multilevel"/>
    <w:tmpl w:val="08AE7DB4"/>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cs="Times New Roman" w:hint="default"/>
        <w:b w:val="0"/>
        <w:i w:val="0"/>
        <w:color w:val="D2232A"/>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7C819E9"/>
    <w:multiLevelType w:val="multilevel"/>
    <w:tmpl w:val="D8721228"/>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4BA83BD6"/>
    <w:multiLevelType w:val="multilevel"/>
    <w:tmpl w:val="0FA475FC"/>
    <w:lvl w:ilvl="0">
      <w:start w:val="1"/>
      <w:numFmt w:val="decimal"/>
      <w:suff w:val="space"/>
      <w:lvlText w:val="ANNEX %1:"/>
      <w:lvlJc w:val="left"/>
      <w:pPr>
        <w:ind w:left="360" w:hanging="360"/>
      </w:pPr>
      <w:rPr>
        <w:rFonts w:ascii="Times New Roman Bold" w:hAnsi="Times New Roman Bold" w:cs="Times New Roman" w:hint="default"/>
        <w:b/>
        <w:i w:val="0"/>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52AF5894"/>
    <w:multiLevelType w:val="hybridMultilevel"/>
    <w:tmpl w:val="CBBA4DD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43C3852"/>
    <w:multiLevelType w:val="hybridMultilevel"/>
    <w:tmpl w:val="F9CA80FC"/>
    <w:lvl w:ilvl="0" w:tplc="D286F7D6">
      <w:start w:val="1"/>
      <w:numFmt w:val="lowerRoman"/>
      <w:lvlText w:val="%1."/>
      <w:lvlJc w:val="right"/>
      <w:pPr>
        <w:tabs>
          <w:tab w:val="num" w:pos="900"/>
        </w:tabs>
        <w:ind w:left="900" w:hanging="180"/>
      </w:pPr>
      <w:rPr>
        <w:rFonts w:cs="Times New Roman" w:hint="default"/>
        <w:color w:val="C00000"/>
      </w:rPr>
    </w:lvl>
    <w:lvl w:ilvl="1" w:tplc="CE34246E">
      <w:start w:val="1"/>
      <w:numFmt w:val="lowerLetter"/>
      <w:lvlText w:val="%2."/>
      <w:lvlJc w:val="left"/>
      <w:pPr>
        <w:tabs>
          <w:tab w:val="num" w:pos="2160"/>
        </w:tabs>
        <w:ind w:left="2160" w:hanging="360"/>
      </w:pPr>
      <w:rPr>
        <w:rFonts w:cs="Times New Roman" w:hint="default"/>
        <w:color w:val="C0000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nsid w:val="5B3128C3"/>
    <w:multiLevelType w:val="multilevel"/>
    <w:tmpl w:val="FB26665A"/>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5FBC077E"/>
    <w:multiLevelType w:val="multilevel"/>
    <w:tmpl w:val="8E609E68"/>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5FCC657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60EC121D"/>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4002AD3"/>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65803DCD"/>
    <w:multiLevelType w:val="multilevel"/>
    <w:tmpl w:val="294220AC"/>
    <w:lvl w:ilvl="0">
      <w:start w:val="1"/>
      <w:numFmt w:val="lowerLetter"/>
      <w:lvlText w:val="%1)"/>
      <w:lvlJc w:val="left"/>
      <w:pPr>
        <w:tabs>
          <w:tab w:val="num" w:pos="397"/>
        </w:tabs>
        <w:ind w:left="397" w:hanging="397"/>
      </w:pPr>
      <w:rPr>
        <w:rFonts w:ascii="Arial" w:hAnsi="Arial" w:cs="Times New Roman" w:hint="default"/>
        <w:color w:val="D2232A"/>
        <w:sz w:val="2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5">
    <w:nsid w:val="66575489"/>
    <w:multiLevelType w:val="multilevel"/>
    <w:tmpl w:val="4B4E4BCA"/>
    <w:lvl w:ilvl="0">
      <w:start w:val="1"/>
      <w:numFmt w:val="decimal"/>
      <w:suff w:val="space"/>
      <w:lvlText w:val="Table %1:"/>
      <w:lvlJc w:val="left"/>
      <w:pPr>
        <w:ind w:left="360" w:hanging="360"/>
      </w:pPr>
      <w:rPr>
        <w:rFonts w:ascii="Times New Roman Bold" w:hAnsi="Times New Roman Bold" w:cs="Times New Roman" w:hint="default"/>
        <w:b/>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6AFD49F4"/>
    <w:multiLevelType w:val="hybridMultilevel"/>
    <w:tmpl w:val="E290687E"/>
    <w:lvl w:ilvl="0" w:tplc="282EF70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6CA6796D"/>
    <w:multiLevelType w:val="multilevel"/>
    <w:tmpl w:val="04E62F1A"/>
    <w:lvl w:ilvl="0">
      <w:start w:val="1"/>
      <w:numFmt w:val="lowerLetter"/>
      <w:lvlText w:val="%1)"/>
      <w:lvlJc w:val="left"/>
      <w:pPr>
        <w:tabs>
          <w:tab w:val="num" w:pos="397"/>
        </w:tabs>
        <w:ind w:left="397" w:hanging="397"/>
      </w:pPr>
      <w:rPr>
        <w:rFonts w:ascii="Arial" w:hAnsi="Arial" w:cs="Times New Roman" w:hint="default"/>
        <w:color w:val="D2232A"/>
        <w:sz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38">
    <w:nsid w:val="6D79036B"/>
    <w:multiLevelType w:val="multilevel"/>
    <w:tmpl w:val="294220AC"/>
    <w:lvl w:ilvl="0">
      <w:start w:val="1"/>
      <w:numFmt w:val="lowerLetter"/>
      <w:lvlText w:val="%1)"/>
      <w:lvlJc w:val="left"/>
      <w:pPr>
        <w:tabs>
          <w:tab w:val="num" w:pos="397"/>
        </w:tabs>
        <w:ind w:left="397" w:hanging="397"/>
      </w:pPr>
      <w:rPr>
        <w:rFonts w:ascii="Arial" w:hAnsi="Arial" w:cs="Times New Roman" w:hint="default"/>
        <w:color w:val="D2232A"/>
        <w:sz w:val="2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9">
    <w:nsid w:val="6ED2343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7172623F"/>
    <w:multiLevelType w:val="multilevel"/>
    <w:tmpl w:val="0409001D"/>
    <w:lvl w:ilvl="0">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222504B"/>
    <w:multiLevelType w:val="multilevel"/>
    <w:tmpl w:val="A724997C"/>
    <w:lvl w:ilvl="0">
      <w:start w:val="1"/>
      <w:numFmt w:val="decimal"/>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18"/>
  </w:num>
  <w:num w:numId="3">
    <w:abstractNumId w:val="42"/>
  </w:num>
  <w:num w:numId="4">
    <w:abstractNumId w:val="25"/>
  </w:num>
  <w:num w:numId="5">
    <w:abstractNumId w:val="26"/>
  </w:num>
  <w:num w:numId="6">
    <w:abstractNumId w:val="23"/>
  </w:num>
  <w:num w:numId="7">
    <w:abstractNumId w:val="6"/>
  </w:num>
  <w:num w:numId="8">
    <w:abstractNumId w:val="39"/>
  </w:num>
  <w:num w:numId="9">
    <w:abstractNumId w:val="24"/>
  </w:num>
  <w:num w:numId="10">
    <w:abstractNumId w:val="15"/>
  </w:num>
  <w:num w:numId="11">
    <w:abstractNumId w:val="29"/>
  </w:num>
  <w:num w:numId="12">
    <w:abstractNumId w:val="10"/>
  </w:num>
  <w:num w:numId="13">
    <w:abstractNumId w:val="1"/>
  </w:num>
  <w:num w:numId="14">
    <w:abstractNumId w:val="32"/>
  </w:num>
  <w:num w:numId="15">
    <w:abstractNumId w:val="33"/>
  </w:num>
  <w:num w:numId="16">
    <w:abstractNumId w:val="21"/>
  </w:num>
  <w:num w:numId="17">
    <w:abstractNumId w:val="7"/>
  </w:num>
  <w:num w:numId="18">
    <w:abstractNumId w:val="20"/>
  </w:num>
  <w:num w:numId="19">
    <w:abstractNumId w:val="30"/>
  </w:num>
  <w:num w:numId="20">
    <w:abstractNumId w:val="19"/>
  </w:num>
  <w:num w:numId="21">
    <w:abstractNumId w:val="35"/>
  </w:num>
  <w:num w:numId="22">
    <w:abstractNumId w:val="41"/>
  </w:num>
  <w:num w:numId="23">
    <w:abstractNumId w:val="22"/>
  </w:num>
  <w:num w:numId="24">
    <w:abstractNumId w:val="16"/>
  </w:num>
  <w:num w:numId="25">
    <w:abstractNumId w:val="9"/>
  </w:num>
  <w:num w:numId="26">
    <w:abstractNumId w:val="11"/>
  </w:num>
  <w:num w:numId="27">
    <w:abstractNumId w:val="0"/>
  </w:num>
  <w:num w:numId="28">
    <w:abstractNumId w:val="34"/>
  </w:num>
  <w:num w:numId="29">
    <w:abstractNumId w:val="38"/>
  </w:num>
  <w:num w:numId="30">
    <w:abstractNumId w:val="3"/>
  </w:num>
  <w:num w:numId="31">
    <w:abstractNumId w:val="8"/>
  </w:num>
  <w:num w:numId="32">
    <w:abstractNumId w:val="40"/>
  </w:num>
  <w:num w:numId="33">
    <w:abstractNumId w:val="37"/>
  </w:num>
  <w:num w:numId="34">
    <w:abstractNumId w:val="31"/>
  </w:num>
  <w:num w:numId="35">
    <w:abstractNumId w:val="12"/>
  </w:num>
  <w:num w:numId="36">
    <w:abstractNumId w:val="14"/>
  </w:num>
  <w:num w:numId="37">
    <w:abstractNumId w:val="4"/>
  </w:num>
  <w:num w:numId="38">
    <w:abstractNumId w:val="13"/>
  </w:num>
  <w:num w:numId="39">
    <w:abstractNumId w:val="2"/>
  </w:num>
  <w:num w:numId="40">
    <w:abstractNumId w:val="27"/>
  </w:num>
  <w:num w:numId="41">
    <w:abstractNumId w:val="4"/>
  </w:num>
  <w:num w:numId="42">
    <w:abstractNumId w:val="17"/>
  </w:num>
  <w:num w:numId="43">
    <w:abstractNumId w:val="28"/>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12"/>
    <w:rsid w:val="00027DD0"/>
    <w:rsid w:val="00062853"/>
    <w:rsid w:val="00062D4D"/>
    <w:rsid w:val="00065E4A"/>
    <w:rsid w:val="00090DD5"/>
    <w:rsid w:val="000B1E03"/>
    <w:rsid w:val="000B6B4A"/>
    <w:rsid w:val="000C7F41"/>
    <w:rsid w:val="000D587D"/>
    <w:rsid w:val="00116B39"/>
    <w:rsid w:val="00120F51"/>
    <w:rsid w:val="001223D0"/>
    <w:rsid w:val="00131095"/>
    <w:rsid w:val="00133F68"/>
    <w:rsid w:val="00146DD9"/>
    <w:rsid w:val="001809C1"/>
    <w:rsid w:val="001B1FC5"/>
    <w:rsid w:val="001B34B7"/>
    <w:rsid w:val="001B3B0F"/>
    <w:rsid w:val="001C58E0"/>
    <w:rsid w:val="001D4EBF"/>
    <w:rsid w:val="001D71E8"/>
    <w:rsid w:val="001E772E"/>
    <w:rsid w:val="002278F2"/>
    <w:rsid w:val="00227F3A"/>
    <w:rsid w:val="002955FF"/>
    <w:rsid w:val="002D1D4A"/>
    <w:rsid w:val="00354F4B"/>
    <w:rsid w:val="003A35E6"/>
    <w:rsid w:val="003C0F9B"/>
    <w:rsid w:val="00402BB9"/>
    <w:rsid w:val="004273D3"/>
    <w:rsid w:val="00472422"/>
    <w:rsid w:val="00487A8E"/>
    <w:rsid w:val="00491156"/>
    <w:rsid w:val="004A018F"/>
    <w:rsid w:val="004E4BE7"/>
    <w:rsid w:val="00524BA8"/>
    <w:rsid w:val="005812B9"/>
    <w:rsid w:val="005D2FBD"/>
    <w:rsid w:val="005E4250"/>
    <w:rsid w:val="005F1BEE"/>
    <w:rsid w:val="00605DBC"/>
    <w:rsid w:val="00607077"/>
    <w:rsid w:val="006178D3"/>
    <w:rsid w:val="0064093D"/>
    <w:rsid w:val="00650B21"/>
    <w:rsid w:val="00664B51"/>
    <w:rsid w:val="006B723B"/>
    <w:rsid w:val="006C4FBD"/>
    <w:rsid w:val="007003EB"/>
    <w:rsid w:val="00721925"/>
    <w:rsid w:val="00737A1A"/>
    <w:rsid w:val="0076305A"/>
    <w:rsid w:val="007737AA"/>
    <w:rsid w:val="00784DDC"/>
    <w:rsid w:val="00794000"/>
    <w:rsid w:val="007B3A32"/>
    <w:rsid w:val="007C0DB0"/>
    <w:rsid w:val="007C5F95"/>
    <w:rsid w:val="00830A0C"/>
    <w:rsid w:val="00873512"/>
    <w:rsid w:val="008747A4"/>
    <w:rsid w:val="008A2CEE"/>
    <w:rsid w:val="008A740C"/>
    <w:rsid w:val="008B2B8C"/>
    <w:rsid w:val="008E7388"/>
    <w:rsid w:val="0090605E"/>
    <w:rsid w:val="00923676"/>
    <w:rsid w:val="00926A81"/>
    <w:rsid w:val="00977BCA"/>
    <w:rsid w:val="00981B24"/>
    <w:rsid w:val="00991C4B"/>
    <w:rsid w:val="00995CA7"/>
    <w:rsid w:val="00995E23"/>
    <w:rsid w:val="009A33E5"/>
    <w:rsid w:val="009B4FD9"/>
    <w:rsid w:val="009B7CF9"/>
    <w:rsid w:val="009E1BAB"/>
    <w:rsid w:val="009F1E96"/>
    <w:rsid w:val="00A03351"/>
    <w:rsid w:val="00A079D0"/>
    <w:rsid w:val="00A30D56"/>
    <w:rsid w:val="00A45D17"/>
    <w:rsid w:val="00A6304A"/>
    <w:rsid w:val="00A726BB"/>
    <w:rsid w:val="00A936DD"/>
    <w:rsid w:val="00AD1DAE"/>
    <w:rsid w:val="00AE7F6C"/>
    <w:rsid w:val="00AF3972"/>
    <w:rsid w:val="00B12F30"/>
    <w:rsid w:val="00B1459E"/>
    <w:rsid w:val="00B17FC2"/>
    <w:rsid w:val="00B31555"/>
    <w:rsid w:val="00B37C1A"/>
    <w:rsid w:val="00B42602"/>
    <w:rsid w:val="00B42BF2"/>
    <w:rsid w:val="00B613CD"/>
    <w:rsid w:val="00B7050A"/>
    <w:rsid w:val="00B74E56"/>
    <w:rsid w:val="00B8025D"/>
    <w:rsid w:val="00B81AE9"/>
    <w:rsid w:val="00B875D1"/>
    <w:rsid w:val="00B9688D"/>
    <w:rsid w:val="00BC3A3A"/>
    <w:rsid w:val="00BE1B2E"/>
    <w:rsid w:val="00C13998"/>
    <w:rsid w:val="00C41053"/>
    <w:rsid w:val="00C7476C"/>
    <w:rsid w:val="00C95C7C"/>
    <w:rsid w:val="00CA26F4"/>
    <w:rsid w:val="00CA2946"/>
    <w:rsid w:val="00D548DE"/>
    <w:rsid w:val="00D7404E"/>
    <w:rsid w:val="00DB4949"/>
    <w:rsid w:val="00E16855"/>
    <w:rsid w:val="00E17AA3"/>
    <w:rsid w:val="00E26473"/>
    <w:rsid w:val="00E267F7"/>
    <w:rsid w:val="00E32E89"/>
    <w:rsid w:val="00E4368E"/>
    <w:rsid w:val="00E94D14"/>
    <w:rsid w:val="00EB189B"/>
    <w:rsid w:val="00EB3C0E"/>
    <w:rsid w:val="00EC60E2"/>
    <w:rsid w:val="00F22F02"/>
    <w:rsid w:val="00FD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szCs w:val="24"/>
      <w:lang w:val="en-US" w:eastAsia="en-US"/>
    </w:rPr>
  </w:style>
  <w:style w:type="paragraph" w:styleId="Heading1">
    <w:name w:val="heading 1"/>
    <w:aliases w:val="ECC Heading 1"/>
    <w:basedOn w:val="Normal"/>
    <w:next w:val="ECCParagraph"/>
    <w:link w:val="Heading1Char"/>
    <w:autoRedefine/>
    <w:uiPriority w:val="99"/>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2"/>
      </w:numPr>
      <w:spacing w:before="240" w:after="60"/>
      <w:outlineLvl w:val="6"/>
    </w:pPr>
    <w:rPr>
      <w:sz w:val="24"/>
    </w:rPr>
  </w:style>
  <w:style w:type="paragraph" w:styleId="Heading8">
    <w:name w:val="heading 8"/>
    <w:basedOn w:val="Normal"/>
    <w:next w:val="Normal"/>
    <w:link w:val="Heading8Char"/>
    <w:uiPriority w:val="99"/>
    <w:qFormat/>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
    <w:rsid w:val="00F819CE"/>
    <w:rPr>
      <w:rFonts w:ascii="Cambria" w:eastAsia="Times New Roman" w:hAnsi="Cambria" w:cs="Times New Roman"/>
      <w:b/>
      <w:bCs/>
      <w:kern w:val="32"/>
      <w:sz w:val="32"/>
      <w:szCs w:val="32"/>
    </w:rPr>
  </w:style>
  <w:style w:type="character" w:customStyle="1" w:styleId="Heading2Char">
    <w:name w:val="Heading 2 Char"/>
    <w:aliases w:val="ECC Heading 2 Char"/>
    <w:link w:val="Heading2"/>
    <w:uiPriority w:val="9"/>
    <w:semiHidden/>
    <w:rsid w:val="00F819CE"/>
    <w:rPr>
      <w:rFonts w:ascii="Cambria" w:eastAsia="Times New Roman" w:hAnsi="Cambria" w:cs="Times New Roman"/>
      <w:b/>
      <w:bCs/>
      <w:i/>
      <w:iCs/>
      <w:sz w:val="28"/>
      <w:szCs w:val="28"/>
    </w:rPr>
  </w:style>
  <w:style w:type="character" w:customStyle="1" w:styleId="Heading3Char">
    <w:name w:val="Heading 3 Char"/>
    <w:aliases w:val="ECC Heading 3 Char"/>
    <w:link w:val="Heading3"/>
    <w:uiPriority w:val="9"/>
    <w:semiHidden/>
    <w:rsid w:val="00F819CE"/>
    <w:rPr>
      <w:rFonts w:ascii="Cambria" w:eastAsia="Times New Roman" w:hAnsi="Cambria" w:cs="Times New Roman"/>
      <w:b/>
      <w:bCs/>
      <w:sz w:val="26"/>
      <w:szCs w:val="26"/>
    </w:rPr>
  </w:style>
  <w:style w:type="character" w:customStyle="1" w:styleId="Heading4Char">
    <w:name w:val="Heading 4 Char"/>
    <w:aliases w:val="ECC Heading 4 Char"/>
    <w:link w:val="Heading4"/>
    <w:uiPriority w:val="9"/>
    <w:semiHidden/>
    <w:rsid w:val="00F819CE"/>
    <w:rPr>
      <w:rFonts w:ascii="Calibri" w:eastAsia="Times New Roman" w:hAnsi="Calibri" w:cs="Times New Roman"/>
      <w:b/>
      <w:bCs/>
      <w:sz w:val="28"/>
      <w:szCs w:val="28"/>
    </w:rPr>
  </w:style>
  <w:style w:type="character" w:customStyle="1" w:styleId="Heading5Char">
    <w:name w:val="Heading 5 Char"/>
    <w:link w:val="Heading5"/>
    <w:uiPriority w:val="9"/>
    <w:semiHidden/>
    <w:rsid w:val="00F819C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819CE"/>
    <w:rPr>
      <w:rFonts w:ascii="Calibri" w:eastAsia="Times New Roman" w:hAnsi="Calibri" w:cs="Times New Roman"/>
      <w:b/>
      <w:bCs/>
    </w:rPr>
  </w:style>
  <w:style w:type="character" w:customStyle="1" w:styleId="Heading7Char">
    <w:name w:val="Heading 7 Char"/>
    <w:link w:val="Heading7"/>
    <w:uiPriority w:val="9"/>
    <w:semiHidden/>
    <w:rsid w:val="00F819CE"/>
    <w:rPr>
      <w:rFonts w:ascii="Calibri" w:eastAsia="Times New Roman" w:hAnsi="Calibri" w:cs="Times New Roman"/>
      <w:sz w:val="24"/>
      <w:szCs w:val="24"/>
    </w:rPr>
  </w:style>
  <w:style w:type="character" w:customStyle="1" w:styleId="Heading8Char">
    <w:name w:val="Heading 8 Char"/>
    <w:link w:val="Heading8"/>
    <w:uiPriority w:val="9"/>
    <w:semiHidden/>
    <w:rsid w:val="00F819CE"/>
    <w:rPr>
      <w:rFonts w:ascii="Calibri" w:eastAsia="Times New Roman" w:hAnsi="Calibri" w:cs="Times New Roman"/>
      <w:i/>
      <w:iCs/>
      <w:sz w:val="24"/>
      <w:szCs w:val="24"/>
    </w:rPr>
  </w:style>
  <w:style w:type="character" w:customStyle="1" w:styleId="Heading9Char">
    <w:name w:val="Heading 9 Char"/>
    <w:link w:val="Heading9"/>
    <w:uiPriority w:val="9"/>
    <w:semiHidden/>
    <w:rsid w:val="00F819CE"/>
    <w:rPr>
      <w:rFonts w:ascii="Cambria" w:eastAsia="Times New Roman" w:hAnsi="Cambria" w:cs="Times New Roman"/>
    </w:rPr>
  </w:style>
  <w:style w:type="paragraph" w:customStyle="1" w:styleId="ECCParagraph">
    <w:name w:val="ECC Paragraph"/>
    <w:basedOn w:val="Normal"/>
    <w:uiPriority w:val="99"/>
    <w:pPr>
      <w:spacing w:after="240"/>
      <w:jc w:val="both"/>
    </w:pPr>
    <w:rPr>
      <w:lang w:val="en-GB"/>
    </w:rPr>
  </w:style>
  <w:style w:type="paragraph" w:customStyle="1" w:styleId="ECCParBulleted">
    <w:name w:val="ECC Par Bulleted"/>
    <w:basedOn w:val="ECCParagraph"/>
    <w:uiPriority w:val="99"/>
    <w:pPr>
      <w:numPr>
        <w:numId w:val="1"/>
      </w:numPr>
      <w:spacing w:after="0"/>
      <w:ind w:left="357" w:hanging="357"/>
    </w:pPr>
  </w:style>
  <w:style w:type="paragraph" w:styleId="Header">
    <w:name w:val="header"/>
    <w:basedOn w:val="Normal"/>
    <w:link w:val="HeaderChar"/>
    <w:uiPriority w:val="99"/>
    <w:semiHidden/>
    <w:pPr>
      <w:tabs>
        <w:tab w:val="center" w:pos="4320"/>
        <w:tab w:val="right" w:pos="8640"/>
      </w:tabs>
    </w:pPr>
    <w:rPr>
      <w:b/>
      <w:sz w:val="16"/>
    </w:rPr>
  </w:style>
  <w:style w:type="character" w:customStyle="1" w:styleId="HeaderChar">
    <w:name w:val="Header Char"/>
    <w:link w:val="Header"/>
    <w:uiPriority w:val="99"/>
    <w:semiHidden/>
    <w:rsid w:val="00F819CE"/>
    <w:rPr>
      <w:rFonts w:ascii="Arial" w:hAnsi="Arial"/>
      <w:sz w:val="20"/>
      <w:szCs w:val="24"/>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rsid w:val="00F819CE"/>
    <w:rPr>
      <w:rFonts w:ascii="Arial" w:hAnsi="Arial"/>
      <w:sz w:val="20"/>
      <w:szCs w:val="24"/>
    </w:rPr>
  </w:style>
  <w:style w:type="paragraph" w:customStyle="1" w:styleId="ECCAnnex-heading1">
    <w:name w:val="ECC Annex - heading1"/>
    <w:basedOn w:val="Heading1"/>
    <w:next w:val="ECCParagraph"/>
    <w:uiPriority w:val="99"/>
    <w:pPr>
      <w:numPr>
        <w:numId w:val="7"/>
      </w:numPr>
    </w:pPr>
    <w:rPr>
      <w:b w:val="0"/>
    </w:rPr>
  </w:style>
  <w:style w:type="paragraph" w:styleId="TOC1">
    <w:name w:val="toc 1"/>
    <w:basedOn w:val="Normal"/>
    <w:next w:val="Normal"/>
    <w:autoRedefine/>
    <w:uiPriority w:val="99"/>
    <w:semiHidden/>
    <w:pPr>
      <w:tabs>
        <w:tab w:val="left" w:pos="360"/>
        <w:tab w:val="right" w:leader="dot" w:pos="9629"/>
      </w:tabs>
      <w:spacing w:before="240"/>
    </w:pPr>
    <w:rPr>
      <w:b/>
      <w:caps/>
    </w:rPr>
  </w:style>
  <w:style w:type="character" w:styleId="Hyperlink">
    <w:name w:val="Hyperlink"/>
    <w:uiPriority w:val="99"/>
    <w:semiHidden/>
    <w:rPr>
      <w:rFonts w:cs="Times New Roman"/>
      <w:color w:val="0000FF"/>
      <w:u w:val="single"/>
    </w:rPr>
  </w:style>
  <w:style w:type="paragraph" w:styleId="TOC2">
    <w:name w:val="toc 2"/>
    <w:basedOn w:val="Normal"/>
    <w:next w:val="Normal"/>
    <w:autoRedefine/>
    <w:uiPriority w:val="99"/>
    <w:semiHidden/>
    <w:pPr>
      <w:tabs>
        <w:tab w:val="left" w:pos="900"/>
        <w:tab w:val="right" w:leader="dot" w:pos="9629"/>
      </w:tabs>
      <w:ind w:left="360"/>
    </w:pPr>
  </w:style>
  <w:style w:type="paragraph" w:styleId="TOC3">
    <w:name w:val="toc 3"/>
    <w:basedOn w:val="Normal"/>
    <w:next w:val="Normal"/>
    <w:autoRedefine/>
    <w:uiPriority w:val="99"/>
    <w:semiHidden/>
    <w:pPr>
      <w:tabs>
        <w:tab w:val="left" w:pos="1440"/>
        <w:tab w:val="right" w:leader="dot" w:pos="9629"/>
      </w:tabs>
      <w:ind w:left="900"/>
    </w:pPr>
  </w:style>
  <w:style w:type="paragraph" w:styleId="TOC4">
    <w:name w:val="toc 4"/>
    <w:basedOn w:val="Normal"/>
    <w:next w:val="Normal"/>
    <w:autoRedefine/>
    <w:uiPriority w:val="99"/>
    <w:semiHidden/>
    <w:pPr>
      <w:tabs>
        <w:tab w:val="left" w:pos="2340"/>
        <w:tab w:val="right" w:leader="dot" w:pos="9629"/>
      </w:tabs>
      <w:ind w:left="1440"/>
    </w:pPr>
    <w:rPr>
      <w:i/>
    </w:rPr>
  </w:style>
  <w:style w:type="table" w:styleId="TableGrid">
    <w:name w:val="Table Grid"/>
    <w:basedOn w:val="TableNormal"/>
    <w:uiPriority w:val="99"/>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pPr>
      <w:numPr>
        <w:numId w:val="3"/>
      </w:numPr>
      <w:spacing w:before="360" w:after="240"/>
    </w:pPr>
  </w:style>
  <w:style w:type="paragraph" w:customStyle="1" w:styleId="ECCFootnote">
    <w:name w:val="ECC Footnote"/>
    <w:basedOn w:val="Normal"/>
    <w:autoRedefine/>
    <w:uiPriority w:val="9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semiHidden/>
    <w:rPr>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uiPriority w:val="99"/>
    <w:semiHidden/>
    <w:rsid w:val="00F819CE"/>
    <w:rPr>
      <w:rFonts w:ascii="Arial" w:hAnsi="Arial"/>
      <w:sz w:val="20"/>
      <w:szCs w:val="20"/>
    </w:rPr>
  </w:style>
  <w:style w:type="character" w:styleId="FootnoteReference">
    <w:name w:val="footnote reference"/>
    <w:aliases w:val="Appel note de bas de p,Footnote Reference/"/>
    <w:uiPriority w:val="99"/>
    <w:semiHidden/>
    <w:rPr>
      <w:rFonts w:ascii="Arial" w:hAnsi="Arial" w:cs="Times New Roman"/>
      <w:color w:val="D2232A"/>
      <w:vertAlign w:val="superscript"/>
    </w:rPr>
  </w:style>
  <w:style w:type="paragraph" w:customStyle="1" w:styleId="Text">
    <w:name w:val="Text"/>
    <w:basedOn w:val="Normal"/>
    <w:uiPriority w:val="99"/>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pPr>
      <w:numPr>
        <w:numId w:val="6"/>
      </w:numPr>
    </w:pPr>
    <w:rPr>
      <w:lang w:eastAsia="ja-JP"/>
    </w:rPr>
  </w:style>
  <w:style w:type="paragraph" w:customStyle="1" w:styleId="ECCAnnexheading2">
    <w:name w:val="ECC Annex heading2"/>
    <w:basedOn w:val="Normal"/>
    <w:next w:val="ECCParagraph"/>
    <w:uiPriority w:val="99"/>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rPr>
      <w:sz w:val="24"/>
    </w:rPr>
  </w:style>
  <w:style w:type="paragraph" w:styleId="BodyText">
    <w:name w:val="Body Text"/>
    <w:basedOn w:val="Normal"/>
    <w:link w:val="BodyTextChar"/>
    <w:autoRedefine/>
    <w:uiPriority w:val="99"/>
    <w:rsid w:val="00873512"/>
    <w:pPr>
      <w:spacing w:after="120"/>
      <w:jc w:val="both"/>
    </w:pPr>
    <w:rPr>
      <w:rFonts w:ascii="Times New Roman" w:hAnsi="Times New Roman"/>
      <w:szCs w:val="20"/>
      <w:lang w:val="en-GB" w:eastAsia="en-GB"/>
    </w:rPr>
  </w:style>
  <w:style w:type="character" w:customStyle="1" w:styleId="BodyTextChar">
    <w:name w:val="Body Text Char"/>
    <w:link w:val="BodyText"/>
    <w:uiPriority w:val="99"/>
    <w:locked/>
    <w:rsid w:val="00873512"/>
    <w:rPr>
      <w:rFonts w:cs="Times New Roman"/>
    </w:rPr>
  </w:style>
  <w:style w:type="paragraph" w:customStyle="1" w:styleId="LetteredList">
    <w:name w:val="Lettered List"/>
    <w:basedOn w:val="Normal"/>
    <w:uiPriority w:val="99"/>
    <w:pPr>
      <w:numPr>
        <w:numId w:val="37"/>
      </w:numPr>
      <w:spacing w:after="120"/>
      <w:jc w:val="both"/>
    </w:pPr>
  </w:style>
  <w:style w:type="paragraph" w:styleId="BalloonText">
    <w:name w:val="Balloon Text"/>
    <w:basedOn w:val="Normal"/>
    <w:link w:val="BalloonTextChar"/>
    <w:uiPriority w:val="99"/>
    <w:semiHidden/>
    <w:rsid w:val="002955FF"/>
    <w:rPr>
      <w:rFonts w:ascii="Tahoma" w:hAnsi="Tahoma" w:cs="Tahoma"/>
      <w:sz w:val="16"/>
      <w:szCs w:val="16"/>
    </w:rPr>
  </w:style>
  <w:style w:type="character" w:customStyle="1" w:styleId="BalloonTextChar">
    <w:name w:val="Balloon Text Char"/>
    <w:link w:val="BalloonText"/>
    <w:uiPriority w:val="99"/>
    <w:semiHidden/>
    <w:locked/>
    <w:rsid w:val="002955FF"/>
    <w:rPr>
      <w:rFonts w:ascii="Tahoma" w:hAnsi="Tahoma" w:cs="Tahoma"/>
      <w:sz w:val="16"/>
      <w:szCs w:val="16"/>
      <w:lang w:val="en-US" w:eastAsia="en-US"/>
    </w:rPr>
  </w:style>
  <w:style w:type="character" w:styleId="CommentReference">
    <w:name w:val="annotation reference"/>
    <w:uiPriority w:val="99"/>
    <w:semiHidden/>
    <w:rsid w:val="009F1E96"/>
    <w:rPr>
      <w:rFonts w:cs="Times New Roman"/>
      <w:sz w:val="16"/>
      <w:szCs w:val="16"/>
    </w:rPr>
  </w:style>
  <w:style w:type="paragraph" w:styleId="CommentText">
    <w:name w:val="annotation text"/>
    <w:basedOn w:val="Normal"/>
    <w:link w:val="CommentTextChar"/>
    <w:uiPriority w:val="99"/>
    <w:semiHidden/>
    <w:rsid w:val="009F1E96"/>
    <w:rPr>
      <w:szCs w:val="20"/>
    </w:rPr>
  </w:style>
  <w:style w:type="character" w:customStyle="1" w:styleId="CommentTextChar">
    <w:name w:val="Comment Text Char"/>
    <w:link w:val="CommentText"/>
    <w:uiPriority w:val="99"/>
    <w:semiHidden/>
    <w:locked/>
    <w:rsid w:val="009F1E96"/>
    <w:rPr>
      <w:rFonts w:ascii="Arial" w:hAnsi="Arial" w:cs="Times New Roman"/>
      <w:lang w:val="en-US" w:eastAsia="en-US"/>
    </w:rPr>
  </w:style>
  <w:style w:type="paragraph" w:styleId="CommentSubject">
    <w:name w:val="annotation subject"/>
    <w:basedOn w:val="CommentText"/>
    <w:next w:val="CommentText"/>
    <w:link w:val="CommentSubjectChar"/>
    <w:uiPriority w:val="99"/>
    <w:semiHidden/>
    <w:rsid w:val="009F1E96"/>
    <w:rPr>
      <w:b/>
      <w:bCs/>
    </w:rPr>
  </w:style>
  <w:style w:type="character" w:customStyle="1" w:styleId="CommentSubjectChar">
    <w:name w:val="Comment Subject Char"/>
    <w:link w:val="CommentSubject"/>
    <w:uiPriority w:val="99"/>
    <w:semiHidden/>
    <w:locked/>
    <w:rsid w:val="009F1E96"/>
    <w:rPr>
      <w:rFonts w:ascii="Arial" w:hAnsi="Arial" w:cs="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szCs w:val="24"/>
      <w:lang w:val="en-US" w:eastAsia="en-US"/>
    </w:rPr>
  </w:style>
  <w:style w:type="paragraph" w:styleId="Heading1">
    <w:name w:val="heading 1"/>
    <w:aliases w:val="ECC Heading 1"/>
    <w:basedOn w:val="Normal"/>
    <w:next w:val="ECCParagraph"/>
    <w:link w:val="Heading1Char"/>
    <w:autoRedefine/>
    <w:uiPriority w:val="99"/>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2"/>
      </w:numPr>
      <w:spacing w:before="240" w:after="60"/>
      <w:outlineLvl w:val="6"/>
    </w:pPr>
    <w:rPr>
      <w:sz w:val="24"/>
    </w:rPr>
  </w:style>
  <w:style w:type="paragraph" w:styleId="Heading8">
    <w:name w:val="heading 8"/>
    <w:basedOn w:val="Normal"/>
    <w:next w:val="Normal"/>
    <w:link w:val="Heading8Char"/>
    <w:uiPriority w:val="99"/>
    <w:qFormat/>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
    <w:rsid w:val="00F819CE"/>
    <w:rPr>
      <w:rFonts w:ascii="Cambria" w:eastAsia="Times New Roman" w:hAnsi="Cambria" w:cs="Times New Roman"/>
      <w:b/>
      <w:bCs/>
      <w:kern w:val="32"/>
      <w:sz w:val="32"/>
      <w:szCs w:val="32"/>
    </w:rPr>
  </w:style>
  <w:style w:type="character" w:customStyle="1" w:styleId="Heading2Char">
    <w:name w:val="Heading 2 Char"/>
    <w:aliases w:val="ECC Heading 2 Char"/>
    <w:link w:val="Heading2"/>
    <w:uiPriority w:val="9"/>
    <w:semiHidden/>
    <w:rsid w:val="00F819CE"/>
    <w:rPr>
      <w:rFonts w:ascii="Cambria" w:eastAsia="Times New Roman" w:hAnsi="Cambria" w:cs="Times New Roman"/>
      <w:b/>
      <w:bCs/>
      <w:i/>
      <w:iCs/>
      <w:sz w:val="28"/>
      <w:szCs w:val="28"/>
    </w:rPr>
  </w:style>
  <w:style w:type="character" w:customStyle="1" w:styleId="Heading3Char">
    <w:name w:val="Heading 3 Char"/>
    <w:aliases w:val="ECC Heading 3 Char"/>
    <w:link w:val="Heading3"/>
    <w:uiPriority w:val="9"/>
    <w:semiHidden/>
    <w:rsid w:val="00F819CE"/>
    <w:rPr>
      <w:rFonts w:ascii="Cambria" w:eastAsia="Times New Roman" w:hAnsi="Cambria" w:cs="Times New Roman"/>
      <w:b/>
      <w:bCs/>
      <w:sz w:val="26"/>
      <w:szCs w:val="26"/>
    </w:rPr>
  </w:style>
  <w:style w:type="character" w:customStyle="1" w:styleId="Heading4Char">
    <w:name w:val="Heading 4 Char"/>
    <w:aliases w:val="ECC Heading 4 Char"/>
    <w:link w:val="Heading4"/>
    <w:uiPriority w:val="9"/>
    <w:semiHidden/>
    <w:rsid w:val="00F819CE"/>
    <w:rPr>
      <w:rFonts w:ascii="Calibri" w:eastAsia="Times New Roman" w:hAnsi="Calibri" w:cs="Times New Roman"/>
      <w:b/>
      <w:bCs/>
      <w:sz w:val="28"/>
      <w:szCs w:val="28"/>
    </w:rPr>
  </w:style>
  <w:style w:type="character" w:customStyle="1" w:styleId="Heading5Char">
    <w:name w:val="Heading 5 Char"/>
    <w:link w:val="Heading5"/>
    <w:uiPriority w:val="9"/>
    <w:semiHidden/>
    <w:rsid w:val="00F819C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819CE"/>
    <w:rPr>
      <w:rFonts w:ascii="Calibri" w:eastAsia="Times New Roman" w:hAnsi="Calibri" w:cs="Times New Roman"/>
      <w:b/>
      <w:bCs/>
    </w:rPr>
  </w:style>
  <w:style w:type="character" w:customStyle="1" w:styleId="Heading7Char">
    <w:name w:val="Heading 7 Char"/>
    <w:link w:val="Heading7"/>
    <w:uiPriority w:val="9"/>
    <w:semiHidden/>
    <w:rsid w:val="00F819CE"/>
    <w:rPr>
      <w:rFonts w:ascii="Calibri" w:eastAsia="Times New Roman" w:hAnsi="Calibri" w:cs="Times New Roman"/>
      <w:sz w:val="24"/>
      <w:szCs w:val="24"/>
    </w:rPr>
  </w:style>
  <w:style w:type="character" w:customStyle="1" w:styleId="Heading8Char">
    <w:name w:val="Heading 8 Char"/>
    <w:link w:val="Heading8"/>
    <w:uiPriority w:val="9"/>
    <w:semiHidden/>
    <w:rsid w:val="00F819CE"/>
    <w:rPr>
      <w:rFonts w:ascii="Calibri" w:eastAsia="Times New Roman" w:hAnsi="Calibri" w:cs="Times New Roman"/>
      <w:i/>
      <w:iCs/>
      <w:sz w:val="24"/>
      <w:szCs w:val="24"/>
    </w:rPr>
  </w:style>
  <w:style w:type="character" w:customStyle="1" w:styleId="Heading9Char">
    <w:name w:val="Heading 9 Char"/>
    <w:link w:val="Heading9"/>
    <w:uiPriority w:val="9"/>
    <w:semiHidden/>
    <w:rsid w:val="00F819CE"/>
    <w:rPr>
      <w:rFonts w:ascii="Cambria" w:eastAsia="Times New Roman" w:hAnsi="Cambria" w:cs="Times New Roman"/>
    </w:rPr>
  </w:style>
  <w:style w:type="paragraph" w:customStyle="1" w:styleId="ECCParagraph">
    <w:name w:val="ECC Paragraph"/>
    <w:basedOn w:val="Normal"/>
    <w:uiPriority w:val="99"/>
    <w:pPr>
      <w:spacing w:after="240"/>
      <w:jc w:val="both"/>
    </w:pPr>
    <w:rPr>
      <w:lang w:val="en-GB"/>
    </w:rPr>
  </w:style>
  <w:style w:type="paragraph" w:customStyle="1" w:styleId="ECCParBulleted">
    <w:name w:val="ECC Par Bulleted"/>
    <w:basedOn w:val="ECCParagraph"/>
    <w:uiPriority w:val="99"/>
    <w:pPr>
      <w:numPr>
        <w:numId w:val="1"/>
      </w:numPr>
      <w:spacing w:after="0"/>
      <w:ind w:left="357" w:hanging="357"/>
    </w:pPr>
  </w:style>
  <w:style w:type="paragraph" w:styleId="Header">
    <w:name w:val="header"/>
    <w:basedOn w:val="Normal"/>
    <w:link w:val="HeaderChar"/>
    <w:uiPriority w:val="99"/>
    <w:semiHidden/>
    <w:pPr>
      <w:tabs>
        <w:tab w:val="center" w:pos="4320"/>
        <w:tab w:val="right" w:pos="8640"/>
      </w:tabs>
    </w:pPr>
    <w:rPr>
      <w:b/>
      <w:sz w:val="16"/>
    </w:rPr>
  </w:style>
  <w:style w:type="character" w:customStyle="1" w:styleId="HeaderChar">
    <w:name w:val="Header Char"/>
    <w:link w:val="Header"/>
    <w:uiPriority w:val="99"/>
    <w:semiHidden/>
    <w:rsid w:val="00F819CE"/>
    <w:rPr>
      <w:rFonts w:ascii="Arial" w:hAnsi="Arial"/>
      <w:sz w:val="20"/>
      <w:szCs w:val="24"/>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rsid w:val="00F819CE"/>
    <w:rPr>
      <w:rFonts w:ascii="Arial" w:hAnsi="Arial"/>
      <w:sz w:val="20"/>
      <w:szCs w:val="24"/>
    </w:rPr>
  </w:style>
  <w:style w:type="paragraph" w:customStyle="1" w:styleId="ECCAnnex-heading1">
    <w:name w:val="ECC Annex - heading1"/>
    <w:basedOn w:val="Heading1"/>
    <w:next w:val="ECCParagraph"/>
    <w:uiPriority w:val="99"/>
    <w:pPr>
      <w:numPr>
        <w:numId w:val="7"/>
      </w:numPr>
    </w:pPr>
    <w:rPr>
      <w:b w:val="0"/>
    </w:rPr>
  </w:style>
  <w:style w:type="paragraph" w:styleId="TOC1">
    <w:name w:val="toc 1"/>
    <w:basedOn w:val="Normal"/>
    <w:next w:val="Normal"/>
    <w:autoRedefine/>
    <w:uiPriority w:val="99"/>
    <w:semiHidden/>
    <w:pPr>
      <w:tabs>
        <w:tab w:val="left" w:pos="360"/>
        <w:tab w:val="right" w:leader="dot" w:pos="9629"/>
      </w:tabs>
      <w:spacing w:before="240"/>
    </w:pPr>
    <w:rPr>
      <w:b/>
      <w:caps/>
    </w:rPr>
  </w:style>
  <w:style w:type="character" w:styleId="Hyperlink">
    <w:name w:val="Hyperlink"/>
    <w:uiPriority w:val="99"/>
    <w:semiHidden/>
    <w:rPr>
      <w:rFonts w:cs="Times New Roman"/>
      <w:color w:val="0000FF"/>
      <w:u w:val="single"/>
    </w:rPr>
  </w:style>
  <w:style w:type="paragraph" w:styleId="TOC2">
    <w:name w:val="toc 2"/>
    <w:basedOn w:val="Normal"/>
    <w:next w:val="Normal"/>
    <w:autoRedefine/>
    <w:uiPriority w:val="99"/>
    <w:semiHidden/>
    <w:pPr>
      <w:tabs>
        <w:tab w:val="left" w:pos="900"/>
        <w:tab w:val="right" w:leader="dot" w:pos="9629"/>
      </w:tabs>
      <w:ind w:left="360"/>
    </w:pPr>
  </w:style>
  <w:style w:type="paragraph" w:styleId="TOC3">
    <w:name w:val="toc 3"/>
    <w:basedOn w:val="Normal"/>
    <w:next w:val="Normal"/>
    <w:autoRedefine/>
    <w:uiPriority w:val="99"/>
    <w:semiHidden/>
    <w:pPr>
      <w:tabs>
        <w:tab w:val="left" w:pos="1440"/>
        <w:tab w:val="right" w:leader="dot" w:pos="9629"/>
      </w:tabs>
      <w:ind w:left="900"/>
    </w:pPr>
  </w:style>
  <w:style w:type="paragraph" w:styleId="TOC4">
    <w:name w:val="toc 4"/>
    <w:basedOn w:val="Normal"/>
    <w:next w:val="Normal"/>
    <w:autoRedefine/>
    <w:uiPriority w:val="99"/>
    <w:semiHidden/>
    <w:pPr>
      <w:tabs>
        <w:tab w:val="left" w:pos="2340"/>
        <w:tab w:val="right" w:leader="dot" w:pos="9629"/>
      </w:tabs>
      <w:ind w:left="1440"/>
    </w:pPr>
    <w:rPr>
      <w:i/>
    </w:rPr>
  </w:style>
  <w:style w:type="table" w:styleId="TableGrid">
    <w:name w:val="Table Grid"/>
    <w:basedOn w:val="TableNormal"/>
    <w:uiPriority w:val="99"/>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pPr>
      <w:numPr>
        <w:numId w:val="3"/>
      </w:numPr>
      <w:spacing w:before="360" w:after="240"/>
    </w:pPr>
  </w:style>
  <w:style w:type="paragraph" w:customStyle="1" w:styleId="ECCFootnote">
    <w:name w:val="ECC Footnote"/>
    <w:basedOn w:val="Normal"/>
    <w:autoRedefine/>
    <w:uiPriority w:val="9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semiHidden/>
    <w:rPr>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uiPriority w:val="99"/>
    <w:semiHidden/>
    <w:rsid w:val="00F819CE"/>
    <w:rPr>
      <w:rFonts w:ascii="Arial" w:hAnsi="Arial"/>
      <w:sz w:val="20"/>
      <w:szCs w:val="20"/>
    </w:rPr>
  </w:style>
  <w:style w:type="character" w:styleId="FootnoteReference">
    <w:name w:val="footnote reference"/>
    <w:aliases w:val="Appel note de bas de p,Footnote Reference/"/>
    <w:uiPriority w:val="99"/>
    <w:semiHidden/>
    <w:rPr>
      <w:rFonts w:ascii="Arial" w:hAnsi="Arial" w:cs="Times New Roman"/>
      <w:color w:val="D2232A"/>
      <w:vertAlign w:val="superscript"/>
    </w:rPr>
  </w:style>
  <w:style w:type="paragraph" w:customStyle="1" w:styleId="Text">
    <w:name w:val="Text"/>
    <w:basedOn w:val="Normal"/>
    <w:uiPriority w:val="99"/>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pPr>
      <w:numPr>
        <w:numId w:val="6"/>
      </w:numPr>
    </w:pPr>
    <w:rPr>
      <w:lang w:eastAsia="ja-JP"/>
    </w:rPr>
  </w:style>
  <w:style w:type="paragraph" w:customStyle="1" w:styleId="ECCAnnexheading2">
    <w:name w:val="ECC Annex heading2"/>
    <w:basedOn w:val="Normal"/>
    <w:next w:val="ECCParagraph"/>
    <w:uiPriority w:val="99"/>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rPr>
      <w:sz w:val="24"/>
    </w:rPr>
  </w:style>
  <w:style w:type="paragraph" w:styleId="BodyText">
    <w:name w:val="Body Text"/>
    <w:basedOn w:val="Normal"/>
    <w:link w:val="BodyTextChar"/>
    <w:autoRedefine/>
    <w:uiPriority w:val="99"/>
    <w:rsid w:val="00873512"/>
    <w:pPr>
      <w:spacing w:after="120"/>
      <w:jc w:val="both"/>
    </w:pPr>
    <w:rPr>
      <w:rFonts w:ascii="Times New Roman" w:hAnsi="Times New Roman"/>
      <w:szCs w:val="20"/>
      <w:lang w:val="en-GB" w:eastAsia="en-GB"/>
    </w:rPr>
  </w:style>
  <w:style w:type="character" w:customStyle="1" w:styleId="BodyTextChar">
    <w:name w:val="Body Text Char"/>
    <w:link w:val="BodyText"/>
    <w:uiPriority w:val="99"/>
    <w:locked/>
    <w:rsid w:val="00873512"/>
    <w:rPr>
      <w:rFonts w:cs="Times New Roman"/>
    </w:rPr>
  </w:style>
  <w:style w:type="paragraph" w:customStyle="1" w:styleId="LetteredList">
    <w:name w:val="Lettered List"/>
    <w:basedOn w:val="Normal"/>
    <w:uiPriority w:val="99"/>
    <w:pPr>
      <w:numPr>
        <w:numId w:val="37"/>
      </w:numPr>
      <w:spacing w:after="120"/>
      <w:jc w:val="both"/>
    </w:pPr>
  </w:style>
  <w:style w:type="paragraph" w:styleId="BalloonText">
    <w:name w:val="Balloon Text"/>
    <w:basedOn w:val="Normal"/>
    <w:link w:val="BalloonTextChar"/>
    <w:uiPriority w:val="99"/>
    <w:semiHidden/>
    <w:rsid w:val="002955FF"/>
    <w:rPr>
      <w:rFonts w:ascii="Tahoma" w:hAnsi="Tahoma" w:cs="Tahoma"/>
      <w:sz w:val="16"/>
      <w:szCs w:val="16"/>
    </w:rPr>
  </w:style>
  <w:style w:type="character" w:customStyle="1" w:styleId="BalloonTextChar">
    <w:name w:val="Balloon Text Char"/>
    <w:link w:val="BalloonText"/>
    <w:uiPriority w:val="99"/>
    <w:semiHidden/>
    <w:locked/>
    <w:rsid w:val="002955FF"/>
    <w:rPr>
      <w:rFonts w:ascii="Tahoma" w:hAnsi="Tahoma" w:cs="Tahoma"/>
      <w:sz w:val="16"/>
      <w:szCs w:val="16"/>
      <w:lang w:val="en-US" w:eastAsia="en-US"/>
    </w:rPr>
  </w:style>
  <w:style w:type="character" w:styleId="CommentReference">
    <w:name w:val="annotation reference"/>
    <w:uiPriority w:val="99"/>
    <w:semiHidden/>
    <w:rsid w:val="009F1E96"/>
    <w:rPr>
      <w:rFonts w:cs="Times New Roman"/>
      <w:sz w:val="16"/>
      <w:szCs w:val="16"/>
    </w:rPr>
  </w:style>
  <w:style w:type="paragraph" w:styleId="CommentText">
    <w:name w:val="annotation text"/>
    <w:basedOn w:val="Normal"/>
    <w:link w:val="CommentTextChar"/>
    <w:uiPriority w:val="99"/>
    <w:semiHidden/>
    <w:rsid w:val="009F1E96"/>
    <w:rPr>
      <w:szCs w:val="20"/>
    </w:rPr>
  </w:style>
  <w:style w:type="character" w:customStyle="1" w:styleId="CommentTextChar">
    <w:name w:val="Comment Text Char"/>
    <w:link w:val="CommentText"/>
    <w:uiPriority w:val="99"/>
    <w:semiHidden/>
    <w:locked/>
    <w:rsid w:val="009F1E96"/>
    <w:rPr>
      <w:rFonts w:ascii="Arial" w:hAnsi="Arial" w:cs="Times New Roman"/>
      <w:lang w:val="en-US" w:eastAsia="en-US"/>
    </w:rPr>
  </w:style>
  <w:style w:type="paragraph" w:styleId="CommentSubject">
    <w:name w:val="annotation subject"/>
    <w:basedOn w:val="CommentText"/>
    <w:next w:val="CommentText"/>
    <w:link w:val="CommentSubjectChar"/>
    <w:uiPriority w:val="99"/>
    <w:semiHidden/>
    <w:rsid w:val="009F1E96"/>
    <w:rPr>
      <w:b/>
      <w:bCs/>
    </w:rPr>
  </w:style>
  <w:style w:type="character" w:customStyle="1" w:styleId="CommentSubjectChar">
    <w:name w:val="Comment Subject Char"/>
    <w:link w:val="CommentSubject"/>
    <w:uiPriority w:val="99"/>
    <w:semiHidden/>
    <w:locked/>
    <w:rsid w:val="009F1E96"/>
    <w:rPr>
      <w:rFonts w:ascii="Arial" w:hAnsi="Arial"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1095</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ECC Recommendation</vt:lpstr>
    </vt:vector>
  </TitlesOfParts>
  <Company>ECO</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Recommendation</dc:title>
  <dc:subject>NP Best Practices</dc:subject>
  <dc:creator>Jukka Rakkolainen</dc:creator>
  <cp:lastModifiedBy>Bente Pedersen</cp:lastModifiedBy>
  <cp:revision>6</cp:revision>
  <cp:lastPrinted>2012-05-22T10:38:00Z</cp:lastPrinted>
  <dcterms:created xsi:type="dcterms:W3CDTF">2012-05-22T10:35:00Z</dcterms:created>
  <dcterms:modified xsi:type="dcterms:W3CDTF">2013-06-27T14:34:00Z</dcterms:modified>
</cp:coreProperties>
</file>