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D03C4" w14:textId="77777777" w:rsidR="00B3730E" w:rsidRDefault="006528DC">
      <w:r w:rsidRPr="00F7440E">
        <w:rPr>
          <w:noProof/>
          <w:lang w:val="da-DK" w:eastAsia="da-DK"/>
        </w:rPr>
        <w:drawing>
          <wp:anchor distT="0" distB="0" distL="114300" distR="114300" simplePos="0" relativeHeight="251663872" behindDoc="0" locked="0" layoutInCell="1" allowOverlap="1" wp14:anchorId="46C3A38A" wp14:editId="5A65C56A">
            <wp:simplePos x="0" y="0"/>
            <wp:positionH relativeFrom="page">
              <wp:posOffset>5869940</wp:posOffset>
            </wp:positionH>
            <wp:positionV relativeFrom="page">
              <wp:posOffset>800735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sidRPr="00F7440E">
        <w:rPr>
          <w:noProof/>
          <w:lang w:val="da-DK" w:eastAsia="da-DK"/>
        </w:rPr>
        <w:drawing>
          <wp:anchor distT="0" distB="0" distL="114300" distR="114300" simplePos="0" relativeHeight="251661824" behindDoc="0" locked="0" layoutInCell="1" allowOverlap="1" wp14:anchorId="0D535D03" wp14:editId="5223E5F9">
            <wp:simplePos x="0" y="0"/>
            <wp:positionH relativeFrom="page">
              <wp:posOffset>725170</wp:posOffset>
            </wp:positionH>
            <wp:positionV relativeFrom="page">
              <wp:posOffset>609600</wp:posOffset>
            </wp:positionV>
            <wp:extent cx="889000" cy="889000"/>
            <wp:effectExtent l="25400" t="0" r="0" b="0"/>
            <wp:wrapNone/>
            <wp:docPr id="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0"/>
                    <a:srcRect/>
                    <a:stretch>
                      <a:fillRect/>
                    </a:stretch>
                  </pic:blipFill>
                  <pic:spPr bwMode="auto">
                    <a:xfrm>
                      <a:off x="0" y="0"/>
                      <a:ext cx="889000" cy="889000"/>
                    </a:xfrm>
                    <a:prstGeom prst="rect">
                      <a:avLst/>
                    </a:prstGeom>
                    <a:noFill/>
                  </pic:spPr>
                </pic:pic>
              </a:graphicData>
            </a:graphic>
          </wp:anchor>
        </w:drawing>
      </w:r>
    </w:p>
    <w:p w14:paraId="27E65F54" w14:textId="77777777" w:rsidR="00B3730E" w:rsidRPr="0010769E" w:rsidRDefault="00B3730E" w:rsidP="006B723B">
      <w:pPr>
        <w:jc w:val="center"/>
      </w:pPr>
    </w:p>
    <w:p w14:paraId="4BE3ED49" w14:textId="77777777" w:rsidR="00B3730E" w:rsidRPr="0010769E" w:rsidRDefault="00B3730E" w:rsidP="006B723B">
      <w:pPr>
        <w:jc w:val="center"/>
      </w:pPr>
    </w:p>
    <w:p w14:paraId="0212E636" w14:textId="77777777" w:rsidR="00B3730E" w:rsidRPr="0010769E" w:rsidRDefault="00B3730E" w:rsidP="006B723B"/>
    <w:p w14:paraId="2A164D2E" w14:textId="77777777" w:rsidR="00B3730E" w:rsidRPr="0010769E" w:rsidRDefault="00B3730E" w:rsidP="006B723B"/>
    <w:p w14:paraId="349BB3F5" w14:textId="77777777" w:rsidR="00B3730E" w:rsidRPr="0010769E" w:rsidRDefault="00F92A9E" w:rsidP="006B723B">
      <w:pPr>
        <w:jc w:val="center"/>
        <w:rPr>
          <w:b/>
          <w:sz w:val="24"/>
        </w:rPr>
      </w:pPr>
      <w:r>
        <w:rPr>
          <w:noProof/>
          <w:lang w:val="da-DK" w:eastAsia="da-DK"/>
        </w:rPr>
        <mc:AlternateContent>
          <mc:Choice Requires="wpg">
            <w:drawing>
              <wp:anchor distT="0" distB="0" distL="114300" distR="114300" simplePos="0" relativeHeight="251657728" behindDoc="0" locked="0" layoutInCell="1" allowOverlap="1" wp14:anchorId="463A6FE7" wp14:editId="4AE3C0B7">
                <wp:simplePos x="0" y="0"/>
                <wp:positionH relativeFrom="column">
                  <wp:posOffset>-720090</wp:posOffset>
                </wp:positionH>
                <wp:positionV relativeFrom="paragraph">
                  <wp:posOffset>69850</wp:posOffset>
                </wp:positionV>
                <wp:extent cx="7564120" cy="8268970"/>
                <wp:effectExtent l="3810" t="3175" r="4445"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DC293" w14:textId="77777777" w:rsidR="00B3730E" w:rsidRPr="00C95C7C" w:rsidRDefault="00B3730E" w:rsidP="006B723B">
                              <w:pPr>
                                <w:rPr>
                                  <w:color w:val="887E6E"/>
                                  <w:sz w:val="44"/>
                                </w:rPr>
                              </w:pPr>
                              <w:r w:rsidRPr="00C95C7C">
                                <w:rPr>
                                  <w:color w:val="FFFFFF"/>
                                  <w:sz w:val="68"/>
                                </w:rPr>
                                <w:t xml:space="preserve">ECC Recommendation </w:t>
                              </w:r>
                              <w:r>
                                <w:rPr>
                                  <w:color w:val="887E6E"/>
                                  <w:sz w:val="68"/>
                                </w:rPr>
                                <w:t>(1</w:t>
                              </w:r>
                              <w:r w:rsidR="00AD7680">
                                <w:rPr>
                                  <w:color w:val="887E6E"/>
                                  <w:sz w:val="68"/>
                                </w:rPr>
                                <w:t>5</w:t>
                              </w:r>
                              <w:r>
                                <w:rPr>
                                  <w:color w:val="887E6E"/>
                                  <w:sz w:val="68"/>
                                </w:rPr>
                                <w:t>)</w:t>
                              </w:r>
                              <w:r w:rsidR="00AD7680">
                                <w:rPr>
                                  <w:color w:val="887E6E"/>
                                  <w:sz w:val="68"/>
                                </w:rPr>
                                <w:t>03</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14:paraId="3D5DC293" w14:textId="77777777" w:rsidR="00B3730E" w:rsidRPr="00C95C7C" w:rsidRDefault="00B3730E" w:rsidP="006B723B">
                        <w:pPr>
                          <w:rPr>
                            <w:color w:val="887E6E"/>
                            <w:sz w:val="44"/>
                          </w:rPr>
                        </w:pPr>
                        <w:r w:rsidRPr="00C95C7C">
                          <w:rPr>
                            <w:color w:val="FFFFFF"/>
                            <w:sz w:val="68"/>
                          </w:rPr>
                          <w:t xml:space="preserve">ECC Recommendation </w:t>
                        </w:r>
                        <w:r>
                          <w:rPr>
                            <w:color w:val="887E6E"/>
                            <w:sz w:val="68"/>
                          </w:rPr>
                          <w:t>(1</w:t>
                        </w:r>
                        <w:r w:rsidR="00AD7680">
                          <w:rPr>
                            <w:color w:val="887E6E"/>
                            <w:sz w:val="68"/>
                          </w:rPr>
                          <w:t>5</w:t>
                        </w:r>
                        <w:r>
                          <w:rPr>
                            <w:color w:val="887E6E"/>
                            <w:sz w:val="68"/>
                          </w:rPr>
                          <w:t>)</w:t>
                        </w:r>
                        <w:r w:rsidR="00AD7680">
                          <w:rPr>
                            <w:color w:val="887E6E"/>
                            <w:sz w:val="68"/>
                          </w:rPr>
                          <w:t>03</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14:paraId="54538B1B" w14:textId="77777777" w:rsidR="00B3730E" w:rsidRPr="0010769E" w:rsidRDefault="00B3730E" w:rsidP="006B723B">
      <w:pPr>
        <w:jc w:val="center"/>
        <w:rPr>
          <w:b/>
          <w:sz w:val="24"/>
        </w:rPr>
      </w:pPr>
    </w:p>
    <w:p w14:paraId="240C6121" w14:textId="77777777" w:rsidR="00B3730E" w:rsidRPr="0010769E" w:rsidRDefault="00B3730E" w:rsidP="006B723B">
      <w:pPr>
        <w:jc w:val="center"/>
        <w:rPr>
          <w:b/>
          <w:sz w:val="24"/>
        </w:rPr>
      </w:pPr>
    </w:p>
    <w:p w14:paraId="09F6EC0F" w14:textId="77777777" w:rsidR="00B3730E" w:rsidRPr="0010769E" w:rsidRDefault="00B3730E" w:rsidP="006B723B">
      <w:pPr>
        <w:jc w:val="center"/>
        <w:rPr>
          <w:b/>
          <w:sz w:val="24"/>
        </w:rPr>
      </w:pPr>
    </w:p>
    <w:p w14:paraId="60CAB059" w14:textId="77777777" w:rsidR="00B3730E" w:rsidRPr="0010769E" w:rsidRDefault="00B3730E" w:rsidP="006B723B">
      <w:pPr>
        <w:jc w:val="center"/>
        <w:rPr>
          <w:b/>
          <w:sz w:val="24"/>
        </w:rPr>
      </w:pPr>
    </w:p>
    <w:p w14:paraId="5ADC2950" w14:textId="77777777" w:rsidR="00B3730E" w:rsidRPr="0010769E" w:rsidRDefault="00B3730E" w:rsidP="006B723B">
      <w:pPr>
        <w:jc w:val="center"/>
        <w:rPr>
          <w:b/>
          <w:sz w:val="24"/>
        </w:rPr>
      </w:pPr>
    </w:p>
    <w:p w14:paraId="4B29B9E1" w14:textId="77777777" w:rsidR="00B3730E" w:rsidRPr="0010769E" w:rsidRDefault="00B3730E" w:rsidP="006B723B">
      <w:pPr>
        <w:jc w:val="center"/>
        <w:rPr>
          <w:b/>
          <w:sz w:val="24"/>
        </w:rPr>
      </w:pPr>
    </w:p>
    <w:p w14:paraId="1ACCC216" w14:textId="77777777" w:rsidR="00B3730E" w:rsidRPr="0010769E" w:rsidRDefault="00B3730E" w:rsidP="006B723B">
      <w:pPr>
        <w:jc w:val="center"/>
        <w:rPr>
          <w:b/>
          <w:sz w:val="24"/>
        </w:rPr>
      </w:pPr>
    </w:p>
    <w:p w14:paraId="3C3E7533" w14:textId="77777777" w:rsidR="00B3730E" w:rsidRPr="0010769E" w:rsidRDefault="00B3730E" w:rsidP="006B723B">
      <w:pPr>
        <w:jc w:val="center"/>
        <w:rPr>
          <w:b/>
          <w:sz w:val="24"/>
        </w:rPr>
      </w:pPr>
    </w:p>
    <w:p w14:paraId="4322E9A3" w14:textId="77777777" w:rsidR="00B3730E" w:rsidRPr="0010769E" w:rsidRDefault="00B3730E" w:rsidP="006B723B">
      <w:pPr>
        <w:jc w:val="center"/>
        <w:rPr>
          <w:b/>
          <w:sz w:val="24"/>
        </w:rPr>
      </w:pPr>
    </w:p>
    <w:p w14:paraId="2D69F054" w14:textId="77777777" w:rsidR="00B3730E" w:rsidRPr="0010769E" w:rsidRDefault="00B3730E" w:rsidP="006B723B">
      <w:pPr>
        <w:jc w:val="center"/>
        <w:rPr>
          <w:b/>
          <w:sz w:val="24"/>
        </w:rPr>
      </w:pPr>
    </w:p>
    <w:p w14:paraId="54357F63" w14:textId="77777777" w:rsidR="00B3730E" w:rsidRPr="0010769E" w:rsidRDefault="00B3730E" w:rsidP="006B723B">
      <w:pPr>
        <w:rPr>
          <w:b/>
          <w:sz w:val="24"/>
        </w:rPr>
      </w:pPr>
    </w:p>
    <w:p w14:paraId="2364CDA3" w14:textId="77777777" w:rsidR="00B3730E" w:rsidRPr="0010769E" w:rsidRDefault="00B3730E" w:rsidP="006B723B">
      <w:pPr>
        <w:jc w:val="center"/>
        <w:rPr>
          <w:b/>
          <w:sz w:val="24"/>
        </w:rPr>
      </w:pPr>
    </w:p>
    <w:p w14:paraId="6D31A36E" w14:textId="3FA2561D" w:rsidR="00F54551" w:rsidRDefault="00DF6E9C" w:rsidP="00C95C7C">
      <w:pPr>
        <w:pStyle w:val="Reporttitledescription"/>
      </w:pPr>
      <w:r>
        <w:fldChar w:fldCharType="begin">
          <w:ffData>
            <w:name w:val="Text7"/>
            <w:enabled/>
            <w:calcOnExit w:val="0"/>
            <w:textInput>
              <w:default w:val="Provision of Comparable Information on Fixed Retail Internet Access Service Quality"/>
            </w:textInput>
          </w:ffData>
        </w:fldChar>
      </w:r>
      <w:bookmarkStart w:id="0" w:name="Text7"/>
      <w:r>
        <w:instrText xml:space="preserve"> FORMTEXT </w:instrText>
      </w:r>
      <w:r>
        <w:fldChar w:fldCharType="separate"/>
      </w:r>
      <w:r>
        <w:rPr>
          <w:noProof/>
        </w:rPr>
        <w:t>Provision of Comparable Information on Fixed Retail Internet Access Service Quality</w:t>
      </w:r>
      <w:r>
        <w:fldChar w:fldCharType="end"/>
      </w:r>
      <w:bookmarkEnd w:id="0"/>
    </w:p>
    <w:p w14:paraId="24579C2A" w14:textId="78C258A5" w:rsidR="00B3730E" w:rsidRDefault="00DF6E9C" w:rsidP="006B723B">
      <w:pPr>
        <w:pStyle w:val="Reporttitledescription"/>
        <w:rPr>
          <w:b/>
          <w:sz w:val="18"/>
        </w:rPr>
      </w:pPr>
      <w:r>
        <w:rPr>
          <w:b/>
          <w:sz w:val="18"/>
        </w:rPr>
        <w:fldChar w:fldCharType="begin">
          <w:ffData>
            <w:name w:val="Text8"/>
            <w:enabled/>
            <w:calcOnExit w:val="0"/>
            <w:textInput>
              <w:default w:val="Approved 23 April 2015"/>
            </w:textInput>
          </w:ffData>
        </w:fldChar>
      </w:r>
      <w:bookmarkStart w:id="1" w:name="Text8"/>
      <w:r>
        <w:rPr>
          <w:b/>
          <w:sz w:val="18"/>
        </w:rPr>
        <w:instrText xml:space="preserve"> FORMTEXT </w:instrText>
      </w:r>
      <w:r>
        <w:rPr>
          <w:b/>
          <w:sz w:val="18"/>
        </w:rPr>
      </w:r>
      <w:r>
        <w:rPr>
          <w:b/>
          <w:sz w:val="18"/>
        </w:rPr>
        <w:fldChar w:fldCharType="separate"/>
      </w:r>
      <w:r>
        <w:rPr>
          <w:b/>
          <w:noProof/>
          <w:sz w:val="18"/>
        </w:rPr>
        <w:t>Approved 23 April 2015</w:t>
      </w:r>
      <w:r>
        <w:rPr>
          <w:b/>
          <w:sz w:val="18"/>
        </w:rPr>
        <w:fldChar w:fldCharType="end"/>
      </w:r>
      <w:bookmarkEnd w:id="1"/>
    </w:p>
    <w:p w14:paraId="7A22380F" w14:textId="77777777" w:rsidR="00EE04A2" w:rsidRDefault="009B3424" w:rsidP="00EE04A2">
      <w:pPr>
        <w:pStyle w:val="Reporttitledescription"/>
        <w:spacing w:before="240"/>
        <w:rPr>
          <w:b/>
          <w:sz w:val="18"/>
          <w:szCs w:val="18"/>
          <w:lang w:val="en-GB"/>
        </w:rPr>
      </w:pPr>
      <w:r>
        <w:rPr>
          <w:b/>
          <w:sz w:val="18"/>
          <w:szCs w:val="18"/>
        </w:rPr>
        <w:fldChar w:fldCharType="begin">
          <w:ffData>
            <w:name w:val=""/>
            <w:enabled/>
            <w:calcOnExit w:val="0"/>
            <w:textInput>
              <w:default w:val="Amended 28 November 2018"/>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Amended 28 November 2018</w:t>
      </w:r>
      <w:r>
        <w:rPr>
          <w:b/>
          <w:sz w:val="18"/>
          <w:szCs w:val="18"/>
        </w:rPr>
        <w:fldChar w:fldCharType="end"/>
      </w:r>
    </w:p>
    <w:p w14:paraId="5DDB3E6A" w14:textId="77777777" w:rsidR="00661865" w:rsidRDefault="00661865" w:rsidP="006B723B">
      <w:pPr>
        <w:pStyle w:val="Reporttitledescription"/>
        <w:rPr>
          <w:b/>
          <w:sz w:val="18"/>
        </w:rPr>
        <w:sectPr w:rsidR="00661865" w:rsidSect="006B723B">
          <w:headerReference w:type="even" r:id="rId11"/>
          <w:headerReference w:type="default" r:id="rId12"/>
          <w:footerReference w:type="even" r:id="rId13"/>
          <w:footerReference w:type="default" r:id="rId14"/>
          <w:pgSz w:w="11907" w:h="16840" w:code="9"/>
          <w:pgMar w:top="1440" w:right="1134" w:bottom="1440" w:left="1134" w:header="709" w:footer="709" w:gutter="0"/>
          <w:cols w:space="708"/>
          <w:docGrid w:linePitch="360"/>
        </w:sectPr>
      </w:pPr>
    </w:p>
    <w:p w14:paraId="3EF65D2C" w14:textId="77777777" w:rsidR="00B3730E" w:rsidRDefault="00B3730E" w:rsidP="006C4FBD">
      <w:pPr>
        <w:pStyle w:val="Heading1"/>
      </w:pPr>
      <w:r>
        <w:lastRenderedPageBreak/>
        <w:t>introduction</w:t>
      </w:r>
    </w:p>
    <w:p w14:paraId="0C6133B5" w14:textId="325E66D4" w:rsidR="00B3730E" w:rsidRDefault="00822124" w:rsidP="001326EB">
      <w:pPr>
        <w:spacing w:before="120" w:after="120"/>
        <w:jc w:val="both"/>
        <w:rPr>
          <w:rFonts w:cs="Arial"/>
          <w:szCs w:val="20"/>
          <w:lang w:val="en-GB"/>
        </w:rPr>
      </w:pPr>
      <w:r>
        <w:rPr>
          <w:rFonts w:cs="Arial"/>
          <w:szCs w:val="20"/>
          <w:lang w:val="en-GB"/>
        </w:rPr>
        <w:t xml:space="preserve">Publicly </w:t>
      </w:r>
      <w:r w:rsidR="00B3730E">
        <w:rPr>
          <w:rFonts w:cs="Arial"/>
          <w:szCs w:val="20"/>
          <w:lang w:val="en-GB"/>
        </w:rPr>
        <w:t xml:space="preserve">available, </w:t>
      </w:r>
      <w:r w:rsidR="00D01BE9">
        <w:rPr>
          <w:rFonts w:cs="Arial"/>
          <w:szCs w:val="20"/>
          <w:lang w:val="en-GB"/>
        </w:rPr>
        <w:t xml:space="preserve">adequate, </w:t>
      </w:r>
      <w:r w:rsidR="00B3730E">
        <w:rPr>
          <w:rFonts w:cs="Arial"/>
          <w:szCs w:val="20"/>
          <w:lang w:val="en-GB"/>
        </w:rPr>
        <w:t xml:space="preserve">easily </w:t>
      </w:r>
      <w:r w:rsidR="00B3730E" w:rsidRPr="001326EB">
        <w:rPr>
          <w:rFonts w:cs="Arial"/>
          <w:szCs w:val="20"/>
          <w:lang w:val="en-GB"/>
        </w:rPr>
        <w:t>comparable</w:t>
      </w:r>
      <w:r w:rsidR="00BC399B">
        <w:rPr>
          <w:rFonts w:cs="Arial"/>
          <w:szCs w:val="20"/>
          <w:lang w:val="en-GB"/>
        </w:rPr>
        <w:t xml:space="preserve">, and </w:t>
      </w:r>
      <w:r w:rsidR="00A3208E">
        <w:rPr>
          <w:rFonts w:cs="Arial"/>
          <w:szCs w:val="20"/>
          <w:lang w:val="en-GB"/>
        </w:rPr>
        <w:t>up to date</w:t>
      </w:r>
      <w:r w:rsidR="00B3730E" w:rsidRPr="001326EB">
        <w:rPr>
          <w:rFonts w:cs="Arial"/>
          <w:szCs w:val="20"/>
          <w:lang w:val="en-GB"/>
        </w:rPr>
        <w:t xml:space="preserve"> information </w:t>
      </w:r>
      <w:r w:rsidR="00A3208E">
        <w:rPr>
          <w:rFonts w:cs="Arial"/>
          <w:szCs w:val="20"/>
          <w:lang w:val="en-GB"/>
        </w:rPr>
        <w:t>on</w:t>
      </w:r>
      <w:r w:rsidR="00B3730E" w:rsidRPr="001326EB">
        <w:rPr>
          <w:rFonts w:cs="Arial"/>
          <w:szCs w:val="20"/>
          <w:lang w:val="en-GB"/>
        </w:rPr>
        <w:t xml:space="preserve"> </w:t>
      </w:r>
      <w:r w:rsidR="00FF0412">
        <w:rPr>
          <w:rFonts w:cs="Arial"/>
          <w:szCs w:val="20"/>
          <w:lang w:val="en-GB"/>
        </w:rPr>
        <w:t>r</w:t>
      </w:r>
      <w:r w:rsidR="00B3730E" w:rsidRPr="001326EB">
        <w:rPr>
          <w:rFonts w:cs="Arial"/>
          <w:szCs w:val="20"/>
          <w:lang w:val="en-GB"/>
        </w:rPr>
        <w:t>e</w:t>
      </w:r>
      <w:r w:rsidR="00BE64AF">
        <w:rPr>
          <w:rFonts w:cs="Arial"/>
          <w:szCs w:val="20"/>
          <w:lang w:val="en-GB"/>
        </w:rPr>
        <w:t>t</w:t>
      </w:r>
      <w:r w:rsidR="00B3730E" w:rsidRPr="001326EB">
        <w:rPr>
          <w:rFonts w:cs="Arial"/>
          <w:szCs w:val="20"/>
          <w:lang w:val="en-GB"/>
        </w:rPr>
        <w:t>a</w:t>
      </w:r>
      <w:r w:rsidR="00BE64AF">
        <w:rPr>
          <w:rFonts w:cs="Arial"/>
          <w:szCs w:val="20"/>
          <w:lang w:val="en-GB"/>
        </w:rPr>
        <w:t>i</w:t>
      </w:r>
      <w:r w:rsidR="00B3730E" w:rsidRPr="001326EB">
        <w:rPr>
          <w:rFonts w:cs="Arial"/>
          <w:szCs w:val="20"/>
          <w:lang w:val="en-GB"/>
        </w:rPr>
        <w:t xml:space="preserve">l Internet </w:t>
      </w:r>
      <w:r w:rsidR="00D01BE9">
        <w:rPr>
          <w:rFonts w:cs="Arial"/>
          <w:szCs w:val="20"/>
          <w:lang w:val="en-GB"/>
        </w:rPr>
        <w:t>A</w:t>
      </w:r>
      <w:r w:rsidR="00B3730E" w:rsidRPr="001326EB">
        <w:rPr>
          <w:rFonts w:cs="Arial"/>
          <w:szCs w:val="20"/>
          <w:lang w:val="en-GB"/>
        </w:rPr>
        <w:t xml:space="preserve">ccess </w:t>
      </w:r>
      <w:r w:rsidR="00D01BE9">
        <w:rPr>
          <w:rFonts w:cs="Arial"/>
          <w:szCs w:val="20"/>
          <w:lang w:val="en-GB"/>
        </w:rPr>
        <w:t>S</w:t>
      </w:r>
      <w:r w:rsidR="00B3730E" w:rsidRPr="001326EB">
        <w:rPr>
          <w:rFonts w:cs="Arial"/>
          <w:szCs w:val="20"/>
          <w:lang w:val="en-GB"/>
        </w:rPr>
        <w:t>ervice</w:t>
      </w:r>
      <w:r w:rsidR="00A3208E">
        <w:rPr>
          <w:rFonts w:cs="Arial"/>
          <w:szCs w:val="20"/>
          <w:lang w:val="en-GB"/>
        </w:rPr>
        <w:t xml:space="preserve"> Quality</w:t>
      </w:r>
      <w:r>
        <w:rPr>
          <w:rFonts w:cs="Arial"/>
          <w:szCs w:val="20"/>
          <w:lang w:val="en-GB"/>
        </w:rPr>
        <w:t xml:space="preserve"> (IAS</w:t>
      </w:r>
      <w:r w:rsidR="00A3208E">
        <w:rPr>
          <w:rFonts w:cs="Arial"/>
          <w:szCs w:val="20"/>
          <w:lang w:val="en-GB"/>
        </w:rPr>
        <w:t>Q</w:t>
      </w:r>
      <w:r>
        <w:rPr>
          <w:rFonts w:cs="Arial"/>
          <w:szCs w:val="20"/>
          <w:lang w:val="en-GB"/>
        </w:rPr>
        <w:t>)</w:t>
      </w:r>
      <w:r w:rsidR="00B3730E" w:rsidRPr="001326EB">
        <w:rPr>
          <w:rFonts w:cs="Arial"/>
          <w:szCs w:val="20"/>
          <w:lang w:val="en-GB"/>
        </w:rPr>
        <w:t xml:space="preserve"> </w:t>
      </w:r>
      <w:r w:rsidR="00F73E52">
        <w:rPr>
          <w:rFonts w:cs="Arial"/>
          <w:szCs w:val="20"/>
          <w:lang w:val="en-GB"/>
        </w:rPr>
        <w:t>helps</w:t>
      </w:r>
      <w:r w:rsidR="00A3208E">
        <w:rPr>
          <w:rFonts w:cs="Arial"/>
          <w:szCs w:val="20"/>
          <w:lang w:val="en-GB"/>
        </w:rPr>
        <w:t xml:space="preserve"> </w:t>
      </w:r>
      <w:r w:rsidR="00F73E52">
        <w:rPr>
          <w:rFonts w:cs="Arial"/>
          <w:szCs w:val="20"/>
          <w:lang w:val="en-GB"/>
        </w:rPr>
        <w:t>consumers to</w:t>
      </w:r>
      <w:r w:rsidR="00B3730E">
        <w:rPr>
          <w:rFonts w:cs="Arial"/>
          <w:szCs w:val="20"/>
          <w:lang w:val="en-GB"/>
        </w:rPr>
        <w:t xml:space="preserve"> </w:t>
      </w:r>
      <w:r w:rsidR="00A3208E">
        <w:rPr>
          <w:rFonts w:cs="Arial"/>
          <w:szCs w:val="20"/>
          <w:lang w:val="en-GB"/>
        </w:rPr>
        <w:t>confidently make</w:t>
      </w:r>
      <w:r w:rsidR="00B3730E">
        <w:rPr>
          <w:rFonts w:cs="Arial"/>
          <w:szCs w:val="20"/>
          <w:lang w:val="en-GB"/>
        </w:rPr>
        <w:t xml:space="preserve"> well</w:t>
      </w:r>
      <w:r w:rsidR="0089319F">
        <w:rPr>
          <w:rFonts w:cs="Arial"/>
          <w:szCs w:val="20"/>
          <w:lang w:val="en-GB"/>
        </w:rPr>
        <w:t>-</w:t>
      </w:r>
      <w:r w:rsidR="00B3730E">
        <w:rPr>
          <w:rFonts w:cs="Arial"/>
          <w:szCs w:val="20"/>
          <w:lang w:val="en-GB"/>
        </w:rPr>
        <w:t>informed choice</w:t>
      </w:r>
      <w:r w:rsidR="00A3208E">
        <w:rPr>
          <w:rFonts w:cs="Arial"/>
          <w:szCs w:val="20"/>
          <w:lang w:val="en-GB"/>
        </w:rPr>
        <w:t>s</w:t>
      </w:r>
      <w:r w:rsidR="006D74AD">
        <w:rPr>
          <w:rFonts w:cs="Arial"/>
          <w:szCs w:val="20"/>
          <w:lang w:val="en-GB"/>
        </w:rPr>
        <w:t xml:space="preserve"> when selecting</w:t>
      </w:r>
      <w:r w:rsidR="00B3730E">
        <w:rPr>
          <w:rFonts w:cs="Arial"/>
          <w:szCs w:val="20"/>
          <w:lang w:val="en-GB"/>
        </w:rPr>
        <w:t xml:space="preserve"> </w:t>
      </w:r>
      <w:r w:rsidR="00A3208E">
        <w:rPr>
          <w:rFonts w:cs="Arial"/>
          <w:szCs w:val="20"/>
          <w:lang w:val="en-GB"/>
        </w:rPr>
        <w:t>from</w:t>
      </w:r>
      <w:r w:rsidR="00B3730E">
        <w:rPr>
          <w:rFonts w:cs="Arial"/>
          <w:szCs w:val="20"/>
          <w:lang w:val="en-GB"/>
        </w:rPr>
        <w:t xml:space="preserve"> numerous Internet </w:t>
      </w:r>
      <w:r w:rsidR="00627F3F">
        <w:rPr>
          <w:rFonts w:cs="Arial"/>
          <w:szCs w:val="20"/>
          <w:lang w:val="en-GB"/>
        </w:rPr>
        <w:t>a</w:t>
      </w:r>
      <w:r w:rsidR="00B3730E">
        <w:rPr>
          <w:rFonts w:cs="Arial"/>
          <w:szCs w:val="20"/>
          <w:lang w:val="en-GB"/>
        </w:rPr>
        <w:t>ccess offers available</w:t>
      </w:r>
      <w:r w:rsidR="00A3208E">
        <w:rPr>
          <w:rFonts w:cs="Arial"/>
          <w:szCs w:val="20"/>
          <w:lang w:val="en-GB"/>
        </w:rPr>
        <w:t xml:space="preserve"> on the market</w:t>
      </w:r>
      <w:r w:rsidR="00B3730E">
        <w:rPr>
          <w:rFonts w:cs="Arial"/>
          <w:szCs w:val="20"/>
          <w:lang w:val="en-GB"/>
        </w:rPr>
        <w:t xml:space="preserve">. </w:t>
      </w:r>
      <w:r w:rsidR="00BC399B">
        <w:rPr>
          <w:rFonts w:cs="Arial"/>
          <w:szCs w:val="20"/>
          <w:lang w:val="en-GB"/>
        </w:rPr>
        <w:t>T</w:t>
      </w:r>
      <w:r w:rsidR="00B3730E">
        <w:rPr>
          <w:rFonts w:cs="Arial"/>
          <w:szCs w:val="20"/>
          <w:lang w:val="en-GB"/>
        </w:rPr>
        <w:t>h</w:t>
      </w:r>
      <w:r w:rsidR="00F73E52">
        <w:rPr>
          <w:rFonts w:cs="Arial"/>
          <w:szCs w:val="20"/>
          <w:lang w:val="en-GB"/>
        </w:rPr>
        <w:t>e availability of this type of information has the potential to</w:t>
      </w:r>
      <w:r w:rsidR="00B3730E">
        <w:rPr>
          <w:rFonts w:cs="Arial"/>
          <w:szCs w:val="20"/>
          <w:lang w:val="en-GB"/>
        </w:rPr>
        <w:t xml:space="preserve"> </w:t>
      </w:r>
      <w:r w:rsidR="00B3730E">
        <w:rPr>
          <w:lang w:val="en-GB"/>
        </w:rPr>
        <w:t>contribute to</w:t>
      </w:r>
      <w:r w:rsidR="00A3208E">
        <w:rPr>
          <w:lang w:val="en-GB"/>
        </w:rPr>
        <w:t xml:space="preserve"> ensuring an overall</w:t>
      </w:r>
      <w:r w:rsidR="00B3730E">
        <w:rPr>
          <w:lang w:val="en-GB"/>
        </w:rPr>
        <w:t xml:space="preserve"> positive experience</w:t>
      </w:r>
      <w:r w:rsidR="00A3208E">
        <w:rPr>
          <w:lang w:val="en-GB"/>
        </w:rPr>
        <w:t xml:space="preserve"> for the</w:t>
      </w:r>
      <w:r w:rsidR="00B3730E">
        <w:rPr>
          <w:lang w:val="en-GB"/>
        </w:rPr>
        <w:t xml:space="preserve"> end</w:t>
      </w:r>
      <w:r w:rsidR="004F161E">
        <w:rPr>
          <w:lang w:val="en-GB"/>
        </w:rPr>
        <w:t xml:space="preserve"> </w:t>
      </w:r>
      <w:r w:rsidR="00B3730E">
        <w:rPr>
          <w:lang w:val="en-GB"/>
        </w:rPr>
        <w:t xml:space="preserve">user </w:t>
      </w:r>
      <w:r w:rsidR="00A3208E">
        <w:rPr>
          <w:lang w:val="en-GB"/>
        </w:rPr>
        <w:t>during the selection process and</w:t>
      </w:r>
      <w:r w:rsidR="00F73E52">
        <w:rPr>
          <w:lang w:val="en-GB"/>
        </w:rPr>
        <w:t xml:space="preserve"> </w:t>
      </w:r>
      <w:r w:rsidR="00A3208E">
        <w:rPr>
          <w:lang w:val="en-GB"/>
        </w:rPr>
        <w:t>t</w:t>
      </w:r>
      <w:r w:rsidR="006F4CF7">
        <w:rPr>
          <w:lang w:val="en-GB"/>
        </w:rPr>
        <w:t>his</w:t>
      </w:r>
      <w:r w:rsidR="00B3730E">
        <w:rPr>
          <w:lang w:val="en-GB"/>
        </w:rPr>
        <w:t xml:space="preserve"> factor is </w:t>
      </w:r>
      <w:r w:rsidR="00A3208E">
        <w:rPr>
          <w:lang w:val="en-GB"/>
        </w:rPr>
        <w:t xml:space="preserve">very important </w:t>
      </w:r>
      <w:r w:rsidR="00B3730E">
        <w:rPr>
          <w:lang w:val="en-GB"/>
        </w:rPr>
        <w:t xml:space="preserve">in the </w:t>
      </w:r>
      <w:r w:rsidR="006D74AD">
        <w:rPr>
          <w:lang w:val="en-GB"/>
        </w:rPr>
        <w:t>broader</w:t>
      </w:r>
      <w:r w:rsidR="00B3730E">
        <w:rPr>
          <w:lang w:val="en-GB"/>
        </w:rPr>
        <w:t xml:space="preserve"> context of broadband promotion.</w:t>
      </w:r>
    </w:p>
    <w:p w14:paraId="08096E9D" w14:textId="3CDEC36B" w:rsidR="008711DD" w:rsidRDefault="00A3208E" w:rsidP="008711DD">
      <w:pPr>
        <w:spacing w:before="120" w:after="120"/>
        <w:jc w:val="both"/>
        <w:rPr>
          <w:rFonts w:cs="Arial"/>
          <w:lang w:val="en-GB"/>
        </w:rPr>
      </w:pPr>
      <w:r>
        <w:rPr>
          <w:rFonts w:cs="Arial"/>
          <w:lang w:val="en-GB"/>
        </w:rPr>
        <w:t>In recent years</w:t>
      </w:r>
      <w:r w:rsidR="00A96C8A">
        <w:rPr>
          <w:rFonts w:cs="Arial"/>
          <w:lang w:val="en-GB"/>
        </w:rPr>
        <w:t>,</w:t>
      </w:r>
      <w:r w:rsidR="008711DD" w:rsidRPr="00FA57AA">
        <w:rPr>
          <w:rFonts w:cs="Arial"/>
          <w:lang w:val="en-GB"/>
        </w:rPr>
        <w:t xml:space="preserve"> </w:t>
      </w:r>
      <w:r w:rsidR="008711DD">
        <w:rPr>
          <w:rFonts w:cs="Arial"/>
          <w:lang w:val="en-GB"/>
        </w:rPr>
        <w:t>Internet Service Providers (ISP</w:t>
      </w:r>
      <w:r w:rsidR="00A96C8A">
        <w:rPr>
          <w:rFonts w:cs="Arial"/>
          <w:lang w:val="en-GB"/>
        </w:rPr>
        <w:t>s</w:t>
      </w:r>
      <w:r w:rsidR="008711DD">
        <w:rPr>
          <w:rFonts w:cs="Arial"/>
          <w:lang w:val="en-GB"/>
        </w:rPr>
        <w:t>) ha</w:t>
      </w:r>
      <w:r>
        <w:rPr>
          <w:rFonts w:cs="Arial"/>
          <w:lang w:val="en-GB"/>
        </w:rPr>
        <w:t>ve</w:t>
      </w:r>
      <w:r w:rsidR="008711DD">
        <w:rPr>
          <w:rFonts w:cs="Arial"/>
          <w:lang w:val="en-GB"/>
        </w:rPr>
        <w:t xml:space="preserve"> established their</w:t>
      </w:r>
      <w:r w:rsidR="008711DD" w:rsidRPr="00FA57AA">
        <w:rPr>
          <w:rFonts w:cs="Arial"/>
          <w:lang w:val="en-GB"/>
        </w:rPr>
        <w:t xml:space="preserve"> own </w:t>
      </w:r>
      <w:r w:rsidR="008711DD">
        <w:rPr>
          <w:rFonts w:cs="Arial"/>
          <w:lang w:val="en-GB"/>
        </w:rPr>
        <w:t xml:space="preserve">methods and </w:t>
      </w:r>
      <w:r w:rsidR="008711DD" w:rsidRPr="00FA57AA">
        <w:rPr>
          <w:rFonts w:cs="Arial"/>
          <w:lang w:val="en-GB"/>
        </w:rPr>
        <w:t xml:space="preserve">tools to </w:t>
      </w:r>
      <w:r w:rsidR="00F73E52">
        <w:rPr>
          <w:rFonts w:cs="Arial"/>
          <w:lang w:val="en-GB"/>
        </w:rPr>
        <w:t xml:space="preserve">measure, </w:t>
      </w:r>
      <w:r w:rsidR="008711DD">
        <w:rPr>
          <w:rFonts w:cs="Arial"/>
          <w:lang w:val="en-GB"/>
        </w:rPr>
        <w:t xml:space="preserve">evaluate </w:t>
      </w:r>
      <w:r w:rsidR="00F73E52">
        <w:rPr>
          <w:rFonts w:cs="Arial"/>
          <w:lang w:val="en-GB"/>
        </w:rPr>
        <w:t xml:space="preserve">and present </w:t>
      </w:r>
      <w:r w:rsidR="00102357">
        <w:rPr>
          <w:rFonts w:cs="Arial"/>
          <w:lang w:val="en-GB"/>
        </w:rPr>
        <w:t>IASQ</w:t>
      </w:r>
      <w:r w:rsidR="00627F3F">
        <w:rPr>
          <w:rFonts w:cs="Arial"/>
          <w:lang w:val="en-GB"/>
        </w:rPr>
        <w:t>-</w:t>
      </w:r>
      <w:r w:rsidR="008711DD" w:rsidRPr="00FA57AA">
        <w:rPr>
          <w:rFonts w:cs="Arial"/>
          <w:lang w:val="en-GB"/>
        </w:rPr>
        <w:t>related information</w:t>
      </w:r>
      <w:r w:rsidR="00F73E52">
        <w:rPr>
          <w:rFonts w:cs="Arial"/>
          <w:lang w:val="en-GB"/>
        </w:rPr>
        <w:t xml:space="preserve"> </w:t>
      </w:r>
      <w:r w:rsidR="00333989">
        <w:rPr>
          <w:rFonts w:cs="Arial"/>
          <w:lang w:val="en-GB"/>
        </w:rPr>
        <w:t>but</w:t>
      </w:r>
      <w:r w:rsidR="008711DD">
        <w:rPr>
          <w:rFonts w:cs="Arial"/>
          <w:lang w:val="en-GB"/>
        </w:rPr>
        <w:t xml:space="preserve"> </w:t>
      </w:r>
      <w:r w:rsidR="00333989">
        <w:rPr>
          <w:rFonts w:cs="Arial"/>
          <w:lang w:val="en-GB"/>
        </w:rPr>
        <w:t>i</w:t>
      </w:r>
      <w:r w:rsidR="008711DD" w:rsidRPr="00620DA8">
        <w:rPr>
          <w:rFonts w:cs="Arial"/>
          <w:szCs w:val="20"/>
          <w:lang w:val="en-GB"/>
        </w:rPr>
        <w:t>t is common practice that</w:t>
      </w:r>
      <w:r>
        <w:rPr>
          <w:rFonts w:cs="Arial"/>
          <w:szCs w:val="20"/>
          <w:lang w:val="en-GB"/>
        </w:rPr>
        <w:t>,</w:t>
      </w:r>
      <w:r w:rsidR="008711DD" w:rsidRPr="00620DA8">
        <w:rPr>
          <w:rFonts w:cs="Arial"/>
          <w:szCs w:val="20"/>
          <w:lang w:val="en-GB"/>
        </w:rPr>
        <w:t xml:space="preserve"> </w:t>
      </w:r>
      <w:r w:rsidR="008711DD">
        <w:rPr>
          <w:rFonts w:cs="Arial"/>
          <w:szCs w:val="20"/>
          <w:lang w:val="en-GB"/>
        </w:rPr>
        <w:t xml:space="preserve">even </w:t>
      </w:r>
      <w:r w:rsidR="008711DD" w:rsidRPr="00620DA8">
        <w:rPr>
          <w:rFonts w:cs="Arial"/>
          <w:szCs w:val="20"/>
          <w:lang w:val="en-GB"/>
        </w:rPr>
        <w:t>within the same country</w:t>
      </w:r>
      <w:r>
        <w:rPr>
          <w:rFonts w:cs="Arial"/>
          <w:szCs w:val="20"/>
          <w:lang w:val="en-GB"/>
        </w:rPr>
        <w:t>,</w:t>
      </w:r>
      <w:r w:rsidR="008711DD" w:rsidRPr="00620DA8">
        <w:rPr>
          <w:rFonts w:cs="Arial"/>
          <w:szCs w:val="20"/>
          <w:lang w:val="en-GB"/>
        </w:rPr>
        <w:t xml:space="preserve"> different </w:t>
      </w:r>
      <w:r w:rsidR="008711DD">
        <w:rPr>
          <w:rFonts w:cs="Arial"/>
          <w:szCs w:val="20"/>
          <w:lang w:val="en-GB"/>
        </w:rPr>
        <w:t>ISP</w:t>
      </w:r>
      <w:r w:rsidR="008711DD" w:rsidRPr="00620DA8">
        <w:rPr>
          <w:rFonts w:cs="Arial"/>
          <w:szCs w:val="20"/>
          <w:lang w:val="en-GB"/>
        </w:rPr>
        <w:t xml:space="preserve">s </w:t>
      </w:r>
      <w:r w:rsidR="0089319F">
        <w:rPr>
          <w:rFonts w:cs="Arial"/>
          <w:szCs w:val="20"/>
          <w:lang w:val="en-GB"/>
        </w:rPr>
        <w:t>measure and present</w:t>
      </w:r>
      <w:r w:rsidR="008711DD">
        <w:rPr>
          <w:rFonts w:cs="Arial"/>
          <w:szCs w:val="20"/>
          <w:lang w:val="en-GB"/>
        </w:rPr>
        <w:t xml:space="preserve"> information about </w:t>
      </w:r>
      <w:r>
        <w:rPr>
          <w:rFonts w:cs="Arial"/>
          <w:szCs w:val="20"/>
          <w:lang w:val="en-GB"/>
        </w:rPr>
        <w:t>their services</w:t>
      </w:r>
      <w:r w:rsidR="008711DD">
        <w:rPr>
          <w:rFonts w:cs="Arial"/>
          <w:szCs w:val="20"/>
          <w:lang w:val="en-GB"/>
        </w:rPr>
        <w:t xml:space="preserve"> in different</w:t>
      </w:r>
      <w:r>
        <w:rPr>
          <w:rFonts w:cs="Arial"/>
          <w:szCs w:val="20"/>
          <w:lang w:val="en-GB"/>
        </w:rPr>
        <w:t xml:space="preserve"> and</w:t>
      </w:r>
      <w:r w:rsidR="008711DD">
        <w:rPr>
          <w:rFonts w:cs="Arial"/>
          <w:szCs w:val="20"/>
          <w:lang w:val="en-GB"/>
        </w:rPr>
        <w:t xml:space="preserve"> </w:t>
      </w:r>
      <w:r w:rsidR="00F73E52">
        <w:rPr>
          <w:rFonts w:cs="Arial"/>
          <w:szCs w:val="20"/>
          <w:lang w:val="en-GB"/>
        </w:rPr>
        <w:t xml:space="preserve">often </w:t>
      </w:r>
      <w:r w:rsidR="008711DD">
        <w:rPr>
          <w:rFonts w:cs="Arial"/>
          <w:szCs w:val="20"/>
          <w:lang w:val="en-GB"/>
        </w:rPr>
        <w:t>misleading ways</w:t>
      </w:r>
      <w:r w:rsidR="008711DD">
        <w:rPr>
          <w:rFonts w:cs="Arial"/>
          <w:lang w:val="en-GB"/>
        </w:rPr>
        <w:t xml:space="preserve">. While </w:t>
      </w:r>
      <w:r>
        <w:rPr>
          <w:rFonts w:cs="Arial"/>
          <w:lang w:val="en-GB"/>
        </w:rPr>
        <w:t>information on IASQ</w:t>
      </w:r>
      <w:r w:rsidR="006F4CF7">
        <w:rPr>
          <w:rFonts w:cs="Arial"/>
          <w:lang w:val="en-GB"/>
        </w:rPr>
        <w:t xml:space="preserve"> </w:t>
      </w:r>
      <w:r w:rsidR="008711DD">
        <w:rPr>
          <w:rFonts w:cs="Arial"/>
          <w:lang w:val="en-GB"/>
        </w:rPr>
        <w:t xml:space="preserve">is </w:t>
      </w:r>
      <w:r w:rsidR="005801F7">
        <w:rPr>
          <w:rFonts w:cs="Arial"/>
          <w:lang w:val="en-GB"/>
        </w:rPr>
        <w:t xml:space="preserve">important </w:t>
      </w:r>
      <w:r w:rsidR="008711DD">
        <w:rPr>
          <w:rFonts w:cs="Arial"/>
          <w:lang w:val="en-GB"/>
        </w:rPr>
        <w:t>in order to ensure the possibility for end users to compare</w:t>
      </w:r>
      <w:r>
        <w:rPr>
          <w:rFonts w:cs="Arial"/>
          <w:lang w:val="en-GB"/>
        </w:rPr>
        <w:t xml:space="preserve"> different</w:t>
      </w:r>
      <w:r w:rsidR="008711DD">
        <w:rPr>
          <w:rFonts w:cs="Arial"/>
          <w:lang w:val="en-GB"/>
        </w:rPr>
        <w:t xml:space="preserve"> Internet access services provided by different ISPs there is no </w:t>
      </w:r>
      <w:r w:rsidR="006F4CF7" w:rsidRPr="006F4CF7">
        <w:rPr>
          <w:rFonts w:cs="Arial"/>
          <w:lang w:val="en-GB"/>
        </w:rPr>
        <w:t xml:space="preserve">formal </w:t>
      </w:r>
      <w:r w:rsidR="008711DD">
        <w:rPr>
          <w:rFonts w:cs="Arial"/>
          <w:lang w:val="en-GB"/>
        </w:rPr>
        <w:t xml:space="preserve">common </w:t>
      </w:r>
      <w:r w:rsidR="00F73E52">
        <w:rPr>
          <w:rFonts w:cs="Arial"/>
          <w:lang w:val="en-GB"/>
        </w:rPr>
        <w:t xml:space="preserve">approach </w:t>
      </w:r>
      <w:r w:rsidR="008711DD">
        <w:rPr>
          <w:rFonts w:cs="Arial"/>
          <w:lang w:val="en-GB"/>
        </w:rPr>
        <w:t>among NRAs (</w:t>
      </w:r>
      <w:r w:rsidR="00F73E52">
        <w:rPr>
          <w:rFonts w:cs="Arial"/>
          <w:lang w:val="en-GB"/>
        </w:rPr>
        <w:t xml:space="preserve">or </w:t>
      </w:r>
      <w:r w:rsidR="008711DD" w:rsidRPr="0069578A">
        <w:rPr>
          <w:lang w:val="en-GB"/>
        </w:rPr>
        <w:t>other</w:t>
      </w:r>
      <w:r w:rsidR="00F73E52">
        <w:rPr>
          <w:lang w:val="en-GB"/>
        </w:rPr>
        <w:t xml:space="preserve"> </w:t>
      </w:r>
      <w:r w:rsidR="00627F3F">
        <w:rPr>
          <w:lang w:val="en-GB"/>
        </w:rPr>
        <w:t>competent</w:t>
      </w:r>
      <w:r w:rsidR="008711DD" w:rsidRPr="0069578A">
        <w:rPr>
          <w:lang w:val="en-GB"/>
        </w:rPr>
        <w:t xml:space="preserve"> national </w:t>
      </w:r>
      <w:r w:rsidR="00627F3F">
        <w:rPr>
          <w:lang w:val="en-GB"/>
        </w:rPr>
        <w:t>authorities</w:t>
      </w:r>
      <w:r w:rsidR="008711DD">
        <w:rPr>
          <w:rFonts w:cs="Arial"/>
          <w:lang w:val="en-GB"/>
        </w:rPr>
        <w:t>) on wh</w:t>
      </w:r>
      <w:r w:rsidR="00F73E52">
        <w:rPr>
          <w:rFonts w:cs="Arial"/>
          <w:lang w:val="en-GB"/>
        </w:rPr>
        <w:t>ich</w:t>
      </w:r>
      <w:r w:rsidR="008711DD">
        <w:rPr>
          <w:rFonts w:cs="Arial"/>
          <w:lang w:val="en-GB"/>
        </w:rPr>
        <w:t xml:space="preserve"> </w:t>
      </w:r>
      <w:r w:rsidR="00F73E52">
        <w:rPr>
          <w:rFonts w:cs="Arial"/>
          <w:lang w:val="en-GB"/>
        </w:rPr>
        <w:t>IASQ</w:t>
      </w:r>
      <w:r w:rsidR="008711DD">
        <w:rPr>
          <w:rFonts w:cs="Arial"/>
          <w:lang w:val="en-GB"/>
        </w:rPr>
        <w:t xml:space="preserve"> parameters</w:t>
      </w:r>
      <w:r w:rsidR="00F73E52">
        <w:rPr>
          <w:rFonts w:cs="Arial"/>
          <w:lang w:val="en-GB"/>
        </w:rPr>
        <w:t xml:space="preserve"> to measure and how to present the results of those measurements</w:t>
      </w:r>
      <w:r w:rsidR="008711DD">
        <w:rPr>
          <w:rFonts w:cs="Arial"/>
          <w:lang w:val="en-GB"/>
        </w:rPr>
        <w:t xml:space="preserve"> </w:t>
      </w:r>
      <w:r w:rsidR="00F73E52">
        <w:rPr>
          <w:rFonts w:cs="Arial"/>
          <w:lang w:val="en-GB"/>
        </w:rPr>
        <w:t xml:space="preserve">in </w:t>
      </w:r>
      <w:r w:rsidR="008711DD">
        <w:rPr>
          <w:rFonts w:cs="Arial"/>
          <w:lang w:val="en-GB"/>
        </w:rPr>
        <w:t xml:space="preserve">order to </w:t>
      </w:r>
      <w:r w:rsidR="00F73E52">
        <w:rPr>
          <w:rFonts w:cs="Arial"/>
          <w:lang w:val="en-GB"/>
        </w:rPr>
        <w:t>promote</w:t>
      </w:r>
      <w:r w:rsidR="008711DD">
        <w:rPr>
          <w:rFonts w:cs="Arial"/>
          <w:lang w:val="en-GB"/>
        </w:rPr>
        <w:t xml:space="preserve"> </w:t>
      </w:r>
      <w:r w:rsidR="00333989">
        <w:rPr>
          <w:rFonts w:cs="Arial"/>
          <w:lang w:val="en-GB"/>
        </w:rPr>
        <w:t>transparency in</w:t>
      </w:r>
      <w:r w:rsidR="00F73E52">
        <w:rPr>
          <w:rFonts w:cs="Arial"/>
          <w:lang w:val="en-GB"/>
        </w:rPr>
        <w:t xml:space="preserve"> the</w:t>
      </w:r>
      <w:r w:rsidR="00333989">
        <w:rPr>
          <w:rFonts w:cs="Arial"/>
          <w:lang w:val="en-GB"/>
        </w:rPr>
        <w:t xml:space="preserve"> quality </w:t>
      </w:r>
      <w:r w:rsidR="00DC3BFB">
        <w:rPr>
          <w:rFonts w:cs="Arial"/>
          <w:lang w:val="en-GB"/>
        </w:rPr>
        <w:t xml:space="preserve">of </w:t>
      </w:r>
      <w:r w:rsidR="005801F7">
        <w:rPr>
          <w:rFonts w:cs="Arial"/>
          <w:lang w:val="en-GB"/>
        </w:rPr>
        <w:t xml:space="preserve">Internet </w:t>
      </w:r>
      <w:r w:rsidR="00627F3F">
        <w:rPr>
          <w:rFonts w:cs="Arial"/>
          <w:lang w:val="en-GB"/>
        </w:rPr>
        <w:t>a</w:t>
      </w:r>
      <w:r w:rsidR="005801F7">
        <w:rPr>
          <w:rFonts w:cs="Arial"/>
          <w:lang w:val="en-GB"/>
        </w:rPr>
        <w:t xml:space="preserve">ccess </w:t>
      </w:r>
      <w:r w:rsidR="00627F3F">
        <w:rPr>
          <w:rFonts w:cs="Arial"/>
          <w:lang w:val="en-GB"/>
        </w:rPr>
        <w:t>s</w:t>
      </w:r>
      <w:r w:rsidR="005801F7">
        <w:rPr>
          <w:rFonts w:cs="Arial"/>
          <w:lang w:val="en-GB"/>
        </w:rPr>
        <w:t>ervices available</w:t>
      </w:r>
      <w:r w:rsidR="00F73E52">
        <w:rPr>
          <w:rFonts w:cs="Arial"/>
          <w:lang w:val="en-GB"/>
        </w:rPr>
        <w:t>.</w:t>
      </w:r>
    </w:p>
    <w:p w14:paraId="6CE537ED" w14:textId="48FBC433" w:rsidR="00777DBF" w:rsidRDefault="00D01BE9" w:rsidP="008E0E6E">
      <w:pPr>
        <w:spacing w:before="120" w:after="120"/>
        <w:jc w:val="both"/>
        <w:rPr>
          <w:rFonts w:cs="Arial"/>
          <w:szCs w:val="20"/>
          <w:lang w:val="en-GB"/>
        </w:rPr>
      </w:pPr>
      <w:r>
        <w:rPr>
          <w:rFonts w:cs="Arial"/>
          <w:szCs w:val="20"/>
          <w:lang w:val="en-GB"/>
        </w:rPr>
        <w:t>Article 22 of the Universal Service Directive</w:t>
      </w:r>
      <w:r w:rsidR="00323263">
        <w:rPr>
          <w:rFonts w:cs="Arial"/>
          <w:szCs w:val="20"/>
          <w:lang w:val="en-GB"/>
        </w:rPr>
        <w:t xml:space="preserve"> </w:t>
      </w:r>
      <w:r w:rsidR="00323263">
        <w:rPr>
          <w:rFonts w:cs="Arial"/>
          <w:szCs w:val="20"/>
          <w:lang w:val="en-GB"/>
        </w:rPr>
        <w:fldChar w:fldCharType="begin"/>
      </w:r>
      <w:r w:rsidR="00323263">
        <w:rPr>
          <w:rFonts w:cs="Arial"/>
          <w:szCs w:val="20"/>
          <w:lang w:val="en-GB"/>
        </w:rPr>
        <w:instrText xml:space="preserve"> REF _Ref528314212 \r \h </w:instrText>
      </w:r>
      <w:r w:rsidR="00323263">
        <w:rPr>
          <w:rFonts w:cs="Arial"/>
          <w:szCs w:val="20"/>
          <w:lang w:val="en-GB"/>
        </w:rPr>
      </w:r>
      <w:r w:rsidR="00323263">
        <w:rPr>
          <w:rFonts w:cs="Arial"/>
          <w:szCs w:val="20"/>
          <w:lang w:val="en-GB"/>
        </w:rPr>
        <w:fldChar w:fldCharType="separate"/>
      </w:r>
      <w:r w:rsidR="00323263">
        <w:rPr>
          <w:rFonts w:cs="Arial"/>
          <w:szCs w:val="20"/>
          <w:lang w:val="en-GB"/>
        </w:rPr>
        <w:t>[1]</w:t>
      </w:r>
      <w:r w:rsidR="00323263">
        <w:rPr>
          <w:rFonts w:cs="Arial"/>
          <w:szCs w:val="20"/>
          <w:lang w:val="en-GB"/>
        </w:rPr>
        <w:fldChar w:fldCharType="end"/>
      </w:r>
      <w:r>
        <w:rPr>
          <w:rFonts w:cs="Arial"/>
          <w:szCs w:val="20"/>
          <w:lang w:val="en-GB"/>
        </w:rPr>
        <w:t xml:space="preserve"> requires Member States to “</w:t>
      </w:r>
      <w:r>
        <w:rPr>
          <w:rFonts w:cs="Arial"/>
          <w:i/>
          <w:szCs w:val="20"/>
          <w:lang w:val="en-GB"/>
        </w:rPr>
        <w:t>ensure that national regulatory authorities are […] able to require undertakings […] to publish comparable, adequate and up-to-date information for end</w:t>
      </w:r>
      <w:r w:rsidR="004F161E">
        <w:rPr>
          <w:rFonts w:cs="Arial"/>
          <w:i/>
          <w:szCs w:val="20"/>
          <w:lang w:val="en-GB"/>
        </w:rPr>
        <w:t xml:space="preserve"> </w:t>
      </w:r>
      <w:r>
        <w:rPr>
          <w:rFonts w:cs="Arial"/>
          <w:i/>
          <w:szCs w:val="20"/>
          <w:lang w:val="en-GB"/>
        </w:rPr>
        <w:t>users on the quality of their services […]</w:t>
      </w:r>
      <w:r>
        <w:rPr>
          <w:rFonts w:cs="Arial"/>
          <w:szCs w:val="20"/>
          <w:lang w:val="en-GB"/>
        </w:rPr>
        <w:t>”. Article 22 also states that “</w:t>
      </w:r>
      <w:r>
        <w:rPr>
          <w:rFonts w:cs="Arial"/>
          <w:i/>
          <w:szCs w:val="20"/>
          <w:lang w:val="en-GB"/>
        </w:rPr>
        <w:t>regulatory authorities may specify […] the quality of service parameters to be measured</w:t>
      </w:r>
      <w:r>
        <w:rPr>
          <w:rFonts w:cs="Arial"/>
          <w:szCs w:val="20"/>
          <w:lang w:val="en-GB"/>
        </w:rPr>
        <w:t xml:space="preserve">” and </w:t>
      </w:r>
      <w:r w:rsidR="00D220A7">
        <w:rPr>
          <w:rFonts w:cs="Arial"/>
          <w:szCs w:val="20"/>
          <w:lang w:val="en-GB"/>
        </w:rPr>
        <w:t>that “</w:t>
      </w:r>
      <w:r w:rsidR="00D220A7">
        <w:rPr>
          <w:rFonts w:cs="Arial"/>
          <w:i/>
          <w:szCs w:val="20"/>
          <w:lang w:val="en-GB"/>
        </w:rPr>
        <w:t>authorities are able to set minimum quality of service requirements</w:t>
      </w:r>
      <w:r w:rsidR="00D220A7">
        <w:rPr>
          <w:rFonts w:cs="Arial"/>
          <w:szCs w:val="20"/>
          <w:lang w:val="en-GB"/>
        </w:rPr>
        <w:t xml:space="preserve">”. </w:t>
      </w:r>
    </w:p>
    <w:p w14:paraId="309F7676" w14:textId="3F47CDD0" w:rsidR="0089571D" w:rsidRPr="00416C0B" w:rsidRDefault="002877ED" w:rsidP="008A6E2C">
      <w:pPr>
        <w:spacing w:before="120" w:after="120"/>
        <w:jc w:val="both"/>
        <w:rPr>
          <w:rFonts w:cs="Arial"/>
          <w:szCs w:val="20"/>
          <w:lang w:val="en-GB"/>
        </w:rPr>
      </w:pPr>
      <w:r>
        <w:rPr>
          <w:rFonts w:cs="Arial"/>
          <w:szCs w:val="20"/>
          <w:lang w:val="en-GB"/>
        </w:rPr>
        <w:t xml:space="preserve">Paragraph 1 of </w:t>
      </w:r>
      <w:r w:rsidRPr="002877ED">
        <w:rPr>
          <w:rFonts w:cs="Arial"/>
          <w:szCs w:val="20"/>
          <w:lang w:val="en-GB"/>
        </w:rPr>
        <w:t xml:space="preserve">Article 4 </w:t>
      </w:r>
      <w:r>
        <w:rPr>
          <w:rFonts w:cs="Arial"/>
          <w:szCs w:val="20"/>
          <w:lang w:val="en-GB"/>
        </w:rPr>
        <w:t xml:space="preserve">of the </w:t>
      </w:r>
      <w:r w:rsidRPr="002877ED">
        <w:rPr>
          <w:rFonts w:cs="Arial"/>
          <w:szCs w:val="20"/>
          <w:lang w:val="en-GB"/>
        </w:rPr>
        <w:t>Regulation (EU) 2015/2120</w:t>
      </w:r>
      <w:r w:rsidR="00323263">
        <w:rPr>
          <w:rFonts w:cs="Arial"/>
          <w:szCs w:val="20"/>
          <w:lang w:val="en-GB"/>
        </w:rPr>
        <w:t xml:space="preserve"> </w:t>
      </w:r>
      <w:r w:rsidR="00323263">
        <w:rPr>
          <w:rFonts w:cs="Arial"/>
          <w:szCs w:val="20"/>
          <w:lang w:val="en-GB"/>
        </w:rPr>
        <w:fldChar w:fldCharType="begin"/>
      </w:r>
      <w:r w:rsidR="00323263">
        <w:rPr>
          <w:rFonts w:cs="Arial"/>
          <w:szCs w:val="20"/>
          <w:lang w:val="en-GB"/>
        </w:rPr>
        <w:instrText xml:space="preserve"> REF _Ref528314230 \r \h </w:instrText>
      </w:r>
      <w:r w:rsidR="00323263">
        <w:rPr>
          <w:rFonts w:cs="Arial"/>
          <w:szCs w:val="20"/>
          <w:lang w:val="en-GB"/>
        </w:rPr>
      </w:r>
      <w:r w:rsidR="00323263">
        <w:rPr>
          <w:rFonts w:cs="Arial"/>
          <w:szCs w:val="20"/>
          <w:lang w:val="en-GB"/>
        </w:rPr>
        <w:fldChar w:fldCharType="separate"/>
      </w:r>
      <w:r w:rsidR="00323263">
        <w:rPr>
          <w:rFonts w:cs="Arial"/>
          <w:szCs w:val="20"/>
          <w:lang w:val="en-GB"/>
        </w:rPr>
        <w:t>[2]</w:t>
      </w:r>
      <w:r w:rsidR="00323263">
        <w:rPr>
          <w:rFonts w:cs="Arial"/>
          <w:szCs w:val="20"/>
          <w:lang w:val="en-GB"/>
        </w:rPr>
        <w:fldChar w:fldCharType="end"/>
      </w:r>
      <w:r>
        <w:rPr>
          <w:rFonts w:cs="Arial"/>
          <w:szCs w:val="20"/>
          <w:lang w:val="en-GB"/>
        </w:rPr>
        <w:t xml:space="preserve"> requires that ISPs </w:t>
      </w:r>
      <w:r w:rsidRPr="002877ED">
        <w:rPr>
          <w:rFonts w:cs="Arial"/>
          <w:szCs w:val="20"/>
          <w:lang w:val="en-GB"/>
        </w:rPr>
        <w:t>shall publish</w:t>
      </w:r>
      <w:r>
        <w:rPr>
          <w:rFonts w:cs="Arial"/>
          <w:szCs w:val="20"/>
          <w:lang w:val="en-GB"/>
        </w:rPr>
        <w:t xml:space="preserve"> </w:t>
      </w:r>
      <w:r w:rsidR="008A6E2C">
        <w:rPr>
          <w:rFonts w:cs="Arial"/>
          <w:szCs w:val="20"/>
          <w:lang w:val="en-GB"/>
        </w:rPr>
        <w:t>“</w:t>
      </w:r>
      <w:r w:rsidR="008A6E2C" w:rsidRPr="00F44295">
        <w:rPr>
          <w:rFonts w:cs="Arial"/>
          <w:i/>
          <w:szCs w:val="20"/>
          <w:lang w:val="en-GB"/>
        </w:rPr>
        <w:t>a clear and comprehensible explanation of the minimum, normally available, maximum and advertised download and upload speed of the internet access services in the case of fixed networks</w:t>
      </w:r>
      <w:r w:rsidR="008A6E2C">
        <w:rPr>
          <w:rFonts w:cs="Arial"/>
          <w:i/>
          <w:szCs w:val="20"/>
          <w:lang w:val="en-GB"/>
        </w:rPr>
        <w:t xml:space="preserve">…” </w:t>
      </w:r>
      <w:r w:rsidR="008A6E2C" w:rsidRPr="00F44295">
        <w:rPr>
          <w:rFonts w:cs="Arial"/>
          <w:szCs w:val="20"/>
          <w:lang w:val="en-GB"/>
        </w:rPr>
        <w:t>and</w:t>
      </w:r>
      <w:r w:rsidR="008A6E2C">
        <w:rPr>
          <w:rFonts w:cs="Arial"/>
          <w:i/>
          <w:szCs w:val="20"/>
          <w:lang w:val="en-GB"/>
        </w:rPr>
        <w:t xml:space="preserve"> </w:t>
      </w:r>
      <w:r w:rsidR="008A6E2C">
        <w:rPr>
          <w:rFonts w:cs="Arial"/>
          <w:szCs w:val="20"/>
          <w:lang w:val="en-GB"/>
        </w:rPr>
        <w:t xml:space="preserve">paragraphs 128-134,140-151 of </w:t>
      </w:r>
      <w:r w:rsidR="008A6E2C" w:rsidRPr="008A6E2C">
        <w:rPr>
          <w:rFonts w:cs="Arial"/>
          <w:szCs w:val="20"/>
          <w:lang w:val="en-GB"/>
        </w:rPr>
        <w:t>BEREC</w:t>
      </w:r>
      <w:r w:rsidR="00681909">
        <w:rPr>
          <w:rFonts w:cs="Arial"/>
          <w:szCs w:val="20"/>
          <w:lang w:val="en-GB"/>
        </w:rPr>
        <w:t>’s</w:t>
      </w:r>
      <w:r w:rsidR="008A6E2C" w:rsidRPr="008A6E2C">
        <w:rPr>
          <w:rFonts w:cs="Arial"/>
          <w:szCs w:val="20"/>
          <w:lang w:val="en-GB"/>
        </w:rPr>
        <w:t xml:space="preserve"> Guidelines on</w:t>
      </w:r>
      <w:r w:rsidR="008A6E2C">
        <w:rPr>
          <w:rFonts w:cs="Arial"/>
          <w:szCs w:val="20"/>
          <w:lang w:val="en-GB"/>
        </w:rPr>
        <w:t xml:space="preserve"> </w:t>
      </w:r>
      <w:r w:rsidR="008A6E2C" w:rsidRPr="008A6E2C">
        <w:rPr>
          <w:rFonts w:cs="Arial"/>
          <w:szCs w:val="20"/>
          <w:lang w:val="en-GB"/>
        </w:rPr>
        <w:t>the Implementation by National Regulators</w:t>
      </w:r>
      <w:r w:rsidR="008A6E2C">
        <w:rPr>
          <w:rFonts w:cs="Arial"/>
          <w:szCs w:val="20"/>
          <w:lang w:val="en-GB"/>
        </w:rPr>
        <w:t xml:space="preserve"> </w:t>
      </w:r>
      <w:r w:rsidR="008A6E2C" w:rsidRPr="008A6E2C">
        <w:rPr>
          <w:rFonts w:cs="Arial"/>
          <w:szCs w:val="20"/>
          <w:lang w:val="en-GB"/>
        </w:rPr>
        <w:t>of European Net Neutrality Rules</w:t>
      </w:r>
      <w:r w:rsidR="00323263">
        <w:rPr>
          <w:rFonts w:cs="Arial"/>
          <w:szCs w:val="20"/>
          <w:lang w:val="en-GB"/>
        </w:rPr>
        <w:t xml:space="preserve"> </w:t>
      </w:r>
      <w:r w:rsidR="00323263">
        <w:rPr>
          <w:rFonts w:cs="Arial"/>
          <w:szCs w:val="20"/>
          <w:lang w:val="en-GB"/>
        </w:rPr>
        <w:fldChar w:fldCharType="begin"/>
      </w:r>
      <w:r w:rsidR="00323263">
        <w:rPr>
          <w:rFonts w:cs="Arial"/>
          <w:szCs w:val="20"/>
          <w:lang w:val="en-GB"/>
        </w:rPr>
        <w:instrText xml:space="preserve"> REF _Ref528314307 \r \h </w:instrText>
      </w:r>
      <w:r w:rsidR="00323263">
        <w:rPr>
          <w:rFonts w:cs="Arial"/>
          <w:szCs w:val="20"/>
          <w:lang w:val="en-GB"/>
        </w:rPr>
      </w:r>
      <w:r w:rsidR="00323263">
        <w:rPr>
          <w:rFonts w:cs="Arial"/>
          <w:szCs w:val="20"/>
          <w:lang w:val="en-GB"/>
        </w:rPr>
        <w:fldChar w:fldCharType="separate"/>
      </w:r>
      <w:r w:rsidR="00323263">
        <w:rPr>
          <w:rFonts w:cs="Arial"/>
          <w:szCs w:val="20"/>
          <w:lang w:val="en-GB"/>
        </w:rPr>
        <w:t>[3]</w:t>
      </w:r>
      <w:r w:rsidR="00323263">
        <w:rPr>
          <w:rFonts w:cs="Arial"/>
          <w:szCs w:val="20"/>
          <w:lang w:val="en-GB"/>
        </w:rPr>
        <w:fldChar w:fldCharType="end"/>
      </w:r>
      <w:r w:rsidR="008A6E2C">
        <w:rPr>
          <w:rFonts w:cs="Arial"/>
          <w:szCs w:val="20"/>
          <w:lang w:val="en-GB"/>
        </w:rPr>
        <w:t xml:space="preserve"> provide guidance how ISPs should present these parameters </w:t>
      </w:r>
      <w:r w:rsidR="00681909">
        <w:rPr>
          <w:rFonts w:cs="Arial"/>
          <w:szCs w:val="20"/>
          <w:lang w:val="en-GB"/>
        </w:rPr>
        <w:t>public</w:t>
      </w:r>
      <w:r w:rsidR="008A6E2C">
        <w:rPr>
          <w:rFonts w:cs="Arial"/>
          <w:szCs w:val="20"/>
          <w:lang w:val="en-GB"/>
        </w:rPr>
        <w:t xml:space="preserve">ly. </w:t>
      </w:r>
    </w:p>
    <w:p w14:paraId="6B0C6A1A" w14:textId="1918FBF1" w:rsidR="005E4ACA" w:rsidRDefault="00316CF9" w:rsidP="005801F7">
      <w:pPr>
        <w:spacing w:before="120" w:after="120"/>
        <w:jc w:val="both"/>
        <w:rPr>
          <w:rFonts w:cs="Arial"/>
          <w:szCs w:val="20"/>
          <w:lang w:val="en-GB"/>
        </w:rPr>
      </w:pPr>
      <w:r>
        <w:t xml:space="preserve">This ECC Recommendation follows </w:t>
      </w:r>
      <w:r w:rsidR="00410D61" w:rsidRPr="00410D61">
        <w:rPr>
          <w:rFonts w:cs="Arial"/>
          <w:szCs w:val="20"/>
          <w:lang w:val="en-GB"/>
        </w:rPr>
        <w:t xml:space="preserve">ECC </w:t>
      </w:r>
      <w:r w:rsidR="00777DBF">
        <w:rPr>
          <w:rFonts w:cs="Arial"/>
          <w:szCs w:val="20"/>
          <w:lang w:val="en-GB"/>
        </w:rPr>
        <w:t>R</w:t>
      </w:r>
      <w:r w:rsidR="00410D61" w:rsidRPr="00410D61">
        <w:rPr>
          <w:rFonts w:cs="Arial"/>
          <w:szCs w:val="20"/>
          <w:lang w:val="en-GB"/>
        </w:rPr>
        <w:t>eport 195</w:t>
      </w:r>
      <w:r w:rsidR="00323263">
        <w:rPr>
          <w:rFonts w:cs="Arial"/>
          <w:szCs w:val="20"/>
          <w:lang w:val="en-GB"/>
        </w:rPr>
        <w:t xml:space="preserve"> </w:t>
      </w:r>
      <w:r w:rsidR="00323263">
        <w:rPr>
          <w:rFonts w:cs="Arial"/>
          <w:szCs w:val="20"/>
          <w:lang w:val="en-GB"/>
        </w:rPr>
        <w:fldChar w:fldCharType="begin"/>
      </w:r>
      <w:r w:rsidR="00323263">
        <w:rPr>
          <w:rFonts w:cs="Arial"/>
          <w:szCs w:val="20"/>
          <w:lang w:val="en-GB"/>
        </w:rPr>
        <w:instrText xml:space="preserve"> REF _Ref528314263 \r \h </w:instrText>
      </w:r>
      <w:r w:rsidR="00323263">
        <w:rPr>
          <w:rFonts w:cs="Arial"/>
          <w:szCs w:val="20"/>
          <w:lang w:val="en-GB"/>
        </w:rPr>
      </w:r>
      <w:r w:rsidR="00323263">
        <w:rPr>
          <w:rFonts w:cs="Arial"/>
          <w:szCs w:val="20"/>
          <w:lang w:val="en-GB"/>
        </w:rPr>
        <w:fldChar w:fldCharType="separate"/>
      </w:r>
      <w:r w:rsidR="00323263">
        <w:rPr>
          <w:rFonts w:cs="Arial"/>
          <w:szCs w:val="20"/>
          <w:lang w:val="en-GB"/>
        </w:rPr>
        <w:t>[4]</w:t>
      </w:r>
      <w:r w:rsidR="00323263">
        <w:rPr>
          <w:rFonts w:cs="Arial"/>
          <w:szCs w:val="20"/>
          <w:lang w:val="en-GB"/>
        </w:rPr>
        <w:fldChar w:fldCharType="end"/>
      </w:r>
      <w:r w:rsidR="00416C0B">
        <w:rPr>
          <w:rFonts w:cs="Arial"/>
          <w:szCs w:val="20"/>
          <w:lang w:val="en-GB"/>
        </w:rPr>
        <w:t>,</w:t>
      </w:r>
      <w:r>
        <w:rPr>
          <w:rFonts w:cs="Arial"/>
          <w:szCs w:val="20"/>
          <w:lang w:val="en-GB"/>
        </w:rPr>
        <w:t xml:space="preserve"> the </w:t>
      </w:r>
      <w:r w:rsidR="00025271">
        <w:rPr>
          <w:rFonts w:cs="Arial"/>
          <w:szCs w:val="20"/>
          <w:lang w:val="en-GB"/>
        </w:rPr>
        <w:t xml:space="preserve">requirements of </w:t>
      </w:r>
      <w:r w:rsidR="00416C0B" w:rsidRPr="002877ED">
        <w:rPr>
          <w:rFonts w:cs="Arial"/>
          <w:szCs w:val="20"/>
          <w:lang w:val="en-GB"/>
        </w:rPr>
        <w:t>Regulation (EU) 2015/2120</w:t>
      </w:r>
      <w:r w:rsidR="00416C0B">
        <w:rPr>
          <w:rFonts w:cs="Arial"/>
          <w:szCs w:val="20"/>
          <w:lang w:val="en-GB"/>
        </w:rPr>
        <w:t xml:space="preserve"> </w:t>
      </w:r>
      <w:r w:rsidR="00025271">
        <w:rPr>
          <w:rFonts w:cs="Arial"/>
          <w:szCs w:val="20"/>
          <w:lang w:val="en-GB"/>
        </w:rPr>
        <w:t>and related</w:t>
      </w:r>
      <w:r w:rsidR="00416C0B">
        <w:rPr>
          <w:rFonts w:cs="Arial"/>
          <w:szCs w:val="20"/>
          <w:lang w:val="en-GB"/>
        </w:rPr>
        <w:t xml:space="preserve"> </w:t>
      </w:r>
      <w:r w:rsidR="00416C0B" w:rsidRPr="008A6E2C">
        <w:rPr>
          <w:rFonts w:cs="Arial"/>
          <w:szCs w:val="20"/>
          <w:lang w:val="en-GB"/>
        </w:rPr>
        <w:t>BEREC</w:t>
      </w:r>
      <w:r w:rsidR="00025271">
        <w:rPr>
          <w:rFonts w:cs="Arial"/>
          <w:szCs w:val="20"/>
          <w:lang w:val="en-GB"/>
        </w:rPr>
        <w:t xml:space="preserve"> publications</w:t>
      </w:r>
      <w:r w:rsidR="00323263">
        <w:rPr>
          <w:rFonts w:cs="Arial"/>
          <w:szCs w:val="20"/>
          <w:lang w:val="en-GB"/>
        </w:rPr>
        <w:t xml:space="preserve"> </w:t>
      </w:r>
      <w:r w:rsidR="00323263">
        <w:rPr>
          <w:rFonts w:cs="Arial"/>
          <w:szCs w:val="20"/>
          <w:lang w:val="en-GB"/>
        </w:rPr>
        <w:fldChar w:fldCharType="begin"/>
      </w:r>
      <w:r w:rsidR="00323263">
        <w:rPr>
          <w:rFonts w:cs="Arial"/>
          <w:szCs w:val="20"/>
          <w:lang w:val="en-GB"/>
        </w:rPr>
        <w:instrText xml:space="preserve"> REF _Ref528314307 \r \h </w:instrText>
      </w:r>
      <w:r w:rsidR="00323263">
        <w:rPr>
          <w:rFonts w:cs="Arial"/>
          <w:szCs w:val="20"/>
          <w:lang w:val="en-GB"/>
        </w:rPr>
      </w:r>
      <w:r w:rsidR="00323263">
        <w:rPr>
          <w:rFonts w:cs="Arial"/>
          <w:szCs w:val="20"/>
          <w:lang w:val="en-GB"/>
        </w:rPr>
        <w:fldChar w:fldCharType="separate"/>
      </w:r>
      <w:r w:rsidR="00323263">
        <w:rPr>
          <w:rFonts w:cs="Arial"/>
          <w:szCs w:val="20"/>
          <w:lang w:val="en-GB"/>
        </w:rPr>
        <w:t>[3</w:t>
      </w:r>
      <w:proofErr w:type="gramStart"/>
      <w:r w:rsidR="00323263">
        <w:rPr>
          <w:rFonts w:cs="Arial"/>
          <w:szCs w:val="20"/>
          <w:lang w:val="en-GB"/>
        </w:rPr>
        <w:t>]</w:t>
      </w:r>
      <w:proofErr w:type="gramEnd"/>
      <w:r w:rsidR="00323263">
        <w:rPr>
          <w:rFonts w:cs="Arial"/>
          <w:szCs w:val="20"/>
          <w:lang w:val="en-GB"/>
        </w:rPr>
        <w:fldChar w:fldCharType="end"/>
      </w:r>
      <w:r w:rsidR="00323263">
        <w:rPr>
          <w:rFonts w:cs="Arial"/>
          <w:szCs w:val="20"/>
          <w:lang w:val="en-GB"/>
        </w:rPr>
        <w:fldChar w:fldCharType="begin"/>
      </w:r>
      <w:r w:rsidR="00323263">
        <w:rPr>
          <w:rFonts w:cs="Arial"/>
          <w:szCs w:val="20"/>
          <w:lang w:val="en-GB"/>
        </w:rPr>
        <w:instrText xml:space="preserve"> REF _Ref528314327 \r \h </w:instrText>
      </w:r>
      <w:r w:rsidR="00323263">
        <w:rPr>
          <w:rFonts w:cs="Arial"/>
          <w:szCs w:val="20"/>
          <w:lang w:val="en-GB"/>
        </w:rPr>
      </w:r>
      <w:r w:rsidR="00323263">
        <w:rPr>
          <w:rFonts w:cs="Arial"/>
          <w:szCs w:val="20"/>
          <w:lang w:val="en-GB"/>
        </w:rPr>
        <w:fldChar w:fldCharType="separate"/>
      </w:r>
      <w:r w:rsidR="00323263">
        <w:rPr>
          <w:rFonts w:cs="Arial"/>
          <w:szCs w:val="20"/>
          <w:lang w:val="en-GB"/>
        </w:rPr>
        <w:t>[5]</w:t>
      </w:r>
      <w:r w:rsidR="00323263">
        <w:rPr>
          <w:rFonts w:cs="Arial"/>
          <w:szCs w:val="20"/>
          <w:lang w:val="en-GB"/>
        </w:rPr>
        <w:fldChar w:fldCharType="end"/>
      </w:r>
      <w:r w:rsidR="00323263">
        <w:rPr>
          <w:rFonts w:cs="Arial"/>
          <w:szCs w:val="20"/>
          <w:lang w:val="en-GB"/>
        </w:rPr>
        <w:fldChar w:fldCharType="begin"/>
      </w:r>
      <w:r w:rsidR="00323263">
        <w:rPr>
          <w:rFonts w:cs="Arial"/>
          <w:szCs w:val="20"/>
          <w:lang w:val="en-GB"/>
        </w:rPr>
        <w:instrText xml:space="preserve"> REF _Ref528314330 \r \h </w:instrText>
      </w:r>
      <w:r w:rsidR="00323263">
        <w:rPr>
          <w:rFonts w:cs="Arial"/>
          <w:szCs w:val="20"/>
          <w:lang w:val="en-GB"/>
        </w:rPr>
      </w:r>
      <w:r w:rsidR="00323263">
        <w:rPr>
          <w:rFonts w:cs="Arial"/>
          <w:szCs w:val="20"/>
          <w:lang w:val="en-GB"/>
        </w:rPr>
        <w:fldChar w:fldCharType="separate"/>
      </w:r>
      <w:r w:rsidR="00323263">
        <w:rPr>
          <w:rFonts w:cs="Arial"/>
          <w:szCs w:val="20"/>
          <w:lang w:val="en-GB"/>
        </w:rPr>
        <w:t>[6]</w:t>
      </w:r>
      <w:r w:rsidR="00323263">
        <w:rPr>
          <w:rFonts w:cs="Arial"/>
          <w:szCs w:val="20"/>
          <w:lang w:val="en-GB"/>
        </w:rPr>
        <w:fldChar w:fldCharType="end"/>
      </w:r>
      <w:r w:rsidR="00323263">
        <w:rPr>
          <w:rFonts w:cs="Arial"/>
          <w:szCs w:val="20"/>
          <w:lang w:val="en-GB"/>
        </w:rPr>
        <w:fldChar w:fldCharType="begin"/>
      </w:r>
      <w:r w:rsidR="00323263">
        <w:rPr>
          <w:rFonts w:cs="Arial"/>
          <w:szCs w:val="20"/>
          <w:lang w:val="en-GB"/>
        </w:rPr>
        <w:instrText xml:space="preserve"> REF _Ref528314335 \r \h </w:instrText>
      </w:r>
      <w:r w:rsidR="00323263">
        <w:rPr>
          <w:rFonts w:cs="Arial"/>
          <w:szCs w:val="20"/>
          <w:lang w:val="en-GB"/>
        </w:rPr>
      </w:r>
      <w:r w:rsidR="00323263">
        <w:rPr>
          <w:rFonts w:cs="Arial"/>
          <w:szCs w:val="20"/>
          <w:lang w:val="en-GB"/>
        </w:rPr>
        <w:fldChar w:fldCharType="separate"/>
      </w:r>
      <w:r w:rsidR="00323263">
        <w:rPr>
          <w:rFonts w:cs="Arial"/>
          <w:szCs w:val="20"/>
          <w:lang w:val="en-GB"/>
        </w:rPr>
        <w:t>[7]</w:t>
      </w:r>
      <w:r w:rsidR="00323263">
        <w:rPr>
          <w:rFonts w:cs="Arial"/>
          <w:szCs w:val="20"/>
          <w:lang w:val="en-GB"/>
        </w:rPr>
        <w:fldChar w:fldCharType="end"/>
      </w:r>
      <w:r w:rsidR="00323263">
        <w:rPr>
          <w:rFonts w:cs="Arial"/>
          <w:szCs w:val="20"/>
          <w:lang w:val="en-GB"/>
        </w:rPr>
        <w:fldChar w:fldCharType="begin"/>
      </w:r>
      <w:r w:rsidR="00323263">
        <w:rPr>
          <w:rFonts w:cs="Arial"/>
          <w:szCs w:val="20"/>
          <w:lang w:val="en-GB"/>
        </w:rPr>
        <w:instrText xml:space="preserve"> REF _Ref528314337 \r \h </w:instrText>
      </w:r>
      <w:r w:rsidR="00323263">
        <w:rPr>
          <w:rFonts w:cs="Arial"/>
          <w:szCs w:val="20"/>
          <w:lang w:val="en-GB"/>
        </w:rPr>
      </w:r>
      <w:r w:rsidR="00323263">
        <w:rPr>
          <w:rFonts w:cs="Arial"/>
          <w:szCs w:val="20"/>
          <w:lang w:val="en-GB"/>
        </w:rPr>
        <w:fldChar w:fldCharType="separate"/>
      </w:r>
      <w:r w:rsidR="00323263">
        <w:rPr>
          <w:rFonts w:cs="Arial"/>
          <w:szCs w:val="20"/>
          <w:lang w:val="en-GB"/>
        </w:rPr>
        <w:t>[8]</w:t>
      </w:r>
      <w:r w:rsidR="00323263">
        <w:rPr>
          <w:rFonts w:cs="Arial"/>
          <w:szCs w:val="20"/>
          <w:lang w:val="en-GB"/>
        </w:rPr>
        <w:fldChar w:fldCharType="end"/>
      </w:r>
      <w:r w:rsidR="00025271">
        <w:rPr>
          <w:rFonts w:cs="Arial"/>
          <w:szCs w:val="20"/>
          <w:lang w:val="en-GB"/>
        </w:rPr>
        <w:t>.</w:t>
      </w:r>
      <w:r w:rsidR="00416C0B" w:rsidRPr="008A6E2C">
        <w:rPr>
          <w:rFonts w:cs="Arial"/>
          <w:szCs w:val="20"/>
          <w:lang w:val="en-GB"/>
        </w:rPr>
        <w:t xml:space="preserve"> </w:t>
      </w:r>
      <w:r w:rsidR="00025271">
        <w:rPr>
          <w:rFonts w:cs="Arial"/>
          <w:szCs w:val="20"/>
          <w:lang w:val="en-GB"/>
        </w:rPr>
        <w:t xml:space="preserve">The </w:t>
      </w:r>
      <w:r w:rsidR="004F161E">
        <w:rPr>
          <w:rFonts w:cs="Arial"/>
          <w:szCs w:val="20"/>
          <w:lang w:val="en-GB"/>
        </w:rPr>
        <w:t>R</w:t>
      </w:r>
      <w:r w:rsidR="00025271">
        <w:rPr>
          <w:rFonts w:cs="Arial"/>
          <w:szCs w:val="20"/>
          <w:lang w:val="en-GB"/>
        </w:rPr>
        <w:t>ecommendation</w:t>
      </w:r>
      <w:r w:rsidR="004F161E">
        <w:rPr>
          <w:rFonts w:cs="Arial"/>
          <w:szCs w:val="20"/>
          <w:lang w:val="en-GB"/>
        </w:rPr>
        <w:t xml:space="preserve"> also</w:t>
      </w:r>
      <w:r w:rsidR="00025271">
        <w:rPr>
          <w:rFonts w:cs="Arial"/>
          <w:szCs w:val="20"/>
          <w:lang w:val="en-GB"/>
        </w:rPr>
        <w:t xml:space="preserve"> provides guidance to </w:t>
      </w:r>
      <w:r w:rsidR="00D33CFD">
        <w:rPr>
          <w:rFonts w:cs="Arial"/>
          <w:szCs w:val="20"/>
          <w:lang w:val="en-GB"/>
        </w:rPr>
        <w:t>CEPT Administrations</w:t>
      </w:r>
      <w:r w:rsidR="00A9192E">
        <w:rPr>
          <w:rFonts w:cs="Arial"/>
          <w:szCs w:val="20"/>
          <w:lang w:val="en-GB"/>
        </w:rPr>
        <w:t xml:space="preserve"> </w:t>
      </w:r>
      <w:r w:rsidR="00025271">
        <w:rPr>
          <w:rFonts w:cs="Arial"/>
          <w:szCs w:val="20"/>
          <w:lang w:val="en-GB"/>
        </w:rPr>
        <w:t xml:space="preserve">on </w:t>
      </w:r>
      <w:r w:rsidR="00416C0B">
        <w:rPr>
          <w:rFonts w:cs="Arial"/>
          <w:szCs w:val="20"/>
          <w:lang w:val="en-GB"/>
        </w:rPr>
        <w:t>what fixed IASQ parameters</w:t>
      </w:r>
      <w:r w:rsidR="00025271">
        <w:rPr>
          <w:rFonts w:cs="Arial"/>
          <w:szCs w:val="20"/>
          <w:lang w:val="en-GB"/>
        </w:rPr>
        <w:t xml:space="preserve"> </w:t>
      </w:r>
      <w:r>
        <w:rPr>
          <w:rFonts w:cs="Arial"/>
          <w:szCs w:val="20"/>
          <w:lang w:val="en-GB"/>
        </w:rPr>
        <w:t xml:space="preserve">could be </w:t>
      </w:r>
      <w:r w:rsidR="00025271">
        <w:rPr>
          <w:rFonts w:cs="Arial"/>
          <w:szCs w:val="20"/>
          <w:lang w:val="en-GB"/>
        </w:rPr>
        <w:t>considered</w:t>
      </w:r>
      <w:r w:rsidR="00416C0B">
        <w:rPr>
          <w:rFonts w:cs="Arial"/>
          <w:szCs w:val="20"/>
          <w:lang w:val="en-GB"/>
        </w:rPr>
        <w:t xml:space="preserve"> and how </w:t>
      </w:r>
      <w:r w:rsidR="00025271">
        <w:rPr>
          <w:rFonts w:cs="Arial"/>
          <w:szCs w:val="20"/>
          <w:lang w:val="en-GB"/>
        </w:rPr>
        <w:t xml:space="preserve">they </w:t>
      </w:r>
      <w:r>
        <w:rPr>
          <w:rFonts w:cs="Arial"/>
          <w:szCs w:val="20"/>
          <w:lang w:val="en-GB"/>
        </w:rPr>
        <w:t xml:space="preserve">could be </w:t>
      </w:r>
      <w:r w:rsidR="00A9192E">
        <w:rPr>
          <w:rFonts w:cs="Arial"/>
          <w:szCs w:val="20"/>
          <w:lang w:val="en-GB"/>
        </w:rPr>
        <w:t>provided public</w:t>
      </w:r>
      <w:r w:rsidR="00025271">
        <w:rPr>
          <w:rFonts w:cs="Arial"/>
          <w:szCs w:val="20"/>
          <w:lang w:val="en-GB"/>
        </w:rPr>
        <w:t>ly</w:t>
      </w:r>
      <w:r w:rsidR="0041668D">
        <w:rPr>
          <w:rFonts w:cs="Arial"/>
          <w:szCs w:val="20"/>
          <w:lang w:val="en-GB"/>
        </w:rPr>
        <w:t xml:space="preserve"> </w:t>
      </w:r>
      <w:r>
        <w:rPr>
          <w:rFonts w:cs="Arial"/>
          <w:szCs w:val="20"/>
          <w:lang w:val="en-GB"/>
        </w:rPr>
        <w:t>to establish a common or harmonised approach</w:t>
      </w:r>
      <w:r w:rsidR="0089319F">
        <w:rPr>
          <w:rFonts w:cs="Arial"/>
          <w:szCs w:val="20"/>
          <w:lang w:val="en-GB"/>
        </w:rPr>
        <w:t>.</w:t>
      </w:r>
      <w:r w:rsidR="00410D61" w:rsidRPr="00410D61">
        <w:rPr>
          <w:rFonts w:cs="Arial"/>
          <w:szCs w:val="20"/>
          <w:lang w:val="en-GB"/>
        </w:rPr>
        <w:t xml:space="preserve">   </w:t>
      </w:r>
    </w:p>
    <w:p w14:paraId="564F5211" w14:textId="6E860E7C" w:rsidR="00FF0412" w:rsidRDefault="00FF0412" w:rsidP="005801F7">
      <w:pPr>
        <w:spacing w:before="120" w:after="120"/>
        <w:jc w:val="both"/>
        <w:rPr>
          <w:rFonts w:cs="Arial"/>
          <w:szCs w:val="20"/>
          <w:lang w:val="en-GB"/>
        </w:rPr>
      </w:pPr>
      <w:r>
        <w:rPr>
          <w:rFonts w:cs="Arial"/>
          <w:szCs w:val="20"/>
          <w:lang w:val="en-GB"/>
        </w:rPr>
        <w:t xml:space="preserve">This </w:t>
      </w:r>
      <w:r w:rsidR="004F161E">
        <w:rPr>
          <w:rFonts w:cs="Arial"/>
          <w:szCs w:val="20"/>
          <w:lang w:val="en-GB"/>
        </w:rPr>
        <w:t>ECC R</w:t>
      </w:r>
      <w:r>
        <w:rPr>
          <w:rFonts w:cs="Arial"/>
          <w:szCs w:val="20"/>
          <w:lang w:val="en-GB"/>
        </w:rPr>
        <w:t xml:space="preserve">ecommendation covers retail Internet access services </w:t>
      </w:r>
      <w:r w:rsidR="005B22CA">
        <w:rPr>
          <w:rFonts w:cs="Arial"/>
          <w:szCs w:val="20"/>
          <w:lang w:val="en-GB"/>
        </w:rPr>
        <w:t>provided by fixed network</w:t>
      </w:r>
      <w:r w:rsidR="00960F2C">
        <w:rPr>
          <w:rFonts w:cs="Arial"/>
          <w:szCs w:val="20"/>
          <w:lang w:val="en-GB"/>
        </w:rPr>
        <w:t>s</w:t>
      </w:r>
      <w:r>
        <w:rPr>
          <w:rFonts w:cs="Arial"/>
          <w:szCs w:val="20"/>
          <w:lang w:val="en-GB"/>
        </w:rPr>
        <w:t xml:space="preserve"> </w:t>
      </w:r>
      <w:r w:rsidR="00960F2C">
        <w:rPr>
          <w:rFonts w:cs="Arial"/>
          <w:szCs w:val="20"/>
          <w:lang w:val="en-GB"/>
        </w:rPr>
        <w:t>and/or</w:t>
      </w:r>
      <w:r>
        <w:rPr>
          <w:rFonts w:cs="Arial"/>
          <w:szCs w:val="20"/>
          <w:lang w:val="en-GB"/>
        </w:rPr>
        <w:t xml:space="preserve"> wireless access services</w:t>
      </w:r>
      <w:r w:rsidR="005B22CA">
        <w:rPr>
          <w:rFonts w:cs="Arial"/>
          <w:szCs w:val="20"/>
          <w:lang w:val="en-GB"/>
        </w:rPr>
        <w:t xml:space="preserve"> provided at a fixed location</w:t>
      </w:r>
      <w:r>
        <w:rPr>
          <w:rFonts w:cs="Arial"/>
          <w:szCs w:val="20"/>
          <w:lang w:val="en-GB"/>
        </w:rPr>
        <w:t>.</w:t>
      </w:r>
    </w:p>
    <w:p w14:paraId="3C0C424C" w14:textId="77777777" w:rsidR="00A73402" w:rsidRDefault="00A73402" w:rsidP="005801F7">
      <w:pPr>
        <w:spacing w:before="120" w:after="120"/>
        <w:jc w:val="both"/>
        <w:rPr>
          <w:rFonts w:cs="Arial"/>
          <w:szCs w:val="20"/>
          <w:lang w:val="en-GB"/>
        </w:rPr>
      </w:pPr>
    </w:p>
    <w:p w14:paraId="3D583B92" w14:textId="77777777" w:rsidR="00EB5CB6" w:rsidRDefault="00EB5CB6" w:rsidP="005801F7">
      <w:pPr>
        <w:spacing w:before="120" w:after="120"/>
        <w:jc w:val="both"/>
        <w:rPr>
          <w:lang w:val="en-GB"/>
        </w:rPr>
      </w:pPr>
      <w:r>
        <w:rPr>
          <w:lang w:val="en-GB"/>
        </w:rPr>
        <w:br w:type="page"/>
      </w:r>
    </w:p>
    <w:p w14:paraId="7CF22155" w14:textId="66B82025" w:rsidR="00E92E5A" w:rsidRPr="00FE1795" w:rsidRDefault="00E92E5A" w:rsidP="00E92E5A">
      <w:pPr>
        <w:pStyle w:val="Heading1"/>
      </w:pPr>
      <w:r w:rsidRPr="00FE1795">
        <w:lastRenderedPageBreak/>
        <w:t xml:space="preserve">ECC recommendation </w:t>
      </w:r>
      <w:r>
        <w:t xml:space="preserve">15(03) </w:t>
      </w:r>
      <w:r w:rsidRPr="00FE1795">
        <w:t xml:space="preserve">of </w:t>
      </w:r>
      <w:r w:rsidR="00BC4541">
        <w:t>23/04/201</w:t>
      </w:r>
      <w:r w:rsidR="000E551C">
        <w:t>5</w:t>
      </w:r>
      <w:r>
        <w:t xml:space="preserve"> </w:t>
      </w:r>
      <w:r w:rsidRPr="00FE1795">
        <w:t xml:space="preserve">on </w:t>
      </w:r>
      <w:r>
        <w:t xml:space="preserve">Provision of Comparable Information on </w:t>
      </w:r>
      <w:r w:rsidR="00C9587F">
        <w:t>FIXED</w:t>
      </w:r>
      <w:r>
        <w:t xml:space="preserve"> Retail Internet Access Service Quality</w:t>
      </w:r>
      <w:r w:rsidR="00322929">
        <w:t>,</w:t>
      </w:r>
      <w:r w:rsidR="00A43D77">
        <w:t xml:space="preserve"> amended 28/11/2018</w:t>
      </w:r>
    </w:p>
    <w:p w14:paraId="6FF5BD27" w14:textId="77777777" w:rsidR="00E92E5A" w:rsidRDefault="00E92E5A" w:rsidP="00E92E5A">
      <w:pPr>
        <w:pStyle w:val="ECCParagraph"/>
      </w:pPr>
      <w:r>
        <w:t>“The European Conference of Postal and Telecommunications Administrations,</w:t>
      </w:r>
    </w:p>
    <w:p w14:paraId="41666400" w14:textId="77777777" w:rsidR="00052239" w:rsidRPr="005801F7" w:rsidRDefault="00052239" w:rsidP="00844086">
      <w:pPr>
        <w:rPr>
          <w:i/>
          <w:color w:val="C00000"/>
        </w:rPr>
      </w:pPr>
      <w:r w:rsidRPr="005801F7">
        <w:rPr>
          <w:i/>
          <w:color w:val="C00000"/>
        </w:rPr>
        <w:t>following</w:t>
      </w:r>
    </w:p>
    <w:p w14:paraId="10171DF5" w14:textId="77777777" w:rsidR="00052239" w:rsidRDefault="00052239" w:rsidP="00844086">
      <w:pPr>
        <w:rPr>
          <w:i/>
        </w:rPr>
      </w:pPr>
    </w:p>
    <w:p w14:paraId="61E4FE31" w14:textId="77777777" w:rsidR="00052239" w:rsidRPr="0041668D" w:rsidRDefault="0041668D" w:rsidP="005801F7">
      <w:pPr>
        <w:pStyle w:val="ECCParBulleted"/>
        <w:numPr>
          <w:ilvl w:val="0"/>
          <w:numId w:val="19"/>
        </w:numPr>
        <w:ind w:left="426" w:hanging="426"/>
        <w:rPr>
          <w:i/>
        </w:rPr>
      </w:pPr>
      <w:r>
        <w:t xml:space="preserve">The adoption of </w:t>
      </w:r>
      <w:r w:rsidR="00052239">
        <w:t>ECC Report 195 “Minimum Set of Quality of Service Parameters and Measurement Methods for Retail Internet Access Services”</w:t>
      </w:r>
    </w:p>
    <w:p w14:paraId="28F894DD" w14:textId="77777777" w:rsidR="00052239" w:rsidRDefault="00052239" w:rsidP="00926560"/>
    <w:p w14:paraId="6373ADD0" w14:textId="77777777" w:rsidR="00076647" w:rsidRDefault="00076647" w:rsidP="00926560"/>
    <w:p w14:paraId="67DFE1FF" w14:textId="77777777" w:rsidR="009945E7" w:rsidRPr="005801F7" w:rsidRDefault="00052239" w:rsidP="00926560">
      <w:pPr>
        <w:rPr>
          <w:rStyle w:val="st"/>
          <w:i/>
          <w:color w:val="C00000"/>
        </w:rPr>
      </w:pPr>
      <w:r w:rsidRPr="005801F7">
        <w:rPr>
          <w:rStyle w:val="st"/>
          <w:i/>
          <w:color w:val="C00000"/>
        </w:rPr>
        <w:t>taking into account</w:t>
      </w:r>
    </w:p>
    <w:p w14:paraId="12EDE0E3" w14:textId="77777777" w:rsidR="00076647" w:rsidRDefault="00076647" w:rsidP="00926560">
      <w:pPr>
        <w:rPr>
          <w:i/>
          <w:color w:val="D2232A"/>
        </w:rPr>
      </w:pPr>
    </w:p>
    <w:p w14:paraId="4AD9117F" w14:textId="77777777" w:rsidR="008D56C0" w:rsidRDefault="009945E7" w:rsidP="0023264E">
      <w:pPr>
        <w:pStyle w:val="reference"/>
        <w:numPr>
          <w:ilvl w:val="0"/>
          <w:numId w:val="5"/>
        </w:numPr>
        <w:jc w:val="both"/>
      </w:pPr>
      <w:r>
        <w:t>Directive 2002/22/EC</w:t>
      </w:r>
      <w:r w:rsidR="0053363D">
        <w:t xml:space="preserve"> (</w:t>
      </w:r>
      <w:r w:rsidR="0041668D">
        <w:t xml:space="preserve">as amended by </w:t>
      </w:r>
      <w:r w:rsidR="0053363D">
        <w:t xml:space="preserve">Directive </w:t>
      </w:r>
      <w:r w:rsidR="0041668D">
        <w:t>2009/136/EC</w:t>
      </w:r>
      <w:r w:rsidR="0053363D">
        <w:t>)</w:t>
      </w:r>
      <w:r w:rsidR="0041668D">
        <w:t xml:space="preserve"> </w:t>
      </w:r>
      <w:r>
        <w:t>of the European Parliament and of the Council of 7 March 2002 on universal service and users’ rights relating to electronic communication</w:t>
      </w:r>
      <w:r w:rsidR="001C5345">
        <w:t>s</w:t>
      </w:r>
      <w:r>
        <w:t xml:space="preserve"> networks and services (Universal Service Directive)</w:t>
      </w:r>
      <w:r w:rsidR="0049269F">
        <w:t>.</w:t>
      </w:r>
    </w:p>
    <w:p w14:paraId="04811559" w14:textId="77777777" w:rsidR="008D56C0" w:rsidRDefault="001C5345" w:rsidP="0023264E">
      <w:pPr>
        <w:pStyle w:val="reference"/>
        <w:numPr>
          <w:ilvl w:val="0"/>
          <w:numId w:val="5"/>
        </w:numPr>
        <w:jc w:val="both"/>
      </w:pPr>
      <w:r>
        <w:t>Directive 2002/58/EC</w:t>
      </w:r>
      <w:r w:rsidR="0053363D">
        <w:t xml:space="preserve"> (</w:t>
      </w:r>
      <w:r w:rsidR="0041668D">
        <w:t xml:space="preserve">as amended by </w:t>
      </w:r>
      <w:r w:rsidR="0041668D" w:rsidRPr="0041668D">
        <w:t>Directive 2006/24/EC and Directive 2009/136/EC</w:t>
      </w:r>
      <w:r w:rsidR="0053363D">
        <w:t xml:space="preserve">) </w:t>
      </w:r>
      <w:r>
        <w:t xml:space="preserve">concerning the processing of personal data and the protection of privacy in the electronic communications sector </w:t>
      </w:r>
      <w:r w:rsidR="0041668D">
        <w:t>(</w:t>
      </w:r>
      <w:r w:rsidR="0041668D" w:rsidRPr="0041668D">
        <w:t>Directive on privac</w:t>
      </w:r>
      <w:r w:rsidR="0041668D">
        <w:t>y and electronic communications)</w:t>
      </w:r>
      <w:r w:rsidR="0049269F">
        <w:t>.</w:t>
      </w:r>
    </w:p>
    <w:p w14:paraId="671CB37F" w14:textId="77777777" w:rsidR="008D56C0" w:rsidRDefault="0053363D" w:rsidP="0023264E">
      <w:pPr>
        <w:pStyle w:val="reference"/>
        <w:numPr>
          <w:ilvl w:val="0"/>
          <w:numId w:val="5"/>
        </w:numPr>
        <w:jc w:val="both"/>
      </w:pPr>
      <w:r w:rsidRPr="0053363D">
        <w:t>Regulation (EC) No 2006/2004</w:t>
      </w:r>
      <w:r>
        <w:t xml:space="preserve"> (as amended by Regulation (EC) No 2006/2004 and</w:t>
      </w:r>
      <w:r w:rsidRPr="0053363D">
        <w:t xml:space="preserve"> Regulation (EU) No 954/2011) of the European Parliament and of the Council of 27 October 2004 on cooperation between national authorities responsible for the enforcement o</w:t>
      </w:r>
      <w:r>
        <w:t>f consumer protection laws (</w:t>
      </w:r>
      <w:r w:rsidRPr="0053363D">
        <w:t>Regulation on consumer protection cooperation)</w:t>
      </w:r>
      <w:r w:rsidR="0049269F">
        <w:t>.</w:t>
      </w:r>
    </w:p>
    <w:p w14:paraId="531F09DE" w14:textId="77777777" w:rsidR="002A218F" w:rsidRDefault="002A218F" w:rsidP="0023264E">
      <w:pPr>
        <w:pStyle w:val="reference"/>
        <w:numPr>
          <w:ilvl w:val="0"/>
          <w:numId w:val="5"/>
        </w:numPr>
        <w:jc w:val="both"/>
      </w:pPr>
      <w:r>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p>
    <w:p w14:paraId="68CA77B7" w14:textId="77777777" w:rsidR="00844086" w:rsidRDefault="008D56C0" w:rsidP="0023264E">
      <w:pPr>
        <w:pStyle w:val="reference"/>
        <w:numPr>
          <w:ilvl w:val="0"/>
          <w:numId w:val="5"/>
        </w:numPr>
        <w:jc w:val="both"/>
      </w:pPr>
      <w:r>
        <w:t>E</w:t>
      </w:r>
      <w:r w:rsidR="00A27D73">
        <w:t xml:space="preserve">TSI EG 202 057-4 V1.2.1 (2008-07) Speech Processing, Transmission and Quality Aspects (STQ); User related QoS parameter definitions and measurements; Part 4: Internet access. </w:t>
      </w:r>
      <w:r w:rsidR="00A27D73" w:rsidDel="00A27D73">
        <w:t xml:space="preserve"> </w:t>
      </w:r>
    </w:p>
    <w:p w14:paraId="3A5FA12A" w14:textId="77777777" w:rsidR="00890311" w:rsidRPr="00890311" w:rsidRDefault="00880147" w:rsidP="0023264E">
      <w:pPr>
        <w:pStyle w:val="reference"/>
        <w:numPr>
          <w:ilvl w:val="0"/>
          <w:numId w:val="5"/>
        </w:numPr>
        <w:jc w:val="both"/>
      </w:pPr>
      <w:r w:rsidRPr="00890311">
        <w:t>ITU-T Recommendation Y.1540 (03/2011) Internet protocol aspects – Quality of service and network performance; Internet protocol data communication service –IP packet transfer and availability performance parameters.</w:t>
      </w:r>
      <w:r w:rsidRPr="00890311" w:rsidDel="00880147">
        <w:t xml:space="preserve"> </w:t>
      </w:r>
    </w:p>
    <w:p w14:paraId="01B6A180" w14:textId="77777777" w:rsidR="00052239" w:rsidRPr="00890311" w:rsidRDefault="00880147" w:rsidP="0023264E">
      <w:pPr>
        <w:pStyle w:val="reference"/>
        <w:numPr>
          <w:ilvl w:val="0"/>
          <w:numId w:val="5"/>
        </w:numPr>
        <w:jc w:val="both"/>
      </w:pPr>
      <w:r w:rsidRPr="00890311">
        <w:t>ITU-T Recommendation Y.1541 (12/11) Internet protocol aspects – Quality of service and network performance; Network performance objectives for IP-based services.</w:t>
      </w:r>
      <w:r w:rsidRPr="00890311" w:rsidDel="00880147">
        <w:t xml:space="preserve"> </w:t>
      </w:r>
    </w:p>
    <w:p w14:paraId="565E6BCA" w14:textId="77777777" w:rsidR="00B0499F" w:rsidRDefault="00B0499F" w:rsidP="0023264E">
      <w:pPr>
        <w:pStyle w:val="reference"/>
        <w:numPr>
          <w:ilvl w:val="0"/>
          <w:numId w:val="5"/>
        </w:numPr>
        <w:jc w:val="both"/>
      </w:pPr>
      <w:r w:rsidRPr="00B0499F">
        <w:t>BEREC, A framework for quality of service in the scope of net neutrality, Document no. BoR (11) 53, 2011</w:t>
      </w:r>
      <w:r w:rsidR="0049269F">
        <w:t>.</w:t>
      </w:r>
    </w:p>
    <w:p w14:paraId="7F59F860" w14:textId="77777777" w:rsidR="003E3702" w:rsidRDefault="00B0499F" w:rsidP="0023264E">
      <w:pPr>
        <w:pStyle w:val="reference"/>
        <w:numPr>
          <w:ilvl w:val="0"/>
          <w:numId w:val="5"/>
        </w:numPr>
        <w:jc w:val="both"/>
      </w:pPr>
      <w:r w:rsidRPr="00B0499F">
        <w:t>BEREC, Guidelines for quality of service in the scope of net neutrality, Document no. BoR (12) 131, 2012</w:t>
      </w:r>
      <w:r w:rsidR="0049269F">
        <w:t>.</w:t>
      </w:r>
    </w:p>
    <w:p w14:paraId="399A8378" w14:textId="77777777" w:rsidR="00CC03C8" w:rsidRPr="00CC03C8" w:rsidRDefault="003E3702" w:rsidP="0023264E">
      <w:pPr>
        <w:pStyle w:val="reference"/>
        <w:numPr>
          <w:ilvl w:val="0"/>
          <w:numId w:val="5"/>
        </w:numPr>
        <w:jc w:val="both"/>
        <w:rPr>
          <w:szCs w:val="20"/>
        </w:rPr>
      </w:pPr>
      <w:r>
        <w:t>BEREC</w:t>
      </w:r>
      <w:r w:rsidR="00857FD2">
        <w:t xml:space="preserve">, </w:t>
      </w:r>
      <w:r w:rsidR="00B0499F">
        <w:t>R</w:t>
      </w:r>
      <w:r>
        <w:t xml:space="preserve">eport </w:t>
      </w:r>
      <w:r w:rsidR="00B0499F">
        <w:t>on m</w:t>
      </w:r>
      <w:r>
        <w:t>onitoring quality of Internet access services in the context of net neutrality</w:t>
      </w:r>
      <w:r w:rsidR="00857FD2">
        <w:t xml:space="preserve">, Document no. </w:t>
      </w:r>
      <w:r w:rsidR="00857FD2" w:rsidRPr="00857FD2">
        <w:t>BoR (14) 117</w:t>
      </w:r>
      <w:r w:rsidR="00857FD2">
        <w:t xml:space="preserve"> 2014.</w:t>
      </w:r>
      <w:r>
        <w:t xml:space="preserve"> </w:t>
      </w:r>
    </w:p>
    <w:p w14:paraId="77B27186" w14:textId="77777777" w:rsidR="002A218F" w:rsidRDefault="002A218F" w:rsidP="0023264E">
      <w:pPr>
        <w:pStyle w:val="reference"/>
        <w:numPr>
          <w:ilvl w:val="0"/>
          <w:numId w:val="5"/>
        </w:numPr>
        <w:jc w:val="both"/>
      </w:pPr>
      <w:r>
        <w:t>BEREC Guidelines on the Implementation by National Regulators of European Net Neutrality Rules,</w:t>
      </w:r>
      <w:r w:rsidRPr="00691000">
        <w:t xml:space="preserve"> </w:t>
      </w:r>
      <w:r w:rsidRPr="00B0499F">
        <w:t>Document no.</w:t>
      </w:r>
      <w:r>
        <w:t xml:space="preserve"> </w:t>
      </w:r>
      <w:r w:rsidRPr="00691000">
        <w:t>BoR (16) 127</w:t>
      </w:r>
      <w:r>
        <w:t>, 2016.</w:t>
      </w:r>
    </w:p>
    <w:p w14:paraId="13BA2734" w14:textId="5C306364" w:rsidR="002A218F" w:rsidRPr="00A648D0" w:rsidRDefault="002A218F" w:rsidP="0023264E">
      <w:pPr>
        <w:pStyle w:val="reference"/>
        <w:numPr>
          <w:ilvl w:val="0"/>
          <w:numId w:val="5"/>
        </w:numPr>
        <w:jc w:val="both"/>
        <w:rPr>
          <w:szCs w:val="20"/>
        </w:rPr>
      </w:pPr>
      <w:r>
        <w:t>BEREC Net Neutrality Regulatory Assessment Methodology, Document no. BoR</w:t>
      </w:r>
      <w:r w:rsidR="00E04621">
        <w:t xml:space="preserve"> </w:t>
      </w:r>
      <w:r>
        <w:t>(17) 178, 2017.</w:t>
      </w:r>
    </w:p>
    <w:p w14:paraId="677EC3BD" w14:textId="5FA5ED85" w:rsidR="00844086" w:rsidRPr="00414203" w:rsidRDefault="00414203" w:rsidP="0023264E">
      <w:pPr>
        <w:pStyle w:val="reference"/>
        <w:numPr>
          <w:ilvl w:val="0"/>
          <w:numId w:val="5"/>
        </w:numPr>
        <w:jc w:val="both"/>
        <w:rPr>
          <w:szCs w:val="20"/>
        </w:rPr>
      </w:pPr>
      <w:r>
        <w:rPr>
          <w:szCs w:val="20"/>
        </w:rPr>
        <w:t>C</w:t>
      </w:r>
      <w:r w:rsidRPr="00890311">
        <w:rPr>
          <w:szCs w:val="20"/>
        </w:rPr>
        <w:t xml:space="preserve">ommunication from the </w:t>
      </w:r>
      <w:r>
        <w:rPr>
          <w:szCs w:val="20"/>
        </w:rPr>
        <w:t>C</w:t>
      </w:r>
      <w:r w:rsidRPr="00890311">
        <w:rPr>
          <w:szCs w:val="20"/>
        </w:rPr>
        <w:t xml:space="preserve">ommission to the </w:t>
      </w:r>
      <w:r>
        <w:rPr>
          <w:szCs w:val="20"/>
        </w:rPr>
        <w:t>E</w:t>
      </w:r>
      <w:r w:rsidRPr="00890311">
        <w:rPr>
          <w:szCs w:val="20"/>
        </w:rPr>
        <w:t xml:space="preserve">uropean </w:t>
      </w:r>
      <w:r>
        <w:rPr>
          <w:szCs w:val="20"/>
        </w:rPr>
        <w:t>P</w:t>
      </w:r>
      <w:r w:rsidRPr="00890311">
        <w:rPr>
          <w:szCs w:val="20"/>
        </w:rPr>
        <w:t xml:space="preserve">arliament, the </w:t>
      </w:r>
      <w:r>
        <w:rPr>
          <w:szCs w:val="20"/>
        </w:rPr>
        <w:t>C</w:t>
      </w:r>
      <w:r w:rsidRPr="00890311">
        <w:rPr>
          <w:szCs w:val="20"/>
        </w:rPr>
        <w:t xml:space="preserve">ouncil, the </w:t>
      </w:r>
      <w:r>
        <w:rPr>
          <w:szCs w:val="20"/>
        </w:rPr>
        <w:t>E</w:t>
      </w:r>
      <w:r w:rsidRPr="00890311">
        <w:rPr>
          <w:szCs w:val="20"/>
        </w:rPr>
        <w:t xml:space="preserve">uropean </w:t>
      </w:r>
      <w:r>
        <w:rPr>
          <w:szCs w:val="20"/>
        </w:rPr>
        <w:t>E</w:t>
      </w:r>
      <w:r w:rsidRPr="00890311">
        <w:rPr>
          <w:szCs w:val="20"/>
        </w:rPr>
        <w:t xml:space="preserve">conomic and </w:t>
      </w:r>
      <w:r>
        <w:rPr>
          <w:szCs w:val="20"/>
        </w:rPr>
        <w:t>S</w:t>
      </w:r>
      <w:r w:rsidRPr="00890311">
        <w:rPr>
          <w:szCs w:val="20"/>
        </w:rPr>
        <w:t xml:space="preserve">ocial </w:t>
      </w:r>
      <w:r>
        <w:rPr>
          <w:szCs w:val="20"/>
        </w:rPr>
        <w:t>C</w:t>
      </w:r>
      <w:r w:rsidRPr="00890311">
        <w:rPr>
          <w:szCs w:val="20"/>
        </w:rPr>
        <w:t xml:space="preserve">ommittee and the </w:t>
      </w:r>
      <w:r>
        <w:rPr>
          <w:szCs w:val="20"/>
        </w:rPr>
        <w:t>C</w:t>
      </w:r>
      <w:r w:rsidRPr="00890311">
        <w:rPr>
          <w:szCs w:val="20"/>
        </w:rPr>
        <w:t xml:space="preserve">ommittee of the </w:t>
      </w:r>
      <w:r>
        <w:rPr>
          <w:szCs w:val="20"/>
        </w:rPr>
        <w:t>R</w:t>
      </w:r>
      <w:r w:rsidRPr="00890311">
        <w:rPr>
          <w:szCs w:val="20"/>
        </w:rPr>
        <w:t xml:space="preserve">egions </w:t>
      </w:r>
      <w:r>
        <w:rPr>
          <w:szCs w:val="20"/>
        </w:rPr>
        <w:t>“A</w:t>
      </w:r>
      <w:r w:rsidRPr="00890311">
        <w:rPr>
          <w:szCs w:val="20"/>
        </w:rPr>
        <w:t xml:space="preserve"> </w:t>
      </w:r>
      <w:r w:rsidR="00E04621">
        <w:rPr>
          <w:szCs w:val="20"/>
        </w:rPr>
        <w:t>D</w:t>
      </w:r>
      <w:r w:rsidRPr="00890311">
        <w:rPr>
          <w:szCs w:val="20"/>
        </w:rPr>
        <w:t xml:space="preserve">igital </w:t>
      </w:r>
      <w:r w:rsidR="00E04621">
        <w:rPr>
          <w:szCs w:val="20"/>
        </w:rPr>
        <w:t>A</w:t>
      </w:r>
      <w:r w:rsidRPr="00890311">
        <w:rPr>
          <w:szCs w:val="20"/>
        </w:rPr>
        <w:t xml:space="preserve">genda for </w:t>
      </w:r>
      <w:r>
        <w:rPr>
          <w:szCs w:val="20"/>
        </w:rPr>
        <w:t>E</w:t>
      </w:r>
      <w:r w:rsidRPr="00890311">
        <w:rPr>
          <w:szCs w:val="20"/>
        </w:rPr>
        <w:t>urope</w:t>
      </w:r>
      <w:r>
        <w:rPr>
          <w:szCs w:val="20"/>
        </w:rPr>
        <w:t>”</w:t>
      </w:r>
      <w:r w:rsidRPr="00414203">
        <w:rPr>
          <w:szCs w:val="20"/>
        </w:rPr>
        <w:t xml:space="preserve"> COM(2010) 245 final/2</w:t>
      </w:r>
      <w:r w:rsidR="0049269F">
        <w:rPr>
          <w:szCs w:val="20"/>
        </w:rPr>
        <w:t>.</w:t>
      </w:r>
    </w:p>
    <w:p w14:paraId="05281F4D" w14:textId="77777777" w:rsidR="00B3730E" w:rsidRDefault="00B3730E" w:rsidP="00926560">
      <w:pPr>
        <w:rPr>
          <w:rStyle w:val="st"/>
          <w:szCs w:val="20"/>
        </w:rPr>
      </w:pPr>
    </w:p>
    <w:p w14:paraId="6F458730" w14:textId="77777777" w:rsidR="00E92E5A" w:rsidRPr="00890311" w:rsidRDefault="00E92E5A" w:rsidP="00926560">
      <w:pPr>
        <w:rPr>
          <w:rStyle w:val="st"/>
          <w:szCs w:val="20"/>
        </w:rPr>
      </w:pPr>
    </w:p>
    <w:p w14:paraId="596041CF" w14:textId="77777777" w:rsidR="00B3730E" w:rsidRPr="005801F7" w:rsidRDefault="00E21475" w:rsidP="00926560">
      <w:pPr>
        <w:rPr>
          <w:rStyle w:val="st"/>
          <w:i/>
          <w:color w:val="C00000"/>
        </w:rPr>
      </w:pPr>
      <w:r w:rsidRPr="005801F7">
        <w:rPr>
          <w:rStyle w:val="st"/>
          <w:i/>
          <w:color w:val="C00000"/>
        </w:rPr>
        <w:t>considering</w:t>
      </w:r>
    </w:p>
    <w:p w14:paraId="5CC98853" w14:textId="77777777" w:rsidR="00076647" w:rsidRPr="00926560" w:rsidRDefault="00076647" w:rsidP="00926560">
      <w:pPr>
        <w:rPr>
          <w:rStyle w:val="st"/>
          <w:i/>
        </w:rPr>
      </w:pPr>
    </w:p>
    <w:p w14:paraId="3A7FC819" w14:textId="77777777" w:rsidR="00B3730E" w:rsidRDefault="00BA7CD0" w:rsidP="006B6250">
      <w:pPr>
        <w:pStyle w:val="LetteredList"/>
        <w:numPr>
          <w:ilvl w:val="0"/>
          <w:numId w:val="8"/>
        </w:numPr>
        <w:rPr>
          <w:lang w:val="en-GB"/>
        </w:rPr>
      </w:pPr>
      <w:r>
        <w:rPr>
          <w:lang w:val="en-GB"/>
        </w:rPr>
        <w:t xml:space="preserve">That the importance and relevance of the Internet and networks using Internet Protocol </w:t>
      </w:r>
      <w:r w:rsidR="008D56C0">
        <w:rPr>
          <w:lang w:val="en-GB"/>
        </w:rPr>
        <w:t>are</w:t>
      </w:r>
      <w:r>
        <w:rPr>
          <w:lang w:val="en-GB"/>
        </w:rPr>
        <w:t xml:space="preserve"> increasing.</w:t>
      </w:r>
    </w:p>
    <w:p w14:paraId="532C28CB" w14:textId="77777777" w:rsidR="008804B9" w:rsidRDefault="00BA7CD0" w:rsidP="006B6250">
      <w:pPr>
        <w:pStyle w:val="LetteredList"/>
        <w:numPr>
          <w:ilvl w:val="0"/>
          <w:numId w:val="8"/>
        </w:numPr>
        <w:rPr>
          <w:lang w:val="en-GB"/>
        </w:rPr>
      </w:pPr>
      <w:r>
        <w:rPr>
          <w:lang w:val="en-GB"/>
        </w:rPr>
        <w:t xml:space="preserve">That the number of applications and services relying on a sufficient </w:t>
      </w:r>
      <w:r w:rsidR="00801540">
        <w:rPr>
          <w:lang w:val="en-GB"/>
        </w:rPr>
        <w:t>I</w:t>
      </w:r>
      <w:r w:rsidR="00232450">
        <w:rPr>
          <w:lang w:val="en-GB"/>
        </w:rPr>
        <w:t xml:space="preserve">nternet </w:t>
      </w:r>
      <w:r w:rsidR="00801540">
        <w:rPr>
          <w:lang w:val="en-GB"/>
        </w:rPr>
        <w:t>A</w:t>
      </w:r>
      <w:r w:rsidR="00232450">
        <w:rPr>
          <w:lang w:val="en-GB"/>
        </w:rPr>
        <w:t xml:space="preserve">ccess </w:t>
      </w:r>
      <w:r w:rsidR="00801540">
        <w:rPr>
          <w:lang w:val="en-GB"/>
        </w:rPr>
        <w:t>S</w:t>
      </w:r>
      <w:r w:rsidR="00232450">
        <w:rPr>
          <w:lang w:val="en-GB"/>
        </w:rPr>
        <w:t xml:space="preserve">ervice </w:t>
      </w:r>
      <w:r w:rsidR="008D56C0">
        <w:rPr>
          <w:lang w:val="en-GB"/>
        </w:rPr>
        <w:t>Q</w:t>
      </w:r>
      <w:r w:rsidR="00232450">
        <w:rPr>
          <w:lang w:val="en-GB"/>
        </w:rPr>
        <w:t>uality (IASQ)</w:t>
      </w:r>
      <w:r>
        <w:rPr>
          <w:lang w:val="en-GB"/>
        </w:rPr>
        <w:t xml:space="preserve"> is growing.</w:t>
      </w:r>
    </w:p>
    <w:p w14:paraId="6025D90C" w14:textId="77777777" w:rsidR="008804B9" w:rsidRDefault="003B3C86" w:rsidP="006B6250">
      <w:pPr>
        <w:pStyle w:val="LetteredList"/>
        <w:numPr>
          <w:ilvl w:val="0"/>
          <w:numId w:val="8"/>
        </w:numPr>
        <w:rPr>
          <w:lang w:val="en-GB"/>
        </w:rPr>
      </w:pPr>
      <w:r>
        <w:rPr>
          <w:lang w:val="en-GB"/>
        </w:rPr>
        <w:t>That</w:t>
      </w:r>
      <w:r w:rsidR="008D56C0">
        <w:rPr>
          <w:lang w:val="en-GB"/>
        </w:rPr>
        <w:t>,</w:t>
      </w:r>
      <w:r>
        <w:rPr>
          <w:lang w:val="en-GB"/>
        </w:rPr>
        <w:t xml:space="preserve"> w</w:t>
      </w:r>
      <w:r w:rsidR="00E21475">
        <w:rPr>
          <w:lang w:val="en-GB"/>
        </w:rPr>
        <w:t>ith a degree of trust</w:t>
      </w:r>
      <w:r w:rsidR="008D56C0">
        <w:rPr>
          <w:lang w:val="en-GB"/>
        </w:rPr>
        <w:t xml:space="preserve">, information relating to the </w:t>
      </w:r>
      <w:r w:rsidR="00E21475">
        <w:rPr>
          <w:lang w:val="en-GB"/>
        </w:rPr>
        <w:t xml:space="preserve">performance of a network should be stated in a transparent, comparable and understandable form </w:t>
      </w:r>
      <w:r w:rsidR="008D56C0">
        <w:rPr>
          <w:lang w:val="en-GB"/>
        </w:rPr>
        <w:t>in order to help consumers to make</w:t>
      </w:r>
      <w:r w:rsidR="00E21475">
        <w:rPr>
          <w:lang w:val="en-GB"/>
        </w:rPr>
        <w:t xml:space="preserve"> well</w:t>
      </w:r>
      <w:r w:rsidR="00E5071A">
        <w:rPr>
          <w:lang w:val="en-GB"/>
        </w:rPr>
        <w:t>-</w:t>
      </w:r>
      <w:r w:rsidR="00E21475">
        <w:rPr>
          <w:lang w:val="en-GB"/>
        </w:rPr>
        <w:t>informed choice</w:t>
      </w:r>
      <w:r w:rsidR="008D56C0">
        <w:rPr>
          <w:lang w:val="en-GB"/>
        </w:rPr>
        <w:t>s</w:t>
      </w:r>
      <w:r w:rsidR="00E21475">
        <w:rPr>
          <w:lang w:val="en-GB"/>
        </w:rPr>
        <w:t xml:space="preserve"> </w:t>
      </w:r>
      <w:r w:rsidR="008D56C0">
        <w:rPr>
          <w:lang w:val="en-GB"/>
        </w:rPr>
        <w:t>from the</w:t>
      </w:r>
      <w:r w:rsidR="00E21475">
        <w:rPr>
          <w:lang w:val="en-GB"/>
        </w:rPr>
        <w:t xml:space="preserve"> numerous </w:t>
      </w:r>
      <w:r w:rsidR="00232450">
        <w:rPr>
          <w:lang w:val="en-GB"/>
        </w:rPr>
        <w:t xml:space="preserve">Internet access </w:t>
      </w:r>
      <w:r w:rsidR="008D56C0">
        <w:rPr>
          <w:lang w:val="en-GB"/>
        </w:rPr>
        <w:t>services available on the market</w:t>
      </w:r>
      <w:r w:rsidR="00E21475">
        <w:rPr>
          <w:lang w:val="en-GB"/>
        </w:rPr>
        <w:t>.</w:t>
      </w:r>
    </w:p>
    <w:p w14:paraId="27049161" w14:textId="7B95E0A1" w:rsidR="00CA183A" w:rsidRDefault="003B3C86" w:rsidP="006B6250">
      <w:pPr>
        <w:pStyle w:val="LetteredList"/>
        <w:numPr>
          <w:ilvl w:val="0"/>
          <w:numId w:val="8"/>
        </w:numPr>
        <w:rPr>
          <w:lang w:val="en-GB"/>
        </w:rPr>
      </w:pPr>
      <w:r>
        <w:rPr>
          <w:lang w:val="en-GB"/>
        </w:rPr>
        <w:lastRenderedPageBreak/>
        <w:t xml:space="preserve">That the </w:t>
      </w:r>
      <w:r w:rsidR="008D56C0">
        <w:rPr>
          <w:lang w:val="en-GB"/>
        </w:rPr>
        <w:t xml:space="preserve">ongoing transformation of national level electronic communications markets to </w:t>
      </w:r>
      <w:r>
        <w:rPr>
          <w:lang w:val="en-GB"/>
        </w:rPr>
        <w:t xml:space="preserve">a </w:t>
      </w:r>
      <w:r w:rsidR="00CA183A">
        <w:rPr>
          <w:lang w:val="en-GB"/>
        </w:rPr>
        <w:t xml:space="preserve">European </w:t>
      </w:r>
      <w:r>
        <w:rPr>
          <w:lang w:val="en-GB"/>
        </w:rPr>
        <w:t>S</w:t>
      </w:r>
      <w:r w:rsidR="00CA183A">
        <w:rPr>
          <w:lang w:val="en-GB"/>
        </w:rPr>
        <w:t xml:space="preserve">ingle </w:t>
      </w:r>
      <w:r>
        <w:rPr>
          <w:lang w:val="en-GB"/>
        </w:rPr>
        <w:t>M</w:t>
      </w:r>
      <w:r w:rsidR="00CA183A">
        <w:rPr>
          <w:lang w:val="en-GB"/>
        </w:rPr>
        <w:t>arket</w:t>
      </w:r>
      <w:r>
        <w:rPr>
          <w:lang w:val="en-GB"/>
        </w:rPr>
        <w:t xml:space="preserve"> leads to a need for </w:t>
      </w:r>
      <w:r w:rsidR="008D56C0">
        <w:rPr>
          <w:lang w:val="en-GB"/>
        </w:rPr>
        <w:t xml:space="preserve">harmonised </w:t>
      </w:r>
      <w:r>
        <w:rPr>
          <w:lang w:val="en-GB"/>
        </w:rPr>
        <w:t>tools and</w:t>
      </w:r>
      <w:r w:rsidR="008D56C0">
        <w:rPr>
          <w:lang w:val="en-GB"/>
        </w:rPr>
        <w:t xml:space="preserve"> measurement</w:t>
      </w:r>
      <w:r>
        <w:rPr>
          <w:lang w:val="en-GB"/>
        </w:rPr>
        <w:t xml:space="preserve"> methods among the</w:t>
      </w:r>
      <w:r w:rsidR="008D56C0">
        <w:rPr>
          <w:lang w:val="en-GB"/>
        </w:rPr>
        <w:t xml:space="preserve"> different</w:t>
      </w:r>
      <w:r>
        <w:rPr>
          <w:lang w:val="en-GB"/>
        </w:rPr>
        <w:t xml:space="preserve"> </w:t>
      </w:r>
      <w:r w:rsidR="00E04621">
        <w:rPr>
          <w:lang w:val="en-GB"/>
        </w:rPr>
        <w:t>CEPT countries</w:t>
      </w:r>
      <w:r w:rsidR="005B1F59">
        <w:rPr>
          <w:lang w:val="en-GB"/>
        </w:rPr>
        <w:t>.</w:t>
      </w:r>
    </w:p>
    <w:p w14:paraId="7549FEEA" w14:textId="77777777" w:rsidR="00E21475" w:rsidRDefault="00D5296B" w:rsidP="006B6250">
      <w:pPr>
        <w:pStyle w:val="LetteredList"/>
        <w:numPr>
          <w:ilvl w:val="0"/>
          <w:numId w:val="8"/>
        </w:numPr>
        <w:rPr>
          <w:lang w:val="en-GB"/>
        </w:rPr>
      </w:pPr>
      <w:r>
        <w:rPr>
          <w:lang w:val="en-GB"/>
        </w:rPr>
        <w:t>That the policy objectives included in the Digital Agenda for Europe in relation to capacity need to be evaluated and verified</w:t>
      </w:r>
      <w:r w:rsidR="00801540">
        <w:rPr>
          <w:lang w:val="en-GB"/>
        </w:rPr>
        <w:t>.</w:t>
      </w:r>
    </w:p>
    <w:p w14:paraId="32C55E8E" w14:textId="3FD76E1C" w:rsidR="00E60CC9" w:rsidRDefault="00F73685" w:rsidP="006B6250">
      <w:pPr>
        <w:pStyle w:val="LetteredList"/>
        <w:numPr>
          <w:ilvl w:val="0"/>
          <w:numId w:val="8"/>
        </w:numPr>
        <w:rPr>
          <w:lang w:val="en-GB"/>
        </w:rPr>
      </w:pPr>
      <w:r>
        <w:rPr>
          <w:lang w:val="en-GB"/>
        </w:rPr>
        <w:t xml:space="preserve">That </w:t>
      </w:r>
      <w:r w:rsidR="00E60CC9">
        <w:rPr>
          <w:lang w:val="en-GB"/>
        </w:rPr>
        <w:t>Transmission Speed is the most important parameter for</w:t>
      </w:r>
      <w:r>
        <w:rPr>
          <w:lang w:val="en-GB"/>
        </w:rPr>
        <w:t xml:space="preserve"> the majority of end</w:t>
      </w:r>
      <w:r w:rsidR="004F161E">
        <w:rPr>
          <w:lang w:val="en-GB"/>
        </w:rPr>
        <w:t xml:space="preserve"> </w:t>
      </w:r>
      <w:r>
        <w:rPr>
          <w:lang w:val="en-GB"/>
        </w:rPr>
        <w:t xml:space="preserve">users regarding </w:t>
      </w:r>
      <w:r w:rsidR="00E60CC9">
        <w:rPr>
          <w:lang w:val="en-GB"/>
        </w:rPr>
        <w:t xml:space="preserve">the </w:t>
      </w:r>
      <w:r>
        <w:rPr>
          <w:lang w:val="en-GB"/>
        </w:rPr>
        <w:t xml:space="preserve">technical </w:t>
      </w:r>
      <w:r w:rsidR="00E60CC9">
        <w:rPr>
          <w:lang w:val="en-GB"/>
        </w:rPr>
        <w:t>characteristic</w:t>
      </w:r>
      <w:r>
        <w:rPr>
          <w:lang w:val="en-GB"/>
        </w:rPr>
        <w:t xml:space="preserve">s of </w:t>
      </w:r>
      <w:r w:rsidR="00801540">
        <w:rPr>
          <w:lang w:val="en-GB"/>
        </w:rPr>
        <w:t xml:space="preserve">retail </w:t>
      </w:r>
      <w:r>
        <w:rPr>
          <w:lang w:val="en-GB"/>
        </w:rPr>
        <w:t>IAS</w:t>
      </w:r>
      <w:r w:rsidR="008D56C0">
        <w:rPr>
          <w:lang w:val="en-GB"/>
        </w:rPr>
        <w:t>Q</w:t>
      </w:r>
      <w:r w:rsidR="00801540">
        <w:rPr>
          <w:lang w:val="en-GB"/>
        </w:rPr>
        <w:t>.</w:t>
      </w:r>
    </w:p>
    <w:p w14:paraId="58C937B0" w14:textId="323527E7" w:rsidR="00E60CC9" w:rsidRDefault="00E60CC9" w:rsidP="006B6250">
      <w:pPr>
        <w:pStyle w:val="LetteredList"/>
        <w:numPr>
          <w:ilvl w:val="0"/>
          <w:numId w:val="8"/>
        </w:numPr>
        <w:rPr>
          <w:lang w:val="en-GB"/>
        </w:rPr>
      </w:pPr>
      <w:r>
        <w:rPr>
          <w:lang w:val="en-GB"/>
        </w:rPr>
        <w:t xml:space="preserve">That the set of </w:t>
      </w:r>
      <w:r w:rsidR="00F73685">
        <w:rPr>
          <w:lang w:val="en-GB"/>
        </w:rPr>
        <w:t xml:space="preserve">technical </w:t>
      </w:r>
      <w:r>
        <w:rPr>
          <w:lang w:val="en-GB"/>
        </w:rPr>
        <w:t>parameters such as Transmission Speed, Delay, Delay Variation</w:t>
      </w:r>
      <w:r w:rsidR="00D41B70">
        <w:rPr>
          <w:lang w:val="en-GB"/>
        </w:rPr>
        <w:t xml:space="preserve"> </w:t>
      </w:r>
      <w:r>
        <w:rPr>
          <w:lang w:val="en-GB"/>
        </w:rPr>
        <w:t xml:space="preserve">and Packet Loss Ratio provides sufficient information for assessing </w:t>
      </w:r>
      <w:r w:rsidR="00110A17">
        <w:rPr>
          <w:lang w:val="en-GB"/>
        </w:rPr>
        <w:t>fixed</w:t>
      </w:r>
      <w:r w:rsidR="004D765F">
        <w:rPr>
          <w:lang w:val="en-GB"/>
        </w:rPr>
        <w:t xml:space="preserve"> </w:t>
      </w:r>
      <w:r w:rsidR="00801540">
        <w:rPr>
          <w:lang w:val="en-GB"/>
        </w:rPr>
        <w:t xml:space="preserve">retail </w:t>
      </w:r>
      <w:r>
        <w:rPr>
          <w:lang w:val="en-GB"/>
        </w:rPr>
        <w:t>IAS</w:t>
      </w:r>
      <w:r w:rsidR="008D56C0">
        <w:rPr>
          <w:lang w:val="en-GB"/>
        </w:rPr>
        <w:t>Q</w:t>
      </w:r>
      <w:r w:rsidR="001063D0">
        <w:rPr>
          <w:rStyle w:val="FootnoteReference"/>
          <w:lang w:val="en-GB"/>
        </w:rPr>
        <w:footnoteReference w:id="2"/>
      </w:r>
      <w:r w:rsidR="00801540" w:rsidRPr="001063D0">
        <w:rPr>
          <w:lang w:val="en-GB"/>
        </w:rPr>
        <w:t>.</w:t>
      </w:r>
      <w:r w:rsidR="001063D0" w:rsidRPr="001063D0">
        <w:rPr>
          <w:lang w:val="en-GB"/>
        </w:rPr>
        <w:t xml:space="preserve"> </w:t>
      </w:r>
    </w:p>
    <w:p w14:paraId="3A6A4D6E" w14:textId="77777777" w:rsidR="00167D32" w:rsidRDefault="00167D32" w:rsidP="00501C5F">
      <w:pPr>
        <w:rPr>
          <w:lang w:val="en-GB"/>
        </w:rPr>
      </w:pPr>
    </w:p>
    <w:p w14:paraId="1B293D6B" w14:textId="77777777" w:rsidR="00D6651A" w:rsidRDefault="00D6651A" w:rsidP="00501C5F">
      <w:pPr>
        <w:rPr>
          <w:lang w:val="en-GB"/>
        </w:rPr>
      </w:pPr>
    </w:p>
    <w:p w14:paraId="1825FE27" w14:textId="3C489B0A" w:rsidR="00B3730E" w:rsidRPr="005801F7" w:rsidRDefault="0049269F" w:rsidP="005801F7">
      <w:pPr>
        <w:tabs>
          <w:tab w:val="left" w:pos="1741"/>
        </w:tabs>
        <w:rPr>
          <w:rStyle w:val="st"/>
          <w:i/>
          <w:color w:val="C00000"/>
        </w:rPr>
      </w:pPr>
      <w:r w:rsidRPr="00661865">
        <w:rPr>
          <w:rStyle w:val="st"/>
          <w:i/>
          <w:color w:val="D2232A"/>
          <w:lang w:val="en-GB"/>
        </w:rPr>
        <w:t>r</w:t>
      </w:r>
      <w:r w:rsidR="004E5674" w:rsidRPr="00661865">
        <w:rPr>
          <w:rStyle w:val="st"/>
          <w:i/>
          <w:color w:val="D2232A"/>
        </w:rPr>
        <w:t>ecommends</w:t>
      </w:r>
      <w:r w:rsidR="00232450" w:rsidRPr="00661865">
        <w:rPr>
          <w:rStyle w:val="st"/>
          <w:i/>
          <w:color w:val="D2232A"/>
        </w:rPr>
        <w:t xml:space="preserve"> that </w:t>
      </w:r>
      <w:r w:rsidR="00535994">
        <w:rPr>
          <w:rStyle w:val="st"/>
          <w:i/>
          <w:color w:val="D2232A"/>
        </w:rPr>
        <w:t>CEPT Administrations</w:t>
      </w:r>
      <w:r w:rsidR="00232450" w:rsidRPr="00661865">
        <w:rPr>
          <w:rStyle w:val="st"/>
          <w:i/>
          <w:color w:val="D2232A"/>
        </w:rPr>
        <w:t xml:space="preserve"> should, where appropriate, set guidelines or regulations for the provision of comparable information on </w:t>
      </w:r>
      <w:r w:rsidR="00110A17">
        <w:rPr>
          <w:rStyle w:val="st"/>
          <w:i/>
          <w:color w:val="C00000"/>
        </w:rPr>
        <w:t xml:space="preserve">fixed </w:t>
      </w:r>
      <w:r w:rsidR="004D765F">
        <w:rPr>
          <w:rStyle w:val="st"/>
          <w:i/>
          <w:color w:val="C00000"/>
        </w:rPr>
        <w:t xml:space="preserve">retail </w:t>
      </w:r>
      <w:r w:rsidR="00232450" w:rsidRPr="00661865">
        <w:rPr>
          <w:rStyle w:val="st"/>
          <w:i/>
          <w:color w:val="D2232A"/>
        </w:rPr>
        <w:t>IASQ</w:t>
      </w:r>
      <w:r w:rsidR="009912DA" w:rsidRPr="00661865">
        <w:rPr>
          <w:rStyle w:val="st"/>
          <w:i/>
          <w:color w:val="D2232A"/>
        </w:rPr>
        <w:t xml:space="preserve"> in accordance with the following principles</w:t>
      </w:r>
      <w:r w:rsidR="009912DA">
        <w:rPr>
          <w:rStyle w:val="st"/>
          <w:i/>
          <w:color w:val="C00000"/>
        </w:rPr>
        <w:t>:</w:t>
      </w:r>
      <w:r w:rsidR="00232450">
        <w:rPr>
          <w:rStyle w:val="st"/>
          <w:i/>
          <w:color w:val="C00000"/>
        </w:rPr>
        <w:t xml:space="preserve"> </w:t>
      </w:r>
    </w:p>
    <w:p w14:paraId="0493CE33" w14:textId="77777777" w:rsidR="00076647" w:rsidRPr="00501C5F" w:rsidRDefault="00076647" w:rsidP="00501C5F">
      <w:pPr>
        <w:rPr>
          <w:rStyle w:val="st"/>
          <w:i/>
        </w:rPr>
      </w:pPr>
    </w:p>
    <w:p w14:paraId="355A3E90" w14:textId="77777777" w:rsidR="00DC3766" w:rsidRDefault="00DC3766" w:rsidP="00DC3766">
      <w:pPr>
        <w:numPr>
          <w:ilvl w:val="0"/>
          <w:numId w:val="9"/>
        </w:numPr>
        <w:spacing w:after="120"/>
        <w:jc w:val="both"/>
        <w:rPr>
          <w:lang w:val="en-GB"/>
        </w:rPr>
      </w:pPr>
      <w:r>
        <w:rPr>
          <w:lang w:val="en-GB"/>
        </w:rPr>
        <w:t>That the following terms and definitions should be used:</w:t>
      </w:r>
    </w:p>
    <w:p w14:paraId="5821D27F" w14:textId="77777777" w:rsidR="00DC3766" w:rsidRDefault="00DC3766" w:rsidP="00DC3766">
      <w:pPr>
        <w:numPr>
          <w:ilvl w:val="0"/>
          <w:numId w:val="23"/>
        </w:numPr>
        <w:tabs>
          <w:tab w:val="clear" w:pos="360"/>
          <w:tab w:val="num" w:pos="720"/>
        </w:tabs>
        <w:spacing w:after="120"/>
        <w:ind w:left="720"/>
        <w:jc w:val="both"/>
        <w:rPr>
          <w:lang w:val="en-GB"/>
        </w:rPr>
      </w:pPr>
      <w:r w:rsidRPr="00F309B1">
        <w:rPr>
          <w:b/>
          <w:lang w:val="en-GB"/>
        </w:rPr>
        <w:t xml:space="preserve">Minimum transmission speed </w:t>
      </w:r>
      <w:r w:rsidRPr="00D40D5D">
        <w:rPr>
          <w:lang w:val="en-GB"/>
        </w:rPr>
        <w:t xml:space="preserve">is the lowest </w:t>
      </w:r>
      <w:r>
        <w:rPr>
          <w:lang w:val="en-GB"/>
        </w:rPr>
        <w:t xml:space="preserve">transmission </w:t>
      </w:r>
      <w:r w:rsidRPr="00D40D5D">
        <w:rPr>
          <w:lang w:val="en-GB"/>
        </w:rPr>
        <w:t xml:space="preserve">speed that the ISP providing fixed network IAS undertakes to deliver to the end user, according to the contract. The actual </w:t>
      </w:r>
      <w:r>
        <w:rPr>
          <w:lang w:val="en-GB"/>
        </w:rPr>
        <w:t xml:space="preserve">transmission </w:t>
      </w:r>
      <w:r w:rsidRPr="00D40D5D">
        <w:rPr>
          <w:lang w:val="en-GB"/>
        </w:rPr>
        <w:t xml:space="preserve">speed should not be lower than the minimum </w:t>
      </w:r>
      <w:r>
        <w:rPr>
          <w:lang w:val="en-GB"/>
        </w:rPr>
        <w:t xml:space="preserve">transmission </w:t>
      </w:r>
      <w:r w:rsidRPr="00D40D5D">
        <w:rPr>
          <w:lang w:val="en-GB"/>
        </w:rPr>
        <w:t>speed, except in cases of interruption of the IAS</w:t>
      </w:r>
      <w:r>
        <w:rPr>
          <w:lang w:val="en-GB"/>
        </w:rPr>
        <w:t xml:space="preserve"> or other service issues.</w:t>
      </w:r>
    </w:p>
    <w:p w14:paraId="2495266F" w14:textId="256EF675" w:rsidR="00DC3766" w:rsidRDefault="00DC3766" w:rsidP="00DC3766">
      <w:pPr>
        <w:numPr>
          <w:ilvl w:val="0"/>
          <w:numId w:val="23"/>
        </w:numPr>
        <w:tabs>
          <w:tab w:val="clear" w:pos="360"/>
          <w:tab w:val="num" w:pos="720"/>
        </w:tabs>
        <w:spacing w:after="120"/>
        <w:ind w:left="720"/>
        <w:jc w:val="both"/>
        <w:rPr>
          <w:lang w:val="en-GB"/>
        </w:rPr>
      </w:pPr>
      <w:r w:rsidRPr="00F309B1">
        <w:rPr>
          <w:b/>
          <w:lang w:val="en-GB"/>
        </w:rPr>
        <w:t>Maximum transmission speed</w:t>
      </w:r>
      <w:r>
        <w:rPr>
          <w:lang w:val="en-GB"/>
        </w:rPr>
        <w:t xml:space="preserve"> is the speed that </w:t>
      </w:r>
      <w:r w:rsidRPr="00393F24">
        <w:rPr>
          <w:lang w:val="en-GB"/>
        </w:rPr>
        <w:t>should</w:t>
      </w:r>
      <w:r>
        <w:rPr>
          <w:lang w:val="en-GB"/>
        </w:rPr>
        <w:t xml:space="preserve"> be practically achievable for end users and </w:t>
      </w:r>
      <w:r w:rsidR="00E04621">
        <w:rPr>
          <w:lang w:val="en-GB"/>
        </w:rPr>
        <w:t>which they</w:t>
      </w:r>
      <w:r>
        <w:rPr>
          <w:lang w:val="en-GB"/>
        </w:rPr>
        <w:t xml:space="preserve"> could expect to receive at least some of the time (e.g. at least once a day).</w:t>
      </w:r>
    </w:p>
    <w:p w14:paraId="01970A42" w14:textId="2CF1B481" w:rsidR="00DC3766" w:rsidRPr="00AB489C" w:rsidRDefault="00DC3766" w:rsidP="00DC3766">
      <w:pPr>
        <w:numPr>
          <w:ilvl w:val="0"/>
          <w:numId w:val="23"/>
        </w:numPr>
        <w:tabs>
          <w:tab w:val="clear" w:pos="360"/>
          <w:tab w:val="num" w:pos="720"/>
        </w:tabs>
        <w:spacing w:after="120"/>
        <w:ind w:left="720"/>
        <w:jc w:val="both"/>
        <w:rPr>
          <w:lang w:val="en-GB"/>
        </w:rPr>
      </w:pPr>
      <w:r w:rsidRPr="00F309B1">
        <w:rPr>
          <w:b/>
          <w:lang w:val="en-GB"/>
        </w:rPr>
        <w:t>Normally available transmission speed</w:t>
      </w:r>
      <w:r w:rsidRPr="00C31C41">
        <w:rPr>
          <w:lang w:val="en-GB"/>
        </w:rPr>
        <w:t xml:space="preserve"> is the </w:t>
      </w:r>
      <w:r>
        <w:rPr>
          <w:lang w:val="en-GB"/>
        </w:rPr>
        <w:t xml:space="preserve">transmission </w:t>
      </w:r>
      <w:r w:rsidRPr="00C31C41">
        <w:rPr>
          <w:lang w:val="en-GB"/>
        </w:rPr>
        <w:t>speed that an end</w:t>
      </w:r>
      <w:r w:rsidR="004F161E">
        <w:rPr>
          <w:lang w:val="en-GB"/>
        </w:rPr>
        <w:t xml:space="preserve"> </w:t>
      </w:r>
      <w:r w:rsidRPr="00C31C41">
        <w:rPr>
          <w:lang w:val="en-GB"/>
        </w:rPr>
        <w:t xml:space="preserve">user could expect to receive most of the time when accessing </w:t>
      </w:r>
      <w:r>
        <w:rPr>
          <w:lang w:val="en-GB"/>
        </w:rPr>
        <w:t xml:space="preserve">fixed </w:t>
      </w:r>
      <w:r w:rsidRPr="00C31C41">
        <w:rPr>
          <w:lang w:val="en-GB"/>
        </w:rPr>
        <w:t>IAS.</w:t>
      </w:r>
      <w:r>
        <w:rPr>
          <w:lang w:val="en-GB"/>
        </w:rPr>
        <w:t xml:space="preserve"> </w:t>
      </w:r>
      <w:r w:rsidRPr="00267A82">
        <w:rPr>
          <w:lang w:val="en-GB"/>
        </w:rPr>
        <w:t>The normally available speed should be available during the specified daily period</w:t>
      </w:r>
      <w:r>
        <w:rPr>
          <w:lang w:val="en-GB"/>
        </w:rPr>
        <w:t xml:space="preserve"> (e.g. </w:t>
      </w:r>
      <w:r w:rsidRPr="00267A82">
        <w:rPr>
          <w:lang w:val="en-GB"/>
        </w:rPr>
        <w:t xml:space="preserve">95% over </w:t>
      </w:r>
      <w:r>
        <w:rPr>
          <w:lang w:val="en-GB"/>
        </w:rPr>
        <w:t>a 24 hour period)</w:t>
      </w:r>
      <w:r w:rsidRPr="00267A82">
        <w:rPr>
          <w:lang w:val="en-GB"/>
        </w:rPr>
        <w:t>.</w:t>
      </w:r>
    </w:p>
    <w:p w14:paraId="1A71387B" w14:textId="77777777" w:rsidR="002B3153" w:rsidRDefault="00DC3766" w:rsidP="00F309B1">
      <w:pPr>
        <w:numPr>
          <w:ilvl w:val="0"/>
          <w:numId w:val="23"/>
        </w:numPr>
        <w:tabs>
          <w:tab w:val="clear" w:pos="360"/>
          <w:tab w:val="num" w:pos="720"/>
        </w:tabs>
        <w:spacing w:after="120"/>
        <w:ind w:left="720"/>
        <w:jc w:val="both"/>
        <w:rPr>
          <w:lang w:val="en-GB"/>
        </w:rPr>
      </w:pPr>
      <w:r w:rsidRPr="00F309B1">
        <w:rPr>
          <w:b/>
          <w:lang w:val="en-GB"/>
        </w:rPr>
        <w:t>Advertised speed</w:t>
      </w:r>
      <w:r w:rsidRPr="00C9587F">
        <w:rPr>
          <w:lang w:val="en-GB"/>
        </w:rPr>
        <w:t xml:space="preserve"> is the speed an ISP uses in its commercial communications, including advertising and marketing, in connection with the promotion of IAS offers</w:t>
      </w:r>
      <w:r>
        <w:rPr>
          <w:lang w:val="en-GB"/>
        </w:rPr>
        <w:t>. This Recommendation does not entail a requirement for ISPs to advertise speeds.</w:t>
      </w:r>
    </w:p>
    <w:p w14:paraId="2F180E48" w14:textId="77777777" w:rsidR="00673544" w:rsidRDefault="002B3153" w:rsidP="002C1B3E">
      <w:pPr>
        <w:numPr>
          <w:ilvl w:val="0"/>
          <w:numId w:val="23"/>
        </w:numPr>
        <w:tabs>
          <w:tab w:val="clear" w:pos="360"/>
          <w:tab w:val="num" w:pos="720"/>
        </w:tabs>
        <w:spacing w:after="120"/>
        <w:ind w:left="720"/>
        <w:jc w:val="both"/>
        <w:rPr>
          <w:lang w:val="en-GB"/>
        </w:rPr>
      </w:pPr>
      <w:r w:rsidRPr="00673544">
        <w:rPr>
          <w:b/>
          <w:lang w:val="en-GB"/>
        </w:rPr>
        <w:t>Delay</w:t>
      </w:r>
      <w:r w:rsidRPr="00673544">
        <w:rPr>
          <w:lang w:val="en-GB"/>
        </w:rPr>
        <w:t xml:space="preserve"> </w:t>
      </w:r>
      <w:r w:rsidR="00673544" w:rsidRPr="00673544">
        <w:rPr>
          <w:lang w:val="en-GB"/>
        </w:rPr>
        <w:t>is the roundtrip time it takes for a data packet when sent over the network to the measurement node and back (mostly using ICMP, UDP or TCP protocols), presented as average value expressed in milliseconds (ms)</w:t>
      </w:r>
      <w:r w:rsidR="00673544" w:rsidRPr="00673544" w:rsidDel="00673544">
        <w:rPr>
          <w:lang w:val="en-GB"/>
        </w:rPr>
        <w:t xml:space="preserve"> </w:t>
      </w:r>
    </w:p>
    <w:p w14:paraId="381DF7E0" w14:textId="4955757D" w:rsidR="002B3153" w:rsidRPr="00673544" w:rsidRDefault="002B3153" w:rsidP="002C1B3E">
      <w:pPr>
        <w:numPr>
          <w:ilvl w:val="0"/>
          <w:numId w:val="23"/>
        </w:numPr>
        <w:tabs>
          <w:tab w:val="clear" w:pos="360"/>
          <w:tab w:val="num" w:pos="720"/>
        </w:tabs>
        <w:spacing w:after="120"/>
        <w:ind w:left="720"/>
        <w:jc w:val="both"/>
        <w:rPr>
          <w:lang w:val="en-GB"/>
        </w:rPr>
      </w:pPr>
      <w:r w:rsidRPr="00673544">
        <w:rPr>
          <w:rFonts w:cs="Arial"/>
          <w:b/>
          <w:color w:val="000000"/>
          <w:lang w:val="en-GB" w:eastAsia="lv-LV"/>
        </w:rPr>
        <w:t>Delay variation</w:t>
      </w:r>
      <w:r w:rsidRPr="00673544">
        <w:rPr>
          <w:rFonts w:cs="Arial"/>
          <w:color w:val="000000"/>
          <w:lang w:val="en-GB" w:eastAsia="lv-LV"/>
        </w:rPr>
        <w:t xml:space="preserve"> For a given pair of IP packets, Delay Variation represents the difference between the delay in one direction, measured for two consecutive packets, presented as average value in ms. [ITU-T Recommendation Y.1540 Clause 6.2.4 with a calculation method being based on ITU-T Recommendation Y.1541 Annex II]</w:t>
      </w:r>
    </w:p>
    <w:p w14:paraId="70BB2460" w14:textId="1B109378" w:rsidR="002B3153" w:rsidRPr="00251700" w:rsidRDefault="002B3153" w:rsidP="002C1B3E">
      <w:pPr>
        <w:numPr>
          <w:ilvl w:val="0"/>
          <w:numId w:val="23"/>
        </w:numPr>
        <w:tabs>
          <w:tab w:val="clear" w:pos="360"/>
          <w:tab w:val="num" w:pos="720"/>
        </w:tabs>
        <w:spacing w:after="120"/>
        <w:ind w:left="720"/>
        <w:jc w:val="both"/>
        <w:rPr>
          <w:lang w:val="en-GB"/>
        </w:rPr>
      </w:pPr>
      <w:r w:rsidRPr="00251700">
        <w:rPr>
          <w:rFonts w:cs="Arial"/>
          <w:b/>
          <w:color w:val="000000"/>
          <w:lang w:val="en-GB" w:eastAsia="lv-LV"/>
        </w:rPr>
        <w:t xml:space="preserve">Packet </w:t>
      </w:r>
      <w:r w:rsidR="00F309B1">
        <w:rPr>
          <w:rFonts w:cs="Arial"/>
          <w:b/>
          <w:color w:val="000000"/>
          <w:lang w:val="en-GB" w:eastAsia="lv-LV"/>
        </w:rPr>
        <w:t>l</w:t>
      </w:r>
      <w:r w:rsidR="00F309B1" w:rsidRPr="00251700">
        <w:rPr>
          <w:rFonts w:cs="Arial"/>
          <w:b/>
          <w:color w:val="000000"/>
          <w:lang w:val="en-GB" w:eastAsia="lv-LV"/>
        </w:rPr>
        <w:t xml:space="preserve">oss </w:t>
      </w:r>
      <w:r w:rsidR="00F309B1">
        <w:rPr>
          <w:rFonts w:cs="Arial"/>
          <w:b/>
          <w:color w:val="000000"/>
          <w:lang w:val="en-GB" w:eastAsia="lv-LV"/>
        </w:rPr>
        <w:t>r</w:t>
      </w:r>
      <w:r w:rsidR="00F309B1" w:rsidRPr="00251700">
        <w:rPr>
          <w:rFonts w:cs="Arial"/>
          <w:b/>
          <w:color w:val="000000"/>
          <w:lang w:val="en-GB" w:eastAsia="lv-LV"/>
        </w:rPr>
        <w:t>atio</w:t>
      </w:r>
      <w:r w:rsidRPr="00251700">
        <w:rPr>
          <w:rFonts w:cs="Arial"/>
          <w:b/>
          <w:color w:val="000000"/>
          <w:lang w:val="en-GB" w:eastAsia="lv-LV"/>
        </w:rPr>
        <w:t>:</w:t>
      </w:r>
      <w:r w:rsidRPr="00251700">
        <w:rPr>
          <w:rFonts w:cs="Arial"/>
          <w:color w:val="000000"/>
          <w:lang w:val="en-GB" w:eastAsia="lv-LV"/>
        </w:rPr>
        <w:t xml:space="preserve"> Packet </w:t>
      </w:r>
      <w:r w:rsidR="00F309B1">
        <w:rPr>
          <w:rFonts w:cs="Arial"/>
          <w:color w:val="000000"/>
          <w:lang w:val="en-GB" w:eastAsia="lv-LV"/>
        </w:rPr>
        <w:t>l</w:t>
      </w:r>
      <w:r w:rsidR="00F309B1" w:rsidRPr="00251700">
        <w:rPr>
          <w:rFonts w:cs="Arial"/>
          <w:color w:val="000000"/>
          <w:lang w:val="en-GB" w:eastAsia="lv-LV"/>
        </w:rPr>
        <w:t xml:space="preserve">oss </w:t>
      </w:r>
      <w:r w:rsidR="00F309B1">
        <w:rPr>
          <w:rFonts w:cs="Arial"/>
          <w:color w:val="000000"/>
          <w:lang w:val="en-GB" w:eastAsia="lv-LV"/>
        </w:rPr>
        <w:t>r</w:t>
      </w:r>
      <w:r w:rsidR="00F309B1" w:rsidRPr="00251700">
        <w:rPr>
          <w:rFonts w:cs="Arial"/>
          <w:color w:val="000000"/>
          <w:lang w:val="en-GB" w:eastAsia="lv-LV"/>
        </w:rPr>
        <w:t xml:space="preserve">atio </w:t>
      </w:r>
      <w:r w:rsidRPr="00251700">
        <w:rPr>
          <w:rFonts w:cs="Arial"/>
          <w:color w:val="000000"/>
          <w:lang w:val="en-GB" w:eastAsia="lv-LV"/>
        </w:rPr>
        <w:t>is the ratio of total lost IP packet outcomes to total transmitted IP packets in a population of interest, presented as average value in x10</w:t>
      </w:r>
      <w:r w:rsidRPr="00251700">
        <w:rPr>
          <w:rFonts w:cs="Arial"/>
          <w:color w:val="000000"/>
          <w:vertAlign w:val="superscript"/>
          <w:lang w:val="en-GB" w:eastAsia="lv-LV"/>
        </w:rPr>
        <w:t>-3</w:t>
      </w:r>
      <w:r w:rsidRPr="00251700">
        <w:rPr>
          <w:rFonts w:cs="Arial"/>
          <w:color w:val="000000"/>
          <w:lang w:val="en-GB" w:eastAsia="lv-LV"/>
        </w:rPr>
        <w:t>. [ITU-T Recommendation Y.1540 Clause 6.4]</w:t>
      </w:r>
    </w:p>
    <w:p w14:paraId="1FA1DECE" w14:textId="1FED55E9" w:rsidR="000E551C" w:rsidRDefault="00393F24" w:rsidP="000E551C">
      <w:pPr>
        <w:numPr>
          <w:ilvl w:val="0"/>
          <w:numId w:val="9"/>
        </w:numPr>
        <w:spacing w:after="120"/>
        <w:jc w:val="both"/>
        <w:rPr>
          <w:lang w:val="en-GB"/>
        </w:rPr>
      </w:pPr>
      <w:r w:rsidRPr="00393F24">
        <w:rPr>
          <w:lang w:val="en-GB"/>
        </w:rPr>
        <w:t>That</w:t>
      </w:r>
      <w:r>
        <w:rPr>
          <w:lang w:val="en-GB"/>
        </w:rPr>
        <w:t xml:space="preserve"> </w:t>
      </w:r>
      <w:r w:rsidRPr="00F86408">
        <w:rPr>
          <w:lang w:val="en-GB"/>
        </w:rPr>
        <w:t>at lea</w:t>
      </w:r>
      <w:r w:rsidR="00B674BE" w:rsidRPr="00F86408">
        <w:rPr>
          <w:lang w:val="en-GB"/>
        </w:rPr>
        <w:t>s</w:t>
      </w:r>
      <w:r w:rsidRPr="00F86408">
        <w:rPr>
          <w:lang w:val="en-GB"/>
        </w:rPr>
        <w:t>t</w:t>
      </w:r>
      <w:r>
        <w:rPr>
          <w:lang w:val="en-GB"/>
        </w:rPr>
        <w:t xml:space="preserve"> </w:t>
      </w:r>
      <w:r w:rsidR="00903890">
        <w:rPr>
          <w:lang w:val="en-GB"/>
        </w:rPr>
        <w:t xml:space="preserve">the </w:t>
      </w:r>
      <w:r>
        <w:rPr>
          <w:lang w:val="en-GB"/>
        </w:rPr>
        <w:t>QoS parameter</w:t>
      </w:r>
      <w:r w:rsidR="000F646E">
        <w:rPr>
          <w:lang w:val="en-GB"/>
        </w:rPr>
        <w:t xml:space="preserve"> values for</w:t>
      </w:r>
      <w:r w:rsidR="003D5F28">
        <w:rPr>
          <w:lang w:val="en-GB"/>
        </w:rPr>
        <w:t xml:space="preserve"> </w:t>
      </w:r>
      <w:r w:rsidR="00A75A86">
        <w:rPr>
          <w:b/>
          <w:lang w:val="en-GB"/>
        </w:rPr>
        <w:t>m</w:t>
      </w:r>
      <w:r w:rsidR="00C93D5D" w:rsidRPr="00F309B1">
        <w:rPr>
          <w:b/>
          <w:lang w:val="en-GB"/>
        </w:rPr>
        <w:t xml:space="preserve">inimum, </w:t>
      </w:r>
      <w:r w:rsidR="00A75A86">
        <w:rPr>
          <w:b/>
          <w:lang w:val="en-GB"/>
        </w:rPr>
        <w:t>m</w:t>
      </w:r>
      <w:r w:rsidR="00C93D5D" w:rsidRPr="00F309B1">
        <w:rPr>
          <w:b/>
          <w:lang w:val="en-GB"/>
        </w:rPr>
        <w:t xml:space="preserve">aximum, </w:t>
      </w:r>
      <w:r w:rsidR="00A75A86">
        <w:rPr>
          <w:b/>
          <w:lang w:val="en-GB"/>
        </w:rPr>
        <w:t>n</w:t>
      </w:r>
      <w:r w:rsidR="00C93D5D" w:rsidRPr="00F309B1">
        <w:rPr>
          <w:b/>
          <w:lang w:val="en-GB"/>
        </w:rPr>
        <w:t xml:space="preserve">ormally available and </w:t>
      </w:r>
      <w:r w:rsidR="00A75A86">
        <w:rPr>
          <w:b/>
          <w:lang w:val="en-GB"/>
        </w:rPr>
        <w:t>a</w:t>
      </w:r>
      <w:r w:rsidR="00C93D5D" w:rsidRPr="00F309B1">
        <w:rPr>
          <w:b/>
          <w:lang w:val="en-GB"/>
        </w:rPr>
        <w:t xml:space="preserve">dvertised </w:t>
      </w:r>
      <w:r w:rsidR="00C93D5D" w:rsidRPr="00C93D5D">
        <w:rPr>
          <w:b/>
          <w:lang w:val="en-GB"/>
        </w:rPr>
        <w:t>transmission</w:t>
      </w:r>
      <w:r w:rsidR="00C93D5D" w:rsidRPr="00393F24">
        <w:rPr>
          <w:b/>
          <w:lang w:val="en-GB"/>
        </w:rPr>
        <w:t xml:space="preserve"> </w:t>
      </w:r>
      <w:r w:rsidR="00A75A86">
        <w:rPr>
          <w:b/>
          <w:lang w:val="en-GB"/>
        </w:rPr>
        <w:t>s</w:t>
      </w:r>
      <w:r w:rsidR="00A75A86" w:rsidRPr="00393F24">
        <w:rPr>
          <w:b/>
          <w:lang w:val="en-GB"/>
        </w:rPr>
        <w:t>peed</w:t>
      </w:r>
      <w:r w:rsidR="00A75A86">
        <w:rPr>
          <w:b/>
          <w:lang w:val="en-GB"/>
        </w:rPr>
        <w:t xml:space="preserve">s </w:t>
      </w:r>
      <w:r w:rsidR="00A75A86" w:rsidRPr="00F309B1">
        <w:rPr>
          <w:lang w:val="en-GB"/>
        </w:rPr>
        <w:t>in numerical values in Mbit/s or kbit/s</w:t>
      </w:r>
      <w:r w:rsidR="00A75A86" w:rsidRPr="00A75A86" w:rsidDel="00C93D5D">
        <w:rPr>
          <w:b/>
          <w:lang w:val="en-GB"/>
        </w:rPr>
        <w:t xml:space="preserve"> </w:t>
      </w:r>
      <w:r w:rsidR="005B1F59" w:rsidRPr="00890311">
        <w:rPr>
          <w:lang w:val="en-GB"/>
        </w:rPr>
        <w:t>should</w:t>
      </w:r>
      <w:r w:rsidR="00C6280F">
        <w:rPr>
          <w:lang w:val="en-GB"/>
        </w:rPr>
        <w:t xml:space="preserve"> be provided</w:t>
      </w:r>
      <w:r w:rsidR="000F646E">
        <w:rPr>
          <w:lang w:val="en-GB"/>
        </w:rPr>
        <w:t xml:space="preserve"> </w:t>
      </w:r>
      <w:r w:rsidR="00903890" w:rsidRPr="00501C5F">
        <w:rPr>
          <w:lang w:val="en-GB"/>
        </w:rPr>
        <w:t>as</w:t>
      </w:r>
      <w:r w:rsidR="002A6DD3">
        <w:rPr>
          <w:lang w:val="en-GB"/>
        </w:rPr>
        <w:t xml:space="preserve"> t</w:t>
      </w:r>
      <w:r w:rsidRPr="00393F24">
        <w:rPr>
          <w:lang w:val="en-GB"/>
        </w:rPr>
        <w:t>he data transmission rate</w:t>
      </w:r>
      <w:r w:rsidR="004E7E65">
        <w:rPr>
          <w:lang w:val="en-GB"/>
        </w:rPr>
        <w:t>s</w:t>
      </w:r>
      <w:r w:rsidRPr="00393F24">
        <w:rPr>
          <w:lang w:val="en-GB"/>
        </w:rPr>
        <w:t xml:space="preserve"> that </w:t>
      </w:r>
      <w:r w:rsidR="004E7E65">
        <w:rPr>
          <w:lang w:val="en-GB"/>
        </w:rPr>
        <w:t>are</w:t>
      </w:r>
      <w:r w:rsidR="004E7E65" w:rsidRPr="00393F24">
        <w:rPr>
          <w:lang w:val="en-GB"/>
        </w:rPr>
        <w:t xml:space="preserve"> </w:t>
      </w:r>
      <w:r w:rsidRPr="00393F24">
        <w:rPr>
          <w:lang w:val="en-GB"/>
        </w:rPr>
        <w:t>achieved separately for</w:t>
      </w:r>
      <w:r w:rsidR="00110A17" w:rsidRPr="00393F24">
        <w:rPr>
          <w:lang w:val="en-GB"/>
        </w:rPr>
        <w:t xml:space="preserve"> </w:t>
      </w:r>
      <w:r w:rsidRPr="00393F24">
        <w:rPr>
          <w:lang w:val="en-GB"/>
        </w:rPr>
        <w:t>downloading and uploading</w:t>
      </w:r>
      <w:r w:rsidR="000E551C">
        <w:rPr>
          <w:lang w:val="en-GB"/>
        </w:rPr>
        <w:t>.</w:t>
      </w:r>
    </w:p>
    <w:p w14:paraId="10D14432" w14:textId="6F0593A6" w:rsidR="000E551C" w:rsidRPr="000E551C" w:rsidRDefault="000E551C" w:rsidP="000E551C">
      <w:pPr>
        <w:numPr>
          <w:ilvl w:val="0"/>
          <w:numId w:val="9"/>
        </w:numPr>
        <w:spacing w:after="120"/>
        <w:jc w:val="both"/>
        <w:rPr>
          <w:lang w:val="en-GB"/>
        </w:rPr>
      </w:pPr>
      <w:r w:rsidRPr="000E551C">
        <w:rPr>
          <w:lang w:val="en-GB"/>
        </w:rPr>
        <w:t>With regard to these parameters the measurement methods described in section 3.1.1 of BEREC BoR(17) 178 between a measurement-server and a user’s terminal should be used as basis for determining the according values allowing the user to compare the measurement results with the information provided by the ISP.</w:t>
      </w:r>
    </w:p>
    <w:p w14:paraId="0C4976AD" w14:textId="77777777" w:rsidR="00437E66" w:rsidRDefault="00437E66" w:rsidP="00BA56E0">
      <w:pPr>
        <w:numPr>
          <w:ilvl w:val="0"/>
          <w:numId w:val="9"/>
        </w:numPr>
        <w:spacing w:after="120"/>
        <w:ind w:left="425" w:hanging="425"/>
        <w:jc w:val="both"/>
        <w:rPr>
          <w:lang w:val="en-GB"/>
        </w:rPr>
      </w:pPr>
      <w:r w:rsidRPr="00FD4A64">
        <w:rPr>
          <w:lang w:val="en-GB"/>
        </w:rPr>
        <w:t xml:space="preserve">That the </w:t>
      </w:r>
      <w:r w:rsidR="000A796D">
        <w:rPr>
          <w:lang w:val="en-GB"/>
        </w:rPr>
        <w:t xml:space="preserve">QoS </w:t>
      </w:r>
      <w:r w:rsidRPr="00FD4A64">
        <w:rPr>
          <w:lang w:val="en-GB"/>
        </w:rPr>
        <w:t>parameter</w:t>
      </w:r>
      <w:r w:rsidR="003D5F28">
        <w:rPr>
          <w:lang w:val="en-GB"/>
        </w:rPr>
        <w:t xml:space="preserve"> </w:t>
      </w:r>
      <w:r w:rsidR="000F646E">
        <w:rPr>
          <w:lang w:val="en-GB"/>
        </w:rPr>
        <w:t xml:space="preserve">measurement </w:t>
      </w:r>
      <w:r w:rsidR="003D5F28">
        <w:rPr>
          <w:lang w:val="en-GB"/>
        </w:rPr>
        <w:t>value</w:t>
      </w:r>
      <w:r w:rsidRPr="00FD4A64">
        <w:rPr>
          <w:lang w:val="en-GB"/>
        </w:rPr>
        <w:t>s</w:t>
      </w:r>
      <w:r w:rsidR="002B3153">
        <w:rPr>
          <w:lang w:val="en-GB"/>
        </w:rPr>
        <w:t xml:space="preserve"> </w:t>
      </w:r>
      <w:r w:rsidR="002B3153" w:rsidRPr="00F309B1">
        <w:rPr>
          <w:b/>
          <w:lang w:val="en-GB"/>
        </w:rPr>
        <w:t>delay</w:t>
      </w:r>
      <w:r w:rsidR="002B3153">
        <w:rPr>
          <w:lang w:val="en-GB"/>
        </w:rPr>
        <w:t xml:space="preserve">, </w:t>
      </w:r>
      <w:r w:rsidR="002B3153" w:rsidRPr="00F309B1">
        <w:rPr>
          <w:b/>
          <w:lang w:val="en-GB"/>
        </w:rPr>
        <w:t>delay variation</w:t>
      </w:r>
      <w:r w:rsidR="002B3153">
        <w:rPr>
          <w:lang w:val="en-GB"/>
        </w:rPr>
        <w:t xml:space="preserve"> and </w:t>
      </w:r>
      <w:r w:rsidR="002B3153" w:rsidRPr="00F309B1">
        <w:rPr>
          <w:b/>
          <w:lang w:val="en-GB"/>
        </w:rPr>
        <w:t>packet loss ratio</w:t>
      </w:r>
      <w:r w:rsidR="000A796D">
        <w:rPr>
          <w:lang w:val="en-GB"/>
        </w:rPr>
        <w:t xml:space="preserve"> </w:t>
      </w:r>
      <w:r w:rsidR="001C1D5C">
        <w:rPr>
          <w:lang w:val="en-GB"/>
        </w:rPr>
        <w:t>c</w:t>
      </w:r>
      <w:r w:rsidR="001C1D5C" w:rsidRPr="00C9587F">
        <w:rPr>
          <w:lang w:val="en-GB"/>
        </w:rPr>
        <w:t>ould</w:t>
      </w:r>
      <w:r w:rsidR="000A796D">
        <w:rPr>
          <w:lang w:val="en-GB"/>
        </w:rPr>
        <w:t xml:space="preserve"> be presented </w:t>
      </w:r>
      <w:r w:rsidR="00FB1883">
        <w:rPr>
          <w:lang w:val="en-GB"/>
        </w:rPr>
        <w:t>in addition to</w:t>
      </w:r>
      <w:r w:rsidR="000A796D">
        <w:rPr>
          <w:lang w:val="en-GB"/>
        </w:rPr>
        <w:t xml:space="preserve"> </w:t>
      </w:r>
      <w:r w:rsidR="00A75A86">
        <w:rPr>
          <w:b/>
          <w:lang w:val="en-GB"/>
        </w:rPr>
        <w:t>t</w:t>
      </w:r>
      <w:r w:rsidR="00A75A86" w:rsidRPr="000A796D">
        <w:rPr>
          <w:b/>
          <w:lang w:val="en-GB"/>
        </w:rPr>
        <w:t xml:space="preserve">ransmission </w:t>
      </w:r>
      <w:r w:rsidR="00A75A86">
        <w:rPr>
          <w:b/>
          <w:lang w:val="en-GB"/>
        </w:rPr>
        <w:t>s</w:t>
      </w:r>
      <w:r w:rsidR="00A75A86" w:rsidRPr="000A796D">
        <w:rPr>
          <w:b/>
          <w:lang w:val="en-GB"/>
        </w:rPr>
        <w:t>peed</w:t>
      </w:r>
      <w:r w:rsidR="00A75A86">
        <w:rPr>
          <w:b/>
          <w:lang w:val="en-GB"/>
        </w:rPr>
        <w:t>s</w:t>
      </w:r>
      <w:r w:rsidR="00A75A86">
        <w:rPr>
          <w:lang w:val="en-GB"/>
        </w:rPr>
        <w:t xml:space="preserve"> </w:t>
      </w:r>
      <w:r w:rsidR="000A796D">
        <w:rPr>
          <w:lang w:val="en-GB"/>
        </w:rPr>
        <w:t xml:space="preserve">in order to achieve </w:t>
      </w:r>
      <w:r w:rsidR="00BA7CD0">
        <w:rPr>
          <w:lang w:val="en-GB"/>
        </w:rPr>
        <w:t xml:space="preserve">a </w:t>
      </w:r>
      <w:r w:rsidR="00FB1883">
        <w:rPr>
          <w:lang w:val="en-GB"/>
        </w:rPr>
        <w:t>better</w:t>
      </w:r>
      <w:r w:rsidR="00BA7CD0">
        <w:rPr>
          <w:lang w:val="en-GB"/>
        </w:rPr>
        <w:t xml:space="preserve"> </w:t>
      </w:r>
      <w:r w:rsidR="000A796D">
        <w:rPr>
          <w:lang w:val="en-GB"/>
        </w:rPr>
        <w:t>overview o</w:t>
      </w:r>
      <w:r w:rsidR="00BA7CD0">
        <w:rPr>
          <w:lang w:val="en-GB"/>
        </w:rPr>
        <w:t>n</w:t>
      </w:r>
      <w:r w:rsidR="000A796D">
        <w:rPr>
          <w:lang w:val="en-GB"/>
        </w:rPr>
        <w:t xml:space="preserve"> </w:t>
      </w:r>
      <w:r w:rsidR="00BA7CD0">
        <w:rPr>
          <w:lang w:val="en-GB"/>
        </w:rPr>
        <w:t xml:space="preserve">the </w:t>
      </w:r>
      <w:r w:rsidR="000A796D">
        <w:rPr>
          <w:lang w:val="en-GB"/>
        </w:rPr>
        <w:t>offered</w:t>
      </w:r>
      <w:r w:rsidR="000F646E">
        <w:rPr>
          <w:lang w:val="en-GB"/>
        </w:rPr>
        <w:t xml:space="preserve"> </w:t>
      </w:r>
      <w:r w:rsidR="00D57738" w:rsidRPr="00C9587F">
        <w:rPr>
          <w:lang w:val="en-GB"/>
        </w:rPr>
        <w:t>fixed</w:t>
      </w:r>
      <w:r w:rsidR="00861B8B">
        <w:rPr>
          <w:lang w:val="en-GB"/>
        </w:rPr>
        <w:t xml:space="preserve"> </w:t>
      </w:r>
      <w:r w:rsidR="000F646E">
        <w:rPr>
          <w:lang w:val="en-GB"/>
        </w:rPr>
        <w:t>retail</w:t>
      </w:r>
      <w:r w:rsidR="000A796D">
        <w:rPr>
          <w:lang w:val="en-GB"/>
        </w:rPr>
        <w:t xml:space="preserve"> IAS</w:t>
      </w:r>
      <w:r w:rsidR="000F646E">
        <w:rPr>
          <w:lang w:val="en-GB"/>
        </w:rPr>
        <w:t>Q</w:t>
      </w:r>
      <w:r w:rsidRPr="00FD4A64">
        <w:rPr>
          <w:lang w:val="en-GB"/>
        </w:rPr>
        <w:t>:</w:t>
      </w:r>
    </w:p>
    <w:p w14:paraId="795A7AA6" w14:textId="6F3BF130" w:rsidR="005509C2" w:rsidRPr="00F54351" w:rsidRDefault="005509C2" w:rsidP="005509C2">
      <w:pPr>
        <w:numPr>
          <w:ilvl w:val="0"/>
          <w:numId w:val="9"/>
        </w:numPr>
        <w:tabs>
          <w:tab w:val="clear" w:pos="360"/>
          <w:tab w:val="num" w:pos="426"/>
        </w:tabs>
        <w:spacing w:after="120"/>
        <w:ind w:left="425" w:hanging="425"/>
        <w:jc w:val="both"/>
        <w:rPr>
          <w:lang w:val="en-GB"/>
        </w:rPr>
      </w:pPr>
      <w:r w:rsidRPr="00F54351">
        <w:rPr>
          <w:lang w:val="en-GB"/>
        </w:rPr>
        <w:lastRenderedPageBreak/>
        <w:t xml:space="preserve">That a description of the QoS evaluation methodology should be provided together with the QoS parameter </w:t>
      </w:r>
      <w:r>
        <w:rPr>
          <w:lang w:val="en-GB"/>
        </w:rPr>
        <w:t xml:space="preserve">measurement </w:t>
      </w:r>
      <w:r w:rsidRPr="00F54351">
        <w:rPr>
          <w:lang w:val="en-GB"/>
        </w:rPr>
        <w:t>values</w:t>
      </w:r>
      <w:r w:rsidR="00D16257">
        <w:rPr>
          <w:lang w:val="en-GB"/>
        </w:rPr>
        <w:t xml:space="preserve"> </w:t>
      </w:r>
      <w:r w:rsidR="000A01C4">
        <w:rPr>
          <w:lang w:val="en-GB"/>
        </w:rPr>
        <w:t xml:space="preserve">also considering the impacting roles on the measurements results validity and comparability of terminal equipment configuration (for instance of the PC) and home networks that are both outside the control of </w:t>
      </w:r>
      <w:r w:rsidR="00861B8B">
        <w:rPr>
          <w:lang w:val="en-GB"/>
        </w:rPr>
        <w:t>ISPs</w:t>
      </w:r>
      <w:r w:rsidR="000A01C4" w:rsidRPr="00F54351">
        <w:rPr>
          <w:lang w:val="en-GB"/>
        </w:rPr>
        <w:t>.</w:t>
      </w:r>
    </w:p>
    <w:p w14:paraId="1F202E2A" w14:textId="2759B0CB" w:rsidR="009E7E3E" w:rsidRPr="00F814D8" w:rsidRDefault="00DC53F5" w:rsidP="002C1B3E">
      <w:pPr>
        <w:numPr>
          <w:ilvl w:val="0"/>
          <w:numId w:val="9"/>
        </w:numPr>
        <w:spacing w:after="120"/>
        <w:jc w:val="both"/>
        <w:rPr>
          <w:lang w:val="en-GB"/>
        </w:rPr>
      </w:pPr>
      <w:r>
        <w:rPr>
          <w:lang w:val="en-GB"/>
        </w:rPr>
        <w:t xml:space="preserve">That </w:t>
      </w:r>
      <w:r w:rsidR="002A6DD3">
        <w:rPr>
          <w:lang w:val="en-GB"/>
        </w:rPr>
        <w:t xml:space="preserve">the </w:t>
      </w:r>
      <w:r w:rsidR="000A796D">
        <w:rPr>
          <w:lang w:val="en-GB"/>
        </w:rPr>
        <w:t xml:space="preserve">evaluation </w:t>
      </w:r>
      <w:r>
        <w:rPr>
          <w:lang w:val="en-GB"/>
        </w:rPr>
        <w:t xml:space="preserve">of </w:t>
      </w:r>
      <w:r w:rsidR="00501C5F">
        <w:rPr>
          <w:lang w:val="en-GB"/>
        </w:rPr>
        <w:t xml:space="preserve">the </w:t>
      </w:r>
      <w:r w:rsidR="000A796D">
        <w:rPr>
          <w:lang w:val="en-GB"/>
        </w:rPr>
        <w:t>above</w:t>
      </w:r>
      <w:r w:rsidR="00F814D8">
        <w:rPr>
          <w:lang w:val="en-GB"/>
        </w:rPr>
        <w:t>-</w:t>
      </w:r>
      <w:r w:rsidR="000A796D">
        <w:rPr>
          <w:lang w:val="en-GB"/>
        </w:rPr>
        <w:t>mentioned QoS parameter</w:t>
      </w:r>
      <w:r w:rsidR="003D5F28">
        <w:rPr>
          <w:lang w:val="en-GB"/>
        </w:rPr>
        <w:t xml:space="preserve"> </w:t>
      </w:r>
      <w:r w:rsidR="000F646E">
        <w:rPr>
          <w:lang w:val="en-GB"/>
        </w:rPr>
        <w:t xml:space="preserve">measurement </w:t>
      </w:r>
      <w:r w:rsidR="003D5F28">
        <w:rPr>
          <w:lang w:val="en-GB"/>
        </w:rPr>
        <w:t>value</w:t>
      </w:r>
      <w:r w:rsidR="000A796D">
        <w:rPr>
          <w:lang w:val="en-GB"/>
        </w:rPr>
        <w:t>s</w:t>
      </w:r>
      <w:r>
        <w:rPr>
          <w:lang w:val="en-GB"/>
        </w:rPr>
        <w:t xml:space="preserve"> </w:t>
      </w:r>
      <w:r w:rsidR="00E736D6">
        <w:rPr>
          <w:lang w:val="en-GB"/>
        </w:rPr>
        <w:t>should be done</w:t>
      </w:r>
      <w:r w:rsidR="002A6DD3">
        <w:rPr>
          <w:lang w:val="en-GB"/>
        </w:rPr>
        <w:t xml:space="preserve"> based on data transmission </w:t>
      </w:r>
      <w:r w:rsidR="00501C5F">
        <w:rPr>
          <w:lang w:val="en-GB"/>
        </w:rPr>
        <w:t>between the</w:t>
      </w:r>
      <w:r w:rsidR="002A6DD3">
        <w:rPr>
          <w:lang w:val="en-GB"/>
        </w:rPr>
        <w:t xml:space="preserve"> end</w:t>
      </w:r>
      <w:r w:rsidR="004F161E">
        <w:rPr>
          <w:lang w:val="en-GB"/>
        </w:rPr>
        <w:t xml:space="preserve"> </w:t>
      </w:r>
      <w:r w:rsidR="002A6DD3">
        <w:rPr>
          <w:lang w:val="en-GB"/>
        </w:rPr>
        <w:t xml:space="preserve">user’s equipment </w:t>
      </w:r>
      <w:r w:rsidR="00801540">
        <w:rPr>
          <w:lang w:val="en-GB"/>
        </w:rPr>
        <w:t xml:space="preserve">and </w:t>
      </w:r>
      <w:r w:rsidR="002A6DD3">
        <w:rPr>
          <w:lang w:val="en-GB"/>
        </w:rPr>
        <w:t>one or more measurement-server</w:t>
      </w:r>
      <w:r w:rsidR="00501C5F">
        <w:rPr>
          <w:lang w:val="en-GB"/>
        </w:rPr>
        <w:t>s</w:t>
      </w:r>
      <w:r w:rsidR="002A6DD3">
        <w:rPr>
          <w:lang w:val="en-GB"/>
        </w:rPr>
        <w:t xml:space="preserve"> </w:t>
      </w:r>
      <w:r w:rsidR="00501C5F">
        <w:rPr>
          <w:lang w:val="en-GB"/>
        </w:rPr>
        <w:t>directly connected</w:t>
      </w:r>
      <w:r w:rsidR="002A6DD3">
        <w:rPr>
          <w:lang w:val="en-GB"/>
        </w:rPr>
        <w:t xml:space="preserve"> to major</w:t>
      </w:r>
      <w:r w:rsidR="005509C2">
        <w:rPr>
          <w:lang w:val="en-GB"/>
        </w:rPr>
        <w:t xml:space="preserve"> or national</w:t>
      </w:r>
      <w:r w:rsidR="002A6DD3">
        <w:rPr>
          <w:lang w:val="en-GB"/>
        </w:rPr>
        <w:t xml:space="preserve"> Internet Exchange Point</w:t>
      </w:r>
      <w:r w:rsidR="00801540">
        <w:rPr>
          <w:lang w:val="en-GB"/>
        </w:rPr>
        <w:t>(</w:t>
      </w:r>
      <w:r w:rsidR="002A6DD3">
        <w:rPr>
          <w:lang w:val="en-GB"/>
        </w:rPr>
        <w:t>s</w:t>
      </w:r>
      <w:r w:rsidR="00F86408">
        <w:rPr>
          <w:lang w:val="en-GB"/>
        </w:rPr>
        <w:t>) (</w:t>
      </w:r>
      <w:r w:rsidR="002A6DD3">
        <w:rPr>
          <w:lang w:val="en-GB"/>
        </w:rPr>
        <w:t>IXP</w:t>
      </w:r>
      <w:r w:rsidR="00801540">
        <w:rPr>
          <w:lang w:val="en-GB"/>
        </w:rPr>
        <w:t>(</w:t>
      </w:r>
      <w:r w:rsidR="002A6DD3">
        <w:rPr>
          <w:lang w:val="en-GB"/>
        </w:rPr>
        <w:t>s)</w:t>
      </w:r>
      <w:r w:rsidR="00F86408">
        <w:rPr>
          <w:lang w:val="en-GB"/>
        </w:rPr>
        <w:t>)</w:t>
      </w:r>
      <w:r w:rsidR="00E736D6">
        <w:rPr>
          <w:lang w:val="en-GB"/>
        </w:rPr>
        <w:t xml:space="preserve"> </w:t>
      </w:r>
      <w:r w:rsidR="00E142BA">
        <w:rPr>
          <w:lang w:val="en-GB"/>
        </w:rPr>
        <w:t xml:space="preserve">with regard </w:t>
      </w:r>
      <w:r w:rsidR="00C6280F">
        <w:rPr>
          <w:lang w:val="en-GB"/>
        </w:rPr>
        <w:t>t</w:t>
      </w:r>
      <w:r w:rsidR="00E142BA">
        <w:rPr>
          <w:lang w:val="en-GB"/>
        </w:rPr>
        <w:t xml:space="preserve">o </w:t>
      </w:r>
      <w:r w:rsidR="002A6DD3">
        <w:rPr>
          <w:lang w:val="en-GB"/>
        </w:rPr>
        <w:t xml:space="preserve">the </w:t>
      </w:r>
      <w:r w:rsidR="00E142BA">
        <w:rPr>
          <w:lang w:val="en-GB"/>
        </w:rPr>
        <w:t xml:space="preserve">scenario described in </w:t>
      </w:r>
      <w:r w:rsidR="003D5F28">
        <w:rPr>
          <w:lang w:val="en-GB"/>
        </w:rPr>
        <w:t>Annex 1</w:t>
      </w:r>
      <w:r w:rsidR="002A6DD3">
        <w:rPr>
          <w:lang w:val="en-GB"/>
        </w:rPr>
        <w:t>.</w:t>
      </w:r>
    </w:p>
    <w:p w14:paraId="3097BE7A" w14:textId="36E02D45" w:rsidR="00F54351" w:rsidRDefault="00E736D6" w:rsidP="00F54351">
      <w:pPr>
        <w:numPr>
          <w:ilvl w:val="0"/>
          <w:numId w:val="9"/>
        </w:numPr>
        <w:tabs>
          <w:tab w:val="clear" w:pos="360"/>
          <w:tab w:val="num" w:pos="426"/>
        </w:tabs>
        <w:spacing w:after="120"/>
        <w:ind w:left="425" w:hanging="425"/>
        <w:jc w:val="both"/>
        <w:rPr>
          <w:lang w:val="en-GB"/>
        </w:rPr>
      </w:pPr>
      <w:r>
        <w:rPr>
          <w:lang w:val="en-GB"/>
        </w:rPr>
        <w:t xml:space="preserve">That </w:t>
      </w:r>
      <w:r w:rsidR="001521D5">
        <w:rPr>
          <w:lang w:val="en-GB"/>
        </w:rPr>
        <w:t xml:space="preserve">the </w:t>
      </w:r>
      <w:r>
        <w:rPr>
          <w:lang w:val="en-GB"/>
        </w:rPr>
        <w:t>Qo</w:t>
      </w:r>
      <w:r w:rsidR="00034543">
        <w:rPr>
          <w:lang w:val="en-GB"/>
        </w:rPr>
        <w:t>S</w:t>
      </w:r>
      <w:r>
        <w:rPr>
          <w:lang w:val="en-GB"/>
        </w:rPr>
        <w:t xml:space="preserve"> parameter</w:t>
      </w:r>
      <w:r w:rsidR="000F646E">
        <w:rPr>
          <w:lang w:val="en-GB"/>
        </w:rPr>
        <w:t xml:space="preserve"> measurement</w:t>
      </w:r>
      <w:r w:rsidR="003D5F28">
        <w:rPr>
          <w:lang w:val="en-GB"/>
        </w:rPr>
        <w:t xml:space="preserve"> values</w:t>
      </w:r>
      <w:r>
        <w:rPr>
          <w:lang w:val="en-GB"/>
        </w:rPr>
        <w:t xml:space="preserve"> </w:t>
      </w:r>
      <w:r w:rsidR="00034543">
        <w:rPr>
          <w:lang w:val="en-GB"/>
        </w:rPr>
        <w:t xml:space="preserve">should be published </w:t>
      </w:r>
      <w:r>
        <w:rPr>
          <w:lang w:val="en-GB"/>
        </w:rPr>
        <w:t xml:space="preserve">taking into account </w:t>
      </w:r>
      <w:r w:rsidR="006850F9">
        <w:rPr>
          <w:lang w:val="en-GB"/>
        </w:rPr>
        <w:t>possible variation</w:t>
      </w:r>
      <w:r w:rsidR="000F646E">
        <w:rPr>
          <w:lang w:val="en-GB"/>
        </w:rPr>
        <w:t>s</w:t>
      </w:r>
      <w:r w:rsidR="006850F9">
        <w:rPr>
          <w:lang w:val="en-GB"/>
        </w:rPr>
        <w:t xml:space="preserve"> </w:t>
      </w:r>
      <w:r w:rsidR="000F646E">
        <w:rPr>
          <w:lang w:val="en-GB"/>
        </w:rPr>
        <w:t>in</w:t>
      </w:r>
      <w:r w:rsidR="006850F9">
        <w:rPr>
          <w:lang w:val="en-GB"/>
        </w:rPr>
        <w:t xml:space="preserve"> IASQ</w:t>
      </w:r>
      <w:r w:rsidR="000F646E">
        <w:rPr>
          <w:lang w:val="en-GB"/>
        </w:rPr>
        <w:t>.</w:t>
      </w:r>
      <w:r w:rsidR="006850F9">
        <w:rPr>
          <w:lang w:val="en-GB"/>
        </w:rPr>
        <w:t xml:space="preserve"> </w:t>
      </w:r>
      <w:r w:rsidR="000F646E">
        <w:rPr>
          <w:lang w:val="en-GB"/>
        </w:rPr>
        <w:t>F</w:t>
      </w:r>
      <w:r w:rsidR="006850F9">
        <w:rPr>
          <w:lang w:val="en-GB"/>
        </w:rPr>
        <w:t>or example</w:t>
      </w:r>
      <w:r w:rsidR="000F646E">
        <w:rPr>
          <w:lang w:val="en-GB"/>
        </w:rPr>
        <w:t>,</w:t>
      </w:r>
      <w:r w:rsidR="006850F9">
        <w:rPr>
          <w:lang w:val="en-GB"/>
        </w:rPr>
        <w:t xml:space="preserve"> due to different load</w:t>
      </w:r>
      <w:r w:rsidR="000F646E">
        <w:rPr>
          <w:lang w:val="en-GB"/>
        </w:rPr>
        <w:t>s</w:t>
      </w:r>
      <w:r w:rsidR="006850F9">
        <w:rPr>
          <w:lang w:val="en-GB"/>
        </w:rPr>
        <w:t xml:space="preserve"> during</w:t>
      </w:r>
      <w:r w:rsidR="000F646E">
        <w:rPr>
          <w:lang w:val="en-GB"/>
        </w:rPr>
        <w:t xml:space="preserve"> the</w:t>
      </w:r>
      <w:r w:rsidR="006850F9">
        <w:rPr>
          <w:lang w:val="en-GB"/>
        </w:rPr>
        <w:t xml:space="preserve"> day (e.</w:t>
      </w:r>
      <w:r w:rsidR="00034543">
        <w:rPr>
          <w:lang w:val="en-GB"/>
        </w:rPr>
        <w:t>g</w:t>
      </w:r>
      <w:r w:rsidR="006850F9">
        <w:rPr>
          <w:lang w:val="en-GB"/>
        </w:rPr>
        <w:t xml:space="preserve">. </w:t>
      </w:r>
      <w:r w:rsidR="00B674BE">
        <w:rPr>
          <w:lang w:val="en-GB"/>
        </w:rPr>
        <w:t>working hours</w:t>
      </w:r>
      <w:r w:rsidR="006850F9">
        <w:rPr>
          <w:lang w:val="en-GB"/>
        </w:rPr>
        <w:t xml:space="preserve">, </w:t>
      </w:r>
      <w:r w:rsidR="00B674BE">
        <w:rPr>
          <w:lang w:val="en-GB"/>
        </w:rPr>
        <w:t>non-working</w:t>
      </w:r>
      <w:r w:rsidR="006850F9">
        <w:rPr>
          <w:lang w:val="en-GB"/>
        </w:rPr>
        <w:t xml:space="preserve"> hours, peak hours</w:t>
      </w:r>
      <w:r w:rsidR="00F814D8">
        <w:rPr>
          <w:lang w:val="en-GB"/>
        </w:rPr>
        <w:t>)</w:t>
      </w:r>
      <w:r w:rsidR="006850F9">
        <w:rPr>
          <w:lang w:val="en-GB"/>
        </w:rPr>
        <w:t xml:space="preserve"> or</w:t>
      </w:r>
      <w:r w:rsidR="008F6F70">
        <w:rPr>
          <w:lang w:val="en-GB"/>
        </w:rPr>
        <w:t xml:space="preserve"> </w:t>
      </w:r>
      <w:r w:rsidR="006850F9">
        <w:rPr>
          <w:lang w:val="en-GB"/>
        </w:rPr>
        <w:t>different geographical locations of end</w:t>
      </w:r>
      <w:r w:rsidR="004F161E">
        <w:rPr>
          <w:lang w:val="en-GB"/>
        </w:rPr>
        <w:t xml:space="preserve"> </w:t>
      </w:r>
      <w:r w:rsidR="006850F9">
        <w:rPr>
          <w:lang w:val="en-GB"/>
        </w:rPr>
        <w:t>users</w:t>
      </w:r>
      <w:r w:rsidR="000F646E">
        <w:rPr>
          <w:lang w:val="en-GB"/>
        </w:rPr>
        <w:t>. T</w:t>
      </w:r>
      <w:r w:rsidR="0056287F">
        <w:rPr>
          <w:lang w:val="en-GB"/>
        </w:rPr>
        <w:t>his should be clearly described in the QoS evaluation methodology</w:t>
      </w:r>
      <w:r w:rsidR="006850F9">
        <w:rPr>
          <w:lang w:val="en-GB"/>
        </w:rPr>
        <w:t>.</w:t>
      </w:r>
      <w:r w:rsidR="00F54351" w:rsidRPr="00F54351">
        <w:rPr>
          <w:lang w:val="en-GB"/>
        </w:rPr>
        <w:t xml:space="preserve"> </w:t>
      </w:r>
    </w:p>
    <w:p w14:paraId="48731128" w14:textId="51357B85" w:rsidR="00F54351" w:rsidRDefault="00F54351" w:rsidP="00F54351">
      <w:pPr>
        <w:numPr>
          <w:ilvl w:val="0"/>
          <w:numId w:val="9"/>
        </w:numPr>
        <w:tabs>
          <w:tab w:val="clear" w:pos="360"/>
          <w:tab w:val="num" w:pos="426"/>
        </w:tabs>
        <w:spacing w:after="120"/>
        <w:ind w:left="425" w:hanging="425"/>
        <w:jc w:val="both"/>
        <w:rPr>
          <w:lang w:val="en-GB"/>
        </w:rPr>
      </w:pPr>
      <w:r w:rsidRPr="0067204C">
        <w:rPr>
          <w:lang w:val="en-GB"/>
        </w:rPr>
        <w:t xml:space="preserve">That the QoS parameter </w:t>
      </w:r>
      <w:r w:rsidR="000F646E">
        <w:rPr>
          <w:lang w:val="en-GB"/>
        </w:rPr>
        <w:t xml:space="preserve">measurement </w:t>
      </w:r>
      <w:r w:rsidRPr="0067204C">
        <w:rPr>
          <w:lang w:val="en-GB"/>
        </w:rPr>
        <w:t xml:space="preserve">values should be publicly provided in </w:t>
      </w:r>
      <w:r w:rsidR="000F646E">
        <w:rPr>
          <w:lang w:val="en-GB"/>
        </w:rPr>
        <w:t xml:space="preserve">a </w:t>
      </w:r>
      <w:r w:rsidRPr="00890311">
        <w:rPr>
          <w:lang w:val="en-GB"/>
        </w:rPr>
        <w:t>clear, comprehensive and easily accessible format</w:t>
      </w:r>
      <w:r w:rsidR="000F646E">
        <w:rPr>
          <w:lang w:val="en-GB"/>
        </w:rPr>
        <w:t>. Annex 2 provides an example.</w:t>
      </w:r>
      <w:r w:rsidRPr="00890311">
        <w:rPr>
          <w:lang w:val="en-GB"/>
        </w:rPr>
        <w:t xml:space="preserve"> </w:t>
      </w:r>
      <w:r w:rsidR="000F646E">
        <w:rPr>
          <w:lang w:val="en-GB"/>
        </w:rPr>
        <w:t>All</w:t>
      </w:r>
      <w:r w:rsidRPr="0067204C">
        <w:rPr>
          <w:lang w:val="en-GB"/>
        </w:rPr>
        <w:t xml:space="preserve"> elements </w:t>
      </w:r>
      <w:r w:rsidR="000F646E">
        <w:rPr>
          <w:lang w:val="en-GB"/>
        </w:rPr>
        <w:t>presented in th</w:t>
      </w:r>
      <w:r w:rsidR="005509C2">
        <w:rPr>
          <w:lang w:val="en-GB"/>
        </w:rPr>
        <w:t>e</w:t>
      </w:r>
      <w:r w:rsidR="000F646E">
        <w:rPr>
          <w:lang w:val="en-GB"/>
        </w:rPr>
        <w:t xml:space="preserve"> form</w:t>
      </w:r>
      <w:r w:rsidR="005509C2">
        <w:rPr>
          <w:lang w:val="en-GB"/>
        </w:rPr>
        <w:t>s in Annex 2</w:t>
      </w:r>
      <w:r w:rsidR="000F646E">
        <w:rPr>
          <w:lang w:val="en-GB"/>
        </w:rPr>
        <w:t xml:space="preserve"> should be provided</w:t>
      </w:r>
      <w:r w:rsidRPr="0067204C">
        <w:rPr>
          <w:lang w:val="en-GB"/>
        </w:rPr>
        <w:t>.</w:t>
      </w:r>
    </w:p>
    <w:p w14:paraId="01660646" w14:textId="77777777" w:rsidR="00F814D8" w:rsidRDefault="0056287F" w:rsidP="006B6250">
      <w:pPr>
        <w:numPr>
          <w:ilvl w:val="0"/>
          <w:numId w:val="9"/>
        </w:numPr>
        <w:tabs>
          <w:tab w:val="clear" w:pos="360"/>
          <w:tab w:val="num" w:pos="426"/>
        </w:tabs>
        <w:spacing w:after="120"/>
        <w:ind w:left="425" w:hanging="425"/>
        <w:jc w:val="both"/>
        <w:rPr>
          <w:lang w:val="en-GB"/>
        </w:rPr>
      </w:pPr>
      <w:r>
        <w:rPr>
          <w:lang w:val="en-GB"/>
        </w:rPr>
        <w:t xml:space="preserve">That, for service providers offering multiple Internet Access Services, </w:t>
      </w:r>
      <w:r w:rsidR="00F814D8">
        <w:rPr>
          <w:lang w:val="en-GB"/>
        </w:rPr>
        <w:t>the QoS parameter</w:t>
      </w:r>
      <w:r w:rsidR="003D5F28">
        <w:rPr>
          <w:lang w:val="en-GB"/>
        </w:rPr>
        <w:t xml:space="preserve"> </w:t>
      </w:r>
      <w:r w:rsidR="000F646E">
        <w:rPr>
          <w:lang w:val="en-GB"/>
        </w:rPr>
        <w:t xml:space="preserve">measurement </w:t>
      </w:r>
      <w:r w:rsidR="003D5F28">
        <w:rPr>
          <w:lang w:val="en-GB"/>
        </w:rPr>
        <w:t>value</w:t>
      </w:r>
      <w:r w:rsidR="00F814D8">
        <w:rPr>
          <w:lang w:val="en-GB"/>
        </w:rPr>
        <w:t xml:space="preserve">s should be published </w:t>
      </w:r>
      <w:r>
        <w:rPr>
          <w:lang w:val="en-GB"/>
        </w:rPr>
        <w:t xml:space="preserve">separately </w:t>
      </w:r>
      <w:r w:rsidR="00F814D8">
        <w:rPr>
          <w:lang w:val="en-GB"/>
        </w:rPr>
        <w:t xml:space="preserve">for each </w:t>
      </w:r>
      <w:r>
        <w:rPr>
          <w:lang w:val="en-GB"/>
        </w:rPr>
        <w:t xml:space="preserve">of those services as described in Annex 2. </w:t>
      </w:r>
      <w:r w:rsidR="002D49D9">
        <w:rPr>
          <w:lang w:val="en-GB"/>
        </w:rPr>
        <w:t>In the case where an offer consists of different access technologies, details of the technology should also be provided.</w:t>
      </w:r>
    </w:p>
    <w:p w14:paraId="420B5DA2" w14:textId="77777777" w:rsidR="00027542" w:rsidRDefault="00027542" w:rsidP="006B6250">
      <w:pPr>
        <w:numPr>
          <w:ilvl w:val="0"/>
          <w:numId w:val="9"/>
        </w:numPr>
        <w:tabs>
          <w:tab w:val="clear" w:pos="360"/>
          <w:tab w:val="num" w:pos="426"/>
        </w:tabs>
        <w:spacing w:after="120"/>
        <w:ind w:left="425" w:hanging="425"/>
        <w:jc w:val="both"/>
        <w:rPr>
          <w:lang w:val="en-GB"/>
        </w:rPr>
      </w:pPr>
      <w:r>
        <w:rPr>
          <w:lang w:val="en-GB"/>
        </w:rPr>
        <w:t>That</w:t>
      </w:r>
      <w:r w:rsidR="002E24A1">
        <w:rPr>
          <w:lang w:val="en-GB"/>
        </w:rPr>
        <w:t xml:space="preserve"> the</w:t>
      </w:r>
      <w:r>
        <w:rPr>
          <w:lang w:val="en-GB"/>
        </w:rPr>
        <w:t xml:space="preserve"> publi</w:t>
      </w:r>
      <w:r w:rsidR="002E24A1">
        <w:rPr>
          <w:lang w:val="en-GB"/>
        </w:rPr>
        <w:t>shed</w:t>
      </w:r>
      <w:r>
        <w:rPr>
          <w:lang w:val="en-GB"/>
        </w:rPr>
        <w:t xml:space="preserve"> Qo</w:t>
      </w:r>
      <w:r w:rsidR="001521D5">
        <w:rPr>
          <w:lang w:val="en-GB"/>
        </w:rPr>
        <w:t>S</w:t>
      </w:r>
      <w:r>
        <w:rPr>
          <w:lang w:val="en-GB"/>
        </w:rPr>
        <w:t xml:space="preserve"> parameter</w:t>
      </w:r>
      <w:r w:rsidR="003D5F28">
        <w:rPr>
          <w:lang w:val="en-GB"/>
        </w:rPr>
        <w:t xml:space="preserve"> </w:t>
      </w:r>
      <w:r w:rsidR="000F646E">
        <w:rPr>
          <w:lang w:val="en-GB"/>
        </w:rPr>
        <w:t xml:space="preserve">measurement </w:t>
      </w:r>
      <w:r w:rsidR="003D5F28">
        <w:rPr>
          <w:lang w:val="en-GB"/>
        </w:rPr>
        <w:t>value</w:t>
      </w:r>
      <w:r>
        <w:rPr>
          <w:lang w:val="en-GB"/>
        </w:rPr>
        <w:t>s</w:t>
      </w:r>
      <w:r w:rsidR="00B06423">
        <w:rPr>
          <w:lang w:val="en-GB"/>
        </w:rPr>
        <w:t xml:space="preserve"> should be </w:t>
      </w:r>
      <w:r w:rsidR="00F814D8">
        <w:rPr>
          <w:lang w:val="en-GB"/>
        </w:rPr>
        <w:t xml:space="preserve">periodically </w:t>
      </w:r>
      <w:r w:rsidR="00B06423">
        <w:rPr>
          <w:lang w:val="en-GB"/>
        </w:rPr>
        <w:t>updated ensuring that information on QoS of new</w:t>
      </w:r>
      <w:r w:rsidR="001521D5">
        <w:rPr>
          <w:lang w:val="en-GB"/>
        </w:rPr>
        <w:t xml:space="preserve"> </w:t>
      </w:r>
      <w:r w:rsidR="000F646E">
        <w:rPr>
          <w:lang w:val="en-GB"/>
        </w:rPr>
        <w:t xml:space="preserve">or modified </w:t>
      </w:r>
      <w:r w:rsidR="00941551">
        <w:rPr>
          <w:lang w:val="en-GB"/>
        </w:rPr>
        <w:t>fixed</w:t>
      </w:r>
      <w:r w:rsidR="00861B8B">
        <w:rPr>
          <w:lang w:val="en-GB"/>
        </w:rPr>
        <w:t xml:space="preserve"> </w:t>
      </w:r>
      <w:r w:rsidR="0067204C">
        <w:rPr>
          <w:lang w:val="en-GB"/>
        </w:rPr>
        <w:t>retail</w:t>
      </w:r>
      <w:r w:rsidR="00890311">
        <w:rPr>
          <w:lang w:val="en-GB"/>
        </w:rPr>
        <w:t xml:space="preserve"> </w:t>
      </w:r>
      <w:r w:rsidR="00232450">
        <w:rPr>
          <w:lang w:val="en-GB"/>
        </w:rPr>
        <w:t>Internet access service</w:t>
      </w:r>
      <w:r w:rsidR="001521D5">
        <w:rPr>
          <w:lang w:val="en-GB"/>
        </w:rPr>
        <w:t xml:space="preserve"> offers</w:t>
      </w:r>
      <w:r w:rsidR="00B06423">
        <w:rPr>
          <w:lang w:val="en-GB"/>
        </w:rPr>
        <w:t xml:space="preserve"> is available. </w:t>
      </w:r>
    </w:p>
    <w:p w14:paraId="4913DE27" w14:textId="7AD0FD2D" w:rsidR="003D5F28" w:rsidRDefault="003D5F28" w:rsidP="00890311">
      <w:pPr>
        <w:numPr>
          <w:ilvl w:val="0"/>
          <w:numId w:val="9"/>
        </w:numPr>
        <w:tabs>
          <w:tab w:val="clear" w:pos="360"/>
          <w:tab w:val="num" w:pos="426"/>
        </w:tabs>
        <w:spacing w:after="120"/>
        <w:ind w:left="425" w:hanging="425"/>
        <w:jc w:val="both"/>
        <w:rPr>
          <w:lang w:val="en-GB"/>
        </w:rPr>
      </w:pPr>
      <w:r w:rsidRPr="00812542">
        <w:rPr>
          <w:lang w:val="en-GB"/>
        </w:rPr>
        <w:t xml:space="preserve">That each user should also have the possibility to measure </w:t>
      </w:r>
      <w:r w:rsidR="00B04304">
        <w:rPr>
          <w:lang w:val="en-GB"/>
        </w:rPr>
        <w:t>and verify</w:t>
      </w:r>
      <w:r w:rsidR="003358B9">
        <w:rPr>
          <w:lang w:val="en-GB"/>
        </w:rPr>
        <w:t>,</w:t>
      </w:r>
      <w:r w:rsidRPr="00812542">
        <w:rPr>
          <w:lang w:val="en-GB"/>
        </w:rPr>
        <w:t xml:space="preserve"> at any moment</w:t>
      </w:r>
      <w:r w:rsidR="00874DA4">
        <w:rPr>
          <w:lang w:val="en-GB"/>
        </w:rPr>
        <w:t>,</w:t>
      </w:r>
      <w:r w:rsidRPr="00812542">
        <w:rPr>
          <w:lang w:val="en-GB"/>
        </w:rPr>
        <w:t xml:space="preserve"> the </w:t>
      </w:r>
      <w:r w:rsidR="00F86408">
        <w:rPr>
          <w:lang w:val="en-GB"/>
        </w:rPr>
        <w:t>above-mentioned</w:t>
      </w:r>
      <w:r w:rsidR="00F86408" w:rsidRPr="00812542">
        <w:rPr>
          <w:lang w:val="en-GB"/>
        </w:rPr>
        <w:t xml:space="preserve"> </w:t>
      </w:r>
      <w:r w:rsidRPr="00812542">
        <w:rPr>
          <w:lang w:val="en-GB"/>
        </w:rPr>
        <w:t>QoS parameter values</w:t>
      </w:r>
      <w:r w:rsidR="00F86408">
        <w:rPr>
          <w:lang w:val="en-GB"/>
        </w:rPr>
        <w:t xml:space="preserve"> in a</w:t>
      </w:r>
      <w:r w:rsidR="009036E6">
        <w:rPr>
          <w:lang w:val="en-GB"/>
        </w:rPr>
        <w:t xml:space="preserve"> reliable and</w:t>
      </w:r>
      <w:r w:rsidR="00F86408">
        <w:rPr>
          <w:lang w:val="en-GB"/>
        </w:rPr>
        <w:t xml:space="preserve"> comparable way</w:t>
      </w:r>
      <w:r w:rsidR="0067204C">
        <w:rPr>
          <w:lang w:val="en-GB"/>
        </w:rPr>
        <w:t>.</w:t>
      </w:r>
      <w:r>
        <w:rPr>
          <w:lang w:val="en-GB"/>
        </w:rPr>
        <w:t xml:space="preserve"> </w:t>
      </w:r>
    </w:p>
    <w:p w14:paraId="1A3E5C5B" w14:textId="77777777" w:rsidR="00DC3766" w:rsidRPr="002C1B3E" w:rsidRDefault="00DC3766" w:rsidP="002C1B3E">
      <w:pPr>
        <w:spacing w:after="120"/>
        <w:ind w:left="425"/>
        <w:jc w:val="both"/>
        <w:rPr>
          <w:lang w:val="en-GB"/>
        </w:rPr>
      </w:pPr>
    </w:p>
    <w:p w14:paraId="6569CEE5" w14:textId="77777777" w:rsidR="00B3730E" w:rsidRPr="00890311" w:rsidRDefault="00B3730E" w:rsidP="003D5F28">
      <w:pPr>
        <w:spacing w:after="120"/>
        <w:jc w:val="both"/>
        <w:rPr>
          <w:highlight w:val="yellow"/>
          <w:lang w:val="en-GB"/>
        </w:rPr>
      </w:pPr>
    </w:p>
    <w:p w14:paraId="3E8D945E" w14:textId="4B5F08E9" w:rsidR="00627F3F" w:rsidRPr="0023264E" w:rsidRDefault="00627F3F" w:rsidP="00627F3F">
      <w:pPr>
        <w:pStyle w:val="ECCAnnex-heading1"/>
        <w:rPr>
          <w:b/>
        </w:rPr>
      </w:pPr>
      <w:bookmarkStart w:id="2" w:name="_Toc280099660"/>
      <w:r w:rsidRPr="0023264E">
        <w:rPr>
          <w:b/>
        </w:rPr>
        <w:lastRenderedPageBreak/>
        <w:t>List of reference</w:t>
      </w:r>
      <w:bookmarkEnd w:id="2"/>
      <w:r w:rsidR="00322929">
        <w:rPr>
          <w:b/>
        </w:rPr>
        <w:t>s</w:t>
      </w:r>
    </w:p>
    <w:p w14:paraId="5881BF13" w14:textId="77777777" w:rsidR="00627F3F" w:rsidRDefault="00627F3F" w:rsidP="00627F3F">
      <w:pPr>
        <w:pStyle w:val="ECCParagraph"/>
      </w:pPr>
      <w:r>
        <w:t>This annex contains the list of relevant reference documents.</w:t>
      </w:r>
    </w:p>
    <w:p w14:paraId="048C2F72" w14:textId="77777777" w:rsidR="00627F3F" w:rsidRDefault="00627F3F" w:rsidP="00627F3F">
      <w:pPr>
        <w:pStyle w:val="reference"/>
        <w:numPr>
          <w:ilvl w:val="0"/>
          <w:numId w:val="24"/>
        </w:numPr>
      </w:pPr>
      <w:bookmarkStart w:id="3" w:name="_Ref528314212"/>
      <w:r w:rsidRPr="00627F3F">
        <w:t>Directive 2002/22/EC of the European Parliament and of the Council of 7 March 2002 on universal service and users' rights relating to electronic communications networks and services (Universal Service Directive)</w:t>
      </w:r>
      <w:r>
        <w:t xml:space="preserve"> – March 2002</w:t>
      </w:r>
      <w:r w:rsidR="00A43D77">
        <w:t>.</w:t>
      </w:r>
      <w:bookmarkEnd w:id="3"/>
    </w:p>
    <w:p w14:paraId="1104DF57" w14:textId="77777777" w:rsidR="00627F3F" w:rsidRDefault="00627F3F" w:rsidP="00627F3F">
      <w:pPr>
        <w:pStyle w:val="reference"/>
        <w:numPr>
          <w:ilvl w:val="0"/>
          <w:numId w:val="24"/>
        </w:numPr>
      </w:pPr>
      <w:bookmarkStart w:id="4" w:name="_Ref528314230"/>
      <w:r w:rsidRPr="00627F3F">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r>
        <w:t xml:space="preserve"> – November 2015.</w:t>
      </w:r>
      <w:bookmarkEnd w:id="4"/>
    </w:p>
    <w:p w14:paraId="02F8C58E" w14:textId="77777777" w:rsidR="00D85192" w:rsidRDefault="00627F3F" w:rsidP="00627F3F">
      <w:pPr>
        <w:pStyle w:val="reference"/>
        <w:numPr>
          <w:ilvl w:val="0"/>
          <w:numId w:val="24"/>
        </w:numPr>
      </w:pPr>
      <w:bookmarkStart w:id="5" w:name="_Ref528314307"/>
      <w:r w:rsidRPr="00627F3F">
        <w:t>BoR (16) 127</w:t>
      </w:r>
      <w:r>
        <w:t xml:space="preserve"> - </w:t>
      </w:r>
      <w:r w:rsidRPr="00627F3F">
        <w:t>BEREC Guidelines on the Implementation by National Regulators of European Net Neutrality Rules</w:t>
      </w:r>
      <w:r>
        <w:t xml:space="preserve"> – August 2016</w:t>
      </w:r>
      <w:r w:rsidR="00A43D77">
        <w:t>.</w:t>
      </w:r>
      <w:bookmarkEnd w:id="5"/>
    </w:p>
    <w:p w14:paraId="1CBF8DDD" w14:textId="77777777" w:rsidR="00627F3F" w:rsidRDefault="00681909" w:rsidP="00681909">
      <w:pPr>
        <w:pStyle w:val="reference"/>
        <w:numPr>
          <w:ilvl w:val="0"/>
          <w:numId w:val="24"/>
        </w:numPr>
      </w:pPr>
      <w:bookmarkStart w:id="6" w:name="_Ref528314263"/>
      <w:r w:rsidRPr="00681909">
        <w:t>ECC Report 195</w:t>
      </w:r>
      <w:r>
        <w:t xml:space="preserve"> - Minimum Set of Quality of Service Parameters and Measurement Methods for Retail Internet Access Services – April 2013.</w:t>
      </w:r>
      <w:bookmarkEnd w:id="6"/>
    </w:p>
    <w:p w14:paraId="7BB21061" w14:textId="77777777" w:rsidR="00681909" w:rsidRDefault="00A43D77" w:rsidP="00A43D77">
      <w:pPr>
        <w:pStyle w:val="reference"/>
        <w:numPr>
          <w:ilvl w:val="0"/>
          <w:numId w:val="24"/>
        </w:numPr>
      </w:pPr>
      <w:bookmarkStart w:id="7" w:name="_Ref528314327"/>
      <w:r>
        <w:t>BoR (11) 53 - A framework for Quality of Service in the scope of Net Neutrality – December 2011.</w:t>
      </w:r>
      <w:bookmarkEnd w:id="7"/>
    </w:p>
    <w:p w14:paraId="792B59D0" w14:textId="77777777" w:rsidR="00A43D77" w:rsidRDefault="00A43D77" w:rsidP="00A43D77">
      <w:pPr>
        <w:pStyle w:val="reference"/>
        <w:numPr>
          <w:ilvl w:val="0"/>
          <w:numId w:val="24"/>
        </w:numPr>
      </w:pPr>
      <w:bookmarkStart w:id="8" w:name="_Ref528314330"/>
      <w:r>
        <w:t xml:space="preserve">BoR (12) </w:t>
      </w:r>
      <w:r w:rsidRPr="00A43D77">
        <w:t>131</w:t>
      </w:r>
      <w:r>
        <w:t xml:space="preserve"> - </w:t>
      </w:r>
      <w:r w:rsidRPr="00A43D77">
        <w:t>BEREC Guidelines for quality of service in the scope of net neutrality</w:t>
      </w:r>
      <w:r>
        <w:t xml:space="preserve"> – November 2012.</w:t>
      </w:r>
      <w:bookmarkEnd w:id="8"/>
    </w:p>
    <w:p w14:paraId="0F217514" w14:textId="77777777" w:rsidR="00A43D77" w:rsidRDefault="00A43D77" w:rsidP="00A43D77">
      <w:pPr>
        <w:pStyle w:val="reference"/>
        <w:numPr>
          <w:ilvl w:val="0"/>
          <w:numId w:val="24"/>
        </w:numPr>
      </w:pPr>
      <w:bookmarkStart w:id="9" w:name="_Ref528314335"/>
      <w:r>
        <w:t xml:space="preserve">BoR (14) 117 - </w:t>
      </w:r>
      <w:r w:rsidRPr="00A43D77">
        <w:t>Monitoring quality of Internet access services in the context of net neutrality BEREC report</w:t>
      </w:r>
      <w:r>
        <w:t xml:space="preserve"> – September 2014.</w:t>
      </w:r>
      <w:bookmarkEnd w:id="9"/>
    </w:p>
    <w:p w14:paraId="27331E1B" w14:textId="11954521" w:rsidR="00D85192" w:rsidRDefault="00E04621" w:rsidP="00323263">
      <w:pPr>
        <w:pStyle w:val="reference"/>
        <w:numPr>
          <w:ilvl w:val="0"/>
          <w:numId w:val="24"/>
        </w:numPr>
        <w:rPr>
          <w:rFonts w:cs="Arial"/>
        </w:rPr>
        <w:sectPr w:rsidR="00D85192" w:rsidSect="006B723B">
          <w:headerReference w:type="even" r:id="rId15"/>
          <w:headerReference w:type="default" r:id="rId16"/>
          <w:headerReference w:type="first" r:id="rId17"/>
          <w:pgSz w:w="11907" w:h="16840" w:code="9"/>
          <w:pgMar w:top="1440" w:right="1134" w:bottom="1440" w:left="1134" w:header="709" w:footer="709" w:gutter="0"/>
          <w:cols w:space="708"/>
          <w:docGrid w:linePitch="360"/>
        </w:sectPr>
      </w:pPr>
      <w:bookmarkStart w:id="10" w:name="_Ref528314337"/>
      <w:r w:rsidRPr="00E04621">
        <w:t>BoR (1</w:t>
      </w:r>
      <w:r>
        <w:t>7) 1</w:t>
      </w:r>
      <w:r w:rsidRPr="00E04621">
        <w:t>7</w:t>
      </w:r>
      <w:r>
        <w:t xml:space="preserve">8 - </w:t>
      </w:r>
      <w:r w:rsidRPr="00E04621">
        <w:t>BEREC Net Neutrality Regulatory Assessment Methodology</w:t>
      </w:r>
      <w:r>
        <w:t xml:space="preserve"> – October 2017.</w:t>
      </w:r>
      <w:bookmarkEnd w:id="10"/>
    </w:p>
    <w:p w14:paraId="6F16AF66" w14:textId="0B6C4529" w:rsidR="00305B98" w:rsidRPr="00E92E5A" w:rsidRDefault="00305B98" w:rsidP="00890311">
      <w:pPr>
        <w:pStyle w:val="ECCAnnex-heading1"/>
        <w:rPr>
          <w:b/>
        </w:rPr>
      </w:pPr>
      <w:bookmarkStart w:id="11" w:name="_Toc352915597"/>
      <w:r w:rsidRPr="00E92E5A">
        <w:rPr>
          <w:b/>
        </w:rPr>
        <w:lastRenderedPageBreak/>
        <w:t xml:space="preserve">QoS evaluation of access to </w:t>
      </w:r>
      <w:r w:rsidR="00861B8B">
        <w:rPr>
          <w:b/>
        </w:rPr>
        <w:t>A</w:t>
      </w:r>
      <w:r w:rsidR="004E3843" w:rsidRPr="00E92E5A">
        <w:rPr>
          <w:b/>
        </w:rPr>
        <w:t xml:space="preserve"> single (set of)</w:t>
      </w:r>
      <w:r w:rsidRPr="00E92E5A">
        <w:rPr>
          <w:b/>
        </w:rPr>
        <w:t xml:space="preserve"> national </w:t>
      </w:r>
      <w:r w:rsidR="004E3843" w:rsidRPr="00E92E5A">
        <w:rPr>
          <w:b/>
        </w:rPr>
        <w:t>reference point(s)</w:t>
      </w:r>
      <w:bookmarkEnd w:id="11"/>
    </w:p>
    <w:p w14:paraId="5453C1BB" w14:textId="77777777" w:rsidR="008D79DB" w:rsidRDefault="00305B98" w:rsidP="00661865">
      <w:pPr>
        <w:spacing w:after="240"/>
        <w:jc w:val="both"/>
        <w:rPr>
          <w:szCs w:val="20"/>
          <w:lang w:val="en-GB" w:eastAsia="de-DE"/>
        </w:rPr>
      </w:pPr>
      <w:r w:rsidRPr="00305B98">
        <w:rPr>
          <w:szCs w:val="20"/>
          <w:lang w:val="en-GB" w:eastAsia="de-DE"/>
        </w:rPr>
        <w:t xml:space="preserve">In the QoS evaluation of the access to a </w:t>
      </w:r>
      <w:r w:rsidR="005509C2">
        <w:rPr>
          <w:szCs w:val="20"/>
          <w:lang w:val="en-GB" w:eastAsia="de-DE"/>
        </w:rPr>
        <w:t xml:space="preserve">major or </w:t>
      </w:r>
      <w:r w:rsidRPr="00305B98">
        <w:rPr>
          <w:szCs w:val="20"/>
          <w:lang w:val="en-GB" w:eastAsia="de-DE"/>
        </w:rPr>
        <w:t xml:space="preserve">national </w:t>
      </w:r>
      <w:r w:rsidR="003D2273">
        <w:rPr>
          <w:szCs w:val="20"/>
          <w:lang w:val="en-GB" w:eastAsia="de-DE"/>
        </w:rPr>
        <w:t>I</w:t>
      </w:r>
      <w:r w:rsidRPr="00305B98">
        <w:rPr>
          <w:szCs w:val="20"/>
          <w:lang w:val="en-GB" w:eastAsia="de-DE"/>
        </w:rPr>
        <w:t xml:space="preserve">nternet </w:t>
      </w:r>
      <w:r w:rsidR="003D2273">
        <w:rPr>
          <w:szCs w:val="20"/>
          <w:lang w:val="en-GB" w:eastAsia="de-DE"/>
        </w:rPr>
        <w:t>E</w:t>
      </w:r>
      <w:r w:rsidRPr="00305B98">
        <w:rPr>
          <w:szCs w:val="20"/>
          <w:lang w:val="en-GB" w:eastAsia="de-DE"/>
        </w:rPr>
        <w:t xml:space="preserve">xchange </w:t>
      </w:r>
      <w:r w:rsidR="003D2273">
        <w:rPr>
          <w:szCs w:val="20"/>
          <w:lang w:val="en-GB" w:eastAsia="de-DE"/>
        </w:rPr>
        <w:t>P</w:t>
      </w:r>
      <w:r w:rsidRPr="00305B98">
        <w:rPr>
          <w:szCs w:val="20"/>
          <w:lang w:val="en-GB" w:eastAsia="de-DE"/>
        </w:rPr>
        <w:t xml:space="preserve">oint (IXP), the </w:t>
      </w:r>
      <w:r w:rsidR="003D2273">
        <w:rPr>
          <w:szCs w:val="20"/>
          <w:lang w:val="en-GB" w:eastAsia="de-DE"/>
        </w:rPr>
        <w:t>measurement</w:t>
      </w:r>
      <w:r w:rsidRPr="00305B98">
        <w:rPr>
          <w:szCs w:val="20"/>
          <w:lang w:val="en-GB" w:eastAsia="de-DE"/>
        </w:rPr>
        <w:t xml:space="preserve">-server is </w:t>
      </w:r>
      <w:r w:rsidR="00F92A9E">
        <w:rPr>
          <w:szCs w:val="20"/>
          <w:lang w:val="en-GB" w:eastAsia="de-DE"/>
        </w:rPr>
        <w:t>directly connected to one or more</w:t>
      </w:r>
      <w:r w:rsidR="005509C2">
        <w:rPr>
          <w:szCs w:val="20"/>
          <w:lang w:val="en-GB" w:eastAsia="de-DE"/>
        </w:rPr>
        <w:t xml:space="preserve"> major or</w:t>
      </w:r>
      <w:r w:rsidRPr="00305B98">
        <w:rPr>
          <w:szCs w:val="20"/>
          <w:lang w:val="en-GB" w:eastAsia="de-DE"/>
        </w:rPr>
        <w:t xml:space="preserve"> national IXP</w:t>
      </w:r>
      <w:r w:rsidR="00F92A9E">
        <w:rPr>
          <w:szCs w:val="20"/>
          <w:lang w:val="en-GB" w:eastAsia="de-DE"/>
        </w:rPr>
        <w:t>s</w:t>
      </w:r>
      <w:r w:rsidRPr="00305B98">
        <w:rPr>
          <w:szCs w:val="20"/>
          <w:lang w:val="en-GB" w:eastAsia="de-DE"/>
        </w:rPr>
        <w:t>. This scenario will allow comparing the QoS access to the IXP of the different ISP in a specific country, taking into account a set of parameters specified by the NRA (or other relevant national institutions).</w:t>
      </w:r>
      <w:r w:rsidR="008D79DB">
        <w:rPr>
          <w:szCs w:val="20"/>
          <w:lang w:val="en-GB" w:eastAsia="de-DE"/>
        </w:rPr>
        <w:t xml:space="preserve"> </w:t>
      </w:r>
    </w:p>
    <w:p w14:paraId="2C3C0F82" w14:textId="373E6A13" w:rsidR="00305B98" w:rsidRPr="00305B98" w:rsidRDefault="009A6631" w:rsidP="00323263">
      <w:pPr>
        <w:tabs>
          <w:tab w:val="center" w:pos="7150"/>
          <w:tab w:val="left" w:pos="8216"/>
        </w:tabs>
        <w:spacing w:after="240"/>
        <w:ind w:left="340"/>
        <w:rPr>
          <w:sz w:val="24"/>
          <w:szCs w:val="20"/>
          <w:lang w:val="en-GB" w:eastAsia="de-DE"/>
        </w:rPr>
      </w:pPr>
      <w:r>
        <w:rPr>
          <w:rFonts w:ascii="Calibri" w:eastAsia="Calibri" w:hAnsi="Calibri" w:cs="Arial"/>
          <w:szCs w:val="22"/>
        </w:rPr>
        <w:tab/>
      </w:r>
      <w:r w:rsidR="00EB58EC" w:rsidRPr="004776E9">
        <w:rPr>
          <w:rFonts w:ascii="Calibri" w:eastAsia="Calibri" w:hAnsi="Calibri" w:cs="Arial"/>
          <w:szCs w:val="22"/>
        </w:rPr>
        <w:object w:dxaOrig="9345" w:dyaOrig="3690" w14:anchorId="1E651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24pt" o:ole="">
            <v:imagedata r:id="rId18" o:title=""/>
          </v:shape>
          <o:OLEObject Type="Embed" ProgID="Visio.Drawing.11" ShapeID="_x0000_i1025" DrawAspect="Content" ObjectID="_1605594426" r:id="rId19"/>
        </w:object>
      </w:r>
    </w:p>
    <w:p w14:paraId="172BA946" w14:textId="77777777" w:rsidR="00305B98" w:rsidRPr="00305B98" w:rsidRDefault="00305B98" w:rsidP="005801F7">
      <w:pPr>
        <w:pStyle w:val="ECCFiguretitle"/>
        <w:rPr>
          <w:lang w:eastAsia="de-DE"/>
        </w:rPr>
      </w:pPr>
      <w:r w:rsidRPr="00305B98">
        <w:rPr>
          <w:lang w:eastAsia="de-DE"/>
        </w:rPr>
        <w:t xml:space="preserve">QoS evaluation of access to a </w:t>
      </w:r>
      <w:r w:rsidR="005509C2">
        <w:rPr>
          <w:lang w:eastAsia="de-DE"/>
        </w:rPr>
        <w:t xml:space="preserve">major or </w:t>
      </w:r>
      <w:r w:rsidRPr="00305B98">
        <w:rPr>
          <w:lang w:eastAsia="de-DE"/>
        </w:rPr>
        <w:t>national IXP</w:t>
      </w:r>
    </w:p>
    <w:p w14:paraId="01099B01" w14:textId="3895903B" w:rsidR="009734EE" w:rsidRDefault="009734EE" w:rsidP="009734EE">
      <w:pPr>
        <w:pStyle w:val="ECCAnnex-heading1"/>
        <w:rPr>
          <w:b/>
        </w:rPr>
      </w:pPr>
      <w:r w:rsidRPr="00E92E5A">
        <w:rPr>
          <w:b/>
        </w:rPr>
        <w:lastRenderedPageBreak/>
        <w:t xml:space="preserve">recommended publishing forms for providing information about </w:t>
      </w:r>
      <w:r w:rsidR="005665D9">
        <w:rPr>
          <w:b/>
        </w:rPr>
        <w:t>FIXED</w:t>
      </w:r>
      <w:r w:rsidR="00861B8B">
        <w:rPr>
          <w:b/>
        </w:rPr>
        <w:t xml:space="preserve"> </w:t>
      </w:r>
      <w:r w:rsidRPr="00E92E5A">
        <w:rPr>
          <w:b/>
        </w:rPr>
        <w:t>retail IASQ</w:t>
      </w:r>
    </w:p>
    <w:p w14:paraId="688C2E28" w14:textId="2FD239C1" w:rsidR="00D85192" w:rsidRPr="002C1B3E" w:rsidRDefault="00760863" w:rsidP="0023264E">
      <w:pPr>
        <w:pStyle w:val="ECCTabletitle"/>
      </w:pPr>
      <w:r w:rsidRPr="002C1B3E">
        <w:t xml:space="preserve">Recommended publishing form for providing </w:t>
      </w:r>
      <w:r w:rsidR="00FE2EE2" w:rsidRPr="002C1B3E">
        <w:t xml:space="preserve">required </w:t>
      </w:r>
      <w:r w:rsidR="00F53100">
        <w:rPr>
          <w:szCs w:val="20"/>
        </w:rPr>
        <w:t>–</w:t>
      </w:r>
      <w:r w:rsidR="00F53100" w:rsidRPr="004942C7">
        <w:rPr>
          <w:szCs w:val="20"/>
        </w:rPr>
        <w:t xml:space="preserve"> </w:t>
      </w:r>
      <w:r w:rsidR="00FE2EE2" w:rsidRPr="002C1B3E">
        <w:t>minimum information</w:t>
      </w:r>
      <w:r w:rsidRPr="002C1B3E">
        <w:t xml:space="preserve"> </w:t>
      </w:r>
      <w:r w:rsidR="00FE2EE2" w:rsidRPr="002C1B3E">
        <w:t xml:space="preserve">about </w:t>
      </w:r>
      <w:r w:rsidRPr="002C1B3E">
        <w:t>QoS</w:t>
      </w:r>
    </w:p>
    <w:p w14:paraId="64D3A898" w14:textId="77777777" w:rsidR="00E92E5A" w:rsidRPr="002C1B3E" w:rsidRDefault="00E92E5A" w:rsidP="002C1B3E">
      <w:pPr>
        <w:rPr>
          <w:b/>
          <w:sz w:val="24"/>
        </w:rPr>
      </w:pPr>
    </w:p>
    <w:tbl>
      <w:tblPr>
        <w:tblW w:w="4788"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7"/>
        <w:gridCol w:w="2973"/>
        <w:gridCol w:w="2699"/>
        <w:gridCol w:w="3402"/>
        <w:gridCol w:w="2834"/>
      </w:tblGrid>
      <w:tr w:rsidR="00DD0A52" w:rsidRPr="00FE1795" w14:paraId="4C412BB2" w14:textId="77777777" w:rsidTr="0023264E">
        <w:trPr>
          <w:tblHeader/>
        </w:trPr>
        <w:tc>
          <w:tcPr>
            <w:tcW w:w="170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6F7C263" w14:textId="77777777" w:rsidR="00DD0A52" w:rsidRPr="00DD0A52" w:rsidRDefault="00DD0A52" w:rsidP="00661865">
            <w:pPr>
              <w:spacing w:before="60" w:after="60"/>
              <w:jc w:val="center"/>
              <w:rPr>
                <w:b/>
                <w:color w:val="FFFFFF" w:themeColor="background1"/>
                <w:szCs w:val="20"/>
                <w:lang w:val="en-GB"/>
              </w:rPr>
            </w:pPr>
            <w:bookmarkStart w:id="12" w:name="_GoBack" w:colFirst="0" w:colLast="2"/>
            <w:r w:rsidRPr="00DD0A52">
              <w:rPr>
                <w:b/>
                <w:color w:val="FFFFFF" w:themeColor="background1"/>
                <w:szCs w:val="20"/>
                <w:lang w:val="en-GB"/>
              </w:rPr>
              <w:t>Name of ISP:</w:t>
            </w:r>
          </w:p>
        </w:tc>
        <w:tc>
          <w:tcPr>
            <w:tcW w:w="3291"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9E90A6A" w14:textId="77777777" w:rsidR="00DD0A52" w:rsidRPr="00DD0A52" w:rsidRDefault="00DD0A52" w:rsidP="00E06F3B">
            <w:pPr>
              <w:spacing w:before="60" w:after="60"/>
              <w:jc w:val="center"/>
              <w:rPr>
                <w:b/>
                <w:color w:val="FFFFFF" w:themeColor="background1"/>
                <w:szCs w:val="20"/>
                <w:lang w:val="en-GB"/>
              </w:rPr>
            </w:pPr>
            <w:r w:rsidRPr="00DD0A52">
              <w:rPr>
                <w:b/>
                <w:color w:val="FFFFFF" w:themeColor="background1"/>
                <w:szCs w:val="20"/>
                <w:lang w:val="en-GB"/>
              </w:rPr>
              <w:t>Date of Publication:</w:t>
            </w:r>
          </w:p>
        </w:tc>
      </w:tr>
      <w:bookmarkEnd w:id="12"/>
      <w:tr w:rsidR="002C1B3E" w:rsidRPr="00FE1795" w14:paraId="2B9B76CE" w14:textId="77777777" w:rsidTr="0023264E">
        <w:trPr>
          <w:tblHeader/>
        </w:trPr>
        <w:tc>
          <w:tcPr>
            <w:tcW w:w="6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B36256D" w14:textId="77777777" w:rsidR="00DD0A52" w:rsidRPr="00DD0A52" w:rsidRDefault="00DD0A52" w:rsidP="00661865">
            <w:pPr>
              <w:spacing w:before="60" w:after="60" w:line="288" w:lineRule="auto"/>
              <w:jc w:val="center"/>
              <w:rPr>
                <w:b/>
                <w:color w:val="FFFFFF" w:themeColor="background1"/>
                <w:szCs w:val="20"/>
              </w:rPr>
            </w:pPr>
          </w:p>
        </w:tc>
        <w:tc>
          <w:tcPr>
            <w:tcW w:w="10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46B7AA" w14:textId="2EFE800C" w:rsidR="00DD0A52" w:rsidRPr="002C1B3E" w:rsidRDefault="00E83E3C" w:rsidP="00661865">
            <w:pPr>
              <w:spacing w:before="60" w:after="60"/>
              <w:jc w:val="center"/>
              <w:rPr>
                <w:color w:val="FFFFFF" w:themeColor="background1"/>
              </w:rPr>
            </w:pPr>
            <w:r w:rsidRPr="00B272BB">
              <w:rPr>
                <w:color w:val="FFFFFF" w:themeColor="background1"/>
                <w:szCs w:val="20"/>
              </w:rPr>
              <w:t xml:space="preserve">Advertised </w:t>
            </w:r>
            <w:r w:rsidRPr="00B272BB">
              <w:rPr>
                <w:bCs/>
                <w:color w:val="FFFFFF" w:themeColor="background1"/>
                <w:szCs w:val="20"/>
                <w:lang w:val="en-GB"/>
              </w:rPr>
              <w:t>download/upload</w:t>
            </w:r>
            <w:r w:rsidRPr="00B803FE">
              <w:rPr>
                <w:color w:val="FFFFFF" w:themeColor="background1"/>
                <w:lang w:val="en-GB"/>
              </w:rPr>
              <w:t xml:space="preserve"> transmission speed</w:t>
            </w:r>
            <w:r w:rsidRPr="00B803FE">
              <w:rPr>
                <w:color w:val="FFFFFF" w:themeColor="background1"/>
                <w:lang w:val="en-GB"/>
              </w:rPr>
              <w:br/>
              <w:t xml:space="preserve"> [</w:t>
            </w:r>
            <w:proofErr w:type="spellStart"/>
            <w:r w:rsidRPr="00B803FE">
              <w:rPr>
                <w:color w:val="FFFFFF" w:themeColor="background1"/>
                <w:lang w:val="en-GB"/>
              </w:rPr>
              <w:t>kbit</w:t>
            </w:r>
            <w:proofErr w:type="spellEnd"/>
            <w:r w:rsidRPr="00B803FE">
              <w:rPr>
                <w:color w:val="FFFFFF" w:themeColor="background1"/>
                <w:lang w:val="en-GB"/>
              </w:rPr>
              <w:t>/s] or [Mbit/s]</w:t>
            </w:r>
          </w:p>
        </w:tc>
        <w:tc>
          <w:tcPr>
            <w:tcW w:w="9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F00D258" w14:textId="247EA688" w:rsidR="00DD0A52" w:rsidRPr="002C1B3E" w:rsidRDefault="00E83E3C" w:rsidP="002C1B3E">
            <w:pPr>
              <w:spacing w:before="60" w:after="60"/>
              <w:rPr>
                <w:color w:val="FFFFFF" w:themeColor="background1"/>
              </w:rPr>
            </w:pPr>
            <w:r w:rsidRPr="00B272BB">
              <w:rPr>
                <w:color w:val="FFFFFF" w:themeColor="background1"/>
                <w:szCs w:val="20"/>
              </w:rPr>
              <w:t xml:space="preserve">Maximum </w:t>
            </w:r>
            <w:r w:rsidRPr="00B272BB">
              <w:rPr>
                <w:bCs/>
                <w:color w:val="FFFFFF" w:themeColor="background1"/>
                <w:szCs w:val="20"/>
                <w:lang w:val="en-GB"/>
              </w:rPr>
              <w:t>download/upload</w:t>
            </w:r>
            <w:r w:rsidR="00DD0A52" w:rsidRPr="002C1B3E">
              <w:rPr>
                <w:color w:val="FFFFFF" w:themeColor="background1"/>
                <w:lang w:val="en-GB"/>
              </w:rPr>
              <w:t xml:space="preserve"> transmission speed</w:t>
            </w:r>
            <w:r w:rsidR="00DD0A52" w:rsidRPr="002C1B3E">
              <w:rPr>
                <w:color w:val="FFFFFF" w:themeColor="background1"/>
                <w:lang w:val="en-GB"/>
              </w:rPr>
              <w:br/>
              <w:t xml:space="preserve"> [kbit/s] or [Mbit/s]</w:t>
            </w:r>
          </w:p>
        </w:tc>
        <w:tc>
          <w:tcPr>
            <w:tcW w:w="12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D924EC9" w14:textId="6636CF93" w:rsidR="00DD0A52" w:rsidRPr="002C1B3E" w:rsidRDefault="00E83E3C" w:rsidP="00661865">
            <w:pPr>
              <w:spacing w:before="60" w:after="60"/>
              <w:jc w:val="center"/>
              <w:rPr>
                <w:color w:val="FFFFFF" w:themeColor="background1"/>
                <w:lang w:val="en-GB"/>
              </w:rPr>
            </w:pPr>
            <w:r w:rsidRPr="00B272BB">
              <w:rPr>
                <w:bCs/>
                <w:color w:val="FFFFFF" w:themeColor="background1"/>
                <w:szCs w:val="20"/>
                <w:lang w:val="en-GB"/>
              </w:rPr>
              <w:t>Minimum download/upload</w:t>
            </w:r>
            <w:r w:rsidR="00DD0A52" w:rsidRPr="002C1B3E">
              <w:rPr>
                <w:color w:val="FFFFFF" w:themeColor="background1"/>
                <w:lang w:val="en-GB"/>
              </w:rPr>
              <w:t xml:space="preserve"> transmission speed</w:t>
            </w:r>
            <w:r w:rsidR="00DD0A52" w:rsidRPr="002C1B3E">
              <w:rPr>
                <w:color w:val="FFFFFF" w:themeColor="background1"/>
                <w:lang w:val="en-GB"/>
              </w:rPr>
              <w:br/>
              <w:t xml:space="preserve"> [kbit/s] or [Mbit/s]</w:t>
            </w:r>
          </w:p>
        </w:tc>
        <w:tc>
          <w:tcPr>
            <w:tcW w:w="10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0E56689" w14:textId="77777777" w:rsidR="00E83E3C" w:rsidRPr="00B272BB" w:rsidRDefault="00E83E3C" w:rsidP="0023264E">
            <w:pPr>
              <w:spacing w:before="60" w:after="60"/>
              <w:jc w:val="center"/>
              <w:rPr>
                <w:bCs/>
                <w:color w:val="FFFFFF" w:themeColor="background1"/>
                <w:szCs w:val="20"/>
                <w:lang w:val="en-GB"/>
              </w:rPr>
            </w:pPr>
            <w:r w:rsidRPr="00B272BB">
              <w:rPr>
                <w:bCs/>
                <w:color w:val="FFFFFF" w:themeColor="background1"/>
                <w:szCs w:val="20"/>
                <w:lang w:val="en-GB"/>
              </w:rPr>
              <w:t>Normally available download/upload transmission speed</w:t>
            </w:r>
            <w:r w:rsidRPr="00B272BB">
              <w:rPr>
                <w:color w:val="FFFFFF" w:themeColor="background1"/>
                <w:szCs w:val="20"/>
                <w:lang w:val="en-GB"/>
              </w:rPr>
              <w:br/>
            </w:r>
            <w:r w:rsidRPr="00B272BB">
              <w:rPr>
                <w:bCs/>
                <w:color w:val="FFFFFF" w:themeColor="background1"/>
                <w:szCs w:val="20"/>
                <w:lang w:val="en-GB"/>
              </w:rPr>
              <w:t xml:space="preserve"> [kbit/s] or [Mbit/s]</w:t>
            </w:r>
          </w:p>
        </w:tc>
      </w:tr>
      <w:tr w:rsidR="00BA56E0" w14:paraId="76F5E09F" w14:textId="77777777" w:rsidTr="0023264E">
        <w:trPr>
          <w:trHeight w:val="2642"/>
        </w:trPr>
        <w:tc>
          <w:tcPr>
            <w:tcW w:w="614" w:type="pct"/>
            <w:tcBorders>
              <w:top w:val="single" w:sz="4" w:space="0" w:color="FFFFFF" w:themeColor="background1"/>
            </w:tcBorders>
            <w:vAlign w:val="center"/>
          </w:tcPr>
          <w:p w14:paraId="06297902" w14:textId="5FC62D1E" w:rsidR="00DD0A52" w:rsidRPr="00DD0A52" w:rsidRDefault="00DD0A52" w:rsidP="00742BB1">
            <w:pPr>
              <w:spacing w:before="60" w:after="60"/>
              <w:rPr>
                <w:szCs w:val="20"/>
                <w:lang w:val="en-GB"/>
              </w:rPr>
            </w:pPr>
            <w:r w:rsidRPr="00DD0A52">
              <w:rPr>
                <w:szCs w:val="20"/>
                <w:lang w:val="en-GB"/>
              </w:rPr>
              <w:t xml:space="preserve">Offer </w:t>
            </w:r>
            <w:r w:rsidR="00E83E3C">
              <w:rPr>
                <w:szCs w:val="20"/>
                <w:lang w:val="en-GB"/>
              </w:rPr>
              <w:t>“1”*</w:t>
            </w:r>
          </w:p>
        </w:tc>
        <w:tc>
          <w:tcPr>
            <w:tcW w:w="1095" w:type="pct"/>
            <w:tcBorders>
              <w:top w:val="single" w:sz="4" w:space="0" w:color="FFFFFF" w:themeColor="background1"/>
              <w:right w:val="single" w:sz="4" w:space="0" w:color="D2232A"/>
            </w:tcBorders>
            <w:vAlign w:val="center"/>
          </w:tcPr>
          <w:p w14:paraId="0013EFBD" w14:textId="77777777" w:rsidR="00DD0A52" w:rsidRDefault="00DD0A52" w:rsidP="00742BB1">
            <w:pPr>
              <w:spacing w:line="288" w:lineRule="auto"/>
            </w:pPr>
          </w:p>
        </w:tc>
        <w:tc>
          <w:tcPr>
            <w:tcW w:w="994" w:type="pct"/>
            <w:tcBorders>
              <w:top w:val="single" w:sz="4" w:space="0" w:color="FFFFFF" w:themeColor="background1"/>
              <w:left w:val="single" w:sz="4" w:space="0" w:color="D2232A"/>
            </w:tcBorders>
            <w:vAlign w:val="center"/>
          </w:tcPr>
          <w:p w14:paraId="17E0C702" w14:textId="77777777" w:rsidR="00DD0A52" w:rsidRDefault="00DD0A52" w:rsidP="00742BB1">
            <w:pPr>
              <w:spacing w:line="288" w:lineRule="auto"/>
            </w:pPr>
          </w:p>
        </w:tc>
        <w:tc>
          <w:tcPr>
            <w:tcW w:w="1253" w:type="pct"/>
            <w:tcBorders>
              <w:top w:val="single" w:sz="4" w:space="0" w:color="FFFFFF" w:themeColor="background1"/>
            </w:tcBorders>
            <w:vAlign w:val="center"/>
          </w:tcPr>
          <w:p w14:paraId="253F44B0" w14:textId="77777777" w:rsidR="00DD0A52" w:rsidRDefault="00DD0A52" w:rsidP="00742BB1">
            <w:pPr>
              <w:spacing w:line="288" w:lineRule="auto"/>
            </w:pPr>
          </w:p>
        </w:tc>
        <w:tc>
          <w:tcPr>
            <w:tcW w:w="1044" w:type="pct"/>
            <w:tcBorders>
              <w:top w:val="single" w:sz="4" w:space="0" w:color="FFFFFF" w:themeColor="background1"/>
            </w:tcBorders>
            <w:vAlign w:val="center"/>
          </w:tcPr>
          <w:p w14:paraId="073AD479" w14:textId="77777777" w:rsidR="00E83E3C" w:rsidRPr="00B272BB" w:rsidRDefault="00E83E3C" w:rsidP="004C06A1">
            <w:pPr>
              <w:spacing w:line="288" w:lineRule="auto"/>
              <w:rPr>
                <w:szCs w:val="20"/>
              </w:rPr>
            </w:pPr>
          </w:p>
        </w:tc>
      </w:tr>
      <w:tr w:rsidR="00BA56E0" w14:paraId="06C10570" w14:textId="77777777" w:rsidTr="0023264E">
        <w:trPr>
          <w:trHeight w:val="626"/>
        </w:trPr>
        <w:tc>
          <w:tcPr>
            <w:tcW w:w="614" w:type="pct"/>
            <w:vAlign w:val="center"/>
          </w:tcPr>
          <w:p w14:paraId="51B73C94" w14:textId="50BDB542" w:rsidR="00DD0A52" w:rsidRPr="00DD0A52" w:rsidRDefault="00DD0A52" w:rsidP="00742BB1">
            <w:pPr>
              <w:spacing w:before="60" w:after="60"/>
              <w:rPr>
                <w:szCs w:val="20"/>
                <w:lang w:val="en-GB"/>
              </w:rPr>
            </w:pPr>
            <w:r w:rsidRPr="00DD0A52">
              <w:rPr>
                <w:szCs w:val="20"/>
                <w:lang w:val="en-GB"/>
              </w:rPr>
              <w:t xml:space="preserve">Offer </w:t>
            </w:r>
            <w:r w:rsidR="00E83E3C">
              <w:rPr>
                <w:szCs w:val="20"/>
                <w:lang w:val="en-GB"/>
              </w:rPr>
              <w:t>“2”*</w:t>
            </w:r>
          </w:p>
        </w:tc>
        <w:tc>
          <w:tcPr>
            <w:tcW w:w="1095" w:type="pct"/>
            <w:tcBorders>
              <w:right w:val="single" w:sz="4" w:space="0" w:color="D2232A"/>
            </w:tcBorders>
            <w:vAlign w:val="center"/>
          </w:tcPr>
          <w:p w14:paraId="7D9BEDAD" w14:textId="77777777" w:rsidR="00DD0A52" w:rsidRPr="00BA56E0" w:rsidRDefault="00DD0A52" w:rsidP="00742BB1">
            <w:pPr>
              <w:spacing w:line="288" w:lineRule="auto"/>
            </w:pPr>
          </w:p>
        </w:tc>
        <w:tc>
          <w:tcPr>
            <w:tcW w:w="994" w:type="pct"/>
            <w:tcBorders>
              <w:left w:val="single" w:sz="4" w:space="0" w:color="D2232A"/>
            </w:tcBorders>
            <w:vAlign w:val="center"/>
          </w:tcPr>
          <w:p w14:paraId="61FA05F9" w14:textId="77777777" w:rsidR="00DD0A52" w:rsidRDefault="00DD0A52" w:rsidP="00742BB1">
            <w:pPr>
              <w:spacing w:line="288" w:lineRule="auto"/>
            </w:pPr>
          </w:p>
        </w:tc>
        <w:tc>
          <w:tcPr>
            <w:tcW w:w="1253" w:type="pct"/>
            <w:vAlign w:val="center"/>
          </w:tcPr>
          <w:p w14:paraId="4FC412AC" w14:textId="77777777" w:rsidR="00DD0A52" w:rsidRPr="0052738E" w:rsidRDefault="00DD0A52" w:rsidP="00742BB1">
            <w:pPr>
              <w:spacing w:line="288" w:lineRule="auto"/>
            </w:pPr>
          </w:p>
        </w:tc>
        <w:tc>
          <w:tcPr>
            <w:tcW w:w="1044" w:type="pct"/>
            <w:vAlign w:val="center"/>
          </w:tcPr>
          <w:p w14:paraId="300D3BEF" w14:textId="77777777" w:rsidR="00E83E3C" w:rsidRPr="00B272BB" w:rsidRDefault="00E83E3C" w:rsidP="004C06A1">
            <w:pPr>
              <w:spacing w:line="288" w:lineRule="auto"/>
              <w:rPr>
                <w:szCs w:val="20"/>
              </w:rPr>
            </w:pPr>
          </w:p>
        </w:tc>
      </w:tr>
      <w:tr w:rsidR="00BA56E0" w14:paraId="36FAE004" w14:textId="77777777" w:rsidTr="0023264E">
        <w:trPr>
          <w:trHeight w:val="626"/>
        </w:trPr>
        <w:tc>
          <w:tcPr>
            <w:tcW w:w="614" w:type="pct"/>
            <w:vAlign w:val="center"/>
          </w:tcPr>
          <w:p w14:paraId="35FA4359" w14:textId="18DF8B42" w:rsidR="00DD0A52" w:rsidRPr="00DD0A52" w:rsidRDefault="00DD0A52" w:rsidP="00742BB1">
            <w:pPr>
              <w:spacing w:before="60" w:after="60"/>
              <w:rPr>
                <w:szCs w:val="20"/>
                <w:lang w:val="en-GB"/>
              </w:rPr>
            </w:pPr>
            <w:r w:rsidRPr="00DD0A52">
              <w:rPr>
                <w:szCs w:val="20"/>
                <w:lang w:val="en-GB"/>
              </w:rPr>
              <w:t xml:space="preserve">Offer </w:t>
            </w:r>
            <w:r w:rsidR="00E83E3C">
              <w:rPr>
                <w:szCs w:val="20"/>
                <w:lang w:val="en-GB"/>
              </w:rPr>
              <w:t>“</w:t>
            </w:r>
            <w:r w:rsidR="00E83E3C" w:rsidRPr="00E83E3C">
              <w:rPr>
                <w:i/>
                <w:szCs w:val="20"/>
                <w:lang w:val="en-GB"/>
              </w:rPr>
              <w:t>n</w:t>
            </w:r>
            <w:r w:rsidR="00E83E3C">
              <w:rPr>
                <w:szCs w:val="20"/>
                <w:lang w:val="en-GB"/>
              </w:rPr>
              <w:t>”*</w:t>
            </w:r>
          </w:p>
        </w:tc>
        <w:tc>
          <w:tcPr>
            <w:tcW w:w="1095" w:type="pct"/>
            <w:tcBorders>
              <w:right w:val="single" w:sz="4" w:space="0" w:color="D2232A"/>
            </w:tcBorders>
            <w:vAlign w:val="center"/>
          </w:tcPr>
          <w:p w14:paraId="5CF686DF" w14:textId="77777777" w:rsidR="00DD0A52" w:rsidRPr="00BA56E0" w:rsidRDefault="00DD0A52" w:rsidP="00742BB1">
            <w:pPr>
              <w:spacing w:line="288" w:lineRule="auto"/>
            </w:pPr>
          </w:p>
        </w:tc>
        <w:tc>
          <w:tcPr>
            <w:tcW w:w="994" w:type="pct"/>
            <w:tcBorders>
              <w:left w:val="single" w:sz="4" w:space="0" w:color="D2232A"/>
            </w:tcBorders>
            <w:vAlign w:val="center"/>
          </w:tcPr>
          <w:p w14:paraId="78A0F52C" w14:textId="77777777" w:rsidR="00DD0A52" w:rsidRDefault="00DD0A52" w:rsidP="00742BB1">
            <w:pPr>
              <w:spacing w:line="288" w:lineRule="auto"/>
            </w:pPr>
          </w:p>
        </w:tc>
        <w:tc>
          <w:tcPr>
            <w:tcW w:w="1253" w:type="pct"/>
            <w:vAlign w:val="center"/>
          </w:tcPr>
          <w:p w14:paraId="51EA82DB" w14:textId="77777777" w:rsidR="00DD0A52" w:rsidRPr="0052738E" w:rsidRDefault="00DD0A52" w:rsidP="00742BB1">
            <w:pPr>
              <w:spacing w:line="288" w:lineRule="auto"/>
            </w:pPr>
          </w:p>
        </w:tc>
        <w:tc>
          <w:tcPr>
            <w:tcW w:w="1044" w:type="pct"/>
            <w:vAlign w:val="center"/>
          </w:tcPr>
          <w:p w14:paraId="2CAAFEBA" w14:textId="77777777" w:rsidR="00E83E3C" w:rsidRPr="00B272BB" w:rsidRDefault="00E83E3C" w:rsidP="004C06A1">
            <w:pPr>
              <w:spacing w:line="288" w:lineRule="auto"/>
              <w:rPr>
                <w:szCs w:val="20"/>
              </w:rPr>
            </w:pPr>
          </w:p>
        </w:tc>
      </w:tr>
    </w:tbl>
    <w:p w14:paraId="5170C701" w14:textId="52EE1421" w:rsidR="00E83E3C" w:rsidRDefault="00F53100" w:rsidP="00F53100">
      <w:r>
        <w:t>Note</w:t>
      </w:r>
      <w:r w:rsidR="00E83E3C">
        <w:t>s:</w:t>
      </w:r>
    </w:p>
    <w:p w14:paraId="6E8F4B20" w14:textId="77777777" w:rsidR="00F53100" w:rsidRDefault="00E83E3C" w:rsidP="00AA2564">
      <w:r>
        <w:t>*Offer name and description which could include access technology</w:t>
      </w:r>
      <w:r w:rsidR="00AA2564">
        <w:t>.</w:t>
      </w:r>
    </w:p>
    <w:p w14:paraId="0A41FBB2" w14:textId="77777777" w:rsidR="00661865" w:rsidRDefault="00E83E3C" w:rsidP="002C1B3E">
      <w:r w:rsidRPr="00AA2564">
        <w:rPr>
          <w:szCs w:val="20"/>
        </w:rPr>
        <w:t>**</w:t>
      </w:r>
      <w:r w:rsidR="00DD0A52">
        <w:t xml:space="preserve"> A</w:t>
      </w:r>
      <w:r w:rsidR="00DD0A52" w:rsidRPr="00FB1883">
        <w:t xml:space="preserve"> description of the QoS evaluation methodology should be provided together with the QoS parameter measurement values</w:t>
      </w:r>
      <w:r w:rsidR="00661865">
        <w:t>.</w:t>
      </w:r>
    </w:p>
    <w:p w14:paraId="206192E3" w14:textId="1308792B" w:rsidR="00F53100" w:rsidRPr="005C23A0" w:rsidRDefault="00F53100" w:rsidP="00F53100">
      <w:pPr>
        <w:pStyle w:val="ECCAnnex-heading1"/>
        <w:rPr>
          <w:b/>
        </w:rPr>
      </w:pPr>
      <w:r w:rsidRPr="005C23A0">
        <w:rPr>
          <w:b/>
        </w:rPr>
        <w:lastRenderedPageBreak/>
        <w:t xml:space="preserve">recommended publishing forms for providing detailed overview of </w:t>
      </w:r>
      <w:r w:rsidR="00A80C97">
        <w:rPr>
          <w:b/>
        </w:rPr>
        <w:t>FIXED</w:t>
      </w:r>
      <w:r w:rsidR="00535994">
        <w:rPr>
          <w:b/>
        </w:rPr>
        <w:t xml:space="preserve"> Retail</w:t>
      </w:r>
      <w:r w:rsidR="00A80C97">
        <w:rPr>
          <w:b/>
        </w:rPr>
        <w:t xml:space="preserve"> IAS</w:t>
      </w:r>
      <w:r w:rsidRPr="005C23A0">
        <w:rPr>
          <w:b/>
        </w:rPr>
        <w:t>Q</w:t>
      </w:r>
    </w:p>
    <w:p w14:paraId="5A4CE348" w14:textId="74832B84" w:rsidR="00D85192" w:rsidRPr="002C1B3E" w:rsidRDefault="00760863" w:rsidP="0023264E">
      <w:pPr>
        <w:pStyle w:val="ECCTabletitle"/>
      </w:pPr>
      <w:r w:rsidRPr="002C1B3E">
        <w:t xml:space="preserve"> Recommended publishing form for providing </w:t>
      </w:r>
      <w:r w:rsidR="00F53100" w:rsidRPr="004942C7">
        <w:rPr>
          <w:szCs w:val="20"/>
        </w:rPr>
        <w:t>required</w:t>
      </w:r>
      <w:r w:rsidR="00F53100">
        <w:rPr>
          <w:szCs w:val="20"/>
        </w:rPr>
        <w:t xml:space="preserve"> –</w:t>
      </w:r>
      <w:r w:rsidR="00F53100" w:rsidRPr="004942C7">
        <w:rPr>
          <w:szCs w:val="20"/>
        </w:rPr>
        <w:t xml:space="preserve"> </w:t>
      </w:r>
      <w:r w:rsidRPr="002C1B3E">
        <w:t xml:space="preserve">detailed </w:t>
      </w:r>
      <w:r w:rsidR="00F53100" w:rsidRPr="004942C7">
        <w:rPr>
          <w:szCs w:val="20"/>
        </w:rPr>
        <w:t>information about</w:t>
      </w:r>
      <w:r w:rsidRPr="002C1B3E">
        <w:t xml:space="preserve"> QoS</w:t>
      </w:r>
    </w:p>
    <w:p w14:paraId="52B832AC" w14:textId="77777777" w:rsidR="00DD0A52" w:rsidRPr="002C1B3E" w:rsidRDefault="00DD0A52" w:rsidP="002C1B3E">
      <w:pPr>
        <w:rPr>
          <w:b/>
          <w:sz w:val="24"/>
        </w:rPr>
      </w:pPr>
    </w:p>
    <w:tbl>
      <w:tblPr>
        <w:tblW w:w="4559"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61"/>
        <w:gridCol w:w="1955"/>
        <w:gridCol w:w="1955"/>
        <w:gridCol w:w="2416"/>
        <w:gridCol w:w="1955"/>
        <w:gridCol w:w="1076"/>
        <w:gridCol w:w="1832"/>
        <w:gridCol w:w="1076"/>
      </w:tblGrid>
      <w:tr w:rsidR="00DD0A52" w:rsidRPr="00DD0A52" w14:paraId="0F3CFABC" w14:textId="77777777" w:rsidTr="002C1B3E">
        <w:trPr>
          <w:tblHead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F7CD170" w14:textId="77777777" w:rsidR="00DD0A52" w:rsidRPr="0035451D" w:rsidRDefault="00DD0A52" w:rsidP="00661865">
            <w:pPr>
              <w:spacing w:before="60" w:after="60"/>
              <w:jc w:val="center"/>
              <w:rPr>
                <w:b/>
                <w:color w:val="FFFFFF" w:themeColor="background1"/>
                <w:szCs w:val="20"/>
                <w:lang w:val="en-GB"/>
              </w:rPr>
            </w:pPr>
            <w:r w:rsidRPr="0035451D">
              <w:rPr>
                <w:b/>
                <w:color w:val="FFFFFF" w:themeColor="background1"/>
                <w:szCs w:val="20"/>
                <w:lang w:val="en-GB"/>
              </w:rPr>
              <w:t>Name of ISP:</w:t>
            </w:r>
          </w:p>
        </w:tc>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27BB789" w14:textId="77777777" w:rsidR="00DD0A52" w:rsidRPr="0035451D" w:rsidRDefault="00DD0A52" w:rsidP="0023264E">
            <w:pPr>
              <w:spacing w:before="60" w:after="60"/>
              <w:jc w:val="center"/>
              <w:rPr>
                <w:b/>
                <w:color w:val="FFFFFF" w:themeColor="background1"/>
                <w:szCs w:val="20"/>
                <w:lang w:val="en-GB"/>
              </w:rPr>
            </w:pPr>
            <w:r w:rsidRPr="0035451D">
              <w:rPr>
                <w:b/>
                <w:color w:val="FFFFFF" w:themeColor="background1"/>
                <w:szCs w:val="20"/>
                <w:lang w:val="en-GB"/>
              </w:rPr>
              <w:t>Date of Publication:</w:t>
            </w:r>
          </w:p>
        </w:tc>
      </w:tr>
      <w:tr w:rsidR="002C1B3E" w:rsidRPr="00DD0A52" w14:paraId="53DF1297" w14:textId="77777777" w:rsidTr="00CF2775">
        <w:trPr>
          <w:tblHeader/>
        </w:trPr>
        <w:tc>
          <w:tcPr>
            <w:tcW w:w="4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16BAA6E" w14:textId="77777777" w:rsidR="00DD0A52" w:rsidRPr="00DD0A52" w:rsidRDefault="00DD0A52" w:rsidP="00BA56E0">
            <w:pPr>
              <w:spacing w:before="60" w:after="60" w:line="288" w:lineRule="auto"/>
              <w:jc w:val="center"/>
              <w:rPr>
                <w:b/>
                <w:color w:val="FFFFFF" w:themeColor="background1"/>
                <w:szCs w:val="20"/>
              </w:rPr>
            </w:pPr>
          </w:p>
        </w:tc>
        <w:tc>
          <w:tcPr>
            <w:tcW w:w="6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A761747" w14:textId="01BC9596" w:rsidR="00DD0A52" w:rsidRPr="002C1B3E" w:rsidRDefault="00E83E3C" w:rsidP="00BA56E0">
            <w:pPr>
              <w:ind w:left="113" w:right="113"/>
              <w:jc w:val="center"/>
              <w:rPr>
                <w:color w:val="FFFFFF" w:themeColor="background1"/>
              </w:rPr>
            </w:pPr>
            <w:r>
              <w:rPr>
                <w:color w:val="FFFFFF" w:themeColor="background1"/>
              </w:rPr>
              <w:t>A</w:t>
            </w:r>
            <w:r w:rsidRPr="00C57723">
              <w:rPr>
                <w:color w:val="FFFFFF" w:themeColor="background1"/>
              </w:rPr>
              <w:t xml:space="preserve">dvertised </w:t>
            </w:r>
            <w:r>
              <w:rPr>
                <w:color w:val="FFFFFF" w:themeColor="background1"/>
              </w:rPr>
              <w:t xml:space="preserve">download/upload </w:t>
            </w:r>
            <w:r w:rsidRPr="00C57723">
              <w:rPr>
                <w:bCs/>
                <w:color w:val="FFFFFF" w:themeColor="background1"/>
                <w:szCs w:val="20"/>
                <w:lang w:val="en-GB"/>
              </w:rPr>
              <w:t>transmission speed [kbit/s] or [Mbit/s]</w:t>
            </w:r>
          </w:p>
        </w:tc>
        <w:tc>
          <w:tcPr>
            <w:tcW w:w="6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F67C60C" w14:textId="6EB9D44C" w:rsidR="00DD0A52" w:rsidRPr="00BA56E0" w:rsidRDefault="00E83E3C" w:rsidP="00BA56E0">
            <w:pPr>
              <w:ind w:left="113" w:right="113"/>
              <w:jc w:val="center"/>
              <w:rPr>
                <w:color w:val="FFFFFF" w:themeColor="background1"/>
                <w:lang w:val="en-GB"/>
              </w:rPr>
            </w:pPr>
            <w:r w:rsidRPr="00C57723">
              <w:rPr>
                <w:color w:val="FFFFFF" w:themeColor="background1"/>
              </w:rPr>
              <w:t xml:space="preserve">Maximum </w:t>
            </w:r>
            <w:r w:rsidRPr="007522E7">
              <w:rPr>
                <w:color w:val="FFFFFF" w:themeColor="background1"/>
              </w:rPr>
              <w:t>download/upload</w:t>
            </w:r>
            <w:r w:rsidR="00DD0A52" w:rsidRPr="002C1B3E">
              <w:rPr>
                <w:color w:val="FFFFFF" w:themeColor="background1"/>
              </w:rPr>
              <w:t xml:space="preserve"> </w:t>
            </w:r>
            <w:r w:rsidR="00DD0A52" w:rsidRPr="0035451D">
              <w:rPr>
                <w:bCs/>
                <w:color w:val="FFFFFF" w:themeColor="background1"/>
                <w:szCs w:val="20"/>
                <w:lang w:val="en-GB"/>
              </w:rPr>
              <w:t>transmission speed</w:t>
            </w:r>
            <w:r w:rsidRPr="00C57723">
              <w:rPr>
                <w:bCs/>
                <w:color w:val="FFFFFF" w:themeColor="background1"/>
                <w:szCs w:val="20"/>
                <w:lang w:val="en-GB"/>
              </w:rPr>
              <w:t xml:space="preserve"> </w:t>
            </w:r>
            <w:r w:rsidR="00DD0A52" w:rsidRPr="0035451D">
              <w:rPr>
                <w:bCs/>
                <w:color w:val="FFFFFF" w:themeColor="background1"/>
                <w:szCs w:val="20"/>
                <w:lang w:val="en-GB"/>
              </w:rPr>
              <w:t>[kbit/s] or [Mbit/s]</w:t>
            </w:r>
          </w:p>
        </w:tc>
        <w:tc>
          <w:tcPr>
            <w:tcW w:w="6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B25B098" w14:textId="5AF258AD" w:rsidR="00DD0A52" w:rsidRPr="00BA56E0" w:rsidRDefault="00E83E3C" w:rsidP="00BA56E0">
            <w:pPr>
              <w:ind w:left="113" w:right="113"/>
              <w:jc w:val="center"/>
              <w:rPr>
                <w:color w:val="FFFFFF" w:themeColor="background1"/>
                <w:lang w:val="en-GB"/>
              </w:rPr>
            </w:pPr>
            <w:r w:rsidRPr="00C57723">
              <w:rPr>
                <w:color w:val="FFFFFF" w:themeColor="background1"/>
              </w:rPr>
              <w:t>M</w:t>
            </w:r>
            <w:r>
              <w:rPr>
                <w:color w:val="FFFFFF" w:themeColor="background1"/>
              </w:rPr>
              <w:t>inimum</w:t>
            </w:r>
            <w:r w:rsidRPr="00C57723">
              <w:rPr>
                <w:color w:val="FFFFFF" w:themeColor="background1"/>
              </w:rPr>
              <w:t xml:space="preserve"> </w:t>
            </w:r>
            <w:r w:rsidRPr="007522E7">
              <w:rPr>
                <w:color w:val="FFFFFF" w:themeColor="background1"/>
              </w:rPr>
              <w:t>download/upload</w:t>
            </w:r>
            <w:r w:rsidR="00DD0A52" w:rsidRPr="002C1B3E">
              <w:rPr>
                <w:color w:val="FFFFFF" w:themeColor="background1"/>
              </w:rPr>
              <w:t xml:space="preserve"> </w:t>
            </w:r>
            <w:r w:rsidR="00DD0A52" w:rsidRPr="0035451D">
              <w:rPr>
                <w:bCs/>
                <w:color w:val="FFFFFF" w:themeColor="background1"/>
                <w:szCs w:val="20"/>
                <w:lang w:val="en-GB"/>
              </w:rPr>
              <w:t>transmission speed [kbit/s] or [Mbit/s]</w:t>
            </w:r>
          </w:p>
        </w:tc>
        <w:tc>
          <w:tcPr>
            <w:tcW w:w="6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FF4A955" w14:textId="1E40CBF4" w:rsidR="00DD0A52" w:rsidRPr="00BA56E0" w:rsidRDefault="00E83E3C" w:rsidP="00BA56E0">
            <w:pPr>
              <w:ind w:left="113" w:right="113"/>
              <w:jc w:val="center"/>
              <w:rPr>
                <w:color w:val="FFFFFF" w:themeColor="background1"/>
                <w:lang w:val="en-GB"/>
              </w:rPr>
            </w:pPr>
            <w:r>
              <w:rPr>
                <w:color w:val="FFFFFF" w:themeColor="background1"/>
              </w:rPr>
              <w:t>Normal</w:t>
            </w:r>
            <w:r w:rsidR="008E7DD5">
              <w:rPr>
                <w:color w:val="FFFFFF" w:themeColor="background1"/>
              </w:rPr>
              <w:t>l</w:t>
            </w:r>
            <w:r>
              <w:rPr>
                <w:color w:val="FFFFFF" w:themeColor="background1"/>
              </w:rPr>
              <w:t>y available</w:t>
            </w:r>
            <w:r w:rsidRPr="00C57723">
              <w:rPr>
                <w:color w:val="FFFFFF" w:themeColor="background1"/>
              </w:rPr>
              <w:t xml:space="preserve"> </w:t>
            </w:r>
            <w:r w:rsidRPr="007522E7">
              <w:rPr>
                <w:color w:val="FFFFFF" w:themeColor="background1"/>
              </w:rPr>
              <w:t xml:space="preserve">download/upload </w:t>
            </w:r>
            <w:r w:rsidRPr="00C57723">
              <w:rPr>
                <w:bCs/>
                <w:color w:val="FFFFFF" w:themeColor="background1"/>
                <w:szCs w:val="20"/>
                <w:lang w:val="en-GB"/>
              </w:rPr>
              <w:t>transmission speed [kbit/s] or [Mbit/s]</w:t>
            </w:r>
          </w:p>
        </w:tc>
        <w:tc>
          <w:tcPr>
            <w:tcW w:w="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811144C" w14:textId="36DD00B8" w:rsidR="00DD0A52" w:rsidRPr="00BA56E0" w:rsidRDefault="00DD0A52" w:rsidP="00BA56E0">
            <w:pPr>
              <w:ind w:left="113" w:right="113"/>
              <w:jc w:val="center"/>
              <w:rPr>
                <w:color w:val="FFFFFF" w:themeColor="background1"/>
                <w:lang w:val="en-GB"/>
              </w:rPr>
            </w:pPr>
            <w:r w:rsidRPr="0035451D">
              <w:rPr>
                <w:color w:val="FFFFFF" w:themeColor="background1"/>
                <w:szCs w:val="20"/>
                <w:lang w:val="en-GB"/>
              </w:rPr>
              <w:t>Delay (Mean)</w:t>
            </w:r>
            <w:r w:rsidRPr="0035451D">
              <w:rPr>
                <w:color w:val="FFFFFF" w:themeColor="background1"/>
                <w:szCs w:val="20"/>
                <w:lang w:val="en-GB"/>
              </w:rPr>
              <w:br/>
              <w:t>[ms]</w:t>
            </w:r>
          </w:p>
        </w:tc>
        <w:tc>
          <w:tcPr>
            <w:tcW w:w="6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244692B" w14:textId="231DB4B3" w:rsidR="00DD0A52" w:rsidRPr="00BA56E0" w:rsidRDefault="00E83E3C" w:rsidP="00BA56E0">
            <w:pPr>
              <w:ind w:left="113" w:right="113"/>
              <w:jc w:val="center"/>
              <w:rPr>
                <w:color w:val="FFFFFF" w:themeColor="background1"/>
                <w:lang w:val="en-GB"/>
              </w:rPr>
            </w:pPr>
            <w:r w:rsidRPr="0035451D">
              <w:rPr>
                <w:color w:val="FFFFFF" w:themeColor="background1"/>
                <w:szCs w:val="20"/>
                <w:lang w:val="en-GB"/>
              </w:rPr>
              <w:t>Delay variation</w:t>
            </w:r>
            <w:r w:rsidR="00DD0A52" w:rsidRPr="0035451D">
              <w:rPr>
                <w:color w:val="FFFFFF" w:themeColor="background1"/>
                <w:szCs w:val="20"/>
                <w:lang w:val="en-GB"/>
              </w:rPr>
              <w:t>(Mean)</w:t>
            </w:r>
            <w:r w:rsidR="00DD0A52" w:rsidRPr="0035451D">
              <w:rPr>
                <w:color w:val="FFFFFF" w:themeColor="background1"/>
                <w:szCs w:val="20"/>
                <w:lang w:val="en-GB"/>
              </w:rPr>
              <w:br/>
              <w:t>[</w:t>
            </w:r>
            <w:r w:rsidRPr="0035451D">
              <w:rPr>
                <w:color w:val="FFFFFF" w:themeColor="background1"/>
                <w:szCs w:val="20"/>
                <w:lang w:val="en-GB"/>
              </w:rPr>
              <w:t>ms</w:t>
            </w:r>
            <w:r w:rsidR="00DD0A52" w:rsidRPr="0035451D">
              <w:rPr>
                <w:color w:val="FFFFFF" w:themeColor="background1"/>
                <w:szCs w:val="20"/>
                <w:lang w:val="en-GB"/>
              </w:rPr>
              <w:t>]</w:t>
            </w:r>
          </w:p>
        </w:tc>
        <w:tc>
          <w:tcPr>
            <w:tcW w:w="6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5839459" w14:textId="25DD82C6" w:rsidR="00DD0A52" w:rsidRPr="00BA56E0" w:rsidRDefault="00DD0A52" w:rsidP="00BA56E0">
            <w:pPr>
              <w:ind w:left="113" w:right="113"/>
              <w:jc w:val="center"/>
              <w:rPr>
                <w:color w:val="FFFFFF" w:themeColor="background1"/>
                <w:lang w:val="en-GB"/>
              </w:rPr>
            </w:pPr>
            <w:r w:rsidRPr="0035451D">
              <w:rPr>
                <w:color w:val="FFFFFF" w:themeColor="background1"/>
                <w:szCs w:val="20"/>
                <w:lang w:val="en-GB"/>
              </w:rPr>
              <w:t xml:space="preserve">Packet </w:t>
            </w:r>
            <w:r w:rsidR="00E83E3C" w:rsidRPr="0035451D">
              <w:rPr>
                <w:color w:val="FFFFFF" w:themeColor="background1"/>
                <w:szCs w:val="20"/>
                <w:lang w:val="en-GB"/>
              </w:rPr>
              <w:t>Loss</w:t>
            </w:r>
            <w:r w:rsidRPr="0035451D">
              <w:rPr>
                <w:color w:val="FFFFFF" w:themeColor="background1"/>
                <w:szCs w:val="20"/>
                <w:lang w:val="en-GB"/>
              </w:rPr>
              <w:t xml:space="preserve"> Ratio (Mean)</w:t>
            </w:r>
            <w:r w:rsidRPr="0035451D">
              <w:rPr>
                <w:color w:val="FFFFFF" w:themeColor="background1"/>
                <w:szCs w:val="20"/>
                <w:lang w:val="en-GB"/>
              </w:rPr>
              <w:br/>
              <w:t>[x10</w:t>
            </w:r>
            <w:r w:rsidRPr="0035451D">
              <w:rPr>
                <w:color w:val="FFFFFF" w:themeColor="background1"/>
                <w:szCs w:val="20"/>
                <w:vertAlign w:val="superscript"/>
                <w:lang w:val="en-GB"/>
              </w:rPr>
              <w:t>-</w:t>
            </w:r>
            <w:r w:rsidR="00E83E3C" w:rsidRPr="0035451D">
              <w:rPr>
                <w:color w:val="FFFFFF" w:themeColor="background1"/>
                <w:szCs w:val="20"/>
                <w:vertAlign w:val="superscript"/>
                <w:lang w:val="en-GB"/>
              </w:rPr>
              <w:t>3</w:t>
            </w:r>
            <w:r w:rsidRPr="0035451D">
              <w:rPr>
                <w:color w:val="FFFFFF" w:themeColor="background1"/>
                <w:szCs w:val="20"/>
                <w:lang w:val="en-GB"/>
              </w:rPr>
              <w:t>]</w:t>
            </w:r>
          </w:p>
        </w:tc>
      </w:tr>
      <w:tr w:rsidR="00DD0A52" w14:paraId="64CCDCF9" w14:textId="77777777" w:rsidTr="00CF2775">
        <w:trPr>
          <w:trHeight w:val="2219"/>
        </w:trPr>
        <w:tc>
          <w:tcPr>
            <w:tcW w:w="458" w:type="pct"/>
            <w:tcBorders>
              <w:top w:val="single" w:sz="4" w:space="0" w:color="FFFFFF" w:themeColor="background1"/>
            </w:tcBorders>
            <w:vAlign w:val="center"/>
          </w:tcPr>
          <w:p w14:paraId="2FD9193A" w14:textId="3DEEB13C" w:rsidR="00DD0A52" w:rsidRPr="00DD0A52" w:rsidRDefault="00DD0A52" w:rsidP="00742BB1">
            <w:pPr>
              <w:spacing w:before="60" w:after="60"/>
              <w:rPr>
                <w:szCs w:val="20"/>
                <w:lang w:val="en-GB"/>
              </w:rPr>
            </w:pPr>
            <w:r w:rsidRPr="00DD0A52">
              <w:rPr>
                <w:szCs w:val="20"/>
                <w:lang w:val="en-GB"/>
              </w:rPr>
              <w:t xml:space="preserve">Offer </w:t>
            </w:r>
            <w:r w:rsidR="00E83E3C">
              <w:rPr>
                <w:szCs w:val="20"/>
                <w:lang w:val="en-GB"/>
              </w:rPr>
              <w:t>“1”*</w:t>
            </w:r>
          </w:p>
        </w:tc>
        <w:tc>
          <w:tcPr>
            <w:tcW w:w="669" w:type="pct"/>
            <w:tcBorders>
              <w:top w:val="single" w:sz="4" w:space="0" w:color="FFFFFF" w:themeColor="background1"/>
            </w:tcBorders>
            <w:vAlign w:val="center"/>
          </w:tcPr>
          <w:p w14:paraId="36A98EE7" w14:textId="77777777" w:rsidR="00DD0A52" w:rsidRPr="0035451D" w:rsidRDefault="00DD0A52" w:rsidP="002C1B3E">
            <w:pPr>
              <w:spacing w:line="288" w:lineRule="auto"/>
              <w:rPr>
                <w:szCs w:val="20"/>
              </w:rPr>
            </w:pPr>
          </w:p>
        </w:tc>
        <w:tc>
          <w:tcPr>
            <w:tcW w:w="669" w:type="pct"/>
            <w:tcBorders>
              <w:top w:val="single" w:sz="4" w:space="0" w:color="FFFFFF" w:themeColor="background1"/>
              <w:right w:val="single" w:sz="4" w:space="0" w:color="D2232A"/>
            </w:tcBorders>
            <w:vAlign w:val="center"/>
          </w:tcPr>
          <w:p w14:paraId="21DBFCAD" w14:textId="77777777" w:rsidR="00DD0A52" w:rsidRPr="0035451D" w:rsidRDefault="00DD0A52" w:rsidP="002C1B3E">
            <w:pPr>
              <w:spacing w:line="288" w:lineRule="auto"/>
              <w:rPr>
                <w:szCs w:val="20"/>
              </w:rPr>
            </w:pPr>
          </w:p>
        </w:tc>
        <w:tc>
          <w:tcPr>
            <w:tcW w:w="669" w:type="pct"/>
            <w:tcBorders>
              <w:top w:val="single" w:sz="4" w:space="0" w:color="FFFFFF" w:themeColor="background1"/>
              <w:left w:val="single" w:sz="4" w:space="0" w:color="D2232A"/>
              <w:right w:val="single" w:sz="4" w:space="0" w:color="D2232A"/>
            </w:tcBorders>
            <w:vAlign w:val="center"/>
          </w:tcPr>
          <w:p w14:paraId="0F793AA3" w14:textId="77777777" w:rsidR="00DD0A52" w:rsidRPr="0035451D" w:rsidRDefault="00DD0A52" w:rsidP="002C1B3E">
            <w:pPr>
              <w:spacing w:line="288" w:lineRule="auto"/>
              <w:rPr>
                <w:szCs w:val="20"/>
              </w:rPr>
            </w:pPr>
          </w:p>
        </w:tc>
        <w:tc>
          <w:tcPr>
            <w:tcW w:w="669" w:type="pct"/>
            <w:tcBorders>
              <w:top w:val="single" w:sz="4" w:space="0" w:color="FFFFFF" w:themeColor="background1"/>
              <w:left w:val="single" w:sz="4" w:space="0" w:color="D2232A"/>
            </w:tcBorders>
            <w:vAlign w:val="center"/>
          </w:tcPr>
          <w:p w14:paraId="38CB4520" w14:textId="77777777" w:rsidR="00DD0A52" w:rsidRPr="0035451D" w:rsidRDefault="00DD0A52" w:rsidP="002C1B3E">
            <w:pPr>
              <w:spacing w:line="288" w:lineRule="auto"/>
              <w:rPr>
                <w:szCs w:val="20"/>
              </w:rPr>
            </w:pPr>
          </w:p>
        </w:tc>
        <w:tc>
          <w:tcPr>
            <w:tcW w:w="619" w:type="pct"/>
            <w:tcBorders>
              <w:top w:val="single" w:sz="4" w:space="0" w:color="FFFFFF" w:themeColor="background1"/>
            </w:tcBorders>
            <w:vAlign w:val="center"/>
          </w:tcPr>
          <w:p w14:paraId="6927A228" w14:textId="77777777" w:rsidR="00DD0A52" w:rsidRPr="0035451D" w:rsidRDefault="00DD0A52" w:rsidP="002C1B3E">
            <w:pPr>
              <w:spacing w:line="288" w:lineRule="auto"/>
              <w:rPr>
                <w:szCs w:val="20"/>
              </w:rPr>
            </w:pPr>
          </w:p>
        </w:tc>
        <w:tc>
          <w:tcPr>
            <w:tcW w:w="639" w:type="pct"/>
            <w:tcBorders>
              <w:top w:val="single" w:sz="4" w:space="0" w:color="FFFFFF" w:themeColor="background1"/>
            </w:tcBorders>
            <w:vAlign w:val="center"/>
          </w:tcPr>
          <w:p w14:paraId="3084C7F3" w14:textId="77777777" w:rsidR="00DD0A52" w:rsidRDefault="00DD0A52" w:rsidP="002C1B3E">
            <w:pPr>
              <w:spacing w:line="288" w:lineRule="auto"/>
            </w:pPr>
          </w:p>
        </w:tc>
        <w:tc>
          <w:tcPr>
            <w:tcW w:w="608" w:type="pct"/>
            <w:tcBorders>
              <w:top w:val="single" w:sz="4" w:space="0" w:color="FFFFFF" w:themeColor="background1"/>
            </w:tcBorders>
            <w:vAlign w:val="center"/>
          </w:tcPr>
          <w:p w14:paraId="70F792EF" w14:textId="77777777" w:rsidR="00DD0A52" w:rsidRDefault="00DD0A52" w:rsidP="002C1B3E">
            <w:pPr>
              <w:spacing w:line="288" w:lineRule="auto"/>
            </w:pPr>
          </w:p>
        </w:tc>
      </w:tr>
      <w:tr w:rsidR="0035451D" w14:paraId="51753387" w14:textId="77777777" w:rsidTr="00CF2775">
        <w:trPr>
          <w:trHeight w:val="626"/>
        </w:trPr>
        <w:tc>
          <w:tcPr>
            <w:tcW w:w="458" w:type="pct"/>
            <w:vAlign w:val="center"/>
          </w:tcPr>
          <w:p w14:paraId="224629EE" w14:textId="5D331B1C" w:rsidR="0035451D" w:rsidRPr="00BA56E0" w:rsidRDefault="0035451D" w:rsidP="00BA56E0">
            <w:pPr>
              <w:rPr>
                <w:sz w:val="18"/>
                <w:lang w:val="en-GB"/>
              </w:rPr>
            </w:pPr>
            <w:r w:rsidRPr="00BA56E0">
              <w:rPr>
                <w:sz w:val="18"/>
                <w:lang w:val="en-GB"/>
              </w:rPr>
              <w:t>Offer</w:t>
            </w:r>
            <w:r w:rsidRPr="002C1B3E">
              <w:rPr>
                <w:lang w:val="en-GB"/>
              </w:rPr>
              <w:t xml:space="preserve"> </w:t>
            </w:r>
            <w:r w:rsidR="00E83E3C">
              <w:rPr>
                <w:szCs w:val="20"/>
                <w:lang w:val="en-GB"/>
              </w:rPr>
              <w:t>“2”*</w:t>
            </w:r>
          </w:p>
        </w:tc>
        <w:tc>
          <w:tcPr>
            <w:tcW w:w="669" w:type="pct"/>
            <w:vAlign w:val="center"/>
          </w:tcPr>
          <w:p w14:paraId="78C35165" w14:textId="77777777" w:rsidR="0035451D" w:rsidRPr="002C1B3E" w:rsidRDefault="0035451D" w:rsidP="002C1B3E">
            <w:pPr>
              <w:spacing w:line="288" w:lineRule="auto"/>
              <w:rPr>
                <w:u w:val="single"/>
              </w:rPr>
            </w:pPr>
          </w:p>
        </w:tc>
        <w:tc>
          <w:tcPr>
            <w:tcW w:w="669" w:type="pct"/>
            <w:tcBorders>
              <w:right w:val="single" w:sz="4" w:space="0" w:color="D2232A"/>
            </w:tcBorders>
            <w:vAlign w:val="center"/>
          </w:tcPr>
          <w:p w14:paraId="781689E5" w14:textId="77777777" w:rsidR="0035451D" w:rsidRPr="0035451D" w:rsidRDefault="0035451D" w:rsidP="002C1B3E">
            <w:pPr>
              <w:spacing w:line="288" w:lineRule="auto"/>
              <w:rPr>
                <w:szCs w:val="20"/>
              </w:rPr>
            </w:pPr>
          </w:p>
        </w:tc>
        <w:tc>
          <w:tcPr>
            <w:tcW w:w="669" w:type="pct"/>
            <w:tcBorders>
              <w:left w:val="single" w:sz="4" w:space="0" w:color="D2232A"/>
              <w:right w:val="single" w:sz="4" w:space="0" w:color="D2232A"/>
            </w:tcBorders>
            <w:vAlign w:val="center"/>
          </w:tcPr>
          <w:p w14:paraId="13B5204A" w14:textId="77777777" w:rsidR="0035451D" w:rsidRPr="0035451D" w:rsidRDefault="0035451D" w:rsidP="002C1B3E">
            <w:pPr>
              <w:spacing w:line="288" w:lineRule="auto"/>
              <w:rPr>
                <w:szCs w:val="20"/>
              </w:rPr>
            </w:pPr>
          </w:p>
        </w:tc>
        <w:tc>
          <w:tcPr>
            <w:tcW w:w="669" w:type="pct"/>
            <w:tcBorders>
              <w:left w:val="single" w:sz="4" w:space="0" w:color="D2232A"/>
            </w:tcBorders>
            <w:vAlign w:val="center"/>
          </w:tcPr>
          <w:p w14:paraId="26A4615E" w14:textId="77777777" w:rsidR="0035451D" w:rsidRPr="0035451D" w:rsidRDefault="0035451D" w:rsidP="002C1B3E">
            <w:pPr>
              <w:spacing w:line="288" w:lineRule="auto"/>
              <w:rPr>
                <w:szCs w:val="20"/>
              </w:rPr>
            </w:pPr>
          </w:p>
        </w:tc>
        <w:tc>
          <w:tcPr>
            <w:tcW w:w="619" w:type="pct"/>
            <w:vAlign w:val="center"/>
          </w:tcPr>
          <w:p w14:paraId="0B382C9E" w14:textId="77777777" w:rsidR="0035451D" w:rsidRPr="0035451D" w:rsidRDefault="0035451D" w:rsidP="002C1B3E">
            <w:pPr>
              <w:spacing w:line="288" w:lineRule="auto"/>
              <w:rPr>
                <w:szCs w:val="20"/>
              </w:rPr>
            </w:pPr>
          </w:p>
        </w:tc>
        <w:tc>
          <w:tcPr>
            <w:tcW w:w="639" w:type="pct"/>
            <w:vAlign w:val="center"/>
          </w:tcPr>
          <w:p w14:paraId="0514583C" w14:textId="77777777" w:rsidR="0035451D" w:rsidRDefault="0035451D" w:rsidP="002C1B3E">
            <w:pPr>
              <w:spacing w:line="288" w:lineRule="auto"/>
            </w:pPr>
          </w:p>
        </w:tc>
        <w:tc>
          <w:tcPr>
            <w:tcW w:w="608" w:type="pct"/>
            <w:vAlign w:val="center"/>
          </w:tcPr>
          <w:p w14:paraId="78899710" w14:textId="77777777" w:rsidR="0035451D" w:rsidRDefault="0035451D" w:rsidP="002C1B3E">
            <w:pPr>
              <w:spacing w:line="288" w:lineRule="auto"/>
            </w:pPr>
          </w:p>
        </w:tc>
      </w:tr>
      <w:tr w:rsidR="0035451D" w14:paraId="66F693DA" w14:textId="77777777" w:rsidTr="00CF2775">
        <w:trPr>
          <w:trHeight w:val="626"/>
        </w:trPr>
        <w:tc>
          <w:tcPr>
            <w:tcW w:w="458" w:type="pct"/>
            <w:vAlign w:val="center"/>
          </w:tcPr>
          <w:p w14:paraId="18469F7B" w14:textId="0B933486" w:rsidR="0035451D" w:rsidRPr="00BA56E0" w:rsidRDefault="0035451D" w:rsidP="00BA56E0">
            <w:pPr>
              <w:rPr>
                <w:sz w:val="18"/>
                <w:lang w:val="en-GB"/>
              </w:rPr>
            </w:pPr>
            <w:r w:rsidRPr="002C1B3E">
              <w:rPr>
                <w:lang w:val="en-GB"/>
              </w:rPr>
              <w:t xml:space="preserve">Offer </w:t>
            </w:r>
            <w:r w:rsidR="00E83E3C">
              <w:rPr>
                <w:szCs w:val="20"/>
                <w:lang w:val="en-GB"/>
              </w:rPr>
              <w:t>“</w:t>
            </w:r>
            <w:r w:rsidR="00E83E3C" w:rsidRPr="00E83E3C">
              <w:rPr>
                <w:i/>
                <w:szCs w:val="20"/>
                <w:lang w:val="en-GB"/>
              </w:rPr>
              <w:t>n</w:t>
            </w:r>
            <w:r w:rsidR="00E83E3C">
              <w:rPr>
                <w:szCs w:val="20"/>
                <w:lang w:val="en-GB"/>
              </w:rPr>
              <w:t>”</w:t>
            </w:r>
          </w:p>
        </w:tc>
        <w:tc>
          <w:tcPr>
            <w:tcW w:w="669" w:type="pct"/>
            <w:vAlign w:val="center"/>
          </w:tcPr>
          <w:p w14:paraId="6860F890" w14:textId="77777777" w:rsidR="0035451D" w:rsidRPr="002C1B3E" w:rsidRDefault="0035451D" w:rsidP="002C1B3E">
            <w:pPr>
              <w:spacing w:line="288" w:lineRule="auto"/>
              <w:rPr>
                <w:u w:val="single"/>
              </w:rPr>
            </w:pPr>
          </w:p>
        </w:tc>
        <w:tc>
          <w:tcPr>
            <w:tcW w:w="669" w:type="pct"/>
            <w:tcBorders>
              <w:right w:val="single" w:sz="4" w:space="0" w:color="D2232A"/>
            </w:tcBorders>
            <w:vAlign w:val="center"/>
          </w:tcPr>
          <w:p w14:paraId="6B2CA612" w14:textId="77777777" w:rsidR="0035451D" w:rsidRPr="0035451D" w:rsidRDefault="0035451D" w:rsidP="002C1B3E">
            <w:pPr>
              <w:spacing w:line="288" w:lineRule="auto"/>
              <w:rPr>
                <w:szCs w:val="20"/>
              </w:rPr>
            </w:pPr>
          </w:p>
        </w:tc>
        <w:tc>
          <w:tcPr>
            <w:tcW w:w="669" w:type="pct"/>
            <w:tcBorders>
              <w:left w:val="single" w:sz="4" w:space="0" w:color="D2232A"/>
              <w:right w:val="single" w:sz="4" w:space="0" w:color="D2232A"/>
            </w:tcBorders>
            <w:vAlign w:val="center"/>
          </w:tcPr>
          <w:p w14:paraId="2AEBE0C0" w14:textId="77777777" w:rsidR="0035451D" w:rsidRPr="0035451D" w:rsidRDefault="0035451D" w:rsidP="002C1B3E">
            <w:pPr>
              <w:spacing w:line="288" w:lineRule="auto"/>
              <w:rPr>
                <w:szCs w:val="20"/>
              </w:rPr>
            </w:pPr>
          </w:p>
        </w:tc>
        <w:tc>
          <w:tcPr>
            <w:tcW w:w="669" w:type="pct"/>
            <w:tcBorders>
              <w:left w:val="single" w:sz="4" w:space="0" w:color="D2232A"/>
            </w:tcBorders>
            <w:vAlign w:val="center"/>
          </w:tcPr>
          <w:p w14:paraId="3619E1EB" w14:textId="77777777" w:rsidR="0035451D" w:rsidRPr="0035451D" w:rsidRDefault="0035451D" w:rsidP="002C1B3E">
            <w:pPr>
              <w:spacing w:line="288" w:lineRule="auto"/>
              <w:rPr>
                <w:szCs w:val="20"/>
              </w:rPr>
            </w:pPr>
          </w:p>
        </w:tc>
        <w:tc>
          <w:tcPr>
            <w:tcW w:w="619" w:type="pct"/>
            <w:vAlign w:val="center"/>
          </w:tcPr>
          <w:p w14:paraId="19FCC8BE" w14:textId="77777777" w:rsidR="0035451D" w:rsidRPr="0035451D" w:rsidRDefault="0035451D" w:rsidP="002C1B3E">
            <w:pPr>
              <w:spacing w:line="288" w:lineRule="auto"/>
              <w:rPr>
                <w:szCs w:val="20"/>
              </w:rPr>
            </w:pPr>
          </w:p>
        </w:tc>
        <w:tc>
          <w:tcPr>
            <w:tcW w:w="639" w:type="pct"/>
            <w:vAlign w:val="center"/>
          </w:tcPr>
          <w:p w14:paraId="11ADE8BC" w14:textId="77777777" w:rsidR="0035451D" w:rsidRDefault="0035451D" w:rsidP="002C1B3E">
            <w:pPr>
              <w:spacing w:line="288" w:lineRule="auto"/>
            </w:pPr>
          </w:p>
        </w:tc>
        <w:tc>
          <w:tcPr>
            <w:tcW w:w="608" w:type="pct"/>
            <w:vAlign w:val="center"/>
          </w:tcPr>
          <w:p w14:paraId="57C62141" w14:textId="77777777" w:rsidR="0035451D" w:rsidRDefault="0035451D" w:rsidP="002C1B3E">
            <w:pPr>
              <w:spacing w:line="288" w:lineRule="auto"/>
            </w:pPr>
          </w:p>
        </w:tc>
      </w:tr>
    </w:tbl>
    <w:p w14:paraId="1C92F8D9" w14:textId="2952A87C" w:rsidR="008E7DD5" w:rsidRDefault="008E7DD5" w:rsidP="008E7DD5">
      <w:r>
        <w:t>Notes:</w:t>
      </w:r>
    </w:p>
    <w:p w14:paraId="4D6170D3" w14:textId="77777777" w:rsidR="008E7DD5" w:rsidRDefault="008E7DD5" w:rsidP="008E7DD5">
      <w:r>
        <w:t>*Offer name and description which could include access technology</w:t>
      </w:r>
    </w:p>
    <w:p w14:paraId="2E32403F" w14:textId="6316728A" w:rsidR="005D389F" w:rsidRPr="002C1B3E" w:rsidRDefault="008E7DD5" w:rsidP="002C1B3E">
      <w:pPr>
        <w:rPr>
          <w:b/>
          <w:color w:val="C00000"/>
        </w:rPr>
      </w:pPr>
      <w:r w:rsidRPr="0007047C">
        <w:rPr>
          <w:szCs w:val="20"/>
        </w:rPr>
        <w:t>**</w:t>
      </w:r>
      <w:r w:rsidR="00FB1883">
        <w:t xml:space="preserve"> A</w:t>
      </w:r>
      <w:r w:rsidR="00FB1883" w:rsidRPr="00FB1883">
        <w:t xml:space="preserve"> description of the QoS evaluation methodology should be provided together with the QoS parameter measurement values.</w:t>
      </w:r>
    </w:p>
    <w:sectPr w:rsidR="005D389F" w:rsidRPr="002C1B3E" w:rsidSect="002C1B3E">
      <w:headerReference w:type="even" r:id="rId20"/>
      <w:headerReference w:type="default" r:id="rId21"/>
      <w:footerReference w:type="default" r:id="rId22"/>
      <w:headerReference w:type="first" r:id="rId23"/>
      <w:pgSz w:w="16840" w:h="11907" w:orient="landscape"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1E62C" w14:textId="77777777" w:rsidR="00323263" w:rsidRDefault="00323263" w:rsidP="006B723B">
      <w:r>
        <w:separator/>
      </w:r>
    </w:p>
  </w:endnote>
  <w:endnote w:type="continuationSeparator" w:id="0">
    <w:p w14:paraId="2F4C9E30" w14:textId="77777777" w:rsidR="00323263" w:rsidRDefault="00323263" w:rsidP="006B723B">
      <w:r>
        <w:continuationSeparator/>
      </w:r>
    </w:p>
  </w:endnote>
  <w:endnote w:type="continuationNotice" w:id="1">
    <w:p w14:paraId="00E0C1B1" w14:textId="77777777" w:rsidR="00323263" w:rsidRDefault="00323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CD2FF" w14:textId="2F6B756C" w:rsidR="0086671C" w:rsidRDefault="0086671C">
    <w:pPr>
      <w:pStyle w:val="Footer"/>
    </w:pPr>
    <w:r w:rsidRPr="0086671C">
      <w:rPr>
        <w:sz w:val="16"/>
        <w:szCs w:val="16"/>
      </w:rPr>
      <w:t xml:space="preserve">Edition </w:t>
    </w:r>
    <w:r w:rsidR="00A43D77">
      <w:rPr>
        <w:sz w:val="16"/>
        <w:szCs w:val="16"/>
      </w:rPr>
      <w:t>28.11.2018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5825D" w14:textId="5BC00991" w:rsidR="0086671C" w:rsidRPr="0086671C" w:rsidRDefault="0086671C">
    <w:pPr>
      <w:pStyle w:val="Footer"/>
      <w:rPr>
        <w:sz w:val="16"/>
        <w:szCs w:val="16"/>
      </w:rPr>
    </w:pPr>
    <w:r w:rsidRPr="0086671C">
      <w:rPr>
        <w:sz w:val="16"/>
        <w:szCs w:val="16"/>
      </w:rPr>
      <w:t xml:space="preserve">Edition </w:t>
    </w:r>
    <w:r w:rsidR="00A43D77">
      <w:rPr>
        <w:sz w:val="16"/>
        <w:szCs w:val="16"/>
      </w:rPr>
      <w:t>28.11.2018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5020" w14:textId="43DBB015" w:rsidR="00D85192" w:rsidRPr="00E92E5A" w:rsidRDefault="0086671C" w:rsidP="00E92E5A">
    <w:pPr>
      <w:pStyle w:val="Footer"/>
      <w:rPr>
        <w:sz w:val="16"/>
        <w:szCs w:val="16"/>
        <w:lang w:val="da-DK"/>
      </w:rPr>
    </w:pPr>
    <w:r w:rsidRPr="0086671C">
      <w:rPr>
        <w:sz w:val="16"/>
        <w:szCs w:val="16"/>
      </w:rPr>
      <w:t xml:space="preserve">Edition </w:t>
    </w:r>
    <w:r w:rsidR="00323263" w:rsidRPr="00323263">
      <w:rPr>
        <w:sz w:val="16"/>
        <w:szCs w:val="16"/>
      </w:rPr>
      <w:t>28.11.2018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6B189" w14:textId="77777777" w:rsidR="00323263" w:rsidRDefault="00323263" w:rsidP="006B723B">
      <w:r>
        <w:separator/>
      </w:r>
    </w:p>
  </w:footnote>
  <w:footnote w:type="continuationSeparator" w:id="0">
    <w:p w14:paraId="68ED506F" w14:textId="77777777" w:rsidR="00323263" w:rsidRDefault="00323263" w:rsidP="006B723B">
      <w:r>
        <w:continuationSeparator/>
      </w:r>
    </w:p>
  </w:footnote>
  <w:footnote w:type="continuationNotice" w:id="1">
    <w:p w14:paraId="1D3E65CB" w14:textId="77777777" w:rsidR="00323263" w:rsidRDefault="00323263"/>
  </w:footnote>
  <w:footnote w:id="2">
    <w:p w14:paraId="3DC56A8F" w14:textId="77777777" w:rsidR="001063D0" w:rsidRPr="001063D0" w:rsidRDefault="001063D0">
      <w:pPr>
        <w:pStyle w:val="FootnoteText"/>
        <w:rPr>
          <w:lang w:val="en-GB"/>
        </w:rPr>
      </w:pPr>
      <w:r>
        <w:rPr>
          <w:rStyle w:val="FootnoteReference"/>
        </w:rPr>
        <w:footnoteRef/>
      </w:r>
      <w:r>
        <w:t xml:space="preserve"> </w:t>
      </w:r>
      <w:r w:rsidRPr="001063D0">
        <w:rPr>
          <w:lang w:val="en-GB"/>
        </w:rPr>
        <w:t xml:space="preserve">Additional </w:t>
      </w:r>
      <w:r>
        <w:rPr>
          <w:lang w:val="en-GB"/>
        </w:rPr>
        <w:t>information</w:t>
      </w:r>
      <w:r w:rsidR="00E04621">
        <w:rPr>
          <w:lang w:val="en-GB"/>
        </w:rPr>
        <w:t xml:space="preserve"> (like blocked TCP/UDP ports, q</w:t>
      </w:r>
      <w:r w:rsidRPr="001063D0">
        <w:rPr>
          <w:lang w:val="en-GB"/>
        </w:rPr>
        <w:t>uality of</w:t>
      </w:r>
      <w:r w:rsidR="00107C65">
        <w:rPr>
          <w:lang w:val="en-GB"/>
        </w:rPr>
        <w:t xml:space="preserve"> voice or video</w:t>
      </w:r>
      <w:r>
        <w:rPr>
          <w:lang w:val="en-GB"/>
        </w:rPr>
        <w:t xml:space="preserve"> over internet access services</w:t>
      </w:r>
      <w:r w:rsidRPr="001063D0">
        <w:rPr>
          <w:lang w:val="en-GB"/>
        </w:rPr>
        <w:t xml:space="preserve">, transparency of the connection (e.g. </w:t>
      </w:r>
      <w:r w:rsidR="00E04621" w:rsidRPr="001063D0">
        <w:rPr>
          <w:lang w:val="en-GB"/>
        </w:rPr>
        <w:t>middle box</w:t>
      </w:r>
      <w:r w:rsidRPr="001063D0">
        <w:rPr>
          <w:lang w:val="en-GB"/>
        </w:rPr>
        <w:t xml:space="preserve"> detection), content modification (e.g. resizing of images), DNS manipulation, performance of websites retrieval etc.) would </w:t>
      </w:r>
      <w:r>
        <w:rPr>
          <w:lang w:val="en-GB"/>
        </w:rPr>
        <w:t>be beneficial</w:t>
      </w:r>
      <w:r w:rsidRPr="001063D0">
        <w:rPr>
          <w:lang w:val="en-GB"/>
        </w:rPr>
        <w:t xml:space="preserve"> for </w:t>
      </w:r>
      <w:r w:rsidR="004F161E">
        <w:rPr>
          <w:lang w:val="en-GB"/>
        </w:rPr>
        <w:t>end users</w:t>
      </w:r>
      <w:r w:rsidRPr="001063D0">
        <w:rPr>
          <w:lang w:val="en-GB"/>
        </w:rPr>
        <w:t xml:space="preserve"> for assessing their </w:t>
      </w:r>
      <w:r w:rsidR="00E04621">
        <w:rPr>
          <w:lang w:val="en-GB"/>
        </w:rPr>
        <w:t>I</w:t>
      </w:r>
      <w:r w:rsidRPr="001063D0">
        <w:rPr>
          <w:lang w:val="en-GB"/>
        </w:rPr>
        <w:t>nternet access service quality.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7273" w14:textId="3803F981" w:rsidR="00B3730E" w:rsidRPr="007C5F95" w:rsidRDefault="00AD7680">
    <w:pPr>
      <w:pStyle w:val="Header"/>
      <w:rPr>
        <w:szCs w:val="16"/>
        <w:lang w:val="da-DK"/>
      </w:rPr>
    </w:pPr>
    <w:r>
      <w:rPr>
        <w:lang w:val="da-DK"/>
      </w:rPr>
      <w:t>D</w:t>
    </w:r>
    <w:r w:rsidR="006C004A">
      <w:rPr>
        <w:lang w:val="da-DK"/>
      </w:rPr>
      <w:t>raft revision</w:t>
    </w:r>
    <w:r>
      <w:rPr>
        <w:lang w:val="da-DK"/>
      </w:rPr>
      <w:t xml:space="preserve"> </w:t>
    </w:r>
    <w:r w:rsidR="00E92E5A">
      <w:rPr>
        <w:lang w:val="da-DK"/>
      </w:rPr>
      <w:t>ECC/</w:t>
    </w:r>
    <w:r w:rsidR="00B3730E" w:rsidRPr="007C5F95">
      <w:rPr>
        <w:lang w:val="da-DK"/>
      </w:rPr>
      <w:t>REC</w:t>
    </w:r>
    <w:r w:rsidR="00E92E5A">
      <w:rPr>
        <w:lang w:val="da-DK"/>
      </w:rPr>
      <w:t>/</w:t>
    </w:r>
    <w:r w:rsidR="00B3730E" w:rsidRPr="007C5F95">
      <w:rPr>
        <w:lang w:val="da-DK"/>
      </w:rPr>
      <w:t>(</w:t>
    </w:r>
    <w:r w:rsidR="009036E6">
      <w:rPr>
        <w:lang w:val="da-DK"/>
      </w:rPr>
      <w:t>1</w:t>
    </w:r>
    <w:r>
      <w:rPr>
        <w:lang w:val="da-DK"/>
      </w:rPr>
      <w:t>5</w:t>
    </w:r>
    <w:r w:rsidR="00B3730E" w:rsidRPr="007C5F95">
      <w:rPr>
        <w:lang w:val="da-DK"/>
      </w:rPr>
      <w:t>)</w:t>
    </w:r>
    <w:r>
      <w:rPr>
        <w:lang w:val="da-DK"/>
      </w:rPr>
      <w:t xml:space="preserve">03 </w:t>
    </w:r>
    <w:r w:rsidR="00B3730E">
      <w:rPr>
        <w:szCs w:val="16"/>
        <w:lang w:val="da-DK"/>
      </w:rPr>
      <w:t xml:space="preserve">Page </w:t>
    </w:r>
    <w:r w:rsidR="00B3730E">
      <w:rPr>
        <w:szCs w:val="16"/>
        <w:lang w:val="da-DK"/>
      </w:rPr>
      <w:fldChar w:fldCharType="begin"/>
    </w:r>
    <w:r w:rsidR="00B3730E">
      <w:rPr>
        <w:szCs w:val="16"/>
        <w:lang w:val="da-DK"/>
      </w:rPr>
      <w:instrText xml:space="preserve"> PAGE  \* Arabic  \* MERGEFORMAT </w:instrText>
    </w:r>
    <w:r w:rsidR="00B3730E">
      <w:rPr>
        <w:szCs w:val="16"/>
        <w:lang w:val="da-DK"/>
      </w:rPr>
      <w:fldChar w:fldCharType="separate"/>
    </w:r>
    <w:r w:rsidR="00A67234">
      <w:rPr>
        <w:noProof/>
        <w:szCs w:val="16"/>
        <w:lang w:val="da-DK"/>
      </w:rPr>
      <w:t>2</w:t>
    </w:r>
    <w:r w:rsidR="00B3730E">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3C656" w14:textId="0B87ABA6" w:rsidR="00B3730E" w:rsidRPr="007C5F95" w:rsidRDefault="00B3730E" w:rsidP="006B723B">
    <w:pPr>
      <w:pStyle w:val="Header"/>
      <w:jc w:val="right"/>
      <w:rPr>
        <w:szCs w:val="16"/>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0F2A1" w14:textId="57A3D19C" w:rsidR="00A67234" w:rsidRDefault="00EE04A2">
    <w:pPr>
      <w:pStyle w:val="Header"/>
    </w:pPr>
    <w:r w:rsidRPr="006C004A">
      <w:rPr>
        <w:lang w:val="en-GB"/>
      </w:rPr>
      <w:t>ECC/REC</w:t>
    </w:r>
    <w:proofErr w:type="gramStart"/>
    <w:r w:rsidRPr="006C004A">
      <w:rPr>
        <w:lang w:val="en-GB"/>
      </w:rPr>
      <w:t>/(</w:t>
    </w:r>
    <w:proofErr w:type="gramEnd"/>
    <w:r w:rsidRPr="006C004A">
      <w:rPr>
        <w:lang w:val="en-GB"/>
      </w:rPr>
      <w:t xml:space="preserve">15)03 </w:t>
    </w:r>
    <w:r w:rsidRPr="006C004A">
      <w:rPr>
        <w:szCs w:val="16"/>
        <w:lang w:val="en-GB"/>
      </w:rPr>
      <w:t xml:space="preserve">Page </w:t>
    </w:r>
    <w:r>
      <w:rPr>
        <w:szCs w:val="16"/>
        <w:lang w:val="da-DK"/>
      </w:rPr>
      <w:fldChar w:fldCharType="begin"/>
    </w:r>
    <w:r w:rsidRPr="00A67234">
      <w:rPr>
        <w:szCs w:val="16"/>
        <w:lang w:val="en-GB"/>
      </w:rPr>
      <w:instrText xml:space="preserve"> PAGE  \* Arabic  \* MERGEFORMAT </w:instrText>
    </w:r>
    <w:r>
      <w:rPr>
        <w:szCs w:val="16"/>
        <w:lang w:val="da-DK"/>
      </w:rPr>
      <w:fldChar w:fldCharType="separate"/>
    </w:r>
    <w:r w:rsidR="00E06F3B">
      <w:rPr>
        <w:noProof/>
        <w:szCs w:val="16"/>
        <w:lang w:val="en-GB"/>
      </w:rPr>
      <w:t>6</w:t>
    </w:r>
    <w:r>
      <w:rPr>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1CE8" w14:textId="42AD43AF" w:rsidR="006528DC" w:rsidRPr="006C004A" w:rsidRDefault="006A3AEF" w:rsidP="006A3AEF">
    <w:pPr>
      <w:pStyle w:val="Header"/>
      <w:jc w:val="right"/>
      <w:rPr>
        <w:szCs w:val="16"/>
        <w:lang w:val="en-GB"/>
      </w:rPr>
    </w:pPr>
    <w:r>
      <w:rPr>
        <w:lang w:val="en-GB"/>
      </w:rPr>
      <w:t xml:space="preserve"> </w:t>
    </w:r>
    <w:r w:rsidR="006528DC" w:rsidRPr="006C004A">
      <w:rPr>
        <w:lang w:val="en-GB"/>
      </w:rPr>
      <w:t>ECC/REC</w:t>
    </w:r>
    <w:proofErr w:type="gramStart"/>
    <w:r w:rsidR="006528DC" w:rsidRPr="006C004A">
      <w:rPr>
        <w:lang w:val="en-GB"/>
      </w:rPr>
      <w:t>/(</w:t>
    </w:r>
    <w:proofErr w:type="gramEnd"/>
    <w:r w:rsidR="006528DC" w:rsidRPr="006C004A">
      <w:rPr>
        <w:lang w:val="en-GB"/>
      </w:rPr>
      <w:t xml:space="preserve">15)03 </w:t>
    </w:r>
    <w:r w:rsidR="006528DC" w:rsidRPr="006C004A">
      <w:rPr>
        <w:szCs w:val="16"/>
        <w:lang w:val="en-GB"/>
      </w:rPr>
      <w:t xml:space="preserve">Page </w:t>
    </w:r>
    <w:r w:rsidR="006528DC">
      <w:rPr>
        <w:szCs w:val="16"/>
        <w:lang w:val="da-DK"/>
      </w:rPr>
      <w:fldChar w:fldCharType="begin"/>
    </w:r>
    <w:r w:rsidR="006528DC" w:rsidRPr="00A67234">
      <w:rPr>
        <w:szCs w:val="16"/>
        <w:lang w:val="en-GB"/>
      </w:rPr>
      <w:instrText xml:space="preserve"> PAGE  \* Arabic  \* MERGEFORMAT </w:instrText>
    </w:r>
    <w:r w:rsidR="006528DC">
      <w:rPr>
        <w:szCs w:val="16"/>
        <w:lang w:val="da-DK"/>
      </w:rPr>
      <w:fldChar w:fldCharType="separate"/>
    </w:r>
    <w:r w:rsidR="00E06F3B">
      <w:rPr>
        <w:noProof/>
        <w:szCs w:val="16"/>
        <w:lang w:val="en-GB"/>
      </w:rPr>
      <w:t>5</w:t>
    </w:r>
    <w:r w:rsidR="006528DC">
      <w:rPr>
        <w:szCs w:val="16"/>
        <w:lang w:val="da-DK"/>
      </w:rPr>
      <w:fldChar w:fldCharType="end"/>
    </w:r>
  </w:p>
  <w:p w14:paraId="130AB777" w14:textId="77777777" w:rsidR="006528DC" w:rsidRPr="006C004A" w:rsidRDefault="006528DC" w:rsidP="006B723B">
    <w:pPr>
      <w:pStyle w:val="Header"/>
      <w:jc w:val="right"/>
      <w:rPr>
        <w:szCs w:val="16"/>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2370" w14:textId="6ED0B45A" w:rsidR="00505960" w:rsidRDefault="005059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CEABD" w14:textId="2F2BF2CF" w:rsidR="00A67234" w:rsidRDefault="00A67234">
    <w:pPr>
      <w:pStyle w:val="Header"/>
    </w:pPr>
    <w:r w:rsidRPr="006C004A">
      <w:rPr>
        <w:lang w:val="en-GB"/>
      </w:rPr>
      <w:t>ECC/REC</w:t>
    </w:r>
    <w:proofErr w:type="gramStart"/>
    <w:r w:rsidRPr="006C004A">
      <w:rPr>
        <w:lang w:val="en-GB"/>
      </w:rPr>
      <w:t>/(</w:t>
    </w:r>
    <w:proofErr w:type="gramEnd"/>
    <w:r w:rsidRPr="006C004A">
      <w:rPr>
        <w:lang w:val="en-GB"/>
      </w:rPr>
      <w:t xml:space="preserve">15)03 </w:t>
    </w:r>
    <w:r w:rsidRPr="006C004A">
      <w:rPr>
        <w:szCs w:val="16"/>
        <w:lang w:val="en-GB"/>
      </w:rPr>
      <w:t xml:space="preserve">Page </w:t>
    </w:r>
    <w:r>
      <w:rPr>
        <w:szCs w:val="16"/>
        <w:lang w:val="da-DK"/>
      </w:rPr>
      <w:fldChar w:fldCharType="begin"/>
    </w:r>
    <w:r w:rsidRPr="00A67234">
      <w:rPr>
        <w:szCs w:val="16"/>
        <w:lang w:val="en-GB"/>
      </w:rPr>
      <w:instrText xml:space="preserve"> PAGE  \* Arabic  \* MERGEFORMAT </w:instrText>
    </w:r>
    <w:r>
      <w:rPr>
        <w:szCs w:val="16"/>
        <w:lang w:val="da-DK"/>
      </w:rPr>
      <w:fldChar w:fldCharType="separate"/>
    </w:r>
    <w:r w:rsidR="00E06F3B">
      <w:rPr>
        <w:noProof/>
        <w:szCs w:val="16"/>
        <w:lang w:val="en-GB"/>
      </w:rPr>
      <w:t>8</w:t>
    </w:r>
    <w:r>
      <w:rPr>
        <w:szCs w:val="16"/>
        <w:lang w:val="da-DK"/>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DA85" w14:textId="777C2565" w:rsidR="00A67234" w:rsidRDefault="00A67234">
    <w:pPr>
      <w:pStyle w:val="Header"/>
    </w:pPr>
    <w:r w:rsidRPr="006C004A">
      <w:rPr>
        <w:lang w:val="en-GB"/>
      </w:rPr>
      <w:t xml:space="preserve">ECC/REC/(15)03 </w:t>
    </w:r>
    <w:r w:rsidRPr="006C004A">
      <w:rPr>
        <w:szCs w:val="16"/>
        <w:lang w:val="en-GB"/>
      </w:rPr>
      <w:t xml:space="preserve">Page </w:t>
    </w:r>
    <w:r>
      <w:rPr>
        <w:szCs w:val="16"/>
        <w:lang w:val="da-DK"/>
      </w:rPr>
      <w:fldChar w:fldCharType="begin"/>
    </w:r>
    <w:r w:rsidRPr="00A67234">
      <w:rPr>
        <w:szCs w:val="16"/>
        <w:lang w:val="en-GB"/>
      </w:rPr>
      <w:instrText xml:space="preserve"> PAGE  \* Arabic  \* MERGEFORMAT </w:instrText>
    </w:r>
    <w:r>
      <w:rPr>
        <w:szCs w:val="16"/>
        <w:lang w:val="da-DK"/>
      </w:rPr>
      <w:fldChar w:fldCharType="separate"/>
    </w:r>
    <w:r w:rsidR="00E06F3B">
      <w:rPr>
        <w:noProof/>
        <w:szCs w:val="16"/>
        <w:lang w:val="en-GB"/>
      </w:rPr>
      <w:t>9</w:t>
    </w:r>
    <w:r>
      <w:rPr>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CE8E" w14:textId="0C0A6DA3" w:rsidR="00E92E5A" w:rsidRDefault="00E92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C45"/>
    <w:multiLevelType w:val="hybridMultilevel"/>
    <w:tmpl w:val="F8E4CF08"/>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nsid w:val="0A395BDC"/>
    <w:multiLevelType w:val="hybridMultilevel"/>
    <w:tmpl w:val="EA44E058"/>
    <w:lvl w:ilvl="0" w:tplc="3952889A">
      <w:start w:val="1"/>
      <w:numFmt w:val="decimal"/>
      <w:lvlText w:val="[%1]"/>
      <w:lvlJc w:val="left"/>
      <w:pPr>
        <w:tabs>
          <w:tab w:val="num" w:pos="397"/>
        </w:tabs>
        <w:ind w:left="397" w:hanging="397"/>
      </w:pPr>
      <w:rPr>
        <w:rFonts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781BD1"/>
    <w:multiLevelType w:val="hybridMultilevel"/>
    <w:tmpl w:val="FB54830E"/>
    <w:lvl w:ilvl="0" w:tplc="37AE8DD8">
      <w:start w:val="22"/>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
    <w:nsid w:val="11C907E8"/>
    <w:multiLevelType w:val="hybridMultilevel"/>
    <w:tmpl w:val="F57C5E8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B91393A"/>
    <w:multiLevelType w:val="hybridMultilevel"/>
    <w:tmpl w:val="29504E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C4672E9"/>
    <w:multiLevelType w:val="hybridMultilevel"/>
    <w:tmpl w:val="C3AA01EC"/>
    <w:lvl w:ilvl="0" w:tplc="F4609594">
      <w:start w:val="1"/>
      <w:numFmt w:val="lowerLetter"/>
      <w:lvlText w:val="%1)"/>
      <w:lvlJc w:val="left"/>
      <w:pPr>
        <w:ind w:left="720" w:hanging="360"/>
      </w:pPr>
      <w:rPr>
        <w:rFonts w:hint="default"/>
        <w:i w:val="0"/>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7">
    <w:nsid w:val="20A87A02"/>
    <w:multiLevelType w:val="hybridMultilevel"/>
    <w:tmpl w:val="F372EE3E"/>
    <w:lvl w:ilvl="0" w:tplc="5BCAB4C2">
      <w:start w:val="1"/>
      <w:numFmt w:val="bullet"/>
      <w:pStyle w:val="ECCParBulleted"/>
      <w:lvlText w:val=""/>
      <w:lvlJc w:val="left"/>
      <w:pPr>
        <w:tabs>
          <w:tab w:val="num" w:pos="360"/>
        </w:tabs>
        <w:ind w:left="36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286" w:hanging="576"/>
      </w:pPr>
      <w:rPr>
        <w:rFonts w:cs="Times New Roman" w:hint="default"/>
      </w:rPr>
    </w:lvl>
    <w:lvl w:ilvl="2">
      <w:start w:val="1"/>
      <w:numFmt w:val="decimal"/>
      <w:pStyle w:val="ECCAnnexheading3"/>
      <w:lvlText w:val="A.%1.%2.%3"/>
      <w:lvlJc w:val="left"/>
      <w:pPr>
        <w:tabs>
          <w:tab w:val="num" w:pos="1430"/>
        </w:tabs>
        <w:ind w:left="1430" w:hanging="720"/>
      </w:pPr>
      <w:rPr>
        <w:rFonts w:cs="Times New Roman" w:hint="default"/>
      </w:rPr>
    </w:lvl>
    <w:lvl w:ilvl="3">
      <w:start w:val="1"/>
      <w:numFmt w:val="decimal"/>
      <w:pStyle w:val="ECCAnnexheading4"/>
      <w:lvlText w:val="A.%1.%2.%3.%4"/>
      <w:lvlJc w:val="left"/>
      <w:pPr>
        <w:tabs>
          <w:tab w:val="num" w:pos="1574"/>
        </w:tabs>
        <w:ind w:left="1574" w:hanging="864"/>
      </w:pPr>
      <w:rPr>
        <w:rFonts w:cs="Times New Roman" w:hint="default"/>
      </w:rPr>
    </w:lvl>
    <w:lvl w:ilvl="4">
      <w:start w:val="1"/>
      <w:numFmt w:val="decimal"/>
      <w:lvlText w:val="%1.%2.%3.%4.%5"/>
      <w:lvlJc w:val="left"/>
      <w:pPr>
        <w:tabs>
          <w:tab w:val="num" w:pos="1718"/>
        </w:tabs>
        <w:ind w:left="1718" w:hanging="1008"/>
      </w:pPr>
      <w:rPr>
        <w:rFonts w:cs="Times New Roman" w:hint="default"/>
      </w:rPr>
    </w:lvl>
    <w:lvl w:ilvl="5">
      <w:start w:val="1"/>
      <w:numFmt w:val="decimal"/>
      <w:lvlText w:val="%1.%2.%3.%4.%5.%6"/>
      <w:lvlJc w:val="left"/>
      <w:pPr>
        <w:tabs>
          <w:tab w:val="num" w:pos="1862"/>
        </w:tabs>
        <w:ind w:left="1862" w:hanging="1152"/>
      </w:pPr>
      <w:rPr>
        <w:rFonts w:cs="Times New Roman" w:hint="default"/>
      </w:rPr>
    </w:lvl>
    <w:lvl w:ilvl="6">
      <w:start w:val="1"/>
      <w:numFmt w:val="decimal"/>
      <w:lvlText w:val="%1.%2.%3.%4.%5.%6.%7"/>
      <w:lvlJc w:val="left"/>
      <w:pPr>
        <w:tabs>
          <w:tab w:val="num" w:pos="2006"/>
        </w:tabs>
        <w:ind w:left="2006" w:hanging="1296"/>
      </w:pPr>
      <w:rPr>
        <w:rFonts w:cs="Times New Roman" w:hint="default"/>
      </w:rPr>
    </w:lvl>
    <w:lvl w:ilvl="7">
      <w:start w:val="1"/>
      <w:numFmt w:val="decimal"/>
      <w:lvlText w:val="%1.%2.%3.%4.%5.%6.%7.%8"/>
      <w:lvlJc w:val="left"/>
      <w:pPr>
        <w:tabs>
          <w:tab w:val="num" w:pos="2150"/>
        </w:tabs>
        <w:ind w:left="2150" w:hanging="1440"/>
      </w:pPr>
      <w:rPr>
        <w:rFonts w:cs="Times New Roman" w:hint="default"/>
      </w:rPr>
    </w:lvl>
    <w:lvl w:ilvl="8">
      <w:start w:val="1"/>
      <w:numFmt w:val="decimal"/>
      <w:lvlText w:val="%1.%2.%3.%4.%5.%6.%7.%8.%9"/>
      <w:lvlJc w:val="left"/>
      <w:pPr>
        <w:tabs>
          <w:tab w:val="num" w:pos="2294"/>
        </w:tabs>
        <w:ind w:left="2294" w:hanging="1584"/>
      </w:pPr>
      <w:rPr>
        <w:rFonts w:cs="Times New Roman" w:hint="default"/>
      </w:rPr>
    </w:lvl>
  </w:abstractNum>
  <w:abstractNum w:abstractNumId="9">
    <w:nsid w:val="37D117AE"/>
    <w:multiLevelType w:val="hybridMultilevel"/>
    <w:tmpl w:val="5E8ED6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C0D7371"/>
    <w:multiLevelType w:val="hybridMultilevel"/>
    <w:tmpl w:val="FCEA5FB6"/>
    <w:lvl w:ilvl="0" w:tplc="F6548660">
      <w:start w:val="1"/>
      <w:numFmt w:val="decimal"/>
      <w:lvlText w:val="%1)"/>
      <w:lvlJc w:val="left"/>
      <w:pPr>
        <w:tabs>
          <w:tab w:val="num" w:pos="360"/>
        </w:tabs>
        <w:ind w:left="360" w:hanging="360"/>
      </w:pPr>
      <w:rPr>
        <w:rFonts w:cs="Times New Roman"/>
        <w:color w:val="C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D163F7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3EA17533"/>
    <w:multiLevelType w:val="hybridMultilevel"/>
    <w:tmpl w:val="B3040F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6242A"/>
    <w:multiLevelType w:val="hybridMultilevel"/>
    <w:tmpl w:val="E3B64880"/>
    <w:lvl w:ilvl="0" w:tplc="04060017">
      <w:start w:val="1"/>
      <w:numFmt w:val="lowerLetter"/>
      <w:lvlText w:val="%1)"/>
      <w:lvlJc w:val="left"/>
      <w:pPr>
        <w:tabs>
          <w:tab w:val="num" w:pos="397"/>
        </w:tabs>
        <w:ind w:left="397" w:hanging="397"/>
      </w:pPr>
      <w:rPr>
        <w:rFonts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DE74AE0"/>
    <w:multiLevelType w:val="hybridMultilevel"/>
    <w:tmpl w:val="80B03FEA"/>
    <w:lvl w:ilvl="0" w:tplc="04060017">
      <w:start w:val="1"/>
      <w:numFmt w:val="lowerLetter"/>
      <w:lvlText w:val="%1)"/>
      <w:lvlJc w:val="left"/>
      <w:pPr>
        <w:tabs>
          <w:tab w:val="num" w:pos="360"/>
        </w:tabs>
        <w:ind w:left="360" w:hanging="360"/>
      </w:pPr>
      <w:rPr>
        <w:rFonts w:hint="default"/>
        <w:b w:val="0"/>
        <w:i w:val="0"/>
        <w:color w:val="D2232A"/>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41156F6"/>
    <w:multiLevelType w:val="hybridMultilevel"/>
    <w:tmpl w:val="2FAA06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5F0556"/>
    <w:multiLevelType w:val="hybridMultilevel"/>
    <w:tmpl w:val="E5F44BEC"/>
    <w:lvl w:ilvl="0" w:tplc="FFEA7052">
      <w:start w:val="1"/>
      <w:numFmt w:val="lowerLetter"/>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67626CBD"/>
    <w:multiLevelType w:val="hybridMultilevel"/>
    <w:tmpl w:val="1E341E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06FD7"/>
    <w:multiLevelType w:val="hybridMultilevel"/>
    <w:tmpl w:val="5A109F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A6B4722"/>
    <w:multiLevelType w:val="hybridMultilevel"/>
    <w:tmpl w:val="5E182F4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6E2A1173"/>
    <w:multiLevelType w:val="hybridMultilevel"/>
    <w:tmpl w:val="5AD87A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num>
  <w:num w:numId="2">
    <w:abstractNumId w:val="11"/>
  </w:num>
  <w:num w:numId="3">
    <w:abstractNumId w:val="22"/>
  </w:num>
  <w:num w:numId="4">
    <w:abstractNumId w:val="14"/>
  </w:num>
  <w:num w:numId="5">
    <w:abstractNumId w:val="13"/>
  </w:num>
  <w:num w:numId="6">
    <w:abstractNumId w:val="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9"/>
  </w:num>
  <w:num w:numId="12">
    <w:abstractNumId w:val="21"/>
  </w:num>
  <w:num w:numId="13">
    <w:abstractNumId w:val="4"/>
  </w:num>
  <w:num w:numId="14">
    <w:abstractNumId w:val="17"/>
  </w:num>
  <w:num w:numId="15">
    <w:abstractNumId w:val="16"/>
  </w:num>
  <w:num w:numId="16">
    <w:abstractNumId w:val="20"/>
  </w:num>
  <w:num w:numId="17">
    <w:abstractNumId w:val="2"/>
  </w:num>
  <w:num w:numId="18">
    <w:abstractNumId w:val="3"/>
  </w:num>
  <w:num w:numId="19">
    <w:abstractNumId w:val="5"/>
  </w:num>
  <w:num w:numId="20">
    <w:abstractNumId w:val="19"/>
  </w:num>
  <w:num w:numId="21">
    <w:abstractNumId w:val="12"/>
  </w:num>
  <w:num w:numId="22">
    <w:abstractNumId w:val="18"/>
  </w:num>
  <w:num w:numId="23">
    <w:abstractNumId w:val="15"/>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12"/>
    <w:rsid w:val="00025271"/>
    <w:rsid w:val="00025345"/>
    <w:rsid w:val="00027542"/>
    <w:rsid w:val="00033AB6"/>
    <w:rsid w:val="00034543"/>
    <w:rsid w:val="0003456C"/>
    <w:rsid w:val="000351A8"/>
    <w:rsid w:val="00036B32"/>
    <w:rsid w:val="000403BD"/>
    <w:rsid w:val="00040415"/>
    <w:rsid w:val="00040C6A"/>
    <w:rsid w:val="00042ACA"/>
    <w:rsid w:val="00045BB7"/>
    <w:rsid w:val="00052239"/>
    <w:rsid w:val="000532F4"/>
    <w:rsid w:val="000565EE"/>
    <w:rsid w:val="00056B22"/>
    <w:rsid w:val="0005777E"/>
    <w:rsid w:val="000612DF"/>
    <w:rsid w:val="00063192"/>
    <w:rsid w:val="00065FAF"/>
    <w:rsid w:val="000738AF"/>
    <w:rsid w:val="00073D94"/>
    <w:rsid w:val="00075D37"/>
    <w:rsid w:val="00076647"/>
    <w:rsid w:val="00081348"/>
    <w:rsid w:val="00083499"/>
    <w:rsid w:val="0009407E"/>
    <w:rsid w:val="00094A11"/>
    <w:rsid w:val="000A01C4"/>
    <w:rsid w:val="000A02FF"/>
    <w:rsid w:val="000A09D2"/>
    <w:rsid w:val="000A15CA"/>
    <w:rsid w:val="000A5285"/>
    <w:rsid w:val="000A796D"/>
    <w:rsid w:val="000C11ED"/>
    <w:rsid w:val="000D5F1D"/>
    <w:rsid w:val="000D749A"/>
    <w:rsid w:val="000E17B6"/>
    <w:rsid w:val="000E551C"/>
    <w:rsid w:val="000F1E41"/>
    <w:rsid w:val="000F646E"/>
    <w:rsid w:val="00102357"/>
    <w:rsid w:val="00103B8C"/>
    <w:rsid w:val="00104C82"/>
    <w:rsid w:val="001063D0"/>
    <w:rsid w:val="0010769E"/>
    <w:rsid w:val="00107C65"/>
    <w:rsid w:val="00110A17"/>
    <w:rsid w:val="001115A8"/>
    <w:rsid w:val="001116CD"/>
    <w:rsid w:val="00112F40"/>
    <w:rsid w:val="00120880"/>
    <w:rsid w:val="00121695"/>
    <w:rsid w:val="001223D0"/>
    <w:rsid w:val="001310B6"/>
    <w:rsid w:val="0013200C"/>
    <w:rsid w:val="001326EB"/>
    <w:rsid w:val="001337D0"/>
    <w:rsid w:val="0013644A"/>
    <w:rsid w:val="001410F3"/>
    <w:rsid w:val="00141E87"/>
    <w:rsid w:val="001422DC"/>
    <w:rsid w:val="00142783"/>
    <w:rsid w:val="00151B89"/>
    <w:rsid w:val="001521D5"/>
    <w:rsid w:val="00154E20"/>
    <w:rsid w:val="00167D32"/>
    <w:rsid w:val="00196DA1"/>
    <w:rsid w:val="001A0D8E"/>
    <w:rsid w:val="001A2E6A"/>
    <w:rsid w:val="001A4715"/>
    <w:rsid w:val="001A5CCC"/>
    <w:rsid w:val="001B432E"/>
    <w:rsid w:val="001B5AEA"/>
    <w:rsid w:val="001C0160"/>
    <w:rsid w:val="001C1D5C"/>
    <w:rsid w:val="001C5345"/>
    <w:rsid w:val="001C5840"/>
    <w:rsid w:val="001D2CF8"/>
    <w:rsid w:val="001E310B"/>
    <w:rsid w:val="0020094D"/>
    <w:rsid w:val="00202490"/>
    <w:rsid w:val="002204F8"/>
    <w:rsid w:val="00221066"/>
    <w:rsid w:val="00232450"/>
    <w:rsid w:val="0023264E"/>
    <w:rsid w:val="00236CA6"/>
    <w:rsid w:val="00241A13"/>
    <w:rsid w:val="00251700"/>
    <w:rsid w:val="00252351"/>
    <w:rsid w:val="00256ADF"/>
    <w:rsid w:val="00266807"/>
    <w:rsid w:val="00267A82"/>
    <w:rsid w:val="002877ED"/>
    <w:rsid w:val="002A218F"/>
    <w:rsid w:val="002A4E5B"/>
    <w:rsid w:val="002A6DD3"/>
    <w:rsid w:val="002B1BA9"/>
    <w:rsid w:val="002B2D0B"/>
    <w:rsid w:val="002B3153"/>
    <w:rsid w:val="002B5C48"/>
    <w:rsid w:val="002B6BA7"/>
    <w:rsid w:val="002C0E65"/>
    <w:rsid w:val="002C189F"/>
    <w:rsid w:val="002C1B3E"/>
    <w:rsid w:val="002D05D2"/>
    <w:rsid w:val="002D49D9"/>
    <w:rsid w:val="002D65F2"/>
    <w:rsid w:val="002E17CB"/>
    <w:rsid w:val="002E24A1"/>
    <w:rsid w:val="002E7F87"/>
    <w:rsid w:val="003029CD"/>
    <w:rsid w:val="00303DE8"/>
    <w:rsid w:val="0030462F"/>
    <w:rsid w:val="00305329"/>
    <w:rsid w:val="00305B98"/>
    <w:rsid w:val="00305C6D"/>
    <w:rsid w:val="003134E6"/>
    <w:rsid w:val="00314C8D"/>
    <w:rsid w:val="00316CF9"/>
    <w:rsid w:val="00322906"/>
    <w:rsid w:val="00322929"/>
    <w:rsid w:val="00323263"/>
    <w:rsid w:val="00323D0D"/>
    <w:rsid w:val="00327B6C"/>
    <w:rsid w:val="00333989"/>
    <w:rsid w:val="00334365"/>
    <w:rsid w:val="00334721"/>
    <w:rsid w:val="003358B9"/>
    <w:rsid w:val="00337EDE"/>
    <w:rsid w:val="0034077F"/>
    <w:rsid w:val="00340F5A"/>
    <w:rsid w:val="0035451D"/>
    <w:rsid w:val="00357670"/>
    <w:rsid w:val="00367033"/>
    <w:rsid w:val="003719C5"/>
    <w:rsid w:val="003721BE"/>
    <w:rsid w:val="00372495"/>
    <w:rsid w:val="00373666"/>
    <w:rsid w:val="00373DE2"/>
    <w:rsid w:val="003740F2"/>
    <w:rsid w:val="003801FE"/>
    <w:rsid w:val="003830C1"/>
    <w:rsid w:val="003841F9"/>
    <w:rsid w:val="00386F3B"/>
    <w:rsid w:val="003926C5"/>
    <w:rsid w:val="0039331A"/>
    <w:rsid w:val="00393F24"/>
    <w:rsid w:val="00395E86"/>
    <w:rsid w:val="003A64F1"/>
    <w:rsid w:val="003B16BC"/>
    <w:rsid w:val="003B3C86"/>
    <w:rsid w:val="003D1AC0"/>
    <w:rsid w:val="003D2273"/>
    <w:rsid w:val="003D27C1"/>
    <w:rsid w:val="003D29BB"/>
    <w:rsid w:val="003D5F28"/>
    <w:rsid w:val="003E3702"/>
    <w:rsid w:val="003F1D4E"/>
    <w:rsid w:val="003F42A2"/>
    <w:rsid w:val="003F6CFA"/>
    <w:rsid w:val="00401BA5"/>
    <w:rsid w:val="00405E9B"/>
    <w:rsid w:val="00410D61"/>
    <w:rsid w:val="00411FE3"/>
    <w:rsid w:val="00414203"/>
    <w:rsid w:val="0041668D"/>
    <w:rsid w:val="00416C0B"/>
    <w:rsid w:val="00425574"/>
    <w:rsid w:val="00427B22"/>
    <w:rsid w:val="00437754"/>
    <w:rsid w:val="00437D58"/>
    <w:rsid w:val="00437E66"/>
    <w:rsid w:val="00437E75"/>
    <w:rsid w:val="00441778"/>
    <w:rsid w:val="004426E4"/>
    <w:rsid w:val="00445B22"/>
    <w:rsid w:val="00454292"/>
    <w:rsid w:val="00455CB6"/>
    <w:rsid w:val="00456718"/>
    <w:rsid w:val="004620B5"/>
    <w:rsid w:val="00466870"/>
    <w:rsid w:val="00467F87"/>
    <w:rsid w:val="004746B1"/>
    <w:rsid w:val="0047711A"/>
    <w:rsid w:val="004776E9"/>
    <w:rsid w:val="00486F6D"/>
    <w:rsid w:val="0049269F"/>
    <w:rsid w:val="004947AC"/>
    <w:rsid w:val="004A02A8"/>
    <w:rsid w:val="004A0841"/>
    <w:rsid w:val="004A535E"/>
    <w:rsid w:val="004A5C65"/>
    <w:rsid w:val="004B3FD9"/>
    <w:rsid w:val="004B52F5"/>
    <w:rsid w:val="004B6A54"/>
    <w:rsid w:val="004C0401"/>
    <w:rsid w:val="004C0FA8"/>
    <w:rsid w:val="004D104E"/>
    <w:rsid w:val="004D19C6"/>
    <w:rsid w:val="004D765F"/>
    <w:rsid w:val="004E3843"/>
    <w:rsid w:val="004E5674"/>
    <w:rsid w:val="004E67AA"/>
    <w:rsid w:val="004E7E65"/>
    <w:rsid w:val="004F161E"/>
    <w:rsid w:val="00501C5F"/>
    <w:rsid w:val="00505960"/>
    <w:rsid w:val="00505ADD"/>
    <w:rsid w:val="00513D93"/>
    <w:rsid w:val="0051429A"/>
    <w:rsid w:val="00517E7C"/>
    <w:rsid w:val="00526FA3"/>
    <w:rsid w:val="0053363D"/>
    <w:rsid w:val="00535994"/>
    <w:rsid w:val="0054135F"/>
    <w:rsid w:val="0054268D"/>
    <w:rsid w:val="00545AEE"/>
    <w:rsid w:val="005509C2"/>
    <w:rsid w:val="00553442"/>
    <w:rsid w:val="00553672"/>
    <w:rsid w:val="0056287F"/>
    <w:rsid w:val="005665D9"/>
    <w:rsid w:val="00567BC5"/>
    <w:rsid w:val="005706BC"/>
    <w:rsid w:val="00574EC7"/>
    <w:rsid w:val="00574F09"/>
    <w:rsid w:val="005801F7"/>
    <w:rsid w:val="00581A48"/>
    <w:rsid w:val="00592482"/>
    <w:rsid w:val="00593395"/>
    <w:rsid w:val="005962DD"/>
    <w:rsid w:val="005A00E5"/>
    <w:rsid w:val="005A360C"/>
    <w:rsid w:val="005A610C"/>
    <w:rsid w:val="005B1F59"/>
    <w:rsid w:val="005B22CA"/>
    <w:rsid w:val="005B51BB"/>
    <w:rsid w:val="005B6FF7"/>
    <w:rsid w:val="005C088F"/>
    <w:rsid w:val="005C7C61"/>
    <w:rsid w:val="005D27DC"/>
    <w:rsid w:val="005D389F"/>
    <w:rsid w:val="005D6813"/>
    <w:rsid w:val="005E05E3"/>
    <w:rsid w:val="005E0E0D"/>
    <w:rsid w:val="005E1C32"/>
    <w:rsid w:val="005E4ACA"/>
    <w:rsid w:val="005F130E"/>
    <w:rsid w:val="005F5044"/>
    <w:rsid w:val="00602178"/>
    <w:rsid w:val="00602867"/>
    <w:rsid w:val="006133CB"/>
    <w:rsid w:val="00620DA8"/>
    <w:rsid w:val="00624C76"/>
    <w:rsid w:val="00627F3F"/>
    <w:rsid w:val="00630DB6"/>
    <w:rsid w:val="006346CF"/>
    <w:rsid w:val="00636674"/>
    <w:rsid w:val="0065056C"/>
    <w:rsid w:val="006528DC"/>
    <w:rsid w:val="00661865"/>
    <w:rsid w:val="0067204C"/>
    <w:rsid w:val="00673544"/>
    <w:rsid w:val="00676994"/>
    <w:rsid w:val="00681909"/>
    <w:rsid w:val="006819C4"/>
    <w:rsid w:val="006850F9"/>
    <w:rsid w:val="00685E06"/>
    <w:rsid w:val="00691000"/>
    <w:rsid w:val="0069578A"/>
    <w:rsid w:val="00696551"/>
    <w:rsid w:val="006A0D65"/>
    <w:rsid w:val="006A3AEF"/>
    <w:rsid w:val="006A50B5"/>
    <w:rsid w:val="006A51B0"/>
    <w:rsid w:val="006B6250"/>
    <w:rsid w:val="006B723B"/>
    <w:rsid w:val="006C004A"/>
    <w:rsid w:val="006C0A8C"/>
    <w:rsid w:val="006C4FBD"/>
    <w:rsid w:val="006C5280"/>
    <w:rsid w:val="006D3DC4"/>
    <w:rsid w:val="006D74AD"/>
    <w:rsid w:val="006E64A1"/>
    <w:rsid w:val="006F150C"/>
    <w:rsid w:val="006F4CF7"/>
    <w:rsid w:val="006F4E46"/>
    <w:rsid w:val="006F758A"/>
    <w:rsid w:val="00715F8B"/>
    <w:rsid w:val="007255E6"/>
    <w:rsid w:val="00725A6C"/>
    <w:rsid w:val="00726763"/>
    <w:rsid w:val="00732401"/>
    <w:rsid w:val="007409D5"/>
    <w:rsid w:val="007522E7"/>
    <w:rsid w:val="00752F95"/>
    <w:rsid w:val="007568E3"/>
    <w:rsid w:val="0075701D"/>
    <w:rsid w:val="00760863"/>
    <w:rsid w:val="00770750"/>
    <w:rsid w:val="007730F6"/>
    <w:rsid w:val="00777DBF"/>
    <w:rsid w:val="0078212C"/>
    <w:rsid w:val="0078439A"/>
    <w:rsid w:val="00795A9F"/>
    <w:rsid w:val="007978A3"/>
    <w:rsid w:val="007B1AE1"/>
    <w:rsid w:val="007B5C8B"/>
    <w:rsid w:val="007C5F95"/>
    <w:rsid w:val="007C6E54"/>
    <w:rsid w:val="007D6D30"/>
    <w:rsid w:val="007E363F"/>
    <w:rsid w:val="007F3DFF"/>
    <w:rsid w:val="007F5FCC"/>
    <w:rsid w:val="00801540"/>
    <w:rsid w:val="00801799"/>
    <w:rsid w:val="0081129E"/>
    <w:rsid w:val="008133D9"/>
    <w:rsid w:val="0081719D"/>
    <w:rsid w:val="00822124"/>
    <w:rsid w:val="008268CF"/>
    <w:rsid w:val="00833165"/>
    <w:rsid w:val="00844086"/>
    <w:rsid w:val="008442A5"/>
    <w:rsid w:val="00847F29"/>
    <w:rsid w:val="0085164B"/>
    <w:rsid w:val="008561B7"/>
    <w:rsid w:val="008576E0"/>
    <w:rsid w:val="00857FD2"/>
    <w:rsid w:val="0086051B"/>
    <w:rsid w:val="008605CD"/>
    <w:rsid w:val="00861B8B"/>
    <w:rsid w:val="0086671C"/>
    <w:rsid w:val="00867F13"/>
    <w:rsid w:val="008711DD"/>
    <w:rsid w:val="00871703"/>
    <w:rsid w:val="00871C16"/>
    <w:rsid w:val="00873512"/>
    <w:rsid w:val="00874DA4"/>
    <w:rsid w:val="00876FE5"/>
    <w:rsid w:val="00877775"/>
    <w:rsid w:val="00880147"/>
    <w:rsid w:val="008804B9"/>
    <w:rsid w:val="00882A69"/>
    <w:rsid w:val="00883AB9"/>
    <w:rsid w:val="00890311"/>
    <w:rsid w:val="00892800"/>
    <w:rsid w:val="0089319F"/>
    <w:rsid w:val="008956F3"/>
    <w:rsid w:val="0089571D"/>
    <w:rsid w:val="00897A4D"/>
    <w:rsid w:val="008A279D"/>
    <w:rsid w:val="008A6D08"/>
    <w:rsid w:val="008A6E2C"/>
    <w:rsid w:val="008B0C68"/>
    <w:rsid w:val="008B15BD"/>
    <w:rsid w:val="008B4536"/>
    <w:rsid w:val="008C09C5"/>
    <w:rsid w:val="008C5884"/>
    <w:rsid w:val="008D1962"/>
    <w:rsid w:val="008D55C5"/>
    <w:rsid w:val="008D56C0"/>
    <w:rsid w:val="008D5BE8"/>
    <w:rsid w:val="008D79DB"/>
    <w:rsid w:val="008D7CA0"/>
    <w:rsid w:val="008E0E6E"/>
    <w:rsid w:val="008E1ED3"/>
    <w:rsid w:val="008E7DD5"/>
    <w:rsid w:val="008F07B6"/>
    <w:rsid w:val="008F472B"/>
    <w:rsid w:val="008F6F70"/>
    <w:rsid w:val="009036E6"/>
    <w:rsid w:val="00903890"/>
    <w:rsid w:val="0090528B"/>
    <w:rsid w:val="0090638E"/>
    <w:rsid w:val="0091127B"/>
    <w:rsid w:val="00916576"/>
    <w:rsid w:val="00917CCB"/>
    <w:rsid w:val="00924943"/>
    <w:rsid w:val="009259F8"/>
    <w:rsid w:val="00926560"/>
    <w:rsid w:val="00930C5E"/>
    <w:rsid w:val="00941551"/>
    <w:rsid w:val="009457F6"/>
    <w:rsid w:val="009552F8"/>
    <w:rsid w:val="00960F2C"/>
    <w:rsid w:val="009641E1"/>
    <w:rsid w:val="00966E09"/>
    <w:rsid w:val="00970A05"/>
    <w:rsid w:val="009734EE"/>
    <w:rsid w:val="0098416A"/>
    <w:rsid w:val="00984644"/>
    <w:rsid w:val="00984ED5"/>
    <w:rsid w:val="009869AC"/>
    <w:rsid w:val="009912DA"/>
    <w:rsid w:val="009920D7"/>
    <w:rsid w:val="009945E7"/>
    <w:rsid w:val="00995E23"/>
    <w:rsid w:val="009A220A"/>
    <w:rsid w:val="009A25C7"/>
    <w:rsid w:val="009A38CF"/>
    <w:rsid w:val="009A6631"/>
    <w:rsid w:val="009A70AD"/>
    <w:rsid w:val="009B3424"/>
    <w:rsid w:val="009C030F"/>
    <w:rsid w:val="009D36D8"/>
    <w:rsid w:val="009D5FAC"/>
    <w:rsid w:val="009D79FC"/>
    <w:rsid w:val="009E510C"/>
    <w:rsid w:val="009E7E3E"/>
    <w:rsid w:val="009F205F"/>
    <w:rsid w:val="009F6748"/>
    <w:rsid w:val="00A07804"/>
    <w:rsid w:val="00A1006E"/>
    <w:rsid w:val="00A14226"/>
    <w:rsid w:val="00A17154"/>
    <w:rsid w:val="00A21368"/>
    <w:rsid w:val="00A274A0"/>
    <w:rsid w:val="00A27D73"/>
    <w:rsid w:val="00A31405"/>
    <w:rsid w:val="00A3208E"/>
    <w:rsid w:val="00A32F16"/>
    <w:rsid w:val="00A33ECC"/>
    <w:rsid w:val="00A34891"/>
    <w:rsid w:val="00A352D4"/>
    <w:rsid w:val="00A35F15"/>
    <w:rsid w:val="00A375A3"/>
    <w:rsid w:val="00A43D77"/>
    <w:rsid w:val="00A45805"/>
    <w:rsid w:val="00A4608E"/>
    <w:rsid w:val="00A468E5"/>
    <w:rsid w:val="00A46D17"/>
    <w:rsid w:val="00A529AA"/>
    <w:rsid w:val="00A53B2A"/>
    <w:rsid w:val="00A53BD2"/>
    <w:rsid w:val="00A61467"/>
    <w:rsid w:val="00A627F3"/>
    <w:rsid w:val="00A62A9B"/>
    <w:rsid w:val="00A648D0"/>
    <w:rsid w:val="00A67234"/>
    <w:rsid w:val="00A7117A"/>
    <w:rsid w:val="00A73051"/>
    <w:rsid w:val="00A73402"/>
    <w:rsid w:val="00A75A86"/>
    <w:rsid w:val="00A80C97"/>
    <w:rsid w:val="00A84C73"/>
    <w:rsid w:val="00A84EF3"/>
    <w:rsid w:val="00A9192E"/>
    <w:rsid w:val="00A91E63"/>
    <w:rsid w:val="00A9360D"/>
    <w:rsid w:val="00A96C8A"/>
    <w:rsid w:val="00A97775"/>
    <w:rsid w:val="00AA2564"/>
    <w:rsid w:val="00AB1A4B"/>
    <w:rsid w:val="00AB20DA"/>
    <w:rsid w:val="00AB2550"/>
    <w:rsid w:val="00AB489C"/>
    <w:rsid w:val="00AB4ED4"/>
    <w:rsid w:val="00AC010F"/>
    <w:rsid w:val="00AC4DD1"/>
    <w:rsid w:val="00AC607D"/>
    <w:rsid w:val="00AD05E8"/>
    <w:rsid w:val="00AD7245"/>
    <w:rsid w:val="00AD7680"/>
    <w:rsid w:val="00AE425B"/>
    <w:rsid w:val="00AE61B0"/>
    <w:rsid w:val="00AF168F"/>
    <w:rsid w:val="00AF5057"/>
    <w:rsid w:val="00B0265C"/>
    <w:rsid w:val="00B04304"/>
    <w:rsid w:val="00B0499F"/>
    <w:rsid w:val="00B06423"/>
    <w:rsid w:val="00B119BC"/>
    <w:rsid w:val="00B12F9C"/>
    <w:rsid w:val="00B207AA"/>
    <w:rsid w:val="00B21B1F"/>
    <w:rsid w:val="00B272B1"/>
    <w:rsid w:val="00B272BB"/>
    <w:rsid w:val="00B34B81"/>
    <w:rsid w:val="00B3730E"/>
    <w:rsid w:val="00B50DC1"/>
    <w:rsid w:val="00B5419F"/>
    <w:rsid w:val="00B60C42"/>
    <w:rsid w:val="00B61630"/>
    <w:rsid w:val="00B62F73"/>
    <w:rsid w:val="00B674BE"/>
    <w:rsid w:val="00B72A79"/>
    <w:rsid w:val="00B766B1"/>
    <w:rsid w:val="00B77075"/>
    <w:rsid w:val="00B77EBE"/>
    <w:rsid w:val="00B803FE"/>
    <w:rsid w:val="00B8105F"/>
    <w:rsid w:val="00B875D1"/>
    <w:rsid w:val="00BA2D2F"/>
    <w:rsid w:val="00BA56E0"/>
    <w:rsid w:val="00BA7CD0"/>
    <w:rsid w:val="00BB05F7"/>
    <w:rsid w:val="00BB3550"/>
    <w:rsid w:val="00BC399B"/>
    <w:rsid w:val="00BC4541"/>
    <w:rsid w:val="00BD3A97"/>
    <w:rsid w:val="00BD72E6"/>
    <w:rsid w:val="00BE0609"/>
    <w:rsid w:val="00BE1032"/>
    <w:rsid w:val="00BE64AF"/>
    <w:rsid w:val="00BF4260"/>
    <w:rsid w:val="00BF4D51"/>
    <w:rsid w:val="00C0582B"/>
    <w:rsid w:val="00C07803"/>
    <w:rsid w:val="00C127FD"/>
    <w:rsid w:val="00C15970"/>
    <w:rsid w:val="00C26627"/>
    <w:rsid w:val="00C31C41"/>
    <w:rsid w:val="00C3253B"/>
    <w:rsid w:val="00C333AE"/>
    <w:rsid w:val="00C53B40"/>
    <w:rsid w:val="00C56524"/>
    <w:rsid w:val="00C6082B"/>
    <w:rsid w:val="00C6280F"/>
    <w:rsid w:val="00C65191"/>
    <w:rsid w:val="00C75A60"/>
    <w:rsid w:val="00C777E2"/>
    <w:rsid w:val="00C77FE0"/>
    <w:rsid w:val="00C93D5D"/>
    <w:rsid w:val="00C9419E"/>
    <w:rsid w:val="00C9587F"/>
    <w:rsid w:val="00C95C7C"/>
    <w:rsid w:val="00C9693D"/>
    <w:rsid w:val="00CA183A"/>
    <w:rsid w:val="00CB7C8F"/>
    <w:rsid w:val="00CC03C8"/>
    <w:rsid w:val="00CC5CA0"/>
    <w:rsid w:val="00CC6323"/>
    <w:rsid w:val="00CD4E20"/>
    <w:rsid w:val="00CD50AA"/>
    <w:rsid w:val="00CD726E"/>
    <w:rsid w:val="00CE1AB9"/>
    <w:rsid w:val="00CE5F10"/>
    <w:rsid w:val="00CE6492"/>
    <w:rsid w:val="00CF2711"/>
    <w:rsid w:val="00CF2775"/>
    <w:rsid w:val="00D00759"/>
    <w:rsid w:val="00D01BE9"/>
    <w:rsid w:val="00D078C8"/>
    <w:rsid w:val="00D16257"/>
    <w:rsid w:val="00D214CE"/>
    <w:rsid w:val="00D220A7"/>
    <w:rsid w:val="00D22C04"/>
    <w:rsid w:val="00D263E5"/>
    <w:rsid w:val="00D33CFD"/>
    <w:rsid w:val="00D359D0"/>
    <w:rsid w:val="00D371CC"/>
    <w:rsid w:val="00D40D5D"/>
    <w:rsid w:val="00D41757"/>
    <w:rsid w:val="00D41B70"/>
    <w:rsid w:val="00D43B99"/>
    <w:rsid w:val="00D478C5"/>
    <w:rsid w:val="00D5201B"/>
    <w:rsid w:val="00D5296B"/>
    <w:rsid w:val="00D57738"/>
    <w:rsid w:val="00D64D02"/>
    <w:rsid w:val="00D65391"/>
    <w:rsid w:val="00D6651A"/>
    <w:rsid w:val="00D85192"/>
    <w:rsid w:val="00D91C58"/>
    <w:rsid w:val="00D9287A"/>
    <w:rsid w:val="00D94A46"/>
    <w:rsid w:val="00D97A79"/>
    <w:rsid w:val="00DA0A4B"/>
    <w:rsid w:val="00DA2E7E"/>
    <w:rsid w:val="00DA4499"/>
    <w:rsid w:val="00DA5DE3"/>
    <w:rsid w:val="00DB082B"/>
    <w:rsid w:val="00DB0A0C"/>
    <w:rsid w:val="00DB0B81"/>
    <w:rsid w:val="00DB1088"/>
    <w:rsid w:val="00DB2369"/>
    <w:rsid w:val="00DB25F4"/>
    <w:rsid w:val="00DB4B65"/>
    <w:rsid w:val="00DB7FCF"/>
    <w:rsid w:val="00DC3766"/>
    <w:rsid w:val="00DC3BFB"/>
    <w:rsid w:val="00DC53F5"/>
    <w:rsid w:val="00DC69AC"/>
    <w:rsid w:val="00DD0A52"/>
    <w:rsid w:val="00DD0EA4"/>
    <w:rsid w:val="00DE4831"/>
    <w:rsid w:val="00DF2139"/>
    <w:rsid w:val="00DF352D"/>
    <w:rsid w:val="00DF455C"/>
    <w:rsid w:val="00DF6E9C"/>
    <w:rsid w:val="00DF7E47"/>
    <w:rsid w:val="00E01114"/>
    <w:rsid w:val="00E03E9E"/>
    <w:rsid w:val="00E04621"/>
    <w:rsid w:val="00E06F3B"/>
    <w:rsid w:val="00E101AE"/>
    <w:rsid w:val="00E134E6"/>
    <w:rsid w:val="00E142BA"/>
    <w:rsid w:val="00E14329"/>
    <w:rsid w:val="00E15BCC"/>
    <w:rsid w:val="00E167E7"/>
    <w:rsid w:val="00E21475"/>
    <w:rsid w:val="00E21C16"/>
    <w:rsid w:val="00E23A58"/>
    <w:rsid w:val="00E23BA6"/>
    <w:rsid w:val="00E24220"/>
    <w:rsid w:val="00E26F32"/>
    <w:rsid w:val="00E34B80"/>
    <w:rsid w:val="00E43951"/>
    <w:rsid w:val="00E5071A"/>
    <w:rsid w:val="00E55867"/>
    <w:rsid w:val="00E60CC9"/>
    <w:rsid w:val="00E623FB"/>
    <w:rsid w:val="00E72300"/>
    <w:rsid w:val="00E736D6"/>
    <w:rsid w:val="00E751F7"/>
    <w:rsid w:val="00E76663"/>
    <w:rsid w:val="00E83E3C"/>
    <w:rsid w:val="00E92CB2"/>
    <w:rsid w:val="00E92E5A"/>
    <w:rsid w:val="00E93C0E"/>
    <w:rsid w:val="00EA353E"/>
    <w:rsid w:val="00EB2751"/>
    <w:rsid w:val="00EB58EC"/>
    <w:rsid w:val="00EB5BBA"/>
    <w:rsid w:val="00EB5CB6"/>
    <w:rsid w:val="00EB6739"/>
    <w:rsid w:val="00EC3F82"/>
    <w:rsid w:val="00EE04A2"/>
    <w:rsid w:val="00F02B7E"/>
    <w:rsid w:val="00F062C7"/>
    <w:rsid w:val="00F11766"/>
    <w:rsid w:val="00F167B3"/>
    <w:rsid w:val="00F26F96"/>
    <w:rsid w:val="00F309B1"/>
    <w:rsid w:val="00F402C0"/>
    <w:rsid w:val="00F41AE5"/>
    <w:rsid w:val="00F44295"/>
    <w:rsid w:val="00F4480C"/>
    <w:rsid w:val="00F47592"/>
    <w:rsid w:val="00F51A2D"/>
    <w:rsid w:val="00F53100"/>
    <w:rsid w:val="00F54351"/>
    <w:rsid w:val="00F54551"/>
    <w:rsid w:val="00F54605"/>
    <w:rsid w:val="00F55AB5"/>
    <w:rsid w:val="00F71F90"/>
    <w:rsid w:val="00F7293C"/>
    <w:rsid w:val="00F73685"/>
    <w:rsid w:val="00F73E52"/>
    <w:rsid w:val="00F75081"/>
    <w:rsid w:val="00F805A5"/>
    <w:rsid w:val="00F814D8"/>
    <w:rsid w:val="00F86408"/>
    <w:rsid w:val="00F904CC"/>
    <w:rsid w:val="00F90E88"/>
    <w:rsid w:val="00F92A9E"/>
    <w:rsid w:val="00F9383C"/>
    <w:rsid w:val="00FA1C1C"/>
    <w:rsid w:val="00FA57AA"/>
    <w:rsid w:val="00FB1883"/>
    <w:rsid w:val="00FC13B4"/>
    <w:rsid w:val="00FC20F0"/>
    <w:rsid w:val="00FD4A64"/>
    <w:rsid w:val="00FD756A"/>
    <w:rsid w:val="00FE1795"/>
    <w:rsid w:val="00FE19B7"/>
    <w:rsid w:val="00FE2655"/>
    <w:rsid w:val="00FE2EE2"/>
    <w:rsid w:val="00FE6BDB"/>
    <w:rsid w:val="00FF0412"/>
    <w:rsid w:val="00FF05B7"/>
    <w:rsid w:val="00FF56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9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5A9F"/>
    <w:rPr>
      <w:rFonts w:ascii="Arial" w:hAnsi="Arial"/>
      <w:szCs w:val="24"/>
      <w:lang w:val="en-US" w:eastAsia="en-US"/>
    </w:rPr>
  </w:style>
  <w:style w:type="paragraph" w:styleId="Heading1">
    <w:name w:val="heading 1"/>
    <w:aliases w:val="ECC Heading 1"/>
    <w:basedOn w:val="Normal"/>
    <w:next w:val="ECCParagraph"/>
    <w:link w:val="Heading1Char"/>
    <w:autoRedefine/>
    <w:qFormat/>
    <w:rsid w:val="00795A9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795A9F"/>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795A9F"/>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95A9F"/>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795A9F"/>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795A9F"/>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795A9F"/>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795A9F"/>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795A9F"/>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locked/>
    <w:rsid w:val="00833165"/>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833165"/>
    <w:rPr>
      <w:rFonts w:ascii="Arial" w:hAnsi="Arial" w:cs="Arial"/>
      <w:b/>
      <w:bCs/>
      <w:iCs/>
      <w:caps/>
      <w:szCs w:val="28"/>
    </w:rPr>
  </w:style>
  <w:style w:type="character" w:customStyle="1" w:styleId="Heading3Char">
    <w:name w:val="Heading 3 Char"/>
    <w:aliases w:val="ECC Heading 3 Char"/>
    <w:link w:val="Heading3"/>
    <w:uiPriority w:val="99"/>
    <w:locked/>
    <w:rsid w:val="00833165"/>
    <w:rPr>
      <w:rFonts w:ascii="Arial" w:hAnsi="Arial" w:cs="Arial"/>
      <w:b/>
      <w:bCs/>
      <w:szCs w:val="26"/>
    </w:rPr>
  </w:style>
  <w:style w:type="character" w:customStyle="1" w:styleId="Heading4Char">
    <w:name w:val="Heading 4 Char"/>
    <w:aliases w:val="ECC Heading 4 Char"/>
    <w:link w:val="Heading4"/>
    <w:uiPriority w:val="99"/>
    <w:locked/>
    <w:rsid w:val="00833165"/>
    <w:rPr>
      <w:rFonts w:ascii="Arial" w:hAnsi="Arial" w:cs="Arial"/>
      <w:bCs/>
      <w:i/>
      <w:color w:val="D2232A"/>
      <w:szCs w:val="26"/>
    </w:rPr>
  </w:style>
  <w:style w:type="character" w:customStyle="1" w:styleId="Heading5Char">
    <w:name w:val="Heading 5 Char"/>
    <w:link w:val="Heading5"/>
    <w:uiPriority w:val="99"/>
    <w:locked/>
    <w:rsid w:val="00833165"/>
    <w:rPr>
      <w:rFonts w:ascii="Arial" w:hAnsi="Arial"/>
      <w:b/>
      <w:bCs/>
      <w:i/>
      <w:iCs/>
      <w:sz w:val="26"/>
      <w:szCs w:val="26"/>
    </w:rPr>
  </w:style>
  <w:style w:type="character" w:customStyle="1" w:styleId="Heading6Char">
    <w:name w:val="Heading 6 Char"/>
    <w:link w:val="Heading6"/>
    <w:uiPriority w:val="99"/>
    <w:locked/>
    <w:rsid w:val="00833165"/>
    <w:rPr>
      <w:rFonts w:ascii="Arial" w:hAnsi="Arial"/>
      <w:b/>
      <w:bCs/>
      <w:sz w:val="22"/>
      <w:szCs w:val="22"/>
    </w:rPr>
  </w:style>
  <w:style w:type="character" w:customStyle="1" w:styleId="Heading7Char">
    <w:name w:val="Heading 7 Char"/>
    <w:link w:val="Heading7"/>
    <w:uiPriority w:val="99"/>
    <w:locked/>
    <w:rsid w:val="00833165"/>
    <w:rPr>
      <w:rFonts w:ascii="Arial" w:hAnsi="Arial"/>
      <w:sz w:val="24"/>
      <w:szCs w:val="24"/>
    </w:rPr>
  </w:style>
  <w:style w:type="character" w:customStyle="1" w:styleId="Heading8Char">
    <w:name w:val="Heading 8 Char"/>
    <w:link w:val="Heading8"/>
    <w:uiPriority w:val="99"/>
    <w:locked/>
    <w:rsid w:val="00833165"/>
    <w:rPr>
      <w:rFonts w:ascii="Arial" w:hAnsi="Arial"/>
      <w:i/>
      <w:iCs/>
      <w:sz w:val="24"/>
      <w:szCs w:val="24"/>
    </w:rPr>
  </w:style>
  <w:style w:type="character" w:customStyle="1" w:styleId="Heading9Char">
    <w:name w:val="Heading 9 Char"/>
    <w:link w:val="Heading9"/>
    <w:uiPriority w:val="99"/>
    <w:locked/>
    <w:rsid w:val="00833165"/>
    <w:rPr>
      <w:rFonts w:ascii="Arial" w:hAnsi="Arial" w:cs="Arial"/>
      <w:sz w:val="22"/>
      <w:szCs w:val="22"/>
    </w:rPr>
  </w:style>
  <w:style w:type="paragraph" w:customStyle="1" w:styleId="ECCParagraph">
    <w:name w:val="ECC Paragraph"/>
    <w:basedOn w:val="Normal"/>
    <w:rsid w:val="00795A9F"/>
    <w:pPr>
      <w:spacing w:after="240"/>
      <w:jc w:val="both"/>
    </w:pPr>
    <w:rPr>
      <w:lang w:val="en-GB"/>
    </w:rPr>
  </w:style>
  <w:style w:type="paragraph" w:customStyle="1" w:styleId="ECCParBulleted">
    <w:name w:val="ECC Par Bulleted"/>
    <w:basedOn w:val="ECCParagraph"/>
    <w:rsid w:val="00795A9F"/>
    <w:pPr>
      <w:numPr>
        <w:numId w:val="1"/>
      </w:numPr>
      <w:spacing w:after="0"/>
    </w:pPr>
  </w:style>
  <w:style w:type="paragraph" w:styleId="Header">
    <w:name w:val="header"/>
    <w:basedOn w:val="Normal"/>
    <w:link w:val="HeaderChar"/>
    <w:semiHidden/>
    <w:rsid w:val="00795A9F"/>
    <w:pPr>
      <w:tabs>
        <w:tab w:val="center" w:pos="4320"/>
        <w:tab w:val="right" w:pos="8640"/>
      </w:tabs>
    </w:pPr>
    <w:rPr>
      <w:b/>
      <w:sz w:val="16"/>
    </w:rPr>
  </w:style>
  <w:style w:type="character" w:customStyle="1" w:styleId="HeaderChar">
    <w:name w:val="Header Char"/>
    <w:link w:val="Header"/>
    <w:semiHidden/>
    <w:locked/>
    <w:rsid w:val="00833165"/>
    <w:rPr>
      <w:rFonts w:ascii="Arial" w:hAnsi="Arial" w:cs="Times New Roman"/>
      <w:sz w:val="24"/>
      <w:szCs w:val="24"/>
      <w:lang w:val="en-US" w:eastAsia="en-US"/>
    </w:rPr>
  </w:style>
  <w:style w:type="paragraph" w:styleId="Footer">
    <w:name w:val="footer"/>
    <w:basedOn w:val="Normal"/>
    <w:link w:val="FooterChar"/>
    <w:semiHidden/>
    <w:rsid w:val="00795A9F"/>
    <w:pPr>
      <w:tabs>
        <w:tab w:val="center" w:pos="4320"/>
        <w:tab w:val="right" w:pos="8640"/>
      </w:tabs>
    </w:pPr>
  </w:style>
  <w:style w:type="character" w:customStyle="1" w:styleId="FooterChar">
    <w:name w:val="Footer Char"/>
    <w:link w:val="Footer"/>
    <w:semiHidden/>
    <w:locked/>
    <w:rsid w:val="00833165"/>
    <w:rPr>
      <w:rFonts w:ascii="Arial" w:hAnsi="Arial" w:cs="Times New Roman"/>
      <w:sz w:val="24"/>
      <w:szCs w:val="24"/>
      <w:lang w:val="en-US" w:eastAsia="en-US"/>
    </w:rPr>
  </w:style>
  <w:style w:type="paragraph" w:customStyle="1" w:styleId="ECCAnnex-heading1">
    <w:name w:val="ECC Annex - heading1"/>
    <w:basedOn w:val="Heading1"/>
    <w:next w:val="ECCParagraph"/>
    <w:rsid w:val="00795A9F"/>
    <w:pPr>
      <w:numPr>
        <w:numId w:val="6"/>
      </w:numPr>
    </w:pPr>
    <w:rPr>
      <w:b w:val="0"/>
    </w:rPr>
  </w:style>
  <w:style w:type="paragraph" w:styleId="TOC1">
    <w:name w:val="toc 1"/>
    <w:basedOn w:val="Normal"/>
    <w:next w:val="Normal"/>
    <w:autoRedefine/>
    <w:semiHidden/>
    <w:rsid w:val="00795A9F"/>
    <w:pPr>
      <w:tabs>
        <w:tab w:val="left" w:pos="360"/>
        <w:tab w:val="right" w:leader="dot" w:pos="9629"/>
      </w:tabs>
      <w:spacing w:before="240"/>
    </w:pPr>
    <w:rPr>
      <w:b/>
      <w:caps/>
    </w:rPr>
  </w:style>
  <w:style w:type="character" w:styleId="Hyperlink">
    <w:name w:val="Hyperlink"/>
    <w:semiHidden/>
    <w:rsid w:val="00795A9F"/>
    <w:rPr>
      <w:rFonts w:cs="Times New Roman"/>
      <w:color w:val="0000FF"/>
      <w:u w:val="single"/>
    </w:rPr>
  </w:style>
  <w:style w:type="paragraph" w:styleId="TOC2">
    <w:name w:val="toc 2"/>
    <w:basedOn w:val="Normal"/>
    <w:next w:val="Normal"/>
    <w:autoRedefine/>
    <w:semiHidden/>
    <w:rsid w:val="00795A9F"/>
    <w:pPr>
      <w:tabs>
        <w:tab w:val="left" w:pos="900"/>
        <w:tab w:val="right" w:leader="dot" w:pos="9629"/>
      </w:tabs>
      <w:ind w:left="360"/>
    </w:pPr>
  </w:style>
  <w:style w:type="paragraph" w:styleId="TOC3">
    <w:name w:val="toc 3"/>
    <w:basedOn w:val="Normal"/>
    <w:next w:val="Normal"/>
    <w:autoRedefine/>
    <w:semiHidden/>
    <w:rsid w:val="00795A9F"/>
    <w:pPr>
      <w:tabs>
        <w:tab w:val="left" w:pos="1440"/>
        <w:tab w:val="right" w:leader="dot" w:pos="9629"/>
      </w:tabs>
      <w:ind w:left="900"/>
    </w:pPr>
  </w:style>
  <w:style w:type="paragraph" w:styleId="TOC4">
    <w:name w:val="toc 4"/>
    <w:basedOn w:val="Normal"/>
    <w:next w:val="Normal"/>
    <w:autoRedefine/>
    <w:semiHidden/>
    <w:rsid w:val="00795A9F"/>
    <w:pPr>
      <w:tabs>
        <w:tab w:val="left" w:pos="2340"/>
        <w:tab w:val="right" w:leader="dot" w:pos="9629"/>
      </w:tabs>
      <w:ind w:left="1440"/>
    </w:pPr>
    <w:rPr>
      <w:i/>
    </w:rPr>
  </w:style>
  <w:style w:type="table" w:styleId="TableGrid">
    <w:name w:val="Table Grid"/>
    <w:basedOn w:val="TableNormal"/>
    <w:uiPriority w:val="59"/>
    <w:rsid w:val="00795A9F"/>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795A9F"/>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795A9F"/>
    <w:pPr>
      <w:numPr>
        <w:numId w:val="3"/>
      </w:numPr>
      <w:spacing w:before="360" w:after="240"/>
    </w:pPr>
  </w:style>
  <w:style w:type="paragraph" w:customStyle="1" w:styleId="ECCFootnote">
    <w:name w:val="ECC Footnote"/>
    <w:basedOn w:val="Normal"/>
    <w:autoRedefine/>
    <w:rsid w:val="00795A9F"/>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795A9F"/>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locked/>
    <w:rsid w:val="00833165"/>
    <w:rPr>
      <w:rFonts w:ascii="Arial" w:hAnsi="Arial" w:cs="Times New Roman"/>
      <w:sz w:val="20"/>
      <w:szCs w:val="20"/>
      <w:lang w:val="en-US" w:eastAsia="en-US"/>
    </w:rPr>
  </w:style>
  <w:style w:type="character" w:styleId="FootnoteReference">
    <w:name w:val="footnote reference"/>
    <w:aliases w:val="Appel note de bas de p,Footnote Reference/"/>
    <w:semiHidden/>
    <w:rsid w:val="00795A9F"/>
    <w:rPr>
      <w:rFonts w:ascii="Arial" w:hAnsi="Arial" w:cs="Times New Roman"/>
      <w:color w:val="D2232A"/>
      <w:vertAlign w:val="superscript"/>
    </w:rPr>
  </w:style>
  <w:style w:type="paragraph" w:customStyle="1" w:styleId="Text">
    <w:name w:val="Text"/>
    <w:basedOn w:val="Normal"/>
    <w:rsid w:val="00795A9F"/>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5A9F"/>
    <w:pPr>
      <w:spacing w:after="0"/>
      <w:ind w:left="284" w:hanging="284"/>
    </w:pPr>
    <w:rPr>
      <w:sz w:val="16"/>
      <w:szCs w:val="16"/>
    </w:rPr>
  </w:style>
  <w:style w:type="paragraph" w:customStyle="1" w:styleId="reference">
    <w:name w:val="reference"/>
    <w:basedOn w:val="Normal"/>
    <w:rsid w:val="00795A9F"/>
    <w:rPr>
      <w:lang w:eastAsia="ja-JP"/>
    </w:rPr>
  </w:style>
  <w:style w:type="paragraph" w:customStyle="1" w:styleId="ECCAnnexheading2">
    <w:name w:val="ECC Annex heading2"/>
    <w:basedOn w:val="Normal"/>
    <w:next w:val="ECCParagraph"/>
    <w:rsid w:val="00795A9F"/>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795A9F"/>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795A9F"/>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795A9F"/>
    <w:pPr>
      <w:spacing w:before="120" w:after="120"/>
      <w:ind w:left="3402"/>
    </w:pPr>
    <w:rPr>
      <w:bCs/>
      <w:sz w:val="18"/>
    </w:rPr>
  </w:style>
  <w:style w:type="paragraph" w:customStyle="1" w:styleId="Reporttitledescription">
    <w:name w:val="Report title/description"/>
    <w:basedOn w:val="Normal"/>
    <w:rsid w:val="00795A9F"/>
    <w:pPr>
      <w:spacing w:before="600" w:line="288" w:lineRule="auto"/>
      <w:ind w:left="3402"/>
    </w:pPr>
    <w:rPr>
      <w:sz w:val="24"/>
    </w:rPr>
  </w:style>
  <w:style w:type="paragraph" w:styleId="BodyText">
    <w:name w:val="Body Text"/>
    <w:basedOn w:val="Normal"/>
    <w:link w:val="BodyTextChar"/>
    <w:autoRedefine/>
    <w:rsid w:val="00873512"/>
    <w:pPr>
      <w:spacing w:after="120"/>
      <w:jc w:val="both"/>
    </w:pPr>
    <w:rPr>
      <w:rFonts w:ascii="Times New Roman" w:hAnsi="Times New Roman"/>
      <w:szCs w:val="20"/>
      <w:lang w:val="en-GB" w:eastAsia="en-GB"/>
    </w:rPr>
  </w:style>
  <w:style w:type="character" w:customStyle="1" w:styleId="BodyTextChar">
    <w:name w:val="Body Text Char"/>
    <w:link w:val="BodyText"/>
    <w:locked/>
    <w:rsid w:val="00873512"/>
    <w:rPr>
      <w:rFonts w:cs="Times New Roman"/>
    </w:rPr>
  </w:style>
  <w:style w:type="paragraph" w:customStyle="1" w:styleId="LetteredList">
    <w:name w:val="Lettered List"/>
    <w:basedOn w:val="Normal"/>
    <w:rsid w:val="00795A9F"/>
    <w:pPr>
      <w:numPr>
        <w:numId w:val="7"/>
      </w:numPr>
      <w:spacing w:after="120"/>
      <w:jc w:val="both"/>
    </w:pPr>
  </w:style>
  <w:style w:type="paragraph" w:customStyle="1" w:styleId="ListParagraph1">
    <w:name w:val="List Paragraph1"/>
    <w:basedOn w:val="Normal"/>
    <w:qFormat/>
    <w:rsid w:val="00467F87"/>
    <w:pPr>
      <w:spacing w:after="200" w:line="276" w:lineRule="auto"/>
      <w:ind w:left="720"/>
      <w:contextualSpacing/>
    </w:pPr>
    <w:rPr>
      <w:rFonts w:ascii="Times New Roman" w:hAnsi="Times New Roman"/>
      <w:sz w:val="24"/>
      <w:szCs w:val="22"/>
      <w:lang w:val="lv-LV"/>
    </w:rPr>
  </w:style>
  <w:style w:type="character" w:styleId="CommentReference">
    <w:name w:val="annotation reference"/>
    <w:rsid w:val="00467F87"/>
    <w:rPr>
      <w:rFonts w:cs="Times New Roman"/>
      <w:sz w:val="16"/>
    </w:rPr>
  </w:style>
  <w:style w:type="paragraph" w:styleId="CommentText">
    <w:name w:val="annotation text"/>
    <w:basedOn w:val="Normal"/>
    <w:link w:val="CommentTextChar"/>
    <w:rsid w:val="00467F87"/>
    <w:rPr>
      <w:szCs w:val="20"/>
    </w:rPr>
  </w:style>
  <w:style w:type="character" w:customStyle="1" w:styleId="CommentTextChar">
    <w:name w:val="Comment Text Char"/>
    <w:link w:val="CommentText"/>
    <w:locked/>
    <w:rsid w:val="00467F87"/>
    <w:rPr>
      <w:rFonts w:ascii="Arial" w:hAnsi="Arial" w:cs="Times New Roman"/>
      <w:lang w:val="en-US" w:eastAsia="en-US"/>
    </w:rPr>
  </w:style>
  <w:style w:type="paragraph" w:styleId="BalloonText">
    <w:name w:val="Balloon Text"/>
    <w:basedOn w:val="Normal"/>
    <w:link w:val="BalloonTextChar"/>
    <w:semiHidden/>
    <w:rsid w:val="00467F87"/>
    <w:rPr>
      <w:rFonts w:ascii="Tahoma" w:hAnsi="Tahoma" w:cs="Tahoma"/>
      <w:sz w:val="16"/>
      <w:szCs w:val="16"/>
    </w:rPr>
  </w:style>
  <w:style w:type="character" w:customStyle="1" w:styleId="BalloonTextChar">
    <w:name w:val="Balloon Text Char"/>
    <w:link w:val="BalloonText"/>
    <w:semiHidden/>
    <w:locked/>
    <w:rsid w:val="00467F87"/>
    <w:rPr>
      <w:rFonts w:ascii="Tahoma" w:hAnsi="Tahoma" w:cs="Tahoma"/>
      <w:sz w:val="16"/>
      <w:szCs w:val="16"/>
      <w:lang w:val="en-US" w:eastAsia="en-US"/>
    </w:rPr>
  </w:style>
  <w:style w:type="paragraph" w:styleId="CommentSubject">
    <w:name w:val="annotation subject"/>
    <w:basedOn w:val="CommentText"/>
    <w:next w:val="CommentText"/>
    <w:link w:val="CommentSubjectChar"/>
    <w:semiHidden/>
    <w:rsid w:val="00467F87"/>
    <w:rPr>
      <w:b/>
      <w:bCs/>
    </w:rPr>
  </w:style>
  <w:style w:type="character" w:customStyle="1" w:styleId="CommentSubjectChar">
    <w:name w:val="Comment Subject Char"/>
    <w:link w:val="CommentSubject"/>
    <w:semiHidden/>
    <w:locked/>
    <w:rsid w:val="00467F87"/>
    <w:rPr>
      <w:rFonts w:ascii="Arial" w:hAnsi="Arial" w:cs="Times New Roman"/>
      <w:b/>
      <w:bCs/>
      <w:lang w:val="en-US" w:eastAsia="en-US"/>
    </w:rPr>
  </w:style>
  <w:style w:type="character" w:styleId="Emphasis">
    <w:name w:val="Emphasis"/>
    <w:qFormat/>
    <w:rsid w:val="007B1AE1"/>
    <w:rPr>
      <w:rFonts w:cs="Times New Roman"/>
      <w:i/>
    </w:rPr>
  </w:style>
  <w:style w:type="character" w:customStyle="1" w:styleId="st">
    <w:name w:val="st"/>
    <w:rsid w:val="007B1AE1"/>
  </w:style>
  <w:style w:type="paragraph" w:customStyle="1" w:styleId="Revision1">
    <w:name w:val="Revision1"/>
    <w:hidden/>
    <w:semiHidden/>
    <w:rsid w:val="003740F2"/>
    <w:rPr>
      <w:rFonts w:ascii="Arial" w:hAnsi="Arial"/>
      <w:szCs w:val="24"/>
      <w:lang w:val="en-US" w:eastAsia="en-US"/>
    </w:rPr>
  </w:style>
  <w:style w:type="paragraph" w:styleId="Revision">
    <w:name w:val="Revision"/>
    <w:hidden/>
    <w:uiPriority w:val="99"/>
    <w:semiHidden/>
    <w:rsid w:val="00DC53F5"/>
    <w:rPr>
      <w:rFonts w:ascii="Arial" w:hAnsi="Arial"/>
      <w:szCs w:val="24"/>
      <w:lang w:val="en-US" w:eastAsia="en-US"/>
    </w:rPr>
  </w:style>
  <w:style w:type="paragraph" w:customStyle="1" w:styleId="Default">
    <w:name w:val="Default"/>
    <w:rsid w:val="00CB7C8F"/>
    <w:pPr>
      <w:autoSpaceDE w:val="0"/>
      <w:autoSpaceDN w:val="0"/>
      <w:adjustRightInd w:val="0"/>
    </w:pPr>
    <w:rPr>
      <w:rFonts w:ascii="Arial" w:hAnsi="Arial" w:cs="Arial"/>
      <w:color w:val="000000"/>
      <w:sz w:val="24"/>
      <w:szCs w:val="24"/>
      <w:lang w:val="en-US" w:eastAsia="de-CH"/>
    </w:rPr>
  </w:style>
  <w:style w:type="paragraph" w:styleId="ListParagraph">
    <w:name w:val="List Paragraph"/>
    <w:basedOn w:val="Normal"/>
    <w:uiPriority w:val="34"/>
    <w:qFormat/>
    <w:rsid w:val="00A27D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5A9F"/>
    <w:rPr>
      <w:rFonts w:ascii="Arial" w:hAnsi="Arial"/>
      <w:szCs w:val="24"/>
      <w:lang w:val="en-US" w:eastAsia="en-US"/>
    </w:rPr>
  </w:style>
  <w:style w:type="paragraph" w:styleId="Heading1">
    <w:name w:val="heading 1"/>
    <w:aliases w:val="ECC Heading 1"/>
    <w:basedOn w:val="Normal"/>
    <w:next w:val="ECCParagraph"/>
    <w:link w:val="Heading1Char"/>
    <w:autoRedefine/>
    <w:qFormat/>
    <w:rsid w:val="00795A9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795A9F"/>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795A9F"/>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95A9F"/>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795A9F"/>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795A9F"/>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795A9F"/>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795A9F"/>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795A9F"/>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locked/>
    <w:rsid w:val="00833165"/>
    <w:rPr>
      <w:rFonts w:ascii="Cambria" w:hAnsi="Cambria" w:cs="Times New Roman"/>
      <w:b/>
      <w:bCs/>
      <w:kern w:val="32"/>
      <w:sz w:val="32"/>
      <w:szCs w:val="32"/>
      <w:lang w:val="en-US" w:eastAsia="en-US"/>
    </w:rPr>
  </w:style>
  <w:style w:type="character" w:customStyle="1" w:styleId="Heading2Char">
    <w:name w:val="Heading 2 Char"/>
    <w:aliases w:val="ECC Heading 2 Char"/>
    <w:link w:val="Heading2"/>
    <w:uiPriority w:val="99"/>
    <w:locked/>
    <w:rsid w:val="00833165"/>
    <w:rPr>
      <w:rFonts w:ascii="Arial" w:hAnsi="Arial" w:cs="Arial"/>
      <w:b/>
      <w:bCs/>
      <w:iCs/>
      <w:caps/>
      <w:szCs w:val="28"/>
    </w:rPr>
  </w:style>
  <w:style w:type="character" w:customStyle="1" w:styleId="Heading3Char">
    <w:name w:val="Heading 3 Char"/>
    <w:aliases w:val="ECC Heading 3 Char"/>
    <w:link w:val="Heading3"/>
    <w:uiPriority w:val="99"/>
    <w:locked/>
    <w:rsid w:val="00833165"/>
    <w:rPr>
      <w:rFonts w:ascii="Arial" w:hAnsi="Arial" w:cs="Arial"/>
      <w:b/>
      <w:bCs/>
      <w:szCs w:val="26"/>
    </w:rPr>
  </w:style>
  <w:style w:type="character" w:customStyle="1" w:styleId="Heading4Char">
    <w:name w:val="Heading 4 Char"/>
    <w:aliases w:val="ECC Heading 4 Char"/>
    <w:link w:val="Heading4"/>
    <w:uiPriority w:val="99"/>
    <w:locked/>
    <w:rsid w:val="00833165"/>
    <w:rPr>
      <w:rFonts w:ascii="Arial" w:hAnsi="Arial" w:cs="Arial"/>
      <w:bCs/>
      <w:i/>
      <w:color w:val="D2232A"/>
      <w:szCs w:val="26"/>
    </w:rPr>
  </w:style>
  <w:style w:type="character" w:customStyle="1" w:styleId="Heading5Char">
    <w:name w:val="Heading 5 Char"/>
    <w:link w:val="Heading5"/>
    <w:uiPriority w:val="99"/>
    <w:locked/>
    <w:rsid w:val="00833165"/>
    <w:rPr>
      <w:rFonts w:ascii="Arial" w:hAnsi="Arial"/>
      <w:b/>
      <w:bCs/>
      <w:i/>
      <w:iCs/>
      <w:sz w:val="26"/>
      <w:szCs w:val="26"/>
    </w:rPr>
  </w:style>
  <w:style w:type="character" w:customStyle="1" w:styleId="Heading6Char">
    <w:name w:val="Heading 6 Char"/>
    <w:link w:val="Heading6"/>
    <w:uiPriority w:val="99"/>
    <w:locked/>
    <w:rsid w:val="00833165"/>
    <w:rPr>
      <w:rFonts w:ascii="Arial" w:hAnsi="Arial"/>
      <w:b/>
      <w:bCs/>
      <w:sz w:val="22"/>
      <w:szCs w:val="22"/>
    </w:rPr>
  </w:style>
  <w:style w:type="character" w:customStyle="1" w:styleId="Heading7Char">
    <w:name w:val="Heading 7 Char"/>
    <w:link w:val="Heading7"/>
    <w:uiPriority w:val="99"/>
    <w:locked/>
    <w:rsid w:val="00833165"/>
    <w:rPr>
      <w:rFonts w:ascii="Arial" w:hAnsi="Arial"/>
      <w:sz w:val="24"/>
      <w:szCs w:val="24"/>
    </w:rPr>
  </w:style>
  <w:style w:type="character" w:customStyle="1" w:styleId="Heading8Char">
    <w:name w:val="Heading 8 Char"/>
    <w:link w:val="Heading8"/>
    <w:uiPriority w:val="99"/>
    <w:locked/>
    <w:rsid w:val="00833165"/>
    <w:rPr>
      <w:rFonts w:ascii="Arial" w:hAnsi="Arial"/>
      <w:i/>
      <w:iCs/>
      <w:sz w:val="24"/>
      <w:szCs w:val="24"/>
    </w:rPr>
  </w:style>
  <w:style w:type="character" w:customStyle="1" w:styleId="Heading9Char">
    <w:name w:val="Heading 9 Char"/>
    <w:link w:val="Heading9"/>
    <w:uiPriority w:val="99"/>
    <w:locked/>
    <w:rsid w:val="00833165"/>
    <w:rPr>
      <w:rFonts w:ascii="Arial" w:hAnsi="Arial" w:cs="Arial"/>
      <w:sz w:val="22"/>
      <w:szCs w:val="22"/>
    </w:rPr>
  </w:style>
  <w:style w:type="paragraph" w:customStyle="1" w:styleId="ECCParagraph">
    <w:name w:val="ECC Paragraph"/>
    <w:basedOn w:val="Normal"/>
    <w:rsid w:val="00795A9F"/>
    <w:pPr>
      <w:spacing w:after="240"/>
      <w:jc w:val="both"/>
    </w:pPr>
    <w:rPr>
      <w:lang w:val="en-GB"/>
    </w:rPr>
  </w:style>
  <w:style w:type="paragraph" w:customStyle="1" w:styleId="ECCParBulleted">
    <w:name w:val="ECC Par Bulleted"/>
    <w:basedOn w:val="ECCParagraph"/>
    <w:rsid w:val="00795A9F"/>
    <w:pPr>
      <w:numPr>
        <w:numId w:val="1"/>
      </w:numPr>
      <w:spacing w:after="0"/>
    </w:pPr>
  </w:style>
  <w:style w:type="paragraph" w:styleId="Header">
    <w:name w:val="header"/>
    <w:basedOn w:val="Normal"/>
    <w:link w:val="HeaderChar"/>
    <w:semiHidden/>
    <w:rsid w:val="00795A9F"/>
    <w:pPr>
      <w:tabs>
        <w:tab w:val="center" w:pos="4320"/>
        <w:tab w:val="right" w:pos="8640"/>
      </w:tabs>
    </w:pPr>
    <w:rPr>
      <w:b/>
      <w:sz w:val="16"/>
    </w:rPr>
  </w:style>
  <w:style w:type="character" w:customStyle="1" w:styleId="HeaderChar">
    <w:name w:val="Header Char"/>
    <w:link w:val="Header"/>
    <w:semiHidden/>
    <w:locked/>
    <w:rsid w:val="00833165"/>
    <w:rPr>
      <w:rFonts w:ascii="Arial" w:hAnsi="Arial" w:cs="Times New Roman"/>
      <w:sz w:val="24"/>
      <w:szCs w:val="24"/>
      <w:lang w:val="en-US" w:eastAsia="en-US"/>
    </w:rPr>
  </w:style>
  <w:style w:type="paragraph" w:styleId="Footer">
    <w:name w:val="footer"/>
    <w:basedOn w:val="Normal"/>
    <w:link w:val="FooterChar"/>
    <w:semiHidden/>
    <w:rsid w:val="00795A9F"/>
    <w:pPr>
      <w:tabs>
        <w:tab w:val="center" w:pos="4320"/>
        <w:tab w:val="right" w:pos="8640"/>
      </w:tabs>
    </w:pPr>
  </w:style>
  <w:style w:type="character" w:customStyle="1" w:styleId="FooterChar">
    <w:name w:val="Footer Char"/>
    <w:link w:val="Footer"/>
    <w:semiHidden/>
    <w:locked/>
    <w:rsid w:val="00833165"/>
    <w:rPr>
      <w:rFonts w:ascii="Arial" w:hAnsi="Arial" w:cs="Times New Roman"/>
      <w:sz w:val="24"/>
      <w:szCs w:val="24"/>
      <w:lang w:val="en-US" w:eastAsia="en-US"/>
    </w:rPr>
  </w:style>
  <w:style w:type="paragraph" w:customStyle="1" w:styleId="ECCAnnex-heading1">
    <w:name w:val="ECC Annex - heading1"/>
    <w:basedOn w:val="Heading1"/>
    <w:next w:val="ECCParagraph"/>
    <w:rsid w:val="00795A9F"/>
    <w:pPr>
      <w:numPr>
        <w:numId w:val="6"/>
      </w:numPr>
    </w:pPr>
    <w:rPr>
      <w:b w:val="0"/>
    </w:rPr>
  </w:style>
  <w:style w:type="paragraph" w:styleId="TOC1">
    <w:name w:val="toc 1"/>
    <w:basedOn w:val="Normal"/>
    <w:next w:val="Normal"/>
    <w:autoRedefine/>
    <w:semiHidden/>
    <w:rsid w:val="00795A9F"/>
    <w:pPr>
      <w:tabs>
        <w:tab w:val="left" w:pos="360"/>
        <w:tab w:val="right" w:leader="dot" w:pos="9629"/>
      </w:tabs>
      <w:spacing w:before="240"/>
    </w:pPr>
    <w:rPr>
      <w:b/>
      <w:caps/>
    </w:rPr>
  </w:style>
  <w:style w:type="character" w:styleId="Hyperlink">
    <w:name w:val="Hyperlink"/>
    <w:semiHidden/>
    <w:rsid w:val="00795A9F"/>
    <w:rPr>
      <w:rFonts w:cs="Times New Roman"/>
      <w:color w:val="0000FF"/>
      <w:u w:val="single"/>
    </w:rPr>
  </w:style>
  <w:style w:type="paragraph" w:styleId="TOC2">
    <w:name w:val="toc 2"/>
    <w:basedOn w:val="Normal"/>
    <w:next w:val="Normal"/>
    <w:autoRedefine/>
    <w:semiHidden/>
    <w:rsid w:val="00795A9F"/>
    <w:pPr>
      <w:tabs>
        <w:tab w:val="left" w:pos="900"/>
        <w:tab w:val="right" w:leader="dot" w:pos="9629"/>
      </w:tabs>
      <w:ind w:left="360"/>
    </w:pPr>
  </w:style>
  <w:style w:type="paragraph" w:styleId="TOC3">
    <w:name w:val="toc 3"/>
    <w:basedOn w:val="Normal"/>
    <w:next w:val="Normal"/>
    <w:autoRedefine/>
    <w:semiHidden/>
    <w:rsid w:val="00795A9F"/>
    <w:pPr>
      <w:tabs>
        <w:tab w:val="left" w:pos="1440"/>
        <w:tab w:val="right" w:leader="dot" w:pos="9629"/>
      </w:tabs>
      <w:ind w:left="900"/>
    </w:pPr>
  </w:style>
  <w:style w:type="paragraph" w:styleId="TOC4">
    <w:name w:val="toc 4"/>
    <w:basedOn w:val="Normal"/>
    <w:next w:val="Normal"/>
    <w:autoRedefine/>
    <w:semiHidden/>
    <w:rsid w:val="00795A9F"/>
    <w:pPr>
      <w:tabs>
        <w:tab w:val="left" w:pos="2340"/>
        <w:tab w:val="right" w:leader="dot" w:pos="9629"/>
      </w:tabs>
      <w:ind w:left="1440"/>
    </w:pPr>
    <w:rPr>
      <w:i/>
    </w:rPr>
  </w:style>
  <w:style w:type="table" w:styleId="TableGrid">
    <w:name w:val="Table Grid"/>
    <w:basedOn w:val="TableNormal"/>
    <w:uiPriority w:val="59"/>
    <w:rsid w:val="00795A9F"/>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795A9F"/>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795A9F"/>
    <w:pPr>
      <w:numPr>
        <w:numId w:val="3"/>
      </w:numPr>
      <w:spacing w:before="360" w:after="240"/>
    </w:pPr>
  </w:style>
  <w:style w:type="paragraph" w:customStyle="1" w:styleId="ECCFootnote">
    <w:name w:val="ECC Footnote"/>
    <w:basedOn w:val="Normal"/>
    <w:autoRedefine/>
    <w:rsid w:val="00795A9F"/>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795A9F"/>
    <w:rPr>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locked/>
    <w:rsid w:val="00833165"/>
    <w:rPr>
      <w:rFonts w:ascii="Arial" w:hAnsi="Arial" w:cs="Times New Roman"/>
      <w:sz w:val="20"/>
      <w:szCs w:val="20"/>
      <w:lang w:val="en-US" w:eastAsia="en-US"/>
    </w:rPr>
  </w:style>
  <w:style w:type="character" w:styleId="FootnoteReference">
    <w:name w:val="footnote reference"/>
    <w:aliases w:val="Appel note de bas de p,Footnote Reference/"/>
    <w:semiHidden/>
    <w:rsid w:val="00795A9F"/>
    <w:rPr>
      <w:rFonts w:ascii="Arial" w:hAnsi="Arial" w:cs="Times New Roman"/>
      <w:color w:val="D2232A"/>
      <w:vertAlign w:val="superscript"/>
    </w:rPr>
  </w:style>
  <w:style w:type="paragraph" w:customStyle="1" w:styleId="Text">
    <w:name w:val="Text"/>
    <w:basedOn w:val="Normal"/>
    <w:rsid w:val="00795A9F"/>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795A9F"/>
    <w:pPr>
      <w:spacing w:after="0"/>
      <w:ind w:left="284" w:hanging="284"/>
    </w:pPr>
    <w:rPr>
      <w:sz w:val="16"/>
      <w:szCs w:val="16"/>
    </w:rPr>
  </w:style>
  <w:style w:type="paragraph" w:customStyle="1" w:styleId="reference">
    <w:name w:val="reference"/>
    <w:basedOn w:val="Normal"/>
    <w:rsid w:val="00795A9F"/>
    <w:rPr>
      <w:lang w:eastAsia="ja-JP"/>
    </w:rPr>
  </w:style>
  <w:style w:type="paragraph" w:customStyle="1" w:styleId="ECCAnnexheading2">
    <w:name w:val="ECC Annex heading2"/>
    <w:basedOn w:val="Normal"/>
    <w:next w:val="ECCParagraph"/>
    <w:rsid w:val="00795A9F"/>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795A9F"/>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795A9F"/>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795A9F"/>
    <w:pPr>
      <w:spacing w:before="120" w:after="120"/>
      <w:ind w:left="3402"/>
    </w:pPr>
    <w:rPr>
      <w:bCs/>
      <w:sz w:val="18"/>
    </w:rPr>
  </w:style>
  <w:style w:type="paragraph" w:customStyle="1" w:styleId="Reporttitledescription">
    <w:name w:val="Report title/description"/>
    <w:basedOn w:val="Normal"/>
    <w:rsid w:val="00795A9F"/>
    <w:pPr>
      <w:spacing w:before="600" w:line="288" w:lineRule="auto"/>
      <w:ind w:left="3402"/>
    </w:pPr>
    <w:rPr>
      <w:sz w:val="24"/>
    </w:rPr>
  </w:style>
  <w:style w:type="paragraph" w:styleId="BodyText">
    <w:name w:val="Body Text"/>
    <w:basedOn w:val="Normal"/>
    <w:link w:val="BodyTextChar"/>
    <w:autoRedefine/>
    <w:rsid w:val="00873512"/>
    <w:pPr>
      <w:spacing w:after="120"/>
      <w:jc w:val="both"/>
    </w:pPr>
    <w:rPr>
      <w:rFonts w:ascii="Times New Roman" w:hAnsi="Times New Roman"/>
      <w:szCs w:val="20"/>
      <w:lang w:val="en-GB" w:eastAsia="en-GB"/>
    </w:rPr>
  </w:style>
  <w:style w:type="character" w:customStyle="1" w:styleId="BodyTextChar">
    <w:name w:val="Body Text Char"/>
    <w:link w:val="BodyText"/>
    <w:locked/>
    <w:rsid w:val="00873512"/>
    <w:rPr>
      <w:rFonts w:cs="Times New Roman"/>
    </w:rPr>
  </w:style>
  <w:style w:type="paragraph" w:customStyle="1" w:styleId="LetteredList">
    <w:name w:val="Lettered List"/>
    <w:basedOn w:val="Normal"/>
    <w:rsid w:val="00795A9F"/>
    <w:pPr>
      <w:numPr>
        <w:numId w:val="7"/>
      </w:numPr>
      <w:spacing w:after="120"/>
      <w:jc w:val="both"/>
    </w:pPr>
  </w:style>
  <w:style w:type="paragraph" w:customStyle="1" w:styleId="ListParagraph1">
    <w:name w:val="List Paragraph1"/>
    <w:basedOn w:val="Normal"/>
    <w:qFormat/>
    <w:rsid w:val="00467F87"/>
    <w:pPr>
      <w:spacing w:after="200" w:line="276" w:lineRule="auto"/>
      <w:ind w:left="720"/>
      <w:contextualSpacing/>
    </w:pPr>
    <w:rPr>
      <w:rFonts w:ascii="Times New Roman" w:hAnsi="Times New Roman"/>
      <w:sz w:val="24"/>
      <w:szCs w:val="22"/>
      <w:lang w:val="lv-LV"/>
    </w:rPr>
  </w:style>
  <w:style w:type="character" w:styleId="CommentReference">
    <w:name w:val="annotation reference"/>
    <w:rsid w:val="00467F87"/>
    <w:rPr>
      <w:rFonts w:cs="Times New Roman"/>
      <w:sz w:val="16"/>
    </w:rPr>
  </w:style>
  <w:style w:type="paragraph" w:styleId="CommentText">
    <w:name w:val="annotation text"/>
    <w:basedOn w:val="Normal"/>
    <w:link w:val="CommentTextChar"/>
    <w:rsid w:val="00467F87"/>
    <w:rPr>
      <w:szCs w:val="20"/>
    </w:rPr>
  </w:style>
  <w:style w:type="character" w:customStyle="1" w:styleId="CommentTextChar">
    <w:name w:val="Comment Text Char"/>
    <w:link w:val="CommentText"/>
    <w:locked/>
    <w:rsid w:val="00467F87"/>
    <w:rPr>
      <w:rFonts w:ascii="Arial" w:hAnsi="Arial" w:cs="Times New Roman"/>
      <w:lang w:val="en-US" w:eastAsia="en-US"/>
    </w:rPr>
  </w:style>
  <w:style w:type="paragraph" w:styleId="BalloonText">
    <w:name w:val="Balloon Text"/>
    <w:basedOn w:val="Normal"/>
    <w:link w:val="BalloonTextChar"/>
    <w:semiHidden/>
    <w:rsid w:val="00467F87"/>
    <w:rPr>
      <w:rFonts w:ascii="Tahoma" w:hAnsi="Tahoma" w:cs="Tahoma"/>
      <w:sz w:val="16"/>
      <w:szCs w:val="16"/>
    </w:rPr>
  </w:style>
  <w:style w:type="character" w:customStyle="1" w:styleId="BalloonTextChar">
    <w:name w:val="Balloon Text Char"/>
    <w:link w:val="BalloonText"/>
    <w:semiHidden/>
    <w:locked/>
    <w:rsid w:val="00467F87"/>
    <w:rPr>
      <w:rFonts w:ascii="Tahoma" w:hAnsi="Tahoma" w:cs="Tahoma"/>
      <w:sz w:val="16"/>
      <w:szCs w:val="16"/>
      <w:lang w:val="en-US" w:eastAsia="en-US"/>
    </w:rPr>
  </w:style>
  <w:style w:type="paragraph" w:styleId="CommentSubject">
    <w:name w:val="annotation subject"/>
    <w:basedOn w:val="CommentText"/>
    <w:next w:val="CommentText"/>
    <w:link w:val="CommentSubjectChar"/>
    <w:semiHidden/>
    <w:rsid w:val="00467F87"/>
    <w:rPr>
      <w:b/>
      <w:bCs/>
    </w:rPr>
  </w:style>
  <w:style w:type="character" w:customStyle="1" w:styleId="CommentSubjectChar">
    <w:name w:val="Comment Subject Char"/>
    <w:link w:val="CommentSubject"/>
    <w:semiHidden/>
    <w:locked/>
    <w:rsid w:val="00467F87"/>
    <w:rPr>
      <w:rFonts w:ascii="Arial" w:hAnsi="Arial" w:cs="Times New Roman"/>
      <w:b/>
      <w:bCs/>
      <w:lang w:val="en-US" w:eastAsia="en-US"/>
    </w:rPr>
  </w:style>
  <w:style w:type="character" w:styleId="Emphasis">
    <w:name w:val="Emphasis"/>
    <w:qFormat/>
    <w:rsid w:val="007B1AE1"/>
    <w:rPr>
      <w:rFonts w:cs="Times New Roman"/>
      <w:i/>
    </w:rPr>
  </w:style>
  <w:style w:type="character" w:customStyle="1" w:styleId="st">
    <w:name w:val="st"/>
    <w:rsid w:val="007B1AE1"/>
  </w:style>
  <w:style w:type="paragraph" w:customStyle="1" w:styleId="Revision1">
    <w:name w:val="Revision1"/>
    <w:hidden/>
    <w:semiHidden/>
    <w:rsid w:val="003740F2"/>
    <w:rPr>
      <w:rFonts w:ascii="Arial" w:hAnsi="Arial"/>
      <w:szCs w:val="24"/>
      <w:lang w:val="en-US" w:eastAsia="en-US"/>
    </w:rPr>
  </w:style>
  <w:style w:type="paragraph" w:styleId="Revision">
    <w:name w:val="Revision"/>
    <w:hidden/>
    <w:uiPriority w:val="99"/>
    <w:semiHidden/>
    <w:rsid w:val="00DC53F5"/>
    <w:rPr>
      <w:rFonts w:ascii="Arial" w:hAnsi="Arial"/>
      <w:szCs w:val="24"/>
      <w:lang w:val="en-US" w:eastAsia="en-US"/>
    </w:rPr>
  </w:style>
  <w:style w:type="paragraph" w:customStyle="1" w:styleId="Default">
    <w:name w:val="Default"/>
    <w:rsid w:val="00CB7C8F"/>
    <w:pPr>
      <w:autoSpaceDE w:val="0"/>
      <w:autoSpaceDN w:val="0"/>
      <w:adjustRightInd w:val="0"/>
    </w:pPr>
    <w:rPr>
      <w:rFonts w:ascii="Arial" w:hAnsi="Arial" w:cs="Arial"/>
      <w:color w:val="000000"/>
      <w:sz w:val="24"/>
      <w:szCs w:val="24"/>
      <w:lang w:val="en-US" w:eastAsia="de-CH"/>
    </w:rPr>
  </w:style>
  <w:style w:type="paragraph" w:styleId="ListParagraph">
    <w:name w:val="List Paragraph"/>
    <w:basedOn w:val="Normal"/>
    <w:uiPriority w:val="34"/>
    <w:qFormat/>
    <w:rsid w:val="00A2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0132">
      <w:bodyDiv w:val="1"/>
      <w:marLeft w:val="0"/>
      <w:marRight w:val="0"/>
      <w:marTop w:val="0"/>
      <w:marBottom w:val="0"/>
      <w:divBdr>
        <w:top w:val="none" w:sz="0" w:space="0" w:color="auto"/>
        <w:left w:val="none" w:sz="0" w:space="0" w:color="auto"/>
        <w:bottom w:val="none" w:sz="0" w:space="0" w:color="auto"/>
        <w:right w:val="none" w:sz="0" w:space="0" w:color="auto"/>
      </w:divBdr>
    </w:div>
    <w:div w:id="1051609155">
      <w:bodyDiv w:val="1"/>
      <w:marLeft w:val="0"/>
      <w:marRight w:val="0"/>
      <w:marTop w:val="0"/>
      <w:marBottom w:val="0"/>
      <w:divBdr>
        <w:top w:val="none" w:sz="0" w:space="0" w:color="auto"/>
        <w:left w:val="none" w:sz="0" w:space="0" w:color="auto"/>
        <w:bottom w:val="none" w:sz="0" w:space="0" w:color="auto"/>
        <w:right w:val="none" w:sz="0" w:space="0" w:color="auto"/>
      </w:divBdr>
    </w:div>
    <w:div w:id="1231231531">
      <w:bodyDiv w:val="1"/>
      <w:marLeft w:val="0"/>
      <w:marRight w:val="0"/>
      <w:marTop w:val="0"/>
      <w:marBottom w:val="0"/>
      <w:divBdr>
        <w:top w:val="none" w:sz="0" w:space="0" w:color="auto"/>
        <w:left w:val="none" w:sz="0" w:space="0" w:color="auto"/>
        <w:bottom w:val="none" w:sz="0" w:space="0" w:color="auto"/>
        <w:right w:val="none" w:sz="0" w:space="0" w:color="auto"/>
      </w:divBdr>
    </w:div>
    <w:div w:id="1322082302">
      <w:bodyDiv w:val="1"/>
      <w:marLeft w:val="0"/>
      <w:marRight w:val="0"/>
      <w:marTop w:val="0"/>
      <w:marBottom w:val="0"/>
      <w:divBdr>
        <w:top w:val="none" w:sz="0" w:space="0" w:color="auto"/>
        <w:left w:val="none" w:sz="0" w:space="0" w:color="auto"/>
        <w:bottom w:val="none" w:sz="0" w:space="0" w:color="auto"/>
        <w:right w:val="none" w:sz="0" w:space="0" w:color="auto"/>
      </w:divBdr>
    </w:div>
    <w:div w:id="13233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332A-8018-4A7E-9C35-ADA232A9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2267</Words>
  <Characters>13160</Characters>
  <Application>Microsoft Office Word</Application>
  <DocSecurity>0</DocSecurity>
  <Lines>320</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2018-12-06T08:38:00Z</dcterms:created>
  <dcterms:modified xsi:type="dcterms:W3CDTF">2018-12-06T08:40:00Z</dcterms:modified>
</cp:coreProperties>
</file>