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C6571" w:rsidP="006C03D0">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992879">
                                <w:rPr>
                                  <w:color w:val="887E6E"/>
                                  <w:sz w:val="68"/>
                                </w:rPr>
                                <w:t>06</w:t>
                              </w:r>
                              <w:r w:rsidRPr="001E2FAA">
                                <w:rPr>
                                  <w:color w:val="887E6E"/>
                                  <w:sz w:val="68"/>
                                </w:rPr>
                                <w:t>)</w:t>
                              </w:r>
                              <w:r w:rsidR="00992879">
                                <w:rPr>
                                  <w:color w:val="887E6E"/>
                                  <w:sz w:val="68"/>
                                </w:rPr>
                                <w:t>04</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992879">
                          <w:rPr>
                            <w:color w:val="887E6E"/>
                            <w:sz w:val="68"/>
                          </w:rPr>
                          <w:t>06</w:t>
                        </w:r>
                        <w:r w:rsidRPr="001E2FAA">
                          <w:rPr>
                            <w:color w:val="887E6E"/>
                            <w:sz w:val="68"/>
                          </w:rPr>
                          <w:t>)</w:t>
                        </w:r>
                        <w:r w:rsidR="00992879">
                          <w:rPr>
                            <w:color w:val="887E6E"/>
                            <w:sz w:val="68"/>
                          </w:rPr>
                          <w:t>04</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A00E5" w:rsidRDefault="006072FC" w:rsidP="006C03D0">
      <w:pPr>
        <w:pStyle w:val="Reporttitledescription"/>
        <w:rPr>
          <w:color w:val="auto"/>
        </w:rPr>
      </w:pPr>
      <w:r>
        <w:rPr>
          <w:color w:val="auto"/>
        </w:rPr>
        <w:fldChar w:fldCharType="begin">
          <w:ffData>
            <w:name w:val="Text7"/>
            <w:enabled/>
            <w:calcOnExit w:val="0"/>
            <w:textInput>
              <w:default w:val="The harmonised use, exemption from individual licensing and free circulation of devices using Ultra-Wideband (UWB) technology in bands below 10.6 GHz"/>
            </w:textInput>
          </w:ffData>
        </w:fldChar>
      </w:r>
      <w:r>
        <w:rPr>
          <w:color w:val="auto"/>
        </w:rPr>
        <w:instrText xml:space="preserve"> </w:instrText>
      </w:r>
      <w:bookmarkStart w:id="0" w:name="Text7"/>
      <w:r>
        <w:rPr>
          <w:color w:val="auto"/>
        </w:rPr>
        <w:instrText xml:space="preserve">FORMTEXT </w:instrText>
      </w:r>
      <w:r>
        <w:rPr>
          <w:color w:val="auto"/>
        </w:rPr>
      </w:r>
      <w:r>
        <w:rPr>
          <w:color w:val="auto"/>
        </w:rPr>
        <w:fldChar w:fldCharType="separate"/>
      </w:r>
      <w:r>
        <w:rPr>
          <w:noProof/>
          <w:color w:val="auto"/>
        </w:rPr>
        <w:t>The harmonised use, exemption from individual licensing and free circulation of devices using Ultra-Wideband (UWB) technology in bands below 10.6 GHz</w:t>
      </w:r>
      <w:r>
        <w:rPr>
          <w:color w:val="auto"/>
        </w:rPr>
        <w:fldChar w:fldCharType="end"/>
      </w:r>
      <w:bookmarkEnd w:id="0"/>
      <w:r w:rsidR="00940472">
        <w:rPr>
          <w:rStyle w:val="FootnoteReference"/>
          <w:color w:val="auto"/>
        </w:rPr>
        <w:footnoteReference w:id="1"/>
      </w:r>
      <w:r w:rsidR="005F7AD5" w:rsidRPr="005A00E5">
        <w:rPr>
          <w:color w:val="auto"/>
        </w:rPr>
        <w:t xml:space="preserve"> </w:t>
      </w:r>
    </w:p>
    <w:p w:rsidR="006C03D0" w:rsidRPr="005A00E5" w:rsidRDefault="00940472" w:rsidP="006C03D0">
      <w:pPr>
        <w:pStyle w:val="Reporttitledescription"/>
        <w:rPr>
          <w:b/>
          <w:color w:val="auto"/>
          <w:sz w:val="18"/>
        </w:rPr>
      </w:pPr>
      <w:r>
        <w:rPr>
          <w:b/>
          <w:color w:val="auto"/>
          <w:sz w:val="18"/>
        </w:rPr>
        <w:fldChar w:fldCharType="begin">
          <w:ffData>
            <w:name w:val="Text8"/>
            <w:enabled/>
            <w:calcOnExit w:val="0"/>
            <w:textInput>
              <w:default w:val="Approved 24 March 2006"/>
            </w:textInput>
          </w:ffData>
        </w:fldChar>
      </w:r>
      <w:bookmarkStart w:id="2"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24 March 2006</w:t>
      </w:r>
      <w:r>
        <w:rPr>
          <w:b/>
          <w:color w:val="auto"/>
          <w:sz w:val="18"/>
        </w:rPr>
        <w:fldChar w:fldCharType="end"/>
      </w:r>
      <w:bookmarkEnd w:id="2"/>
    </w:p>
    <w:p w:rsidR="006C03D0" w:rsidRPr="00072B81" w:rsidRDefault="00287CB6" w:rsidP="006C03D0">
      <w:pPr>
        <w:pStyle w:val="Lastupdated"/>
        <w:rPr>
          <w:b/>
        </w:rPr>
      </w:pPr>
      <w:r>
        <w:rPr>
          <w:b/>
        </w:rPr>
        <w:fldChar w:fldCharType="begin">
          <w:ffData>
            <w:name w:val="Text3"/>
            <w:enabled/>
            <w:calcOnExit w:val="0"/>
            <w:textInput>
              <w:default w:val="Amended 8 March 2019"/>
            </w:textInput>
          </w:ffData>
        </w:fldChar>
      </w:r>
      <w:r>
        <w:rPr>
          <w:b/>
        </w:rPr>
        <w:instrText xml:space="preserve"> </w:instrText>
      </w:r>
      <w:bookmarkStart w:id="3" w:name="Text3"/>
      <w:r>
        <w:rPr>
          <w:b/>
        </w:rPr>
        <w:instrText xml:space="preserve">FORMTEXT </w:instrText>
      </w:r>
      <w:r>
        <w:rPr>
          <w:b/>
        </w:rPr>
      </w:r>
      <w:r>
        <w:rPr>
          <w:b/>
        </w:rPr>
        <w:fldChar w:fldCharType="separate"/>
      </w:r>
      <w:r>
        <w:rPr>
          <w:b/>
          <w:noProof/>
        </w:rPr>
        <w:t>Amended 8 March 2019</w:t>
      </w:r>
      <w:r>
        <w:rPr>
          <w:b/>
        </w:rPr>
        <w:fldChar w:fldCharType="end"/>
      </w:r>
      <w:bookmarkEnd w:id="3"/>
    </w:p>
    <w:p w:rsidR="006C03D0" w:rsidRDefault="005F7AD5" w:rsidP="006C03D0">
      <w:pPr>
        <w:pStyle w:val="Heading1"/>
      </w:pPr>
      <w:r>
        <w:lastRenderedPageBreak/>
        <w:t>explanatory memorandum</w:t>
      </w:r>
    </w:p>
    <w:p w:rsidR="006C03D0" w:rsidRDefault="005F7AD5" w:rsidP="006C03D0">
      <w:pPr>
        <w:pStyle w:val="Heading2"/>
      </w:pPr>
      <w:r>
        <w:t>INTRODUCTION</w:t>
      </w:r>
    </w:p>
    <w:p w:rsidR="00940472" w:rsidRPr="00800539" w:rsidRDefault="00940472" w:rsidP="00940472">
      <w:pPr>
        <w:pStyle w:val="ECCParagraph"/>
      </w:pPr>
      <w:r w:rsidRPr="00800539">
        <w:t>This ECC Decision has been developed within the frame of EC mandates to CEPT to identify the conditions relating to the harmonised introduction in the European Union of radio applications based on ultra-wideband (UWB) technology.</w:t>
      </w:r>
    </w:p>
    <w:p w:rsidR="00940472" w:rsidRPr="00800539" w:rsidRDefault="00940472" w:rsidP="00940472">
      <w:pPr>
        <w:pStyle w:val="ECCParagraph"/>
      </w:pPr>
      <w:r w:rsidRPr="00800539">
        <w:t xml:space="preserve">The underlying objective of these mandates was to provide ECC and the European Commission with the necessary information to adopt one or more technical implementing measures harmonising the use of the radio spectrum to enable the timely introduction of UWB technology within Europe.  To support the development and deployment of UWB technology it is essential that common spectrum, with the associated regulatory framework and </w:t>
      </w:r>
      <w:r>
        <w:t>H</w:t>
      </w:r>
      <w:r w:rsidRPr="00800539">
        <w:t xml:space="preserve">armonised </w:t>
      </w:r>
      <w:r>
        <w:t>European S</w:t>
      </w:r>
      <w:r w:rsidRPr="00800539">
        <w:t>tandards, becomes available throughout Europe as soon as possible.</w:t>
      </w:r>
    </w:p>
    <w:p w:rsidR="00940472" w:rsidRPr="00800539" w:rsidRDefault="00940472" w:rsidP="00940472">
      <w:pPr>
        <w:pStyle w:val="ECCParagraph"/>
      </w:pPr>
      <w:r w:rsidRPr="00800539">
        <w:t xml:space="preserve">UWB technology holds potential for a wide variety of new Short Range Devices (SRD) for communications, measurement, location tracking, imaging, surveillance and medical systems. This Decision defines conditions for the use of the radio spectrum by UWB devices. It also identifies some review mechanisms that will be required to ensure protection of radio services. </w:t>
      </w:r>
    </w:p>
    <w:p w:rsidR="00940472" w:rsidRPr="00800539" w:rsidRDefault="00940472" w:rsidP="00940472">
      <w:pPr>
        <w:pStyle w:val="ECCParagraph"/>
      </w:pPr>
      <w:r w:rsidRPr="00800539">
        <w:t xml:space="preserve">It should be noted that this ECC Decision was initially supplemented by </w:t>
      </w:r>
      <w:r>
        <w:t xml:space="preserve">ECC </w:t>
      </w:r>
      <w:r w:rsidRPr="00800539">
        <w:t xml:space="preserve">Decision (06)12 on specific mitigation techniques for UWB devices operating in bands below 10.6 GHz. </w:t>
      </w:r>
      <w:r>
        <w:t xml:space="preserve">ECC </w:t>
      </w:r>
      <w:r w:rsidRPr="00800539">
        <w:t>Decision (06)04 and ECC</w:t>
      </w:r>
      <w:r>
        <w:t xml:space="preserve"> Decision </w:t>
      </w:r>
      <w:r w:rsidRPr="00800539">
        <w:t>(06)12 were merged as part of the review of the generic UWB regulation in 2010/2011.</w:t>
      </w:r>
    </w:p>
    <w:p w:rsidR="006C03D0" w:rsidRDefault="005F7AD5" w:rsidP="006C03D0">
      <w:pPr>
        <w:pStyle w:val="Heading2"/>
      </w:pPr>
      <w:r>
        <w:t xml:space="preserve">BACKGROUND </w:t>
      </w:r>
    </w:p>
    <w:p w:rsidR="00940472" w:rsidRPr="00800539" w:rsidRDefault="00940472" w:rsidP="00940472">
      <w:pPr>
        <w:pStyle w:val="ECCParagraph"/>
      </w:pPr>
      <w:r w:rsidRPr="00800539">
        <w:t>Pursuant to the first mandate issued by the European Commission to CEPT on March 11th, 2004 to develop technical implementing measures for the harmonised use of radio spectrum for UWB applications in the European Union, ECC established a Task Group to develop the ECC responses and complete the technical studies already initiated within CEPT. This ECC Decision applies to generic UWB devices below 10.6 GHz that are exempted from individual licensing and operating on a non-interference, non-protected basis.</w:t>
      </w:r>
    </w:p>
    <w:p w:rsidR="00940472" w:rsidRPr="00800539" w:rsidRDefault="00940472" w:rsidP="00940472">
      <w:pPr>
        <w:pStyle w:val="ECCParagraph"/>
      </w:pPr>
      <w:r w:rsidRPr="00800539">
        <w:t xml:space="preserve">CEPT Report 27 (March 2009) provides an overview of the CEPT investigations on the generic UWB regulation completed with the amendment of </w:t>
      </w:r>
      <w:r>
        <w:t xml:space="preserve">ECC </w:t>
      </w:r>
      <w:r w:rsidRPr="00800539">
        <w:t>Decision (06)12 in October 2008.</w:t>
      </w:r>
    </w:p>
    <w:p w:rsidR="00940472" w:rsidRPr="00800539" w:rsidRDefault="00940472" w:rsidP="00940472">
      <w:pPr>
        <w:pStyle w:val="ECCParagraph"/>
      </w:pPr>
      <w:r w:rsidRPr="00800539">
        <w:t xml:space="preserve">Some further amendments of </w:t>
      </w:r>
      <w:r>
        <w:t xml:space="preserve">ECC </w:t>
      </w:r>
      <w:r w:rsidRPr="00800539">
        <w:t>Decision (06)04 and ECC</w:t>
      </w:r>
      <w:r>
        <w:t xml:space="preserve"> Decision </w:t>
      </w:r>
      <w:r w:rsidRPr="00800539">
        <w:t xml:space="preserve">(06)12 have been proposed within the frame of a new review of the generic UWB regulation in 2010/2011. They aim to provide additional clarification on the regulatory framework in Europe and to reflect the outcome of latest further studies on UWB. CEPT agreed to merge the </w:t>
      </w:r>
      <w:r>
        <w:t>two</w:t>
      </w:r>
      <w:r w:rsidRPr="00800539">
        <w:t xml:space="preserve"> Decisions in order to facilitate possible future updates.</w:t>
      </w:r>
    </w:p>
    <w:p w:rsidR="006C03D0" w:rsidRDefault="005F7AD5" w:rsidP="006C03D0">
      <w:pPr>
        <w:pStyle w:val="Heading2"/>
      </w:pPr>
      <w:r>
        <w:t>REQUIREMENT FOR AN ECC DECISION</w:t>
      </w:r>
    </w:p>
    <w:p w:rsidR="00992879" w:rsidRDefault="00992879" w:rsidP="00992879">
      <w:pPr>
        <w:pStyle w:val="ECCParagraph"/>
      </w:pPr>
      <w:r w:rsidRPr="00800539">
        <w:t>The allocation or designation of frequency bands under specified conditions in CEPT member countries is laid down by law, regulation or administrative action. ECC Decisions are required to deal with the carriage and use of equipment throughout Europe. The ECC also recogni</w:t>
      </w:r>
      <w:r>
        <w:t>s</w:t>
      </w:r>
      <w:r w:rsidRPr="00800539">
        <w:t xml:space="preserve">es that for UWB devices to be introduced successfully throughout Europe, confidence must be given on the one hand to manufacturers to make the necessary investments and on the other hand to users of existing services that their protection will be ensured. </w:t>
      </w:r>
    </w:p>
    <w:p w:rsidR="00992879" w:rsidRPr="00800539" w:rsidRDefault="00992879" w:rsidP="00992879">
      <w:pPr>
        <w:pStyle w:val="ECCParagraph"/>
      </w:pPr>
      <w:r w:rsidRPr="00800539">
        <w:t xml:space="preserve">The harmonisation on a European basis would support the </w:t>
      </w:r>
      <w:r>
        <w:t>Directive 2014/53/EU of the European Parliament and of the Council of 16 April 2014 on the harmonisation of the laws of the Member States relating to the making available on the market of radio equipment.</w:t>
      </w:r>
      <w:r w:rsidRPr="00800539">
        <w:t xml:space="preserve"> </w:t>
      </w:r>
    </w:p>
    <w:p w:rsidR="00992879" w:rsidRDefault="00992879" w:rsidP="00992879">
      <w:pPr>
        <w:pStyle w:val="ECCParagraph"/>
        <w:rPr>
          <w:b/>
          <w:bCs/>
          <w:szCs w:val="20"/>
        </w:rPr>
      </w:pPr>
      <w:r w:rsidRPr="00800539">
        <w:lastRenderedPageBreak/>
        <w:t xml:space="preserve">A commitment by CEPT member countries to implement an ECC Decision will provide a clear indication that the required frequency range will be made available on time and on a Europe-wide basis and that the means to ensure protection of existing services will be applied. </w:t>
      </w:r>
    </w:p>
    <w:p w:rsidR="00992879" w:rsidRDefault="00992879" w:rsidP="00992879">
      <w:pPr>
        <w:pStyle w:val="ECCParagraph"/>
      </w:pPr>
    </w:p>
    <w:p w:rsidR="00992879" w:rsidRPr="00707583" w:rsidRDefault="00992879" w:rsidP="00992879">
      <w:pPr>
        <w:pStyle w:val="Heading1"/>
        <w:rPr>
          <w:bCs w:val="0"/>
          <w:caps w:val="0"/>
        </w:rPr>
      </w:pPr>
      <w:r w:rsidRPr="00707583">
        <w:lastRenderedPageBreak/>
        <w:t xml:space="preserve">ECC Decision of 24 March 2006 on the harmonised </w:t>
      </w:r>
      <w:r>
        <w:t>USE, EXEMPTION FROM INDIVIDUAL LICENSING AND FREE CIRCULATION OF</w:t>
      </w:r>
      <w:r w:rsidRPr="00707583">
        <w:t xml:space="preserve"> devices using Ultra-Wideband (UWB) technology in bands below 10.6 GHz (ECC/DEC/(06)04)</w:t>
      </w:r>
      <w:r>
        <w:t>,</w:t>
      </w:r>
      <w:r w:rsidRPr="00C66C48">
        <w:t xml:space="preserve"> </w:t>
      </w:r>
      <w:r w:rsidR="00AF1028" w:rsidRPr="00AF1028">
        <w:t>amended on 6 july 2007, amended 9 december 2011 and</w:t>
      </w:r>
      <w:r w:rsidR="00AF1028">
        <w:t xml:space="preserve"> </w:t>
      </w:r>
      <w:r>
        <w:t>amended on 8 March 2019</w:t>
      </w:r>
    </w:p>
    <w:p w:rsidR="006C03D0" w:rsidRDefault="005F7AD5" w:rsidP="00992879">
      <w:pPr>
        <w:pStyle w:val="ECCParagraph"/>
      </w:pPr>
      <w:r>
        <w:t>“The European Conference of Postal and Telecommunications Administrations,</w:t>
      </w:r>
    </w:p>
    <w:p w:rsidR="006C03D0" w:rsidRDefault="00992879" w:rsidP="006C03D0">
      <w:pPr>
        <w:pStyle w:val="ECCParagraph"/>
        <w:rPr>
          <w:i/>
          <w:color w:val="D2232A"/>
        </w:rPr>
      </w:pPr>
      <w:proofErr w:type="gramStart"/>
      <w:r>
        <w:rPr>
          <w:i/>
          <w:color w:val="D2232A"/>
        </w:rPr>
        <w:t>c</w:t>
      </w:r>
      <w:r w:rsidR="005F7AD5" w:rsidRPr="00FE1795">
        <w:rPr>
          <w:i/>
          <w:color w:val="D2232A"/>
        </w:rPr>
        <w:t>onsidering</w:t>
      </w:r>
      <w:proofErr w:type="gramEnd"/>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UWB technology shall mean technology for short-range radiocommunication, involving the intentional generation and transmission of radio-frequency energy that spreads over a very large frequency range, which may overlap several frequency bands allocated to radiocommunication services;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this Decision is applicable to technologies with bandwidth significantly wider than 50 MHz;</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Short Range Devices (SRD) using UWB technology can be used for communications, measurement, location, imaging, surveillance and medical systems;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harmonised conditions across CEPT/EU help to establish an effective single market for these applications, with consequent economies of scale and benefits to the consumer, and avoid difficulties in enforcing divergent national regulations;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a suitable CEPT/EU harmoni</w:t>
      </w:r>
      <w:r>
        <w:t>s</w:t>
      </w:r>
      <w:r w:rsidRPr="00800539">
        <w:t>ed solution would encourage the global convergence of products by the UWB industry which would lead to greater economies of scale and the associated benefits;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devices using UWB technology operate on a non-interference, non-protected basis;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the devices using UWB technology which are permitted to operate under this Decision present the potential to transmit in bands allocated to passive services that are covered in the RR footnote 5.340 which prohibits all emissions;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this ECC Decision is primarily intended to respond to the market demand for UWB indoor and handheld devices providing communication applications;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 xml:space="preserve">that some categories of UWB devices </w:t>
      </w:r>
      <w:r w:rsidRPr="009833DB">
        <w:rPr>
          <w:lang w:val="en-GB"/>
        </w:rPr>
        <w:t>characterised</w:t>
      </w:r>
      <w:r w:rsidRPr="00800539">
        <w:t xml:space="preserve"> by predominantly outdoor usage are explicitly excluded from the scope of this Decision or subject to specific provisions as they can present a significant risk of interference to radio services deployed outdoor and operating in frequency bands where maximum UWB emission levels would be allowed;</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the protection requirements of radiocommunication systems below 10.6 GHz from Generic UWB Applications have been studied in ECC Report 64 assuming in particular for aggregate interference analyses 80% of UWB devices operating indoor, 20% outdoor and an average 5% activity factor;</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the maximum mean e.i.r.p. spectral densities limits of -85 dBm/MHz around 2 GHz and -80 dBm/MHz at 3.5 GHz are based on single interference analyses with IMT services and BWA services respectively assuming minimum separation distance of 36 cm and receiver sensitivity;</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the maximum mean e.i.r.p. spectral density limit of -70 dBm/MHz in the band 2.7</w:t>
      </w:r>
      <w:r>
        <w:t>-</w:t>
      </w:r>
      <w:r w:rsidRPr="00800539">
        <w:t>3.4 GHz is based on single interference analyses with aeronautical radars assuming in particular minimum separation distance of 170 m, a 7 dB main antenna beam attenuation and a 3 dB Multiple System/Technology Allowance factor;</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in addition a maximum peak e.i.r.p. limit of -36dBm defined in 50</w:t>
      </w:r>
      <w:r w:rsidR="009833DB">
        <w:t xml:space="preserve"> </w:t>
      </w:r>
      <w:r w:rsidRPr="00800539">
        <w:t>MHz in the band 2.7</w:t>
      </w:r>
      <w:r>
        <w:t>-</w:t>
      </w:r>
      <w:r w:rsidRPr="00800539">
        <w:t>3.4 GHz is based on test measurements with aeronautical radars and addresses the potential interference from UWB devices with low PRF and undithered pulses;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a maximum mean e.i.r.p. spectral density of -65 dBm/MHz in the band 8.5</w:t>
      </w:r>
      <w:r>
        <w:t>-</w:t>
      </w:r>
      <w:r w:rsidRPr="00800539">
        <w:t>9 GHz is based on single interference analyses with radar systems assuming a minimum separation distance of 25 m;</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lastRenderedPageBreak/>
        <w:t xml:space="preserve">that, for the Radio astronomy service, the protection levels given in ECC Report 64 are well below the maximum mean e.i.r.p. spectral densities given in the Annex 1, but when taking into account mitigation factors specific to the operation of particular UWB applications a  coexistence might be feasible; </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ECC Report</w:t>
      </w:r>
      <w:r>
        <w:t xml:space="preserve"> </w:t>
      </w:r>
      <w:r w:rsidRPr="00800539">
        <w:t>64 has considered interference potential resulting from mean power and only limited consideration has been given to peak power interference, time gating and frequency hopping. ECC may review this Decision in the light of these possible implications;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complementary technical studies presented in CEPT Report 9 (using different propagation models and assuming 100% of UWB devices operating indoor with an average 1% activity factor) provide some level of confidence regarding the protection of outdoor stations from the Fixed Service and the Fixed</w:t>
      </w:r>
      <w:r>
        <w:t>-</w:t>
      </w:r>
      <w:r w:rsidRPr="00800539">
        <w:t>Satellite Service with a maximum mean e.i.r.p. spectral density level of -41.3 dBm/MHz;</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the issue of compatibility of UWB devices operated on-board either an aircraft or a vessel is the responsibility of the relevant aeronautical and maritime regulatory authorities;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the compatibility studies performed within CEPT include, inter alia, the presumption that video signals will be transmitted using predominantly high-efficiency coding;</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if actual UWB deployment significantly exceeds assumptions used in the complementary technical studies, in particular if a significant amount of devices appear on the market without efficient video coding, then this regulation will have to be reviewed;</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limitations on the duty cycle of UWB devices and the implementation of Detect and Avoid (DAA) mechanism can improve the coexistence with other radiocommunication systems;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technical requirements for LDC UWB devices to protect FWA terminals are presented in ECC Report 94;</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based on studies and measurement campaigns on the impact of LDC UWB devices on radars in the band 3.1</w:t>
      </w:r>
      <w:r>
        <w:t>-</w:t>
      </w:r>
      <w:r w:rsidRPr="00800539">
        <w:t>3.4 GHz, it was concluded in 2008 that the probability of a single LDC UWB device to radiate into the main beam of the radar was low and hence the risk of harmful interference was considered to be small;</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one study showed that aggregation effects from LDC UWB devices on radars could cause unacceptable probability of interference in the band 3.1</w:t>
      </w:r>
      <w:r>
        <w:t>-</w:t>
      </w:r>
      <w:r w:rsidRPr="00800539">
        <w:t xml:space="preserve">3.4 GHz. However, the various regulatory provisions aiming to </w:t>
      </w:r>
      <w:r w:rsidRPr="004F62A6">
        <w:rPr>
          <w:lang w:val="en-GB"/>
        </w:rPr>
        <w:t>minimise</w:t>
      </w:r>
      <w:r w:rsidRPr="00800539">
        <w:t xml:space="preserve"> outdoor use could be sufficient to reduce the aggregate interference; </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technical requirements for DAA UWB devices to ensure the protection of radiolocation services in the bands 3.1</w:t>
      </w:r>
      <w:r>
        <w:t>-</w:t>
      </w:r>
      <w:r w:rsidRPr="00800539">
        <w:t>3.4 GHz and 8.5</w:t>
      </w:r>
      <w:r>
        <w:t>-</w:t>
      </w:r>
      <w:r w:rsidRPr="00800539">
        <w:t>9 GHz and BWA terminals in the band 3.4</w:t>
      </w:r>
      <w:r>
        <w:t>-</w:t>
      </w:r>
      <w:r w:rsidRPr="00800539">
        <w:t>4.2 GHz are presented in ECC Report 120;</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DAA technic</w:t>
      </w:r>
      <w:r>
        <w:t>al requirements in the band 8.5-</w:t>
      </w:r>
      <w:r w:rsidRPr="00800539">
        <w:t>9 GHz are based on characteristics of monostatic radiolocation systems and may be revised subject to reported risk of interference to other classes of X-band radars considered to be deployed in the future, in particular passive radars;</w:t>
      </w:r>
    </w:p>
    <w:p w:rsidR="00992879" w:rsidRPr="00F47D22" w:rsidRDefault="00992879" w:rsidP="004D124E">
      <w:pPr>
        <w:pStyle w:val="ListParagraph"/>
        <w:numPr>
          <w:ilvl w:val="0"/>
          <w:numId w:val="26"/>
        </w:numPr>
        <w:tabs>
          <w:tab w:val="clear" w:pos="705"/>
          <w:tab w:val="num" w:pos="567"/>
        </w:tabs>
        <w:spacing w:after="240"/>
        <w:ind w:left="567" w:hanging="567"/>
        <w:contextualSpacing w:val="0"/>
        <w:rPr>
          <w:szCs w:val="20"/>
          <w:lang w:val="en-GB"/>
        </w:rPr>
      </w:pPr>
      <w:r w:rsidRPr="00800539">
        <w:t>that DAA technical requirements given in Annex 3 of this ECC Decision need to be supplemented by adequate guidance on DAA measurement procedures and test patterns as</w:t>
      </w:r>
      <w:r w:rsidRPr="00F47D22">
        <w:rPr>
          <w:szCs w:val="20"/>
          <w:lang w:val="en-GB"/>
        </w:rPr>
        <w:t xml:space="preserve"> defined in relevant standards (e.g. relevant versions of ETSI EN 302 065 including Harmonised European Standards adopted under </w:t>
      </w:r>
      <w:r>
        <w:rPr>
          <w:szCs w:val="20"/>
          <w:lang w:val="en-GB"/>
        </w:rPr>
        <w:t xml:space="preserve">RE </w:t>
      </w:r>
      <w:r w:rsidRPr="00F47D22">
        <w:rPr>
          <w:szCs w:val="20"/>
          <w:lang w:val="en-GB"/>
        </w:rPr>
        <w:t xml:space="preserve">Directive </w:t>
      </w:r>
      <w:r w:rsidRPr="00F00971">
        <w:rPr>
          <w:szCs w:val="20"/>
          <w:lang w:val="en-GB"/>
        </w:rPr>
        <w:t>2014/53/EU</w:t>
      </w:r>
      <w:r w:rsidRPr="00F47D22">
        <w:rPr>
          <w:szCs w:val="20"/>
          <w:lang w:val="en-GB"/>
        </w:rPr>
        <w:t>);</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F47D22">
        <w:rPr>
          <w:szCs w:val="20"/>
          <w:lang w:val="en-GB"/>
        </w:rPr>
        <w:t xml:space="preserve">that DAA technical requirements should safeguard the protection of BWA terminal stations </w:t>
      </w:r>
      <w:r w:rsidRPr="00800539">
        <w:t>for more than 99.75% of the time;</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 xml:space="preserve">that DAA technical requirements will need to be reviewed as existing systems are subject to technological change and other systems may be deployed or developed in the future; </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the band 3.4</w:t>
      </w:r>
      <w:r>
        <w:t>-</w:t>
      </w:r>
      <w:r w:rsidRPr="00800539">
        <w:t>3.6 GHz was identified for IMT applications at WRC-07;</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lastRenderedPageBreak/>
        <w:t>that the requirement of UWB DAA devices operating in the band 3.1</w:t>
      </w:r>
      <w:r>
        <w:t>-</w:t>
      </w:r>
      <w:r w:rsidRPr="00800539">
        <w:t>4.8 GHz to be capable of selecting an operating channel anywhere within the band 3.1</w:t>
      </w:r>
      <w:r>
        <w:t>-</w:t>
      </w:r>
      <w:r w:rsidRPr="00800539">
        <w:t>4.8 GHz band will provide additional mitigation to radio services operating in this band;</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 xml:space="preserve">that, to reduce interference on outdoor radio stations, it is important to </w:t>
      </w:r>
      <w:r w:rsidRPr="009833DB">
        <w:rPr>
          <w:lang w:val="en-GB"/>
        </w:rPr>
        <w:t>minimise</w:t>
      </w:r>
      <w:r w:rsidRPr="00800539">
        <w:t xml:space="preserve"> the outdoor activity of UWB;</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the exclusion of fixed outdoor transmitters from the scope of this Decision will also limit the operation of mobile outdoor devices;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special care may need to be given to deployment scenarios where a number of UWB transmitters with “mobile/nomadic” capabilities are operating outdoor under the provisions of</w:t>
      </w:r>
      <w:r w:rsidRPr="00F47D22">
        <w:rPr>
          <w:szCs w:val="20"/>
          <w:lang w:val="en-GB"/>
        </w:rPr>
        <w:t xml:space="preserve"> this Decision in limited areas transmitting towards a “fixed” local UWB infrastructure (which is of “receive-only” nature) in case these UWB transmitters would remain permanently within the antenna main beam of a Fixed Service or Fixed</w:t>
      </w:r>
      <w:r>
        <w:rPr>
          <w:szCs w:val="20"/>
          <w:lang w:val="en-GB"/>
        </w:rPr>
        <w:t>-</w:t>
      </w:r>
      <w:r w:rsidRPr="00F47D22">
        <w:rPr>
          <w:szCs w:val="20"/>
          <w:lang w:val="en-GB"/>
        </w:rPr>
        <w:t xml:space="preserve">Satellite </w:t>
      </w:r>
      <w:r w:rsidRPr="00800539">
        <w:t>Service station;</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the operation of UWB devices installed in road and rail vehicles with their intended emissions directed towards the inside can be justified based on studies presented in CEPT Report 17;</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proofErr w:type="gramStart"/>
      <w:r w:rsidRPr="00800539">
        <w:t>that</w:t>
      </w:r>
      <w:proofErr w:type="gramEnd"/>
      <w:r w:rsidRPr="00800539">
        <w:t xml:space="preserve"> CEPT Report 17 concluded that the activity factor of UWB devices installed inside vehicles is less than the indoor activity factor and that the average screening attenuation is comparable with typical indoor/outdoor attenuation. In addition there is a strong absorption loss due to human passengers providing an additional mitigation;</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CEPT Report 17 recommends for UWB devices installed inside road and rail vehicles the implementation of Transmit Power Control (TPC) for devices which do not implement Low Duty Cycle (LDC) mitigation technique in view of reducing the aggregate interference on outdoor stations of radio services within the frequency bands 3.1</w:t>
      </w:r>
      <w:r>
        <w:t>-</w:t>
      </w:r>
      <w:r w:rsidRPr="00800539">
        <w:t>4.8 GHz and 6</w:t>
      </w:r>
      <w:r>
        <w:t>-</w:t>
      </w:r>
      <w:r w:rsidRPr="00800539">
        <w:t>8.5 GHz;</w:t>
      </w:r>
    </w:p>
    <w:p w:rsidR="00992879" w:rsidRDefault="00992879" w:rsidP="004D124E">
      <w:pPr>
        <w:pStyle w:val="ListParagraph"/>
        <w:numPr>
          <w:ilvl w:val="0"/>
          <w:numId w:val="26"/>
        </w:numPr>
        <w:tabs>
          <w:tab w:val="clear" w:pos="705"/>
          <w:tab w:val="left" w:pos="567"/>
        </w:tabs>
        <w:spacing w:after="240"/>
        <w:ind w:left="567" w:hanging="567"/>
        <w:contextualSpacing w:val="0"/>
      </w:pPr>
      <w:r w:rsidRPr="00800539">
        <w:t>that ECC Report 170 provides compatibility studies in the bands 3.4</w:t>
      </w:r>
      <w:r>
        <w:t>-</w:t>
      </w:r>
      <w:r w:rsidRPr="00800539">
        <w:t>4.8 GHz and 6</w:t>
      </w:r>
      <w:r>
        <w:t>-</w:t>
      </w:r>
      <w:r w:rsidRPr="00800539">
        <w:t>8.5 GHz on the impact of LDC UWB devices installed inside road and rail vehicles assuming a</w:t>
      </w:r>
      <w:r w:rsidRPr="00F47D22">
        <w:rPr>
          <w:szCs w:val="20"/>
          <w:lang w:val="en-GB"/>
        </w:rPr>
        <w:t xml:space="preserve"> penetration rate of 50%, 10 devices per vehicle (6 in 3.1</w:t>
      </w:r>
      <w:r>
        <w:rPr>
          <w:szCs w:val="20"/>
          <w:lang w:val="en-GB"/>
        </w:rPr>
        <w:t>-</w:t>
      </w:r>
      <w:r w:rsidRPr="00F47D22">
        <w:rPr>
          <w:szCs w:val="20"/>
          <w:lang w:val="en-GB"/>
        </w:rPr>
        <w:t>4.8 GHz and 4 devices per vehicle in 6</w:t>
      </w:r>
      <w:r>
        <w:rPr>
          <w:szCs w:val="20"/>
          <w:lang w:val="en-GB"/>
        </w:rPr>
        <w:t>-</w:t>
      </w:r>
      <w:r w:rsidRPr="00F47D22">
        <w:rPr>
          <w:szCs w:val="20"/>
          <w:lang w:val="en-GB"/>
        </w:rPr>
        <w:t xml:space="preserve">8.5 GHz) and their intended emissions directed towards the inside. ECC Report 170 concludes that an exterior limit of -53.3 dBm/MHz for emissions outside road and rail vehicles would provide a high level of confidence on </w:t>
      </w:r>
      <w:r w:rsidRPr="00800539">
        <w:t>the protection of most affected radio services;</w:t>
      </w:r>
    </w:p>
    <w:p w:rsidR="00992879" w:rsidRPr="00800539" w:rsidRDefault="00992879" w:rsidP="004D124E">
      <w:pPr>
        <w:pStyle w:val="ECCParagraph"/>
        <w:numPr>
          <w:ilvl w:val="0"/>
          <w:numId w:val="26"/>
        </w:numPr>
        <w:tabs>
          <w:tab w:val="clear" w:pos="705"/>
          <w:tab w:val="left" w:pos="567"/>
        </w:tabs>
        <w:ind w:left="567" w:hanging="567"/>
        <w:jc w:val="left"/>
      </w:pPr>
      <w:r>
        <w:rPr>
          <w:rFonts w:eastAsia="Calibri"/>
        </w:rPr>
        <w:t xml:space="preserve">that </w:t>
      </w:r>
      <w:r w:rsidRPr="00C52E18">
        <w:rPr>
          <w:rFonts w:eastAsia="Calibri"/>
        </w:rPr>
        <w:t xml:space="preserve">ECC Report 278 concludes that </w:t>
      </w:r>
      <w:r w:rsidRPr="00C16CB9">
        <w:t>compatibility with the incumbent services in the band 3.8-4.2 GHz and 6-8.5 GHz can be achieved when trigger-before-transmit mitigation is used</w:t>
      </w:r>
      <w:r>
        <w:t>;</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the definition of an exterior limit is primarily intended to improve the protection of radio services from UWB applications transmitting within the same vehicle towards an associated receiver but would also offer regulatory solutions for UWB installations with their intended emissions directed towards outside the vehicle;</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 xml:space="preserve">that based on studies in ECC </w:t>
      </w:r>
      <w:r>
        <w:t>R</w:t>
      </w:r>
      <w:r w:rsidRPr="00800539">
        <w:t xml:space="preserve">eport 170 an additional mitigation of around 3dB would be required for applications with their intended emissions directed towards outside the vehicle, resulting in an emission limit emitting towards the outside of -56 dBm/MHz. However it is assumed that most of these outdoor automotive applications will operate in accordance with other spectrum regulations;  </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if the actual number of UWB devices installed in vehicles significantly exceeds assumptions used in ECC Report 170, then this regulation will have to be reviewed;</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for the band 4.2</w:t>
      </w:r>
      <w:r>
        <w:t>-</w:t>
      </w:r>
      <w:r w:rsidRPr="00800539">
        <w:t>4.8 GHz special care should be given to the aggregation of emissions from several UWB devices installed within the same vehicle and it was agreed that the duty cycle limit should be adjusted upon the vehicle speed;</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 xml:space="preserve">that the Methanol line at 6.7 GHz has only relatively recently been discovered and is becoming a focus of radio-astronomical research but an exterior limit of -53.3 dBm/MHz maximum mean e.i.r.p. outside a vehicle equipped with a single device would only offer a protection distance of about 700 m which may </w:t>
      </w:r>
      <w:r w:rsidRPr="00800539">
        <w:lastRenderedPageBreak/>
        <w:t>impact the observations of several RAS stations operating in Europe (Effelsberg, Jodrell Bank, Cambridge, Sardinia, Bleien…);</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a harmonised transition measure (phased approach) was agreed in 2006 by the ECC in order to enable first generation (1G) of UWB devices operating in the 4.2</w:t>
      </w:r>
      <w:r>
        <w:t>-</w:t>
      </w:r>
      <w:r w:rsidRPr="00800539">
        <w:t>4.8 GHz frequency band with a maximum mean e.i.r.p. spectral density of –41.3 dBm/MHz without additional mitigation to be placed on the market until a fixed cut-off date (31 December 2010);</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 xml:space="preserve">that the principle of a fixed cut-off date was justified by the need to ensure future development of radio services with indoor coverage operating in this band together with long-term protection of </w:t>
      </w:r>
      <w:r w:rsidRPr="009F7118">
        <w:rPr>
          <w:lang w:val="en-GB"/>
        </w:rPr>
        <w:t>defence</w:t>
      </w:r>
      <w:r w:rsidRPr="00800539">
        <w:t xml:space="preserve"> systems operating in this band;</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future World Radiocommunication Conferences may make revisions to the Radio Regulations that change the impact of UWB on Radiocommunication Services operating in accordance with the Table of Allocations;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 xml:space="preserve">that CEPT can develop other Decisions </w:t>
      </w:r>
      <w:r>
        <w:t xml:space="preserve">or Recommendations </w:t>
      </w:r>
      <w:r w:rsidRPr="00800539">
        <w:t>for specific classes of UWB device which do not meet the technical requirements of this Decision for generic UWB devices;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CEPT overall approach and criteria for handling industry requests for specific UWB regulations is presented in CEPT Report 34;</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in order to support procedures of review of ECC Decisions, administrations are encouraged to collect market data on the numbers and types of UWB devices being placed on national markets;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administrations are encouraged to conduct measurements on the characteristics of these devices;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rsidRPr="00800539">
        <w:t>that administrations are encouraged to monitor the impact of UWB devices on incumbent users, including the rise in noise due to the aggregate effect;</w:t>
      </w:r>
    </w:p>
    <w:p w:rsidR="00992879" w:rsidRDefault="00992879" w:rsidP="004D124E">
      <w:pPr>
        <w:pStyle w:val="ListParagraph"/>
        <w:numPr>
          <w:ilvl w:val="0"/>
          <w:numId w:val="26"/>
        </w:numPr>
        <w:tabs>
          <w:tab w:val="clear" w:pos="705"/>
          <w:tab w:val="left" w:pos="567"/>
        </w:tabs>
        <w:spacing w:after="240"/>
        <w:ind w:left="567" w:hanging="567"/>
        <w:contextualSpacing w:val="0"/>
      </w:pPr>
      <w:r w:rsidRPr="00800539">
        <w:t>that administrations are encouraged to collect evidence of any interference caused to incumbent services by UWB devices;</w:t>
      </w:r>
    </w:p>
    <w:p w:rsidR="00992879" w:rsidRPr="00800539" w:rsidRDefault="00992879" w:rsidP="004D124E">
      <w:pPr>
        <w:pStyle w:val="ListParagraph"/>
        <w:numPr>
          <w:ilvl w:val="0"/>
          <w:numId w:val="26"/>
        </w:numPr>
        <w:tabs>
          <w:tab w:val="clear" w:pos="705"/>
          <w:tab w:val="left" w:pos="567"/>
        </w:tabs>
        <w:spacing w:after="240"/>
        <w:ind w:left="567" w:hanging="567"/>
        <w:contextualSpacing w:val="0"/>
      </w:pPr>
      <w:r>
        <w:t>that CEPT Report 69 also clarified the possibility to use the generic UWB regulation in ECC Decision (06)04 for material sensing applications (ECC Decision (07)01, as amended) without any violation of the technical requirements set out in the generic UWB regulation;</w:t>
      </w:r>
    </w:p>
    <w:p w:rsidR="00992879" w:rsidRDefault="00992879" w:rsidP="004D124E">
      <w:pPr>
        <w:pStyle w:val="ListParagraph"/>
        <w:numPr>
          <w:ilvl w:val="0"/>
          <w:numId w:val="26"/>
        </w:numPr>
        <w:tabs>
          <w:tab w:val="clear" w:pos="705"/>
          <w:tab w:val="left" w:pos="567"/>
        </w:tabs>
        <w:spacing w:after="240"/>
        <w:ind w:left="567" w:hanging="567"/>
        <w:contextualSpacing w:val="0"/>
      </w:pPr>
      <w:r>
        <w:t>that i</w:t>
      </w:r>
      <w:r w:rsidRPr="00800539">
        <w:t>n EU/EFTA countries the radio equipment that is under the scope of this Decision shall comply with the R</w:t>
      </w:r>
      <w:r>
        <w:t>E</w:t>
      </w:r>
      <w:r w:rsidRPr="00800539">
        <w:t xml:space="preserve"> Directive. Conformity with the essential requirements of the R</w:t>
      </w:r>
      <w:r>
        <w:t>E</w:t>
      </w:r>
      <w:r w:rsidRPr="00800539">
        <w:t xml:space="preserve"> Directive may be demonstrated by compliance with the applicable </w:t>
      </w:r>
      <w:r>
        <w:t>relevant versions of the H</w:t>
      </w:r>
      <w:r w:rsidRPr="00800539">
        <w:t xml:space="preserve">armonised European </w:t>
      </w:r>
      <w:r>
        <w:t>S</w:t>
      </w:r>
      <w:r w:rsidRPr="00800539">
        <w:t>tandard</w:t>
      </w:r>
      <w:r>
        <w:t xml:space="preserve"> EN 302 065 </w:t>
      </w:r>
      <w:r w:rsidRPr="00800539">
        <w:t>or by using the other conformity assessment procedures set out in the R</w:t>
      </w:r>
      <w:r>
        <w:t>E</w:t>
      </w:r>
      <w:r w:rsidRPr="00800539">
        <w:t xml:space="preserve"> Directive.</w:t>
      </w:r>
    </w:p>
    <w:p w:rsidR="00992879" w:rsidRDefault="00992879" w:rsidP="006C03D0">
      <w:pPr>
        <w:pStyle w:val="ECCParagraph"/>
        <w:rPr>
          <w:i/>
          <w:color w:val="D2232A"/>
        </w:rPr>
      </w:pPr>
    </w:p>
    <w:p w:rsidR="006C03D0" w:rsidRPr="00C10DC9" w:rsidRDefault="005F7AD5" w:rsidP="006C03D0">
      <w:pPr>
        <w:pStyle w:val="ECCParagraph"/>
        <w:rPr>
          <w:color w:val="D2232A"/>
        </w:rPr>
      </w:pPr>
      <w:r w:rsidRPr="00C10DC9">
        <w:rPr>
          <w:i/>
          <w:color w:val="D2232A"/>
        </w:rPr>
        <w:t>DECIDES</w:t>
      </w:r>
      <w:r w:rsidRPr="00C10DC9">
        <w:rPr>
          <w:color w:val="D2232A"/>
        </w:rPr>
        <w:t xml:space="preserve"> </w:t>
      </w:r>
    </w:p>
    <w:p w:rsidR="009833DB" w:rsidRPr="00FF26F6" w:rsidRDefault="009833DB" w:rsidP="009918C1">
      <w:pPr>
        <w:pStyle w:val="NumberedList"/>
        <w:numPr>
          <w:ilvl w:val="0"/>
          <w:numId w:val="27"/>
        </w:numPr>
        <w:tabs>
          <w:tab w:val="left" w:pos="709"/>
        </w:tabs>
      </w:pPr>
      <w:r w:rsidRPr="00FF26F6">
        <w:t>that this ECC Decision defines general harmonised conditions for the use in Europe of devices using UWB technology in bands below 10.6 GHz;</w:t>
      </w:r>
    </w:p>
    <w:p w:rsidR="009833DB" w:rsidRPr="00FF26F6" w:rsidRDefault="009833DB" w:rsidP="009918C1">
      <w:pPr>
        <w:pStyle w:val="NumberedList"/>
        <w:numPr>
          <w:ilvl w:val="0"/>
          <w:numId w:val="27"/>
        </w:numPr>
        <w:tabs>
          <w:tab w:val="left" w:pos="709"/>
        </w:tabs>
      </w:pPr>
      <w:r w:rsidRPr="00FF26F6">
        <w:t>that, for the purpose of the Decision, the following definitions apply:</w:t>
      </w:r>
    </w:p>
    <w:p w:rsidR="009833DB" w:rsidRPr="00E62DE8" w:rsidRDefault="009833DB" w:rsidP="009833DB">
      <w:pPr>
        <w:pStyle w:val="NumberedList"/>
        <w:numPr>
          <w:ilvl w:val="0"/>
          <w:numId w:val="28"/>
        </w:numPr>
        <w:tabs>
          <w:tab w:val="left" w:pos="709"/>
        </w:tabs>
        <w:spacing w:after="60"/>
        <w:ind w:left="709"/>
      </w:pPr>
      <w:r w:rsidRPr="00E62DE8">
        <w:t>Maximum mean e.i.r.p. spectral density: the highest signal strength measured in any direction at any frequency within the defined range. The mean e.i.r.p. spectral density is measured with a 1</w:t>
      </w:r>
      <w:r>
        <w:t xml:space="preserve"> </w:t>
      </w:r>
      <w:r w:rsidRPr="00E62DE8">
        <w:t>MHz resolution bandwidth, an RMS detector and an averaging time of 1</w:t>
      </w:r>
      <w:r>
        <w:t xml:space="preserve"> </w:t>
      </w:r>
      <w:r w:rsidRPr="00E62DE8">
        <w:t>ms or less.</w:t>
      </w:r>
    </w:p>
    <w:p w:rsidR="009833DB" w:rsidRPr="00FF26F6" w:rsidRDefault="009833DB" w:rsidP="009833DB">
      <w:pPr>
        <w:pStyle w:val="NumberedList"/>
        <w:numPr>
          <w:ilvl w:val="0"/>
          <w:numId w:val="28"/>
        </w:numPr>
        <w:tabs>
          <w:tab w:val="left" w:pos="709"/>
        </w:tabs>
        <w:spacing w:after="60"/>
        <w:ind w:left="709" w:hanging="357"/>
      </w:pPr>
      <w:r w:rsidRPr="00FF26F6">
        <w:t>Maximum peak e.i.r.p.: the highest signal strength measured in any direction at any frequency within the defined range. The peak e.i.r.p. is defined within a 50 MHz bandwidth.</w:t>
      </w:r>
    </w:p>
    <w:p w:rsidR="009833DB" w:rsidRPr="00FF26F6" w:rsidRDefault="009833DB" w:rsidP="009833DB">
      <w:pPr>
        <w:pStyle w:val="NumberedList"/>
        <w:numPr>
          <w:ilvl w:val="0"/>
          <w:numId w:val="28"/>
        </w:numPr>
        <w:tabs>
          <w:tab w:val="left" w:pos="709"/>
        </w:tabs>
        <w:spacing w:after="60"/>
        <w:ind w:left="709" w:hanging="357"/>
      </w:pPr>
      <w:r w:rsidRPr="00FF26F6">
        <w:t>LDC UWB devices are defined as devices using UWB technology that meet the technical requirements for Low Duty Cycle (LDC) mitigation technique given in Annex 2 of this Decision;</w:t>
      </w:r>
    </w:p>
    <w:p w:rsidR="009833DB" w:rsidRPr="00FF26F6" w:rsidRDefault="009833DB" w:rsidP="009918C1">
      <w:pPr>
        <w:pStyle w:val="NumberedList"/>
        <w:numPr>
          <w:ilvl w:val="0"/>
          <w:numId w:val="28"/>
        </w:numPr>
        <w:tabs>
          <w:tab w:val="left" w:pos="709"/>
        </w:tabs>
        <w:ind w:left="709" w:hanging="357"/>
      </w:pPr>
      <w:r w:rsidRPr="00FF26F6">
        <w:lastRenderedPageBreak/>
        <w:t>DAA UWB devices are defined as devices using UWB technology that meet the technical requirements for Detect And Avoid (DAA) mitigation technique given in Annex 3 of this Decision;</w:t>
      </w:r>
    </w:p>
    <w:p w:rsidR="009833DB" w:rsidRPr="00FF26F6" w:rsidRDefault="009833DB" w:rsidP="009918C1">
      <w:pPr>
        <w:pStyle w:val="NumberedList"/>
        <w:numPr>
          <w:ilvl w:val="0"/>
          <w:numId w:val="27"/>
        </w:numPr>
        <w:tabs>
          <w:tab w:val="left" w:pos="709"/>
        </w:tabs>
      </w:pPr>
      <w:r w:rsidRPr="00FF26F6">
        <w:t>that the devices permitted under this ECC Decision are exempt from individual licensing and operate on a non-interference, non-protected basis;</w:t>
      </w:r>
    </w:p>
    <w:p w:rsidR="009833DB" w:rsidRPr="00FF26F6" w:rsidRDefault="009833DB" w:rsidP="009833DB">
      <w:pPr>
        <w:pStyle w:val="NumberedList"/>
        <w:numPr>
          <w:ilvl w:val="0"/>
          <w:numId w:val="27"/>
        </w:numPr>
        <w:tabs>
          <w:tab w:val="left" w:pos="709"/>
        </w:tabs>
        <w:spacing w:after="60"/>
      </w:pPr>
      <w:r w:rsidRPr="00FF26F6">
        <w:t>that this ECC Decision is not applicable to:</w:t>
      </w:r>
    </w:p>
    <w:p w:rsidR="009833DB" w:rsidRPr="00FF26F6" w:rsidRDefault="009833DB" w:rsidP="009833DB">
      <w:pPr>
        <w:pStyle w:val="NumberedList"/>
        <w:numPr>
          <w:ilvl w:val="0"/>
          <w:numId w:val="29"/>
        </w:numPr>
        <w:tabs>
          <w:tab w:val="left" w:pos="709"/>
        </w:tabs>
        <w:spacing w:after="60"/>
        <w:ind w:left="709"/>
      </w:pPr>
      <w:r w:rsidRPr="00FF26F6">
        <w:t>devices and infrastructure used at a fixed outdoor location or connected to a fixed outdoor antenna;</w:t>
      </w:r>
    </w:p>
    <w:p w:rsidR="009833DB" w:rsidRPr="00FF26F6" w:rsidRDefault="009833DB" w:rsidP="009918C1">
      <w:pPr>
        <w:pStyle w:val="NumberedList"/>
        <w:numPr>
          <w:ilvl w:val="0"/>
          <w:numId w:val="28"/>
        </w:numPr>
        <w:tabs>
          <w:tab w:val="left" w:pos="709"/>
        </w:tabs>
        <w:ind w:left="709"/>
      </w:pPr>
      <w:r w:rsidRPr="00FF26F6">
        <w:t>devices installed in flying models, aircraft and other aviation;</w:t>
      </w:r>
    </w:p>
    <w:p w:rsidR="009833DB" w:rsidRPr="00FF26F6" w:rsidRDefault="009833DB" w:rsidP="009918C1">
      <w:pPr>
        <w:pStyle w:val="NumberedList"/>
        <w:numPr>
          <w:ilvl w:val="0"/>
          <w:numId w:val="27"/>
        </w:numPr>
        <w:tabs>
          <w:tab w:val="left" w:pos="709"/>
        </w:tabs>
      </w:pPr>
      <w:r w:rsidRPr="00FF26F6">
        <w:t>that the technical requirements detailed in Annex 1 apply to devices permitted under this ECC Decision;</w:t>
      </w:r>
    </w:p>
    <w:p w:rsidR="009833DB" w:rsidRPr="00FF26F6" w:rsidRDefault="009833DB" w:rsidP="009918C1">
      <w:pPr>
        <w:pStyle w:val="NumberedList"/>
        <w:numPr>
          <w:ilvl w:val="0"/>
          <w:numId w:val="27"/>
        </w:numPr>
      </w:pPr>
      <w:r>
        <w:t>that CEPT administrations shall exempt from individual licensing and allow free circulation and use of devices using UWB technology covered by this Decision;</w:t>
      </w:r>
    </w:p>
    <w:p w:rsidR="009833DB" w:rsidRPr="00FF26F6" w:rsidRDefault="009833DB" w:rsidP="009918C1">
      <w:pPr>
        <w:pStyle w:val="NumberedList"/>
        <w:numPr>
          <w:ilvl w:val="0"/>
          <w:numId w:val="27"/>
        </w:numPr>
        <w:tabs>
          <w:tab w:val="left" w:pos="709"/>
        </w:tabs>
      </w:pPr>
      <w:r w:rsidRPr="00FF26F6">
        <w:t xml:space="preserve">that this Decision enters into force on </w:t>
      </w:r>
      <w:r>
        <w:t>8 March 2019</w:t>
      </w:r>
      <w:r w:rsidRPr="00FF26F6">
        <w:t>;</w:t>
      </w:r>
    </w:p>
    <w:p w:rsidR="009833DB" w:rsidRPr="00FF26F6" w:rsidRDefault="009833DB" w:rsidP="009918C1">
      <w:pPr>
        <w:pStyle w:val="NumberedList"/>
        <w:numPr>
          <w:ilvl w:val="0"/>
          <w:numId w:val="27"/>
        </w:numPr>
        <w:tabs>
          <w:tab w:val="left" w:pos="709"/>
        </w:tabs>
      </w:pPr>
      <w:r w:rsidRPr="00FF26F6">
        <w:t xml:space="preserve">that the preferred date for implementation of this Decision shall be </w:t>
      </w:r>
      <w:r>
        <w:t>8 September 2019</w:t>
      </w:r>
      <w:r w:rsidRPr="00FF26F6">
        <w:t>;</w:t>
      </w:r>
    </w:p>
    <w:p w:rsidR="009833DB" w:rsidRPr="00FF26F6" w:rsidRDefault="009833DB" w:rsidP="009918C1">
      <w:pPr>
        <w:pStyle w:val="NumberedList"/>
        <w:numPr>
          <w:ilvl w:val="0"/>
          <w:numId w:val="27"/>
        </w:numPr>
        <w:tabs>
          <w:tab w:val="left" w:pos="709"/>
        </w:tabs>
      </w:pPr>
      <w:r w:rsidRPr="00FF26F6">
        <w:t xml:space="preserve">that CEPT administrations shall communicate the national measures implementing this Decision to the ECC Chairman and the Office when the Decision is nationally implemented.” </w:t>
      </w:r>
    </w:p>
    <w:p w:rsidR="001C46EA" w:rsidRDefault="001C46EA" w:rsidP="00D90B0A">
      <w:pPr>
        <w:pStyle w:val="ECCParagraph"/>
        <w:keepNext/>
      </w:pPr>
    </w:p>
    <w:p w:rsidR="001C46EA" w:rsidRPr="00FE1795" w:rsidRDefault="001C46EA" w:rsidP="00D90B0A">
      <w:pPr>
        <w:pStyle w:val="ECCParagraph"/>
        <w:keepNext/>
        <w:rPr>
          <w:i/>
          <w:color w:val="D2232A"/>
        </w:rPr>
      </w:pPr>
      <w:r w:rsidRPr="00FE1795">
        <w:rPr>
          <w:i/>
          <w:color w:val="D2232A"/>
        </w:rPr>
        <w:t xml:space="preserve">Note: </w:t>
      </w:r>
    </w:p>
    <w:p w:rsidR="001C46EA" w:rsidRDefault="001C46EA" w:rsidP="00D90B0A">
      <w:pPr>
        <w:pStyle w:val="ECCParagraph"/>
        <w:keepNext/>
      </w:pPr>
      <w:r w:rsidRPr="00E80C5C">
        <w:rPr>
          <w:i/>
          <w:szCs w:val="20"/>
        </w:rPr>
        <w:t xml:space="preserve">Please check the Office </w:t>
      </w:r>
      <w:r>
        <w:rPr>
          <w:i/>
          <w:szCs w:val="20"/>
        </w:rPr>
        <w:t>documentation database</w:t>
      </w:r>
      <w:r w:rsidRPr="00E80C5C">
        <w:rPr>
          <w:i/>
          <w:szCs w:val="20"/>
        </w:rPr>
        <w:t xml:space="preserve"> http</w:t>
      </w:r>
      <w:r w:rsidR="005312A6">
        <w:rPr>
          <w:i/>
          <w:szCs w:val="20"/>
        </w:rPr>
        <w:t>s</w:t>
      </w:r>
      <w:r w:rsidRPr="00E80C5C">
        <w:rPr>
          <w:i/>
          <w:szCs w:val="20"/>
        </w:rPr>
        <w:t>://www.</w:t>
      </w:r>
      <w:r>
        <w:rPr>
          <w:i/>
          <w:szCs w:val="20"/>
        </w:rPr>
        <w:t>ecodocdb.dk for</w:t>
      </w:r>
      <w:r w:rsidRPr="00E80C5C">
        <w:rPr>
          <w:i/>
          <w:szCs w:val="20"/>
        </w:rPr>
        <w:t xml:space="preserve"> the up to date position on the implementation of this and other ECC Decisions.</w:t>
      </w:r>
    </w:p>
    <w:p w:rsidR="005312A6" w:rsidRPr="00F47D22" w:rsidRDefault="005312A6" w:rsidP="005312A6">
      <w:pPr>
        <w:pStyle w:val="ECCAnnex-heading1"/>
      </w:pPr>
      <w:bookmarkStart w:id="4" w:name="_Toc280099660"/>
      <w:r w:rsidRPr="00F47D22">
        <w:lastRenderedPageBreak/>
        <w:t>Technical requirements for devices using UWB technology in bands below 10.6 GH</w:t>
      </w:r>
      <w:r w:rsidRPr="00F47D22">
        <w:rPr>
          <w:caps w:val="0"/>
        </w:rPr>
        <w:t>z</w:t>
      </w:r>
    </w:p>
    <w:p w:rsidR="005312A6" w:rsidRPr="005312A6" w:rsidRDefault="005312A6" w:rsidP="005312A6">
      <w:pPr>
        <w:pStyle w:val="ECCAnnexheading2"/>
      </w:pPr>
      <w:r w:rsidRPr="005312A6">
        <w:t>General case</w:t>
      </w:r>
    </w:p>
    <w:p w:rsidR="005312A6" w:rsidRPr="00E62DE8" w:rsidRDefault="005312A6" w:rsidP="005312A6">
      <w:pPr>
        <w:pStyle w:val="ECCParagraph"/>
      </w:pPr>
      <w:r w:rsidRPr="00E62DE8">
        <w:t>The technical requirements below are not applicable to:</w:t>
      </w:r>
    </w:p>
    <w:p w:rsidR="005312A6" w:rsidRPr="00E62DE8" w:rsidRDefault="005312A6" w:rsidP="005312A6">
      <w:pPr>
        <w:pStyle w:val="NumberedList"/>
        <w:numPr>
          <w:ilvl w:val="0"/>
          <w:numId w:val="31"/>
        </w:numPr>
        <w:tabs>
          <w:tab w:val="left" w:pos="709"/>
        </w:tabs>
        <w:spacing w:after="60"/>
        <w:ind w:left="737" w:hanging="340"/>
      </w:pPr>
      <w:r w:rsidRPr="00E62DE8">
        <w:t>devices and infrastructure used at a fixed outdoor location or connected to a fixed outdoor antenna;</w:t>
      </w:r>
    </w:p>
    <w:p w:rsidR="005312A6" w:rsidRPr="00E62DE8" w:rsidRDefault="005312A6" w:rsidP="005312A6">
      <w:pPr>
        <w:pStyle w:val="NumberedList"/>
        <w:numPr>
          <w:ilvl w:val="0"/>
          <w:numId w:val="31"/>
        </w:numPr>
        <w:tabs>
          <w:tab w:val="left" w:pos="709"/>
        </w:tabs>
        <w:spacing w:after="60"/>
        <w:ind w:left="737" w:hanging="340"/>
      </w:pPr>
      <w:r w:rsidRPr="00E62DE8">
        <w:t>devices installed in flying models, aircraft and other aviation;</w:t>
      </w:r>
    </w:p>
    <w:p w:rsidR="005312A6" w:rsidRDefault="005312A6" w:rsidP="007B575B">
      <w:pPr>
        <w:pStyle w:val="NumberedList"/>
        <w:numPr>
          <w:ilvl w:val="0"/>
          <w:numId w:val="31"/>
        </w:numPr>
        <w:tabs>
          <w:tab w:val="left" w:pos="709"/>
        </w:tabs>
        <w:ind w:left="737" w:hanging="340"/>
      </w:pPr>
      <w:r w:rsidRPr="00E62DE8">
        <w:t>devices installed in road and rail vehicles.</w:t>
      </w:r>
    </w:p>
    <w:p w:rsidR="005312A6" w:rsidRDefault="005312A6" w:rsidP="006A300C">
      <w:pPr>
        <w:pStyle w:val="ECCTabletitle"/>
      </w:pPr>
      <w:r>
        <w:t xml:space="preserve"> </w:t>
      </w:r>
      <w:r w:rsidRPr="00F636E5">
        <w:t>Maximum e.i.r.p. limits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119"/>
        <w:gridCol w:w="3118"/>
        <w:gridCol w:w="3119"/>
      </w:tblGrid>
      <w:tr w:rsidR="005312A6" w:rsidRPr="00FE1795" w:rsidTr="004A1514">
        <w:trPr>
          <w:tblHeader/>
        </w:trPr>
        <w:tc>
          <w:tcPr>
            <w:tcW w:w="3119" w:type="dxa"/>
            <w:tcBorders>
              <w:top w:val="single" w:sz="4" w:space="0" w:color="D2232A"/>
              <w:left w:val="single" w:sz="4" w:space="0" w:color="D2232A"/>
              <w:bottom w:val="single" w:sz="4" w:space="0" w:color="D2232A"/>
              <w:right w:val="single" w:sz="4" w:space="0" w:color="FFFFFF"/>
            </w:tcBorders>
            <w:shd w:val="clear" w:color="auto" w:fill="D2232A"/>
          </w:tcPr>
          <w:p w:rsidR="005312A6" w:rsidRPr="00FF26F6" w:rsidRDefault="005312A6" w:rsidP="004A1514">
            <w:pPr>
              <w:spacing w:line="288" w:lineRule="auto"/>
              <w:jc w:val="center"/>
              <w:rPr>
                <w:b/>
                <w:color w:val="FFFFFF"/>
              </w:rPr>
            </w:pPr>
            <w:r w:rsidRPr="00FF26F6">
              <w:rPr>
                <w:b/>
                <w:color w:val="FFFFFF"/>
              </w:rPr>
              <w:t>Frequency range</w:t>
            </w:r>
          </w:p>
        </w:tc>
        <w:tc>
          <w:tcPr>
            <w:tcW w:w="3118" w:type="dxa"/>
            <w:tcBorders>
              <w:top w:val="single" w:sz="4" w:space="0" w:color="D2232A"/>
              <w:left w:val="single" w:sz="4" w:space="0" w:color="FFFFFF"/>
              <w:bottom w:val="single" w:sz="4" w:space="0" w:color="D2232A"/>
              <w:right w:val="single" w:sz="4" w:space="0" w:color="FFFFFF"/>
            </w:tcBorders>
            <w:shd w:val="clear" w:color="auto" w:fill="D2232A"/>
          </w:tcPr>
          <w:p w:rsidR="005312A6" w:rsidRPr="00FF26F6" w:rsidRDefault="005312A6" w:rsidP="004A1514">
            <w:pPr>
              <w:spacing w:line="288" w:lineRule="auto"/>
              <w:jc w:val="center"/>
              <w:rPr>
                <w:b/>
                <w:color w:val="FFFFFF"/>
              </w:rPr>
            </w:pPr>
            <w:r w:rsidRPr="00FF26F6">
              <w:rPr>
                <w:b/>
                <w:color w:val="FFFFFF"/>
              </w:rPr>
              <w:t>Maximum mean e.i.r.p. spectral density</w:t>
            </w:r>
          </w:p>
        </w:tc>
        <w:tc>
          <w:tcPr>
            <w:tcW w:w="3119" w:type="dxa"/>
            <w:tcBorders>
              <w:top w:val="single" w:sz="4" w:space="0" w:color="D2232A"/>
              <w:left w:val="single" w:sz="4" w:space="0" w:color="FFFFFF"/>
              <w:bottom w:val="single" w:sz="4" w:space="0" w:color="D2232A"/>
              <w:right w:val="single" w:sz="4" w:space="0" w:color="D2232A"/>
            </w:tcBorders>
            <w:shd w:val="clear" w:color="auto" w:fill="D2232A"/>
          </w:tcPr>
          <w:p w:rsidR="005312A6" w:rsidRPr="00FF26F6" w:rsidRDefault="005312A6" w:rsidP="004A1514">
            <w:pPr>
              <w:spacing w:line="288" w:lineRule="auto"/>
              <w:jc w:val="center"/>
              <w:rPr>
                <w:b/>
                <w:color w:val="FFFFFF"/>
              </w:rPr>
            </w:pPr>
            <w:r w:rsidRPr="00FF26F6">
              <w:rPr>
                <w:b/>
                <w:color w:val="FFFFFF"/>
              </w:rPr>
              <w:t>Maximum peak e.i.r.p. (defined in 50 MHz)</w:t>
            </w:r>
          </w:p>
        </w:tc>
      </w:tr>
      <w:tr w:rsidR="005312A6" w:rsidTr="004A1514">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Below 1.6 GHz</w:t>
            </w:r>
          </w:p>
        </w:tc>
        <w:tc>
          <w:tcPr>
            <w:tcW w:w="3118"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-90 dBm/MHz</w:t>
            </w:r>
          </w:p>
        </w:tc>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-50 dBm</w:t>
            </w:r>
          </w:p>
        </w:tc>
      </w:tr>
      <w:tr w:rsidR="005312A6" w:rsidTr="004A1514">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5312A6">
            <w:pPr>
              <w:spacing w:line="288" w:lineRule="auto"/>
              <w:rPr>
                <w:noProof/>
              </w:rPr>
            </w:pPr>
            <w:r w:rsidRPr="00BA5652">
              <w:rPr>
                <w:noProof/>
              </w:rPr>
              <w:t>1.6 to 2.7 GHz</w:t>
            </w:r>
          </w:p>
        </w:tc>
        <w:tc>
          <w:tcPr>
            <w:tcW w:w="3118"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-85 dBm/MHz</w:t>
            </w:r>
          </w:p>
        </w:tc>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-45 dBm</w:t>
            </w:r>
          </w:p>
        </w:tc>
      </w:tr>
      <w:tr w:rsidR="005312A6" w:rsidTr="004A1514">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5312A6">
            <w:pPr>
              <w:spacing w:line="288" w:lineRule="auto"/>
              <w:rPr>
                <w:noProof/>
              </w:rPr>
            </w:pPr>
            <w:r w:rsidRPr="00BA5652">
              <w:rPr>
                <w:noProof/>
              </w:rPr>
              <w:t>2.7 to 3.4 GHz (Notes 1 and 2)</w:t>
            </w:r>
          </w:p>
        </w:tc>
        <w:tc>
          <w:tcPr>
            <w:tcW w:w="3118"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-70 dBm/MHz</w:t>
            </w:r>
          </w:p>
        </w:tc>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-36 dBm</w:t>
            </w:r>
          </w:p>
        </w:tc>
      </w:tr>
      <w:tr w:rsidR="005312A6" w:rsidTr="004A1514">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5312A6">
            <w:pPr>
              <w:spacing w:line="288" w:lineRule="auto"/>
              <w:rPr>
                <w:noProof/>
              </w:rPr>
            </w:pPr>
            <w:r w:rsidRPr="00BA5652">
              <w:rPr>
                <w:noProof/>
              </w:rPr>
              <w:t>3.4 to 3.8 GHz (Notes 1 and 2)</w:t>
            </w:r>
          </w:p>
        </w:tc>
        <w:tc>
          <w:tcPr>
            <w:tcW w:w="3118"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-80 dBm/MHz</w:t>
            </w:r>
          </w:p>
        </w:tc>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-40 dBm</w:t>
            </w:r>
          </w:p>
        </w:tc>
      </w:tr>
      <w:tr w:rsidR="005312A6" w:rsidTr="004A1514">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3.8 to 4.2 GHz (Notes 1 and 2)</w:t>
            </w:r>
          </w:p>
        </w:tc>
        <w:tc>
          <w:tcPr>
            <w:tcW w:w="3118"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-70 dBm/MHz</w:t>
            </w:r>
          </w:p>
        </w:tc>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-30 dBm</w:t>
            </w:r>
          </w:p>
        </w:tc>
      </w:tr>
      <w:tr w:rsidR="005312A6" w:rsidTr="004A1514">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4.2 to 4.8 GHz (Notes 1 and 2)</w:t>
            </w:r>
          </w:p>
        </w:tc>
        <w:tc>
          <w:tcPr>
            <w:tcW w:w="3118"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-70 dBm/MHz</w:t>
            </w:r>
          </w:p>
        </w:tc>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-30 dBm</w:t>
            </w:r>
          </w:p>
        </w:tc>
      </w:tr>
      <w:tr w:rsidR="005312A6" w:rsidTr="004A1514">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4.8 to 6 GHz</w:t>
            </w:r>
          </w:p>
        </w:tc>
        <w:tc>
          <w:tcPr>
            <w:tcW w:w="3118"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-70 dBm/MHz</w:t>
            </w:r>
          </w:p>
        </w:tc>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-30 dBm</w:t>
            </w:r>
          </w:p>
        </w:tc>
      </w:tr>
      <w:tr w:rsidR="005312A6" w:rsidTr="004A1514">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6 to 8.5 GHz</w:t>
            </w:r>
          </w:p>
        </w:tc>
        <w:tc>
          <w:tcPr>
            <w:tcW w:w="3118"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-41.3 dBm/MHz</w:t>
            </w:r>
          </w:p>
        </w:tc>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0 dBm</w:t>
            </w:r>
          </w:p>
        </w:tc>
      </w:tr>
      <w:tr w:rsidR="005312A6" w:rsidTr="004A1514">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8.5 to 10.6 GHz (Note 2)</w:t>
            </w:r>
          </w:p>
        </w:tc>
        <w:tc>
          <w:tcPr>
            <w:tcW w:w="3118"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-65 dBm/MHz</w:t>
            </w:r>
          </w:p>
        </w:tc>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-25 dBm</w:t>
            </w:r>
          </w:p>
        </w:tc>
      </w:tr>
      <w:tr w:rsidR="005312A6" w:rsidTr="004A1514">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Above 10.6 GHz</w:t>
            </w:r>
          </w:p>
        </w:tc>
        <w:tc>
          <w:tcPr>
            <w:tcW w:w="3118"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-85 dBm/MHz</w:t>
            </w:r>
          </w:p>
        </w:tc>
        <w:tc>
          <w:tcPr>
            <w:tcW w:w="3119" w:type="dxa"/>
            <w:tcBorders>
              <w:top w:val="single" w:sz="4" w:space="0" w:color="D2232A"/>
              <w:left w:val="single" w:sz="4" w:space="0" w:color="D2232A"/>
              <w:bottom w:val="single" w:sz="4" w:space="0" w:color="D2232A"/>
              <w:right w:val="single" w:sz="4" w:space="0" w:color="D2232A"/>
            </w:tcBorders>
          </w:tcPr>
          <w:p w:rsidR="005312A6" w:rsidRPr="00BA5652" w:rsidRDefault="005312A6" w:rsidP="004A1514">
            <w:pPr>
              <w:spacing w:line="288" w:lineRule="auto"/>
              <w:rPr>
                <w:noProof/>
              </w:rPr>
            </w:pPr>
            <w:r w:rsidRPr="00BA5652">
              <w:rPr>
                <w:noProof/>
              </w:rPr>
              <w:t>-45 dBm</w:t>
            </w:r>
          </w:p>
        </w:tc>
      </w:tr>
      <w:tr w:rsidR="005312A6" w:rsidTr="004A1514">
        <w:tc>
          <w:tcPr>
            <w:tcW w:w="9356" w:type="dxa"/>
            <w:gridSpan w:val="3"/>
            <w:tcBorders>
              <w:top w:val="single" w:sz="4" w:space="0" w:color="D2232A"/>
              <w:left w:val="single" w:sz="4" w:space="0" w:color="D2232A"/>
              <w:bottom w:val="single" w:sz="4" w:space="0" w:color="D2232A"/>
              <w:right w:val="single" w:sz="4" w:space="0" w:color="D2232A"/>
            </w:tcBorders>
          </w:tcPr>
          <w:p w:rsidR="005312A6" w:rsidRPr="006A300C" w:rsidRDefault="005312A6" w:rsidP="005312A6">
            <w:pPr>
              <w:pStyle w:val="ECCTablenote"/>
            </w:pPr>
            <w:r w:rsidRPr="006A300C">
              <w:t xml:space="preserve">Note 1: </w:t>
            </w:r>
            <w:r w:rsidRPr="006A300C">
              <w:tab/>
              <w:t xml:space="preserve">within the band 3.1-4.8 GHz, devices implementing </w:t>
            </w:r>
            <w:r w:rsidRPr="006A300C">
              <w:rPr>
                <w:b/>
              </w:rPr>
              <w:t>Low Duty Cycle (LDC) mitigation technique</w:t>
            </w:r>
            <w:r w:rsidRPr="006A300C">
              <w:t xml:space="preserve"> (see Annex 2) are permitted to operate with a maximum mean e.i.r.p. spectral density </w:t>
            </w:r>
            <w:proofErr w:type="gramStart"/>
            <w:r w:rsidRPr="006A300C">
              <w:t>of -41.3 dBm/MHz</w:t>
            </w:r>
            <w:proofErr w:type="gramEnd"/>
            <w:r w:rsidRPr="006A300C">
              <w:t xml:space="preserve"> and a maximum peak e.i.r.p. of 0 dBm defined in 50 MHz.</w:t>
            </w:r>
          </w:p>
          <w:p w:rsidR="005312A6" w:rsidRPr="00A44E88" w:rsidRDefault="005312A6" w:rsidP="005312A6">
            <w:pPr>
              <w:pStyle w:val="ECCTablenote"/>
              <w:rPr>
                <w:noProof/>
              </w:rPr>
            </w:pPr>
            <w:r w:rsidRPr="006A300C">
              <w:t xml:space="preserve">Note 2: </w:t>
            </w:r>
            <w:r w:rsidRPr="006A300C">
              <w:tab/>
              <w:t xml:space="preserve">within the bands 3.1-4.8 GHz and 8.5-9 GHz, devices implementing </w:t>
            </w:r>
            <w:r w:rsidRPr="006A300C">
              <w:rPr>
                <w:b/>
              </w:rPr>
              <w:t>Detect And Avoid (DAA) mitigation technique</w:t>
            </w:r>
            <w:r w:rsidRPr="006A300C">
              <w:t xml:space="preserve"> (see Annex 3) are permitted to operate with a maximum mean e.i.r.p. spectral density of -41.3 dBm/MHz and a maximum peak e.i.r.p. of 0 dBm defined in 50 MHz.</w:t>
            </w:r>
          </w:p>
        </w:tc>
      </w:tr>
    </w:tbl>
    <w:p w:rsidR="005312A6" w:rsidRPr="00F47D22" w:rsidRDefault="005312A6" w:rsidP="005312A6">
      <w:pPr>
        <w:pStyle w:val="ECCAnnexheading2"/>
      </w:pPr>
      <w:r w:rsidRPr="00F47D22">
        <w:t>UWB devices installed in road and rail vehicles</w:t>
      </w:r>
    </w:p>
    <w:p w:rsidR="005312A6" w:rsidRPr="00E62DE8" w:rsidRDefault="005312A6" w:rsidP="005312A6">
      <w:pPr>
        <w:pStyle w:val="ECCParagraph"/>
      </w:pPr>
      <w:r w:rsidRPr="00E62DE8">
        <w:t xml:space="preserve">The technical requirements below are applicable for the operation of UWB devices installed in road and rail vehicles: </w:t>
      </w:r>
    </w:p>
    <w:p w:rsidR="005312A6" w:rsidRDefault="005312A6" w:rsidP="006A300C">
      <w:pPr>
        <w:pStyle w:val="ECCTabletitle"/>
      </w:pPr>
      <w:r w:rsidRPr="00F636E5">
        <w:t>Maximum e.i.r.p. limits</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977"/>
        <w:gridCol w:w="2551"/>
        <w:gridCol w:w="2693"/>
      </w:tblGrid>
      <w:tr w:rsidR="005312A6" w:rsidRPr="00FF26F6" w:rsidTr="004A1514">
        <w:trPr>
          <w:tblHeader/>
        </w:trPr>
        <w:tc>
          <w:tcPr>
            <w:tcW w:w="2977" w:type="dxa"/>
            <w:tcBorders>
              <w:top w:val="single" w:sz="4" w:space="0" w:color="D2232A"/>
              <w:left w:val="single" w:sz="4" w:space="0" w:color="D2232A"/>
              <w:bottom w:val="single" w:sz="4" w:space="0" w:color="D2232A"/>
              <w:right w:val="single" w:sz="4" w:space="0" w:color="FFFFFF"/>
            </w:tcBorders>
            <w:shd w:val="clear" w:color="auto" w:fill="D2232A"/>
          </w:tcPr>
          <w:p w:rsidR="005312A6" w:rsidRPr="00FF26F6" w:rsidRDefault="005312A6" w:rsidP="007B575B">
            <w:pPr>
              <w:jc w:val="center"/>
              <w:rPr>
                <w:b/>
                <w:color w:val="FFFFFF"/>
              </w:rPr>
            </w:pPr>
            <w:r w:rsidRPr="00FF26F6">
              <w:rPr>
                <w:b/>
                <w:color w:val="FFFFFF"/>
              </w:rPr>
              <w:t>Frequency range</w:t>
            </w:r>
          </w:p>
        </w:tc>
        <w:tc>
          <w:tcPr>
            <w:tcW w:w="2551" w:type="dxa"/>
            <w:tcBorders>
              <w:top w:val="single" w:sz="4" w:space="0" w:color="D2232A"/>
              <w:left w:val="single" w:sz="4" w:space="0" w:color="FFFFFF"/>
              <w:bottom w:val="single" w:sz="4" w:space="0" w:color="D2232A"/>
              <w:right w:val="single" w:sz="4" w:space="0" w:color="FFFFFF"/>
            </w:tcBorders>
            <w:shd w:val="clear" w:color="auto" w:fill="D2232A"/>
          </w:tcPr>
          <w:p w:rsidR="005312A6" w:rsidRPr="00FF26F6" w:rsidRDefault="005312A6" w:rsidP="007B575B">
            <w:pPr>
              <w:jc w:val="center"/>
              <w:rPr>
                <w:b/>
                <w:color w:val="FFFFFF"/>
              </w:rPr>
            </w:pPr>
            <w:r w:rsidRPr="00FF26F6">
              <w:rPr>
                <w:b/>
                <w:color w:val="FFFFFF"/>
              </w:rPr>
              <w:t>Maximum mean e.i.r.p. spectral density</w:t>
            </w:r>
          </w:p>
        </w:tc>
        <w:tc>
          <w:tcPr>
            <w:tcW w:w="2693" w:type="dxa"/>
            <w:tcBorders>
              <w:top w:val="single" w:sz="4" w:space="0" w:color="D2232A"/>
              <w:left w:val="single" w:sz="4" w:space="0" w:color="FFFFFF"/>
              <w:bottom w:val="single" w:sz="4" w:space="0" w:color="D2232A"/>
              <w:right w:val="single" w:sz="4" w:space="0" w:color="D2232A"/>
            </w:tcBorders>
            <w:shd w:val="clear" w:color="auto" w:fill="D2232A"/>
          </w:tcPr>
          <w:p w:rsidR="005312A6" w:rsidRPr="00FF26F6" w:rsidRDefault="005312A6" w:rsidP="007B575B">
            <w:pPr>
              <w:jc w:val="center"/>
              <w:rPr>
                <w:b/>
                <w:color w:val="FFFFFF"/>
              </w:rPr>
            </w:pPr>
            <w:r w:rsidRPr="00FF26F6">
              <w:rPr>
                <w:b/>
                <w:color w:val="FFFFFF"/>
              </w:rPr>
              <w:t>Maximum peak e.i.r.p. (defined in 50 MHz)</w:t>
            </w:r>
          </w:p>
        </w:tc>
      </w:tr>
      <w:tr w:rsidR="005312A6" w:rsidRPr="00FF26F6" w:rsidTr="004A1514">
        <w:tc>
          <w:tcPr>
            <w:tcW w:w="2977"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Below 1.6 GHz</w:t>
            </w:r>
          </w:p>
        </w:tc>
        <w:tc>
          <w:tcPr>
            <w:tcW w:w="2551"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-90 dBm/MHz</w:t>
            </w:r>
          </w:p>
        </w:tc>
        <w:tc>
          <w:tcPr>
            <w:tcW w:w="2693"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-50 dBm</w:t>
            </w:r>
          </w:p>
        </w:tc>
      </w:tr>
      <w:tr w:rsidR="005312A6" w:rsidRPr="00FF26F6" w:rsidTr="004A1514">
        <w:tc>
          <w:tcPr>
            <w:tcW w:w="2977"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1.6 to 2.7 GHz</w:t>
            </w:r>
          </w:p>
        </w:tc>
        <w:tc>
          <w:tcPr>
            <w:tcW w:w="2551"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-85 dBm/MHz</w:t>
            </w:r>
          </w:p>
        </w:tc>
        <w:tc>
          <w:tcPr>
            <w:tcW w:w="2693"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-45 dBm</w:t>
            </w:r>
          </w:p>
        </w:tc>
      </w:tr>
      <w:tr w:rsidR="005312A6" w:rsidRPr="00FF26F6" w:rsidTr="004A1514">
        <w:tc>
          <w:tcPr>
            <w:tcW w:w="2977"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2.7 to 3.4 GHz (Notes 1 and 2)</w:t>
            </w:r>
          </w:p>
        </w:tc>
        <w:tc>
          <w:tcPr>
            <w:tcW w:w="2551"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-70 dBm/MHz</w:t>
            </w:r>
          </w:p>
        </w:tc>
        <w:tc>
          <w:tcPr>
            <w:tcW w:w="2693"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-36 dBm</w:t>
            </w:r>
          </w:p>
        </w:tc>
      </w:tr>
      <w:tr w:rsidR="005312A6" w:rsidRPr="00FF26F6" w:rsidTr="004A1514">
        <w:tc>
          <w:tcPr>
            <w:tcW w:w="2977"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3.4 to 3.8 GHz (Notes 1 and 2)</w:t>
            </w:r>
          </w:p>
        </w:tc>
        <w:tc>
          <w:tcPr>
            <w:tcW w:w="2551"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-80 dBm/MHz</w:t>
            </w:r>
          </w:p>
        </w:tc>
        <w:tc>
          <w:tcPr>
            <w:tcW w:w="2693"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-40 dBm</w:t>
            </w:r>
          </w:p>
        </w:tc>
      </w:tr>
      <w:tr w:rsidR="005312A6" w:rsidRPr="00FF26F6" w:rsidTr="004A1514">
        <w:tc>
          <w:tcPr>
            <w:tcW w:w="2977"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3.8 to 4.2 GHz (Notes 1 and 2)</w:t>
            </w:r>
          </w:p>
        </w:tc>
        <w:tc>
          <w:tcPr>
            <w:tcW w:w="2551"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-70 dBm/MHz</w:t>
            </w:r>
          </w:p>
        </w:tc>
        <w:tc>
          <w:tcPr>
            <w:tcW w:w="2693"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-30 dBm</w:t>
            </w:r>
          </w:p>
        </w:tc>
      </w:tr>
      <w:tr w:rsidR="005312A6" w:rsidRPr="00FF26F6" w:rsidTr="004A1514">
        <w:tc>
          <w:tcPr>
            <w:tcW w:w="2977"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4.2 to 4.8 GHz (Notes 1 and 2)</w:t>
            </w:r>
          </w:p>
        </w:tc>
        <w:tc>
          <w:tcPr>
            <w:tcW w:w="2551"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-70 dBm/MHz</w:t>
            </w:r>
          </w:p>
        </w:tc>
        <w:tc>
          <w:tcPr>
            <w:tcW w:w="2693"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-30 dBm</w:t>
            </w:r>
          </w:p>
        </w:tc>
      </w:tr>
      <w:tr w:rsidR="005312A6" w:rsidRPr="00FF26F6" w:rsidTr="004A1514">
        <w:tc>
          <w:tcPr>
            <w:tcW w:w="2977"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4.8 to 6 GHz</w:t>
            </w:r>
          </w:p>
        </w:tc>
        <w:tc>
          <w:tcPr>
            <w:tcW w:w="2551"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-70 dBm/MHz</w:t>
            </w:r>
          </w:p>
        </w:tc>
        <w:tc>
          <w:tcPr>
            <w:tcW w:w="2693"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-30 dBm</w:t>
            </w:r>
          </w:p>
        </w:tc>
      </w:tr>
      <w:tr w:rsidR="005312A6" w:rsidRPr="00FF26F6" w:rsidTr="004A1514">
        <w:tc>
          <w:tcPr>
            <w:tcW w:w="2977"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6 to 8.5 GHz (Notes 1 and 3)</w:t>
            </w:r>
          </w:p>
        </w:tc>
        <w:tc>
          <w:tcPr>
            <w:tcW w:w="2551"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-53.3 dBm/MHz</w:t>
            </w:r>
          </w:p>
        </w:tc>
        <w:tc>
          <w:tcPr>
            <w:tcW w:w="2693"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-13.3 dBm</w:t>
            </w:r>
          </w:p>
        </w:tc>
      </w:tr>
      <w:tr w:rsidR="005312A6" w:rsidRPr="00FF26F6" w:rsidTr="004A1514">
        <w:tc>
          <w:tcPr>
            <w:tcW w:w="2977"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lastRenderedPageBreak/>
              <w:t>8.5 to 10.6 GHz (Note 2)</w:t>
            </w:r>
          </w:p>
        </w:tc>
        <w:tc>
          <w:tcPr>
            <w:tcW w:w="2551"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-65 dBm/MHz</w:t>
            </w:r>
          </w:p>
        </w:tc>
        <w:tc>
          <w:tcPr>
            <w:tcW w:w="2693"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-25 dBm</w:t>
            </w:r>
          </w:p>
        </w:tc>
      </w:tr>
      <w:tr w:rsidR="005312A6" w:rsidRPr="00FF26F6" w:rsidTr="004A1514">
        <w:tc>
          <w:tcPr>
            <w:tcW w:w="2977"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Above 10.6 GHz</w:t>
            </w:r>
          </w:p>
        </w:tc>
        <w:tc>
          <w:tcPr>
            <w:tcW w:w="2551"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-85 dBm/MHz</w:t>
            </w:r>
          </w:p>
        </w:tc>
        <w:tc>
          <w:tcPr>
            <w:tcW w:w="2693" w:type="dxa"/>
            <w:tcBorders>
              <w:top w:val="single" w:sz="4" w:space="0" w:color="D2232A"/>
              <w:left w:val="single" w:sz="4" w:space="0" w:color="D2232A"/>
              <w:bottom w:val="single" w:sz="4" w:space="0" w:color="D2232A"/>
              <w:right w:val="single" w:sz="4" w:space="0" w:color="D2232A"/>
            </w:tcBorders>
          </w:tcPr>
          <w:p w:rsidR="005312A6" w:rsidRPr="00E62DE8" w:rsidRDefault="005312A6" w:rsidP="004A1514">
            <w:pPr>
              <w:spacing w:line="288" w:lineRule="auto"/>
              <w:rPr>
                <w:noProof/>
              </w:rPr>
            </w:pPr>
            <w:r w:rsidRPr="00E62DE8">
              <w:rPr>
                <w:noProof/>
              </w:rPr>
              <w:t>-45 dBm</w:t>
            </w:r>
          </w:p>
        </w:tc>
      </w:tr>
      <w:tr w:rsidR="005312A6" w:rsidRPr="00FF26F6" w:rsidTr="004A1514">
        <w:tc>
          <w:tcPr>
            <w:tcW w:w="8221" w:type="dxa"/>
            <w:gridSpan w:val="3"/>
            <w:tcBorders>
              <w:top w:val="single" w:sz="4" w:space="0" w:color="D2232A"/>
              <w:left w:val="single" w:sz="4" w:space="0" w:color="D2232A"/>
              <w:bottom w:val="single" w:sz="4" w:space="0" w:color="D2232A"/>
              <w:right w:val="single" w:sz="4" w:space="0" w:color="D2232A"/>
            </w:tcBorders>
          </w:tcPr>
          <w:p w:rsidR="005312A6" w:rsidRPr="006A300C" w:rsidRDefault="005312A6" w:rsidP="006A300C">
            <w:pPr>
              <w:pStyle w:val="ECCTablenote"/>
            </w:pPr>
            <w:r w:rsidRPr="006A300C">
              <w:rPr>
                <w:i/>
              </w:rPr>
              <w:t xml:space="preserve">Note 1: </w:t>
            </w:r>
            <w:r w:rsidRPr="006A300C">
              <w:rPr>
                <w:i/>
              </w:rPr>
              <w:tab/>
            </w:r>
            <w:r w:rsidRPr="006A300C">
              <w:t xml:space="preserve">within the band 3.1-4.8 GHz and 6-8.5 GHz, devices implementing Low Duty Cycle (LDC) mitigation technique (see Annex 2) are permitted to operate with a maximum mean e.i.r.p. spectral density of -41.3 dBm/MHz and a maximum peak e.i.r.p. of 0 dBm defined in 50MHz. Operation is in addition subject to the implementation of an exterior limit (see Annex 5) of -53.3 dBm/MHz. </w:t>
            </w:r>
          </w:p>
          <w:p w:rsidR="005312A6" w:rsidRPr="006A300C" w:rsidRDefault="005312A6" w:rsidP="006A300C">
            <w:pPr>
              <w:pStyle w:val="ECCTablenote"/>
            </w:pPr>
            <w:r w:rsidRPr="006A300C">
              <w:rPr>
                <w:i/>
              </w:rPr>
              <w:t xml:space="preserve">Note 2: </w:t>
            </w:r>
            <w:r w:rsidRPr="006A300C">
              <w:rPr>
                <w:i/>
              </w:rPr>
              <w:tab/>
            </w:r>
            <w:r w:rsidRPr="006A300C">
              <w:t>within the bands 3.1-4.8 GHz and 8.5-9 GHz, devices implementing Detect And Avoid (DAA) mitigation technique (see Annex 3) are permitted to operate with a maximum mean e.i.r.p. spectral density of -41.3 dBm/MHz and a maximum peak e.i.r.p. of 0 dBm defined in 50MHz.</w:t>
            </w:r>
            <w:r w:rsidRPr="006A300C">
              <w:tab/>
              <w:t>Operation is in addition subject to the implementation of Transmit Power Control (TPC) mitigation technique (see Annex 4) and an exterior limit (see Annex 5) of -53.3 dBm/MHz.</w:t>
            </w:r>
          </w:p>
          <w:p w:rsidR="005312A6" w:rsidRPr="00A44E88" w:rsidRDefault="005312A6" w:rsidP="006A300C">
            <w:pPr>
              <w:pStyle w:val="ECCTablenote"/>
              <w:rPr>
                <w:noProof/>
              </w:rPr>
            </w:pPr>
            <w:r w:rsidRPr="006A300C">
              <w:rPr>
                <w:i/>
              </w:rPr>
              <w:t xml:space="preserve">Note 3: </w:t>
            </w:r>
            <w:r w:rsidRPr="006A300C">
              <w:rPr>
                <w:i/>
              </w:rPr>
              <w:tab/>
            </w:r>
            <w:r w:rsidRPr="006A300C">
              <w:t xml:space="preserve">within the band 6-8.5 GHz devices implementing Transmit Power Control (TPC) mitigation technique (see Annex 4) and an exterior limit (see Annex 5) of -53.3 dBm/MHz are permitted to operate with a maximum mean e.i.r.p. spectral density of -41.3 dBm/MHz and a maximum peak e.i.r.p. of 0 dBm defined in 50 MHz. </w:t>
            </w:r>
          </w:p>
        </w:tc>
      </w:tr>
    </w:tbl>
    <w:p w:rsidR="006A300C" w:rsidRDefault="006A300C" w:rsidP="006A300C">
      <w:pPr>
        <w:tabs>
          <w:tab w:val="left" w:pos="0"/>
        </w:tabs>
        <w:rPr>
          <w:lang w:val="en-GB" w:eastAsia="ar-SA"/>
        </w:rPr>
      </w:pPr>
    </w:p>
    <w:p w:rsidR="006A300C" w:rsidRPr="00C52E18" w:rsidRDefault="006A300C" w:rsidP="001B4168">
      <w:pPr>
        <w:pStyle w:val="ECCParagraph"/>
        <w:spacing w:after="0"/>
        <w:rPr>
          <w:lang w:eastAsia="ar-SA"/>
        </w:rPr>
      </w:pPr>
      <w:r w:rsidRPr="00C52E18">
        <w:rPr>
          <w:lang w:eastAsia="ar-SA"/>
        </w:rPr>
        <w:t xml:space="preserve">Technical requirements to be used within 3.8-4.2 GHz and 6-8.5 GHz </w:t>
      </w:r>
      <w:r>
        <w:rPr>
          <w:lang w:eastAsia="ar-SA"/>
        </w:rPr>
        <w:t xml:space="preserve">for </w:t>
      </w:r>
      <w:r w:rsidRPr="00A8406A">
        <w:rPr>
          <w:lang w:eastAsia="ar-SA"/>
        </w:rPr>
        <w:t xml:space="preserve">vehicular access systems </w:t>
      </w:r>
      <w:r>
        <w:rPr>
          <w:lang w:eastAsia="ar-SA"/>
        </w:rPr>
        <w:t xml:space="preserve">using </w:t>
      </w:r>
      <w:r w:rsidRPr="00C52E18">
        <w:rPr>
          <w:lang w:eastAsia="ar-SA"/>
        </w:rPr>
        <w:t xml:space="preserve">trigger-before-transmit </w:t>
      </w:r>
      <w:r>
        <w:rPr>
          <w:lang w:eastAsia="ar-SA"/>
        </w:rPr>
        <w:t>are defined in the following Table 3</w:t>
      </w:r>
      <w:r w:rsidR="001B4168">
        <w:rPr>
          <w:lang w:eastAsia="ar-SA"/>
        </w:rPr>
        <w:t>.</w:t>
      </w:r>
      <w:r w:rsidRPr="00C52E18">
        <w:rPr>
          <w:rFonts w:eastAsia="Calibri"/>
          <w:b/>
          <w:color w:val="FFFFFF"/>
          <w:lang w:eastAsia="ar-SA"/>
        </w:rPr>
        <w:t xml:space="preserve">Table </w:t>
      </w:r>
      <w:r>
        <w:rPr>
          <w:rFonts w:eastAsia="Calibri"/>
          <w:b/>
          <w:color w:val="FFFFFF"/>
          <w:lang w:eastAsia="ar-SA"/>
        </w:rPr>
        <w:t>3</w:t>
      </w:r>
      <w:r w:rsidRPr="00C52E18">
        <w:rPr>
          <w:rFonts w:eastAsia="Calibri"/>
          <w:b/>
          <w:color w:val="FFFFFF"/>
          <w:lang w:eastAsia="ar-SA"/>
        </w:rPr>
        <w:t>: Technical requirements for vehicular access systems using trigger-before-transmit</w:t>
      </w:r>
    </w:p>
    <w:p w:rsidR="006A300C" w:rsidRPr="00C52E18" w:rsidRDefault="007B575B" w:rsidP="007B575B">
      <w:pPr>
        <w:pStyle w:val="ECCTabletitle"/>
        <w:rPr>
          <w:lang w:eastAsia="ar-SA"/>
        </w:rPr>
      </w:pPr>
      <w:r w:rsidRPr="007B575B">
        <w:rPr>
          <w:lang w:eastAsia="ar-SA"/>
        </w:rPr>
        <w:t>Technical requirements for vehicular access systems using trigger-before-transmit</w:t>
      </w:r>
    </w:p>
    <w:tbl>
      <w:tblPr>
        <w:tblpPr w:leftFromText="141" w:rightFromText="141" w:vertAnchor="text" w:horzAnchor="margin" w:tblpXSpec="center" w:tblpY="25"/>
        <w:tblW w:w="4038" w:type="pct"/>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2430"/>
        <w:gridCol w:w="2684"/>
        <w:gridCol w:w="2845"/>
      </w:tblGrid>
      <w:tr w:rsidR="006A300C" w:rsidRPr="00C52E18" w:rsidTr="004A1514">
        <w:trPr>
          <w:tblHeader/>
        </w:trPr>
        <w:tc>
          <w:tcPr>
            <w:tcW w:w="1527" w:type="pct"/>
            <w:tcBorders>
              <w:top w:val="single" w:sz="4" w:space="0" w:color="D22A23"/>
              <w:left w:val="single" w:sz="4" w:space="0" w:color="D22A23"/>
              <w:bottom w:val="single" w:sz="4" w:space="0" w:color="D22A23"/>
              <w:right w:val="single" w:sz="4" w:space="0" w:color="FFFFFF"/>
              <w:tl2br w:val="nil"/>
              <w:tr2bl w:val="nil"/>
            </w:tcBorders>
            <w:shd w:val="clear" w:color="auto" w:fill="D22A23"/>
            <w:vAlign w:val="center"/>
          </w:tcPr>
          <w:p w:rsidR="006A300C" w:rsidRPr="00C52E18" w:rsidRDefault="006A300C" w:rsidP="007B575B">
            <w:pPr>
              <w:jc w:val="center"/>
              <w:rPr>
                <w:rFonts w:eastAsia="Calibri"/>
                <w:b/>
                <w:color w:val="FFFFFF"/>
                <w:lang w:val="en-GB" w:eastAsia="de-DE"/>
              </w:rPr>
            </w:pPr>
          </w:p>
        </w:tc>
        <w:tc>
          <w:tcPr>
            <w:tcW w:w="1686" w:type="pct"/>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rsidR="006A300C" w:rsidRPr="00C52E18" w:rsidRDefault="006A300C" w:rsidP="007B575B">
            <w:pPr>
              <w:jc w:val="center"/>
              <w:rPr>
                <w:rFonts w:eastAsia="Calibri"/>
                <w:b/>
                <w:color w:val="FFFFFF"/>
                <w:lang w:val="en-GB" w:eastAsia="de-DE"/>
              </w:rPr>
            </w:pPr>
            <w:r w:rsidRPr="00C52E18">
              <w:rPr>
                <w:rFonts w:eastAsia="Calibri"/>
                <w:b/>
                <w:color w:val="FFFFFF"/>
                <w:lang w:val="en-GB" w:eastAsia="de-DE"/>
              </w:rPr>
              <w:t>Maximum mean e.i.r.p. spectral density</w:t>
            </w:r>
          </w:p>
        </w:tc>
        <w:tc>
          <w:tcPr>
            <w:tcW w:w="1787" w:type="pct"/>
            <w:tcBorders>
              <w:top w:val="single" w:sz="4" w:space="0" w:color="D22A23"/>
              <w:left w:val="single" w:sz="4" w:space="0" w:color="FFFFFF"/>
              <w:bottom w:val="single" w:sz="4" w:space="0" w:color="D22A23"/>
              <w:right w:val="single" w:sz="4" w:space="0" w:color="D22A23"/>
              <w:tl2br w:val="nil"/>
              <w:tr2bl w:val="nil"/>
            </w:tcBorders>
            <w:shd w:val="clear" w:color="auto" w:fill="D22A23"/>
            <w:vAlign w:val="center"/>
          </w:tcPr>
          <w:p w:rsidR="006A300C" w:rsidRDefault="006A300C" w:rsidP="007B575B">
            <w:pPr>
              <w:jc w:val="center"/>
              <w:rPr>
                <w:rFonts w:eastAsia="Calibri"/>
                <w:b/>
                <w:color w:val="FFFFFF"/>
                <w:lang w:val="en-GB" w:eastAsia="de-DE"/>
              </w:rPr>
            </w:pPr>
            <w:r w:rsidRPr="00C52E18">
              <w:rPr>
                <w:rFonts w:eastAsia="Calibri"/>
                <w:b/>
                <w:color w:val="FFFFFF"/>
                <w:lang w:val="en-GB" w:eastAsia="de-DE"/>
              </w:rPr>
              <w:t>Maximum peak e.i.r.p</w:t>
            </w:r>
          </w:p>
          <w:p w:rsidR="006A300C" w:rsidRPr="00C52E18" w:rsidRDefault="006A300C" w:rsidP="007B575B">
            <w:pPr>
              <w:jc w:val="center"/>
              <w:rPr>
                <w:rFonts w:eastAsia="Calibri"/>
                <w:b/>
                <w:color w:val="FFFFFF"/>
                <w:lang w:val="en-GB" w:eastAsia="de-DE"/>
              </w:rPr>
            </w:pPr>
            <w:r w:rsidRPr="009B0596">
              <w:rPr>
                <w:rFonts w:eastAsia="Calibri"/>
                <w:b/>
                <w:color w:val="FFFFFF"/>
                <w:lang w:val="en-GB" w:eastAsia="de-DE"/>
              </w:rPr>
              <w:t>(defined in 50 MHz)</w:t>
            </w:r>
          </w:p>
        </w:tc>
      </w:tr>
      <w:tr w:rsidR="006A300C" w:rsidRPr="00C52E18" w:rsidTr="004A1514">
        <w:tc>
          <w:tcPr>
            <w:tcW w:w="1527" w:type="pct"/>
            <w:shd w:val="clear" w:color="auto" w:fill="auto"/>
          </w:tcPr>
          <w:p w:rsidR="006A300C" w:rsidRPr="00C52E18" w:rsidRDefault="006A300C" w:rsidP="007B575B">
            <w:pPr>
              <w:rPr>
                <w:rFonts w:eastAsia="Calibri"/>
                <w:lang w:val="en-GB" w:eastAsia="de-DE"/>
              </w:rPr>
            </w:pPr>
            <w:r w:rsidRPr="00C52E18">
              <w:rPr>
                <w:rFonts w:eastAsia="Calibri"/>
                <w:lang w:val="en-GB" w:eastAsia="ar-SA"/>
              </w:rPr>
              <w:t>3.8 &lt; f ≤ 4.2 GHz</w:t>
            </w:r>
          </w:p>
        </w:tc>
        <w:tc>
          <w:tcPr>
            <w:tcW w:w="1686" w:type="pct"/>
            <w:shd w:val="clear" w:color="auto" w:fill="auto"/>
          </w:tcPr>
          <w:p w:rsidR="006A300C" w:rsidRPr="00C52E18" w:rsidRDefault="006A300C" w:rsidP="007B575B">
            <w:pPr>
              <w:rPr>
                <w:rFonts w:eastAsia="Calibri"/>
                <w:lang w:val="en-GB" w:eastAsia="ar-SA"/>
              </w:rPr>
            </w:pPr>
            <w:r w:rsidRPr="00C52E18">
              <w:rPr>
                <w:rFonts w:eastAsia="Calibri"/>
                <w:lang w:val="en-GB" w:eastAsia="ar-SA"/>
              </w:rPr>
              <w:t xml:space="preserve">-41.3 dBm/MHz </w:t>
            </w:r>
          </w:p>
          <w:p w:rsidR="006A300C" w:rsidRPr="00C52E18" w:rsidRDefault="006A300C" w:rsidP="007B575B">
            <w:pPr>
              <w:rPr>
                <w:rFonts w:eastAsia="Calibri"/>
                <w:lang w:val="en-GB" w:eastAsia="ar-SA"/>
              </w:rPr>
            </w:pPr>
            <w:r w:rsidRPr="00C52E18">
              <w:rPr>
                <w:rFonts w:eastAsia="Calibri"/>
                <w:lang w:val="en-GB" w:eastAsia="ar-SA"/>
              </w:rPr>
              <w:t>with trigger-before-transmit operation</w:t>
            </w:r>
          </w:p>
          <w:p w:rsidR="006A300C" w:rsidRPr="00C52E18" w:rsidRDefault="006A300C" w:rsidP="007B575B">
            <w:pPr>
              <w:rPr>
                <w:rFonts w:eastAsia="Calibri"/>
                <w:lang w:val="en-GB" w:eastAsia="de-DE"/>
              </w:rPr>
            </w:pPr>
            <w:r w:rsidRPr="00C52E18">
              <w:rPr>
                <w:rFonts w:eastAsia="Calibri"/>
                <w:lang w:val="en-GB" w:eastAsia="ar-SA"/>
              </w:rPr>
              <w:t>and LDC ≤ 0.5% (in 1h)</w:t>
            </w:r>
          </w:p>
        </w:tc>
        <w:tc>
          <w:tcPr>
            <w:tcW w:w="1787" w:type="pct"/>
            <w:shd w:val="clear" w:color="auto" w:fill="auto"/>
          </w:tcPr>
          <w:p w:rsidR="006A300C" w:rsidRPr="00C52E18" w:rsidRDefault="006A300C" w:rsidP="007B575B">
            <w:pPr>
              <w:rPr>
                <w:rFonts w:eastAsia="Calibri"/>
                <w:lang w:val="en-GB" w:eastAsia="ar-SA"/>
              </w:rPr>
            </w:pPr>
            <w:r w:rsidRPr="00C52E18">
              <w:rPr>
                <w:rFonts w:eastAsia="Calibri"/>
                <w:lang w:val="en-GB" w:eastAsia="ar-SA"/>
              </w:rPr>
              <w:t>0 dBm</w:t>
            </w:r>
          </w:p>
          <w:p w:rsidR="006A300C" w:rsidRPr="00C52E18" w:rsidRDefault="006A300C" w:rsidP="007B575B">
            <w:pPr>
              <w:rPr>
                <w:rFonts w:eastAsia="Calibri"/>
                <w:lang w:val="en-GB" w:eastAsia="de-DE"/>
              </w:rPr>
            </w:pPr>
            <w:r w:rsidRPr="00C52E18">
              <w:rPr>
                <w:rFonts w:eastAsia="Calibri"/>
                <w:lang w:val="en-GB" w:eastAsia="ar-SA"/>
              </w:rPr>
              <w:t xml:space="preserve"> </w:t>
            </w:r>
          </w:p>
        </w:tc>
      </w:tr>
      <w:tr w:rsidR="006A300C" w:rsidRPr="00C52E18" w:rsidTr="004A1514">
        <w:tc>
          <w:tcPr>
            <w:tcW w:w="1527" w:type="pct"/>
            <w:shd w:val="clear" w:color="auto" w:fill="auto"/>
          </w:tcPr>
          <w:p w:rsidR="006A300C" w:rsidRPr="00C52E18" w:rsidRDefault="006A300C" w:rsidP="007B575B">
            <w:pPr>
              <w:rPr>
                <w:rFonts w:eastAsia="Calibri"/>
                <w:lang w:val="en-GB" w:eastAsia="de-DE"/>
              </w:rPr>
            </w:pPr>
            <w:r w:rsidRPr="00C52E18">
              <w:rPr>
                <w:rFonts w:eastAsia="Calibri"/>
                <w:lang w:val="en-GB" w:eastAsia="ar-SA"/>
              </w:rPr>
              <w:t>6 &lt; f ≤ 8.5 GHz</w:t>
            </w:r>
          </w:p>
        </w:tc>
        <w:tc>
          <w:tcPr>
            <w:tcW w:w="1686" w:type="pct"/>
            <w:shd w:val="clear" w:color="auto" w:fill="auto"/>
          </w:tcPr>
          <w:p w:rsidR="006A300C" w:rsidRPr="00C52E18" w:rsidRDefault="006A300C" w:rsidP="007B575B">
            <w:pPr>
              <w:rPr>
                <w:rFonts w:eastAsia="Calibri"/>
                <w:lang w:val="en-GB" w:eastAsia="ar-SA"/>
              </w:rPr>
            </w:pPr>
            <w:r w:rsidRPr="00C52E18">
              <w:rPr>
                <w:rFonts w:eastAsia="Calibri"/>
                <w:lang w:val="en-GB" w:eastAsia="ar-SA"/>
              </w:rPr>
              <w:t xml:space="preserve">-41.3 dBm/MHz </w:t>
            </w:r>
          </w:p>
          <w:p w:rsidR="006A300C" w:rsidRPr="00C52E18" w:rsidRDefault="006A300C" w:rsidP="007B575B">
            <w:pPr>
              <w:rPr>
                <w:rFonts w:eastAsia="Calibri"/>
                <w:lang w:val="en-GB" w:eastAsia="ar-SA"/>
              </w:rPr>
            </w:pPr>
            <w:r w:rsidRPr="00C52E18">
              <w:rPr>
                <w:rFonts w:eastAsia="Calibri"/>
                <w:lang w:val="en-GB" w:eastAsia="ar-SA"/>
              </w:rPr>
              <w:t>with trigger-before-transmit operation</w:t>
            </w:r>
          </w:p>
          <w:p w:rsidR="006A300C" w:rsidRPr="00C52E18" w:rsidRDefault="006A300C" w:rsidP="007B575B">
            <w:pPr>
              <w:rPr>
                <w:rFonts w:eastAsia="Calibri"/>
                <w:lang w:val="en-GB" w:eastAsia="de-DE"/>
              </w:rPr>
            </w:pPr>
            <w:r w:rsidRPr="00C52E18">
              <w:rPr>
                <w:rFonts w:eastAsia="Calibri"/>
                <w:lang w:val="en-GB" w:eastAsia="ar-SA"/>
              </w:rPr>
              <w:t>and LDC ≤ 0.5% (in 1h) or TPC</w:t>
            </w:r>
          </w:p>
        </w:tc>
        <w:tc>
          <w:tcPr>
            <w:tcW w:w="1787" w:type="pct"/>
            <w:shd w:val="clear" w:color="auto" w:fill="auto"/>
          </w:tcPr>
          <w:p w:rsidR="006A300C" w:rsidRPr="00C52E18" w:rsidRDefault="006A300C" w:rsidP="007B575B">
            <w:pPr>
              <w:rPr>
                <w:rFonts w:eastAsia="Calibri"/>
                <w:lang w:val="en-GB" w:eastAsia="de-DE"/>
              </w:rPr>
            </w:pPr>
            <w:r w:rsidRPr="00C52E18">
              <w:rPr>
                <w:rFonts w:eastAsia="Calibri"/>
                <w:lang w:val="en-GB" w:eastAsia="ar-SA"/>
              </w:rPr>
              <w:t>0 dBm</w:t>
            </w:r>
          </w:p>
        </w:tc>
      </w:tr>
    </w:tbl>
    <w:p w:rsidR="006A300C" w:rsidRPr="00C52E18" w:rsidRDefault="006A300C" w:rsidP="006A300C">
      <w:pPr>
        <w:spacing w:before="360" w:after="240"/>
        <w:ind w:left="360" w:hanging="360"/>
        <w:jc w:val="center"/>
        <w:rPr>
          <w:b/>
          <w:color w:val="D2232A"/>
          <w:lang w:val="en-GB"/>
        </w:rPr>
      </w:pPr>
    </w:p>
    <w:p w:rsidR="006A300C" w:rsidRPr="00C52E18" w:rsidRDefault="006A300C" w:rsidP="007B575B">
      <w:pPr>
        <w:pStyle w:val="ECCParagraph"/>
      </w:pPr>
      <w:r w:rsidRPr="00C52E18">
        <w:rPr>
          <w:lang w:eastAsia="ar-SA"/>
        </w:rPr>
        <w:t xml:space="preserve">"Trigger-before-transmit" mitigation is defined as an UWB transmission which is initiated </w:t>
      </w:r>
      <w:r>
        <w:rPr>
          <w:lang w:eastAsia="ar-SA"/>
        </w:rPr>
        <w:t xml:space="preserve">only </w:t>
      </w:r>
      <w:r w:rsidRPr="00C52E18">
        <w:rPr>
          <w:lang w:eastAsia="ar-SA"/>
        </w:rPr>
        <w:t xml:space="preserve">when necessary, in particular only </w:t>
      </w:r>
      <w:r>
        <w:rPr>
          <w:lang w:eastAsia="ar-SA"/>
        </w:rPr>
        <w:t xml:space="preserve">where </w:t>
      </w:r>
      <w:r w:rsidRPr="00C52E18">
        <w:rPr>
          <w:lang w:eastAsia="ar-SA"/>
        </w:rPr>
        <w:t xml:space="preserve">the system indicates that UWB devices are in the proximity. The communication is either triggered by a user or </w:t>
      </w:r>
      <w:r>
        <w:rPr>
          <w:lang w:eastAsia="ar-SA"/>
        </w:rPr>
        <w:t xml:space="preserve">by </w:t>
      </w:r>
      <w:r w:rsidRPr="00C52E18">
        <w:rPr>
          <w:lang w:eastAsia="ar-SA"/>
        </w:rPr>
        <w:t xml:space="preserve">the vehicle. The subsequent communication can be viewed as "triggered communication". The existing LDC mitigation applies (or alternatively TPC in the range from 6 GHz to 8.5 GHz). No </w:t>
      </w:r>
      <w:r w:rsidRPr="00C52E18">
        <w:rPr>
          <w:rFonts w:eastAsia="Calibri"/>
          <w:lang w:eastAsia="ar-SA"/>
        </w:rPr>
        <w:t>exterior limit</w:t>
      </w:r>
      <w:r w:rsidRPr="00C52E18">
        <w:rPr>
          <w:lang w:eastAsia="ar-SA"/>
        </w:rPr>
        <w:t xml:space="preserve"> requirement </w:t>
      </w:r>
      <w:r>
        <w:rPr>
          <w:lang w:eastAsia="ar-SA"/>
        </w:rPr>
        <w:t xml:space="preserve">shall </w:t>
      </w:r>
      <w:r w:rsidRPr="00C52E18">
        <w:rPr>
          <w:lang w:eastAsia="ar-SA"/>
        </w:rPr>
        <w:t>appl</w:t>
      </w:r>
      <w:r>
        <w:rPr>
          <w:lang w:eastAsia="ar-SA"/>
        </w:rPr>
        <w:t>y</w:t>
      </w:r>
      <w:r w:rsidRPr="00C52E18">
        <w:rPr>
          <w:lang w:eastAsia="ar-SA"/>
        </w:rPr>
        <w:t xml:space="preserve"> when using the trigger-before-transmit mitigation technique for vehicular access systems</w:t>
      </w:r>
      <w:r w:rsidRPr="00C52E18">
        <w:t>.</w:t>
      </w:r>
    </w:p>
    <w:p w:rsidR="006A300C" w:rsidRPr="00C52E18" w:rsidRDefault="006A300C" w:rsidP="007B575B">
      <w:pPr>
        <w:pStyle w:val="ECCParagraph"/>
        <w:rPr>
          <w:lang w:eastAsia="ar-SA"/>
        </w:rPr>
      </w:pPr>
      <w:r w:rsidRPr="00C52E18">
        <w:rPr>
          <w:lang w:eastAsia="ar-SA"/>
        </w:rPr>
        <w:t xml:space="preserve">The trigger-before-transmit mitigation technique for vehicular access systems and its limits are defined in </w:t>
      </w:r>
      <w:r>
        <w:rPr>
          <w:lang w:eastAsia="ar-SA"/>
        </w:rPr>
        <w:t xml:space="preserve">the </w:t>
      </w:r>
      <w:r w:rsidRPr="00C52E18">
        <w:rPr>
          <w:lang w:eastAsia="ar-SA"/>
        </w:rPr>
        <w:t xml:space="preserve">ETSI </w:t>
      </w:r>
      <w:r>
        <w:rPr>
          <w:lang w:eastAsia="ar-SA"/>
        </w:rPr>
        <w:t xml:space="preserve">Harmonised European </w:t>
      </w:r>
      <w:r w:rsidRPr="00C52E18">
        <w:rPr>
          <w:lang w:eastAsia="ar-SA"/>
        </w:rPr>
        <w:t>Standard EN 302 065-3</w:t>
      </w:r>
      <w:r>
        <w:rPr>
          <w:lang w:eastAsia="ar-SA"/>
        </w:rPr>
        <w:t>-1</w:t>
      </w:r>
      <w:r w:rsidRPr="00C52E18">
        <w:rPr>
          <w:lang w:eastAsia="ar-SA"/>
        </w:rPr>
        <w:t>.</w:t>
      </w:r>
    </w:p>
    <w:p w:rsidR="002C575A" w:rsidRPr="00F47D22" w:rsidRDefault="005B28D1" w:rsidP="005B28D1">
      <w:pPr>
        <w:pStyle w:val="ECCAnnex-heading1"/>
        <w:numPr>
          <w:ilvl w:val="0"/>
          <w:numId w:val="0"/>
        </w:numPr>
      </w:pPr>
      <w:r>
        <w:lastRenderedPageBreak/>
        <w:t>ANNEX 2</w:t>
      </w:r>
      <w:r>
        <w:rPr>
          <w:rStyle w:val="FootnoteReference"/>
        </w:rPr>
        <w:footnoteReference w:id="2"/>
      </w:r>
      <w:r>
        <w:t>: T</w:t>
      </w:r>
      <w:r w:rsidR="002C575A" w:rsidRPr="00F47D22">
        <w:t>echnical requirements for Low Duty Cycle (LDC) mitigation technique</w:t>
      </w:r>
    </w:p>
    <w:p w:rsidR="002C575A" w:rsidRPr="00F636E5" w:rsidRDefault="002C575A" w:rsidP="002C575A">
      <w:pPr>
        <w:pBdr>
          <w:top w:val="single" w:sz="8" w:space="1" w:color="auto"/>
          <w:left w:val="single" w:sz="8" w:space="4" w:color="auto"/>
          <w:bottom w:val="single" w:sz="8" w:space="1" w:color="auto"/>
          <w:right w:val="single" w:sz="8" w:space="4" w:color="auto"/>
        </w:pBdr>
        <w:rPr>
          <w:rFonts w:cs="Arial"/>
          <w:b/>
          <w:szCs w:val="20"/>
          <w:lang w:val="en-GB"/>
        </w:rPr>
      </w:pPr>
      <w:r w:rsidRPr="00F636E5">
        <w:rPr>
          <w:rFonts w:cs="Arial"/>
          <w:b/>
          <w:szCs w:val="20"/>
          <w:lang w:val="en-GB"/>
        </w:rPr>
        <w:t>Ton max = 5 ms</w:t>
      </w:r>
    </w:p>
    <w:p w:rsidR="002C575A" w:rsidRPr="00F636E5" w:rsidRDefault="002C575A" w:rsidP="002C575A">
      <w:pPr>
        <w:pBdr>
          <w:top w:val="single" w:sz="8" w:space="1" w:color="auto"/>
          <w:left w:val="single" w:sz="8" w:space="4" w:color="auto"/>
          <w:bottom w:val="single" w:sz="8" w:space="1" w:color="auto"/>
          <w:right w:val="single" w:sz="8" w:space="4" w:color="auto"/>
        </w:pBdr>
        <w:rPr>
          <w:rFonts w:cs="Arial"/>
          <w:b/>
          <w:szCs w:val="20"/>
          <w:lang w:val="en-GB"/>
        </w:rPr>
      </w:pPr>
      <w:r w:rsidRPr="00F636E5">
        <w:rPr>
          <w:rFonts w:cs="Arial"/>
          <w:b/>
          <w:szCs w:val="20"/>
          <w:lang w:val="en-GB"/>
        </w:rPr>
        <w:t xml:space="preserve">Toff mean ≥ 38 ms </w:t>
      </w:r>
      <w:r w:rsidRPr="00F636E5">
        <w:rPr>
          <w:rFonts w:cs="Arial"/>
          <w:szCs w:val="20"/>
          <w:lang w:val="en-GB"/>
        </w:rPr>
        <w:t>(averaged over 1 sec)</w:t>
      </w:r>
    </w:p>
    <w:p w:rsidR="002C575A" w:rsidRPr="00F636E5" w:rsidRDefault="002C575A" w:rsidP="002C575A">
      <w:pPr>
        <w:pBdr>
          <w:top w:val="single" w:sz="8" w:space="1" w:color="auto"/>
          <w:left w:val="single" w:sz="8" w:space="4" w:color="auto"/>
          <w:bottom w:val="single" w:sz="8" w:space="1" w:color="auto"/>
          <w:right w:val="single" w:sz="8" w:space="4" w:color="auto"/>
        </w:pBdr>
        <w:rPr>
          <w:rFonts w:cs="Arial"/>
          <w:b/>
          <w:szCs w:val="20"/>
          <w:lang w:val="en-GB"/>
        </w:rPr>
      </w:pPr>
      <w:r w:rsidRPr="00F636E5">
        <w:rPr>
          <w:rFonts w:cs="Arial"/>
          <w:szCs w:val="20"/>
          <w:lang w:val="en-GB"/>
        </w:rPr>
        <w:t xml:space="preserve">Σ </w:t>
      </w:r>
      <w:r w:rsidRPr="00F636E5">
        <w:rPr>
          <w:rStyle w:val="Strong"/>
          <w:rFonts w:cs="Arial"/>
          <w:szCs w:val="20"/>
          <w:lang w:val="en-GB"/>
        </w:rPr>
        <w:t>Toff &gt; 950 ms</w:t>
      </w:r>
      <w:r w:rsidRPr="00F636E5">
        <w:rPr>
          <w:rFonts w:cs="Arial"/>
          <w:b/>
          <w:szCs w:val="20"/>
          <w:lang w:val="en-GB"/>
        </w:rPr>
        <w:t xml:space="preserve"> per second</w:t>
      </w:r>
    </w:p>
    <w:p w:rsidR="002C575A" w:rsidRPr="00F636E5" w:rsidRDefault="002C575A" w:rsidP="002C575A">
      <w:pPr>
        <w:pBdr>
          <w:top w:val="single" w:sz="8" w:space="1" w:color="auto"/>
          <w:left w:val="single" w:sz="8" w:space="4" w:color="auto"/>
          <w:bottom w:val="single" w:sz="8" w:space="1" w:color="auto"/>
          <w:right w:val="single" w:sz="8" w:space="4" w:color="auto"/>
        </w:pBdr>
        <w:rPr>
          <w:rFonts w:cs="Arial"/>
          <w:b/>
          <w:szCs w:val="20"/>
          <w:lang w:val="en-GB"/>
        </w:rPr>
      </w:pPr>
      <w:r w:rsidRPr="00F636E5">
        <w:rPr>
          <w:rFonts w:cs="Arial"/>
          <w:szCs w:val="20"/>
          <w:lang w:val="en-GB"/>
        </w:rPr>
        <w:t>Σ</w:t>
      </w:r>
      <w:r w:rsidRPr="00F636E5">
        <w:rPr>
          <w:rFonts w:cs="Arial"/>
          <w:b/>
          <w:szCs w:val="20"/>
          <w:lang w:val="en-GB"/>
        </w:rPr>
        <w:t xml:space="preserve"> Ton &lt; 18 s per hour (see Note 1)</w:t>
      </w:r>
    </w:p>
    <w:p w:rsidR="002C575A" w:rsidRPr="00F47D22" w:rsidRDefault="002C575A" w:rsidP="002C575A">
      <w:pPr>
        <w:rPr>
          <w:b/>
          <w:szCs w:val="20"/>
          <w:lang w:val="en-GB"/>
        </w:rPr>
      </w:pPr>
    </w:p>
    <w:p w:rsidR="002C575A" w:rsidRPr="00F47D22" w:rsidRDefault="002C575A" w:rsidP="002C575A">
      <w:pPr>
        <w:tabs>
          <w:tab w:val="left" w:pos="720"/>
        </w:tabs>
        <w:ind w:left="720" w:hanging="720"/>
        <w:rPr>
          <w:szCs w:val="20"/>
          <w:lang w:val="en-GB"/>
        </w:rPr>
      </w:pPr>
      <w:r w:rsidRPr="00990842">
        <w:rPr>
          <w:i/>
          <w:color w:val="D2232A"/>
          <w:lang w:val="en-GB"/>
        </w:rPr>
        <w:t>Note 1:</w:t>
      </w:r>
      <w:r w:rsidRPr="00F47D22">
        <w:rPr>
          <w:szCs w:val="20"/>
          <w:lang w:val="en-GB"/>
        </w:rPr>
        <w:t xml:space="preserve"> </w:t>
      </w:r>
      <w:r w:rsidRPr="00F47D22">
        <w:rPr>
          <w:szCs w:val="20"/>
          <w:lang w:val="en-GB"/>
        </w:rPr>
        <w:tab/>
      </w:r>
      <w:r w:rsidRPr="00990842">
        <w:rPr>
          <w:i/>
          <w:szCs w:val="20"/>
          <w:lang w:val="en-GB"/>
        </w:rPr>
        <w:t>in case of UWB devices installed in road and rail vehicles, within the band 3.4</w:t>
      </w:r>
      <w:r>
        <w:rPr>
          <w:i/>
          <w:szCs w:val="20"/>
          <w:lang w:val="en-GB"/>
        </w:rPr>
        <w:t>-</w:t>
      </w:r>
      <w:r w:rsidRPr="00990842">
        <w:rPr>
          <w:i/>
          <w:szCs w:val="20"/>
          <w:lang w:val="en-GB"/>
        </w:rPr>
        <w:t xml:space="preserve">4.8 GHz, this requirement does not apply for operation with vehicle speed above 40 km/h. For vehicle speeds between 20 km/h and 40 km/h a gradual implementation of the long term duty cycle limit from 18 seconds to 180 seconds per hour would be required as shown in </w:t>
      </w:r>
      <w:r>
        <w:rPr>
          <w:i/>
          <w:szCs w:val="20"/>
          <w:lang w:val="en-GB"/>
        </w:rPr>
        <w:t>F</w:t>
      </w:r>
      <w:r w:rsidRPr="00990842">
        <w:rPr>
          <w:i/>
          <w:szCs w:val="20"/>
          <w:lang w:val="en-GB"/>
        </w:rPr>
        <w:t>igure 1.</w:t>
      </w:r>
    </w:p>
    <w:p w:rsidR="002C575A" w:rsidRDefault="002C575A" w:rsidP="002C575A">
      <w:pPr>
        <w:pStyle w:val="ECCParagraph"/>
        <w:keepNext/>
      </w:pPr>
      <w:r>
        <w:rPr>
          <w:noProof/>
          <w:lang w:val="da-DK" w:eastAsia="da-DK"/>
        </w:rPr>
        <w:drawing>
          <wp:inline distT="0" distB="0" distL="0" distR="0" wp14:anchorId="1E070865" wp14:editId="0ED9C92F">
            <wp:extent cx="5763895" cy="322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3946" b="9274"/>
                    <a:stretch>
                      <a:fillRect/>
                    </a:stretch>
                  </pic:blipFill>
                  <pic:spPr bwMode="auto">
                    <a:xfrm>
                      <a:off x="0" y="0"/>
                      <a:ext cx="5763895" cy="3225800"/>
                    </a:xfrm>
                    <a:prstGeom prst="rect">
                      <a:avLst/>
                    </a:prstGeom>
                    <a:noFill/>
                    <a:ln>
                      <a:noFill/>
                    </a:ln>
                  </pic:spPr>
                </pic:pic>
              </a:graphicData>
            </a:graphic>
          </wp:inline>
        </w:drawing>
      </w:r>
    </w:p>
    <w:p w:rsidR="002C575A" w:rsidRPr="00F636E5" w:rsidRDefault="002C575A" w:rsidP="002C575A">
      <w:pPr>
        <w:pStyle w:val="ECCFiguretitle"/>
        <w:rPr>
          <w:rFonts w:cs="Arial"/>
        </w:rPr>
      </w:pPr>
      <w:r w:rsidRPr="00A44E88">
        <w:rPr>
          <w:rFonts w:cs="Arial"/>
          <w:noProof/>
        </w:rPr>
        <w:t>Duty Cycle in seconds per hour in dependence of the vehicle speed</w:t>
      </w:r>
    </w:p>
    <w:p w:rsidR="002C575A" w:rsidRPr="00F636E5" w:rsidRDefault="002C575A" w:rsidP="002C575A">
      <w:pPr>
        <w:numPr>
          <w:ilvl w:val="0"/>
          <w:numId w:val="34"/>
        </w:numPr>
        <w:jc w:val="both"/>
        <w:rPr>
          <w:rFonts w:cs="Arial"/>
          <w:b/>
          <w:szCs w:val="20"/>
          <w:lang w:val="en-GB"/>
        </w:rPr>
      </w:pPr>
      <w:r w:rsidRPr="00F636E5">
        <w:rPr>
          <w:rFonts w:cs="Arial"/>
          <w:b/>
          <w:szCs w:val="20"/>
          <w:lang w:val="en-GB"/>
        </w:rPr>
        <w:t xml:space="preserve">Ton </w:t>
      </w:r>
    </w:p>
    <w:p w:rsidR="002C575A" w:rsidRPr="00F636E5" w:rsidRDefault="002C575A" w:rsidP="002C575A">
      <w:pPr>
        <w:rPr>
          <w:rFonts w:cs="Arial"/>
          <w:szCs w:val="20"/>
          <w:lang w:val="en-GB"/>
        </w:rPr>
      </w:pPr>
      <w:r w:rsidRPr="00F636E5">
        <w:rPr>
          <w:rFonts w:cs="Arial"/>
          <w:szCs w:val="20"/>
          <w:lang w:val="en-GB"/>
        </w:rPr>
        <w:t>Ton is defined as the duration of a burst irrespective of the number of pulses contained.</w:t>
      </w:r>
    </w:p>
    <w:p w:rsidR="002C575A" w:rsidRPr="00F636E5" w:rsidRDefault="002C575A" w:rsidP="002C575A">
      <w:pPr>
        <w:numPr>
          <w:ilvl w:val="0"/>
          <w:numId w:val="34"/>
        </w:numPr>
        <w:jc w:val="both"/>
        <w:rPr>
          <w:rFonts w:cs="Arial"/>
          <w:b/>
          <w:szCs w:val="20"/>
          <w:lang w:val="en-GB"/>
        </w:rPr>
      </w:pPr>
      <w:r w:rsidRPr="00F636E5">
        <w:rPr>
          <w:rFonts w:cs="Arial"/>
          <w:b/>
          <w:szCs w:val="20"/>
          <w:lang w:val="en-GB"/>
        </w:rPr>
        <w:t xml:space="preserve">Toff </w:t>
      </w:r>
    </w:p>
    <w:p w:rsidR="002C575A" w:rsidRPr="00F636E5" w:rsidRDefault="002C575A" w:rsidP="002C575A">
      <w:pPr>
        <w:rPr>
          <w:rFonts w:cs="Arial"/>
          <w:szCs w:val="20"/>
          <w:lang w:val="en-GB"/>
        </w:rPr>
      </w:pPr>
      <w:r w:rsidRPr="00F636E5">
        <w:rPr>
          <w:rFonts w:cs="Arial"/>
          <w:szCs w:val="20"/>
          <w:lang w:val="en-GB"/>
        </w:rPr>
        <w:t>Toff is defined as the time interval between two consecutive bursts when the UWB emission is kept idle.</w:t>
      </w:r>
    </w:p>
    <w:p w:rsidR="002C575A" w:rsidRPr="00F636E5" w:rsidRDefault="002C575A" w:rsidP="002C575A">
      <w:pPr>
        <w:numPr>
          <w:ilvl w:val="0"/>
          <w:numId w:val="34"/>
        </w:numPr>
        <w:jc w:val="both"/>
        <w:rPr>
          <w:rFonts w:cs="Arial"/>
          <w:b/>
          <w:szCs w:val="20"/>
          <w:lang w:val="en-GB"/>
        </w:rPr>
      </w:pPr>
      <w:r w:rsidRPr="00F636E5">
        <w:rPr>
          <w:rFonts w:cs="Arial"/>
          <w:b/>
          <w:szCs w:val="20"/>
          <w:lang w:val="en-GB"/>
        </w:rPr>
        <w:t xml:space="preserve">Limit definition </w:t>
      </w:r>
    </w:p>
    <w:p w:rsidR="002C575A" w:rsidRPr="00F636E5" w:rsidRDefault="002C575A" w:rsidP="002C575A">
      <w:pPr>
        <w:rPr>
          <w:rFonts w:cs="Arial"/>
          <w:szCs w:val="20"/>
          <w:lang w:val="en-GB"/>
        </w:rPr>
      </w:pPr>
      <w:r w:rsidRPr="00F636E5">
        <w:rPr>
          <w:rFonts w:cs="Arial"/>
          <w:szCs w:val="20"/>
          <w:lang w:val="en-GB"/>
        </w:rPr>
        <w:t>The mean e.i.r.p. spectral density and peak e.i.r.p. power limits are defined during Ton.</w:t>
      </w:r>
    </w:p>
    <w:p w:rsidR="002C575A" w:rsidRPr="00F47D22" w:rsidRDefault="00B31D63" w:rsidP="005B28D1">
      <w:pPr>
        <w:pStyle w:val="ECCAnnex-heading1"/>
        <w:numPr>
          <w:ilvl w:val="0"/>
          <w:numId w:val="0"/>
        </w:numPr>
      </w:pPr>
      <w:r>
        <w:lastRenderedPageBreak/>
        <w:t>ANNEX 3</w:t>
      </w:r>
      <w:r>
        <w:rPr>
          <w:rStyle w:val="FootnoteReference"/>
        </w:rPr>
        <w:footnoteReference w:id="3"/>
      </w:r>
      <w:r>
        <w:t>: T</w:t>
      </w:r>
      <w:r w:rsidR="002C575A" w:rsidRPr="00F47D22">
        <w:t>echnical requirements for Detect And Avoid (DAA) mitigation technique</w:t>
      </w:r>
    </w:p>
    <w:p w:rsidR="002C575A" w:rsidRPr="00990842" w:rsidRDefault="002C575A" w:rsidP="002C575A">
      <w:pPr>
        <w:pStyle w:val="ECCParagraph"/>
      </w:pPr>
      <w:r w:rsidRPr="00990842">
        <w:t>The flexible DAA proposal is based on the definition of different zones for which an appropriate UWB emission power level (maximum mean e.i.r.p. spectral density) is authorised. A zone is defined by a range of isolation between a device/system of a victim radio se</w:t>
      </w:r>
      <w:r>
        <w:t>rvice and the UWB device. These</w:t>
      </w:r>
      <w:r w:rsidRPr="00990842">
        <w:t xml:space="preserve"> zones and associated range of isolation correspond to the maximum mean e.i.r.p. spectral density levels specified in Table 1.</w:t>
      </w:r>
    </w:p>
    <w:p w:rsidR="002C575A" w:rsidRPr="00990842" w:rsidRDefault="002C575A" w:rsidP="002C575A">
      <w:pPr>
        <w:pStyle w:val="ECCParagraph"/>
      </w:pPr>
      <w:r w:rsidRPr="00990842">
        <w:t xml:space="preserve">In the first zone, the UWB device shall operate at an emission level applied in the avoidance bandwidth as defined in table 1. In the last zone, the UWB device can operate without restriction up to the maximum permitted power level </w:t>
      </w:r>
      <w:proofErr w:type="gramStart"/>
      <w:r w:rsidRPr="00990842">
        <w:t>of -41.3 dBm/MHz</w:t>
      </w:r>
      <w:proofErr w:type="gramEnd"/>
      <w:r w:rsidRPr="00990842">
        <w:t xml:space="preserve"> or as defined in a future DAA regulation for the corresponding operational frequency range except in road and rail vehicles where additional restrictions apply. Between these extreme zones, a transition zone is defined for the band 3.4</w:t>
      </w:r>
      <w:r>
        <w:t>-</w:t>
      </w:r>
      <w:r w:rsidRPr="00990842">
        <w:t>4.8 GHz.</w:t>
      </w:r>
    </w:p>
    <w:p w:rsidR="002C575A" w:rsidRPr="00990842" w:rsidRDefault="002C575A" w:rsidP="002C575A">
      <w:pPr>
        <w:pStyle w:val="ECCParagraph"/>
      </w:pPr>
      <w:r w:rsidRPr="00990842">
        <w:t>Before initiating UWB communications, the UWB device shall perform a monitoring of the RF environment during a minimum time to detect any actively operating victim signal (minimum initial channel availability check time value given in Table 1). Based on the result of this detection process, the UWB device has to determine the corresponding zone it occupies and react accordingly.</w:t>
      </w:r>
    </w:p>
    <w:p w:rsidR="002C575A" w:rsidRPr="00990842" w:rsidRDefault="002C575A" w:rsidP="002C575A">
      <w:pPr>
        <w:pStyle w:val="ECCParagraph"/>
      </w:pPr>
      <w:r w:rsidRPr="00990842">
        <w:t>This function shall be able to detect victim systems signals and measure if this power level in a given bandwidth is above or below a detection threshold in any of the frequency bands denoted here after. This detection threshold is specified at the antenna connector assuming a 0</w:t>
      </w:r>
      <w:r>
        <w:t xml:space="preserve"> </w:t>
      </w:r>
      <w:r w:rsidRPr="00990842">
        <w:t>dBi antenna gain for each detection operation and may be based on multiple levels. This detection threshold can alternatively be expressed as a field strength limit.</w:t>
      </w:r>
    </w:p>
    <w:p w:rsidR="002C575A" w:rsidRDefault="002C575A" w:rsidP="002C575A">
      <w:pPr>
        <w:pStyle w:val="ECCParagraph"/>
      </w:pPr>
      <w:r w:rsidRPr="00990842">
        <w:t xml:space="preserve">The DAA UWB devices shall be able to continuously detect any change of the RF configuration (e.g. modification of operating zone) and switch to corresponding emission level within a maximum detect and avoid time according to the victim service and procedural tests defined in relevant standards (e.g. relevant versions of ETSI EN 302 065, including Harmonised European Standards adopted under Directive </w:t>
      </w:r>
      <w:r w:rsidRPr="00F00971">
        <w:t>2014/53/EU</w:t>
      </w:r>
      <w:r w:rsidRPr="00990842">
        <w:t>).</w:t>
      </w:r>
    </w:p>
    <w:p w:rsidR="002C575A" w:rsidRDefault="002C575A" w:rsidP="002C575A">
      <w:pPr>
        <w:pStyle w:val="ECCParagraph"/>
      </w:pPr>
      <w:r>
        <w:br w:type="page"/>
      </w:r>
    </w:p>
    <w:p w:rsidR="002C575A" w:rsidRPr="00830355" w:rsidRDefault="002C575A" w:rsidP="002C575A">
      <w:pPr>
        <w:pStyle w:val="Caption"/>
        <w:jc w:val="center"/>
        <w:rPr>
          <w:rFonts w:ascii="Arial" w:hAnsi="Arial" w:cs="Arial"/>
          <w:color w:val="C00000"/>
          <w:lang w:val="en-GB"/>
        </w:rPr>
      </w:pPr>
      <w:r w:rsidRPr="00830355">
        <w:rPr>
          <w:rFonts w:ascii="Arial" w:hAnsi="Arial" w:cs="Arial"/>
          <w:color w:val="C00000"/>
          <w:lang w:val="en-GB"/>
        </w:rPr>
        <w:lastRenderedPageBreak/>
        <w:t>Table 4: Technical parameters to be used by UWB DAA devices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229"/>
        <w:gridCol w:w="1612"/>
        <w:gridCol w:w="1435"/>
        <w:gridCol w:w="1435"/>
        <w:gridCol w:w="1510"/>
      </w:tblGrid>
      <w:tr w:rsidR="002C575A" w:rsidRPr="00E62DE8" w:rsidTr="004A1514">
        <w:tc>
          <w:tcPr>
            <w:tcW w:w="1135" w:type="dxa"/>
            <w:vMerge w:val="restart"/>
            <w:tcBorders>
              <w:top w:val="single" w:sz="4" w:space="0" w:color="FFFFFF"/>
              <w:left w:val="single" w:sz="4" w:space="0" w:color="FFFFFF"/>
              <w:bottom w:val="single" w:sz="4" w:space="0" w:color="FFFFFF"/>
              <w:right w:val="single" w:sz="4" w:space="0" w:color="FFFFFF"/>
            </w:tcBorders>
            <w:shd w:val="clear" w:color="auto" w:fill="C00000"/>
          </w:tcPr>
          <w:p w:rsidR="002C575A" w:rsidRPr="002B2914" w:rsidRDefault="002C575A" w:rsidP="004A1514">
            <w:pPr>
              <w:spacing w:line="288" w:lineRule="auto"/>
              <w:jc w:val="center"/>
              <w:rPr>
                <w:b/>
                <w:color w:val="FFFFFF"/>
              </w:rPr>
            </w:pPr>
          </w:p>
        </w:tc>
        <w:tc>
          <w:tcPr>
            <w:tcW w:w="2229" w:type="dxa"/>
            <w:tcBorders>
              <w:top w:val="single" w:sz="4" w:space="0" w:color="FFFFFF"/>
              <w:left w:val="single" w:sz="4" w:space="0" w:color="FFFFFF"/>
              <w:bottom w:val="single" w:sz="4" w:space="0" w:color="FFFFFF"/>
              <w:right w:val="single" w:sz="4" w:space="0" w:color="FFFFFF"/>
            </w:tcBorders>
            <w:shd w:val="clear" w:color="auto" w:fill="C00000"/>
          </w:tcPr>
          <w:p w:rsidR="002C575A" w:rsidRPr="002B2914" w:rsidRDefault="002C575A" w:rsidP="00184D4B">
            <w:pPr>
              <w:jc w:val="center"/>
              <w:rPr>
                <w:b/>
                <w:color w:val="FFFFFF"/>
              </w:rPr>
            </w:pPr>
            <w:r w:rsidRPr="002B2914">
              <w:rPr>
                <w:b/>
                <w:color w:val="FFFFFF"/>
              </w:rPr>
              <w:t>Operational frequency</w:t>
            </w:r>
          </w:p>
        </w:tc>
        <w:tc>
          <w:tcPr>
            <w:tcW w:w="1612" w:type="dxa"/>
            <w:tcBorders>
              <w:top w:val="single" w:sz="4" w:space="0" w:color="FFFFFF"/>
              <w:left w:val="single" w:sz="4" w:space="0" w:color="FFFFFF"/>
              <w:bottom w:val="single" w:sz="4" w:space="0" w:color="FFFFFF"/>
              <w:right w:val="single" w:sz="4" w:space="0" w:color="FFFFFF"/>
            </w:tcBorders>
            <w:shd w:val="clear" w:color="auto" w:fill="C00000"/>
          </w:tcPr>
          <w:p w:rsidR="002C575A" w:rsidRPr="002B2914" w:rsidRDefault="002C575A" w:rsidP="00184D4B">
            <w:pPr>
              <w:jc w:val="center"/>
              <w:rPr>
                <w:b/>
                <w:color w:val="FFFFFF"/>
              </w:rPr>
            </w:pPr>
            <w:r w:rsidRPr="002B2914">
              <w:rPr>
                <w:b/>
                <w:color w:val="FFFFFF"/>
              </w:rPr>
              <w:t>3.1</w:t>
            </w:r>
            <w:r>
              <w:rPr>
                <w:b/>
                <w:color w:val="FFFFFF"/>
              </w:rPr>
              <w:t>-</w:t>
            </w:r>
            <w:r w:rsidRPr="002B2914">
              <w:rPr>
                <w:b/>
                <w:color w:val="FFFFFF"/>
              </w:rPr>
              <w:t>3.4 GHz</w:t>
            </w:r>
          </w:p>
        </w:tc>
        <w:tc>
          <w:tcPr>
            <w:tcW w:w="1435" w:type="dxa"/>
            <w:tcBorders>
              <w:top w:val="single" w:sz="4" w:space="0" w:color="FFFFFF"/>
              <w:left w:val="single" w:sz="4" w:space="0" w:color="FFFFFF"/>
              <w:bottom w:val="single" w:sz="4" w:space="0" w:color="FFFFFF"/>
              <w:right w:val="single" w:sz="4" w:space="0" w:color="FFFFFF"/>
            </w:tcBorders>
            <w:shd w:val="clear" w:color="auto" w:fill="C00000"/>
          </w:tcPr>
          <w:p w:rsidR="002C575A" w:rsidRPr="002B2914" w:rsidRDefault="002C575A" w:rsidP="00184D4B">
            <w:pPr>
              <w:jc w:val="center"/>
              <w:rPr>
                <w:b/>
                <w:color w:val="FFFFFF"/>
              </w:rPr>
            </w:pPr>
            <w:r w:rsidRPr="002B2914">
              <w:rPr>
                <w:b/>
                <w:color w:val="FFFFFF"/>
              </w:rPr>
              <w:t>3.4</w:t>
            </w:r>
            <w:r>
              <w:rPr>
                <w:b/>
                <w:color w:val="FFFFFF"/>
              </w:rPr>
              <w:t>-</w:t>
            </w:r>
            <w:r w:rsidRPr="002B2914">
              <w:rPr>
                <w:b/>
                <w:color w:val="FFFFFF"/>
              </w:rPr>
              <w:t>3.8 GHz</w:t>
            </w:r>
            <w:r w:rsidRPr="002B2914">
              <w:rPr>
                <w:b/>
                <w:color w:val="FFFFFF"/>
                <w:vertAlign w:val="superscript"/>
              </w:rPr>
              <w:t>1</w:t>
            </w:r>
          </w:p>
        </w:tc>
        <w:tc>
          <w:tcPr>
            <w:tcW w:w="1435" w:type="dxa"/>
            <w:tcBorders>
              <w:top w:val="single" w:sz="4" w:space="0" w:color="FFFFFF"/>
              <w:left w:val="single" w:sz="4" w:space="0" w:color="FFFFFF"/>
              <w:bottom w:val="single" w:sz="4" w:space="0" w:color="FFFFFF"/>
              <w:right w:val="single" w:sz="4" w:space="0" w:color="FFFFFF"/>
            </w:tcBorders>
            <w:shd w:val="clear" w:color="auto" w:fill="C00000"/>
          </w:tcPr>
          <w:p w:rsidR="002C575A" w:rsidRPr="002B2914" w:rsidRDefault="002C575A" w:rsidP="00184D4B">
            <w:pPr>
              <w:jc w:val="center"/>
              <w:rPr>
                <w:b/>
                <w:color w:val="FFFFFF"/>
              </w:rPr>
            </w:pPr>
            <w:r w:rsidRPr="002B2914">
              <w:rPr>
                <w:b/>
                <w:color w:val="FFFFFF"/>
              </w:rPr>
              <w:t>3.8</w:t>
            </w:r>
            <w:r>
              <w:rPr>
                <w:b/>
                <w:color w:val="FFFFFF"/>
              </w:rPr>
              <w:t>-</w:t>
            </w:r>
            <w:r w:rsidRPr="002B2914">
              <w:rPr>
                <w:b/>
                <w:color w:val="FFFFFF"/>
              </w:rPr>
              <w:t>4.8 GHz</w:t>
            </w:r>
            <w:r w:rsidRPr="002B2914">
              <w:rPr>
                <w:b/>
                <w:color w:val="FFFFFF"/>
                <w:vertAlign w:val="superscript"/>
              </w:rPr>
              <w:t>1</w:t>
            </w:r>
          </w:p>
        </w:tc>
        <w:tc>
          <w:tcPr>
            <w:tcW w:w="1510" w:type="dxa"/>
            <w:tcBorders>
              <w:top w:val="single" w:sz="4" w:space="0" w:color="FFFFFF"/>
              <w:left w:val="single" w:sz="4" w:space="0" w:color="FFFFFF"/>
              <w:bottom w:val="single" w:sz="4" w:space="0" w:color="FFFFFF"/>
              <w:right w:val="single" w:sz="4" w:space="0" w:color="FFFFFF"/>
            </w:tcBorders>
            <w:shd w:val="clear" w:color="auto" w:fill="C00000"/>
          </w:tcPr>
          <w:p w:rsidR="002C575A" w:rsidRPr="002B2914" w:rsidRDefault="002C575A" w:rsidP="00184D4B">
            <w:pPr>
              <w:jc w:val="center"/>
              <w:rPr>
                <w:b/>
                <w:color w:val="FFFFFF"/>
              </w:rPr>
            </w:pPr>
            <w:r w:rsidRPr="002B2914">
              <w:rPr>
                <w:b/>
                <w:color w:val="FFFFFF"/>
              </w:rPr>
              <w:t>8.5</w:t>
            </w:r>
            <w:r>
              <w:rPr>
                <w:b/>
                <w:color w:val="FFFFFF"/>
              </w:rPr>
              <w:t>-</w:t>
            </w:r>
            <w:r w:rsidRPr="002B2914">
              <w:rPr>
                <w:b/>
                <w:color w:val="FFFFFF"/>
              </w:rPr>
              <w:t>9 GHz</w:t>
            </w:r>
          </w:p>
        </w:tc>
      </w:tr>
      <w:tr w:rsidR="002C575A" w:rsidRPr="00E62DE8" w:rsidTr="004A1514">
        <w:tc>
          <w:tcPr>
            <w:tcW w:w="1135" w:type="dxa"/>
            <w:vMerge/>
            <w:tcBorders>
              <w:top w:val="single" w:sz="4" w:space="0" w:color="FFFFFF"/>
              <w:left w:val="single" w:sz="4" w:space="0" w:color="FFFFFF"/>
              <w:bottom w:val="single" w:sz="4" w:space="0" w:color="C00000"/>
              <w:right w:val="single" w:sz="4" w:space="0" w:color="FFFFFF"/>
            </w:tcBorders>
            <w:shd w:val="clear" w:color="auto" w:fill="C00000"/>
          </w:tcPr>
          <w:p w:rsidR="002C575A" w:rsidRPr="002B2914" w:rsidRDefault="002C575A" w:rsidP="004A1514">
            <w:pPr>
              <w:spacing w:line="288" w:lineRule="auto"/>
              <w:jc w:val="center"/>
              <w:rPr>
                <w:b/>
                <w:color w:val="FFFFFF"/>
              </w:rPr>
            </w:pPr>
          </w:p>
        </w:tc>
        <w:tc>
          <w:tcPr>
            <w:tcW w:w="2229" w:type="dxa"/>
            <w:tcBorders>
              <w:top w:val="single" w:sz="4" w:space="0" w:color="FFFFFF"/>
              <w:left w:val="single" w:sz="4" w:space="0" w:color="FFFFFF"/>
              <w:bottom w:val="single" w:sz="4" w:space="0" w:color="C00000"/>
              <w:right w:val="single" w:sz="4" w:space="0" w:color="FFFFFF"/>
            </w:tcBorders>
            <w:shd w:val="clear" w:color="auto" w:fill="C00000"/>
          </w:tcPr>
          <w:p w:rsidR="002C575A" w:rsidRPr="002B2914" w:rsidRDefault="002C575A" w:rsidP="00184D4B">
            <w:pPr>
              <w:jc w:val="center"/>
              <w:rPr>
                <w:b/>
                <w:color w:val="FFFFFF"/>
              </w:rPr>
            </w:pPr>
            <w:r w:rsidRPr="002B2914">
              <w:rPr>
                <w:b/>
                <w:color w:val="FFFFFF"/>
              </w:rPr>
              <w:t>Minimum initial channel availability check time</w:t>
            </w:r>
          </w:p>
        </w:tc>
        <w:tc>
          <w:tcPr>
            <w:tcW w:w="1612" w:type="dxa"/>
            <w:tcBorders>
              <w:top w:val="single" w:sz="4" w:space="0" w:color="FFFFFF"/>
              <w:left w:val="single" w:sz="4" w:space="0" w:color="FFFFFF"/>
              <w:bottom w:val="single" w:sz="4" w:space="0" w:color="C00000"/>
              <w:right w:val="single" w:sz="4" w:space="0" w:color="FFFFFF"/>
            </w:tcBorders>
            <w:shd w:val="clear" w:color="auto" w:fill="C00000"/>
          </w:tcPr>
          <w:p w:rsidR="002C575A" w:rsidRPr="002B2914" w:rsidRDefault="002C575A" w:rsidP="00184D4B">
            <w:pPr>
              <w:jc w:val="center"/>
              <w:rPr>
                <w:b/>
                <w:color w:val="FFFFFF"/>
              </w:rPr>
            </w:pPr>
            <w:r w:rsidRPr="002B2914">
              <w:rPr>
                <w:b/>
                <w:color w:val="FFFFFF"/>
              </w:rPr>
              <w:t>14s</w:t>
            </w:r>
          </w:p>
        </w:tc>
        <w:tc>
          <w:tcPr>
            <w:tcW w:w="2870" w:type="dxa"/>
            <w:gridSpan w:val="2"/>
            <w:tcBorders>
              <w:top w:val="single" w:sz="4" w:space="0" w:color="FFFFFF"/>
              <w:left w:val="single" w:sz="4" w:space="0" w:color="FFFFFF"/>
              <w:bottom w:val="single" w:sz="4" w:space="0" w:color="C00000"/>
              <w:right w:val="single" w:sz="4" w:space="0" w:color="FFFFFF"/>
            </w:tcBorders>
            <w:shd w:val="clear" w:color="auto" w:fill="C00000"/>
          </w:tcPr>
          <w:p w:rsidR="002C575A" w:rsidRPr="002B2914" w:rsidRDefault="002C575A" w:rsidP="00184D4B">
            <w:pPr>
              <w:jc w:val="center"/>
              <w:rPr>
                <w:b/>
                <w:color w:val="FFFFFF"/>
              </w:rPr>
            </w:pPr>
            <w:r w:rsidRPr="002B2914">
              <w:rPr>
                <w:b/>
                <w:color w:val="FFFFFF"/>
              </w:rPr>
              <w:t>5.1s</w:t>
            </w:r>
          </w:p>
        </w:tc>
        <w:tc>
          <w:tcPr>
            <w:tcW w:w="1510" w:type="dxa"/>
            <w:tcBorders>
              <w:top w:val="single" w:sz="4" w:space="0" w:color="FFFFFF"/>
              <w:left w:val="single" w:sz="4" w:space="0" w:color="FFFFFF"/>
              <w:bottom w:val="single" w:sz="4" w:space="0" w:color="C00000"/>
              <w:right w:val="single" w:sz="4" w:space="0" w:color="FFFFFF"/>
            </w:tcBorders>
            <w:shd w:val="clear" w:color="auto" w:fill="C00000"/>
          </w:tcPr>
          <w:p w:rsidR="002C575A" w:rsidRPr="002B2914" w:rsidRDefault="002C575A" w:rsidP="00184D4B">
            <w:pPr>
              <w:jc w:val="center"/>
              <w:rPr>
                <w:b/>
                <w:color w:val="FFFFFF"/>
              </w:rPr>
            </w:pPr>
            <w:r w:rsidRPr="002B2914">
              <w:rPr>
                <w:b/>
                <w:color w:val="FFFFFF"/>
              </w:rPr>
              <w:t>14s</w:t>
            </w:r>
          </w:p>
        </w:tc>
      </w:tr>
      <w:tr w:rsidR="002C575A" w:rsidRPr="00F47D22" w:rsidTr="004A1514">
        <w:trPr>
          <w:trHeight w:val="397"/>
        </w:trPr>
        <w:tc>
          <w:tcPr>
            <w:tcW w:w="1135" w:type="dxa"/>
            <w:vMerge w:val="restart"/>
            <w:tcBorders>
              <w:top w:val="single" w:sz="4" w:space="0" w:color="C00000"/>
              <w:left w:val="single" w:sz="4" w:space="0" w:color="C00000"/>
              <w:bottom w:val="single" w:sz="6" w:space="0" w:color="C00000"/>
              <w:right w:val="single" w:sz="6" w:space="0" w:color="C00000"/>
            </w:tcBorders>
            <w:vAlign w:val="center"/>
          </w:tcPr>
          <w:p w:rsidR="002C575A" w:rsidRPr="00E62DE8" w:rsidRDefault="002C575A" w:rsidP="00184D4B">
            <w:pPr>
              <w:rPr>
                <w:b/>
                <w:noProof/>
              </w:rPr>
            </w:pPr>
            <w:r w:rsidRPr="00E62DE8">
              <w:rPr>
                <w:b/>
                <w:noProof/>
              </w:rPr>
              <w:t>Zone 1</w:t>
            </w:r>
          </w:p>
          <w:p w:rsidR="002C575A" w:rsidRPr="00E62DE8" w:rsidRDefault="002C575A" w:rsidP="00184D4B">
            <w:pPr>
              <w:rPr>
                <w:noProof/>
              </w:rPr>
            </w:pPr>
            <w:r w:rsidRPr="00E62DE8">
              <w:rPr>
                <w:noProof/>
              </w:rPr>
              <w:t>for Signal detection level</w:t>
            </w:r>
          </w:p>
          <w:p w:rsidR="002C575A" w:rsidRPr="00E62DE8" w:rsidRDefault="002C575A" w:rsidP="00184D4B">
            <w:pPr>
              <w:rPr>
                <w:noProof/>
              </w:rPr>
            </w:pPr>
            <w:r w:rsidRPr="00E62DE8">
              <w:rPr>
                <w:noProof/>
              </w:rPr>
              <w:t>S &gt;A</w:t>
            </w:r>
          </w:p>
        </w:tc>
        <w:tc>
          <w:tcPr>
            <w:tcW w:w="2229" w:type="dxa"/>
            <w:tcBorders>
              <w:top w:val="single" w:sz="4"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Maximum mean e.i.r.p. spectral density</w:t>
            </w:r>
          </w:p>
        </w:tc>
        <w:tc>
          <w:tcPr>
            <w:tcW w:w="1612" w:type="dxa"/>
            <w:tcBorders>
              <w:top w:val="single" w:sz="4"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-70 dBm/MHz</w:t>
            </w:r>
          </w:p>
        </w:tc>
        <w:tc>
          <w:tcPr>
            <w:tcW w:w="1435" w:type="dxa"/>
            <w:tcBorders>
              <w:top w:val="single" w:sz="4"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-80 dBm/MHz</w:t>
            </w:r>
          </w:p>
        </w:tc>
        <w:tc>
          <w:tcPr>
            <w:tcW w:w="1435" w:type="dxa"/>
            <w:tcBorders>
              <w:top w:val="single" w:sz="4"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-70 dBm/MHz</w:t>
            </w:r>
          </w:p>
        </w:tc>
        <w:tc>
          <w:tcPr>
            <w:tcW w:w="1510" w:type="dxa"/>
            <w:tcBorders>
              <w:top w:val="single" w:sz="4" w:space="0" w:color="C00000"/>
              <w:left w:val="single" w:sz="6" w:space="0" w:color="C00000"/>
              <w:bottom w:val="single" w:sz="6" w:space="0" w:color="C00000"/>
              <w:right w:val="single" w:sz="4" w:space="0" w:color="C00000"/>
            </w:tcBorders>
            <w:vAlign w:val="center"/>
          </w:tcPr>
          <w:p w:rsidR="002C575A" w:rsidRPr="00E62DE8" w:rsidRDefault="002C575A" w:rsidP="00184D4B">
            <w:pPr>
              <w:rPr>
                <w:noProof/>
              </w:rPr>
            </w:pPr>
            <w:r w:rsidRPr="00E62DE8">
              <w:rPr>
                <w:noProof/>
              </w:rPr>
              <w:t>-65 dBm/MHz</w:t>
            </w:r>
          </w:p>
        </w:tc>
      </w:tr>
      <w:tr w:rsidR="002C575A" w:rsidRPr="00F47D22" w:rsidTr="004A1514">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2C575A" w:rsidRPr="00E62DE8" w:rsidRDefault="002C575A" w:rsidP="00184D4B">
            <w:pPr>
              <w:rPr>
                <w:noProof/>
              </w:rPr>
            </w:pPr>
          </w:p>
        </w:tc>
        <w:tc>
          <w:tcPr>
            <w:tcW w:w="2229" w:type="dxa"/>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 xml:space="preserve">Default Avoidance bandwidth </w:t>
            </w:r>
          </w:p>
        </w:tc>
        <w:tc>
          <w:tcPr>
            <w:tcW w:w="1612" w:type="dxa"/>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300 MHz</w:t>
            </w: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200 MHz</w:t>
            </w:r>
          </w:p>
        </w:tc>
        <w:tc>
          <w:tcPr>
            <w:tcW w:w="1510" w:type="dxa"/>
            <w:tcBorders>
              <w:top w:val="single" w:sz="6" w:space="0" w:color="C00000"/>
              <w:left w:val="single" w:sz="6" w:space="0" w:color="C00000"/>
              <w:bottom w:val="single" w:sz="6" w:space="0" w:color="C00000"/>
              <w:right w:val="single" w:sz="4" w:space="0" w:color="C00000"/>
            </w:tcBorders>
            <w:vAlign w:val="center"/>
          </w:tcPr>
          <w:p w:rsidR="002C575A" w:rsidRPr="00E62DE8" w:rsidRDefault="002C575A" w:rsidP="00184D4B">
            <w:pPr>
              <w:rPr>
                <w:noProof/>
              </w:rPr>
            </w:pPr>
            <w:r w:rsidRPr="00E62DE8">
              <w:rPr>
                <w:noProof/>
              </w:rPr>
              <w:t>500 MHz</w:t>
            </w:r>
          </w:p>
        </w:tc>
      </w:tr>
      <w:tr w:rsidR="002C575A" w:rsidRPr="00F47D22" w:rsidTr="004A1514">
        <w:trPr>
          <w:trHeight w:val="397"/>
        </w:trPr>
        <w:tc>
          <w:tcPr>
            <w:tcW w:w="3364" w:type="dxa"/>
            <w:gridSpan w:val="2"/>
            <w:tcBorders>
              <w:top w:val="single" w:sz="6" w:space="0" w:color="C00000"/>
              <w:left w:val="single" w:sz="4"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Signal Detection threshold A</w:t>
            </w:r>
          </w:p>
        </w:tc>
        <w:tc>
          <w:tcPr>
            <w:tcW w:w="1612" w:type="dxa"/>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-38 dBm</w:t>
            </w: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-38 dBm</w:t>
            </w:r>
          </w:p>
        </w:tc>
        <w:tc>
          <w:tcPr>
            <w:tcW w:w="1510" w:type="dxa"/>
            <w:tcBorders>
              <w:top w:val="single" w:sz="6" w:space="0" w:color="C00000"/>
              <w:left w:val="single" w:sz="6" w:space="0" w:color="C00000"/>
              <w:bottom w:val="single" w:sz="6" w:space="0" w:color="C00000"/>
              <w:right w:val="single" w:sz="4" w:space="0" w:color="C00000"/>
            </w:tcBorders>
            <w:vAlign w:val="center"/>
          </w:tcPr>
          <w:p w:rsidR="002C575A" w:rsidRPr="00E62DE8" w:rsidRDefault="002C575A" w:rsidP="00184D4B">
            <w:pPr>
              <w:rPr>
                <w:noProof/>
              </w:rPr>
            </w:pPr>
            <w:r w:rsidRPr="00E62DE8">
              <w:rPr>
                <w:noProof/>
              </w:rPr>
              <w:t>-61 dBm</w:t>
            </w:r>
          </w:p>
        </w:tc>
      </w:tr>
      <w:tr w:rsidR="002C575A" w:rsidRPr="00F47D22" w:rsidTr="004A1514">
        <w:trPr>
          <w:trHeight w:val="397"/>
        </w:trPr>
        <w:tc>
          <w:tcPr>
            <w:tcW w:w="1135" w:type="dxa"/>
            <w:vMerge w:val="restart"/>
            <w:tcBorders>
              <w:top w:val="single" w:sz="6" w:space="0" w:color="C00000"/>
              <w:left w:val="single" w:sz="4" w:space="0" w:color="C00000"/>
              <w:bottom w:val="single" w:sz="6" w:space="0" w:color="C00000"/>
              <w:right w:val="single" w:sz="6" w:space="0" w:color="C00000"/>
            </w:tcBorders>
            <w:vAlign w:val="center"/>
          </w:tcPr>
          <w:p w:rsidR="002C575A" w:rsidRPr="00E62DE8" w:rsidRDefault="002C575A" w:rsidP="00184D4B">
            <w:pPr>
              <w:rPr>
                <w:b/>
                <w:noProof/>
              </w:rPr>
            </w:pPr>
            <w:r w:rsidRPr="00E62DE8">
              <w:rPr>
                <w:b/>
                <w:noProof/>
              </w:rPr>
              <w:t>Zone 2</w:t>
            </w:r>
          </w:p>
          <w:p w:rsidR="002C575A" w:rsidRPr="00E62DE8" w:rsidRDefault="002C575A" w:rsidP="00184D4B">
            <w:pPr>
              <w:rPr>
                <w:noProof/>
              </w:rPr>
            </w:pPr>
            <w:r w:rsidRPr="00E62DE8">
              <w:rPr>
                <w:noProof/>
              </w:rPr>
              <w:t>for Signal detection level</w:t>
            </w:r>
          </w:p>
          <w:p w:rsidR="002C575A" w:rsidRPr="00E62DE8" w:rsidRDefault="002C575A" w:rsidP="00184D4B">
            <w:pPr>
              <w:rPr>
                <w:noProof/>
              </w:rPr>
            </w:pPr>
            <w:r w:rsidRPr="00E62DE8">
              <w:rPr>
                <w:noProof/>
              </w:rPr>
              <w:t>A &gt; S &gt; B</w:t>
            </w:r>
          </w:p>
        </w:tc>
        <w:tc>
          <w:tcPr>
            <w:tcW w:w="2229" w:type="dxa"/>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 xml:space="preserve">Maximum mean e.i.r.p. spectral density </w:t>
            </w:r>
          </w:p>
        </w:tc>
        <w:tc>
          <w:tcPr>
            <w:tcW w:w="1612" w:type="dxa"/>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-41.3 dBm/MHz</w:t>
            </w: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-65 dBm/MHz</w:t>
            </w:r>
          </w:p>
        </w:tc>
        <w:tc>
          <w:tcPr>
            <w:tcW w:w="1510" w:type="dxa"/>
            <w:tcBorders>
              <w:top w:val="single" w:sz="6" w:space="0" w:color="C00000"/>
              <w:left w:val="single" w:sz="6" w:space="0" w:color="C00000"/>
              <w:bottom w:val="single" w:sz="6" w:space="0" w:color="C00000"/>
              <w:right w:val="single" w:sz="4" w:space="0" w:color="C00000"/>
            </w:tcBorders>
            <w:vAlign w:val="center"/>
          </w:tcPr>
          <w:p w:rsidR="002C575A" w:rsidRPr="00E62DE8" w:rsidRDefault="002C575A" w:rsidP="00184D4B">
            <w:pPr>
              <w:rPr>
                <w:noProof/>
              </w:rPr>
            </w:pPr>
            <w:r w:rsidRPr="00E62DE8">
              <w:rPr>
                <w:noProof/>
              </w:rPr>
              <w:t>-41.3 dBm/MHz</w:t>
            </w:r>
          </w:p>
        </w:tc>
      </w:tr>
      <w:tr w:rsidR="002C575A" w:rsidRPr="00F47D22" w:rsidTr="004A1514">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2C575A" w:rsidRPr="00E62DE8" w:rsidRDefault="002C575A" w:rsidP="00184D4B">
            <w:pPr>
              <w:rPr>
                <w:noProof/>
              </w:rPr>
            </w:pPr>
          </w:p>
        </w:tc>
        <w:tc>
          <w:tcPr>
            <w:tcW w:w="2229" w:type="dxa"/>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Default Avoidance bandwidth</w:t>
            </w:r>
          </w:p>
        </w:tc>
        <w:tc>
          <w:tcPr>
            <w:tcW w:w="1612" w:type="dxa"/>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w:t>
            </w: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200 MHz</w:t>
            </w:r>
          </w:p>
        </w:tc>
        <w:tc>
          <w:tcPr>
            <w:tcW w:w="1510" w:type="dxa"/>
            <w:tcBorders>
              <w:top w:val="single" w:sz="6" w:space="0" w:color="C00000"/>
              <w:left w:val="single" w:sz="6" w:space="0" w:color="C00000"/>
              <w:bottom w:val="single" w:sz="6" w:space="0" w:color="C00000"/>
              <w:right w:val="single" w:sz="4" w:space="0" w:color="C00000"/>
            </w:tcBorders>
            <w:vAlign w:val="center"/>
          </w:tcPr>
          <w:p w:rsidR="002C575A" w:rsidRPr="00E62DE8" w:rsidRDefault="002C575A" w:rsidP="00184D4B">
            <w:pPr>
              <w:rPr>
                <w:noProof/>
              </w:rPr>
            </w:pPr>
            <w:r w:rsidRPr="00E62DE8">
              <w:rPr>
                <w:noProof/>
              </w:rPr>
              <w:t>-</w:t>
            </w:r>
          </w:p>
        </w:tc>
      </w:tr>
      <w:tr w:rsidR="002C575A" w:rsidRPr="00F47D22" w:rsidTr="004A1514">
        <w:trPr>
          <w:trHeight w:val="397"/>
        </w:trPr>
        <w:tc>
          <w:tcPr>
            <w:tcW w:w="3364" w:type="dxa"/>
            <w:gridSpan w:val="2"/>
            <w:tcBorders>
              <w:top w:val="single" w:sz="6" w:space="0" w:color="C00000"/>
              <w:left w:val="single" w:sz="4"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Signal Detection threshold B</w:t>
            </w:r>
          </w:p>
        </w:tc>
        <w:tc>
          <w:tcPr>
            <w:tcW w:w="1612" w:type="dxa"/>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-61 dBm</w:t>
            </w:r>
          </w:p>
        </w:tc>
        <w:tc>
          <w:tcPr>
            <w:tcW w:w="1510" w:type="dxa"/>
            <w:tcBorders>
              <w:top w:val="single" w:sz="6" w:space="0" w:color="C00000"/>
              <w:left w:val="single" w:sz="6" w:space="0" w:color="C00000"/>
              <w:bottom w:val="single" w:sz="6" w:space="0" w:color="C00000"/>
              <w:right w:val="single" w:sz="4" w:space="0" w:color="C00000"/>
            </w:tcBorders>
            <w:vAlign w:val="center"/>
          </w:tcPr>
          <w:p w:rsidR="002C575A" w:rsidRPr="00E62DE8" w:rsidRDefault="002C575A" w:rsidP="00184D4B">
            <w:pPr>
              <w:rPr>
                <w:noProof/>
              </w:rPr>
            </w:pPr>
          </w:p>
        </w:tc>
      </w:tr>
      <w:tr w:rsidR="002C575A" w:rsidRPr="00F47D22" w:rsidTr="004A1514">
        <w:trPr>
          <w:trHeight w:val="810"/>
        </w:trPr>
        <w:tc>
          <w:tcPr>
            <w:tcW w:w="1135" w:type="dxa"/>
            <w:tcBorders>
              <w:top w:val="single" w:sz="6" w:space="0" w:color="C00000"/>
              <w:left w:val="single" w:sz="4" w:space="0" w:color="C00000"/>
              <w:bottom w:val="single" w:sz="6" w:space="0" w:color="C00000"/>
              <w:right w:val="single" w:sz="6" w:space="0" w:color="C00000"/>
            </w:tcBorders>
            <w:vAlign w:val="center"/>
          </w:tcPr>
          <w:p w:rsidR="002C575A" w:rsidRPr="00E62DE8" w:rsidRDefault="002C575A" w:rsidP="00184D4B">
            <w:pPr>
              <w:rPr>
                <w:b/>
                <w:noProof/>
              </w:rPr>
            </w:pPr>
            <w:r w:rsidRPr="00E62DE8">
              <w:rPr>
                <w:b/>
                <w:noProof/>
              </w:rPr>
              <w:t>Zone 3</w:t>
            </w:r>
          </w:p>
          <w:p w:rsidR="002C575A" w:rsidRPr="00E62DE8" w:rsidRDefault="002C575A" w:rsidP="00184D4B">
            <w:pPr>
              <w:rPr>
                <w:noProof/>
              </w:rPr>
            </w:pPr>
            <w:r w:rsidRPr="00E62DE8">
              <w:rPr>
                <w:noProof/>
              </w:rPr>
              <w:t>for Signal detection level</w:t>
            </w:r>
          </w:p>
          <w:p w:rsidR="002C575A" w:rsidRPr="00E62DE8" w:rsidRDefault="002C575A" w:rsidP="00184D4B">
            <w:pPr>
              <w:rPr>
                <w:noProof/>
              </w:rPr>
            </w:pPr>
            <w:r w:rsidRPr="00E62DE8">
              <w:rPr>
                <w:noProof/>
              </w:rPr>
              <w:t>S &lt; B</w:t>
            </w:r>
          </w:p>
        </w:tc>
        <w:tc>
          <w:tcPr>
            <w:tcW w:w="2229" w:type="dxa"/>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Maximum mean e.i.r.p. spectral density</w:t>
            </w:r>
          </w:p>
        </w:tc>
        <w:tc>
          <w:tcPr>
            <w:tcW w:w="1612" w:type="dxa"/>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w:t>
            </w:r>
          </w:p>
        </w:tc>
        <w:tc>
          <w:tcPr>
            <w:tcW w:w="2870" w:type="dxa"/>
            <w:gridSpan w:val="2"/>
            <w:tcBorders>
              <w:top w:val="single" w:sz="6" w:space="0" w:color="C00000"/>
              <w:left w:val="single" w:sz="6" w:space="0" w:color="C00000"/>
              <w:bottom w:val="single" w:sz="6" w:space="0" w:color="C00000"/>
              <w:right w:val="single" w:sz="6" w:space="0" w:color="C00000"/>
            </w:tcBorders>
            <w:vAlign w:val="center"/>
          </w:tcPr>
          <w:p w:rsidR="002C575A" w:rsidRPr="00E62DE8" w:rsidRDefault="002C575A" w:rsidP="00184D4B">
            <w:pPr>
              <w:rPr>
                <w:noProof/>
              </w:rPr>
            </w:pPr>
            <w:r w:rsidRPr="00E62DE8">
              <w:rPr>
                <w:noProof/>
              </w:rPr>
              <w:t>-41.3 dBm/MHz</w:t>
            </w:r>
          </w:p>
          <w:p w:rsidR="002C575A" w:rsidRPr="00E62DE8" w:rsidRDefault="002C575A" w:rsidP="00184D4B">
            <w:pPr>
              <w:rPr>
                <w:noProof/>
              </w:rPr>
            </w:pPr>
          </w:p>
        </w:tc>
        <w:tc>
          <w:tcPr>
            <w:tcW w:w="1510" w:type="dxa"/>
            <w:tcBorders>
              <w:top w:val="single" w:sz="6" w:space="0" w:color="C00000"/>
              <w:left w:val="single" w:sz="6" w:space="0" w:color="C00000"/>
              <w:bottom w:val="single" w:sz="6" w:space="0" w:color="C00000"/>
              <w:right w:val="single" w:sz="4" w:space="0" w:color="C00000"/>
            </w:tcBorders>
            <w:vAlign w:val="center"/>
          </w:tcPr>
          <w:p w:rsidR="002C575A" w:rsidRPr="00E62DE8" w:rsidRDefault="002C575A" w:rsidP="00184D4B">
            <w:pPr>
              <w:rPr>
                <w:noProof/>
              </w:rPr>
            </w:pPr>
            <w:r w:rsidRPr="00E62DE8">
              <w:rPr>
                <w:noProof/>
              </w:rPr>
              <w:t>-</w:t>
            </w:r>
          </w:p>
        </w:tc>
      </w:tr>
      <w:tr w:rsidR="002C575A" w:rsidRPr="00F47D22" w:rsidTr="004A1514">
        <w:trPr>
          <w:trHeight w:val="810"/>
        </w:trPr>
        <w:tc>
          <w:tcPr>
            <w:tcW w:w="9356" w:type="dxa"/>
            <w:gridSpan w:val="6"/>
            <w:tcBorders>
              <w:top w:val="single" w:sz="6" w:space="0" w:color="C00000"/>
              <w:left w:val="single" w:sz="4" w:space="0" w:color="C00000"/>
              <w:bottom w:val="single" w:sz="4" w:space="0" w:color="C00000"/>
              <w:right w:val="single" w:sz="4" w:space="0" w:color="C00000"/>
            </w:tcBorders>
            <w:vAlign w:val="center"/>
          </w:tcPr>
          <w:p w:rsidR="002C575A" w:rsidRDefault="002C575A" w:rsidP="00184D4B">
            <w:pPr>
              <w:tabs>
                <w:tab w:val="left" w:pos="192"/>
              </w:tabs>
              <w:rPr>
                <w:rFonts w:cs="Arial"/>
                <w:szCs w:val="20"/>
                <w:lang w:val="en-GB" w:eastAsia="de-DE"/>
              </w:rPr>
            </w:pPr>
            <w:r>
              <w:rPr>
                <w:rFonts w:cs="Arial"/>
                <w:szCs w:val="20"/>
                <w:lang w:val="en-GB" w:eastAsia="de-DE"/>
              </w:rPr>
              <w:t xml:space="preserve">   </w:t>
            </w:r>
            <w:r w:rsidRPr="00CA6994">
              <w:rPr>
                <w:rFonts w:cs="Arial"/>
                <w:szCs w:val="20"/>
                <w:lang w:val="en-GB" w:eastAsia="de-DE"/>
              </w:rPr>
              <w:t>Definitions of the parameters</w:t>
            </w:r>
            <w:r>
              <w:rPr>
                <w:rFonts w:cs="Arial"/>
                <w:szCs w:val="20"/>
                <w:lang w:val="en-GB" w:eastAsia="de-DE"/>
              </w:rPr>
              <w:t xml:space="preserve"> in table 4</w:t>
            </w:r>
            <w:r w:rsidRPr="00CA6994">
              <w:rPr>
                <w:rFonts w:cs="Arial"/>
                <w:szCs w:val="20"/>
                <w:lang w:val="en-GB" w:eastAsia="de-DE"/>
              </w:rPr>
              <w:t xml:space="preserve"> can be found in ECC Report 120</w:t>
            </w:r>
            <w:r>
              <w:rPr>
                <w:rFonts w:cs="Arial"/>
                <w:szCs w:val="20"/>
                <w:lang w:val="en-GB" w:eastAsia="de-DE"/>
              </w:rPr>
              <w:t>.</w:t>
            </w:r>
          </w:p>
          <w:p w:rsidR="002C575A" w:rsidRPr="00E62DE8" w:rsidRDefault="002C575A" w:rsidP="00184D4B">
            <w:pPr>
              <w:tabs>
                <w:tab w:val="left" w:pos="176"/>
              </w:tabs>
              <w:rPr>
                <w:noProof/>
              </w:rPr>
            </w:pPr>
            <w:r w:rsidRPr="00CA6994">
              <w:rPr>
                <w:rFonts w:cs="Arial"/>
                <w:szCs w:val="20"/>
                <w:vertAlign w:val="superscript"/>
                <w:lang w:val="en-GB"/>
              </w:rPr>
              <w:t>1</w:t>
            </w:r>
            <w:r w:rsidRPr="00CA6994">
              <w:rPr>
                <w:rFonts w:cs="Arial"/>
                <w:szCs w:val="20"/>
                <w:vertAlign w:val="superscript"/>
                <w:lang w:val="en-GB"/>
              </w:rPr>
              <w:tab/>
            </w:r>
            <w:r w:rsidRPr="00CA6994">
              <w:rPr>
                <w:rFonts w:cs="Arial"/>
                <w:szCs w:val="20"/>
                <w:lang w:val="en-GB" w:eastAsia="de-DE"/>
              </w:rPr>
              <w:t>Detection mechanism needs to be validated to protect existing operation of victim stations of radio services such as BWA terminals</w:t>
            </w:r>
          </w:p>
        </w:tc>
      </w:tr>
    </w:tbl>
    <w:p w:rsidR="002C575A" w:rsidRPr="0050264E" w:rsidRDefault="002C575A" w:rsidP="002C575A">
      <w:pPr>
        <w:ind w:left="142" w:hanging="142"/>
        <w:rPr>
          <w:rFonts w:cs="Arial"/>
          <w:szCs w:val="20"/>
          <w:vertAlign w:val="superscript"/>
          <w:lang w:val="en-GB"/>
        </w:rPr>
      </w:pPr>
    </w:p>
    <w:p w:rsidR="002C575A" w:rsidRPr="0050264E" w:rsidRDefault="002C575A" w:rsidP="002C575A">
      <w:pPr>
        <w:rPr>
          <w:rFonts w:cs="Arial"/>
          <w:b/>
          <w:szCs w:val="20"/>
          <w:lang w:val="en-GB"/>
        </w:rPr>
      </w:pPr>
    </w:p>
    <w:p w:rsidR="002C575A" w:rsidRPr="00CA6994" w:rsidRDefault="002C575A" w:rsidP="002C575A">
      <w:pPr>
        <w:spacing w:after="60"/>
        <w:rPr>
          <w:rFonts w:cs="Arial"/>
          <w:b/>
          <w:szCs w:val="20"/>
          <w:lang w:val="en-GB"/>
        </w:rPr>
      </w:pPr>
      <w:r w:rsidRPr="00CA6994">
        <w:rPr>
          <w:rFonts w:cs="Arial"/>
          <w:b/>
          <w:szCs w:val="20"/>
          <w:lang w:val="en-GB"/>
        </w:rPr>
        <w:t>Additional requirement for operation in the band 3.1</w:t>
      </w:r>
      <w:r>
        <w:rPr>
          <w:rFonts w:cs="Arial"/>
          <w:b/>
          <w:szCs w:val="20"/>
          <w:lang w:val="en-GB"/>
        </w:rPr>
        <w:t>-</w:t>
      </w:r>
      <w:r w:rsidRPr="00CA6994">
        <w:rPr>
          <w:rFonts w:cs="Arial"/>
          <w:b/>
          <w:szCs w:val="20"/>
          <w:lang w:val="en-GB"/>
        </w:rPr>
        <w:t>4.8 GHz</w:t>
      </w:r>
    </w:p>
    <w:p w:rsidR="002C575A" w:rsidRPr="00CA6994" w:rsidRDefault="002C575A" w:rsidP="002C575A">
      <w:pPr>
        <w:rPr>
          <w:rFonts w:cs="Arial"/>
          <w:szCs w:val="20"/>
          <w:lang w:val="en-GB"/>
        </w:rPr>
      </w:pPr>
      <w:r w:rsidRPr="00CA6994">
        <w:rPr>
          <w:rFonts w:cs="Arial"/>
          <w:szCs w:val="20"/>
          <w:lang w:val="en-GB"/>
        </w:rPr>
        <w:t>UWB DAA devices shall be capable of selecting an operating channel anywhere within the band 3.1</w:t>
      </w:r>
      <w:r>
        <w:rPr>
          <w:rFonts w:cs="Arial"/>
          <w:szCs w:val="20"/>
          <w:lang w:val="en-GB"/>
        </w:rPr>
        <w:t>-</w:t>
      </w:r>
      <w:r w:rsidRPr="00CA6994">
        <w:rPr>
          <w:rFonts w:cs="Arial"/>
          <w:szCs w:val="20"/>
          <w:lang w:val="en-GB"/>
        </w:rPr>
        <w:t>4.8 GHz.</w:t>
      </w:r>
    </w:p>
    <w:p w:rsidR="002C575A" w:rsidRPr="00F47D22" w:rsidRDefault="005B28D1" w:rsidP="005B28D1">
      <w:pPr>
        <w:pStyle w:val="ECCAnnex-heading1"/>
        <w:numPr>
          <w:ilvl w:val="0"/>
          <w:numId w:val="0"/>
        </w:numPr>
      </w:pPr>
      <w:r>
        <w:lastRenderedPageBreak/>
        <w:t>annex 4</w:t>
      </w:r>
      <w:r>
        <w:rPr>
          <w:rStyle w:val="FootnoteReference"/>
        </w:rPr>
        <w:footnoteReference w:id="4"/>
      </w:r>
      <w:r>
        <w:t>: t</w:t>
      </w:r>
      <w:r w:rsidR="002C575A" w:rsidRPr="00F47D22">
        <w:t>echnical requirements for Transmit Power Control (TPC) mitigation technique</w:t>
      </w:r>
    </w:p>
    <w:p w:rsidR="002C575A" w:rsidRPr="00CA6994" w:rsidRDefault="002C575A" w:rsidP="002C575A">
      <w:pPr>
        <w:pStyle w:val="ECCParagraph"/>
        <w:rPr>
          <w:rFonts w:cs="Arial"/>
        </w:rPr>
      </w:pPr>
      <w:r w:rsidRPr="00CA6994">
        <w:rPr>
          <w:rFonts w:cs="Arial"/>
        </w:rPr>
        <w:t xml:space="preserve">Devices implementing Transmit Power Control (TPC) should fulfil at least a dynamic range of 12 dB (mean e.i.r.p. range of -41.3 </w:t>
      </w:r>
      <w:proofErr w:type="gramStart"/>
      <w:r w:rsidRPr="00CA6994">
        <w:rPr>
          <w:rFonts w:cs="Arial"/>
        </w:rPr>
        <w:t>to -53.3 dBm/MHz</w:t>
      </w:r>
      <w:proofErr w:type="gramEnd"/>
      <w:r w:rsidRPr="00CA6994">
        <w:rPr>
          <w:rFonts w:cs="Arial"/>
        </w:rPr>
        <w:t>).</w:t>
      </w:r>
    </w:p>
    <w:p w:rsidR="002C575A" w:rsidRPr="00990842" w:rsidRDefault="00630F6B" w:rsidP="00630F6B">
      <w:pPr>
        <w:pStyle w:val="ECCAnnex-heading1"/>
        <w:numPr>
          <w:ilvl w:val="0"/>
          <w:numId w:val="0"/>
        </w:numPr>
      </w:pPr>
      <w:r>
        <w:lastRenderedPageBreak/>
        <w:t>ANNEX 5</w:t>
      </w:r>
      <w:r w:rsidR="002C575A">
        <w:rPr>
          <w:rStyle w:val="FootnoteReference"/>
        </w:rPr>
        <w:footnoteReference w:id="5"/>
      </w:r>
      <w:r>
        <w:t>:</w:t>
      </w:r>
      <w:r w:rsidR="002C575A">
        <w:t xml:space="preserve"> </w:t>
      </w:r>
      <w:r w:rsidR="002C575A" w:rsidRPr="00990842">
        <w:t>Technical requirements for the exterior limit for road and rail vehicle applications</w:t>
      </w:r>
    </w:p>
    <w:p w:rsidR="002C575A" w:rsidRPr="00184D4B" w:rsidRDefault="002C575A" w:rsidP="00184D4B">
      <w:pPr>
        <w:pStyle w:val="ECCParagraph"/>
      </w:pPr>
      <w:r w:rsidRPr="00184D4B">
        <w:t>The exterior limit is defined, for each UWB device installed in a road or rail vehicle, as the maximum mean e.i.r.p spectral density for the emissions outside the vehicle at elevation angles higher than 0 degree.</w:t>
      </w:r>
    </w:p>
    <w:p w:rsidR="002C575A" w:rsidRPr="00184D4B" w:rsidRDefault="002C575A" w:rsidP="00184D4B">
      <w:pPr>
        <w:pStyle w:val="ECCParagraph"/>
      </w:pPr>
      <w:r w:rsidRPr="00184D4B">
        <w:t xml:space="preserve">Within the bands 3.1-4.8 GHz, 6-8.5 GHz and 8.5-9 GHz, an exterior limit </w:t>
      </w:r>
      <w:proofErr w:type="gramStart"/>
      <w:r w:rsidRPr="00184D4B">
        <w:t>of -53.3 dBm/MHz</w:t>
      </w:r>
      <w:proofErr w:type="gramEnd"/>
      <w:r w:rsidRPr="00184D4B">
        <w:t xml:space="preserve"> applies. No exterior limit requirement applies when using the trigger-before-transmit mitigation technique for vehicular access systems.</w:t>
      </w:r>
    </w:p>
    <w:bookmarkEnd w:id="4"/>
    <w:p w:rsidR="006C03D0" w:rsidRPr="000A672F" w:rsidRDefault="006C03D0" w:rsidP="006C03D0">
      <w:pPr>
        <w:pStyle w:val="ECCParagraph"/>
      </w:pPr>
    </w:p>
    <w:sectPr w:rsidR="006C03D0" w:rsidRPr="000A672F"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DC0" w:rsidRDefault="00773DC0" w:rsidP="006C03D0">
      <w:r>
        <w:separator/>
      </w:r>
    </w:p>
  </w:endnote>
  <w:endnote w:type="continuationSeparator" w:id="0">
    <w:p w:rsidR="00773DC0" w:rsidRDefault="00773DC0"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auto"/>
    <w:pitch w:val="variable"/>
    <w:sig w:usb0="03000000"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DC0" w:rsidRDefault="00773DC0" w:rsidP="006C03D0">
      <w:r>
        <w:separator/>
      </w:r>
    </w:p>
  </w:footnote>
  <w:footnote w:type="continuationSeparator" w:id="0">
    <w:p w:rsidR="00773DC0" w:rsidRDefault="00773DC0" w:rsidP="006C03D0">
      <w:r>
        <w:continuationSeparator/>
      </w:r>
    </w:p>
  </w:footnote>
  <w:footnote w:id="1">
    <w:p w:rsidR="00940472" w:rsidRPr="00940472" w:rsidRDefault="00940472">
      <w:pPr>
        <w:pStyle w:val="FootnoteText"/>
        <w:rPr>
          <w:lang w:val="en-GB"/>
        </w:rPr>
      </w:pPr>
      <w:r>
        <w:rPr>
          <w:rStyle w:val="FootnoteReference"/>
        </w:rPr>
        <w:footnoteRef/>
      </w:r>
      <w:r>
        <w:t xml:space="preserve"> </w:t>
      </w:r>
      <w:r w:rsidR="00287CB6" w:rsidRPr="00287CB6">
        <w:rPr>
          <w:szCs w:val="24"/>
        </w:rPr>
        <w:t>Comparable technical specifications to those in this ECC Decision are given in EC Decisio</w:t>
      </w:r>
      <w:bookmarkStart w:id="1" w:name="_GoBack"/>
      <w:bookmarkEnd w:id="1"/>
      <w:r w:rsidR="00287CB6" w:rsidRPr="00287CB6">
        <w:rPr>
          <w:szCs w:val="24"/>
        </w:rPr>
        <w:t>n on 2007/131/EC as amended. EU member states and, if so approved by the EEA Joint Committee, Iceland, Liechtenstein and Norway are obliged to implement the EC Decision</w:t>
      </w:r>
    </w:p>
  </w:footnote>
  <w:footnote w:id="2">
    <w:p w:rsidR="005B28D1" w:rsidRPr="005B28D1" w:rsidRDefault="005B28D1" w:rsidP="005B28D1">
      <w:pPr>
        <w:pStyle w:val="ECCFootnote"/>
        <w:rPr>
          <w:lang w:val="en-GB"/>
        </w:rPr>
      </w:pPr>
      <w:r>
        <w:rPr>
          <w:rStyle w:val="FootnoteReference"/>
        </w:rPr>
        <w:footnoteRef/>
      </w:r>
      <w:r>
        <w:t xml:space="preserve"> </w:t>
      </w:r>
      <w:r w:rsidRPr="004132DF">
        <w:rPr>
          <w:lang w:eastAsia="de-DE"/>
        </w:rPr>
        <w:t xml:space="preserve">The content of this Annex is meant to be duly taken into account by ETSI in the development of </w:t>
      </w:r>
      <w:r>
        <w:rPr>
          <w:lang w:eastAsia="de-DE"/>
        </w:rPr>
        <w:t>H</w:t>
      </w:r>
      <w:r w:rsidRPr="004132DF">
        <w:rPr>
          <w:lang w:eastAsia="de-DE"/>
        </w:rPr>
        <w:t xml:space="preserve">armonised </w:t>
      </w:r>
      <w:r>
        <w:rPr>
          <w:lang w:eastAsia="de-DE"/>
        </w:rPr>
        <w:t>European S</w:t>
      </w:r>
      <w:r w:rsidRPr="004132DF">
        <w:rPr>
          <w:lang w:eastAsia="de-DE"/>
        </w:rPr>
        <w:t>tandards.</w:t>
      </w:r>
    </w:p>
  </w:footnote>
  <w:footnote w:id="3">
    <w:p w:rsidR="00B31D63" w:rsidRPr="00B31D63" w:rsidRDefault="00B31D63" w:rsidP="00B31D63">
      <w:pPr>
        <w:pStyle w:val="ECCFootnote"/>
        <w:rPr>
          <w:lang w:val="en-GB"/>
        </w:rPr>
      </w:pPr>
      <w:r>
        <w:rPr>
          <w:rStyle w:val="FootnoteReference"/>
        </w:rPr>
        <w:footnoteRef/>
      </w:r>
      <w:r>
        <w:t xml:space="preserve"> </w:t>
      </w:r>
      <w:r w:rsidRPr="004132DF">
        <w:rPr>
          <w:lang w:eastAsia="de-DE"/>
        </w:rPr>
        <w:t xml:space="preserve">The content of this Annex is meant to be duly taken into account by ETSI in the development of </w:t>
      </w:r>
      <w:r>
        <w:rPr>
          <w:lang w:eastAsia="de-DE"/>
        </w:rPr>
        <w:t>H</w:t>
      </w:r>
      <w:r w:rsidRPr="004132DF">
        <w:rPr>
          <w:lang w:eastAsia="de-DE"/>
        </w:rPr>
        <w:t xml:space="preserve">armonised </w:t>
      </w:r>
      <w:r>
        <w:rPr>
          <w:lang w:eastAsia="de-DE"/>
        </w:rPr>
        <w:t>European S</w:t>
      </w:r>
      <w:r w:rsidRPr="004132DF">
        <w:rPr>
          <w:lang w:eastAsia="de-DE"/>
        </w:rPr>
        <w:t>tandards.</w:t>
      </w:r>
    </w:p>
  </w:footnote>
  <w:footnote w:id="4">
    <w:p w:rsidR="005B28D1" w:rsidRPr="005B28D1" w:rsidRDefault="005B28D1" w:rsidP="005B28D1">
      <w:pPr>
        <w:pStyle w:val="ECCFootnote"/>
        <w:rPr>
          <w:lang w:val="en-GB"/>
        </w:rPr>
      </w:pPr>
      <w:r>
        <w:rPr>
          <w:rStyle w:val="FootnoteReference"/>
        </w:rPr>
        <w:footnoteRef/>
      </w:r>
      <w:r>
        <w:t xml:space="preserve"> </w:t>
      </w:r>
      <w:r w:rsidRPr="004132DF">
        <w:rPr>
          <w:lang w:eastAsia="de-DE"/>
        </w:rPr>
        <w:t xml:space="preserve">The content of this Annex is meant to be duly taken into account by ETSI in the development of </w:t>
      </w:r>
      <w:r>
        <w:rPr>
          <w:lang w:eastAsia="de-DE"/>
        </w:rPr>
        <w:t>H</w:t>
      </w:r>
      <w:r w:rsidRPr="004132DF">
        <w:rPr>
          <w:lang w:eastAsia="de-DE"/>
        </w:rPr>
        <w:t xml:space="preserve">armonised </w:t>
      </w:r>
      <w:r>
        <w:rPr>
          <w:lang w:eastAsia="de-DE"/>
        </w:rPr>
        <w:t>European S</w:t>
      </w:r>
      <w:r w:rsidRPr="004132DF">
        <w:rPr>
          <w:lang w:eastAsia="de-DE"/>
        </w:rPr>
        <w:t>tandards.</w:t>
      </w:r>
    </w:p>
  </w:footnote>
  <w:footnote w:id="5">
    <w:p w:rsidR="002C575A" w:rsidRPr="002C575A" w:rsidRDefault="002C575A" w:rsidP="00184D4B">
      <w:pPr>
        <w:pStyle w:val="ECCTablenote"/>
      </w:pPr>
      <w:r>
        <w:rPr>
          <w:rStyle w:val="FootnoteReference"/>
        </w:rPr>
        <w:footnoteRef/>
      </w:r>
      <w:r>
        <w:t xml:space="preserve"> </w:t>
      </w:r>
      <w:r w:rsidRPr="002C575A">
        <w:t>The content of this Annex is meant to be duly taken into account by ETSI in the development of Harmonised European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pPr>
      <w:pStyle w:val="Header"/>
      <w:rPr>
        <w:szCs w:val="16"/>
        <w:lang w:val="da-DK"/>
      </w:rPr>
    </w:pPr>
    <w:r>
      <w:rPr>
        <w:lang w:val="da-DK"/>
      </w:rPr>
      <w:t>ECC/DEC/</w:t>
    </w:r>
    <w:r w:rsidR="00992879">
      <w:rPr>
        <w:lang w:val="da-DK"/>
      </w:rPr>
      <w:t>(</w:t>
    </w:r>
    <w:r w:rsidR="00992879" w:rsidRPr="00C142C0">
      <w:rPr>
        <w:rFonts w:cs="Arial"/>
        <w:szCs w:val="16"/>
        <w:lang w:val="en-GB"/>
      </w:rPr>
      <w:t>06)04</w:t>
    </w:r>
    <w:r w:rsidR="00992879"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6072FC" w:rsidRPr="006072FC">
      <w:rPr>
        <w:noProof/>
        <w:szCs w:val="16"/>
        <w:lang w:val="da-DK"/>
      </w:rPr>
      <w:t>14</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rsidP="006C03D0">
    <w:pPr>
      <w:pStyle w:val="Header"/>
      <w:jc w:val="right"/>
      <w:rPr>
        <w:szCs w:val="16"/>
        <w:lang w:val="da-DK"/>
      </w:rPr>
    </w:pPr>
    <w:r>
      <w:rPr>
        <w:lang w:val="da-DK"/>
      </w:rPr>
      <w:t>ECC/DEC/</w:t>
    </w:r>
    <w:r w:rsidR="00992879">
      <w:rPr>
        <w:lang w:val="da-DK"/>
      </w:rPr>
      <w:t>(</w:t>
    </w:r>
    <w:r w:rsidR="00992879" w:rsidRPr="00C142C0">
      <w:rPr>
        <w:rFonts w:cs="Arial"/>
        <w:szCs w:val="16"/>
        <w:lang w:val="en-GB"/>
      </w:rPr>
      <w:t>06)04</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6072FC" w:rsidRPr="006072FC">
      <w:rPr>
        <w:noProof/>
        <w:szCs w:val="16"/>
        <w:lang w:val="da-DK"/>
      </w:rPr>
      <w:t>15</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Default="00FA4704">
    <w:pPr>
      <w:pStyle w:val="Header"/>
    </w:pPr>
    <w:r>
      <w:rPr>
        <w:noProof/>
        <w:szCs w:val="20"/>
        <w:lang w:val="da-DK" w:eastAsia="da-DK"/>
      </w:rPr>
      <w:drawing>
        <wp:anchor distT="0" distB="0" distL="114300" distR="114300" simplePos="0" relativeHeight="251658240" behindDoc="0" locked="0" layoutInCell="1" allowOverlap="1">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1E1218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34731DE"/>
    <w:multiLevelType w:val="hybridMultilevel"/>
    <w:tmpl w:val="95520C64"/>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3B71265"/>
    <w:multiLevelType w:val="hybridMultilevel"/>
    <w:tmpl w:val="BA025B44"/>
    <w:lvl w:ilvl="0" w:tplc="04090001">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4">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5EE04D1"/>
    <w:multiLevelType w:val="hybridMultilevel"/>
    <w:tmpl w:val="5B727E26"/>
    <w:lvl w:ilvl="0" w:tplc="C928A84A">
      <w:start w:val="1"/>
      <w:numFmt w:val="decimal"/>
      <w:lvlText w:val="%1."/>
      <w:lvlJc w:val="left"/>
      <w:pPr>
        <w:tabs>
          <w:tab w:val="num" w:pos="360"/>
        </w:tabs>
        <w:ind w:left="360" w:hanging="360"/>
      </w:pPr>
      <w:rPr>
        <w:rFonts w:hint="default"/>
        <w:color w:val="C00000"/>
      </w:rPr>
    </w:lvl>
    <w:lvl w:ilvl="1" w:tplc="112E510A">
      <w:start w:val="1"/>
      <w:numFmt w:val="lowerLetter"/>
      <w:lvlText w:val="%2."/>
      <w:lvlJc w:val="left"/>
      <w:pPr>
        <w:tabs>
          <w:tab w:val="num" w:pos="1080"/>
        </w:tabs>
        <w:ind w:left="1080"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8">
    <w:nsid w:val="212F4188"/>
    <w:multiLevelType w:val="multilevel"/>
    <w:tmpl w:val="BF1AD4A4"/>
    <w:lvl w:ilvl="0">
      <w:start w:val="1"/>
      <w:numFmt w:val="decimal"/>
      <w:pStyle w:val="ECCAnnex-heading1"/>
      <w:suff w:val="space"/>
      <w:lvlText w:val="ANNEX %1:"/>
      <w:lvlJc w:val="left"/>
      <w:pPr>
        <w:ind w:left="284"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BC0283E"/>
    <w:multiLevelType w:val="hybridMultilevel"/>
    <w:tmpl w:val="0368FDF2"/>
    <w:lvl w:ilvl="0" w:tplc="78E8E71C">
      <w:start w:val="1"/>
      <w:numFmt w:val="lowerLetter"/>
      <w:lvlText w:val="%1)"/>
      <w:lvlJc w:val="left"/>
      <w:pPr>
        <w:ind w:left="1117"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3">
    <w:nsid w:val="32B22508"/>
    <w:multiLevelType w:val="multilevel"/>
    <w:tmpl w:val="040C001D"/>
    <w:numStyleLink w:val="1ai"/>
  </w:abstractNum>
  <w:abstractNum w:abstractNumId="14">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9">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9D4523E"/>
    <w:multiLevelType w:val="hybridMultilevel"/>
    <w:tmpl w:val="0368FDF2"/>
    <w:lvl w:ilvl="0" w:tplc="78E8E71C">
      <w:start w:val="1"/>
      <w:numFmt w:val="lowerLetter"/>
      <w:lvlText w:val="%1)"/>
      <w:lvlJc w:val="left"/>
      <w:pPr>
        <w:ind w:left="1117"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2">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3">
    <w:nsid w:val="5B7C79E3"/>
    <w:multiLevelType w:val="multilevel"/>
    <w:tmpl w:val="DF463B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659E20B3"/>
    <w:multiLevelType w:val="hybridMultilevel"/>
    <w:tmpl w:val="B1BE6728"/>
    <w:lvl w:ilvl="0" w:tplc="78E8E71C">
      <w:start w:val="1"/>
      <w:numFmt w:val="lowerLetter"/>
      <w:lvlText w:val="%1)"/>
      <w:lvlJc w:val="left"/>
      <w:pPr>
        <w:tabs>
          <w:tab w:val="num" w:pos="705"/>
        </w:tabs>
        <w:ind w:left="705" w:hanging="705"/>
      </w:pPr>
      <w:rPr>
        <w:rFonts w:ascii="Arial" w:hAnsi="Arial" w:hint="default"/>
        <w:b w:val="0"/>
        <w:bCs w:val="0"/>
        <w:i w:val="0"/>
        <w:iCs w:val="0"/>
        <w:color w:val="D2232A"/>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6">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7">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7B3212E4"/>
    <w:multiLevelType w:val="multilevel"/>
    <w:tmpl w:val="694E6EAA"/>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0"/>
  </w:num>
  <w:num w:numId="4">
    <w:abstractNumId w:val="8"/>
  </w:num>
  <w:num w:numId="5">
    <w:abstractNumId w:val="22"/>
  </w:num>
  <w:num w:numId="6">
    <w:abstractNumId w:val="14"/>
  </w:num>
  <w:num w:numId="7">
    <w:abstractNumId w:val="12"/>
  </w:num>
  <w:num w:numId="8">
    <w:abstractNumId w:val="19"/>
  </w:num>
  <w:num w:numId="9">
    <w:abstractNumId w:val="18"/>
  </w:num>
  <w:num w:numId="10">
    <w:abstractNumId w:val="15"/>
  </w:num>
  <w:num w:numId="11">
    <w:abstractNumId w:val="19"/>
    <w:lvlOverride w:ilvl="0">
      <w:startOverride w:val="1"/>
    </w:lvlOverride>
  </w:num>
  <w:num w:numId="12">
    <w:abstractNumId w:val="7"/>
  </w:num>
  <w:num w:numId="13">
    <w:abstractNumId w:val="4"/>
  </w:num>
  <w:num w:numId="14">
    <w:abstractNumId w:val="26"/>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27"/>
  </w:num>
  <w:num w:numId="20">
    <w:abstractNumId w:val="16"/>
  </w:num>
  <w:num w:numId="21">
    <w:abstractNumId w:val="29"/>
  </w:num>
  <w:num w:numId="22">
    <w:abstractNumId w:val="30"/>
  </w:num>
  <w:num w:numId="23">
    <w:abstractNumId w:val="0"/>
  </w:num>
  <w:num w:numId="24">
    <w:abstractNumId w:val="6"/>
  </w:num>
  <w:num w:numId="25">
    <w:abstractNumId w:val="23"/>
  </w:num>
  <w:num w:numId="26">
    <w:abstractNumId w:val="24"/>
  </w:num>
  <w:num w:numId="27">
    <w:abstractNumId w:val="5"/>
  </w:num>
  <w:num w:numId="28">
    <w:abstractNumId w:val="9"/>
  </w:num>
  <w:num w:numId="29">
    <w:abstractNumId w:val="9"/>
    <w:lvlOverride w:ilvl="0">
      <w:startOverride w:val="1"/>
    </w:lvlOverride>
  </w:num>
  <w:num w:numId="30">
    <w:abstractNumId w:val="3"/>
  </w:num>
  <w:num w:numId="31">
    <w:abstractNumId w:val="21"/>
  </w:num>
  <w:num w:numId="32">
    <w:abstractNumId w:val="1"/>
  </w:num>
  <w:num w:numId="33">
    <w:abstractNumId w:val="1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C0"/>
    <w:rsid w:val="00031379"/>
    <w:rsid w:val="00072ABC"/>
    <w:rsid w:val="00072B81"/>
    <w:rsid w:val="000C183F"/>
    <w:rsid w:val="000F3919"/>
    <w:rsid w:val="0013619B"/>
    <w:rsid w:val="00184D4B"/>
    <w:rsid w:val="001B1F5E"/>
    <w:rsid w:val="001B4168"/>
    <w:rsid w:val="001C46EA"/>
    <w:rsid w:val="001E0C8D"/>
    <w:rsid w:val="002741A5"/>
    <w:rsid w:val="00287CB6"/>
    <w:rsid w:val="002C575A"/>
    <w:rsid w:val="00412E32"/>
    <w:rsid w:val="004C730D"/>
    <w:rsid w:val="004D124E"/>
    <w:rsid w:val="004D4301"/>
    <w:rsid w:val="005148D6"/>
    <w:rsid w:val="005312A6"/>
    <w:rsid w:val="00547177"/>
    <w:rsid w:val="005B28D1"/>
    <w:rsid w:val="005F7AD5"/>
    <w:rsid w:val="006072FC"/>
    <w:rsid w:val="00630F6B"/>
    <w:rsid w:val="006A300C"/>
    <w:rsid w:val="006C03D0"/>
    <w:rsid w:val="0070052E"/>
    <w:rsid w:val="00713DBA"/>
    <w:rsid w:val="00773DC0"/>
    <w:rsid w:val="007B575B"/>
    <w:rsid w:val="007C6571"/>
    <w:rsid w:val="007E23E4"/>
    <w:rsid w:val="00830355"/>
    <w:rsid w:val="00940472"/>
    <w:rsid w:val="009833DB"/>
    <w:rsid w:val="009918C1"/>
    <w:rsid w:val="00992879"/>
    <w:rsid w:val="009A730E"/>
    <w:rsid w:val="00A41673"/>
    <w:rsid w:val="00A8085A"/>
    <w:rsid w:val="00AF1028"/>
    <w:rsid w:val="00B03382"/>
    <w:rsid w:val="00B23041"/>
    <w:rsid w:val="00B31D63"/>
    <w:rsid w:val="00C1340F"/>
    <w:rsid w:val="00C27206"/>
    <w:rsid w:val="00C64D00"/>
    <w:rsid w:val="00C665E0"/>
    <w:rsid w:val="00D90B0A"/>
    <w:rsid w:val="00DA090D"/>
    <w:rsid w:val="00DC0568"/>
    <w:rsid w:val="00E65E22"/>
    <w:rsid w:val="00E73D39"/>
    <w:rsid w:val="00F177F1"/>
    <w:rsid w:val="00F32EE8"/>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ind w:left="0"/>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6A300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
    <w:basedOn w:val="Normal"/>
    <w:semiHidden/>
    <w:rsid w:val="008935B9"/>
    <w:rPr>
      <w:szCs w:val="20"/>
    </w:rPr>
  </w:style>
  <w:style w:type="character" w:styleId="FootnoteReference">
    <w:name w:val="footnote reference"/>
    <w:aliases w:val="Appel note de bas de p"/>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quationlegend">
    <w:name w:val="Equation_legend"/>
    <w:basedOn w:val="Normal"/>
    <w:rsid w:val="00992879"/>
    <w:pPr>
      <w:tabs>
        <w:tab w:val="right" w:pos="1814"/>
        <w:tab w:val="left" w:pos="1985"/>
      </w:tabs>
      <w:overflowPunct w:val="0"/>
      <w:autoSpaceDE w:val="0"/>
      <w:autoSpaceDN w:val="0"/>
      <w:adjustRightInd w:val="0"/>
      <w:spacing w:before="80" w:after="120"/>
      <w:ind w:left="1985" w:hanging="1985"/>
      <w:jc w:val="both"/>
      <w:textAlignment w:val="baseline"/>
    </w:pPr>
    <w:rPr>
      <w:rFonts w:ascii="Times New Roman" w:hAnsi="Times New Roman"/>
      <w:sz w:val="24"/>
      <w:szCs w:val="20"/>
      <w:lang w:val="en-GB"/>
    </w:rPr>
  </w:style>
  <w:style w:type="paragraph" w:styleId="Caption">
    <w:name w:val="caption"/>
    <w:basedOn w:val="Normal"/>
    <w:next w:val="Normal"/>
    <w:unhideWhenUsed/>
    <w:qFormat/>
    <w:rsid w:val="005312A6"/>
    <w:pPr>
      <w:spacing w:after="120"/>
      <w:jc w:val="both"/>
    </w:pPr>
    <w:rPr>
      <w:rFonts w:ascii="Times New Roman" w:hAnsi="Times New Roman"/>
      <w:b/>
      <w:bCs/>
      <w:szCs w:val="20"/>
      <w:lang w:val="fr-FR" w:eastAsia="fr-FR"/>
    </w:rPr>
  </w:style>
  <w:style w:type="character" w:styleId="CommentReference">
    <w:name w:val="annotation reference"/>
    <w:basedOn w:val="DefaultParagraphFont"/>
    <w:uiPriority w:val="99"/>
    <w:semiHidden/>
    <w:unhideWhenUsed/>
    <w:rsid w:val="006A300C"/>
    <w:rPr>
      <w:sz w:val="16"/>
      <w:szCs w:val="16"/>
    </w:rPr>
  </w:style>
  <w:style w:type="paragraph" w:styleId="CommentText">
    <w:name w:val="annotation text"/>
    <w:basedOn w:val="Normal"/>
    <w:link w:val="CommentTextChar"/>
    <w:uiPriority w:val="99"/>
    <w:semiHidden/>
    <w:unhideWhenUsed/>
    <w:rsid w:val="006A300C"/>
    <w:rPr>
      <w:szCs w:val="20"/>
    </w:rPr>
  </w:style>
  <w:style w:type="character" w:customStyle="1" w:styleId="CommentTextChar">
    <w:name w:val="Comment Text Char"/>
    <w:basedOn w:val="DefaultParagraphFont"/>
    <w:link w:val="CommentText"/>
    <w:uiPriority w:val="99"/>
    <w:semiHidden/>
    <w:rsid w:val="006A300C"/>
    <w:rPr>
      <w:rFonts w:ascii="Arial" w:hAnsi="Arial"/>
      <w:lang w:val="en-US"/>
    </w:rPr>
  </w:style>
  <w:style w:type="paragraph" w:styleId="CommentSubject">
    <w:name w:val="annotation subject"/>
    <w:basedOn w:val="CommentText"/>
    <w:next w:val="CommentText"/>
    <w:link w:val="CommentSubjectChar"/>
    <w:uiPriority w:val="99"/>
    <w:semiHidden/>
    <w:unhideWhenUsed/>
    <w:rsid w:val="006A300C"/>
    <w:rPr>
      <w:b/>
      <w:bCs/>
    </w:rPr>
  </w:style>
  <w:style w:type="character" w:customStyle="1" w:styleId="CommentSubjectChar">
    <w:name w:val="Comment Subject Char"/>
    <w:basedOn w:val="CommentTextChar"/>
    <w:link w:val="CommentSubject"/>
    <w:uiPriority w:val="99"/>
    <w:semiHidden/>
    <w:rsid w:val="006A300C"/>
    <w:rPr>
      <w:rFonts w:ascii="Arial" w:hAnsi="Arial"/>
      <w:b/>
      <w:bCs/>
      <w:lang w:val="en-US"/>
    </w:rPr>
  </w:style>
  <w:style w:type="numbering" w:styleId="1ai">
    <w:name w:val="Outline List 1"/>
    <w:basedOn w:val="NoList"/>
    <w:rsid w:val="002C575A"/>
    <w:pPr>
      <w:numPr>
        <w:numId w:val="32"/>
      </w:numPr>
    </w:pPr>
  </w:style>
  <w:style w:type="character" w:styleId="Strong">
    <w:name w:val="Strong"/>
    <w:qFormat/>
    <w:rsid w:val="002C57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ind w:left="0"/>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6A300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
    <w:basedOn w:val="Normal"/>
    <w:semiHidden/>
    <w:rsid w:val="008935B9"/>
    <w:rPr>
      <w:szCs w:val="20"/>
    </w:rPr>
  </w:style>
  <w:style w:type="character" w:styleId="FootnoteReference">
    <w:name w:val="footnote reference"/>
    <w:aliases w:val="Appel note de bas de p"/>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quationlegend">
    <w:name w:val="Equation_legend"/>
    <w:basedOn w:val="Normal"/>
    <w:rsid w:val="00992879"/>
    <w:pPr>
      <w:tabs>
        <w:tab w:val="right" w:pos="1814"/>
        <w:tab w:val="left" w:pos="1985"/>
      </w:tabs>
      <w:overflowPunct w:val="0"/>
      <w:autoSpaceDE w:val="0"/>
      <w:autoSpaceDN w:val="0"/>
      <w:adjustRightInd w:val="0"/>
      <w:spacing w:before="80" w:after="120"/>
      <w:ind w:left="1985" w:hanging="1985"/>
      <w:jc w:val="both"/>
      <w:textAlignment w:val="baseline"/>
    </w:pPr>
    <w:rPr>
      <w:rFonts w:ascii="Times New Roman" w:hAnsi="Times New Roman"/>
      <w:sz w:val="24"/>
      <w:szCs w:val="20"/>
      <w:lang w:val="en-GB"/>
    </w:rPr>
  </w:style>
  <w:style w:type="paragraph" w:styleId="Caption">
    <w:name w:val="caption"/>
    <w:basedOn w:val="Normal"/>
    <w:next w:val="Normal"/>
    <w:unhideWhenUsed/>
    <w:qFormat/>
    <w:rsid w:val="005312A6"/>
    <w:pPr>
      <w:spacing w:after="120"/>
      <w:jc w:val="both"/>
    </w:pPr>
    <w:rPr>
      <w:rFonts w:ascii="Times New Roman" w:hAnsi="Times New Roman"/>
      <w:b/>
      <w:bCs/>
      <w:szCs w:val="20"/>
      <w:lang w:val="fr-FR" w:eastAsia="fr-FR"/>
    </w:rPr>
  </w:style>
  <w:style w:type="character" w:styleId="CommentReference">
    <w:name w:val="annotation reference"/>
    <w:basedOn w:val="DefaultParagraphFont"/>
    <w:uiPriority w:val="99"/>
    <w:semiHidden/>
    <w:unhideWhenUsed/>
    <w:rsid w:val="006A300C"/>
    <w:rPr>
      <w:sz w:val="16"/>
      <w:szCs w:val="16"/>
    </w:rPr>
  </w:style>
  <w:style w:type="paragraph" w:styleId="CommentText">
    <w:name w:val="annotation text"/>
    <w:basedOn w:val="Normal"/>
    <w:link w:val="CommentTextChar"/>
    <w:uiPriority w:val="99"/>
    <w:semiHidden/>
    <w:unhideWhenUsed/>
    <w:rsid w:val="006A300C"/>
    <w:rPr>
      <w:szCs w:val="20"/>
    </w:rPr>
  </w:style>
  <w:style w:type="character" w:customStyle="1" w:styleId="CommentTextChar">
    <w:name w:val="Comment Text Char"/>
    <w:basedOn w:val="DefaultParagraphFont"/>
    <w:link w:val="CommentText"/>
    <w:uiPriority w:val="99"/>
    <w:semiHidden/>
    <w:rsid w:val="006A300C"/>
    <w:rPr>
      <w:rFonts w:ascii="Arial" w:hAnsi="Arial"/>
      <w:lang w:val="en-US"/>
    </w:rPr>
  </w:style>
  <w:style w:type="paragraph" w:styleId="CommentSubject">
    <w:name w:val="annotation subject"/>
    <w:basedOn w:val="CommentText"/>
    <w:next w:val="CommentText"/>
    <w:link w:val="CommentSubjectChar"/>
    <w:uiPriority w:val="99"/>
    <w:semiHidden/>
    <w:unhideWhenUsed/>
    <w:rsid w:val="006A300C"/>
    <w:rPr>
      <w:b/>
      <w:bCs/>
    </w:rPr>
  </w:style>
  <w:style w:type="character" w:customStyle="1" w:styleId="CommentSubjectChar">
    <w:name w:val="Comment Subject Char"/>
    <w:basedOn w:val="CommentTextChar"/>
    <w:link w:val="CommentSubject"/>
    <w:uiPriority w:val="99"/>
    <w:semiHidden/>
    <w:rsid w:val="006A300C"/>
    <w:rPr>
      <w:rFonts w:ascii="Arial" w:hAnsi="Arial"/>
      <w:b/>
      <w:bCs/>
      <w:lang w:val="en-US"/>
    </w:rPr>
  </w:style>
  <w:style w:type="numbering" w:styleId="1ai">
    <w:name w:val="Outline List 1"/>
    <w:basedOn w:val="NoList"/>
    <w:rsid w:val="002C575A"/>
    <w:pPr>
      <w:numPr>
        <w:numId w:val="32"/>
      </w:numPr>
    </w:pPr>
  </w:style>
  <w:style w:type="character" w:styleId="Strong">
    <w:name w:val="Strong"/>
    <w:qFormat/>
    <w:rsid w:val="002C5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66816-1F52-466E-B53D-29D3F10A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(1)</Template>
  <TotalTime>1</TotalTime>
  <Pages>15</Pages>
  <Words>4129</Words>
  <Characters>25193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29264</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ECO</dc:creator>
  <dc:description>This template is used as guidance to draft ECC Reports.</dc:description>
  <cp:lastModifiedBy>ECO</cp:lastModifiedBy>
  <cp:revision>2</cp:revision>
  <cp:lastPrinted>1901-01-01T00:00:00Z</cp:lastPrinted>
  <dcterms:created xsi:type="dcterms:W3CDTF">2019-05-15T09:36:00Z</dcterms:created>
  <dcterms:modified xsi:type="dcterms:W3CDTF">2019-05-15T09:36:00Z</dcterms:modified>
</cp:coreProperties>
</file>