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A82A28" w:rsidRDefault="006C03D0">
      <w:pPr>
        <w:rPr>
          <w:lang w:val="en-GB"/>
        </w:rPr>
      </w:pPr>
    </w:p>
    <w:p w:rsidR="006C03D0" w:rsidRPr="002F06C2" w:rsidRDefault="006C03D0" w:rsidP="006C03D0">
      <w:pPr>
        <w:jc w:val="center"/>
        <w:rPr>
          <w:lang w:val="en-GB"/>
        </w:rPr>
      </w:pPr>
    </w:p>
    <w:p w:rsidR="006C03D0" w:rsidRPr="002F06C2" w:rsidRDefault="006C03D0" w:rsidP="006C03D0">
      <w:pPr>
        <w:jc w:val="center"/>
        <w:rPr>
          <w:lang w:val="en-GB"/>
        </w:rPr>
      </w:pPr>
    </w:p>
    <w:p w:rsidR="006C03D0" w:rsidRPr="002F06C2" w:rsidRDefault="006C03D0" w:rsidP="006C03D0">
      <w:pPr>
        <w:rPr>
          <w:lang w:val="en-GB"/>
        </w:rPr>
      </w:pPr>
    </w:p>
    <w:p w:rsidR="006C03D0" w:rsidRPr="002F06C2" w:rsidRDefault="007C6571" w:rsidP="006C03D0">
      <w:pPr>
        <w:jc w:val="center"/>
        <w:rPr>
          <w:b/>
          <w:sz w:val="24"/>
          <w:lang w:val="en-GB"/>
        </w:rPr>
      </w:pPr>
      <w:r w:rsidRPr="002F06C2">
        <w:rPr>
          <w:b/>
          <w:noProof/>
          <w:sz w:val="24"/>
          <w:szCs w:val="20"/>
          <w:lang w:val="da-DK" w:eastAsia="da-DK"/>
        </w:rPr>
        <mc:AlternateContent>
          <mc:Choice Requires="wpg">
            <w:drawing>
              <wp:anchor distT="0" distB="0" distL="114300" distR="114300" simplePos="0" relativeHeight="251657728" behindDoc="0" locked="0" layoutInCell="1" allowOverlap="1" wp14:anchorId="7EFF3B70" wp14:editId="209831E6">
                <wp:simplePos x="0" y="0"/>
                <wp:positionH relativeFrom="column">
                  <wp:posOffset>-720090</wp:posOffset>
                </wp:positionH>
                <wp:positionV relativeFrom="paragraph">
                  <wp:posOffset>73025</wp:posOffset>
                </wp:positionV>
                <wp:extent cx="7564120" cy="8448675"/>
                <wp:effectExtent l="0" t="0" r="0" b="9525"/>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448675"/>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A82A28">
                                <w:rPr>
                                  <w:color w:val="887E6E"/>
                                  <w:sz w:val="68"/>
                                </w:rPr>
                                <w:t>09</w:t>
                              </w:r>
                              <w:r w:rsidRPr="001E2FAA">
                                <w:rPr>
                                  <w:color w:val="887E6E"/>
                                  <w:sz w:val="68"/>
                                </w:rPr>
                                <w:t>)</w:t>
                              </w:r>
                              <w:r w:rsidR="00A82A28">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FF3B70" id="Group 28" o:spid="_x0000_s1028" style="position:absolute;left:0;text-align:left;margin-left:-56.7pt;margin-top:5.75pt;width:595.6pt;height:665.25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">
                <v:rect id="Rectangle 8" o:spid="_x0000_s1029"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 id="Text Box 9" o:spid="_x0000_s1030"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A82A28">
                          <w:rPr>
                            <w:color w:val="887E6E"/>
                            <w:sz w:val="68"/>
                          </w:rPr>
                          <w:t>09</w:t>
                        </w:r>
                        <w:r w:rsidRPr="001E2FAA">
                          <w:rPr>
                            <w:color w:val="887E6E"/>
                            <w:sz w:val="68"/>
                          </w:rPr>
                          <w:t>)</w:t>
                        </w:r>
                        <w:r w:rsidR="00A82A28">
                          <w:rPr>
                            <w:color w:val="887E6E"/>
                            <w:sz w:val="68"/>
                          </w:rPr>
                          <w:t>01</w:t>
                        </w:r>
                      </w:p>
                    </w:txbxContent>
                  </v:textbox>
                </v:shape>
                <v:group id="Group 26" o:spid="_x0000_s1031"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2"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3"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jc w:val="center"/>
        <w:rPr>
          <w:b/>
          <w:sz w:val="24"/>
          <w:lang w:val="en-GB"/>
        </w:rPr>
      </w:pPr>
    </w:p>
    <w:p w:rsidR="006C03D0" w:rsidRPr="002F06C2" w:rsidRDefault="006C03D0" w:rsidP="006C03D0">
      <w:pPr>
        <w:rPr>
          <w:b/>
          <w:sz w:val="24"/>
          <w:lang w:val="en-GB"/>
        </w:rPr>
      </w:pPr>
    </w:p>
    <w:p w:rsidR="006C03D0" w:rsidRPr="002F06C2" w:rsidRDefault="006C03D0" w:rsidP="006C03D0">
      <w:pPr>
        <w:jc w:val="center"/>
        <w:rPr>
          <w:b/>
          <w:sz w:val="24"/>
          <w:lang w:val="en-GB"/>
        </w:rPr>
      </w:pPr>
    </w:p>
    <w:p w:rsidR="006C03D0" w:rsidRPr="002F06C2" w:rsidRDefault="00A82A28" w:rsidP="006C03D0">
      <w:pPr>
        <w:pStyle w:val="Reporttitledescription"/>
        <w:rPr>
          <w:color w:val="auto"/>
          <w:lang w:val="en-GB"/>
        </w:rPr>
      </w:pPr>
      <w:bookmarkStart w:id="0" w:name="Text7"/>
      <w:r w:rsidRPr="002F06C2">
        <w:rPr>
          <w:color w:val="auto"/>
          <w:lang w:val="en-GB"/>
        </w:rPr>
        <w:t xml:space="preserve">Harmonised use of the </w:t>
      </w:r>
      <w:r w:rsidR="00A9092A" w:rsidRPr="002F06C2">
        <w:rPr>
          <w:color w:val="auto"/>
          <w:lang w:val="en-GB"/>
        </w:rPr>
        <w:t xml:space="preserve">63.72-65.88 </w:t>
      </w:r>
      <w:r w:rsidRPr="002F06C2">
        <w:rPr>
          <w:color w:val="auto"/>
          <w:lang w:val="en-GB"/>
        </w:rPr>
        <w:t>GHz frequency band for Intelligent Transport Systems (ITS)</w:t>
      </w:r>
      <w:bookmarkEnd w:id="0"/>
      <w:r w:rsidR="00E933FF" w:rsidRPr="002F06C2">
        <w:rPr>
          <w:rStyle w:val="FootnoteReference"/>
          <w:color w:val="auto"/>
          <w:lang w:val="en-GB"/>
        </w:rPr>
        <w:footnoteReference w:id="1"/>
      </w:r>
      <w:r w:rsidR="005F7AD5" w:rsidRPr="002F06C2">
        <w:rPr>
          <w:color w:val="auto"/>
          <w:lang w:val="en-GB"/>
        </w:rPr>
        <w:t xml:space="preserve"> </w:t>
      </w:r>
    </w:p>
    <w:p w:rsidR="006C03D0" w:rsidRPr="002F06C2" w:rsidRDefault="00A82A28" w:rsidP="006C03D0">
      <w:pPr>
        <w:pStyle w:val="Reporttitledescription"/>
        <w:rPr>
          <w:b/>
          <w:color w:val="auto"/>
          <w:sz w:val="18"/>
          <w:lang w:val="en-GB"/>
        </w:rPr>
      </w:pPr>
      <w:bookmarkStart w:id="1" w:name="Text8"/>
      <w:r w:rsidRPr="002F06C2">
        <w:rPr>
          <w:b/>
          <w:color w:val="auto"/>
          <w:sz w:val="18"/>
          <w:lang w:val="en-GB"/>
        </w:rPr>
        <w:t>Approved 13 March 2009</w:t>
      </w:r>
      <w:bookmarkEnd w:id="1"/>
    </w:p>
    <w:p w:rsidR="00A9092A" w:rsidRPr="002F06C2" w:rsidRDefault="00871F7C" w:rsidP="00A05CC2">
      <w:pPr>
        <w:pStyle w:val="Reporttitledescription"/>
        <w:spacing w:before="240"/>
        <w:rPr>
          <w:b/>
          <w:color w:val="auto"/>
          <w:sz w:val="18"/>
          <w:lang w:val="en-GB"/>
        </w:rPr>
      </w:pPr>
      <w:r>
        <w:rPr>
          <w:b/>
          <w:color w:val="auto"/>
          <w:sz w:val="18"/>
          <w:lang w:val="en-GB"/>
        </w:rPr>
        <w:t>Latest a</w:t>
      </w:r>
      <w:r w:rsidR="00A9092A" w:rsidRPr="002F06C2">
        <w:rPr>
          <w:b/>
          <w:color w:val="auto"/>
          <w:sz w:val="18"/>
          <w:lang w:val="en-GB"/>
        </w:rPr>
        <w:t xml:space="preserve">mended </w:t>
      </w:r>
      <w:r w:rsidR="00A2375A">
        <w:rPr>
          <w:b/>
          <w:color w:val="auto"/>
          <w:sz w:val="18"/>
          <w:lang w:val="en-GB"/>
        </w:rPr>
        <w:t>05</w:t>
      </w:r>
      <w:r w:rsidR="00A9092A" w:rsidRPr="002F06C2">
        <w:rPr>
          <w:b/>
          <w:color w:val="auto"/>
          <w:sz w:val="18"/>
          <w:lang w:val="en-GB"/>
        </w:rPr>
        <w:t xml:space="preserve"> </w:t>
      </w:r>
      <w:r w:rsidR="00A2375A">
        <w:rPr>
          <w:b/>
          <w:color w:val="auto"/>
          <w:sz w:val="18"/>
          <w:lang w:val="en-GB"/>
        </w:rPr>
        <w:t xml:space="preserve">July </w:t>
      </w:r>
      <w:r w:rsidR="00A9092A" w:rsidRPr="002F06C2">
        <w:rPr>
          <w:b/>
          <w:color w:val="auto"/>
          <w:sz w:val="18"/>
          <w:lang w:val="en-GB"/>
        </w:rPr>
        <w:t>2019</w:t>
      </w:r>
    </w:p>
    <w:p w:rsidR="006C03D0" w:rsidRPr="002F06C2" w:rsidRDefault="00A82A28" w:rsidP="006C03D0">
      <w:pPr>
        <w:pStyle w:val="Heading1"/>
      </w:pPr>
      <w:r w:rsidRPr="002F06C2">
        <w:lastRenderedPageBreak/>
        <w:t>explanatory memorandum</w:t>
      </w:r>
    </w:p>
    <w:p w:rsidR="006C03D0" w:rsidRPr="002F06C2" w:rsidRDefault="00A82A28" w:rsidP="006C03D0">
      <w:pPr>
        <w:pStyle w:val="Heading2"/>
        <w:rPr>
          <w:lang w:val="en-GB"/>
        </w:rPr>
      </w:pPr>
      <w:r w:rsidRPr="002F06C2">
        <w:rPr>
          <w:lang w:val="en-GB"/>
        </w:rPr>
        <w:t>INTRODUCTION</w:t>
      </w:r>
    </w:p>
    <w:p w:rsidR="00A82A28" w:rsidRPr="002F06C2" w:rsidRDefault="00A82A28" w:rsidP="00A82A28">
      <w:pPr>
        <w:pStyle w:val="ECCParagraph"/>
      </w:pPr>
      <w:r w:rsidRPr="002F06C2">
        <w:t xml:space="preserve">This CEPT/ECC Decision addresses frequency designation within the band </w:t>
      </w:r>
      <w:r w:rsidR="00A9092A" w:rsidRPr="002F06C2">
        <w:t xml:space="preserve">63.72-65.88 </w:t>
      </w:r>
      <w:r w:rsidRPr="002F06C2">
        <w:t>GHz for the harmonised implementation of Intelligent Transport Systems (ITS).</w:t>
      </w:r>
      <w:r w:rsidR="008A088E" w:rsidRPr="002F06C2">
        <w:t xml:space="preserve"> The frequency band 63-64 GHz is allocated to the Mobile Service, the Fixed Service, the Radiolocation Service and to the Inter-Satellite Service, the frequency band 64-65 GHz is allocated to the Fixed, Inter-Satellite Service and to the Mobile except Aeronautical Mobile Service and the frequency band 65-66 GHz is allocated to the Earth Exploration-Satellite Service, the Fixed Service, the Space Research Service, Inter-Satellite Service and to the Mobile except Aeronautical Mobile Service on a primary status</w:t>
      </w:r>
      <w:r w:rsidRPr="002F06C2">
        <w:t>.</w:t>
      </w:r>
    </w:p>
    <w:p w:rsidR="00A82A28" w:rsidRPr="002F06C2" w:rsidRDefault="00A82A28" w:rsidP="00A82A28">
      <w:pPr>
        <w:pStyle w:val="ECCParagraph"/>
      </w:pPr>
      <w:r w:rsidRPr="002F06C2">
        <w:t xml:space="preserve">The objective of </w:t>
      </w:r>
      <w:r w:rsidR="009062A9" w:rsidRPr="002F06C2">
        <w:t xml:space="preserve">a </w:t>
      </w:r>
      <w:r w:rsidRPr="002F06C2">
        <w:t xml:space="preserve">frequency designation for </w:t>
      </w:r>
      <w:r w:rsidR="009062A9" w:rsidRPr="002F06C2">
        <w:t xml:space="preserve">ITS </w:t>
      </w:r>
      <w:r w:rsidR="00E66B06" w:rsidRPr="002F06C2">
        <w:t xml:space="preserve">traffic </w:t>
      </w:r>
      <w:r w:rsidRPr="002F06C2">
        <w:t>safety</w:t>
      </w:r>
      <w:r w:rsidR="009062A9" w:rsidRPr="002F06C2">
        <w:t xml:space="preserve"> and traffic efficiency</w:t>
      </w:r>
      <w:r w:rsidRPr="002F06C2">
        <w:t xml:space="preserve"> applications in the </w:t>
      </w:r>
      <w:r w:rsidR="00A9092A" w:rsidRPr="002F06C2">
        <w:t xml:space="preserve">63.72-65.88 </w:t>
      </w:r>
      <w:r w:rsidRPr="002F06C2">
        <w:t xml:space="preserve"> GHz band is to support the European Union eSafety initiative with its goals to reduce the number of road fatalities and improving the efficiency of road traffic with Intelligent Vehicle Safety Systems. ITS </w:t>
      </w:r>
      <w:r w:rsidR="00B6343D" w:rsidRPr="002F06C2">
        <w:t xml:space="preserve">traffic </w:t>
      </w:r>
      <w:r w:rsidRPr="002F06C2">
        <w:t xml:space="preserve">safety and traffic efficiency systems in Europe </w:t>
      </w:r>
      <w:r w:rsidR="009062A9" w:rsidRPr="002F06C2">
        <w:t xml:space="preserve">have been </w:t>
      </w:r>
      <w:r w:rsidRPr="002F06C2">
        <w:t xml:space="preserve">developed within the 6th Framework programme of the European Union. The intelligent car </w:t>
      </w:r>
      <w:r w:rsidR="009062A9" w:rsidRPr="002F06C2">
        <w:t xml:space="preserve">has been </w:t>
      </w:r>
      <w:r w:rsidRPr="002F06C2">
        <w:t>a flagship initiative of the i2010 policy of the European Union.</w:t>
      </w:r>
    </w:p>
    <w:p w:rsidR="00A82A28" w:rsidRPr="002F06C2" w:rsidRDefault="00A82A28" w:rsidP="00A82A28">
      <w:pPr>
        <w:pStyle w:val="ECCParagraph"/>
      </w:pPr>
      <w:r w:rsidRPr="002F06C2">
        <w:t xml:space="preserve">ITS </w:t>
      </w:r>
      <w:r w:rsidR="00B6343D" w:rsidRPr="002F06C2">
        <w:t xml:space="preserve">traffic </w:t>
      </w:r>
      <w:r w:rsidRPr="002F06C2">
        <w:t xml:space="preserve">safety and traffic efficiency communication includes both Inter Vehicle Communication (IVC) and related </w:t>
      </w:r>
      <w:r w:rsidR="009062A9" w:rsidRPr="002F06C2">
        <w:t xml:space="preserve">infrastructure </w:t>
      </w:r>
      <w:r w:rsidRPr="002F06C2">
        <w:t xml:space="preserve">to </w:t>
      </w:r>
      <w:r w:rsidR="009062A9" w:rsidRPr="002F06C2">
        <w:t>v</w:t>
      </w:r>
      <w:r w:rsidRPr="002F06C2">
        <w:t>ehicle communication in highly dynamic ad hoc networks</w:t>
      </w:r>
      <w:r w:rsidR="009062A9" w:rsidRPr="002F06C2">
        <w:t>.</w:t>
      </w:r>
      <w:r w:rsidRPr="002F06C2">
        <w:t xml:space="preserve"> In order to support the time critical </w:t>
      </w:r>
      <w:r w:rsidR="009062A9" w:rsidRPr="002F06C2">
        <w:t xml:space="preserve">traffic </w:t>
      </w:r>
      <w:r w:rsidRPr="002F06C2">
        <w:t xml:space="preserve">safety applications where fast information exchange is necessary to warn and </w:t>
      </w:r>
      <w:r w:rsidR="00FD126A" w:rsidRPr="002F06C2">
        <w:t xml:space="preserve">to </w:t>
      </w:r>
      <w:r w:rsidRPr="002F06C2">
        <w:t xml:space="preserve">support the driver without time delay both IVC and </w:t>
      </w:r>
      <w:r w:rsidR="00312D09" w:rsidRPr="002F06C2">
        <w:t>infrastructure to vehicle communication</w:t>
      </w:r>
      <w:r w:rsidR="009062A9" w:rsidRPr="002F06C2">
        <w:t>, all ITS station types may be involved.</w:t>
      </w:r>
    </w:p>
    <w:p w:rsidR="00A82A28" w:rsidRPr="002F06C2" w:rsidRDefault="00A82A28" w:rsidP="00A82A28">
      <w:pPr>
        <w:pStyle w:val="ECCParagraph"/>
      </w:pPr>
      <w:r w:rsidRPr="002F06C2">
        <w:t xml:space="preserve">To support a quick development and deployment of ITS systems within a trans-European road network, it is essential that common frequency bands and associated harmonised equipment standards are available throughout Europe. </w:t>
      </w:r>
    </w:p>
    <w:p w:rsidR="00F73465" w:rsidRPr="002F06C2" w:rsidRDefault="00F73465" w:rsidP="00F73465">
      <w:pPr>
        <w:pStyle w:val="ECCParagraph"/>
      </w:pPr>
      <w:r w:rsidRPr="002F06C2">
        <w:t>ITS applications may be developed and deployed in Europe based on the conditions described in the ECC Report 113.</w:t>
      </w:r>
    </w:p>
    <w:p w:rsidR="00F73465" w:rsidRPr="002F06C2" w:rsidRDefault="00F73465" w:rsidP="00F73465">
      <w:pPr>
        <w:pStyle w:val="ECCParagraph"/>
      </w:pPr>
      <w:r w:rsidRPr="002F06C2">
        <w:t>Additional investigations may be needed concerning ITS in 63.72-65.88 GHz to consider cross interference between ITS and fixed outdoor applications, but this should not postpone the frequency shift to 63.72-65.88 GHz (see CEPT Report 70).</w:t>
      </w:r>
    </w:p>
    <w:p w:rsidR="00A82A28" w:rsidRPr="002F06C2" w:rsidRDefault="00A82A28" w:rsidP="00A82A28">
      <w:pPr>
        <w:pStyle w:val="ECCParagraph"/>
      </w:pPr>
      <w:r w:rsidRPr="002F06C2">
        <w:t xml:space="preserve">It is essential for the implementation and deployment of ITS </w:t>
      </w:r>
      <w:r w:rsidR="009062A9" w:rsidRPr="002F06C2">
        <w:t xml:space="preserve">traffic </w:t>
      </w:r>
      <w:r w:rsidRPr="002F06C2">
        <w:t>safety and traffic efficiency applications in the CEPT countries and thus the possibility to meet the general European Union policies on road safety that a European harmonised solution on spectrum availability is adopted within the CEPT/ECC providing the necessary regulatory certainty for the ITS industry.</w:t>
      </w:r>
    </w:p>
    <w:p w:rsidR="006006B0" w:rsidRPr="002F06C2" w:rsidRDefault="009062A9" w:rsidP="00A82A28">
      <w:pPr>
        <w:pStyle w:val="ECCParagraph"/>
      </w:pPr>
      <w:r w:rsidRPr="002F06C2">
        <w:t xml:space="preserve">This </w:t>
      </w:r>
      <w:r w:rsidR="00A82A28" w:rsidRPr="002F06C2">
        <w:t xml:space="preserve">ECC Decision making spectrum available for ITS within the band </w:t>
      </w:r>
      <w:r w:rsidR="00A9092A" w:rsidRPr="002F06C2">
        <w:t>63.72-65.88</w:t>
      </w:r>
      <w:r w:rsidR="00A82A28" w:rsidRPr="002F06C2">
        <w:t xml:space="preserve"> GHz based on compatibility studies developed within the CEPT/ECC ensure</w:t>
      </w:r>
      <w:r w:rsidRPr="002F06C2">
        <w:t>s</w:t>
      </w:r>
      <w:r w:rsidR="00A82A28" w:rsidRPr="002F06C2">
        <w:t xml:space="preserve"> that future radio services or radio applications in this frequency band will have to prove their compatibility with ITS as well as with other existing radio services and radio applications in the band</w:t>
      </w:r>
      <w:r w:rsidR="006006B0" w:rsidRPr="002F06C2">
        <w:t>.</w:t>
      </w:r>
    </w:p>
    <w:p w:rsidR="006006B0" w:rsidRPr="002F06C2" w:rsidRDefault="006006B0">
      <w:pPr>
        <w:rPr>
          <w:lang w:val="en-GB"/>
        </w:rPr>
      </w:pPr>
      <w:r w:rsidRPr="002F06C2">
        <w:rPr>
          <w:lang w:val="en-GB"/>
        </w:rPr>
        <w:br w:type="page"/>
      </w:r>
    </w:p>
    <w:p w:rsidR="006C03D0" w:rsidRPr="002F06C2" w:rsidRDefault="005F7AD5" w:rsidP="006C03D0">
      <w:pPr>
        <w:pStyle w:val="Heading2"/>
        <w:rPr>
          <w:lang w:val="en-GB"/>
        </w:rPr>
      </w:pPr>
      <w:r w:rsidRPr="002F06C2">
        <w:rPr>
          <w:lang w:val="en-GB"/>
        </w:rPr>
        <w:lastRenderedPageBreak/>
        <w:t xml:space="preserve">BACKGROUND </w:t>
      </w:r>
    </w:p>
    <w:p w:rsidR="00A82A28" w:rsidRPr="002F06C2" w:rsidRDefault="00A82A28" w:rsidP="00A82A28">
      <w:pPr>
        <w:pStyle w:val="ECCParagraph"/>
      </w:pPr>
      <w:r w:rsidRPr="002F06C2">
        <w:t>The frequency band 63-64 GHz has been identified by ETSI within the system reference document TR 102</w:t>
      </w:r>
      <w:r w:rsidR="00A2375A">
        <w:t> </w:t>
      </w:r>
      <w:r w:rsidRPr="002F06C2">
        <w:t xml:space="preserve">400 as a frequency band for development and deployment of ITS providing </w:t>
      </w:r>
      <w:r w:rsidR="009062A9" w:rsidRPr="002F06C2">
        <w:t>traffic</w:t>
      </w:r>
      <w:r w:rsidRPr="002F06C2">
        <w:t xml:space="preserve"> safety and traffic efficiency applications all over Europe.</w:t>
      </w:r>
    </w:p>
    <w:p w:rsidR="00941ADA" w:rsidRPr="002F06C2" w:rsidRDefault="00941ADA" w:rsidP="00A82A28">
      <w:pPr>
        <w:pStyle w:val="ECCParagraph"/>
      </w:pPr>
      <w:r w:rsidRPr="002F06C2">
        <w:t xml:space="preserve">The Intelligent Transport Systems (ITS) technology is an important enabler for European objectives to achieve increasing traffic safety, traffic and transport efficiency and a lower rate of emissions according to </w:t>
      </w:r>
      <w:r w:rsidR="00E66B06" w:rsidRPr="002F06C2">
        <w:t xml:space="preserve">the European Commission </w:t>
      </w:r>
      <w:r w:rsidR="00A2375A">
        <w:t>I</w:t>
      </w:r>
      <w:r w:rsidR="00E66B06" w:rsidRPr="002F06C2">
        <w:t>mplementing D</w:t>
      </w:r>
      <w:r w:rsidRPr="002F06C2">
        <w:t>ecision EC(2014)4995</w:t>
      </w:r>
      <w:r w:rsidR="00E66B06" w:rsidRPr="002F06C2">
        <w:t xml:space="preserve"> of 22 July 2014 on “amending Implementing Decision C(2013)8631 adopting the 2014-2015 work programme in the framework of the Specific Programme Implementing Horizon 2020 – The Framework Programme for Research and Innovation (2014-2020)”</w:t>
      </w:r>
      <w:r w:rsidRPr="002F06C2">
        <w:t>. A frequency spectrum allocation is one of the key enablers for ITS services. The Electronic Communications Committee of the European Conference of Postal and Telecommunications Administrations (CEPT/ECC) ha</w:t>
      </w:r>
      <w:r w:rsidR="00A2375A">
        <w:t>d</w:t>
      </w:r>
      <w:r w:rsidRPr="002F06C2">
        <w:t xml:space="preserve"> established frequency allocations for the 5.9 GHz band (ECC Decision (08)01 and ECC Recommendation (08)01</w:t>
      </w:r>
      <w:r w:rsidR="00A2375A">
        <w:t>)</w:t>
      </w:r>
      <w:r w:rsidRPr="002F06C2">
        <w:t xml:space="preserve"> and the 63-64 GHz (ECC Decision (09)01).</w:t>
      </w:r>
    </w:p>
    <w:p w:rsidR="00941ADA" w:rsidRPr="002F06C2" w:rsidRDefault="00941ADA" w:rsidP="00A82A28">
      <w:pPr>
        <w:pStyle w:val="ECCParagraph"/>
      </w:pPr>
      <w:r w:rsidRPr="002F06C2">
        <w:t>EU and national projects have shown that the characteristics of the 63 GHz and 5.9 GHz band can complement each other.</w:t>
      </w:r>
    </w:p>
    <w:p w:rsidR="00BE2E84" w:rsidRPr="002F06C2" w:rsidRDefault="00B6343D" w:rsidP="00A82A28">
      <w:pPr>
        <w:pStyle w:val="ECCParagraph"/>
      </w:pPr>
      <w:r w:rsidRPr="002F06C2">
        <w:t xml:space="preserve">ITS applications operating in the </w:t>
      </w:r>
      <w:r w:rsidR="00A9092A" w:rsidRPr="002F06C2">
        <w:t xml:space="preserve">63.72-65.88 </w:t>
      </w:r>
      <w:r w:rsidRPr="002F06C2">
        <w:t xml:space="preserve"> GHz range which are under this ECC Decision are also covered by the EC Decision for short range devices (2006/771/EC and its amendments) with identical usage parameters. This ECC Decision recognises ITS application</w:t>
      </w:r>
      <w:r w:rsidR="00C47E4E" w:rsidRPr="002F06C2">
        <w:t>s</w:t>
      </w:r>
      <w:r w:rsidRPr="002F06C2">
        <w:t xml:space="preserve"> as under the mobile service and the 63-64 GHz entry was </w:t>
      </w:r>
      <w:r w:rsidR="00C47E4E" w:rsidRPr="002F06C2">
        <w:t xml:space="preserve">therefore </w:t>
      </w:r>
      <w:r w:rsidRPr="002F06C2">
        <w:t>removed in 2012 from Annex 5 of ERC</w:t>
      </w:r>
      <w:r w:rsidR="00E66B06" w:rsidRPr="002F06C2">
        <w:t xml:space="preserve"> Recommendation</w:t>
      </w:r>
      <w:r w:rsidRPr="002F06C2">
        <w:t xml:space="preserve"> 70-03. At the same time, the ECC Decision (02)01 originally identifying the 63-64 GHz frequency band for Road Traffic and Transport Telematics (RTTT) was withdrawn.  </w:t>
      </w:r>
      <w:r w:rsidR="00F67FF6" w:rsidRPr="002F06C2">
        <w:t xml:space="preserve">The existing Harmonised Standard ETSI EN 302 686 (currently under revision) also includes rail vehicles in the scope. Real ITS implementations in the market </w:t>
      </w:r>
      <w:r w:rsidR="00941ADA" w:rsidRPr="002F06C2">
        <w:t>for</w:t>
      </w:r>
      <w:r w:rsidR="00F67FF6" w:rsidRPr="002F06C2">
        <w:t xml:space="preserve"> </w:t>
      </w:r>
      <w:r w:rsidR="00A9092A" w:rsidRPr="002F06C2">
        <w:t xml:space="preserve">63.72-65.88 </w:t>
      </w:r>
      <w:r w:rsidR="00F67FF6" w:rsidRPr="002F06C2">
        <w:t xml:space="preserve">GHz ITS equipment </w:t>
      </w:r>
      <w:r w:rsidR="00941ADA" w:rsidRPr="002F06C2">
        <w:t>are</w:t>
      </w:r>
      <w:r w:rsidR="00F67FF6" w:rsidRPr="002F06C2">
        <w:t xml:space="preserve"> expected to occur in the future with first indications of available radio chipsets and development of traffic efficiency solutions. There is no benefit seen in restricting the ITS application in </w:t>
      </w:r>
      <w:r w:rsidR="00A9092A" w:rsidRPr="002F06C2">
        <w:t>63.72-65.88</w:t>
      </w:r>
      <w:r w:rsidR="00A2375A">
        <w:t xml:space="preserve"> </w:t>
      </w:r>
      <w:r w:rsidR="00F67FF6" w:rsidRPr="002F06C2">
        <w:t>GHz to only road traffic applications. The set of technical usage conditions appl</w:t>
      </w:r>
      <w:r w:rsidR="00BE2E84" w:rsidRPr="002F06C2">
        <w:t>ies</w:t>
      </w:r>
      <w:r w:rsidR="00F67FF6" w:rsidRPr="002F06C2">
        <w:t xml:space="preserve"> to vehicle-to-vehicle, vehicle-to-infrastructure and infrastructure-to-vehicle systems</w:t>
      </w:r>
      <w:r w:rsidR="00BE2E84" w:rsidRPr="002F06C2">
        <w:t xml:space="preserve"> in the fields of transport (e.g. road and rail). Typical applications may also be used for interfaces between different modes of transport. </w:t>
      </w:r>
    </w:p>
    <w:p w:rsidR="00941ADA" w:rsidRPr="002F06C2" w:rsidRDefault="00941ADA" w:rsidP="00A82A28">
      <w:pPr>
        <w:pStyle w:val="ECCParagraph"/>
      </w:pPr>
      <w:r w:rsidRPr="002F06C2">
        <w:t xml:space="preserve">The </w:t>
      </w:r>
      <w:r w:rsidR="00A9092A" w:rsidRPr="002F06C2">
        <w:t xml:space="preserve">63.72-65.88 </w:t>
      </w:r>
      <w:r w:rsidRPr="002F06C2">
        <w:t xml:space="preserve"> GHz band requires real-line-of-sight communication at a short distance up to 100 metres and high data rate transmission capability in combination with a very high level of security and beamforming. The </w:t>
      </w:r>
      <w:r w:rsidR="00C76D1B" w:rsidRPr="002F06C2">
        <w:t xml:space="preserve">63.72-65.88 </w:t>
      </w:r>
      <w:r w:rsidRPr="002F06C2">
        <w:t xml:space="preserve">GHz band provides possibilities to exchange a large amount of raw sensor data at a short distance, which is essential for life threatening situations as well as time extending aspects like (closer distance driving) such as C-ACC and Platooning. Applications such as C-ACC (cooperative adaptive cruise control) and Platooning require both the 5855-5925 MHz and </w:t>
      </w:r>
      <w:r w:rsidR="00A9092A" w:rsidRPr="002F06C2">
        <w:t>63.72-65.88</w:t>
      </w:r>
      <w:r w:rsidRPr="002F06C2">
        <w:t xml:space="preserve"> GHz bands to achieve reasonable level of performance with sufficient system redundancy. In the 1990s, C-ITS research shows that the 63 GHz band has benefits for cooperative applications, but due to the lack of feasible semiconductor technologies, systems have not been implemented for the specific use in this band. </w:t>
      </w:r>
    </w:p>
    <w:p w:rsidR="00A9092A" w:rsidRPr="002F06C2" w:rsidRDefault="00A9092A" w:rsidP="00A9092A">
      <w:pPr>
        <w:pStyle w:val="ECCParagraph"/>
      </w:pPr>
      <w:r w:rsidRPr="002F06C2">
        <w:t>With the amendment of this ECC Decision and following deliberations in CEPT Report 70</w:t>
      </w:r>
      <w:r w:rsidR="00391E22" w:rsidRPr="002F06C2">
        <w:t xml:space="preserve"> in the 2018-2019 timeframe</w:t>
      </w:r>
      <w:r w:rsidRPr="002F06C2">
        <w:t xml:space="preserve">, the frequency range for ITS </w:t>
      </w:r>
      <w:r w:rsidR="00391E22" w:rsidRPr="002F06C2">
        <w:t xml:space="preserve">has been </w:t>
      </w:r>
      <w:r w:rsidRPr="002F06C2">
        <w:t>moved from the 63-64 GHz band to the 63.72-65.88 GHz band. The underlying spectrum compatibility considerations are still the ones contained in ECC Report 113. ETSI agreed to this rearrangement, so that the ITS entry can better aligned with the channelisation of wideband data transmission systems operating in 57-66 GHz. During the revision making of this ECC Decision (09)01 in 2016, it was observed that real TTT/ITS equipment implementations in the market for 63-64 GHz are expected to occur in the future with first indications of available radio chipsets and development of traffic efficiency solutions. It is therefore important not to wait with this move of the frequency range for TTT applications while the overall impact on the market is still considerable small. ITS devices placed on the market before the 1 January 2020 are ‘grandfathered’, i.e. they are continuously permitted to be used in line with the provisions set out within the 63-64 GHz band.</w:t>
      </w:r>
    </w:p>
    <w:p w:rsidR="00A9092A" w:rsidRPr="002F06C2" w:rsidRDefault="00A9092A" w:rsidP="00A9092A">
      <w:pPr>
        <w:pStyle w:val="ECCParagraph"/>
      </w:pPr>
      <w:r w:rsidRPr="002F06C2">
        <w:t>A revision of the ETSI Harmonised European Standard EN 302 686 will be conducted.</w:t>
      </w:r>
    </w:p>
    <w:p w:rsidR="00A9092A" w:rsidRPr="002F06C2" w:rsidRDefault="00A9092A" w:rsidP="00A9092A">
      <w:pPr>
        <w:pStyle w:val="ECCParagraph"/>
      </w:pPr>
      <w:r w:rsidRPr="002F06C2">
        <w:t xml:space="preserve">Additional considerations may be needed concerning ITS in 63.72-65.88 GHz to consider cross interference between ITS and fixed outdoor applications, but this should not postpone the </w:t>
      </w:r>
      <w:r w:rsidR="00391E22" w:rsidRPr="002F06C2">
        <w:t xml:space="preserve">frequency </w:t>
      </w:r>
      <w:r w:rsidRPr="002F06C2">
        <w:t xml:space="preserve">shift as indicated above. </w:t>
      </w:r>
      <w:r w:rsidR="00572585" w:rsidRPr="002F06C2">
        <w:t xml:space="preserve">For fixed outdoor applications, a </w:t>
      </w:r>
      <w:r w:rsidRPr="002F06C2">
        <w:t xml:space="preserve">new regulatory concept for wideband data transmission systems in </w:t>
      </w:r>
      <w:r w:rsidRPr="002F06C2">
        <w:lastRenderedPageBreak/>
        <w:t xml:space="preserve">the frequency range 57-66 GHz </w:t>
      </w:r>
      <w:r w:rsidR="00572585" w:rsidRPr="002F06C2">
        <w:t>has been introduced (see CEPT Report 70, ERC Recommendation 70-03 Annex 3 and ECC Report 288)</w:t>
      </w:r>
      <w:r w:rsidRPr="002F06C2">
        <w:t>.</w:t>
      </w:r>
    </w:p>
    <w:p w:rsidR="00941ADA" w:rsidRPr="002F06C2" w:rsidRDefault="00941ADA" w:rsidP="00A82A28">
      <w:pPr>
        <w:pStyle w:val="ECCParagraph"/>
      </w:pPr>
    </w:p>
    <w:p w:rsidR="006C03D0" w:rsidRPr="002F06C2" w:rsidRDefault="005F7AD5" w:rsidP="006C03D0">
      <w:pPr>
        <w:pStyle w:val="Heading2"/>
        <w:rPr>
          <w:lang w:val="en-GB"/>
        </w:rPr>
      </w:pPr>
      <w:r w:rsidRPr="002F06C2">
        <w:rPr>
          <w:lang w:val="en-GB"/>
        </w:rPr>
        <w:t>REQUIREMENT FOR AN ECC DECISION</w:t>
      </w:r>
    </w:p>
    <w:p w:rsidR="00312D09" w:rsidRPr="002F06C2" w:rsidRDefault="00A82A28" w:rsidP="006C03D0">
      <w:pPr>
        <w:pStyle w:val="ECCParagraph"/>
      </w:pPr>
      <w:r w:rsidRPr="002F06C2">
        <w:t xml:space="preserve">The allocation or designation of frequency bands for use by a service or system under specified conditions in CEPT administrations is laid down by law, regulation or administrative action. ECC Decisions are required to deal with radio spectrum related matters and the carriage and use of equipment throughout Europe. </w:t>
      </w:r>
    </w:p>
    <w:p w:rsidR="006C03D0" w:rsidRPr="002F06C2" w:rsidRDefault="00312D09" w:rsidP="006C03D0">
      <w:pPr>
        <w:pStyle w:val="ECCParagraph"/>
      </w:pPr>
      <w:r w:rsidRPr="002F06C2">
        <w:t xml:space="preserve">The harmonisation on a European basis supports the Directive 2014/53/EU of the European Parliament and of the Council of 16 April 2014 on the harmonisation of the laws of the Member States relating to the making available on the market of radio equipment and repealing Directive 1999/5/EC. </w:t>
      </w:r>
      <w:r w:rsidR="00A82A28" w:rsidRPr="002F06C2">
        <w:t>A commitment by CEPT administrations to implement an ECC Decision will provide a clear indication that the required frequency bands will be made available on time and on a European-wide basis.</w:t>
      </w:r>
    </w:p>
    <w:p w:rsidR="006C03D0" w:rsidRPr="002F06C2" w:rsidRDefault="005F7AD5" w:rsidP="006C03D0">
      <w:pPr>
        <w:pStyle w:val="Heading1"/>
      </w:pPr>
      <w:r w:rsidRPr="002F06C2">
        <w:lastRenderedPageBreak/>
        <w:t>ECC Decision of</w:t>
      </w:r>
      <w:r w:rsidR="00A8085A" w:rsidRPr="002F06C2">
        <w:t xml:space="preserve"> </w:t>
      </w:r>
      <w:r w:rsidR="00A05CC2" w:rsidRPr="002F06C2">
        <w:t>13 March 2009</w:t>
      </w:r>
      <w:r w:rsidR="00A8085A" w:rsidRPr="002F06C2">
        <w:t xml:space="preserve"> </w:t>
      </w:r>
      <w:r w:rsidRPr="002F06C2">
        <w:t>on</w:t>
      </w:r>
      <w:r w:rsidR="00A8085A" w:rsidRPr="002F06C2">
        <w:t xml:space="preserve"> </w:t>
      </w:r>
      <w:r w:rsidR="00A82A28" w:rsidRPr="002F06C2">
        <w:t>the harmonised use of the 63</w:t>
      </w:r>
      <w:r w:rsidR="007C12F2">
        <w:t>.72</w:t>
      </w:r>
      <w:r w:rsidR="00A82A28" w:rsidRPr="002F06C2">
        <w:t>-6</w:t>
      </w:r>
      <w:r w:rsidR="007C12F2">
        <w:t>5.88</w:t>
      </w:r>
      <w:r w:rsidR="00A82A28" w:rsidRPr="002F06C2">
        <w:t xml:space="preserve"> GH</w:t>
      </w:r>
      <w:r w:rsidR="00A82A28" w:rsidRPr="002F06C2">
        <w:rPr>
          <w:sz w:val="16"/>
        </w:rPr>
        <w:t>z</w:t>
      </w:r>
      <w:r w:rsidR="00A82A28" w:rsidRPr="002F06C2">
        <w:t xml:space="preserve"> frequency band for Intelligent Transport Systems (ITS)</w:t>
      </w:r>
      <w:r w:rsidR="00A8085A" w:rsidRPr="002F06C2">
        <w:t xml:space="preserve"> (</w:t>
      </w:r>
      <w:r w:rsidR="00A82A28" w:rsidRPr="002F06C2">
        <w:t>ECC/DEC/(09)01</w:t>
      </w:r>
      <w:r w:rsidR="00A8085A" w:rsidRPr="002F06C2">
        <w:t>)</w:t>
      </w:r>
      <w:r w:rsidR="00D115F5" w:rsidRPr="002F06C2">
        <w:t>,</w:t>
      </w:r>
      <w:r w:rsidR="00A05CC2" w:rsidRPr="002F06C2">
        <w:t xml:space="preserve"> amended 04 March 2016</w:t>
      </w:r>
      <w:r w:rsidR="00F73465" w:rsidRPr="002F06C2">
        <w:t xml:space="preserve"> </w:t>
      </w:r>
      <w:r w:rsidR="00D115F5" w:rsidRPr="002F06C2">
        <w:t xml:space="preserve">and </w:t>
      </w:r>
      <w:r w:rsidR="00F73465" w:rsidRPr="002F06C2">
        <w:t xml:space="preserve">Amended </w:t>
      </w:r>
      <w:r w:rsidR="00A2375A">
        <w:t>05</w:t>
      </w:r>
      <w:r w:rsidR="00F73465" w:rsidRPr="002F06C2">
        <w:t xml:space="preserve"> </w:t>
      </w:r>
      <w:r w:rsidR="00A2375A">
        <w:t xml:space="preserve">July </w:t>
      </w:r>
      <w:r w:rsidR="00F73465" w:rsidRPr="002F06C2">
        <w:t>2019</w:t>
      </w:r>
    </w:p>
    <w:p w:rsidR="006C03D0" w:rsidRPr="002F06C2" w:rsidRDefault="005F7AD5" w:rsidP="006C03D0">
      <w:pPr>
        <w:pStyle w:val="ECCParagraph"/>
      </w:pPr>
      <w:r w:rsidRPr="002F06C2">
        <w:t>“The European Conference of Postal and Telecommunications Administrations,</w:t>
      </w:r>
    </w:p>
    <w:p w:rsidR="006C03D0" w:rsidRPr="002F06C2" w:rsidRDefault="00A82A28" w:rsidP="006C03D0">
      <w:pPr>
        <w:pStyle w:val="ECCParagraph"/>
        <w:rPr>
          <w:i/>
          <w:color w:val="D2232A"/>
        </w:rPr>
      </w:pPr>
      <w:r w:rsidRPr="002F06C2">
        <w:rPr>
          <w:i/>
          <w:color w:val="D2232A"/>
        </w:rPr>
        <w:t>considering</w:t>
      </w:r>
    </w:p>
    <w:p w:rsidR="00A82A28" w:rsidRPr="002F06C2" w:rsidRDefault="00A82A28" w:rsidP="00C72A5F">
      <w:pPr>
        <w:numPr>
          <w:ilvl w:val="0"/>
          <w:numId w:val="17"/>
        </w:numPr>
        <w:tabs>
          <w:tab w:val="num" w:pos="540"/>
        </w:tabs>
        <w:ind w:left="567" w:hanging="567"/>
        <w:jc w:val="both"/>
        <w:rPr>
          <w:color w:val="000000"/>
          <w:lang w:val="en-GB"/>
        </w:rPr>
      </w:pPr>
      <w:r w:rsidRPr="002F06C2">
        <w:rPr>
          <w:color w:val="000000"/>
          <w:lang w:val="en-GB"/>
        </w:rPr>
        <w:t xml:space="preserve">that there is an industry requirement for designation of frequency spectrum within the band </w:t>
      </w:r>
      <w:r w:rsidR="00572585" w:rsidRPr="002F06C2">
        <w:rPr>
          <w:color w:val="000000"/>
          <w:lang w:val="en-GB"/>
        </w:rPr>
        <w:t xml:space="preserve">63.72-65.88 </w:t>
      </w:r>
      <w:r w:rsidRPr="002F06C2">
        <w:rPr>
          <w:color w:val="000000"/>
          <w:lang w:val="en-GB"/>
        </w:rPr>
        <w:t>GHz for harmonised implementation and deployment of Intelligent Transport Systems (ITS);</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the deployment of ITS in Europe would support the European Union e-Safety initiative with the goals to reduce road fatalities and improve the efficiency of road traffic and the i2010 policy of the European Union;</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the frequency band 63-64 GHz is allocated to the Mobile Service,</w:t>
      </w:r>
      <w:r w:rsidR="00E66B06" w:rsidRPr="002F06C2">
        <w:rPr>
          <w:color w:val="000000"/>
          <w:lang w:val="en-GB"/>
        </w:rPr>
        <w:t xml:space="preserve"> the Fixed Service,</w:t>
      </w:r>
      <w:r w:rsidRPr="002F06C2">
        <w:rPr>
          <w:color w:val="000000"/>
          <w:lang w:val="en-GB"/>
        </w:rPr>
        <w:t xml:space="preserve"> the Radiolocation Service and to the Inter-Satellite Service on a primary basis in the European Common Allocation table (ERC Report 25);</w:t>
      </w:r>
    </w:p>
    <w:p w:rsidR="00572585" w:rsidRPr="002F06C2" w:rsidRDefault="00572585" w:rsidP="00572585">
      <w:pPr>
        <w:pStyle w:val="ListParagraph"/>
        <w:rPr>
          <w:color w:val="000000"/>
          <w:lang w:val="en-GB"/>
        </w:rPr>
      </w:pPr>
    </w:p>
    <w:p w:rsidR="00572585" w:rsidRPr="002F06C2" w:rsidRDefault="00572585" w:rsidP="00572585">
      <w:pPr>
        <w:numPr>
          <w:ilvl w:val="0"/>
          <w:numId w:val="17"/>
        </w:numPr>
        <w:tabs>
          <w:tab w:val="num" w:pos="540"/>
        </w:tabs>
        <w:ind w:left="567" w:hanging="567"/>
        <w:jc w:val="both"/>
        <w:rPr>
          <w:color w:val="000000"/>
          <w:lang w:val="en-GB"/>
        </w:rPr>
      </w:pPr>
      <w:r w:rsidRPr="002F06C2">
        <w:rPr>
          <w:color w:val="000000"/>
          <w:lang w:val="en-GB"/>
        </w:rPr>
        <w:t>that the frequency range 64-65 GHz is allocated to the Fixed, Inter-Satellite Service and to the Mobile except Aeronautical Mobile Service on a primary basis in the European Common Allocation table (ERC Report 25);</w:t>
      </w:r>
    </w:p>
    <w:p w:rsidR="00572585" w:rsidRPr="002F06C2" w:rsidRDefault="00572585" w:rsidP="00D115F5">
      <w:pPr>
        <w:ind w:left="567"/>
        <w:jc w:val="both"/>
        <w:rPr>
          <w:color w:val="000000"/>
          <w:lang w:val="en-GB"/>
        </w:rPr>
      </w:pPr>
    </w:p>
    <w:p w:rsidR="00572585" w:rsidRPr="002F06C2" w:rsidRDefault="00572585" w:rsidP="00572585">
      <w:pPr>
        <w:numPr>
          <w:ilvl w:val="0"/>
          <w:numId w:val="17"/>
        </w:numPr>
        <w:tabs>
          <w:tab w:val="num" w:pos="540"/>
        </w:tabs>
        <w:ind w:left="567" w:hanging="567"/>
        <w:jc w:val="both"/>
        <w:rPr>
          <w:color w:val="000000"/>
          <w:lang w:val="en-GB"/>
        </w:rPr>
      </w:pPr>
      <w:r w:rsidRPr="002F06C2">
        <w:rPr>
          <w:color w:val="000000"/>
          <w:lang w:val="en-GB"/>
        </w:rPr>
        <w:t xml:space="preserve">that the frequency range 65-66 GHz is allocated to the Earth Exploration-Satellite Service, the Fixed Service, the Space Research Service, Inter-Satellite Service and to the Mobile except Aeronautical Mobile Service on a primary basis in the European Common Allocation </w:t>
      </w:r>
      <w:r w:rsidR="00F73465" w:rsidRPr="002F06C2">
        <w:rPr>
          <w:color w:val="000000"/>
          <w:lang w:val="en-GB"/>
        </w:rPr>
        <w:t>t</w:t>
      </w:r>
      <w:r w:rsidRPr="002F06C2">
        <w:rPr>
          <w:color w:val="000000"/>
          <w:lang w:val="en-GB"/>
        </w:rPr>
        <w:t>able (ERC Report 25);</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ITS applications providing communication to and from mobile units are considered as an application in the Mobile Service and that frequency spectrum should be designated to ITS as to any other Mobile Service application based on the agreed compatibility conditions;</w:t>
      </w:r>
    </w:p>
    <w:p w:rsidR="00941ADA" w:rsidRPr="002F06C2" w:rsidRDefault="00941ADA" w:rsidP="005A1622">
      <w:pPr>
        <w:pStyle w:val="ListParagraph"/>
        <w:rPr>
          <w:color w:val="000000"/>
          <w:lang w:val="en-GB"/>
        </w:rPr>
      </w:pPr>
    </w:p>
    <w:p w:rsidR="00941ADA" w:rsidRPr="002F06C2" w:rsidRDefault="00941ADA" w:rsidP="00572585">
      <w:pPr>
        <w:numPr>
          <w:ilvl w:val="0"/>
          <w:numId w:val="17"/>
        </w:numPr>
        <w:tabs>
          <w:tab w:val="num" w:pos="540"/>
        </w:tabs>
        <w:ind w:left="567" w:hanging="567"/>
        <w:jc w:val="both"/>
        <w:rPr>
          <w:color w:val="000000"/>
          <w:lang w:val="en-GB"/>
        </w:rPr>
      </w:pPr>
      <w:r w:rsidRPr="002F06C2">
        <w:rPr>
          <w:color w:val="000000"/>
          <w:lang w:val="en-GB"/>
        </w:rPr>
        <w:t xml:space="preserve">that investigations confirm that data exchange in the </w:t>
      </w:r>
      <w:r w:rsidR="00572585" w:rsidRPr="002F06C2">
        <w:rPr>
          <w:color w:val="000000"/>
          <w:lang w:val="en-GB"/>
        </w:rPr>
        <w:t xml:space="preserve">63.72-65.88 </w:t>
      </w:r>
      <w:r w:rsidRPr="002F06C2">
        <w:rPr>
          <w:color w:val="000000"/>
          <w:lang w:val="en-GB"/>
        </w:rPr>
        <w:t xml:space="preserve">GHz band supports ITS applications such as real-time sensor exchange, platooning, high precision positioning, hybrid radar and vehicle communications systems, ultra-low latency applications like automatic co-operative braking, inter coach/wagon communication in rail systems, and automatic driving support; </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ECC Report 113 on ‘</w:t>
      </w:r>
      <w:r w:rsidRPr="002F06C2">
        <w:rPr>
          <w:i/>
          <w:color w:val="000000"/>
          <w:lang w:val="en-GB"/>
        </w:rPr>
        <w:t>Compatibility studies around 63 GHz between ITS and other systems</w:t>
      </w:r>
      <w:r w:rsidRPr="002F06C2">
        <w:rPr>
          <w:color w:val="000000"/>
          <w:lang w:val="en-GB"/>
        </w:rPr>
        <w:t xml:space="preserve">’ provides the results of compatibility studies between the ITS </w:t>
      </w:r>
      <w:r w:rsidR="00C76D1B" w:rsidRPr="002F06C2">
        <w:rPr>
          <w:color w:val="000000"/>
          <w:lang w:val="en-GB"/>
        </w:rPr>
        <w:t xml:space="preserve">within the band 63-64 GHz </w:t>
      </w:r>
      <w:r w:rsidRPr="002F06C2">
        <w:rPr>
          <w:color w:val="000000"/>
          <w:lang w:val="en-GB"/>
        </w:rPr>
        <w:t>and other services/systems as well as requirements to protect other services/systems above 64 GHz;</w:t>
      </w:r>
    </w:p>
    <w:p w:rsidR="00A82A28" w:rsidRPr="002F06C2" w:rsidRDefault="00A82A28" w:rsidP="00A82A28">
      <w:pPr>
        <w:ind w:left="567" w:hanging="567"/>
        <w:jc w:val="both"/>
        <w:rPr>
          <w:color w:val="000000"/>
          <w:lang w:val="en-GB"/>
        </w:rPr>
      </w:pPr>
    </w:p>
    <w:p w:rsidR="00A82A28" w:rsidRPr="002F06C2" w:rsidRDefault="00A82A28" w:rsidP="00572585">
      <w:pPr>
        <w:numPr>
          <w:ilvl w:val="0"/>
          <w:numId w:val="17"/>
        </w:numPr>
        <w:tabs>
          <w:tab w:val="num" w:pos="540"/>
        </w:tabs>
        <w:ind w:left="567" w:hanging="567"/>
        <w:jc w:val="both"/>
        <w:rPr>
          <w:color w:val="000000"/>
          <w:lang w:val="en-GB"/>
        </w:rPr>
      </w:pPr>
      <w:r w:rsidRPr="002F06C2">
        <w:rPr>
          <w:color w:val="000000"/>
          <w:lang w:val="en-GB"/>
        </w:rPr>
        <w:t>that the main conclusions of the compatibility study performed by the CEPT/ECC indicate that within the frequency band 63-64 GHz, ITS applications will not suffer from excessive interference resulting from other services/systems and ITS in this band is compatible with all other services</w:t>
      </w:r>
      <w:r w:rsidR="004F0E6C">
        <w:rPr>
          <w:color w:val="000000"/>
          <w:lang w:val="en-GB"/>
        </w:rPr>
        <w:t>;</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ITS devices cannot claim protection from radiolocation systems in the frequency band 63-64 GHz;</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ITS applications may be developed and deployed in Europe based on the conditions described in the ECC Report 113;</w:t>
      </w:r>
    </w:p>
    <w:p w:rsidR="00391E22" w:rsidRPr="002F06C2" w:rsidRDefault="00391E22" w:rsidP="00391E22">
      <w:pPr>
        <w:pStyle w:val="ListParagraph"/>
        <w:rPr>
          <w:color w:val="000000"/>
          <w:lang w:val="en-GB"/>
        </w:rPr>
      </w:pPr>
    </w:p>
    <w:p w:rsidR="00391E22" w:rsidRPr="002F06C2" w:rsidRDefault="00391E22" w:rsidP="00A82A28">
      <w:pPr>
        <w:numPr>
          <w:ilvl w:val="0"/>
          <w:numId w:val="17"/>
        </w:numPr>
        <w:tabs>
          <w:tab w:val="num" w:pos="540"/>
        </w:tabs>
        <w:ind w:left="567" w:hanging="567"/>
        <w:jc w:val="both"/>
        <w:rPr>
          <w:color w:val="000000"/>
          <w:lang w:val="en-GB"/>
        </w:rPr>
      </w:pPr>
      <w:r w:rsidRPr="002F06C2">
        <w:rPr>
          <w:color w:val="000000"/>
          <w:lang w:val="en-GB"/>
        </w:rPr>
        <w:t>that additional</w:t>
      </w:r>
      <w:r w:rsidRPr="002F06C2">
        <w:rPr>
          <w:lang w:val="en-GB"/>
        </w:rPr>
        <w:t xml:space="preserve"> investigations may be needed concerning ITS in 63.72-65.88 GHz to consider cross interference between ITS and fixed outdoor applications, but this should not postpone the frequency shift </w:t>
      </w:r>
      <w:r w:rsidR="00F73465" w:rsidRPr="002F06C2">
        <w:rPr>
          <w:lang w:val="en-GB"/>
        </w:rPr>
        <w:t>to 63.72-65.88 GHz (see CEPT Report 70)</w:t>
      </w:r>
      <w:r w:rsidRPr="002F06C2">
        <w:rPr>
          <w:lang w:val="en-GB"/>
        </w:rPr>
        <w:t>;</w:t>
      </w:r>
    </w:p>
    <w:p w:rsidR="00A82A28" w:rsidRPr="002F06C2" w:rsidRDefault="00A82A28" w:rsidP="00A82A28">
      <w:pPr>
        <w:ind w:left="567" w:hanging="567"/>
        <w:jc w:val="both"/>
        <w:rPr>
          <w:color w:val="000000"/>
          <w:lang w:val="en-GB"/>
        </w:rPr>
      </w:pPr>
    </w:p>
    <w:p w:rsidR="00A82A28" w:rsidRPr="002F06C2" w:rsidRDefault="00A82A28" w:rsidP="00A82A28">
      <w:pPr>
        <w:numPr>
          <w:ilvl w:val="0"/>
          <w:numId w:val="17"/>
        </w:numPr>
        <w:tabs>
          <w:tab w:val="num" w:pos="540"/>
        </w:tabs>
        <w:ind w:left="567" w:hanging="567"/>
        <w:jc w:val="both"/>
        <w:rPr>
          <w:color w:val="000000"/>
          <w:lang w:val="en-GB"/>
        </w:rPr>
      </w:pPr>
      <w:r w:rsidRPr="002F06C2">
        <w:rPr>
          <w:color w:val="000000"/>
          <w:lang w:val="en-GB"/>
        </w:rPr>
        <w:t>that standardisation of radio equipment and communication protocols to ensure cross-border interoperability for various applications envisaged is ongoing within ETSI, which has develop</w:t>
      </w:r>
      <w:r w:rsidR="00E933FF" w:rsidRPr="002F06C2">
        <w:rPr>
          <w:color w:val="000000"/>
          <w:lang w:val="en-GB"/>
        </w:rPr>
        <w:t>ed</w:t>
      </w:r>
      <w:r w:rsidRPr="002F06C2">
        <w:rPr>
          <w:color w:val="000000"/>
          <w:lang w:val="en-GB"/>
        </w:rPr>
        <w:t xml:space="preserve"> EN 302 686, and other international standardisation organisations;</w:t>
      </w:r>
    </w:p>
    <w:p w:rsidR="00A82A28" w:rsidRPr="002F06C2" w:rsidRDefault="00A82A28" w:rsidP="00A82A28">
      <w:pPr>
        <w:tabs>
          <w:tab w:val="num" w:pos="540"/>
        </w:tabs>
        <w:ind w:left="567" w:hanging="567"/>
        <w:jc w:val="both"/>
        <w:rPr>
          <w:lang w:val="en-GB"/>
        </w:rPr>
      </w:pPr>
    </w:p>
    <w:p w:rsidR="00E65E22" w:rsidRPr="002F06C2" w:rsidRDefault="00A82A28" w:rsidP="00A82A28">
      <w:pPr>
        <w:pStyle w:val="ListParagraph"/>
        <w:numPr>
          <w:ilvl w:val="0"/>
          <w:numId w:val="17"/>
        </w:numPr>
        <w:tabs>
          <w:tab w:val="left" w:pos="567"/>
        </w:tabs>
        <w:spacing w:after="240"/>
        <w:ind w:left="567" w:hanging="567"/>
        <w:contextualSpacing w:val="0"/>
        <w:rPr>
          <w:lang w:val="en-GB"/>
        </w:rPr>
      </w:pPr>
      <w:r w:rsidRPr="002F06C2">
        <w:rPr>
          <w:color w:val="000000"/>
          <w:lang w:val="en-GB"/>
        </w:rPr>
        <w:t>that in the EU/EFTA countries the radio equipment that is under the scope of this Decision shall comply with the R</w:t>
      </w:r>
      <w:r w:rsidR="00485737" w:rsidRPr="002F06C2">
        <w:rPr>
          <w:color w:val="000000"/>
          <w:lang w:val="en-GB"/>
        </w:rPr>
        <w:t>E</w:t>
      </w:r>
      <w:r w:rsidRPr="002F06C2">
        <w:rPr>
          <w:color w:val="000000"/>
          <w:lang w:val="en-GB"/>
        </w:rPr>
        <w:t xml:space="preserve"> Directive</w:t>
      </w:r>
      <w:r w:rsidR="004F0E6C">
        <w:rPr>
          <w:color w:val="000000"/>
          <w:lang w:val="en-GB"/>
        </w:rPr>
        <w:t xml:space="preserve"> (2014/53/EU)</w:t>
      </w:r>
      <w:r w:rsidRPr="002F06C2">
        <w:rPr>
          <w:color w:val="000000"/>
          <w:lang w:val="en-GB"/>
        </w:rPr>
        <w:t>. Conformity with the essential requirements of the R</w:t>
      </w:r>
      <w:r w:rsidR="00485737" w:rsidRPr="002F06C2">
        <w:rPr>
          <w:color w:val="000000"/>
          <w:lang w:val="en-GB"/>
        </w:rPr>
        <w:t>E</w:t>
      </w:r>
      <w:r w:rsidRPr="002F06C2">
        <w:rPr>
          <w:color w:val="000000"/>
          <w:lang w:val="en-GB"/>
        </w:rPr>
        <w:t xml:space="preserve"> </w:t>
      </w:r>
      <w:r w:rsidRPr="002F06C2">
        <w:rPr>
          <w:color w:val="000000"/>
          <w:lang w:val="en-GB"/>
        </w:rPr>
        <w:lastRenderedPageBreak/>
        <w:t>Directive may be demonstrated by compliance with the applicable harmonised European standard(s) or by using the other conformity assessment procedures set out in the R</w:t>
      </w:r>
      <w:r w:rsidR="00485737" w:rsidRPr="002F06C2">
        <w:rPr>
          <w:color w:val="000000"/>
          <w:lang w:val="en-GB"/>
        </w:rPr>
        <w:t>E</w:t>
      </w:r>
      <w:r w:rsidRPr="002F06C2">
        <w:rPr>
          <w:color w:val="000000"/>
          <w:lang w:val="en-GB"/>
        </w:rPr>
        <w:t xml:space="preserve"> Directive</w:t>
      </w:r>
      <w:r w:rsidR="004F0E6C">
        <w:rPr>
          <w:color w:val="000000"/>
          <w:lang w:val="en-GB"/>
        </w:rPr>
        <w:t>.</w:t>
      </w:r>
    </w:p>
    <w:p w:rsidR="006C03D0" w:rsidRPr="002F06C2" w:rsidRDefault="005F7AD5" w:rsidP="006006B0">
      <w:pPr>
        <w:pStyle w:val="ECCParagraph"/>
        <w:keepNext/>
        <w:rPr>
          <w:color w:val="D2232A"/>
        </w:rPr>
      </w:pPr>
      <w:r w:rsidRPr="002F06C2">
        <w:rPr>
          <w:i/>
          <w:color w:val="D2232A"/>
        </w:rPr>
        <w:t>DECIDES</w:t>
      </w:r>
    </w:p>
    <w:p w:rsidR="006006B0" w:rsidRPr="002F06C2" w:rsidRDefault="006006B0" w:rsidP="00485737">
      <w:pPr>
        <w:pStyle w:val="NumberedList"/>
      </w:pPr>
      <w:r w:rsidRPr="002F06C2">
        <w:t xml:space="preserve">that the purpose of this Decision is to harmonise the use of the </w:t>
      </w:r>
      <w:r w:rsidR="00485737" w:rsidRPr="002F06C2">
        <w:t>63.72-65.88</w:t>
      </w:r>
      <w:r w:rsidRPr="002F06C2">
        <w:t>GHz frequency band for Intelligent Transport Systems (ITS);</w:t>
      </w:r>
    </w:p>
    <w:p w:rsidR="006006B0" w:rsidRPr="002F06C2" w:rsidRDefault="006006B0" w:rsidP="003B41C6">
      <w:pPr>
        <w:pStyle w:val="NumberedList"/>
      </w:pPr>
      <w:r w:rsidRPr="002F06C2">
        <w:t xml:space="preserve">that for the purpose of this Decision, Intelligent Transport Systems (ITS) mean those applications whose aim is to reduce the number of traffic fatalities and improving the efficiency of traffic using inter vehicle or </w:t>
      </w:r>
      <w:r w:rsidR="00C47E4E" w:rsidRPr="002F06C2">
        <w:t>infrastructure</w:t>
      </w:r>
      <w:r w:rsidRPr="002F06C2">
        <w:t xml:space="preserve"> to vehicle communications</w:t>
      </w:r>
      <w:r w:rsidR="003B41C6" w:rsidRPr="002F06C2">
        <w:t xml:space="preserve"> including hybrid radar and vehicle communications systems</w:t>
      </w:r>
      <w:r w:rsidRPr="002F06C2">
        <w:t>;</w:t>
      </w:r>
    </w:p>
    <w:p w:rsidR="006006B0" w:rsidRPr="002F06C2" w:rsidRDefault="006006B0" w:rsidP="00485737">
      <w:pPr>
        <w:pStyle w:val="NumberedList"/>
      </w:pPr>
      <w:r w:rsidRPr="002F06C2">
        <w:t xml:space="preserve">that CEPT </w:t>
      </w:r>
      <w:r w:rsidRPr="004F0E6C">
        <w:t>administrations shall</w:t>
      </w:r>
      <w:r w:rsidRPr="002F06C2">
        <w:t xml:space="preserve"> designate the frequency band </w:t>
      </w:r>
      <w:r w:rsidR="00485737" w:rsidRPr="002F06C2">
        <w:t>63.72-65.88</w:t>
      </w:r>
      <w:r w:rsidR="004F0E6C">
        <w:t xml:space="preserve"> </w:t>
      </w:r>
      <w:r w:rsidRPr="002F06C2">
        <w:t>GHz for ITS applications;</w:t>
      </w:r>
    </w:p>
    <w:p w:rsidR="00485737" w:rsidRPr="002F06C2" w:rsidRDefault="00C76D1B" w:rsidP="00C76D1B">
      <w:pPr>
        <w:pStyle w:val="NumberedList"/>
      </w:pPr>
      <w:r w:rsidRPr="002F06C2">
        <w:rPr>
          <w:rFonts w:ascii="Helvetica" w:hAnsi="Helvetica"/>
          <w:color w:val="333333"/>
          <w:sz w:val="21"/>
          <w:szCs w:val="21"/>
          <w:shd w:val="clear" w:color="auto" w:fill="FFFFFF"/>
        </w:rPr>
        <w:t>that ITS devices in the frequency band 63-64 GHz placed on the market before the 1 January 2020 are continuously permitted to be used;</w:t>
      </w:r>
    </w:p>
    <w:p w:rsidR="006006B0" w:rsidRPr="002F06C2" w:rsidRDefault="006006B0" w:rsidP="006006B0">
      <w:pPr>
        <w:pStyle w:val="NumberedList"/>
      </w:pPr>
      <w:r w:rsidRPr="002F06C2">
        <w:t>that the maximum radiated power (e.i.r.p.) for ITS stations should be limited to 40 dBm e.i.r.p.;</w:t>
      </w:r>
    </w:p>
    <w:p w:rsidR="006006B0" w:rsidRPr="002F06C2" w:rsidRDefault="006006B0" w:rsidP="006006B0">
      <w:pPr>
        <w:pStyle w:val="NumberedList"/>
      </w:pPr>
      <w:r w:rsidRPr="002F06C2">
        <w:t xml:space="preserve">that CEPT </w:t>
      </w:r>
      <w:r w:rsidRPr="004F0E6C">
        <w:t>administrations shall</w:t>
      </w:r>
      <w:r w:rsidRPr="002F06C2">
        <w:t xml:space="preserve"> permit free circulation and use of ITS equipment;</w:t>
      </w:r>
    </w:p>
    <w:p w:rsidR="006006B0" w:rsidRPr="002F06C2" w:rsidRDefault="006006B0" w:rsidP="006006B0">
      <w:pPr>
        <w:pStyle w:val="NumberedList"/>
      </w:pPr>
      <w:r w:rsidRPr="002F06C2">
        <w:t xml:space="preserve">that CEPT </w:t>
      </w:r>
      <w:r w:rsidRPr="004F0E6C">
        <w:t>administrations shall</w:t>
      </w:r>
      <w:r w:rsidRPr="002F06C2">
        <w:t xml:space="preserve"> exempt ITS equipment </w:t>
      </w:r>
      <w:r w:rsidR="008B688A" w:rsidRPr="002F06C2">
        <w:t xml:space="preserve">falling under this Decision </w:t>
      </w:r>
      <w:r w:rsidRPr="002F06C2">
        <w:t>from individual licensing;</w:t>
      </w:r>
    </w:p>
    <w:p w:rsidR="006006B0" w:rsidRPr="002F06C2" w:rsidRDefault="006006B0" w:rsidP="006006B0">
      <w:pPr>
        <w:pStyle w:val="NumberedList"/>
      </w:pPr>
      <w:r w:rsidRPr="002F06C2">
        <w:t xml:space="preserve">that this ECC Decision </w:t>
      </w:r>
      <w:r w:rsidRPr="004F0E6C">
        <w:t>enters into force</w:t>
      </w:r>
      <w:r w:rsidRPr="002F06C2">
        <w:t xml:space="preserve"> on </w:t>
      </w:r>
      <w:r w:rsidR="00A2375A">
        <w:t>05</w:t>
      </w:r>
      <w:r w:rsidR="00485737" w:rsidRPr="002F06C2">
        <w:t xml:space="preserve"> </w:t>
      </w:r>
      <w:r w:rsidR="00A2375A">
        <w:t>July 2019</w:t>
      </w:r>
      <w:r w:rsidRPr="002F06C2">
        <w:t>;</w:t>
      </w:r>
    </w:p>
    <w:p w:rsidR="006006B0" w:rsidRPr="002F06C2" w:rsidRDefault="006006B0" w:rsidP="006006B0">
      <w:pPr>
        <w:pStyle w:val="NumberedList"/>
      </w:pPr>
      <w:r w:rsidRPr="002F06C2">
        <w:t xml:space="preserve">that the preferred </w:t>
      </w:r>
      <w:r w:rsidRPr="004F0E6C">
        <w:t>date for implementation</w:t>
      </w:r>
      <w:r w:rsidRPr="002F06C2">
        <w:t xml:space="preserve"> of this ECC Decision shall be </w:t>
      </w:r>
      <w:r w:rsidR="00A2375A">
        <w:t>05 January 2020</w:t>
      </w:r>
      <w:r w:rsidRPr="002F06C2">
        <w:t>;</w:t>
      </w:r>
    </w:p>
    <w:p w:rsidR="007E23E4" w:rsidRPr="002F06C2" w:rsidRDefault="006006B0" w:rsidP="006006B0">
      <w:pPr>
        <w:pStyle w:val="NumberedList"/>
      </w:pPr>
      <w:r w:rsidRPr="002F06C2">
        <w:t xml:space="preserve">that CEPT </w:t>
      </w:r>
      <w:r w:rsidRPr="004F0E6C">
        <w:t>administrations shall communicate the national measures</w:t>
      </w:r>
      <w:r w:rsidRPr="002F06C2">
        <w:t xml:space="preserve"> implementing this Decision to the ECC chairman and the Office when the Decision is nationally implemented."</w:t>
      </w:r>
    </w:p>
    <w:p w:rsidR="006006B0" w:rsidRPr="002F06C2" w:rsidRDefault="006006B0" w:rsidP="00D90B0A">
      <w:pPr>
        <w:pStyle w:val="ECCParagraph"/>
        <w:keepNext/>
        <w:rPr>
          <w:i/>
          <w:color w:val="D2232A"/>
        </w:rPr>
      </w:pPr>
    </w:p>
    <w:p w:rsidR="001C46EA" w:rsidRPr="002F06C2" w:rsidRDefault="001C46EA" w:rsidP="00D90B0A">
      <w:pPr>
        <w:pStyle w:val="ECCParagraph"/>
        <w:keepNext/>
        <w:rPr>
          <w:i/>
          <w:color w:val="D2232A"/>
        </w:rPr>
      </w:pPr>
      <w:r w:rsidRPr="002F06C2">
        <w:rPr>
          <w:i/>
          <w:color w:val="D2232A"/>
        </w:rPr>
        <w:t xml:space="preserve">Note: </w:t>
      </w:r>
    </w:p>
    <w:p w:rsidR="001C46EA" w:rsidRPr="002F06C2" w:rsidRDefault="001C46EA" w:rsidP="00D90B0A">
      <w:pPr>
        <w:pStyle w:val="ECCParagraph"/>
        <w:keepNext/>
      </w:pPr>
      <w:r w:rsidRPr="002F06C2">
        <w:rPr>
          <w:i/>
          <w:szCs w:val="20"/>
        </w:rPr>
        <w:t xml:space="preserve">Please check the Office documentation database </w:t>
      </w:r>
      <w:hyperlink r:id="rId9" w:history="1">
        <w:r w:rsidR="00485737" w:rsidRPr="002F06C2">
          <w:rPr>
            <w:rStyle w:val="Hyperlink"/>
            <w:i/>
            <w:szCs w:val="20"/>
          </w:rPr>
          <w:t>https://www.ecodocdb.dk</w:t>
        </w:r>
      </w:hyperlink>
      <w:r w:rsidRPr="002F06C2">
        <w:rPr>
          <w:i/>
          <w:szCs w:val="20"/>
        </w:rPr>
        <w:t xml:space="preserve"> for the up to date position on the implementation of this and other </w:t>
      </w:r>
      <w:smartTag w:uri="urn:schemas-microsoft-com:office:smarttags" w:element="stockticker">
        <w:r w:rsidRPr="002F06C2">
          <w:rPr>
            <w:i/>
            <w:szCs w:val="20"/>
          </w:rPr>
          <w:t>ECC</w:t>
        </w:r>
      </w:smartTag>
      <w:r w:rsidRPr="002F06C2">
        <w:rPr>
          <w:i/>
          <w:szCs w:val="20"/>
        </w:rPr>
        <w:t xml:space="preserve"> Decisions.</w:t>
      </w:r>
    </w:p>
    <w:p w:rsidR="006C03D0" w:rsidRPr="002F06C2" w:rsidRDefault="006C03D0" w:rsidP="006C03D0">
      <w:pPr>
        <w:pStyle w:val="ECCTablenote"/>
      </w:pPr>
      <w:bookmarkStart w:id="2" w:name="_GoBack"/>
      <w:bookmarkEnd w:id="2"/>
    </w:p>
    <w:sectPr w:rsidR="006C03D0" w:rsidRPr="002F06C2"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F7" w:rsidRDefault="00B262F7" w:rsidP="006C03D0">
      <w:r>
        <w:separator/>
      </w:r>
    </w:p>
  </w:endnote>
  <w:endnote w:type="continuationSeparator" w:id="0">
    <w:p w:rsidR="00B262F7" w:rsidRDefault="00B262F7"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F7" w:rsidRDefault="00B262F7" w:rsidP="006C03D0">
      <w:r>
        <w:separator/>
      </w:r>
    </w:p>
  </w:footnote>
  <w:footnote w:type="continuationSeparator" w:id="0">
    <w:p w:rsidR="00B262F7" w:rsidRDefault="00B262F7" w:rsidP="006C03D0">
      <w:r>
        <w:continuationSeparator/>
      </w:r>
    </w:p>
  </w:footnote>
  <w:footnote w:id="1">
    <w:p w:rsidR="00E933FF" w:rsidRPr="00C3090F" w:rsidRDefault="00E933FF" w:rsidP="00E933FF">
      <w:pPr>
        <w:pStyle w:val="FootnoteText"/>
      </w:pPr>
      <w:r>
        <w:rPr>
          <w:rStyle w:val="FootnoteReference"/>
        </w:rPr>
        <w:footnoteRef/>
      </w:r>
      <w:r w:rsidRPr="00C3090F">
        <w:t xml:space="preserve">  Comparable technical specifications to those given in this ECC Decision are given in </w:t>
      </w:r>
      <w:r>
        <w:t xml:space="preserve">the amended </w:t>
      </w:r>
      <w:r w:rsidRPr="00C3090F">
        <w:t xml:space="preserve">Commission Decision </w:t>
      </w:r>
      <w:r w:rsidR="009062A9">
        <w:t>2006/771/EC</w:t>
      </w:r>
      <w:r w:rsidR="00A2375A">
        <w:t xml:space="preserve"> on SRD</w:t>
      </w:r>
      <w:r w:rsidRPr="00C3090F">
        <w:t>. EU Member States and, if so approved by the EEA Joint Committee, Iceland, Liechtenstein and Norway are obliged to implement the Commission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2F06C2" w:rsidRDefault="00B03382">
    <w:pPr>
      <w:pStyle w:val="Header"/>
      <w:rPr>
        <w:szCs w:val="16"/>
        <w:lang w:val="en-GB"/>
      </w:rPr>
    </w:pPr>
    <w:r w:rsidRPr="002F06C2">
      <w:rPr>
        <w:lang w:val="en-GB"/>
      </w:rPr>
      <w:t>ECC/DEC/</w:t>
    </w:r>
    <w:r w:rsidR="00FA4704" w:rsidRPr="002F06C2">
      <w:rPr>
        <w:lang w:val="en-GB"/>
      </w:rPr>
      <w:t>(</w:t>
    </w:r>
    <w:r w:rsidR="00A82A28" w:rsidRPr="002F06C2">
      <w:rPr>
        <w:lang w:val="en-GB"/>
      </w:rPr>
      <w:t>09</w:t>
    </w:r>
    <w:r w:rsidR="00FA4704" w:rsidRPr="002F06C2">
      <w:rPr>
        <w:lang w:val="en-GB"/>
      </w:rPr>
      <w:t>)</w:t>
    </w:r>
    <w:r w:rsidR="00A82A28" w:rsidRPr="002F06C2">
      <w:rPr>
        <w:lang w:val="en-GB"/>
      </w:rPr>
      <w:t>01</w:t>
    </w:r>
    <w:r w:rsidR="00FA4704" w:rsidRPr="002F06C2">
      <w:rPr>
        <w:lang w:val="en-GB"/>
      </w:rPr>
      <w:t xml:space="preserve"> </w:t>
    </w:r>
    <w:r w:rsidR="00FA4704" w:rsidRPr="002F06C2">
      <w:rPr>
        <w:szCs w:val="16"/>
        <w:lang w:val="en-GB"/>
      </w:rPr>
      <w:t xml:space="preserve">Page </w:t>
    </w:r>
    <w:r w:rsidR="00FA4704" w:rsidRPr="002F06C2">
      <w:rPr>
        <w:lang w:val="en-GB"/>
      </w:rPr>
      <w:fldChar w:fldCharType="begin"/>
    </w:r>
    <w:r w:rsidR="00FA4704" w:rsidRPr="002F06C2">
      <w:rPr>
        <w:lang w:val="en-GB"/>
      </w:rPr>
      <w:instrText xml:space="preserve"> PAGE  \* Arabic  \* MERGEFORMAT </w:instrText>
    </w:r>
    <w:r w:rsidR="00FA4704" w:rsidRPr="002F06C2">
      <w:rPr>
        <w:lang w:val="en-GB"/>
      </w:rPr>
      <w:fldChar w:fldCharType="separate"/>
    </w:r>
    <w:r w:rsidR="00422BAC" w:rsidRPr="00422BAC">
      <w:rPr>
        <w:noProof/>
        <w:szCs w:val="16"/>
        <w:lang w:val="en-GB"/>
      </w:rPr>
      <w:t>6</w:t>
    </w:r>
    <w:r w:rsidR="00FA4704" w:rsidRPr="002F06C2">
      <w:rPr>
        <w:szCs w:val="16"/>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2F06C2" w:rsidRDefault="00B03382" w:rsidP="006C03D0">
    <w:pPr>
      <w:pStyle w:val="Header"/>
      <w:jc w:val="right"/>
      <w:rPr>
        <w:szCs w:val="16"/>
        <w:lang w:val="en-GB"/>
      </w:rPr>
    </w:pPr>
    <w:r w:rsidRPr="002F06C2">
      <w:rPr>
        <w:lang w:val="en-GB"/>
      </w:rPr>
      <w:t>ECC/DEC/</w:t>
    </w:r>
    <w:r w:rsidR="00FA4704" w:rsidRPr="002F06C2">
      <w:rPr>
        <w:lang w:val="en-GB"/>
      </w:rPr>
      <w:t>(</w:t>
    </w:r>
    <w:r w:rsidR="00A82A28" w:rsidRPr="002F06C2">
      <w:rPr>
        <w:lang w:val="en-GB"/>
      </w:rPr>
      <w:t>09</w:t>
    </w:r>
    <w:r w:rsidR="00FA4704" w:rsidRPr="002F06C2">
      <w:rPr>
        <w:lang w:val="en-GB"/>
      </w:rPr>
      <w:t>)</w:t>
    </w:r>
    <w:r w:rsidR="00A82A28" w:rsidRPr="002F06C2">
      <w:rPr>
        <w:lang w:val="en-GB"/>
      </w:rPr>
      <w:t>01</w:t>
    </w:r>
    <w:r w:rsidR="00FA4704" w:rsidRPr="002F06C2">
      <w:rPr>
        <w:lang w:val="en-GB"/>
      </w:rPr>
      <w:t xml:space="preserve"> </w:t>
    </w:r>
    <w:r w:rsidR="00FA4704" w:rsidRPr="002F06C2">
      <w:rPr>
        <w:szCs w:val="16"/>
        <w:lang w:val="en-GB"/>
      </w:rPr>
      <w:t xml:space="preserve">Page </w:t>
    </w:r>
    <w:r w:rsidR="00FA4704" w:rsidRPr="002F06C2">
      <w:rPr>
        <w:lang w:val="en-GB"/>
      </w:rPr>
      <w:fldChar w:fldCharType="begin"/>
    </w:r>
    <w:r w:rsidR="00FA4704" w:rsidRPr="002F06C2">
      <w:rPr>
        <w:lang w:val="en-GB"/>
      </w:rPr>
      <w:instrText xml:space="preserve"> PAGE  \* Arabic  \* MERGEFORMAT </w:instrText>
    </w:r>
    <w:r w:rsidR="00FA4704" w:rsidRPr="002F06C2">
      <w:rPr>
        <w:lang w:val="en-GB"/>
      </w:rPr>
      <w:fldChar w:fldCharType="separate"/>
    </w:r>
    <w:r w:rsidR="00422BAC" w:rsidRPr="00422BAC">
      <w:rPr>
        <w:noProof/>
        <w:szCs w:val="16"/>
        <w:lang w:val="en-GB"/>
      </w:rPr>
      <w:t>5</w:t>
    </w:r>
    <w:r w:rsidR="00FA4704" w:rsidRPr="002F06C2">
      <w:rPr>
        <w:szCs w:val="16"/>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2F06C2">
    <w:pPr>
      <w:pStyle w:val="Header"/>
    </w:pPr>
    <w:r w:rsidRPr="002F06C2">
      <w:rPr>
        <w:noProof/>
        <w:szCs w:val="20"/>
        <w:lang w:val="da-DK" w:eastAsia="da-DK"/>
      </w:rPr>
      <w:drawing>
        <wp:anchor distT="0" distB="0" distL="114300" distR="114300" simplePos="0" relativeHeight="251656704" behindDoc="0" locked="0" layoutInCell="1" allowOverlap="1" wp14:anchorId="792D75F0" wp14:editId="6012631C">
          <wp:simplePos x="0" y="0"/>
          <wp:positionH relativeFrom="page">
            <wp:posOffset>675183</wp:posOffset>
          </wp:positionH>
          <wp:positionV relativeFrom="page">
            <wp:posOffset>449885</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sidR="00FA4704">
      <w:rPr>
        <w:noProof/>
        <w:szCs w:val="20"/>
        <w:lang w:val="da-DK" w:eastAsia="da-DK"/>
      </w:rPr>
      <w:drawing>
        <wp:anchor distT="0" distB="0" distL="114300" distR="114300" simplePos="0" relativeHeight="251657728" behindDoc="0" locked="0" layoutInCell="1" allowOverlap="1" wp14:anchorId="3C710ACE" wp14:editId="57B84E50">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3">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6">
    <w:nsid w:val="5C516084"/>
    <w:multiLevelType w:val="hybridMultilevel"/>
    <w:tmpl w:val="8BE2067E"/>
    <w:lvl w:ilvl="0" w:tplc="04090017">
      <w:start w:val="1"/>
      <w:numFmt w:val="lowerLetter"/>
      <w:lvlText w:val="%1)"/>
      <w:lvlJc w:val="left"/>
      <w:pPr>
        <w:tabs>
          <w:tab w:val="num" w:pos="644"/>
        </w:tabs>
        <w:ind w:left="644" w:hanging="360"/>
      </w:pPr>
      <w:rPr>
        <w:rFonts w:hint="default"/>
      </w:rPr>
    </w:lvl>
    <w:lvl w:ilvl="1" w:tplc="5F3AAFC4">
      <w:start w:val="1"/>
      <w:numFmt w:val="decimal"/>
      <w:lvlText w:val="%2."/>
      <w:lvlJc w:val="left"/>
      <w:pPr>
        <w:tabs>
          <w:tab w:val="num" w:pos="1440"/>
        </w:tabs>
        <w:ind w:left="1440" w:hanging="360"/>
      </w:pPr>
      <w:rPr>
        <w:rFonts w:hint="default"/>
      </w:rPr>
    </w:lvl>
    <w:lvl w:ilvl="2" w:tplc="60066446">
      <w:start w:val="1"/>
      <w:numFmt w:val="decimal"/>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4"/>
  </w:num>
  <w:num w:numId="4">
    <w:abstractNumId w:val="4"/>
  </w:num>
  <w:num w:numId="5">
    <w:abstractNumId w:val="15"/>
  </w:num>
  <w:num w:numId="6">
    <w:abstractNumId w:val="8"/>
  </w:num>
  <w:num w:numId="7">
    <w:abstractNumId w:val="7"/>
  </w:num>
  <w:num w:numId="8">
    <w:abstractNumId w:val="13"/>
  </w:num>
  <w:num w:numId="9">
    <w:abstractNumId w:val="12"/>
  </w:num>
  <w:num w:numId="10">
    <w:abstractNumId w:val="9"/>
  </w:num>
  <w:num w:numId="11">
    <w:abstractNumId w:val="13"/>
    <w:lvlOverride w:ilvl="0">
      <w:startOverride w:val="1"/>
    </w:lvlOverride>
  </w:num>
  <w:num w:numId="12">
    <w:abstractNumId w:val="3"/>
  </w:num>
  <w:num w:numId="13">
    <w:abstractNumId w:val="1"/>
  </w:num>
  <w:num w:numId="14">
    <w:abstractNumId w:val="18"/>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9"/>
  </w:num>
  <w:num w:numId="20">
    <w:abstractNumId w:val="10"/>
  </w:num>
  <w:num w:numId="21">
    <w:abstractNumId w:val="21"/>
  </w:num>
  <w:num w:numId="22">
    <w:abstractNumId w:val="22"/>
  </w:num>
  <w:num w:numId="23">
    <w:abstractNumId w:val="0"/>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28"/>
    <w:rsid w:val="00013203"/>
    <w:rsid w:val="0001495C"/>
    <w:rsid w:val="00031379"/>
    <w:rsid w:val="00072B81"/>
    <w:rsid w:val="000C183F"/>
    <w:rsid w:val="000F3919"/>
    <w:rsid w:val="001019CC"/>
    <w:rsid w:val="00105D0F"/>
    <w:rsid w:val="001358F7"/>
    <w:rsid w:val="0013619B"/>
    <w:rsid w:val="001721F5"/>
    <w:rsid w:val="001B3672"/>
    <w:rsid w:val="001C2152"/>
    <w:rsid w:val="001C339A"/>
    <w:rsid w:val="001C3EA1"/>
    <w:rsid w:val="001C46EA"/>
    <w:rsid w:val="001E0C8D"/>
    <w:rsid w:val="001F6CB7"/>
    <w:rsid w:val="001F6D4B"/>
    <w:rsid w:val="002043B7"/>
    <w:rsid w:val="00246FB4"/>
    <w:rsid w:val="002559E0"/>
    <w:rsid w:val="002741A5"/>
    <w:rsid w:val="00297E30"/>
    <w:rsid w:val="002F06C2"/>
    <w:rsid w:val="00300F70"/>
    <w:rsid w:val="00312D09"/>
    <w:rsid w:val="003724FC"/>
    <w:rsid w:val="00391E22"/>
    <w:rsid w:val="003B41C6"/>
    <w:rsid w:val="003E2EB0"/>
    <w:rsid w:val="00412E32"/>
    <w:rsid w:val="00422BAC"/>
    <w:rsid w:val="0045458C"/>
    <w:rsid w:val="00485737"/>
    <w:rsid w:val="00485B31"/>
    <w:rsid w:val="004B54EA"/>
    <w:rsid w:val="004B786F"/>
    <w:rsid w:val="004C730D"/>
    <w:rsid w:val="004D4301"/>
    <w:rsid w:val="004F0E6C"/>
    <w:rsid w:val="00572585"/>
    <w:rsid w:val="0058263A"/>
    <w:rsid w:val="005A12A7"/>
    <w:rsid w:val="005A1622"/>
    <w:rsid w:val="005A6295"/>
    <w:rsid w:val="005F7AD5"/>
    <w:rsid w:val="006006B0"/>
    <w:rsid w:val="00605C1A"/>
    <w:rsid w:val="00607D75"/>
    <w:rsid w:val="00614199"/>
    <w:rsid w:val="006223F0"/>
    <w:rsid w:val="00625BA5"/>
    <w:rsid w:val="00661D47"/>
    <w:rsid w:val="006A0254"/>
    <w:rsid w:val="006A49F2"/>
    <w:rsid w:val="006B5A03"/>
    <w:rsid w:val="006C03D0"/>
    <w:rsid w:val="006C36E5"/>
    <w:rsid w:val="0070052E"/>
    <w:rsid w:val="00713DBA"/>
    <w:rsid w:val="0072113E"/>
    <w:rsid w:val="007C12F2"/>
    <w:rsid w:val="007C6571"/>
    <w:rsid w:val="007C6D0C"/>
    <w:rsid w:val="007E23E4"/>
    <w:rsid w:val="007E746E"/>
    <w:rsid w:val="00871F7C"/>
    <w:rsid w:val="008841C3"/>
    <w:rsid w:val="0089751E"/>
    <w:rsid w:val="008A088E"/>
    <w:rsid w:val="008B688A"/>
    <w:rsid w:val="008D21E4"/>
    <w:rsid w:val="008E06D8"/>
    <w:rsid w:val="00905929"/>
    <w:rsid w:val="009062A9"/>
    <w:rsid w:val="00923881"/>
    <w:rsid w:val="00934CF8"/>
    <w:rsid w:val="00941ADA"/>
    <w:rsid w:val="009519BA"/>
    <w:rsid w:val="0097784B"/>
    <w:rsid w:val="009A18AF"/>
    <w:rsid w:val="009E6E3E"/>
    <w:rsid w:val="009F14FD"/>
    <w:rsid w:val="00A05CC2"/>
    <w:rsid w:val="00A15D4A"/>
    <w:rsid w:val="00A2375A"/>
    <w:rsid w:val="00A26730"/>
    <w:rsid w:val="00A41673"/>
    <w:rsid w:val="00A8085A"/>
    <w:rsid w:val="00A81630"/>
    <w:rsid w:val="00A82A28"/>
    <w:rsid w:val="00A9092A"/>
    <w:rsid w:val="00AC3251"/>
    <w:rsid w:val="00AD76F4"/>
    <w:rsid w:val="00B03382"/>
    <w:rsid w:val="00B23041"/>
    <w:rsid w:val="00B262F7"/>
    <w:rsid w:val="00B6343D"/>
    <w:rsid w:val="00BB227D"/>
    <w:rsid w:val="00BE2E84"/>
    <w:rsid w:val="00C1340F"/>
    <w:rsid w:val="00C150BC"/>
    <w:rsid w:val="00C47E4E"/>
    <w:rsid w:val="00C64D00"/>
    <w:rsid w:val="00C665E0"/>
    <w:rsid w:val="00C7279C"/>
    <w:rsid w:val="00C72A5F"/>
    <w:rsid w:val="00C76D1B"/>
    <w:rsid w:val="00CB044C"/>
    <w:rsid w:val="00CF47BA"/>
    <w:rsid w:val="00D115F5"/>
    <w:rsid w:val="00D14C44"/>
    <w:rsid w:val="00D50AA7"/>
    <w:rsid w:val="00D60C0B"/>
    <w:rsid w:val="00D6338B"/>
    <w:rsid w:val="00D90B0A"/>
    <w:rsid w:val="00DA090D"/>
    <w:rsid w:val="00DA59BC"/>
    <w:rsid w:val="00DC0568"/>
    <w:rsid w:val="00DC7C78"/>
    <w:rsid w:val="00E1006C"/>
    <w:rsid w:val="00E3369B"/>
    <w:rsid w:val="00E65E22"/>
    <w:rsid w:val="00E66B06"/>
    <w:rsid w:val="00E73361"/>
    <w:rsid w:val="00E73D39"/>
    <w:rsid w:val="00E933FF"/>
    <w:rsid w:val="00EA1DD9"/>
    <w:rsid w:val="00EB1744"/>
    <w:rsid w:val="00EF50F6"/>
    <w:rsid w:val="00F177F1"/>
    <w:rsid w:val="00F32EE8"/>
    <w:rsid w:val="00F67FF6"/>
    <w:rsid w:val="00F73465"/>
    <w:rsid w:val="00FA4704"/>
    <w:rsid w:val="00FD126A"/>
    <w:rsid w:val="00FE38D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D6338B"/>
    <w:rPr>
      <w:sz w:val="16"/>
      <w:szCs w:val="16"/>
    </w:rPr>
  </w:style>
  <w:style w:type="paragraph" w:styleId="CommentText">
    <w:name w:val="annotation text"/>
    <w:basedOn w:val="Normal"/>
    <w:link w:val="CommentTextChar"/>
    <w:uiPriority w:val="99"/>
    <w:semiHidden/>
    <w:unhideWhenUsed/>
    <w:rsid w:val="00D6338B"/>
    <w:rPr>
      <w:szCs w:val="20"/>
    </w:rPr>
  </w:style>
  <w:style w:type="character" w:customStyle="1" w:styleId="CommentTextChar">
    <w:name w:val="Comment Text Char"/>
    <w:basedOn w:val="DefaultParagraphFont"/>
    <w:link w:val="CommentText"/>
    <w:uiPriority w:val="99"/>
    <w:semiHidden/>
    <w:rsid w:val="00D6338B"/>
    <w:rPr>
      <w:rFonts w:ascii="Arial" w:hAnsi="Arial"/>
      <w:lang w:val="en-US"/>
    </w:rPr>
  </w:style>
  <w:style w:type="paragraph" w:styleId="CommentSubject">
    <w:name w:val="annotation subject"/>
    <w:basedOn w:val="CommentText"/>
    <w:next w:val="CommentText"/>
    <w:link w:val="CommentSubjectChar"/>
    <w:uiPriority w:val="99"/>
    <w:semiHidden/>
    <w:unhideWhenUsed/>
    <w:rsid w:val="00D6338B"/>
    <w:rPr>
      <w:b/>
      <w:bCs/>
    </w:rPr>
  </w:style>
  <w:style w:type="character" w:customStyle="1" w:styleId="CommentSubjectChar">
    <w:name w:val="Comment Subject Char"/>
    <w:basedOn w:val="CommentTextChar"/>
    <w:link w:val="CommentSubject"/>
    <w:uiPriority w:val="99"/>
    <w:semiHidden/>
    <w:rsid w:val="00D6338B"/>
    <w:rPr>
      <w:rFonts w:ascii="Arial" w:hAnsi="Arial"/>
      <w:b/>
      <w:bCs/>
      <w:lang w:val="en-US"/>
    </w:rPr>
  </w:style>
  <w:style w:type="paragraph" w:styleId="Revision">
    <w:name w:val="Revision"/>
    <w:hidden/>
    <w:uiPriority w:val="99"/>
    <w:semiHidden/>
    <w:rsid w:val="00D6338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D6338B"/>
    <w:rPr>
      <w:sz w:val="16"/>
      <w:szCs w:val="16"/>
    </w:rPr>
  </w:style>
  <w:style w:type="paragraph" w:styleId="CommentText">
    <w:name w:val="annotation text"/>
    <w:basedOn w:val="Normal"/>
    <w:link w:val="CommentTextChar"/>
    <w:uiPriority w:val="99"/>
    <w:semiHidden/>
    <w:unhideWhenUsed/>
    <w:rsid w:val="00D6338B"/>
    <w:rPr>
      <w:szCs w:val="20"/>
    </w:rPr>
  </w:style>
  <w:style w:type="character" w:customStyle="1" w:styleId="CommentTextChar">
    <w:name w:val="Comment Text Char"/>
    <w:basedOn w:val="DefaultParagraphFont"/>
    <w:link w:val="CommentText"/>
    <w:uiPriority w:val="99"/>
    <w:semiHidden/>
    <w:rsid w:val="00D6338B"/>
    <w:rPr>
      <w:rFonts w:ascii="Arial" w:hAnsi="Arial"/>
      <w:lang w:val="en-US"/>
    </w:rPr>
  </w:style>
  <w:style w:type="paragraph" w:styleId="CommentSubject">
    <w:name w:val="annotation subject"/>
    <w:basedOn w:val="CommentText"/>
    <w:next w:val="CommentText"/>
    <w:link w:val="CommentSubjectChar"/>
    <w:uiPriority w:val="99"/>
    <w:semiHidden/>
    <w:unhideWhenUsed/>
    <w:rsid w:val="00D6338B"/>
    <w:rPr>
      <w:b/>
      <w:bCs/>
    </w:rPr>
  </w:style>
  <w:style w:type="character" w:customStyle="1" w:styleId="CommentSubjectChar">
    <w:name w:val="Comment Subject Char"/>
    <w:basedOn w:val="CommentTextChar"/>
    <w:link w:val="CommentSubject"/>
    <w:uiPriority w:val="99"/>
    <w:semiHidden/>
    <w:rsid w:val="00D6338B"/>
    <w:rPr>
      <w:rFonts w:ascii="Arial" w:hAnsi="Arial"/>
      <w:b/>
      <w:bCs/>
      <w:lang w:val="en-US"/>
    </w:rPr>
  </w:style>
  <w:style w:type="paragraph" w:styleId="Revision">
    <w:name w:val="Revision"/>
    <w:hidden/>
    <w:uiPriority w:val="99"/>
    <w:semiHidden/>
    <w:rsid w:val="00D6338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53314-CC99-4A6E-8ED5-3C147067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12314</Characters>
  <Application>Microsoft Office Word</Application>
  <DocSecurity>0</DocSecurity>
  <Lines>102</Lines>
  <Paragraphs>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Revised ECC/DEC/(09)01</vt:lpstr>
      <vt:lpstr>Revised ECC/DEC/(09)01</vt:lpstr>
      <vt:lpstr>New ECC Report Style</vt:lpstr>
    </vt:vector>
  </TitlesOfParts>
  <Company>WGFM#94</Company>
  <LinksUpToDate>false</LinksUpToDate>
  <CharactersWithSpaces>14304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ECC/DEC/(09)01</dc:title>
  <dc:subject>ITS</dc:subject>
  <dc:creator>Bente Pedersen</dc:creator>
  <cp:keywords>ITS, 60 GHz</cp:keywords>
  <dc:description>adopted by WGFM#94 for approval at ECC</dc:description>
  <cp:lastModifiedBy>ECO</cp:lastModifiedBy>
  <cp:revision>2</cp:revision>
  <cp:lastPrinted>2016-03-02T14:08:00Z</cp:lastPrinted>
  <dcterms:created xsi:type="dcterms:W3CDTF">2019-07-15T11:52:00Z</dcterms:created>
  <dcterms:modified xsi:type="dcterms:W3CDTF">2019-07-15T11:52:00Z</dcterms:modified>
  <cp:contentStatus>draft revision, June 2019</cp:contentStatus>
</cp:coreProperties>
</file>