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6293A" w14:textId="28FA9110" w:rsidR="006C03D0" w:rsidRPr="000D5FF5" w:rsidRDefault="006C03D0">
      <w:pPr>
        <w:rPr>
          <w:lang w:val="en-GB"/>
        </w:rPr>
      </w:pPr>
      <w:bookmarkStart w:id="0" w:name="_GoBack"/>
      <w:bookmarkEnd w:id="0"/>
    </w:p>
    <w:p w14:paraId="02E6293B" w14:textId="77777777" w:rsidR="006C03D0" w:rsidRPr="000D5FF5" w:rsidRDefault="006C03D0" w:rsidP="006C03D0">
      <w:pPr>
        <w:jc w:val="center"/>
        <w:rPr>
          <w:lang w:val="en-GB"/>
        </w:rPr>
      </w:pPr>
    </w:p>
    <w:p w14:paraId="02E6293C" w14:textId="77777777" w:rsidR="006C03D0" w:rsidRPr="000D5FF5" w:rsidRDefault="006C03D0" w:rsidP="006C03D0">
      <w:pPr>
        <w:rPr>
          <w:lang w:val="en-GB"/>
        </w:rPr>
      </w:pPr>
    </w:p>
    <w:p w14:paraId="02E6293D" w14:textId="77777777" w:rsidR="00FC5329" w:rsidRPr="000D5FF5" w:rsidRDefault="00FC5329" w:rsidP="006C03D0">
      <w:pPr>
        <w:rPr>
          <w:lang w:val="en-GB"/>
        </w:rPr>
      </w:pPr>
    </w:p>
    <w:p w14:paraId="02E6293E" w14:textId="77777777" w:rsidR="006C03D0" w:rsidRPr="000D5FF5" w:rsidRDefault="006C03D0" w:rsidP="006C03D0">
      <w:pPr>
        <w:rPr>
          <w:lang w:val="en-GB"/>
        </w:rPr>
      </w:pPr>
    </w:p>
    <w:p w14:paraId="02E6293F" w14:textId="77777777" w:rsidR="006C03D0" w:rsidRPr="000D5FF5" w:rsidRDefault="00C57E5C" w:rsidP="006C03D0">
      <w:pPr>
        <w:jc w:val="center"/>
        <w:rPr>
          <w:b/>
          <w:sz w:val="24"/>
          <w:lang w:val="en-GB"/>
        </w:rPr>
      </w:pPr>
      <w:r w:rsidRPr="000D5FF5">
        <w:rPr>
          <w:b/>
          <w:noProof/>
          <w:sz w:val="24"/>
          <w:szCs w:val="20"/>
          <w:lang w:val="da-DK" w:eastAsia="da-DK"/>
        </w:rPr>
        <mc:AlternateContent>
          <mc:Choice Requires="wpg">
            <w:drawing>
              <wp:anchor distT="0" distB="0" distL="114300" distR="114300" simplePos="0" relativeHeight="251657728" behindDoc="0" locked="0" layoutInCell="1" allowOverlap="1" wp14:anchorId="02E62A24" wp14:editId="02E62A25">
                <wp:simplePos x="0" y="0"/>
                <wp:positionH relativeFrom="column">
                  <wp:posOffset>-720090</wp:posOffset>
                </wp:positionH>
                <wp:positionV relativeFrom="paragraph">
                  <wp:posOffset>69850</wp:posOffset>
                </wp:positionV>
                <wp:extent cx="7564120" cy="82689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62A32"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B1268">
                                <w:rPr>
                                  <w:color w:val="887E6E"/>
                                  <w:sz w:val="68"/>
                                </w:rPr>
                                <w:t>13</w:t>
                              </w:r>
                              <w:r w:rsidRPr="001E2FAA">
                                <w:rPr>
                                  <w:color w:val="887E6E"/>
                                  <w:sz w:val="68"/>
                                </w:rPr>
                                <w:t>)</w:t>
                              </w:r>
                              <w:r w:rsidR="009B5E58">
                                <w:rPr>
                                  <w:color w:val="887E6E"/>
                                  <w:sz w:val="68"/>
                                </w:rPr>
                                <w:t>03</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14:paraId="02E62A32"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B1268">
                          <w:rPr>
                            <w:color w:val="887E6E"/>
                            <w:sz w:val="68"/>
                          </w:rPr>
                          <w:t>13</w:t>
                        </w:r>
                        <w:r w:rsidRPr="001E2FAA">
                          <w:rPr>
                            <w:color w:val="887E6E"/>
                            <w:sz w:val="68"/>
                          </w:rPr>
                          <w:t>)</w:t>
                        </w:r>
                        <w:r w:rsidR="009B5E58">
                          <w:rPr>
                            <w:color w:val="887E6E"/>
                            <w:sz w:val="68"/>
                          </w:rPr>
                          <w:t>03</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14:paraId="02E62940" w14:textId="5D9B3151" w:rsidR="006C03D0" w:rsidRPr="000D5FF5" w:rsidRDefault="006C03D0" w:rsidP="006C03D0">
      <w:pPr>
        <w:jc w:val="center"/>
        <w:rPr>
          <w:b/>
          <w:sz w:val="24"/>
          <w:lang w:val="en-GB"/>
        </w:rPr>
      </w:pPr>
    </w:p>
    <w:p w14:paraId="02E62941" w14:textId="77777777" w:rsidR="006C03D0" w:rsidRPr="000D5FF5" w:rsidRDefault="006C03D0" w:rsidP="006C03D0">
      <w:pPr>
        <w:jc w:val="center"/>
        <w:rPr>
          <w:b/>
          <w:sz w:val="24"/>
          <w:lang w:val="en-GB"/>
        </w:rPr>
      </w:pPr>
    </w:p>
    <w:p w14:paraId="02E62942" w14:textId="77777777" w:rsidR="006C03D0" w:rsidRPr="000D5FF5" w:rsidRDefault="006C03D0" w:rsidP="006C03D0">
      <w:pPr>
        <w:jc w:val="center"/>
        <w:rPr>
          <w:b/>
          <w:sz w:val="24"/>
          <w:lang w:val="en-GB"/>
        </w:rPr>
      </w:pPr>
    </w:p>
    <w:p w14:paraId="02E62943" w14:textId="77777777" w:rsidR="006C03D0" w:rsidRPr="000D5FF5" w:rsidRDefault="006C03D0" w:rsidP="006C03D0">
      <w:pPr>
        <w:jc w:val="center"/>
        <w:rPr>
          <w:b/>
          <w:sz w:val="24"/>
          <w:lang w:val="en-GB"/>
        </w:rPr>
      </w:pPr>
    </w:p>
    <w:p w14:paraId="02E62944" w14:textId="77777777" w:rsidR="006C03D0" w:rsidRPr="000D5FF5" w:rsidRDefault="006C03D0" w:rsidP="006C03D0">
      <w:pPr>
        <w:jc w:val="center"/>
        <w:rPr>
          <w:b/>
          <w:sz w:val="24"/>
          <w:lang w:val="en-GB"/>
        </w:rPr>
      </w:pPr>
    </w:p>
    <w:p w14:paraId="02E62945" w14:textId="77777777" w:rsidR="006C03D0" w:rsidRPr="000D5FF5" w:rsidRDefault="006C03D0" w:rsidP="006C03D0">
      <w:pPr>
        <w:jc w:val="center"/>
        <w:rPr>
          <w:b/>
          <w:sz w:val="24"/>
          <w:lang w:val="en-GB"/>
        </w:rPr>
      </w:pPr>
    </w:p>
    <w:p w14:paraId="02E62946" w14:textId="77777777" w:rsidR="006C03D0" w:rsidRPr="000D5FF5" w:rsidRDefault="006C03D0" w:rsidP="006C03D0">
      <w:pPr>
        <w:jc w:val="center"/>
        <w:rPr>
          <w:b/>
          <w:sz w:val="24"/>
          <w:lang w:val="en-GB"/>
        </w:rPr>
      </w:pPr>
    </w:p>
    <w:p w14:paraId="02E62947" w14:textId="77777777" w:rsidR="006C03D0" w:rsidRPr="000D5FF5" w:rsidRDefault="006C03D0" w:rsidP="006C03D0">
      <w:pPr>
        <w:jc w:val="center"/>
        <w:rPr>
          <w:b/>
          <w:sz w:val="24"/>
          <w:lang w:val="en-GB"/>
        </w:rPr>
      </w:pPr>
    </w:p>
    <w:p w14:paraId="02E62948" w14:textId="77777777" w:rsidR="006C03D0" w:rsidRPr="000D5FF5" w:rsidRDefault="006C03D0" w:rsidP="006C03D0">
      <w:pPr>
        <w:jc w:val="center"/>
        <w:rPr>
          <w:b/>
          <w:sz w:val="24"/>
          <w:lang w:val="en-GB"/>
        </w:rPr>
      </w:pPr>
    </w:p>
    <w:p w14:paraId="02E62949" w14:textId="77777777" w:rsidR="006C03D0" w:rsidRPr="000D5FF5" w:rsidRDefault="006C03D0" w:rsidP="006C03D0">
      <w:pPr>
        <w:jc w:val="center"/>
        <w:rPr>
          <w:b/>
          <w:sz w:val="24"/>
          <w:lang w:val="en-GB"/>
        </w:rPr>
      </w:pPr>
    </w:p>
    <w:p w14:paraId="02E6294A" w14:textId="77777777" w:rsidR="006C03D0" w:rsidRPr="000D5FF5" w:rsidRDefault="006C03D0" w:rsidP="006C03D0">
      <w:pPr>
        <w:rPr>
          <w:b/>
          <w:sz w:val="24"/>
          <w:lang w:val="en-GB"/>
        </w:rPr>
      </w:pPr>
    </w:p>
    <w:p w14:paraId="02E6294B" w14:textId="77777777" w:rsidR="006C03D0" w:rsidRPr="000D5FF5" w:rsidRDefault="006C03D0" w:rsidP="006C03D0">
      <w:pPr>
        <w:jc w:val="center"/>
        <w:rPr>
          <w:b/>
          <w:sz w:val="24"/>
          <w:lang w:val="en-GB"/>
        </w:rPr>
      </w:pPr>
    </w:p>
    <w:p w14:paraId="02E6294C" w14:textId="77777777" w:rsidR="006C03D0" w:rsidRDefault="00BB38C2" w:rsidP="0059726F">
      <w:pPr>
        <w:pStyle w:val="Reporttitledescription"/>
        <w:rPr>
          <w:color w:val="auto"/>
          <w:lang w:val="en-GB"/>
        </w:rPr>
      </w:pPr>
      <w:r w:rsidRPr="000D5FF5">
        <w:rPr>
          <w:color w:val="auto"/>
          <w:lang w:val="en-GB"/>
        </w:rPr>
        <w:t>T</w:t>
      </w:r>
      <w:r w:rsidR="00996C92" w:rsidRPr="000D5FF5">
        <w:rPr>
          <w:color w:val="auto"/>
          <w:lang w:val="en-GB"/>
        </w:rPr>
        <w:t xml:space="preserve">he </w:t>
      </w:r>
      <w:r w:rsidR="0059726F" w:rsidRPr="000D5FF5">
        <w:rPr>
          <w:color w:val="auto"/>
          <w:lang w:val="en-GB"/>
        </w:rPr>
        <w:t>harmonised use of the frequency band 1452-1492 MHz</w:t>
      </w:r>
      <w:r w:rsidR="005F7AD5" w:rsidRPr="000D5FF5">
        <w:rPr>
          <w:color w:val="auto"/>
          <w:lang w:val="en-GB"/>
        </w:rPr>
        <w:t xml:space="preserve"> </w:t>
      </w:r>
      <w:r w:rsidR="0059726F" w:rsidRPr="000D5FF5">
        <w:rPr>
          <w:color w:val="auto"/>
          <w:lang w:val="en-GB"/>
        </w:rPr>
        <w:t xml:space="preserve">for Mobile/Fixed </w:t>
      </w:r>
      <w:r w:rsidR="00AE625A" w:rsidRPr="000D5FF5">
        <w:rPr>
          <w:color w:val="auto"/>
          <w:lang w:val="en-GB"/>
        </w:rPr>
        <w:t>C</w:t>
      </w:r>
      <w:r w:rsidR="0059726F" w:rsidRPr="000D5FF5">
        <w:rPr>
          <w:color w:val="auto"/>
          <w:lang w:val="en-GB"/>
        </w:rPr>
        <w:t>ommunications Networks</w:t>
      </w:r>
      <w:r w:rsidR="00AE625A" w:rsidRPr="000D5FF5">
        <w:rPr>
          <w:color w:val="auto"/>
          <w:lang w:val="en-GB"/>
        </w:rPr>
        <w:t xml:space="preserve"> </w:t>
      </w:r>
      <w:r w:rsidR="00996C92" w:rsidRPr="000D5FF5">
        <w:rPr>
          <w:color w:val="auto"/>
          <w:lang w:val="en-GB"/>
        </w:rPr>
        <w:t>Supplemental Downlink (MFCN SDL)</w:t>
      </w:r>
      <w:r w:rsidR="005A5737">
        <w:rPr>
          <w:rStyle w:val="FootnoteReference"/>
          <w:color w:val="auto"/>
          <w:lang w:val="en-GB"/>
        </w:rPr>
        <w:footnoteReference w:id="2"/>
      </w:r>
    </w:p>
    <w:p w14:paraId="02E6294D" w14:textId="77777777" w:rsidR="006C03D0" w:rsidRDefault="00763E77" w:rsidP="009B5E58">
      <w:pPr>
        <w:pStyle w:val="Reporttitledescription"/>
        <w:rPr>
          <w:b/>
          <w:color w:val="auto"/>
          <w:sz w:val="18"/>
          <w:szCs w:val="18"/>
          <w:lang w:val="en-GB"/>
        </w:rPr>
      </w:pPr>
      <w:r w:rsidRPr="000D5FF5">
        <w:rPr>
          <w:b/>
          <w:color w:val="auto"/>
          <w:sz w:val="18"/>
          <w:szCs w:val="18"/>
          <w:lang w:val="en-GB"/>
        </w:rPr>
        <w:t>Approved 8 November 2013</w:t>
      </w:r>
    </w:p>
    <w:p w14:paraId="02E6294E" w14:textId="4BAE5C5C" w:rsidR="005430AD" w:rsidRPr="009945C5" w:rsidRDefault="005430AD" w:rsidP="00EE0297">
      <w:pPr>
        <w:pStyle w:val="Reporttitledescription"/>
        <w:spacing w:before="120" w:after="120"/>
        <w:rPr>
          <w:b/>
          <w:sz w:val="18"/>
          <w:szCs w:val="18"/>
          <w:lang w:val="en-GB"/>
        </w:rPr>
      </w:pPr>
      <w:r w:rsidRPr="00A10D2C">
        <w:rPr>
          <w:b/>
          <w:color w:val="auto"/>
          <w:sz w:val="18"/>
          <w:szCs w:val="18"/>
          <w:lang w:val="en-GB"/>
        </w:rPr>
        <w:t xml:space="preserve">Amended </w:t>
      </w:r>
      <w:r w:rsidR="00871506">
        <w:rPr>
          <w:b/>
          <w:color w:val="auto"/>
          <w:sz w:val="18"/>
          <w:szCs w:val="18"/>
          <w:lang w:val="en-GB"/>
        </w:rPr>
        <w:t>02</w:t>
      </w:r>
      <w:r w:rsidR="00A10D2C" w:rsidRPr="00A10D2C">
        <w:rPr>
          <w:b/>
          <w:color w:val="auto"/>
          <w:sz w:val="18"/>
          <w:szCs w:val="18"/>
          <w:lang w:val="en-GB"/>
        </w:rPr>
        <w:t xml:space="preserve"> </w:t>
      </w:r>
      <w:r w:rsidR="00871506">
        <w:rPr>
          <w:b/>
          <w:color w:val="auto"/>
          <w:sz w:val="18"/>
          <w:szCs w:val="18"/>
          <w:lang w:val="en-GB"/>
        </w:rPr>
        <w:t>March</w:t>
      </w:r>
      <w:r w:rsidR="00A10D2C" w:rsidRPr="00A10D2C">
        <w:rPr>
          <w:b/>
          <w:color w:val="auto"/>
          <w:sz w:val="18"/>
          <w:szCs w:val="18"/>
          <w:lang w:val="en-GB"/>
        </w:rPr>
        <w:t xml:space="preserve"> 2018</w:t>
      </w:r>
    </w:p>
    <w:p w14:paraId="02E6294F" w14:textId="77777777" w:rsidR="006C03D0" w:rsidRPr="000D5FF5" w:rsidRDefault="005F7AD5" w:rsidP="006C03D0">
      <w:pPr>
        <w:pStyle w:val="Heading1"/>
      </w:pPr>
      <w:r w:rsidRPr="000D5FF5">
        <w:lastRenderedPageBreak/>
        <w:t>explanatory memorandum</w:t>
      </w:r>
    </w:p>
    <w:p w14:paraId="02E62950" w14:textId="77777777" w:rsidR="006C03D0" w:rsidRPr="000D5FF5" w:rsidRDefault="005F7AD5" w:rsidP="006C03D0">
      <w:pPr>
        <w:pStyle w:val="Heading2"/>
        <w:rPr>
          <w:lang w:val="en-GB"/>
        </w:rPr>
      </w:pPr>
      <w:r w:rsidRPr="000D5FF5">
        <w:rPr>
          <w:lang w:val="en-GB"/>
        </w:rPr>
        <w:t>INTRODUCTION</w:t>
      </w:r>
    </w:p>
    <w:p w14:paraId="02E62951" w14:textId="6567F0C4" w:rsidR="0059726F" w:rsidRPr="00AE7FCA" w:rsidRDefault="0059726F" w:rsidP="00CB1268">
      <w:pPr>
        <w:pStyle w:val="ECCParagraph"/>
      </w:pPr>
      <w:r w:rsidRPr="00AE7FCA">
        <w:t xml:space="preserve">This ECC Decision </w:t>
      </w:r>
      <w:r w:rsidR="005B4FD3" w:rsidRPr="00AE7FCA">
        <w:t>harmonises the use of</w:t>
      </w:r>
      <w:r w:rsidRPr="00AE7FCA">
        <w:t xml:space="preserve"> the </w:t>
      </w:r>
      <w:r w:rsidR="001E6687" w:rsidRPr="00AE7FCA">
        <w:t>1452-1492 MHz frequency band</w:t>
      </w:r>
      <w:r w:rsidR="005B4FD3" w:rsidRPr="00AE7FCA">
        <w:t xml:space="preserve"> </w:t>
      </w:r>
      <w:r w:rsidRPr="00AE7FCA">
        <w:t xml:space="preserve">for </w:t>
      </w:r>
      <w:r w:rsidR="00C04DBC" w:rsidRPr="00AE7FCA">
        <w:t xml:space="preserve">terrestrial </w:t>
      </w:r>
      <w:r w:rsidRPr="00AE7FCA">
        <w:rPr>
          <w:rFonts w:cs="Arial"/>
        </w:rPr>
        <w:t>mobile/fixed communications networks supplemental downlink (MFCN SDL)</w:t>
      </w:r>
      <w:r w:rsidRPr="00AE7FCA">
        <w:t xml:space="preserve"> while allowing individual countries to adapt to specific national circumstances in part of the band for terrestrial broadcasting and other terrestrial applications. It provides the harmonised technical conditions for the deployment of MFCN SDL within CEPT.</w:t>
      </w:r>
    </w:p>
    <w:p w14:paraId="02E62952" w14:textId="77777777" w:rsidR="005B4FD3" w:rsidRPr="00AE7FCA" w:rsidRDefault="005B4FD3" w:rsidP="00CB1268">
      <w:pPr>
        <w:pStyle w:val="ECCParagraph"/>
      </w:pPr>
      <w:r w:rsidRPr="00AE7FCA">
        <w:t>A</w:t>
      </w:r>
      <w:r w:rsidR="00AD24BD" w:rsidRPr="00AE7FCA">
        <w:t>n</w:t>
      </w:r>
      <w:r w:rsidRPr="00AE7FCA">
        <w:t xml:space="preserve"> MFCN SDL is a mobile broadband system, which by means of base station transmitters in the network, uses unpaired spectrum in </w:t>
      </w:r>
      <w:r w:rsidR="001B410F" w:rsidRPr="00AE7FCA">
        <w:t xml:space="preserve">the </w:t>
      </w:r>
      <w:r w:rsidRPr="00AE7FCA">
        <w:t>downlink to provide a supplemental downlink capacity to carry comprehensive text, audio, images, data, sound and video content in general</w:t>
      </w:r>
      <w:r w:rsidR="001B410F" w:rsidRPr="00AE7FCA">
        <w:t>,</w:t>
      </w:r>
      <w:r w:rsidRPr="00AE7FCA">
        <w:t xml:space="preserve"> in a unicasting, multicasting or broadcasting mode.</w:t>
      </w:r>
    </w:p>
    <w:p w14:paraId="02E62953" w14:textId="2DBAF10B" w:rsidR="0059726F" w:rsidRPr="00AE7FCA" w:rsidRDefault="0059726F" w:rsidP="00CB1268">
      <w:pPr>
        <w:pStyle w:val="ECCParagraph"/>
        <w:rPr>
          <w:rFonts w:cs="Arial"/>
          <w:szCs w:val="20"/>
        </w:rPr>
      </w:pPr>
      <w:r w:rsidRPr="00AE7FCA">
        <w:rPr>
          <w:rFonts w:cs="Arial"/>
          <w:szCs w:val="20"/>
        </w:rPr>
        <w:t xml:space="preserve">The harmonisation of the </w:t>
      </w:r>
      <w:r w:rsidR="001E6687" w:rsidRPr="00AE7FCA">
        <w:t>1452-1492 MHz</w:t>
      </w:r>
      <w:r w:rsidR="001E6687" w:rsidRPr="00AE7FCA">
        <w:rPr>
          <w:rFonts w:cs="Arial"/>
          <w:szCs w:val="20"/>
        </w:rPr>
        <w:t xml:space="preserve"> frequency</w:t>
      </w:r>
      <w:r w:rsidR="001E6687" w:rsidRPr="00AE7FCA">
        <w:t xml:space="preserve"> band</w:t>
      </w:r>
      <w:r w:rsidRPr="00AE7FCA">
        <w:rPr>
          <w:rFonts w:cs="Arial"/>
          <w:szCs w:val="20"/>
        </w:rPr>
        <w:t xml:space="preserve"> unpaired spectrum for MFCN SDL through this ECC </w:t>
      </w:r>
      <w:r w:rsidR="00AD24BD" w:rsidRPr="00AE7FCA">
        <w:rPr>
          <w:rFonts w:cs="Arial"/>
          <w:szCs w:val="20"/>
        </w:rPr>
        <w:t>D</w:t>
      </w:r>
      <w:r w:rsidRPr="00AE7FCA">
        <w:rPr>
          <w:rFonts w:cs="Arial"/>
          <w:szCs w:val="20"/>
        </w:rPr>
        <w:t>ecision is important to enhance the downlink capability of mobile broadband systems and represents a strategic tool to tackle the growing mobile data traffic asymmetry.</w:t>
      </w:r>
    </w:p>
    <w:p w14:paraId="02E62954" w14:textId="77777777" w:rsidR="006C03D0" w:rsidRPr="00AE7FCA" w:rsidRDefault="0059726F" w:rsidP="00CB1268">
      <w:pPr>
        <w:pStyle w:val="ECCParagraph"/>
      </w:pPr>
      <w:r w:rsidRPr="00AE7FCA">
        <w:rPr>
          <w:bCs/>
        </w:rPr>
        <w:t xml:space="preserve">This ECC </w:t>
      </w:r>
      <w:r w:rsidR="00AD24BD" w:rsidRPr="00AE7FCA">
        <w:rPr>
          <w:bCs/>
        </w:rPr>
        <w:t>D</w:t>
      </w:r>
      <w:r w:rsidRPr="00AE7FCA">
        <w:rPr>
          <w:bCs/>
        </w:rPr>
        <w:t>ecision contains annexes defining the harmonised frequency arrangement and applicable least restrictive technical conditions for the use of the band by MFCN SDL within CEPT.</w:t>
      </w:r>
    </w:p>
    <w:p w14:paraId="02E62955" w14:textId="77777777" w:rsidR="006C03D0" w:rsidRPr="00AE7FCA" w:rsidRDefault="005B4FD3" w:rsidP="006C03D0">
      <w:pPr>
        <w:pStyle w:val="Heading2"/>
        <w:rPr>
          <w:lang w:val="en-GB"/>
        </w:rPr>
      </w:pPr>
      <w:r w:rsidRPr="00AE7FCA">
        <w:rPr>
          <w:lang w:val="en-GB"/>
        </w:rPr>
        <w:t>BACKGROUND</w:t>
      </w:r>
    </w:p>
    <w:p w14:paraId="02E62956" w14:textId="1C493F57" w:rsidR="0059726F" w:rsidRPr="00AE7FCA" w:rsidRDefault="0059726F" w:rsidP="00CB1268">
      <w:pPr>
        <w:pStyle w:val="ECCParagraph"/>
      </w:pPr>
      <w:r w:rsidRPr="00AE7FCA">
        <w:t xml:space="preserve">The </w:t>
      </w:r>
      <w:r w:rsidR="001E6687" w:rsidRPr="00AE7FCA">
        <w:t>1452-1492 MHz frequency band</w:t>
      </w:r>
      <w:r w:rsidRPr="00AE7FCA">
        <w:t xml:space="preserve"> has remained unused in most European countries for the past decade. Since 2002, the 1452-1479.5 MHz sub-band has been harmonised for terrestrial audio broadcasting systems (T-DAB) through the Maastricht, 2002 Special Arrangement. The arrangement was later revised in Constanţa in 2007. </w:t>
      </w:r>
      <w:r w:rsidR="00EA37EB" w:rsidRPr="00AE7FCA">
        <w:t xml:space="preserve">In </w:t>
      </w:r>
      <w:r w:rsidRPr="00AE7FCA">
        <w:t xml:space="preserve">2003, the 1479.5-1492 MHz sub-band </w:t>
      </w:r>
      <w:r w:rsidR="00EA37EB" w:rsidRPr="00AE7FCA">
        <w:t>was</w:t>
      </w:r>
      <w:r w:rsidRPr="00AE7FCA">
        <w:t xml:space="preserve"> harmonised for satellite digital audio broadcasting (S-DAB) through the ECC/DEC</w:t>
      </w:r>
      <w:proofErr w:type="gramStart"/>
      <w:r w:rsidRPr="00AE7FCA">
        <w:t>/(</w:t>
      </w:r>
      <w:proofErr w:type="gramEnd"/>
      <w:r w:rsidRPr="00AE7FCA">
        <w:t>03)02</w:t>
      </w:r>
      <w:r w:rsidR="00EA37EB" w:rsidRPr="00AE7FCA">
        <w:t xml:space="preserve">, which was subsequently withdrawn in 2013 by ECC/DEC/(13)02 </w:t>
      </w:r>
      <w:r w:rsidR="00EA37EB" w:rsidRPr="00AE7FCA">
        <w:fldChar w:fldCharType="begin"/>
      </w:r>
      <w:r w:rsidR="00EA37EB" w:rsidRPr="00AE7FCA">
        <w:instrText xml:space="preserve"> REF _Ref487546077 \r \h </w:instrText>
      </w:r>
      <w:r w:rsidR="00AE7FCA">
        <w:instrText xml:space="preserve"> \* MERGEFORMAT </w:instrText>
      </w:r>
      <w:r w:rsidR="00EA37EB" w:rsidRPr="00AE7FCA">
        <w:fldChar w:fldCharType="separate"/>
      </w:r>
      <w:r w:rsidR="002373A3" w:rsidRPr="00AE7FCA">
        <w:t>[1]</w:t>
      </w:r>
      <w:r w:rsidR="00EA37EB" w:rsidRPr="00AE7FCA">
        <w:fldChar w:fldCharType="end"/>
      </w:r>
      <w:r w:rsidR="00EA37EB" w:rsidRPr="00AE7FCA">
        <w:t xml:space="preserve"> in the absence of any substantial development in this frequency band by the broadcasting-satellite service within CEPT.</w:t>
      </w:r>
    </w:p>
    <w:p w14:paraId="02E62957" w14:textId="2A7CCF2C" w:rsidR="0059726F" w:rsidRPr="00AE7FCA" w:rsidRDefault="00EA37EB" w:rsidP="00CB1268">
      <w:pPr>
        <w:pStyle w:val="ECCParagraph"/>
      </w:pPr>
      <w:r w:rsidRPr="00AE7FCA">
        <w:t>In l</w:t>
      </w:r>
      <w:r w:rsidR="0059726F" w:rsidRPr="00AE7FCA">
        <w:t xml:space="preserve">ate 2010, </w:t>
      </w:r>
      <w:r w:rsidR="004E3C8B" w:rsidRPr="00AE7FCA">
        <w:t xml:space="preserve">ECC </w:t>
      </w:r>
      <w:r w:rsidR="0059726F" w:rsidRPr="00AE7FCA">
        <w:t xml:space="preserve">decided to undertake a review of the use of the frequency band 1452-1492 MHz with the aim to change this situation and enable the use of those 40 MHz of spectrum for new services and applications that could bring substantial social and economic benefits for Europe. To that end, </w:t>
      </w:r>
      <w:r w:rsidR="004E3C8B" w:rsidRPr="00AE7FCA">
        <w:t>ECC</w:t>
      </w:r>
      <w:r w:rsidR="004E3C8B" w:rsidRPr="00AE7FCA" w:rsidDel="004E3C8B">
        <w:t xml:space="preserve"> </w:t>
      </w:r>
      <w:r w:rsidR="0059726F" w:rsidRPr="00AE7FCA">
        <w:t xml:space="preserve">developed </w:t>
      </w:r>
      <w:r w:rsidRPr="00AE7FCA">
        <w:t xml:space="preserve">ECC </w:t>
      </w:r>
      <w:r w:rsidR="0059726F" w:rsidRPr="00AE7FCA">
        <w:t>Report 188</w:t>
      </w:r>
      <w:r w:rsidRPr="00AE7FCA">
        <w:t xml:space="preserve"> </w:t>
      </w:r>
      <w:r w:rsidRPr="00AE7FCA">
        <w:fldChar w:fldCharType="begin"/>
      </w:r>
      <w:r w:rsidRPr="00AE7FCA">
        <w:instrText xml:space="preserve"> REF _Ref487467088 \r \h </w:instrText>
      </w:r>
      <w:r w:rsidR="00AE7FCA">
        <w:instrText xml:space="preserve"> \* MERGEFORMAT </w:instrText>
      </w:r>
      <w:r w:rsidRPr="00AE7FCA">
        <w:fldChar w:fldCharType="separate"/>
      </w:r>
      <w:r w:rsidR="002373A3" w:rsidRPr="00AE7FCA">
        <w:t>[2]</w:t>
      </w:r>
      <w:r w:rsidRPr="00AE7FCA">
        <w:fldChar w:fldCharType="end"/>
      </w:r>
      <w:r w:rsidRPr="00AE7FCA">
        <w:t xml:space="preserve"> </w:t>
      </w:r>
      <w:r w:rsidR="0059726F" w:rsidRPr="00AE7FCA">
        <w:t xml:space="preserve">which included an impact analysis to determine the most appropriate future use of the </w:t>
      </w:r>
      <w:r w:rsidR="001E6687" w:rsidRPr="00AE7FCA">
        <w:t>1452-1492 MHz frequency band</w:t>
      </w:r>
      <w:r w:rsidR="0059726F" w:rsidRPr="00AE7FCA">
        <w:t xml:space="preserve"> in CEPT. This impact analysis was based on a number of criteria the 1) compatibility with the </w:t>
      </w:r>
      <w:r w:rsidR="0041678C" w:rsidRPr="00AE7FCA">
        <w:t xml:space="preserve">current </w:t>
      </w:r>
      <w:r w:rsidR="0059726F" w:rsidRPr="00AE7FCA">
        <w:t xml:space="preserve">regulatory framework, 2) possibility to share with other applications/uses, 3) extent (maximisation) of social and economic benefits, 4) timeframe for availability of equipment on a large scale and for application deployment </w:t>
      </w:r>
      <w:r w:rsidR="00F2755F" w:rsidRPr="00AE7FCA">
        <w:t xml:space="preserve">- status of standardisation </w:t>
      </w:r>
      <w:r w:rsidR="0059726F" w:rsidRPr="00AE7FCA">
        <w:t xml:space="preserve">and 5) </w:t>
      </w:r>
      <w:r w:rsidR="00F2755F" w:rsidRPr="00AE7FCA">
        <w:t xml:space="preserve">potential for economy of scale (need and </w:t>
      </w:r>
      <w:r w:rsidR="0059726F" w:rsidRPr="00AE7FCA">
        <w:t>potential for harmonisation within and outside CEPT</w:t>
      </w:r>
      <w:r w:rsidR="00F2755F" w:rsidRPr="00AE7FCA">
        <w:t>)</w:t>
      </w:r>
      <w:r w:rsidR="0059726F" w:rsidRPr="00AE7FCA">
        <w:t xml:space="preserve">. </w:t>
      </w:r>
    </w:p>
    <w:p w14:paraId="02E62958" w14:textId="24B694F6" w:rsidR="006C03D0" w:rsidRPr="00AE7FCA" w:rsidRDefault="0059726F" w:rsidP="00CB1268">
      <w:pPr>
        <w:pStyle w:val="ECCParagraph"/>
      </w:pPr>
      <w:r w:rsidRPr="00AE7FCA">
        <w:t xml:space="preserve">The conclusion of ECC Report 188 is that the most appropriate regulatory framework for the future use of the </w:t>
      </w:r>
      <w:r w:rsidR="001E6687" w:rsidRPr="00AE7FCA">
        <w:t>1452-1492 MHz frequency band</w:t>
      </w:r>
      <w:r w:rsidRPr="00AE7FCA">
        <w:t xml:space="preserve"> in </w:t>
      </w:r>
      <w:r w:rsidR="004E3C8B" w:rsidRPr="00AE7FCA">
        <w:t>ECC</w:t>
      </w:r>
      <w:r w:rsidR="004E3C8B" w:rsidRPr="00AE7FCA" w:rsidDel="004E3C8B">
        <w:t xml:space="preserve"> </w:t>
      </w:r>
      <w:r w:rsidRPr="00AE7FCA">
        <w:t xml:space="preserve">is the harmonisation of this band for mobile broadband / mobile supplemental downlink, while allowing individual countries to adapt to specific national circumstances in part of the band for terrestrial broadcasting and other terrestrial applications. This regulatory framework will bring the highest benefits for CEPT, with those benefits being maximised when mobile supplemental downlink is </w:t>
      </w:r>
      <w:r w:rsidR="00C04DBC" w:rsidRPr="00AE7FCA">
        <w:t>deployed under this framework.</w:t>
      </w:r>
      <w:r w:rsidR="001B410F" w:rsidRPr="00AE7FCA">
        <w:t xml:space="preserve"> The implementation of this regulatory framework consists of an ECC Decision designating the band to mobile/fixed communications networks supplemental downlink (MFCN SDL) and defining the least restrictive technical conditions (LRTC) with a harmonised band plan for the </w:t>
      </w:r>
      <w:r w:rsidR="001E6687" w:rsidRPr="00AE7FCA">
        <w:t>1452-1492 MHz frequency band</w:t>
      </w:r>
      <w:r w:rsidR="001B410F" w:rsidRPr="00AE7FCA">
        <w:t>.</w:t>
      </w:r>
    </w:p>
    <w:p w14:paraId="02E62959" w14:textId="112483EF" w:rsidR="00F77708" w:rsidRDefault="00C04DBC" w:rsidP="00CB1268">
      <w:pPr>
        <w:pStyle w:val="ECCParagraph"/>
      </w:pPr>
      <w:r w:rsidRPr="00AE7FCA">
        <w:t xml:space="preserve">It is noted that radio spectrum below 1452 MHz and above 1492 MHz is also used for defence systems according to ERC Report 25 (The European table of frequency allocations and applications in the frequency range </w:t>
      </w:r>
      <w:r w:rsidR="000C08CD" w:rsidRPr="00AE7FCA">
        <w:t>8</w:t>
      </w:r>
      <w:r w:rsidR="00EC4AF3" w:rsidRPr="00AE7FCA">
        <w:t>.</w:t>
      </w:r>
      <w:r w:rsidR="00170A82" w:rsidRPr="00AE7FCA">
        <w:t>3</w:t>
      </w:r>
      <w:r w:rsidRPr="00AE7FCA">
        <w:t xml:space="preserve"> kHz to 3000 GHz)</w:t>
      </w:r>
      <w:r w:rsidR="00EA37EB" w:rsidRPr="00AE7FCA">
        <w:t xml:space="preserve"> </w:t>
      </w:r>
      <w:r w:rsidR="00EA37EB" w:rsidRPr="00AE7FCA">
        <w:fldChar w:fldCharType="begin"/>
      </w:r>
      <w:r w:rsidR="00EA37EB" w:rsidRPr="00AE7FCA">
        <w:instrText xml:space="preserve"> REF _Ref487544397 \r \h </w:instrText>
      </w:r>
      <w:r w:rsidR="00AE7FCA">
        <w:instrText xml:space="preserve"> \* MERGEFORMAT </w:instrText>
      </w:r>
      <w:r w:rsidR="00EA37EB" w:rsidRPr="00AE7FCA">
        <w:fldChar w:fldCharType="separate"/>
      </w:r>
      <w:r w:rsidR="002373A3" w:rsidRPr="00AE7FCA">
        <w:t>[4]</w:t>
      </w:r>
      <w:r w:rsidR="00EA37EB" w:rsidRPr="00AE7FCA">
        <w:fldChar w:fldCharType="end"/>
      </w:r>
      <w:r w:rsidRPr="00AE7FCA">
        <w:t>.</w:t>
      </w:r>
    </w:p>
    <w:p w14:paraId="02E6295B" w14:textId="410FA82D" w:rsidR="006516B0" w:rsidRPr="000D5FF5" w:rsidRDefault="006516B0" w:rsidP="00CB1268">
      <w:pPr>
        <w:pStyle w:val="ECCParagraph"/>
      </w:pPr>
      <w:r>
        <w:lastRenderedPageBreak/>
        <w:t>At WRC-15, the frequency bands 1427-1452 MHz and 1492-1518 MHz were identified globally for International Mobile Telecommunications (IMT) in accordance with Resolution 223 (Rev.WRC-15)</w:t>
      </w:r>
      <w:r w:rsidR="00DE5D43">
        <w:t>.</w:t>
      </w:r>
      <w:r>
        <w:t xml:space="preserve"> ECC Decision </w:t>
      </w:r>
      <w:r w:rsidRPr="00F77708">
        <w:t>(17)</w:t>
      </w:r>
      <w:r w:rsidR="004D3521">
        <w:t>06</w:t>
      </w:r>
      <w:r>
        <w:t xml:space="preserve"> </w:t>
      </w:r>
      <w:r w:rsidR="00225394">
        <w:fldChar w:fldCharType="begin"/>
      </w:r>
      <w:r w:rsidR="00225394">
        <w:instrText xml:space="preserve"> REF _Ref498679449 \r \h </w:instrText>
      </w:r>
      <w:r w:rsidR="00225394">
        <w:fldChar w:fldCharType="separate"/>
      </w:r>
      <w:r w:rsidR="002373A3">
        <w:t>[3]</w:t>
      </w:r>
      <w:r w:rsidR="00225394">
        <w:fldChar w:fldCharType="end"/>
      </w:r>
      <w:r w:rsidR="00225394">
        <w:t xml:space="preserve"> </w:t>
      </w:r>
      <w:r>
        <w:t xml:space="preserve">harmonises the use of the frequency bands 1427-1452 </w:t>
      </w:r>
      <w:r w:rsidRPr="00AE7FCA">
        <w:t>MHz and 1492-1518 MHz for Mobile/Fixed Communications Networks Supplemental Downlink (MFCN SDL).</w:t>
      </w:r>
      <w:r w:rsidR="0089479C">
        <w:t xml:space="preserve"> </w:t>
      </w:r>
      <w:r w:rsidR="00CD2130" w:rsidRPr="00AE7FCA">
        <w:t>Additionally, in response to EC mandate to develop harmonised technical conditions in additional frequency bands in the 1.5 GHz range for their use for terrestrial wireless broadband electronic communications services in the Union, CEPT Report 65 was approved, which recommends the harmonised frequency arrangement for downlink-only WBB ECS (DL WBB ECS) in the bands 1427-1452 MHz and 1492-1517 MHz (extension bands).</w:t>
      </w:r>
    </w:p>
    <w:p w14:paraId="02E6295C" w14:textId="77777777" w:rsidR="006C03D0" w:rsidRPr="000D5FF5" w:rsidRDefault="005F7AD5" w:rsidP="006C03D0">
      <w:pPr>
        <w:pStyle w:val="Heading2"/>
        <w:rPr>
          <w:lang w:val="en-GB"/>
        </w:rPr>
      </w:pPr>
      <w:r w:rsidRPr="000D5FF5">
        <w:rPr>
          <w:lang w:val="en-GB"/>
        </w:rPr>
        <w:t>REQUIREMENT FOR AN ECC DECISION</w:t>
      </w:r>
    </w:p>
    <w:p w14:paraId="02E6295D" w14:textId="77777777" w:rsidR="00AA5CDD" w:rsidRPr="000D5FF5" w:rsidRDefault="00AA5CDD" w:rsidP="00CB1268">
      <w:pPr>
        <w:pStyle w:val="ECCParagraph"/>
      </w:pPr>
      <w:r w:rsidRPr="000D5FF5">
        <w:t xml:space="preserve">The ECC recognises that the use of the band 1452-1492 MHz for MFCN SDL based on least restrictive technical conditions (LRTC) and on a harmonised frequency arrangement will </w:t>
      </w:r>
      <w:r w:rsidRPr="000D5FF5">
        <w:rPr>
          <w:rFonts w:eastAsia="Arial" w:cs="Arial"/>
        </w:rPr>
        <w:t>maximise the opportunities and benefits for end users,</w:t>
      </w:r>
      <w:r w:rsidRPr="000D5FF5">
        <w:t xml:space="preserve"> will reduce capital expenditure for operators and cost of manufacturing equipment and will secure future investments by providing economy of scale.</w:t>
      </w:r>
    </w:p>
    <w:p w14:paraId="02E6295E" w14:textId="64435C16" w:rsidR="006C03D0" w:rsidRPr="000D5FF5" w:rsidRDefault="00791259" w:rsidP="00416C77">
      <w:pPr>
        <w:pStyle w:val="ECCParagraph"/>
        <w:tabs>
          <w:tab w:val="left" w:pos="1134"/>
        </w:tabs>
      </w:pPr>
      <w:r w:rsidRPr="000D5FF5">
        <w:t xml:space="preserve">An ECC Decision is required to provide guidance and certainty to the industry so that the UMTS/HSPA (3GPP specification Release 9 and beyond) standard and LTE-Advanced (3GPP specification Release 10 and beyond) standard, that are capable of aggregating </w:t>
      </w:r>
      <w:r w:rsidRPr="00AE7FCA">
        <w:t xml:space="preserve">multiple downlink channels in multiple bands, thus allowing the use of an unpaired spectrum for SDL, specify the </w:t>
      </w:r>
      <w:r w:rsidR="001E6687" w:rsidRPr="00AE7FCA">
        <w:t>1452-1492 MHz frequency band</w:t>
      </w:r>
      <w:r w:rsidRPr="00AE7FCA">
        <w:t xml:space="preserve"> as a SDL band to be implemented in chipsets, devices and equipment.</w:t>
      </w:r>
    </w:p>
    <w:p w14:paraId="02E6295F" w14:textId="77777777" w:rsidR="003F7529" w:rsidRPr="000D5FF5" w:rsidRDefault="003F7529" w:rsidP="00CB1268">
      <w:pPr>
        <w:pStyle w:val="ECCParagraph"/>
      </w:pPr>
      <w:r w:rsidRPr="000D5FF5">
        <w:t xml:space="preserve">The </w:t>
      </w:r>
      <w:smartTag w:uri="urn:schemas-microsoft-com:office:smarttags" w:element="stockticker">
        <w:r w:rsidRPr="000D5FF5">
          <w:t>ECC</w:t>
        </w:r>
      </w:smartTag>
      <w:r w:rsidRPr="000D5FF5">
        <w:t xml:space="preserve"> recognises that an </w:t>
      </w:r>
      <w:smartTag w:uri="urn:schemas-microsoft-com:office:smarttags" w:element="stockticker">
        <w:r w:rsidRPr="000D5FF5">
          <w:t>ECC</w:t>
        </w:r>
      </w:smartTag>
      <w:r w:rsidRPr="000D5FF5">
        <w:t xml:space="preserve"> Decision harmonising the use of the frequency band 1452-1492 MHz leaves flexibility for administrations to adapt to specific national circumstances in part of the band for terrestrial broadcasting and other terrestrial applications.</w:t>
      </w:r>
    </w:p>
    <w:p w14:paraId="02E62960" w14:textId="77777777" w:rsidR="003F7529" w:rsidRPr="000D5FF5" w:rsidRDefault="003F7529" w:rsidP="003F7529">
      <w:pPr>
        <w:pStyle w:val="ECCParagraph"/>
        <w:spacing w:before="120"/>
      </w:pPr>
    </w:p>
    <w:p w14:paraId="02E62961" w14:textId="561AE2DA" w:rsidR="006C03D0" w:rsidRPr="000D5FF5" w:rsidRDefault="005F7AD5" w:rsidP="006C03D0">
      <w:pPr>
        <w:pStyle w:val="Heading1"/>
      </w:pPr>
      <w:r w:rsidRPr="000D5FF5">
        <w:lastRenderedPageBreak/>
        <w:t>ECC Decision of</w:t>
      </w:r>
      <w:r w:rsidR="00A8085A" w:rsidRPr="000D5FF5">
        <w:t xml:space="preserve"> </w:t>
      </w:r>
      <w:r w:rsidR="009B5E58" w:rsidRPr="000D5FF5">
        <w:t>8 November 2013</w:t>
      </w:r>
      <w:r w:rsidR="00A8085A" w:rsidRPr="000D5FF5">
        <w:t xml:space="preserve"> </w:t>
      </w:r>
      <w:r w:rsidRPr="000D5FF5">
        <w:t>on</w:t>
      </w:r>
      <w:r w:rsidR="00A8085A" w:rsidRPr="000D5FF5">
        <w:t xml:space="preserve"> </w:t>
      </w:r>
      <w:r w:rsidR="00C04DBC" w:rsidRPr="000D5FF5">
        <w:t>the harmonised use of the frequency band 1452-1492 MH</w:t>
      </w:r>
      <w:r w:rsidR="00C04DBC" w:rsidRPr="000D5FF5">
        <w:rPr>
          <w:sz w:val="16"/>
        </w:rPr>
        <w:t>z</w:t>
      </w:r>
      <w:r w:rsidR="00C04DBC" w:rsidRPr="000D5FF5">
        <w:t xml:space="preserve"> for Mobile/Fixed Communications Networks Supplemental Downlink (MFCN SDL)</w:t>
      </w:r>
      <w:r w:rsidR="003F7529" w:rsidRPr="000D5FF5">
        <w:t xml:space="preserve"> </w:t>
      </w:r>
      <w:r w:rsidR="00A8085A" w:rsidRPr="000D5FF5">
        <w:t>(</w:t>
      </w:r>
      <w:r w:rsidR="009B5E58" w:rsidRPr="000D5FF5">
        <w:t>ECC/</w:t>
      </w:r>
      <w:r w:rsidR="00A8085A" w:rsidRPr="000D5FF5">
        <w:t>dec</w:t>
      </w:r>
      <w:r w:rsidR="009B5E58" w:rsidRPr="000D5FF5">
        <w:t>/(13)03</w:t>
      </w:r>
      <w:r w:rsidR="00A8085A" w:rsidRPr="000D5FF5">
        <w:t>)</w:t>
      </w:r>
      <w:r w:rsidR="00820A5A">
        <w:t xml:space="preserve"> Amended </w:t>
      </w:r>
      <w:r w:rsidR="0089479C">
        <w:t>2 MARCH 2018</w:t>
      </w:r>
    </w:p>
    <w:p w14:paraId="02E62962" w14:textId="77777777" w:rsidR="006C03D0" w:rsidRPr="000D5FF5" w:rsidRDefault="005F7AD5" w:rsidP="006C03D0">
      <w:pPr>
        <w:pStyle w:val="ECCParagraph"/>
      </w:pPr>
      <w:r w:rsidRPr="000D5FF5">
        <w:t>“The European Conference of Postal and Telecommunications Administrations,</w:t>
      </w:r>
    </w:p>
    <w:p w14:paraId="02E62963" w14:textId="77777777" w:rsidR="009B5E58" w:rsidRPr="000D5FF5" w:rsidRDefault="009B5E58" w:rsidP="006C03D0">
      <w:pPr>
        <w:pStyle w:val="ECCParagraph"/>
      </w:pPr>
      <w:r w:rsidRPr="000D5FF5">
        <w:rPr>
          <w:i/>
          <w:color w:val="D2232A"/>
        </w:rPr>
        <w:t>considering</w:t>
      </w:r>
    </w:p>
    <w:p w14:paraId="02E62964" w14:textId="77777777" w:rsidR="003F7529" w:rsidRPr="000D5FF5" w:rsidRDefault="003F7529" w:rsidP="009B5E58">
      <w:pPr>
        <w:numPr>
          <w:ilvl w:val="0"/>
          <w:numId w:val="17"/>
        </w:numPr>
        <w:suppressAutoHyphens/>
        <w:spacing w:before="120"/>
        <w:ind w:left="567" w:hanging="567"/>
        <w:jc w:val="both"/>
        <w:rPr>
          <w:lang w:val="en-GB"/>
        </w:rPr>
      </w:pPr>
      <w:r w:rsidRPr="000D5FF5">
        <w:rPr>
          <w:lang w:val="en-GB"/>
        </w:rPr>
        <w:t>that the frequency band 1452-1492 MHz is allocated to the mobile service (except aeronautical mobile service), fixed service, broadcasting service and broadcasting satellite service on a co-primary basis in ITU Region 1</w:t>
      </w:r>
      <w:r w:rsidR="00D4519A" w:rsidRPr="000D5FF5">
        <w:rPr>
          <w:lang w:val="en-GB"/>
        </w:rPr>
        <w:t>.</w:t>
      </w:r>
      <w:r w:rsidR="00114C9E" w:rsidRPr="000D5FF5">
        <w:rPr>
          <w:sz w:val="22"/>
          <w:szCs w:val="20"/>
          <w:lang w:val="en-GB" w:eastAsia="de-DE"/>
        </w:rPr>
        <w:t xml:space="preserve"> </w:t>
      </w:r>
      <w:r w:rsidR="00D4519A" w:rsidRPr="000D5FF5">
        <w:rPr>
          <w:lang w:val="en-GB"/>
        </w:rPr>
        <w:t>I</w:t>
      </w:r>
      <w:r w:rsidR="00114C9E" w:rsidRPr="000D5FF5">
        <w:rPr>
          <w:lang w:val="en-GB"/>
        </w:rPr>
        <w:t>n some CEPT countries</w:t>
      </w:r>
      <w:r w:rsidR="00D4519A" w:rsidRPr="000D5FF5">
        <w:rPr>
          <w:lang w:val="en-GB"/>
        </w:rPr>
        <w:t>, the band is also allocated</w:t>
      </w:r>
      <w:r w:rsidR="00114C9E" w:rsidRPr="000D5FF5">
        <w:rPr>
          <w:lang w:val="en-GB"/>
        </w:rPr>
        <w:t xml:space="preserve"> on a co-primary basis to aeronautical mobile service for the purpose of aeronautical telemetry within the national territory according to No 5.342 of the ITU Radio Regulation</w:t>
      </w:r>
      <w:r w:rsidRPr="000D5FF5">
        <w:rPr>
          <w:lang w:val="en-GB"/>
        </w:rPr>
        <w:t>;</w:t>
      </w:r>
    </w:p>
    <w:p w14:paraId="02E62965" w14:textId="07309222" w:rsidR="00D07834" w:rsidRPr="00AE7FCA" w:rsidRDefault="00D07834" w:rsidP="009B5E58">
      <w:pPr>
        <w:numPr>
          <w:ilvl w:val="0"/>
          <w:numId w:val="17"/>
        </w:numPr>
        <w:spacing w:before="120" w:after="120"/>
        <w:ind w:left="567" w:hanging="567"/>
        <w:jc w:val="both"/>
        <w:rPr>
          <w:lang w:val="en-GB"/>
        </w:rPr>
      </w:pPr>
      <w:r w:rsidRPr="00AE7FCA">
        <w:rPr>
          <w:lang w:val="en-GB"/>
        </w:rPr>
        <w:t>that ECC Report 188 conclude</w:t>
      </w:r>
      <w:r w:rsidR="00D4519A" w:rsidRPr="00AE7FCA">
        <w:rPr>
          <w:lang w:val="en-GB"/>
        </w:rPr>
        <w:t xml:space="preserve">d on </w:t>
      </w:r>
      <w:r w:rsidRPr="00AE7FCA">
        <w:rPr>
          <w:lang w:val="en-GB"/>
        </w:rPr>
        <w:t xml:space="preserve">the most appropriate regulatory framework for the future use of the </w:t>
      </w:r>
      <w:r w:rsidR="001E6687" w:rsidRPr="00AE7FCA">
        <w:rPr>
          <w:lang w:val="en-GB"/>
        </w:rPr>
        <w:t>1452-1492 MHz frequency band</w:t>
      </w:r>
      <w:r w:rsidRPr="00AE7FCA">
        <w:rPr>
          <w:lang w:val="en-GB"/>
        </w:rPr>
        <w:t xml:space="preserve"> in CEPT;</w:t>
      </w:r>
    </w:p>
    <w:p w14:paraId="56FE7ECB" w14:textId="121D8D97" w:rsidR="00A00C06" w:rsidRPr="00AE7FCA" w:rsidRDefault="00A00C06" w:rsidP="00FA772B">
      <w:pPr>
        <w:numPr>
          <w:ilvl w:val="0"/>
          <w:numId w:val="17"/>
        </w:numPr>
        <w:spacing w:before="120" w:after="120"/>
        <w:ind w:left="567" w:hanging="567"/>
        <w:jc w:val="both"/>
        <w:rPr>
          <w:lang w:val="en-GB"/>
        </w:rPr>
      </w:pPr>
      <w:r w:rsidRPr="00AE7FCA">
        <w:rPr>
          <w:lang w:val="en-GB"/>
        </w:rPr>
        <w:t>that CEPT Report 65 contains the Report from CEPT to the European Commission in response to the Mandate “to develop harmonised technical conditions in additional frequency bands in the 1.5 GHz range for their use for terrestrial wireless broadband electronic communications services in the Union”;</w:t>
      </w:r>
    </w:p>
    <w:p w14:paraId="02E62966" w14:textId="77777777" w:rsidR="003F7529" w:rsidRPr="000D5FF5" w:rsidRDefault="003F7529" w:rsidP="009B5E58">
      <w:pPr>
        <w:numPr>
          <w:ilvl w:val="0"/>
          <w:numId w:val="17"/>
        </w:numPr>
        <w:suppressAutoHyphens/>
        <w:spacing w:before="120"/>
        <w:ind w:left="567" w:hanging="567"/>
        <w:jc w:val="both"/>
        <w:rPr>
          <w:lang w:val="en-GB"/>
        </w:rPr>
      </w:pPr>
      <w:r w:rsidRPr="000D5FF5">
        <w:rPr>
          <w:lang w:val="en-GB"/>
        </w:rPr>
        <w:t>that terrestrial mobile/fixed communications networks (MFCN) for the purpose of this Decision includes IMT and other communications networks in the mobile and fixed services;</w:t>
      </w:r>
    </w:p>
    <w:p w14:paraId="02E62967" w14:textId="77777777" w:rsidR="00F54C04" w:rsidRPr="000D5FF5" w:rsidRDefault="003F7529" w:rsidP="009B5E58">
      <w:pPr>
        <w:numPr>
          <w:ilvl w:val="0"/>
          <w:numId w:val="17"/>
        </w:numPr>
        <w:suppressAutoHyphens/>
        <w:spacing w:before="120"/>
        <w:ind w:left="567" w:hanging="567"/>
        <w:jc w:val="both"/>
        <w:rPr>
          <w:lang w:val="en-GB"/>
        </w:rPr>
      </w:pPr>
      <w:r w:rsidRPr="000D5FF5">
        <w:rPr>
          <w:lang w:val="en-GB"/>
        </w:rPr>
        <w:t>that harmonised frequency arrangements facilitate economies of scale and availability of low-cost equipment;</w:t>
      </w:r>
    </w:p>
    <w:p w14:paraId="02E62968" w14:textId="77777777" w:rsidR="002979B1" w:rsidRPr="000D5FF5" w:rsidRDefault="002979B1" w:rsidP="009B5E58">
      <w:pPr>
        <w:numPr>
          <w:ilvl w:val="0"/>
          <w:numId w:val="17"/>
        </w:numPr>
        <w:suppressAutoHyphens/>
        <w:spacing w:before="120"/>
        <w:ind w:left="567" w:hanging="567"/>
        <w:jc w:val="both"/>
        <w:rPr>
          <w:lang w:val="en-GB"/>
        </w:rPr>
      </w:pPr>
      <w:r w:rsidRPr="000D5FF5">
        <w:rPr>
          <w:lang w:val="en-GB"/>
        </w:rPr>
        <w:t xml:space="preserve">that a MFCN supplemental downlink (SDL) </w:t>
      </w:r>
      <w:r w:rsidRPr="000D5FF5">
        <w:rPr>
          <w:iCs/>
          <w:lang w:val="en-GB"/>
        </w:rPr>
        <w:t xml:space="preserve">is a </w:t>
      </w:r>
      <w:r w:rsidRPr="000D5FF5">
        <w:rPr>
          <w:lang w:val="en-GB"/>
        </w:rPr>
        <w:t xml:space="preserve">mobile broadband system, which by means of base station transmitters in the network, uses unpaired spectrum in </w:t>
      </w:r>
      <w:r w:rsidR="001B410F" w:rsidRPr="000D5FF5">
        <w:rPr>
          <w:lang w:val="en-GB"/>
        </w:rPr>
        <w:t xml:space="preserve">the </w:t>
      </w:r>
      <w:r w:rsidRPr="000D5FF5">
        <w:rPr>
          <w:lang w:val="en-GB"/>
        </w:rPr>
        <w:t xml:space="preserve">downlink to provide a supplemental downlink capacity to </w:t>
      </w:r>
      <w:r w:rsidRPr="000D5FF5">
        <w:rPr>
          <w:szCs w:val="22"/>
          <w:lang w:val="en-GB"/>
        </w:rPr>
        <w:t xml:space="preserve">carry comprehensive text, </w:t>
      </w:r>
      <w:r w:rsidR="005B4FD3" w:rsidRPr="000D5FF5">
        <w:rPr>
          <w:szCs w:val="22"/>
          <w:lang w:val="en-GB"/>
        </w:rPr>
        <w:t>audio</w:t>
      </w:r>
      <w:r w:rsidRPr="000D5FF5">
        <w:rPr>
          <w:szCs w:val="22"/>
          <w:lang w:val="en-GB"/>
        </w:rPr>
        <w:t>, images, data, sound and video content</w:t>
      </w:r>
      <w:r w:rsidRPr="000D5FF5">
        <w:rPr>
          <w:lang w:val="en-GB"/>
        </w:rPr>
        <w:t xml:space="preserve"> in general</w:t>
      </w:r>
      <w:r w:rsidR="001B410F" w:rsidRPr="000D5FF5">
        <w:rPr>
          <w:lang w:val="en-GB"/>
        </w:rPr>
        <w:t>,</w:t>
      </w:r>
      <w:r w:rsidRPr="000D5FF5">
        <w:rPr>
          <w:lang w:val="en-GB"/>
        </w:rPr>
        <w:t xml:space="preserve"> in a unicasting, multicasting or broadcasting mode;</w:t>
      </w:r>
    </w:p>
    <w:p w14:paraId="02E62969" w14:textId="77777777" w:rsidR="00F24C18" w:rsidRPr="000D5FF5" w:rsidRDefault="00F24C18" w:rsidP="009B5E58">
      <w:pPr>
        <w:numPr>
          <w:ilvl w:val="0"/>
          <w:numId w:val="17"/>
        </w:numPr>
        <w:suppressAutoHyphens/>
        <w:spacing w:before="120"/>
        <w:ind w:left="567" w:hanging="567"/>
        <w:jc w:val="both"/>
        <w:rPr>
          <w:lang w:val="en-GB"/>
        </w:rPr>
      </w:pPr>
      <w:r w:rsidRPr="000D5FF5">
        <w:rPr>
          <w:lang w:val="en-GB"/>
        </w:rPr>
        <w:t>that a MFCN SDL could aggregate the usual downlink channel of a MFCN paired (FDD) band with a supplemental downlink channel(s) in the unpaired spectrum to increase the downlink capacity;</w:t>
      </w:r>
    </w:p>
    <w:p w14:paraId="02E6296A" w14:textId="77777777" w:rsidR="003F7529" w:rsidRPr="000D5FF5" w:rsidRDefault="003F7529" w:rsidP="009B5E58">
      <w:pPr>
        <w:numPr>
          <w:ilvl w:val="0"/>
          <w:numId w:val="17"/>
        </w:numPr>
        <w:suppressAutoHyphens/>
        <w:spacing w:before="120"/>
        <w:ind w:left="567" w:hanging="567"/>
        <w:jc w:val="both"/>
        <w:rPr>
          <w:lang w:val="en-GB"/>
        </w:rPr>
      </w:pPr>
      <w:r w:rsidRPr="000D5FF5">
        <w:rPr>
          <w:lang w:val="en-GB"/>
        </w:rPr>
        <w:t xml:space="preserve">that there could be differences in the market demand for spectrum for MFCN </w:t>
      </w:r>
      <w:r w:rsidR="00D4519A" w:rsidRPr="000D5FF5">
        <w:rPr>
          <w:lang w:val="en-GB"/>
        </w:rPr>
        <w:t xml:space="preserve">SDL </w:t>
      </w:r>
      <w:r w:rsidRPr="000D5FF5">
        <w:rPr>
          <w:lang w:val="en-GB"/>
        </w:rPr>
        <w:t xml:space="preserve">and that different licensing schemes across CEPT countries could lead to different timescales concerning the introduction of mobile/fixed </w:t>
      </w:r>
      <w:r w:rsidR="00D07834" w:rsidRPr="000D5FF5">
        <w:rPr>
          <w:lang w:val="en-GB"/>
        </w:rPr>
        <w:t xml:space="preserve">communication </w:t>
      </w:r>
      <w:r w:rsidRPr="000D5FF5">
        <w:rPr>
          <w:lang w:val="en-GB"/>
        </w:rPr>
        <w:t>services in the frequency band 1452-1492 MHz;</w:t>
      </w:r>
    </w:p>
    <w:p w14:paraId="02E6296B" w14:textId="77777777" w:rsidR="003F7529" w:rsidRPr="000D5FF5" w:rsidRDefault="003F7529" w:rsidP="009B5E58">
      <w:pPr>
        <w:numPr>
          <w:ilvl w:val="0"/>
          <w:numId w:val="17"/>
        </w:numPr>
        <w:suppressAutoHyphens/>
        <w:spacing w:before="120"/>
        <w:ind w:left="567" w:hanging="567"/>
        <w:jc w:val="both"/>
        <w:rPr>
          <w:lang w:val="en-GB"/>
        </w:rPr>
      </w:pPr>
      <w:r w:rsidRPr="000D5FF5">
        <w:rPr>
          <w:lang w:val="en-GB"/>
        </w:rPr>
        <w:t>that data based traffic over mobile broadband networks is predicted to increase over the coming years with a particular evolution towards asymmetrical traffic due to mobile multimedia usage leading to an increasing demand for downlink capacity;</w:t>
      </w:r>
    </w:p>
    <w:p w14:paraId="02E6296C" w14:textId="77777777" w:rsidR="00926001" w:rsidRPr="000D5FF5" w:rsidRDefault="00D07834" w:rsidP="009B5E58">
      <w:pPr>
        <w:numPr>
          <w:ilvl w:val="0"/>
          <w:numId w:val="17"/>
        </w:numPr>
        <w:suppressAutoHyphens/>
        <w:spacing w:before="120"/>
        <w:ind w:left="567" w:hanging="567"/>
        <w:jc w:val="both"/>
        <w:rPr>
          <w:lang w:val="en-GB"/>
        </w:rPr>
      </w:pPr>
      <w:r w:rsidRPr="000D5FF5">
        <w:rPr>
          <w:szCs w:val="22"/>
          <w:lang w:val="en-GB"/>
        </w:rPr>
        <w:t xml:space="preserve">that </w:t>
      </w:r>
      <w:r w:rsidR="00926001" w:rsidRPr="000D5FF5">
        <w:rPr>
          <w:szCs w:val="22"/>
          <w:lang w:val="en-GB"/>
        </w:rPr>
        <w:t xml:space="preserve">some radio-communication </w:t>
      </w:r>
      <w:r w:rsidRPr="000D5FF5">
        <w:rPr>
          <w:szCs w:val="22"/>
          <w:lang w:val="en-GB"/>
        </w:rPr>
        <w:t>standard</w:t>
      </w:r>
      <w:r w:rsidR="00926001" w:rsidRPr="000D5FF5">
        <w:rPr>
          <w:szCs w:val="22"/>
          <w:lang w:val="en-GB"/>
        </w:rPr>
        <w:t>s</w:t>
      </w:r>
      <w:r w:rsidRPr="000D5FF5">
        <w:rPr>
          <w:szCs w:val="22"/>
          <w:lang w:val="en-GB"/>
        </w:rPr>
        <w:t xml:space="preserve"> enable the efficient delivery of live and on-demand content to mobile devices over MFCN SDL </w:t>
      </w:r>
      <w:r w:rsidR="00926001" w:rsidRPr="000D5FF5">
        <w:rPr>
          <w:szCs w:val="22"/>
          <w:lang w:val="en-GB"/>
        </w:rPr>
        <w:t xml:space="preserve">for example </w:t>
      </w:r>
      <w:r w:rsidRPr="000D5FF5">
        <w:rPr>
          <w:szCs w:val="22"/>
          <w:lang w:val="en-GB"/>
        </w:rPr>
        <w:t xml:space="preserve">using broadcast over </w:t>
      </w:r>
      <w:proofErr w:type="spellStart"/>
      <w:r w:rsidRPr="000D5FF5">
        <w:rPr>
          <w:szCs w:val="22"/>
          <w:lang w:val="en-GB"/>
        </w:rPr>
        <w:t>eMBMS</w:t>
      </w:r>
      <w:proofErr w:type="spellEnd"/>
      <w:r w:rsidRPr="000D5FF5">
        <w:rPr>
          <w:szCs w:val="22"/>
          <w:lang w:val="en-GB"/>
        </w:rPr>
        <w:t xml:space="preserve"> </w:t>
      </w:r>
      <w:r w:rsidR="00742C3B">
        <w:rPr>
          <w:szCs w:val="22"/>
          <w:lang w:val="en-GB"/>
        </w:rPr>
        <w:t xml:space="preserve">(evolved Multimedia Broadcast Multicast Service) </w:t>
      </w:r>
      <w:r w:rsidRPr="000D5FF5">
        <w:rPr>
          <w:szCs w:val="22"/>
          <w:lang w:val="en-GB"/>
        </w:rPr>
        <w:t>and dynamic unicast/broadcast hand-off techniques;</w:t>
      </w:r>
    </w:p>
    <w:p w14:paraId="02E6296D" w14:textId="77777777" w:rsidR="00E729B2" w:rsidRPr="000D5FF5" w:rsidRDefault="00E729B2" w:rsidP="009B5E58">
      <w:pPr>
        <w:numPr>
          <w:ilvl w:val="0"/>
          <w:numId w:val="17"/>
        </w:numPr>
        <w:suppressAutoHyphens/>
        <w:spacing w:before="120"/>
        <w:ind w:left="567" w:hanging="567"/>
        <w:jc w:val="both"/>
        <w:rPr>
          <w:lang w:val="en-GB"/>
        </w:rPr>
      </w:pPr>
      <w:r w:rsidRPr="000D5FF5">
        <w:rPr>
          <w:lang w:val="en-GB"/>
        </w:rPr>
        <w:t xml:space="preserve">that </w:t>
      </w:r>
      <w:r w:rsidR="00926001" w:rsidRPr="000D5FF5">
        <w:rPr>
          <w:lang w:val="en-GB"/>
        </w:rPr>
        <w:t xml:space="preserve">some </w:t>
      </w:r>
      <w:r w:rsidR="001F7A22" w:rsidRPr="000D5FF5">
        <w:rPr>
          <w:lang w:val="en-GB"/>
        </w:rPr>
        <w:t xml:space="preserve">mobile broadband standards </w:t>
      </w:r>
      <w:r w:rsidR="00926001" w:rsidRPr="000D5FF5">
        <w:rPr>
          <w:lang w:val="en-GB"/>
        </w:rPr>
        <w:t>e.</w:t>
      </w:r>
      <w:r w:rsidR="006E4D34" w:rsidRPr="000D5FF5">
        <w:rPr>
          <w:lang w:val="en-GB"/>
        </w:rPr>
        <w:t>g.</w:t>
      </w:r>
      <w:r w:rsidR="001F7A22" w:rsidRPr="000D5FF5">
        <w:rPr>
          <w:lang w:val="en-GB"/>
        </w:rPr>
        <w:t xml:space="preserve"> </w:t>
      </w:r>
      <w:r w:rsidRPr="000D5FF5">
        <w:rPr>
          <w:szCs w:val="22"/>
          <w:lang w:val="en-GB"/>
        </w:rPr>
        <w:t xml:space="preserve">UMTS/HSPA and LTE-Advanced are capable of aggregating multiple downlink channels across multiple bands, thus allowing </w:t>
      </w:r>
      <w:r w:rsidR="00926001" w:rsidRPr="000D5FF5">
        <w:rPr>
          <w:szCs w:val="22"/>
          <w:lang w:val="en-GB"/>
        </w:rPr>
        <w:t xml:space="preserve">the </w:t>
      </w:r>
      <w:r w:rsidRPr="000D5FF5">
        <w:rPr>
          <w:szCs w:val="22"/>
          <w:lang w:val="en-GB"/>
        </w:rPr>
        <w:t xml:space="preserve">use </w:t>
      </w:r>
      <w:r w:rsidR="00926001" w:rsidRPr="000D5FF5">
        <w:rPr>
          <w:szCs w:val="22"/>
          <w:lang w:val="en-GB"/>
        </w:rPr>
        <w:t xml:space="preserve">of </w:t>
      </w:r>
      <w:r w:rsidRPr="000D5FF5">
        <w:rPr>
          <w:szCs w:val="22"/>
          <w:lang w:val="en-GB"/>
        </w:rPr>
        <w:t xml:space="preserve">unpaired spectrum for </w:t>
      </w:r>
      <w:r w:rsidR="00926001" w:rsidRPr="000D5FF5">
        <w:rPr>
          <w:szCs w:val="22"/>
          <w:lang w:val="en-GB"/>
        </w:rPr>
        <w:t xml:space="preserve">MFCN </w:t>
      </w:r>
      <w:r w:rsidRPr="000D5FF5">
        <w:rPr>
          <w:szCs w:val="22"/>
          <w:lang w:val="en-GB"/>
        </w:rPr>
        <w:t>SDL;</w:t>
      </w:r>
    </w:p>
    <w:p w14:paraId="02E6296E" w14:textId="77777777" w:rsidR="003F7529" w:rsidRPr="000D5FF5" w:rsidRDefault="003F7529" w:rsidP="009B5E58">
      <w:pPr>
        <w:numPr>
          <w:ilvl w:val="0"/>
          <w:numId w:val="17"/>
        </w:numPr>
        <w:suppressAutoHyphens/>
        <w:spacing w:before="120"/>
        <w:ind w:left="567" w:hanging="567"/>
        <w:jc w:val="both"/>
        <w:rPr>
          <w:lang w:val="en-GB"/>
        </w:rPr>
      </w:pPr>
      <w:r w:rsidRPr="000D5FF5">
        <w:rPr>
          <w:lang w:val="en-GB"/>
        </w:rPr>
        <w:t xml:space="preserve">that roaming </w:t>
      </w:r>
      <w:r w:rsidR="00926001" w:rsidRPr="000D5FF5">
        <w:rPr>
          <w:lang w:val="en-GB"/>
        </w:rPr>
        <w:t xml:space="preserve">and economies of scale are </w:t>
      </w:r>
      <w:r w:rsidRPr="000D5FF5">
        <w:rPr>
          <w:lang w:val="en-GB"/>
        </w:rPr>
        <w:t>facilitated by harmonised frequency arrangements for the use of MFCN terminals;</w:t>
      </w:r>
    </w:p>
    <w:p w14:paraId="02E6296F" w14:textId="77777777" w:rsidR="003F7529" w:rsidRPr="000D5FF5" w:rsidRDefault="003B7D86" w:rsidP="009B5E58">
      <w:pPr>
        <w:numPr>
          <w:ilvl w:val="0"/>
          <w:numId w:val="17"/>
        </w:numPr>
        <w:tabs>
          <w:tab w:val="left" w:pos="3306"/>
        </w:tabs>
        <w:suppressAutoHyphens/>
        <w:spacing w:before="120"/>
        <w:ind w:left="567" w:hanging="567"/>
        <w:jc w:val="both"/>
        <w:rPr>
          <w:lang w:val="en-GB"/>
        </w:rPr>
      </w:pPr>
      <w:r w:rsidRPr="000D5FF5">
        <w:rPr>
          <w:lang w:val="en-GB"/>
        </w:rPr>
        <w:t xml:space="preserve">that </w:t>
      </w:r>
      <w:r w:rsidR="003F7529" w:rsidRPr="000D5FF5">
        <w:rPr>
          <w:lang w:val="en-GB"/>
        </w:rPr>
        <w:t xml:space="preserve">the </w:t>
      </w:r>
      <w:r w:rsidR="0041711F" w:rsidRPr="000D5FF5">
        <w:rPr>
          <w:lang w:val="en-GB"/>
        </w:rPr>
        <w:t>appropriate</w:t>
      </w:r>
      <w:r w:rsidR="003F7529" w:rsidRPr="000D5FF5">
        <w:rPr>
          <w:lang w:val="en-GB"/>
        </w:rPr>
        <w:t xml:space="preserve"> </w:t>
      </w:r>
      <w:r w:rsidRPr="000D5FF5">
        <w:rPr>
          <w:lang w:val="en-GB"/>
        </w:rPr>
        <w:t xml:space="preserve">frequency </w:t>
      </w:r>
      <w:r w:rsidR="003F7529" w:rsidRPr="000D5FF5">
        <w:rPr>
          <w:lang w:val="en-GB"/>
        </w:rPr>
        <w:t xml:space="preserve">block size for MFCN SDL </w:t>
      </w:r>
      <w:r w:rsidRPr="000D5FF5">
        <w:rPr>
          <w:lang w:val="en-GB"/>
        </w:rPr>
        <w:t>is 5 MHz</w:t>
      </w:r>
      <w:r w:rsidR="0041711F" w:rsidRPr="000D5FF5">
        <w:rPr>
          <w:lang w:val="en-GB"/>
        </w:rPr>
        <w:t>,</w:t>
      </w:r>
      <w:r w:rsidRPr="000D5FF5">
        <w:rPr>
          <w:lang w:val="en-GB"/>
        </w:rPr>
        <w:t xml:space="preserve"> </w:t>
      </w:r>
      <w:r w:rsidR="003F7529" w:rsidRPr="000D5FF5">
        <w:rPr>
          <w:lang w:val="en-GB"/>
        </w:rPr>
        <w:t>or a multiple thereof, which does not preclude smaller channel bandwidths within a block;</w:t>
      </w:r>
    </w:p>
    <w:p w14:paraId="02E62970" w14:textId="77777777" w:rsidR="003F7529" w:rsidRPr="000D5FF5" w:rsidRDefault="003F7529" w:rsidP="009B5E58">
      <w:pPr>
        <w:numPr>
          <w:ilvl w:val="0"/>
          <w:numId w:val="17"/>
        </w:numPr>
        <w:tabs>
          <w:tab w:val="left" w:pos="3306"/>
        </w:tabs>
        <w:suppressAutoHyphens/>
        <w:spacing w:before="120"/>
        <w:ind w:left="567" w:hanging="567"/>
        <w:jc w:val="both"/>
        <w:rPr>
          <w:lang w:val="en-GB"/>
        </w:rPr>
      </w:pPr>
      <w:r w:rsidRPr="000D5FF5">
        <w:rPr>
          <w:lang w:val="en-GB"/>
        </w:rPr>
        <w:t>that the block edge mask (BEM) concept has been developed by CEPT to facilitate implementation of spectrum rights of use which are as technology neutral as possible;</w:t>
      </w:r>
    </w:p>
    <w:p w14:paraId="02E62971" w14:textId="77777777" w:rsidR="003F7529" w:rsidRPr="000D5FF5" w:rsidRDefault="003F7529" w:rsidP="009B5E58">
      <w:pPr>
        <w:numPr>
          <w:ilvl w:val="0"/>
          <w:numId w:val="17"/>
        </w:numPr>
        <w:suppressAutoHyphens/>
        <w:spacing w:before="120"/>
        <w:ind w:left="567" w:hanging="567"/>
        <w:jc w:val="both"/>
        <w:rPr>
          <w:lang w:val="en-GB"/>
        </w:rPr>
      </w:pPr>
      <w:bookmarkStart w:id="1" w:name="_Ref503782199"/>
      <w:r w:rsidRPr="000D5FF5">
        <w:rPr>
          <w:lang w:val="en-GB"/>
        </w:rPr>
        <w:t xml:space="preserve">that the designation of </w:t>
      </w:r>
      <w:r w:rsidR="00C164C2" w:rsidRPr="000D5FF5">
        <w:rPr>
          <w:lang w:val="en-GB"/>
        </w:rPr>
        <w:t xml:space="preserve">the </w:t>
      </w:r>
      <w:r w:rsidRPr="000D5FF5">
        <w:rPr>
          <w:lang w:val="en-GB"/>
        </w:rPr>
        <w:t xml:space="preserve">frequency band </w:t>
      </w:r>
      <w:r w:rsidR="00C164C2" w:rsidRPr="000D5FF5">
        <w:rPr>
          <w:lang w:val="en-GB"/>
        </w:rPr>
        <w:t xml:space="preserve">1452-1492 MHz to MFCN SDL </w:t>
      </w:r>
      <w:r w:rsidRPr="000D5FF5">
        <w:rPr>
          <w:lang w:val="en-GB"/>
        </w:rPr>
        <w:t xml:space="preserve">does not prevent </w:t>
      </w:r>
      <w:r w:rsidR="00C164C2" w:rsidRPr="000D5FF5">
        <w:rPr>
          <w:lang w:val="en-GB"/>
        </w:rPr>
        <w:t xml:space="preserve">administrations from using part of </w:t>
      </w:r>
      <w:r w:rsidRPr="000D5FF5">
        <w:rPr>
          <w:lang w:val="en-GB"/>
        </w:rPr>
        <w:t xml:space="preserve">the </w:t>
      </w:r>
      <w:r w:rsidR="00C164C2" w:rsidRPr="000D5FF5">
        <w:rPr>
          <w:lang w:val="en-GB"/>
        </w:rPr>
        <w:t>band for terrestrial broadcasting, aeronautical telemetry,</w:t>
      </w:r>
      <w:r w:rsidR="0032059A" w:rsidRPr="000D5FF5">
        <w:rPr>
          <w:lang w:val="en-GB"/>
        </w:rPr>
        <w:t xml:space="preserve"> </w:t>
      </w:r>
      <w:r w:rsidR="00C164C2" w:rsidRPr="000D5FF5">
        <w:rPr>
          <w:lang w:val="en-GB"/>
        </w:rPr>
        <w:t xml:space="preserve">MFCN </w:t>
      </w:r>
      <w:r w:rsidR="0032059A" w:rsidRPr="000D5FF5">
        <w:rPr>
          <w:lang w:val="en-GB"/>
        </w:rPr>
        <w:t xml:space="preserve">other than SDL </w:t>
      </w:r>
      <w:r w:rsidR="00C164C2" w:rsidRPr="000D5FF5">
        <w:rPr>
          <w:lang w:val="en-GB"/>
        </w:rPr>
        <w:t xml:space="preserve">or </w:t>
      </w:r>
      <w:r w:rsidRPr="000D5FF5">
        <w:rPr>
          <w:lang w:val="en-GB"/>
        </w:rPr>
        <w:t>other terrestrial applications</w:t>
      </w:r>
      <w:r w:rsidR="00C164C2" w:rsidRPr="000D5FF5">
        <w:rPr>
          <w:lang w:val="en-GB"/>
        </w:rPr>
        <w:t xml:space="preserve"> to adapt to national </w:t>
      </w:r>
      <w:r w:rsidR="00F2755F" w:rsidRPr="000D5FF5">
        <w:rPr>
          <w:lang w:val="en-GB"/>
        </w:rPr>
        <w:t>circumstances</w:t>
      </w:r>
      <w:r w:rsidRPr="000D5FF5">
        <w:rPr>
          <w:lang w:val="en-GB"/>
        </w:rPr>
        <w:t>;</w:t>
      </w:r>
      <w:bookmarkEnd w:id="1"/>
    </w:p>
    <w:p w14:paraId="02E62972" w14:textId="77777777" w:rsidR="003F7529" w:rsidRPr="000D5FF5" w:rsidRDefault="003F7529" w:rsidP="009B5E58">
      <w:pPr>
        <w:numPr>
          <w:ilvl w:val="0"/>
          <w:numId w:val="17"/>
        </w:numPr>
        <w:suppressAutoHyphens/>
        <w:spacing w:before="120"/>
        <w:ind w:left="567" w:hanging="567"/>
        <w:jc w:val="both"/>
        <w:rPr>
          <w:lang w:val="en-GB"/>
        </w:rPr>
      </w:pPr>
      <w:r w:rsidRPr="000D5FF5">
        <w:rPr>
          <w:lang w:val="en-GB"/>
        </w:rPr>
        <w:t xml:space="preserve">that administrations wishing to implement terrestrial digital sound broadcasting networks in </w:t>
      </w:r>
      <w:r w:rsidR="00E729B2" w:rsidRPr="000D5FF5">
        <w:rPr>
          <w:lang w:val="en-GB"/>
        </w:rPr>
        <w:t xml:space="preserve">part </w:t>
      </w:r>
      <w:r w:rsidRPr="000D5FF5">
        <w:rPr>
          <w:lang w:val="en-GB"/>
        </w:rPr>
        <w:t xml:space="preserve">of the frequency band 1452-1492 MHz may choose to do so using the MA02revCO07 Plan </w:t>
      </w:r>
      <w:r w:rsidR="00EA37EB">
        <w:rPr>
          <w:lang w:val="en-GB"/>
        </w:rPr>
        <w:fldChar w:fldCharType="begin"/>
      </w:r>
      <w:r w:rsidR="00EA37EB">
        <w:rPr>
          <w:lang w:val="en-GB"/>
        </w:rPr>
        <w:instrText xml:space="preserve"> REF _Ref487543972 \r \h </w:instrText>
      </w:r>
      <w:r w:rsidR="00EA37EB">
        <w:rPr>
          <w:lang w:val="en-GB"/>
        </w:rPr>
      </w:r>
      <w:r w:rsidR="00EA37EB">
        <w:rPr>
          <w:lang w:val="en-GB"/>
        </w:rPr>
        <w:fldChar w:fldCharType="separate"/>
      </w:r>
      <w:r w:rsidR="002373A3">
        <w:rPr>
          <w:lang w:val="en-GB"/>
        </w:rPr>
        <w:t>[5]</w:t>
      </w:r>
      <w:r w:rsidR="00EA37EB">
        <w:rPr>
          <w:lang w:val="en-GB"/>
        </w:rPr>
        <w:fldChar w:fldCharType="end"/>
      </w:r>
      <w:r w:rsidR="00EA37EB">
        <w:rPr>
          <w:lang w:val="en-GB"/>
        </w:rPr>
        <w:t xml:space="preserve"> </w:t>
      </w:r>
      <w:r w:rsidRPr="000D5FF5">
        <w:rPr>
          <w:lang w:val="en-GB"/>
        </w:rPr>
        <w:t>and its possible modifications, based on a 1.7 MHz channel bandwidth;</w:t>
      </w:r>
    </w:p>
    <w:p w14:paraId="02E62973" w14:textId="77777777" w:rsidR="003F7529" w:rsidRPr="000D5FF5" w:rsidRDefault="003F7529" w:rsidP="009B5E58">
      <w:pPr>
        <w:numPr>
          <w:ilvl w:val="0"/>
          <w:numId w:val="17"/>
        </w:numPr>
        <w:tabs>
          <w:tab w:val="left" w:pos="3306"/>
        </w:tabs>
        <w:suppressAutoHyphens/>
        <w:spacing w:before="120"/>
        <w:ind w:left="567" w:hanging="567"/>
        <w:jc w:val="both"/>
        <w:rPr>
          <w:lang w:val="en-GB"/>
        </w:rPr>
      </w:pPr>
      <w:r w:rsidRPr="000D5FF5">
        <w:rPr>
          <w:lang w:val="en-GB"/>
        </w:rPr>
        <w:lastRenderedPageBreak/>
        <w:t>that the protection of terrestrial broadcasting within the frequency band 1452-1492 MHz may require measures at the national level to mitigate the potential interference cases;</w:t>
      </w:r>
    </w:p>
    <w:p w14:paraId="02E62974" w14:textId="77777777" w:rsidR="003F7529" w:rsidRPr="000D5FF5" w:rsidRDefault="003F7529" w:rsidP="009B5E58">
      <w:pPr>
        <w:numPr>
          <w:ilvl w:val="0"/>
          <w:numId w:val="17"/>
        </w:numPr>
        <w:tabs>
          <w:tab w:val="left" w:pos="3306"/>
        </w:tabs>
        <w:suppressAutoHyphens/>
        <w:spacing w:before="120"/>
        <w:ind w:left="567" w:hanging="567"/>
        <w:jc w:val="both"/>
        <w:rPr>
          <w:lang w:val="en-GB"/>
        </w:rPr>
      </w:pPr>
      <w:r w:rsidRPr="000D5FF5">
        <w:rPr>
          <w:lang w:val="en-GB"/>
        </w:rPr>
        <w:t>that the MA02revCO07 Special Arrangement provides the necessary regulatory procedures for cross-border coordination between administrations having to coordinate terrestrial digital sound broadcasting networks in one country and mobile service in another country;</w:t>
      </w:r>
    </w:p>
    <w:p w14:paraId="02E62975" w14:textId="77777777" w:rsidR="00F54C04" w:rsidRPr="000D5FF5" w:rsidRDefault="00EF1CC3" w:rsidP="009B5E58">
      <w:pPr>
        <w:numPr>
          <w:ilvl w:val="0"/>
          <w:numId w:val="17"/>
        </w:numPr>
        <w:suppressAutoHyphens/>
        <w:spacing w:before="120"/>
        <w:ind w:left="567" w:hanging="567"/>
        <w:jc w:val="both"/>
        <w:rPr>
          <w:szCs w:val="20"/>
          <w:lang w:val="en-GB"/>
        </w:rPr>
      </w:pPr>
      <w:r w:rsidRPr="000D5FF5">
        <w:rPr>
          <w:szCs w:val="20"/>
          <w:lang w:val="en-GB"/>
        </w:rPr>
        <w:t xml:space="preserve">that the </w:t>
      </w:r>
      <w:r w:rsidR="005652FF" w:rsidRPr="000D5FF5">
        <w:rPr>
          <w:szCs w:val="20"/>
          <w:lang w:val="en-GB"/>
        </w:rPr>
        <w:t xml:space="preserve">use </w:t>
      </w:r>
      <w:r w:rsidRPr="000D5FF5">
        <w:rPr>
          <w:szCs w:val="20"/>
          <w:lang w:val="en-GB"/>
        </w:rPr>
        <w:t xml:space="preserve">of aeronautical mobile service in the countries mentioned in No 5.342 RR </w:t>
      </w:r>
      <w:r w:rsidRPr="000D5FF5">
        <w:rPr>
          <w:szCs w:val="20"/>
          <w:lang w:val="en-GB" w:eastAsia="de-DE"/>
        </w:rPr>
        <w:t xml:space="preserve">is subject to </w:t>
      </w:r>
      <w:r w:rsidR="005652FF" w:rsidRPr="000D5FF5">
        <w:rPr>
          <w:szCs w:val="20"/>
          <w:lang w:val="en-GB"/>
        </w:rPr>
        <w:t>coordination</w:t>
      </w:r>
      <w:r w:rsidR="005652FF" w:rsidRPr="000D5FF5">
        <w:rPr>
          <w:szCs w:val="20"/>
          <w:lang w:val="en-GB" w:eastAsia="de-DE"/>
        </w:rPr>
        <w:t xml:space="preserve"> and </w:t>
      </w:r>
      <w:r w:rsidRPr="000D5FF5">
        <w:rPr>
          <w:szCs w:val="20"/>
          <w:lang w:val="en-GB" w:eastAsia="de-DE"/>
        </w:rPr>
        <w:t>agreement betwee</w:t>
      </w:r>
      <w:r w:rsidR="00747893" w:rsidRPr="000D5FF5">
        <w:rPr>
          <w:szCs w:val="20"/>
          <w:lang w:val="en-GB" w:eastAsia="de-DE"/>
        </w:rPr>
        <w:t>n the administrations concerned;</w:t>
      </w:r>
    </w:p>
    <w:p w14:paraId="02E62976" w14:textId="48B4A31F" w:rsidR="003F7529" w:rsidRPr="000D5FF5" w:rsidRDefault="003F7529" w:rsidP="009B5E58">
      <w:pPr>
        <w:numPr>
          <w:ilvl w:val="0"/>
          <w:numId w:val="17"/>
        </w:numPr>
        <w:suppressAutoHyphens/>
        <w:spacing w:before="120"/>
        <w:ind w:left="567" w:hanging="567"/>
        <w:jc w:val="both"/>
        <w:rPr>
          <w:lang w:val="en-GB"/>
        </w:rPr>
      </w:pPr>
      <w:r w:rsidRPr="000D5FF5">
        <w:rPr>
          <w:lang w:val="en-GB"/>
        </w:rPr>
        <w:t xml:space="preserve">that </w:t>
      </w:r>
      <w:r w:rsidR="0008007B" w:rsidRPr="000D5FF5">
        <w:rPr>
          <w:rFonts w:cs="Arial"/>
          <w:lang w:val="en-GB"/>
        </w:rPr>
        <w:t xml:space="preserve">MFCN SDL </w:t>
      </w:r>
      <w:r w:rsidRPr="000D5FF5">
        <w:rPr>
          <w:rFonts w:cs="Arial"/>
          <w:lang w:val="en-GB"/>
        </w:rPr>
        <w:t xml:space="preserve">to </w:t>
      </w:r>
      <w:r w:rsidR="0008007B" w:rsidRPr="000D5FF5">
        <w:rPr>
          <w:rFonts w:cs="Arial"/>
          <w:lang w:val="en-GB"/>
        </w:rPr>
        <w:t>MFCN SDL</w:t>
      </w:r>
      <w:r w:rsidR="0008007B" w:rsidRPr="000D5FF5" w:rsidDel="0008007B">
        <w:rPr>
          <w:rFonts w:cs="Arial"/>
          <w:lang w:val="en-GB"/>
        </w:rPr>
        <w:t xml:space="preserve"> </w:t>
      </w:r>
      <w:r w:rsidRPr="000D5FF5">
        <w:rPr>
          <w:rFonts w:cs="Arial"/>
          <w:lang w:val="en-GB"/>
        </w:rPr>
        <w:t xml:space="preserve">cross-border coordination in the frequency band 1452-1492 MHz </w:t>
      </w:r>
      <w:r w:rsidR="00EA37EB">
        <w:rPr>
          <w:rFonts w:cs="Arial"/>
          <w:lang w:val="en-GB"/>
        </w:rPr>
        <w:t>is</w:t>
      </w:r>
      <w:r w:rsidR="0008007B" w:rsidRPr="000D5FF5">
        <w:rPr>
          <w:rFonts w:cs="Arial"/>
          <w:lang w:val="en-GB"/>
        </w:rPr>
        <w:t xml:space="preserve"> addressed in </w:t>
      </w:r>
      <w:r w:rsidRPr="000D5FF5">
        <w:rPr>
          <w:rFonts w:cs="Arial"/>
          <w:lang w:val="en-GB"/>
        </w:rPr>
        <w:t>ECC Recommendation</w:t>
      </w:r>
      <w:r w:rsidR="00EA37EB">
        <w:rPr>
          <w:rFonts w:cs="Arial"/>
          <w:lang w:val="en-GB"/>
        </w:rPr>
        <w:t xml:space="preserve"> (15)01 </w:t>
      </w:r>
      <w:r w:rsidR="00EA37EB">
        <w:rPr>
          <w:rFonts w:cs="Arial"/>
          <w:lang w:val="en-GB"/>
        </w:rPr>
        <w:fldChar w:fldCharType="begin"/>
      </w:r>
      <w:r w:rsidR="00EA37EB">
        <w:rPr>
          <w:rFonts w:cs="Arial"/>
          <w:lang w:val="en-GB"/>
        </w:rPr>
        <w:instrText xml:space="preserve"> REF _Ref487549016 \r \h </w:instrText>
      </w:r>
      <w:r w:rsidR="00EA37EB">
        <w:rPr>
          <w:rFonts w:cs="Arial"/>
          <w:lang w:val="en-GB"/>
        </w:rPr>
      </w:r>
      <w:r w:rsidR="00EA37EB">
        <w:rPr>
          <w:rFonts w:cs="Arial"/>
          <w:lang w:val="en-GB"/>
        </w:rPr>
        <w:fldChar w:fldCharType="separate"/>
      </w:r>
      <w:r w:rsidR="002373A3">
        <w:rPr>
          <w:rFonts w:cs="Arial"/>
          <w:lang w:val="en-GB"/>
        </w:rPr>
        <w:t>[7]</w:t>
      </w:r>
      <w:r w:rsidR="00EA37EB">
        <w:rPr>
          <w:rFonts w:cs="Arial"/>
          <w:lang w:val="en-GB"/>
        </w:rPr>
        <w:fldChar w:fldCharType="end"/>
      </w:r>
      <w:r w:rsidRPr="000D5FF5">
        <w:rPr>
          <w:rFonts w:cs="Arial"/>
          <w:lang w:val="en-GB"/>
        </w:rPr>
        <w:t>;</w:t>
      </w:r>
    </w:p>
    <w:p w14:paraId="02E62977" w14:textId="77777777" w:rsidR="003F7529" w:rsidRDefault="003F7529" w:rsidP="009B5E58">
      <w:pPr>
        <w:numPr>
          <w:ilvl w:val="0"/>
          <w:numId w:val="17"/>
        </w:numPr>
        <w:tabs>
          <w:tab w:val="left" w:pos="3306"/>
        </w:tabs>
        <w:suppressAutoHyphens/>
        <w:spacing w:before="120"/>
        <w:ind w:left="567" w:hanging="567"/>
        <w:jc w:val="both"/>
        <w:rPr>
          <w:lang w:val="en-GB"/>
        </w:rPr>
      </w:pPr>
      <w:r w:rsidRPr="000D5FF5">
        <w:rPr>
          <w:lang w:val="en-GB"/>
        </w:rPr>
        <w:t>that the protection of services in frequency bands adjacent to 1452-1492 MHz needs to be addressed;</w:t>
      </w:r>
    </w:p>
    <w:p w14:paraId="02E62978" w14:textId="1622F95C" w:rsidR="00EA37EB" w:rsidRPr="00EA37EB" w:rsidRDefault="00EA37EB" w:rsidP="00EA37EB">
      <w:pPr>
        <w:numPr>
          <w:ilvl w:val="0"/>
          <w:numId w:val="17"/>
        </w:numPr>
        <w:tabs>
          <w:tab w:val="left" w:pos="3306"/>
        </w:tabs>
        <w:suppressAutoHyphens/>
        <w:spacing w:before="120"/>
        <w:ind w:left="567" w:hanging="567"/>
        <w:jc w:val="both"/>
        <w:rPr>
          <w:lang w:val="en-GB"/>
        </w:rPr>
      </w:pPr>
      <w:r>
        <w:rPr>
          <w:lang w:val="en-GB"/>
        </w:rPr>
        <w:t xml:space="preserve">that </w:t>
      </w:r>
      <w:r>
        <w:t>ECC/DEC/(17)</w:t>
      </w:r>
      <w:r w:rsidR="004D3521">
        <w:t>06</w:t>
      </w:r>
      <w:r>
        <w:t xml:space="preserve"> </w:t>
      </w:r>
      <w:r>
        <w:fldChar w:fldCharType="begin"/>
      </w:r>
      <w:r>
        <w:instrText xml:space="preserve"> REF _Ref487543650 \r \h </w:instrText>
      </w:r>
      <w:r>
        <w:fldChar w:fldCharType="separate"/>
      </w:r>
      <w:r w:rsidR="002373A3">
        <w:t>[3]</w:t>
      </w:r>
      <w:r>
        <w:fldChar w:fldCharType="end"/>
      </w:r>
      <w:r>
        <w:t xml:space="preserve"> </w:t>
      </w:r>
      <w:r w:rsidRPr="004649A1">
        <w:t>harmonise</w:t>
      </w:r>
      <w:r>
        <w:t>s the</w:t>
      </w:r>
      <w:r w:rsidRPr="004649A1">
        <w:t xml:space="preserve"> technical conditions for the use of the bands </w:t>
      </w:r>
      <w:r>
        <w:t>1427</w:t>
      </w:r>
      <w:r w:rsidRPr="004649A1">
        <w:t>-</w:t>
      </w:r>
      <w:r>
        <w:t>1452</w:t>
      </w:r>
      <w:r w:rsidRPr="004649A1">
        <w:t xml:space="preserve"> and </w:t>
      </w:r>
      <w:r>
        <w:t>1492</w:t>
      </w:r>
      <w:r w:rsidRPr="004649A1">
        <w:t>-</w:t>
      </w:r>
      <w:r>
        <w:t>1518</w:t>
      </w:r>
      <w:r w:rsidRPr="004649A1">
        <w:t> MHz for terrestrial Mobile/Fixed Communications Networks Supplemental Downlink (MFCN SDL)</w:t>
      </w:r>
      <w:r w:rsidR="0089479C">
        <w:t>;</w:t>
      </w:r>
    </w:p>
    <w:p w14:paraId="02E62979" w14:textId="4830E08A" w:rsidR="00E65E22" w:rsidRPr="000D5FF5" w:rsidRDefault="003F7529" w:rsidP="009B5E58">
      <w:pPr>
        <w:pStyle w:val="ECCParagraph"/>
        <w:numPr>
          <w:ilvl w:val="0"/>
          <w:numId w:val="17"/>
        </w:numPr>
        <w:spacing w:before="120"/>
        <w:ind w:left="567" w:hanging="567"/>
      </w:pPr>
      <w:proofErr w:type="gramStart"/>
      <w:r w:rsidRPr="000D5FF5">
        <w:t>that</w:t>
      </w:r>
      <w:proofErr w:type="gramEnd"/>
      <w:r w:rsidRPr="000D5FF5">
        <w:t xml:space="preserve"> in EU/EFTA countries the radio equipment that is under the scope of this Decision shall comply with the </w:t>
      </w:r>
      <w:r w:rsidR="00EA37EB" w:rsidRPr="001B0261">
        <w:t xml:space="preserve">Radio Equipment Directive (2014/53/EU) </w:t>
      </w:r>
      <w:r w:rsidR="00EA37EB">
        <w:fldChar w:fldCharType="begin"/>
      </w:r>
      <w:r w:rsidR="00EA37EB">
        <w:instrText xml:space="preserve"> REF _Ref487544282 \r \h </w:instrText>
      </w:r>
      <w:r w:rsidR="00EA37EB">
        <w:fldChar w:fldCharType="separate"/>
      </w:r>
      <w:r w:rsidR="002373A3">
        <w:t>[8]</w:t>
      </w:r>
      <w:r w:rsidR="00EA37EB">
        <w:fldChar w:fldCharType="end"/>
      </w:r>
      <w:r w:rsidRPr="000D5FF5">
        <w:t>. Conformity with the essential requirements of the Directive may be demonstrated by compliance with the applicable harmonised European standard(s) or by using the other conformity assessment procedures set out in the Directive.</w:t>
      </w:r>
    </w:p>
    <w:p w14:paraId="02E6297A" w14:textId="77777777" w:rsidR="006C03D0" w:rsidRPr="000D5FF5" w:rsidRDefault="005F7AD5" w:rsidP="006C03D0">
      <w:pPr>
        <w:pStyle w:val="ECCParagraph"/>
        <w:rPr>
          <w:color w:val="D2232A"/>
        </w:rPr>
      </w:pPr>
      <w:r w:rsidRPr="000D5FF5">
        <w:rPr>
          <w:i/>
          <w:color w:val="D2232A"/>
        </w:rPr>
        <w:t>DECIDES</w:t>
      </w:r>
    </w:p>
    <w:p w14:paraId="02E6297B" w14:textId="77777777" w:rsidR="00A41673" w:rsidRPr="000D5FF5" w:rsidRDefault="00A41673" w:rsidP="00AE625A">
      <w:pPr>
        <w:pStyle w:val="NumberedList"/>
        <w:spacing w:after="120"/>
      </w:pPr>
      <w:r w:rsidRPr="000D5FF5">
        <w:t xml:space="preserve">that </w:t>
      </w:r>
      <w:r w:rsidR="00AE625A" w:rsidRPr="000D5FF5">
        <w:t xml:space="preserve">the </w:t>
      </w:r>
      <w:r w:rsidR="00AE625A" w:rsidRPr="000D5FF5">
        <w:rPr>
          <w:b/>
        </w:rPr>
        <w:t>purpose of this ECC Decision</w:t>
      </w:r>
      <w:r w:rsidR="00AE625A" w:rsidRPr="000D5FF5">
        <w:t xml:space="preserve"> is to harmonise the use of </w:t>
      </w:r>
      <w:r w:rsidR="00DC55A7" w:rsidRPr="000D5FF5">
        <w:t xml:space="preserve">the band 1452-1492 MHz for </w:t>
      </w:r>
      <w:r w:rsidR="00AE625A" w:rsidRPr="000D5FF5">
        <w:t xml:space="preserve">terrestrial mobile/fixed </w:t>
      </w:r>
      <w:r w:rsidR="00DC55A7" w:rsidRPr="000D5FF5">
        <w:t xml:space="preserve">communications networks </w:t>
      </w:r>
      <w:r w:rsidR="007312DD" w:rsidRPr="000D5FF5">
        <w:t xml:space="preserve">supplemental downlink </w:t>
      </w:r>
      <w:r w:rsidR="00DC55A7" w:rsidRPr="000D5FF5">
        <w:t>(MFCN SDL);</w:t>
      </w:r>
    </w:p>
    <w:p w14:paraId="02E6297C" w14:textId="5C167B03" w:rsidR="000F3919" w:rsidRPr="000D5FF5" w:rsidRDefault="007312DD" w:rsidP="00E73D39">
      <w:pPr>
        <w:pStyle w:val="NumberedList"/>
        <w:spacing w:after="120"/>
      </w:pPr>
      <w:r w:rsidRPr="000D5FF5">
        <w:t xml:space="preserve">that CEPT </w:t>
      </w:r>
      <w:r w:rsidRPr="000D5FF5">
        <w:rPr>
          <w:b/>
        </w:rPr>
        <w:t>administrations shall</w:t>
      </w:r>
      <w:r w:rsidRPr="000D5FF5">
        <w:t xml:space="preserve"> designate the frequency band 1452-1492 MHz to </w:t>
      </w:r>
      <w:r w:rsidR="002016E6" w:rsidRPr="000D5FF5">
        <w:t>MFCN SDL</w:t>
      </w:r>
      <w:r w:rsidR="00411B37" w:rsidRPr="000D5FF5">
        <w:t xml:space="preserve">, taking into account </w:t>
      </w:r>
      <w:r w:rsidR="00411B37" w:rsidRPr="000D5FF5">
        <w:rPr>
          <w:i/>
        </w:rPr>
        <w:t xml:space="preserve">considering </w:t>
      </w:r>
      <w:r w:rsidR="00AE7FCA">
        <w:rPr>
          <w:i/>
        </w:rPr>
        <w:fldChar w:fldCharType="begin"/>
      </w:r>
      <w:r w:rsidR="00AE7FCA">
        <w:rPr>
          <w:i/>
        </w:rPr>
        <w:instrText xml:space="preserve"> REF _Ref503782199 \r \h </w:instrText>
      </w:r>
      <w:r w:rsidR="00AE7FCA">
        <w:rPr>
          <w:i/>
        </w:rPr>
      </w:r>
      <w:r w:rsidR="00AE7FCA">
        <w:rPr>
          <w:i/>
        </w:rPr>
        <w:fldChar w:fldCharType="separate"/>
      </w:r>
      <w:r w:rsidR="00AE7FCA">
        <w:rPr>
          <w:i/>
        </w:rPr>
        <w:t>o)</w:t>
      </w:r>
      <w:r w:rsidR="00AE7FCA">
        <w:rPr>
          <w:i/>
        </w:rPr>
        <w:fldChar w:fldCharType="end"/>
      </w:r>
      <w:r w:rsidRPr="00AE7FCA">
        <w:t>;</w:t>
      </w:r>
    </w:p>
    <w:p w14:paraId="02E6297D" w14:textId="77777777" w:rsidR="000F3919" w:rsidRPr="000D5FF5" w:rsidRDefault="006D0D27" w:rsidP="000F3919">
      <w:pPr>
        <w:pStyle w:val="NumberedList"/>
        <w:rPr>
          <w:szCs w:val="20"/>
        </w:rPr>
      </w:pPr>
      <w:r w:rsidRPr="000D5FF5">
        <w:rPr>
          <w:szCs w:val="20"/>
        </w:rPr>
        <w:t xml:space="preserve">that the </w:t>
      </w:r>
      <w:r w:rsidRPr="000D5FF5">
        <w:rPr>
          <w:b/>
          <w:szCs w:val="20"/>
        </w:rPr>
        <w:t>following technical and operational parameters</w:t>
      </w:r>
      <w:r w:rsidRPr="000D5FF5">
        <w:rPr>
          <w:szCs w:val="20"/>
        </w:rPr>
        <w:t xml:space="preserve"> apply</w:t>
      </w:r>
      <w:r w:rsidR="002016E6" w:rsidRPr="000D5FF5">
        <w:rPr>
          <w:szCs w:val="20"/>
        </w:rPr>
        <w:t xml:space="preserve"> to MFCN SDL </w:t>
      </w:r>
      <w:r w:rsidRPr="000D5FF5">
        <w:rPr>
          <w:szCs w:val="20"/>
        </w:rPr>
        <w:t xml:space="preserve">in </w:t>
      </w:r>
      <w:r w:rsidRPr="000D5FF5">
        <w:t>the frequency band 1452-1492 MHz:</w:t>
      </w:r>
    </w:p>
    <w:p w14:paraId="02E6297E" w14:textId="77777777" w:rsidR="006D0D27" w:rsidRPr="000D5FF5" w:rsidRDefault="006D0D27" w:rsidP="006D0D27">
      <w:pPr>
        <w:pStyle w:val="NumberedList"/>
        <w:numPr>
          <w:ilvl w:val="1"/>
          <w:numId w:val="15"/>
        </w:numPr>
        <w:rPr>
          <w:szCs w:val="20"/>
        </w:rPr>
      </w:pPr>
      <w:r w:rsidRPr="000D5FF5">
        <w:t>the harmonised frequency arrangement is given in Annex 1;</w:t>
      </w:r>
    </w:p>
    <w:p w14:paraId="02E6297F" w14:textId="77777777" w:rsidR="006D0D27" w:rsidRPr="000D5FF5" w:rsidRDefault="006D0D27" w:rsidP="006D0D27">
      <w:pPr>
        <w:pStyle w:val="NumberedList"/>
        <w:numPr>
          <w:ilvl w:val="1"/>
          <w:numId w:val="15"/>
        </w:numPr>
        <w:rPr>
          <w:szCs w:val="20"/>
        </w:rPr>
      </w:pPr>
      <w:r w:rsidRPr="000D5FF5">
        <w:t xml:space="preserve">the least restrictive technical conditions (LRTC) </w:t>
      </w:r>
      <w:r w:rsidR="007D4FDC" w:rsidRPr="000D5FF5">
        <w:t xml:space="preserve">are </w:t>
      </w:r>
      <w:r w:rsidRPr="000D5FF5">
        <w:t xml:space="preserve">specified in Annex </w:t>
      </w:r>
      <w:r w:rsidR="00EF1DFF" w:rsidRPr="000D5FF5">
        <w:t>2</w:t>
      </w:r>
      <w:r w:rsidRPr="000D5FF5">
        <w:t>;</w:t>
      </w:r>
    </w:p>
    <w:p w14:paraId="02E62980" w14:textId="3431F6EB" w:rsidR="00713DBA" w:rsidRPr="000D5FF5" w:rsidRDefault="00713DBA" w:rsidP="006C03D0">
      <w:pPr>
        <w:pStyle w:val="NumberedList"/>
      </w:pPr>
      <w:r w:rsidRPr="000D5FF5">
        <w:t xml:space="preserve">that this Decision </w:t>
      </w:r>
      <w:r w:rsidRPr="000D5FF5">
        <w:rPr>
          <w:b/>
        </w:rPr>
        <w:t>enters into force</w:t>
      </w:r>
      <w:r w:rsidRPr="000D5FF5">
        <w:t xml:space="preserve"> on</w:t>
      </w:r>
      <w:r w:rsidR="00862721">
        <w:t xml:space="preserve"> </w:t>
      </w:r>
      <w:r w:rsidR="00763E77" w:rsidRPr="000D5FF5">
        <w:t>8 November 2013</w:t>
      </w:r>
      <w:r w:rsidRPr="000D5FF5">
        <w:t>;</w:t>
      </w:r>
    </w:p>
    <w:p w14:paraId="02E62981" w14:textId="04037226" w:rsidR="00713DBA" w:rsidRPr="000D5FF5" w:rsidRDefault="00D90B0A" w:rsidP="006C03D0">
      <w:pPr>
        <w:pStyle w:val="NumberedList"/>
      </w:pPr>
      <w:r w:rsidRPr="000D5FF5">
        <w:t>that the preferred</w:t>
      </w:r>
      <w:r w:rsidR="00713DBA" w:rsidRPr="000D5FF5">
        <w:t xml:space="preserve"> </w:t>
      </w:r>
      <w:r w:rsidR="00713DBA" w:rsidRPr="000D5FF5">
        <w:rPr>
          <w:b/>
        </w:rPr>
        <w:t>date for implementation</w:t>
      </w:r>
      <w:r w:rsidR="00713DBA" w:rsidRPr="000D5FF5">
        <w:t xml:space="preserve"> of this Decision shall be</w:t>
      </w:r>
      <w:r w:rsidR="006D06E9">
        <w:t xml:space="preserve"> </w:t>
      </w:r>
      <w:r w:rsidR="00763E77" w:rsidRPr="000D5FF5">
        <w:t>8 May 2014</w:t>
      </w:r>
      <w:r w:rsidR="00713DBA" w:rsidRPr="000D5FF5">
        <w:t>;</w:t>
      </w:r>
    </w:p>
    <w:p w14:paraId="02E62982" w14:textId="77777777" w:rsidR="006C03D0" w:rsidRPr="000D5FF5" w:rsidRDefault="00713DBA" w:rsidP="00D90B0A">
      <w:pPr>
        <w:pStyle w:val="NumberedList"/>
        <w:keepNext/>
      </w:pPr>
      <w:r w:rsidRPr="000D5FF5">
        <w:t xml:space="preserve">that CEPT administrations shall communicate the </w:t>
      </w:r>
      <w:r w:rsidRPr="000D5FF5">
        <w:rPr>
          <w:b/>
        </w:rPr>
        <w:t>national measures</w:t>
      </w:r>
      <w:r w:rsidRPr="000D5FF5">
        <w:t xml:space="preserve"> implementing this Decision to the </w:t>
      </w:r>
      <w:smartTag w:uri="urn:schemas-microsoft-com:office:smarttags" w:element="stockticker">
        <w:r w:rsidRPr="000D5FF5">
          <w:t>ECC</w:t>
        </w:r>
      </w:smartTag>
      <w:r w:rsidRPr="000D5FF5">
        <w:t xml:space="preserve"> Chairman and the Office when th</w:t>
      </w:r>
      <w:r w:rsidR="00F32EE8" w:rsidRPr="000D5FF5">
        <w:t>is ECC</w:t>
      </w:r>
      <w:r w:rsidRPr="000D5FF5">
        <w:t xml:space="preserve"> Decision is nationally implemented.</w:t>
      </w:r>
    </w:p>
    <w:p w14:paraId="02E62983" w14:textId="77777777" w:rsidR="001C46EA" w:rsidRPr="000D5FF5" w:rsidRDefault="001C46EA" w:rsidP="00D90B0A">
      <w:pPr>
        <w:pStyle w:val="ECCParagraph"/>
        <w:keepNext/>
      </w:pPr>
    </w:p>
    <w:p w14:paraId="02E62984" w14:textId="77777777" w:rsidR="001C46EA" w:rsidRPr="000D5FF5" w:rsidRDefault="001C46EA" w:rsidP="00D90B0A">
      <w:pPr>
        <w:pStyle w:val="ECCParagraph"/>
        <w:keepNext/>
        <w:rPr>
          <w:i/>
          <w:color w:val="D2232A"/>
        </w:rPr>
      </w:pPr>
      <w:r w:rsidRPr="000D5FF5">
        <w:rPr>
          <w:i/>
          <w:color w:val="D2232A"/>
        </w:rPr>
        <w:t xml:space="preserve">Note: </w:t>
      </w:r>
    </w:p>
    <w:p w14:paraId="02E62985" w14:textId="77777777" w:rsidR="001C46EA" w:rsidRPr="000D5FF5" w:rsidRDefault="001C46EA" w:rsidP="00D90B0A">
      <w:pPr>
        <w:pStyle w:val="ECCParagraph"/>
        <w:keepNext/>
      </w:pPr>
      <w:r w:rsidRPr="000D5FF5">
        <w:rPr>
          <w:i/>
          <w:szCs w:val="20"/>
        </w:rPr>
        <w:t xml:space="preserve">Please check the Office documentation database http://www.ecodocdb.dk for the up to date position on the implementation of this and other </w:t>
      </w:r>
      <w:smartTag w:uri="urn:schemas-microsoft-com:office:smarttags" w:element="stockticker">
        <w:r w:rsidRPr="000D5FF5">
          <w:rPr>
            <w:i/>
            <w:szCs w:val="20"/>
          </w:rPr>
          <w:t>ECC</w:t>
        </w:r>
      </w:smartTag>
      <w:r w:rsidRPr="000D5FF5">
        <w:rPr>
          <w:i/>
          <w:szCs w:val="20"/>
        </w:rPr>
        <w:t xml:space="preserve"> Decisions.</w:t>
      </w:r>
    </w:p>
    <w:p w14:paraId="02E62986" w14:textId="77777777" w:rsidR="006C03D0" w:rsidRPr="000D5FF5" w:rsidRDefault="0045633D" w:rsidP="0045633D">
      <w:pPr>
        <w:pStyle w:val="ECCAnnex-heading1"/>
      </w:pPr>
      <w:r w:rsidRPr="000D5FF5">
        <w:lastRenderedPageBreak/>
        <w:t>Harmonised frequency arrangement for the band 1452-1492 MH</w:t>
      </w:r>
      <w:r w:rsidRPr="000D5FF5">
        <w:rPr>
          <w:sz w:val="16"/>
        </w:rPr>
        <w:t>z</w:t>
      </w:r>
    </w:p>
    <w:p w14:paraId="02E62987" w14:textId="77777777" w:rsidR="0045633D" w:rsidRPr="000D5FF5" w:rsidRDefault="0045633D" w:rsidP="00C57E5C">
      <w:pPr>
        <w:pStyle w:val="ECCParagraph"/>
      </w:pPr>
      <w:r w:rsidRPr="000D5FF5">
        <w:t xml:space="preserve">The harmonised frequency arrangement is based on a block size of 5 MHz, resulting in the following </w:t>
      </w:r>
      <w:r w:rsidR="000D5FF5">
        <w:br/>
      </w:r>
      <w:r w:rsidRPr="000D5FF5">
        <w:t>8 frequency blocks in 1452-1492 MHz.</w:t>
      </w:r>
    </w:p>
    <w:p w14:paraId="02E62988" w14:textId="77777777" w:rsidR="0045633D" w:rsidRPr="000D5FF5" w:rsidRDefault="009A3DD8" w:rsidP="009A3DD8">
      <w:pPr>
        <w:pStyle w:val="ECCTabletitle"/>
      </w:pPr>
      <w:r w:rsidRPr="000D5FF5">
        <w:t xml:space="preserve"> Harmonised frequency arrangement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229"/>
        <w:gridCol w:w="1173"/>
        <w:gridCol w:w="1173"/>
        <w:gridCol w:w="1173"/>
        <w:gridCol w:w="1173"/>
        <w:gridCol w:w="1173"/>
        <w:gridCol w:w="1173"/>
        <w:gridCol w:w="1173"/>
      </w:tblGrid>
      <w:tr w:rsidR="005E5254" w:rsidRPr="000D5FF5" w14:paraId="02E62991" w14:textId="77777777" w:rsidTr="00C57E5C">
        <w:trPr>
          <w:tblHeader/>
        </w:trPr>
        <w:tc>
          <w:tcPr>
            <w:tcW w:w="0" w:type="auto"/>
            <w:shd w:val="clear" w:color="auto" w:fill="FFFFFF" w:themeFill="background1"/>
            <w:vAlign w:val="center"/>
          </w:tcPr>
          <w:p w14:paraId="02E62989" w14:textId="77777777" w:rsidR="005E5254" w:rsidRPr="000D5FF5" w:rsidRDefault="005E5254" w:rsidP="00C57E5C">
            <w:pPr>
              <w:spacing w:before="60" w:after="60" w:line="288" w:lineRule="auto"/>
              <w:jc w:val="center"/>
              <w:rPr>
                <w:rFonts w:cs="Arial"/>
                <w:b/>
                <w:color w:val="FFFFFF"/>
                <w:lang w:val="en-GB"/>
              </w:rPr>
            </w:pPr>
            <w:r w:rsidRPr="000D5FF5">
              <w:rPr>
                <w:rFonts w:cs="Arial"/>
                <w:color w:val="000000"/>
                <w:kern w:val="24"/>
                <w:szCs w:val="22"/>
                <w:lang w:val="en-GB"/>
              </w:rPr>
              <w:t>1452 -1457</w:t>
            </w:r>
          </w:p>
        </w:tc>
        <w:tc>
          <w:tcPr>
            <w:tcW w:w="0" w:type="auto"/>
            <w:shd w:val="clear" w:color="auto" w:fill="FFFFFF" w:themeFill="background1"/>
            <w:vAlign w:val="center"/>
          </w:tcPr>
          <w:p w14:paraId="02E6298A" w14:textId="77777777" w:rsidR="005E5254" w:rsidRPr="000D5FF5" w:rsidRDefault="00C57E5C" w:rsidP="00C57E5C">
            <w:pPr>
              <w:spacing w:before="60" w:after="60" w:line="288" w:lineRule="auto"/>
              <w:jc w:val="center"/>
              <w:rPr>
                <w:rFonts w:cs="Arial"/>
                <w:b/>
                <w:color w:val="FFFFFF"/>
                <w:lang w:val="en-GB"/>
              </w:rPr>
            </w:pPr>
            <w:r w:rsidRPr="000D5FF5">
              <w:rPr>
                <w:rFonts w:cs="Arial"/>
                <w:color w:val="000000"/>
                <w:kern w:val="24"/>
                <w:szCs w:val="22"/>
                <w:lang w:val="en-GB"/>
              </w:rPr>
              <w:t>1457-</w:t>
            </w:r>
            <w:r w:rsidR="005E5254" w:rsidRPr="000D5FF5">
              <w:rPr>
                <w:rFonts w:cs="Arial"/>
                <w:color w:val="000000"/>
                <w:kern w:val="24"/>
                <w:szCs w:val="22"/>
                <w:lang w:val="en-GB"/>
              </w:rPr>
              <w:t>1462</w:t>
            </w:r>
          </w:p>
        </w:tc>
        <w:tc>
          <w:tcPr>
            <w:tcW w:w="0" w:type="auto"/>
            <w:shd w:val="clear" w:color="auto" w:fill="FFFFFF" w:themeFill="background1"/>
            <w:vAlign w:val="center"/>
          </w:tcPr>
          <w:p w14:paraId="02E6298B" w14:textId="77777777" w:rsidR="005E5254" w:rsidRPr="000D5FF5" w:rsidRDefault="00C57E5C" w:rsidP="00C57E5C">
            <w:pPr>
              <w:spacing w:before="60" w:after="60" w:line="288" w:lineRule="auto"/>
              <w:jc w:val="center"/>
              <w:rPr>
                <w:rFonts w:cs="Arial"/>
                <w:b/>
                <w:color w:val="FFFFFF"/>
                <w:lang w:val="en-GB"/>
              </w:rPr>
            </w:pPr>
            <w:r w:rsidRPr="000D5FF5">
              <w:rPr>
                <w:rFonts w:cs="Arial"/>
                <w:color w:val="000000"/>
                <w:kern w:val="24"/>
                <w:szCs w:val="22"/>
                <w:lang w:val="en-GB"/>
              </w:rPr>
              <w:t>1462-</w:t>
            </w:r>
            <w:r w:rsidR="005E5254" w:rsidRPr="000D5FF5">
              <w:rPr>
                <w:rFonts w:cs="Arial"/>
                <w:color w:val="000000"/>
                <w:kern w:val="24"/>
                <w:szCs w:val="22"/>
                <w:lang w:val="en-GB"/>
              </w:rPr>
              <w:t>1467</w:t>
            </w:r>
          </w:p>
        </w:tc>
        <w:tc>
          <w:tcPr>
            <w:tcW w:w="0" w:type="auto"/>
            <w:shd w:val="clear" w:color="auto" w:fill="FFFFFF" w:themeFill="background1"/>
            <w:vAlign w:val="center"/>
          </w:tcPr>
          <w:p w14:paraId="02E6298C" w14:textId="77777777" w:rsidR="005E5254" w:rsidRPr="000D5FF5" w:rsidRDefault="00C57E5C" w:rsidP="00C57E5C">
            <w:pPr>
              <w:spacing w:before="60" w:after="60" w:line="288" w:lineRule="auto"/>
              <w:jc w:val="center"/>
              <w:rPr>
                <w:rFonts w:cs="Arial"/>
                <w:b/>
                <w:color w:val="FFFFFF"/>
                <w:lang w:val="en-GB"/>
              </w:rPr>
            </w:pPr>
            <w:r w:rsidRPr="000D5FF5">
              <w:rPr>
                <w:rFonts w:cs="Arial"/>
                <w:color w:val="000000"/>
                <w:kern w:val="24"/>
                <w:szCs w:val="22"/>
                <w:lang w:val="en-GB"/>
              </w:rPr>
              <w:t>1467-</w:t>
            </w:r>
            <w:r w:rsidR="005E5254" w:rsidRPr="000D5FF5">
              <w:rPr>
                <w:rFonts w:cs="Arial"/>
                <w:color w:val="000000"/>
                <w:kern w:val="24"/>
                <w:szCs w:val="22"/>
                <w:lang w:val="en-GB"/>
              </w:rPr>
              <w:t>1472</w:t>
            </w:r>
          </w:p>
        </w:tc>
        <w:tc>
          <w:tcPr>
            <w:tcW w:w="0" w:type="auto"/>
            <w:shd w:val="clear" w:color="auto" w:fill="FFFFFF" w:themeFill="background1"/>
            <w:vAlign w:val="center"/>
          </w:tcPr>
          <w:p w14:paraId="02E6298D" w14:textId="77777777" w:rsidR="005E5254" w:rsidRPr="000D5FF5" w:rsidRDefault="00C57E5C" w:rsidP="00C57E5C">
            <w:pPr>
              <w:spacing w:before="60" w:after="60" w:line="288" w:lineRule="auto"/>
              <w:jc w:val="center"/>
              <w:rPr>
                <w:rFonts w:cs="Arial"/>
                <w:b/>
                <w:color w:val="FFFFFF"/>
                <w:lang w:val="en-GB"/>
              </w:rPr>
            </w:pPr>
            <w:r w:rsidRPr="000D5FF5">
              <w:rPr>
                <w:rFonts w:cs="Arial"/>
                <w:color w:val="000000"/>
                <w:kern w:val="24"/>
                <w:szCs w:val="22"/>
                <w:lang w:val="en-GB"/>
              </w:rPr>
              <w:t>1472-</w:t>
            </w:r>
            <w:r w:rsidR="005E5254" w:rsidRPr="000D5FF5">
              <w:rPr>
                <w:rFonts w:cs="Arial"/>
                <w:color w:val="000000"/>
                <w:kern w:val="24"/>
                <w:szCs w:val="22"/>
                <w:lang w:val="en-GB"/>
              </w:rPr>
              <w:t>1477</w:t>
            </w:r>
          </w:p>
        </w:tc>
        <w:tc>
          <w:tcPr>
            <w:tcW w:w="0" w:type="auto"/>
            <w:shd w:val="clear" w:color="auto" w:fill="FFFFFF" w:themeFill="background1"/>
            <w:vAlign w:val="center"/>
          </w:tcPr>
          <w:p w14:paraId="02E6298E" w14:textId="77777777" w:rsidR="005E5254" w:rsidRPr="000D5FF5" w:rsidRDefault="00C57E5C" w:rsidP="00C57E5C">
            <w:pPr>
              <w:spacing w:before="60" w:after="60" w:line="288" w:lineRule="auto"/>
              <w:jc w:val="center"/>
              <w:rPr>
                <w:rFonts w:cs="Arial"/>
                <w:b/>
                <w:color w:val="FFFFFF"/>
                <w:lang w:val="en-GB"/>
              </w:rPr>
            </w:pPr>
            <w:r w:rsidRPr="000D5FF5">
              <w:rPr>
                <w:rFonts w:cs="Arial"/>
                <w:color w:val="000000"/>
                <w:kern w:val="24"/>
                <w:szCs w:val="22"/>
                <w:lang w:val="en-GB"/>
              </w:rPr>
              <w:t>1477</w:t>
            </w:r>
            <w:r w:rsidR="005E5254" w:rsidRPr="000D5FF5">
              <w:rPr>
                <w:rFonts w:cs="Arial"/>
                <w:color w:val="000000"/>
                <w:kern w:val="24"/>
                <w:szCs w:val="22"/>
                <w:lang w:val="en-GB"/>
              </w:rPr>
              <w:t>-1482</w:t>
            </w:r>
          </w:p>
        </w:tc>
        <w:tc>
          <w:tcPr>
            <w:tcW w:w="0" w:type="auto"/>
            <w:shd w:val="clear" w:color="auto" w:fill="FFFFFF" w:themeFill="background1"/>
            <w:vAlign w:val="center"/>
          </w:tcPr>
          <w:p w14:paraId="02E6298F" w14:textId="77777777" w:rsidR="005E5254" w:rsidRPr="000D5FF5" w:rsidRDefault="00C57E5C" w:rsidP="00C57E5C">
            <w:pPr>
              <w:spacing w:before="60" w:after="60" w:line="288" w:lineRule="auto"/>
              <w:jc w:val="center"/>
              <w:rPr>
                <w:rFonts w:cs="Arial"/>
                <w:b/>
                <w:color w:val="FFFFFF"/>
                <w:lang w:val="en-GB"/>
              </w:rPr>
            </w:pPr>
            <w:r w:rsidRPr="000D5FF5">
              <w:rPr>
                <w:rFonts w:cs="Arial"/>
                <w:color w:val="000000"/>
                <w:kern w:val="24"/>
                <w:szCs w:val="22"/>
                <w:lang w:val="en-GB"/>
              </w:rPr>
              <w:t>1482-</w:t>
            </w:r>
            <w:r w:rsidR="005E5254" w:rsidRPr="000D5FF5">
              <w:rPr>
                <w:rFonts w:cs="Arial"/>
                <w:color w:val="000000"/>
                <w:kern w:val="24"/>
                <w:szCs w:val="22"/>
                <w:lang w:val="en-GB"/>
              </w:rPr>
              <w:t>1487</w:t>
            </w:r>
          </w:p>
        </w:tc>
        <w:tc>
          <w:tcPr>
            <w:tcW w:w="0" w:type="auto"/>
            <w:shd w:val="clear" w:color="auto" w:fill="FFFFFF" w:themeFill="background1"/>
            <w:vAlign w:val="center"/>
          </w:tcPr>
          <w:p w14:paraId="02E62990" w14:textId="77777777" w:rsidR="005E5254" w:rsidRPr="000D5FF5" w:rsidRDefault="00C57E5C" w:rsidP="00C57E5C">
            <w:pPr>
              <w:spacing w:before="60" w:after="60" w:line="288" w:lineRule="auto"/>
              <w:jc w:val="center"/>
              <w:rPr>
                <w:rFonts w:cs="Arial"/>
                <w:b/>
                <w:color w:val="FFFFFF"/>
                <w:lang w:val="en-GB"/>
              </w:rPr>
            </w:pPr>
            <w:r w:rsidRPr="000D5FF5">
              <w:rPr>
                <w:rFonts w:cs="Arial"/>
                <w:color w:val="000000"/>
                <w:kern w:val="24"/>
                <w:szCs w:val="22"/>
                <w:lang w:val="en-GB"/>
              </w:rPr>
              <w:t>1487-</w:t>
            </w:r>
            <w:r w:rsidR="005E5254" w:rsidRPr="000D5FF5">
              <w:rPr>
                <w:rFonts w:cs="Arial"/>
                <w:color w:val="000000"/>
                <w:kern w:val="24"/>
                <w:szCs w:val="22"/>
                <w:lang w:val="en-GB"/>
              </w:rPr>
              <w:t>1492</w:t>
            </w:r>
          </w:p>
        </w:tc>
      </w:tr>
      <w:tr w:rsidR="00C57E5C" w:rsidRPr="000D5FF5" w14:paraId="02E62993" w14:textId="77777777" w:rsidTr="006B5193">
        <w:trPr>
          <w:tblHeader/>
        </w:trPr>
        <w:tc>
          <w:tcPr>
            <w:tcW w:w="0" w:type="auto"/>
            <w:gridSpan w:val="8"/>
            <w:shd w:val="clear" w:color="auto" w:fill="D2232A"/>
          </w:tcPr>
          <w:p w14:paraId="02E62992" w14:textId="77777777" w:rsidR="00C57E5C" w:rsidRPr="000D5FF5" w:rsidRDefault="00C57E5C" w:rsidP="00C57E5C">
            <w:pPr>
              <w:spacing w:before="60" w:after="60"/>
              <w:jc w:val="center"/>
              <w:rPr>
                <w:rFonts w:cs="Arial"/>
                <w:color w:val="FFFFFF" w:themeColor="background1"/>
                <w:lang w:val="en-GB"/>
              </w:rPr>
            </w:pPr>
            <w:r w:rsidRPr="000D5FF5">
              <w:rPr>
                <w:rFonts w:cs="Arial"/>
                <w:b/>
                <w:bCs/>
                <w:color w:val="FFFFFF" w:themeColor="background1"/>
                <w:lang w:val="en-GB"/>
              </w:rPr>
              <w:t>Downlink (base station transmit)</w:t>
            </w:r>
          </w:p>
        </w:tc>
      </w:tr>
      <w:tr w:rsidR="00C57E5C" w:rsidRPr="000D5FF5" w14:paraId="02E62995" w14:textId="77777777" w:rsidTr="006B5193">
        <w:tc>
          <w:tcPr>
            <w:tcW w:w="0" w:type="auto"/>
            <w:gridSpan w:val="8"/>
          </w:tcPr>
          <w:p w14:paraId="02E62994" w14:textId="77777777" w:rsidR="00C57E5C" w:rsidRPr="000D5FF5" w:rsidRDefault="00C57E5C" w:rsidP="00C57E5C">
            <w:pPr>
              <w:spacing w:before="60" w:after="60"/>
              <w:jc w:val="center"/>
              <w:rPr>
                <w:rFonts w:cs="Arial"/>
                <w:lang w:val="en-GB"/>
              </w:rPr>
            </w:pPr>
            <w:r w:rsidRPr="000D5FF5">
              <w:rPr>
                <w:rFonts w:cs="Arial"/>
                <w:lang w:val="en-GB"/>
              </w:rPr>
              <w:t>40 MHz (8 blocks of 5 MHz)</w:t>
            </w:r>
          </w:p>
        </w:tc>
      </w:tr>
    </w:tbl>
    <w:p w14:paraId="02E62996" w14:textId="77777777" w:rsidR="005E5254" w:rsidRPr="000D5FF5" w:rsidRDefault="005E5254" w:rsidP="0045633D">
      <w:pPr>
        <w:jc w:val="center"/>
        <w:rPr>
          <w:rFonts w:cs="Arial"/>
          <w:lang w:val="en-GB"/>
        </w:rPr>
      </w:pPr>
    </w:p>
    <w:p w14:paraId="02E62997" w14:textId="6579FA81" w:rsidR="009B4418" w:rsidRPr="000D5FF5" w:rsidRDefault="009B4418" w:rsidP="006C03D0">
      <w:pPr>
        <w:pStyle w:val="ECCParagraph"/>
        <w:rPr>
          <w:i/>
        </w:rPr>
      </w:pPr>
      <w:r w:rsidRPr="000D5FF5">
        <w:t xml:space="preserve">Note: Administrations which do not have the full band 1452-1492 MHz available for MFCN SDL </w:t>
      </w:r>
      <w:r w:rsidR="000D5FF5">
        <w:br/>
      </w:r>
      <w:r w:rsidRPr="000D5FF5">
        <w:t xml:space="preserve">(see </w:t>
      </w:r>
      <w:r w:rsidRPr="000D5FF5">
        <w:rPr>
          <w:i/>
        </w:rPr>
        <w:t xml:space="preserve">considering </w:t>
      </w:r>
      <w:r w:rsidR="00C51C78">
        <w:rPr>
          <w:i/>
        </w:rPr>
        <w:fldChar w:fldCharType="begin"/>
      </w:r>
      <w:r w:rsidR="00C51C78">
        <w:rPr>
          <w:i/>
        </w:rPr>
        <w:instrText xml:space="preserve"> REF _Ref503782199 \r \h </w:instrText>
      </w:r>
      <w:r w:rsidR="00C51C78">
        <w:rPr>
          <w:i/>
        </w:rPr>
      </w:r>
      <w:r w:rsidR="00C51C78">
        <w:rPr>
          <w:i/>
        </w:rPr>
        <w:fldChar w:fldCharType="separate"/>
      </w:r>
      <w:r w:rsidR="00C51C78">
        <w:rPr>
          <w:i/>
        </w:rPr>
        <w:t>o)</w:t>
      </w:r>
      <w:r w:rsidR="00C51C78">
        <w:rPr>
          <w:i/>
        </w:rPr>
        <w:fldChar w:fldCharType="end"/>
      </w:r>
      <w:r w:rsidRPr="000D5FF5">
        <w:t>) may consider a partial implementation of the frequency arrangement described above.</w:t>
      </w:r>
    </w:p>
    <w:p w14:paraId="02E62998" w14:textId="77777777" w:rsidR="006C03D0" w:rsidRPr="000D5FF5" w:rsidRDefault="00973531" w:rsidP="0045633D">
      <w:pPr>
        <w:pStyle w:val="ECCAnnex-heading1"/>
      </w:pPr>
      <w:r w:rsidRPr="000D5FF5">
        <w:lastRenderedPageBreak/>
        <w:t xml:space="preserve">LEAST RESTRICTIVE </w:t>
      </w:r>
      <w:r w:rsidR="009D12F6" w:rsidRPr="000D5FF5">
        <w:t>Technical conditions</w:t>
      </w:r>
    </w:p>
    <w:p w14:paraId="02E62999" w14:textId="6B229133" w:rsidR="000D2182" w:rsidRPr="00AE7FCA" w:rsidRDefault="0045633D" w:rsidP="00CB1268">
      <w:pPr>
        <w:pStyle w:val="ECCParagraph"/>
      </w:pPr>
      <w:r w:rsidRPr="000D5FF5">
        <w:t xml:space="preserve">The </w:t>
      </w:r>
      <w:r w:rsidR="00DA68F9" w:rsidRPr="000D5FF5">
        <w:t xml:space="preserve">least restrictive </w:t>
      </w:r>
      <w:r w:rsidRPr="00AE7FCA">
        <w:t xml:space="preserve">technical conditions </w:t>
      </w:r>
      <w:r w:rsidR="00DA68F9" w:rsidRPr="00AE7FCA">
        <w:t xml:space="preserve">(LRTC) </w:t>
      </w:r>
      <w:r w:rsidRPr="00AE7FCA">
        <w:t xml:space="preserve">presented in this annex are in the form of </w:t>
      </w:r>
      <w:r w:rsidR="004C74F9" w:rsidRPr="00AE7FCA">
        <w:t xml:space="preserve">a </w:t>
      </w:r>
      <w:r w:rsidRPr="00AE7FCA">
        <w:t>block-edge mask (BEM)</w:t>
      </w:r>
      <w:r w:rsidR="009D12F6" w:rsidRPr="00AE7FCA">
        <w:t xml:space="preserve"> and out of band (OOB) emission limits</w:t>
      </w:r>
      <w:r w:rsidRPr="00AE7FCA">
        <w:t xml:space="preserve">. </w:t>
      </w:r>
      <w:r w:rsidR="00DA68F9" w:rsidRPr="00AE7FCA">
        <w:t xml:space="preserve">LRTC </w:t>
      </w:r>
      <w:r w:rsidRPr="00AE7FCA">
        <w:t>are related to the avoidance of interference between users of spectrum.</w:t>
      </w:r>
      <w:r w:rsidR="000D2182" w:rsidRPr="00AE7FCA">
        <w:t xml:space="preserve"> The LRTC in the </w:t>
      </w:r>
      <w:r w:rsidR="001E6687" w:rsidRPr="00AE7FCA">
        <w:t>1452-1492 MHz frequency band</w:t>
      </w:r>
      <w:r w:rsidR="000D2182" w:rsidRPr="00AE7FCA">
        <w:t xml:space="preserve"> are optimised for, but are not limited to MFCN SDL. The LRTC given in this annex apply to the harmonised frequency arrangement as described in Annex 1.</w:t>
      </w:r>
    </w:p>
    <w:p w14:paraId="02E6299A" w14:textId="77777777" w:rsidR="00DA68F9" w:rsidRPr="00AE7FCA" w:rsidRDefault="0045633D" w:rsidP="00CB1268">
      <w:pPr>
        <w:pStyle w:val="ECCParagraph"/>
      </w:pPr>
      <w:r w:rsidRPr="00AE7FCA">
        <w:t xml:space="preserve">A BEM is an emission mask that is defined, as a function of frequency, relative to the block </w:t>
      </w:r>
      <w:r w:rsidR="00DA68F9" w:rsidRPr="00AE7FCA">
        <w:t xml:space="preserve">edge </w:t>
      </w:r>
      <w:r w:rsidRPr="00AE7FCA">
        <w:t xml:space="preserve">of spectrum. </w:t>
      </w:r>
      <w:r w:rsidRPr="00AE7FCA">
        <w:rPr>
          <w:rFonts w:cs="Arial"/>
          <w:szCs w:val="22"/>
        </w:rPr>
        <w:t>BEMs are emission restrictions without implication on the levels of the emission restriction applicable to the spurious domain.</w:t>
      </w:r>
      <w:r w:rsidR="00A509E2" w:rsidRPr="00AE7FCA">
        <w:rPr>
          <w:rFonts w:cs="Arial"/>
          <w:szCs w:val="22"/>
        </w:rPr>
        <w:t xml:space="preserve"> </w:t>
      </w:r>
      <w:r w:rsidR="00DA68F9" w:rsidRPr="00AE7FCA">
        <w:t xml:space="preserve">The term </w:t>
      </w:r>
      <w:r w:rsidR="00DA68F9" w:rsidRPr="00AE7FCA">
        <w:rPr>
          <w:i/>
        </w:rPr>
        <w:t>block edge</w:t>
      </w:r>
      <w:r w:rsidR="00DA68F9" w:rsidRPr="00AE7FCA">
        <w:t xml:space="preserve"> refers to the frequency boundary of spectrum licensed to a mobile/fixed communication network.</w:t>
      </w:r>
    </w:p>
    <w:p w14:paraId="02E6299B" w14:textId="28294DE9" w:rsidR="00C30FA0" w:rsidRPr="00AE7FCA" w:rsidRDefault="0045633D" w:rsidP="00CB1268">
      <w:pPr>
        <w:pStyle w:val="ECCParagraph"/>
      </w:pPr>
      <w:r w:rsidRPr="00AE7FCA">
        <w:t>The BEM ha</w:t>
      </w:r>
      <w:r w:rsidR="00AF5B5C" w:rsidRPr="00AE7FCA">
        <w:t>s</w:t>
      </w:r>
      <w:r w:rsidRPr="00AE7FCA">
        <w:t xml:space="preserve"> been derived to allow coexistence between MFCN SDL in the </w:t>
      </w:r>
      <w:r w:rsidR="001E6687" w:rsidRPr="00AE7FCA">
        <w:t>1452-1492 MHz frequency band</w:t>
      </w:r>
      <w:r w:rsidR="00C30FA0" w:rsidRPr="00AE7FCA">
        <w:t>.</w:t>
      </w:r>
    </w:p>
    <w:p w14:paraId="02E6299C" w14:textId="539EAB33" w:rsidR="0045633D" w:rsidRPr="00AE7FCA" w:rsidRDefault="00C30FA0" w:rsidP="00CB1268">
      <w:pPr>
        <w:pStyle w:val="ECCParagraph"/>
      </w:pPr>
      <w:r w:rsidRPr="00AE7FCA">
        <w:t xml:space="preserve">In addition, </w:t>
      </w:r>
      <w:r w:rsidR="00EC67F6" w:rsidRPr="00AE7FCA">
        <w:t xml:space="preserve">OOB </w:t>
      </w:r>
      <w:r w:rsidRPr="00AE7FCA">
        <w:t xml:space="preserve">emission limits for </w:t>
      </w:r>
      <w:r w:rsidR="00973531" w:rsidRPr="00AE7FCA">
        <w:t xml:space="preserve">MFCN SDL </w:t>
      </w:r>
      <w:r w:rsidRPr="00AE7FCA">
        <w:t xml:space="preserve">have been defined to address compatibility between MFCN SDL </w:t>
      </w:r>
      <w:r w:rsidR="00973531" w:rsidRPr="00AE7FCA">
        <w:t xml:space="preserve">in the </w:t>
      </w:r>
      <w:r w:rsidR="001E6687" w:rsidRPr="00AE7FCA">
        <w:t>1452-1492 MHz frequency band</w:t>
      </w:r>
      <w:r w:rsidR="00973531" w:rsidRPr="00AE7FCA">
        <w:t xml:space="preserve"> and </w:t>
      </w:r>
      <w:r w:rsidR="0045633D" w:rsidRPr="00AE7FCA">
        <w:t>other applications in adjacent bands but in the same geographical area.</w:t>
      </w:r>
    </w:p>
    <w:p w14:paraId="02E6299D" w14:textId="77777777" w:rsidR="000D2182" w:rsidRPr="00AE7FCA" w:rsidRDefault="009A7FC6" w:rsidP="00CB1268">
      <w:pPr>
        <w:pStyle w:val="ECCParagraph"/>
        <w:rPr>
          <w:rFonts w:cs="Arial"/>
        </w:rPr>
      </w:pPr>
      <w:r w:rsidRPr="00AE7FCA">
        <w:t xml:space="preserve">Other deliverables will </w:t>
      </w:r>
      <w:r w:rsidR="000D2182" w:rsidRPr="00AE7FCA">
        <w:rPr>
          <w:rFonts w:cs="Arial"/>
        </w:rPr>
        <w:t>address:</w:t>
      </w:r>
    </w:p>
    <w:p w14:paraId="02E6299E" w14:textId="138C0D98" w:rsidR="000D2182" w:rsidRPr="00AE7FCA" w:rsidRDefault="000D2182" w:rsidP="00DE5D43">
      <w:pPr>
        <w:pStyle w:val="ECCParagraph"/>
        <w:numPr>
          <w:ilvl w:val="0"/>
          <w:numId w:val="35"/>
        </w:numPr>
        <w:rPr>
          <w:rFonts w:cs="Arial"/>
        </w:rPr>
      </w:pPr>
      <w:r w:rsidRPr="00AE7FCA">
        <w:rPr>
          <w:rFonts w:cs="Arial"/>
        </w:rPr>
        <w:t xml:space="preserve">adjacent channel compatibility between MFCN SDL and other terrestrial applications in the band to take into account national circumstances (see </w:t>
      </w:r>
      <w:r w:rsidRPr="00AE7FCA">
        <w:rPr>
          <w:rFonts w:cs="Arial"/>
          <w:i/>
        </w:rPr>
        <w:t xml:space="preserve">considering </w:t>
      </w:r>
      <w:r w:rsidR="00C51C78">
        <w:rPr>
          <w:rFonts w:cs="Arial"/>
          <w:i/>
        </w:rPr>
        <w:fldChar w:fldCharType="begin"/>
      </w:r>
      <w:r w:rsidR="00C51C78">
        <w:rPr>
          <w:rFonts w:cs="Arial"/>
          <w:i/>
        </w:rPr>
        <w:instrText xml:space="preserve"> REF _Ref503782199 \r \h </w:instrText>
      </w:r>
      <w:r w:rsidR="00C51C78">
        <w:rPr>
          <w:rFonts w:cs="Arial"/>
          <w:i/>
        </w:rPr>
      </w:r>
      <w:r w:rsidR="00C51C78">
        <w:rPr>
          <w:rFonts w:cs="Arial"/>
          <w:i/>
        </w:rPr>
        <w:fldChar w:fldCharType="separate"/>
      </w:r>
      <w:r w:rsidR="00C51C78">
        <w:rPr>
          <w:rFonts w:cs="Arial"/>
          <w:i/>
        </w:rPr>
        <w:t>o)</w:t>
      </w:r>
      <w:r w:rsidR="00C51C78">
        <w:rPr>
          <w:rFonts w:cs="Arial"/>
          <w:i/>
        </w:rPr>
        <w:fldChar w:fldCharType="end"/>
      </w:r>
      <w:r w:rsidRPr="00AE7FCA">
        <w:rPr>
          <w:rFonts w:cs="Arial"/>
          <w:i/>
        </w:rPr>
        <w:t xml:space="preserve"> </w:t>
      </w:r>
      <w:r w:rsidR="009A7FC6" w:rsidRPr="00AE7FCA">
        <w:rPr>
          <w:rFonts w:cs="Arial"/>
        </w:rPr>
        <w:t>above</w:t>
      </w:r>
      <w:r w:rsidRPr="00AE7FCA">
        <w:rPr>
          <w:rFonts w:cs="Arial"/>
        </w:rPr>
        <w:t xml:space="preserve">), for administration which consider a partial implementation </w:t>
      </w:r>
      <w:r w:rsidR="009A7FC6" w:rsidRPr="00AE7FCA">
        <w:rPr>
          <w:rFonts w:cs="Arial"/>
        </w:rPr>
        <w:t>of the harmonised frequency arrangement</w:t>
      </w:r>
      <w:r w:rsidRPr="00AE7FCA">
        <w:rPr>
          <w:rFonts w:cs="Arial"/>
        </w:rPr>
        <w:t>;</w:t>
      </w:r>
    </w:p>
    <w:p w14:paraId="02E6299F" w14:textId="7EF234D1" w:rsidR="009A7FC6" w:rsidRPr="00AE7FCA" w:rsidRDefault="000D2182" w:rsidP="00DE5D43">
      <w:pPr>
        <w:pStyle w:val="ECCParagraph"/>
        <w:numPr>
          <w:ilvl w:val="0"/>
          <w:numId w:val="35"/>
        </w:numPr>
        <w:rPr>
          <w:rFonts w:cs="Arial"/>
        </w:rPr>
      </w:pPr>
      <w:r w:rsidRPr="00AE7FCA">
        <w:rPr>
          <w:rFonts w:cs="Arial"/>
        </w:rPr>
        <w:t xml:space="preserve">in-band cross-border coordination between MFCN SDL and other terrestrial applications (see </w:t>
      </w:r>
      <w:r w:rsidRPr="00AE7FCA">
        <w:rPr>
          <w:rFonts w:cs="Arial"/>
          <w:i/>
        </w:rPr>
        <w:t xml:space="preserve">considering </w:t>
      </w:r>
      <w:r w:rsidR="00C51C78">
        <w:rPr>
          <w:rFonts w:cs="Arial"/>
          <w:i/>
        </w:rPr>
        <w:fldChar w:fldCharType="begin"/>
      </w:r>
      <w:r w:rsidR="00C51C78">
        <w:rPr>
          <w:rFonts w:cs="Arial"/>
          <w:i/>
        </w:rPr>
        <w:instrText xml:space="preserve"> REF _Ref503782199 \r \h </w:instrText>
      </w:r>
      <w:r w:rsidR="00C51C78">
        <w:rPr>
          <w:rFonts w:cs="Arial"/>
          <w:i/>
        </w:rPr>
      </w:r>
      <w:r w:rsidR="00C51C78">
        <w:rPr>
          <w:rFonts w:cs="Arial"/>
          <w:i/>
        </w:rPr>
        <w:fldChar w:fldCharType="separate"/>
      </w:r>
      <w:r w:rsidR="00C51C78">
        <w:rPr>
          <w:rFonts w:cs="Arial"/>
          <w:i/>
        </w:rPr>
        <w:t>o)</w:t>
      </w:r>
      <w:r w:rsidR="00C51C78">
        <w:rPr>
          <w:rFonts w:cs="Arial"/>
          <w:i/>
        </w:rPr>
        <w:fldChar w:fldCharType="end"/>
      </w:r>
      <w:r w:rsidRPr="00AE7FCA">
        <w:rPr>
          <w:rFonts w:cs="Arial"/>
          <w:i/>
        </w:rPr>
        <w:t xml:space="preserve"> </w:t>
      </w:r>
      <w:r w:rsidR="009A7FC6" w:rsidRPr="00AE7FCA">
        <w:rPr>
          <w:rFonts w:cs="Arial"/>
        </w:rPr>
        <w:t>above</w:t>
      </w:r>
      <w:r w:rsidRPr="00AE7FCA">
        <w:rPr>
          <w:rFonts w:cs="Arial"/>
        </w:rPr>
        <w:t>)</w:t>
      </w:r>
      <w:r w:rsidR="009A7FC6" w:rsidRPr="00AE7FCA">
        <w:rPr>
          <w:rFonts w:cs="Arial"/>
        </w:rPr>
        <w:t>;</w:t>
      </w:r>
    </w:p>
    <w:p w14:paraId="02E629A0" w14:textId="77777777" w:rsidR="00973531" w:rsidRPr="00AE7FCA" w:rsidRDefault="009A7FC6" w:rsidP="00DE5D43">
      <w:pPr>
        <w:pStyle w:val="ECCParagraph"/>
        <w:numPr>
          <w:ilvl w:val="0"/>
          <w:numId w:val="35"/>
        </w:numPr>
      </w:pPr>
      <w:r w:rsidRPr="00AE7FCA">
        <w:rPr>
          <w:rFonts w:cs="Arial"/>
        </w:rPr>
        <w:t>cross-border coordination between two MFCN SDL systems applicable in the 1452-1492 MHz</w:t>
      </w:r>
      <w:r w:rsidR="000D2182" w:rsidRPr="00AE7FCA">
        <w:rPr>
          <w:rFonts w:cs="Arial"/>
        </w:rPr>
        <w:t>.</w:t>
      </w:r>
    </w:p>
    <w:p w14:paraId="02E629A1" w14:textId="5FC2F1E9" w:rsidR="0045633D" w:rsidRPr="000D5FF5" w:rsidRDefault="0045633D" w:rsidP="00CB1268">
      <w:pPr>
        <w:pStyle w:val="ECCParagraph"/>
      </w:pPr>
      <w:r w:rsidRPr="00AE7FCA">
        <w:t xml:space="preserve">Operators of mobile/fixed communications networks in the </w:t>
      </w:r>
      <w:r w:rsidR="001E6687" w:rsidRPr="00AE7FCA">
        <w:t>1452-1492 MHz frequency band</w:t>
      </w:r>
      <w:r w:rsidRPr="00AE7FCA">
        <w:t xml:space="preserve"> may agree, on a bilateral or multilateral basis, </w:t>
      </w:r>
      <w:r w:rsidR="00473985" w:rsidRPr="00AE7FCA">
        <w:t>different</w:t>
      </w:r>
      <w:r w:rsidRPr="00AE7FCA">
        <w:t xml:space="preserve"> technical parameters providing that they continue to comply with the technical conditions applicable for the protection of other services, applications or networks</w:t>
      </w:r>
      <w:r w:rsidRPr="000D5FF5">
        <w:t xml:space="preserve"> and with their cross-border obligations. Administrations should ensure that these technical parameters can be used, if agreed among all affected parties.</w:t>
      </w:r>
    </w:p>
    <w:p w14:paraId="02E629A2" w14:textId="77777777" w:rsidR="0045633D" w:rsidRPr="000D5FF5" w:rsidRDefault="0045633D" w:rsidP="0045633D">
      <w:pPr>
        <w:rPr>
          <w:b/>
          <w:lang w:val="en-GB"/>
        </w:rPr>
      </w:pPr>
      <w:r w:rsidRPr="000D5FF5">
        <w:rPr>
          <w:b/>
          <w:lang w:val="en-GB"/>
        </w:rPr>
        <w:t>Technical conditions for base stations</w:t>
      </w:r>
    </w:p>
    <w:p w14:paraId="02E629A3" w14:textId="77777777" w:rsidR="00AD24BD" w:rsidRDefault="00AD24BD" w:rsidP="00EE4203">
      <w:pPr>
        <w:pStyle w:val="ECCParagraph"/>
        <w:rPr>
          <w:rFonts w:cs="Arial"/>
          <w:szCs w:val="20"/>
        </w:rPr>
      </w:pPr>
    </w:p>
    <w:p w14:paraId="02E629A4" w14:textId="77777777" w:rsidR="00EE4203" w:rsidRPr="000D5FF5" w:rsidRDefault="00A113E9" w:rsidP="00EE4203">
      <w:pPr>
        <w:pStyle w:val="ECCParagraph"/>
        <w:rPr>
          <w:rFonts w:cs="Arial"/>
          <w:szCs w:val="20"/>
        </w:rPr>
      </w:pPr>
      <w:r w:rsidRPr="000D5FF5">
        <w:rPr>
          <w:rFonts w:cs="Arial"/>
          <w:szCs w:val="20"/>
        </w:rPr>
        <w:t>Administrations should take into account the following aspects:</w:t>
      </w:r>
    </w:p>
    <w:p w14:paraId="02E629A5" w14:textId="54C75D8C" w:rsidR="00EE4203" w:rsidRPr="00AE7FCA" w:rsidRDefault="00A113E9" w:rsidP="00CB1268">
      <w:pPr>
        <w:pStyle w:val="ECCParagraph"/>
        <w:numPr>
          <w:ilvl w:val="0"/>
          <w:numId w:val="36"/>
        </w:numPr>
        <w:rPr>
          <w:rFonts w:cs="Arial"/>
          <w:szCs w:val="20"/>
        </w:rPr>
      </w:pPr>
      <w:r w:rsidRPr="00AE7FCA">
        <w:rPr>
          <w:rFonts w:cs="Arial"/>
          <w:szCs w:val="20"/>
        </w:rPr>
        <w:t xml:space="preserve">It is not desirable to restrict the in-band </w:t>
      </w:r>
      <w:r w:rsidR="00C57E5C" w:rsidRPr="00AE7FCA">
        <w:rPr>
          <w:rFonts w:cs="Arial"/>
          <w:szCs w:val="20"/>
        </w:rPr>
        <w:t>e.i.r.p.</w:t>
      </w:r>
      <w:r w:rsidRPr="00AE7FCA">
        <w:rPr>
          <w:rFonts w:cs="Arial"/>
          <w:szCs w:val="20"/>
        </w:rPr>
        <w:t xml:space="preserve"> as the </w:t>
      </w:r>
      <w:r w:rsidR="001E6687" w:rsidRPr="00AE7FCA">
        <w:t>1452-1492 MHz</w:t>
      </w:r>
      <w:r w:rsidR="001E6687" w:rsidRPr="00AE7FCA">
        <w:rPr>
          <w:rFonts w:cs="Arial"/>
          <w:szCs w:val="20"/>
        </w:rPr>
        <w:t xml:space="preserve"> frequency</w:t>
      </w:r>
      <w:r w:rsidR="001E6687" w:rsidRPr="00AE7FCA">
        <w:t xml:space="preserve"> band</w:t>
      </w:r>
      <w:r w:rsidRPr="00AE7FCA">
        <w:rPr>
          <w:rFonts w:cs="Arial"/>
          <w:szCs w:val="20"/>
        </w:rPr>
        <w:t xml:space="preserve"> could be aggregated with FDD coverage bands in lower frequencies and thus higher in-band </w:t>
      </w:r>
      <w:r w:rsidR="00C57E5C" w:rsidRPr="00AE7FCA">
        <w:rPr>
          <w:rFonts w:cs="Arial"/>
          <w:szCs w:val="20"/>
        </w:rPr>
        <w:t>e.i.r.p.</w:t>
      </w:r>
      <w:r w:rsidRPr="00AE7FCA">
        <w:rPr>
          <w:rFonts w:cs="Arial"/>
          <w:szCs w:val="20"/>
        </w:rPr>
        <w:t xml:space="preserve"> for a base station allows benefiting of the SDL capacity across the base station cell.</w:t>
      </w:r>
    </w:p>
    <w:p w14:paraId="02E629A6" w14:textId="77777777" w:rsidR="00EE4203" w:rsidRPr="006D06C7" w:rsidRDefault="00A113E9" w:rsidP="00CB1268">
      <w:pPr>
        <w:pStyle w:val="ECCParagraph"/>
        <w:numPr>
          <w:ilvl w:val="0"/>
          <w:numId w:val="36"/>
        </w:numPr>
        <w:rPr>
          <w:rFonts w:cs="Arial"/>
          <w:szCs w:val="20"/>
        </w:rPr>
      </w:pPr>
      <w:r w:rsidRPr="00AE7FCA">
        <w:rPr>
          <w:rFonts w:cs="Arial"/>
          <w:szCs w:val="20"/>
        </w:rPr>
        <w:t>Based on deployment requirements and on compatibility studies with other services operating in adjacent bands (see ECC Report 202</w:t>
      </w:r>
      <w:r w:rsidR="00994FBA" w:rsidRPr="00AE7FCA">
        <w:rPr>
          <w:rFonts w:cs="Arial"/>
          <w:szCs w:val="20"/>
        </w:rPr>
        <w:t>)</w:t>
      </w:r>
      <w:r w:rsidRPr="00AE7FCA">
        <w:rPr>
          <w:rFonts w:cs="Arial"/>
          <w:szCs w:val="20"/>
        </w:rPr>
        <w:t>, an administration could at national level</w:t>
      </w:r>
      <w:r w:rsidRPr="006D06C7">
        <w:rPr>
          <w:rFonts w:cs="Arial"/>
          <w:szCs w:val="20"/>
        </w:rPr>
        <w:t>:</w:t>
      </w:r>
    </w:p>
    <w:p w14:paraId="02E629A7" w14:textId="77777777" w:rsidR="00EE4203" w:rsidRPr="006D06C7" w:rsidRDefault="00A113E9" w:rsidP="00CB1268">
      <w:pPr>
        <w:pStyle w:val="ECCParagraph"/>
        <w:numPr>
          <w:ilvl w:val="0"/>
          <w:numId w:val="37"/>
        </w:numPr>
        <w:rPr>
          <w:rFonts w:cs="Arial"/>
          <w:szCs w:val="20"/>
        </w:rPr>
      </w:pPr>
      <w:r w:rsidRPr="006D06C7">
        <w:rPr>
          <w:rFonts w:cs="Arial"/>
          <w:szCs w:val="20"/>
        </w:rPr>
        <w:t xml:space="preserve">restrict base stations in-band </w:t>
      </w:r>
      <w:r w:rsidR="00C57E5C" w:rsidRPr="006D06C7">
        <w:rPr>
          <w:rFonts w:cs="Arial"/>
          <w:szCs w:val="20"/>
        </w:rPr>
        <w:t>e.i.r.p.</w:t>
      </w:r>
      <w:r w:rsidRPr="006D06C7">
        <w:rPr>
          <w:rFonts w:cs="Arial"/>
          <w:szCs w:val="20"/>
        </w:rPr>
        <w:t>. Such limit may range up to 68 dBm. Higher</w:t>
      </w:r>
      <w:r w:rsidRPr="006D06C7">
        <w:rPr>
          <w:szCs w:val="20"/>
        </w:rPr>
        <w:t xml:space="preserve"> </w:t>
      </w:r>
      <w:proofErr w:type="spellStart"/>
      <w:r w:rsidR="00C57E5C" w:rsidRPr="006D06C7">
        <w:rPr>
          <w:rFonts w:cs="Arial"/>
          <w:szCs w:val="20"/>
        </w:rPr>
        <w:t>e.i.r.p.</w:t>
      </w:r>
      <w:r w:rsidRPr="006D06C7">
        <w:rPr>
          <w:szCs w:val="20"/>
        </w:rPr>
        <w:t>s</w:t>
      </w:r>
      <w:proofErr w:type="spellEnd"/>
      <w:r w:rsidRPr="006D06C7">
        <w:rPr>
          <w:szCs w:val="20"/>
        </w:rPr>
        <w:t xml:space="preserve"> may be considered in specific circumstances</w:t>
      </w:r>
      <w:r w:rsidR="00F54C04" w:rsidRPr="006D06C7">
        <w:rPr>
          <w:szCs w:val="20"/>
        </w:rPr>
        <w:t>;</w:t>
      </w:r>
      <w:r w:rsidRPr="006D06C7">
        <w:rPr>
          <w:szCs w:val="20"/>
        </w:rPr>
        <w:t xml:space="preserve"> </w:t>
      </w:r>
    </w:p>
    <w:p w14:paraId="02E629A8" w14:textId="77777777" w:rsidR="00EE4203" w:rsidRPr="006D06C7" w:rsidRDefault="00A113E9" w:rsidP="00EE4203">
      <w:pPr>
        <w:pStyle w:val="ECCParagraph"/>
        <w:ind w:left="720"/>
        <w:rPr>
          <w:rFonts w:cs="Arial"/>
          <w:szCs w:val="20"/>
        </w:rPr>
      </w:pPr>
      <w:r w:rsidRPr="006D06C7">
        <w:rPr>
          <w:rFonts w:cs="Arial"/>
          <w:szCs w:val="20"/>
        </w:rPr>
        <w:t>and/or according to the service considered:</w:t>
      </w:r>
    </w:p>
    <w:p w14:paraId="02E629A9" w14:textId="77777777" w:rsidR="00EE4203" w:rsidRPr="006D06C7" w:rsidRDefault="00A113E9" w:rsidP="00CB1268">
      <w:pPr>
        <w:pStyle w:val="ECCParagraph"/>
        <w:numPr>
          <w:ilvl w:val="0"/>
          <w:numId w:val="37"/>
        </w:numPr>
        <w:rPr>
          <w:rFonts w:cs="Arial"/>
          <w:szCs w:val="20"/>
        </w:rPr>
      </w:pPr>
      <w:r w:rsidRPr="006D06C7">
        <w:rPr>
          <w:rFonts w:cs="Arial"/>
          <w:szCs w:val="20"/>
        </w:rPr>
        <w:t>handle coordination of stations.</w:t>
      </w:r>
    </w:p>
    <w:p w14:paraId="79112BF3" w14:textId="0A9A83EF" w:rsidR="00C16F92" w:rsidRPr="000D5FF5" w:rsidRDefault="0045633D" w:rsidP="0045633D">
      <w:pPr>
        <w:rPr>
          <w:lang w:val="en-GB"/>
        </w:rPr>
      </w:pPr>
      <w:r w:rsidRPr="006D06C7">
        <w:rPr>
          <w:lang w:val="en-GB"/>
        </w:rPr>
        <w:t xml:space="preserve">Tables </w:t>
      </w:r>
      <w:r w:rsidR="009A3DD8" w:rsidRPr="006D06C7">
        <w:rPr>
          <w:lang w:val="en-GB"/>
        </w:rPr>
        <w:t>2</w:t>
      </w:r>
      <w:r w:rsidRPr="006D06C7">
        <w:rPr>
          <w:lang w:val="en-GB"/>
        </w:rPr>
        <w:t xml:space="preserve"> </w:t>
      </w:r>
      <w:r w:rsidR="006516B0">
        <w:rPr>
          <w:lang w:val="en-GB"/>
        </w:rPr>
        <w:t>to 5</w:t>
      </w:r>
      <w:r w:rsidRPr="006D06C7">
        <w:rPr>
          <w:lang w:val="en-GB"/>
        </w:rPr>
        <w:t xml:space="preserve"> define</w:t>
      </w:r>
      <w:r w:rsidR="00C30FA0" w:rsidRPr="006D06C7">
        <w:rPr>
          <w:lang w:val="en-GB"/>
        </w:rPr>
        <w:t>, respectively,</w:t>
      </w:r>
      <w:r w:rsidRPr="006D06C7">
        <w:rPr>
          <w:lang w:val="en-GB"/>
        </w:rPr>
        <w:t xml:space="preserve"> </w:t>
      </w:r>
      <w:r w:rsidR="0021360B" w:rsidRPr="006D06C7">
        <w:rPr>
          <w:lang w:val="en-GB"/>
        </w:rPr>
        <w:t xml:space="preserve">base stations BEM </w:t>
      </w:r>
      <w:r w:rsidRPr="006D06C7">
        <w:rPr>
          <w:lang w:val="en-GB"/>
        </w:rPr>
        <w:t xml:space="preserve">out-of-block </w:t>
      </w:r>
      <w:r w:rsidR="00C57E5C" w:rsidRPr="006D06C7">
        <w:rPr>
          <w:rFonts w:cs="Arial"/>
          <w:szCs w:val="20"/>
          <w:lang w:val="en-GB"/>
        </w:rPr>
        <w:t>e.i.r.p.</w:t>
      </w:r>
      <w:r w:rsidR="0021360B" w:rsidRPr="006D06C7">
        <w:rPr>
          <w:lang w:val="en-GB"/>
        </w:rPr>
        <w:t xml:space="preserve"> limits within the band 1452-1492 MHz</w:t>
      </w:r>
      <w:r w:rsidR="006516B0">
        <w:rPr>
          <w:lang w:val="en-GB"/>
        </w:rPr>
        <w:t>,</w:t>
      </w:r>
      <w:r w:rsidR="0021360B" w:rsidRPr="006D06C7">
        <w:rPr>
          <w:lang w:val="en-GB"/>
        </w:rPr>
        <w:t xml:space="preserve"> base stations</w:t>
      </w:r>
      <w:r w:rsidR="00C30FA0" w:rsidRPr="006D06C7">
        <w:rPr>
          <w:lang w:val="en-GB"/>
        </w:rPr>
        <w:t xml:space="preserve"> </w:t>
      </w:r>
      <w:r w:rsidR="00C57E5C" w:rsidRPr="006D06C7">
        <w:rPr>
          <w:lang w:val="en-GB"/>
        </w:rPr>
        <w:t>e.i.r.p.</w:t>
      </w:r>
      <w:r w:rsidR="00C30FA0" w:rsidRPr="006D06C7">
        <w:rPr>
          <w:lang w:val="en-GB"/>
        </w:rPr>
        <w:t xml:space="preserve"> </w:t>
      </w:r>
      <w:r w:rsidR="0021360B" w:rsidRPr="006D06C7">
        <w:rPr>
          <w:lang w:val="en-GB"/>
        </w:rPr>
        <w:t>limits out of the band 1452-1492 MHz</w:t>
      </w:r>
      <w:r w:rsidR="006516B0">
        <w:rPr>
          <w:lang w:val="en-GB"/>
        </w:rPr>
        <w:t xml:space="preserve"> </w:t>
      </w:r>
      <w:r w:rsidR="006516B0" w:rsidRPr="006D06C7">
        <w:rPr>
          <w:bCs/>
        </w:rPr>
        <w:t xml:space="preserve">for the protection of services other than MFCN, </w:t>
      </w:r>
      <w:r w:rsidR="006516B0" w:rsidRPr="006D06C7">
        <w:rPr>
          <w:lang w:val="en-GB"/>
        </w:rPr>
        <w:t xml:space="preserve">Base station BEM out-of-block e.i.r.p. limits within the band 1427-1492 MHz per antenna for BS </w:t>
      </w:r>
      <w:r w:rsidR="006516B0" w:rsidRPr="006D06C7">
        <w:rPr>
          <w:lang w:val="en-GB"/>
        </w:rPr>
        <w:lastRenderedPageBreak/>
        <w:t xml:space="preserve">operating in 1452-1492 MHz when MFCN is deployed in 1427-1452 MHz and </w:t>
      </w:r>
      <w:r w:rsidR="00C47340">
        <w:rPr>
          <w:lang w:val="en-GB"/>
        </w:rPr>
        <w:t>b</w:t>
      </w:r>
      <w:r w:rsidR="006516B0" w:rsidRPr="006D06C7">
        <w:rPr>
          <w:lang w:val="en-GB"/>
        </w:rPr>
        <w:t>ase station BEM out-of-block e.i.r.p. limits within the band 1452-1517 MHz per antenna for BS operating in 1452-1492 MHz when MFCN is deployed in 1492-1517 MHz:</w:t>
      </w:r>
    </w:p>
    <w:p w14:paraId="02E629AC" w14:textId="6615A3F7" w:rsidR="0045633D" w:rsidRPr="000D5FF5" w:rsidRDefault="005E5254" w:rsidP="005E5254">
      <w:pPr>
        <w:pStyle w:val="ECCTabletitle"/>
      </w:pPr>
      <w:r w:rsidRPr="000D5FF5">
        <w:t xml:space="preserve">Base station BEM out-of-block </w:t>
      </w:r>
      <w:r w:rsidR="00C57E5C" w:rsidRPr="000D5FF5">
        <w:rPr>
          <w:rFonts w:cs="Arial"/>
          <w:szCs w:val="20"/>
        </w:rPr>
        <w:t>e.i.r.p.</w:t>
      </w:r>
      <w:r w:rsidRPr="000D5FF5">
        <w:t xml:space="preserve"> limits within the band 1452-1492 MHz per antenna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248"/>
        <w:gridCol w:w="2880"/>
        <w:gridCol w:w="2727"/>
      </w:tblGrid>
      <w:tr w:rsidR="005E5254" w:rsidRPr="000D5FF5" w14:paraId="02E629B5" w14:textId="77777777" w:rsidTr="00FE6308">
        <w:trPr>
          <w:tblHeader/>
        </w:trPr>
        <w:tc>
          <w:tcPr>
            <w:tcW w:w="4248" w:type="dxa"/>
            <w:tcBorders>
              <w:top w:val="single" w:sz="4" w:space="0" w:color="D2232A"/>
              <w:left w:val="single" w:sz="4" w:space="0" w:color="D2232A"/>
              <w:bottom w:val="single" w:sz="4" w:space="0" w:color="D2232A"/>
              <w:right w:val="single" w:sz="4" w:space="0" w:color="FFFFFF" w:themeColor="background1"/>
            </w:tcBorders>
            <w:shd w:val="clear" w:color="auto" w:fill="D2232A"/>
          </w:tcPr>
          <w:p w14:paraId="02E629AD" w14:textId="77777777"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 xml:space="preserve">Frequency range of </w:t>
            </w:r>
          </w:p>
          <w:p w14:paraId="02E629AE" w14:textId="77777777"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out-of-block emissions</w:t>
            </w:r>
          </w:p>
        </w:tc>
        <w:tc>
          <w:tcPr>
            <w:tcW w:w="2880"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tcPr>
          <w:p w14:paraId="02E629AF" w14:textId="77777777"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 xml:space="preserve">Maximum mean </w:t>
            </w:r>
          </w:p>
          <w:p w14:paraId="02E629B0" w14:textId="77777777"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out-of-block e.i.r.p.</w:t>
            </w:r>
          </w:p>
          <w:p w14:paraId="02E629B1" w14:textId="77777777"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[dBm]</w:t>
            </w:r>
          </w:p>
        </w:tc>
        <w:tc>
          <w:tcPr>
            <w:tcW w:w="2727" w:type="dxa"/>
            <w:tcBorders>
              <w:top w:val="single" w:sz="4" w:space="0" w:color="D2232A"/>
              <w:left w:val="single" w:sz="4" w:space="0" w:color="FFFFFF" w:themeColor="background1"/>
              <w:bottom w:val="single" w:sz="4" w:space="0" w:color="D2232A"/>
              <w:right w:val="single" w:sz="4" w:space="0" w:color="D2232A"/>
            </w:tcBorders>
            <w:shd w:val="clear" w:color="auto" w:fill="D2232A"/>
          </w:tcPr>
          <w:p w14:paraId="02E629B2" w14:textId="77777777"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 xml:space="preserve">Measurement </w:t>
            </w:r>
          </w:p>
          <w:p w14:paraId="02E629B3" w14:textId="77777777"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Bandwidth</w:t>
            </w:r>
          </w:p>
          <w:p w14:paraId="02E629B4" w14:textId="77777777"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[MHz]</w:t>
            </w:r>
          </w:p>
        </w:tc>
      </w:tr>
      <w:tr w:rsidR="005E5254" w:rsidRPr="000D5FF5" w14:paraId="02E629B9" w14:textId="77777777" w:rsidTr="00736BD8">
        <w:tc>
          <w:tcPr>
            <w:tcW w:w="4248" w:type="dxa"/>
            <w:tcBorders>
              <w:top w:val="single" w:sz="4" w:space="0" w:color="D2232A"/>
              <w:left w:val="single" w:sz="4" w:space="0" w:color="D2232A"/>
              <w:bottom w:val="single" w:sz="4" w:space="0" w:color="D2232A"/>
              <w:right w:val="single" w:sz="4" w:space="0" w:color="D2232A"/>
            </w:tcBorders>
            <w:vAlign w:val="center"/>
          </w:tcPr>
          <w:p w14:paraId="02E629B6" w14:textId="77777777" w:rsidR="005E5254" w:rsidRPr="000D5FF5" w:rsidRDefault="005E5254" w:rsidP="00DE5D43">
            <w:pPr>
              <w:spacing w:before="60" w:after="60"/>
              <w:rPr>
                <w:lang w:val="en-GB"/>
              </w:rPr>
            </w:pPr>
            <w:r w:rsidRPr="000D5FF5">
              <w:rPr>
                <w:lang w:val="en-GB"/>
              </w:rPr>
              <w:t>–10 to –5 MHz from lower block edge</w:t>
            </w:r>
          </w:p>
        </w:tc>
        <w:tc>
          <w:tcPr>
            <w:tcW w:w="2880" w:type="dxa"/>
            <w:tcBorders>
              <w:top w:val="single" w:sz="4" w:space="0" w:color="D2232A"/>
              <w:left w:val="single" w:sz="4" w:space="0" w:color="D2232A"/>
              <w:bottom w:val="single" w:sz="4" w:space="0" w:color="D2232A"/>
              <w:right w:val="single" w:sz="4" w:space="0" w:color="D2232A"/>
            </w:tcBorders>
            <w:vAlign w:val="center"/>
          </w:tcPr>
          <w:p w14:paraId="02E629B7" w14:textId="77777777" w:rsidR="005E5254" w:rsidRPr="000D5FF5" w:rsidRDefault="005E5254" w:rsidP="00DE5D43">
            <w:pPr>
              <w:spacing w:before="60" w:after="60"/>
              <w:rPr>
                <w:lang w:val="en-GB"/>
              </w:rPr>
            </w:pPr>
            <w:r w:rsidRPr="000D5FF5">
              <w:rPr>
                <w:lang w:val="en-GB"/>
              </w:rPr>
              <w:t xml:space="preserve">11 dBm </w:t>
            </w:r>
          </w:p>
        </w:tc>
        <w:tc>
          <w:tcPr>
            <w:tcW w:w="2727" w:type="dxa"/>
            <w:tcBorders>
              <w:top w:val="single" w:sz="4" w:space="0" w:color="D2232A"/>
              <w:left w:val="single" w:sz="4" w:space="0" w:color="D2232A"/>
              <w:bottom w:val="single" w:sz="4" w:space="0" w:color="D2232A"/>
              <w:right w:val="single" w:sz="4" w:space="0" w:color="D2232A"/>
            </w:tcBorders>
            <w:vAlign w:val="center"/>
          </w:tcPr>
          <w:p w14:paraId="02E629B8" w14:textId="77777777" w:rsidR="005E5254" w:rsidRPr="000D5FF5" w:rsidRDefault="005E5254" w:rsidP="00DE5D43">
            <w:pPr>
              <w:spacing w:before="60" w:after="60"/>
              <w:rPr>
                <w:lang w:val="en-GB"/>
              </w:rPr>
            </w:pPr>
            <w:r w:rsidRPr="000D5FF5">
              <w:rPr>
                <w:lang w:val="en-GB"/>
              </w:rPr>
              <w:t>5 MHz</w:t>
            </w:r>
          </w:p>
        </w:tc>
      </w:tr>
      <w:tr w:rsidR="005E5254" w:rsidRPr="000D5FF5" w14:paraId="02E629BD" w14:textId="77777777" w:rsidTr="00736BD8">
        <w:tc>
          <w:tcPr>
            <w:tcW w:w="4248" w:type="dxa"/>
            <w:tcBorders>
              <w:top w:val="single" w:sz="4" w:space="0" w:color="D2232A"/>
              <w:left w:val="single" w:sz="4" w:space="0" w:color="D2232A"/>
              <w:bottom w:val="single" w:sz="4" w:space="0" w:color="D2232A"/>
              <w:right w:val="single" w:sz="4" w:space="0" w:color="D2232A"/>
            </w:tcBorders>
            <w:vAlign w:val="center"/>
          </w:tcPr>
          <w:p w14:paraId="02E629BA" w14:textId="77777777" w:rsidR="005E5254" w:rsidRPr="000D5FF5" w:rsidRDefault="005E5254" w:rsidP="00DE5D43">
            <w:pPr>
              <w:spacing w:before="60" w:after="60"/>
              <w:rPr>
                <w:lang w:val="en-GB"/>
              </w:rPr>
            </w:pPr>
            <w:r w:rsidRPr="000D5FF5">
              <w:rPr>
                <w:lang w:val="en-GB"/>
              </w:rPr>
              <w:t>–5 to 0 MHz from lower block edge</w:t>
            </w:r>
          </w:p>
        </w:tc>
        <w:tc>
          <w:tcPr>
            <w:tcW w:w="2880" w:type="dxa"/>
            <w:tcBorders>
              <w:top w:val="single" w:sz="4" w:space="0" w:color="D2232A"/>
              <w:left w:val="single" w:sz="4" w:space="0" w:color="D2232A"/>
              <w:bottom w:val="single" w:sz="4" w:space="0" w:color="D2232A"/>
              <w:right w:val="single" w:sz="4" w:space="0" w:color="D2232A"/>
            </w:tcBorders>
            <w:vAlign w:val="center"/>
          </w:tcPr>
          <w:p w14:paraId="02E629BB" w14:textId="77777777" w:rsidR="005E5254" w:rsidRPr="000D5FF5" w:rsidRDefault="005E5254" w:rsidP="00DE5D43">
            <w:pPr>
              <w:spacing w:before="60" w:after="60"/>
              <w:rPr>
                <w:lang w:val="en-GB"/>
              </w:rPr>
            </w:pPr>
            <w:r w:rsidRPr="000D5FF5">
              <w:rPr>
                <w:lang w:val="en-GB"/>
              </w:rPr>
              <w:t xml:space="preserve">16.3 dBm </w:t>
            </w:r>
          </w:p>
        </w:tc>
        <w:tc>
          <w:tcPr>
            <w:tcW w:w="2727" w:type="dxa"/>
            <w:tcBorders>
              <w:top w:val="single" w:sz="4" w:space="0" w:color="D2232A"/>
              <w:left w:val="single" w:sz="4" w:space="0" w:color="D2232A"/>
              <w:bottom w:val="single" w:sz="4" w:space="0" w:color="D2232A"/>
              <w:right w:val="single" w:sz="4" w:space="0" w:color="D2232A"/>
            </w:tcBorders>
            <w:vAlign w:val="center"/>
          </w:tcPr>
          <w:p w14:paraId="02E629BC" w14:textId="77777777" w:rsidR="005E5254" w:rsidRPr="000D5FF5" w:rsidRDefault="005E5254" w:rsidP="00DE5D43">
            <w:pPr>
              <w:spacing w:before="60" w:after="60"/>
              <w:rPr>
                <w:lang w:val="en-GB"/>
              </w:rPr>
            </w:pPr>
            <w:r w:rsidRPr="000D5FF5">
              <w:rPr>
                <w:lang w:val="en-GB"/>
              </w:rPr>
              <w:t>5 MHz</w:t>
            </w:r>
          </w:p>
        </w:tc>
      </w:tr>
      <w:tr w:rsidR="005E5254" w:rsidRPr="000D5FF5" w14:paraId="02E629C1" w14:textId="77777777" w:rsidTr="00736BD8">
        <w:tc>
          <w:tcPr>
            <w:tcW w:w="4248" w:type="dxa"/>
            <w:tcBorders>
              <w:top w:val="single" w:sz="4" w:space="0" w:color="D2232A"/>
              <w:left w:val="single" w:sz="4" w:space="0" w:color="D2232A"/>
              <w:bottom w:val="single" w:sz="4" w:space="0" w:color="D2232A"/>
              <w:right w:val="single" w:sz="4" w:space="0" w:color="D2232A"/>
            </w:tcBorders>
            <w:vAlign w:val="center"/>
          </w:tcPr>
          <w:p w14:paraId="02E629BE" w14:textId="77777777" w:rsidR="005E5254" w:rsidRPr="000D5FF5" w:rsidRDefault="005E5254" w:rsidP="00DE5D43">
            <w:pPr>
              <w:spacing w:before="60" w:after="60"/>
              <w:rPr>
                <w:lang w:val="en-GB"/>
              </w:rPr>
            </w:pPr>
            <w:r w:rsidRPr="000D5FF5">
              <w:rPr>
                <w:lang w:val="en-GB"/>
              </w:rPr>
              <w:t>0 to +5 MHz from upper block edge</w:t>
            </w:r>
          </w:p>
        </w:tc>
        <w:tc>
          <w:tcPr>
            <w:tcW w:w="2880" w:type="dxa"/>
            <w:tcBorders>
              <w:top w:val="single" w:sz="4" w:space="0" w:color="D2232A"/>
              <w:left w:val="single" w:sz="4" w:space="0" w:color="D2232A"/>
              <w:bottom w:val="single" w:sz="4" w:space="0" w:color="D2232A"/>
              <w:right w:val="single" w:sz="4" w:space="0" w:color="D2232A"/>
            </w:tcBorders>
            <w:vAlign w:val="center"/>
          </w:tcPr>
          <w:p w14:paraId="02E629BF" w14:textId="77777777" w:rsidR="005E5254" w:rsidRPr="000D5FF5" w:rsidRDefault="005E5254" w:rsidP="00DE5D43">
            <w:pPr>
              <w:spacing w:before="60" w:after="60"/>
              <w:rPr>
                <w:lang w:val="en-GB"/>
              </w:rPr>
            </w:pPr>
            <w:r w:rsidRPr="000D5FF5">
              <w:rPr>
                <w:lang w:val="en-GB"/>
              </w:rPr>
              <w:t xml:space="preserve">16.3 dBm </w:t>
            </w:r>
          </w:p>
        </w:tc>
        <w:tc>
          <w:tcPr>
            <w:tcW w:w="2727" w:type="dxa"/>
            <w:tcBorders>
              <w:top w:val="single" w:sz="4" w:space="0" w:color="D2232A"/>
              <w:left w:val="single" w:sz="4" w:space="0" w:color="D2232A"/>
              <w:bottom w:val="single" w:sz="4" w:space="0" w:color="D2232A"/>
              <w:right w:val="single" w:sz="4" w:space="0" w:color="D2232A"/>
            </w:tcBorders>
            <w:vAlign w:val="center"/>
          </w:tcPr>
          <w:p w14:paraId="02E629C0" w14:textId="77777777" w:rsidR="005E5254" w:rsidRPr="000D5FF5" w:rsidRDefault="005E5254" w:rsidP="00DE5D43">
            <w:pPr>
              <w:spacing w:before="60" w:after="60"/>
              <w:rPr>
                <w:lang w:val="en-GB"/>
              </w:rPr>
            </w:pPr>
            <w:r w:rsidRPr="000D5FF5">
              <w:rPr>
                <w:lang w:val="en-GB"/>
              </w:rPr>
              <w:t>5 MHz</w:t>
            </w:r>
          </w:p>
        </w:tc>
      </w:tr>
      <w:tr w:rsidR="005E5254" w:rsidRPr="000D5FF5" w14:paraId="02E629C5" w14:textId="77777777" w:rsidTr="00736BD8">
        <w:tc>
          <w:tcPr>
            <w:tcW w:w="4248" w:type="dxa"/>
            <w:tcBorders>
              <w:top w:val="single" w:sz="4" w:space="0" w:color="D2232A"/>
              <w:left w:val="single" w:sz="4" w:space="0" w:color="D2232A"/>
              <w:bottom w:val="single" w:sz="4" w:space="0" w:color="D2232A"/>
              <w:right w:val="single" w:sz="4" w:space="0" w:color="D2232A"/>
            </w:tcBorders>
            <w:vAlign w:val="center"/>
          </w:tcPr>
          <w:p w14:paraId="02E629C2" w14:textId="77777777" w:rsidR="005E5254" w:rsidRPr="000D5FF5" w:rsidRDefault="005E5254" w:rsidP="00DE5D43">
            <w:pPr>
              <w:spacing w:before="60" w:after="60"/>
              <w:rPr>
                <w:lang w:val="en-GB"/>
              </w:rPr>
            </w:pPr>
            <w:r w:rsidRPr="000D5FF5">
              <w:rPr>
                <w:lang w:val="en-GB"/>
              </w:rPr>
              <w:t>+5 to +10 MHz from upper block edge</w:t>
            </w:r>
          </w:p>
        </w:tc>
        <w:tc>
          <w:tcPr>
            <w:tcW w:w="2880" w:type="dxa"/>
            <w:tcBorders>
              <w:top w:val="single" w:sz="4" w:space="0" w:color="D2232A"/>
              <w:left w:val="single" w:sz="4" w:space="0" w:color="D2232A"/>
              <w:bottom w:val="single" w:sz="4" w:space="0" w:color="D2232A"/>
              <w:right w:val="single" w:sz="4" w:space="0" w:color="D2232A"/>
            </w:tcBorders>
            <w:vAlign w:val="center"/>
          </w:tcPr>
          <w:p w14:paraId="02E629C3" w14:textId="77777777" w:rsidR="005E5254" w:rsidRPr="000D5FF5" w:rsidRDefault="005E5254" w:rsidP="00DE5D43">
            <w:pPr>
              <w:spacing w:before="60" w:after="60"/>
              <w:rPr>
                <w:lang w:val="en-GB"/>
              </w:rPr>
            </w:pPr>
            <w:r w:rsidRPr="000D5FF5">
              <w:rPr>
                <w:lang w:val="en-GB"/>
              </w:rPr>
              <w:t xml:space="preserve">11 dBm </w:t>
            </w:r>
          </w:p>
        </w:tc>
        <w:tc>
          <w:tcPr>
            <w:tcW w:w="2727" w:type="dxa"/>
            <w:tcBorders>
              <w:top w:val="single" w:sz="4" w:space="0" w:color="D2232A"/>
              <w:left w:val="single" w:sz="4" w:space="0" w:color="D2232A"/>
              <w:bottom w:val="single" w:sz="4" w:space="0" w:color="D2232A"/>
              <w:right w:val="single" w:sz="4" w:space="0" w:color="D2232A"/>
            </w:tcBorders>
            <w:vAlign w:val="center"/>
          </w:tcPr>
          <w:p w14:paraId="02E629C4" w14:textId="77777777" w:rsidR="005E5254" w:rsidRPr="000D5FF5" w:rsidRDefault="005E5254" w:rsidP="00DE5D43">
            <w:pPr>
              <w:spacing w:before="60" w:after="60"/>
              <w:rPr>
                <w:lang w:val="en-GB"/>
              </w:rPr>
            </w:pPr>
            <w:r w:rsidRPr="000D5FF5">
              <w:rPr>
                <w:lang w:val="en-GB"/>
              </w:rPr>
              <w:t>5 MHz</w:t>
            </w:r>
          </w:p>
        </w:tc>
      </w:tr>
      <w:tr w:rsidR="005E5254" w:rsidRPr="000D5FF5" w14:paraId="02E629C9" w14:textId="77777777" w:rsidTr="00736BD8">
        <w:tc>
          <w:tcPr>
            <w:tcW w:w="4248" w:type="dxa"/>
            <w:tcBorders>
              <w:top w:val="single" w:sz="4" w:space="0" w:color="D2232A"/>
              <w:left w:val="single" w:sz="4" w:space="0" w:color="D2232A"/>
              <w:bottom w:val="single" w:sz="4" w:space="0" w:color="D2232A"/>
              <w:right w:val="single" w:sz="4" w:space="0" w:color="D2232A"/>
            </w:tcBorders>
            <w:vAlign w:val="center"/>
          </w:tcPr>
          <w:p w14:paraId="02E629C6" w14:textId="77777777" w:rsidR="005E5254" w:rsidRPr="000D5FF5" w:rsidRDefault="005E5254" w:rsidP="00DE5D43">
            <w:pPr>
              <w:spacing w:before="60" w:after="60"/>
              <w:rPr>
                <w:lang w:val="en-GB"/>
              </w:rPr>
            </w:pPr>
            <w:r w:rsidRPr="000D5FF5">
              <w:rPr>
                <w:lang w:val="en-GB"/>
              </w:rPr>
              <w:t>Remaining MFCN SDL frequencies</w:t>
            </w:r>
          </w:p>
        </w:tc>
        <w:tc>
          <w:tcPr>
            <w:tcW w:w="2880" w:type="dxa"/>
            <w:tcBorders>
              <w:top w:val="single" w:sz="4" w:space="0" w:color="D2232A"/>
              <w:left w:val="single" w:sz="4" w:space="0" w:color="D2232A"/>
              <w:bottom w:val="single" w:sz="4" w:space="0" w:color="D2232A"/>
              <w:right w:val="single" w:sz="4" w:space="0" w:color="D2232A"/>
            </w:tcBorders>
            <w:vAlign w:val="center"/>
          </w:tcPr>
          <w:p w14:paraId="02E629C7" w14:textId="77777777" w:rsidR="005E5254" w:rsidRPr="000D5FF5" w:rsidRDefault="005E5254" w:rsidP="00DE5D43">
            <w:pPr>
              <w:spacing w:before="60" w:after="60"/>
              <w:rPr>
                <w:lang w:val="en-GB"/>
              </w:rPr>
            </w:pPr>
            <w:r w:rsidRPr="000D5FF5">
              <w:rPr>
                <w:lang w:val="en-GB"/>
              </w:rPr>
              <w:t xml:space="preserve">9 dBm </w:t>
            </w:r>
          </w:p>
        </w:tc>
        <w:tc>
          <w:tcPr>
            <w:tcW w:w="2727" w:type="dxa"/>
            <w:tcBorders>
              <w:top w:val="single" w:sz="4" w:space="0" w:color="D2232A"/>
              <w:left w:val="single" w:sz="4" w:space="0" w:color="D2232A"/>
              <w:bottom w:val="single" w:sz="4" w:space="0" w:color="D2232A"/>
              <w:right w:val="single" w:sz="4" w:space="0" w:color="D2232A"/>
            </w:tcBorders>
            <w:vAlign w:val="center"/>
          </w:tcPr>
          <w:p w14:paraId="02E629C8" w14:textId="77777777" w:rsidR="005E5254" w:rsidRPr="000D5FF5" w:rsidRDefault="005E5254" w:rsidP="00DE5D43">
            <w:pPr>
              <w:spacing w:before="60" w:after="60"/>
              <w:rPr>
                <w:lang w:val="en-GB"/>
              </w:rPr>
            </w:pPr>
            <w:r w:rsidRPr="000D5FF5">
              <w:rPr>
                <w:lang w:val="en-GB"/>
              </w:rPr>
              <w:t>5 MHz</w:t>
            </w:r>
          </w:p>
        </w:tc>
      </w:tr>
    </w:tbl>
    <w:p w14:paraId="02E629CA" w14:textId="3E144482" w:rsidR="00CB1268" w:rsidRDefault="00CB1268" w:rsidP="0045633D">
      <w:pPr>
        <w:spacing w:before="120"/>
        <w:rPr>
          <w:lang w:val="en-GB"/>
        </w:rPr>
      </w:pPr>
    </w:p>
    <w:p w14:paraId="02E629CB" w14:textId="0A66C67C" w:rsidR="005E5254" w:rsidRPr="000D5FF5" w:rsidRDefault="005E5254" w:rsidP="005E5254">
      <w:pPr>
        <w:pStyle w:val="ECCTabletitle"/>
      </w:pPr>
      <w:r w:rsidRPr="000D5FF5">
        <w:rPr>
          <w:bCs/>
        </w:rPr>
        <w:t xml:space="preserve">Base station </w:t>
      </w:r>
      <w:r w:rsidR="00C57E5C" w:rsidRPr="000D5FF5">
        <w:rPr>
          <w:rFonts w:cs="Arial"/>
          <w:szCs w:val="20"/>
        </w:rPr>
        <w:t>e.i.r.p.</w:t>
      </w:r>
      <w:r w:rsidRPr="000D5FF5">
        <w:rPr>
          <w:bCs/>
        </w:rPr>
        <w:t xml:space="preserve"> limits out of the band 1452-1492 MHz</w:t>
      </w:r>
      <w:r w:rsidR="006516B0">
        <w:rPr>
          <w:bCs/>
        </w:rPr>
        <w:t xml:space="preserve"> for the protection of services other than MFCN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134"/>
        <w:gridCol w:w="2814"/>
        <w:gridCol w:w="2681"/>
      </w:tblGrid>
      <w:tr w:rsidR="00C51C78" w:rsidRPr="000D5FF5" w14:paraId="02E629D4" w14:textId="77777777" w:rsidTr="006516B0">
        <w:trPr>
          <w:tblHeader/>
        </w:trPr>
        <w:tc>
          <w:tcPr>
            <w:tcW w:w="4134" w:type="dxa"/>
            <w:tcBorders>
              <w:top w:val="single" w:sz="4" w:space="0" w:color="D2232A"/>
              <w:left w:val="single" w:sz="4" w:space="0" w:color="D2232A"/>
              <w:bottom w:val="single" w:sz="4" w:space="0" w:color="D2232A"/>
              <w:right w:val="single" w:sz="4" w:space="0" w:color="FFFFFF" w:themeColor="background1"/>
            </w:tcBorders>
            <w:shd w:val="clear" w:color="auto" w:fill="D2232A"/>
          </w:tcPr>
          <w:p w14:paraId="02E629CD" w14:textId="61DB3AF7" w:rsidR="005E5254" w:rsidRPr="000D5FF5" w:rsidRDefault="005E5254" w:rsidP="00DE5D43">
            <w:pPr>
              <w:spacing w:before="120"/>
              <w:jc w:val="center"/>
              <w:rPr>
                <w:rFonts w:cs="Arial"/>
                <w:b/>
                <w:color w:val="FFFFFF" w:themeColor="background1"/>
                <w:lang w:val="en-GB"/>
              </w:rPr>
            </w:pPr>
            <w:r w:rsidRPr="000D5FF5">
              <w:rPr>
                <w:rFonts w:cs="Arial"/>
                <w:b/>
                <w:color w:val="FFFFFF" w:themeColor="background1"/>
                <w:lang w:val="en-GB"/>
              </w:rPr>
              <w:t xml:space="preserve">Frequency range </w:t>
            </w:r>
          </w:p>
        </w:tc>
        <w:tc>
          <w:tcPr>
            <w:tcW w:w="2814"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tcPr>
          <w:p w14:paraId="02E629CE" w14:textId="77777777"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 xml:space="preserve">Maximum mean </w:t>
            </w:r>
          </w:p>
          <w:p w14:paraId="02E629CF" w14:textId="69F0C69A"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e.i.r.p.</w:t>
            </w:r>
          </w:p>
          <w:p w14:paraId="02E629D0" w14:textId="77777777"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[dBm]</w:t>
            </w:r>
          </w:p>
        </w:tc>
        <w:tc>
          <w:tcPr>
            <w:tcW w:w="2681" w:type="dxa"/>
            <w:tcBorders>
              <w:top w:val="single" w:sz="4" w:space="0" w:color="D2232A"/>
              <w:left w:val="single" w:sz="4" w:space="0" w:color="FFFFFF" w:themeColor="background1"/>
              <w:bottom w:val="single" w:sz="4" w:space="0" w:color="D2232A"/>
              <w:right w:val="single" w:sz="4" w:space="0" w:color="D2232A"/>
            </w:tcBorders>
            <w:shd w:val="clear" w:color="auto" w:fill="D2232A"/>
          </w:tcPr>
          <w:p w14:paraId="02E629D1" w14:textId="77777777"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 xml:space="preserve">Measurement </w:t>
            </w:r>
          </w:p>
          <w:p w14:paraId="02E629D2" w14:textId="77777777"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Bandwidth</w:t>
            </w:r>
          </w:p>
          <w:p w14:paraId="02E629D3" w14:textId="77777777" w:rsidR="005E5254" w:rsidRPr="000D5FF5" w:rsidRDefault="005E5254" w:rsidP="00736BD8">
            <w:pPr>
              <w:jc w:val="center"/>
              <w:rPr>
                <w:rFonts w:cs="Arial"/>
                <w:b/>
                <w:color w:val="FFFFFF" w:themeColor="background1"/>
                <w:lang w:val="en-GB"/>
              </w:rPr>
            </w:pPr>
            <w:r w:rsidRPr="000D5FF5">
              <w:rPr>
                <w:rFonts w:cs="Arial"/>
                <w:b/>
                <w:color w:val="FFFFFF" w:themeColor="background1"/>
                <w:lang w:val="en-GB"/>
              </w:rPr>
              <w:t>[MHz]</w:t>
            </w:r>
          </w:p>
        </w:tc>
      </w:tr>
      <w:tr w:rsidR="005E5254" w:rsidRPr="000D5FF5" w14:paraId="02E629D8" w14:textId="77777777" w:rsidTr="00DE5D43">
        <w:tc>
          <w:tcPr>
            <w:tcW w:w="4134" w:type="dxa"/>
            <w:tcBorders>
              <w:top w:val="single" w:sz="4" w:space="0" w:color="D2232A"/>
              <w:left w:val="single" w:sz="4" w:space="0" w:color="D2232A"/>
              <w:bottom w:val="single" w:sz="4" w:space="0" w:color="D2232A"/>
              <w:right w:val="single" w:sz="4" w:space="0" w:color="D2232A"/>
            </w:tcBorders>
          </w:tcPr>
          <w:p w14:paraId="02E629D5" w14:textId="77777777" w:rsidR="005E5254" w:rsidRPr="000D5FF5" w:rsidRDefault="005E5254" w:rsidP="00DE5D43">
            <w:pPr>
              <w:spacing w:before="60" w:after="60"/>
              <w:rPr>
                <w:lang w:val="en-GB"/>
              </w:rPr>
            </w:pPr>
            <w:r w:rsidRPr="000D5FF5">
              <w:rPr>
                <w:rFonts w:cs="Arial"/>
                <w:szCs w:val="22"/>
                <w:lang w:val="en-GB"/>
              </w:rPr>
              <w:t>Below 1449 MHz</w:t>
            </w:r>
          </w:p>
        </w:tc>
        <w:tc>
          <w:tcPr>
            <w:tcW w:w="2814" w:type="dxa"/>
            <w:tcBorders>
              <w:top w:val="single" w:sz="4" w:space="0" w:color="D2232A"/>
              <w:left w:val="single" w:sz="4" w:space="0" w:color="D2232A"/>
              <w:bottom w:val="single" w:sz="4" w:space="0" w:color="D2232A"/>
              <w:right w:val="single" w:sz="4" w:space="0" w:color="D2232A"/>
            </w:tcBorders>
            <w:vAlign w:val="center"/>
          </w:tcPr>
          <w:p w14:paraId="02E629D6" w14:textId="77777777" w:rsidR="005E5254" w:rsidRPr="000D5FF5" w:rsidRDefault="005E5254" w:rsidP="00DE5D43">
            <w:pPr>
              <w:spacing w:before="60" w:after="60"/>
              <w:rPr>
                <w:lang w:val="en-GB"/>
              </w:rPr>
            </w:pPr>
            <w:r w:rsidRPr="000D5FF5">
              <w:rPr>
                <w:lang w:val="en-GB"/>
              </w:rPr>
              <w:t xml:space="preserve">-20 dBm </w:t>
            </w:r>
          </w:p>
        </w:tc>
        <w:tc>
          <w:tcPr>
            <w:tcW w:w="2681" w:type="dxa"/>
            <w:tcBorders>
              <w:top w:val="single" w:sz="4" w:space="0" w:color="D2232A"/>
              <w:left w:val="single" w:sz="4" w:space="0" w:color="D2232A"/>
              <w:bottom w:val="single" w:sz="4" w:space="0" w:color="D2232A"/>
              <w:right w:val="single" w:sz="4" w:space="0" w:color="D2232A"/>
            </w:tcBorders>
            <w:vAlign w:val="center"/>
          </w:tcPr>
          <w:p w14:paraId="02E629D7" w14:textId="77777777" w:rsidR="005E5254" w:rsidRPr="000D5FF5" w:rsidRDefault="005E5254" w:rsidP="00DE5D43">
            <w:pPr>
              <w:spacing w:before="60" w:after="60"/>
              <w:rPr>
                <w:lang w:val="en-GB"/>
              </w:rPr>
            </w:pPr>
            <w:r w:rsidRPr="000D5FF5">
              <w:rPr>
                <w:lang w:val="en-GB"/>
              </w:rPr>
              <w:t>1 MHz</w:t>
            </w:r>
          </w:p>
        </w:tc>
      </w:tr>
      <w:tr w:rsidR="005E5254" w:rsidRPr="000D5FF5" w14:paraId="02E629DC" w14:textId="77777777" w:rsidTr="00DE5D43">
        <w:tc>
          <w:tcPr>
            <w:tcW w:w="4134" w:type="dxa"/>
            <w:tcBorders>
              <w:top w:val="single" w:sz="4" w:space="0" w:color="D2232A"/>
              <w:left w:val="single" w:sz="4" w:space="0" w:color="D2232A"/>
              <w:bottom w:val="single" w:sz="4" w:space="0" w:color="D2232A"/>
              <w:right w:val="single" w:sz="4" w:space="0" w:color="D2232A"/>
            </w:tcBorders>
          </w:tcPr>
          <w:p w14:paraId="02E629D9" w14:textId="77777777" w:rsidR="005E5254" w:rsidRPr="000D5FF5" w:rsidRDefault="005E5254" w:rsidP="00DE5D43">
            <w:pPr>
              <w:spacing w:before="60" w:after="60"/>
              <w:rPr>
                <w:rFonts w:cs="Arial"/>
                <w:szCs w:val="22"/>
                <w:lang w:val="en-GB"/>
              </w:rPr>
            </w:pPr>
            <w:r w:rsidRPr="000D5FF5">
              <w:rPr>
                <w:lang w:val="en-GB"/>
              </w:rPr>
              <w:t>1449-1452 MHz</w:t>
            </w:r>
          </w:p>
        </w:tc>
        <w:tc>
          <w:tcPr>
            <w:tcW w:w="2814" w:type="dxa"/>
            <w:tcBorders>
              <w:top w:val="single" w:sz="4" w:space="0" w:color="D2232A"/>
              <w:left w:val="single" w:sz="4" w:space="0" w:color="D2232A"/>
              <w:bottom w:val="single" w:sz="4" w:space="0" w:color="D2232A"/>
              <w:right w:val="single" w:sz="4" w:space="0" w:color="D2232A"/>
            </w:tcBorders>
            <w:vAlign w:val="center"/>
          </w:tcPr>
          <w:p w14:paraId="02E629DA" w14:textId="77777777" w:rsidR="005E5254" w:rsidRPr="000D5FF5" w:rsidRDefault="005E5254" w:rsidP="00DE5D43">
            <w:pPr>
              <w:spacing w:before="60" w:after="60"/>
              <w:rPr>
                <w:lang w:val="en-GB"/>
              </w:rPr>
            </w:pPr>
            <w:r w:rsidRPr="000D5FF5">
              <w:rPr>
                <w:lang w:val="en-GB"/>
              </w:rPr>
              <w:t>14 dBm</w:t>
            </w:r>
          </w:p>
        </w:tc>
        <w:tc>
          <w:tcPr>
            <w:tcW w:w="2681" w:type="dxa"/>
            <w:tcBorders>
              <w:top w:val="single" w:sz="4" w:space="0" w:color="D2232A"/>
              <w:left w:val="single" w:sz="4" w:space="0" w:color="D2232A"/>
              <w:bottom w:val="single" w:sz="4" w:space="0" w:color="D2232A"/>
              <w:right w:val="single" w:sz="4" w:space="0" w:color="D2232A"/>
            </w:tcBorders>
            <w:vAlign w:val="center"/>
          </w:tcPr>
          <w:p w14:paraId="02E629DB" w14:textId="77777777" w:rsidR="005E5254" w:rsidRPr="000D5FF5" w:rsidRDefault="005E5254" w:rsidP="00DE5D43">
            <w:pPr>
              <w:spacing w:before="60" w:after="60"/>
              <w:rPr>
                <w:lang w:val="en-GB"/>
              </w:rPr>
            </w:pPr>
            <w:r w:rsidRPr="000D5FF5">
              <w:rPr>
                <w:lang w:val="en-GB"/>
              </w:rPr>
              <w:t>3 MHz</w:t>
            </w:r>
          </w:p>
        </w:tc>
      </w:tr>
      <w:tr w:rsidR="005E5254" w:rsidRPr="000D5FF5" w14:paraId="02E629E0" w14:textId="77777777" w:rsidTr="00DE5D43">
        <w:tc>
          <w:tcPr>
            <w:tcW w:w="4134" w:type="dxa"/>
            <w:tcBorders>
              <w:top w:val="single" w:sz="4" w:space="0" w:color="D2232A"/>
              <w:left w:val="single" w:sz="4" w:space="0" w:color="D2232A"/>
              <w:bottom w:val="single" w:sz="4" w:space="0" w:color="D2232A"/>
              <w:right w:val="single" w:sz="4" w:space="0" w:color="D2232A"/>
            </w:tcBorders>
          </w:tcPr>
          <w:p w14:paraId="02E629DD" w14:textId="77777777" w:rsidR="005E5254" w:rsidRPr="000D5FF5" w:rsidRDefault="005E5254" w:rsidP="00DE5D43">
            <w:pPr>
              <w:spacing w:before="60" w:after="60"/>
              <w:rPr>
                <w:rFonts w:cs="Arial"/>
                <w:szCs w:val="22"/>
                <w:lang w:val="en-GB"/>
              </w:rPr>
            </w:pPr>
            <w:r w:rsidRPr="000D5FF5">
              <w:rPr>
                <w:lang w:val="en-GB"/>
              </w:rPr>
              <w:t>1492-1495 MHz</w:t>
            </w:r>
          </w:p>
        </w:tc>
        <w:tc>
          <w:tcPr>
            <w:tcW w:w="2814" w:type="dxa"/>
            <w:tcBorders>
              <w:top w:val="single" w:sz="4" w:space="0" w:color="D2232A"/>
              <w:left w:val="single" w:sz="4" w:space="0" w:color="D2232A"/>
              <w:bottom w:val="single" w:sz="4" w:space="0" w:color="D2232A"/>
              <w:right w:val="single" w:sz="4" w:space="0" w:color="D2232A"/>
            </w:tcBorders>
            <w:vAlign w:val="center"/>
          </w:tcPr>
          <w:p w14:paraId="02E629DE" w14:textId="77777777" w:rsidR="005E5254" w:rsidRPr="000D5FF5" w:rsidRDefault="005E5254" w:rsidP="00DE5D43">
            <w:pPr>
              <w:spacing w:before="60" w:after="60"/>
              <w:rPr>
                <w:lang w:val="en-GB"/>
              </w:rPr>
            </w:pPr>
            <w:r w:rsidRPr="000D5FF5">
              <w:rPr>
                <w:lang w:val="en-GB"/>
              </w:rPr>
              <w:t>14 dBm</w:t>
            </w:r>
          </w:p>
        </w:tc>
        <w:tc>
          <w:tcPr>
            <w:tcW w:w="2681" w:type="dxa"/>
            <w:tcBorders>
              <w:top w:val="single" w:sz="4" w:space="0" w:color="D2232A"/>
              <w:left w:val="single" w:sz="4" w:space="0" w:color="D2232A"/>
              <w:bottom w:val="single" w:sz="4" w:space="0" w:color="D2232A"/>
              <w:right w:val="single" w:sz="4" w:space="0" w:color="D2232A"/>
            </w:tcBorders>
            <w:vAlign w:val="center"/>
          </w:tcPr>
          <w:p w14:paraId="02E629DF" w14:textId="77777777" w:rsidR="005E5254" w:rsidRPr="000D5FF5" w:rsidRDefault="005E5254" w:rsidP="00DE5D43">
            <w:pPr>
              <w:spacing w:before="60" w:after="60"/>
              <w:rPr>
                <w:lang w:val="en-GB"/>
              </w:rPr>
            </w:pPr>
            <w:r w:rsidRPr="000D5FF5">
              <w:rPr>
                <w:lang w:val="en-GB"/>
              </w:rPr>
              <w:t>3 MHz</w:t>
            </w:r>
          </w:p>
        </w:tc>
      </w:tr>
      <w:tr w:rsidR="005E5254" w:rsidRPr="000D5FF5" w14:paraId="02E629E4" w14:textId="77777777" w:rsidTr="00DE5D43">
        <w:tc>
          <w:tcPr>
            <w:tcW w:w="4134" w:type="dxa"/>
            <w:tcBorders>
              <w:top w:val="single" w:sz="4" w:space="0" w:color="D2232A"/>
              <w:left w:val="single" w:sz="4" w:space="0" w:color="D2232A"/>
              <w:bottom w:val="single" w:sz="4" w:space="0" w:color="D2232A"/>
              <w:right w:val="single" w:sz="4" w:space="0" w:color="D2232A"/>
            </w:tcBorders>
          </w:tcPr>
          <w:p w14:paraId="02E629E1" w14:textId="77777777" w:rsidR="005E5254" w:rsidRPr="000D5FF5" w:rsidRDefault="005E5254" w:rsidP="00DE5D43">
            <w:pPr>
              <w:spacing w:before="60" w:after="60"/>
              <w:rPr>
                <w:lang w:val="en-GB"/>
              </w:rPr>
            </w:pPr>
            <w:r w:rsidRPr="000D5FF5">
              <w:rPr>
                <w:rFonts w:cs="Arial"/>
                <w:szCs w:val="22"/>
                <w:lang w:val="en-GB"/>
              </w:rPr>
              <w:t>Above 1495 MHz</w:t>
            </w:r>
          </w:p>
        </w:tc>
        <w:tc>
          <w:tcPr>
            <w:tcW w:w="2814" w:type="dxa"/>
            <w:tcBorders>
              <w:top w:val="single" w:sz="4" w:space="0" w:color="D2232A"/>
              <w:left w:val="single" w:sz="4" w:space="0" w:color="D2232A"/>
              <w:bottom w:val="single" w:sz="4" w:space="0" w:color="D2232A"/>
              <w:right w:val="single" w:sz="4" w:space="0" w:color="D2232A"/>
            </w:tcBorders>
            <w:vAlign w:val="center"/>
          </w:tcPr>
          <w:p w14:paraId="02E629E2" w14:textId="77777777" w:rsidR="005E5254" w:rsidRPr="000D5FF5" w:rsidRDefault="005E5254" w:rsidP="00DE5D43">
            <w:pPr>
              <w:spacing w:before="60" w:after="60"/>
              <w:rPr>
                <w:lang w:val="en-GB"/>
              </w:rPr>
            </w:pPr>
            <w:r w:rsidRPr="000D5FF5">
              <w:rPr>
                <w:lang w:val="en-GB"/>
              </w:rPr>
              <w:t xml:space="preserve">-20 dBm </w:t>
            </w:r>
          </w:p>
        </w:tc>
        <w:tc>
          <w:tcPr>
            <w:tcW w:w="2681" w:type="dxa"/>
            <w:tcBorders>
              <w:top w:val="single" w:sz="4" w:space="0" w:color="D2232A"/>
              <w:left w:val="single" w:sz="4" w:space="0" w:color="D2232A"/>
              <w:bottom w:val="single" w:sz="4" w:space="0" w:color="D2232A"/>
              <w:right w:val="single" w:sz="4" w:space="0" w:color="D2232A"/>
            </w:tcBorders>
            <w:vAlign w:val="center"/>
          </w:tcPr>
          <w:p w14:paraId="02E629E3" w14:textId="77777777" w:rsidR="005E5254" w:rsidRPr="000D5FF5" w:rsidRDefault="005E5254" w:rsidP="00DE5D43">
            <w:pPr>
              <w:spacing w:before="60" w:after="60"/>
              <w:rPr>
                <w:lang w:val="en-GB"/>
              </w:rPr>
            </w:pPr>
            <w:r w:rsidRPr="000D5FF5">
              <w:rPr>
                <w:lang w:val="en-GB"/>
              </w:rPr>
              <w:t>1 MHz</w:t>
            </w:r>
          </w:p>
        </w:tc>
      </w:tr>
    </w:tbl>
    <w:p w14:paraId="02E629E5" w14:textId="59BB0576" w:rsidR="006516B0" w:rsidRDefault="006516B0" w:rsidP="006516B0">
      <w:pPr>
        <w:spacing w:before="120"/>
      </w:pPr>
      <w:r w:rsidRPr="00C307FC">
        <w:rPr>
          <w:lang w:val="en-GB"/>
        </w:rPr>
        <w:t xml:space="preserve">Note: </w:t>
      </w:r>
      <w:r w:rsidRPr="00C307FC">
        <w:t xml:space="preserve">When MFCN is deployed in </w:t>
      </w:r>
      <w:r w:rsidR="00C04C4C" w:rsidRPr="00C307FC">
        <w:t xml:space="preserve">the blocks immediately below </w:t>
      </w:r>
      <w:r w:rsidRPr="00C307FC">
        <w:t xml:space="preserve">1452 MHz, Table 4 applies and the limitations indicated in Table 3 for frequency below 1452 MHz are not applicable. When MFCN is deployed in </w:t>
      </w:r>
      <w:r w:rsidR="00C04C4C" w:rsidRPr="00C307FC">
        <w:t xml:space="preserve">the blocks immediately above </w:t>
      </w:r>
      <w:r w:rsidRPr="00C307FC">
        <w:t>1492 MHz, Table 5 applies and the limitations indicated in Table 3 for frequency above 1492 MHz are not applicable.</w:t>
      </w:r>
    </w:p>
    <w:p w14:paraId="2310F989" w14:textId="77777777" w:rsidR="00C16F92" w:rsidRDefault="00C16F92" w:rsidP="006516B0">
      <w:pPr>
        <w:spacing w:before="120"/>
        <w:rPr>
          <w:lang w:val="en-GB"/>
        </w:rPr>
      </w:pPr>
    </w:p>
    <w:p w14:paraId="02E629E6" w14:textId="77777777" w:rsidR="006516B0" w:rsidRPr="003414A4" w:rsidRDefault="006516B0" w:rsidP="006516B0">
      <w:pPr>
        <w:pStyle w:val="ECCTabletitle"/>
      </w:pPr>
      <w:bookmarkStart w:id="2" w:name="_Ref491765634"/>
      <w:r w:rsidRPr="003414A4">
        <w:t>Base station BEM out-of-block e.i.r.p. limits within the band 1427-14</w:t>
      </w:r>
      <w:r>
        <w:t>52</w:t>
      </w:r>
      <w:r w:rsidRPr="003414A4">
        <w:t xml:space="preserve"> MHz per antenna for BS operating in 1452-1492 MHz when MFCN is deployed in 1427-1452 MHz</w:t>
      </w:r>
      <w:bookmarkEnd w:id="2"/>
    </w:p>
    <w:tbl>
      <w:tblPr>
        <w:tblStyle w:val="ECCTable-redheader"/>
        <w:tblW w:w="0" w:type="auto"/>
        <w:jc w:val="center"/>
        <w:tblInd w:w="0" w:type="dxa"/>
        <w:tblLook w:val="01E0" w:firstRow="1" w:lastRow="1" w:firstColumn="1" w:lastColumn="1" w:noHBand="0" w:noVBand="0"/>
      </w:tblPr>
      <w:tblGrid>
        <w:gridCol w:w="4135"/>
        <w:gridCol w:w="2814"/>
        <w:gridCol w:w="2680"/>
      </w:tblGrid>
      <w:tr w:rsidR="006516B0" w14:paraId="02E629EA" w14:textId="77777777" w:rsidTr="003414A4">
        <w:trPr>
          <w:cnfStyle w:val="100000000000" w:firstRow="1" w:lastRow="0" w:firstColumn="0" w:lastColumn="0" w:oddVBand="0" w:evenVBand="0" w:oddHBand="0" w:evenHBand="0" w:firstRowFirstColumn="0" w:firstRowLastColumn="0" w:lastRowFirstColumn="0" w:lastRowLastColumn="0"/>
          <w:tblHeader/>
          <w:jc w:val="center"/>
        </w:trPr>
        <w:tc>
          <w:tcPr>
            <w:tcW w:w="4135" w:type="dxa"/>
            <w:hideMark/>
          </w:tcPr>
          <w:p w14:paraId="02E629E7" w14:textId="77777777" w:rsidR="006516B0" w:rsidRDefault="006516B0" w:rsidP="003414A4">
            <w:pPr>
              <w:pStyle w:val="ECCTableHeaderwhitefont"/>
              <w:spacing w:before="120" w:beforeAutospacing="0" w:after="120" w:afterAutospacing="0"/>
              <w:rPr>
                <w:lang w:val="en-GB"/>
              </w:rPr>
            </w:pPr>
            <w:r w:rsidRPr="003414A4">
              <w:rPr>
                <w:lang w:val="en-US"/>
              </w:rPr>
              <w:t xml:space="preserve">Frequency range of </w:t>
            </w:r>
            <w:r w:rsidRPr="003414A4">
              <w:rPr>
                <w:lang w:val="en-US"/>
              </w:rPr>
              <w:br/>
              <w:t>out-of-block emissions</w:t>
            </w:r>
          </w:p>
        </w:tc>
        <w:tc>
          <w:tcPr>
            <w:tcW w:w="2814" w:type="dxa"/>
            <w:hideMark/>
          </w:tcPr>
          <w:p w14:paraId="02E629E8" w14:textId="77777777" w:rsidR="006516B0" w:rsidRPr="003414A4" w:rsidRDefault="006516B0" w:rsidP="003414A4">
            <w:pPr>
              <w:pStyle w:val="ECCTableHeaderwhitefont"/>
              <w:spacing w:before="120" w:beforeAutospacing="0" w:after="120" w:afterAutospacing="0"/>
              <w:rPr>
                <w:lang w:val="en-US"/>
              </w:rPr>
            </w:pPr>
            <w:r w:rsidRPr="003414A4">
              <w:rPr>
                <w:lang w:val="en-US"/>
              </w:rPr>
              <w:t xml:space="preserve">Maximum mean </w:t>
            </w:r>
            <w:r w:rsidRPr="003414A4">
              <w:rPr>
                <w:lang w:val="en-US"/>
              </w:rPr>
              <w:br/>
              <w:t>out-of-block e.i.r.p.</w:t>
            </w:r>
          </w:p>
        </w:tc>
        <w:tc>
          <w:tcPr>
            <w:tcW w:w="2680" w:type="dxa"/>
            <w:hideMark/>
          </w:tcPr>
          <w:p w14:paraId="02E629E9" w14:textId="77777777" w:rsidR="006516B0" w:rsidRDefault="006516B0" w:rsidP="003414A4">
            <w:pPr>
              <w:pStyle w:val="ECCTableHeaderwhitefont"/>
              <w:spacing w:before="120" w:beforeAutospacing="0" w:after="120" w:afterAutospacing="0"/>
            </w:pPr>
            <w:r>
              <w:t xml:space="preserve">Measurement </w:t>
            </w:r>
            <w:r>
              <w:br/>
              <w:t>Bandwidth</w:t>
            </w:r>
          </w:p>
        </w:tc>
      </w:tr>
      <w:tr w:rsidR="006516B0" w14:paraId="02E629EE" w14:textId="77777777" w:rsidTr="003414A4">
        <w:trPr>
          <w:jc w:val="center"/>
        </w:trPr>
        <w:tc>
          <w:tcPr>
            <w:tcW w:w="4135" w:type="dxa"/>
            <w:tcBorders>
              <w:top w:val="single" w:sz="4" w:space="0" w:color="D22A23"/>
              <w:left w:val="single" w:sz="4" w:space="0" w:color="D22A23"/>
              <w:bottom w:val="single" w:sz="4" w:space="0" w:color="D22A23"/>
              <w:right w:val="single" w:sz="4" w:space="0" w:color="D22A23"/>
            </w:tcBorders>
            <w:hideMark/>
          </w:tcPr>
          <w:p w14:paraId="02E629EB" w14:textId="77777777" w:rsidR="006516B0" w:rsidRDefault="006516B0" w:rsidP="003414A4">
            <w:r>
              <w:t>–10 to –5 MHz from lower block edge</w:t>
            </w:r>
          </w:p>
        </w:tc>
        <w:tc>
          <w:tcPr>
            <w:tcW w:w="2814" w:type="dxa"/>
            <w:tcBorders>
              <w:top w:val="single" w:sz="4" w:space="0" w:color="D22A23"/>
              <w:left w:val="single" w:sz="4" w:space="0" w:color="D22A23"/>
              <w:bottom w:val="single" w:sz="4" w:space="0" w:color="D22A23"/>
              <w:right w:val="single" w:sz="4" w:space="0" w:color="D22A23"/>
            </w:tcBorders>
            <w:hideMark/>
          </w:tcPr>
          <w:p w14:paraId="02E629EC" w14:textId="77777777" w:rsidR="006516B0" w:rsidRDefault="006516B0" w:rsidP="003414A4">
            <w:r>
              <w:t>11 dBm</w:t>
            </w:r>
          </w:p>
        </w:tc>
        <w:tc>
          <w:tcPr>
            <w:tcW w:w="2680" w:type="dxa"/>
            <w:tcBorders>
              <w:top w:val="single" w:sz="4" w:space="0" w:color="D22A23"/>
              <w:left w:val="single" w:sz="4" w:space="0" w:color="D22A23"/>
              <w:bottom w:val="single" w:sz="4" w:space="0" w:color="D22A23"/>
              <w:right w:val="single" w:sz="4" w:space="0" w:color="D22A23"/>
            </w:tcBorders>
            <w:hideMark/>
          </w:tcPr>
          <w:p w14:paraId="02E629ED" w14:textId="77777777" w:rsidR="006516B0" w:rsidRDefault="006516B0" w:rsidP="003414A4">
            <w:r>
              <w:t>5 MHz</w:t>
            </w:r>
          </w:p>
        </w:tc>
      </w:tr>
      <w:tr w:rsidR="006516B0" w14:paraId="02E629F2" w14:textId="77777777" w:rsidTr="003414A4">
        <w:trPr>
          <w:jc w:val="center"/>
        </w:trPr>
        <w:tc>
          <w:tcPr>
            <w:tcW w:w="4135" w:type="dxa"/>
            <w:tcBorders>
              <w:top w:val="single" w:sz="4" w:space="0" w:color="D22A23"/>
              <w:left w:val="single" w:sz="4" w:space="0" w:color="D22A23"/>
              <w:bottom w:val="single" w:sz="4" w:space="0" w:color="D22A23"/>
              <w:right w:val="single" w:sz="4" w:space="0" w:color="D22A23"/>
            </w:tcBorders>
            <w:hideMark/>
          </w:tcPr>
          <w:p w14:paraId="02E629EF" w14:textId="77777777" w:rsidR="006516B0" w:rsidRDefault="006516B0" w:rsidP="003414A4">
            <w:r>
              <w:t>–5 to 0 MHz from lower block edge</w:t>
            </w:r>
          </w:p>
        </w:tc>
        <w:tc>
          <w:tcPr>
            <w:tcW w:w="2814" w:type="dxa"/>
            <w:tcBorders>
              <w:top w:val="single" w:sz="4" w:space="0" w:color="D22A23"/>
              <w:left w:val="single" w:sz="4" w:space="0" w:color="D22A23"/>
              <w:bottom w:val="single" w:sz="4" w:space="0" w:color="D22A23"/>
              <w:right w:val="single" w:sz="4" w:space="0" w:color="D22A23"/>
            </w:tcBorders>
            <w:hideMark/>
          </w:tcPr>
          <w:p w14:paraId="02E629F0" w14:textId="77777777" w:rsidR="006516B0" w:rsidRDefault="006516B0" w:rsidP="003414A4">
            <w:r>
              <w:t>16.3 dBm</w:t>
            </w:r>
          </w:p>
        </w:tc>
        <w:tc>
          <w:tcPr>
            <w:tcW w:w="2680" w:type="dxa"/>
            <w:tcBorders>
              <w:top w:val="single" w:sz="4" w:space="0" w:color="D22A23"/>
              <w:left w:val="single" w:sz="4" w:space="0" w:color="D22A23"/>
              <w:bottom w:val="single" w:sz="4" w:space="0" w:color="D22A23"/>
              <w:right w:val="single" w:sz="4" w:space="0" w:color="D22A23"/>
            </w:tcBorders>
            <w:hideMark/>
          </w:tcPr>
          <w:p w14:paraId="02E629F1" w14:textId="77777777" w:rsidR="006516B0" w:rsidRDefault="006516B0" w:rsidP="003414A4">
            <w:r>
              <w:t>5 MHz</w:t>
            </w:r>
          </w:p>
        </w:tc>
      </w:tr>
      <w:tr w:rsidR="006516B0" w14:paraId="02E629F6" w14:textId="77777777" w:rsidTr="003414A4">
        <w:trPr>
          <w:jc w:val="center"/>
        </w:trPr>
        <w:tc>
          <w:tcPr>
            <w:tcW w:w="4135" w:type="dxa"/>
            <w:tcBorders>
              <w:top w:val="single" w:sz="4" w:space="0" w:color="D22A23"/>
              <w:left w:val="single" w:sz="4" w:space="0" w:color="D22A23"/>
              <w:bottom w:val="single" w:sz="4" w:space="0" w:color="D22A23"/>
              <w:right w:val="single" w:sz="4" w:space="0" w:color="D22A23"/>
            </w:tcBorders>
            <w:hideMark/>
          </w:tcPr>
          <w:p w14:paraId="02E629F3" w14:textId="77777777" w:rsidR="006516B0" w:rsidRDefault="006516B0" w:rsidP="003414A4">
            <w:r>
              <w:t>0 to +5 MHz from upper block edge</w:t>
            </w:r>
          </w:p>
        </w:tc>
        <w:tc>
          <w:tcPr>
            <w:tcW w:w="2814" w:type="dxa"/>
            <w:tcBorders>
              <w:top w:val="single" w:sz="4" w:space="0" w:color="D22A23"/>
              <w:left w:val="single" w:sz="4" w:space="0" w:color="D22A23"/>
              <w:bottom w:val="single" w:sz="4" w:space="0" w:color="D22A23"/>
              <w:right w:val="single" w:sz="4" w:space="0" w:color="D22A23"/>
            </w:tcBorders>
            <w:hideMark/>
          </w:tcPr>
          <w:p w14:paraId="02E629F4" w14:textId="77777777" w:rsidR="006516B0" w:rsidRDefault="006516B0" w:rsidP="003414A4">
            <w:r>
              <w:t>16.3 dBm</w:t>
            </w:r>
          </w:p>
        </w:tc>
        <w:tc>
          <w:tcPr>
            <w:tcW w:w="2680" w:type="dxa"/>
            <w:tcBorders>
              <w:top w:val="single" w:sz="4" w:space="0" w:color="D22A23"/>
              <w:left w:val="single" w:sz="4" w:space="0" w:color="D22A23"/>
              <w:bottom w:val="single" w:sz="4" w:space="0" w:color="D22A23"/>
              <w:right w:val="single" w:sz="4" w:space="0" w:color="D22A23"/>
            </w:tcBorders>
            <w:hideMark/>
          </w:tcPr>
          <w:p w14:paraId="02E629F5" w14:textId="77777777" w:rsidR="006516B0" w:rsidRDefault="006516B0" w:rsidP="003414A4">
            <w:r>
              <w:t>5 MHz</w:t>
            </w:r>
          </w:p>
        </w:tc>
      </w:tr>
      <w:tr w:rsidR="006516B0" w14:paraId="02E629FA" w14:textId="77777777" w:rsidTr="003414A4">
        <w:trPr>
          <w:jc w:val="center"/>
        </w:trPr>
        <w:tc>
          <w:tcPr>
            <w:tcW w:w="4135" w:type="dxa"/>
            <w:tcBorders>
              <w:top w:val="single" w:sz="4" w:space="0" w:color="D22A23"/>
              <w:left w:val="single" w:sz="4" w:space="0" w:color="D22A23"/>
              <w:bottom w:val="single" w:sz="4" w:space="0" w:color="D22A23"/>
              <w:right w:val="single" w:sz="4" w:space="0" w:color="D22A23"/>
            </w:tcBorders>
            <w:hideMark/>
          </w:tcPr>
          <w:p w14:paraId="02E629F7" w14:textId="77777777" w:rsidR="006516B0" w:rsidRDefault="006516B0" w:rsidP="003414A4">
            <w:r>
              <w:t>+5 to +10 MHz from upper block edge</w:t>
            </w:r>
          </w:p>
        </w:tc>
        <w:tc>
          <w:tcPr>
            <w:tcW w:w="2814" w:type="dxa"/>
            <w:tcBorders>
              <w:top w:val="single" w:sz="4" w:space="0" w:color="D22A23"/>
              <w:left w:val="single" w:sz="4" w:space="0" w:color="D22A23"/>
              <w:bottom w:val="single" w:sz="4" w:space="0" w:color="D22A23"/>
              <w:right w:val="single" w:sz="4" w:space="0" w:color="D22A23"/>
            </w:tcBorders>
            <w:hideMark/>
          </w:tcPr>
          <w:p w14:paraId="02E629F8" w14:textId="77777777" w:rsidR="006516B0" w:rsidRDefault="006516B0" w:rsidP="003414A4">
            <w:r>
              <w:t>11 dBm</w:t>
            </w:r>
          </w:p>
        </w:tc>
        <w:tc>
          <w:tcPr>
            <w:tcW w:w="2680" w:type="dxa"/>
            <w:tcBorders>
              <w:top w:val="single" w:sz="4" w:space="0" w:color="D22A23"/>
              <w:left w:val="single" w:sz="4" w:space="0" w:color="D22A23"/>
              <w:bottom w:val="single" w:sz="4" w:space="0" w:color="D22A23"/>
              <w:right w:val="single" w:sz="4" w:space="0" w:color="D22A23"/>
            </w:tcBorders>
            <w:hideMark/>
          </w:tcPr>
          <w:p w14:paraId="02E629F9" w14:textId="77777777" w:rsidR="006516B0" w:rsidRDefault="006516B0" w:rsidP="003414A4">
            <w:r>
              <w:t>5 MHz</w:t>
            </w:r>
          </w:p>
        </w:tc>
      </w:tr>
      <w:tr w:rsidR="006516B0" w14:paraId="02E629FE" w14:textId="77777777" w:rsidTr="003414A4">
        <w:trPr>
          <w:jc w:val="center"/>
        </w:trPr>
        <w:tc>
          <w:tcPr>
            <w:tcW w:w="4135" w:type="dxa"/>
            <w:tcBorders>
              <w:top w:val="single" w:sz="4" w:space="0" w:color="D22A23"/>
              <w:left w:val="single" w:sz="4" w:space="0" w:color="D22A23"/>
              <w:bottom w:val="single" w:sz="4" w:space="0" w:color="D22A23"/>
              <w:right w:val="single" w:sz="4" w:space="0" w:color="D22A23"/>
            </w:tcBorders>
            <w:hideMark/>
          </w:tcPr>
          <w:p w14:paraId="02E629FB" w14:textId="77777777" w:rsidR="006516B0" w:rsidRDefault="006516B0" w:rsidP="003414A4">
            <w:r>
              <w:t>Remaining MFCN SDL frequencies</w:t>
            </w:r>
          </w:p>
        </w:tc>
        <w:tc>
          <w:tcPr>
            <w:tcW w:w="2814" w:type="dxa"/>
            <w:tcBorders>
              <w:top w:val="single" w:sz="4" w:space="0" w:color="D22A23"/>
              <w:left w:val="single" w:sz="4" w:space="0" w:color="D22A23"/>
              <w:bottom w:val="single" w:sz="4" w:space="0" w:color="D22A23"/>
              <w:right w:val="single" w:sz="4" w:space="0" w:color="D22A23"/>
            </w:tcBorders>
            <w:hideMark/>
          </w:tcPr>
          <w:p w14:paraId="02E629FC" w14:textId="77777777" w:rsidR="006516B0" w:rsidRDefault="006516B0" w:rsidP="003414A4">
            <w:r>
              <w:t>9 dBm</w:t>
            </w:r>
          </w:p>
        </w:tc>
        <w:tc>
          <w:tcPr>
            <w:tcW w:w="2680" w:type="dxa"/>
            <w:tcBorders>
              <w:top w:val="single" w:sz="4" w:space="0" w:color="D22A23"/>
              <w:left w:val="single" w:sz="4" w:space="0" w:color="D22A23"/>
              <w:bottom w:val="single" w:sz="4" w:space="0" w:color="D22A23"/>
              <w:right w:val="single" w:sz="4" w:space="0" w:color="D22A23"/>
            </w:tcBorders>
            <w:hideMark/>
          </w:tcPr>
          <w:p w14:paraId="02E629FD" w14:textId="77777777" w:rsidR="006516B0" w:rsidRDefault="006516B0" w:rsidP="003414A4">
            <w:r>
              <w:t>5 MHz</w:t>
            </w:r>
          </w:p>
        </w:tc>
      </w:tr>
    </w:tbl>
    <w:p w14:paraId="02E629FF" w14:textId="77777777" w:rsidR="006516B0" w:rsidRDefault="006516B0" w:rsidP="006516B0">
      <w:pPr>
        <w:pStyle w:val="Caption"/>
        <w:rPr>
          <w:lang w:val="da-DK"/>
        </w:rPr>
      </w:pPr>
    </w:p>
    <w:p w14:paraId="02E62A00" w14:textId="77777777" w:rsidR="006516B0" w:rsidRPr="003414A4" w:rsidRDefault="006516B0" w:rsidP="00DE5D43">
      <w:pPr>
        <w:pStyle w:val="ECCTabletitle"/>
        <w:keepNext/>
      </w:pPr>
      <w:bookmarkStart w:id="3" w:name="_Ref491765649"/>
      <w:r w:rsidRPr="00A50C08">
        <w:lastRenderedPageBreak/>
        <w:t>Base station BEM out-of-block e.i.r.p. limits within the band 14</w:t>
      </w:r>
      <w:r>
        <w:t>9</w:t>
      </w:r>
      <w:r w:rsidRPr="00A50C08">
        <w:t>2-1517 MHz per antenna for BS operating in 1452-1492 MHz when MFCN is deployed in 1492-1517 MHz</w:t>
      </w:r>
      <w:bookmarkEnd w:id="3"/>
    </w:p>
    <w:tbl>
      <w:tblPr>
        <w:tblStyle w:val="ECCTable-redheader"/>
        <w:tblW w:w="0" w:type="auto"/>
        <w:jc w:val="center"/>
        <w:tblInd w:w="0" w:type="dxa"/>
        <w:tblLook w:val="01E0" w:firstRow="1" w:lastRow="1" w:firstColumn="1" w:lastColumn="1" w:noHBand="0" w:noVBand="0"/>
      </w:tblPr>
      <w:tblGrid>
        <w:gridCol w:w="4135"/>
        <w:gridCol w:w="2814"/>
        <w:gridCol w:w="2680"/>
      </w:tblGrid>
      <w:tr w:rsidR="006516B0" w14:paraId="02E62A04" w14:textId="77777777" w:rsidTr="003414A4">
        <w:trPr>
          <w:cnfStyle w:val="100000000000" w:firstRow="1" w:lastRow="0" w:firstColumn="0" w:lastColumn="0" w:oddVBand="0" w:evenVBand="0" w:oddHBand="0" w:evenHBand="0" w:firstRowFirstColumn="0" w:firstRowLastColumn="0" w:lastRowFirstColumn="0" w:lastRowLastColumn="0"/>
          <w:tblHeader/>
          <w:jc w:val="center"/>
        </w:trPr>
        <w:tc>
          <w:tcPr>
            <w:tcW w:w="4135" w:type="dxa"/>
            <w:hideMark/>
          </w:tcPr>
          <w:p w14:paraId="02E62A01" w14:textId="77777777" w:rsidR="006516B0" w:rsidRDefault="006516B0" w:rsidP="00DE5D43">
            <w:pPr>
              <w:pStyle w:val="ECCTableHeaderwhitefont"/>
              <w:keepNext/>
              <w:spacing w:before="120" w:beforeAutospacing="0" w:after="120" w:afterAutospacing="0"/>
              <w:rPr>
                <w:lang w:val="en-GB"/>
              </w:rPr>
            </w:pPr>
            <w:r w:rsidRPr="003414A4">
              <w:rPr>
                <w:lang w:val="en-US"/>
              </w:rPr>
              <w:t xml:space="preserve">Frequency range of </w:t>
            </w:r>
            <w:r w:rsidRPr="003414A4">
              <w:rPr>
                <w:lang w:val="en-US"/>
              </w:rPr>
              <w:br/>
              <w:t>out-of-block emissions</w:t>
            </w:r>
          </w:p>
        </w:tc>
        <w:tc>
          <w:tcPr>
            <w:tcW w:w="2814" w:type="dxa"/>
            <w:hideMark/>
          </w:tcPr>
          <w:p w14:paraId="02E62A02" w14:textId="77777777" w:rsidR="006516B0" w:rsidRPr="003414A4" w:rsidRDefault="006516B0" w:rsidP="00DE5D43">
            <w:pPr>
              <w:pStyle w:val="ECCTableHeaderwhitefont"/>
              <w:keepNext/>
              <w:spacing w:before="120" w:beforeAutospacing="0" w:after="120" w:afterAutospacing="0"/>
              <w:rPr>
                <w:lang w:val="en-US"/>
              </w:rPr>
            </w:pPr>
            <w:r w:rsidRPr="003414A4">
              <w:rPr>
                <w:lang w:val="en-US"/>
              </w:rPr>
              <w:t xml:space="preserve">Maximum mean </w:t>
            </w:r>
            <w:r w:rsidRPr="003414A4">
              <w:rPr>
                <w:lang w:val="en-US"/>
              </w:rPr>
              <w:br/>
              <w:t>out-of-block e.i.r.p.</w:t>
            </w:r>
          </w:p>
        </w:tc>
        <w:tc>
          <w:tcPr>
            <w:tcW w:w="2680" w:type="dxa"/>
            <w:hideMark/>
          </w:tcPr>
          <w:p w14:paraId="02E62A03" w14:textId="77777777" w:rsidR="006516B0" w:rsidRDefault="006516B0" w:rsidP="00DE5D43">
            <w:pPr>
              <w:pStyle w:val="ECCTableHeaderwhitefont"/>
              <w:keepNext/>
              <w:spacing w:before="120" w:beforeAutospacing="0" w:after="120" w:afterAutospacing="0"/>
            </w:pPr>
            <w:r>
              <w:t xml:space="preserve">Measurement </w:t>
            </w:r>
            <w:r>
              <w:br/>
              <w:t>Bandwidth</w:t>
            </w:r>
          </w:p>
        </w:tc>
      </w:tr>
      <w:tr w:rsidR="006516B0" w14:paraId="02E62A08" w14:textId="77777777" w:rsidTr="003414A4">
        <w:trPr>
          <w:jc w:val="center"/>
        </w:trPr>
        <w:tc>
          <w:tcPr>
            <w:tcW w:w="4135" w:type="dxa"/>
            <w:tcBorders>
              <w:top w:val="single" w:sz="4" w:space="0" w:color="D22A23"/>
              <w:left w:val="single" w:sz="4" w:space="0" w:color="D22A23"/>
              <w:bottom w:val="single" w:sz="4" w:space="0" w:color="D22A23"/>
              <w:right w:val="single" w:sz="4" w:space="0" w:color="D22A23"/>
            </w:tcBorders>
            <w:hideMark/>
          </w:tcPr>
          <w:p w14:paraId="02E62A05" w14:textId="77777777" w:rsidR="006516B0" w:rsidRDefault="006516B0" w:rsidP="00DE5D43">
            <w:pPr>
              <w:keepNext/>
            </w:pPr>
            <w:r>
              <w:t>–10 to –5 MHz from lower block edge</w:t>
            </w:r>
          </w:p>
        </w:tc>
        <w:tc>
          <w:tcPr>
            <w:tcW w:w="2814" w:type="dxa"/>
            <w:tcBorders>
              <w:top w:val="single" w:sz="4" w:space="0" w:color="D22A23"/>
              <w:left w:val="single" w:sz="4" w:space="0" w:color="D22A23"/>
              <w:bottom w:val="single" w:sz="4" w:space="0" w:color="D22A23"/>
              <w:right w:val="single" w:sz="4" w:space="0" w:color="D22A23"/>
            </w:tcBorders>
            <w:hideMark/>
          </w:tcPr>
          <w:p w14:paraId="02E62A06" w14:textId="77777777" w:rsidR="006516B0" w:rsidRDefault="006516B0" w:rsidP="00DE5D43">
            <w:pPr>
              <w:keepNext/>
            </w:pPr>
            <w:r>
              <w:t>11 dBm</w:t>
            </w:r>
          </w:p>
        </w:tc>
        <w:tc>
          <w:tcPr>
            <w:tcW w:w="2680" w:type="dxa"/>
            <w:tcBorders>
              <w:top w:val="single" w:sz="4" w:space="0" w:color="D22A23"/>
              <w:left w:val="single" w:sz="4" w:space="0" w:color="D22A23"/>
              <w:bottom w:val="single" w:sz="4" w:space="0" w:color="D22A23"/>
              <w:right w:val="single" w:sz="4" w:space="0" w:color="D22A23"/>
            </w:tcBorders>
            <w:hideMark/>
          </w:tcPr>
          <w:p w14:paraId="02E62A07" w14:textId="77777777" w:rsidR="006516B0" w:rsidRDefault="006516B0" w:rsidP="00DE5D43">
            <w:pPr>
              <w:keepNext/>
            </w:pPr>
            <w:r>
              <w:t>5 MHz</w:t>
            </w:r>
          </w:p>
        </w:tc>
      </w:tr>
      <w:tr w:rsidR="006516B0" w14:paraId="02E62A0C" w14:textId="77777777" w:rsidTr="003414A4">
        <w:trPr>
          <w:jc w:val="center"/>
        </w:trPr>
        <w:tc>
          <w:tcPr>
            <w:tcW w:w="4135" w:type="dxa"/>
            <w:tcBorders>
              <w:top w:val="single" w:sz="4" w:space="0" w:color="D22A23"/>
              <w:left w:val="single" w:sz="4" w:space="0" w:color="D22A23"/>
              <w:bottom w:val="single" w:sz="4" w:space="0" w:color="D22A23"/>
              <w:right w:val="single" w:sz="4" w:space="0" w:color="D22A23"/>
            </w:tcBorders>
            <w:hideMark/>
          </w:tcPr>
          <w:p w14:paraId="02E62A09" w14:textId="77777777" w:rsidR="006516B0" w:rsidRDefault="006516B0" w:rsidP="00DE5D43">
            <w:pPr>
              <w:keepNext/>
            </w:pPr>
            <w:r>
              <w:t>–5 to 0 MHz from lower block edge</w:t>
            </w:r>
          </w:p>
        </w:tc>
        <w:tc>
          <w:tcPr>
            <w:tcW w:w="2814" w:type="dxa"/>
            <w:tcBorders>
              <w:top w:val="single" w:sz="4" w:space="0" w:color="D22A23"/>
              <w:left w:val="single" w:sz="4" w:space="0" w:color="D22A23"/>
              <w:bottom w:val="single" w:sz="4" w:space="0" w:color="D22A23"/>
              <w:right w:val="single" w:sz="4" w:space="0" w:color="D22A23"/>
            </w:tcBorders>
            <w:hideMark/>
          </w:tcPr>
          <w:p w14:paraId="02E62A0A" w14:textId="77777777" w:rsidR="006516B0" w:rsidRDefault="006516B0" w:rsidP="00DE5D43">
            <w:pPr>
              <w:keepNext/>
            </w:pPr>
            <w:r>
              <w:t>16.3 dBm</w:t>
            </w:r>
          </w:p>
        </w:tc>
        <w:tc>
          <w:tcPr>
            <w:tcW w:w="2680" w:type="dxa"/>
            <w:tcBorders>
              <w:top w:val="single" w:sz="4" w:space="0" w:color="D22A23"/>
              <w:left w:val="single" w:sz="4" w:space="0" w:color="D22A23"/>
              <w:bottom w:val="single" w:sz="4" w:space="0" w:color="D22A23"/>
              <w:right w:val="single" w:sz="4" w:space="0" w:color="D22A23"/>
            </w:tcBorders>
            <w:hideMark/>
          </w:tcPr>
          <w:p w14:paraId="02E62A0B" w14:textId="77777777" w:rsidR="006516B0" w:rsidRDefault="006516B0" w:rsidP="00DE5D43">
            <w:pPr>
              <w:keepNext/>
            </w:pPr>
            <w:r>
              <w:t>5 MHz</w:t>
            </w:r>
          </w:p>
        </w:tc>
      </w:tr>
      <w:tr w:rsidR="006516B0" w14:paraId="02E62A10" w14:textId="77777777" w:rsidTr="003414A4">
        <w:trPr>
          <w:jc w:val="center"/>
        </w:trPr>
        <w:tc>
          <w:tcPr>
            <w:tcW w:w="4135" w:type="dxa"/>
            <w:tcBorders>
              <w:top w:val="single" w:sz="4" w:space="0" w:color="D22A23"/>
              <w:left w:val="single" w:sz="4" w:space="0" w:color="D22A23"/>
              <w:bottom w:val="single" w:sz="4" w:space="0" w:color="D22A23"/>
              <w:right w:val="single" w:sz="4" w:space="0" w:color="D22A23"/>
            </w:tcBorders>
            <w:hideMark/>
          </w:tcPr>
          <w:p w14:paraId="02E62A0D" w14:textId="77777777" w:rsidR="006516B0" w:rsidRDefault="006516B0" w:rsidP="00DE5D43">
            <w:pPr>
              <w:keepNext/>
            </w:pPr>
            <w:r>
              <w:t>0 to +5 MHz from upper block edge</w:t>
            </w:r>
          </w:p>
        </w:tc>
        <w:tc>
          <w:tcPr>
            <w:tcW w:w="2814" w:type="dxa"/>
            <w:tcBorders>
              <w:top w:val="single" w:sz="4" w:space="0" w:color="D22A23"/>
              <w:left w:val="single" w:sz="4" w:space="0" w:color="D22A23"/>
              <w:bottom w:val="single" w:sz="4" w:space="0" w:color="D22A23"/>
              <w:right w:val="single" w:sz="4" w:space="0" w:color="D22A23"/>
            </w:tcBorders>
            <w:hideMark/>
          </w:tcPr>
          <w:p w14:paraId="02E62A0E" w14:textId="77777777" w:rsidR="006516B0" w:rsidRDefault="006516B0" w:rsidP="00DE5D43">
            <w:pPr>
              <w:keepNext/>
            </w:pPr>
            <w:r>
              <w:t>16.3 dBm</w:t>
            </w:r>
          </w:p>
        </w:tc>
        <w:tc>
          <w:tcPr>
            <w:tcW w:w="2680" w:type="dxa"/>
            <w:tcBorders>
              <w:top w:val="single" w:sz="4" w:space="0" w:color="D22A23"/>
              <w:left w:val="single" w:sz="4" w:space="0" w:color="D22A23"/>
              <w:bottom w:val="single" w:sz="4" w:space="0" w:color="D22A23"/>
              <w:right w:val="single" w:sz="4" w:space="0" w:color="D22A23"/>
            </w:tcBorders>
            <w:hideMark/>
          </w:tcPr>
          <w:p w14:paraId="02E62A0F" w14:textId="77777777" w:rsidR="006516B0" w:rsidRDefault="006516B0" w:rsidP="00DE5D43">
            <w:pPr>
              <w:keepNext/>
            </w:pPr>
            <w:r>
              <w:t>5 MHz</w:t>
            </w:r>
          </w:p>
        </w:tc>
      </w:tr>
      <w:tr w:rsidR="006516B0" w14:paraId="02E62A14" w14:textId="77777777" w:rsidTr="003414A4">
        <w:trPr>
          <w:jc w:val="center"/>
        </w:trPr>
        <w:tc>
          <w:tcPr>
            <w:tcW w:w="4135" w:type="dxa"/>
            <w:tcBorders>
              <w:top w:val="single" w:sz="4" w:space="0" w:color="D22A23"/>
              <w:left w:val="single" w:sz="4" w:space="0" w:color="D22A23"/>
              <w:bottom w:val="single" w:sz="4" w:space="0" w:color="D22A23"/>
              <w:right w:val="single" w:sz="4" w:space="0" w:color="D22A23"/>
            </w:tcBorders>
            <w:hideMark/>
          </w:tcPr>
          <w:p w14:paraId="02E62A11" w14:textId="77777777" w:rsidR="006516B0" w:rsidRDefault="006516B0" w:rsidP="00DE5D43">
            <w:pPr>
              <w:keepNext/>
            </w:pPr>
            <w:r>
              <w:t>+5 to +10 MHz from upper block edge</w:t>
            </w:r>
          </w:p>
        </w:tc>
        <w:tc>
          <w:tcPr>
            <w:tcW w:w="2814" w:type="dxa"/>
            <w:tcBorders>
              <w:top w:val="single" w:sz="4" w:space="0" w:color="D22A23"/>
              <w:left w:val="single" w:sz="4" w:space="0" w:color="D22A23"/>
              <w:bottom w:val="single" w:sz="4" w:space="0" w:color="D22A23"/>
              <w:right w:val="single" w:sz="4" w:space="0" w:color="D22A23"/>
            </w:tcBorders>
            <w:hideMark/>
          </w:tcPr>
          <w:p w14:paraId="02E62A12" w14:textId="77777777" w:rsidR="006516B0" w:rsidRDefault="006516B0" w:rsidP="00DE5D43">
            <w:pPr>
              <w:keepNext/>
            </w:pPr>
            <w:r>
              <w:t>11 dBm</w:t>
            </w:r>
          </w:p>
        </w:tc>
        <w:tc>
          <w:tcPr>
            <w:tcW w:w="2680" w:type="dxa"/>
            <w:tcBorders>
              <w:top w:val="single" w:sz="4" w:space="0" w:color="D22A23"/>
              <w:left w:val="single" w:sz="4" w:space="0" w:color="D22A23"/>
              <w:bottom w:val="single" w:sz="4" w:space="0" w:color="D22A23"/>
              <w:right w:val="single" w:sz="4" w:space="0" w:color="D22A23"/>
            </w:tcBorders>
            <w:hideMark/>
          </w:tcPr>
          <w:p w14:paraId="02E62A13" w14:textId="77777777" w:rsidR="006516B0" w:rsidRDefault="006516B0" w:rsidP="00DE5D43">
            <w:pPr>
              <w:keepNext/>
            </w:pPr>
            <w:r>
              <w:t>5 MHz</w:t>
            </w:r>
          </w:p>
        </w:tc>
      </w:tr>
      <w:tr w:rsidR="006516B0" w14:paraId="02E62A18" w14:textId="77777777" w:rsidTr="003414A4">
        <w:trPr>
          <w:jc w:val="center"/>
        </w:trPr>
        <w:tc>
          <w:tcPr>
            <w:tcW w:w="4135" w:type="dxa"/>
            <w:tcBorders>
              <w:top w:val="single" w:sz="4" w:space="0" w:color="D22A23"/>
              <w:left w:val="single" w:sz="4" w:space="0" w:color="D22A23"/>
              <w:bottom w:val="single" w:sz="4" w:space="0" w:color="D22A23"/>
              <w:right w:val="single" w:sz="4" w:space="0" w:color="D22A23"/>
            </w:tcBorders>
            <w:hideMark/>
          </w:tcPr>
          <w:p w14:paraId="02E62A15" w14:textId="77777777" w:rsidR="006516B0" w:rsidRDefault="006516B0" w:rsidP="00DE5D43">
            <w:pPr>
              <w:keepNext/>
            </w:pPr>
            <w:r>
              <w:t>Remaining MFCN SDL frequencies</w:t>
            </w:r>
          </w:p>
        </w:tc>
        <w:tc>
          <w:tcPr>
            <w:tcW w:w="2814" w:type="dxa"/>
            <w:tcBorders>
              <w:top w:val="single" w:sz="4" w:space="0" w:color="D22A23"/>
              <w:left w:val="single" w:sz="4" w:space="0" w:color="D22A23"/>
              <w:bottom w:val="single" w:sz="4" w:space="0" w:color="D22A23"/>
              <w:right w:val="single" w:sz="4" w:space="0" w:color="D22A23"/>
            </w:tcBorders>
            <w:hideMark/>
          </w:tcPr>
          <w:p w14:paraId="02E62A16" w14:textId="77777777" w:rsidR="006516B0" w:rsidRDefault="006516B0" w:rsidP="00DE5D43">
            <w:pPr>
              <w:keepNext/>
            </w:pPr>
            <w:r>
              <w:t>9 dBm</w:t>
            </w:r>
          </w:p>
        </w:tc>
        <w:tc>
          <w:tcPr>
            <w:tcW w:w="2680" w:type="dxa"/>
            <w:tcBorders>
              <w:top w:val="single" w:sz="4" w:space="0" w:color="D22A23"/>
              <w:left w:val="single" w:sz="4" w:space="0" w:color="D22A23"/>
              <w:bottom w:val="single" w:sz="4" w:space="0" w:color="D22A23"/>
              <w:right w:val="single" w:sz="4" w:space="0" w:color="D22A23"/>
            </w:tcBorders>
            <w:hideMark/>
          </w:tcPr>
          <w:p w14:paraId="02E62A17" w14:textId="77777777" w:rsidR="006516B0" w:rsidRDefault="006516B0" w:rsidP="00DE5D43">
            <w:pPr>
              <w:keepNext/>
            </w:pPr>
            <w:r>
              <w:t>5 MHz</w:t>
            </w:r>
          </w:p>
        </w:tc>
      </w:tr>
    </w:tbl>
    <w:p w14:paraId="02E62A19" w14:textId="77777777" w:rsidR="006516B0" w:rsidRPr="000D5FF5" w:rsidRDefault="006516B0" w:rsidP="006516B0">
      <w:pPr>
        <w:spacing w:before="120"/>
        <w:rPr>
          <w:lang w:val="en-GB"/>
        </w:rPr>
      </w:pPr>
    </w:p>
    <w:p w14:paraId="02E62A1A" w14:textId="77777777" w:rsidR="003F09D0" w:rsidRPr="00064FEF" w:rsidRDefault="003F09D0" w:rsidP="003F09D0">
      <w:pPr>
        <w:pStyle w:val="ECCAnnex-heading1"/>
      </w:pPr>
      <w:bookmarkStart w:id="4" w:name="_Toc482008832"/>
      <w:r w:rsidRPr="00064FEF">
        <w:lastRenderedPageBreak/>
        <w:t>List of reference</w:t>
      </w:r>
      <w:bookmarkEnd w:id="4"/>
    </w:p>
    <w:p w14:paraId="02E62A1B" w14:textId="7C8E1F10" w:rsidR="003F09D0" w:rsidRPr="001B0261" w:rsidRDefault="003F09D0" w:rsidP="003F09D0">
      <w:pPr>
        <w:pStyle w:val="ECCReference"/>
        <w:numPr>
          <w:ilvl w:val="0"/>
          <w:numId w:val="8"/>
        </w:numPr>
      </w:pPr>
      <w:bookmarkStart w:id="5" w:name="_Ref487546077"/>
      <w:bookmarkStart w:id="6" w:name="_Ref481765869"/>
      <w:bookmarkStart w:id="7" w:name="_Ref482011235"/>
      <w:r>
        <w:t>ECC Decision (13)02 on the withdrawal of ECC Decision (03)02</w:t>
      </w:r>
      <w:r w:rsidR="00862721">
        <w:t>, approved June 2013</w:t>
      </w:r>
    </w:p>
    <w:p w14:paraId="02E62A1C" w14:textId="66C6DABA" w:rsidR="003F09D0" w:rsidRPr="001B0261" w:rsidRDefault="003F09D0" w:rsidP="00862721">
      <w:pPr>
        <w:pStyle w:val="reference"/>
      </w:pPr>
      <w:bookmarkStart w:id="8" w:name="_Ref487467088"/>
      <w:bookmarkEnd w:id="5"/>
      <w:r w:rsidRPr="001B0261">
        <w:t>ECC Report 188</w:t>
      </w:r>
      <w:bookmarkEnd w:id="8"/>
      <w:r w:rsidR="00862721">
        <w:t xml:space="preserve">: </w:t>
      </w:r>
      <w:r w:rsidR="00862721" w:rsidRPr="00862721">
        <w:rPr>
          <w:rFonts w:eastAsia="Calibri"/>
          <w:szCs w:val="22"/>
          <w:lang w:val="en-GB"/>
        </w:rPr>
        <w:t>Future Harmonised Use of 1452-1492 MHz in CEPT</w:t>
      </w:r>
      <w:r w:rsidR="00862721">
        <w:rPr>
          <w:rFonts w:eastAsia="Calibri"/>
          <w:szCs w:val="22"/>
          <w:lang w:val="en-GB"/>
        </w:rPr>
        <w:t>, approved February 2013</w:t>
      </w:r>
    </w:p>
    <w:p w14:paraId="02E62A1D" w14:textId="0DD3F28E" w:rsidR="003F09D0" w:rsidRDefault="003F09D0" w:rsidP="003F09D0">
      <w:pPr>
        <w:pStyle w:val="ECCReference"/>
        <w:numPr>
          <w:ilvl w:val="0"/>
          <w:numId w:val="8"/>
        </w:numPr>
      </w:pPr>
      <w:bookmarkStart w:id="9" w:name="_Ref487543650"/>
      <w:bookmarkStart w:id="10" w:name="_Ref498679449"/>
      <w:bookmarkStart w:id="11" w:name="_Ref487467095"/>
      <w:r w:rsidRPr="001B0261">
        <w:t>ECC/DEC/(17)</w:t>
      </w:r>
      <w:r w:rsidR="00225394">
        <w:t>06</w:t>
      </w:r>
      <w:r w:rsidRPr="001B0261">
        <w:t xml:space="preserve">: the harmonised use of the frequency bands 1427-1452 and 1492-1518 MHz for terrestrial Mobile/Fixed Communications Networks Supplemental </w:t>
      </w:r>
      <w:r w:rsidRPr="00353574">
        <w:t>Downlink (MFCN SDL)</w:t>
      </w:r>
      <w:bookmarkEnd w:id="9"/>
      <w:r>
        <w:t xml:space="preserve">; Approved </w:t>
      </w:r>
      <w:r w:rsidR="00225394">
        <w:t>17</w:t>
      </w:r>
      <w:r>
        <w:t xml:space="preserve"> November 2017</w:t>
      </w:r>
      <w:bookmarkEnd w:id="10"/>
    </w:p>
    <w:p w14:paraId="02E62A1E" w14:textId="77777777" w:rsidR="003F09D0" w:rsidRDefault="003F09D0" w:rsidP="003F09D0">
      <w:pPr>
        <w:pStyle w:val="ECCReference"/>
        <w:numPr>
          <w:ilvl w:val="0"/>
          <w:numId w:val="8"/>
        </w:numPr>
      </w:pPr>
      <w:bookmarkStart w:id="12" w:name="_Ref487544397"/>
      <w:r w:rsidRPr="001B0261">
        <w:t>ERC Report 25: The European table of frequency allocations and applications in the frequency range 8.3 kHz to 3000 GHz, June 2016</w:t>
      </w:r>
      <w:bookmarkEnd w:id="12"/>
    </w:p>
    <w:p w14:paraId="02E62A1F" w14:textId="77777777" w:rsidR="003F09D0" w:rsidRPr="001B0261" w:rsidRDefault="003F09D0" w:rsidP="003F09D0">
      <w:pPr>
        <w:pStyle w:val="reference"/>
        <w:rPr>
          <w:lang w:val="en-GB"/>
        </w:rPr>
      </w:pPr>
      <w:bookmarkStart w:id="13" w:name="_Ref487543972"/>
      <w:r w:rsidRPr="001B0261">
        <w:rPr>
          <w:lang w:val="en-GB"/>
        </w:rPr>
        <w:t>Final Acts of the CEPT Multi-lateral Meeting for the frequency band 1452 - 1479.5 MHz Constanta, 2007 (MA02revCO07)</w:t>
      </w:r>
      <w:bookmarkEnd w:id="13"/>
      <w:r w:rsidRPr="001B0261">
        <w:rPr>
          <w:lang w:val="en-GB"/>
        </w:rPr>
        <w:t xml:space="preserve"> </w:t>
      </w:r>
    </w:p>
    <w:p w14:paraId="02E62A20" w14:textId="77777777" w:rsidR="003F09D0" w:rsidRDefault="003F09D0" w:rsidP="003F09D0">
      <w:pPr>
        <w:pStyle w:val="ECCReference"/>
        <w:numPr>
          <w:ilvl w:val="0"/>
          <w:numId w:val="8"/>
        </w:numPr>
      </w:pPr>
      <w:bookmarkStart w:id="14" w:name="_Ref487543721"/>
      <w:bookmarkEnd w:id="11"/>
      <w:r w:rsidRPr="001B0261">
        <w:t>ITU Radio Regulations Edition of 2016</w:t>
      </w:r>
      <w:bookmarkEnd w:id="6"/>
      <w:bookmarkEnd w:id="7"/>
      <w:bookmarkEnd w:id="14"/>
    </w:p>
    <w:p w14:paraId="02E62A21" w14:textId="77777777" w:rsidR="003F09D0" w:rsidRPr="001B0261" w:rsidRDefault="003F09D0" w:rsidP="003F09D0">
      <w:pPr>
        <w:pStyle w:val="ECCReference"/>
        <w:numPr>
          <w:ilvl w:val="0"/>
          <w:numId w:val="8"/>
        </w:numPr>
      </w:pPr>
      <w:bookmarkStart w:id="15" w:name="_Ref487549016"/>
      <w:r>
        <w:t>ECC Recommendation (15)01: Cross-border coordination for mobile/fixed communications networks (MFCN) in the frequency bands: 694-790 MHz, 1452-1492 MHz, 3400-3600 MHz and 3600-3800 MHz; Amended 5 February 2016</w:t>
      </w:r>
      <w:bookmarkEnd w:id="15"/>
    </w:p>
    <w:p w14:paraId="02E62A22" w14:textId="77777777" w:rsidR="003F09D0" w:rsidRPr="001B0261" w:rsidRDefault="003F09D0" w:rsidP="003F09D0">
      <w:pPr>
        <w:pStyle w:val="reference"/>
        <w:rPr>
          <w:lang w:val="en-GB"/>
        </w:rPr>
      </w:pPr>
      <w:bookmarkStart w:id="16" w:name="_Ref487544282"/>
      <w:r w:rsidRPr="001B0261">
        <w:rPr>
          <w:lang w:val="en-GB"/>
        </w:rPr>
        <w:t>Directive 2014/53/EU of the European Parliament and of the Council of 16 April 2014 on the harmonisation of the laws of the Member States relating to the making available on the market of radio equipment and repealing Directive 1999/5/E</w:t>
      </w:r>
      <w:bookmarkEnd w:id="16"/>
    </w:p>
    <w:p w14:paraId="02E62A23" w14:textId="77777777" w:rsidR="00F77708" w:rsidRPr="000D5FF5" w:rsidRDefault="00F77708" w:rsidP="0045633D">
      <w:pPr>
        <w:spacing w:before="120"/>
        <w:rPr>
          <w:lang w:val="en-GB"/>
        </w:rPr>
      </w:pPr>
    </w:p>
    <w:sectPr w:rsidR="00F77708" w:rsidRPr="000D5FF5" w:rsidSect="00763E77">
      <w:headerReference w:type="even" r:id="rId9"/>
      <w:headerReference w:type="default" r:id="rId10"/>
      <w:headerReference w:type="first" r:id="rId11"/>
      <w:pgSz w:w="11907" w:h="16840" w:code="9"/>
      <w:pgMar w:top="1440" w:right="1134" w:bottom="1440" w:left="1134"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A1F2B" w14:textId="77777777" w:rsidR="005454DC" w:rsidRDefault="005454DC" w:rsidP="006C03D0">
      <w:r>
        <w:separator/>
      </w:r>
    </w:p>
  </w:endnote>
  <w:endnote w:type="continuationSeparator" w:id="0">
    <w:p w14:paraId="3DEE4C82" w14:textId="77777777" w:rsidR="005454DC" w:rsidRDefault="005454DC" w:rsidP="006C03D0">
      <w:r>
        <w:continuationSeparator/>
      </w:r>
    </w:p>
  </w:endnote>
  <w:endnote w:type="continuationNotice" w:id="1">
    <w:p w14:paraId="051205CF" w14:textId="77777777" w:rsidR="005454DC" w:rsidRDefault="00545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charset w:val="59"/>
    <w:family w:val="auto"/>
    <w:pitch w:val="variable"/>
    <w:sig w:usb0="00000201" w:usb1="00000000" w:usb2="00000000" w:usb3="00000000" w:csb0="00000004"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23AC7" w14:textId="77777777" w:rsidR="005454DC" w:rsidRDefault="005454DC" w:rsidP="006C03D0">
      <w:r>
        <w:separator/>
      </w:r>
    </w:p>
  </w:footnote>
  <w:footnote w:type="continuationSeparator" w:id="0">
    <w:p w14:paraId="0DEF0BF6" w14:textId="77777777" w:rsidR="005454DC" w:rsidRDefault="005454DC" w:rsidP="006C03D0">
      <w:r>
        <w:continuationSeparator/>
      </w:r>
    </w:p>
  </w:footnote>
  <w:footnote w:type="continuationNotice" w:id="1">
    <w:p w14:paraId="797C9634" w14:textId="77777777" w:rsidR="005454DC" w:rsidRDefault="005454DC"/>
  </w:footnote>
  <w:footnote w:id="2">
    <w:p w14:paraId="02E62A31" w14:textId="77777777" w:rsidR="005A5737" w:rsidRPr="005A5737" w:rsidRDefault="005A5737" w:rsidP="005A5737">
      <w:pPr>
        <w:pStyle w:val="FootnoteText"/>
      </w:pPr>
      <w:r>
        <w:rPr>
          <w:rStyle w:val="FootnoteReference"/>
        </w:rPr>
        <w:footnoteRef/>
      </w:r>
      <w:r>
        <w:t xml:space="preserve"> Comparable technical specifications to those given in this ECC Decision are </w:t>
      </w:r>
      <w:r w:rsidR="00B95CD6">
        <w:t xml:space="preserve">given in </w:t>
      </w:r>
      <w:r w:rsidR="00A60A8F" w:rsidRPr="00862721">
        <w:t>EC</w:t>
      </w:r>
      <w:r w:rsidR="005430AD" w:rsidRPr="00862721">
        <w:t xml:space="preserve"> Decision</w:t>
      </w:r>
      <w:r w:rsidR="00A60A8F" w:rsidRPr="00862721">
        <w:t xml:space="preserve"> (EU)</w:t>
      </w:r>
      <w:r w:rsidR="005430AD" w:rsidRPr="00862721">
        <w:t xml:space="preserve"> </w:t>
      </w:r>
      <w:r w:rsidRPr="00862721">
        <w:t>2015/750</w:t>
      </w:r>
      <w:r>
        <w:t>. EU Member States and, if so approved by the EEA Joint Committee, Iceland, Liechtenstein and Norway are obliged to implement the EC Decision.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62A2A" w14:textId="04CE39F1" w:rsidR="00FA4704" w:rsidRPr="007C5F95" w:rsidRDefault="00B03382">
    <w:pPr>
      <w:pStyle w:val="Header"/>
      <w:rPr>
        <w:szCs w:val="16"/>
        <w:lang w:val="da-DK"/>
      </w:rPr>
    </w:pPr>
    <w:r>
      <w:rPr>
        <w:lang w:val="da-DK"/>
      </w:rPr>
      <w:t>ECC/DEC/</w:t>
    </w:r>
    <w:r w:rsidR="00FA4704" w:rsidRPr="007C5F95">
      <w:rPr>
        <w:lang w:val="da-DK"/>
      </w:rPr>
      <w:t>(</w:t>
    </w:r>
    <w:r w:rsidR="00CB1268">
      <w:rPr>
        <w:lang w:val="da-DK"/>
      </w:rPr>
      <w:t>13</w:t>
    </w:r>
    <w:r w:rsidR="00FA4704" w:rsidRPr="007C5F95">
      <w:rPr>
        <w:lang w:val="da-DK"/>
      </w:rPr>
      <w:t>)</w:t>
    </w:r>
    <w:r w:rsidR="009B5E58">
      <w:rPr>
        <w:lang w:val="da-DK"/>
      </w:rPr>
      <w:t>03</w:t>
    </w:r>
    <w:r w:rsidR="00FA4704" w:rsidRPr="007C5F95">
      <w:rPr>
        <w:lang w:val="da-DK"/>
      </w:rPr>
      <w:t xml:space="preserve"> </w:t>
    </w:r>
    <w:r w:rsidR="00FA4704">
      <w:rPr>
        <w:szCs w:val="16"/>
        <w:lang w:val="da-DK"/>
      </w:rPr>
      <w:t xml:space="preserve">Page </w:t>
    </w:r>
    <w:r w:rsidR="00A113E9">
      <w:fldChar w:fldCharType="begin"/>
    </w:r>
    <w:r w:rsidR="00FA4704">
      <w:instrText xml:space="preserve"> PAGE  \* Arabic  \* MERGEFORMAT </w:instrText>
    </w:r>
    <w:r w:rsidR="00A113E9">
      <w:fldChar w:fldCharType="separate"/>
    </w:r>
    <w:r w:rsidR="00A817C9" w:rsidRPr="00A817C9">
      <w:rPr>
        <w:noProof/>
        <w:szCs w:val="16"/>
        <w:lang w:val="da-DK"/>
      </w:rPr>
      <w:t>6</w:t>
    </w:r>
    <w:r w:rsidR="00A113E9">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62A2B" w14:textId="769184F9" w:rsidR="00FA4704" w:rsidRPr="007C5F95" w:rsidRDefault="00B03382" w:rsidP="006C03D0">
    <w:pPr>
      <w:pStyle w:val="Header"/>
      <w:jc w:val="right"/>
      <w:rPr>
        <w:szCs w:val="16"/>
        <w:lang w:val="da-DK"/>
      </w:rPr>
    </w:pPr>
    <w:r>
      <w:rPr>
        <w:lang w:val="da-DK"/>
      </w:rPr>
      <w:t>ECC/DEC/</w:t>
    </w:r>
    <w:r w:rsidR="00FA4704" w:rsidRPr="007C5F95">
      <w:rPr>
        <w:lang w:val="da-DK"/>
      </w:rPr>
      <w:t>(</w:t>
    </w:r>
    <w:r w:rsidR="00CB1268">
      <w:rPr>
        <w:lang w:val="da-DK"/>
      </w:rPr>
      <w:t>13</w:t>
    </w:r>
    <w:r w:rsidR="00FA4704" w:rsidRPr="007C5F95">
      <w:rPr>
        <w:lang w:val="da-DK"/>
      </w:rPr>
      <w:t>)</w:t>
    </w:r>
    <w:r w:rsidR="009B5E58">
      <w:rPr>
        <w:lang w:val="da-DK"/>
      </w:rPr>
      <w:t>03</w:t>
    </w:r>
    <w:r w:rsidR="00FA4704" w:rsidRPr="007C5F95">
      <w:rPr>
        <w:lang w:val="da-DK"/>
      </w:rPr>
      <w:t xml:space="preserve"> </w:t>
    </w:r>
    <w:r w:rsidR="00FA4704">
      <w:rPr>
        <w:szCs w:val="16"/>
        <w:lang w:val="da-DK"/>
      </w:rPr>
      <w:t xml:space="preserve">Page </w:t>
    </w:r>
    <w:r w:rsidR="00A113E9">
      <w:fldChar w:fldCharType="begin"/>
    </w:r>
    <w:r w:rsidR="00FA4704">
      <w:instrText xml:space="preserve"> PAGE  \* Arabic  \* MERGEFORMAT </w:instrText>
    </w:r>
    <w:r w:rsidR="00A113E9">
      <w:fldChar w:fldCharType="separate"/>
    </w:r>
    <w:r w:rsidR="00A817C9" w:rsidRPr="00A817C9">
      <w:rPr>
        <w:noProof/>
        <w:szCs w:val="16"/>
        <w:lang w:val="da-DK"/>
      </w:rPr>
      <w:t>5</w:t>
    </w:r>
    <w:r w:rsidR="00A113E9">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62A2C" w14:textId="4D6EAA47" w:rsidR="00AA228C" w:rsidRPr="009A0AE9" w:rsidRDefault="00FA4704" w:rsidP="00053E5A">
    <w:pPr>
      <w:pStyle w:val="Header"/>
      <w:jc w:val="right"/>
      <w:rPr>
        <w:sz w:val="20"/>
        <w:szCs w:val="20"/>
        <w:lang w:val="fr-FR"/>
      </w:rPr>
    </w:pPr>
    <w:r w:rsidRPr="009A0AE9">
      <w:rPr>
        <w:noProof/>
        <w:sz w:val="20"/>
        <w:szCs w:val="20"/>
        <w:lang w:val="da-DK" w:eastAsia="da-DK"/>
      </w:rPr>
      <w:drawing>
        <wp:anchor distT="0" distB="0" distL="114300" distR="114300" simplePos="0" relativeHeight="251656704" behindDoc="0" locked="0" layoutInCell="1" allowOverlap="1" wp14:anchorId="02E62A2D" wp14:editId="02E62A2E">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9A0AE9">
      <w:rPr>
        <w:noProof/>
        <w:sz w:val="20"/>
        <w:szCs w:val="20"/>
        <w:lang w:val="da-DK" w:eastAsia="da-DK"/>
      </w:rPr>
      <w:drawing>
        <wp:anchor distT="0" distB="0" distL="114300" distR="114300" simplePos="0" relativeHeight="251655680" behindDoc="0" locked="0" layoutInCell="1" allowOverlap="1" wp14:anchorId="02E62A2F" wp14:editId="02E62A30">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nsid w:val="09D73AD5"/>
    <w:multiLevelType w:val="hybridMultilevel"/>
    <w:tmpl w:val="5720FA0C"/>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nsid w:val="10E54C4B"/>
    <w:multiLevelType w:val="hybridMultilevel"/>
    <w:tmpl w:val="466E6DB6"/>
    <w:lvl w:ilvl="0" w:tplc="DDB051C6">
      <w:numFmt w:val="bullet"/>
      <w:lvlText w:val="-"/>
      <w:lvlJc w:val="left"/>
      <w:pPr>
        <w:ind w:left="720" w:hanging="360"/>
      </w:pPr>
      <w:rPr>
        <w:rFonts w:ascii="Arial" w:eastAsia="Times New Roman" w:hAnsi="Arial" w:cs="Aria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3C929CB"/>
    <w:multiLevelType w:val="hybridMultilevel"/>
    <w:tmpl w:val="F91C6A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43E3746"/>
    <w:multiLevelType w:val="hybridMultilevel"/>
    <w:tmpl w:val="8EF4CC94"/>
    <w:lvl w:ilvl="0" w:tplc="5F84D014">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9">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89475B3"/>
    <w:multiLevelType w:val="hybridMultilevel"/>
    <w:tmpl w:val="0EC0547A"/>
    <w:lvl w:ilvl="0" w:tplc="4398AB74">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4">
    <w:nsid w:val="33533432"/>
    <w:multiLevelType w:val="hybridMultilevel"/>
    <w:tmpl w:val="0AA4A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D8104D9"/>
    <w:multiLevelType w:val="hybridMultilevel"/>
    <w:tmpl w:val="867E2126"/>
    <w:lvl w:ilvl="0" w:tplc="1C8A6162">
      <w:start w:val="1"/>
      <w:numFmt w:val="bullet"/>
      <w:lvlText w:val=""/>
      <w:lvlJc w:val="left"/>
      <w:pPr>
        <w:ind w:left="1440" w:hanging="360"/>
      </w:pPr>
      <w:rPr>
        <w:rFonts w:ascii="Wingdings" w:hAnsi="Wingdings" w:hint="default"/>
        <w:color w:val="D2232A"/>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5">
    <w:nsid w:val="665D3DE1"/>
    <w:multiLevelType w:val="hybridMultilevel"/>
    <w:tmpl w:val="51A82D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6862471E"/>
    <w:multiLevelType w:val="hybridMultilevel"/>
    <w:tmpl w:val="15C4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8">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9">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707767BF"/>
    <w:multiLevelType w:val="multilevel"/>
    <w:tmpl w:val="7060B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18E2162"/>
    <w:multiLevelType w:val="hybridMultilevel"/>
    <w:tmpl w:val="39EA1C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9726986"/>
    <w:multiLevelType w:val="hybridMultilevel"/>
    <w:tmpl w:val="853CCBFA"/>
    <w:lvl w:ilvl="0" w:tplc="DDB051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7E28291B"/>
    <w:multiLevelType w:val="hybridMultilevel"/>
    <w:tmpl w:val="4364BEE2"/>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1"/>
  </w:num>
  <w:num w:numId="4">
    <w:abstractNumId w:val="9"/>
  </w:num>
  <w:num w:numId="5">
    <w:abstractNumId w:val="24"/>
  </w:num>
  <w:num w:numId="6">
    <w:abstractNumId w:val="15"/>
  </w:num>
  <w:num w:numId="7">
    <w:abstractNumId w:val="13"/>
  </w:num>
  <w:num w:numId="8">
    <w:abstractNumId w:val="20"/>
  </w:num>
  <w:num w:numId="9">
    <w:abstractNumId w:val="19"/>
  </w:num>
  <w:num w:numId="10">
    <w:abstractNumId w:val="16"/>
  </w:num>
  <w:num w:numId="11">
    <w:abstractNumId w:val="20"/>
    <w:lvlOverride w:ilvl="0">
      <w:startOverride w:val="1"/>
    </w:lvlOverride>
  </w:num>
  <w:num w:numId="12">
    <w:abstractNumId w:val="8"/>
  </w:num>
  <w:num w:numId="13">
    <w:abstractNumId w:val="6"/>
  </w:num>
  <w:num w:numId="14">
    <w:abstractNumId w:val="28"/>
  </w:num>
  <w:num w:numId="15">
    <w:abstractNumId w:val="2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29"/>
  </w:num>
  <w:num w:numId="20">
    <w:abstractNumId w:val="17"/>
  </w:num>
  <w:num w:numId="21">
    <w:abstractNumId w:val="34"/>
  </w:num>
  <w:num w:numId="22">
    <w:abstractNumId w:val="36"/>
  </w:num>
  <w:num w:numId="23">
    <w:abstractNumId w:val="2"/>
  </w:num>
  <w:num w:numId="24">
    <w:abstractNumId w:val="7"/>
  </w:num>
  <w:num w:numId="25">
    <w:abstractNumId w:val="4"/>
  </w:num>
  <w:num w:numId="26">
    <w:abstractNumId w:val="0"/>
  </w:num>
  <w:num w:numId="27">
    <w:abstractNumId w:val="30"/>
  </w:num>
  <w:num w:numId="28">
    <w:abstractNumId w:val="23"/>
  </w:num>
  <w:num w:numId="29">
    <w:abstractNumId w:val="31"/>
  </w:num>
  <w:num w:numId="30">
    <w:abstractNumId w:val="10"/>
  </w:num>
  <w:num w:numId="31">
    <w:abstractNumId w:val="14"/>
  </w:num>
  <w:num w:numId="32">
    <w:abstractNumId w:val="25"/>
  </w:num>
  <w:num w:numId="33">
    <w:abstractNumId w:val="32"/>
  </w:num>
  <w:num w:numId="34">
    <w:abstractNumId w:val="5"/>
  </w:num>
  <w:num w:numId="35">
    <w:abstractNumId w:val="3"/>
  </w:num>
  <w:num w:numId="36">
    <w:abstractNumId w:val="1"/>
  </w:num>
  <w:num w:numId="37">
    <w:abstractNumId w:val="22"/>
  </w:num>
  <w:num w:numId="38">
    <w:abstractNumId w:val="33"/>
  </w:num>
  <w:num w:numId="39">
    <w:abstractNumId w:val="33"/>
  </w:num>
  <w:num w:numId="40">
    <w:abstractNumId w:val="26"/>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0241">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01"/>
    <w:rsid w:val="000003FE"/>
    <w:rsid w:val="00017371"/>
    <w:rsid w:val="00020F59"/>
    <w:rsid w:val="00031379"/>
    <w:rsid w:val="00046177"/>
    <w:rsid w:val="000534DB"/>
    <w:rsid w:val="00053E5A"/>
    <w:rsid w:val="00072B81"/>
    <w:rsid w:val="00073352"/>
    <w:rsid w:val="00074FA3"/>
    <w:rsid w:val="0008007B"/>
    <w:rsid w:val="000914A0"/>
    <w:rsid w:val="00093581"/>
    <w:rsid w:val="00097007"/>
    <w:rsid w:val="000A3CCC"/>
    <w:rsid w:val="000A631D"/>
    <w:rsid w:val="000B7BE3"/>
    <w:rsid w:val="000C08CD"/>
    <w:rsid w:val="000C183F"/>
    <w:rsid w:val="000D0B1C"/>
    <w:rsid w:val="000D2182"/>
    <w:rsid w:val="000D261C"/>
    <w:rsid w:val="000D5FF5"/>
    <w:rsid w:val="000F1705"/>
    <w:rsid w:val="000F3919"/>
    <w:rsid w:val="000F5871"/>
    <w:rsid w:val="001002CE"/>
    <w:rsid w:val="00114C9E"/>
    <w:rsid w:val="00122E71"/>
    <w:rsid w:val="001307EE"/>
    <w:rsid w:val="00130FD6"/>
    <w:rsid w:val="0013619B"/>
    <w:rsid w:val="00141977"/>
    <w:rsid w:val="00160F5E"/>
    <w:rsid w:val="00161162"/>
    <w:rsid w:val="00164A41"/>
    <w:rsid w:val="00170A82"/>
    <w:rsid w:val="00185E1E"/>
    <w:rsid w:val="0019031C"/>
    <w:rsid w:val="001B410F"/>
    <w:rsid w:val="001C46EA"/>
    <w:rsid w:val="001D6781"/>
    <w:rsid w:val="001D76F7"/>
    <w:rsid w:val="001E0C8D"/>
    <w:rsid w:val="001E6687"/>
    <w:rsid w:val="001F16E0"/>
    <w:rsid w:val="001F7A22"/>
    <w:rsid w:val="002016E6"/>
    <w:rsid w:val="0021360B"/>
    <w:rsid w:val="00225394"/>
    <w:rsid w:val="002257D3"/>
    <w:rsid w:val="0023018A"/>
    <w:rsid w:val="002373A3"/>
    <w:rsid w:val="0025108B"/>
    <w:rsid w:val="00260686"/>
    <w:rsid w:val="002608E6"/>
    <w:rsid w:val="00266D8A"/>
    <w:rsid w:val="002741A5"/>
    <w:rsid w:val="00276C55"/>
    <w:rsid w:val="00277C8D"/>
    <w:rsid w:val="00293B4B"/>
    <w:rsid w:val="002979B1"/>
    <w:rsid w:val="0030198C"/>
    <w:rsid w:val="00301FF6"/>
    <w:rsid w:val="0032059A"/>
    <w:rsid w:val="00330F45"/>
    <w:rsid w:val="00342CDE"/>
    <w:rsid w:val="00361108"/>
    <w:rsid w:val="00366CAD"/>
    <w:rsid w:val="00374E62"/>
    <w:rsid w:val="00375941"/>
    <w:rsid w:val="003817A6"/>
    <w:rsid w:val="003A3F65"/>
    <w:rsid w:val="003A6EFD"/>
    <w:rsid w:val="003B5FCE"/>
    <w:rsid w:val="003B7D86"/>
    <w:rsid w:val="003D42C6"/>
    <w:rsid w:val="003D7403"/>
    <w:rsid w:val="003F09D0"/>
    <w:rsid w:val="003F7529"/>
    <w:rsid w:val="004065A4"/>
    <w:rsid w:val="00411B37"/>
    <w:rsid w:val="00412E32"/>
    <w:rsid w:val="0041678C"/>
    <w:rsid w:val="00416C77"/>
    <w:rsid w:val="0041711F"/>
    <w:rsid w:val="00417525"/>
    <w:rsid w:val="0044625F"/>
    <w:rsid w:val="00453B37"/>
    <w:rsid w:val="0045633D"/>
    <w:rsid w:val="00472490"/>
    <w:rsid w:val="00473985"/>
    <w:rsid w:val="004A0391"/>
    <w:rsid w:val="004C730D"/>
    <w:rsid w:val="004C74F9"/>
    <w:rsid w:val="004D3521"/>
    <w:rsid w:val="004D4301"/>
    <w:rsid w:val="004E3C8B"/>
    <w:rsid w:val="00500CBF"/>
    <w:rsid w:val="00513280"/>
    <w:rsid w:val="00521F11"/>
    <w:rsid w:val="00525E43"/>
    <w:rsid w:val="00540D14"/>
    <w:rsid w:val="005430AD"/>
    <w:rsid w:val="005454DC"/>
    <w:rsid w:val="00552E88"/>
    <w:rsid w:val="005652FF"/>
    <w:rsid w:val="0059726F"/>
    <w:rsid w:val="005A5737"/>
    <w:rsid w:val="005B0860"/>
    <w:rsid w:val="005B26B4"/>
    <w:rsid w:val="005B4FD3"/>
    <w:rsid w:val="005D5D03"/>
    <w:rsid w:val="005E0823"/>
    <w:rsid w:val="005E5254"/>
    <w:rsid w:val="005F77DE"/>
    <w:rsid w:val="005F7AD5"/>
    <w:rsid w:val="00605302"/>
    <w:rsid w:val="00617C6E"/>
    <w:rsid w:val="00622DDB"/>
    <w:rsid w:val="00623D64"/>
    <w:rsid w:val="00624611"/>
    <w:rsid w:val="00627686"/>
    <w:rsid w:val="006346E0"/>
    <w:rsid w:val="00636506"/>
    <w:rsid w:val="006516B0"/>
    <w:rsid w:val="006679D9"/>
    <w:rsid w:val="006C03D0"/>
    <w:rsid w:val="006D06C7"/>
    <w:rsid w:val="006D06E9"/>
    <w:rsid w:val="006D0D27"/>
    <w:rsid w:val="006E01B8"/>
    <w:rsid w:val="006E4D34"/>
    <w:rsid w:val="00700267"/>
    <w:rsid w:val="0070052E"/>
    <w:rsid w:val="00713DBA"/>
    <w:rsid w:val="007312DD"/>
    <w:rsid w:val="00737D08"/>
    <w:rsid w:val="00742C3B"/>
    <w:rsid w:val="007456E2"/>
    <w:rsid w:val="00747893"/>
    <w:rsid w:val="00750866"/>
    <w:rsid w:val="00750E64"/>
    <w:rsid w:val="00763E77"/>
    <w:rsid w:val="00791259"/>
    <w:rsid w:val="00795970"/>
    <w:rsid w:val="007B6999"/>
    <w:rsid w:val="007C6571"/>
    <w:rsid w:val="007D2B3F"/>
    <w:rsid w:val="007D4FDC"/>
    <w:rsid w:val="007E0C26"/>
    <w:rsid w:val="007E23E4"/>
    <w:rsid w:val="007F4D6A"/>
    <w:rsid w:val="007F6C14"/>
    <w:rsid w:val="008059DA"/>
    <w:rsid w:val="00812D6D"/>
    <w:rsid w:val="00820A5A"/>
    <w:rsid w:val="008332D2"/>
    <w:rsid w:val="0084279B"/>
    <w:rsid w:val="00862721"/>
    <w:rsid w:val="00871506"/>
    <w:rsid w:val="0089479C"/>
    <w:rsid w:val="008954BE"/>
    <w:rsid w:val="008E13F7"/>
    <w:rsid w:val="00907A2B"/>
    <w:rsid w:val="0091152F"/>
    <w:rsid w:val="00917D97"/>
    <w:rsid w:val="00922B22"/>
    <w:rsid w:val="009258D5"/>
    <w:rsid w:val="00926001"/>
    <w:rsid w:val="00932756"/>
    <w:rsid w:val="00944116"/>
    <w:rsid w:val="009606AE"/>
    <w:rsid w:val="00973531"/>
    <w:rsid w:val="00982AC5"/>
    <w:rsid w:val="00986DC3"/>
    <w:rsid w:val="009945C5"/>
    <w:rsid w:val="00994FBA"/>
    <w:rsid w:val="00995E96"/>
    <w:rsid w:val="00996C92"/>
    <w:rsid w:val="009A0AE9"/>
    <w:rsid w:val="009A3DD8"/>
    <w:rsid w:val="009A7FC6"/>
    <w:rsid w:val="009B4418"/>
    <w:rsid w:val="009B5E58"/>
    <w:rsid w:val="009C0832"/>
    <w:rsid w:val="009D12F6"/>
    <w:rsid w:val="009D3D8F"/>
    <w:rsid w:val="009F2F36"/>
    <w:rsid w:val="00A00C06"/>
    <w:rsid w:val="00A0296F"/>
    <w:rsid w:val="00A10D2C"/>
    <w:rsid w:val="00A113E9"/>
    <w:rsid w:val="00A1353F"/>
    <w:rsid w:val="00A40937"/>
    <w:rsid w:val="00A41673"/>
    <w:rsid w:val="00A509E2"/>
    <w:rsid w:val="00A54698"/>
    <w:rsid w:val="00A60337"/>
    <w:rsid w:val="00A60A8F"/>
    <w:rsid w:val="00A6582F"/>
    <w:rsid w:val="00A74223"/>
    <w:rsid w:val="00A77C01"/>
    <w:rsid w:val="00A8085A"/>
    <w:rsid w:val="00A817C9"/>
    <w:rsid w:val="00AA228C"/>
    <w:rsid w:val="00AA5CDD"/>
    <w:rsid w:val="00AD222D"/>
    <w:rsid w:val="00AD24BD"/>
    <w:rsid w:val="00AE0667"/>
    <w:rsid w:val="00AE625A"/>
    <w:rsid w:val="00AE7FCA"/>
    <w:rsid w:val="00AF564B"/>
    <w:rsid w:val="00AF5B5C"/>
    <w:rsid w:val="00B00A9E"/>
    <w:rsid w:val="00B03382"/>
    <w:rsid w:val="00B152ED"/>
    <w:rsid w:val="00B23041"/>
    <w:rsid w:val="00B37219"/>
    <w:rsid w:val="00B456C6"/>
    <w:rsid w:val="00B55143"/>
    <w:rsid w:val="00B56007"/>
    <w:rsid w:val="00B57164"/>
    <w:rsid w:val="00B721B6"/>
    <w:rsid w:val="00B95CD6"/>
    <w:rsid w:val="00B95CDC"/>
    <w:rsid w:val="00B96B03"/>
    <w:rsid w:val="00BB38C2"/>
    <w:rsid w:val="00BE5877"/>
    <w:rsid w:val="00BE69DA"/>
    <w:rsid w:val="00BF3F02"/>
    <w:rsid w:val="00C04C4C"/>
    <w:rsid w:val="00C04DBC"/>
    <w:rsid w:val="00C1340F"/>
    <w:rsid w:val="00C164C2"/>
    <w:rsid w:val="00C16F92"/>
    <w:rsid w:val="00C307FC"/>
    <w:rsid w:val="00C30FA0"/>
    <w:rsid w:val="00C47340"/>
    <w:rsid w:val="00C51C78"/>
    <w:rsid w:val="00C55995"/>
    <w:rsid w:val="00C57E5C"/>
    <w:rsid w:val="00C64D00"/>
    <w:rsid w:val="00C665E0"/>
    <w:rsid w:val="00C74366"/>
    <w:rsid w:val="00C82EDE"/>
    <w:rsid w:val="00C920B0"/>
    <w:rsid w:val="00CB1268"/>
    <w:rsid w:val="00CB1B3F"/>
    <w:rsid w:val="00CB3491"/>
    <w:rsid w:val="00CD0739"/>
    <w:rsid w:val="00CD2130"/>
    <w:rsid w:val="00CD33ED"/>
    <w:rsid w:val="00D07834"/>
    <w:rsid w:val="00D15C2E"/>
    <w:rsid w:val="00D240F9"/>
    <w:rsid w:val="00D40B45"/>
    <w:rsid w:val="00D4519A"/>
    <w:rsid w:val="00D4648C"/>
    <w:rsid w:val="00D5335E"/>
    <w:rsid w:val="00D65B23"/>
    <w:rsid w:val="00D74EA3"/>
    <w:rsid w:val="00D90B0A"/>
    <w:rsid w:val="00D97BDB"/>
    <w:rsid w:val="00DA090D"/>
    <w:rsid w:val="00DA68F9"/>
    <w:rsid w:val="00DC0568"/>
    <w:rsid w:val="00DC55A7"/>
    <w:rsid w:val="00DE5D43"/>
    <w:rsid w:val="00DE5DA3"/>
    <w:rsid w:val="00DF0857"/>
    <w:rsid w:val="00DF33F3"/>
    <w:rsid w:val="00E03E49"/>
    <w:rsid w:val="00E143AE"/>
    <w:rsid w:val="00E16596"/>
    <w:rsid w:val="00E25C9E"/>
    <w:rsid w:val="00E40690"/>
    <w:rsid w:val="00E52762"/>
    <w:rsid w:val="00E65E22"/>
    <w:rsid w:val="00E663AF"/>
    <w:rsid w:val="00E70012"/>
    <w:rsid w:val="00E729B2"/>
    <w:rsid w:val="00E73D39"/>
    <w:rsid w:val="00E7615F"/>
    <w:rsid w:val="00E90222"/>
    <w:rsid w:val="00E921C2"/>
    <w:rsid w:val="00E930AE"/>
    <w:rsid w:val="00EA37EB"/>
    <w:rsid w:val="00EC4AF3"/>
    <w:rsid w:val="00EC67F6"/>
    <w:rsid w:val="00EE0297"/>
    <w:rsid w:val="00EE4203"/>
    <w:rsid w:val="00EF0568"/>
    <w:rsid w:val="00EF1CC3"/>
    <w:rsid w:val="00EF1DFF"/>
    <w:rsid w:val="00EF598B"/>
    <w:rsid w:val="00F02531"/>
    <w:rsid w:val="00F02CBA"/>
    <w:rsid w:val="00F177F1"/>
    <w:rsid w:val="00F24C18"/>
    <w:rsid w:val="00F2755F"/>
    <w:rsid w:val="00F32EE8"/>
    <w:rsid w:val="00F34CA7"/>
    <w:rsid w:val="00F35E83"/>
    <w:rsid w:val="00F500EC"/>
    <w:rsid w:val="00F54C04"/>
    <w:rsid w:val="00F77708"/>
    <w:rsid w:val="00F8607B"/>
    <w:rsid w:val="00FA0B81"/>
    <w:rsid w:val="00FA4704"/>
    <w:rsid w:val="00FA772B"/>
    <w:rsid w:val="00FB2BC7"/>
    <w:rsid w:val="00FC5329"/>
    <w:rsid w:val="00FD5CD1"/>
    <w:rsid w:val="00FD5D6E"/>
    <w:rsid w:val="00FF417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41">
      <o:colormru v:ext="edit" colors="#7b6c58,#887e6e,#d2232a,#57433e,#b0a696"/>
    </o:shapedefaults>
    <o:shapelayout v:ext="edit">
      <o:idmap v:ext="edit" data="1"/>
    </o:shapelayout>
  </w:shapeDefaults>
  <w:decimalSymbol w:val=","/>
  <w:listSeparator w:val=";"/>
  <w14:docId w14:val="02E6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rsid w:val="008935B9"/>
    <w:rPr>
      <w:szCs w:val="20"/>
    </w:rPr>
  </w:style>
  <w:style w:type="character" w:styleId="FootnoteReference">
    <w:name w:val="footnote reference"/>
    <w:aliases w:val="Fussnotenzeichen,Appel note de bas de p,Footnote Reference/,Footnote"/>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E65E22"/>
    <w:pPr>
      <w:autoSpaceDE w:val="0"/>
      <w:autoSpaceDN w:val="0"/>
      <w:spacing w:after="120"/>
    </w:pPr>
    <w:rPr>
      <w:rFonts w:ascii="Times New Roman" w:hAnsi="Times New Roman"/>
      <w:sz w:val="24"/>
      <w:lang w:val="en-GB" w:eastAsia="nl-NL"/>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rsid w:val="00D07834"/>
    <w:rPr>
      <w:rFonts w:ascii="Arial" w:hAnsi="Arial"/>
      <w:lang w:val="en-US"/>
    </w:rPr>
  </w:style>
  <w:style w:type="character" w:styleId="CommentReference">
    <w:name w:val="annotation reference"/>
    <w:rsid w:val="00D07834"/>
    <w:rPr>
      <w:sz w:val="16"/>
      <w:szCs w:val="16"/>
    </w:rPr>
  </w:style>
  <w:style w:type="paragraph" w:styleId="CommentText">
    <w:name w:val="annotation text"/>
    <w:basedOn w:val="Normal"/>
    <w:link w:val="CommentTextChar"/>
    <w:rsid w:val="00D07834"/>
    <w:pPr>
      <w:spacing w:after="120"/>
      <w:jc w:val="both"/>
    </w:pPr>
    <w:rPr>
      <w:szCs w:val="20"/>
      <w:lang w:val="nb-NO" w:eastAsia="de-DE"/>
    </w:rPr>
  </w:style>
  <w:style w:type="character" w:customStyle="1" w:styleId="CommentTextChar">
    <w:name w:val="Comment Text Char"/>
    <w:basedOn w:val="DefaultParagraphFont"/>
    <w:link w:val="CommentText"/>
    <w:rsid w:val="00D07834"/>
    <w:rPr>
      <w:rFonts w:ascii="Arial" w:hAnsi="Arial"/>
      <w:lang w:val="nb-NO" w:eastAsia="de-DE"/>
    </w:rPr>
  </w:style>
  <w:style w:type="paragraph" w:styleId="CommentSubject">
    <w:name w:val="annotation subject"/>
    <w:basedOn w:val="CommentText"/>
    <w:next w:val="CommentText"/>
    <w:link w:val="CommentSubjectChar"/>
    <w:uiPriority w:val="99"/>
    <w:semiHidden/>
    <w:unhideWhenUsed/>
    <w:rsid w:val="006D0D27"/>
    <w:pPr>
      <w:spacing w:after="0"/>
      <w:jc w:val="left"/>
    </w:pPr>
    <w:rPr>
      <w:b/>
      <w:bCs/>
      <w:lang w:val="en-US" w:eastAsia="en-US"/>
    </w:rPr>
  </w:style>
  <w:style w:type="character" w:customStyle="1" w:styleId="CommentSubjectChar">
    <w:name w:val="Comment Subject Char"/>
    <w:basedOn w:val="CommentTextChar"/>
    <w:link w:val="CommentSubject"/>
    <w:uiPriority w:val="99"/>
    <w:semiHidden/>
    <w:rsid w:val="006D0D27"/>
    <w:rPr>
      <w:rFonts w:ascii="Arial" w:hAnsi="Arial"/>
      <w:b/>
      <w:bCs/>
      <w:lang w:val="en-US" w:eastAsia="de-DE"/>
    </w:rPr>
  </w:style>
  <w:style w:type="paragraph" w:styleId="Revision">
    <w:name w:val="Revision"/>
    <w:hidden/>
    <w:uiPriority w:val="99"/>
    <w:semiHidden/>
    <w:rsid w:val="006D0D27"/>
    <w:rPr>
      <w:rFonts w:ascii="Arial" w:hAnsi="Arial"/>
      <w:szCs w:val="24"/>
      <w:lang w:val="en-US"/>
    </w:rPr>
  </w:style>
  <w:style w:type="paragraph" w:styleId="Title">
    <w:name w:val="Title"/>
    <w:basedOn w:val="Normal"/>
    <w:link w:val="TitleChar"/>
    <w:qFormat/>
    <w:rsid w:val="0045633D"/>
    <w:pPr>
      <w:spacing w:after="120"/>
      <w:jc w:val="center"/>
    </w:pPr>
    <w:rPr>
      <w:b/>
      <w:sz w:val="28"/>
      <w:szCs w:val="20"/>
      <w:lang w:val="de-DE" w:eastAsia="de-DE"/>
    </w:rPr>
  </w:style>
  <w:style w:type="character" w:customStyle="1" w:styleId="TitleChar">
    <w:name w:val="Title Char"/>
    <w:basedOn w:val="DefaultParagraphFont"/>
    <w:link w:val="Title"/>
    <w:rsid w:val="0045633D"/>
    <w:rPr>
      <w:rFonts w:ascii="Arial" w:hAnsi="Arial"/>
      <w:b/>
      <w:sz w:val="28"/>
      <w:lang w:val="de-DE" w:eastAsia="de-DE"/>
    </w:rPr>
  </w:style>
  <w:style w:type="paragraph" w:styleId="Caption">
    <w:name w:val="caption"/>
    <w:aliases w:val="Ca,ECC Caption"/>
    <w:basedOn w:val="Normal"/>
    <w:next w:val="Normal"/>
    <w:link w:val="CaptionChar"/>
    <w:qFormat/>
    <w:rsid w:val="0045633D"/>
    <w:pPr>
      <w:spacing w:after="120"/>
      <w:jc w:val="both"/>
    </w:pPr>
    <w:rPr>
      <w:b/>
      <w:bCs/>
      <w:szCs w:val="20"/>
      <w:lang w:val="nb-NO" w:eastAsia="de-DE"/>
    </w:rPr>
  </w:style>
  <w:style w:type="character" w:customStyle="1" w:styleId="CaptionChar">
    <w:name w:val="Caption Char"/>
    <w:aliases w:val="Ca Char,ECC Caption Char"/>
    <w:link w:val="Caption"/>
    <w:rsid w:val="0045633D"/>
    <w:rPr>
      <w:rFonts w:ascii="Arial" w:hAnsi="Arial"/>
      <w:b/>
      <w:bCs/>
      <w:lang w:val="nb-NO" w:eastAsia="de-DE"/>
    </w:rPr>
  </w:style>
  <w:style w:type="paragraph" w:customStyle="1" w:styleId="ECCTableHeaderwhitefont">
    <w:name w:val="ECC Table Header white font"/>
    <w:qFormat/>
    <w:rsid w:val="00F77708"/>
    <w:pPr>
      <w:spacing w:before="240" w:after="60"/>
      <w:jc w:val="center"/>
    </w:pPr>
    <w:rPr>
      <w:rFonts w:ascii="Arial" w:eastAsia="Calibri" w:hAnsi="Arial"/>
      <w:bCs/>
      <w:color w:val="FFFFFF" w:themeColor="background1"/>
      <w:lang w:eastAsia="de-DE"/>
    </w:rPr>
  </w:style>
  <w:style w:type="table" w:customStyle="1" w:styleId="ECCTable-redheader">
    <w:name w:val="ECC Table - red header"/>
    <w:basedOn w:val="TableNormal"/>
    <w:uiPriority w:val="99"/>
    <w:rsid w:val="00F77708"/>
    <w:pPr>
      <w:spacing w:before="60" w:after="60"/>
      <w:jc w:val="both"/>
    </w:pPr>
    <w:rPr>
      <w:rFonts w:ascii="Arial" w:eastAsia="Calibri" w:hAnsi="Arial"/>
      <w:lang w:val="de-DE" w:eastAsia="de-DE"/>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Reference">
    <w:name w:val="ECC Reference"/>
    <w:basedOn w:val="Normal"/>
    <w:rsid w:val="003F09D0"/>
    <w:pPr>
      <w:tabs>
        <w:tab w:val="num" w:pos="397"/>
      </w:tabs>
      <w:ind w:left="397" w:hanging="397"/>
      <w:jc w:val="both"/>
    </w:pPr>
    <w:rPr>
      <w:rFonts w:eastAsia="Calibri"/>
      <w:szCs w:val="22"/>
      <w:lang w:val="en-GB" w:eastAsia="ja-JP"/>
    </w:rPr>
  </w:style>
  <w:style w:type="character" w:customStyle="1" w:styleId="HeaderChar">
    <w:name w:val="Header Char"/>
    <w:basedOn w:val="DefaultParagraphFont"/>
    <w:link w:val="Header"/>
    <w:uiPriority w:val="99"/>
    <w:rsid w:val="00E921C2"/>
    <w:rPr>
      <w:rFonts w:ascii="Arial" w:hAnsi="Arial"/>
      <w:b/>
      <w:sz w:val="16"/>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rsid w:val="008935B9"/>
    <w:rPr>
      <w:szCs w:val="20"/>
    </w:rPr>
  </w:style>
  <w:style w:type="character" w:styleId="FootnoteReference">
    <w:name w:val="footnote reference"/>
    <w:aliases w:val="Fussnotenzeichen,Appel note de bas de p,Footnote Reference/,Footnote"/>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E65E22"/>
    <w:pPr>
      <w:autoSpaceDE w:val="0"/>
      <w:autoSpaceDN w:val="0"/>
      <w:spacing w:after="120"/>
    </w:pPr>
    <w:rPr>
      <w:rFonts w:ascii="Times New Roman" w:hAnsi="Times New Roman"/>
      <w:sz w:val="24"/>
      <w:lang w:val="en-GB" w:eastAsia="nl-NL"/>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rsid w:val="00D07834"/>
    <w:rPr>
      <w:rFonts w:ascii="Arial" w:hAnsi="Arial"/>
      <w:lang w:val="en-US"/>
    </w:rPr>
  </w:style>
  <w:style w:type="character" w:styleId="CommentReference">
    <w:name w:val="annotation reference"/>
    <w:rsid w:val="00D07834"/>
    <w:rPr>
      <w:sz w:val="16"/>
      <w:szCs w:val="16"/>
    </w:rPr>
  </w:style>
  <w:style w:type="paragraph" w:styleId="CommentText">
    <w:name w:val="annotation text"/>
    <w:basedOn w:val="Normal"/>
    <w:link w:val="CommentTextChar"/>
    <w:rsid w:val="00D07834"/>
    <w:pPr>
      <w:spacing w:after="120"/>
      <w:jc w:val="both"/>
    </w:pPr>
    <w:rPr>
      <w:szCs w:val="20"/>
      <w:lang w:val="nb-NO" w:eastAsia="de-DE"/>
    </w:rPr>
  </w:style>
  <w:style w:type="character" w:customStyle="1" w:styleId="CommentTextChar">
    <w:name w:val="Comment Text Char"/>
    <w:basedOn w:val="DefaultParagraphFont"/>
    <w:link w:val="CommentText"/>
    <w:rsid w:val="00D07834"/>
    <w:rPr>
      <w:rFonts w:ascii="Arial" w:hAnsi="Arial"/>
      <w:lang w:val="nb-NO" w:eastAsia="de-DE"/>
    </w:rPr>
  </w:style>
  <w:style w:type="paragraph" w:styleId="CommentSubject">
    <w:name w:val="annotation subject"/>
    <w:basedOn w:val="CommentText"/>
    <w:next w:val="CommentText"/>
    <w:link w:val="CommentSubjectChar"/>
    <w:uiPriority w:val="99"/>
    <w:semiHidden/>
    <w:unhideWhenUsed/>
    <w:rsid w:val="006D0D27"/>
    <w:pPr>
      <w:spacing w:after="0"/>
      <w:jc w:val="left"/>
    </w:pPr>
    <w:rPr>
      <w:b/>
      <w:bCs/>
      <w:lang w:val="en-US" w:eastAsia="en-US"/>
    </w:rPr>
  </w:style>
  <w:style w:type="character" w:customStyle="1" w:styleId="CommentSubjectChar">
    <w:name w:val="Comment Subject Char"/>
    <w:basedOn w:val="CommentTextChar"/>
    <w:link w:val="CommentSubject"/>
    <w:uiPriority w:val="99"/>
    <w:semiHidden/>
    <w:rsid w:val="006D0D27"/>
    <w:rPr>
      <w:rFonts w:ascii="Arial" w:hAnsi="Arial"/>
      <w:b/>
      <w:bCs/>
      <w:lang w:val="en-US" w:eastAsia="de-DE"/>
    </w:rPr>
  </w:style>
  <w:style w:type="paragraph" w:styleId="Revision">
    <w:name w:val="Revision"/>
    <w:hidden/>
    <w:uiPriority w:val="99"/>
    <w:semiHidden/>
    <w:rsid w:val="006D0D27"/>
    <w:rPr>
      <w:rFonts w:ascii="Arial" w:hAnsi="Arial"/>
      <w:szCs w:val="24"/>
      <w:lang w:val="en-US"/>
    </w:rPr>
  </w:style>
  <w:style w:type="paragraph" w:styleId="Title">
    <w:name w:val="Title"/>
    <w:basedOn w:val="Normal"/>
    <w:link w:val="TitleChar"/>
    <w:qFormat/>
    <w:rsid w:val="0045633D"/>
    <w:pPr>
      <w:spacing w:after="120"/>
      <w:jc w:val="center"/>
    </w:pPr>
    <w:rPr>
      <w:b/>
      <w:sz w:val="28"/>
      <w:szCs w:val="20"/>
      <w:lang w:val="de-DE" w:eastAsia="de-DE"/>
    </w:rPr>
  </w:style>
  <w:style w:type="character" w:customStyle="1" w:styleId="TitleChar">
    <w:name w:val="Title Char"/>
    <w:basedOn w:val="DefaultParagraphFont"/>
    <w:link w:val="Title"/>
    <w:rsid w:val="0045633D"/>
    <w:rPr>
      <w:rFonts w:ascii="Arial" w:hAnsi="Arial"/>
      <w:b/>
      <w:sz w:val="28"/>
      <w:lang w:val="de-DE" w:eastAsia="de-DE"/>
    </w:rPr>
  </w:style>
  <w:style w:type="paragraph" w:styleId="Caption">
    <w:name w:val="caption"/>
    <w:aliases w:val="Ca,ECC Caption"/>
    <w:basedOn w:val="Normal"/>
    <w:next w:val="Normal"/>
    <w:link w:val="CaptionChar"/>
    <w:qFormat/>
    <w:rsid w:val="0045633D"/>
    <w:pPr>
      <w:spacing w:after="120"/>
      <w:jc w:val="both"/>
    </w:pPr>
    <w:rPr>
      <w:b/>
      <w:bCs/>
      <w:szCs w:val="20"/>
      <w:lang w:val="nb-NO" w:eastAsia="de-DE"/>
    </w:rPr>
  </w:style>
  <w:style w:type="character" w:customStyle="1" w:styleId="CaptionChar">
    <w:name w:val="Caption Char"/>
    <w:aliases w:val="Ca Char,ECC Caption Char"/>
    <w:link w:val="Caption"/>
    <w:rsid w:val="0045633D"/>
    <w:rPr>
      <w:rFonts w:ascii="Arial" w:hAnsi="Arial"/>
      <w:b/>
      <w:bCs/>
      <w:lang w:val="nb-NO" w:eastAsia="de-DE"/>
    </w:rPr>
  </w:style>
  <w:style w:type="paragraph" w:customStyle="1" w:styleId="ECCTableHeaderwhitefont">
    <w:name w:val="ECC Table Header white font"/>
    <w:qFormat/>
    <w:rsid w:val="00F77708"/>
    <w:pPr>
      <w:spacing w:before="240" w:after="60"/>
      <w:jc w:val="center"/>
    </w:pPr>
    <w:rPr>
      <w:rFonts w:ascii="Arial" w:eastAsia="Calibri" w:hAnsi="Arial"/>
      <w:bCs/>
      <w:color w:val="FFFFFF" w:themeColor="background1"/>
      <w:lang w:eastAsia="de-DE"/>
    </w:rPr>
  </w:style>
  <w:style w:type="table" w:customStyle="1" w:styleId="ECCTable-redheader">
    <w:name w:val="ECC Table - red header"/>
    <w:basedOn w:val="TableNormal"/>
    <w:uiPriority w:val="99"/>
    <w:rsid w:val="00F77708"/>
    <w:pPr>
      <w:spacing w:before="60" w:after="60"/>
      <w:jc w:val="both"/>
    </w:pPr>
    <w:rPr>
      <w:rFonts w:ascii="Arial" w:eastAsia="Calibri" w:hAnsi="Arial"/>
      <w:lang w:val="de-DE" w:eastAsia="de-DE"/>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Reference">
    <w:name w:val="ECC Reference"/>
    <w:basedOn w:val="Normal"/>
    <w:rsid w:val="003F09D0"/>
    <w:pPr>
      <w:tabs>
        <w:tab w:val="num" w:pos="397"/>
      </w:tabs>
      <w:ind w:left="397" w:hanging="397"/>
      <w:jc w:val="both"/>
    </w:pPr>
    <w:rPr>
      <w:rFonts w:eastAsia="Calibri"/>
      <w:szCs w:val="22"/>
      <w:lang w:val="en-GB" w:eastAsia="ja-JP"/>
    </w:rPr>
  </w:style>
  <w:style w:type="character" w:customStyle="1" w:styleId="HeaderChar">
    <w:name w:val="Header Char"/>
    <w:basedOn w:val="DefaultParagraphFont"/>
    <w:link w:val="Header"/>
    <w:uiPriority w:val="99"/>
    <w:rsid w:val="00E921C2"/>
    <w:rPr>
      <w:rFonts w:ascii="Arial" w:hAnsi="Arial"/>
      <w:b/>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40366">
      <w:bodyDiv w:val="1"/>
      <w:marLeft w:val="0"/>
      <w:marRight w:val="0"/>
      <w:marTop w:val="0"/>
      <w:marBottom w:val="0"/>
      <w:divBdr>
        <w:top w:val="none" w:sz="0" w:space="0" w:color="auto"/>
        <w:left w:val="none" w:sz="0" w:space="0" w:color="auto"/>
        <w:bottom w:val="none" w:sz="0" w:space="0" w:color="auto"/>
        <w:right w:val="none" w:sz="0" w:space="0" w:color="auto"/>
      </w:divBdr>
    </w:div>
    <w:div w:id="836767494">
      <w:bodyDiv w:val="1"/>
      <w:marLeft w:val="0"/>
      <w:marRight w:val="0"/>
      <w:marTop w:val="0"/>
      <w:marBottom w:val="0"/>
      <w:divBdr>
        <w:top w:val="none" w:sz="0" w:space="0" w:color="auto"/>
        <w:left w:val="none" w:sz="0" w:space="0" w:color="auto"/>
        <w:bottom w:val="none" w:sz="0" w:space="0" w:color="auto"/>
        <w:right w:val="none" w:sz="0" w:space="0" w:color="auto"/>
      </w:divBdr>
    </w:div>
    <w:div w:id="1484850708">
      <w:bodyDiv w:val="1"/>
      <w:marLeft w:val="0"/>
      <w:marRight w:val="0"/>
      <w:marTop w:val="0"/>
      <w:marBottom w:val="0"/>
      <w:divBdr>
        <w:top w:val="none" w:sz="0" w:space="0" w:color="auto"/>
        <w:left w:val="none" w:sz="0" w:space="0" w:color="auto"/>
        <w:bottom w:val="none" w:sz="0" w:space="0" w:color="auto"/>
        <w:right w:val="none" w:sz="0" w:space="0" w:color="auto"/>
      </w:divBdr>
    </w:div>
    <w:div w:id="183437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0A595-F52C-4B99-9D6F-72F5A166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2821</Words>
  <Characters>17211</Characters>
  <Application>Microsoft Office Word</Application>
  <DocSecurity>0</DocSecurity>
  <Lines>143</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ANFR</Company>
  <LinksUpToDate>false</LinksUpToDate>
  <CharactersWithSpaces>19993</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Faris</dc:creator>
  <cp:lastModifiedBy>Anne-Dorthe Hjelm Christensen</cp:lastModifiedBy>
  <cp:revision>4</cp:revision>
  <dcterms:created xsi:type="dcterms:W3CDTF">2018-03-05T08:40:00Z</dcterms:created>
  <dcterms:modified xsi:type="dcterms:W3CDTF">2018-03-05T08:42:00Z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