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01" w:rsidRPr="00754E3E" w:rsidRDefault="00694F01" w:rsidP="002762C8">
      <w:pPr>
        <w:spacing w:before="600" w:after="480"/>
        <w:jc w:val="center"/>
        <w:rPr>
          <w:rFonts w:ascii="Arial" w:hAnsi="Arial" w:cs="Arial"/>
          <w:b/>
          <w:sz w:val="20"/>
          <w:szCs w:val="20"/>
          <w:u w:val="single"/>
        </w:rPr>
      </w:pPr>
      <w:r w:rsidRPr="00754E3E">
        <w:rPr>
          <w:rFonts w:ascii="Arial" w:hAnsi="Arial" w:cs="Arial"/>
          <w:b/>
          <w:sz w:val="20"/>
          <w:szCs w:val="20"/>
          <w:u w:val="single"/>
        </w:rPr>
        <w:t>RIS implementation of ECC</w:t>
      </w:r>
      <w:r w:rsidR="00754E3E" w:rsidRPr="00754E3E">
        <w:rPr>
          <w:rFonts w:ascii="Arial" w:hAnsi="Arial" w:cs="Arial"/>
          <w:b/>
          <w:sz w:val="20"/>
          <w:szCs w:val="20"/>
          <w:u w:val="single"/>
        </w:rPr>
        <w:t>/DEC</w:t>
      </w:r>
      <w:proofErr w:type="gramStart"/>
      <w:r w:rsidR="00754E3E" w:rsidRPr="00754E3E">
        <w:rPr>
          <w:rFonts w:ascii="Arial" w:hAnsi="Arial" w:cs="Arial"/>
          <w:b/>
          <w:sz w:val="20"/>
          <w:szCs w:val="20"/>
          <w:u w:val="single"/>
        </w:rPr>
        <w:t>/(</w:t>
      </w:r>
      <w:proofErr w:type="gramEnd"/>
      <w:r w:rsidR="00754E3E" w:rsidRPr="00754E3E">
        <w:rPr>
          <w:rFonts w:ascii="Arial" w:hAnsi="Arial" w:cs="Arial"/>
          <w:b/>
          <w:sz w:val="20"/>
          <w:szCs w:val="20"/>
          <w:u w:val="single"/>
        </w:rPr>
        <w:t>1</w:t>
      </w:r>
      <w:r w:rsidR="00F23A9E">
        <w:rPr>
          <w:rFonts w:ascii="Arial" w:hAnsi="Arial" w:cs="Arial"/>
          <w:b/>
          <w:sz w:val="20"/>
          <w:szCs w:val="20"/>
          <w:u w:val="single"/>
        </w:rPr>
        <w:t>4</w:t>
      </w:r>
      <w:r w:rsidR="00754E3E" w:rsidRPr="00754E3E">
        <w:rPr>
          <w:rFonts w:ascii="Arial" w:hAnsi="Arial" w:cs="Arial"/>
          <w:b/>
          <w:sz w:val="20"/>
          <w:szCs w:val="20"/>
          <w:u w:val="single"/>
        </w:rPr>
        <w:t>)0</w:t>
      </w:r>
      <w:r w:rsidR="00F23A9E">
        <w:rPr>
          <w:rFonts w:ascii="Arial" w:hAnsi="Arial" w:cs="Arial"/>
          <w:b/>
          <w:sz w:val="20"/>
          <w:szCs w:val="20"/>
          <w:u w:val="single"/>
        </w:rPr>
        <w:t>2</w:t>
      </w:r>
      <w:r w:rsidR="00754E3E" w:rsidRPr="00754E3E">
        <w:rPr>
          <w:rFonts w:ascii="Arial" w:hAnsi="Arial" w:cs="Arial"/>
          <w:b/>
          <w:sz w:val="20"/>
          <w:szCs w:val="20"/>
          <w:u w:val="single"/>
        </w:rPr>
        <w:t xml:space="preserve"> </w:t>
      </w:r>
      <w:r w:rsidR="007646C3" w:rsidRPr="00754E3E">
        <w:rPr>
          <w:rFonts w:ascii="Arial" w:hAnsi="Arial" w:cs="Arial"/>
          <w:b/>
          <w:sz w:val="20"/>
          <w:szCs w:val="20"/>
          <w:u w:val="single"/>
          <w:lang w:val="en-US"/>
        </w:rPr>
        <w:t xml:space="preserve">the </w:t>
      </w:r>
      <w:proofErr w:type="spellStart"/>
      <w:r w:rsidR="00F23A9E" w:rsidRPr="00F23A9E">
        <w:rPr>
          <w:rFonts w:ascii="Arial" w:hAnsi="Arial" w:cs="Arial"/>
          <w:b/>
          <w:sz w:val="20"/>
          <w:szCs w:val="20"/>
          <w:u w:val="single"/>
          <w:lang w:val="en-US"/>
        </w:rPr>
        <w:t>Harmonised</w:t>
      </w:r>
      <w:proofErr w:type="spellEnd"/>
      <w:r w:rsidR="00F23A9E" w:rsidRPr="00F23A9E">
        <w:rPr>
          <w:rFonts w:ascii="Arial" w:hAnsi="Arial" w:cs="Arial"/>
          <w:b/>
          <w:sz w:val="20"/>
          <w:szCs w:val="20"/>
          <w:u w:val="single"/>
          <w:lang w:val="en-US"/>
        </w:rPr>
        <w:t xml:space="preserve"> technical and regulatory conditions for the use of the band 2300-2400 MHz for Mobile/Fixed Communications Networks (MFCN)</w:t>
      </w:r>
    </w:p>
    <w:p w:rsidR="00694F01" w:rsidRPr="00754E3E" w:rsidRDefault="00694F01" w:rsidP="00694F01">
      <w:pPr>
        <w:jc w:val="both"/>
        <w:rPr>
          <w:rFonts w:ascii="Arial" w:hAnsi="Arial" w:cs="Arial"/>
          <w:sz w:val="20"/>
          <w:szCs w:val="20"/>
          <w:u w:val="single"/>
        </w:rPr>
      </w:pPr>
      <w:r w:rsidRPr="00754E3E">
        <w:rPr>
          <w:rFonts w:ascii="Arial" w:hAnsi="Arial" w:cs="Arial"/>
          <w:sz w:val="20"/>
          <w:szCs w:val="20"/>
          <w:u w:val="single"/>
        </w:rPr>
        <w:t>Foreword</w:t>
      </w:r>
    </w:p>
    <w:p w:rsidR="00694F01" w:rsidRPr="00754E3E" w:rsidRDefault="00694F01" w:rsidP="00694F01">
      <w:pPr>
        <w:jc w:val="both"/>
        <w:rPr>
          <w:rFonts w:ascii="Arial" w:hAnsi="Arial" w:cs="Arial"/>
          <w:sz w:val="20"/>
          <w:szCs w:val="20"/>
        </w:rPr>
      </w:pPr>
    </w:p>
    <w:p w:rsidR="00694F01" w:rsidRPr="00754E3E" w:rsidRDefault="00694F01" w:rsidP="00694F01">
      <w:pPr>
        <w:jc w:val="both"/>
        <w:rPr>
          <w:rFonts w:ascii="Arial" w:hAnsi="Arial" w:cs="Arial"/>
          <w:sz w:val="20"/>
          <w:szCs w:val="20"/>
        </w:rPr>
      </w:pPr>
      <w:r w:rsidRPr="00754E3E">
        <w:rPr>
          <w:rFonts w:ascii="Arial" w:hAnsi="Arial" w:cs="Arial"/>
          <w:sz w:val="20"/>
          <w:szCs w:val="20"/>
        </w:rPr>
        <w:t>The ECC has decided that RIS implementations of ECC deliverables should be uploaded to the ECO website in order to help administrations fill out the EFIS database.</w:t>
      </w:r>
    </w:p>
    <w:p w:rsidR="00694F01" w:rsidRPr="00754E3E" w:rsidRDefault="00694F01" w:rsidP="00694F01">
      <w:pPr>
        <w:jc w:val="both"/>
        <w:rPr>
          <w:rFonts w:ascii="Arial" w:hAnsi="Arial" w:cs="Arial"/>
          <w:sz w:val="20"/>
          <w:szCs w:val="20"/>
        </w:rPr>
      </w:pPr>
    </w:p>
    <w:p w:rsidR="00694F01" w:rsidRPr="002762C8" w:rsidRDefault="00694F01" w:rsidP="002762C8">
      <w:pPr>
        <w:rPr>
          <w:rFonts w:ascii="Arial" w:hAnsi="Arial" w:cs="Arial"/>
          <w:sz w:val="20"/>
          <w:szCs w:val="20"/>
        </w:rPr>
      </w:pPr>
      <w:r w:rsidRPr="00754E3E">
        <w:rPr>
          <w:rFonts w:ascii="Arial" w:hAnsi="Arial" w:cs="Arial"/>
          <w:sz w:val="20"/>
          <w:szCs w:val="20"/>
        </w:rPr>
        <w:t xml:space="preserve">This RIS implementation is limited </w:t>
      </w:r>
      <w:r w:rsidRPr="002762C8">
        <w:rPr>
          <w:rFonts w:ascii="Arial" w:hAnsi="Arial" w:cs="Arial"/>
          <w:sz w:val="20"/>
          <w:szCs w:val="20"/>
        </w:rPr>
        <w:t>to</w:t>
      </w:r>
      <w:r w:rsidR="002762C8" w:rsidRPr="002762C8">
        <w:rPr>
          <w:rFonts w:ascii="Arial" w:hAnsi="Arial" w:cs="Arial"/>
          <w:sz w:val="20"/>
          <w:szCs w:val="20"/>
        </w:rPr>
        <w:t xml:space="preserve"> </w:t>
      </w:r>
      <w:proofErr w:type="spellStart"/>
      <w:r w:rsidR="002762C8" w:rsidRPr="002762C8">
        <w:rPr>
          <w:rFonts w:ascii="Arial" w:hAnsi="Arial" w:cs="Arial"/>
          <w:sz w:val="20"/>
          <w:szCs w:val="20"/>
          <w:lang w:val="en-US"/>
        </w:rPr>
        <w:t>harmoni</w:t>
      </w:r>
      <w:r w:rsidR="005F5B01">
        <w:rPr>
          <w:rFonts w:ascii="Arial" w:hAnsi="Arial" w:cs="Arial"/>
          <w:sz w:val="20"/>
          <w:szCs w:val="20"/>
          <w:lang w:val="en-US"/>
        </w:rPr>
        <w:t>s</w:t>
      </w:r>
      <w:r w:rsidR="002762C8" w:rsidRPr="002762C8">
        <w:rPr>
          <w:rFonts w:ascii="Arial" w:hAnsi="Arial" w:cs="Arial"/>
          <w:sz w:val="20"/>
          <w:szCs w:val="20"/>
          <w:lang w:val="en-US"/>
        </w:rPr>
        <w:t>ed</w:t>
      </w:r>
      <w:proofErr w:type="spellEnd"/>
      <w:r w:rsidR="002762C8" w:rsidRPr="002762C8">
        <w:rPr>
          <w:rFonts w:ascii="Arial" w:hAnsi="Arial" w:cs="Arial"/>
          <w:sz w:val="20"/>
          <w:szCs w:val="20"/>
          <w:lang w:val="en-US"/>
        </w:rPr>
        <w:t xml:space="preserve"> frequency arrangements for MFCN in the </w:t>
      </w:r>
      <w:r w:rsidR="00F23A9E" w:rsidRPr="00F23A9E">
        <w:rPr>
          <w:rFonts w:ascii="Arial" w:hAnsi="Arial" w:cs="Arial"/>
          <w:sz w:val="20"/>
          <w:szCs w:val="20"/>
          <w:lang w:val="en-US"/>
        </w:rPr>
        <w:t>2300-2400 MHz</w:t>
      </w:r>
      <w:r w:rsidR="002762C8" w:rsidRPr="002762C8">
        <w:rPr>
          <w:rFonts w:ascii="Arial" w:hAnsi="Arial" w:cs="Arial"/>
          <w:sz w:val="20"/>
          <w:szCs w:val="20"/>
          <w:lang w:val="en-US"/>
        </w:rPr>
        <w:t xml:space="preserve"> bands </w:t>
      </w:r>
    </w:p>
    <w:p w:rsidR="00694F01" w:rsidRDefault="00694F01" w:rsidP="00694F01">
      <w:pPr>
        <w:jc w:val="both"/>
        <w:rPr>
          <w:rFonts w:ascii="Calibri" w:hAnsi="Calibri" w:cs="Tahoma"/>
          <w:b/>
        </w:rPr>
      </w:pPr>
    </w:p>
    <w:p w:rsidR="00694F01" w:rsidRDefault="00694F01" w:rsidP="00694F01">
      <w:pPr>
        <w:rPr>
          <w:rFonts w:ascii="Calibri" w:hAnsi="Calibri" w:cs="Tahoma"/>
        </w:rPr>
        <w:sectPr w:rsidR="00694F01">
          <w:headerReference w:type="default" r:id="rId9"/>
          <w:pgSz w:w="11906" w:h="16838"/>
          <w:pgMar w:top="1135" w:right="1418" w:bottom="1078" w:left="1276" w:header="709" w:footer="434" w:gutter="0"/>
          <w:cols w:space="708"/>
        </w:sectPr>
      </w:pPr>
    </w:p>
    <w:p w:rsidR="00754E3E" w:rsidRPr="005144CE" w:rsidRDefault="00694F01" w:rsidP="00754E3E">
      <w:pPr>
        <w:jc w:val="center"/>
        <w:rPr>
          <w:rFonts w:ascii="Arial" w:hAnsi="Arial" w:cs="Arial"/>
          <w:b/>
          <w:sz w:val="20"/>
          <w:szCs w:val="20"/>
          <w:lang w:val="en-US"/>
        </w:rPr>
      </w:pPr>
      <w:r w:rsidRPr="005144CE">
        <w:rPr>
          <w:rFonts w:ascii="Arial" w:hAnsi="Arial" w:cs="Arial"/>
          <w:b/>
          <w:sz w:val="20"/>
          <w:szCs w:val="20"/>
        </w:rPr>
        <w:lastRenderedPageBreak/>
        <w:t xml:space="preserve">RIG II Template for </w:t>
      </w:r>
      <w:r w:rsidR="007646C3" w:rsidRPr="005144CE">
        <w:rPr>
          <w:rFonts w:ascii="Arial" w:hAnsi="Arial" w:cs="Arial"/>
          <w:b/>
          <w:sz w:val="20"/>
          <w:szCs w:val="20"/>
          <w:lang w:val="en-US"/>
        </w:rPr>
        <w:t xml:space="preserve">the harmonized frequency arrangements for MFCN in the </w:t>
      </w:r>
      <w:r w:rsidR="00F23A9E" w:rsidRPr="00F23A9E">
        <w:rPr>
          <w:rFonts w:ascii="Arial" w:hAnsi="Arial" w:cs="Arial"/>
          <w:b/>
          <w:sz w:val="20"/>
          <w:szCs w:val="20"/>
          <w:lang w:val="en-US"/>
        </w:rPr>
        <w:t>2300-2400 MHz</w:t>
      </w:r>
      <w:r w:rsidR="007646C3" w:rsidRPr="005144CE">
        <w:rPr>
          <w:rFonts w:ascii="Arial" w:hAnsi="Arial" w:cs="Arial"/>
          <w:b/>
          <w:sz w:val="20"/>
          <w:szCs w:val="20"/>
          <w:lang w:val="en-US"/>
        </w:rPr>
        <w:t xml:space="preserve"> </w:t>
      </w:r>
      <w:proofErr w:type="spellStart"/>
      <w:r w:rsidR="007646C3" w:rsidRPr="005144CE">
        <w:rPr>
          <w:rFonts w:ascii="Arial" w:hAnsi="Arial" w:cs="Arial"/>
          <w:b/>
          <w:sz w:val="20"/>
          <w:szCs w:val="20"/>
          <w:lang w:val="en-US"/>
        </w:rPr>
        <w:t>MHz</w:t>
      </w:r>
      <w:proofErr w:type="spellEnd"/>
      <w:r w:rsidR="007646C3" w:rsidRPr="005144CE">
        <w:rPr>
          <w:rFonts w:ascii="Arial" w:hAnsi="Arial" w:cs="Arial"/>
          <w:b/>
          <w:sz w:val="20"/>
          <w:szCs w:val="20"/>
          <w:lang w:val="en-US"/>
        </w:rPr>
        <w:t xml:space="preserve"> bands</w:t>
      </w:r>
    </w:p>
    <w:p w:rsidR="00694F01" w:rsidRPr="005144CE" w:rsidRDefault="00694F01" w:rsidP="00754E3E">
      <w:pPr>
        <w:jc w:val="center"/>
        <w:rPr>
          <w:rFonts w:ascii="Arial" w:hAnsi="Arial" w:cs="Arial"/>
          <w:b/>
          <w:sz w:val="20"/>
          <w:szCs w:val="20"/>
        </w:rPr>
      </w:pPr>
      <w:r w:rsidRPr="005144CE">
        <w:rPr>
          <w:rFonts w:ascii="Arial" w:hAnsi="Arial" w:cs="Arial"/>
          <w:b/>
          <w:sz w:val="20"/>
          <w:szCs w:val="20"/>
        </w:rPr>
        <w:t>Radio Interface Notification by an administration</w:t>
      </w:r>
    </w:p>
    <w:p w:rsidR="00694F01" w:rsidRPr="005144CE" w:rsidRDefault="00694F01" w:rsidP="00694F01">
      <w:pPr>
        <w:rPr>
          <w:rFonts w:ascii="Arial" w:hAnsi="Arial" w:cs="Arial"/>
          <w:sz w:val="20"/>
          <w:szCs w:val="20"/>
        </w:rPr>
      </w:pPr>
    </w:p>
    <w:p w:rsidR="00694F01" w:rsidRPr="005144CE" w:rsidRDefault="00694F01" w:rsidP="00694F01">
      <w:pPr>
        <w:jc w:val="both"/>
        <w:rPr>
          <w:rFonts w:ascii="Arial" w:hAnsi="Arial" w:cs="Arial"/>
          <w:b/>
          <w:bCs/>
          <w:sz w:val="20"/>
          <w:szCs w:val="20"/>
        </w:rPr>
      </w:pPr>
    </w:p>
    <w:p w:rsidR="00694F01" w:rsidRPr="005144CE" w:rsidRDefault="00694F01" w:rsidP="00694F01">
      <w:pPr>
        <w:rPr>
          <w:rFonts w:ascii="Arial" w:hAnsi="Arial" w:cs="Arial"/>
          <w:b/>
          <w:bCs/>
          <w:sz w:val="20"/>
          <w:szCs w:val="20"/>
        </w:rPr>
      </w:pPr>
      <w:r w:rsidRPr="005144CE">
        <w:rPr>
          <w:rFonts w:ascii="Arial" w:hAnsi="Arial" w:cs="Arial"/>
          <w:b/>
          <w:bCs/>
          <w:sz w:val="20"/>
          <w:szCs w:val="20"/>
        </w:rPr>
        <w:t>Normative part</w:t>
      </w:r>
    </w:p>
    <w:p w:rsidR="00694F01" w:rsidRPr="005144CE" w:rsidRDefault="00694F01" w:rsidP="00694F01">
      <w:pPr>
        <w:rPr>
          <w:rFonts w:ascii="Arial" w:hAnsi="Arial" w:cs="Arial"/>
          <w:bCs/>
          <w:sz w:val="20"/>
          <w:szCs w:val="20"/>
          <w:lang w:val="fr-CH"/>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387"/>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Description</w:t>
            </w:r>
          </w:p>
        </w:tc>
        <w:tc>
          <w:tcPr>
            <w:tcW w:w="5387"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117"/>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Radiocommunication</w:t>
            </w:r>
            <w:r w:rsidRPr="005144CE">
              <w:rPr>
                <w:rFonts w:ascii="Arial" w:hAnsi="Arial" w:cs="Arial"/>
                <w:b/>
                <w:bCs/>
                <w:sz w:val="20"/>
                <w:szCs w:val="20"/>
              </w:rPr>
              <w:br/>
              <w:t>Service</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Mobile Service, Fixed Service</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2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2</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Application</w:t>
            </w:r>
          </w:p>
          <w:p w:rsidR="00694F01" w:rsidRPr="005144CE" w:rsidRDefault="00694F01" w:rsidP="00110003">
            <w:pPr>
              <w:spacing w:before="100" w:after="100"/>
              <w:rPr>
                <w:rFonts w:ascii="Arial" w:hAnsi="Arial" w:cs="Arial"/>
                <w:sz w:val="20"/>
                <w:szCs w:val="20"/>
                <w:u w:val="single"/>
              </w:rPr>
            </w:pP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Mobile/fixed communications networks (MFCN)</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235"/>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3</w:t>
            </w:r>
          </w:p>
        </w:tc>
        <w:tc>
          <w:tcPr>
            <w:tcW w:w="2409" w:type="dxa"/>
          </w:tcPr>
          <w:p w:rsidR="00694F01" w:rsidRPr="005144CE" w:rsidRDefault="00694F01" w:rsidP="00754E3E">
            <w:pPr>
              <w:spacing w:before="60" w:after="100"/>
              <w:rPr>
                <w:rFonts w:ascii="Arial" w:hAnsi="Arial" w:cs="Arial"/>
                <w:b/>
                <w:bCs/>
                <w:sz w:val="20"/>
                <w:szCs w:val="20"/>
              </w:rPr>
            </w:pPr>
            <w:r w:rsidRPr="005144CE">
              <w:rPr>
                <w:rFonts w:ascii="Arial" w:hAnsi="Arial" w:cs="Arial"/>
                <w:b/>
                <w:bCs/>
                <w:sz w:val="20"/>
                <w:szCs w:val="20"/>
              </w:rPr>
              <w:t>Frequency band</w:t>
            </w:r>
          </w:p>
          <w:p w:rsidR="00694F01" w:rsidRPr="005144CE" w:rsidRDefault="00694F01" w:rsidP="00754E3E">
            <w:pPr>
              <w:spacing w:before="60" w:after="100"/>
              <w:rPr>
                <w:rFonts w:ascii="Arial" w:hAnsi="Arial" w:cs="Arial"/>
                <w:sz w:val="20"/>
                <w:szCs w:val="20"/>
                <w:u w:val="single"/>
              </w:rPr>
            </w:pPr>
          </w:p>
        </w:tc>
        <w:tc>
          <w:tcPr>
            <w:tcW w:w="5670" w:type="dxa"/>
          </w:tcPr>
          <w:p w:rsidR="00694F01" w:rsidRPr="005144CE" w:rsidRDefault="00F23A9E" w:rsidP="00754E3E">
            <w:pPr>
              <w:spacing w:before="60" w:after="60"/>
              <w:rPr>
                <w:rFonts w:ascii="Arial" w:hAnsi="Arial" w:cs="Arial"/>
                <w:sz w:val="20"/>
                <w:szCs w:val="20"/>
              </w:rPr>
            </w:pPr>
            <w:r w:rsidRPr="00F23A9E">
              <w:rPr>
                <w:rFonts w:ascii="Arial" w:hAnsi="Arial" w:cs="Arial"/>
                <w:sz w:val="20"/>
                <w:szCs w:val="20"/>
              </w:rPr>
              <w:t>2300-2400 MHz</w:t>
            </w:r>
          </w:p>
        </w:tc>
        <w:tc>
          <w:tcPr>
            <w:tcW w:w="5387" w:type="dxa"/>
          </w:tcPr>
          <w:p w:rsidR="00694F01" w:rsidRDefault="00F23A9E" w:rsidP="00F23A9E">
            <w:pPr>
              <w:spacing w:before="60"/>
              <w:rPr>
                <w:rFonts w:ascii="Arial" w:hAnsi="Arial" w:cs="Arial"/>
                <w:sz w:val="20"/>
                <w:szCs w:val="20"/>
              </w:rPr>
            </w:pPr>
            <w:r>
              <w:rPr>
                <w:rFonts w:ascii="Arial" w:hAnsi="Arial" w:cs="Arial"/>
                <w:sz w:val="20"/>
                <w:szCs w:val="20"/>
              </w:rPr>
              <w:t>T</w:t>
            </w:r>
            <w:r w:rsidRPr="00F23A9E">
              <w:rPr>
                <w:rFonts w:ascii="Arial" w:hAnsi="Arial" w:cs="Arial"/>
                <w:sz w:val="20"/>
                <w:szCs w:val="20"/>
              </w:rPr>
              <w:t xml:space="preserve">he harmonised </w:t>
            </w:r>
            <w:r>
              <w:rPr>
                <w:rFonts w:ascii="Arial" w:hAnsi="Arial" w:cs="Arial"/>
                <w:sz w:val="20"/>
                <w:szCs w:val="20"/>
              </w:rPr>
              <w:t xml:space="preserve">TDD </w:t>
            </w:r>
            <w:r w:rsidRPr="00F23A9E">
              <w:rPr>
                <w:rFonts w:ascii="Arial" w:hAnsi="Arial" w:cs="Arial"/>
                <w:sz w:val="20"/>
                <w:szCs w:val="20"/>
              </w:rPr>
              <w:t>frequency arrangement is given in Annex 1</w:t>
            </w:r>
            <w:r>
              <w:rPr>
                <w:rFonts w:ascii="Arial" w:hAnsi="Arial" w:cs="Arial"/>
                <w:sz w:val="20"/>
                <w:szCs w:val="20"/>
              </w:rPr>
              <w:t xml:space="preserve"> of ECC/</w:t>
            </w:r>
            <w:proofErr w:type="gramStart"/>
            <w:r>
              <w:rPr>
                <w:rFonts w:ascii="Arial" w:hAnsi="Arial" w:cs="Arial"/>
                <w:sz w:val="20"/>
                <w:szCs w:val="20"/>
              </w:rPr>
              <w:t>DEC(</w:t>
            </w:r>
            <w:proofErr w:type="gramEnd"/>
            <w:r>
              <w:rPr>
                <w:rFonts w:ascii="Arial" w:hAnsi="Arial" w:cs="Arial"/>
                <w:sz w:val="20"/>
                <w:szCs w:val="20"/>
              </w:rPr>
              <w:t xml:space="preserve">14)02 and the </w:t>
            </w:r>
            <w:r w:rsidRPr="00F23A9E">
              <w:rPr>
                <w:rFonts w:ascii="Arial" w:hAnsi="Arial" w:cs="Arial"/>
                <w:sz w:val="20"/>
                <w:szCs w:val="20"/>
              </w:rPr>
              <w:t>least restrictive technical conditions (LRTC) are specified in Annex 2</w:t>
            </w:r>
            <w:r>
              <w:rPr>
                <w:rFonts w:ascii="Arial" w:hAnsi="Arial" w:cs="Arial"/>
                <w:sz w:val="20"/>
                <w:szCs w:val="20"/>
              </w:rPr>
              <w:t xml:space="preserve"> of ECC/DEC(14)02.</w:t>
            </w:r>
          </w:p>
          <w:p w:rsidR="00F23A9E" w:rsidRPr="005144CE" w:rsidRDefault="00F23A9E" w:rsidP="00F23A9E">
            <w:pPr>
              <w:spacing w:before="60"/>
              <w:rPr>
                <w:rFonts w:ascii="Arial" w:hAnsi="Arial" w:cs="Arial"/>
                <w:sz w:val="20"/>
                <w:szCs w:val="20"/>
              </w:rPr>
            </w:pPr>
            <w:r w:rsidRPr="00F23A9E">
              <w:rPr>
                <w:rFonts w:ascii="Arial" w:hAnsi="Arial" w:cs="Arial"/>
                <w:sz w:val="20"/>
                <w:szCs w:val="20"/>
              </w:rPr>
              <w:t>Annex 3</w:t>
            </w:r>
            <w:r>
              <w:rPr>
                <w:rFonts w:ascii="Arial" w:hAnsi="Arial" w:cs="Arial"/>
                <w:sz w:val="20"/>
                <w:szCs w:val="20"/>
              </w:rPr>
              <w:t xml:space="preserve"> of ECC/DEC(14)02 provides appropriate </w:t>
            </w:r>
            <w:r w:rsidRPr="00F23A9E">
              <w:rPr>
                <w:rFonts w:ascii="Arial" w:hAnsi="Arial" w:cs="Arial"/>
                <w:sz w:val="20"/>
                <w:szCs w:val="20"/>
              </w:rPr>
              <w:t>sharing framework</w:t>
            </w:r>
            <w:r>
              <w:rPr>
                <w:rFonts w:ascii="Arial" w:hAnsi="Arial" w:cs="Arial"/>
                <w:sz w:val="20"/>
                <w:szCs w:val="20"/>
              </w:rPr>
              <w:t xml:space="preserve"> to introduce </w:t>
            </w:r>
            <w:r w:rsidRPr="00F23A9E">
              <w:rPr>
                <w:rFonts w:ascii="Arial" w:hAnsi="Arial" w:cs="Arial"/>
                <w:sz w:val="20"/>
                <w:szCs w:val="20"/>
              </w:rPr>
              <w:t>MFCN in the band, and maintain the long term incumbent use of the band in their territory implementing Licensed Shared Access (LSA)</w:t>
            </w: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4</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Channelling</w:t>
            </w:r>
          </w:p>
          <w:p w:rsidR="00694F01" w:rsidRPr="005144CE" w:rsidRDefault="00694F01" w:rsidP="00110003">
            <w:pPr>
              <w:spacing w:before="100" w:after="100"/>
              <w:rPr>
                <w:rFonts w:ascii="Arial" w:hAnsi="Arial" w:cs="Arial"/>
                <w:sz w:val="20"/>
                <w:szCs w:val="20"/>
                <w:u w:val="single"/>
              </w:rPr>
            </w:pPr>
          </w:p>
        </w:tc>
        <w:tc>
          <w:tcPr>
            <w:tcW w:w="5670" w:type="dxa"/>
          </w:tcPr>
          <w:p w:rsidR="00694F01" w:rsidRPr="005144CE" w:rsidRDefault="00F23A9E" w:rsidP="00110003">
            <w:pPr>
              <w:spacing w:before="60" w:after="60"/>
              <w:rPr>
                <w:rFonts w:ascii="Arial" w:hAnsi="Arial" w:cs="Arial"/>
                <w:sz w:val="20"/>
                <w:szCs w:val="20"/>
                <w:lang w:val="en-US"/>
              </w:rPr>
            </w:pPr>
            <w:r w:rsidRPr="00F23A9E">
              <w:rPr>
                <w:rFonts w:ascii="Arial" w:hAnsi="Arial" w:cs="Arial"/>
                <w:sz w:val="20"/>
                <w:szCs w:val="20"/>
                <w:lang w:val="en-US"/>
              </w:rPr>
              <w:t>Frequency arrangement should</w:t>
            </w:r>
            <w:r>
              <w:rPr>
                <w:rFonts w:ascii="Arial" w:hAnsi="Arial" w:cs="Arial"/>
                <w:sz w:val="20"/>
                <w:szCs w:val="20"/>
                <w:lang w:val="en-US"/>
              </w:rPr>
              <w:t xml:space="preserve"> be based on 20 blocks of 5 MHz</w:t>
            </w:r>
          </w:p>
        </w:tc>
        <w:tc>
          <w:tcPr>
            <w:tcW w:w="5387" w:type="dxa"/>
          </w:tcPr>
          <w:p w:rsidR="00694F01" w:rsidRPr="005144CE" w:rsidRDefault="00F23A9E" w:rsidP="00110003">
            <w:pPr>
              <w:spacing w:before="60" w:after="60"/>
              <w:rPr>
                <w:rFonts w:ascii="Arial" w:hAnsi="Arial" w:cs="Arial"/>
                <w:sz w:val="20"/>
                <w:szCs w:val="20"/>
              </w:rPr>
            </w:pPr>
            <w:r w:rsidRPr="00F23A9E">
              <w:rPr>
                <w:rFonts w:ascii="Arial" w:hAnsi="Arial" w:cs="Arial"/>
                <w:sz w:val="20"/>
                <w:szCs w:val="20"/>
              </w:rPr>
              <w:t>An operator can aggregate several channels of 5 MHz to obtain a new channel.</w:t>
            </w: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5</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 xml:space="preserve">Modulation / </w:t>
            </w:r>
            <w:r w:rsidRPr="005144CE">
              <w:rPr>
                <w:rFonts w:ascii="Arial" w:hAnsi="Arial" w:cs="Arial"/>
                <w:b/>
                <w:bCs/>
                <w:sz w:val="20"/>
                <w:szCs w:val="20"/>
              </w:rPr>
              <w:br/>
              <w:t xml:space="preserve">Occupied bandwidth </w:t>
            </w:r>
          </w:p>
        </w:tc>
        <w:tc>
          <w:tcPr>
            <w:tcW w:w="5670" w:type="dxa"/>
          </w:tcPr>
          <w:p w:rsidR="00694F01" w:rsidRPr="005144CE" w:rsidRDefault="00694F01" w:rsidP="00110003">
            <w:pPr>
              <w:spacing w:before="60" w:after="60"/>
              <w:rPr>
                <w:rFonts w:ascii="Arial" w:hAnsi="Arial" w:cs="Arial"/>
                <w:sz w:val="20"/>
                <w:szCs w:val="20"/>
                <w:lang w:val="en-US"/>
              </w:rPr>
            </w:pPr>
            <w:r w:rsidRPr="005144CE">
              <w:rPr>
                <w:rFonts w:ascii="Arial" w:hAnsi="Arial" w:cs="Arial"/>
                <w:sz w:val="20"/>
                <w:szCs w:val="20"/>
                <w:lang w:val="en-US"/>
              </w:rPr>
              <w:t>Not specified</w:t>
            </w:r>
          </w:p>
        </w:tc>
        <w:tc>
          <w:tcPr>
            <w:tcW w:w="5387"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Technology neutral approach</w:t>
            </w:r>
          </w:p>
        </w:tc>
      </w:tr>
      <w:tr w:rsidR="00694F01" w:rsidRPr="005144CE" w:rsidTr="00110003">
        <w:trPr>
          <w:trHeight w:val="463"/>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6</w:t>
            </w:r>
          </w:p>
        </w:tc>
        <w:tc>
          <w:tcPr>
            <w:tcW w:w="2409" w:type="dxa"/>
          </w:tcPr>
          <w:p w:rsidR="00694F01" w:rsidRPr="005144CE" w:rsidRDefault="00694F01" w:rsidP="00110003">
            <w:pPr>
              <w:spacing w:before="100" w:after="100"/>
              <w:rPr>
                <w:rFonts w:ascii="Arial" w:hAnsi="Arial" w:cs="Arial"/>
                <w:sz w:val="20"/>
                <w:szCs w:val="20"/>
                <w:u w:val="single"/>
                <w:lang w:val="en-US"/>
              </w:rPr>
            </w:pPr>
            <w:r w:rsidRPr="005144CE">
              <w:rPr>
                <w:rFonts w:ascii="Arial" w:hAnsi="Arial" w:cs="Arial"/>
                <w:b/>
                <w:bCs/>
                <w:sz w:val="20"/>
                <w:szCs w:val="20"/>
                <w:lang w:val="en-US"/>
              </w:rPr>
              <w:t xml:space="preserve">Direction / </w:t>
            </w:r>
            <w:r w:rsidRPr="005144CE">
              <w:rPr>
                <w:rFonts w:ascii="Arial" w:hAnsi="Arial" w:cs="Arial"/>
                <w:b/>
                <w:bCs/>
                <w:sz w:val="20"/>
                <w:szCs w:val="20"/>
                <w:lang w:val="en-US"/>
              </w:rPr>
              <w:br/>
              <w:t>Separation</w:t>
            </w:r>
          </w:p>
        </w:tc>
        <w:tc>
          <w:tcPr>
            <w:tcW w:w="5670" w:type="dxa"/>
          </w:tcPr>
          <w:p w:rsidR="00694F01" w:rsidRPr="005144CE" w:rsidRDefault="00B93128" w:rsidP="00110003">
            <w:pPr>
              <w:spacing w:before="60" w:after="60"/>
              <w:rPr>
                <w:rFonts w:ascii="Arial" w:hAnsi="Arial" w:cs="Arial"/>
                <w:sz w:val="20"/>
                <w:szCs w:val="20"/>
              </w:rPr>
            </w:pPr>
            <w:r w:rsidRPr="005144CE">
              <w:rPr>
                <w:rFonts w:ascii="Arial" w:hAnsi="Arial" w:cs="Arial"/>
                <w:sz w:val="20"/>
                <w:szCs w:val="20"/>
              </w:rPr>
              <w:t xml:space="preserve">TDD: not applicable </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8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7</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Transmit power / Power density</w:t>
            </w:r>
          </w:p>
          <w:p w:rsidR="00694F01" w:rsidRPr="005144CE" w:rsidRDefault="00694F01" w:rsidP="00110003">
            <w:pPr>
              <w:spacing w:before="100" w:after="100"/>
              <w:rPr>
                <w:rFonts w:ascii="Arial" w:hAnsi="Arial" w:cs="Arial"/>
                <w:sz w:val="20"/>
                <w:szCs w:val="20"/>
                <w:u w:val="single"/>
              </w:rPr>
            </w:pPr>
          </w:p>
        </w:tc>
        <w:tc>
          <w:tcPr>
            <w:tcW w:w="5670" w:type="dxa"/>
          </w:tcPr>
          <w:p w:rsidR="00694F01" w:rsidRDefault="00694F01" w:rsidP="00110003">
            <w:pPr>
              <w:spacing w:before="60" w:after="60"/>
              <w:rPr>
                <w:rFonts w:ascii="Arial" w:hAnsi="Arial" w:cs="Arial"/>
                <w:sz w:val="20"/>
                <w:szCs w:val="20"/>
              </w:rPr>
            </w:pPr>
          </w:p>
          <w:p w:rsidR="00B93128" w:rsidRPr="00B93128" w:rsidRDefault="00B93128" w:rsidP="00B93128">
            <w:pPr>
              <w:spacing w:before="60" w:after="60"/>
              <w:rPr>
                <w:rFonts w:ascii="Arial" w:hAnsi="Arial" w:cs="Arial"/>
                <w:sz w:val="20"/>
                <w:szCs w:val="20"/>
              </w:rPr>
            </w:pPr>
            <w:r w:rsidRPr="00B93128">
              <w:rPr>
                <w:rFonts w:ascii="Arial" w:hAnsi="Arial" w:cs="Arial"/>
                <w:sz w:val="20"/>
                <w:szCs w:val="20"/>
              </w:rPr>
              <w:t>Base stations: regulated on a national basis</w:t>
            </w:r>
          </w:p>
          <w:p w:rsidR="00873602" w:rsidRDefault="00873602">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E02E2A" w:rsidRDefault="00E02E2A">
            <w:pPr>
              <w:spacing w:before="60" w:after="60"/>
              <w:rPr>
                <w:rFonts w:ascii="Arial" w:hAnsi="Arial" w:cs="Arial"/>
                <w:sz w:val="20"/>
                <w:szCs w:val="20"/>
              </w:rPr>
            </w:pPr>
          </w:p>
          <w:p w:rsidR="00B93128" w:rsidRPr="005144CE" w:rsidRDefault="00B93128">
            <w:pPr>
              <w:spacing w:before="60" w:after="60"/>
              <w:rPr>
                <w:rFonts w:ascii="Arial" w:hAnsi="Arial" w:cs="Arial"/>
                <w:sz w:val="20"/>
                <w:szCs w:val="20"/>
              </w:rPr>
            </w:pPr>
            <w:r w:rsidRPr="00E02E2A">
              <w:rPr>
                <w:rFonts w:ascii="Arial" w:hAnsi="Arial" w:cs="Arial"/>
                <w:sz w:val="20"/>
                <w:szCs w:val="20"/>
              </w:rPr>
              <w:t>User equipment: 25 dBm (recommended upper limit for the in-block power)</w:t>
            </w:r>
          </w:p>
        </w:tc>
        <w:tc>
          <w:tcPr>
            <w:tcW w:w="5387" w:type="dxa"/>
          </w:tcPr>
          <w:p w:rsidR="00F23A9E" w:rsidRDefault="00F23A9E" w:rsidP="00F23A9E">
            <w:pPr>
              <w:spacing w:before="60" w:after="60"/>
              <w:rPr>
                <w:rFonts w:ascii="Arial" w:hAnsi="Arial" w:cs="Arial"/>
                <w:sz w:val="20"/>
                <w:szCs w:val="20"/>
              </w:rPr>
            </w:pPr>
            <w:r w:rsidRPr="00F23A9E">
              <w:rPr>
                <w:rFonts w:ascii="Arial" w:hAnsi="Arial" w:cs="Arial"/>
                <w:sz w:val="20"/>
                <w:szCs w:val="20"/>
              </w:rPr>
              <w:t xml:space="preserve">In-block requirements for MFCN base stations </w:t>
            </w:r>
            <w:r>
              <w:rPr>
                <w:rFonts w:ascii="Arial" w:hAnsi="Arial" w:cs="Arial"/>
                <w:sz w:val="20"/>
                <w:szCs w:val="20"/>
              </w:rPr>
              <w:t>:</w:t>
            </w:r>
          </w:p>
          <w:p w:rsidR="00F23A9E" w:rsidRPr="005F5B01" w:rsidRDefault="00F23A9E" w:rsidP="005F5B01">
            <w:pPr>
              <w:pStyle w:val="ListParagraph"/>
              <w:numPr>
                <w:ilvl w:val="0"/>
                <w:numId w:val="18"/>
              </w:numPr>
              <w:spacing w:before="60" w:after="60"/>
              <w:rPr>
                <w:rFonts w:ascii="Arial" w:hAnsi="Arial" w:cs="Arial"/>
                <w:sz w:val="20"/>
                <w:szCs w:val="20"/>
                <w:lang w:val="en-US"/>
              </w:rPr>
            </w:pPr>
            <w:r w:rsidRPr="005F5B01">
              <w:rPr>
                <w:rFonts w:ascii="Arial" w:hAnsi="Arial" w:cs="Arial"/>
                <w:sz w:val="20"/>
                <w:szCs w:val="20"/>
                <w:lang w:val="en-US"/>
              </w:rPr>
              <w:t>2300-2390 MHz: An in-block e.i.r.p. limit is not obligatory. In case an upper limit is desired by an administration, a value which does not exceed 68 dBm / 5 MHz e.i.r.p. per antenna may be applied.</w:t>
            </w:r>
          </w:p>
          <w:p w:rsidR="00F23A9E" w:rsidRPr="005F5B01" w:rsidRDefault="00F23A9E" w:rsidP="005F5B01">
            <w:pPr>
              <w:pStyle w:val="ListParagraph"/>
              <w:numPr>
                <w:ilvl w:val="0"/>
                <w:numId w:val="18"/>
              </w:numPr>
              <w:spacing w:before="60" w:after="60"/>
              <w:rPr>
                <w:rFonts w:ascii="Arial" w:hAnsi="Arial" w:cs="Arial"/>
                <w:sz w:val="20"/>
                <w:szCs w:val="20"/>
                <w:lang w:val="en-US"/>
              </w:rPr>
            </w:pPr>
            <w:r w:rsidRPr="005F5B01">
              <w:rPr>
                <w:rFonts w:ascii="Arial" w:hAnsi="Arial" w:cs="Arial"/>
                <w:sz w:val="20"/>
                <w:szCs w:val="20"/>
                <w:lang w:val="en-US"/>
              </w:rPr>
              <w:t xml:space="preserve">2390-2400 MHz: The in-block e.i.r.p.  </w:t>
            </w:r>
            <w:proofErr w:type="gramStart"/>
            <w:r w:rsidRPr="005F5B01">
              <w:rPr>
                <w:rFonts w:ascii="Arial" w:hAnsi="Arial" w:cs="Arial"/>
                <w:sz w:val="20"/>
                <w:szCs w:val="20"/>
                <w:lang w:val="en-US"/>
              </w:rPr>
              <w:t>limit</w:t>
            </w:r>
            <w:proofErr w:type="gramEnd"/>
            <w:r w:rsidRPr="005F5B01">
              <w:rPr>
                <w:rFonts w:ascii="Arial" w:hAnsi="Arial" w:cs="Arial"/>
                <w:sz w:val="20"/>
                <w:szCs w:val="20"/>
                <w:lang w:val="en-US"/>
              </w:rPr>
              <w:t xml:space="preserve"> shall not exceed 45 dBm / 5 MHz to ensure coexistence with systems above 2400 MHz.</w:t>
            </w:r>
          </w:p>
          <w:p w:rsidR="00F23A9E" w:rsidRPr="00F23A9E" w:rsidRDefault="00F23A9E" w:rsidP="00F23A9E">
            <w:pPr>
              <w:pStyle w:val="ListParagraph"/>
              <w:numPr>
                <w:ilvl w:val="0"/>
                <w:numId w:val="17"/>
              </w:numPr>
              <w:spacing w:before="60" w:after="60"/>
              <w:rPr>
                <w:rFonts w:ascii="Arial" w:hAnsi="Arial" w:cs="Arial"/>
                <w:sz w:val="20"/>
                <w:szCs w:val="20"/>
                <w:lang w:val="en-US"/>
              </w:rPr>
            </w:pPr>
            <w:r>
              <w:rPr>
                <w:rFonts w:ascii="Arial" w:hAnsi="Arial" w:cs="Arial"/>
                <w:sz w:val="20"/>
                <w:szCs w:val="20"/>
                <w:lang w:val="en-US"/>
              </w:rPr>
              <w:t>F</w:t>
            </w:r>
            <w:r w:rsidRPr="00F23A9E">
              <w:rPr>
                <w:rFonts w:ascii="Arial" w:hAnsi="Arial" w:cs="Arial"/>
                <w:sz w:val="20"/>
                <w:szCs w:val="20"/>
                <w:lang w:val="en-US"/>
              </w:rPr>
              <w:t xml:space="preserve">or </w:t>
            </w:r>
            <w:proofErr w:type="spellStart"/>
            <w:r w:rsidRPr="00F23A9E">
              <w:rPr>
                <w:rFonts w:ascii="Arial" w:hAnsi="Arial" w:cs="Arial"/>
                <w:sz w:val="20"/>
                <w:szCs w:val="20"/>
                <w:lang w:val="en-US"/>
              </w:rPr>
              <w:t>femto</w:t>
            </w:r>
            <w:proofErr w:type="spellEnd"/>
            <w:r w:rsidRPr="00F23A9E">
              <w:rPr>
                <w:rFonts w:ascii="Arial" w:hAnsi="Arial" w:cs="Arial"/>
                <w:sz w:val="20"/>
                <w:szCs w:val="20"/>
                <w:lang w:val="en-US"/>
              </w:rPr>
              <w:t xml:space="preserve"> base stations, the use of power control is mandatory in order to </w:t>
            </w:r>
            <w:proofErr w:type="spellStart"/>
            <w:r w:rsidRPr="00F23A9E">
              <w:rPr>
                <w:rFonts w:ascii="Arial" w:hAnsi="Arial" w:cs="Arial"/>
                <w:sz w:val="20"/>
                <w:szCs w:val="20"/>
                <w:lang w:val="en-US"/>
              </w:rPr>
              <w:t>minimise</w:t>
            </w:r>
            <w:proofErr w:type="spellEnd"/>
            <w:r w:rsidRPr="00F23A9E">
              <w:rPr>
                <w:rFonts w:ascii="Arial" w:hAnsi="Arial" w:cs="Arial"/>
                <w:sz w:val="20"/>
                <w:szCs w:val="20"/>
                <w:lang w:val="en-US"/>
              </w:rPr>
              <w:t xml:space="preserve"> interference to adjacent channels.</w:t>
            </w:r>
          </w:p>
          <w:p w:rsidR="00873602" w:rsidRDefault="00873602" w:rsidP="008A57E5">
            <w:pPr>
              <w:spacing w:before="60" w:after="60"/>
              <w:rPr>
                <w:rFonts w:ascii="Arial" w:hAnsi="Arial" w:cs="Arial"/>
                <w:sz w:val="20"/>
                <w:szCs w:val="20"/>
              </w:rPr>
            </w:pPr>
          </w:p>
          <w:p w:rsidR="00873602" w:rsidRDefault="00873602" w:rsidP="00873602">
            <w:pPr>
              <w:spacing w:before="60" w:after="60"/>
              <w:rPr>
                <w:rFonts w:ascii="Arial" w:hAnsi="Arial" w:cs="Arial"/>
                <w:sz w:val="20"/>
                <w:szCs w:val="20"/>
              </w:rPr>
            </w:pPr>
            <w:r w:rsidRPr="00E02E2A">
              <w:rPr>
                <w:rFonts w:ascii="Arial" w:hAnsi="Arial" w:cs="Arial"/>
                <w:sz w:val="20"/>
                <w:szCs w:val="20"/>
              </w:rPr>
              <w:t>User equipment:</w:t>
            </w:r>
            <w:r w:rsidRPr="00E02E2A">
              <w:rPr>
                <w:rFonts w:ascii="Arial" w:hAnsi="Arial" w:cs="Arial"/>
                <w:sz w:val="20"/>
                <w:szCs w:val="20"/>
                <w:lang w:eastAsia="ar-SA"/>
              </w:rPr>
              <w:t xml:space="preserve"> </w:t>
            </w:r>
            <w:r w:rsidR="00F23A9E" w:rsidRPr="00E02E2A">
              <w:rPr>
                <w:rFonts w:ascii="Arial" w:hAnsi="Arial" w:cs="Arial"/>
                <w:sz w:val="20"/>
                <w:szCs w:val="20"/>
              </w:rPr>
              <w:t>The power limit is specified as e.i.r.p. for UE designed to be fixed or installed and as TRP for the UE designed to be mobile or nomadic. (TRP is a measure of how much power the antenna actually radiates. The TRP is defined as the integral of the power transmitted in different directions over the entire radiation sphere)</w:t>
            </w:r>
            <w:r w:rsidR="00B83571" w:rsidRPr="00E02E2A">
              <w:rPr>
                <w:rFonts w:ascii="Arial" w:hAnsi="Arial" w:cs="Arial"/>
                <w:sz w:val="20"/>
                <w:szCs w:val="20"/>
              </w:rPr>
              <w:t>.</w:t>
            </w:r>
            <w:r w:rsidR="00E02E2A">
              <w:rPr>
                <w:rFonts w:ascii="Arial" w:hAnsi="Arial" w:cs="Arial"/>
                <w:sz w:val="20"/>
                <w:szCs w:val="20"/>
              </w:rPr>
              <w:t xml:space="preserve"> </w:t>
            </w:r>
            <w:r w:rsidR="00E02E2A" w:rsidRPr="00E02E2A">
              <w:rPr>
                <w:rFonts w:ascii="Arial" w:hAnsi="Arial" w:cs="Arial"/>
                <w:sz w:val="20"/>
                <w:szCs w:val="20"/>
                <w:lang w:val="en-US"/>
              </w:rPr>
              <w:t>A tolerance of up to + 2 dB has been included in this limit, to reflect operation under extreme environmental conditions and production spread.</w:t>
            </w:r>
            <w:r w:rsidR="00B83571">
              <w:rPr>
                <w:rFonts w:ascii="Arial" w:hAnsi="Arial" w:cs="Arial"/>
                <w:sz w:val="20"/>
                <w:szCs w:val="20"/>
              </w:rPr>
              <w:t xml:space="preserve"> </w:t>
            </w:r>
          </w:p>
          <w:p w:rsidR="00873602" w:rsidRPr="005144CE" w:rsidRDefault="00873602" w:rsidP="008A57E5">
            <w:pPr>
              <w:spacing w:before="60" w:after="60"/>
              <w:rPr>
                <w:rFonts w:ascii="Arial" w:hAnsi="Arial" w:cs="Arial"/>
                <w:sz w:val="20"/>
                <w:szCs w:val="20"/>
              </w:rPr>
            </w:pPr>
          </w:p>
        </w:tc>
      </w:tr>
      <w:tr w:rsidR="00694F01" w:rsidRPr="005144CE" w:rsidTr="00110003">
        <w:trPr>
          <w:trHeight w:val="124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8</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 xml:space="preserve">Channel access and occupation rules </w:t>
            </w:r>
          </w:p>
          <w:p w:rsidR="00694F01" w:rsidRPr="005144CE" w:rsidRDefault="00694F01" w:rsidP="00110003">
            <w:pPr>
              <w:spacing w:before="100" w:after="100"/>
              <w:rPr>
                <w:rFonts w:ascii="Arial" w:hAnsi="Arial" w:cs="Arial"/>
                <w:sz w:val="20"/>
                <w:szCs w:val="20"/>
                <w:u w:val="single"/>
              </w:rPr>
            </w:pP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Not specified</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2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9</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Authorisation regime</w:t>
            </w:r>
          </w:p>
          <w:p w:rsidR="00694F01" w:rsidRPr="005144CE" w:rsidRDefault="00694F01" w:rsidP="00110003">
            <w:pPr>
              <w:spacing w:before="100" w:after="100"/>
              <w:rPr>
                <w:rFonts w:ascii="Arial" w:hAnsi="Arial" w:cs="Arial"/>
                <w:sz w:val="20"/>
                <w:szCs w:val="20"/>
                <w:u w:val="single"/>
              </w:rPr>
            </w:pPr>
          </w:p>
        </w:tc>
        <w:tc>
          <w:tcPr>
            <w:tcW w:w="5670" w:type="dxa"/>
          </w:tcPr>
          <w:p w:rsidR="00694F01" w:rsidRDefault="00F364C6" w:rsidP="00110003">
            <w:pPr>
              <w:spacing w:before="60" w:after="60"/>
              <w:rPr>
                <w:rFonts w:ascii="Arial" w:hAnsi="Arial" w:cs="Arial"/>
                <w:sz w:val="20"/>
                <w:szCs w:val="20"/>
              </w:rPr>
            </w:pPr>
            <w:r w:rsidRPr="00C37794">
              <w:rPr>
                <w:rFonts w:ascii="Arial" w:hAnsi="Arial" w:cs="Arial"/>
                <w:sz w:val="20"/>
                <w:szCs w:val="20"/>
              </w:rPr>
              <w:t>Individual authorisation</w:t>
            </w:r>
          </w:p>
          <w:p w:rsidR="00D86F67" w:rsidRPr="005144CE" w:rsidRDefault="00F364C6" w:rsidP="00F364C6">
            <w:pPr>
              <w:spacing w:before="60" w:after="60"/>
              <w:rPr>
                <w:rFonts w:ascii="Arial" w:hAnsi="Arial" w:cs="Arial"/>
                <w:sz w:val="20"/>
                <w:szCs w:val="20"/>
              </w:rPr>
            </w:pPr>
            <w:r>
              <w:rPr>
                <w:rFonts w:ascii="Arial" w:hAnsi="Arial" w:cs="Arial"/>
                <w:sz w:val="20"/>
                <w:szCs w:val="20"/>
              </w:rPr>
              <w:t>In case of shared use of the band, requirements for Licensed Shared Access (LSA) to be defined</w:t>
            </w:r>
            <w:r w:rsidR="005A12EF" w:rsidRPr="005A12EF">
              <w:rPr>
                <w:rFonts w:ascii="Arial" w:hAnsi="Arial" w:cs="Arial"/>
                <w:sz w:val="20"/>
                <w:szCs w:val="20"/>
              </w:rPr>
              <w:t xml:space="preserve"> at national level</w:t>
            </w:r>
            <w:r>
              <w:rPr>
                <w:rFonts w:ascii="Arial" w:hAnsi="Arial" w:cs="Arial"/>
                <w:sz w:val="20"/>
                <w:szCs w:val="20"/>
              </w:rPr>
              <w:t>.</w:t>
            </w:r>
          </w:p>
        </w:tc>
        <w:tc>
          <w:tcPr>
            <w:tcW w:w="5387" w:type="dxa"/>
          </w:tcPr>
          <w:p w:rsidR="00F364C6" w:rsidRDefault="00F364C6">
            <w:pPr>
              <w:spacing w:before="60" w:after="60"/>
              <w:rPr>
                <w:rFonts w:ascii="Arial" w:hAnsi="Arial" w:cs="Arial"/>
                <w:sz w:val="20"/>
                <w:szCs w:val="20"/>
              </w:rPr>
            </w:pPr>
            <w:r w:rsidRPr="00C37794">
              <w:rPr>
                <w:rFonts w:ascii="Arial" w:hAnsi="Arial" w:cs="Arial"/>
                <w:sz w:val="20"/>
                <w:szCs w:val="20"/>
              </w:rPr>
              <w:t xml:space="preserve">The terms of the license for the infrastructure shall include Block Edge Mask (BEM). Emission spectrum has to comply with the BEM (Annex </w:t>
            </w:r>
            <w:r>
              <w:rPr>
                <w:rFonts w:ascii="Arial" w:hAnsi="Arial" w:cs="Arial"/>
                <w:sz w:val="20"/>
                <w:szCs w:val="20"/>
              </w:rPr>
              <w:t>2</w:t>
            </w:r>
            <w:r w:rsidRPr="00C37794">
              <w:rPr>
                <w:rFonts w:ascii="Arial" w:hAnsi="Arial" w:cs="Arial"/>
                <w:sz w:val="20"/>
                <w:szCs w:val="20"/>
              </w:rPr>
              <w:t xml:space="preserve"> of ECC/DEC</w:t>
            </w:r>
            <w:proofErr w:type="gramStart"/>
            <w:r w:rsidRPr="00C37794">
              <w:rPr>
                <w:rFonts w:ascii="Arial" w:hAnsi="Arial" w:cs="Arial"/>
                <w:sz w:val="20"/>
                <w:szCs w:val="20"/>
              </w:rPr>
              <w:t>/(</w:t>
            </w:r>
            <w:proofErr w:type="gramEnd"/>
            <w:r w:rsidRPr="00C37794">
              <w:rPr>
                <w:rFonts w:ascii="Arial" w:hAnsi="Arial" w:cs="Arial"/>
                <w:sz w:val="20"/>
                <w:szCs w:val="20"/>
              </w:rPr>
              <w:t>1</w:t>
            </w:r>
            <w:r>
              <w:rPr>
                <w:rFonts w:ascii="Arial" w:hAnsi="Arial" w:cs="Arial"/>
                <w:sz w:val="20"/>
                <w:szCs w:val="20"/>
              </w:rPr>
              <w:t>4</w:t>
            </w:r>
            <w:r w:rsidRPr="00C37794">
              <w:rPr>
                <w:rFonts w:ascii="Arial" w:hAnsi="Arial" w:cs="Arial"/>
                <w:sz w:val="20"/>
                <w:szCs w:val="20"/>
              </w:rPr>
              <w:t>)0</w:t>
            </w:r>
            <w:r>
              <w:rPr>
                <w:rFonts w:ascii="Arial" w:hAnsi="Arial" w:cs="Arial"/>
                <w:sz w:val="20"/>
                <w:szCs w:val="20"/>
              </w:rPr>
              <w:t>2</w:t>
            </w:r>
            <w:r w:rsidRPr="00C37794">
              <w:rPr>
                <w:rFonts w:ascii="Arial" w:hAnsi="Arial" w:cs="Arial"/>
                <w:sz w:val="20"/>
                <w:szCs w:val="20"/>
              </w:rPr>
              <w:t>).</w:t>
            </w:r>
          </w:p>
          <w:p w:rsidR="00E86070" w:rsidRPr="00F23A9E" w:rsidRDefault="005A12EF">
            <w:pPr>
              <w:spacing w:before="60" w:after="60"/>
              <w:rPr>
                <w:rFonts w:ascii="Arial" w:hAnsi="Arial" w:cs="Arial"/>
                <w:sz w:val="20"/>
                <w:szCs w:val="20"/>
              </w:rPr>
            </w:pPr>
            <w:r w:rsidRPr="005A12EF">
              <w:rPr>
                <w:rFonts w:ascii="Arial" w:hAnsi="Arial" w:cs="Arial"/>
                <w:sz w:val="20"/>
                <w:szCs w:val="20"/>
              </w:rPr>
              <w:t>LSA is the recognised approach by CEPT for administrations wishing to introduce MFCN while maintaining the current incumbent use. Necessary requirements are to be established by the national regulators to share the band through LSA, assessing the protection of the incumbent use of the band.</w:t>
            </w:r>
          </w:p>
        </w:tc>
      </w:tr>
      <w:tr w:rsidR="00694F01" w:rsidRPr="005144CE" w:rsidTr="00110003">
        <w:trPr>
          <w:trHeight w:val="372"/>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10</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Additional essential requirements according to Art. 3.3 of R&amp;TTE Directive</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None</w:t>
            </w:r>
          </w:p>
        </w:tc>
        <w:tc>
          <w:tcPr>
            <w:tcW w:w="5387" w:type="dxa"/>
          </w:tcPr>
          <w:p w:rsidR="00694F01" w:rsidRPr="005144CE" w:rsidRDefault="00694F01" w:rsidP="00110003">
            <w:pPr>
              <w:spacing w:before="60" w:after="60"/>
              <w:rPr>
                <w:rFonts w:ascii="Arial" w:hAnsi="Arial" w:cs="Arial"/>
                <w:sz w:val="20"/>
                <w:szCs w:val="20"/>
              </w:rPr>
            </w:pPr>
          </w:p>
        </w:tc>
      </w:tr>
      <w:tr w:rsidR="00E02E2A" w:rsidRPr="001B4EFB" w:rsidTr="00110003">
        <w:trPr>
          <w:trHeight w:val="900"/>
        </w:trPr>
        <w:tc>
          <w:tcPr>
            <w:tcW w:w="534"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t>11</w:t>
            </w:r>
          </w:p>
        </w:tc>
        <w:tc>
          <w:tcPr>
            <w:tcW w:w="2409"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t>Frequency planning assumptions</w:t>
            </w:r>
          </w:p>
        </w:tc>
        <w:tc>
          <w:tcPr>
            <w:tcW w:w="5670" w:type="dxa"/>
          </w:tcPr>
          <w:p w:rsidR="00E02E2A" w:rsidRPr="001B4EFB" w:rsidRDefault="00E02E2A" w:rsidP="00037EB7">
            <w:pPr>
              <w:spacing w:before="60"/>
              <w:rPr>
                <w:rFonts w:ascii="Arial" w:hAnsi="Arial" w:cs="Arial"/>
                <w:iCs/>
                <w:sz w:val="20"/>
                <w:szCs w:val="20"/>
                <w:lang w:val="en-US"/>
              </w:rPr>
            </w:pPr>
            <w:r w:rsidRPr="001B4EFB">
              <w:rPr>
                <w:rFonts w:ascii="Arial" w:hAnsi="Arial" w:cs="Arial"/>
                <w:iCs/>
                <w:sz w:val="20"/>
                <w:szCs w:val="20"/>
                <w:lang w:val="en-US"/>
              </w:rPr>
              <w:t xml:space="preserve">In the case of </w:t>
            </w:r>
            <w:proofErr w:type="spellStart"/>
            <w:r w:rsidRPr="001B4EFB">
              <w:rPr>
                <w:rFonts w:ascii="Arial" w:hAnsi="Arial" w:cs="Arial"/>
                <w:iCs/>
                <w:sz w:val="20"/>
                <w:szCs w:val="20"/>
                <w:lang w:val="en-US"/>
              </w:rPr>
              <w:t>synchronised</w:t>
            </w:r>
            <w:proofErr w:type="spellEnd"/>
            <w:r w:rsidRPr="001B4EFB">
              <w:rPr>
                <w:rFonts w:ascii="Arial" w:hAnsi="Arial" w:cs="Arial"/>
                <w:iCs/>
                <w:sz w:val="20"/>
                <w:szCs w:val="20"/>
                <w:lang w:val="en-US"/>
              </w:rPr>
              <w:t xml:space="preserve"> TDD networks and two adjacent operators using their systems, the defined BEM will normally allow direct adjacent operation of the operator’s full-power blocks and the out-of-block region consists both of transitional region and baseline levels. </w:t>
            </w:r>
          </w:p>
          <w:p w:rsidR="00E02E2A" w:rsidRPr="001B4EFB" w:rsidRDefault="00E02E2A" w:rsidP="00037EB7">
            <w:pPr>
              <w:spacing w:before="60"/>
              <w:rPr>
                <w:rFonts w:ascii="Arial" w:hAnsi="Arial" w:cs="Arial"/>
                <w:iCs/>
                <w:sz w:val="20"/>
                <w:szCs w:val="20"/>
                <w:lang w:val="en-US"/>
              </w:rPr>
            </w:pPr>
            <w:r w:rsidRPr="001B4EFB">
              <w:rPr>
                <w:rFonts w:ascii="Arial" w:hAnsi="Arial" w:cs="Arial"/>
                <w:iCs/>
                <w:sz w:val="20"/>
                <w:szCs w:val="20"/>
                <w:lang w:val="en-US"/>
              </w:rPr>
              <w:t xml:space="preserve">In the case of </w:t>
            </w:r>
            <w:proofErr w:type="spellStart"/>
            <w:r w:rsidRPr="001B4EFB">
              <w:rPr>
                <w:rFonts w:ascii="Arial" w:hAnsi="Arial" w:cs="Arial"/>
                <w:iCs/>
                <w:sz w:val="20"/>
                <w:szCs w:val="20"/>
                <w:lang w:val="en-US"/>
              </w:rPr>
              <w:t>unsynchronised</w:t>
            </w:r>
            <w:proofErr w:type="spellEnd"/>
            <w:r w:rsidRPr="001B4EFB">
              <w:rPr>
                <w:rFonts w:ascii="Arial" w:hAnsi="Arial" w:cs="Arial"/>
                <w:iCs/>
                <w:sz w:val="20"/>
                <w:szCs w:val="20"/>
                <w:lang w:val="en-US"/>
              </w:rPr>
              <w:t xml:space="preserve"> TDD networks, the compliance of two adjacent operators with the BEM requirements could be achieved by introducing frequency separation (e.g. through the </w:t>
            </w:r>
            <w:proofErr w:type="spellStart"/>
            <w:r w:rsidRPr="001B4EFB">
              <w:rPr>
                <w:rFonts w:ascii="Arial" w:hAnsi="Arial" w:cs="Arial"/>
                <w:iCs/>
                <w:sz w:val="20"/>
                <w:szCs w:val="20"/>
                <w:lang w:val="en-US"/>
              </w:rPr>
              <w:t>authorisation</w:t>
            </w:r>
            <w:proofErr w:type="spellEnd"/>
            <w:r w:rsidRPr="001B4EFB">
              <w:rPr>
                <w:rFonts w:ascii="Arial" w:hAnsi="Arial" w:cs="Arial"/>
                <w:iCs/>
                <w:sz w:val="20"/>
                <w:szCs w:val="20"/>
                <w:lang w:val="en-US"/>
              </w:rPr>
              <w:t xml:space="preserve"> process at national level) between the block edges of both operators.</w:t>
            </w:r>
          </w:p>
          <w:p w:rsidR="00E02E2A" w:rsidRPr="001B4EFB" w:rsidRDefault="00E02E2A" w:rsidP="00037EB7">
            <w:pPr>
              <w:spacing w:before="60" w:after="60"/>
              <w:rPr>
                <w:rFonts w:ascii="Arial" w:hAnsi="Arial" w:cs="Arial"/>
                <w:iCs/>
                <w:sz w:val="20"/>
                <w:szCs w:val="20"/>
                <w:lang w:val="en-US"/>
              </w:rPr>
            </w:pPr>
            <w:r w:rsidRPr="001B4EFB">
              <w:rPr>
                <w:rFonts w:ascii="Arial" w:hAnsi="Arial" w:cs="Arial"/>
                <w:iCs/>
                <w:sz w:val="20"/>
                <w:szCs w:val="20"/>
                <w:lang w:val="en-US"/>
              </w:rPr>
              <w:t xml:space="preserve">Another option is to use restricted channels. Operators are then required to limit the power used in the upper or lower part of their assigned spectrum, to limit the interference due to the selectivity of the adjacent operator’s receiver. Assuming standard performance of the interfered receiver, an in-block level of 4 dBm / 5 MHz e.i.r.p. </w:t>
            </w:r>
            <w:proofErr w:type="gramStart"/>
            <w:r w:rsidR="005F5B01">
              <w:rPr>
                <w:rFonts w:ascii="Arial" w:hAnsi="Arial" w:cs="Arial"/>
                <w:iCs/>
                <w:sz w:val="20"/>
                <w:szCs w:val="20"/>
                <w:vertAlign w:val="superscript"/>
                <w:lang w:val="en-US"/>
              </w:rPr>
              <w:t>1</w:t>
            </w:r>
            <w:r w:rsidRPr="001B4EFB">
              <w:rPr>
                <w:rFonts w:ascii="Arial" w:hAnsi="Arial" w:cs="Arial"/>
                <w:iCs/>
                <w:sz w:val="20"/>
                <w:szCs w:val="20"/>
                <w:vertAlign w:val="superscript"/>
                <w:lang w:val="en-US"/>
              </w:rPr>
              <w:t xml:space="preserve"> </w:t>
            </w:r>
            <w:r w:rsidRPr="001B4EFB">
              <w:rPr>
                <w:rFonts w:ascii="Arial" w:hAnsi="Arial" w:cs="Arial"/>
                <w:iCs/>
                <w:sz w:val="20"/>
                <w:szCs w:val="20"/>
                <w:lang w:val="en-US"/>
              </w:rPr>
              <w:t xml:space="preserve"> may</w:t>
            </w:r>
            <w:proofErr w:type="gramEnd"/>
            <w:r w:rsidRPr="001B4EFB">
              <w:rPr>
                <w:rFonts w:ascii="Arial" w:hAnsi="Arial" w:cs="Arial"/>
                <w:iCs/>
                <w:sz w:val="20"/>
                <w:szCs w:val="20"/>
                <w:lang w:val="en-US"/>
              </w:rPr>
              <w:t xml:space="preserve"> be used. </w:t>
            </w:r>
          </w:p>
          <w:p w:rsidR="00E02E2A" w:rsidRDefault="00E02E2A" w:rsidP="00037EB7">
            <w:pPr>
              <w:spacing w:before="60"/>
              <w:rPr>
                <w:rFonts w:ascii="Arial" w:hAnsi="Arial" w:cs="Arial"/>
                <w:iCs/>
                <w:sz w:val="20"/>
                <w:szCs w:val="20"/>
                <w:lang w:val="en-US"/>
              </w:rPr>
            </w:pPr>
            <w:r w:rsidRPr="001B4EFB">
              <w:rPr>
                <w:rFonts w:ascii="Arial" w:hAnsi="Arial" w:cs="Arial"/>
                <w:iCs/>
                <w:sz w:val="20"/>
                <w:szCs w:val="20"/>
                <w:lang w:val="en-US"/>
              </w:rPr>
              <w:t>This limit would be applied to the upper- or lowermost 5 MHz part of an operator’s block to protect the adjacent operator, and may be relaxed in case of bilateral agreements between operators.</w:t>
            </w:r>
          </w:p>
          <w:p w:rsidR="005F5B01" w:rsidRDefault="005F5B01" w:rsidP="00037EB7">
            <w:pPr>
              <w:spacing w:before="60"/>
              <w:rPr>
                <w:rFonts w:ascii="Arial" w:hAnsi="Arial" w:cs="Arial"/>
                <w:iCs/>
                <w:sz w:val="20"/>
                <w:szCs w:val="20"/>
                <w:lang w:val="en-US"/>
              </w:rPr>
            </w:pPr>
          </w:p>
          <w:p w:rsidR="005F5B01" w:rsidRPr="005F5B01" w:rsidRDefault="005F5B01" w:rsidP="005F5B01">
            <w:pPr>
              <w:pStyle w:val="ECCFootnote"/>
              <w:ind w:left="0" w:firstLine="0"/>
              <w:rPr>
                <w:rFonts w:cs="Arial"/>
                <w:iCs/>
                <w:sz w:val="20"/>
                <w:szCs w:val="20"/>
              </w:rPr>
            </w:pPr>
            <w:r>
              <w:rPr>
                <w:rStyle w:val="FootnoteReference"/>
              </w:rPr>
              <w:t>1</w:t>
            </w:r>
            <w:bookmarkStart w:id="0" w:name="_GoBack"/>
            <w:bookmarkEnd w:id="0"/>
            <w:r w:rsidRPr="001B4EFB">
              <w:t xml:space="preserve"> </w:t>
            </w:r>
            <w:r w:rsidRPr="001B4EFB">
              <w:rPr>
                <w:rFonts w:cs="Arial"/>
              </w:rPr>
              <w:t xml:space="preserve">The </w:t>
            </w:r>
            <w:proofErr w:type="spellStart"/>
            <w:r w:rsidRPr="001B4EFB">
              <w:rPr>
                <w:rFonts w:cs="Arial"/>
              </w:rPr>
              <w:t>e.i.r.p</w:t>
            </w:r>
            <w:proofErr w:type="spellEnd"/>
            <w:r w:rsidRPr="001B4EFB">
              <w:rPr>
                <w:rFonts w:cs="Arial"/>
              </w:rPr>
              <w:t>. is the total radiated power in any direction at a single location independent of any base station configuration.</w:t>
            </w:r>
          </w:p>
        </w:tc>
        <w:tc>
          <w:tcPr>
            <w:tcW w:w="5387" w:type="dxa"/>
          </w:tcPr>
          <w:p w:rsidR="00E02E2A" w:rsidRPr="001B4EFB" w:rsidRDefault="00E02E2A" w:rsidP="00037EB7">
            <w:pPr>
              <w:spacing w:before="60" w:after="60"/>
              <w:rPr>
                <w:rFonts w:ascii="Arial" w:hAnsi="Arial" w:cs="Arial"/>
                <w:iCs/>
                <w:sz w:val="20"/>
                <w:szCs w:val="20"/>
              </w:rPr>
            </w:pPr>
          </w:p>
        </w:tc>
      </w:tr>
    </w:tbl>
    <w:p w:rsidR="00694F01" w:rsidRPr="00E02E2A" w:rsidRDefault="00694F01" w:rsidP="00694F01">
      <w:pPr>
        <w:rPr>
          <w:rFonts w:ascii="Arial" w:hAnsi="Arial" w:cs="Arial"/>
          <w:sz w:val="20"/>
          <w:szCs w:val="20"/>
          <w:lang w:val="en-US"/>
        </w:rPr>
      </w:pPr>
    </w:p>
    <w:p w:rsidR="00694F01" w:rsidRPr="005144CE" w:rsidRDefault="00694F01" w:rsidP="00694F01">
      <w:pPr>
        <w:rPr>
          <w:rFonts w:ascii="Arial" w:hAnsi="Arial" w:cs="Arial"/>
          <w:b/>
          <w:sz w:val="20"/>
          <w:szCs w:val="20"/>
        </w:rPr>
      </w:pPr>
      <w:r w:rsidRPr="005144CE">
        <w:rPr>
          <w:rFonts w:ascii="Arial" w:hAnsi="Arial" w:cs="Arial"/>
          <w:b/>
          <w:sz w:val="20"/>
          <w:szCs w:val="20"/>
        </w:rPr>
        <w:t>Informative Part</w:t>
      </w:r>
    </w:p>
    <w:p w:rsidR="00694F01" w:rsidRPr="005144CE" w:rsidRDefault="00694F01" w:rsidP="00694F01">
      <w:pPr>
        <w:rPr>
          <w:rFonts w:ascii="Arial" w:hAnsi="Arial" w:cs="Arial"/>
          <w:sz w:val="20"/>
          <w:szCs w:val="20"/>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245"/>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Description </w:t>
            </w:r>
          </w:p>
        </w:tc>
        <w:tc>
          <w:tcPr>
            <w:tcW w:w="5245"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12</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Planned changes</w:t>
            </w:r>
          </w:p>
        </w:tc>
        <w:tc>
          <w:tcPr>
            <w:tcW w:w="5670" w:type="dxa"/>
          </w:tcPr>
          <w:p w:rsidR="00694F01" w:rsidRPr="005144CE" w:rsidRDefault="00694F01" w:rsidP="00110003">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767"/>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13</w:t>
            </w:r>
          </w:p>
          <w:p w:rsidR="00694F01" w:rsidRPr="005144CE" w:rsidRDefault="00694F01" w:rsidP="00110003">
            <w:pPr>
              <w:spacing w:before="100" w:after="100"/>
              <w:rPr>
                <w:rFonts w:ascii="Arial" w:hAnsi="Arial" w:cs="Arial"/>
                <w:b/>
                <w:bCs/>
                <w:sz w:val="20"/>
                <w:szCs w:val="20"/>
              </w:rPr>
            </w:pP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Reference</w:t>
            </w:r>
          </w:p>
        </w:tc>
        <w:tc>
          <w:tcPr>
            <w:tcW w:w="5670" w:type="dxa"/>
          </w:tcPr>
          <w:p w:rsidR="00694F01" w:rsidRPr="005144CE" w:rsidRDefault="005A12EF" w:rsidP="00110003">
            <w:pPr>
              <w:spacing w:before="60" w:after="60"/>
              <w:rPr>
                <w:rFonts w:ascii="Arial" w:hAnsi="Arial" w:cs="Arial"/>
                <w:sz w:val="20"/>
                <w:szCs w:val="20"/>
              </w:rPr>
            </w:pPr>
            <w:r>
              <w:rPr>
                <w:rFonts w:ascii="Arial" w:hAnsi="Arial" w:cs="Arial"/>
                <w:sz w:val="20"/>
                <w:szCs w:val="20"/>
              </w:rPr>
              <w:t>ECC/DEC/(14)02</w:t>
            </w:r>
          </w:p>
        </w:tc>
        <w:tc>
          <w:tcPr>
            <w:tcW w:w="5245" w:type="dxa"/>
          </w:tcPr>
          <w:p w:rsidR="00694F01" w:rsidRPr="005144CE" w:rsidRDefault="00694F01" w:rsidP="00110003">
            <w:pPr>
              <w:spacing w:before="60" w:after="60"/>
              <w:rPr>
                <w:rFonts w:ascii="Arial" w:hAnsi="Arial" w:cs="Arial"/>
                <w:sz w:val="20"/>
                <w:szCs w:val="20"/>
                <w:lang w:val="en-US"/>
              </w:rPr>
            </w:pP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14</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Notification number </w:t>
            </w:r>
          </w:p>
        </w:tc>
        <w:tc>
          <w:tcPr>
            <w:tcW w:w="5670" w:type="dxa"/>
          </w:tcPr>
          <w:p w:rsidR="00694F01" w:rsidRPr="005144CE" w:rsidRDefault="00694F01" w:rsidP="00110003">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354"/>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15</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Remarks </w:t>
            </w:r>
          </w:p>
        </w:tc>
        <w:tc>
          <w:tcPr>
            <w:tcW w:w="5670" w:type="dxa"/>
          </w:tcPr>
          <w:p w:rsidR="00694F01" w:rsidRPr="005144CE" w:rsidRDefault="00694F01" w:rsidP="00110003">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bl>
    <w:p w:rsidR="00BC78B3" w:rsidRPr="005144CE" w:rsidRDefault="00F75E76">
      <w:pPr>
        <w:rPr>
          <w:rFonts w:ascii="Arial" w:hAnsi="Arial" w:cs="Arial"/>
          <w:sz w:val="20"/>
          <w:szCs w:val="20"/>
        </w:rPr>
      </w:pPr>
    </w:p>
    <w:sectPr w:rsidR="00BC78B3" w:rsidRPr="005144CE" w:rsidSect="00694F0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76" w:rsidRDefault="00F75E76" w:rsidP="002762C8">
      <w:r>
        <w:separator/>
      </w:r>
    </w:p>
  </w:endnote>
  <w:endnote w:type="continuationSeparator" w:id="0">
    <w:p w:rsidR="00F75E76" w:rsidRDefault="00F75E76" w:rsidP="0027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76" w:rsidRDefault="00F75E76" w:rsidP="002762C8">
      <w:r>
        <w:separator/>
      </w:r>
    </w:p>
  </w:footnote>
  <w:footnote w:type="continuationSeparator" w:id="0">
    <w:p w:rsidR="00F75E76" w:rsidRDefault="00F75E76" w:rsidP="0027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8" w:rsidRPr="007247F3" w:rsidRDefault="00D621A9">
    <w:pPr>
      <w:pStyle w:val="Header"/>
      <w:rPr>
        <w:rFonts w:ascii="Arial" w:hAnsi="Arial" w:cs="Arial"/>
      </w:rPr>
    </w:pPr>
    <w:r w:rsidRPr="005B6585">
      <w:rPr>
        <w:rFonts w:ascii="Arial" w:hAnsi="Arial" w:cs="Arial"/>
        <w:b/>
        <w:sz w:val="20"/>
        <w:szCs w:val="20"/>
      </w:rPr>
      <w:t>Radio Interface Specification Template</w:t>
    </w:r>
    <w:r w:rsidR="00BF311E">
      <w:rPr>
        <w:rFonts w:ascii="Arial" w:hAnsi="Arial" w:cs="Arial"/>
        <w:b/>
        <w:sz w:val="20"/>
        <w:szCs w:val="20"/>
      </w:rPr>
      <w:tab/>
    </w:r>
    <w:r w:rsidR="00BF311E">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2A89"/>
    <w:multiLevelType w:val="hybridMultilevel"/>
    <w:tmpl w:val="E8E2CB62"/>
    <w:lvl w:ilvl="0" w:tplc="64EE808C">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nsid w:val="3D163F7A"/>
    <w:multiLevelType w:val="multilevel"/>
    <w:tmpl w:val="D0481A4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CFF0CAC"/>
    <w:multiLevelType w:val="hybridMultilevel"/>
    <w:tmpl w:val="55A4E2CE"/>
    <w:lvl w:ilvl="0" w:tplc="FF3C34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602D3"/>
    <w:multiLevelType w:val="hybridMultilevel"/>
    <w:tmpl w:val="27F0A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4"/>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4"/>
  </w:num>
  <w:num w:numId="15">
    <w:abstractNumId w:val="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01"/>
    <w:rsid w:val="00007152"/>
    <w:rsid w:val="00101C81"/>
    <w:rsid w:val="00132389"/>
    <w:rsid w:val="001B4EFB"/>
    <w:rsid w:val="001F5D15"/>
    <w:rsid w:val="00234FEE"/>
    <w:rsid w:val="002762C8"/>
    <w:rsid w:val="003540A8"/>
    <w:rsid w:val="00470D52"/>
    <w:rsid w:val="00492D9D"/>
    <w:rsid w:val="00504259"/>
    <w:rsid w:val="005144CE"/>
    <w:rsid w:val="005A12EF"/>
    <w:rsid w:val="005B6585"/>
    <w:rsid w:val="005F5B01"/>
    <w:rsid w:val="006029EC"/>
    <w:rsid w:val="00694F01"/>
    <w:rsid w:val="006F4F31"/>
    <w:rsid w:val="007247F3"/>
    <w:rsid w:val="00754E3E"/>
    <w:rsid w:val="007646C3"/>
    <w:rsid w:val="007B619A"/>
    <w:rsid w:val="00873602"/>
    <w:rsid w:val="008A57E5"/>
    <w:rsid w:val="0095198B"/>
    <w:rsid w:val="00B67C75"/>
    <w:rsid w:val="00B83571"/>
    <w:rsid w:val="00B93128"/>
    <w:rsid w:val="00B94A23"/>
    <w:rsid w:val="00BC36BC"/>
    <w:rsid w:val="00BF311E"/>
    <w:rsid w:val="00D621A9"/>
    <w:rsid w:val="00D76877"/>
    <w:rsid w:val="00D86F67"/>
    <w:rsid w:val="00E02E2A"/>
    <w:rsid w:val="00E86070"/>
    <w:rsid w:val="00F23A9E"/>
    <w:rsid w:val="00F364C6"/>
    <w:rsid w:val="00F75E76"/>
    <w:rsid w:val="00FD4F97"/>
    <w:rsid w:val="00FF3F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918">
      <w:bodyDiv w:val="1"/>
      <w:marLeft w:val="0"/>
      <w:marRight w:val="0"/>
      <w:marTop w:val="0"/>
      <w:marBottom w:val="0"/>
      <w:divBdr>
        <w:top w:val="none" w:sz="0" w:space="0" w:color="auto"/>
        <w:left w:val="none" w:sz="0" w:space="0" w:color="auto"/>
        <w:bottom w:val="none" w:sz="0" w:space="0" w:color="auto"/>
        <w:right w:val="none" w:sz="0" w:space="0" w:color="auto"/>
      </w:divBdr>
    </w:div>
    <w:div w:id="130825753">
      <w:bodyDiv w:val="1"/>
      <w:marLeft w:val="0"/>
      <w:marRight w:val="0"/>
      <w:marTop w:val="0"/>
      <w:marBottom w:val="0"/>
      <w:divBdr>
        <w:top w:val="none" w:sz="0" w:space="0" w:color="auto"/>
        <w:left w:val="none" w:sz="0" w:space="0" w:color="auto"/>
        <w:bottom w:val="none" w:sz="0" w:space="0" w:color="auto"/>
        <w:right w:val="none" w:sz="0" w:space="0" w:color="auto"/>
      </w:divBdr>
    </w:div>
    <w:div w:id="21412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237F-EAB9-4EF2-86E3-43727010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WGFM#81</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dc:creator>
  <cp:lastModifiedBy>Thomas Weber</cp:lastModifiedBy>
  <cp:revision>2</cp:revision>
  <cp:lastPrinted>2014-09-19T14:45:00Z</cp:lastPrinted>
  <dcterms:created xsi:type="dcterms:W3CDTF">2014-10-21T16:43:00Z</dcterms:created>
  <dcterms:modified xsi:type="dcterms:W3CDTF">2014-10-21T16:43:00Z</dcterms:modified>
  <cp:contentStatus>approved</cp:contentStatus>
</cp:coreProperties>
</file>