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A4E" w:rsidRDefault="00B34A4E" w:rsidP="00B34A4E">
      <w:pPr>
        <w:rPr>
          <w:lang w:val="en-GB"/>
        </w:rPr>
      </w:pPr>
    </w:p>
    <w:p w:rsidR="006C03D0" w:rsidRPr="001961C9" w:rsidRDefault="00E72287">
      <w:pPr>
        <w:rPr>
          <w:lang w:val="en-GB"/>
        </w:rPr>
      </w:pPr>
      <w:r w:rsidRPr="001961C9">
        <w:rPr>
          <w:noProof/>
          <w:szCs w:val="20"/>
          <w:lang w:val="da-DK" w:eastAsia="da-DK"/>
        </w:rPr>
        <w:drawing>
          <wp:anchor distT="0" distB="0" distL="114300" distR="114300" simplePos="0" relativeHeight="251661824" behindDoc="0" locked="0" layoutInCell="1" allowOverlap="1" wp14:anchorId="1316E7D6" wp14:editId="70C8BCCE">
            <wp:simplePos x="0" y="0"/>
            <wp:positionH relativeFrom="page">
              <wp:posOffset>5869940</wp:posOffset>
            </wp:positionH>
            <wp:positionV relativeFrom="page">
              <wp:posOffset>800735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9"/>
                    <a:srcRect/>
                    <a:stretch>
                      <a:fillRect/>
                    </a:stretch>
                  </pic:blipFill>
                  <pic:spPr bwMode="auto">
                    <a:xfrm>
                      <a:off x="0" y="0"/>
                      <a:ext cx="1461770" cy="546100"/>
                    </a:xfrm>
                    <a:prstGeom prst="rect">
                      <a:avLst/>
                    </a:prstGeom>
                    <a:noFill/>
                  </pic:spPr>
                </pic:pic>
              </a:graphicData>
            </a:graphic>
          </wp:anchor>
        </w:drawing>
      </w:r>
      <w:r w:rsidRPr="001961C9">
        <w:rPr>
          <w:noProof/>
          <w:szCs w:val="20"/>
          <w:lang w:val="da-DK" w:eastAsia="da-DK"/>
        </w:rPr>
        <w:drawing>
          <wp:anchor distT="0" distB="0" distL="114300" distR="114300" simplePos="0" relativeHeight="251659776" behindDoc="0" locked="0" layoutInCell="1" allowOverlap="1" wp14:anchorId="6000104A" wp14:editId="7D7DBE9F">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0"/>
                    <a:srcRect/>
                    <a:stretch>
                      <a:fillRect/>
                    </a:stretch>
                  </pic:blipFill>
                  <pic:spPr bwMode="auto">
                    <a:xfrm>
                      <a:off x="0" y="0"/>
                      <a:ext cx="889000" cy="889000"/>
                    </a:xfrm>
                    <a:prstGeom prst="rect">
                      <a:avLst/>
                    </a:prstGeom>
                    <a:noFill/>
                  </pic:spPr>
                </pic:pic>
              </a:graphicData>
            </a:graphic>
          </wp:anchor>
        </w:drawing>
      </w:r>
    </w:p>
    <w:p w:rsidR="006C03D0" w:rsidRPr="001961C9" w:rsidRDefault="006C03D0" w:rsidP="006C03D0">
      <w:pPr>
        <w:jc w:val="center"/>
        <w:rPr>
          <w:lang w:val="en-GB"/>
        </w:rPr>
      </w:pPr>
    </w:p>
    <w:p w:rsidR="006C03D0" w:rsidRPr="001961C9" w:rsidRDefault="006C03D0" w:rsidP="006C03D0">
      <w:pPr>
        <w:jc w:val="center"/>
        <w:rPr>
          <w:lang w:val="en-GB"/>
        </w:rPr>
      </w:pPr>
    </w:p>
    <w:p w:rsidR="006C03D0" w:rsidRPr="001961C9" w:rsidRDefault="006C03D0" w:rsidP="006C03D0">
      <w:pPr>
        <w:rPr>
          <w:lang w:val="en-GB"/>
        </w:rPr>
      </w:pPr>
    </w:p>
    <w:p w:rsidR="006C03D0" w:rsidRPr="001961C9" w:rsidRDefault="006C03D0" w:rsidP="006C03D0">
      <w:pPr>
        <w:rPr>
          <w:lang w:val="en-GB"/>
        </w:rPr>
      </w:pPr>
    </w:p>
    <w:p w:rsidR="006C03D0" w:rsidRPr="001961C9" w:rsidRDefault="00DF0115" w:rsidP="006C03D0">
      <w:pPr>
        <w:jc w:val="center"/>
        <w:rPr>
          <w:b/>
          <w:sz w:val="24"/>
          <w:lang w:val="en-GB"/>
        </w:rPr>
      </w:pPr>
      <w:r w:rsidRPr="001961C9">
        <w:rPr>
          <w:b/>
          <w:noProof/>
          <w:sz w:val="24"/>
          <w:szCs w:val="20"/>
          <w:lang w:val="da-DK" w:eastAsia="da-DK"/>
        </w:rPr>
        <mc:AlternateContent>
          <mc:Choice Requires="wpg">
            <w:drawing>
              <wp:anchor distT="0" distB="0" distL="114300" distR="114300" simplePos="0" relativeHeight="251657728" behindDoc="0" locked="0" layoutInCell="1" allowOverlap="1" wp14:anchorId="5C06CE80" wp14:editId="0C2CDE58">
                <wp:simplePos x="0" y="0"/>
                <wp:positionH relativeFrom="column">
                  <wp:posOffset>-720090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4F9A" w:rsidRPr="00FE1795" w:rsidRDefault="005A4F9A"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sidR="008A18B3">
                                <w:rPr>
                                  <w:color w:val="887E6E"/>
                                  <w:sz w:val="68"/>
                                </w:rPr>
                                <w:t>03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5A4F9A" w:rsidRPr="00FE1795" w:rsidRDefault="005A4F9A"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sidR="008A18B3">
                          <w:rPr>
                            <w:color w:val="887E6E"/>
                            <w:sz w:val="68"/>
                          </w:rPr>
                          <w:t>03</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961C9" w:rsidRDefault="006C03D0" w:rsidP="006C03D0">
      <w:pPr>
        <w:jc w:val="center"/>
        <w:rPr>
          <w:b/>
          <w:sz w:val="24"/>
          <w:lang w:val="en-GB"/>
        </w:rPr>
      </w:pPr>
    </w:p>
    <w:p w:rsidR="006C03D0" w:rsidRPr="001961C9" w:rsidRDefault="006C03D0" w:rsidP="006C03D0">
      <w:pPr>
        <w:jc w:val="center"/>
        <w:rPr>
          <w:b/>
          <w:sz w:val="24"/>
          <w:lang w:val="en-GB"/>
        </w:rPr>
      </w:pPr>
    </w:p>
    <w:p w:rsidR="006C03D0" w:rsidRPr="001961C9" w:rsidRDefault="006C03D0" w:rsidP="006C03D0">
      <w:pPr>
        <w:jc w:val="center"/>
        <w:rPr>
          <w:b/>
          <w:sz w:val="24"/>
          <w:lang w:val="en-GB"/>
        </w:rPr>
      </w:pPr>
    </w:p>
    <w:p w:rsidR="006C03D0" w:rsidRPr="001961C9" w:rsidRDefault="006C03D0" w:rsidP="006C03D0">
      <w:pPr>
        <w:jc w:val="center"/>
        <w:rPr>
          <w:b/>
          <w:sz w:val="24"/>
          <w:lang w:val="en-GB"/>
        </w:rPr>
      </w:pPr>
    </w:p>
    <w:p w:rsidR="006C03D0" w:rsidRPr="001961C9" w:rsidRDefault="006C03D0" w:rsidP="006C03D0">
      <w:pPr>
        <w:jc w:val="center"/>
        <w:rPr>
          <w:b/>
          <w:sz w:val="24"/>
          <w:lang w:val="en-GB"/>
        </w:rPr>
      </w:pPr>
    </w:p>
    <w:p w:rsidR="006C03D0" w:rsidRPr="001961C9" w:rsidRDefault="006C03D0" w:rsidP="006C03D0">
      <w:pPr>
        <w:jc w:val="center"/>
        <w:rPr>
          <w:b/>
          <w:sz w:val="24"/>
          <w:lang w:val="en-GB"/>
        </w:rPr>
      </w:pPr>
    </w:p>
    <w:p w:rsidR="006C03D0" w:rsidRPr="001961C9" w:rsidRDefault="006C03D0" w:rsidP="006C03D0">
      <w:pPr>
        <w:jc w:val="center"/>
        <w:rPr>
          <w:b/>
          <w:sz w:val="24"/>
          <w:lang w:val="en-GB"/>
        </w:rPr>
      </w:pPr>
    </w:p>
    <w:p w:rsidR="006C03D0" w:rsidRPr="001961C9" w:rsidRDefault="006C03D0" w:rsidP="006C03D0">
      <w:pPr>
        <w:jc w:val="center"/>
        <w:rPr>
          <w:b/>
          <w:sz w:val="24"/>
          <w:lang w:val="en-GB"/>
        </w:rPr>
      </w:pPr>
    </w:p>
    <w:p w:rsidR="006C03D0" w:rsidRPr="001961C9" w:rsidRDefault="006C03D0" w:rsidP="006C03D0">
      <w:pPr>
        <w:jc w:val="center"/>
        <w:rPr>
          <w:b/>
          <w:sz w:val="24"/>
          <w:lang w:val="en-GB"/>
        </w:rPr>
      </w:pPr>
    </w:p>
    <w:p w:rsidR="006C03D0" w:rsidRPr="001961C9" w:rsidRDefault="006C03D0" w:rsidP="006C03D0">
      <w:pPr>
        <w:jc w:val="center"/>
        <w:rPr>
          <w:b/>
          <w:sz w:val="24"/>
          <w:lang w:val="en-GB"/>
        </w:rPr>
      </w:pPr>
    </w:p>
    <w:p w:rsidR="006C03D0" w:rsidRPr="001961C9" w:rsidRDefault="006C03D0" w:rsidP="006C03D0">
      <w:pPr>
        <w:rPr>
          <w:b/>
          <w:sz w:val="24"/>
          <w:lang w:val="en-GB"/>
        </w:rPr>
      </w:pPr>
    </w:p>
    <w:p w:rsidR="006C03D0" w:rsidRPr="001961C9" w:rsidRDefault="006C03D0" w:rsidP="006C03D0">
      <w:pPr>
        <w:jc w:val="center"/>
        <w:rPr>
          <w:b/>
          <w:sz w:val="24"/>
          <w:lang w:val="en-GB"/>
        </w:rPr>
      </w:pPr>
    </w:p>
    <w:p w:rsidR="006F10E2" w:rsidRPr="001961C9" w:rsidRDefault="006F10E2" w:rsidP="006C03D0">
      <w:pPr>
        <w:pStyle w:val="Reporttitledescription"/>
        <w:rPr>
          <w:b/>
          <w:color w:val="auto"/>
          <w:sz w:val="18"/>
          <w:highlight w:val="yellow"/>
          <w:lang w:val="en-GB"/>
        </w:rPr>
      </w:pPr>
      <w:r w:rsidRPr="001961C9">
        <w:rPr>
          <w:lang w:val="en-GB"/>
        </w:rPr>
        <w:t>The harmonised use</w:t>
      </w:r>
      <w:r w:rsidR="00DE2BD0" w:rsidRPr="001961C9">
        <w:rPr>
          <w:lang w:val="en-GB"/>
        </w:rPr>
        <w:t xml:space="preserve"> </w:t>
      </w:r>
      <w:r w:rsidRPr="001961C9">
        <w:rPr>
          <w:lang w:val="en-GB"/>
        </w:rPr>
        <w:t xml:space="preserve">of </w:t>
      </w:r>
      <w:r w:rsidR="002645AF">
        <w:rPr>
          <w:lang w:val="en-GB"/>
        </w:rPr>
        <w:t>b</w:t>
      </w:r>
      <w:r w:rsidR="00F04016" w:rsidRPr="001961C9">
        <w:rPr>
          <w:szCs w:val="20"/>
          <w:lang w:val="en-GB"/>
        </w:rPr>
        <w:t>roadband</w:t>
      </w:r>
      <w:r w:rsidR="00F04016" w:rsidRPr="001961C9">
        <w:rPr>
          <w:lang w:val="en-GB"/>
        </w:rPr>
        <w:t xml:space="preserve"> </w:t>
      </w:r>
      <w:r w:rsidRPr="001961C9">
        <w:rPr>
          <w:lang w:val="en-GB"/>
        </w:rPr>
        <w:t xml:space="preserve">Direct Air-to-Ground Communications (DA2GC) systems in the frequency band </w:t>
      </w:r>
      <w:r w:rsidR="009D6919" w:rsidRPr="001961C9">
        <w:rPr>
          <w:lang w:val="en-GB"/>
        </w:rPr>
        <w:t xml:space="preserve">5855-5875 </w:t>
      </w:r>
      <w:r w:rsidRPr="001961C9">
        <w:rPr>
          <w:lang w:val="en-GB"/>
        </w:rPr>
        <w:t xml:space="preserve">MHz </w:t>
      </w:r>
    </w:p>
    <w:p w:rsidR="006C03D0" w:rsidRPr="001961C9" w:rsidRDefault="00CB1FB0" w:rsidP="006C03D0">
      <w:pPr>
        <w:pStyle w:val="Reporttitledescription"/>
        <w:rPr>
          <w:b/>
          <w:color w:val="auto"/>
          <w:sz w:val="18"/>
          <w:lang w:val="en-GB"/>
        </w:rPr>
      </w:pPr>
      <w:r w:rsidRPr="001961C9">
        <w:rPr>
          <w:b/>
          <w:color w:val="auto"/>
          <w:sz w:val="18"/>
          <w:lang w:val="en-GB"/>
        </w:rPr>
        <w:t xml:space="preserve">Approved </w:t>
      </w:r>
      <w:r w:rsidR="008A18B3" w:rsidRPr="000147FD">
        <w:rPr>
          <w:b/>
          <w:color w:val="auto"/>
          <w:sz w:val="18"/>
          <w:lang w:val="en-GB"/>
        </w:rPr>
        <w:t>3</w:t>
      </w:r>
      <w:r w:rsidR="008A18B3">
        <w:rPr>
          <w:b/>
          <w:color w:val="auto"/>
          <w:sz w:val="18"/>
          <w:lang w:val="en-GB"/>
        </w:rPr>
        <w:t xml:space="preserve"> July 2015</w:t>
      </w:r>
    </w:p>
    <w:p w:rsidR="009B5F1C" w:rsidRPr="001961C9" w:rsidRDefault="009B5F1C">
      <w:pPr>
        <w:rPr>
          <w:b/>
          <w:lang w:val="en-GB"/>
        </w:rPr>
      </w:pPr>
    </w:p>
    <w:p w:rsidR="00BB10FE" w:rsidRPr="001961C9" w:rsidRDefault="00BB10FE">
      <w:pPr>
        <w:rPr>
          <w:b/>
          <w:bCs/>
          <w:sz w:val="18"/>
          <w:lang w:val="en-GB"/>
        </w:rPr>
      </w:pPr>
      <w:r w:rsidRPr="001961C9">
        <w:rPr>
          <w:b/>
          <w:lang w:val="en-GB"/>
        </w:rPr>
        <w:br w:type="page"/>
      </w:r>
    </w:p>
    <w:p w:rsidR="006C03D0" w:rsidRPr="001961C9" w:rsidRDefault="005F7AD5" w:rsidP="005C1E4B">
      <w:pPr>
        <w:pStyle w:val="Heading1"/>
        <w:rPr>
          <w:szCs w:val="20"/>
        </w:rPr>
      </w:pPr>
      <w:r w:rsidRPr="001961C9">
        <w:rPr>
          <w:szCs w:val="20"/>
        </w:rPr>
        <w:lastRenderedPageBreak/>
        <w:t>explanatory memorandum</w:t>
      </w:r>
    </w:p>
    <w:p w:rsidR="006C03D0" w:rsidRPr="001961C9" w:rsidRDefault="00CB1FB0" w:rsidP="006C03D0">
      <w:pPr>
        <w:pStyle w:val="Heading2"/>
        <w:rPr>
          <w:szCs w:val="20"/>
          <w:lang w:val="en-GB"/>
        </w:rPr>
      </w:pPr>
      <w:r w:rsidRPr="001961C9">
        <w:rPr>
          <w:szCs w:val="20"/>
          <w:lang w:val="en-GB"/>
        </w:rPr>
        <w:t>INTRODUCTION</w:t>
      </w:r>
    </w:p>
    <w:p w:rsidR="00656E7D" w:rsidRPr="001961C9" w:rsidRDefault="00FB3488" w:rsidP="006F5136">
      <w:pPr>
        <w:pStyle w:val="ECCParagraph"/>
        <w:rPr>
          <w:rFonts w:cs="Arial"/>
          <w:szCs w:val="20"/>
        </w:rPr>
      </w:pPr>
      <w:r w:rsidRPr="001961C9">
        <w:rPr>
          <w:rFonts w:cs="Arial"/>
          <w:szCs w:val="20"/>
        </w:rPr>
        <w:t xml:space="preserve">This ECC Decision aims at harmonising implementation measures for </w:t>
      </w:r>
      <w:r w:rsidR="002645AF">
        <w:rPr>
          <w:rFonts w:cs="Arial"/>
          <w:szCs w:val="20"/>
        </w:rPr>
        <w:t>b</w:t>
      </w:r>
      <w:r w:rsidRPr="001961C9">
        <w:rPr>
          <w:rFonts w:cs="Arial"/>
          <w:szCs w:val="20"/>
        </w:rPr>
        <w:t>roadband Direct Air-to-Ground Communications (DA2GC) systems in the frequency band 5855-5875 MHz.</w:t>
      </w:r>
    </w:p>
    <w:p w:rsidR="006F5136" w:rsidRPr="001961C9" w:rsidRDefault="00294E84" w:rsidP="006F5136">
      <w:pPr>
        <w:pStyle w:val="ECCParagraph"/>
        <w:rPr>
          <w:rFonts w:cs="Arial"/>
          <w:szCs w:val="20"/>
        </w:rPr>
      </w:pPr>
      <w:r>
        <w:rPr>
          <w:rFonts w:cs="Arial"/>
          <w:szCs w:val="20"/>
        </w:rPr>
        <w:t>Consumers</w:t>
      </w:r>
      <w:r w:rsidR="006F5136" w:rsidRPr="001961C9">
        <w:rPr>
          <w:rFonts w:cs="Arial"/>
          <w:szCs w:val="20"/>
        </w:rPr>
        <w:t xml:space="preserve"> </w:t>
      </w:r>
      <w:r w:rsidR="00BE5F88">
        <w:rPr>
          <w:rFonts w:cs="Arial"/>
          <w:szCs w:val="20"/>
        </w:rPr>
        <w:t xml:space="preserve">increasingly </w:t>
      </w:r>
      <w:r w:rsidR="006F5136" w:rsidRPr="001961C9">
        <w:rPr>
          <w:rFonts w:cs="Arial"/>
          <w:szCs w:val="20"/>
        </w:rPr>
        <w:t xml:space="preserve">expect to be connected everywhere, </w:t>
      </w:r>
      <w:r w:rsidR="00BE5F88">
        <w:rPr>
          <w:rFonts w:cs="Arial"/>
          <w:szCs w:val="20"/>
        </w:rPr>
        <w:t xml:space="preserve">all the </w:t>
      </w:r>
      <w:r w:rsidR="006F5136" w:rsidRPr="001961C9">
        <w:rPr>
          <w:rFonts w:cs="Arial"/>
          <w:szCs w:val="20"/>
        </w:rPr>
        <w:t xml:space="preserve">time, </w:t>
      </w:r>
      <w:r w:rsidR="009C048E">
        <w:rPr>
          <w:rFonts w:cs="Arial"/>
          <w:szCs w:val="20"/>
        </w:rPr>
        <w:t xml:space="preserve">e.g. </w:t>
      </w:r>
      <w:r w:rsidR="006F5136" w:rsidRPr="001961C9">
        <w:rPr>
          <w:rFonts w:cs="Arial"/>
          <w:szCs w:val="20"/>
        </w:rPr>
        <w:t>with all kind</w:t>
      </w:r>
      <w:r w:rsidR="009C048E">
        <w:rPr>
          <w:rFonts w:cs="Arial"/>
          <w:szCs w:val="20"/>
        </w:rPr>
        <w:t>s</w:t>
      </w:r>
      <w:r w:rsidR="006F5136" w:rsidRPr="001961C9">
        <w:rPr>
          <w:rFonts w:cs="Arial"/>
          <w:szCs w:val="20"/>
        </w:rPr>
        <w:t xml:space="preserve"> of mobile devices. This includes the </w:t>
      </w:r>
      <w:r w:rsidR="00BE5F88">
        <w:rPr>
          <w:rFonts w:cs="Arial"/>
          <w:szCs w:val="20"/>
        </w:rPr>
        <w:t>ability to access</w:t>
      </w:r>
      <w:r w:rsidR="006F5136" w:rsidRPr="001961C9">
        <w:rPr>
          <w:rFonts w:cs="Arial"/>
          <w:szCs w:val="20"/>
        </w:rPr>
        <w:t xml:space="preserve"> broadband services </w:t>
      </w:r>
      <w:r w:rsidR="00BE5F88">
        <w:rPr>
          <w:rFonts w:cs="Arial"/>
          <w:szCs w:val="20"/>
        </w:rPr>
        <w:t xml:space="preserve">while </w:t>
      </w:r>
      <w:r w:rsidR="006F5136" w:rsidRPr="001961C9">
        <w:rPr>
          <w:rFonts w:cs="Arial"/>
          <w:szCs w:val="20"/>
        </w:rPr>
        <w:t>on-board aircraft and European airlines have</w:t>
      </w:r>
      <w:r w:rsidR="00BE5F88">
        <w:rPr>
          <w:rFonts w:cs="Arial"/>
          <w:szCs w:val="20"/>
        </w:rPr>
        <w:t xml:space="preserve"> expressed</w:t>
      </w:r>
      <w:r w:rsidR="006F5136" w:rsidRPr="001961C9">
        <w:rPr>
          <w:rFonts w:cs="Arial"/>
          <w:szCs w:val="20"/>
        </w:rPr>
        <w:t xml:space="preserve"> </w:t>
      </w:r>
      <w:r w:rsidR="009C048E">
        <w:rPr>
          <w:rFonts w:cs="Arial"/>
          <w:szCs w:val="20"/>
        </w:rPr>
        <w:t xml:space="preserve">an </w:t>
      </w:r>
      <w:r w:rsidR="006F5136" w:rsidRPr="001961C9">
        <w:rPr>
          <w:rFonts w:cs="Arial"/>
          <w:szCs w:val="20"/>
        </w:rPr>
        <w:t xml:space="preserve">interest </w:t>
      </w:r>
      <w:r w:rsidR="00BE5F88">
        <w:rPr>
          <w:rFonts w:cs="Arial"/>
          <w:szCs w:val="20"/>
        </w:rPr>
        <w:t>in</w:t>
      </w:r>
      <w:r w:rsidR="006F5136" w:rsidRPr="001961C9">
        <w:rPr>
          <w:rFonts w:cs="Arial"/>
          <w:szCs w:val="20"/>
        </w:rPr>
        <w:t xml:space="preserve"> offer</w:t>
      </w:r>
      <w:r w:rsidR="00BE5F88">
        <w:rPr>
          <w:rFonts w:cs="Arial"/>
          <w:szCs w:val="20"/>
        </w:rPr>
        <w:t>ing</w:t>
      </w:r>
      <w:r w:rsidR="006F5136" w:rsidRPr="001961C9">
        <w:rPr>
          <w:rFonts w:cs="Arial"/>
          <w:szCs w:val="20"/>
        </w:rPr>
        <w:t xml:space="preserve"> internet services to their flight passengers in their continental fleets as soon as possible.</w:t>
      </w:r>
    </w:p>
    <w:p w:rsidR="00C5481D" w:rsidRPr="001961C9" w:rsidRDefault="00C5481D" w:rsidP="00C5481D">
      <w:pPr>
        <w:pStyle w:val="ECCParagraph"/>
        <w:rPr>
          <w:rFonts w:cs="Arial"/>
          <w:szCs w:val="20"/>
        </w:rPr>
      </w:pPr>
      <w:r w:rsidRPr="001961C9">
        <w:rPr>
          <w:rFonts w:cs="Arial"/>
          <w:szCs w:val="20"/>
        </w:rPr>
        <w:t xml:space="preserve">Direct-Air-to-Ground Communications (DA2GC) systems provide a bi-directional radio link between an Aircraft Station (AS) and a Ground Station (GS). The </w:t>
      </w:r>
      <w:r w:rsidR="009C048E" w:rsidRPr="001961C9">
        <w:rPr>
          <w:rFonts w:cs="Arial"/>
          <w:szCs w:val="20"/>
        </w:rPr>
        <w:t xml:space="preserve">aircraft station </w:t>
      </w:r>
      <w:r w:rsidRPr="001961C9">
        <w:rPr>
          <w:rFonts w:cs="Arial"/>
          <w:szCs w:val="20"/>
        </w:rPr>
        <w:t xml:space="preserve">is mounted on-board aircraft and is under the control of a network of ground stations which provide control and telecommunication functionalities for DA2GC. </w:t>
      </w:r>
    </w:p>
    <w:p w:rsidR="004972F0" w:rsidRPr="001961C9" w:rsidRDefault="00F04016" w:rsidP="006C03D0">
      <w:pPr>
        <w:pStyle w:val="ECCParagraph"/>
        <w:rPr>
          <w:rFonts w:cs="Arial"/>
          <w:szCs w:val="20"/>
        </w:rPr>
      </w:pPr>
      <w:r w:rsidRPr="001961C9">
        <w:rPr>
          <w:rFonts w:cs="Arial"/>
          <w:szCs w:val="20"/>
        </w:rPr>
        <w:t xml:space="preserve">Broadband DA2GC systems may operate in national airspace or international airspace. </w:t>
      </w:r>
    </w:p>
    <w:p w:rsidR="000A4670" w:rsidRPr="001961C9" w:rsidRDefault="004972F0" w:rsidP="006F22F1">
      <w:pPr>
        <w:pStyle w:val="ECCParagraph"/>
        <w:rPr>
          <w:rFonts w:cs="Arial"/>
          <w:szCs w:val="20"/>
        </w:rPr>
      </w:pPr>
      <w:r w:rsidRPr="001961C9">
        <w:rPr>
          <w:rFonts w:cs="Arial"/>
          <w:szCs w:val="20"/>
        </w:rPr>
        <w:t xml:space="preserve">This </w:t>
      </w:r>
      <w:r w:rsidR="00843FBC" w:rsidRPr="001961C9">
        <w:rPr>
          <w:rFonts w:cs="Arial"/>
          <w:szCs w:val="20"/>
        </w:rPr>
        <w:t xml:space="preserve">ECC </w:t>
      </w:r>
      <w:r w:rsidR="00CE3C18">
        <w:rPr>
          <w:rFonts w:cs="Arial"/>
          <w:szCs w:val="20"/>
        </w:rPr>
        <w:t>D</w:t>
      </w:r>
      <w:r w:rsidR="00CE3C18" w:rsidRPr="001961C9">
        <w:rPr>
          <w:rFonts w:cs="Arial"/>
          <w:szCs w:val="20"/>
        </w:rPr>
        <w:t xml:space="preserve">ecision </w:t>
      </w:r>
      <w:r w:rsidRPr="001961C9">
        <w:rPr>
          <w:rFonts w:cs="Arial"/>
          <w:szCs w:val="20"/>
        </w:rPr>
        <w:t>covers the radio regulatory aspects of operation of such systems, not the aviation safety aspects (both technical and human factors related) that are the responsibilities of the relevant aviation authorities</w:t>
      </w:r>
      <w:r w:rsidR="009D6919" w:rsidRPr="001961C9">
        <w:rPr>
          <w:rFonts w:cs="Arial"/>
          <w:szCs w:val="20"/>
        </w:rPr>
        <w:t>.</w:t>
      </w:r>
    </w:p>
    <w:p w:rsidR="00BB10FE" w:rsidRPr="001961C9" w:rsidRDefault="00BB10FE" w:rsidP="008370F9">
      <w:pPr>
        <w:pStyle w:val="Heading2"/>
        <w:rPr>
          <w:szCs w:val="20"/>
          <w:lang w:val="en-GB"/>
        </w:rPr>
      </w:pPr>
      <w:bookmarkStart w:id="0" w:name="_Toc517798079"/>
      <w:bookmarkStart w:id="1" w:name="_Toc517798626"/>
      <w:r w:rsidRPr="001961C9">
        <w:rPr>
          <w:szCs w:val="20"/>
          <w:lang w:val="en-GB"/>
        </w:rPr>
        <w:t>BACKGROUND</w:t>
      </w:r>
      <w:bookmarkEnd w:id="0"/>
      <w:bookmarkEnd w:id="1"/>
    </w:p>
    <w:p w:rsidR="00371D02" w:rsidRPr="001961C9" w:rsidRDefault="00371D02" w:rsidP="00371D02">
      <w:pPr>
        <w:pStyle w:val="ECCParagraph"/>
        <w:rPr>
          <w:rFonts w:cs="Arial"/>
          <w:szCs w:val="20"/>
        </w:rPr>
      </w:pPr>
      <w:r w:rsidRPr="001961C9">
        <w:rPr>
          <w:rFonts w:cs="Arial"/>
          <w:szCs w:val="20"/>
        </w:rPr>
        <w:t>Broadband DA2GC system</w:t>
      </w:r>
      <w:r w:rsidR="00912AC5" w:rsidRPr="001961C9">
        <w:rPr>
          <w:rFonts w:cs="Arial"/>
          <w:szCs w:val="20"/>
        </w:rPr>
        <w:t>s</w:t>
      </w:r>
      <w:r w:rsidRPr="001961C9">
        <w:rPr>
          <w:rFonts w:cs="Arial"/>
          <w:szCs w:val="20"/>
        </w:rPr>
        <w:t xml:space="preserve"> constitute an application for various types of telecommunications services, such as internet access and mobile multimedia services. </w:t>
      </w:r>
      <w:r w:rsidR="00912AC5" w:rsidRPr="001961C9">
        <w:rPr>
          <w:rFonts w:cs="Arial"/>
          <w:szCs w:val="20"/>
        </w:rPr>
        <w:t>Such systems</w:t>
      </w:r>
      <w:r w:rsidRPr="001961C9">
        <w:rPr>
          <w:rFonts w:cs="Arial"/>
          <w:szCs w:val="20"/>
        </w:rPr>
        <w:t xml:space="preserve"> aim to provide access to broadband communication services during continental </w:t>
      </w:r>
      <w:r w:rsidR="00C114A1" w:rsidRPr="001961C9">
        <w:rPr>
          <w:rFonts w:cs="Arial"/>
          <w:szCs w:val="20"/>
        </w:rPr>
        <w:t xml:space="preserve">flights on a Europe-wide basis. </w:t>
      </w:r>
      <w:r w:rsidRPr="001961C9">
        <w:rPr>
          <w:rFonts w:cs="Arial"/>
          <w:szCs w:val="20"/>
        </w:rPr>
        <w:t xml:space="preserve">The connection with the flight passengers’ user terminals </w:t>
      </w:r>
      <w:r w:rsidR="006C6818" w:rsidRPr="001961C9">
        <w:rPr>
          <w:rFonts w:cs="Arial"/>
          <w:szCs w:val="20"/>
        </w:rPr>
        <w:t xml:space="preserve">within an </w:t>
      </w:r>
      <w:r w:rsidRPr="001961C9">
        <w:rPr>
          <w:rFonts w:cs="Arial"/>
          <w:szCs w:val="20"/>
        </w:rPr>
        <w:t xml:space="preserve">aircraft is already available </w:t>
      </w:r>
      <w:r w:rsidR="00C114A1" w:rsidRPr="001961C9">
        <w:rPr>
          <w:rFonts w:cs="Arial"/>
          <w:szCs w:val="20"/>
        </w:rPr>
        <w:t xml:space="preserve">using a </w:t>
      </w:r>
      <w:r w:rsidR="004F4E63" w:rsidRPr="001961C9">
        <w:rPr>
          <w:rFonts w:cs="Arial"/>
          <w:szCs w:val="20"/>
        </w:rPr>
        <w:t xml:space="preserve">wired or wireless </w:t>
      </w:r>
      <w:r w:rsidRPr="001961C9">
        <w:rPr>
          <w:rFonts w:cs="Arial"/>
          <w:szCs w:val="20"/>
        </w:rPr>
        <w:t>on-board connectivity network.</w:t>
      </w:r>
    </w:p>
    <w:p w:rsidR="00BB10FE" w:rsidRPr="001961C9" w:rsidRDefault="00BB10FE" w:rsidP="005703C4">
      <w:pPr>
        <w:pStyle w:val="ECCParagraph"/>
        <w:rPr>
          <w:rFonts w:cs="Arial"/>
          <w:szCs w:val="20"/>
        </w:rPr>
      </w:pPr>
      <w:r w:rsidRPr="001961C9">
        <w:rPr>
          <w:rFonts w:cs="Arial"/>
          <w:szCs w:val="20"/>
        </w:rPr>
        <w:t xml:space="preserve">The </w:t>
      </w:r>
      <w:r w:rsidR="002645AF">
        <w:rPr>
          <w:rFonts w:cs="Arial"/>
          <w:szCs w:val="20"/>
        </w:rPr>
        <w:t>b</w:t>
      </w:r>
      <w:r w:rsidR="005149B7" w:rsidRPr="001961C9">
        <w:rPr>
          <w:rFonts w:cs="Arial"/>
          <w:szCs w:val="20"/>
        </w:rPr>
        <w:t xml:space="preserve">roadband DA2GC </w:t>
      </w:r>
      <w:r w:rsidRPr="001961C9">
        <w:rPr>
          <w:rFonts w:cs="Arial"/>
          <w:szCs w:val="20"/>
        </w:rPr>
        <w:t>system</w:t>
      </w:r>
      <w:r w:rsidR="00371D02" w:rsidRPr="001961C9">
        <w:rPr>
          <w:rFonts w:cs="Arial"/>
          <w:szCs w:val="20"/>
        </w:rPr>
        <w:t>s</w:t>
      </w:r>
      <w:r w:rsidRPr="001961C9">
        <w:rPr>
          <w:rFonts w:cs="Arial"/>
          <w:szCs w:val="20"/>
        </w:rPr>
        <w:t xml:space="preserve"> under consideration in this Decision (“the </w:t>
      </w:r>
      <w:r w:rsidR="00CE76C8" w:rsidRPr="001961C9">
        <w:rPr>
          <w:rFonts w:cs="Arial"/>
          <w:szCs w:val="20"/>
        </w:rPr>
        <w:t>s</w:t>
      </w:r>
      <w:r w:rsidRPr="001961C9">
        <w:rPr>
          <w:rFonts w:cs="Arial"/>
          <w:szCs w:val="20"/>
        </w:rPr>
        <w:t>ystem</w:t>
      </w:r>
      <w:r w:rsidR="00371D02" w:rsidRPr="001961C9">
        <w:rPr>
          <w:rFonts w:cs="Arial"/>
          <w:szCs w:val="20"/>
        </w:rPr>
        <w:t>s</w:t>
      </w:r>
      <w:r w:rsidRPr="001961C9">
        <w:rPr>
          <w:rFonts w:cs="Arial"/>
          <w:szCs w:val="20"/>
        </w:rPr>
        <w:t xml:space="preserve">”) </w:t>
      </w:r>
      <w:r w:rsidR="00371D02" w:rsidRPr="001961C9">
        <w:rPr>
          <w:rFonts w:cs="Arial"/>
          <w:szCs w:val="20"/>
        </w:rPr>
        <w:t>are</w:t>
      </w:r>
      <w:r w:rsidRPr="001961C9">
        <w:rPr>
          <w:rFonts w:cs="Arial"/>
          <w:szCs w:val="20"/>
        </w:rPr>
        <w:t xml:space="preserve"> intended to provide </w:t>
      </w:r>
      <w:r w:rsidR="00371D02" w:rsidRPr="001961C9">
        <w:rPr>
          <w:rFonts w:cs="Arial"/>
          <w:szCs w:val="20"/>
        </w:rPr>
        <w:t xml:space="preserve">connectivity between a network of ground stations and </w:t>
      </w:r>
      <w:r w:rsidR="00DB3517">
        <w:rPr>
          <w:rFonts w:cs="Arial"/>
          <w:szCs w:val="20"/>
        </w:rPr>
        <w:t xml:space="preserve">appropriately equipped </w:t>
      </w:r>
      <w:r w:rsidR="00371D02" w:rsidRPr="001961C9">
        <w:rPr>
          <w:rFonts w:cs="Arial"/>
          <w:szCs w:val="20"/>
        </w:rPr>
        <w:t>aircraft</w:t>
      </w:r>
      <w:r w:rsidRPr="001961C9">
        <w:rPr>
          <w:rFonts w:cs="Arial"/>
          <w:szCs w:val="20"/>
        </w:rPr>
        <w:t xml:space="preserve">. </w:t>
      </w:r>
      <w:r w:rsidRPr="002B254E">
        <w:rPr>
          <w:rFonts w:cs="Arial"/>
          <w:szCs w:val="20"/>
        </w:rPr>
        <w:t xml:space="preserve">The </w:t>
      </w:r>
      <w:r w:rsidR="00E65E14">
        <w:rPr>
          <w:rFonts w:cs="Arial"/>
          <w:szCs w:val="20"/>
        </w:rPr>
        <w:t xml:space="preserve">aircraft stations </w:t>
      </w:r>
      <w:r w:rsidRPr="002B254E">
        <w:rPr>
          <w:rFonts w:cs="Arial"/>
          <w:szCs w:val="20"/>
        </w:rPr>
        <w:t xml:space="preserve">will only </w:t>
      </w:r>
      <w:r w:rsidR="00C114A1" w:rsidRPr="002B254E">
        <w:rPr>
          <w:rFonts w:cs="Arial"/>
          <w:szCs w:val="20"/>
        </w:rPr>
        <w:t>transmit</w:t>
      </w:r>
      <w:r w:rsidRPr="002B254E">
        <w:rPr>
          <w:rFonts w:cs="Arial"/>
          <w:szCs w:val="20"/>
        </w:rPr>
        <w:t xml:space="preserve"> during certain phases of the flight and will not be operated while the aircraft is on the ground or during take-off and landing.</w:t>
      </w:r>
      <w:r w:rsidRPr="001961C9">
        <w:rPr>
          <w:rFonts w:cs="Arial"/>
          <w:szCs w:val="20"/>
        </w:rPr>
        <w:t xml:space="preserve"> </w:t>
      </w:r>
    </w:p>
    <w:p w:rsidR="00893DD8" w:rsidRPr="001961C9" w:rsidRDefault="00893DD8" w:rsidP="005703C4">
      <w:pPr>
        <w:pStyle w:val="ECCParagraph"/>
        <w:rPr>
          <w:rFonts w:cs="Arial"/>
          <w:szCs w:val="20"/>
        </w:rPr>
      </w:pPr>
      <w:r w:rsidRPr="001961C9">
        <w:rPr>
          <w:rFonts w:cs="Arial"/>
          <w:szCs w:val="20"/>
        </w:rPr>
        <w:t xml:space="preserve">The allocation or designation of frequency bands under specified conditions in CEPT member countries is laid down by law, regulation or administrative action. The ECC also recognises that for </w:t>
      </w:r>
      <w:r w:rsidR="002645AF">
        <w:rPr>
          <w:rFonts w:cs="Arial"/>
          <w:szCs w:val="20"/>
        </w:rPr>
        <w:t>b</w:t>
      </w:r>
      <w:r w:rsidR="00956281" w:rsidRPr="001961C9">
        <w:rPr>
          <w:rFonts w:cs="Arial"/>
          <w:szCs w:val="20"/>
        </w:rPr>
        <w:t xml:space="preserve">roadband </w:t>
      </w:r>
      <w:r w:rsidRPr="001961C9">
        <w:rPr>
          <w:rFonts w:cs="Arial"/>
          <w:szCs w:val="20"/>
        </w:rPr>
        <w:t>DA2GC systems on</w:t>
      </w:r>
      <w:r w:rsidR="00956281" w:rsidRPr="001961C9">
        <w:rPr>
          <w:rFonts w:cs="Arial"/>
          <w:szCs w:val="20"/>
        </w:rPr>
        <w:t>-</w:t>
      </w:r>
      <w:r w:rsidRPr="001961C9">
        <w:rPr>
          <w:rFonts w:cs="Arial"/>
          <w:szCs w:val="20"/>
        </w:rPr>
        <w:t xml:space="preserve">board aircraft to be introduced successfully throughout Europe, confidence must be given on the one hand to manufacturers to make the necessary investments and on the other hand to users of existing services that their protection will be ensured. </w:t>
      </w:r>
    </w:p>
    <w:p w:rsidR="00BB10FE" w:rsidRPr="001961C9" w:rsidRDefault="00BB10FE" w:rsidP="005703C4">
      <w:pPr>
        <w:pStyle w:val="ECCParagraph"/>
        <w:rPr>
          <w:rFonts w:cs="Arial"/>
          <w:szCs w:val="20"/>
        </w:rPr>
      </w:pPr>
      <w:r w:rsidRPr="001961C9">
        <w:rPr>
          <w:rFonts w:cs="Arial"/>
          <w:szCs w:val="20"/>
        </w:rPr>
        <w:t>Th</w:t>
      </w:r>
      <w:r w:rsidR="007D2A40" w:rsidRPr="001961C9">
        <w:rPr>
          <w:rFonts w:cs="Arial"/>
          <w:szCs w:val="20"/>
        </w:rPr>
        <w:t>is</w:t>
      </w:r>
      <w:r w:rsidRPr="001961C9">
        <w:rPr>
          <w:rFonts w:cs="Arial"/>
          <w:szCs w:val="20"/>
        </w:rPr>
        <w:t xml:space="preserve"> is </w:t>
      </w:r>
      <w:r w:rsidR="007D2A40" w:rsidRPr="001961C9">
        <w:rPr>
          <w:rFonts w:cs="Arial"/>
          <w:szCs w:val="20"/>
        </w:rPr>
        <w:t xml:space="preserve">particularly </w:t>
      </w:r>
      <w:r w:rsidRPr="001961C9">
        <w:rPr>
          <w:rFonts w:cs="Arial"/>
          <w:szCs w:val="20"/>
        </w:rPr>
        <w:t>need</w:t>
      </w:r>
      <w:r w:rsidR="007D2A40" w:rsidRPr="001961C9">
        <w:rPr>
          <w:rFonts w:cs="Arial"/>
          <w:szCs w:val="20"/>
        </w:rPr>
        <w:t>ed</w:t>
      </w:r>
      <w:r w:rsidRPr="001961C9">
        <w:rPr>
          <w:rFonts w:cs="Arial"/>
          <w:szCs w:val="20"/>
        </w:rPr>
        <w:t xml:space="preserve"> for </w:t>
      </w:r>
      <w:r w:rsidR="002645AF">
        <w:rPr>
          <w:rFonts w:cs="Arial"/>
          <w:szCs w:val="20"/>
        </w:rPr>
        <w:t>b</w:t>
      </w:r>
      <w:r w:rsidR="00A63B8B" w:rsidRPr="001961C9">
        <w:rPr>
          <w:rFonts w:cs="Arial"/>
          <w:szCs w:val="20"/>
        </w:rPr>
        <w:t xml:space="preserve">roadband DA2GC in order </w:t>
      </w:r>
      <w:r w:rsidRPr="001961C9">
        <w:rPr>
          <w:rFonts w:cs="Arial"/>
          <w:szCs w:val="20"/>
        </w:rPr>
        <w:t>to ensure the provision of an uninterrupted service whilst aircraft cross the borders of various countries and to reduce the regulatory requirements placed on administrations and aircraft operators.</w:t>
      </w:r>
    </w:p>
    <w:p w:rsidR="00BB10FE" w:rsidRPr="001961C9" w:rsidRDefault="00BB10FE" w:rsidP="005703C4">
      <w:pPr>
        <w:pStyle w:val="ECCParagraph"/>
        <w:rPr>
          <w:rFonts w:cs="Arial"/>
          <w:szCs w:val="20"/>
        </w:rPr>
      </w:pPr>
      <w:r w:rsidRPr="001961C9">
        <w:rPr>
          <w:rFonts w:cs="Arial"/>
          <w:szCs w:val="20"/>
        </w:rPr>
        <w:t>It will frequently be the case that</w:t>
      </w:r>
      <w:r w:rsidR="00C114A1" w:rsidRPr="001961C9">
        <w:rPr>
          <w:rFonts w:cs="Arial"/>
          <w:szCs w:val="20"/>
        </w:rPr>
        <w:t>,</w:t>
      </w:r>
      <w:r w:rsidRPr="001961C9">
        <w:rPr>
          <w:rFonts w:cs="Arial"/>
          <w:szCs w:val="20"/>
        </w:rPr>
        <w:t xml:space="preserve"> on any one flight</w:t>
      </w:r>
      <w:r w:rsidR="00C114A1" w:rsidRPr="001961C9">
        <w:rPr>
          <w:rFonts w:cs="Arial"/>
          <w:szCs w:val="20"/>
        </w:rPr>
        <w:t>,</w:t>
      </w:r>
      <w:r w:rsidRPr="001961C9">
        <w:rPr>
          <w:rFonts w:cs="Arial"/>
          <w:szCs w:val="20"/>
        </w:rPr>
        <w:t xml:space="preserve"> an aircraft will travel through the airspace of more than one country with the time spent in the airspace of any individual country being </w:t>
      </w:r>
      <w:r w:rsidR="00FA72B4" w:rsidRPr="001961C9">
        <w:rPr>
          <w:rFonts w:cs="Arial"/>
          <w:szCs w:val="20"/>
        </w:rPr>
        <w:t xml:space="preserve">typically </w:t>
      </w:r>
      <w:r w:rsidRPr="001961C9">
        <w:rPr>
          <w:rFonts w:cs="Arial"/>
          <w:szCs w:val="20"/>
        </w:rPr>
        <w:t xml:space="preserve">of short duration. An agreed regulatory approach is required to ensure that the spectrum utilised by the </w:t>
      </w:r>
      <w:r w:rsidR="00CE76C8" w:rsidRPr="001961C9">
        <w:rPr>
          <w:rFonts w:cs="Arial"/>
          <w:szCs w:val="20"/>
        </w:rPr>
        <w:t>s</w:t>
      </w:r>
      <w:r w:rsidRPr="001961C9">
        <w:rPr>
          <w:rFonts w:cs="Arial"/>
          <w:szCs w:val="20"/>
        </w:rPr>
        <w:t>ystem</w:t>
      </w:r>
      <w:r w:rsidR="00C114A1" w:rsidRPr="001961C9">
        <w:rPr>
          <w:rFonts w:cs="Arial"/>
          <w:szCs w:val="20"/>
        </w:rPr>
        <w:t>s</w:t>
      </w:r>
      <w:r w:rsidRPr="001961C9">
        <w:rPr>
          <w:rFonts w:cs="Arial"/>
          <w:szCs w:val="20"/>
        </w:rPr>
        <w:t xml:space="preserve"> can be used in any national airspace that the aircraft is crossing, provided that the </w:t>
      </w:r>
      <w:r w:rsidR="00CE76C8" w:rsidRPr="001961C9">
        <w:rPr>
          <w:rFonts w:cs="Arial"/>
          <w:szCs w:val="20"/>
        </w:rPr>
        <w:t>s</w:t>
      </w:r>
      <w:r w:rsidRPr="001961C9">
        <w:rPr>
          <w:rFonts w:cs="Arial"/>
          <w:szCs w:val="20"/>
        </w:rPr>
        <w:t>ystem</w:t>
      </w:r>
      <w:r w:rsidR="00371D02" w:rsidRPr="001961C9">
        <w:rPr>
          <w:rFonts w:cs="Arial"/>
          <w:szCs w:val="20"/>
        </w:rPr>
        <w:t>s conform</w:t>
      </w:r>
      <w:r w:rsidRPr="001961C9">
        <w:rPr>
          <w:rFonts w:cs="Arial"/>
          <w:szCs w:val="20"/>
        </w:rPr>
        <w:t xml:space="preserve"> to agreed limits in order to prevent harmful interference.</w:t>
      </w:r>
    </w:p>
    <w:p w:rsidR="00BB10FE" w:rsidRPr="001961C9" w:rsidRDefault="00BB10FE" w:rsidP="00BB10FE">
      <w:pPr>
        <w:pStyle w:val="ECCParagraph"/>
        <w:rPr>
          <w:rFonts w:cs="Arial"/>
          <w:szCs w:val="20"/>
        </w:rPr>
      </w:pPr>
      <w:r w:rsidRPr="001961C9">
        <w:rPr>
          <w:rFonts w:cs="Arial"/>
          <w:szCs w:val="20"/>
        </w:rPr>
        <w:t xml:space="preserve">Airworthiness certification of the </w:t>
      </w:r>
      <w:r w:rsidR="00CE76C8" w:rsidRPr="001961C9">
        <w:rPr>
          <w:rFonts w:cs="Arial"/>
          <w:szCs w:val="20"/>
        </w:rPr>
        <w:t>s</w:t>
      </w:r>
      <w:r w:rsidRPr="001961C9">
        <w:rPr>
          <w:rFonts w:cs="Arial"/>
          <w:szCs w:val="20"/>
        </w:rPr>
        <w:t>ystem</w:t>
      </w:r>
      <w:r w:rsidR="00C114A1" w:rsidRPr="001961C9">
        <w:rPr>
          <w:rFonts w:cs="Arial"/>
          <w:szCs w:val="20"/>
        </w:rPr>
        <w:t>s’</w:t>
      </w:r>
      <w:r w:rsidR="00542C60" w:rsidRPr="001961C9">
        <w:rPr>
          <w:rFonts w:cs="Arial"/>
          <w:szCs w:val="20"/>
        </w:rPr>
        <w:t xml:space="preserve"> aircraft</w:t>
      </w:r>
      <w:r w:rsidR="00C114A1" w:rsidRPr="001961C9">
        <w:rPr>
          <w:rFonts w:cs="Arial"/>
          <w:szCs w:val="20"/>
        </w:rPr>
        <w:t xml:space="preserve"> </w:t>
      </w:r>
      <w:r w:rsidR="00542C60" w:rsidRPr="001961C9">
        <w:rPr>
          <w:rFonts w:cs="Arial"/>
          <w:szCs w:val="20"/>
        </w:rPr>
        <w:t>component</w:t>
      </w:r>
      <w:r w:rsidR="00C114A1" w:rsidRPr="001961C9">
        <w:rPr>
          <w:rFonts w:cs="Arial"/>
          <w:szCs w:val="20"/>
        </w:rPr>
        <w:t>s</w:t>
      </w:r>
      <w:r w:rsidRPr="001961C9">
        <w:rPr>
          <w:rFonts w:cs="Arial"/>
          <w:szCs w:val="20"/>
        </w:rPr>
        <w:t xml:space="preserve"> is the separate responsibility of the relevant aviation authorities for the country of registration of the aircraft.</w:t>
      </w:r>
    </w:p>
    <w:p w:rsidR="000A4670" w:rsidRPr="001961C9" w:rsidRDefault="000A4670" w:rsidP="000A4670">
      <w:pPr>
        <w:pStyle w:val="ECCParagraph"/>
        <w:rPr>
          <w:rFonts w:cs="Arial"/>
          <w:szCs w:val="20"/>
        </w:rPr>
      </w:pPr>
      <w:r w:rsidRPr="001961C9">
        <w:rPr>
          <w:rFonts w:cs="Arial"/>
          <w:szCs w:val="20"/>
        </w:rPr>
        <w:t xml:space="preserve">The </w:t>
      </w:r>
      <w:r w:rsidR="00DB3517">
        <w:rPr>
          <w:rFonts w:cs="Arial"/>
          <w:szCs w:val="20"/>
        </w:rPr>
        <w:t>wireless</w:t>
      </w:r>
      <w:r w:rsidR="00DB3517" w:rsidRPr="001961C9">
        <w:rPr>
          <w:rFonts w:cs="Arial"/>
          <w:szCs w:val="20"/>
        </w:rPr>
        <w:t xml:space="preserve"> </w:t>
      </w:r>
      <w:r w:rsidRPr="001961C9">
        <w:rPr>
          <w:rFonts w:cs="Arial"/>
          <w:szCs w:val="20"/>
        </w:rPr>
        <w:t xml:space="preserve">link between the aircraft and </w:t>
      </w:r>
      <w:r w:rsidR="00B51101" w:rsidRPr="001961C9">
        <w:rPr>
          <w:rFonts w:cs="Arial"/>
          <w:szCs w:val="20"/>
        </w:rPr>
        <w:t xml:space="preserve">the worldwide </w:t>
      </w:r>
      <w:r w:rsidRPr="001961C9">
        <w:rPr>
          <w:rFonts w:cs="Arial"/>
          <w:szCs w:val="20"/>
        </w:rPr>
        <w:t>broadband network</w:t>
      </w:r>
      <w:r w:rsidR="00B51101" w:rsidRPr="001961C9">
        <w:rPr>
          <w:rFonts w:cs="Arial"/>
          <w:szCs w:val="20"/>
        </w:rPr>
        <w:t xml:space="preserve"> (e.</w:t>
      </w:r>
      <w:r w:rsidR="00E65E14">
        <w:rPr>
          <w:rFonts w:cs="Arial"/>
          <w:szCs w:val="20"/>
        </w:rPr>
        <w:t>g.</w:t>
      </w:r>
      <w:r w:rsidR="00B51101" w:rsidRPr="001961C9">
        <w:rPr>
          <w:rFonts w:cs="Arial"/>
          <w:szCs w:val="20"/>
        </w:rPr>
        <w:t xml:space="preserve"> Internet)</w:t>
      </w:r>
      <w:r w:rsidRPr="001961C9">
        <w:rPr>
          <w:rFonts w:cs="Arial"/>
          <w:szCs w:val="20"/>
        </w:rPr>
        <w:t xml:space="preserve"> can be established </w:t>
      </w:r>
      <w:r w:rsidR="008E1B3E" w:rsidRPr="001961C9">
        <w:rPr>
          <w:rFonts w:cs="Arial"/>
          <w:szCs w:val="20"/>
        </w:rPr>
        <w:t xml:space="preserve">either </w:t>
      </w:r>
      <w:r w:rsidRPr="001961C9">
        <w:rPr>
          <w:rFonts w:cs="Arial"/>
          <w:szCs w:val="20"/>
        </w:rPr>
        <w:t xml:space="preserve">by means of </w:t>
      </w:r>
      <w:r w:rsidR="00B51101" w:rsidRPr="001961C9">
        <w:rPr>
          <w:rFonts w:cs="Arial"/>
          <w:szCs w:val="20"/>
        </w:rPr>
        <w:t>broadband DA2GC systems or via satellites</w:t>
      </w:r>
      <w:r w:rsidRPr="001961C9">
        <w:rPr>
          <w:rFonts w:cs="Arial"/>
          <w:szCs w:val="20"/>
        </w:rPr>
        <w:t xml:space="preserve">. </w:t>
      </w:r>
      <w:r w:rsidR="00B51101" w:rsidRPr="0004158C">
        <w:rPr>
          <w:rFonts w:cs="Arial"/>
          <w:szCs w:val="20"/>
        </w:rPr>
        <w:t xml:space="preserve">Broadband </w:t>
      </w:r>
      <w:r w:rsidRPr="0004158C">
        <w:rPr>
          <w:rFonts w:cs="Arial"/>
          <w:szCs w:val="20"/>
        </w:rPr>
        <w:t>DA2GC</w:t>
      </w:r>
      <w:r w:rsidR="00B51101" w:rsidRPr="0004158C">
        <w:rPr>
          <w:rFonts w:cs="Arial"/>
          <w:szCs w:val="20"/>
        </w:rPr>
        <w:t xml:space="preserve"> systems </w:t>
      </w:r>
      <w:r w:rsidR="00B51101" w:rsidRPr="0004158C">
        <w:rPr>
          <w:rFonts w:cs="Arial"/>
          <w:szCs w:val="20"/>
        </w:rPr>
        <w:lastRenderedPageBreak/>
        <w:t xml:space="preserve">and satellites </w:t>
      </w:r>
      <w:r w:rsidRPr="0004158C">
        <w:rPr>
          <w:rFonts w:cs="Arial"/>
          <w:szCs w:val="20"/>
        </w:rPr>
        <w:t>can be seen as alternative technical solutions which are in competition. On the other hand, both solutions could also be seen as complementary to each other.</w:t>
      </w:r>
    </w:p>
    <w:p w:rsidR="008E1B3E" w:rsidRPr="001961C9" w:rsidRDefault="008E1B3E" w:rsidP="008E1B3E">
      <w:pPr>
        <w:pStyle w:val="ECCParagraph"/>
        <w:rPr>
          <w:rFonts w:cs="Arial"/>
          <w:szCs w:val="20"/>
        </w:rPr>
      </w:pPr>
      <w:r w:rsidRPr="001961C9">
        <w:rPr>
          <w:rFonts w:cs="Arial"/>
          <w:szCs w:val="20"/>
        </w:rPr>
        <w:t xml:space="preserve">MSS systems (1980-2010 MHz / 2170-2200 MHz) are being developed and such systems may include a Complementary Ground Component (CGC). In Europe, MSS </w:t>
      </w:r>
      <w:r w:rsidR="005D2CBD">
        <w:rPr>
          <w:rFonts w:cs="Arial"/>
          <w:szCs w:val="20"/>
        </w:rPr>
        <w:t xml:space="preserve">CGC </w:t>
      </w:r>
      <w:r w:rsidRPr="001961C9">
        <w:rPr>
          <w:rFonts w:cs="Arial"/>
          <w:szCs w:val="20"/>
        </w:rPr>
        <w:t>systems might also be used to provide communication to aircraft.</w:t>
      </w:r>
    </w:p>
    <w:p w:rsidR="006C03D0" w:rsidRPr="001961C9" w:rsidRDefault="005F7AD5" w:rsidP="006C03D0">
      <w:pPr>
        <w:pStyle w:val="Heading2"/>
        <w:rPr>
          <w:szCs w:val="20"/>
          <w:lang w:val="en-GB"/>
        </w:rPr>
      </w:pPr>
      <w:r w:rsidRPr="001961C9">
        <w:rPr>
          <w:szCs w:val="20"/>
          <w:lang w:val="en-GB"/>
        </w:rPr>
        <w:t>REQUIREMENT FOR AN ECC DECISION</w:t>
      </w:r>
    </w:p>
    <w:p w:rsidR="008231C9" w:rsidRPr="001961C9" w:rsidRDefault="00667F1F" w:rsidP="007016B5">
      <w:pPr>
        <w:pStyle w:val="ECCParagraph"/>
        <w:rPr>
          <w:rFonts w:cs="Arial"/>
          <w:szCs w:val="20"/>
        </w:rPr>
      </w:pPr>
      <w:r w:rsidRPr="001961C9">
        <w:rPr>
          <w:rFonts w:cs="Arial"/>
          <w:szCs w:val="20"/>
        </w:rPr>
        <w:t xml:space="preserve">Broadband DA2GC systems are planned to be deployed in Europe by 2017. </w:t>
      </w:r>
    </w:p>
    <w:p w:rsidR="00BB10FE" w:rsidRPr="001961C9" w:rsidRDefault="00BB10FE" w:rsidP="007016B5">
      <w:pPr>
        <w:pStyle w:val="ECCParagraph"/>
        <w:rPr>
          <w:rFonts w:cs="Arial"/>
          <w:szCs w:val="20"/>
        </w:rPr>
      </w:pPr>
      <w:r w:rsidRPr="001961C9">
        <w:rPr>
          <w:rFonts w:cs="Arial"/>
          <w:szCs w:val="20"/>
        </w:rPr>
        <w:t>There is a need for an ECC Decision to allow for the harmonised use</w:t>
      </w:r>
      <w:r w:rsidR="006F22F1" w:rsidRPr="001961C9">
        <w:rPr>
          <w:rFonts w:cs="Arial"/>
          <w:szCs w:val="20"/>
        </w:rPr>
        <w:t xml:space="preserve"> </w:t>
      </w:r>
      <w:r w:rsidRPr="001961C9">
        <w:rPr>
          <w:rFonts w:cs="Arial"/>
          <w:szCs w:val="20"/>
        </w:rPr>
        <w:t xml:space="preserve">of the </w:t>
      </w:r>
      <w:r w:rsidR="00D91D5C" w:rsidRPr="001961C9">
        <w:rPr>
          <w:rFonts w:cs="Arial"/>
          <w:szCs w:val="20"/>
        </w:rPr>
        <w:t xml:space="preserve">5855-5875 </w:t>
      </w:r>
      <w:r w:rsidR="00371D02" w:rsidRPr="001961C9">
        <w:rPr>
          <w:rFonts w:cs="Arial"/>
          <w:szCs w:val="20"/>
        </w:rPr>
        <w:t>MHz</w:t>
      </w:r>
      <w:r w:rsidR="00667F1F" w:rsidRPr="001961C9">
        <w:rPr>
          <w:rFonts w:cs="Arial"/>
          <w:szCs w:val="20"/>
        </w:rPr>
        <w:t xml:space="preserve"> </w:t>
      </w:r>
      <w:r w:rsidRPr="001961C9">
        <w:rPr>
          <w:rFonts w:cs="Arial"/>
          <w:szCs w:val="20"/>
        </w:rPr>
        <w:t>frequency band</w:t>
      </w:r>
      <w:r w:rsidR="008231C9" w:rsidRPr="001961C9">
        <w:rPr>
          <w:rFonts w:cs="Arial"/>
          <w:szCs w:val="20"/>
        </w:rPr>
        <w:t xml:space="preserve"> for broadband DA2GC</w:t>
      </w:r>
      <w:r w:rsidRPr="001961C9">
        <w:rPr>
          <w:rFonts w:cs="Arial"/>
          <w:szCs w:val="20"/>
        </w:rPr>
        <w:t>.</w:t>
      </w:r>
    </w:p>
    <w:p w:rsidR="008231C9" w:rsidRPr="001961C9" w:rsidRDefault="008231C9" w:rsidP="007016B5">
      <w:pPr>
        <w:pStyle w:val="ECCParagraph"/>
        <w:rPr>
          <w:rFonts w:cs="Arial"/>
          <w:szCs w:val="20"/>
        </w:rPr>
      </w:pPr>
      <w:r w:rsidRPr="001961C9">
        <w:rPr>
          <w:rFonts w:cs="Arial"/>
          <w:szCs w:val="20"/>
        </w:rPr>
        <w:t>A commitment by CEPT member countries to implement an ECC Decision will provide a clear indication that th</w:t>
      </w:r>
      <w:r w:rsidR="00E2080D">
        <w:rPr>
          <w:rFonts w:cs="Arial"/>
          <w:szCs w:val="20"/>
        </w:rPr>
        <w:t>is</w:t>
      </w:r>
      <w:r w:rsidRPr="001961C9">
        <w:rPr>
          <w:rFonts w:cs="Arial"/>
          <w:szCs w:val="20"/>
        </w:rPr>
        <w:t xml:space="preserve"> frequency range will be made available on time and on a Europe-wide basis and that the means to ensure protection of existing services will be applied.</w:t>
      </w:r>
    </w:p>
    <w:p w:rsidR="008231C9" w:rsidRPr="001961C9" w:rsidRDefault="008231C9" w:rsidP="00BB10FE">
      <w:pPr>
        <w:tabs>
          <w:tab w:val="left" w:pos="441"/>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jc w:val="both"/>
        <w:rPr>
          <w:rFonts w:cs="Arial"/>
          <w:szCs w:val="20"/>
          <w:lang w:val="en-GB"/>
        </w:rPr>
      </w:pPr>
    </w:p>
    <w:p w:rsidR="00BB10FE" w:rsidRPr="001961C9" w:rsidRDefault="00BB10FE">
      <w:pPr>
        <w:rPr>
          <w:rFonts w:cs="Arial"/>
          <w:szCs w:val="20"/>
          <w:lang w:val="en-GB"/>
        </w:rPr>
      </w:pPr>
      <w:r w:rsidRPr="001961C9">
        <w:rPr>
          <w:rFonts w:cs="Arial"/>
          <w:szCs w:val="20"/>
          <w:lang w:val="en-GB"/>
        </w:rPr>
        <w:br w:type="page"/>
      </w:r>
    </w:p>
    <w:p w:rsidR="006C03D0" w:rsidRPr="001961C9" w:rsidRDefault="005F7AD5" w:rsidP="005C1E4B">
      <w:pPr>
        <w:pStyle w:val="Heading1"/>
        <w:rPr>
          <w:szCs w:val="20"/>
        </w:rPr>
      </w:pPr>
      <w:r w:rsidRPr="001961C9">
        <w:rPr>
          <w:szCs w:val="20"/>
        </w:rPr>
        <w:lastRenderedPageBreak/>
        <w:t>ECC Decision of</w:t>
      </w:r>
      <w:r w:rsidR="00A8085A" w:rsidRPr="001961C9">
        <w:rPr>
          <w:szCs w:val="20"/>
        </w:rPr>
        <w:t xml:space="preserve"> </w:t>
      </w:r>
      <w:r w:rsidR="00C868F4">
        <w:rPr>
          <w:szCs w:val="20"/>
        </w:rPr>
        <w:t>3 july 2015</w:t>
      </w:r>
      <w:r w:rsidR="00A8085A" w:rsidRPr="001961C9">
        <w:rPr>
          <w:szCs w:val="20"/>
        </w:rPr>
        <w:t xml:space="preserve"> </w:t>
      </w:r>
      <w:r w:rsidRPr="001961C9">
        <w:rPr>
          <w:szCs w:val="20"/>
        </w:rPr>
        <w:t>on</w:t>
      </w:r>
      <w:r w:rsidR="00A8085A" w:rsidRPr="001961C9">
        <w:rPr>
          <w:szCs w:val="20"/>
        </w:rPr>
        <w:t xml:space="preserve"> </w:t>
      </w:r>
      <w:r w:rsidR="00BB10FE" w:rsidRPr="001961C9">
        <w:rPr>
          <w:szCs w:val="20"/>
        </w:rPr>
        <w:t xml:space="preserve">the harmonised use of </w:t>
      </w:r>
      <w:r w:rsidR="00687CB0" w:rsidRPr="001961C9">
        <w:rPr>
          <w:szCs w:val="20"/>
        </w:rPr>
        <w:t xml:space="preserve">Broadband </w:t>
      </w:r>
      <w:r w:rsidR="002616B5" w:rsidRPr="001961C9">
        <w:rPr>
          <w:szCs w:val="20"/>
        </w:rPr>
        <w:t>DIRECT AIR</w:t>
      </w:r>
      <w:r w:rsidR="00517272" w:rsidRPr="001961C9">
        <w:rPr>
          <w:szCs w:val="20"/>
        </w:rPr>
        <w:t>-</w:t>
      </w:r>
      <w:r w:rsidR="002616B5" w:rsidRPr="001961C9">
        <w:rPr>
          <w:szCs w:val="20"/>
        </w:rPr>
        <w:t>TO</w:t>
      </w:r>
      <w:r w:rsidR="00517272" w:rsidRPr="001961C9">
        <w:rPr>
          <w:szCs w:val="20"/>
        </w:rPr>
        <w:t>-</w:t>
      </w:r>
      <w:r w:rsidR="002616B5" w:rsidRPr="001961C9">
        <w:rPr>
          <w:szCs w:val="20"/>
        </w:rPr>
        <w:t xml:space="preserve"> GROUND COMMUNICATIONS</w:t>
      </w:r>
      <w:r w:rsidR="00A8085A" w:rsidRPr="001961C9">
        <w:rPr>
          <w:szCs w:val="20"/>
        </w:rPr>
        <w:t xml:space="preserve"> </w:t>
      </w:r>
      <w:r w:rsidR="00BB10FE" w:rsidRPr="001961C9">
        <w:rPr>
          <w:szCs w:val="20"/>
        </w:rPr>
        <w:t xml:space="preserve">systems in the frequency band </w:t>
      </w:r>
      <w:r w:rsidR="00D91D5C" w:rsidRPr="001961C9">
        <w:rPr>
          <w:szCs w:val="20"/>
        </w:rPr>
        <w:t xml:space="preserve">5855-5875 </w:t>
      </w:r>
      <w:r w:rsidR="002616B5" w:rsidRPr="001961C9">
        <w:rPr>
          <w:szCs w:val="20"/>
        </w:rPr>
        <w:t>MH</w:t>
      </w:r>
      <w:r w:rsidR="002616B5" w:rsidRPr="00E014B4">
        <w:rPr>
          <w:sz w:val="16"/>
          <w:szCs w:val="20"/>
        </w:rPr>
        <w:t>z</w:t>
      </w:r>
      <w:r w:rsidR="002616B5" w:rsidRPr="001961C9">
        <w:rPr>
          <w:szCs w:val="20"/>
        </w:rPr>
        <w:t xml:space="preserve"> </w:t>
      </w:r>
    </w:p>
    <w:p w:rsidR="006C03D0" w:rsidRPr="001961C9" w:rsidRDefault="005F7AD5" w:rsidP="006C03D0">
      <w:pPr>
        <w:pStyle w:val="ECCParagraph"/>
        <w:rPr>
          <w:rFonts w:cs="Arial"/>
          <w:szCs w:val="20"/>
        </w:rPr>
      </w:pPr>
      <w:r w:rsidRPr="001961C9">
        <w:rPr>
          <w:rFonts w:cs="Arial"/>
          <w:szCs w:val="20"/>
        </w:rPr>
        <w:t>“The European Conference of Postal and Tele</w:t>
      </w:r>
      <w:r w:rsidR="00E72287" w:rsidRPr="001961C9">
        <w:rPr>
          <w:rFonts w:cs="Arial"/>
          <w:szCs w:val="20"/>
        </w:rPr>
        <w:t>communications Administrations,</w:t>
      </w:r>
    </w:p>
    <w:p w:rsidR="006C03D0" w:rsidRPr="001961C9" w:rsidRDefault="00BB10FE" w:rsidP="006C03D0">
      <w:pPr>
        <w:pStyle w:val="ECCParagraph"/>
        <w:rPr>
          <w:rFonts w:cs="Arial"/>
          <w:i/>
          <w:color w:val="D2232A"/>
          <w:szCs w:val="20"/>
        </w:rPr>
      </w:pPr>
      <w:proofErr w:type="gramStart"/>
      <w:r w:rsidRPr="001961C9">
        <w:rPr>
          <w:rFonts w:cs="Arial"/>
          <w:i/>
          <w:color w:val="D2232A"/>
          <w:szCs w:val="20"/>
        </w:rPr>
        <w:t>considering</w:t>
      </w:r>
      <w:proofErr w:type="gramEnd"/>
    </w:p>
    <w:p w:rsidR="00CC141C" w:rsidRPr="009F2D64" w:rsidRDefault="009A5BAA" w:rsidP="00F609F5">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 xml:space="preserve">that the introduction of </w:t>
      </w:r>
      <w:r w:rsidR="002645AF">
        <w:rPr>
          <w:rFonts w:cs="Arial"/>
          <w:szCs w:val="20"/>
          <w:lang w:val="en-GB"/>
        </w:rPr>
        <w:t>b</w:t>
      </w:r>
      <w:r w:rsidRPr="001961C9">
        <w:rPr>
          <w:rFonts w:cs="Arial"/>
          <w:szCs w:val="20"/>
          <w:lang w:val="en-GB"/>
        </w:rPr>
        <w:t xml:space="preserve">roadband DA2GC </w:t>
      </w:r>
      <w:r w:rsidR="008B3ACC">
        <w:rPr>
          <w:rFonts w:cs="Arial"/>
          <w:szCs w:val="20"/>
          <w:lang w:val="en-GB"/>
        </w:rPr>
        <w:t xml:space="preserve"> enables </w:t>
      </w:r>
      <w:r w:rsidRPr="001961C9">
        <w:rPr>
          <w:rFonts w:cs="Arial"/>
          <w:szCs w:val="20"/>
          <w:lang w:val="en-GB"/>
        </w:rPr>
        <w:t xml:space="preserve">broadband communications services during </w:t>
      </w:r>
      <w:r w:rsidRPr="009F2D64">
        <w:rPr>
          <w:rFonts w:cs="Arial"/>
          <w:szCs w:val="20"/>
          <w:lang w:val="en-GB"/>
        </w:rPr>
        <w:t>continental flights</w:t>
      </w:r>
      <w:r w:rsidR="008B3ACC">
        <w:rPr>
          <w:rFonts w:cs="Arial"/>
          <w:szCs w:val="20"/>
          <w:lang w:val="en-GB"/>
        </w:rPr>
        <w:t xml:space="preserve"> over wide territories in the CEPT</w:t>
      </w:r>
      <w:r w:rsidRPr="009F2D64">
        <w:rPr>
          <w:rFonts w:cs="Arial"/>
          <w:szCs w:val="20"/>
          <w:lang w:val="en-GB"/>
        </w:rPr>
        <w:t>;</w:t>
      </w:r>
    </w:p>
    <w:p w:rsidR="00FD28C1" w:rsidRPr="009F2D64" w:rsidRDefault="00FD28C1" w:rsidP="00C10A20">
      <w:pPr>
        <w:pStyle w:val="ListParagraph"/>
        <w:numPr>
          <w:ilvl w:val="0"/>
          <w:numId w:val="12"/>
        </w:numPr>
        <w:tabs>
          <w:tab w:val="left" w:pos="567"/>
        </w:tabs>
        <w:spacing w:after="240"/>
        <w:ind w:left="567" w:hanging="567"/>
        <w:contextualSpacing w:val="0"/>
        <w:jc w:val="both"/>
        <w:rPr>
          <w:rFonts w:cs="Arial"/>
          <w:szCs w:val="20"/>
          <w:lang w:val="en-GB"/>
        </w:rPr>
      </w:pPr>
      <w:r w:rsidRPr="009F2D64">
        <w:rPr>
          <w:rFonts w:cs="Arial"/>
          <w:szCs w:val="20"/>
          <w:lang w:val="en-GB"/>
        </w:rPr>
        <w:t xml:space="preserve">that </w:t>
      </w:r>
      <w:r w:rsidR="0066098D" w:rsidRPr="009F2D64">
        <w:rPr>
          <w:rFonts w:cs="Arial"/>
          <w:szCs w:val="20"/>
          <w:lang w:val="en-GB"/>
        </w:rPr>
        <w:t xml:space="preserve"> a</w:t>
      </w:r>
      <w:r w:rsidR="008B3ACC">
        <w:rPr>
          <w:rFonts w:cs="Arial"/>
          <w:szCs w:val="20"/>
          <w:lang w:val="en-GB"/>
        </w:rPr>
        <w:t>viation</w:t>
      </w:r>
      <w:r w:rsidR="00735718" w:rsidRPr="009F2D64">
        <w:rPr>
          <w:rFonts w:cs="Arial"/>
          <w:szCs w:val="20"/>
          <w:lang w:val="en-GB"/>
        </w:rPr>
        <w:t xml:space="preserve"> </w:t>
      </w:r>
      <w:r w:rsidRPr="009F2D64">
        <w:rPr>
          <w:rFonts w:cs="Arial"/>
          <w:szCs w:val="20"/>
          <w:lang w:val="en-GB"/>
        </w:rPr>
        <w:t xml:space="preserve">passengers can be offered connectivity on </w:t>
      </w:r>
      <w:r w:rsidR="004261DC">
        <w:rPr>
          <w:rFonts w:cs="Arial"/>
          <w:szCs w:val="20"/>
          <w:lang w:val="en-GB"/>
        </w:rPr>
        <w:t xml:space="preserve">European </w:t>
      </w:r>
      <w:r w:rsidRPr="009F2D64">
        <w:rPr>
          <w:rFonts w:cs="Arial"/>
          <w:szCs w:val="20"/>
          <w:lang w:val="en-GB"/>
        </w:rPr>
        <w:t xml:space="preserve">continental and intercontinental flights for aircraft equipped </w:t>
      </w:r>
      <w:r w:rsidR="009F2D64" w:rsidRPr="009F2D64">
        <w:rPr>
          <w:rFonts w:cs="Arial"/>
          <w:szCs w:val="20"/>
          <w:lang w:val="en-GB"/>
        </w:rPr>
        <w:t>for terrestrial and/or satellite communications systems</w:t>
      </w:r>
      <w:r w:rsidR="00C10A20">
        <w:rPr>
          <w:rFonts w:cs="Arial"/>
          <w:szCs w:val="20"/>
          <w:lang w:val="en-GB"/>
        </w:rPr>
        <w:t xml:space="preserve">; </w:t>
      </w:r>
    </w:p>
    <w:p w:rsidR="00AD6001" w:rsidRPr="009F2D64" w:rsidRDefault="00AD6001" w:rsidP="00FD28C1">
      <w:pPr>
        <w:pStyle w:val="ListParagraph"/>
        <w:numPr>
          <w:ilvl w:val="0"/>
          <w:numId w:val="12"/>
        </w:numPr>
        <w:tabs>
          <w:tab w:val="left" w:pos="567"/>
        </w:tabs>
        <w:spacing w:after="240"/>
        <w:ind w:left="567" w:hanging="567"/>
        <w:contextualSpacing w:val="0"/>
        <w:jc w:val="both"/>
        <w:rPr>
          <w:rFonts w:cs="Arial"/>
          <w:szCs w:val="20"/>
          <w:lang w:val="en-GB"/>
        </w:rPr>
      </w:pPr>
      <w:r w:rsidRPr="009F2D64">
        <w:rPr>
          <w:rFonts w:cs="Arial"/>
          <w:szCs w:val="20"/>
          <w:lang w:val="en-GB"/>
        </w:rPr>
        <w:t xml:space="preserve">that  </w:t>
      </w:r>
      <w:r w:rsidR="002645AF" w:rsidRPr="009F2D64">
        <w:rPr>
          <w:rFonts w:cs="Arial"/>
          <w:szCs w:val="20"/>
          <w:lang w:val="en-GB"/>
        </w:rPr>
        <w:t>b</w:t>
      </w:r>
      <w:r w:rsidRPr="009F2D64">
        <w:rPr>
          <w:rFonts w:cs="Arial"/>
          <w:szCs w:val="20"/>
          <w:lang w:val="en-GB"/>
        </w:rPr>
        <w:t xml:space="preserve">roadband DA2GC systems </w:t>
      </w:r>
      <w:r w:rsidR="008B3ACC">
        <w:rPr>
          <w:rFonts w:cs="Arial"/>
          <w:szCs w:val="20"/>
          <w:lang w:val="en-GB"/>
        </w:rPr>
        <w:t xml:space="preserve">are likely to </w:t>
      </w:r>
      <w:r w:rsidRPr="009F2D64">
        <w:rPr>
          <w:rFonts w:cs="Arial"/>
          <w:szCs w:val="20"/>
          <w:lang w:val="en-GB"/>
        </w:rPr>
        <w:t>be used</w:t>
      </w:r>
      <w:r w:rsidR="002C0CF2">
        <w:rPr>
          <w:rFonts w:cs="Arial"/>
          <w:szCs w:val="20"/>
          <w:lang w:val="en-GB"/>
        </w:rPr>
        <w:t xml:space="preserve"> also</w:t>
      </w:r>
      <w:r w:rsidRPr="009F2D64">
        <w:rPr>
          <w:rFonts w:cs="Arial"/>
          <w:szCs w:val="20"/>
          <w:lang w:val="en-GB"/>
        </w:rPr>
        <w:t xml:space="preserve"> for non-safety air</w:t>
      </w:r>
      <w:r w:rsidR="00FD179D" w:rsidRPr="009F2D64">
        <w:rPr>
          <w:rFonts w:cs="Arial"/>
          <w:szCs w:val="20"/>
          <w:lang w:val="en-GB"/>
        </w:rPr>
        <w:t>line</w:t>
      </w:r>
      <w:r w:rsidRPr="009F2D64">
        <w:rPr>
          <w:rFonts w:cs="Arial"/>
          <w:szCs w:val="20"/>
          <w:lang w:val="en-GB"/>
        </w:rPr>
        <w:t xml:space="preserve"> operational communications</w:t>
      </w:r>
      <w:r w:rsidR="003F5540" w:rsidRPr="009F2D64">
        <w:rPr>
          <w:rFonts w:cs="Arial"/>
          <w:szCs w:val="20"/>
          <w:lang w:val="en-GB"/>
        </w:rPr>
        <w:t>;</w:t>
      </w:r>
    </w:p>
    <w:p w:rsidR="00901DB0" w:rsidRPr="001961C9" w:rsidRDefault="00901DB0" w:rsidP="00F609F5">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that ha</w:t>
      </w:r>
      <w:r w:rsidR="000871A9" w:rsidRPr="001961C9">
        <w:rPr>
          <w:rFonts w:cs="Arial"/>
          <w:szCs w:val="20"/>
          <w:lang w:val="en-GB"/>
        </w:rPr>
        <w:t xml:space="preserve">rmonised conditions across CEPT </w:t>
      </w:r>
      <w:r w:rsidRPr="001961C9">
        <w:rPr>
          <w:rFonts w:cs="Arial"/>
          <w:szCs w:val="20"/>
          <w:lang w:val="en-GB"/>
        </w:rPr>
        <w:t xml:space="preserve">help to establish an effective single market for these applications, with consequent economies of scale and benefits to </w:t>
      </w:r>
      <w:r w:rsidR="00E16464">
        <w:rPr>
          <w:rFonts w:cs="Arial"/>
          <w:szCs w:val="20"/>
          <w:lang w:val="en-GB"/>
        </w:rPr>
        <w:t>passengers</w:t>
      </w:r>
      <w:r w:rsidRPr="001961C9">
        <w:rPr>
          <w:rFonts w:cs="Arial"/>
          <w:szCs w:val="20"/>
          <w:lang w:val="en-GB"/>
        </w:rPr>
        <w:t>, and avoid difficulties in enforcing divergent national regulations;</w:t>
      </w:r>
    </w:p>
    <w:p w:rsidR="00E65E22" w:rsidRPr="001961C9" w:rsidRDefault="00BB10FE" w:rsidP="00F609F5">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that every state has sovereignty over the airspace</w:t>
      </w:r>
      <w:r w:rsidRPr="001961C9">
        <w:rPr>
          <w:rStyle w:val="FootnoteReference"/>
          <w:rFonts w:cs="Arial"/>
          <w:szCs w:val="20"/>
          <w:lang w:val="en-GB"/>
        </w:rPr>
        <w:footnoteReference w:id="1"/>
      </w:r>
      <w:r w:rsidRPr="001961C9">
        <w:rPr>
          <w:rFonts w:cs="Arial"/>
          <w:szCs w:val="20"/>
          <w:lang w:val="en-GB"/>
        </w:rPr>
        <w:t>,</w:t>
      </w:r>
      <w:r w:rsidR="00B21651" w:rsidRPr="001961C9">
        <w:rPr>
          <w:rFonts w:cs="Arial"/>
          <w:szCs w:val="20"/>
          <w:lang w:val="en-GB"/>
        </w:rPr>
        <w:t xml:space="preserve"> as well as</w:t>
      </w:r>
      <w:r w:rsidRPr="001961C9">
        <w:rPr>
          <w:rFonts w:cs="Arial"/>
          <w:szCs w:val="20"/>
          <w:lang w:val="en-GB"/>
        </w:rPr>
        <w:t xml:space="preserve"> the radio spectrum, above its territory;</w:t>
      </w:r>
    </w:p>
    <w:p w:rsidR="00CC141C" w:rsidRPr="001961C9" w:rsidRDefault="00CC141C" w:rsidP="00F609F5">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 xml:space="preserve">that </w:t>
      </w:r>
      <w:r w:rsidR="00C52896" w:rsidRPr="001961C9">
        <w:rPr>
          <w:rFonts w:cs="Arial"/>
          <w:szCs w:val="20"/>
          <w:lang w:val="en-GB"/>
        </w:rPr>
        <w:t xml:space="preserve">the use of </w:t>
      </w:r>
      <w:r w:rsidR="00E543D9" w:rsidRPr="001961C9">
        <w:rPr>
          <w:rFonts w:cs="Arial"/>
          <w:szCs w:val="20"/>
          <w:lang w:val="en-GB"/>
        </w:rPr>
        <w:t xml:space="preserve">a </w:t>
      </w:r>
      <w:r w:rsidR="002645AF">
        <w:rPr>
          <w:rFonts w:cs="Arial"/>
          <w:szCs w:val="20"/>
          <w:lang w:val="en-GB"/>
        </w:rPr>
        <w:t>b</w:t>
      </w:r>
      <w:r w:rsidR="00C52896" w:rsidRPr="001961C9">
        <w:rPr>
          <w:rFonts w:cs="Arial"/>
          <w:szCs w:val="20"/>
          <w:lang w:val="en-GB"/>
        </w:rPr>
        <w:t xml:space="preserve">roadband DA2GC AS requires authorisation by the relevant national administration </w:t>
      </w:r>
      <w:r w:rsidR="009C33F9" w:rsidRPr="001961C9">
        <w:rPr>
          <w:rFonts w:cs="Arial"/>
          <w:szCs w:val="20"/>
          <w:lang w:val="en-GB"/>
        </w:rPr>
        <w:t>of the country of registration of the aircraft</w:t>
      </w:r>
      <w:r w:rsidRPr="001961C9">
        <w:rPr>
          <w:rFonts w:cs="Arial"/>
          <w:szCs w:val="20"/>
          <w:lang w:val="en-GB"/>
        </w:rPr>
        <w:t>;</w:t>
      </w:r>
    </w:p>
    <w:p w:rsidR="00CC141C" w:rsidRPr="004C0BAB" w:rsidRDefault="00CC141C" w:rsidP="003745C9">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 xml:space="preserve">that </w:t>
      </w:r>
      <w:r w:rsidR="00945E24" w:rsidRPr="001961C9">
        <w:rPr>
          <w:rFonts w:cs="Arial"/>
          <w:szCs w:val="20"/>
          <w:lang w:val="en-GB"/>
        </w:rPr>
        <w:t>for A</w:t>
      </w:r>
      <w:r w:rsidR="00E16464">
        <w:rPr>
          <w:rFonts w:cs="Arial"/>
          <w:szCs w:val="20"/>
          <w:lang w:val="en-GB"/>
        </w:rPr>
        <w:t>S</w:t>
      </w:r>
      <w:r w:rsidR="00945E24" w:rsidRPr="001961C9">
        <w:rPr>
          <w:rFonts w:cs="Arial"/>
          <w:szCs w:val="20"/>
          <w:lang w:val="en-GB"/>
        </w:rPr>
        <w:t>s</w:t>
      </w:r>
      <w:r w:rsidR="00B43669">
        <w:rPr>
          <w:rFonts w:cs="Arial"/>
          <w:szCs w:val="20"/>
          <w:lang w:val="en-GB"/>
        </w:rPr>
        <w:t>,</w:t>
      </w:r>
      <w:r w:rsidR="00945E24" w:rsidRPr="001961C9">
        <w:rPr>
          <w:rFonts w:cs="Arial"/>
          <w:szCs w:val="20"/>
          <w:lang w:val="en-GB"/>
        </w:rPr>
        <w:t xml:space="preserve"> </w:t>
      </w:r>
      <w:r w:rsidR="00B43669" w:rsidRPr="00B43669">
        <w:rPr>
          <w:rFonts w:cs="Arial"/>
          <w:szCs w:val="20"/>
          <w:lang w:val="en-GB"/>
        </w:rPr>
        <w:t xml:space="preserve">different authorisation regimes may be established in each country where the DA2GC is </w:t>
      </w:r>
      <w:r w:rsidR="00B43669" w:rsidRPr="004C0BAB">
        <w:rPr>
          <w:rFonts w:cs="Arial"/>
          <w:szCs w:val="20"/>
          <w:lang w:val="en-GB"/>
        </w:rPr>
        <w:t>allowed to operate</w:t>
      </w:r>
      <w:r w:rsidR="00E16464" w:rsidRPr="004C0BAB">
        <w:rPr>
          <w:rFonts w:cs="Arial"/>
          <w:szCs w:val="20"/>
          <w:lang w:val="en-GB"/>
        </w:rPr>
        <w:t xml:space="preserve"> (see ECC Report 214)</w:t>
      </w:r>
      <w:r w:rsidR="00B43669" w:rsidRPr="004C0BAB">
        <w:rPr>
          <w:rFonts w:cs="Arial"/>
          <w:szCs w:val="20"/>
          <w:lang w:val="en-GB"/>
        </w:rPr>
        <w:t>;</w:t>
      </w:r>
    </w:p>
    <w:p w:rsidR="00694810" w:rsidRPr="004C0BAB" w:rsidRDefault="00694810" w:rsidP="003745C9">
      <w:pPr>
        <w:pStyle w:val="ListParagraph"/>
        <w:numPr>
          <w:ilvl w:val="0"/>
          <w:numId w:val="12"/>
        </w:numPr>
        <w:tabs>
          <w:tab w:val="left" w:pos="567"/>
        </w:tabs>
        <w:spacing w:after="240"/>
        <w:ind w:left="567" w:hanging="567"/>
        <w:contextualSpacing w:val="0"/>
        <w:jc w:val="both"/>
        <w:rPr>
          <w:rFonts w:cs="Arial"/>
          <w:szCs w:val="20"/>
          <w:lang w:val="en-GB"/>
        </w:rPr>
      </w:pPr>
      <w:r w:rsidRPr="004C0BAB">
        <w:rPr>
          <w:rFonts w:cs="Arial"/>
          <w:szCs w:val="20"/>
          <w:lang w:val="en-GB"/>
        </w:rPr>
        <w:t>that DA2GC GS are operated under the control of a network and are licensed individually (see ECC Report 214);</w:t>
      </w:r>
    </w:p>
    <w:p w:rsidR="005D34AF" w:rsidRPr="001961C9" w:rsidRDefault="005D34AF" w:rsidP="00F609F5">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 xml:space="preserve">that appropriate measures should be taken to ensure that the </w:t>
      </w:r>
      <w:r w:rsidR="002645AF">
        <w:rPr>
          <w:rFonts w:cs="Arial"/>
          <w:szCs w:val="20"/>
          <w:lang w:val="en-GB"/>
        </w:rPr>
        <w:t>b</w:t>
      </w:r>
      <w:r w:rsidR="007B2633" w:rsidRPr="001961C9">
        <w:rPr>
          <w:rFonts w:cs="Arial"/>
          <w:szCs w:val="20"/>
          <w:lang w:val="en-GB"/>
        </w:rPr>
        <w:t xml:space="preserve">roadband DA2GC </w:t>
      </w:r>
      <w:r w:rsidRPr="001961C9">
        <w:rPr>
          <w:rFonts w:cs="Arial"/>
          <w:szCs w:val="20"/>
          <w:lang w:val="en-GB"/>
        </w:rPr>
        <w:t xml:space="preserve">aircraft </w:t>
      </w:r>
      <w:r w:rsidR="007B2633" w:rsidRPr="001961C9">
        <w:rPr>
          <w:rFonts w:cs="Arial"/>
          <w:szCs w:val="20"/>
          <w:lang w:val="en-GB"/>
        </w:rPr>
        <w:t xml:space="preserve">and ground </w:t>
      </w:r>
      <w:r w:rsidRPr="001961C9">
        <w:rPr>
          <w:rFonts w:cs="Arial"/>
          <w:szCs w:val="20"/>
          <w:lang w:val="en-GB"/>
        </w:rPr>
        <w:t>station</w:t>
      </w:r>
      <w:r w:rsidR="007B2633" w:rsidRPr="001961C9">
        <w:rPr>
          <w:rFonts w:cs="Arial"/>
          <w:szCs w:val="20"/>
          <w:lang w:val="en-GB"/>
        </w:rPr>
        <w:t>s</w:t>
      </w:r>
      <w:r w:rsidRPr="001961C9">
        <w:rPr>
          <w:rFonts w:cs="Arial"/>
          <w:szCs w:val="20"/>
          <w:lang w:val="en-GB"/>
        </w:rPr>
        <w:t xml:space="preserve"> do not cause harmful interference </w:t>
      </w:r>
      <w:r w:rsidR="00FB4EA3" w:rsidRPr="001961C9">
        <w:rPr>
          <w:rFonts w:cs="Arial"/>
          <w:szCs w:val="20"/>
          <w:lang w:val="en-GB"/>
        </w:rPr>
        <w:t xml:space="preserve">to terrestrial </w:t>
      </w:r>
      <w:r w:rsidR="003922A8" w:rsidRPr="001961C9">
        <w:rPr>
          <w:rFonts w:cs="Arial"/>
          <w:szCs w:val="20"/>
          <w:lang w:val="en-GB"/>
        </w:rPr>
        <w:t xml:space="preserve">and </w:t>
      </w:r>
      <w:r w:rsidR="00FB4EA3" w:rsidRPr="001961C9">
        <w:rPr>
          <w:rFonts w:cs="Arial"/>
          <w:szCs w:val="20"/>
          <w:lang w:val="en-GB"/>
        </w:rPr>
        <w:t xml:space="preserve">space </w:t>
      </w:r>
      <w:r w:rsidR="003922A8" w:rsidRPr="001961C9">
        <w:rPr>
          <w:rFonts w:cs="Arial"/>
          <w:szCs w:val="20"/>
          <w:lang w:val="en-GB"/>
        </w:rPr>
        <w:t>systems</w:t>
      </w:r>
      <w:r w:rsidRPr="001961C9">
        <w:rPr>
          <w:rFonts w:cs="Arial"/>
          <w:szCs w:val="20"/>
          <w:lang w:val="en-GB"/>
        </w:rPr>
        <w:t>;</w:t>
      </w:r>
    </w:p>
    <w:p w:rsidR="00E65E22" w:rsidRPr="001961C9" w:rsidRDefault="0076401E" w:rsidP="002645AF">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 xml:space="preserve">that ECC adopted </w:t>
      </w:r>
      <w:r w:rsidR="007B2633" w:rsidRPr="001961C9">
        <w:rPr>
          <w:rFonts w:cs="Arial"/>
          <w:szCs w:val="20"/>
          <w:lang w:val="en-GB"/>
        </w:rPr>
        <w:t xml:space="preserve">ECC </w:t>
      </w:r>
      <w:r w:rsidRPr="001961C9">
        <w:rPr>
          <w:rFonts w:cs="Arial"/>
          <w:szCs w:val="20"/>
          <w:lang w:val="en-GB"/>
        </w:rPr>
        <w:t>Report 214 “Broadband Direct-Air-to-Ground Communications (DA2GC)”</w:t>
      </w:r>
      <w:r w:rsidR="003922A8" w:rsidRPr="001961C9">
        <w:rPr>
          <w:rFonts w:cs="Arial"/>
          <w:szCs w:val="20"/>
          <w:lang w:val="en-GB"/>
        </w:rPr>
        <w:t>,</w:t>
      </w:r>
      <w:r w:rsidRPr="001961C9">
        <w:rPr>
          <w:rFonts w:cs="Arial"/>
          <w:szCs w:val="20"/>
          <w:lang w:val="en-GB"/>
        </w:rPr>
        <w:t xml:space="preserve"> </w:t>
      </w:r>
      <w:r w:rsidR="003922A8" w:rsidRPr="001961C9">
        <w:rPr>
          <w:rFonts w:cs="Arial"/>
          <w:szCs w:val="20"/>
          <w:lang w:val="en-GB"/>
        </w:rPr>
        <w:t>ECC Report 210 “Compatibility/sharing studies related to Broadband Direct- Air-to-Ground Communications (DA2GC) in the frequency bands 5855-5875 MHz, 2400-2483.5 MHz and 3400-3600 MHz” and</w:t>
      </w:r>
      <w:r w:rsidR="00735718" w:rsidRPr="001961C9">
        <w:rPr>
          <w:rFonts w:cs="Arial"/>
          <w:szCs w:val="20"/>
          <w:lang w:val="en-GB"/>
        </w:rPr>
        <w:t xml:space="preserve"> CEPT Report 57: “(Report A) from CEPT to the European Commission in response to the Mandate 'To study and identify harmonised compatibility and sharing conditions for Wireless Access Systems including Radio Local Area Networks in the bands 5350-5470 MHz and 5725-5925 MHz ('WAS/RLAN extension bands') for the provision of wireless broadband services</w:t>
      </w:r>
      <w:r w:rsidR="002645AF">
        <w:rPr>
          <w:rFonts w:cs="Arial"/>
          <w:szCs w:val="20"/>
          <w:lang w:val="en-GB"/>
        </w:rPr>
        <w:t>”</w:t>
      </w:r>
      <w:r w:rsidR="00E16464">
        <w:rPr>
          <w:rFonts w:cs="Arial"/>
          <w:szCs w:val="20"/>
          <w:lang w:val="en-GB"/>
        </w:rPr>
        <w:t xml:space="preserve"> </w:t>
      </w:r>
      <w:r w:rsidR="00BB10FE" w:rsidRPr="001961C9">
        <w:rPr>
          <w:rFonts w:cs="Arial"/>
          <w:szCs w:val="20"/>
          <w:lang w:val="en-GB"/>
        </w:rPr>
        <w:t>;</w:t>
      </w:r>
    </w:p>
    <w:p w:rsidR="00E65E22" w:rsidRPr="001961C9" w:rsidRDefault="00BB10FE" w:rsidP="00F609F5">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 xml:space="preserve">that the frequency band </w:t>
      </w:r>
      <w:r w:rsidR="00BA677B" w:rsidRPr="001961C9">
        <w:rPr>
          <w:rFonts w:cs="Arial"/>
          <w:szCs w:val="20"/>
          <w:lang w:val="en-GB"/>
        </w:rPr>
        <w:t>585</w:t>
      </w:r>
      <w:r w:rsidR="00764401" w:rsidRPr="001961C9">
        <w:rPr>
          <w:rFonts w:cs="Arial"/>
          <w:szCs w:val="20"/>
          <w:lang w:val="en-GB"/>
        </w:rPr>
        <w:t>0</w:t>
      </w:r>
      <w:r w:rsidR="00BA677B" w:rsidRPr="001961C9">
        <w:rPr>
          <w:rFonts w:cs="Arial"/>
          <w:szCs w:val="20"/>
          <w:lang w:val="en-GB"/>
        </w:rPr>
        <w:t>-5</w:t>
      </w:r>
      <w:r w:rsidR="00764401" w:rsidRPr="001961C9">
        <w:rPr>
          <w:rFonts w:cs="Arial"/>
          <w:szCs w:val="20"/>
          <w:lang w:val="en-GB"/>
        </w:rPr>
        <w:t>925</w:t>
      </w:r>
      <w:r w:rsidR="00BA677B" w:rsidRPr="001961C9">
        <w:rPr>
          <w:rFonts w:cs="Arial"/>
          <w:szCs w:val="20"/>
          <w:lang w:val="en-GB"/>
        </w:rPr>
        <w:t xml:space="preserve"> </w:t>
      </w:r>
      <w:r w:rsidRPr="001961C9">
        <w:rPr>
          <w:rFonts w:cs="Arial"/>
          <w:szCs w:val="20"/>
          <w:lang w:val="en-GB"/>
        </w:rPr>
        <w:t xml:space="preserve"> MHz </w:t>
      </w:r>
      <w:r w:rsidR="00BE5F88">
        <w:rPr>
          <w:rFonts w:cs="Arial"/>
          <w:szCs w:val="20"/>
          <w:lang w:val="en-GB"/>
        </w:rPr>
        <w:t>is</w:t>
      </w:r>
      <w:r w:rsidRPr="001961C9">
        <w:rPr>
          <w:rFonts w:cs="Arial"/>
          <w:szCs w:val="20"/>
          <w:lang w:val="en-GB"/>
        </w:rPr>
        <w:t xml:space="preserve"> allocated to the mobile service</w:t>
      </w:r>
      <w:r w:rsidR="00764401" w:rsidRPr="001961C9">
        <w:rPr>
          <w:rFonts w:cs="Arial"/>
          <w:szCs w:val="20"/>
          <w:lang w:val="en-GB"/>
        </w:rPr>
        <w:t>, the fixed service and the fixed</w:t>
      </w:r>
      <w:r w:rsidR="00CE3C18">
        <w:rPr>
          <w:rFonts w:cs="Arial"/>
          <w:szCs w:val="20"/>
          <w:lang w:val="en-GB"/>
        </w:rPr>
        <w:t>-</w:t>
      </w:r>
      <w:r w:rsidR="00764401" w:rsidRPr="001961C9">
        <w:rPr>
          <w:rFonts w:cs="Arial"/>
          <w:szCs w:val="20"/>
          <w:lang w:val="en-GB"/>
        </w:rPr>
        <w:t xml:space="preserve">satellite service </w:t>
      </w:r>
      <w:r w:rsidRPr="001961C9">
        <w:rPr>
          <w:rFonts w:cs="Arial"/>
          <w:szCs w:val="20"/>
          <w:lang w:val="en-GB"/>
        </w:rPr>
        <w:t xml:space="preserve">on a primary basis in the </w:t>
      </w:r>
      <w:r w:rsidR="00361E9A" w:rsidRPr="001961C9">
        <w:rPr>
          <w:rFonts w:cs="Arial"/>
          <w:szCs w:val="20"/>
          <w:lang w:val="en-GB"/>
        </w:rPr>
        <w:t>European Common Allocation Table (ERC Report 25) and</w:t>
      </w:r>
      <w:r w:rsidR="00E16464">
        <w:rPr>
          <w:rFonts w:cs="Arial"/>
          <w:szCs w:val="20"/>
          <w:lang w:val="en-GB"/>
        </w:rPr>
        <w:t xml:space="preserve"> in the</w:t>
      </w:r>
      <w:r w:rsidR="00361E9A" w:rsidRPr="001961C9">
        <w:rPr>
          <w:rFonts w:cs="Arial"/>
          <w:szCs w:val="20"/>
          <w:lang w:val="en-GB"/>
        </w:rPr>
        <w:t xml:space="preserve"> </w:t>
      </w:r>
      <w:r w:rsidRPr="001961C9">
        <w:rPr>
          <w:rFonts w:cs="Arial"/>
          <w:szCs w:val="20"/>
          <w:lang w:val="en-GB"/>
        </w:rPr>
        <w:t>ITU Radio Regulations</w:t>
      </w:r>
      <w:r w:rsidR="00E65E22" w:rsidRPr="001961C9">
        <w:rPr>
          <w:rFonts w:cs="Arial"/>
          <w:szCs w:val="20"/>
          <w:lang w:val="en-GB"/>
        </w:rPr>
        <w:t>;</w:t>
      </w:r>
    </w:p>
    <w:p w:rsidR="00764401" w:rsidRPr="001961C9" w:rsidRDefault="00764401" w:rsidP="00764401">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that the frequency band 5725-5875 MHz is also designated for industrial, scientific and medical (ISM) applications according to footnote 5.150</w:t>
      </w:r>
      <w:r w:rsidR="00EE331C" w:rsidRPr="001961C9">
        <w:rPr>
          <w:rFonts w:cs="Arial"/>
          <w:szCs w:val="20"/>
          <w:lang w:val="en-GB"/>
        </w:rPr>
        <w:t xml:space="preserve"> of the RR</w:t>
      </w:r>
      <w:r w:rsidRPr="001961C9">
        <w:rPr>
          <w:rFonts w:cs="Arial"/>
          <w:szCs w:val="20"/>
          <w:lang w:val="en-GB"/>
        </w:rPr>
        <w:t>, and that radiocommunication services operating within th</w:t>
      </w:r>
      <w:r w:rsidR="002C0CF2">
        <w:rPr>
          <w:rFonts w:cs="Arial"/>
          <w:szCs w:val="20"/>
          <w:lang w:val="en-GB"/>
        </w:rPr>
        <w:t>is</w:t>
      </w:r>
      <w:r w:rsidRPr="001961C9">
        <w:rPr>
          <w:rFonts w:cs="Arial"/>
          <w:szCs w:val="20"/>
          <w:lang w:val="en-GB"/>
        </w:rPr>
        <w:t xml:space="preserve"> </w:t>
      </w:r>
      <w:r w:rsidR="00EB4846">
        <w:rPr>
          <w:rFonts w:cs="Arial"/>
          <w:szCs w:val="20"/>
          <w:lang w:val="en-GB"/>
        </w:rPr>
        <w:t xml:space="preserve">frequency </w:t>
      </w:r>
      <w:r w:rsidRPr="001961C9">
        <w:rPr>
          <w:rFonts w:cs="Arial"/>
          <w:szCs w:val="20"/>
          <w:lang w:val="en-GB"/>
        </w:rPr>
        <w:t>band must accept harmful interference which may be caused by these applications;</w:t>
      </w:r>
    </w:p>
    <w:p w:rsidR="00E65E22" w:rsidRPr="001961C9" w:rsidRDefault="00BB10FE" w:rsidP="00F609F5">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t>that within Europe the frequency band</w:t>
      </w:r>
      <w:r w:rsidR="00BA677B" w:rsidRPr="001961C9">
        <w:rPr>
          <w:rFonts w:cs="Arial"/>
          <w:szCs w:val="20"/>
          <w:lang w:val="en-GB"/>
        </w:rPr>
        <w:t xml:space="preserve"> 5855-5875 MHz has been designated for </w:t>
      </w:r>
      <w:r w:rsidR="002645AF">
        <w:rPr>
          <w:rFonts w:cs="Arial"/>
          <w:szCs w:val="20"/>
          <w:lang w:val="en-GB"/>
        </w:rPr>
        <w:t>the fixed satellite service</w:t>
      </w:r>
      <w:r w:rsidR="00BA677B" w:rsidRPr="001961C9">
        <w:rPr>
          <w:rFonts w:cs="Arial"/>
          <w:szCs w:val="20"/>
          <w:lang w:val="en-GB"/>
        </w:rPr>
        <w:t xml:space="preserve">, </w:t>
      </w:r>
      <w:r w:rsidR="002645AF">
        <w:rPr>
          <w:rFonts w:cs="Arial"/>
          <w:szCs w:val="20"/>
          <w:lang w:val="en-GB"/>
        </w:rPr>
        <w:t>broadband fixed wireless access (</w:t>
      </w:r>
      <w:r w:rsidR="00BA677B" w:rsidRPr="001961C9">
        <w:rPr>
          <w:rFonts w:cs="Arial"/>
          <w:szCs w:val="20"/>
          <w:lang w:val="en-GB"/>
        </w:rPr>
        <w:t>BFWA</w:t>
      </w:r>
      <w:r w:rsidR="002645AF">
        <w:rPr>
          <w:rFonts w:cs="Arial"/>
          <w:szCs w:val="20"/>
          <w:lang w:val="en-GB"/>
        </w:rPr>
        <w:t>),</w:t>
      </w:r>
      <w:r w:rsidR="006500FE" w:rsidRPr="001961C9">
        <w:rPr>
          <w:rFonts w:cs="Arial"/>
          <w:szCs w:val="20"/>
          <w:lang w:val="en-GB"/>
        </w:rPr>
        <w:t xml:space="preserve"> </w:t>
      </w:r>
      <w:r w:rsidR="002645AF">
        <w:rPr>
          <w:rFonts w:cs="Arial"/>
          <w:szCs w:val="20"/>
          <w:lang w:val="en-GB"/>
        </w:rPr>
        <w:t>intelligent transport s</w:t>
      </w:r>
      <w:r w:rsidR="002C0CF2">
        <w:rPr>
          <w:rFonts w:cs="Arial"/>
          <w:szCs w:val="20"/>
          <w:lang w:val="en-GB"/>
        </w:rPr>
        <w:t>ystems</w:t>
      </w:r>
      <w:r w:rsidR="002645AF">
        <w:rPr>
          <w:rFonts w:cs="Arial"/>
          <w:szCs w:val="20"/>
          <w:lang w:val="en-GB"/>
        </w:rPr>
        <w:t xml:space="preserve"> (</w:t>
      </w:r>
      <w:r w:rsidR="00BA677B" w:rsidRPr="001961C9">
        <w:rPr>
          <w:rFonts w:cs="Arial"/>
          <w:szCs w:val="20"/>
          <w:lang w:val="en-GB"/>
        </w:rPr>
        <w:t>ITS</w:t>
      </w:r>
      <w:r w:rsidR="002645AF">
        <w:rPr>
          <w:rFonts w:cs="Arial"/>
          <w:szCs w:val="20"/>
          <w:lang w:val="en-GB"/>
        </w:rPr>
        <w:t xml:space="preserve">) </w:t>
      </w:r>
      <w:r w:rsidR="00BA677B" w:rsidRPr="001961C9">
        <w:rPr>
          <w:rFonts w:cs="Arial"/>
          <w:szCs w:val="20"/>
          <w:lang w:val="en-GB"/>
        </w:rPr>
        <w:t xml:space="preserve">and </w:t>
      </w:r>
      <w:r w:rsidR="002645AF">
        <w:rPr>
          <w:rFonts w:cs="Arial"/>
          <w:szCs w:val="20"/>
          <w:lang w:val="en-GB"/>
        </w:rPr>
        <w:t>short range devices (</w:t>
      </w:r>
      <w:r w:rsidR="00BA677B" w:rsidRPr="001961C9">
        <w:rPr>
          <w:rFonts w:cs="Arial"/>
          <w:szCs w:val="20"/>
          <w:lang w:val="en-GB"/>
        </w:rPr>
        <w:t>SRD</w:t>
      </w:r>
      <w:r w:rsidR="002645AF">
        <w:rPr>
          <w:rFonts w:cs="Arial"/>
          <w:szCs w:val="20"/>
          <w:lang w:val="en-GB"/>
        </w:rPr>
        <w:t>)</w:t>
      </w:r>
      <w:r w:rsidRPr="001961C9">
        <w:rPr>
          <w:rFonts w:cs="Arial"/>
          <w:szCs w:val="20"/>
          <w:lang w:val="en-GB"/>
        </w:rPr>
        <w:t>;</w:t>
      </w:r>
    </w:p>
    <w:p w:rsidR="00346CD4" w:rsidRPr="001961C9" w:rsidRDefault="00346CD4" w:rsidP="00753CF3">
      <w:pPr>
        <w:pStyle w:val="ListParagraph"/>
        <w:numPr>
          <w:ilvl w:val="0"/>
          <w:numId w:val="12"/>
        </w:numPr>
        <w:tabs>
          <w:tab w:val="left" w:pos="567"/>
        </w:tabs>
        <w:spacing w:after="240"/>
        <w:ind w:left="567" w:hanging="567"/>
        <w:contextualSpacing w:val="0"/>
        <w:jc w:val="both"/>
        <w:rPr>
          <w:rFonts w:cs="Arial"/>
          <w:szCs w:val="20"/>
          <w:lang w:val="en-GB"/>
        </w:rPr>
      </w:pPr>
      <w:r w:rsidRPr="001961C9">
        <w:rPr>
          <w:rFonts w:cs="Arial"/>
          <w:szCs w:val="20"/>
          <w:lang w:val="en-GB"/>
        </w:rPr>
        <w:lastRenderedPageBreak/>
        <w:t xml:space="preserve">that </w:t>
      </w:r>
      <w:r w:rsidR="00BA677B" w:rsidRPr="001961C9">
        <w:rPr>
          <w:rFonts w:cs="Arial"/>
          <w:szCs w:val="20"/>
          <w:lang w:val="en-GB"/>
        </w:rPr>
        <w:t>two</w:t>
      </w:r>
      <w:r w:rsidR="006F22F1" w:rsidRPr="001961C9">
        <w:rPr>
          <w:rFonts w:cs="Arial"/>
          <w:szCs w:val="20"/>
          <w:lang w:val="en-GB"/>
        </w:rPr>
        <w:t xml:space="preserve"> </w:t>
      </w:r>
      <w:r w:rsidRPr="001961C9">
        <w:rPr>
          <w:rFonts w:cs="Arial"/>
          <w:szCs w:val="20"/>
          <w:lang w:val="en-GB"/>
        </w:rPr>
        <w:t xml:space="preserve">different </w:t>
      </w:r>
      <w:r w:rsidR="005E4940">
        <w:rPr>
          <w:rFonts w:cs="Arial"/>
          <w:szCs w:val="20"/>
          <w:lang w:val="en-GB"/>
        </w:rPr>
        <w:t xml:space="preserve">DA2GC </w:t>
      </w:r>
      <w:r w:rsidRPr="001961C9">
        <w:rPr>
          <w:rFonts w:cs="Arial"/>
          <w:szCs w:val="20"/>
          <w:lang w:val="en-GB"/>
        </w:rPr>
        <w:t xml:space="preserve">systems </w:t>
      </w:r>
      <w:r w:rsidR="005E4940">
        <w:rPr>
          <w:rFonts w:cs="Arial"/>
          <w:szCs w:val="20"/>
          <w:lang w:val="en-GB"/>
        </w:rPr>
        <w:t xml:space="preserve">based on </w:t>
      </w:r>
      <w:r w:rsidR="005A4F9A">
        <w:rPr>
          <w:rFonts w:cs="Arial"/>
          <w:szCs w:val="20"/>
          <w:lang w:val="en-GB"/>
        </w:rPr>
        <w:t xml:space="preserve">a </w:t>
      </w:r>
      <w:r w:rsidR="005E4940" w:rsidRPr="001961C9">
        <w:rPr>
          <w:rFonts w:cs="Arial"/>
          <w:szCs w:val="20"/>
          <w:lang w:val="en-GB"/>
        </w:rPr>
        <w:t>TDD</w:t>
      </w:r>
      <w:r w:rsidR="005E4940">
        <w:rPr>
          <w:rFonts w:cs="Arial"/>
          <w:szCs w:val="20"/>
          <w:lang w:val="en-GB"/>
        </w:rPr>
        <w:t xml:space="preserve"> (Time Division Duplex) spectrum access method </w:t>
      </w:r>
      <w:r w:rsidRPr="001961C9">
        <w:rPr>
          <w:rFonts w:cs="Arial"/>
          <w:szCs w:val="20"/>
          <w:lang w:val="en-GB"/>
        </w:rPr>
        <w:t xml:space="preserve">have been developed and </w:t>
      </w:r>
      <w:r w:rsidR="00C25585" w:rsidRPr="001961C9">
        <w:rPr>
          <w:rFonts w:cs="Arial"/>
          <w:szCs w:val="20"/>
          <w:lang w:val="en-GB"/>
        </w:rPr>
        <w:t>s</w:t>
      </w:r>
      <w:r w:rsidR="00612895" w:rsidRPr="001961C9">
        <w:rPr>
          <w:rFonts w:cs="Arial"/>
          <w:szCs w:val="20"/>
          <w:lang w:val="en-GB"/>
        </w:rPr>
        <w:t>ystem</w:t>
      </w:r>
      <w:r w:rsidR="00C25585" w:rsidRPr="001961C9">
        <w:rPr>
          <w:rFonts w:cs="Arial"/>
          <w:szCs w:val="20"/>
          <w:lang w:val="en-GB"/>
        </w:rPr>
        <w:t xml:space="preserve"> reference documents</w:t>
      </w:r>
      <w:r w:rsidR="00753CF3" w:rsidRPr="00753CF3">
        <w:rPr>
          <w:rFonts w:cs="Arial"/>
          <w:szCs w:val="20"/>
          <w:lang w:val="en-GB"/>
        </w:rPr>
        <w:t xml:space="preserve"> </w:t>
      </w:r>
      <w:r w:rsidR="00C25585" w:rsidRPr="001961C9">
        <w:rPr>
          <w:rFonts w:cs="Arial"/>
          <w:szCs w:val="20"/>
          <w:lang w:val="en-GB"/>
        </w:rPr>
        <w:t xml:space="preserve">have been </w:t>
      </w:r>
      <w:r w:rsidRPr="001961C9">
        <w:rPr>
          <w:rFonts w:cs="Arial"/>
          <w:szCs w:val="20"/>
          <w:lang w:val="en-GB"/>
        </w:rPr>
        <w:t>provided by ETSI</w:t>
      </w:r>
      <w:r w:rsidR="00BA677B" w:rsidRPr="001961C9">
        <w:rPr>
          <w:rFonts w:cs="Arial"/>
          <w:szCs w:val="20"/>
          <w:lang w:val="en-GB"/>
        </w:rPr>
        <w:t xml:space="preserve"> for the 5855-5875 MHz frequency band</w:t>
      </w:r>
      <w:r w:rsidR="00B43669">
        <w:rPr>
          <w:rFonts w:cs="Arial"/>
          <w:szCs w:val="20"/>
          <w:lang w:val="en-GB"/>
        </w:rPr>
        <w:t xml:space="preserve"> (see ECC Reports 210 and 214) </w:t>
      </w:r>
      <w:r w:rsidRPr="001961C9">
        <w:rPr>
          <w:rFonts w:cs="Arial"/>
          <w:szCs w:val="20"/>
          <w:lang w:val="en-GB"/>
        </w:rPr>
        <w:t xml:space="preserve">; </w:t>
      </w:r>
    </w:p>
    <w:p w:rsidR="00E65E22" w:rsidRPr="000B6DFD" w:rsidRDefault="0020388C" w:rsidP="00F609F5">
      <w:pPr>
        <w:pStyle w:val="ECCParagraph"/>
        <w:numPr>
          <w:ilvl w:val="0"/>
          <w:numId w:val="12"/>
        </w:numPr>
        <w:ind w:left="567" w:hanging="567"/>
        <w:rPr>
          <w:rFonts w:cs="Arial"/>
          <w:szCs w:val="20"/>
        </w:rPr>
      </w:pPr>
      <w:r w:rsidRPr="000B6DFD">
        <w:rPr>
          <w:rFonts w:cs="Arial"/>
          <w:szCs w:val="20"/>
        </w:rPr>
        <w:t xml:space="preserve">that the installation and use of </w:t>
      </w:r>
      <w:r w:rsidR="000C7399" w:rsidRPr="000B6DFD">
        <w:rPr>
          <w:rFonts w:cs="Arial"/>
          <w:szCs w:val="20"/>
        </w:rPr>
        <w:t>a specific</w:t>
      </w:r>
      <w:r w:rsidRPr="000B6DFD">
        <w:rPr>
          <w:rFonts w:cs="Arial"/>
          <w:szCs w:val="20"/>
        </w:rPr>
        <w:t xml:space="preserve"> </w:t>
      </w:r>
      <w:r w:rsidR="00CE76C8" w:rsidRPr="000B6DFD">
        <w:rPr>
          <w:rFonts w:cs="Arial"/>
          <w:szCs w:val="20"/>
        </w:rPr>
        <w:t>s</w:t>
      </w:r>
      <w:r w:rsidRPr="000B6DFD">
        <w:rPr>
          <w:rFonts w:cs="Arial"/>
          <w:szCs w:val="20"/>
        </w:rPr>
        <w:t>ystem</w:t>
      </w:r>
      <w:r w:rsidR="000C7399" w:rsidRPr="000B6DFD">
        <w:rPr>
          <w:rFonts w:cs="Arial"/>
          <w:szCs w:val="20"/>
        </w:rPr>
        <w:t xml:space="preserve"> or </w:t>
      </w:r>
      <w:r w:rsidR="00CE76C8" w:rsidRPr="000B6DFD">
        <w:rPr>
          <w:rFonts w:cs="Arial"/>
          <w:szCs w:val="20"/>
        </w:rPr>
        <w:t>s</w:t>
      </w:r>
      <w:r w:rsidR="000C7399" w:rsidRPr="000B6DFD">
        <w:rPr>
          <w:rFonts w:cs="Arial"/>
          <w:szCs w:val="20"/>
        </w:rPr>
        <w:t>ystems</w:t>
      </w:r>
      <w:r w:rsidRPr="000B6DFD">
        <w:rPr>
          <w:rFonts w:cs="Arial"/>
          <w:szCs w:val="20"/>
        </w:rPr>
        <w:t xml:space="preserve"> within the aircraft will be subject to regulation, including airworthiness certification, by the relevant aviation authorit</w:t>
      </w:r>
      <w:r w:rsidR="008E7FE0" w:rsidRPr="000B6DFD">
        <w:rPr>
          <w:rFonts w:cs="Arial"/>
          <w:szCs w:val="20"/>
        </w:rPr>
        <w:t>y</w:t>
      </w:r>
      <w:r w:rsidRPr="000B6DFD">
        <w:rPr>
          <w:rFonts w:cs="Arial"/>
          <w:szCs w:val="20"/>
        </w:rPr>
        <w:t xml:space="preserve"> and the </w:t>
      </w:r>
      <w:r w:rsidR="00CE76C8" w:rsidRPr="000B6DFD">
        <w:rPr>
          <w:rFonts w:cs="Arial"/>
          <w:szCs w:val="20"/>
        </w:rPr>
        <w:t>s</w:t>
      </w:r>
      <w:r w:rsidRPr="000B6DFD">
        <w:rPr>
          <w:rFonts w:cs="Arial"/>
          <w:szCs w:val="20"/>
        </w:rPr>
        <w:t>ystem cannot be put into operation until it complies with these requirements;</w:t>
      </w:r>
    </w:p>
    <w:p w:rsidR="0020388C" w:rsidRPr="001961C9" w:rsidRDefault="0020388C" w:rsidP="00F609F5">
      <w:pPr>
        <w:pStyle w:val="ECCParagraph"/>
        <w:numPr>
          <w:ilvl w:val="0"/>
          <w:numId w:val="12"/>
        </w:numPr>
        <w:ind w:left="567" w:hanging="567"/>
        <w:rPr>
          <w:rFonts w:cs="Arial"/>
          <w:szCs w:val="20"/>
        </w:rPr>
      </w:pPr>
      <w:r w:rsidRPr="0040263B">
        <w:rPr>
          <w:rFonts w:cs="Arial"/>
          <w:szCs w:val="20"/>
        </w:rPr>
        <w:t xml:space="preserve">that </w:t>
      </w:r>
      <w:r w:rsidR="005C5D37" w:rsidRPr="0040263B">
        <w:rPr>
          <w:rFonts w:cs="Arial"/>
          <w:szCs w:val="20"/>
        </w:rPr>
        <w:t>ECC Report</w:t>
      </w:r>
      <w:r w:rsidR="00E75610" w:rsidRPr="0040263B">
        <w:rPr>
          <w:rFonts w:cs="Arial"/>
          <w:szCs w:val="20"/>
        </w:rPr>
        <w:t>s</w:t>
      </w:r>
      <w:r w:rsidR="005C5D37" w:rsidRPr="0040263B">
        <w:rPr>
          <w:rFonts w:cs="Arial"/>
          <w:szCs w:val="20"/>
        </w:rPr>
        <w:t xml:space="preserve"> 2</w:t>
      </w:r>
      <w:r w:rsidR="00BA677B" w:rsidRPr="0040263B">
        <w:rPr>
          <w:rFonts w:cs="Arial"/>
          <w:szCs w:val="20"/>
        </w:rPr>
        <w:t>1</w:t>
      </w:r>
      <w:r w:rsidR="005C5D37" w:rsidRPr="0040263B">
        <w:rPr>
          <w:rFonts w:cs="Arial"/>
          <w:szCs w:val="20"/>
        </w:rPr>
        <w:t>0 and 21</w:t>
      </w:r>
      <w:r w:rsidR="00E75610" w:rsidRPr="0040263B">
        <w:rPr>
          <w:rFonts w:cs="Arial"/>
          <w:szCs w:val="20"/>
        </w:rPr>
        <w:t xml:space="preserve">4 identify certain technical conditions for </w:t>
      </w:r>
      <w:r w:rsidR="002645AF" w:rsidRPr="0040263B">
        <w:rPr>
          <w:rFonts w:cs="Arial"/>
          <w:szCs w:val="20"/>
        </w:rPr>
        <w:t>b</w:t>
      </w:r>
      <w:r w:rsidR="004129A4" w:rsidRPr="0040263B">
        <w:rPr>
          <w:rFonts w:cs="Arial"/>
          <w:szCs w:val="20"/>
        </w:rPr>
        <w:t xml:space="preserve">roadband </w:t>
      </w:r>
      <w:r w:rsidR="00E75610" w:rsidRPr="0040263B">
        <w:rPr>
          <w:rFonts w:cs="Arial"/>
          <w:szCs w:val="20"/>
        </w:rPr>
        <w:t>DA2GC</w:t>
      </w:r>
      <w:r w:rsidR="004129A4" w:rsidRPr="0040263B">
        <w:rPr>
          <w:rFonts w:cs="Arial"/>
          <w:szCs w:val="20"/>
        </w:rPr>
        <w:t xml:space="preserve"> systems</w:t>
      </w:r>
      <w:r w:rsidR="00E75610" w:rsidRPr="0040263B">
        <w:rPr>
          <w:rFonts w:cs="Arial"/>
          <w:szCs w:val="20"/>
        </w:rPr>
        <w:t xml:space="preserve"> to ensure that they do not cause </w:t>
      </w:r>
      <w:r w:rsidR="0040263B" w:rsidRPr="003F1C71">
        <w:rPr>
          <w:rFonts w:cs="Arial"/>
          <w:szCs w:val="20"/>
        </w:rPr>
        <w:t>harmful</w:t>
      </w:r>
      <w:r w:rsidR="00E75610" w:rsidRPr="0040263B">
        <w:rPr>
          <w:rFonts w:cs="Arial"/>
          <w:szCs w:val="20"/>
        </w:rPr>
        <w:t xml:space="preserve"> interference to other services</w:t>
      </w:r>
      <w:r w:rsidR="005C5D37" w:rsidRPr="001961C9">
        <w:rPr>
          <w:rFonts w:cs="Arial"/>
          <w:szCs w:val="20"/>
        </w:rPr>
        <w:t>;</w:t>
      </w:r>
    </w:p>
    <w:p w:rsidR="006500FE" w:rsidRPr="001961C9" w:rsidRDefault="006500FE" w:rsidP="0064653D">
      <w:pPr>
        <w:pStyle w:val="ECCParagraph"/>
        <w:numPr>
          <w:ilvl w:val="0"/>
          <w:numId w:val="12"/>
        </w:numPr>
        <w:ind w:left="567" w:hanging="567"/>
        <w:rPr>
          <w:rFonts w:cs="Arial"/>
          <w:szCs w:val="20"/>
        </w:rPr>
      </w:pPr>
      <w:r w:rsidRPr="001961C9">
        <w:rPr>
          <w:rFonts w:cs="Arial"/>
          <w:szCs w:val="20"/>
        </w:rPr>
        <w:t xml:space="preserve">that </w:t>
      </w:r>
      <w:r w:rsidR="004129A4" w:rsidRPr="001961C9">
        <w:rPr>
          <w:rFonts w:cs="Arial"/>
          <w:szCs w:val="20"/>
        </w:rPr>
        <w:t>co</w:t>
      </w:r>
      <w:r w:rsidR="00735718" w:rsidRPr="001961C9">
        <w:rPr>
          <w:rFonts w:cs="Arial"/>
          <w:szCs w:val="20"/>
        </w:rPr>
        <w:t>-</w:t>
      </w:r>
      <w:r w:rsidR="004129A4" w:rsidRPr="001961C9">
        <w:rPr>
          <w:rFonts w:cs="Arial"/>
          <w:szCs w:val="20"/>
        </w:rPr>
        <w:t xml:space="preserve">existence measures or </w:t>
      </w:r>
      <w:r w:rsidRPr="001961C9">
        <w:rPr>
          <w:rFonts w:cs="Arial"/>
          <w:szCs w:val="20"/>
        </w:rPr>
        <w:t xml:space="preserve">coordination </w:t>
      </w:r>
      <w:r w:rsidR="0064653D" w:rsidRPr="001961C9">
        <w:rPr>
          <w:rFonts w:cs="Arial"/>
          <w:szCs w:val="20"/>
        </w:rPr>
        <w:t>is</w:t>
      </w:r>
      <w:r w:rsidRPr="001961C9">
        <w:rPr>
          <w:rFonts w:cs="Arial"/>
          <w:szCs w:val="20"/>
        </w:rPr>
        <w:t xml:space="preserve"> required between DA2GC GS and BFWA stations both operating in the </w:t>
      </w:r>
      <w:r w:rsidR="00EB4846">
        <w:rPr>
          <w:rFonts w:cs="Arial"/>
          <w:szCs w:val="20"/>
        </w:rPr>
        <w:t xml:space="preserve">frequency </w:t>
      </w:r>
      <w:r w:rsidRPr="001961C9">
        <w:rPr>
          <w:rFonts w:cs="Arial"/>
          <w:szCs w:val="20"/>
        </w:rPr>
        <w:t>band 5855-5875 MHz</w:t>
      </w:r>
      <w:r w:rsidR="0064653D" w:rsidRPr="001961C9">
        <w:rPr>
          <w:rFonts w:cs="Arial"/>
          <w:szCs w:val="20"/>
        </w:rPr>
        <w:t>;</w:t>
      </w:r>
    </w:p>
    <w:p w:rsidR="006500FE" w:rsidRPr="001961C9" w:rsidRDefault="006500FE" w:rsidP="0064653D">
      <w:pPr>
        <w:pStyle w:val="ECCParagraph"/>
        <w:numPr>
          <w:ilvl w:val="0"/>
          <w:numId w:val="12"/>
        </w:numPr>
        <w:ind w:left="567" w:hanging="567"/>
        <w:rPr>
          <w:rFonts w:cs="Arial"/>
          <w:szCs w:val="20"/>
        </w:rPr>
      </w:pPr>
      <w:r w:rsidRPr="001961C9">
        <w:rPr>
          <w:rFonts w:cs="Arial"/>
          <w:szCs w:val="20"/>
        </w:rPr>
        <w:t xml:space="preserve">that coordination </w:t>
      </w:r>
      <w:r w:rsidR="0064653D" w:rsidRPr="001961C9">
        <w:rPr>
          <w:rFonts w:cs="Arial"/>
          <w:szCs w:val="20"/>
        </w:rPr>
        <w:t xml:space="preserve">is </w:t>
      </w:r>
      <w:r w:rsidRPr="001961C9">
        <w:rPr>
          <w:rFonts w:cs="Arial"/>
          <w:szCs w:val="20"/>
        </w:rPr>
        <w:t xml:space="preserve">required between DA2GC GS and FSS (E-s) </w:t>
      </w:r>
      <w:r w:rsidR="009B073E">
        <w:rPr>
          <w:rFonts w:cs="Arial"/>
          <w:szCs w:val="20"/>
        </w:rPr>
        <w:t>e</w:t>
      </w:r>
      <w:r w:rsidR="009B073E" w:rsidRPr="001961C9">
        <w:rPr>
          <w:rFonts w:cs="Arial"/>
          <w:szCs w:val="20"/>
        </w:rPr>
        <w:t xml:space="preserve">arth </w:t>
      </w:r>
      <w:r w:rsidRPr="001961C9">
        <w:rPr>
          <w:rFonts w:cs="Arial"/>
          <w:szCs w:val="20"/>
        </w:rPr>
        <w:t xml:space="preserve">stations both operating in the </w:t>
      </w:r>
      <w:r w:rsidR="00EB4846">
        <w:rPr>
          <w:rFonts w:cs="Arial"/>
          <w:szCs w:val="20"/>
        </w:rPr>
        <w:t xml:space="preserve">frequency </w:t>
      </w:r>
      <w:r w:rsidRPr="001961C9">
        <w:rPr>
          <w:rFonts w:cs="Arial"/>
          <w:szCs w:val="20"/>
        </w:rPr>
        <w:t>band 5855-5875 MHz</w:t>
      </w:r>
      <w:r w:rsidR="0064653D" w:rsidRPr="001961C9">
        <w:rPr>
          <w:rFonts w:cs="Arial"/>
          <w:szCs w:val="20"/>
        </w:rPr>
        <w:t>;</w:t>
      </w:r>
    </w:p>
    <w:p w:rsidR="006500FE" w:rsidRPr="001961C9" w:rsidRDefault="006500FE" w:rsidP="0064653D">
      <w:pPr>
        <w:pStyle w:val="ECCParagraph"/>
        <w:numPr>
          <w:ilvl w:val="0"/>
          <w:numId w:val="12"/>
        </w:numPr>
        <w:ind w:left="567" w:hanging="567"/>
        <w:rPr>
          <w:rFonts w:cs="Arial"/>
          <w:szCs w:val="20"/>
        </w:rPr>
      </w:pPr>
      <w:r w:rsidRPr="001961C9">
        <w:rPr>
          <w:rFonts w:cs="Arial"/>
          <w:szCs w:val="20"/>
        </w:rPr>
        <w:t xml:space="preserve">that it is envisaged that the locations of </w:t>
      </w:r>
      <w:r w:rsidR="0064653D" w:rsidRPr="001961C9">
        <w:rPr>
          <w:rFonts w:cs="Arial"/>
          <w:szCs w:val="20"/>
        </w:rPr>
        <w:t xml:space="preserve">ITS </w:t>
      </w:r>
      <w:r w:rsidR="00BF2732" w:rsidRPr="001961C9">
        <w:rPr>
          <w:rFonts w:cs="Arial"/>
          <w:szCs w:val="20"/>
        </w:rPr>
        <w:t xml:space="preserve"> infrastructure </w:t>
      </w:r>
      <w:r w:rsidR="004E69DC" w:rsidRPr="001961C9">
        <w:rPr>
          <w:rFonts w:cs="Arial"/>
          <w:szCs w:val="20"/>
        </w:rPr>
        <w:t>unit</w:t>
      </w:r>
      <w:r w:rsidR="00617AC8" w:rsidRPr="001961C9">
        <w:rPr>
          <w:rFonts w:cs="Arial"/>
          <w:szCs w:val="20"/>
        </w:rPr>
        <w:t>s</w:t>
      </w:r>
      <w:r w:rsidR="004E69DC" w:rsidRPr="001961C9">
        <w:rPr>
          <w:rFonts w:cs="Arial"/>
          <w:szCs w:val="20"/>
        </w:rPr>
        <w:t xml:space="preserve"> </w:t>
      </w:r>
      <w:r w:rsidRPr="001961C9">
        <w:rPr>
          <w:rFonts w:cs="Arial"/>
          <w:szCs w:val="20"/>
        </w:rPr>
        <w:t xml:space="preserve">can be established, even in those cases where ITS </w:t>
      </w:r>
      <w:r w:rsidR="00BF2732" w:rsidRPr="001961C9">
        <w:rPr>
          <w:rFonts w:cs="Arial"/>
          <w:szCs w:val="20"/>
        </w:rPr>
        <w:t>infrastructure unit</w:t>
      </w:r>
      <w:r w:rsidR="00617AC8" w:rsidRPr="001961C9">
        <w:rPr>
          <w:rFonts w:cs="Arial"/>
          <w:szCs w:val="20"/>
        </w:rPr>
        <w:t>s</w:t>
      </w:r>
      <w:r w:rsidR="00BF2732" w:rsidRPr="001961C9">
        <w:rPr>
          <w:rFonts w:cs="Arial"/>
          <w:szCs w:val="20"/>
        </w:rPr>
        <w:t xml:space="preserve"> </w:t>
      </w:r>
      <w:r w:rsidRPr="001961C9">
        <w:rPr>
          <w:rFonts w:cs="Arial"/>
          <w:szCs w:val="20"/>
        </w:rPr>
        <w:t xml:space="preserve"> are exempted from individual licences, and this information could be used</w:t>
      </w:r>
      <w:r w:rsidR="00E10830" w:rsidRPr="001961C9">
        <w:rPr>
          <w:rFonts w:cs="Arial"/>
          <w:szCs w:val="20"/>
        </w:rPr>
        <w:t>,</w:t>
      </w:r>
      <w:r w:rsidRPr="001961C9">
        <w:rPr>
          <w:rFonts w:cs="Arial"/>
          <w:szCs w:val="20"/>
        </w:rPr>
        <w:t xml:space="preserve"> </w:t>
      </w:r>
      <w:r w:rsidR="00E10830" w:rsidRPr="001961C9">
        <w:rPr>
          <w:rFonts w:cs="Arial"/>
          <w:szCs w:val="20"/>
        </w:rPr>
        <w:t>in order to ensure co</w:t>
      </w:r>
      <w:r w:rsidR="00735718" w:rsidRPr="001961C9">
        <w:rPr>
          <w:rFonts w:cs="Arial"/>
          <w:szCs w:val="20"/>
        </w:rPr>
        <w:t>-</w:t>
      </w:r>
      <w:r w:rsidR="00E10830" w:rsidRPr="001961C9">
        <w:rPr>
          <w:rFonts w:cs="Arial"/>
          <w:szCs w:val="20"/>
        </w:rPr>
        <w:t xml:space="preserve">existence </w:t>
      </w:r>
      <w:r w:rsidRPr="001961C9">
        <w:rPr>
          <w:rFonts w:cs="Arial"/>
          <w:szCs w:val="20"/>
        </w:rPr>
        <w:t>with DA2GC GS</w:t>
      </w:r>
      <w:r w:rsidR="0064653D" w:rsidRPr="001961C9">
        <w:rPr>
          <w:rFonts w:cs="Arial"/>
          <w:szCs w:val="20"/>
        </w:rPr>
        <w:t>;</w:t>
      </w:r>
    </w:p>
    <w:p w:rsidR="006500FE" w:rsidRPr="001961C9" w:rsidRDefault="00975C7A" w:rsidP="0064653D">
      <w:pPr>
        <w:pStyle w:val="ECCParagraph"/>
        <w:numPr>
          <w:ilvl w:val="0"/>
          <w:numId w:val="12"/>
        </w:numPr>
        <w:ind w:left="567" w:hanging="567"/>
        <w:rPr>
          <w:rFonts w:cs="Arial"/>
          <w:szCs w:val="20"/>
        </w:rPr>
      </w:pPr>
      <w:r w:rsidRPr="001961C9">
        <w:rPr>
          <w:rFonts w:cs="Arial"/>
          <w:szCs w:val="20"/>
        </w:rPr>
        <w:t xml:space="preserve">that additional mitigation measures could be required for the DA2GC AS in order to avoid interferences </w:t>
      </w:r>
      <w:r w:rsidR="00800672" w:rsidRPr="001961C9">
        <w:rPr>
          <w:rFonts w:cs="Arial"/>
          <w:szCs w:val="20"/>
        </w:rPr>
        <w:t xml:space="preserve">into </w:t>
      </w:r>
      <w:r w:rsidR="00DF78D9" w:rsidRPr="001961C9">
        <w:rPr>
          <w:rFonts w:cs="Arial"/>
          <w:szCs w:val="20"/>
        </w:rPr>
        <w:t xml:space="preserve">operational </w:t>
      </w:r>
      <w:r w:rsidRPr="001961C9">
        <w:rPr>
          <w:rFonts w:cs="Arial"/>
          <w:szCs w:val="20"/>
        </w:rPr>
        <w:t xml:space="preserve">BFWA </w:t>
      </w:r>
      <w:r w:rsidR="00DF78D9" w:rsidRPr="001961C9">
        <w:rPr>
          <w:rFonts w:cs="Arial"/>
          <w:szCs w:val="20"/>
        </w:rPr>
        <w:t xml:space="preserve">systems </w:t>
      </w:r>
      <w:r w:rsidRPr="001961C9">
        <w:rPr>
          <w:rFonts w:cs="Arial"/>
          <w:szCs w:val="20"/>
        </w:rPr>
        <w:t xml:space="preserve">in the </w:t>
      </w:r>
      <w:r w:rsidR="00EB4846">
        <w:rPr>
          <w:rFonts w:cs="Arial"/>
          <w:szCs w:val="20"/>
        </w:rPr>
        <w:t xml:space="preserve">frequency </w:t>
      </w:r>
      <w:r w:rsidRPr="001961C9">
        <w:rPr>
          <w:rFonts w:cs="Arial"/>
          <w:szCs w:val="20"/>
        </w:rPr>
        <w:t>band 5855-5875 MHz</w:t>
      </w:r>
      <w:r w:rsidR="0064653D" w:rsidRPr="001961C9">
        <w:rPr>
          <w:rFonts w:cs="Arial"/>
          <w:szCs w:val="20"/>
        </w:rPr>
        <w:t>;</w:t>
      </w:r>
    </w:p>
    <w:p w:rsidR="006500FE" w:rsidRPr="001961C9" w:rsidRDefault="00975C7A" w:rsidP="0064653D">
      <w:pPr>
        <w:pStyle w:val="ECCParagraph"/>
        <w:numPr>
          <w:ilvl w:val="0"/>
          <w:numId w:val="12"/>
        </w:numPr>
        <w:ind w:left="567" w:hanging="567"/>
        <w:rPr>
          <w:rFonts w:cs="Arial"/>
          <w:szCs w:val="20"/>
        </w:rPr>
      </w:pPr>
      <w:r w:rsidRPr="001961C9">
        <w:rPr>
          <w:rFonts w:cs="Arial"/>
          <w:szCs w:val="20"/>
        </w:rPr>
        <w:t xml:space="preserve">that the protection of the </w:t>
      </w:r>
      <w:r w:rsidR="002645AF">
        <w:rPr>
          <w:rFonts w:cs="Arial"/>
          <w:szCs w:val="20"/>
        </w:rPr>
        <w:t>r</w:t>
      </w:r>
      <w:r w:rsidRPr="001961C9">
        <w:rPr>
          <w:rFonts w:cs="Arial"/>
          <w:szCs w:val="20"/>
        </w:rPr>
        <w:t xml:space="preserve">adiolocation </w:t>
      </w:r>
      <w:r w:rsidR="002645AF">
        <w:rPr>
          <w:rFonts w:cs="Arial"/>
          <w:szCs w:val="20"/>
        </w:rPr>
        <w:t>s</w:t>
      </w:r>
      <w:r w:rsidRPr="001961C9">
        <w:rPr>
          <w:rFonts w:cs="Arial"/>
          <w:szCs w:val="20"/>
        </w:rPr>
        <w:t xml:space="preserve">ervice is ensured by a limitation of the unwanted emissions from DA2GC into the </w:t>
      </w:r>
      <w:r w:rsidR="00EB4846">
        <w:rPr>
          <w:rFonts w:cs="Arial"/>
          <w:szCs w:val="20"/>
        </w:rPr>
        <w:t xml:space="preserve">frequency </w:t>
      </w:r>
      <w:r w:rsidRPr="001961C9">
        <w:rPr>
          <w:rFonts w:cs="Arial"/>
          <w:szCs w:val="20"/>
        </w:rPr>
        <w:t>band below 5850 MHz;</w:t>
      </w:r>
    </w:p>
    <w:p w:rsidR="006500FE" w:rsidRDefault="00975C7A" w:rsidP="0064653D">
      <w:pPr>
        <w:pStyle w:val="ECCParagraph"/>
        <w:numPr>
          <w:ilvl w:val="0"/>
          <w:numId w:val="12"/>
        </w:numPr>
        <w:ind w:left="567" w:hanging="567"/>
        <w:rPr>
          <w:rFonts w:cs="Arial"/>
          <w:szCs w:val="20"/>
        </w:rPr>
      </w:pPr>
      <w:r w:rsidRPr="001961C9">
        <w:rPr>
          <w:rFonts w:cs="Arial"/>
          <w:szCs w:val="20"/>
        </w:rPr>
        <w:t xml:space="preserve">that no additional measures are required to protect </w:t>
      </w:r>
      <w:r w:rsidR="001D38AA" w:rsidRPr="001961C9">
        <w:rPr>
          <w:rFonts w:cs="Arial"/>
          <w:szCs w:val="20"/>
        </w:rPr>
        <w:t xml:space="preserve">road tolling systems within </w:t>
      </w:r>
      <w:r w:rsidRPr="001961C9">
        <w:rPr>
          <w:rFonts w:cs="Arial"/>
          <w:szCs w:val="20"/>
        </w:rPr>
        <w:t xml:space="preserve">the </w:t>
      </w:r>
      <w:r w:rsidR="00EB4846">
        <w:rPr>
          <w:rFonts w:cs="Arial"/>
          <w:szCs w:val="20"/>
        </w:rPr>
        <w:t xml:space="preserve">frequency </w:t>
      </w:r>
      <w:r w:rsidRPr="001961C9">
        <w:rPr>
          <w:rFonts w:cs="Arial"/>
          <w:szCs w:val="20"/>
        </w:rPr>
        <w:t>band 5795-5815 MHz</w:t>
      </w:r>
      <w:r w:rsidR="0064653D" w:rsidRPr="001961C9">
        <w:rPr>
          <w:rFonts w:cs="Arial"/>
          <w:szCs w:val="20"/>
        </w:rPr>
        <w:t>;</w:t>
      </w:r>
    </w:p>
    <w:p w:rsidR="00A27812" w:rsidRPr="001961C9" w:rsidRDefault="00A27812" w:rsidP="0064653D">
      <w:pPr>
        <w:pStyle w:val="ECCParagraph"/>
        <w:numPr>
          <w:ilvl w:val="0"/>
          <w:numId w:val="12"/>
        </w:numPr>
        <w:ind w:left="567" w:hanging="567"/>
        <w:rPr>
          <w:rFonts w:cs="Arial"/>
          <w:szCs w:val="20"/>
        </w:rPr>
      </w:pPr>
      <w:r>
        <w:rPr>
          <w:rFonts w:cs="Arial"/>
          <w:szCs w:val="20"/>
        </w:rPr>
        <w:t>that the protection of the fixed satellite service</w:t>
      </w:r>
      <w:r w:rsidR="000E20BB">
        <w:rPr>
          <w:rFonts w:cs="Arial"/>
          <w:szCs w:val="20"/>
        </w:rPr>
        <w:t xml:space="preserve"> is enhanced because </w:t>
      </w:r>
      <w:r>
        <w:rPr>
          <w:rFonts w:cs="Arial"/>
          <w:szCs w:val="20"/>
        </w:rPr>
        <w:t xml:space="preserve">only half of the </w:t>
      </w:r>
      <w:r w:rsidR="00324A05">
        <w:rPr>
          <w:rFonts w:cs="Arial"/>
          <w:szCs w:val="20"/>
        </w:rPr>
        <w:t xml:space="preserve">DA2GC </w:t>
      </w:r>
      <w:r>
        <w:rPr>
          <w:rFonts w:cs="Arial"/>
          <w:szCs w:val="20"/>
        </w:rPr>
        <w:t xml:space="preserve">TDD beamforming ground stations transmit at any instant </w:t>
      </w:r>
      <w:r w:rsidR="000E20BB">
        <w:rPr>
          <w:rFonts w:cs="Arial"/>
          <w:szCs w:val="20"/>
        </w:rPr>
        <w:t xml:space="preserve">due to the </w:t>
      </w:r>
      <w:r>
        <w:rPr>
          <w:rFonts w:cs="Arial"/>
          <w:szCs w:val="20"/>
        </w:rPr>
        <w:t>us</w:t>
      </w:r>
      <w:r w:rsidR="000E20BB">
        <w:rPr>
          <w:rFonts w:cs="Arial"/>
          <w:szCs w:val="20"/>
        </w:rPr>
        <w:t xml:space="preserve">e of </w:t>
      </w:r>
      <w:r>
        <w:rPr>
          <w:rFonts w:cs="Arial"/>
          <w:szCs w:val="20"/>
        </w:rPr>
        <w:t xml:space="preserve">synchronisation across the </w:t>
      </w:r>
      <w:r w:rsidR="000E20BB">
        <w:rPr>
          <w:rFonts w:cs="Arial"/>
          <w:szCs w:val="20"/>
        </w:rPr>
        <w:t xml:space="preserve">DA2GC </w:t>
      </w:r>
      <w:r>
        <w:rPr>
          <w:rFonts w:cs="Arial"/>
          <w:szCs w:val="20"/>
        </w:rPr>
        <w:t>network</w:t>
      </w:r>
      <w:r w:rsidR="000E20BB">
        <w:rPr>
          <w:rFonts w:cs="Arial"/>
          <w:szCs w:val="20"/>
        </w:rPr>
        <w:t>;</w:t>
      </w:r>
    </w:p>
    <w:p w:rsidR="00276917" w:rsidRPr="001961C9" w:rsidRDefault="00276917" w:rsidP="00276917">
      <w:pPr>
        <w:pStyle w:val="ECCParagraph"/>
        <w:numPr>
          <w:ilvl w:val="0"/>
          <w:numId w:val="12"/>
        </w:numPr>
        <w:ind w:left="567" w:hanging="567"/>
        <w:rPr>
          <w:rFonts w:cs="Arial"/>
          <w:szCs w:val="20"/>
        </w:rPr>
      </w:pPr>
      <w:r w:rsidRPr="001961C9">
        <w:rPr>
          <w:rFonts w:cs="Arial"/>
          <w:szCs w:val="20"/>
        </w:rPr>
        <w:t xml:space="preserve">that </w:t>
      </w:r>
      <w:r w:rsidR="006932B8">
        <w:rPr>
          <w:rFonts w:cs="Arial"/>
          <w:szCs w:val="20"/>
        </w:rPr>
        <w:t xml:space="preserve">Decision </w:t>
      </w:r>
      <w:r w:rsidRPr="001961C9">
        <w:rPr>
          <w:rFonts w:cs="Arial"/>
          <w:szCs w:val="20"/>
        </w:rPr>
        <w:t>ECC</w:t>
      </w:r>
      <w:r w:rsidR="006932B8">
        <w:rPr>
          <w:rFonts w:cs="Arial"/>
          <w:szCs w:val="20"/>
        </w:rPr>
        <w:t>/DEC/</w:t>
      </w:r>
      <w:r w:rsidRPr="001961C9">
        <w:rPr>
          <w:rFonts w:cs="Arial"/>
          <w:szCs w:val="20"/>
        </w:rPr>
        <w:t>(</w:t>
      </w:r>
      <w:r w:rsidRPr="00C10A20">
        <w:rPr>
          <w:rFonts w:cs="Arial"/>
          <w:szCs w:val="20"/>
        </w:rPr>
        <w:t>15)</w:t>
      </w:r>
      <w:r w:rsidR="00CE3C18">
        <w:rPr>
          <w:rFonts w:cs="Arial"/>
          <w:szCs w:val="20"/>
        </w:rPr>
        <w:t>02</w:t>
      </w:r>
      <w:r w:rsidR="00CE3C18" w:rsidRPr="00C10A20">
        <w:rPr>
          <w:rFonts w:cs="Arial"/>
          <w:szCs w:val="20"/>
        </w:rPr>
        <w:t xml:space="preserve"> </w:t>
      </w:r>
      <w:r w:rsidRPr="00C10A20">
        <w:rPr>
          <w:rFonts w:cs="Arial"/>
          <w:szCs w:val="20"/>
        </w:rPr>
        <w:t>designates</w:t>
      </w:r>
      <w:r w:rsidRPr="001961C9">
        <w:rPr>
          <w:rFonts w:cs="Arial"/>
          <w:szCs w:val="20"/>
        </w:rPr>
        <w:t xml:space="preserve"> the frequency band 1900-1920 MHz for </w:t>
      </w:r>
      <w:r w:rsidR="002645AF">
        <w:rPr>
          <w:rFonts w:cs="Arial"/>
          <w:szCs w:val="20"/>
        </w:rPr>
        <w:t>b</w:t>
      </w:r>
      <w:r w:rsidRPr="001961C9">
        <w:rPr>
          <w:rFonts w:cs="Arial"/>
          <w:szCs w:val="20"/>
        </w:rPr>
        <w:t xml:space="preserve">roadband DA2GC systems on </w:t>
      </w:r>
      <w:r w:rsidR="00BE5F88">
        <w:rPr>
          <w:rFonts w:cs="Arial"/>
          <w:szCs w:val="20"/>
        </w:rPr>
        <w:t xml:space="preserve">a </w:t>
      </w:r>
      <w:r w:rsidRPr="001961C9">
        <w:rPr>
          <w:rFonts w:cs="Arial"/>
          <w:szCs w:val="20"/>
        </w:rPr>
        <w:t xml:space="preserve">non-exclusive basis; </w:t>
      </w:r>
    </w:p>
    <w:p w:rsidR="0020388C" w:rsidRPr="001961C9" w:rsidRDefault="00975C7A" w:rsidP="003745C9">
      <w:pPr>
        <w:pStyle w:val="ECCParagraph"/>
        <w:numPr>
          <w:ilvl w:val="0"/>
          <w:numId w:val="12"/>
        </w:numPr>
        <w:ind w:left="567" w:hanging="567"/>
        <w:rPr>
          <w:rFonts w:cs="Arial"/>
          <w:szCs w:val="20"/>
        </w:rPr>
      </w:pPr>
      <w:proofErr w:type="gramStart"/>
      <w:r w:rsidRPr="001961C9">
        <w:rPr>
          <w:rFonts w:cs="Arial"/>
          <w:szCs w:val="20"/>
        </w:rPr>
        <w:t>that</w:t>
      </w:r>
      <w:proofErr w:type="gramEnd"/>
      <w:r w:rsidRPr="001961C9">
        <w:rPr>
          <w:rFonts w:cs="Arial"/>
          <w:szCs w:val="20"/>
        </w:rPr>
        <w:t xml:space="preserve"> in EU/EFTA countries the radio equipment that is under the scope of this Decision shall comply with the R&amp;TTE Directive. Conformity with the essential requirements of the R&amp;TTE Directive may be demonstrated by compliance with the applicable harmonised European standard(s) or by using the other conformity assessment procedures set out in the R&amp;TTE Directive</w:t>
      </w:r>
      <w:r w:rsidR="002645AF">
        <w:rPr>
          <w:rFonts w:cs="Arial"/>
          <w:szCs w:val="20"/>
        </w:rPr>
        <w:t>.</w:t>
      </w:r>
    </w:p>
    <w:p w:rsidR="00EB4846" w:rsidRDefault="00EB4846">
      <w:pPr>
        <w:rPr>
          <w:rFonts w:cs="Arial"/>
          <w:szCs w:val="20"/>
          <w:lang w:val="en-GB"/>
        </w:rPr>
      </w:pPr>
      <w:r>
        <w:rPr>
          <w:rFonts w:cs="Arial"/>
          <w:szCs w:val="20"/>
        </w:rPr>
        <w:br w:type="page"/>
      </w:r>
    </w:p>
    <w:p w:rsidR="006C03D0" w:rsidRPr="001961C9" w:rsidRDefault="005F7AD5" w:rsidP="006C03D0">
      <w:pPr>
        <w:pStyle w:val="ECCParagraph"/>
        <w:rPr>
          <w:rFonts w:cs="Arial"/>
          <w:color w:val="D2232A"/>
          <w:szCs w:val="20"/>
        </w:rPr>
      </w:pPr>
      <w:r w:rsidRPr="001961C9">
        <w:rPr>
          <w:rFonts w:cs="Arial"/>
          <w:i/>
          <w:color w:val="D2232A"/>
          <w:szCs w:val="20"/>
        </w:rPr>
        <w:lastRenderedPageBreak/>
        <w:t>DECIDES</w:t>
      </w:r>
    </w:p>
    <w:p w:rsidR="00394CF6" w:rsidRPr="001961C9" w:rsidRDefault="00F61E43" w:rsidP="00E73D39">
      <w:pPr>
        <w:pStyle w:val="NumberedList"/>
        <w:spacing w:after="120"/>
        <w:rPr>
          <w:rFonts w:cs="Arial"/>
          <w:szCs w:val="20"/>
        </w:rPr>
      </w:pPr>
      <w:r w:rsidRPr="001961C9">
        <w:rPr>
          <w:rFonts w:cs="Arial"/>
          <w:bCs/>
          <w:szCs w:val="20"/>
        </w:rPr>
        <w:t>that</w:t>
      </w:r>
      <w:r w:rsidR="00394CF6" w:rsidRPr="001961C9">
        <w:rPr>
          <w:rFonts w:cs="Arial"/>
          <w:bCs/>
          <w:szCs w:val="20"/>
        </w:rPr>
        <w:t xml:space="preserve"> </w:t>
      </w:r>
      <w:r w:rsidR="005645AE" w:rsidRPr="001961C9">
        <w:rPr>
          <w:rFonts w:cs="Arial"/>
          <w:bCs/>
          <w:szCs w:val="20"/>
        </w:rPr>
        <w:t xml:space="preserve">the </w:t>
      </w:r>
      <w:r w:rsidR="00394CF6" w:rsidRPr="001961C9">
        <w:rPr>
          <w:rFonts w:cs="Arial"/>
          <w:b/>
          <w:bCs/>
          <w:szCs w:val="20"/>
        </w:rPr>
        <w:t>purpose of this ECC Decision</w:t>
      </w:r>
      <w:r w:rsidR="00394CF6" w:rsidRPr="001961C9">
        <w:rPr>
          <w:rFonts w:cs="Arial"/>
          <w:bCs/>
          <w:szCs w:val="20"/>
        </w:rPr>
        <w:t xml:space="preserve"> is to: </w:t>
      </w:r>
    </w:p>
    <w:p w:rsidR="006C03D0" w:rsidRPr="001961C9" w:rsidRDefault="00394CF6" w:rsidP="00E014B4">
      <w:pPr>
        <w:pStyle w:val="NumberedList"/>
        <w:numPr>
          <w:ilvl w:val="0"/>
          <w:numId w:val="37"/>
        </w:numPr>
        <w:spacing w:after="120"/>
        <w:rPr>
          <w:rFonts w:cs="Arial"/>
          <w:bCs/>
          <w:szCs w:val="20"/>
        </w:rPr>
      </w:pPr>
      <w:r w:rsidRPr="001961C9">
        <w:rPr>
          <w:rFonts w:cs="Arial"/>
          <w:bCs/>
          <w:szCs w:val="20"/>
        </w:rPr>
        <w:t xml:space="preserve">harmonise the use of the frequency band </w:t>
      </w:r>
      <w:r w:rsidR="00BA677B" w:rsidRPr="001961C9">
        <w:rPr>
          <w:rFonts w:cs="Arial"/>
          <w:bCs/>
          <w:szCs w:val="20"/>
        </w:rPr>
        <w:t xml:space="preserve">5855-5875 MHz </w:t>
      </w:r>
      <w:r w:rsidRPr="001961C9">
        <w:rPr>
          <w:rFonts w:cs="Arial"/>
          <w:bCs/>
          <w:szCs w:val="20"/>
        </w:rPr>
        <w:t xml:space="preserve">for broadband </w:t>
      </w:r>
      <w:r w:rsidR="00FD1C51" w:rsidRPr="001961C9">
        <w:rPr>
          <w:rFonts w:cs="Arial"/>
          <w:bCs/>
          <w:szCs w:val="20"/>
        </w:rPr>
        <w:t xml:space="preserve">Direct-Air-to-Ground </w:t>
      </w:r>
      <w:r w:rsidR="00675403" w:rsidRPr="001961C9">
        <w:rPr>
          <w:rFonts w:cs="Arial"/>
          <w:bCs/>
          <w:szCs w:val="20"/>
        </w:rPr>
        <w:t>Communications (</w:t>
      </w:r>
      <w:r w:rsidR="00975C7A" w:rsidRPr="001961C9">
        <w:rPr>
          <w:rFonts w:cs="Arial"/>
          <w:bCs/>
          <w:szCs w:val="20"/>
        </w:rPr>
        <w:t>DA2GC</w:t>
      </w:r>
      <w:r w:rsidR="002C0CF2">
        <w:rPr>
          <w:rFonts w:cs="Arial"/>
          <w:bCs/>
          <w:szCs w:val="20"/>
        </w:rPr>
        <w:t>) systems</w:t>
      </w:r>
      <w:r w:rsidR="00F738FC" w:rsidRPr="001961C9">
        <w:rPr>
          <w:rFonts w:cs="Arial"/>
          <w:bCs/>
          <w:szCs w:val="20"/>
        </w:rPr>
        <w:t>;</w:t>
      </w:r>
    </w:p>
    <w:p w:rsidR="00F43110" w:rsidRPr="001961C9" w:rsidRDefault="009E4116" w:rsidP="00E014B4">
      <w:pPr>
        <w:pStyle w:val="NumberedList"/>
        <w:numPr>
          <w:ilvl w:val="0"/>
          <w:numId w:val="37"/>
        </w:numPr>
        <w:ind w:left="714" w:hanging="357"/>
        <w:rPr>
          <w:rFonts w:cs="Arial"/>
          <w:bCs/>
          <w:szCs w:val="20"/>
        </w:rPr>
      </w:pPr>
      <w:r>
        <w:rPr>
          <w:rFonts w:cs="Arial"/>
          <w:bCs/>
          <w:szCs w:val="20"/>
        </w:rPr>
        <w:t>establish</w:t>
      </w:r>
      <w:r w:rsidR="00524306" w:rsidRPr="001961C9">
        <w:rPr>
          <w:rFonts w:cs="Arial"/>
          <w:bCs/>
          <w:szCs w:val="20"/>
        </w:rPr>
        <w:t xml:space="preserve"> </w:t>
      </w:r>
      <w:r w:rsidR="00CD3665" w:rsidRPr="001961C9">
        <w:rPr>
          <w:rFonts w:cs="Arial"/>
          <w:bCs/>
          <w:szCs w:val="20"/>
        </w:rPr>
        <w:t xml:space="preserve">a common framework for </w:t>
      </w:r>
      <w:r w:rsidR="00CA028A">
        <w:rPr>
          <w:rFonts w:cs="Arial"/>
          <w:bCs/>
          <w:szCs w:val="20"/>
        </w:rPr>
        <w:t>facilitating</w:t>
      </w:r>
      <w:r w:rsidR="00CA028A" w:rsidRPr="001961C9">
        <w:rPr>
          <w:rFonts w:cs="Arial"/>
          <w:bCs/>
          <w:szCs w:val="20"/>
        </w:rPr>
        <w:t xml:space="preserve"> </w:t>
      </w:r>
      <w:r w:rsidR="00817BEE">
        <w:rPr>
          <w:rFonts w:cs="Arial"/>
          <w:bCs/>
          <w:szCs w:val="20"/>
        </w:rPr>
        <w:t xml:space="preserve">implementation of a </w:t>
      </w:r>
      <w:r w:rsidR="00F43110" w:rsidRPr="001961C9">
        <w:rPr>
          <w:rFonts w:cs="Arial"/>
          <w:bCs/>
          <w:szCs w:val="20"/>
        </w:rPr>
        <w:t xml:space="preserve">Broadband DA2GC </w:t>
      </w:r>
      <w:r w:rsidR="00817BEE" w:rsidRPr="003745C9">
        <w:rPr>
          <w:rFonts w:cs="Arial"/>
          <w:bCs/>
          <w:szCs w:val="20"/>
        </w:rPr>
        <w:t>system</w:t>
      </w:r>
      <w:r w:rsidR="00817BEE">
        <w:rPr>
          <w:rFonts w:cs="Arial"/>
          <w:bCs/>
          <w:szCs w:val="20"/>
        </w:rPr>
        <w:t xml:space="preserve"> </w:t>
      </w:r>
      <w:r w:rsidR="00F43110" w:rsidRPr="001961C9">
        <w:rPr>
          <w:rFonts w:cs="Arial"/>
          <w:bCs/>
          <w:szCs w:val="20"/>
        </w:rPr>
        <w:t xml:space="preserve">in the frequency band </w:t>
      </w:r>
      <w:r w:rsidR="00BA677B" w:rsidRPr="001961C9">
        <w:rPr>
          <w:rFonts w:cs="Arial"/>
          <w:bCs/>
          <w:szCs w:val="20"/>
        </w:rPr>
        <w:t>5855-5875 MHz</w:t>
      </w:r>
      <w:r w:rsidR="00753CF3">
        <w:rPr>
          <w:rFonts w:cs="Arial"/>
          <w:bCs/>
          <w:szCs w:val="20"/>
        </w:rPr>
        <w:t>;</w:t>
      </w:r>
      <w:r w:rsidR="00CD3665" w:rsidRPr="001961C9">
        <w:rPr>
          <w:rFonts w:cs="Arial"/>
          <w:bCs/>
          <w:szCs w:val="20"/>
        </w:rPr>
        <w:t xml:space="preserve"> </w:t>
      </w:r>
    </w:p>
    <w:p w:rsidR="00F43110" w:rsidRPr="001961C9" w:rsidRDefault="00F43110" w:rsidP="00E73D39">
      <w:pPr>
        <w:pStyle w:val="NumberedList"/>
        <w:spacing w:after="120"/>
        <w:rPr>
          <w:rFonts w:cs="Arial"/>
          <w:szCs w:val="20"/>
        </w:rPr>
      </w:pPr>
      <w:r w:rsidRPr="001961C9">
        <w:rPr>
          <w:rFonts w:cs="Arial"/>
          <w:szCs w:val="20"/>
        </w:rPr>
        <w:t xml:space="preserve">that CEPT </w:t>
      </w:r>
      <w:r w:rsidRPr="001961C9">
        <w:rPr>
          <w:rFonts w:cs="Arial"/>
          <w:b/>
          <w:szCs w:val="20"/>
        </w:rPr>
        <w:t>administrations shall</w:t>
      </w:r>
      <w:r w:rsidRPr="001961C9">
        <w:rPr>
          <w:rFonts w:cs="Arial"/>
          <w:szCs w:val="20"/>
        </w:rPr>
        <w:t>:</w:t>
      </w:r>
    </w:p>
    <w:p w:rsidR="00F43110" w:rsidRPr="001961C9" w:rsidRDefault="0008795F" w:rsidP="00E014B4">
      <w:pPr>
        <w:pStyle w:val="NumberedList"/>
        <w:numPr>
          <w:ilvl w:val="0"/>
          <w:numId w:val="38"/>
        </w:numPr>
        <w:spacing w:after="120"/>
        <w:rPr>
          <w:rFonts w:cs="Arial"/>
          <w:szCs w:val="20"/>
        </w:rPr>
      </w:pPr>
      <w:r w:rsidRPr="001961C9">
        <w:rPr>
          <w:rFonts w:cs="Arial"/>
          <w:bCs/>
          <w:szCs w:val="20"/>
        </w:rPr>
        <w:t xml:space="preserve">designate the frequency band </w:t>
      </w:r>
      <w:r w:rsidR="00BA677B" w:rsidRPr="001961C9">
        <w:rPr>
          <w:rFonts w:cs="Arial"/>
          <w:bCs/>
          <w:szCs w:val="20"/>
        </w:rPr>
        <w:t xml:space="preserve">5855-5875 </w:t>
      </w:r>
      <w:r w:rsidR="006502C7" w:rsidRPr="001961C9">
        <w:rPr>
          <w:rFonts w:cs="Arial"/>
          <w:szCs w:val="20"/>
        </w:rPr>
        <w:t xml:space="preserve">MHz </w:t>
      </w:r>
      <w:r w:rsidRPr="001961C9">
        <w:rPr>
          <w:rFonts w:cs="Arial"/>
          <w:szCs w:val="20"/>
        </w:rPr>
        <w:t>for Broadband DA2GC</w:t>
      </w:r>
      <w:r w:rsidRPr="001961C9">
        <w:rPr>
          <w:rFonts w:cs="Arial"/>
          <w:bCs/>
          <w:szCs w:val="20"/>
        </w:rPr>
        <w:t xml:space="preserve"> on a non-exclusive basis</w:t>
      </w:r>
      <w:r w:rsidRPr="001961C9">
        <w:rPr>
          <w:rFonts w:cs="Arial"/>
          <w:szCs w:val="20"/>
        </w:rPr>
        <w:t>;</w:t>
      </w:r>
    </w:p>
    <w:p w:rsidR="00783BFA" w:rsidRPr="001961C9" w:rsidRDefault="00783BFA" w:rsidP="00E014B4">
      <w:pPr>
        <w:pStyle w:val="NumberedList"/>
        <w:numPr>
          <w:ilvl w:val="0"/>
          <w:numId w:val="38"/>
        </w:numPr>
        <w:spacing w:after="120"/>
        <w:rPr>
          <w:rFonts w:cs="Arial"/>
          <w:bCs/>
          <w:szCs w:val="20"/>
        </w:rPr>
      </w:pPr>
      <w:r w:rsidRPr="001961C9">
        <w:rPr>
          <w:rFonts w:cs="Arial"/>
          <w:bCs/>
          <w:szCs w:val="20"/>
        </w:rPr>
        <w:t xml:space="preserve">apply the technical </w:t>
      </w:r>
      <w:r w:rsidR="00FE63EE" w:rsidRPr="001961C9">
        <w:rPr>
          <w:rFonts w:cs="Arial"/>
          <w:bCs/>
          <w:szCs w:val="20"/>
        </w:rPr>
        <w:t xml:space="preserve">and operational requirements </w:t>
      </w:r>
      <w:r w:rsidR="006502C7" w:rsidRPr="001961C9">
        <w:rPr>
          <w:rFonts w:cs="Arial"/>
          <w:bCs/>
          <w:szCs w:val="20"/>
        </w:rPr>
        <w:t xml:space="preserve">for the harmonised frequency arrangement </w:t>
      </w:r>
      <w:r w:rsidR="00FE63EE" w:rsidRPr="001961C9">
        <w:rPr>
          <w:rFonts w:cs="Arial"/>
          <w:bCs/>
          <w:szCs w:val="20"/>
        </w:rPr>
        <w:t xml:space="preserve">for </w:t>
      </w:r>
      <w:r w:rsidR="00975C7A" w:rsidRPr="001961C9">
        <w:rPr>
          <w:rFonts w:cs="Arial"/>
          <w:bCs/>
          <w:szCs w:val="20"/>
        </w:rPr>
        <w:t>TDD</w:t>
      </w:r>
      <w:r w:rsidRPr="001961C9">
        <w:rPr>
          <w:rFonts w:cs="Arial"/>
          <w:bCs/>
          <w:szCs w:val="20"/>
        </w:rPr>
        <w:t xml:space="preserve"> </w:t>
      </w:r>
      <w:r w:rsidR="00FE63EE" w:rsidRPr="001961C9">
        <w:rPr>
          <w:rFonts w:cs="Arial"/>
          <w:bCs/>
          <w:szCs w:val="20"/>
        </w:rPr>
        <w:t>i</w:t>
      </w:r>
      <w:r w:rsidRPr="001961C9">
        <w:rPr>
          <w:rFonts w:cs="Arial"/>
          <w:bCs/>
          <w:szCs w:val="20"/>
        </w:rPr>
        <w:t xml:space="preserve">n the band </w:t>
      </w:r>
      <w:r w:rsidR="00BA677B" w:rsidRPr="001961C9">
        <w:rPr>
          <w:rFonts w:cs="Arial"/>
          <w:bCs/>
          <w:szCs w:val="20"/>
        </w:rPr>
        <w:t xml:space="preserve">5855-5875 MHz </w:t>
      </w:r>
      <w:r w:rsidRPr="001961C9">
        <w:rPr>
          <w:rFonts w:cs="Arial"/>
          <w:bCs/>
          <w:szCs w:val="20"/>
        </w:rPr>
        <w:t xml:space="preserve">according to Annex </w:t>
      </w:r>
      <w:r w:rsidR="00BA677B" w:rsidRPr="001961C9">
        <w:rPr>
          <w:rFonts w:cs="Arial"/>
          <w:bCs/>
          <w:szCs w:val="20"/>
        </w:rPr>
        <w:t>1</w:t>
      </w:r>
      <w:r w:rsidRPr="001961C9">
        <w:rPr>
          <w:rFonts w:cs="Arial"/>
          <w:bCs/>
          <w:szCs w:val="20"/>
        </w:rPr>
        <w:t>;</w:t>
      </w:r>
    </w:p>
    <w:p w:rsidR="00783BFA" w:rsidRPr="001961C9" w:rsidRDefault="00783BFA" w:rsidP="00E014B4">
      <w:pPr>
        <w:pStyle w:val="NumberedList"/>
        <w:numPr>
          <w:ilvl w:val="0"/>
          <w:numId w:val="38"/>
        </w:numPr>
        <w:jc w:val="left"/>
        <w:rPr>
          <w:rFonts w:cs="Arial"/>
          <w:szCs w:val="20"/>
        </w:rPr>
      </w:pPr>
      <w:r w:rsidRPr="001961C9">
        <w:rPr>
          <w:rFonts w:cs="Arial"/>
          <w:szCs w:val="20"/>
        </w:rPr>
        <w:t xml:space="preserve">ensure </w:t>
      </w:r>
      <w:r w:rsidR="00A33B3E" w:rsidRPr="001961C9">
        <w:rPr>
          <w:rFonts w:cs="Arial"/>
          <w:szCs w:val="20"/>
        </w:rPr>
        <w:t>co</w:t>
      </w:r>
      <w:r w:rsidR="00735718" w:rsidRPr="001961C9">
        <w:rPr>
          <w:rFonts w:cs="Arial"/>
          <w:szCs w:val="20"/>
        </w:rPr>
        <w:t>-</w:t>
      </w:r>
      <w:r w:rsidR="00A33B3E" w:rsidRPr="001961C9">
        <w:rPr>
          <w:rFonts w:cs="Arial"/>
          <w:szCs w:val="20"/>
        </w:rPr>
        <w:t xml:space="preserve">existence </w:t>
      </w:r>
      <w:r w:rsidRPr="001961C9">
        <w:rPr>
          <w:rFonts w:cs="Arial"/>
          <w:szCs w:val="20"/>
        </w:rPr>
        <w:t xml:space="preserve">between DA2GC GS </w:t>
      </w:r>
      <w:r w:rsidR="00D84B9B">
        <w:rPr>
          <w:rFonts w:cs="Arial"/>
          <w:szCs w:val="20"/>
        </w:rPr>
        <w:t xml:space="preserve">as described in Annex 1 </w:t>
      </w:r>
      <w:r w:rsidRPr="001961C9">
        <w:rPr>
          <w:rFonts w:cs="Arial"/>
          <w:szCs w:val="20"/>
        </w:rPr>
        <w:t xml:space="preserve">and </w:t>
      </w:r>
      <w:r w:rsidR="00975C7A" w:rsidRPr="001961C9">
        <w:rPr>
          <w:rFonts w:cs="Arial"/>
          <w:szCs w:val="20"/>
        </w:rPr>
        <w:t xml:space="preserve">other fixed terrestrial stations and FSS earth stations </w:t>
      </w:r>
      <w:r w:rsidRPr="001961C9">
        <w:rPr>
          <w:rFonts w:cs="Arial"/>
          <w:szCs w:val="20"/>
        </w:rPr>
        <w:t>by taking into account the guidelines as</w:t>
      </w:r>
      <w:r w:rsidR="00077E8E" w:rsidRPr="001961C9">
        <w:rPr>
          <w:rFonts w:cs="Arial"/>
          <w:szCs w:val="20"/>
        </w:rPr>
        <w:t xml:space="preserve"> provided in Annex</w:t>
      </w:r>
      <w:r w:rsidR="00BA677B" w:rsidRPr="001961C9">
        <w:rPr>
          <w:rFonts w:cs="Arial"/>
          <w:szCs w:val="20"/>
        </w:rPr>
        <w:t xml:space="preserve"> </w:t>
      </w:r>
      <w:r w:rsidR="005D2CBD">
        <w:rPr>
          <w:rFonts w:cs="Arial"/>
          <w:szCs w:val="20"/>
        </w:rPr>
        <w:t>2</w:t>
      </w:r>
      <w:r w:rsidRPr="001961C9">
        <w:rPr>
          <w:rFonts w:cs="Arial"/>
          <w:szCs w:val="20"/>
        </w:rPr>
        <w:t>;</w:t>
      </w:r>
    </w:p>
    <w:p w:rsidR="00077E8E" w:rsidRPr="00694810" w:rsidRDefault="00077E8E" w:rsidP="00E014B4">
      <w:pPr>
        <w:pStyle w:val="NumberedList"/>
        <w:rPr>
          <w:rFonts w:cs="Arial"/>
          <w:szCs w:val="20"/>
        </w:rPr>
      </w:pPr>
      <w:r w:rsidRPr="00694810">
        <w:rPr>
          <w:rFonts w:cs="Arial"/>
          <w:szCs w:val="20"/>
        </w:rPr>
        <w:t xml:space="preserve">that </w:t>
      </w:r>
      <w:r w:rsidR="009A1923" w:rsidRPr="00694810">
        <w:rPr>
          <w:rFonts w:cs="Arial"/>
          <w:szCs w:val="20"/>
        </w:rPr>
        <w:t xml:space="preserve">CEPT </w:t>
      </w:r>
      <w:r w:rsidRPr="00694810">
        <w:rPr>
          <w:rFonts w:cs="Arial"/>
          <w:szCs w:val="20"/>
        </w:rPr>
        <w:t>administrations shall exempt from individual licensing and shall allow free circulation and use of DA2GC AS operating under the control of a network;</w:t>
      </w:r>
    </w:p>
    <w:p w:rsidR="00077E8E" w:rsidRPr="001961C9" w:rsidRDefault="00077E8E" w:rsidP="00E014B4">
      <w:pPr>
        <w:pStyle w:val="NumberedList"/>
        <w:rPr>
          <w:rFonts w:cs="Arial"/>
          <w:szCs w:val="20"/>
        </w:rPr>
      </w:pPr>
      <w:r w:rsidRPr="001961C9">
        <w:rPr>
          <w:rFonts w:cs="Arial"/>
          <w:szCs w:val="20"/>
        </w:rPr>
        <w:t xml:space="preserve">that </w:t>
      </w:r>
      <w:r w:rsidR="009A1923" w:rsidRPr="001961C9">
        <w:rPr>
          <w:rFonts w:cs="Arial"/>
          <w:szCs w:val="20"/>
        </w:rPr>
        <w:t xml:space="preserve">CEPT administrations shall notify </w:t>
      </w:r>
      <w:r w:rsidRPr="001961C9">
        <w:rPr>
          <w:rFonts w:cs="Arial"/>
          <w:szCs w:val="20"/>
        </w:rPr>
        <w:t>the coordinates of the DA2GC GS to the Office;</w:t>
      </w:r>
    </w:p>
    <w:p w:rsidR="00077E8E" w:rsidRPr="00C10A20" w:rsidRDefault="00077E8E" w:rsidP="00E014B4">
      <w:pPr>
        <w:pStyle w:val="NumberedList"/>
      </w:pPr>
      <w:r w:rsidRPr="00C10A20">
        <w:t>that th</w:t>
      </w:r>
      <w:r w:rsidR="007D4799">
        <w:t xml:space="preserve">is Decision </w:t>
      </w:r>
      <w:r w:rsidR="00975608" w:rsidRPr="00C10A20">
        <w:t xml:space="preserve">shall be subject to review </w:t>
      </w:r>
      <w:r w:rsidR="00324A05" w:rsidRPr="00C10A20">
        <w:t xml:space="preserve">by </w:t>
      </w:r>
      <w:r w:rsidR="00822520">
        <w:rPr>
          <w:lang w:val="en-US"/>
        </w:rPr>
        <w:t>t</w:t>
      </w:r>
      <w:r w:rsidR="00B9172C" w:rsidRPr="00C10A20">
        <w:t>he end of</w:t>
      </w:r>
      <w:r w:rsidR="00975C7A" w:rsidRPr="00C10A20">
        <w:t xml:space="preserve"> 2017</w:t>
      </w:r>
      <w:r w:rsidR="00324A05" w:rsidRPr="00C10A20">
        <w:t>;</w:t>
      </w:r>
      <w:r w:rsidR="00975608" w:rsidRPr="00C10A20">
        <w:t xml:space="preserve"> </w:t>
      </w:r>
      <w:r w:rsidRPr="00C10A20">
        <w:t xml:space="preserve">  </w:t>
      </w:r>
    </w:p>
    <w:p w:rsidR="0020388C" w:rsidRPr="001961C9" w:rsidRDefault="0020388C" w:rsidP="00E014B4">
      <w:pPr>
        <w:pStyle w:val="NumberedList"/>
        <w:rPr>
          <w:rFonts w:cs="Arial"/>
          <w:szCs w:val="20"/>
        </w:rPr>
      </w:pPr>
      <w:r w:rsidRPr="001961C9">
        <w:rPr>
          <w:rFonts w:cs="Arial"/>
          <w:szCs w:val="20"/>
        </w:rPr>
        <w:t xml:space="preserve">that this Decision </w:t>
      </w:r>
      <w:r w:rsidRPr="001961C9">
        <w:rPr>
          <w:rFonts w:cs="Arial"/>
          <w:b/>
          <w:szCs w:val="20"/>
        </w:rPr>
        <w:t>enters into force</w:t>
      </w:r>
      <w:r w:rsidR="008B30A5" w:rsidRPr="001961C9">
        <w:rPr>
          <w:rFonts w:cs="Arial"/>
          <w:szCs w:val="20"/>
        </w:rPr>
        <w:t xml:space="preserve"> on</w:t>
      </w:r>
      <w:r w:rsidRPr="001961C9">
        <w:rPr>
          <w:rFonts w:cs="Arial"/>
          <w:szCs w:val="20"/>
        </w:rPr>
        <w:t xml:space="preserve"> </w:t>
      </w:r>
      <w:r w:rsidR="002C0CF2" w:rsidRPr="000147FD">
        <w:rPr>
          <w:rFonts w:cs="Arial"/>
          <w:szCs w:val="20"/>
        </w:rPr>
        <w:t>3</w:t>
      </w:r>
      <w:r w:rsidR="000147FD">
        <w:rPr>
          <w:rFonts w:cs="Arial"/>
          <w:szCs w:val="20"/>
          <w:vertAlign w:val="superscript"/>
        </w:rPr>
        <w:t xml:space="preserve"> </w:t>
      </w:r>
      <w:r w:rsidR="002C0CF2">
        <w:rPr>
          <w:rFonts w:cs="Arial"/>
          <w:szCs w:val="20"/>
        </w:rPr>
        <w:t>July 2015</w:t>
      </w:r>
      <w:r w:rsidRPr="001961C9">
        <w:rPr>
          <w:rFonts w:cs="Arial"/>
          <w:szCs w:val="20"/>
        </w:rPr>
        <w:t>;</w:t>
      </w:r>
    </w:p>
    <w:p w:rsidR="0020388C" w:rsidRPr="001961C9" w:rsidRDefault="0020388C" w:rsidP="00E014B4">
      <w:pPr>
        <w:pStyle w:val="NumberedList"/>
        <w:rPr>
          <w:rFonts w:cs="Arial"/>
          <w:szCs w:val="20"/>
        </w:rPr>
      </w:pPr>
      <w:r w:rsidRPr="001961C9">
        <w:rPr>
          <w:rFonts w:cs="Arial"/>
          <w:szCs w:val="20"/>
        </w:rPr>
        <w:t xml:space="preserve">that the preferred </w:t>
      </w:r>
      <w:r w:rsidRPr="001961C9">
        <w:rPr>
          <w:rFonts w:cs="Arial"/>
          <w:b/>
          <w:szCs w:val="20"/>
        </w:rPr>
        <w:t>date for implementation</w:t>
      </w:r>
      <w:r w:rsidR="008B30A5" w:rsidRPr="001961C9">
        <w:rPr>
          <w:rFonts w:cs="Arial"/>
          <w:szCs w:val="20"/>
        </w:rPr>
        <w:t xml:space="preserve"> of the Decision shall be</w:t>
      </w:r>
      <w:r w:rsidRPr="001961C9">
        <w:rPr>
          <w:rFonts w:cs="Arial"/>
          <w:szCs w:val="20"/>
        </w:rPr>
        <w:t xml:space="preserve"> </w:t>
      </w:r>
      <w:r w:rsidR="002C0CF2" w:rsidRPr="000147FD">
        <w:rPr>
          <w:rFonts w:cs="Arial"/>
          <w:szCs w:val="20"/>
        </w:rPr>
        <w:t>3</w:t>
      </w:r>
      <w:r w:rsidR="002C0CF2">
        <w:rPr>
          <w:rFonts w:cs="Arial"/>
          <w:szCs w:val="20"/>
        </w:rPr>
        <w:t xml:space="preserve"> January 2016</w:t>
      </w:r>
      <w:r w:rsidRPr="001961C9">
        <w:rPr>
          <w:rFonts w:cs="Arial"/>
          <w:szCs w:val="20"/>
        </w:rPr>
        <w:t>;</w:t>
      </w:r>
    </w:p>
    <w:p w:rsidR="000F3919" w:rsidRPr="001961C9" w:rsidRDefault="000F3919" w:rsidP="00E73D39">
      <w:pPr>
        <w:pStyle w:val="NumberedList"/>
        <w:spacing w:after="120"/>
        <w:rPr>
          <w:rFonts w:cs="Arial"/>
          <w:szCs w:val="20"/>
        </w:rPr>
      </w:pPr>
      <w:proofErr w:type="gramStart"/>
      <w:r w:rsidRPr="001961C9">
        <w:rPr>
          <w:rFonts w:cs="Arial"/>
          <w:szCs w:val="20"/>
        </w:rPr>
        <w:t>that</w:t>
      </w:r>
      <w:proofErr w:type="gramEnd"/>
      <w:r w:rsidRPr="001961C9">
        <w:rPr>
          <w:rFonts w:cs="Arial"/>
          <w:szCs w:val="20"/>
        </w:rPr>
        <w:t xml:space="preserve"> CEPT </w:t>
      </w:r>
      <w:r w:rsidRPr="00E014B4">
        <w:rPr>
          <w:rFonts w:cs="Arial"/>
          <w:szCs w:val="20"/>
        </w:rPr>
        <w:t>administrations shall</w:t>
      </w:r>
      <w:r w:rsidR="0020388C" w:rsidRPr="001961C9">
        <w:rPr>
          <w:rFonts w:cs="Arial"/>
          <w:b/>
          <w:szCs w:val="20"/>
        </w:rPr>
        <w:t xml:space="preserve"> </w:t>
      </w:r>
      <w:r w:rsidR="0020388C" w:rsidRPr="001961C9">
        <w:rPr>
          <w:rFonts w:cs="Arial"/>
          <w:szCs w:val="20"/>
        </w:rPr>
        <w:t xml:space="preserve">communicate the </w:t>
      </w:r>
      <w:r w:rsidR="0020388C" w:rsidRPr="00E014B4">
        <w:rPr>
          <w:rFonts w:cs="Arial"/>
          <w:b/>
          <w:szCs w:val="20"/>
        </w:rPr>
        <w:t>national measures</w:t>
      </w:r>
      <w:r w:rsidR="0020388C" w:rsidRPr="001961C9">
        <w:rPr>
          <w:rFonts w:cs="Arial"/>
          <w:szCs w:val="20"/>
        </w:rPr>
        <w:t xml:space="preserve"> implementing this Decision to the ECC Chairman and the Office when the Dec</w:t>
      </w:r>
      <w:r w:rsidR="00735718" w:rsidRPr="001961C9">
        <w:rPr>
          <w:rFonts w:cs="Arial"/>
          <w:szCs w:val="20"/>
        </w:rPr>
        <w:t>ision is nationally implemented.</w:t>
      </w:r>
      <w:r w:rsidR="00CE3C18">
        <w:rPr>
          <w:rFonts w:cs="Arial"/>
          <w:szCs w:val="20"/>
        </w:rPr>
        <w:t>”</w:t>
      </w:r>
    </w:p>
    <w:p w:rsidR="00F22426" w:rsidRPr="001961C9" w:rsidRDefault="00F22426" w:rsidP="00D90B0A">
      <w:pPr>
        <w:pStyle w:val="ECCParagraph"/>
        <w:keepNext/>
        <w:rPr>
          <w:rFonts w:cs="Arial"/>
          <w:szCs w:val="20"/>
        </w:rPr>
      </w:pPr>
    </w:p>
    <w:p w:rsidR="001C46EA" w:rsidRPr="001961C9" w:rsidRDefault="001C46EA" w:rsidP="00D90B0A">
      <w:pPr>
        <w:pStyle w:val="ECCParagraph"/>
        <w:keepNext/>
        <w:rPr>
          <w:rFonts w:cs="Arial"/>
          <w:i/>
          <w:color w:val="D2232A"/>
          <w:szCs w:val="20"/>
        </w:rPr>
      </w:pPr>
      <w:r w:rsidRPr="001961C9">
        <w:rPr>
          <w:rFonts w:cs="Arial"/>
          <w:i/>
          <w:color w:val="D2232A"/>
          <w:szCs w:val="20"/>
        </w:rPr>
        <w:t xml:space="preserve">Note: </w:t>
      </w:r>
    </w:p>
    <w:p w:rsidR="0020388C" w:rsidRPr="001961C9" w:rsidRDefault="001C46EA" w:rsidP="00D90B0A">
      <w:pPr>
        <w:pStyle w:val="ECCParagraph"/>
        <w:keepNext/>
        <w:rPr>
          <w:rFonts w:cs="Arial"/>
          <w:i/>
          <w:szCs w:val="20"/>
        </w:rPr>
      </w:pPr>
      <w:r w:rsidRPr="001961C9">
        <w:rPr>
          <w:rFonts w:cs="Arial"/>
          <w:i/>
          <w:szCs w:val="20"/>
        </w:rPr>
        <w:t xml:space="preserve">Please check the Office documentation database </w:t>
      </w:r>
      <w:hyperlink r:id="rId11" w:history="1">
        <w:r w:rsidR="00CE76C8" w:rsidRPr="001961C9">
          <w:rPr>
            <w:rStyle w:val="Hyperlink"/>
            <w:rFonts w:cs="Arial"/>
            <w:i/>
            <w:szCs w:val="20"/>
          </w:rPr>
          <w:t>http://www.ecodocdb.dk</w:t>
        </w:r>
      </w:hyperlink>
      <w:r w:rsidR="00CE76C8" w:rsidRPr="001961C9">
        <w:rPr>
          <w:rFonts w:cs="Arial"/>
          <w:i/>
          <w:szCs w:val="20"/>
        </w:rPr>
        <w:t xml:space="preserve"> </w:t>
      </w:r>
      <w:r w:rsidRPr="001961C9">
        <w:rPr>
          <w:rFonts w:cs="Arial"/>
          <w:i/>
          <w:szCs w:val="20"/>
        </w:rPr>
        <w:t>for the up to date position on the implementation of this and other ECC Decisions.</w:t>
      </w:r>
    </w:p>
    <w:p w:rsidR="0020388C" w:rsidRPr="001961C9" w:rsidRDefault="0020388C">
      <w:pPr>
        <w:rPr>
          <w:rFonts w:cs="Arial"/>
          <w:i/>
          <w:szCs w:val="20"/>
          <w:lang w:val="en-GB"/>
        </w:rPr>
      </w:pPr>
      <w:r w:rsidRPr="001961C9">
        <w:rPr>
          <w:rFonts w:cs="Arial"/>
          <w:i/>
          <w:szCs w:val="20"/>
          <w:lang w:val="en-GB"/>
        </w:rPr>
        <w:br w:type="page"/>
      </w:r>
    </w:p>
    <w:p w:rsidR="005D2CBD" w:rsidRDefault="005D2CBD" w:rsidP="001961C9">
      <w:pPr>
        <w:pStyle w:val="ECCAnnex-heading1"/>
        <w:rPr>
          <w:szCs w:val="20"/>
        </w:rPr>
      </w:pPr>
      <w:r>
        <w:rPr>
          <w:szCs w:val="20"/>
        </w:rPr>
        <w:lastRenderedPageBreak/>
        <w:t>Annex 1:</w:t>
      </w:r>
      <w:r w:rsidR="00CA3B63" w:rsidRPr="001961C9">
        <w:rPr>
          <w:szCs w:val="20"/>
        </w:rPr>
        <w:t xml:space="preserve"> </w:t>
      </w:r>
      <w:r w:rsidR="00324A05" w:rsidRPr="00324A05">
        <w:rPr>
          <w:szCs w:val="20"/>
        </w:rPr>
        <w:t xml:space="preserve">TECHNICAL AND OPERATIONAL REQUIREMENTS FOR DA2GC SYSTEMS IN THE BAND </w:t>
      </w:r>
      <w:r w:rsidR="00324A05">
        <w:rPr>
          <w:szCs w:val="20"/>
        </w:rPr>
        <w:t>5855-5875</w:t>
      </w:r>
      <w:r w:rsidR="00324A05" w:rsidRPr="00324A05">
        <w:rPr>
          <w:szCs w:val="20"/>
        </w:rPr>
        <w:t xml:space="preserve"> MH</w:t>
      </w:r>
      <w:r w:rsidR="00324A05" w:rsidRPr="00C00793">
        <w:rPr>
          <w:sz w:val="16"/>
          <w:szCs w:val="20"/>
        </w:rPr>
        <w:t>Z</w:t>
      </w:r>
      <w:r w:rsidR="00324A05" w:rsidRPr="00324A05">
        <w:rPr>
          <w:szCs w:val="20"/>
        </w:rPr>
        <w:t xml:space="preserve"> WITH TDD OPERATION MODE</w:t>
      </w:r>
    </w:p>
    <w:p w:rsidR="00CA3B63" w:rsidRPr="005D2CBD" w:rsidRDefault="005D2CBD" w:rsidP="00324A05">
      <w:pPr>
        <w:pStyle w:val="ECCAnnexheading2"/>
        <w:ind w:left="567" w:hanging="567"/>
        <w:jc w:val="both"/>
      </w:pPr>
      <w:r>
        <w:t>A1.1 TDD arrangement with</w:t>
      </w:r>
      <w:r w:rsidR="00D84B9B">
        <w:t>out</w:t>
      </w:r>
      <w:r>
        <w:t xml:space="preserve"> beamforming</w:t>
      </w:r>
    </w:p>
    <w:p w:rsidR="00324A05" w:rsidRDefault="00324A05" w:rsidP="00324A05">
      <w:pPr>
        <w:pStyle w:val="ECCParagraph"/>
        <w:keepNext/>
      </w:pPr>
      <w:r>
        <w:t>A DA2GC ground station</w:t>
      </w:r>
      <w:r w:rsidR="007D4799">
        <w:t xml:space="preserve"> may</w:t>
      </w:r>
      <w:r>
        <w:t xml:space="preserve"> use multiple sector antennas with fixed azimuth and elevation patterns. </w:t>
      </w:r>
      <w:r w:rsidR="007D4799">
        <w:t>For such a GS, a</w:t>
      </w:r>
      <w:r>
        <w:t xml:space="preserve"> fixed elevation up-tilt is introduced to maximise reception at normal cruising altitudes of a commercial aircraft. </w:t>
      </w:r>
    </w:p>
    <w:p w:rsidR="00324A05" w:rsidRDefault="00324A05" w:rsidP="00324A05">
      <w:pPr>
        <w:pStyle w:val="ECCParagraph"/>
        <w:keepNext/>
      </w:pPr>
      <w:r>
        <w:t>The aircraft station antenna</w:t>
      </w:r>
      <w:r w:rsidR="007D4799">
        <w:t xml:space="preserve"> may be</w:t>
      </w:r>
      <w:r>
        <w:t xml:space="preserve"> based on an existing commercial aircraft antenna, which has been enhanced to support operation in the allocated frequency band, and so facilitates retrofit while not creating any additional drag for the aircraft.</w:t>
      </w:r>
    </w:p>
    <w:p w:rsidR="00324A05" w:rsidRDefault="00324A05" w:rsidP="003745C9">
      <w:pPr>
        <w:pStyle w:val="ECCParagraph"/>
      </w:pPr>
      <w:r>
        <w:t>Power control is used in both directions, to maintain the required receive power level at the GS and AS receivers.</w:t>
      </w:r>
    </w:p>
    <w:p w:rsidR="00324A05" w:rsidRDefault="00324A05" w:rsidP="00324A05">
      <w:pPr>
        <w:pStyle w:val="ECCParagraph"/>
        <w:keepNext/>
      </w:pPr>
      <w:r>
        <w:t>ECC Report</w:t>
      </w:r>
      <w:r w:rsidR="002C3716">
        <w:t>s</w:t>
      </w:r>
      <w:r>
        <w:t xml:space="preserve"> 210</w:t>
      </w:r>
      <w:r w:rsidR="002C3716">
        <w:t xml:space="preserve"> and 214</w:t>
      </w:r>
      <w:r>
        <w:t xml:space="preserve"> provide detailed technical information.</w:t>
      </w:r>
    </w:p>
    <w:p w:rsidR="00D84B9B" w:rsidRPr="001961C9" w:rsidRDefault="00F713B9" w:rsidP="00C00793">
      <w:pPr>
        <w:pStyle w:val="ECCTabletitle"/>
      </w:pPr>
      <w:r>
        <w:t>Main parameters for ground station and aircraft station</w:t>
      </w:r>
    </w:p>
    <w:tbl>
      <w:tblPr>
        <w:tblW w:w="0" w:type="auto"/>
        <w:tblInd w:w="5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110"/>
        <w:gridCol w:w="5103"/>
      </w:tblGrid>
      <w:tr w:rsidR="00D84B9B" w:rsidRPr="001961C9" w:rsidTr="00D84B9B">
        <w:trPr>
          <w:tblHeader/>
        </w:trPr>
        <w:tc>
          <w:tcPr>
            <w:tcW w:w="4110"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D84B9B" w:rsidRPr="00792134" w:rsidRDefault="00D84B9B" w:rsidP="00E014B4">
            <w:pPr>
              <w:spacing w:before="60" w:after="60" w:line="288" w:lineRule="auto"/>
              <w:jc w:val="center"/>
              <w:rPr>
                <w:rFonts w:ascii="Arial Bold" w:hAnsi="Arial Bold" w:cs="Arial"/>
                <w:b/>
                <w:color w:val="000000" w:themeColor="text1"/>
                <w:szCs w:val="20"/>
                <w:lang w:val="en-GB"/>
              </w:rPr>
            </w:pPr>
            <w:r w:rsidRPr="00792134">
              <w:rPr>
                <w:rFonts w:ascii="Arial Bold" w:hAnsi="Arial Bold" w:cs="Arial"/>
                <w:b/>
                <w:color w:val="FFFFFF" w:themeColor="background1"/>
                <w:szCs w:val="20"/>
                <w:lang w:val="en-GB"/>
              </w:rPr>
              <w:t>Parameter</w:t>
            </w:r>
          </w:p>
        </w:tc>
        <w:tc>
          <w:tcPr>
            <w:tcW w:w="5103"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D84B9B" w:rsidRPr="00792134" w:rsidRDefault="00D84B9B" w:rsidP="00E014B4">
            <w:pPr>
              <w:spacing w:before="60" w:after="60" w:line="288" w:lineRule="auto"/>
              <w:jc w:val="center"/>
              <w:rPr>
                <w:rFonts w:ascii="Arial Bold" w:hAnsi="Arial Bold" w:cs="Arial"/>
                <w:b/>
                <w:color w:val="000000" w:themeColor="text1"/>
                <w:szCs w:val="20"/>
                <w:lang w:val="en-GB"/>
              </w:rPr>
            </w:pPr>
            <w:r w:rsidRPr="00792134">
              <w:rPr>
                <w:rFonts w:ascii="Arial Bold" w:hAnsi="Arial Bold" w:cs="Arial"/>
                <w:b/>
                <w:color w:val="FFFFFF" w:themeColor="background1"/>
                <w:szCs w:val="20"/>
                <w:lang w:val="en-GB"/>
              </w:rPr>
              <w:t>Value</w:t>
            </w:r>
          </w:p>
        </w:tc>
      </w:tr>
      <w:tr w:rsidR="00D84B9B" w:rsidRPr="001961C9" w:rsidTr="00D84B9B">
        <w:tc>
          <w:tcPr>
            <w:tcW w:w="4110" w:type="dxa"/>
            <w:tcBorders>
              <w:top w:val="single" w:sz="4" w:space="0" w:color="D2232A"/>
              <w:left w:val="single" w:sz="4" w:space="0" w:color="D2232A"/>
              <w:bottom w:val="single" w:sz="4" w:space="0" w:color="D2232A"/>
              <w:right w:val="single" w:sz="4" w:space="0" w:color="D2232A"/>
            </w:tcBorders>
          </w:tcPr>
          <w:p w:rsidR="005A4F9A" w:rsidRPr="001961C9" w:rsidRDefault="005A4F9A" w:rsidP="00E014B4">
            <w:pPr>
              <w:spacing w:before="60" w:after="60"/>
              <w:rPr>
                <w:rFonts w:cs="Arial"/>
                <w:color w:val="000000" w:themeColor="text1"/>
                <w:szCs w:val="20"/>
                <w:lang w:val="en-GB"/>
              </w:rPr>
            </w:pPr>
            <w:r>
              <w:rPr>
                <w:rFonts w:cs="Arial"/>
                <w:bCs/>
                <w:color w:val="000000" w:themeColor="text1"/>
                <w:szCs w:val="20"/>
                <w:lang w:val="en-GB"/>
              </w:rPr>
              <w:t>Max</w:t>
            </w:r>
            <w:r w:rsidR="00324A05">
              <w:rPr>
                <w:rFonts w:cs="Arial"/>
                <w:bCs/>
                <w:color w:val="000000" w:themeColor="text1"/>
                <w:szCs w:val="20"/>
                <w:lang w:val="en-GB"/>
              </w:rPr>
              <w:t>imum channel bandwidth</w:t>
            </w:r>
          </w:p>
        </w:tc>
        <w:tc>
          <w:tcPr>
            <w:tcW w:w="5103" w:type="dxa"/>
            <w:tcBorders>
              <w:top w:val="single" w:sz="4" w:space="0" w:color="D2232A"/>
              <w:left w:val="single" w:sz="4" w:space="0" w:color="D2232A"/>
              <w:bottom w:val="single" w:sz="4" w:space="0" w:color="D2232A"/>
              <w:right w:val="single" w:sz="4" w:space="0" w:color="D2232A"/>
            </w:tcBorders>
          </w:tcPr>
          <w:p w:rsidR="00D84B9B" w:rsidRPr="001961C9" w:rsidRDefault="00324A05" w:rsidP="00E014B4">
            <w:pPr>
              <w:spacing w:before="60" w:after="60"/>
              <w:rPr>
                <w:rFonts w:cs="Arial"/>
                <w:color w:val="000000" w:themeColor="text1"/>
                <w:szCs w:val="20"/>
                <w:lang w:val="en-GB"/>
              </w:rPr>
            </w:pPr>
            <w:r>
              <w:rPr>
                <w:rFonts w:cs="Arial"/>
                <w:bCs/>
                <w:color w:val="000000" w:themeColor="text1"/>
                <w:szCs w:val="20"/>
                <w:lang w:val="en-GB"/>
              </w:rPr>
              <w:t>20 MHz</w:t>
            </w:r>
          </w:p>
        </w:tc>
      </w:tr>
      <w:tr w:rsidR="00D84B9B" w:rsidRPr="001961C9" w:rsidTr="00D84B9B">
        <w:tc>
          <w:tcPr>
            <w:tcW w:w="4110" w:type="dxa"/>
            <w:tcBorders>
              <w:top w:val="single" w:sz="4" w:space="0" w:color="D2232A"/>
              <w:left w:val="single" w:sz="4" w:space="0" w:color="D2232A"/>
              <w:bottom w:val="single" w:sz="4" w:space="0" w:color="D2232A"/>
              <w:right w:val="single" w:sz="4" w:space="0" w:color="D2232A"/>
            </w:tcBorders>
          </w:tcPr>
          <w:p w:rsidR="00D84B9B" w:rsidRPr="001961C9" w:rsidRDefault="00D84B9B" w:rsidP="00E014B4">
            <w:pPr>
              <w:spacing w:before="60" w:after="60"/>
              <w:rPr>
                <w:rFonts w:cs="Arial"/>
                <w:color w:val="000000" w:themeColor="text1"/>
                <w:szCs w:val="20"/>
                <w:lang w:val="en-GB"/>
              </w:rPr>
            </w:pPr>
            <w:r w:rsidRPr="001961C9">
              <w:rPr>
                <w:rFonts w:cs="Arial"/>
                <w:bCs/>
                <w:color w:val="000000" w:themeColor="text1"/>
                <w:szCs w:val="20"/>
                <w:lang w:val="en-GB"/>
              </w:rPr>
              <w:t xml:space="preserve">Transmitter maximum output power </w:t>
            </w:r>
            <w:r w:rsidR="00B43669">
              <w:rPr>
                <w:rFonts w:cs="Arial"/>
                <w:bCs/>
                <w:color w:val="000000" w:themeColor="text1"/>
                <w:szCs w:val="20"/>
                <w:lang w:val="en-GB"/>
              </w:rPr>
              <w:t xml:space="preserve">spectral density </w:t>
            </w:r>
            <w:r w:rsidRPr="001961C9">
              <w:rPr>
                <w:rFonts w:cs="Arial"/>
                <w:bCs/>
                <w:color w:val="000000" w:themeColor="text1"/>
                <w:szCs w:val="20"/>
                <w:lang w:val="en-GB"/>
              </w:rPr>
              <w:t>for GS</w:t>
            </w:r>
          </w:p>
        </w:tc>
        <w:tc>
          <w:tcPr>
            <w:tcW w:w="5103" w:type="dxa"/>
            <w:tcBorders>
              <w:top w:val="single" w:sz="4" w:space="0" w:color="D2232A"/>
              <w:left w:val="single" w:sz="4" w:space="0" w:color="D2232A"/>
              <w:bottom w:val="single" w:sz="4" w:space="0" w:color="D2232A"/>
              <w:right w:val="single" w:sz="4" w:space="0" w:color="D2232A"/>
            </w:tcBorders>
          </w:tcPr>
          <w:p w:rsidR="00D84B9B" w:rsidRPr="001961C9" w:rsidRDefault="00DD5342" w:rsidP="00E014B4">
            <w:pPr>
              <w:spacing w:before="60" w:after="60"/>
              <w:rPr>
                <w:rFonts w:cs="Arial"/>
                <w:color w:val="000000" w:themeColor="text1"/>
                <w:szCs w:val="20"/>
                <w:lang w:val="en-GB"/>
              </w:rPr>
            </w:pPr>
            <w:r>
              <w:rPr>
                <w:rFonts w:cs="Arial"/>
                <w:bCs/>
                <w:color w:val="000000" w:themeColor="text1"/>
                <w:szCs w:val="20"/>
                <w:lang w:val="en-GB"/>
              </w:rPr>
              <w:t>28</w:t>
            </w:r>
            <w:r w:rsidR="00D84B9B" w:rsidRPr="001961C9">
              <w:rPr>
                <w:rFonts w:cs="Arial"/>
                <w:bCs/>
                <w:color w:val="000000" w:themeColor="text1"/>
                <w:szCs w:val="20"/>
                <w:lang w:val="en-GB"/>
              </w:rPr>
              <w:t xml:space="preserve"> dBm</w:t>
            </w:r>
            <w:r>
              <w:rPr>
                <w:rFonts w:cs="Arial"/>
                <w:bCs/>
                <w:color w:val="000000" w:themeColor="text1"/>
                <w:szCs w:val="20"/>
                <w:lang w:val="en-GB"/>
              </w:rPr>
              <w:t>/MHz</w:t>
            </w:r>
          </w:p>
        </w:tc>
      </w:tr>
      <w:tr w:rsidR="00D84B9B" w:rsidRPr="001961C9" w:rsidTr="00D84B9B">
        <w:tc>
          <w:tcPr>
            <w:tcW w:w="4110" w:type="dxa"/>
            <w:tcBorders>
              <w:top w:val="single" w:sz="4" w:space="0" w:color="D2232A"/>
              <w:left w:val="single" w:sz="4" w:space="0" w:color="D2232A"/>
              <w:bottom w:val="single" w:sz="4" w:space="0" w:color="D2232A"/>
              <w:right w:val="single" w:sz="4" w:space="0" w:color="D2232A"/>
            </w:tcBorders>
          </w:tcPr>
          <w:p w:rsidR="00D84B9B" w:rsidRPr="001961C9" w:rsidRDefault="00D84B9B" w:rsidP="00B43669">
            <w:pPr>
              <w:spacing w:before="60" w:after="60"/>
              <w:rPr>
                <w:rFonts w:cs="Arial"/>
                <w:color w:val="000000" w:themeColor="text1"/>
                <w:szCs w:val="20"/>
                <w:lang w:val="en-GB"/>
              </w:rPr>
            </w:pPr>
            <w:r w:rsidRPr="001961C9">
              <w:rPr>
                <w:rFonts w:cs="Arial"/>
                <w:bCs/>
                <w:color w:val="000000" w:themeColor="text1"/>
                <w:szCs w:val="20"/>
                <w:lang w:val="en-GB"/>
              </w:rPr>
              <w:t>Transmitter maximum output power</w:t>
            </w:r>
            <w:r w:rsidR="00B43669">
              <w:t xml:space="preserve"> </w:t>
            </w:r>
            <w:r w:rsidR="00B43669" w:rsidRPr="00B43669">
              <w:rPr>
                <w:rFonts w:cs="Arial"/>
                <w:bCs/>
                <w:color w:val="000000" w:themeColor="text1"/>
                <w:szCs w:val="20"/>
                <w:lang w:val="en-GB"/>
              </w:rPr>
              <w:t>spectral density</w:t>
            </w:r>
            <w:r w:rsidRPr="001961C9">
              <w:rPr>
                <w:rFonts w:cs="Arial"/>
                <w:bCs/>
                <w:color w:val="000000" w:themeColor="text1"/>
                <w:szCs w:val="20"/>
                <w:lang w:val="en-GB"/>
              </w:rPr>
              <w:t xml:space="preserve"> for AS</w:t>
            </w:r>
          </w:p>
        </w:tc>
        <w:tc>
          <w:tcPr>
            <w:tcW w:w="5103" w:type="dxa"/>
            <w:tcBorders>
              <w:top w:val="single" w:sz="4" w:space="0" w:color="D2232A"/>
              <w:left w:val="single" w:sz="4" w:space="0" w:color="D2232A"/>
              <w:bottom w:val="single" w:sz="4" w:space="0" w:color="D2232A"/>
              <w:right w:val="single" w:sz="4" w:space="0" w:color="D2232A"/>
            </w:tcBorders>
          </w:tcPr>
          <w:p w:rsidR="00D84B9B" w:rsidRPr="001961C9" w:rsidRDefault="00DD5342" w:rsidP="00E014B4">
            <w:pPr>
              <w:spacing w:before="60" w:after="60"/>
              <w:rPr>
                <w:rFonts w:cs="Arial"/>
                <w:color w:val="000000" w:themeColor="text1"/>
                <w:szCs w:val="20"/>
                <w:lang w:val="en-GB"/>
              </w:rPr>
            </w:pPr>
            <w:r>
              <w:rPr>
                <w:rFonts w:cs="Arial"/>
                <w:bCs/>
                <w:color w:val="000000" w:themeColor="text1"/>
                <w:szCs w:val="20"/>
                <w:lang w:val="en-GB"/>
              </w:rPr>
              <w:t>2</w:t>
            </w:r>
            <w:r w:rsidR="00D84B9B" w:rsidRPr="001961C9">
              <w:rPr>
                <w:rFonts w:cs="Arial"/>
                <w:bCs/>
                <w:color w:val="000000" w:themeColor="text1"/>
                <w:szCs w:val="20"/>
                <w:lang w:val="en-GB"/>
              </w:rPr>
              <w:t>6 dBm</w:t>
            </w:r>
            <w:r>
              <w:rPr>
                <w:rFonts w:cs="Arial"/>
                <w:bCs/>
                <w:color w:val="000000" w:themeColor="text1"/>
                <w:szCs w:val="20"/>
                <w:lang w:val="en-GB"/>
              </w:rPr>
              <w:t>/MHz</w:t>
            </w:r>
          </w:p>
        </w:tc>
      </w:tr>
      <w:tr w:rsidR="00D84B9B" w:rsidRPr="001961C9" w:rsidTr="00D84B9B">
        <w:tc>
          <w:tcPr>
            <w:tcW w:w="4110" w:type="dxa"/>
            <w:tcBorders>
              <w:top w:val="single" w:sz="4" w:space="0" w:color="D2232A"/>
              <w:left w:val="single" w:sz="4" w:space="0" w:color="D2232A"/>
              <w:bottom w:val="single" w:sz="4" w:space="0" w:color="D2232A"/>
              <w:right w:val="single" w:sz="4" w:space="0" w:color="D2232A"/>
            </w:tcBorders>
          </w:tcPr>
          <w:p w:rsidR="00D84B9B" w:rsidRPr="001961C9" w:rsidRDefault="00D84B9B" w:rsidP="00E014B4">
            <w:pPr>
              <w:spacing w:before="60" w:after="60"/>
              <w:rPr>
                <w:rFonts w:cs="Arial"/>
                <w:bCs/>
                <w:color w:val="000000" w:themeColor="text1"/>
                <w:szCs w:val="20"/>
                <w:lang w:val="en-GB"/>
              </w:rPr>
            </w:pPr>
            <w:r w:rsidRPr="001961C9">
              <w:rPr>
                <w:rFonts w:cs="Arial"/>
                <w:bCs/>
                <w:color w:val="000000" w:themeColor="text1"/>
                <w:szCs w:val="20"/>
                <w:lang w:val="en-GB"/>
              </w:rPr>
              <w:t xml:space="preserve">Transmitter maximum </w:t>
            </w:r>
            <w:r w:rsidRPr="001961C9">
              <w:rPr>
                <w:rFonts w:cs="Arial"/>
                <w:color w:val="000000" w:themeColor="text1"/>
                <w:szCs w:val="20"/>
                <w:lang w:val="en-GB"/>
              </w:rPr>
              <w:t>e.i.r.p.</w:t>
            </w:r>
            <w:r w:rsidR="00B43669">
              <w:rPr>
                <w:rFonts w:cs="Arial"/>
                <w:color w:val="000000" w:themeColor="text1"/>
                <w:szCs w:val="20"/>
                <w:lang w:val="en-GB"/>
              </w:rPr>
              <w:t xml:space="preserve"> </w:t>
            </w:r>
            <w:r w:rsidR="00B43669" w:rsidRPr="00B43669">
              <w:rPr>
                <w:rFonts w:cs="Arial"/>
                <w:color w:val="000000" w:themeColor="text1"/>
                <w:szCs w:val="20"/>
                <w:lang w:val="en-GB"/>
              </w:rPr>
              <w:t>spectral density</w:t>
            </w:r>
            <w:r>
              <w:rPr>
                <w:rFonts w:cs="Arial"/>
                <w:color w:val="000000" w:themeColor="text1"/>
                <w:szCs w:val="20"/>
                <w:lang w:val="en-GB"/>
              </w:rPr>
              <w:br/>
            </w:r>
            <w:r w:rsidRPr="001961C9">
              <w:rPr>
                <w:rFonts w:cs="Arial"/>
                <w:bCs/>
                <w:color w:val="000000" w:themeColor="text1"/>
                <w:szCs w:val="20"/>
                <w:lang w:val="en-GB"/>
              </w:rPr>
              <w:t xml:space="preserve"> (GS – Sector Antenna</w:t>
            </w:r>
            <w:r>
              <w:rPr>
                <w:rFonts w:cs="Arial"/>
                <w:bCs/>
                <w:color w:val="000000" w:themeColor="text1"/>
                <w:szCs w:val="20"/>
                <w:lang w:val="en-GB"/>
              </w:rPr>
              <w:t xml:space="preserve"> </w:t>
            </w:r>
            <w:r w:rsidRPr="00922486">
              <w:rPr>
                <w:rFonts w:cs="Arial"/>
                <w:bCs/>
                <w:color w:val="000000" w:themeColor="text1"/>
                <w:szCs w:val="20"/>
                <w:lang w:val="en-GB"/>
              </w:rPr>
              <w:t>with 4 x 90° sectors, 90° half power beam width</w:t>
            </w:r>
            <w:r w:rsidRPr="001961C9">
              <w:rPr>
                <w:rFonts w:cs="Arial"/>
                <w:bCs/>
                <w:color w:val="000000" w:themeColor="text1"/>
                <w:szCs w:val="20"/>
                <w:lang w:val="en-GB"/>
              </w:rPr>
              <w:t>)</w:t>
            </w:r>
          </w:p>
        </w:tc>
        <w:tc>
          <w:tcPr>
            <w:tcW w:w="5103" w:type="dxa"/>
            <w:tcBorders>
              <w:top w:val="single" w:sz="4" w:space="0" w:color="D2232A"/>
              <w:left w:val="single" w:sz="4" w:space="0" w:color="D2232A"/>
              <w:bottom w:val="single" w:sz="4" w:space="0" w:color="D2232A"/>
              <w:right w:val="single" w:sz="4" w:space="0" w:color="D2232A"/>
            </w:tcBorders>
          </w:tcPr>
          <w:p w:rsidR="00D84B9B" w:rsidRPr="001961C9" w:rsidRDefault="00D84B9B" w:rsidP="00E014B4">
            <w:pPr>
              <w:spacing w:before="60"/>
              <w:rPr>
                <w:rFonts w:cs="Arial"/>
                <w:bCs/>
                <w:color w:val="000000" w:themeColor="text1"/>
                <w:szCs w:val="20"/>
                <w:lang w:val="en-GB"/>
              </w:rPr>
            </w:pPr>
            <w:r w:rsidRPr="001961C9">
              <w:rPr>
                <w:rFonts w:cs="Arial"/>
                <w:bCs/>
                <w:color w:val="000000" w:themeColor="text1"/>
                <w:szCs w:val="20"/>
                <w:lang w:val="en-GB"/>
              </w:rPr>
              <w:t>41 dBm/MHz</w:t>
            </w:r>
          </w:p>
        </w:tc>
      </w:tr>
      <w:tr w:rsidR="00D84B9B" w:rsidRPr="001961C9" w:rsidTr="00D84B9B">
        <w:tc>
          <w:tcPr>
            <w:tcW w:w="4110" w:type="dxa"/>
            <w:tcBorders>
              <w:top w:val="single" w:sz="4" w:space="0" w:color="D2232A"/>
              <w:left w:val="single" w:sz="4" w:space="0" w:color="D2232A"/>
              <w:bottom w:val="single" w:sz="4" w:space="0" w:color="D2232A"/>
              <w:right w:val="single" w:sz="4" w:space="0" w:color="D2232A"/>
            </w:tcBorders>
          </w:tcPr>
          <w:p w:rsidR="00D84B9B" w:rsidRPr="001961C9" w:rsidRDefault="00D84B9B" w:rsidP="00E014B4">
            <w:pPr>
              <w:spacing w:before="60" w:after="60"/>
              <w:rPr>
                <w:rFonts w:cs="Arial"/>
                <w:bCs/>
                <w:color w:val="000000" w:themeColor="text1"/>
                <w:szCs w:val="20"/>
                <w:lang w:val="en-GB"/>
              </w:rPr>
            </w:pPr>
            <w:r w:rsidRPr="001961C9">
              <w:rPr>
                <w:rFonts w:cs="Arial"/>
                <w:bCs/>
                <w:color w:val="000000" w:themeColor="text1"/>
                <w:szCs w:val="20"/>
                <w:lang w:val="en-GB"/>
              </w:rPr>
              <w:t xml:space="preserve">Transmitter maximum </w:t>
            </w:r>
            <w:r w:rsidRPr="001961C9">
              <w:rPr>
                <w:rFonts w:cs="Arial"/>
                <w:color w:val="000000" w:themeColor="text1"/>
                <w:szCs w:val="20"/>
                <w:lang w:val="en-GB"/>
              </w:rPr>
              <w:t>e.i.r.p.</w:t>
            </w:r>
            <w:r w:rsidRPr="001961C9">
              <w:rPr>
                <w:rFonts w:cs="Arial"/>
                <w:bCs/>
                <w:color w:val="000000" w:themeColor="text1"/>
                <w:szCs w:val="20"/>
                <w:lang w:val="en-GB"/>
              </w:rPr>
              <w:t xml:space="preserve"> </w:t>
            </w:r>
            <w:r w:rsidR="00B43669" w:rsidRPr="00B43669">
              <w:rPr>
                <w:rFonts w:cs="Arial"/>
                <w:bCs/>
                <w:color w:val="000000" w:themeColor="text1"/>
                <w:szCs w:val="20"/>
                <w:lang w:val="en-GB"/>
              </w:rPr>
              <w:t>spectral density</w:t>
            </w:r>
            <w:r>
              <w:rPr>
                <w:rFonts w:cs="Arial"/>
                <w:bCs/>
                <w:color w:val="000000" w:themeColor="text1"/>
                <w:szCs w:val="20"/>
                <w:lang w:val="en-GB"/>
              </w:rPr>
              <w:br/>
            </w:r>
            <w:r w:rsidRPr="001961C9">
              <w:rPr>
                <w:rFonts w:cs="Arial"/>
                <w:bCs/>
                <w:color w:val="000000" w:themeColor="text1"/>
                <w:szCs w:val="20"/>
                <w:lang w:val="en-GB"/>
              </w:rPr>
              <w:t xml:space="preserve">(GS – Directional Antenna) (see </w:t>
            </w:r>
            <w:r>
              <w:rPr>
                <w:rFonts w:cs="Arial"/>
                <w:bCs/>
                <w:color w:val="000000" w:themeColor="text1"/>
                <w:szCs w:val="20"/>
                <w:lang w:val="en-GB"/>
              </w:rPr>
              <w:t>N</w:t>
            </w:r>
            <w:r w:rsidRPr="001961C9">
              <w:rPr>
                <w:rFonts w:cs="Arial"/>
                <w:bCs/>
                <w:color w:val="000000" w:themeColor="text1"/>
                <w:szCs w:val="20"/>
                <w:lang w:val="en-GB"/>
              </w:rPr>
              <w:t>ote)</w:t>
            </w:r>
          </w:p>
        </w:tc>
        <w:tc>
          <w:tcPr>
            <w:tcW w:w="5103" w:type="dxa"/>
            <w:tcBorders>
              <w:top w:val="single" w:sz="4" w:space="0" w:color="D2232A"/>
              <w:left w:val="single" w:sz="4" w:space="0" w:color="D2232A"/>
              <w:bottom w:val="single" w:sz="4" w:space="0" w:color="D2232A"/>
              <w:right w:val="single" w:sz="4" w:space="0" w:color="D2232A"/>
            </w:tcBorders>
          </w:tcPr>
          <w:p w:rsidR="00D84B9B" w:rsidRPr="001961C9" w:rsidRDefault="00D84B9B" w:rsidP="00E014B4">
            <w:pPr>
              <w:spacing w:before="60" w:after="60"/>
              <w:rPr>
                <w:rFonts w:cs="Arial"/>
                <w:bCs/>
                <w:color w:val="000000" w:themeColor="text1"/>
                <w:szCs w:val="20"/>
                <w:lang w:val="en-GB"/>
              </w:rPr>
            </w:pPr>
            <w:r w:rsidRPr="001961C9">
              <w:rPr>
                <w:rFonts w:cs="Arial"/>
                <w:bCs/>
                <w:color w:val="000000" w:themeColor="text1"/>
                <w:szCs w:val="20"/>
                <w:lang w:val="en-GB"/>
              </w:rPr>
              <w:t>50 dBm/MHz</w:t>
            </w:r>
          </w:p>
        </w:tc>
      </w:tr>
      <w:tr w:rsidR="00D84B9B" w:rsidRPr="001961C9" w:rsidTr="00D84B9B">
        <w:tc>
          <w:tcPr>
            <w:tcW w:w="4110" w:type="dxa"/>
            <w:tcBorders>
              <w:top w:val="single" w:sz="4" w:space="0" w:color="D2232A"/>
              <w:left w:val="single" w:sz="4" w:space="0" w:color="D2232A"/>
              <w:bottom w:val="single" w:sz="4" w:space="0" w:color="D2232A"/>
              <w:right w:val="single" w:sz="4" w:space="0" w:color="D2232A"/>
            </w:tcBorders>
          </w:tcPr>
          <w:p w:rsidR="00D84B9B" w:rsidRPr="001961C9" w:rsidRDefault="00D84B9B" w:rsidP="00E014B4">
            <w:pPr>
              <w:spacing w:before="60" w:after="60"/>
              <w:rPr>
                <w:rFonts w:cs="Arial"/>
                <w:bCs/>
                <w:color w:val="000000" w:themeColor="text1"/>
                <w:szCs w:val="20"/>
                <w:lang w:val="en-GB"/>
              </w:rPr>
            </w:pPr>
            <w:r w:rsidRPr="001961C9">
              <w:rPr>
                <w:rFonts w:cs="Arial"/>
                <w:bCs/>
                <w:color w:val="000000" w:themeColor="text1"/>
                <w:szCs w:val="20"/>
                <w:lang w:val="en-GB"/>
              </w:rPr>
              <w:t xml:space="preserve">Transmitter maximum </w:t>
            </w:r>
            <w:r w:rsidRPr="001961C9">
              <w:rPr>
                <w:rFonts w:cs="Arial"/>
                <w:color w:val="000000" w:themeColor="text1"/>
                <w:szCs w:val="20"/>
                <w:lang w:val="en-GB"/>
              </w:rPr>
              <w:t>e.i.r.p.</w:t>
            </w:r>
            <w:r w:rsidRPr="001961C9">
              <w:rPr>
                <w:rFonts w:cs="Arial"/>
                <w:bCs/>
                <w:color w:val="000000" w:themeColor="text1"/>
                <w:szCs w:val="20"/>
                <w:lang w:val="en-GB"/>
              </w:rPr>
              <w:t xml:space="preserve"> </w:t>
            </w:r>
            <w:r w:rsidR="00B43669" w:rsidRPr="00B43669">
              <w:rPr>
                <w:rFonts w:cs="Arial"/>
                <w:bCs/>
                <w:color w:val="000000" w:themeColor="text1"/>
                <w:szCs w:val="20"/>
                <w:lang w:val="en-GB"/>
              </w:rPr>
              <w:t xml:space="preserve">spectral density </w:t>
            </w:r>
            <w:r w:rsidRPr="001961C9">
              <w:rPr>
                <w:rFonts w:cs="Arial"/>
                <w:bCs/>
                <w:color w:val="000000" w:themeColor="text1"/>
                <w:szCs w:val="20"/>
                <w:lang w:val="en-GB"/>
              </w:rPr>
              <w:t>for AS</w:t>
            </w:r>
          </w:p>
        </w:tc>
        <w:tc>
          <w:tcPr>
            <w:tcW w:w="5103" w:type="dxa"/>
            <w:tcBorders>
              <w:top w:val="single" w:sz="4" w:space="0" w:color="D2232A"/>
              <w:left w:val="single" w:sz="4" w:space="0" w:color="D2232A"/>
              <w:bottom w:val="single" w:sz="4" w:space="0" w:color="D2232A"/>
              <w:right w:val="single" w:sz="4" w:space="0" w:color="D2232A"/>
            </w:tcBorders>
          </w:tcPr>
          <w:p w:rsidR="00D84B9B" w:rsidRPr="001961C9" w:rsidRDefault="00D84B9B" w:rsidP="00E014B4">
            <w:pPr>
              <w:spacing w:before="60" w:after="60"/>
              <w:rPr>
                <w:rFonts w:cs="Arial"/>
                <w:bCs/>
                <w:color w:val="000000" w:themeColor="text1"/>
                <w:szCs w:val="20"/>
                <w:lang w:val="en-GB"/>
              </w:rPr>
            </w:pPr>
            <w:r w:rsidRPr="001961C9">
              <w:rPr>
                <w:rFonts w:cs="Arial"/>
                <w:bCs/>
                <w:color w:val="000000" w:themeColor="text1"/>
                <w:szCs w:val="20"/>
                <w:lang w:val="en-GB"/>
              </w:rPr>
              <w:t>29 dBm/MHz</w:t>
            </w:r>
          </w:p>
        </w:tc>
      </w:tr>
      <w:tr w:rsidR="00D84B9B" w:rsidRPr="001961C9" w:rsidTr="00D84B9B">
        <w:tc>
          <w:tcPr>
            <w:tcW w:w="4110" w:type="dxa"/>
            <w:tcBorders>
              <w:top w:val="single" w:sz="4" w:space="0" w:color="D2232A"/>
              <w:left w:val="single" w:sz="4" w:space="0" w:color="D2232A"/>
              <w:bottom w:val="single" w:sz="4" w:space="0" w:color="D2232A"/>
              <w:right w:val="single" w:sz="4" w:space="0" w:color="D2232A"/>
            </w:tcBorders>
            <w:vAlign w:val="center"/>
          </w:tcPr>
          <w:p w:rsidR="00D84B9B" w:rsidRDefault="00D84B9B" w:rsidP="00E014B4">
            <w:pPr>
              <w:rPr>
                <w:rFonts w:cs="Arial"/>
                <w:color w:val="000000" w:themeColor="text1"/>
                <w:kern w:val="28"/>
                <w:szCs w:val="20"/>
                <w:lang w:val="en-GB"/>
              </w:rPr>
            </w:pPr>
            <w:r w:rsidRPr="001961C9">
              <w:rPr>
                <w:rFonts w:cs="Arial"/>
                <w:color w:val="000000" w:themeColor="text1"/>
                <w:kern w:val="28"/>
                <w:szCs w:val="20"/>
                <w:lang w:val="en-GB"/>
              </w:rPr>
              <w:t>Max out-of-band e.i.r.p. spectral density</w:t>
            </w:r>
          </w:p>
          <w:p w:rsidR="005A4F9A" w:rsidRPr="001961C9" w:rsidRDefault="005A4F9A" w:rsidP="00E014B4">
            <w:pPr>
              <w:spacing w:before="60" w:after="60"/>
              <w:rPr>
                <w:rFonts w:cs="Arial"/>
                <w:color w:val="000000" w:themeColor="text1"/>
                <w:szCs w:val="20"/>
                <w:lang w:val="en-GB"/>
              </w:rPr>
            </w:pPr>
            <w:r>
              <w:rPr>
                <w:rFonts w:cs="Arial"/>
                <w:color w:val="000000" w:themeColor="text1"/>
                <w:kern w:val="28"/>
                <w:szCs w:val="20"/>
                <w:lang w:val="en-GB"/>
              </w:rPr>
              <w:t>for GS and AS</w:t>
            </w:r>
          </w:p>
        </w:tc>
        <w:tc>
          <w:tcPr>
            <w:tcW w:w="5103" w:type="dxa"/>
            <w:tcBorders>
              <w:top w:val="single" w:sz="4" w:space="0" w:color="D2232A"/>
              <w:left w:val="single" w:sz="4" w:space="0" w:color="D2232A"/>
              <w:bottom w:val="single" w:sz="4" w:space="0" w:color="D2232A"/>
              <w:right w:val="single" w:sz="4" w:space="0" w:color="D2232A"/>
            </w:tcBorders>
            <w:vAlign w:val="center"/>
          </w:tcPr>
          <w:p w:rsidR="00D84B9B" w:rsidRPr="001961C9" w:rsidRDefault="00D84B9B" w:rsidP="00E014B4">
            <w:pPr>
              <w:spacing w:before="60"/>
              <w:rPr>
                <w:rFonts w:cs="Arial"/>
                <w:szCs w:val="20"/>
                <w:lang w:val="en-GB"/>
              </w:rPr>
            </w:pPr>
            <w:r w:rsidRPr="001961C9">
              <w:rPr>
                <w:rFonts w:cs="Arial"/>
                <w:szCs w:val="20"/>
                <w:lang w:val="en-GB"/>
              </w:rPr>
              <w:t>-38 -10log (20/BW) dBm/MHz below 5850 MHz</w:t>
            </w:r>
          </w:p>
          <w:p w:rsidR="00D84B9B" w:rsidRPr="001961C9" w:rsidRDefault="00D84B9B" w:rsidP="00E014B4">
            <w:pPr>
              <w:spacing w:before="60" w:after="60"/>
              <w:rPr>
                <w:rFonts w:cs="Arial"/>
                <w:szCs w:val="20"/>
                <w:lang w:val="en-GB"/>
              </w:rPr>
            </w:pPr>
            <w:r w:rsidRPr="001961C9">
              <w:rPr>
                <w:rFonts w:cs="Arial"/>
                <w:szCs w:val="20"/>
                <w:lang w:val="en-GB"/>
              </w:rPr>
              <w:t>-8 dBm/MHz above 5875 MHz</w:t>
            </w:r>
            <w:r w:rsidR="00561EE0">
              <w:rPr>
                <w:rFonts w:cs="Arial"/>
                <w:szCs w:val="20"/>
                <w:lang w:val="en-GB"/>
              </w:rPr>
              <w:t xml:space="preserve"> and 5850-5855 MHz</w:t>
            </w:r>
          </w:p>
          <w:p w:rsidR="00D84B9B" w:rsidRPr="001961C9" w:rsidRDefault="00D84B9B" w:rsidP="00E014B4">
            <w:pPr>
              <w:spacing w:before="60" w:after="60"/>
              <w:rPr>
                <w:rFonts w:cs="Arial"/>
                <w:color w:val="000000" w:themeColor="text1"/>
                <w:szCs w:val="20"/>
                <w:lang w:val="en-GB"/>
              </w:rPr>
            </w:pPr>
            <w:r w:rsidRPr="001961C9">
              <w:rPr>
                <w:rFonts w:cs="Arial"/>
                <w:szCs w:val="20"/>
                <w:lang w:val="en-GB"/>
              </w:rPr>
              <w:t xml:space="preserve">BW = </w:t>
            </w:r>
            <w:r>
              <w:rPr>
                <w:rFonts w:cs="Arial"/>
                <w:szCs w:val="20"/>
                <w:lang w:val="en-GB"/>
              </w:rPr>
              <w:t>transmitter bandwidth (MHz)</w:t>
            </w:r>
          </w:p>
        </w:tc>
      </w:tr>
      <w:tr w:rsidR="00D84B9B" w:rsidRPr="001961C9" w:rsidTr="00D84B9B">
        <w:tc>
          <w:tcPr>
            <w:tcW w:w="9213" w:type="dxa"/>
            <w:gridSpan w:val="2"/>
            <w:tcBorders>
              <w:top w:val="single" w:sz="4" w:space="0" w:color="D2232A"/>
              <w:left w:val="single" w:sz="4" w:space="0" w:color="D2232A"/>
              <w:bottom w:val="single" w:sz="4" w:space="0" w:color="D2232A"/>
              <w:right w:val="single" w:sz="4" w:space="0" w:color="D2232A"/>
            </w:tcBorders>
            <w:vAlign w:val="center"/>
          </w:tcPr>
          <w:p w:rsidR="00D84B9B" w:rsidRPr="001961C9" w:rsidRDefault="00D84B9B" w:rsidP="00792134">
            <w:pPr>
              <w:pStyle w:val="ECCTablenote"/>
            </w:pPr>
            <w:r w:rsidRPr="001961C9">
              <w:t>Note</w:t>
            </w:r>
            <w:proofErr w:type="gramStart"/>
            <w:r w:rsidRPr="001961C9">
              <w:t>:</w:t>
            </w:r>
            <w:proofErr w:type="gramEnd"/>
            <w:r w:rsidRPr="001961C9">
              <w:br/>
              <w:t>The directional antenna will only be used where maximum range is required. This will be mainly over sea. To protect any systems located near the coast, the main beam shall not illuminate any landfall within 4 km. The directional antenna may be used in remote areas, such as desert regions, subject to agreement by the regulatory administration(s).</w:t>
            </w:r>
          </w:p>
        </w:tc>
      </w:tr>
    </w:tbl>
    <w:p w:rsidR="00D84B9B" w:rsidRPr="001961C9" w:rsidRDefault="00D84B9B" w:rsidP="00D84B9B">
      <w:pPr>
        <w:ind w:left="284" w:hanging="284"/>
        <w:rPr>
          <w:rFonts w:cs="Arial"/>
          <w:color w:val="000000" w:themeColor="text1"/>
          <w:szCs w:val="20"/>
          <w:lang w:val="en-GB"/>
        </w:rPr>
      </w:pPr>
    </w:p>
    <w:p w:rsidR="00D84B9B" w:rsidRPr="001961C9" w:rsidRDefault="00F713B9" w:rsidP="00C00793">
      <w:pPr>
        <w:pStyle w:val="ECCTabletitle"/>
      </w:pPr>
      <w:r w:rsidRPr="00F713B9">
        <w:lastRenderedPageBreak/>
        <w:t xml:space="preserve">Peak e.i.r.p. </w:t>
      </w:r>
      <w:r w:rsidR="00B43669">
        <w:t xml:space="preserve">spectral density </w:t>
      </w:r>
      <w:r>
        <w:t xml:space="preserve">levels </w:t>
      </w:r>
      <w:r w:rsidRPr="00F713B9">
        <w:t xml:space="preserve">as a function of the elevation angle for the GS </w:t>
      </w:r>
    </w:p>
    <w:tbl>
      <w:tblPr>
        <w:tblW w:w="0" w:type="auto"/>
        <w:jc w:val="center"/>
        <w:tblInd w:w="51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505"/>
        <w:gridCol w:w="3947"/>
      </w:tblGrid>
      <w:tr w:rsidR="00D84B9B" w:rsidRPr="001961C9" w:rsidTr="00C00793">
        <w:trPr>
          <w:tblHeader/>
          <w:jc w:val="center"/>
        </w:trPr>
        <w:tc>
          <w:tcPr>
            <w:tcW w:w="4505" w:type="dxa"/>
            <w:tcBorders>
              <w:right w:val="single" w:sz="4" w:space="0" w:color="FFFFFF"/>
            </w:tcBorders>
            <w:shd w:val="clear" w:color="auto" w:fill="D2232A"/>
            <w:vAlign w:val="center"/>
          </w:tcPr>
          <w:p w:rsidR="00D84B9B" w:rsidRPr="001961C9" w:rsidRDefault="00D84B9B" w:rsidP="00792134">
            <w:pPr>
              <w:keepNext/>
              <w:spacing w:before="60" w:after="60" w:line="288" w:lineRule="auto"/>
              <w:jc w:val="center"/>
              <w:rPr>
                <w:rFonts w:cs="Arial"/>
                <w:b/>
                <w:color w:val="FFFFFF"/>
                <w:szCs w:val="20"/>
                <w:lang w:val="en-GB"/>
              </w:rPr>
            </w:pPr>
            <w:r w:rsidRPr="001961C9">
              <w:rPr>
                <w:rFonts w:cs="Arial"/>
                <w:b/>
                <w:color w:val="FFFFFF"/>
                <w:szCs w:val="20"/>
                <w:lang w:val="en-GB"/>
              </w:rPr>
              <w:t>Elevation Angle</w:t>
            </w:r>
          </w:p>
        </w:tc>
        <w:tc>
          <w:tcPr>
            <w:tcW w:w="3947" w:type="dxa"/>
            <w:tcBorders>
              <w:left w:val="single" w:sz="4" w:space="0" w:color="FFFFFF"/>
            </w:tcBorders>
            <w:shd w:val="clear" w:color="auto" w:fill="D2232A"/>
            <w:vAlign w:val="center"/>
          </w:tcPr>
          <w:p w:rsidR="00D84B9B" w:rsidRPr="001961C9" w:rsidRDefault="00D84B9B" w:rsidP="00792134">
            <w:pPr>
              <w:keepNext/>
              <w:spacing w:before="60" w:after="60" w:line="276" w:lineRule="auto"/>
              <w:jc w:val="center"/>
              <w:rPr>
                <w:rFonts w:cs="Arial"/>
                <w:b/>
                <w:color w:val="FFFFFF"/>
                <w:szCs w:val="20"/>
                <w:lang w:val="en-GB"/>
              </w:rPr>
            </w:pPr>
            <w:r w:rsidRPr="001961C9">
              <w:rPr>
                <w:rFonts w:cs="Arial"/>
                <w:b/>
                <w:color w:val="FFFFFF"/>
                <w:szCs w:val="20"/>
                <w:lang w:val="en-GB"/>
              </w:rPr>
              <w:t xml:space="preserve">Peak e.i.r.p. </w:t>
            </w:r>
            <w:r w:rsidR="00B43669">
              <w:rPr>
                <w:rFonts w:cs="Arial"/>
                <w:b/>
                <w:color w:val="FFFFFF"/>
                <w:szCs w:val="20"/>
                <w:lang w:val="en-GB"/>
              </w:rPr>
              <w:t xml:space="preserve">spectral density </w:t>
            </w:r>
            <w:r w:rsidRPr="001961C9">
              <w:rPr>
                <w:rFonts w:cs="Arial"/>
                <w:b/>
                <w:color w:val="FFFFFF"/>
                <w:szCs w:val="20"/>
                <w:lang w:val="en-GB"/>
              </w:rPr>
              <w:t>level (dBm/MHz)</w:t>
            </w:r>
          </w:p>
        </w:tc>
      </w:tr>
      <w:tr w:rsidR="00D84B9B" w:rsidRPr="001961C9" w:rsidTr="00C00793">
        <w:trPr>
          <w:jc w:val="center"/>
        </w:trPr>
        <w:tc>
          <w:tcPr>
            <w:tcW w:w="4505" w:type="dxa"/>
            <w:vAlign w:val="center"/>
          </w:tcPr>
          <w:p w:rsidR="00D84B9B" w:rsidRPr="001961C9" w:rsidRDefault="00D84B9B" w:rsidP="00792134">
            <w:pPr>
              <w:keepNext/>
              <w:spacing w:before="60" w:after="60" w:line="288" w:lineRule="auto"/>
              <w:rPr>
                <w:rFonts w:cs="Arial"/>
                <w:szCs w:val="20"/>
                <w:lang w:val="en-GB"/>
              </w:rPr>
            </w:pPr>
            <w:r w:rsidRPr="001961C9">
              <w:rPr>
                <w:rFonts w:cs="Arial"/>
                <w:szCs w:val="20"/>
                <w:lang w:val="en-GB"/>
              </w:rPr>
              <w:t>Ɵ &lt; 4°</w:t>
            </w:r>
          </w:p>
        </w:tc>
        <w:tc>
          <w:tcPr>
            <w:tcW w:w="3947" w:type="dxa"/>
            <w:vAlign w:val="center"/>
          </w:tcPr>
          <w:p w:rsidR="00D84B9B" w:rsidRPr="001961C9" w:rsidRDefault="00D84B9B" w:rsidP="00792134">
            <w:pPr>
              <w:keepNext/>
              <w:spacing w:before="60" w:after="60" w:line="288" w:lineRule="auto"/>
              <w:rPr>
                <w:rFonts w:cs="Arial"/>
                <w:szCs w:val="20"/>
                <w:lang w:val="en-GB"/>
              </w:rPr>
            </w:pPr>
            <w:r w:rsidRPr="001961C9">
              <w:rPr>
                <w:rFonts w:cs="Arial"/>
                <w:szCs w:val="20"/>
                <w:lang w:val="en-GB"/>
              </w:rPr>
              <w:t>21</w:t>
            </w:r>
          </w:p>
        </w:tc>
      </w:tr>
      <w:tr w:rsidR="00D84B9B" w:rsidRPr="001961C9" w:rsidTr="00C00793">
        <w:trPr>
          <w:jc w:val="center"/>
        </w:trPr>
        <w:tc>
          <w:tcPr>
            <w:tcW w:w="4505" w:type="dxa"/>
          </w:tcPr>
          <w:p w:rsidR="00D84B9B" w:rsidRPr="001961C9" w:rsidRDefault="00D84B9B" w:rsidP="00792134">
            <w:pPr>
              <w:keepNext/>
              <w:spacing w:before="60" w:after="60" w:line="288" w:lineRule="auto"/>
              <w:rPr>
                <w:rFonts w:cs="Arial"/>
                <w:szCs w:val="20"/>
                <w:lang w:val="en-GB"/>
              </w:rPr>
            </w:pPr>
            <w:r w:rsidRPr="001961C9">
              <w:rPr>
                <w:rFonts w:cs="Arial"/>
                <w:szCs w:val="20"/>
                <w:lang w:val="en-GB"/>
              </w:rPr>
              <w:t xml:space="preserve">4°≤ Ɵ </w:t>
            </w:r>
            <w:r w:rsidR="00755BC0">
              <w:rPr>
                <w:rFonts w:cs="Arial"/>
                <w:szCs w:val="20"/>
                <w:lang w:val="en-GB"/>
              </w:rPr>
              <w:t>&lt;</w:t>
            </w:r>
            <w:r w:rsidRPr="001961C9">
              <w:rPr>
                <w:rFonts w:cs="Arial"/>
                <w:szCs w:val="20"/>
                <w:lang w:val="en-GB"/>
              </w:rPr>
              <w:t xml:space="preserve"> 10</w:t>
            </w:r>
            <w:r w:rsidR="003407AB" w:rsidRPr="003407AB">
              <w:rPr>
                <w:rFonts w:cs="Arial"/>
                <w:szCs w:val="20"/>
                <w:lang w:val="en-GB"/>
              </w:rPr>
              <w:t>°</w:t>
            </w:r>
          </w:p>
        </w:tc>
        <w:tc>
          <w:tcPr>
            <w:tcW w:w="3947" w:type="dxa"/>
          </w:tcPr>
          <w:p w:rsidR="00D84B9B" w:rsidRPr="001961C9" w:rsidRDefault="00D84B9B" w:rsidP="00792134">
            <w:pPr>
              <w:keepNext/>
              <w:spacing w:before="60" w:after="60" w:line="288" w:lineRule="auto"/>
              <w:rPr>
                <w:rFonts w:cs="Arial"/>
                <w:szCs w:val="20"/>
                <w:lang w:val="en-GB"/>
              </w:rPr>
            </w:pPr>
            <w:r w:rsidRPr="001961C9">
              <w:rPr>
                <w:rFonts w:cs="Arial"/>
                <w:szCs w:val="20"/>
                <w:lang w:val="en-GB"/>
              </w:rPr>
              <w:t>41</w:t>
            </w:r>
          </w:p>
        </w:tc>
      </w:tr>
      <w:tr w:rsidR="00755BC0" w:rsidRPr="001961C9" w:rsidTr="00C00793">
        <w:trPr>
          <w:jc w:val="center"/>
        </w:trPr>
        <w:tc>
          <w:tcPr>
            <w:tcW w:w="4505" w:type="dxa"/>
          </w:tcPr>
          <w:p w:rsidR="00755BC0" w:rsidRPr="001961C9" w:rsidRDefault="00755BC0" w:rsidP="00E014B4">
            <w:pPr>
              <w:spacing w:before="60" w:after="60" w:line="288" w:lineRule="auto"/>
              <w:rPr>
                <w:rFonts w:cs="Arial"/>
                <w:szCs w:val="20"/>
                <w:lang w:val="en-GB"/>
              </w:rPr>
            </w:pPr>
            <w:r w:rsidRPr="00755BC0">
              <w:rPr>
                <w:rFonts w:cs="Arial"/>
                <w:szCs w:val="20"/>
                <w:lang w:val="en-GB"/>
              </w:rPr>
              <w:t>1</w:t>
            </w:r>
            <w:r>
              <w:rPr>
                <w:rFonts w:cs="Arial"/>
                <w:szCs w:val="20"/>
                <w:lang w:val="en-GB"/>
              </w:rPr>
              <w:t>0</w:t>
            </w:r>
            <w:r w:rsidRPr="00755BC0">
              <w:rPr>
                <w:rFonts w:cs="Arial"/>
                <w:szCs w:val="20"/>
                <w:lang w:val="en-GB"/>
              </w:rPr>
              <w:t xml:space="preserve">°≤ Ɵ </w:t>
            </w:r>
            <w:r>
              <w:rPr>
                <w:rFonts w:cs="Arial"/>
                <w:szCs w:val="20"/>
                <w:lang w:val="en-GB"/>
              </w:rPr>
              <w:t>&lt;</w:t>
            </w:r>
            <w:r w:rsidRPr="00755BC0">
              <w:rPr>
                <w:rFonts w:cs="Arial"/>
                <w:szCs w:val="20"/>
                <w:lang w:val="en-GB"/>
              </w:rPr>
              <w:t xml:space="preserve"> 1</w:t>
            </w:r>
            <w:r>
              <w:rPr>
                <w:rFonts w:cs="Arial"/>
                <w:szCs w:val="20"/>
                <w:lang w:val="en-GB"/>
              </w:rPr>
              <w:t>1</w:t>
            </w:r>
            <w:r w:rsidRPr="00755BC0">
              <w:rPr>
                <w:rFonts w:cs="Arial"/>
                <w:szCs w:val="20"/>
                <w:lang w:val="en-GB"/>
              </w:rPr>
              <w:t>°</w:t>
            </w:r>
          </w:p>
        </w:tc>
        <w:tc>
          <w:tcPr>
            <w:tcW w:w="3947" w:type="dxa"/>
          </w:tcPr>
          <w:p w:rsidR="00755BC0" w:rsidRPr="001961C9" w:rsidRDefault="00755BC0" w:rsidP="00E014B4">
            <w:pPr>
              <w:spacing w:before="60" w:after="60" w:line="288" w:lineRule="auto"/>
              <w:rPr>
                <w:rFonts w:cs="Arial"/>
                <w:szCs w:val="20"/>
                <w:lang w:val="en-GB"/>
              </w:rPr>
            </w:pPr>
            <w:r>
              <w:rPr>
                <w:rFonts w:cs="Arial"/>
                <w:szCs w:val="20"/>
                <w:lang w:val="en-GB"/>
              </w:rPr>
              <w:t>41 to 36 straight line interpolation</w:t>
            </w:r>
          </w:p>
        </w:tc>
      </w:tr>
      <w:tr w:rsidR="00D84B9B" w:rsidRPr="001961C9" w:rsidTr="00C00793">
        <w:trPr>
          <w:jc w:val="center"/>
        </w:trPr>
        <w:tc>
          <w:tcPr>
            <w:tcW w:w="4505" w:type="dxa"/>
          </w:tcPr>
          <w:p w:rsidR="00D84B9B" w:rsidRPr="001961C9" w:rsidRDefault="00D84B9B" w:rsidP="00E014B4">
            <w:pPr>
              <w:spacing w:before="60" w:after="60" w:line="288" w:lineRule="auto"/>
              <w:rPr>
                <w:rFonts w:cs="Arial"/>
                <w:szCs w:val="20"/>
                <w:lang w:val="en-GB"/>
              </w:rPr>
            </w:pPr>
            <w:r w:rsidRPr="001961C9">
              <w:rPr>
                <w:rFonts w:cs="Arial"/>
                <w:szCs w:val="20"/>
                <w:lang w:val="en-GB"/>
              </w:rPr>
              <w:t>11°≤ Ɵ ≤ 14°</w:t>
            </w:r>
          </w:p>
        </w:tc>
        <w:tc>
          <w:tcPr>
            <w:tcW w:w="3947" w:type="dxa"/>
          </w:tcPr>
          <w:p w:rsidR="00D84B9B" w:rsidRPr="001961C9" w:rsidRDefault="00D84B9B" w:rsidP="00E014B4">
            <w:pPr>
              <w:spacing w:before="60" w:after="60" w:line="288" w:lineRule="auto"/>
              <w:rPr>
                <w:rFonts w:cs="Arial"/>
                <w:szCs w:val="20"/>
                <w:lang w:val="en-GB"/>
              </w:rPr>
            </w:pPr>
            <w:r w:rsidRPr="001961C9">
              <w:rPr>
                <w:rFonts w:cs="Arial"/>
                <w:szCs w:val="20"/>
                <w:lang w:val="en-GB"/>
              </w:rPr>
              <w:t>36</w:t>
            </w:r>
          </w:p>
        </w:tc>
      </w:tr>
      <w:tr w:rsidR="00D84B9B" w:rsidRPr="001961C9" w:rsidTr="00C00793">
        <w:trPr>
          <w:jc w:val="center"/>
        </w:trPr>
        <w:tc>
          <w:tcPr>
            <w:tcW w:w="4505" w:type="dxa"/>
          </w:tcPr>
          <w:p w:rsidR="00D84B9B" w:rsidRPr="001961C9" w:rsidRDefault="00D84B9B" w:rsidP="00E014B4">
            <w:pPr>
              <w:spacing w:before="60" w:after="60" w:line="288" w:lineRule="auto"/>
              <w:rPr>
                <w:rFonts w:cs="Arial"/>
                <w:szCs w:val="20"/>
                <w:lang w:val="en-GB"/>
              </w:rPr>
            </w:pPr>
            <w:r w:rsidRPr="001961C9">
              <w:rPr>
                <w:rFonts w:cs="Arial"/>
                <w:szCs w:val="20"/>
                <w:lang w:val="en-GB"/>
              </w:rPr>
              <w:t>Ɵ &gt; 14°</w:t>
            </w:r>
          </w:p>
        </w:tc>
        <w:tc>
          <w:tcPr>
            <w:tcW w:w="3947" w:type="dxa"/>
          </w:tcPr>
          <w:p w:rsidR="00D84B9B" w:rsidRPr="001961C9" w:rsidRDefault="00D84B9B" w:rsidP="00E014B4">
            <w:pPr>
              <w:spacing w:before="60" w:after="60" w:line="288" w:lineRule="auto"/>
              <w:rPr>
                <w:rFonts w:cs="Arial"/>
                <w:szCs w:val="20"/>
                <w:lang w:val="en-GB"/>
              </w:rPr>
            </w:pPr>
            <w:r w:rsidRPr="001961C9">
              <w:rPr>
                <w:rFonts w:cs="Arial"/>
                <w:szCs w:val="20"/>
                <w:lang w:val="en-GB"/>
              </w:rPr>
              <w:t>30</w:t>
            </w:r>
          </w:p>
        </w:tc>
      </w:tr>
    </w:tbl>
    <w:p w:rsidR="00D84B9B" w:rsidRPr="001961C9" w:rsidRDefault="00D84B9B" w:rsidP="00D84B9B">
      <w:pPr>
        <w:ind w:left="1134"/>
        <w:jc w:val="center"/>
        <w:rPr>
          <w:rFonts w:cs="Arial"/>
          <w:color w:val="000000" w:themeColor="text1"/>
          <w:szCs w:val="20"/>
          <w:lang w:val="en-GB"/>
        </w:rPr>
      </w:pPr>
    </w:p>
    <w:p w:rsidR="00D84B9B" w:rsidRPr="001961C9" w:rsidRDefault="00D84B9B" w:rsidP="00D84B9B">
      <w:pPr>
        <w:rPr>
          <w:rFonts w:cs="Arial"/>
          <w:color w:val="000000" w:themeColor="text1"/>
          <w:szCs w:val="20"/>
          <w:lang w:val="en-GB"/>
        </w:rPr>
      </w:pPr>
    </w:p>
    <w:p w:rsidR="00D84B9B" w:rsidRDefault="00D84B9B" w:rsidP="00D84B9B">
      <w:pPr>
        <w:pStyle w:val="ECCParagraph"/>
        <w:keepNext/>
      </w:pPr>
      <w:r w:rsidRPr="001961C9">
        <w:t xml:space="preserve">The AS introduces additional transmitter attenuation according to its height above ground as follows for decreasing </w:t>
      </w:r>
      <w:r>
        <w:t>e.i.r.p.</w:t>
      </w:r>
      <w:r w:rsidRPr="001961C9">
        <w:t>:</w:t>
      </w:r>
    </w:p>
    <w:p w:rsidR="00D84B9B" w:rsidRPr="001961C9" w:rsidRDefault="00D84B9B" w:rsidP="00C00793">
      <w:pPr>
        <w:pStyle w:val="ECCTabletitle"/>
      </w:pPr>
      <w:r>
        <w:t xml:space="preserve"> AS transmitter attenuation</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801"/>
        <w:gridCol w:w="2126"/>
      </w:tblGrid>
      <w:tr w:rsidR="00D84B9B" w:rsidRPr="001961C9" w:rsidTr="00C00793">
        <w:trPr>
          <w:tblHeader/>
          <w:jc w:val="center"/>
        </w:trPr>
        <w:tc>
          <w:tcPr>
            <w:tcW w:w="380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D84B9B" w:rsidRPr="00F00317" w:rsidRDefault="00D84B9B" w:rsidP="00E014B4">
            <w:pPr>
              <w:keepNext/>
              <w:spacing w:before="60" w:after="60" w:line="288" w:lineRule="auto"/>
              <w:jc w:val="center"/>
              <w:rPr>
                <w:rFonts w:cs="Arial"/>
                <w:b/>
                <w:color w:val="FFFFFF" w:themeColor="background1"/>
                <w:szCs w:val="20"/>
                <w:lang w:val="en-GB"/>
              </w:rPr>
            </w:pPr>
            <w:r w:rsidRPr="00F00317">
              <w:rPr>
                <w:rFonts w:cs="Arial"/>
                <w:b/>
                <w:color w:val="FFFFFF" w:themeColor="background1"/>
                <w:szCs w:val="20"/>
                <w:lang w:val="en-GB"/>
              </w:rPr>
              <w:t>Height above ground (metres)</w:t>
            </w:r>
          </w:p>
        </w:tc>
        <w:tc>
          <w:tcPr>
            <w:tcW w:w="2126" w:type="dxa"/>
            <w:tcBorders>
              <w:top w:val="single" w:sz="4" w:space="0" w:color="D2232A"/>
              <w:left w:val="single" w:sz="4" w:space="0" w:color="FFFFFF"/>
              <w:bottom w:val="single" w:sz="4" w:space="0" w:color="D2232A"/>
              <w:right w:val="single" w:sz="4" w:space="0" w:color="FFFFFF"/>
            </w:tcBorders>
            <w:shd w:val="clear" w:color="auto" w:fill="D2232A"/>
          </w:tcPr>
          <w:p w:rsidR="00D84B9B" w:rsidRPr="00F00317" w:rsidRDefault="00D84B9B" w:rsidP="00E014B4">
            <w:pPr>
              <w:keepNext/>
              <w:spacing w:before="60" w:after="60" w:line="288" w:lineRule="auto"/>
              <w:jc w:val="center"/>
              <w:rPr>
                <w:rFonts w:cs="Arial"/>
                <w:b/>
                <w:color w:val="FFFFFF" w:themeColor="background1"/>
                <w:szCs w:val="20"/>
                <w:lang w:val="en-GB"/>
              </w:rPr>
            </w:pPr>
            <w:proofErr w:type="spellStart"/>
            <w:r w:rsidRPr="00F00317">
              <w:rPr>
                <w:rFonts w:cs="Arial"/>
                <w:b/>
                <w:color w:val="FFFFFF" w:themeColor="background1"/>
                <w:szCs w:val="20"/>
                <w:lang w:val="en-GB"/>
              </w:rPr>
              <w:t>Attn</w:t>
            </w:r>
            <w:proofErr w:type="spellEnd"/>
            <w:r w:rsidRPr="00F00317">
              <w:rPr>
                <w:rFonts w:cs="Arial"/>
                <w:b/>
                <w:color w:val="FFFFFF" w:themeColor="background1"/>
                <w:szCs w:val="20"/>
                <w:lang w:val="en-GB"/>
              </w:rPr>
              <w:t xml:space="preserve"> (dB)</w:t>
            </w:r>
          </w:p>
        </w:tc>
      </w:tr>
      <w:tr w:rsidR="00D84B9B" w:rsidRPr="001961C9" w:rsidTr="00C00793">
        <w:trPr>
          <w:jc w:val="center"/>
        </w:trPr>
        <w:tc>
          <w:tcPr>
            <w:tcW w:w="3801" w:type="dxa"/>
            <w:tcBorders>
              <w:top w:val="single" w:sz="4" w:space="0" w:color="D2232A"/>
              <w:left w:val="single" w:sz="4" w:space="0" w:color="D2232A"/>
              <w:bottom w:val="single" w:sz="4" w:space="0" w:color="D2232A"/>
              <w:right w:val="single" w:sz="4" w:space="0" w:color="D2232A"/>
            </w:tcBorders>
            <w:vAlign w:val="bottom"/>
          </w:tcPr>
          <w:p w:rsidR="00D84B9B" w:rsidRPr="001961C9" w:rsidRDefault="00D84B9B" w:rsidP="00E014B4">
            <w:pPr>
              <w:spacing w:before="60" w:after="60"/>
              <w:rPr>
                <w:rFonts w:cs="Arial"/>
                <w:color w:val="000000" w:themeColor="text1"/>
                <w:szCs w:val="20"/>
                <w:lang w:val="en-GB"/>
              </w:rPr>
            </w:pPr>
            <w:r w:rsidRPr="001961C9">
              <w:rPr>
                <w:rFonts w:cs="Arial"/>
                <w:color w:val="000000" w:themeColor="text1"/>
                <w:szCs w:val="20"/>
                <w:lang w:val="en-GB" w:eastAsia="en-GB"/>
              </w:rPr>
              <w:t>3 000 to 4 999</w:t>
            </w:r>
          </w:p>
        </w:tc>
        <w:tc>
          <w:tcPr>
            <w:tcW w:w="2126" w:type="dxa"/>
            <w:tcBorders>
              <w:top w:val="single" w:sz="4" w:space="0" w:color="D2232A"/>
              <w:left w:val="single" w:sz="4" w:space="0" w:color="D2232A"/>
              <w:bottom w:val="single" w:sz="4" w:space="0" w:color="D2232A"/>
              <w:right w:val="single" w:sz="4" w:space="0" w:color="D2232A"/>
            </w:tcBorders>
            <w:vAlign w:val="bottom"/>
          </w:tcPr>
          <w:p w:rsidR="00D84B9B" w:rsidRPr="001961C9" w:rsidRDefault="00D84B9B" w:rsidP="00E014B4">
            <w:pPr>
              <w:keepNext/>
              <w:spacing w:before="60" w:after="60"/>
              <w:rPr>
                <w:rFonts w:cs="Arial"/>
                <w:color w:val="000000" w:themeColor="text1"/>
                <w:szCs w:val="20"/>
                <w:lang w:val="en-GB"/>
              </w:rPr>
            </w:pPr>
            <w:r w:rsidRPr="001961C9">
              <w:rPr>
                <w:rFonts w:cs="Arial"/>
                <w:color w:val="000000" w:themeColor="text1"/>
                <w:szCs w:val="20"/>
                <w:lang w:val="en-GB" w:eastAsia="en-GB"/>
              </w:rPr>
              <w:t>8</w:t>
            </w:r>
          </w:p>
        </w:tc>
      </w:tr>
      <w:tr w:rsidR="00D84B9B" w:rsidRPr="001961C9" w:rsidTr="00C00793">
        <w:trPr>
          <w:jc w:val="center"/>
        </w:trPr>
        <w:tc>
          <w:tcPr>
            <w:tcW w:w="3801" w:type="dxa"/>
            <w:tcBorders>
              <w:top w:val="single" w:sz="4" w:space="0" w:color="D2232A"/>
              <w:left w:val="single" w:sz="4" w:space="0" w:color="D2232A"/>
              <w:bottom w:val="single" w:sz="4" w:space="0" w:color="D2232A"/>
              <w:right w:val="single" w:sz="4" w:space="0" w:color="D2232A"/>
            </w:tcBorders>
            <w:vAlign w:val="bottom"/>
          </w:tcPr>
          <w:p w:rsidR="00D84B9B" w:rsidRPr="001961C9" w:rsidRDefault="00D84B9B" w:rsidP="00E014B4">
            <w:pPr>
              <w:spacing w:before="60" w:after="60"/>
              <w:rPr>
                <w:rFonts w:cs="Arial"/>
                <w:color w:val="000000" w:themeColor="text1"/>
                <w:szCs w:val="20"/>
                <w:lang w:val="en-GB" w:eastAsia="en-GB"/>
              </w:rPr>
            </w:pPr>
            <w:r w:rsidRPr="001961C9">
              <w:rPr>
                <w:rFonts w:cs="Arial"/>
                <w:color w:val="000000" w:themeColor="text1"/>
                <w:szCs w:val="20"/>
                <w:lang w:val="en-GB" w:eastAsia="en-GB"/>
              </w:rPr>
              <w:t>5 000 to 5 999</w:t>
            </w:r>
          </w:p>
        </w:tc>
        <w:tc>
          <w:tcPr>
            <w:tcW w:w="2126" w:type="dxa"/>
            <w:tcBorders>
              <w:top w:val="single" w:sz="4" w:space="0" w:color="D2232A"/>
              <w:left w:val="single" w:sz="4" w:space="0" w:color="D2232A"/>
              <w:bottom w:val="single" w:sz="4" w:space="0" w:color="D2232A"/>
              <w:right w:val="single" w:sz="4" w:space="0" w:color="D2232A"/>
            </w:tcBorders>
            <w:vAlign w:val="bottom"/>
          </w:tcPr>
          <w:p w:rsidR="00D84B9B" w:rsidRPr="001961C9" w:rsidRDefault="00D84B9B" w:rsidP="00E014B4">
            <w:pPr>
              <w:keepNext/>
              <w:spacing w:before="60" w:after="60"/>
              <w:rPr>
                <w:rFonts w:cs="Arial"/>
                <w:color w:val="000000" w:themeColor="text1"/>
                <w:szCs w:val="20"/>
                <w:lang w:val="en-GB" w:eastAsia="en-GB"/>
              </w:rPr>
            </w:pPr>
            <w:r w:rsidRPr="001961C9">
              <w:rPr>
                <w:rFonts w:cs="Arial"/>
                <w:color w:val="000000" w:themeColor="text1"/>
                <w:szCs w:val="20"/>
                <w:lang w:val="en-GB" w:eastAsia="en-GB"/>
              </w:rPr>
              <w:t>6</w:t>
            </w:r>
          </w:p>
        </w:tc>
      </w:tr>
      <w:tr w:rsidR="00D84B9B" w:rsidRPr="001961C9" w:rsidTr="00C00793">
        <w:trPr>
          <w:jc w:val="center"/>
        </w:trPr>
        <w:tc>
          <w:tcPr>
            <w:tcW w:w="3801" w:type="dxa"/>
            <w:tcBorders>
              <w:top w:val="single" w:sz="4" w:space="0" w:color="D2232A"/>
              <w:left w:val="single" w:sz="4" w:space="0" w:color="D2232A"/>
              <w:bottom w:val="single" w:sz="4" w:space="0" w:color="D2232A"/>
              <w:right w:val="single" w:sz="4" w:space="0" w:color="D2232A"/>
            </w:tcBorders>
            <w:vAlign w:val="bottom"/>
          </w:tcPr>
          <w:p w:rsidR="00D84B9B" w:rsidRPr="001961C9" w:rsidRDefault="00D84B9B" w:rsidP="00E014B4">
            <w:pPr>
              <w:spacing w:before="60" w:after="60"/>
              <w:rPr>
                <w:rFonts w:cs="Arial"/>
                <w:color w:val="000000" w:themeColor="text1"/>
                <w:szCs w:val="20"/>
                <w:lang w:val="en-GB" w:eastAsia="en-GB"/>
              </w:rPr>
            </w:pPr>
            <w:r w:rsidRPr="001961C9">
              <w:rPr>
                <w:rFonts w:cs="Arial"/>
                <w:color w:val="000000" w:themeColor="text1"/>
                <w:szCs w:val="20"/>
                <w:lang w:val="en-GB" w:eastAsia="en-GB"/>
              </w:rPr>
              <w:t>6 000 to 6 999</w:t>
            </w:r>
          </w:p>
        </w:tc>
        <w:tc>
          <w:tcPr>
            <w:tcW w:w="2126" w:type="dxa"/>
            <w:tcBorders>
              <w:top w:val="single" w:sz="4" w:space="0" w:color="D2232A"/>
              <w:left w:val="single" w:sz="4" w:space="0" w:color="D2232A"/>
              <w:bottom w:val="single" w:sz="4" w:space="0" w:color="D2232A"/>
              <w:right w:val="single" w:sz="4" w:space="0" w:color="D2232A"/>
            </w:tcBorders>
            <w:vAlign w:val="bottom"/>
          </w:tcPr>
          <w:p w:rsidR="00D84B9B" w:rsidRPr="001961C9" w:rsidRDefault="00D84B9B" w:rsidP="00E014B4">
            <w:pPr>
              <w:spacing w:before="60" w:after="60"/>
              <w:rPr>
                <w:rFonts w:cs="Arial"/>
                <w:color w:val="000000" w:themeColor="text1"/>
                <w:szCs w:val="20"/>
                <w:lang w:val="en-GB" w:eastAsia="en-GB"/>
              </w:rPr>
            </w:pPr>
            <w:r w:rsidRPr="001961C9">
              <w:rPr>
                <w:rFonts w:cs="Arial"/>
                <w:color w:val="000000" w:themeColor="text1"/>
                <w:szCs w:val="20"/>
                <w:lang w:val="en-GB" w:eastAsia="en-GB"/>
              </w:rPr>
              <w:t>4</w:t>
            </w:r>
          </w:p>
        </w:tc>
      </w:tr>
      <w:tr w:rsidR="00D84B9B" w:rsidRPr="001961C9" w:rsidTr="00C00793">
        <w:trPr>
          <w:jc w:val="center"/>
        </w:trPr>
        <w:tc>
          <w:tcPr>
            <w:tcW w:w="3801" w:type="dxa"/>
            <w:tcBorders>
              <w:top w:val="single" w:sz="4" w:space="0" w:color="D2232A"/>
              <w:left w:val="single" w:sz="4" w:space="0" w:color="D2232A"/>
              <w:bottom w:val="single" w:sz="4" w:space="0" w:color="D2232A"/>
              <w:right w:val="single" w:sz="4" w:space="0" w:color="D2232A"/>
            </w:tcBorders>
            <w:vAlign w:val="bottom"/>
          </w:tcPr>
          <w:p w:rsidR="00D84B9B" w:rsidRPr="001961C9" w:rsidRDefault="00D84B9B" w:rsidP="00E014B4">
            <w:pPr>
              <w:spacing w:before="60" w:after="60"/>
              <w:rPr>
                <w:rFonts w:cs="Arial"/>
                <w:color w:val="000000" w:themeColor="text1"/>
                <w:szCs w:val="20"/>
                <w:lang w:val="en-GB" w:eastAsia="en-GB"/>
              </w:rPr>
            </w:pPr>
            <w:r w:rsidRPr="001961C9">
              <w:rPr>
                <w:rFonts w:cs="Arial"/>
                <w:color w:val="000000" w:themeColor="text1"/>
                <w:szCs w:val="20"/>
                <w:lang w:val="en-GB" w:eastAsia="en-GB"/>
              </w:rPr>
              <w:t>7 000 and above</w:t>
            </w:r>
          </w:p>
        </w:tc>
        <w:tc>
          <w:tcPr>
            <w:tcW w:w="2126" w:type="dxa"/>
            <w:tcBorders>
              <w:top w:val="single" w:sz="4" w:space="0" w:color="D2232A"/>
              <w:left w:val="single" w:sz="4" w:space="0" w:color="D2232A"/>
              <w:bottom w:val="single" w:sz="4" w:space="0" w:color="D2232A"/>
              <w:right w:val="single" w:sz="4" w:space="0" w:color="D2232A"/>
            </w:tcBorders>
            <w:vAlign w:val="bottom"/>
          </w:tcPr>
          <w:p w:rsidR="00D84B9B" w:rsidRPr="001961C9" w:rsidRDefault="00D84B9B" w:rsidP="00E014B4">
            <w:pPr>
              <w:spacing w:before="60" w:after="60"/>
              <w:rPr>
                <w:rFonts w:cs="Arial"/>
                <w:color w:val="000000" w:themeColor="text1"/>
                <w:szCs w:val="20"/>
                <w:lang w:val="en-GB" w:eastAsia="en-GB"/>
              </w:rPr>
            </w:pPr>
            <w:r w:rsidRPr="001961C9">
              <w:rPr>
                <w:rFonts w:cs="Arial"/>
                <w:color w:val="000000" w:themeColor="text1"/>
                <w:szCs w:val="20"/>
                <w:lang w:val="en-GB" w:eastAsia="en-GB"/>
              </w:rPr>
              <w:t>0</w:t>
            </w:r>
          </w:p>
        </w:tc>
      </w:tr>
      <w:tr w:rsidR="00D84B9B" w:rsidRPr="001961C9" w:rsidTr="00C00793">
        <w:trPr>
          <w:jc w:val="center"/>
        </w:trPr>
        <w:tc>
          <w:tcPr>
            <w:tcW w:w="5927" w:type="dxa"/>
            <w:gridSpan w:val="2"/>
            <w:tcBorders>
              <w:top w:val="single" w:sz="4" w:space="0" w:color="D2232A"/>
              <w:left w:val="single" w:sz="4" w:space="0" w:color="D2232A"/>
              <w:bottom w:val="single" w:sz="4" w:space="0" w:color="D2232A"/>
              <w:right w:val="single" w:sz="4" w:space="0" w:color="D2232A"/>
            </w:tcBorders>
            <w:vAlign w:val="bottom"/>
          </w:tcPr>
          <w:p w:rsidR="00D84B9B" w:rsidRPr="001961C9" w:rsidRDefault="00D84B9B" w:rsidP="00E014B4">
            <w:pPr>
              <w:spacing w:before="60" w:after="60"/>
              <w:rPr>
                <w:rFonts w:cs="Arial"/>
                <w:color w:val="000000" w:themeColor="text1"/>
                <w:szCs w:val="20"/>
                <w:lang w:val="en-GB" w:eastAsia="en-GB"/>
              </w:rPr>
            </w:pPr>
            <w:r w:rsidRPr="001961C9">
              <w:rPr>
                <w:rFonts w:cs="Arial"/>
                <w:color w:val="000000" w:themeColor="text1"/>
                <w:szCs w:val="20"/>
                <w:lang w:val="en-GB" w:eastAsia="en-GB"/>
              </w:rPr>
              <w:t>Minimum operational AS height above ground:</w:t>
            </w:r>
            <w:r>
              <w:rPr>
                <w:rFonts w:cs="Arial"/>
                <w:color w:val="000000" w:themeColor="text1"/>
                <w:szCs w:val="20"/>
                <w:lang w:val="en-GB" w:eastAsia="en-GB"/>
              </w:rPr>
              <w:t xml:space="preserve"> </w:t>
            </w:r>
            <w:r w:rsidRPr="001961C9">
              <w:rPr>
                <w:rFonts w:cs="Arial"/>
                <w:color w:val="000000" w:themeColor="text1"/>
                <w:szCs w:val="20"/>
                <w:lang w:val="en-GB" w:eastAsia="en-GB"/>
              </w:rPr>
              <w:t>3 000 m</w:t>
            </w:r>
          </w:p>
        </w:tc>
      </w:tr>
    </w:tbl>
    <w:p w:rsidR="00D84B9B" w:rsidRPr="001961C9" w:rsidRDefault="00D84B9B" w:rsidP="00D84B9B">
      <w:pPr>
        <w:rPr>
          <w:rFonts w:cs="Arial"/>
          <w:color w:val="000000" w:themeColor="text1"/>
          <w:szCs w:val="20"/>
          <w:lang w:val="en-GB"/>
        </w:rPr>
      </w:pPr>
    </w:p>
    <w:p w:rsidR="00D84B9B" w:rsidRDefault="00D84B9B" w:rsidP="00C00793">
      <w:pPr>
        <w:pStyle w:val="ECCTabletitle"/>
      </w:pPr>
      <w:r>
        <w:t xml:space="preserve"> Further co-existence requirements for GS</w:t>
      </w:r>
    </w:p>
    <w:tbl>
      <w:tblPr>
        <w:tblW w:w="0" w:type="auto"/>
        <w:tblInd w:w="67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647"/>
      </w:tblGrid>
      <w:tr w:rsidR="00D84B9B" w:rsidRPr="00C23331" w:rsidTr="004F09AC">
        <w:trPr>
          <w:tblHeader/>
        </w:trPr>
        <w:tc>
          <w:tcPr>
            <w:tcW w:w="8647" w:type="dxa"/>
            <w:tcBorders>
              <w:right w:val="single" w:sz="4" w:space="0" w:color="FFFFFF"/>
            </w:tcBorders>
            <w:shd w:val="clear" w:color="auto" w:fill="D2232A"/>
            <w:vAlign w:val="center"/>
          </w:tcPr>
          <w:p w:rsidR="00D84B9B" w:rsidRPr="00C23331" w:rsidRDefault="00D84B9B" w:rsidP="001B0F0E">
            <w:pPr>
              <w:spacing w:before="60" w:after="60" w:line="288" w:lineRule="auto"/>
              <w:jc w:val="center"/>
              <w:rPr>
                <w:rFonts w:cs="Arial"/>
                <w:b/>
                <w:color w:val="FFFFFF"/>
                <w:szCs w:val="20"/>
                <w:lang w:val="en-GB"/>
              </w:rPr>
            </w:pPr>
            <w:r w:rsidRPr="00C23331">
              <w:rPr>
                <w:rFonts w:cs="Arial"/>
                <w:b/>
                <w:color w:val="FFFFFF"/>
                <w:szCs w:val="20"/>
                <w:lang w:val="en-GB"/>
              </w:rPr>
              <w:t>Ground Station</w:t>
            </w:r>
            <w:r>
              <w:rPr>
                <w:rFonts w:cs="Arial"/>
                <w:b/>
                <w:color w:val="FFFFFF"/>
                <w:szCs w:val="20"/>
                <w:lang w:val="en-GB"/>
              </w:rPr>
              <w:t xml:space="preserve"> operating in the 5855-5875 MHz band</w:t>
            </w:r>
          </w:p>
        </w:tc>
      </w:tr>
      <w:tr w:rsidR="00D84B9B" w:rsidRPr="00C23331" w:rsidTr="004F09AC">
        <w:tc>
          <w:tcPr>
            <w:tcW w:w="8647" w:type="dxa"/>
            <w:tcBorders>
              <w:top w:val="single" w:sz="4" w:space="0" w:color="D2232A"/>
              <w:left w:val="single" w:sz="4" w:space="0" w:color="D2232A"/>
              <w:bottom w:val="single" w:sz="4" w:space="0" w:color="D2232A"/>
              <w:right w:val="single" w:sz="4" w:space="0" w:color="D2232A"/>
            </w:tcBorders>
          </w:tcPr>
          <w:p w:rsidR="00D84B9B" w:rsidRPr="001961C9" w:rsidRDefault="00D84B9B" w:rsidP="00E760CA">
            <w:pPr>
              <w:spacing w:before="60" w:after="60"/>
              <w:rPr>
                <w:rFonts w:cs="Arial"/>
                <w:color w:val="000000" w:themeColor="text1"/>
                <w:szCs w:val="20"/>
                <w:highlight w:val="yellow"/>
                <w:lang w:val="en-GB"/>
              </w:rPr>
            </w:pPr>
            <w:r w:rsidRPr="001961C9">
              <w:rPr>
                <w:rFonts w:cs="Arial"/>
                <w:szCs w:val="20"/>
                <w:lang w:val="en-GB"/>
              </w:rPr>
              <w:t>Coordination with BFWA stations</w:t>
            </w:r>
          </w:p>
        </w:tc>
      </w:tr>
      <w:tr w:rsidR="00D84B9B" w:rsidRPr="00C23331" w:rsidTr="004F09AC">
        <w:tc>
          <w:tcPr>
            <w:tcW w:w="8647" w:type="dxa"/>
            <w:tcBorders>
              <w:top w:val="single" w:sz="4" w:space="0" w:color="D2232A"/>
              <w:left w:val="single" w:sz="4" w:space="0" w:color="D2232A"/>
              <w:bottom w:val="single" w:sz="4" w:space="0" w:color="D2232A"/>
              <w:right w:val="single" w:sz="4" w:space="0" w:color="D2232A"/>
            </w:tcBorders>
          </w:tcPr>
          <w:p w:rsidR="00D84B9B" w:rsidRPr="001961C9" w:rsidRDefault="00D84B9B" w:rsidP="00E760CA">
            <w:pPr>
              <w:spacing w:before="60" w:after="60"/>
              <w:rPr>
                <w:rFonts w:cs="Arial"/>
                <w:color w:val="000000" w:themeColor="text1"/>
                <w:szCs w:val="20"/>
                <w:highlight w:val="yellow"/>
                <w:lang w:val="en-GB"/>
              </w:rPr>
            </w:pPr>
            <w:r w:rsidRPr="001961C9">
              <w:rPr>
                <w:rFonts w:cs="Arial"/>
                <w:color w:val="000000" w:themeColor="text1"/>
                <w:szCs w:val="20"/>
                <w:lang w:val="en-GB"/>
              </w:rPr>
              <w:t>Co-existence</w:t>
            </w:r>
            <w:r w:rsidRPr="001961C9">
              <w:rPr>
                <w:rFonts w:cs="Arial"/>
                <w:szCs w:val="20"/>
                <w:lang w:val="en-GB"/>
              </w:rPr>
              <w:t xml:space="preserve"> with ITS fixed infrastructure units </w:t>
            </w:r>
          </w:p>
        </w:tc>
      </w:tr>
      <w:tr w:rsidR="00D84B9B" w:rsidRPr="00C23331" w:rsidTr="004F09AC">
        <w:tc>
          <w:tcPr>
            <w:tcW w:w="8647" w:type="dxa"/>
            <w:tcBorders>
              <w:top w:val="single" w:sz="4" w:space="0" w:color="D2232A"/>
              <w:left w:val="single" w:sz="4" w:space="0" w:color="D2232A"/>
              <w:bottom w:val="single" w:sz="4" w:space="0" w:color="D2232A"/>
              <w:right w:val="single" w:sz="4" w:space="0" w:color="D2232A"/>
            </w:tcBorders>
          </w:tcPr>
          <w:p w:rsidR="00D84B9B" w:rsidRPr="001961C9" w:rsidRDefault="00D84B9B" w:rsidP="00E760CA">
            <w:pPr>
              <w:spacing w:before="60" w:after="60"/>
              <w:rPr>
                <w:rFonts w:cs="Arial"/>
                <w:color w:val="000000" w:themeColor="text1"/>
                <w:szCs w:val="20"/>
                <w:highlight w:val="yellow"/>
                <w:lang w:val="en-GB"/>
              </w:rPr>
            </w:pPr>
            <w:r w:rsidRPr="002645AF">
              <w:rPr>
                <w:rFonts w:cs="Arial"/>
                <w:color w:val="000000" w:themeColor="text1"/>
                <w:szCs w:val="20"/>
                <w:lang w:val="en-GB"/>
              </w:rPr>
              <w:t>Coordination with FSS earth stations (for the protection of DA2GC GS)</w:t>
            </w:r>
          </w:p>
        </w:tc>
      </w:tr>
      <w:tr w:rsidR="00D84B9B" w:rsidRPr="00C23331" w:rsidTr="004F09AC">
        <w:tc>
          <w:tcPr>
            <w:tcW w:w="8647" w:type="dxa"/>
            <w:tcBorders>
              <w:top w:val="single" w:sz="4" w:space="0" w:color="D2232A"/>
              <w:left w:val="single" w:sz="4" w:space="0" w:color="D2232A"/>
              <w:bottom w:val="single" w:sz="4" w:space="0" w:color="D2232A"/>
              <w:right w:val="single" w:sz="4" w:space="0" w:color="D2232A"/>
            </w:tcBorders>
          </w:tcPr>
          <w:p w:rsidR="00D84B9B" w:rsidRPr="00C23331" w:rsidRDefault="00D84B9B" w:rsidP="00E760CA">
            <w:pPr>
              <w:spacing w:before="60" w:after="60"/>
              <w:rPr>
                <w:rFonts w:cs="Arial"/>
                <w:kern w:val="32"/>
                <w:szCs w:val="20"/>
                <w:lang w:val="en-GB"/>
              </w:rPr>
            </w:pPr>
            <w:r w:rsidRPr="001961C9">
              <w:rPr>
                <w:rFonts w:cs="Arial"/>
                <w:color w:val="000000" w:themeColor="text1"/>
                <w:szCs w:val="20"/>
                <w:lang w:val="en-GB"/>
              </w:rPr>
              <w:t>The usage of directional antenna is subject to agreement by t</w:t>
            </w:r>
            <w:r>
              <w:rPr>
                <w:rFonts w:cs="Arial"/>
                <w:color w:val="000000" w:themeColor="text1"/>
                <w:szCs w:val="20"/>
                <w:lang w:val="en-GB"/>
              </w:rPr>
              <w:t>he regulatory administration(s)</w:t>
            </w:r>
          </w:p>
        </w:tc>
      </w:tr>
      <w:tr w:rsidR="00D84B9B" w:rsidRPr="00C23331" w:rsidTr="004F09AC">
        <w:tc>
          <w:tcPr>
            <w:tcW w:w="8647" w:type="dxa"/>
            <w:tcBorders>
              <w:top w:val="single" w:sz="4" w:space="0" w:color="D2232A"/>
              <w:left w:val="single" w:sz="4" w:space="0" w:color="D2232A"/>
              <w:bottom w:val="single" w:sz="4" w:space="0" w:color="D2232A"/>
              <w:right w:val="single" w:sz="4" w:space="0" w:color="D2232A"/>
            </w:tcBorders>
          </w:tcPr>
          <w:p w:rsidR="00D84B9B" w:rsidRPr="001961C9" w:rsidRDefault="00D84B9B" w:rsidP="00E760CA">
            <w:pPr>
              <w:spacing w:before="60" w:after="60"/>
              <w:rPr>
                <w:rFonts w:cs="Arial"/>
                <w:color w:val="000000" w:themeColor="text1"/>
                <w:szCs w:val="20"/>
                <w:lang w:val="en-GB"/>
              </w:rPr>
            </w:pPr>
            <w:r w:rsidRPr="002645AF">
              <w:rPr>
                <w:rFonts w:cs="Arial"/>
                <w:color w:val="000000" w:themeColor="text1"/>
                <w:szCs w:val="20"/>
                <w:lang w:val="en-GB"/>
              </w:rPr>
              <w:t xml:space="preserve">See Annex </w:t>
            </w:r>
            <w:r>
              <w:rPr>
                <w:rFonts w:cs="Arial"/>
                <w:color w:val="000000" w:themeColor="text1"/>
                <w:szCs w:val="20"/>
                <w:lang w:val="en-GB"/>
              </w:rPr>
              <w:t>2</w:t>
            </w:r>
            <w:r w:rsidRPr="002645AF">
              <w:rPr>
                <w:rFonts w:cs="Arial"/>
                <w:color w:val="000000" w:themeColor="text1"/>
                <w:szCs w:val="20"/>
                <w:lang w:val="en-GB"/>
              </w:rPr>
              <w:t xml:space="preserve"> with guidelines for CEPT administrations to ensure co-existence with other services</w:t>
            </w:r>
          </w:p>
        </w:tc>
      </w:tr>
    </w:tbl>
    <w:p w:rsidR="00D84B9B" w:rsidRDefault="00D84B9B" w:rsidP="00D84B9B">
      <w:pPr>
        <w:pStyle w:val="ECCParagraph"/>
      </w:pPr>
    </w:p>
    <w:p w:rsidR="00D84B9B" w:rsidRDefault="00D84B9B" w:rsidP="00C00793">
      <w:pPr>
        <w:pStyle w:val="ECCTabletitle"/>
      </w:pPr>
      <w:r>
        <w:t>Further co-existence requirements for AS</w:t>
      </w:r>
    </w:p>
    <w:tbl>
      <w:tblPr>
        <w:tblW w:w="0" w:type="auto"/>
        <w:tblInd w:w="5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789"/>
      </w:tblGrid>
      <w:tr w:rsidR="00D84B9B" w:rsidRPr="00C23331" w:rsidTr="004F09AC">
        <w:trPr>
          <w:tblHeader/>
        </w:trPr>
        <w:tc>
          <w:tcPr>
            <w:tcW w:w="8789" w:type="dxa"/>
            <w:tcBorders>
              <w:right w:val="single" w:sz="4" w:space="0" w:color="FFFFFF"/>
            </w:tcBorders>
            <w:shd w:val="clear" w:color="auto" w:fill="D2232A"/>
            <w:vAlign w:val="center"/>
          </w:tcPr>
          <w:p w:rsidR="00D84B9B" w:rsidRPr="00C23331" w:rsidRDefault="00D84B9B" w:rsidP="001B0F0E">
            <w:pPr>
              <w:spacing w:before="60" w:after="60" w:line="288" w:lineRule="auto"/>
              <w:jc w:val="center"/>
              <w:rPr>
                <w:rFonts w:cs="Arial"/>
                <w:b/>
                <w:color w:val="FFFFFF"/>
                <w:szCs w:val="20"/>
                <w:lang w:val="en-GB"/>
              </w:rPr>
            </w:pPr>
            <w:r>
              <w:rPr>
                <w:rFonts w:cs="Arial"/>
                <w:b/>
                <w:color w:val="FFFFFF"/>
                <w:szCs w:val="20"/>
                <w:lang w:val="en-GB"/>
              </w:rPr>
              <w:t xml:space="preserve">Aircraft </w:t>
            </w:r>
            <w:r w:rsidRPr="00C23331">
              <w:rPr>
                <w:rFonts w:cs="Arial"/>
                <w:b/>
                <w:color w:val="FFFFFF"/>
                <w:szCs w:val="20"/>
                <w:lang w:val="en-GB"/>
              </w:rPr>
              <w:t>Station</w:t>
            </w:r>
            <w:r>
              <w:rPr>
                <w:rFonts w:cs="Arial"/>
                <w:b/>
                <w:color w:val="FFFFFF"/>
                <w:szCs w:val="20"/>
                <w:lang w:val="en-GB"/>
              </w:rPr>
              <w:t xml:space="preserve"> operating in the 5855-5875 MHz band</w:t>
            </w:r>
          </w:p>
        </w:tc>
      </w:tr>
      <w:tr w:rsidR="00D84B9B" w:rsidRPr="001961C9" w:rsidTr="004F09AC">
        <w:tc>
          <w:tcPr>
            <w:tcW w:w="8789" w:type="dxa"/>
            <w:tcBorders>
              <w:top w:val="single" w:sz="4" w:space="0" w:color="D2232A"/>
              <w:left w:val="single" w:sz="4" w:space="0" w:color="D2232A"/>
              <w:bottom w:val="single" w:sz="4" w:space="0" w:color="D2232A"/>
              <w:right w:val="single" w:sz="4" w:space="0" w:color="D2232A"/>
            </w:tcBorders>
          </w:tcPr>
          <w:p w:rsidR="00D84B9B" w:rsidRPr="001961C9" w:rsidRDefault="00D84B9B" w:rsidP="00E760CA">
            <w:pPr>
              <w:spacing w:before="60" w:after="60"/>
              <w:rPr>
                <w:rFonts w:cs="Arial"/>
                <w:color w:val="000000" w:themeColor="text1"/>
                <w:szCs w:val="20"/>
                <w:highlight w:val="yellow"/>
                <w:lang w:val="en-GB"/>
              </w:rPr>
            </w:pPr>
            <w:r>
              <w:rPr>
                <w:rFonts w:cs="Arial"/>
                <w:color w:val="000000" w:themeColor="text1"/>
                <w:lang w:val="en-GB"/>
              </w:rPr>
              <w:t>Additional reduction in maximum e.i.r.p. by 4 dB for aircraft height above ground up to 7 km, in airspace above those regions where co-channel BFWA is used and is to be afforded protection.</w:t>
            </w:r>
          </w:p>
        </w:tc>
      </w:tr>
    </w:tbl>
    <w:p w:rsidR="004F09AC" w:rsidRDefault="004F09AC" w:rsidP="00D84B9B">
      <w:pPr>
        <w:pStyle w:val="ECCParagraph"/>
      </w:pPr>
    </w:p>
    <w:p w:rsidR="00FB21B7" w:rsidRPr="00FB21B7" w:rsidRDefault="00D84B9B" w:rsidP="004F09AC">
      <w:pPr>
        <w:pStyle w:val="ECCAnnexheading2"/>
        <w:ind w:left="567" w:hanging="567"/>
        <w:jc w:val="both"/>
      </w:pPr>
      <w:r w:rsidRPr="005D2CBD">
        <w:lastRenderedPageBreak/>
        <w:t>A1.</w:t>
      </w:r>
      <w:r>
        <w:t>2</w:t>
      </w:r>
      <w:r w:rsidRPr="005D2CBD">
        <w:t xml:space="preserve"> </w:t>
      </w:r>
      <w:r w:rsidR="004F09AC" w:rsidRPr="004F09AC">
        <w:t>TDD ARRANGEMENT WITH BEAMFORMING</w:t>
      </w:r>
    </w:p>
    <w:p w:rsidR="004F09AC" w:rsidRPr="004F09AC" w:rsidRDefault="004F09AC" w:rsidP="004F09AC">
      <w:pPr>
        <w:pStyle w:val="ECCParagraph"/>
        <w:rPr>
          <w:rFonts w:cs="Arial"/>
          <w:szCs w:val="20"/>
        </w:rPr>
      </w:pPr>
      <w:r>
        <w:rPr>
          <w:rFonts w:cs="Arial"/>
          <w:szCs w:val="20"/>
        </w:rPr>
        <w:t>A</w:t>
      </w:r>
      <w:r w:rsidRPr="004F09AC">
        <w:rPr>
          <w:rFonts w:cs="Arial"/>
          <w:szCs w:val="20"/>
        </w:rPr>
        <w:t xml:space="preserve"> beamforming system can be implemented which uses advanced phased array and signal processing technology on the aircraft and at the ground station, to produce shaped and steerable beams.  This enables dynamic beam pointing at both ends of the link such that the ground station and the aircraft mutually track each other. The use of beamforming helps to reduce co-channel interference and improves both the DA2GC link performance and its frequency sharing capabilities.</w:t>
      </w:r>
    </w:p>
    <w:p w:rsidR="004F09AC" w:rsidRPr="004F09AC" w:rsidRDefault="004F09AC" w:rsidP="004F09AC">
      <w:pPr>
        <w:pStyle w:val="ECCParagraph"/>
        <w:rPr>
          <w:rFonts w:cs="Arial"/>
          <w:szCs w:val="20"/>
        </w:rPr>
      </w:pPr>
      <w:r w:rsidRPr="004F09AC">
        <w:rPr>
          <w:rFonts w:cs="Arial"/>
          <w:szCs w:val="20"/>
        </w:rPr>
        <w:t>Power control is used in both directions, to maintain the required receive power level at the GS and AS receivers.</w:t>
      </w:r>
    </w:p>
    <w:p w:rsidR="004F09AC" w:rsidRDefault="004F09AC" w:rsidP="00FB21B7">
      <w:pPr>
        <w:pStyle w:val="ECCParagraph"/>
        <w:rPr>
          <w:rFonts w:cs="Arial"/>
          <w:szCs w:val="20"/>
        </w:rPr>
      </w:pPr>
      <w:r w:rsidRPr="009F2D64">
        <w:rPr>
          <w:rFonts w:cs="Arial"/>
          <w:szCs w:val="20"/>
        </w:rPr>
        <w:t>ECC Report</w:t>
      </w:r>
      <w:r w:rsidR="00822520" w:rsidRPr="00C10A20">
        <w:rPr>
          <w:rFonts w:cs="Arial"/>
          <w:szCs w:val="20"/>
        </w:rPr>
        <w:t>s</w:t>
      </w:r>
      <w:r w:rsidRPr="00C10A20">
        <w:rPr>
          <w:rFonts w:cs="Arial"/>
          <w:szCs w:val="20"/>
        </w:rPr>
        <w:t xml:space="preserve"> 210 </w:t>
      </w:r>
      <w:r w:rsidR="00822520" w:rsidRPr="00C10A20">
        <w:rPr>
          <w:rFonts w:cs="Arial"/>
          <w:szCs w:val="20"/>
        </w:rPr>
        <w:t xml:space="preserve">and 214 </w:t>
      </w:r>
      <w:r w:rsidRPr="009F2D64">
        <w:rPr>
          <w:rFonts w:cs="Arial"/>
          <w:szCs w:val="20"/>
        </w:rPr>
        <w:t>provide detailed technical information.</w:t>
      </w:r>
    </w:p>
    <w:p w:rsidR="001961C9" w:rsidRPr="001961C9" w:rsidRDefault="00B769D9" w:rsidP="00C00793">
      <w:pPr>
        <w:pStyle w:val="ECCTabletitle"/>
      </w:pPr>
      <w:r w:rsidRPr="00B769D9">
        <w:t>Main parameters for</w:t>
      </w:r>
      <w:r w:rsidR="00A84C20">
        <w:t xml:space="preserve"> the</w:t>
      </w:r>
      <w:r w:rsidRPr="00B769D9">
        <w:t xml:space="preserve"> ground station and aircraft station</w:t>
      </w:r>
    </w:p>
    <w:tbl>
      <w:tblPr>
        <w:tblW w:w="0" w:type="auto"/>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5670"/>
        <w:gridCol w:w="3969"/>
      </w:tblGrid>
      <w:tr w:rsidR="008D2270" w:rsidRPr="001961C9" w:rsidTr="00792134">
        <w:trPr>
          <w:tblHeader/>
        </w:trPr>
        <w:tc>
          <w:tcPr>
            <w:tcW w:w="5670" w:type="dxa"/>
            <w:tcBorders>
              <w:top w:val="single" w:sz="4" w:space="0" w:color="D2232A"/>
              <w:left w:val="single" w:sz="4" w:space="0" w:color="D2232A"/>
              <w:bottom w:val="single" w:sz="4" w:space="0" w:color="D2232A"/>
              <w:right w:val="single" w:sz="8" w:space="0" w:color="FFFFFF"/>
            </w:tcBorders>
            <w:shd w:val="clear" w:color="auto" w:fill="D2232A"/>
            <w:vAlign w:val="center"/>
            <w:hideMark/>
          </w:tcPr>
          <w:p w:rsidR="008D2270" w:rsidRPr="001961C9" w:rsidRDefault="008D2270" w:rsidP="00E760CA">
            <w:pPr>
              <w:spacing w:before="60" w:after="60" w:line="288" w:lineRule="auto"/>
              <w:jc w:val="center"/>
              <w:rPr>
                <w:rFonts w:cs="Arial"/>
                <w:b/>
                <w:color w:val="FFFFFF" w:themeColor="background1"/>
                <w:kern w:val="28"/>
                <w:szCs w:val="20"/>
                <w:lang w:val="en-GB"/>
              </w:rPr>
            </w:pPr>
            <w:r w:rsidRPr="001961C9">
              <w:rPr>
                <w:rFonts w:cs="Arial"/>
                <w:b/>
                <w:color w:val="FFFFFF" w:themeColor="background1"/>
                <w:kern w:val="28"/>
                <w:szCs w:val="20"/>
                <w:lang w:val="en-GB"/>
              </w:rPr>
              <w:t>Parameter</w:t>
            </w:r>
          </w:p>
        </w:tc>
        <w:tc>
          <w:tcPr>
            <w:tcW w:w="3969" w:type="dxa"/>
            <w:tcBorders>
              <w:top w:val="single" w:sz="4" w:space="0" w:color="D2232A"/>
              <w:left w:val="single" w:sz="8" w:space="0" w:color="FFFFFF"/>
              <w:bottom w:val="single" w:sz="4" w:space="0" w:color="D2232A"/>
              <w:right w:val="single" w:sz="8" w:space="0" w:color="FFFFFF"/>
            </w:tcBorders>
            <w:shd w:val="clear" w:color="auto" w:fill="D2232A"/>
            <w:vAlign w:val="center"/>
            <w:hideMark/>
          </w:tcPr>
          <w:p w:rsidR="008D2270" w:rsidRPr="001961C9" w:rsidRDefault="008D2270" w:rsidP="00E760CA">
            <w:pPr>
              <w:spacing w:before="60" w:after="60" w:line="288" w:lineRule="auto"/>
              <w:jc w:val="center"/>
              <w:rPr>
                <w:rFonts w:cs="Arial"/>
                <w:b/>
                <w:color w:val="FFFFFF" w:themeColor="background1"/>
                <w:kern w:val="28"/>
                <w:szCs w:val="20"/>
                <w:lang w:val="en-GB"/>
              </w:rPr>
            </w:pPr>
            <w:r w:rsidRPr="001961C9">
              <w:rPr>
                <w:rFonts w:cs="Arial"/>
                <w:b/>
                <w:color w:val="FFFFFF" w:themeColor="background1"/>
                <w:kern w:val="28"/>
                <w:szCs w:val="20"/>
                <w:lang w:val="en-GB"/>
              </w:rPr>
              <w:t>Value</w:t>
            </w:r>
          </w:p>
        </w:tc>
      </w:tr>
      <w:tr w:rsidR="00B769D9" w:rsidRPr="001961C9" w:rsidTr="00792134">
        <w:tc>
          <w:tcPr>
            <w:tcW w:w="5670" w:type="dxa"/>
            <w:tcBorders>
              <w:top w:val="single" w:sz="4" w:space="0" w:color="D2232A"/>
              <w:left w:val="single" w:sz="4" w:space="0" w:color="D2232A"/>
              <w:bottom w:val="single" w:sz="4" w:space="0" w:color="D2232A"/>
              <w:right w:val="single" w:sz="4" w:space="0" w:color="D2232A"/>
            </w:tcBorders>
            <w:vAlign w:val="center"/>
          </w:tcPr>
          <w:p w:rsidR="00B769D9" w:rsidRPr="001961C9" w:rsidRDefault="00B769D9" w:rsidP="00E760CA">
            <w:pPr>
              <w:spacing w:before="60" w:after="60" w:line="288" w:lineRule="auto"/>
              <w:rPr>
                <w:rFonts w:cs="Arial"/>
                <w:color w:val="000000" w:themeColor="text1"/>
                <w:kern w:val="28"/>
                <w:szCs w:val="20"/>
                <w:lang w:val="en-GB"/>
              </w:rPr>
            </w:pPr>
            <w:r>
              <w:rPr>
                <w:rFonts w:cs="Arial"/>
                <w:color w:val="000000" w:themeColor="text1"/>
                <w:kern w:val="28"/>
                <w:szCs w:val="20"/>
                <w:lang w:val="en-GB"/>
              </w:rPr>
              <w:t>Maximum channel bandwidth</w:t>
            </w:r>
          </w:p>
        </w:tc>
        <w:tc>
          <w:tcPr>
            <w:tcW w:w="3969" w:type="dxa"/>
            <w:tcBorders>
              <w:top w:val="single" w:sz="4" w:space="0" w:color="D2232A"/>
              <w:left w:val="single" w:sz="4" w:space="0" w:color="D2232A"/>
              <w:bottom w:val="single" w:sz="4" w:space="0" w:color="D2232A"/>
              <w:right w:val="single" w:sz="4" w:space="0" w:color="D2232A"/>
            </w:tcBorders>
            <w:vAlign w:val="center"/>
          </w:tcPr>
          <w:p w:rsidR="00B769D9" w:rsidRPr="001961C9" w:rsidRDefault="00B769D9" w:rsidP="00E760CA">
            <w:pPr>
              <w:spacing w:before="60" w:after="60" w:line="288" w:lineRule="auto"/>
              <w:rPr>
                <w:rFonts w:cs="Arial"/>
                <w:color w:val="000000" w:themeColor="text1"/>
                <w:kern w:val="28"/>
                <w:szCs w:val="20"/>
                <w:lang w:val="en-GB"/>
              </w:rPr>
            </w:pPr>
            <w:r>
              <w:rPr>
                <w:rFonts w:cs="Arial"/>
                <w:color w:val="000000" w:themeColor="text1"/>
                <w:kern w:val="28"/>
                <w:szCs w:val="20"/>
                <w:lang w:val="en-GB"/>
              </w:rPr>
              <w:t>20 MHz</w:t>
            </w:r>
          </w:p>
        </w:tc>
      </w:tr>
      <w:tr w:rsidR="008D2270" w:rsidRPr="001961C9" w:rsidTr="00792134">
        <w:tc>
          <w:tcPr>
            <w:tcW w:w="5670" w:type="dxa"/>
            <w:tcBorders>
              <w:top w:val="single" w:sz="4" w:space="0" w:color="D2232A"/>
              <w:left w:val="single" w:sz="4" w:space="0" w:color="D2232A"/>
              <w:bottom w:val="single" w:sz="4" w:space="0" w:color="D2232A"/>
              <w:right w:val="single" w:sz="4" w:space="0" w:color="D2232A"/>
            </w:tcBorders>
            <w:vAlign w:val="center"/>
            <w:hideMark/>
          </w:tcPr>
          <w:p w:rsidR="008D2270" w:rsidRDefault="008D2270" w:rsidP="00792134">
            <w:pPr>
              <w:spacing w:before="60" w:line="288" w:lineRule="auto"/>
              <w:rPr>
                <w:rFonts w:cs="Arial"/>
                <w:color w:val="000000" w:themeColor="text1"/>
                <w:kern w:val="28"/>
                <w:szCs w:val="20"/>
                <w:lang w:val="en-GB"/>
              </w:rPr>
            </w:pPr>
            <w:r w:rsidRPr="001961C9">
              <w:rPr>
                <w:rFonts w:cs="Arial"/>
                <w:color w:val="000000" w:themeColor="text1"/>
                <w:kern w:val="28"/>
                <w:szCs w:val="20"/>
                <w:lang w:val="en-GB"/>
              </w:rPr>
              <w:t>Max e.i.r.p. spectral density per beam</w:t>
            </w:r>
          </w:p>
          <w:p w:rsidR="00B769D9" w:rsidRPr="001961C9" w:rsidRDefault="00B769D9" w:rsidP="00E760CA">
            <w:pPr>
              <w:spacing w:before="60" w:after="60" w:line="288" w:lineRule="auto"/>
              <w:rPr>
                <w:rFonts w:cs="Arial"/>
                <w:color w:val="000000" w:themeColor="text1"/>
                <w:kern w:val="28"/>
                <w:szCs w:val="20"/>
                <w:lang w:val="en-GB"/>
              </w:rPr>
            </w:pPr>
            <w:r>
              <w:rPr>
                <w:rFonts w:cs="Arial"/>
                <w:color w:val="000000" w:themeColor="text1"/>
                <w:kern w:val="28"/>
                <w:szCs w:val="20"/>
                <w:lang w:val="en-GB"/>
              </w:rPr>
              <w:t xml:space="preserve">for GS </w:t>
            </w:r>
            <w:r w:rsidR="00A84C20">
              <w:rPr>
                <w:rFonts w:cs="Arial"/>
                <w:color w:val="000000" w:themeColor="text1"/>
                <w:kern w:val="28"/>
                <w:szCs w:val="20"/>
                <w:lang w:val="en-GB"/>
              </w:rPr>
              <w:t xml:space="preserve">(see note) </w:t>
            </w:r>
            <w:r>
              <w:rPr>
                <w:rFonts w:cs="Arial"/>
                <w:color w:val="000000" w:themeColor="text1"/>
                <w:kern w:val="28"/>
                <w:szCs w:val="20"/>
                <w:lang w:val="en-GB"/>
              </w:rPr>
              <w:t>and AS</w:t>
            </w:r>
          </w:p>
        </w:tc>
        <w:tc>
          <w:tcPr>
            <w:tcW w:w="3969" w:type="dxa"/>
            <w:tcBorders>
              <w:top w:val="single" w:sz="4" w:space="0" w:color="D2232A"/>
              <w:left w:val="single" w:sz="4" w:space="0" w:color="D2232A"/>
              <w:bottom w:val="single" w:sz="4" w:space="0" w:color="D2232A"/>
              <w:right w:val="single" w:sz="4" w:space="0" w:color="D2232A"/>
            </w:tcBorders>
            <w:vAlign w:val="center"/>
            <w:hideMark/>
          </w:tcPr>
          <w:p w:rsidR="008D2270" w:rsidRPr="001961C9" w:rsidRDefault="008D2270" w:rsidP="00E760CA">
            <w:pPr>
              <w:spacing w:before="60" w:after="60" w:line="288" w:lineRule="auto"/>
              <w:rPr>
                <w:rFonts w:cs="Arial"/>
                <w:color w:val="000000" w:themeColor="text1"/>
                <w:kern w:val="28"/>
                <w:szCs w:val="20"/>
                <w:lang w:val="en-GB"/>
              </w:rPr>
            </w:pPr>
            <w:r w:rsidRPr="001961C9">
              <w:rPr>
                <w:rFonts w:cs="Arial"/>
                <w:color w:val="000000" w:themeColor="text1"/>
                <w:kern w:val="28"/>
                <w:szCs w:val="20"/>
                <w:lang w:val="en-GB"/>
              </w:rPr>
              <w:t>32 dBm/MHz</w:t>
            </w:r>
          </w:p>
        </w:tc>
      </w:tr>
      <w:tr w:rsidR="008D2270" w:rsidRPr="001961C9" w:rsidTr="00792134">
        <w:tc>
          <w:tcPr>
            <w:tcW w:w="5670" w:type="dxa"/>
            <w:tcBorders>
              <w:top w:val="single" w:sz="4" w:space="0" w:color="D2232A"/>
              <w:left w:val="single" w:sz="4" w:space="0" w:color="D2232A"/>
              <w:bottom w:val="single" w:sz="4" w:space="0" w:color="D2232A"/>
              <w:right w:val="single" w:sz="4" w:space="0" w:color="D2232A"/>
            </w:tcBorders>
            <w:vAlign w:val="center"/>
          </w:tcPr>
          <w:p w:rsidR="008D2270" w:rsidRPr="001961C9" w:rsidRDefault="008D2270" w:rsidP="00E760CA">
            <w:pPr>
              <w:spacing w:before="60" w:after="60" w:line="288" w:lineRule="auto"/>
              <w:rPr>
                <w:rFonts w:cs="Arial"/>
                <w:szCs w:val="20"/>
                <w:lang w:val="en-GB"/>
              </w:rPr>
            </w:pPr>
            <w:r w:rsidRPr="001961C9">
              <w:rPr>
                <w:rFonts w:cs="Arial"/>
                <w:szCs w:val="20"/>
                <w:lang w:val="en-GB"/>
              </w:rPr>
              <w:t>Minimum elevation angle for the beam between GS and AS</w:t>
            </w:r>
          </w:p>
        </w:tc>
        <w:tc>
          <w:tcPr>
            <w:tcW w:w="3969" w:type="dxa"/>
            <w:tcBorders>
              <w:top w:val="single" w:sz="4" w:space="0" w:color="D2232A"/>
              <w:left w:val="single" w:sz="4" w:space="0" w:color="D2232A"/>
              <w:bottom w:val="single" w:sz="4" w:space="0" w:color="D2232A"/>
              <w:right w:val="single" w:sz="4" w:space="0" w:color="D2232A"/>
            </w:tcBorders>
            <w:vAlign w:val="center"/>
          </w:tcPr>
          <w:p w:rsidR="008D2270" w:rsidRPr="001961C9" w:rsidRDefault="008D2270" w:rsidP="00E760CA">
            <w:pPr>
              <w:spacing w:before="60" w:after="60" w:line="288" w:lineRule="auto"/>
              <w:rPr>
                <w:rFonts w:cs="Arial"/>
                <w:szCs w:val="20"/>
                <w:lang w:val="en-GB"/>
              </w:rPr>
            </w:pPr>
            <w:r w:rsidRPr="001961C9">
              <w:rPr>
                <w:rFonts w:cs="Arial"/>
                <w:szCs w:val="20"/>
                <w:lang w:val="en-GB"/>
              </w:rPr>
              <w:t>5 degrees for all azimuths</w:t>
            </w:r>
          </w:p>
        </w:tc>
      </w:tr>
      <w:tr w:rsidR="00E5728E" w:rsidRPr="001961C9" w:rsidTr="00792134">
        <w:tc>
          <w:tcPr>
            <w:tcW w:w="5670" w:type="dxa"/>
            <w:tcBorders>
              <w:top w:val="single" w:sz="4" w:space="0" w:color="D2232A"/>
              <w:left w:val="single" w:sz="4" w:space="0" w:color="D2232A"/>
              <w:bottom w:val="single" w:sz="4" w:space="0" w:color="D2232A"/>
              <w:right w:val="single" w:sz="4" w:space="0" w:color="D2232A"/>
            </w:tcBorders>
            <w:vAlign w:val="center"/>
          </w:tcPr>
          <w:p w:rsidR="00E5728E" w:rsidRPr="001961C9" w:rsidRDefault="00E5728E" w:rsidP="00E760CA">
            <w:pPr>
              <w:spacing w:before="60" w:after="60" w:line="288" w:lineRule="auto"/>
              <w:rPr>
                <w:rFonts w:cs="Arial"/>
                <w:szCs w:val="20"/>
                <w:lang w:val="en-GB"/>
              </w:rPr>
            </w:pPr>
            <w:r>
              <w:rPr>
                <w:rFonts w:cs="Arial"/>
                <w:szCs w:val="20"/>
                <w:lang w:val="en-GB"/>
              </w:rPr>
              <w:t>Minimum AS operational height above ground</w:t>
            </w:r>
          </w:p>
        </w:tc>
        <w:tc>
          <w:tcPr>
            <w:tcW w:w="3969" w:type="dxa"/>
            <w:tcBorders>
              <w:top w:val="single" w:sz="4" w:space="0" w:color="D2232A"/>
              <w:left w:val="single" w:sz="4" w:space="0" w:color="D2232A"/>
              <w:bottom w:val="single" w:sz="4" w:space="0" w:color="D2232A"/>
              <w:right w:val="single" w:sz="4" w:space="0" w:color="D2232A"/>
            </w:tcBorders>
            <w:vAlign w:val="center"/>
          </w:tcPr>
          <w:p w:rsidR="00E5728E" w:rsidRPr="001961C9" w:rsidRDefault="00E5728E" w:rsidP="00E760CA">
            <w:pPr>
              <w:spacing w:before="60" w:after="60" w:line="288" w:lineRule="auto"/>
              <w:rPr>
                <w:rFonts w:cs="Arial"/>
                <w:szCs w:val="20"/>
                <w:lang w:val="en-GB"/>
              </w:rPr>
            </w:pPr>
            <w:r>
              <w:rPr>
                <w:rFonts w:cs="Arial"/>
                <w:szCs w:val="20"/>
                <w:lang w:val="en-GB"/>
              </w:rPr>
              <w:t>3 000m</w:t>
            </w:r>
          </w:p>
        </w:tc>
      </w:tr>
      <w:tr w:rsidR="008D2270" w:rsidRPr="001961C9" w:rsidTr="00792134">
        <w:tc>
          <w:tcPr>
            <w:tcW w:w="5670" w:type="dxa"/>
            <w:tcBorders>
              <w:top w:val="single" w:sz="4" w:space="0" w:color="D2232A"/>
              <w:left w:val="single" w:sz="4" w:space="0" w:color="D2232A"/>
              <w:bottom w:val="single" w:sz="4" w:space="0" w:color="D2232A"/>
              <w:right w:val="single" w:sz="4" w:space="0" w:color="D2232A"/>
            </w:tcBorders>
            <w:vAlign w:val="center"/>
          </w:tcPr>
          <w:p w:rsidR="008D2270" w:rsidRDefault="008D2270" w:rsidP="00E760CA">
            <w:pPr>
              <w:spacing w:before="60" w:after="60" w:line="288" w:lineRule="auto"/>
              <w:rPr>
                <w:rFonts w:cs="Arial"/>
                <w:color w:val="000000" w:themeColor="text1"/>
                <w:kern w:val="28"/>
                <w:szCs w:val="20"/>
                <w:lang w:val="en-GB"/>
              </w:rPr>
            </w:pPr>
            <w:r w:rsidRPr="001961C9">
              <w:rPr>
                <w:rFonts w:cs="Arial"/>
                <w:color w:val="000000" w:themeColor="text1"/>
                <w:kern w:val="28"/>
                <w:szCs w:val="20"/>
                <w:lang w:val="en-GB"/>
              </w:rPr>
              <w:t>Max out-of-band e.i.r.p. spectral density</w:t>
            </w:r>
          </w:p>
          <w:p w:rsidR="00B769D9" w:rsidRPr="001961C9" w:rsidRDefault="00B769D9" w:rsidP="00E760CA">
            <w:pPr>
              <w:spacing w:before="60" w:after="60" w:line="288" w:lineRule="auto"/>
              <w:rPr>
                <w:rFonts w:cs="Arial"/>
                <w:szCs w:val="20"/>
                <w:lang w:val="en-GB"/>
              </w:rPr>
            </w:pPr>
            <w:r>
              <w:rPr>
                <w:rFonts w:cs="Arial"/>
                <w:color w:val="000000" w:themeColor="text1"/>
                <w:kern w:val="28"/>
                <w:szCs w:val="20"/>
                <w:lang w:val="en-GB"/>
              </w:rPr>
              <w:t>for GS and AS</w:t>
            </w:r>
          </w:p>
        </w:tc>
        <w:tc>
          <w:tcPr>
            <w:tcW w:w="3969" w:type="dxa"/>
            <w:tcBorders>
              <w:top w:val="single" w:sz="4" w:space="0" w:color="D2232A"/>
              <w:left w:val="single" w:sz="4" w:space="0" w:color="D2232A"/>
              <w:bottom w:val="single" w:sz="4" w:space="0" w:color="D2232A"/>
              <w:right w:val="single" w:sz="4" w:space="0" w:color="D2232A"/>
            </w:tcBorders>
            <w:vAlign w:val="center"/>
          </w:tcPr>
          <w:p w:rsidR="008D2270" w:rsidRPr="001961C9" w:rsidRDefault="008D2270" w:rsidP="00E760CA">
            <w:pPr>
              <w:spacing w:before="60" w:after="60"/>
              <w:rPr>
                <w:rFonts w:cs="Arial"/>
                <w:szCs w:val="20"/>
                <w:lang w:val="en-GB"/>
              </w:rPr>
            </w:pPr>
            <w:r w:rsidRPr="001961C9">
              <w:rPr>
                <w:rFonts w:cs="Arial"/>
                <w:szCs w:val="20"/>
                <w:lang w:val="en-GB"/>
              </w:rPr>
              <w:t xml:space="preserve">-38 -10log (20/BW) </w:t>
            </w:r>
            <w:proofErr w:type="spellStart"/>
            <w:r w:rsidRPr="001961C9">
              <w:rPr>
                <w:rFonts w:cs="Arial"/>
                <w:szCs w:val="20"/>
                <w:lang w:val="en-GB"/>
              </w:rPr>
              <w:t>dBm</w:t>
            </w:r>
            <w:proofErr w:type="spellEnd"/>
            <w:r w:rsidRPr="001961C9">
              <w:rPr>
                <w:rFonts w:cs="Arial"/>
                <w:szCs w:val="20"/>
                <w:lang w:val="en-GB"/>
              </w:rPr>
              <w:t xml:space="preserve">/MHz </w:t>
            </w:r>
            <w:r w:rsidR="00792134">
              <w:rPr>
                <w:rFonts w:cs="Arial"/>
                <w:szCs w:val="20"/>
                <w:lang w:val="en-GB"/>
              </w:rPr>
              <w:br/>
            </w:r>
            <w:r w:rsidRPr="001961C9">
              <w:rPr>
                <w:rFonts w:cs="Arial"/>
                <w:szCs w:val="20"/>
                <w:lang w:val="en-GB"/>
              </w:rPr>
              <w:t>below 5850 MHz</w:t>
            </w:r>
          </w:p>
          <w:p w:rsidR="008D2270" w:rsidRPr="001961C9" w:rsidRDefault="008D2270" w:rsidP="00E760CA">
            <w:pPr>
              <w:spacing w:before="60" w:after="60"/>
              <w:rPr>
                <w:rFonts w:cs="Arial"/>
                <w:szCs w:val="20"/>
                <w:lang w:val="en-GB"/>
              </w:rPr>
            </w:pPr>
            <w:r w:rsidRPr="001961C9">
              <w:rPr>
                <w:rFonts w:cs="Arial"/>
                <w:szCs w:val="20"/>
                <w:lang w:val="en-GB"/>
              </w:rPr>
              <w:t xml:space="preserve">-8 </w:t>
            </w:r>
            <w:proofErr w:type="spellStart"/>
            <w:r w:rsidRPr="001961C9">
              <w:rPr>
                <w:rFonts w:cs="Arial"/>
                <w:szCs w:val="20"/>
                <w:lang w:val="en-GB"/>
              </w:rPr>
              <w:t>dBm</w:t>
            </w:r>
            <w:proofErr w:type="spellEnd"/>
            <w:r w:rsidRPr="001961C9">
              <w:rPr>
                <w:rFonts w:cs="Arial"/>
                <w:szCs w:val="20"/>
                <w:lang w:val="en-GB"/>
              </w:rPr>
              <w:t>/MHz above 5875 MHz</w:t>
            </w:r>
            <w:r w:rsidR="00B769D9">
              <w:rPr>
                <w:rFonts w:cs="Arial"/>
                <w:szCs w:val="20"/>
                <w:lang w:val="en-GB"/>
              </w:rPr>
              <w:t xml:space="preserve"> and </w:t>
            </w:r>
            <w:r w:rsidR="00792134">
              <w:rPr>
                <w:rFonts w:cs="Arial"/>
                <w:szCs w:val="20"/>
                <w:lang w:val="en-GB"/>
              </w:rPr>
              <w:br/>
            </w:r>
            <w:r w:rsidR="00B769D9">
              <w:rPr>
                <w:rFonts w:cs="Arial"/>
                <w:szCs w:val="20"/>
                <w:lang w:val="en-GB"/>
              </w:rPr>
              <w:t>5850-5855 MHz</w:t>
            </w:r>
            <w:r w:rsidRPr="001961C9">
              <w:rPr>
                <w:rFonts w:cs="Arial"/>
                <w:szCs w:val="20"/>
                <w:lang w:val="en-GB"/>
              </w:rPr>
              <w:t xml:space="preserve"> </w:t>
            </w:r>
          </w:p>
          <w:p w:rsidR="008D2270" w:rsidRPr="001961C9" w:rsidRDefault="008D2270" w:rsidP="00E760CA">
            <w:pPr>
              <w:spacing w:before="60" w:after="60"/>
              <w:rPr>
                <w:rFonts w:cs="Arial"/>
                <w:szCs w:val="20"/>
                <w:lang w:val="en-GB"/>
              </w:rPr>
            </w:pPr>
            <w:r w:rsidRPr="001961C9">
              <w:rPr>
                <w:rFonts w:cs="Arial"/>
                <w:szCs w:val="20"/>
                <w:lang w:val="en-GB"/>
              </w:rPr>
              <w:t>B</w:t>
            </w:r>
            <w:r w:rsidR="001961C9">
              <w:rPr>
                <w:rFonts w:cs="Arial"/>
                <w:szCs w:val="20"/>
                <w:lang w:val="en-GB"/>
              </w:rPr>
              <w:t>W = transmitter bandwidth (MHz)</w:t>
            </w:r>
          </w:p>
        </w:tc>
      </w:tr>
      <w:tr w:rsidR="002F4CE2" w:rsidRPr="001961C9" w:rsidTr="00792134">
        <w:tc>
          <w:tcPr>
            <w:tcW w:w="9639" w:type="dxa"/>
            <w:gridSpan w:val="2"/>
            <w:tcBorders>
              <w:top w:val="single" w:sz="4" w:space="0" w:color="D2232A"/>
              <w:left w:val="single" w:sz="4" w:space="0" w:color="D2232A"/>
              <w:bottom w:val="single" w:sz="4" w:space="0" w:color="D2232A"/>
              <w:right w:val="single" w:sz="4" w:space="0" w:color="D2232A"/>
            </w:tcBorders>
            <w:vAlign w:val="center"/>
          </w:tcPr>
          <w:p w:rsidR="002F4CE2" w:rsidRPr="001961C9" w:rsidRDefault="002F4CE2" w:rsidP="00792134">
            <w:pPr>
              <w:pStyle w:val="ECCTablenote"/>
            </w:pPr>
            <w:r w:rsidRPr="001961C9">
              <w:t xml:space="preserve">NOTE: </w:t>
            </w:r>
            <w:r w:rsidR="00792134">
              <w:t xml:space="preserve"> </w:t>
            </w:r>
            <w:r w:rsidR="00A84C20">
              <w:t>For the G</w:t>
            </w:r>
            <w:r w:rsidR="00B07987">
              <w:rPr>
                <w:lang w:val="en-US"/>
              </w:rPr>
              <w:t>S</w:t>
            </w:r>
            <w:r w:rsidR="00A84C20">
              <w:t>: t</w:t>
            </w:r>
            <w:r w:rsidRPr="001961C9">
              <w:t xml:space="preserve">he </w:t>
            </w:r>
            <w:proofErr w:type="spellStart"/>
            <w:r w:rsidRPr="001961C9">
              <w:t>e.i.r.p</w:t>
            </w:r>
            <w:proofErr w:type="spellEnd"/>
            <w:r w:rsidRPr="001961C9">
              <w:t xml:space="preserve">. level in </w:t>
            </w:r>
            <w:r w:rsidR="002645AF">
              <w:t>in this table</w:t>
            </w:r>
            <w:r w:rsidRPr="001961C9">
              <w:t xml:space="preserve"> represents the maximum operational level at all times for a single beam</w:t>
            </w:r>
            <w:r w:rsidR="00BE5F88">
              <w:t xml:space="preserve"> </w:t>
            </w:r>
            <w:r w:rsidRPr="001961C9">
              <w:t>in the direction of the aircraft.</w:t>
            </w:r>
          </w:p>
        </w:tc>
      </w:tr>
    </w:tbl>
    <w:p w:rsidR="008D2270" w:rsidRPr="001961C9" w:rsidRDefault="008D2270" w:rsidP="008D2270">
      <w:pPr>
        <w:rPr>
          <w:rFonts w:cs="Arial"/>
          <w:szCs w:val="20"/>
          <w:lang w:val="en-GB"/>
        </w:rPr>
      </w:pPr>
    </w:p>
    <w:p w:rsidR="00126E39" w:rsidRPr="00B769D9" w:rsidRDefault="00E760CA" w:rsidP="00C00793">
      <w:pPr>
        <w:pStyle w:val="ECCTabletitle"/>
        <w:rPr>
          <w:rFonts w:cs="Arial"/>
          <w:szCs w:val="20"/>
        </w:rPr>
      </w:pPr>
      <w:r>
        <w:t>e</w:t>
      </w:r>
      <w:r w:rsidR="00B769D9" w:rsidRPr="00B769D9">
        <w:t xml:space="preserve">.i.r.p. </w:t>
      </w:r>
      <w:r w:rsidR="00B43669">
        <w:t xml:space="preserve">spectral density </w:t>
      </w:r>
      <w:r w:rsidR="00B769D9" w:rsidRPr="00B769D9">
        <w:t>mask as a function of elevation angle for the GS</w:t>
      </w:r>
    </w:p>
    <w:tbl>
      <w:tblPr>
        <w:tblW w:w="0" w:type="auto"/>
        <w:jc w:val="center"/>
        <w:tblInd w:w="235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84"/>
        <w:gridCol w:w="3419"/>
      </w:tblGrid>
      <w:tr w:rsidR="00126E39" w:rsidRPr="001961C9" w:rsidTr="00E760CA">
        <w:trPr>
          <w:tblHeader/>
          <w:jc w:val="center"/>
        </w:trPr>
        <w:tc>
          <w:tcPr>
            <w:tcW w:w="1984" w:type="dxa"/>
            <w:tcBorders>
              <w:top w:val="single" w:sz="4" w:space="0" w:color="D2232A"/>
              <w:left w:val="single" w:sz="4" w:space="0" w:color="D2232A"/>
              <w:bottom w:val="single" w:sz="4" w:space="0" w:color="D2232A"/>
              <w:right w:val="single" w:sz="4" w:space="0" w:color="FFFFFF"/>
            </w:tcBorders>
            <w:shd w:val="clear" w:color="auto" w:fill="D2232A"/>
            <w:vAlign w:val="center"/>
            <w:hideMark/>
          </w:tcPr>
          <w:p w:rsidR="00126E39" w:rsidRPr="001961C9" w:rsidRDefault="00126E39" w:rsidP="00E760CA">
            <w:pPr>
              <w:spacing w:before="60" w:after="60" w:line="288" w:lineRule="auto"/>
              <w:jc w:val="center"/>
              <w:rPr>
                <w:rFonts w:cs="Arial"/>
                <w:b/>
                <w:color w:val="FFFFFF"/>
                <w:szCs w:val="20"/>
                <w:lang w:val="en-GB" w:eastAsia="de-DE"/>
              </w:rPr>
            </w:pPr>
            <w:r w:rsidRPr="001961C9">
              <w:rPr>
                <w:rFonts w:cs="Arial"/>
                <w:b/>
                <w:color w:val="FFFFFF"/>
                <w:szCs w:val="20"/>
                <w:lang w:val="en-GB"/>
              </w:rPr>
              <w:t>Elevation Angle</w:t>
            </w:r>
          </w:p>
        </w:tc>
        <w:tc>
          <w:tcPr>
            <w:tcW w:w="3419" w:type="dxa"/>
            <w:tcBorders>
              <w:top w:val="single" w:sz="4" w:space="0" w:color="D2232A"/>
              <w:left w:val="single" w:sz="4" w:space="0" w:color="FFFFFF"/>
              <w:bottom w:val="single" w:sz="4" w:space="0" w:color="D2232A"/>
              <w:right w:val="single" w:sz="4" w:space="0" w:color="D2232A"/>
            </w:tcBorders>
            <w:shd w:val="clear" w:color="auto" w:fill="D2232A"/>
            <w:vAlign w:val="center"/>
            <w:hideMark/>
          </w:tcPr>
          <w:p w:rsidR="00126E39" w:rsidRPr="001961C9" w:rsidRDefault="00126E39" w:rsidP="00E760CA">
            <w:pPr>
              <w:spacing w:before="60" w:after="60" w:line="276" w:lineRule="auto"/>
              <w:jc w:val="center"/>
              <w:rPr>
                <w:rFonts w:cs="Arial"/>
                <w:b/>
                <w:color w:val="FFFFFF"/>
                <w:szCs w:val="20"/>
                <w:lang w:val="en-GB" w:eastAsia="de-DE"/>
              </w:rPr>
            </w:pPr>
            <w:r w:rsidRPr="001961C9">
              <w:rPr>
                <w:rFonts w:cs="Arial"/>
                <w:b/>
                <w:color w:val="FFFFFF"/>
                <w:szCs w:val="20"/>
                <w:lang w:val="en-GB"/>
              </w:rPr>
              <w:t xml:space="preserve">Average e.i.r.p. </w:t>
            </w:r>
            <w:r w:rsidR="00B43669">
              <w:rPr>
                <w:rFonts w:cs="Arial"/>
                <w:b/>
                <w:color w:val="FFFFFF"/>
                <w:szCs w:val="20"/>
                <w:lang w:val="en-GB"/>
              </w:rPr>
              <w:t xml:space="preserve">spectral density </w:t>
            </w:r>
            <w:r w:rsidRPr="001961C9">
              <w:rPr>
                <w:rFonts w:cs="Arial"/>
                <w:b/>
                <w:color w:val="FFFFFF"/>
                <w:szCs w:val="20"/>
                <w:lang w:val="en-GB"/>
              </w:rPr>
              <w:t>level (dBm/MHz)</w:t>
            </w:r>
          </w:p>
        </w:tc>
      </w:tr>
      <w:tr w:rsidR="00126E39" w:rsidRPr="001961C9" w:rsidTr="00E760CA">
        <w:trPr>
          <w:jc w:val="center"/>
        </w:trPr>
        <w:tc>
          <w:tcPr>
            <w:tcW w:w="1984" w:type="dxa"/>
            <w:tcBorders>
              <w:top w:val="single" w:sz="4" w:space="0" w:color="D2232A"/>
              <w:left w:val="single" w:sz="4" w:space="0" w:color="D2232A"/>
              <w:bottom w:val="single" w:sz="4" w:space="0" w:color="D2232A"/>
              <w:right w:val="single" w:sz="4" w:space="0" w:color="D2232A"/>
            </w:tcBorders>
            <w:vAlign w:val="center"/>
            <w:hideMark/>
          </w:tcPr>
          <w:p w:rsidR="00126E39" w:rsidRPr="001961C9" w:rsidRDefault="00B769D9" w:rsidP="00E760CA">
            <w:pPr>
              <w:spacing w:before="60" w:after="60" w:line="288" w:lineRule="auto"/>
              <w:rPr>
                <w:rFonts w:cs="Arial"/>
                <w:szCs w:val="20"/>
                <w:lang w:val="en-GB" w:eastAsia="de-DE"/>
              </w:rPr>
            </w:pPr>
            <w:r w:rsidRPr="00B769D9">
              <w:rPr>
                <w:rFonts w:cs="Arial"/>
                <w:szCs w:val="20"/>
                <w:lang w:val="en-GB"/>
              </w:rPr>
              <w:t xml:space="preserve">Ɵ &lt; </w:t>
            </w:r>
            <w:r w:rsidR="00126E39" w:rsidRPr="001961C9">
              <w:rPr>
                <w:rFonts w:cs="Arial"/>
                <w:szCs w:val="20"/>
                <w:lang w:val="en-GB"/>
              </w:rPr>
              <w:t>2°</w:t>
            </w:r>
          </w:p>
        </w:tc>
        <w:tc>
          <w:tcPr>
            <w:tcW w:w="3419" w:type="dxa"/>
            <w:tcBorders>
              <w:top w:val="single" w:sz="4" w:space="0" w:color="D2232A"/>
              <w:left w:val="single" w:sz="4" w:space="0" w:color="D2232A"/>
              <w:bottom w:val="single" w:sz="4" w:space="0" w:color="D2232A"/>
              <w:right w:val="single" w:sz="4" w:space="0" w:color="D2232A"/>
            </w:tcBorders>
            <w:vAlign w:val="center"/>
            <w:hideMark/>
          </w:tcPr>
          <w:p w:rsidR="00126E39" w:rsidRPr="001961C9" w:rsidRDefault="00126E39" w:rsidP="00E760CA">
            <w:pPr>
              <w:spacing w:before="60" w:after="60" w:line="288" w:lineRule="auto"/>
              <w:rPr>
                <w:rFonts w:cs="Arial"/>
                <w:szCs w:val="20"/>
                <w:lang w:val="en-GB" w:eastAsia="de-DE"/>
              </w:rPr>
            </w:pPr>
            <w:r w:rsidRPr="001961C9">
              <w:rPr>
                <w:rFonts w:cs="Arial"/>
                <w:szCs w:val="20"/>
                <w:lang w:val="en-GB"/>
              </w:rPr>
              <w:t>4.3</w:t>
            </w:r>
          </w:p>
        </w:tc>
      </w:tr>
      <w:tr w:rsidR="00126E39" w:rsidRPr="001961C9" w:rsidTr="00E760CA">
        <w:trPr>
          <w:jc w:val="center"/>
        </w:trPr>
        <w:tc>
          <w:tcPr>
            <w:tcW w:w="1984" w:type="dxa"/>
            <w:tcBorders>
              <w:top w:val="single" w:sz="4" w:space="0" w:color="D2232A"/>
              <w:left w:val="single" w:sz="4" w:space="0" w:color="D2232A"/>
              <w:bottom w:val="single" w:sz="4" w:space="0" w:color="D2232A"/>
              <w:right w:val="single" w:sz="4" w:space="0" w:color="D2232A"/>
            </w:tcBorders>
            <w:hideMark/>
          </w:tcPr>
          <w:p w:rsidR="00126E39" w:rsidRPr="001961C9" w:rsidRDefault="00AB10CC" w:rsidP="00E760CA">
            <w:pPr>
              <w:spacing w:before="60" w:after="60" w:line="288" w:lineRule="auto"/>
              <w:rPr>
                <w:rFonts w:cs="Arial"/>
                <w:szCs w:val="20"/>
                <w:lang w:val="en-GB" w:eastAsia="de-DE"/>
              </w:rPr>
            </w:pPr>
            <w:r>
              <w:rPr>
                <w:rFonts w:cs="Arial"/>
                <w:szCs w:val="20"/>
                <w:lang w:val="en-GB"/>
              </w:rPr>
              <w:t>2</w:t>
            </w:r>
            <w:r w:rsidRPr="00AB10CC">
              <w:rPr>
                <w:rFonts w:cs="Arial"/>
                <w:szCs w:val="20"/>
                <w:lang w:val="en-GB"/>
              </w:rPr>
              <w:t>°≤ Ɵ ≤ 1</w:t>
            </w:r>
            <w:r>
              <w:rPr>
                <w:rFonts w:cs="Arial"/>
                <w:szCs w:val="20"/>
                <w:lang w:val="en-GB"/>
              </w:rPr>
              <w:t>6</w:t>
            </w:r>
            <w:r w:rsidR="003407AB" w:rsidRPr="003407AB">
              <w:rPr>
                <w:rFonts w:cs="Arial"/>
                <w:szCs w:val="20"/>
                <w:lang w:val="en-GB"/>
              </w:rPr>
              <w:t>°</w:t>
            </w:r>
          </w:p>
        </w:tc>
        <w:tc>
          <w:tcPr>
            <w:tcW w:w="3419" w:type="dxa"/>
            <w:tcBorders>
              <w:top w:val="single" w:sz="4" w:space="0" w:color="D2232A"/>
              <w:left w:val="single" w:sz="4" w:space="0" w:color="D2232A"/>
              <w:bottom w:val="single" w:sz="4" w:space="0" w:color="D2232A"/>
              <w:right w:val="single" w:sz="4" w:space="0" w:color="D2232A"/>
            </w:tcBorders>
            <w:hideMark/>
          </w:tcPr>
          <w:p w:rsidR="00126E39" w:rsidRPr="001961C9" w:rsidRDefault="00126E39" w:rsidP="00E760CA">
            <w:pPr>
              <w:spacing w:before="60" w:after="60" w:line="288" w:lineRule="auto"/>
              <w:rPr>
                <w:rFonts w:cs="Arial"/>
                <w:szCs w:val="20"/>
                <w:lang w:val="en-GB" w:eastAsia="de-DE"/>
              </w:rPr>
            </w:pPr>
            <w:r w:rsidRPr="001961C9">
              <w:rPr>
                <w:rFonts w:cs="Arial"/>
                <w:szCs w:val="20"/>
                <w:lang w:val="en-GB"/>
              </w:rPr>
              <w:t>24.3</w:t>
            </w:r>
          </w:p>
        </w:tc>
      </w:tr>
      <w:tr w:rsidR="00126E39" w:rsidRPr="001961C9" w:rsidTr="00E760CA">
        <w:trPr>
          <w:jc w:val="center"/>
        </w:trPr>
        <w:tc>
          <w:tcPr>
            <w:tcW w:w="1984" w:type="dxa"/>
            <w:tcBorders>
              <w:top w:val="single" w:sz="4" w:space="0" w:color="D2232A"/>
              <w:left w:val="single" w:sz="4" w:space="0" w:color="D2232A"/>
              <w:bottom w:val="single" w:sz="4" w:space="0" w:color="D2232A"/>
              <w:right w:val="single" w:sz="4" w:space="0" w:color="D2232A"/>
            </w:tcBorders>
            <w:hideMark/>
          </w:tcPr>
          <w:p w:rsidR="00126E39" w:rsidRPr="001961C9" w:rsidRDefault="00AB10CC" w:rsidP="00E760CA">
            <w:pPr>
              <w:spacing w:before="60" w:after="60" w:line="288" w:lineRule="auto"/>
              <w:rPr>
                <w:rFonts w:cs="Arial"/>
                <w:szCs w:val="20"/>
                <w:lang w:val="en-GB" w:eastAsia="de-DE"/>
              </w:rPr>
            </w:pPr>
            <w:r w:rsidRPr="00AB10CC">
              <w:rPr>
                <w:rFonts w:cs="Arial"/>
                <w:szCs w:val="20"/>
                <w:lang w:val="en-GB"/>
              </w:rPr>
              <w:t xml:space="preserve">Ɵ </w:t>
            </w:r>
            <w:r w:rsidR="00126E39" w:rsidRPr="001961C9">
              <w:rPr>
                <w:rFonts w:cs="Arial"/>
                <w:szCs w:val="20"/>
                <w:lang w:val="en-GB"/>
              </w:rPr>
              <w:t>&gt;16°</w:t>
            </w:r>
          </w:p>
        </w:tc>
        <w:tc>
          <w:tcPr>
            <w:tcW w:w="3419" w:type="dxa"/>
            <w:tcBorders>
              <w:top w:val="single" w:sz="4" w:space="0" w:color="D2232A"/>
              <w:left w:val="single" w:sz="4" w:space="0" w:color="D2232A"/>
              <w:bottom w:val="single" w:sz="4" w:space="0" w:color="D2232A"/>
              <w:right w:val="single" w:sz="4" w:space="0" w:color="D2232A"/>
            </w:tcBorders>
            <w:hideMark/>
          </w:tcPr>
          <w:p w:rsidR="00126E39" w:rsidRPr="001961C9" w:rsidRDefault="00126E39" w:rsidP="00E760CA">
            <w:pPr>
              <w:spacing w:before="60" w:after="60" w:line="288" w:lineRule="auto"/>
              <w:rPr>
                <w:rFonts w:cs="Arial"/>
                <w:szCs w:val="20"/>
                <w:lang w:val="en-GB" w:eastAsia="de-DE"/>
              </w:rPr>
            </w:pPr>
            <w:r w:rsidRPr="001961C9">
              <w:rPr>
                <w:rFonts w:cs="Arial"/>
                <w:szCs w:val="20"/>
                <w:lang w:val="en-GB"/>
              </w:rPr>
              <w:t>16.3</w:t>
            </w:r>
          </w:p>
        </w:tc>
      </w:tr>
    </w:tbl>
    <w:p w:rsidR="00126E39" w:rsidRPr="001961C9" w:rsidRDefault="00126E39" w:rsidP="00126E39">
      <w:pPr>
        <w:rPr>
          <w:rFonts w:cs="Arial"/>
          <w:szCs w:val="20"/>
          <w:lang w:val="en-GB"/>
        </w:rPr>
      </w:pPr>
    </w:p>
    <w:p w:rsidR="00126E39" w:rsidRPr="001961C9" w:rsidRDefault="00126E39" w:rsidP="001961C9">
      <w:pPr>
        <w:pStyle w:val="ECCParagraph"/>
      </w:pPr>
      <w:r w:rsidRPr="001961C9">
        <w:t xml:space="preserve">This average e.i.r.p. </w:t>
      </w:r>
      <w:r w:rsidR="00B43669">
        <w:t xml:space="preserve">spectral density </w:t>
      </w:r>
      <w:r w:rsidRPr="001961C9">
        <w:t>mask represents the sum of the powers generated by all beams of the DA2GC Ground Station in any given azimuth direction.</w:t>
      </w:r>
    </w:p>
    <w:p w:rsidR="00A27812" w:rsidRPr="001961C9" w:rsidRDefault="00126E39" w:rsidP="001961C9">
      <w:pPr>
        <w:pStyle w:val="ECCParagraph"/>
      </w:pPr>
      <w:r w:rsidRPr="001961C9">
        <w:t>Any measurement of the average power for enforcement purposes will need to be performed over a significantly long duration to ensure that a true average is obtained.</w:t>
      </w:r>
    </w:p>
    <w:p w:rsidR="00126E39" w:rsidRDefault="00126E39" w:rsidP="001961C9">
      <w:pPr>
        <w:pStyle w:val="ECCParagraph"/>
      </w:pPr>
      <w:r w:rsidRPr="001961C9">
        <w:t xml:space="preserve">Peak e.i.r.p. levels can exceed the average values in Table </w:t>
      </w:r>
      <w:r w:rsidR="00AB10CC">
        <w:t xml:space="preserve">7 </w:t>
      </w:r>
      <w:r w:rsidRPr="001961C9">
        <w:t>for small percentages of time.</w:t>
      </w:r>
    </w:p>
    <w:p w:rsidR="00730229" w:rsidRDefault="00730229" w:rsidP="00730229">
      <w:pPr>
        <w:pStyle w:val="ECCParagraph"/>
      </w:pPr>
    </w:p>
    <w:p w:rsidR="00A915BC" w:rsidRDefault="00E5728E" w:rsidP="00E760CA">
      <w:r>
        <w:lastRenderedPageBreak/>
        <w:t xml:space="preserve"> </w:t>
      </w:r>
    </w:p>
    <w:p w:rsidR="00126E39" w:rsidRDefault="00E5728E" w:rsidP="00792134">
      <w:pPr>
        <w:jc w:val="center"/>
        <w:rPr>
          <w:rFonts w:cs="Arial"/>
          <w:szCs w:val="20"/>
          <w:lang w:val="en-GB"/>
        </w:rPr>
      </w:pPr>
      <w:r w:rsidRPr="00E5728E">
        <w:rPr>
          <w:rFonts w:ascii="Calibri" w:eastAsia="Calibri" w:hAnsi="Calibri"/>
          <w:noProof/>
          <w:sz w:val="22"/>
          <w:szCs w:val="22"/>
          <w:lang w:val="da-DK" w:eastAsia="da-DK"/>
        </w:rPr>
        <w:drawing>
          <wp:inline distT="0" distB="0" distL="0" distR="0" wp14:anchorId="7A4F71E5" wp14:editId="54D15A92">
            <wp:extent cx="5492839" cy="3541472"/>
            <wp:effectExtent l="0" t="0" r="0" b="1905"/>
            <wp:docPr id="1" name="Grafik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7242" cy="3544311"/>
                    </a:xfrm>
                    <a:prstGeom prst="rect">
                      <a:avLst/>
                    </a:prstGeom>
                    <a:noFill/>
                  </pic:spPr>
                </pic:pic>
              </a:graphicData>
            </a:graphic>
          </wp:inline>
        </w:drawing>
      </w:r>
    </w:p>
    <w:p w:rsidR="00E760CA" w:rsidRDefault="00E760CA" w:rsidP="00E760CA">
      <w:pPr>
        <w:pStyle w:val="ECCFiguretitle"/>
      </w:pPr>
      <w:r>
        <w:t>Aircraft station power flux density (</w:t>
      </w:r>
      <w:proofErr w:type="spellStart"/>
      <w:r>
        <w:t>p.f.d</w:t>
      </w:r>
      <w:proofErr w:type="spellEnd"/>
      <w:r>
        <w:t>.) limits</w:t>
      </w:r>
    </w:p>
    <w:p w:rsidR="00E760CA" w:rsidRDefault="00E760CA" w:rsidP="00126E39">
      <w:pPr>
        <w:rPr>
          <w:rFonts w:cs="Arial"/>
          <w:szCs w:val="20"/>
          <w:lang w:val="en-GB"/>
        </w:rPr>
      </w:pPr>
    </w:p>
    <w:p w:rsidR="00E760CA" w:rsidRDefault="00E760CA" w:rsidP="00126E39">
      <w:pPr>
        <w:rPr>
          <w:rFonts w:cs="Arial"/>
          <w:szCs w:val="20"/>
          <w:lang w:val="en-GB"/>
        </w:rPr>
      </w:pPr>
    </w:p>
    <w:p w:rsidR="00BB0216" w:rsidRDefault="003637E1" w:rsidP="00126E39">
      <w:pPr>
        <w:rPr>
          <w:rFonts w:cs="Arial"/>
          <w:szCs w:val="20"/>
          <w:lang w:val="en-GB"/>
        </w:rPr>
      </w:pPr>
      <w:r>
        <w:rPr>
          <w:rFonts w:cs="Arial"/>
          <w:szCs w:val="20"/>
          <w:lang w:val="en-GB"/>
        </w:rPr>
        <w:t xml:space="preserve">The power flux density limits </w:t>
      </w:r>
      <w:r w:rsidR="00BB0216">
        <w:rPr>
          <w:rFonts w:cs="Arial"/>
          <w:szCs w:val="20"/>
          <w:lang w:val="en-GB"/>
        </w:rPr>
        <w:t xml:space="preserve">per AS </w:t>
      </w:r>
      <w:r>
        <w:rPr>
          <w:rFonts w:cs="Arial"/>
          <w:szCs w:val="20"/>
          <w:lang w:val="en-GB"/>
        </w:rPr>
        <w:t xml:space="preserve">set out in Figure 1 can be transferred to an e.i.r.p. mask for the AS conformance measurements, see </w:t>
      </w:r>
      <w:r w:rsidR="000E6A7E">
        <w:rPr>
          <w:rFonts w:cs="Arial"/>
          <w:szCs w:val="20"/>
          <w:lang w:val="en-GB"/>
        </w:rPr>
        <w:t>Table 8 below</w:t>
      </w:r>
      <w:r>
        <w:rPr>
          <w:rFonts w:cs="Arial"/>
          <w:szCs w:val="20"/>
          <w:lang w:val="en-GB"/>
        </w:rPr>
        <w:t>.</w:t>
      </w:r>
    </w:p>
    <w:p w:rsidR="00E760CA" w:rsidRDefault="00E760CA" w:rsidP="00126E39">
      <w:pPr>
        <w:rPr>
          <w:rFonts w:cs="Arial"/>
          <w:szCs w:val="20"/>
          <w:lang w:val="en-GB"/>
        </w:rPr>
      </w:pPr>
    </w:p>
    <w:p w:rsidR="000E6A7E" w:rsidRDefault="000E6A7E" w:rsidP="00C00793">
      <w:pPr>
        <w:pStyle w:val="ECCTabletitle"/>
      </w:pPr>
      <w:r>
        <w:t xml:space="preserve">Aircraft station maximum e.i.r.p. </w:t>
      </w:r>
      <w:r w:rsidR="00B43669">
        <w:t xml:space="preserve">spectral density </w:t>
      </w:r>
      <w:r>
        <w:t>mask</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693"/>
        <w:gridCol w:w="2126"/>
        <w:gridCol w:w="4139"/>
      </w:tblGrid>
      <w:tr w:rsidR="000E6A7E" w:rsidRPr="00730229" w:rsidTr="00A11452">
        <w:trPr>
          <w:tblHeader/>
          <w:jc w:val="center"/>
        </w:trPr>
        <w:tc>
          <w:tcPr>
            <w:tcW w:w="2693" w:type="dxa"/>
            <w:tcBorders>
              <w:top w:val="single" w:sz="4" w:space="0" w:color="D2232A"/>
              <w:left w:val="single" w:sz="4" w:space="0" w:color="D2232A"/>
              <w:bottom w:val="single" w:sz="4" w:space="0" w:color="D2232A"/>
              <w:right w:val="single" w:sz="8" w:space="0" w:color="FFFFFF"/>
            </w:tcBorders>
            <w:shd w:val="clear" w:color="auto" w:fill="D2232A"/>
            <w:hideMark/>
          </w:tcPr>
          <w:p w:rsidR="000E6A7E" w:rsidRPr="00730229" w:rsidRDefault="000E6A7E" w:rsidP="00E760CA">
            <w:pPr>
              <w:spacing w:before="60" w:after="60"/>
              <w:jc w:val="center"/>
              <w:rPr>
                <w:rFonts w:cs="Arial"/>
                <w:b/>
                <w:color w:val="FFFFFF" w:themeColor="background1"/>
                <w:szCs w:val="20"/>
                <w:lang w:val="en-GB" w:eastAsia="de-DE"/>
              </w:rPr>
            </w:pPr>
            <w:r w:rsidRPr="00730229">
              <w:rPr>
                <w:rFonts w:cs="Arial"/>
                <w:b/>
                <w:color w:val="FFFFFF" w:themeColor="background1"/>
                <w:szCs w:val="20"/>
                <w:lang w:val="en-GB"/>
              </w:rPr>
              <w:t>Elevation at ground (degrees)</w:t>
            </w:r>
          </w:p>
        </w:tc>
        <w:tc>
          <w:tcPr>
            <w:tcW w:w="2126" w:type="dxa"/>
            <w:tcBorders>
              <w:top w:val="single" w:sz="4" w:space="0" w:color="D2232A"/>
              <w:left w:val="single" w:sz="4" w:space="0" w:color="D2232A"/>
              <w:bottom w:val="single" w:sz="4" w:space="0" w:color="D2232A"/>
              <w:right w:val="single" w:sz="8" w:space="0" w:color="FFFFFF"/>
            </w:tcBorders>
            <w:shd w:val="clear" w:color="auto" w:fill="D2232A"/>
          </w:tcPr>
          <w:p w:rsidR="000E6A7E" w:rsidRPr="00730229" w:rsidRDefault="000E6A7E" w:rsidP="00E760CA">
            <w:pPr>
              <w:spacing w:before="60" w:after="60"/>
              <w:jc w:val="center"/>
              <w:rPr>
                <w:rFonts w:cs="Arial"/>
                <w:b/>
                <w:color w:val="FFFFFF" w:themeColor="background1"/>
                <w:szCs w:val="20"/>
                <w:lang w:val="en-GB" w:eastAsia="de-DE"/>
              </w:rPr>
            </w:pPr>
            <w:r w:rsidRPr="00730229">
              <w:rPr>
                <w:rFonts w:cs="Arial"/>
                <w:b/>
                <w:color w:val="FFFFFF" w:themeColor="background1"/>
                <w:szCs w:val="20"/>
                <w:lang w:val="en-GB"/>
              </w:rPr>
              <w:t xml:space="preserve">Aircraft e.i.r.p. </w:t>
            </w:r>
            <w:r w:rsidR="00B43669">
              <w:rPr>
                <w:rFonts w:cs="Arial"/>
                <w:b/>
                <w:color w:val="FFFFFF" w:themeColor="background1"/>
                <w:szCs w:val="20"/>
                <w:lang w:val="en-GB"/>
              </w:rPr>
              <w:t xml:space="preserve">spectral density </w:t>
            </w:r>
            <w:r w:rsidRPr="00730229">
              <w:rPr>
                <w:rFonts w:cs="Arial"/>
                <w:b/>
                <w:color w:val="FFFFFF" w:themeColor="background1"/>
                <w:szCs w:val="20"/>
                <w:lang w:val="en-GB"/>
              </w:rPr>
              <w:t>(dBm/MHz)</w:t>
            </w:r>
          </w:p>
        </w:tc>
        <w:tc>
          <w:tcPr>
            <w:tcW w:w="4139" w:type="dxa"/>
            <w:tcBorders>
              <w:top w:val="single" w:sz="4" w:space="0" w:color="D2232A"/>
              <w:left w:val="single" w:sz="8" w:space="0" w:color="FFFFFF"/>
              <w:bottom w:val="single" w:sz="4" w:space="0" w:color="D2232A"/>
              <w:right w:val="single" w:sz="8" w:space="0" w:color="FFFFFF"/>
            </w:tcBorders>
            <w:shd w:val="clear" w:color="auto" w:fill="D2232A"/>
            <w:hideMark/>
          </w:tcPr>
          <w:p w:rsidR="000E6A7E" w:rsidRPr="00730229" w:rsidRDefault="000E6A7E" w:rsidP="00E760CA">
            <w:pPr>
              <w:spacing w:before="60" w:after="60"/>
              <w:jc w:val="center"/>
              <w:rPr>
                <w:rFonts w:cs="Arial"/>
                <w:b/>
                <w:color w:val="FFFFFF" w:themeColor="background1"/>
                <w:szCs w:val="20"/>
                <w:lang w:val="en-GB" w:eastAsia="de-DE"/>
              </w:rPr>
            </w:pPr>
            <w:r w:rsidRPr="00730229">
              <w:rPr>
                <w:rFonts w:cs="Arial"/>
                <w:b/>
                <w:color w:val="FFFFFF" w:themeColor="background1"/>
                <w:szCs w:val="20"/>
                <w:lang w:val="en-GB"/>
              </w:rPr>
              <w:t>Note</w:t>
            </w:r>
          </w:p>
        </w:tc>
      </w:tr>
      <w:tr w:rsidR="000E6A7E" w:rsidRPr="001961C9" w:rsidTr="00A11452">
        <w:trPr>
          <w:jc w:val="center"/>
        </w:trPr>
        <w:tc>
          <w:tcPr>
            <w:tcW w:w="2693" w:type="dxa"/>
            <w:tcBorders>
              <w:top w:val="single" w:sz="4" w:space="0" w:color="D2232A"/>
              <w:left w:val="single" w:sz="4" w:space="0" w:color="D2232A"/>
              <w:bottom w:val="single" w:sz="4" w:space="0" w:color="D2232A"/>
              <w:right w:val="single" w:sz="4" w:space="0" w:color="D2232A"/>
            </w:tcBorders>
            <w:hideMark/>
          </w:tcPr>
          <w:p w:rsidR="000E6A7E" w:rsidRPr="001961C9" w:rsidRDefault="000E6A7E" w:rsidP="00E760CA">
            <w:pPr>
              <w:spacing w:before="60" w:after="60"/>
              <w:rPr>
                <w:rFonts w:cs="Arial"/>
                <w:szCs w:val="20"/>
                <w:lang w:val="en-GB" w:eastAsia="de-DE"/>
              </w:rPr>
            </w:pPr>
            <w:r w:rsidRPr="00AB10CC">
              <w:rPr>
                <w:rFonts w:cs="Arial"/>
                <w:szCs w:val="20"/>
                <w:lang w:val="en-GB"/>
              </w:rPr>
              <w:t xml:space="preserve">Ɵ &lt; </w:t>
            </w:r>
            <w:r>
              <w:rPr>
                <w:rFonts w:cs="Arial"/>
                <w:szCs w:val="20"/>
                <w:lang w:val="en-GB"/>
              </w:rPr>
              <w:t>5</w:t>
            </w:r>
            <w:r w:rsidRPr="00AB10CC">
              <w:rPr>
                <w:rFonts w:cs="Arial"/>
                <w:szCs w:val="20"/>
                <w:lang w:val="en-GB"/>
              </w:rPr>
              <w:t>°</w:t>
            </w:r>
          </w:p>
        </w:tc>
        <w:tc>
          <w:tcPr>
            <w:tcW w:w="2126" w:type="dxa"/>
            <w:tcBorders>
              <w:top w:val="single" w:sz="4" w:space="0" w:color="D2232A"/>
              <w:left w:val="single" w:sz="4" w:space="0" w:color="D2232A"/>
              <w:bottom w:val="single" w:sz="4" w:space="0" w:color="D2232A"/>
              <w:right w:val="single" w:sz="4" w:space="0" w:color="D2232A"/>
            </w:tcBorders>
          </w:tcPr>
          <w:p w:rsidR="000E6A7E" w:rsidRPr="001961C9" w:rsidRDefault="000E6A7E" w:rsidP="00E760CA">
            <w:pPr>
              <w:spacing w:before="60" w:after="60"/>
              <w:rPr>
                <w:rFonts w:cs="Arial"/>
                <w:szCs w:val="20"/>
                <w:lang w:val="en-GB" w:eastAsia="de-DE"/>
              </w:rPr>
            </w:pPr>
            <w:r w:rsidRPr="001961C9">
              <w:rPr>
                <w:rFonts w:cs="Arial"/>
                <w:szCs w:val="20"/>
                <w:lang w:val="en-GB"/>
              </w:rPr>
              <w:t>29.5-C</w:t>
            </w:r>
          </w:p>
        </w:tc>
        <w:tc>
          <w:tcPr>
            <w:tcW w:w="4139" w:type="dxa"/>
            <w:tcBorders>
              <w:top w:val="single" w:sz="4" w:space="0" w:color="D2232A"/>
              <w:left w:val="single" w:sz="4" w:space="0" w:color="D2232A"/>
              <w:bottom w:val="single" w:sz="4" w:space="0" w:color="D2232A"/>
              <w:right w:val="single" w:sz="4" w:space="0" w:color="D2232A"/>
            </w:tcBorders>
            <w:hideMark/>
          </w:tcPr>
          <w:p w:rsidR="000E6A7E" w:rsidRPr="001961C9" w:rsidRDefault="000E6A7E" w:rsidP="00E760CA">
            <w:pPr>
              <w:spacing w:before="60" w:after="60"/>
              <w:rPr>
                <w:rFonts w:cs="Arial"/>
                <w:szCs w:val="20"/>
                <w:lang w:val="en-GB" w:eastAsia="en-GB"/>
              </w:rPr>
            </w:pPr>
          </w:p>
        </w:tc>
      </w:tr>
      <w:tr w:rsidR="000E6A7E" w:rsidRPr="001961C9" w:rsidTr="00A11452">
        <w:trPr>
          <w:jc w:val="center"/>
        </w:trPr>
        <w:tc>
          <w:tcPr>
            <w:tcW w:w="2693" w:type="dxa"/>
            <w:tcBorders>
              <w:top w:val="single" w:sz="4" w:space="0" w:color="D2232A"/>
              <w:left w:val="single" w:sz="4" w:space="0" w:color="D2232A"/>
              <w:bottom w:val="single" w:sz="4" w:space="0" w:color="D2232A"/>
              <w:right w:val="single" w:sz="4" w:space="0" w:color="D2232A"/>
            </w:tcBorders>
          </w:tcPr>
          <w:p w:rsidR="000E6A7E" w:rsidRPr="001961C9" w:rsidRDefault="000E6A7E" w:rsidP="00E760CA">
            <w:pPr>
              <w:spacing w:before="60" w:after="60"/>
              <w:rPr>
                <w:rFonts w:cs="Arial"/>
                <w:szCs w:val="20"/>
                <w:lang w:val="en-GB" w:eastAsia="de-DE"/>
              </w:rPr>
            </w:pPr>
            <w:r>
              <w:rPr>
                <w:rFonts w:cs="Arial"/>
                <w:szCs w:val="20"/>
                <w:lang w:val="en-GB" w:eastAsia="de-DE"/>
              </w:rPr>
              <w:t>5</w:t>
            </w:r>
            <w:r w:rsidRPr="00AB10CC">
              <w:rPr>
                <w:rFonts w:cs="Arial"/>
                <w:szCs w:val="20"/>
                <w:lang w:val="en-GB" w:eastAsia="de-DE"/>
              </w:rPr>
              <w:t xml:space="preserve">°≤ Ɵ ≤ </w:t>
            </w:r>
            <w:r>
              <w:rPr>
                <w:rFonts w:cs="Arial"/>
                <w:szCs w:val="20"/>
                <w:lang w:val="en-GB" w:eastAsia="de-DE"/>
              </w:rPr>
              <w:t>27</w:t>
            </w:r>
            <w:r w:rsidRPr="00AB10CC">
              <w:rPr>
                <w:rFonts w:cs="Arial"/>
                <w:szCs w:val="20"/>
                <w:lang w:val="en-GB" w:eastAsia="de-DE"/>
              </w:rPr>
              <w:t>°</w:t>
            </w:r>
          </w:p>
        </w:tc>
        <w:tc>
          <w:tcPr>
            <w:tcW w:w="2126" w:type="dxa"/>
            <w:tcBorders>
              <w:top w:val="single" w:sz="4" w:space="0" w:color="D2232A"/>
              <w:left w:val="single" w:sz="4" w:space="0" w:color="D2232A"/>
              <w:bottom w:val="single" w:sz="4" w:space="0" w:color="D2232A"/>
              <w:right w:val="single" w:sz="4" w:space="0" w:color="D2232A"/>
            </w:tcBorders>
          </w:tcPr>
          <w:p w:rsidR="000E6A7E" w:rsidRPr="001961C9" w:rsidRDefault="000E6A7E" w:rsidP="00E760CA">
            <w:pPr>
              <w:spacing w:before="60" w:after="60"/>
              <w:rPr>
                <w:rFonts w:cs="Arial"/>
                <w:szCs w:val="20"/>
                <w:lang w:val="en-GB" w:eastAsia="de-DE"/>
              </w:rPr>
            </w:pPr>
            <w:r w:rsidRPr="001961C9">
              <w:rPr>
                <w:rFonts w:cs="Arial"/>
                <w:szCs w:val="20"/>
                <w:lang w:val="en-GB"/>
              </w:rPr>
              <w:t>29.5-C to 27.0-C</w:t>
            </w:r>
          </w:p>
        </w:tc>
        <w:tc>
          <w:tcPr>
            <w:tcW w:w="4139" w:type="dxa"/>
            <w:tcBorders>
              <w:top w:val="single" w:sz="4" w:space="0" w:color="D2232A"/>
              <w:left w:val="single" w:sz="4" w:space="0" w:color="D2232A"/>
              <w:bottom w:val="single" w:sz="4" w:space="0" w:color="D2232A"/>
              <w:right w:val="single" w:sz="4" w:space="0" w:color="D2232A"/>
            </w:tcBorders>
          </w:tcPr>
          <w:p w:rsidR="000E6A7E" w:rsidRPr="001961C9" w:rsidRDefault="000E6A7E" w:rsidP="00E760CA">
            <w:pPr>
              <w:tabs>
                <w:tab w:val="left" w:pos="3230"/>
              </w:tabs>
              <w:spacing w:before="60" w:after="60"/>
              <w:rPr>
                <w:rFonts w:cs="Arial"/>
                <w:szCs w:val="20"/>
                <w:lang w:val="en-GB" w:eastAsia="de-DE"/>
              </w:rPr>
            </w:pPr>
            <w:r w:rsidRPr="001961C9">
              <w:rPr>
                <w:rFonts w:cs="Arial"/>
                <w:szCs w:val="20"/>
                <w:lang w:val="en-GB"/>
              </w:rPr>
              <w:t>Straight line interpolation</w:t>
            </w:r>
          </w:p>
        </w:tc>
      </w:tr>
      <w:tr w:rsidR="000E6A7E" w:rsidRPr="001961C9" w:rsidTr="00A11452">
        <w:trPr>
          <w:jc w:val="center"/>
        </w:trPr>
        <w:tc>
          <w:tcPr>
            <w:tcW w:w="2693" w:type="dxa"/>
            <w:tcBorders>
              <w:top w:val="single" w:sz="4" w:space="0" w:color="D2232A"/>
              <w:left w:val="single" w:sz="4" w:space="0" w:color="D2232A"/>
              <w:bottom w:val="single" w:sz="4" w:space="0" w:color="D2232A"/>
              <w:right w:val="single" w:sz="4" w:space="0" w:color="D2232A"/>
            </w:tcBorders>
          </w:tcPr>
          <w:p w:rsidR="000E6A7E" w:rsidRPr="001961C9" w:rsidRDefault="000E6A7E" w:rsidP="00E760CA">
            <w:pPr>
              <w:spacing w:before="60" w:after="60"/>
              <w:rPr>
                <w:rFonts w:cs="Arial"/>
                <w:szCs w:val="20"/>
                <w:lang w:val="en-GB" w:eastAsia="de-DE"/>
              </w:rPr>
            </w:pPr>
            <w:r>
              <w:rPr>
                <w:rFonts w:cs="Arial"/>
                <w:szCs w:val="20"/>
                <w:lang w:val="en-GB" w:eastAsia="de-DE"/>
              </w:rPr>
              <w:t>27</w:t>
            </w:r>
            <w:r w:rsidRPr="00AB10CC">
              <w:rPr>
                <w:rFonts w:cs="Arial"/>
                <w:szCs w:val="20"/>
                <w:lang w:val="en-GB" w:eastAsia="de-DE"/>
              </w:rPr>
              <w:t xml:space="preserve">°≤ Ɵ ≤ </w:t>
            </w:r>
            <w:r>
              <w:rPr>
                <w:rFonts w:cs="Arial"/>
                <w:szCs w:val="20"/>
                <w:lang w:val="en-GB" w:eastAsia="de-DE"/>
              </w:rPr>
              <w:t>28</w:t>
            </w:r>
            <w:r w:rsidRPr="00AB10CC">
              <w:rPr>
                <w:rFonts w:cs="Arial"/>
                <w:szCs w:val="20"/>
                <w:lang w:val="en-GB" w:eastAsia="de-DE"/>
              </w:rPr>
              <w:t>°</w:t>
            </w:r>
          </w:p>
        </w:tc>
        <w:tc>
          <w:tcPr>
            <w:tcW w:w="2126" w:type="dxa"/>
            <w:tcBorders>
              <w:top w:val="single" w:sz="4" w:space="0" w:color="D2232A"/>
              <w:left w:val="single" w:sz="4" w:space="0" w:color="D2232A"/>
              <w:bottom w:val="single" w:sz="4" w:space="0" w:color="D2232A"/>
              <w:right w:val="single" w:sz="4" w:space="0" w:color="D2232A"/>
            </w:tcBorders>
          </w:tcPr>
          <w:p w:rsidR="000E6A7E" w:rsidRPr="001961C9" w:rsidRDefault="000E6A7E" w:rsidP="00E760CA">
            <w:pPr>
              <w:spacing w:before="60" w:after="60"/>
              <w:rPr>
                <w:rFonts w:cs="Arial"/>
                <w:szCs w:val="20"/>
                <w:lang w:val="en-GB" w:eastAsia="de-DE"/>
              </w:rPr>
            </w:pPr>
            <w:r w:rsidRPr="001961C9">
              <w:rPr>
                <w:rFonts w:cs="Arial"/>
                <w:szCs w:val="20"/>
                <w:lang w:val="en-GB"/>
              </w:rPr>
              <w:t>27.0-C to 19.5-C</w:t>
            </w:r>
          </w:p>
        </w:tc>
        <w:tc>
          <w:tcPr>
            <w:tcW w:w="4139" w:type="dxa"/>
            <w:tcBorders>
              <w:top w:val="single" w:sz="4" w:space="0" w:color="D2232A"/>
              <w:left w:val="single" w:sz="4" w:space="0" w:color="D2232A"/>
              <w:bottom w:val="single" w:sz="4" w:space="0" w:color="D2232A"/>
              <w:right w:val="single" w:sz="4" w:space="0" w:color="D2232A"/>
            </w:tcBorders>
          </w:tcPr>
          <w:p w:rsidR="000E6A7E" w:rsidRPr="001961C9" w:rsidRDefault="000E6A7E" w:rsidP="00E760CA">
            <w:pPr>
              <w:spacing w:before="60" w:after="60"/>
              <w:rPr>
                <w:rFonts w:cs="Arial"/>
                <w:szCs w:val="20"/>
                <w:lang w:val="en-GB" w:eastAsia="de-DE"/>
              </w:rPr>
            </w:pPr>
            <w:r w:rsidRPr="001961C9">
              <w:rPr>
                <w:rFonts w:cs="Arial"/>
                <w:szCs w:val="20"/>
                <w:lang w:val="en-GB"/>
              </w:rPr>
              <w:t>Straight line interpolation</w:t>
            </w:r>
          </w:p>
        </w:tc>
      </w:tr>
      <w:tr w:rsidR="000E6A7E" w:rsidRPr="001961C9" w:rsidTr="00A11452">
        <w:trPr>
          <w:trHeight w:val="368"/>
          <w:jc w:val="center"/>
        </w:trPr>
        <w:tc>
          <w:tcPr>
            <w:tcW w:w="2693" w:type="dxa"/>
            <w:tcBorders>
              <w:top w:val="single" w:sz="4" w:space="0" w:color="D2232A"/>
              <w:left w:val="single" w:sz="4" w:space="0" w:color="D2232A"/>
              <w:right w:val="single" w:sz="4" w:space="0" w:color="D2232A"/>
            </w:tcBorders>
          </w:tcPr>
          <w:p w:rsidR="000E6A7E" w:rsidRPr="001961C9" w:rsidRDefault="000E6A7E" w:rsidP="00E760CA">
            <w:pPr>
              <w:spacing w:before="60" w:after="60"/>
              <w:rPr>
                <w:rFonts w:cs="Arial"/>
                <w:szCs w:val="20"/>
                <w:lang w:val="en-GB" w:eastAsia="de-DE"/>
              </w:rPr>
            </w:pPr>
            <w:r>
              <w:rPr>
                <w:rFonts w:cs="Arial"/>
                <w:szCs w:val="20"/>
                <w:lang w:val="en-GB" w:eastAsia="de-DE"/>
              </w:rPr>
              <w:t>28</w:t>
            </w:r>
            <w:r w:rsidRPr="00AB10CC">
              <w:rPr>
                <w:rFonts w:cs="Arial"/>
                <w:szCs w:val="20"/>
                <w:lang w:val="en-GB" w:eastAsia="de-DE"/>
              </w:rPr>
              <w:t xml:space="preserve">°≤ Ɵ ≤ </w:t>
            </w:r>
            <w:r>
              <w:rPr>
                <w:rFonts w:cs="Arial"/>
                <w:szCs w:val="20"/>
                <w:lang w:val="en-GB" w:eastAsia="de-DE"/>
              </w:rPr>
              <w:t>90</w:t>
            </w:r>
            <w:r w:rsidRPr="00AB10CC">
              <w:rPr>
                <w:rFonts w:cs="Arial"/>
                <w:szCs w:val="20"/>
                <w:lang w:val="en-GB" w:eastAsia="de-DE"/>
              </w:rPr>
              <w:t>°</w:t>
            </w:r>
          </w:p>
        </w:tc>
        <w:tc>
          <w:tcPr>
            <w:tcW w:w="2126" w:type="dxa"/>
            <w:tcBorders>
              <w:top w:val="single" w:sz="4" w:space="0" w:color="D2232A"/>
              <w:left w:val="single" w:sz="4" w:space="0" w:color="D2232A"/>
              <w:right w:val="single" w:sz="4" w:space="0" w:color="D2232A"/>
            </w:tcBorders>
          </w:tcPr>
          <w:p w:rsidR="000E6A7E" w:rsidRPr="001961C9" w:rsidRDefault="000E6A7E" w:rsidP="00E760CA">
            <w:pPr>
              <w:spacing w:before="60" w:after="60"/>
              <w:rPr>
                <w:rFonts w:cs="Arial"/>
                <w:szCs w:val="20"/>
                <w:lang w:val="en-GB" w:eastAsia="de-DE"/>
              </w:rPr>
            </w:pPr>
            <w:r w:rsidRPr="001961C9">
              <w:rPr>
                <w:rFonts w:cs="Arial"/>
                <w:szCs w:val="20"/>
                <w:lang w:val="en-GB"/>
              </w:rPr>
              <w:t>19.5-C to 13.0-C</w:t>
            </w:r>
          </w:p>
        </w:tc>
        <w:tc>
          <w:tcPr>
            <w:tcW w:w="4139" w:type="dxa"/>
            <w:tcBorders>
              <w:top w:val="single" w:sz="4" w:space="0" w:color="D2232A"/>
              <w:left w:val="single" w:sz="4" w:space="0" w:color="D2232A"/>
              <w:right w:val="single" w:sz="4" w:space="0" w:color="D2232A"/>
            </w:tcBorders>
          </w:tcPr>
          <w:p w:rsidR="000E6A7E" w:rsidRPr="001961C9" w:rsidRDefault="000E6A7E" w:rsidP="00E760CA">
            <w:pPr>
              <w:spacing w:before="60" w:after="60"/>
              <w:rPr>
                <w:rFonts w:cs="Arial"/>
                <w:szCs w:val="20"/>
                <w:lang w:val="en-GB" w:eastAsia="de-DE"/>
              </w:rPr>
            </w:pPr>
            <w:r w:rsidRPr="001961C9">
              <w:rPr>
                <w:rFonts w:cs="Arial"/>
                <w:szCs w:val="20"/>
                <w:lang w:val="en-GB"/>
              </w:rPr>
              <w:t>Straight line interpolation</w:t>
            </w:r>
          </w:p>
        </w:tc>
      </w:tr>
      <w:tr w:rsidR="000E6A7E" w:rsidRPr="001961C9" w:rsidTr="00A11452">
        <w:trPr>
          <w:jc w:val="center"/>
        </w:trPr>
        <w:tc>
          <w:tcPr>
            <w:tcW w:w="8958" w:type="dxa"/>
            <w:gridSpan w:val="3"/>
            <w:tcBorders>
              <w:left w:val="single" w:sz="4" w:space="0" w:color="D2232A"/>
              <w:bottom w:val="single" w:sz="4" w:space="0" w:color="D2232A"/>
              <w:right w:val="single" w:sz="4" w:space="0" w:color="D2232A"/>
            </w:tcBorders>
            <w:vAlign w:val="center"/>
          </w:tcPr>
          <w:p w:rsidR="000E6A7E" w:rsidRPr="001961C9" w:rsidRDefault="000E6A7E" w:rsidP="00E760CA">
            <w:pPr>
              <w:spacing w:before="60" w:after="60"/>
              <w:rPr>
                <w:rFonts w:cs="Arial"/>
                <w:szCs w:val="20"/>
                <w:lang w:val="en-GB"/>
              </w:rPr>
            </w:pPr>
            <w:r w:rsidRPr="00375E38">
              <w:rPr>
                <w:rFonts w:cs="Arial"/>
                <w:szCs w:val="20"/>
                <w:lang w:val="en-GB"/>
              </w:rPr>
              <w:t>C = 20*log(10 000/h)</w:t>
            </w:r>
            <w:r>
              <w:rPr>
                <w:rFonts w:cs="Arial"/>
                <w:szCs w:val="20"/>
                <w:lang w:val="en-GB"/>
              </w:rPr>
              <w:t xml:space="preserve"> with h is the </w:t>
            </w:r>
            <w:r w:rsidRPr="00375E38">
              <w:rPr>
                <w:rFonts w:cs="Arial"/>
                <w:szCs w:val="20"/>
                <w:lang w:val="en-GB"/>
              </w:rPr>
              <w:t>height above ground of the aircraft in metres</w:t>
            </w:r>
            <w:r>
              <w:rPr>
                <w:rFonts w:cs="Arial"/>
                <w:szCs w:val="20"/>
                <w:lang w:val="en-GB"/>
              </w:rPr>
              <w:t xml:space="preserve"> and </w:t>
            </w:r>
            <w:r w:rsidRPr="00375E38">
              <w:rPr>
                <w:rFonts w:cs="Arial"/>
                <w:szCs w:val="20"/>
                <w:lang w:val="en-GB"/>
              </w:rPr>
              <w:t xml:space="preserve">with h </w:t>
            </w:r>
            <w:r>
              <w:rPr>
                <w:rFonts w:cs="Arial"/>
                <w:szCs w:val="20"/>
                <w:lang w:val="en-GB"/>
              </w:rPr>
              <w:t>≥3 000</w:t>
            </w:r>
          </w:p>
        </w:tc>
      </w:tr>
    </w:tbl>
    <w:p w:rsidR="00E760CA" w:rsidRDefault="00E760CA" w:rsidP="00126E39">
      <w:pPr>
        <w:rPr>
          <w:rFonts w:cs="Arial"/>
          <w:szCs w:val="20"/>
        </w:rPr>
      </w:pPr>
    </w:p>
    <w:p w:rsidR="00E760CA" w:rsidRDefault="00E760CA">
      <w:pPr>
        <w:rPr>
          <w:rFonts w:cs="Arial"/>
          <w:szCs w:val="20"/>
        </w:rPr>
      </w:pPr>
      <w:r>
        <w:rPr>
          <w:rFonts w:cs="Arial"/>
          <w:szCs w:val="20"/>
        </w:rPr>
        <w:br w:type="page"/>
      </w:r>
    </w:p>
    <w:p w:rsidR="00BB0216" w:rsidRPr="000E6A7E" w:rsidRDefault="00BB0216" w:rsidP="00126E39">
      <w:pPr>
        <w:rPr>
          <w:rFonts w:cs="Arial"/>
          <w:szCs w:val="20"/>
        </w:rPr>
      </w:pPr>
    </w:p>
    <w:p w:rsidR="002F4CE2" w:rsidRPr="001961C9" w:rsidRDefault="00524E61" w:rsidP="00C00793">
      <w:pPr>
        <w:pStyle w:val="ECCTabletitle"/>
      </w:pPr>
      <w:r>
        <w:t>Further c</w:t>
      </w:r>
      <w:r w:rsidR="00A915BC" w:rsidRPr="001961C9">
        <w:t>o-existence requirements for GS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8703"/>
      </w:tblGrid>
      <w:tr w:rsidR="00A915BC" w:rsidRPr="00730229" w:rsidTr="00AB10CC">
        <w:trPr>
          <w:trHeight w:val="214"/>
          <w:tblHeader/>
          <w:jc w:val="center"/>
        </w:trPr>
        <w:tc>
          <w:tcPr>
            <w:tcW w:w="8703" w:type="dxa"/>
            <w:tcBorders>
              <w:top w:val="single" w:sz="4" w:space="0" w:color="D2232A"/>
              <w:left w:val="single" w:sz="4" w:space="0" w:color="D2232A"/>
              <w:bottom w:val="single" w:sz="4" w:space="0" w:color="D2232A"/>
              <w:right w:val="single" w:sz="8" w:space="0" w:color="FFFFFF"/>
            </w:tcBorders>
            <w:shd w:val="clear" w:color="auto" w:fill="D2232A"/>
            <w:hideMark/>
          </w:tcPr>
          <w:p w:rsidR="00A915BC" w:rsidRPr="00A915BC" w:rsidRDefault="00A915BC" w:rsidP="00E760CA">
            <w:pPr>
              <w:spacing w:before="60" w:after="60"/>
              <w:jc w:val="center"/>
              <w:rPr>
                <w:rFonts w:cs="Arial"/>
                <w:b/>
                <w:color w:val="FFFFFF" w:themeColor="background1"/>
                <w:szCs w:val="20"/>
                <w:lang w:val="en-GB" w:eastAsia="de-DE"/>
              </w:rPr>
            </w:pPr>
            <w:r w:rsidRPr="00A915BC">
              <w:rPr>
                <w:rFonts w:cs="Arial"/>
                <w:b/>
                <w:color w:val="FFFFFF" w:themeColor="background1"/>
                <w:szCs w:val="20"/>
                <w:lang w:val="en-GB"/>
              </w:rPr>
              <w:t>Ground Station (GS)</w:t>
            </w:r>
          </w:p>
        </w:tc>
      </w:tr>
      <w:tr w:rsidR="00A915BC" w:rsidRPr="001961C9" w:rsidTr="00AB10CC">
        <w:trPr>
          <w:jc w:val="center"/>
        </w:trPr>
        <w:tc>
          <w:tcPr>
            <w:tcW w:w="8703" w:type="dxa"/>
            <w:tcBorders>
              <w:top w:val="single" w:sz="4" w:space="0" w:color="D2232A"/>
              <w:left w:val="single" w:sz="4" w:space="0" w:color="D2232A"/>
              <w:bottom w:val="single" w:sz="4" w:space="0" w:color="D2232A"/>
              <w:right w:val="single" w:sz="4" w:space="0" w:color="D2232A"/>
            </w:tcBorders>
            <w:hideMark/>
          </w:tcPr>
          <w:p w:rsidR="00A915BC" w:rsidRPr="001961C9" w:rsidRDefault="00A915BC" w:rsidP="00E760CA">
            <w:pPr>
              <w:spacing w:before="60" w:after="60"/>
              <w:rPr>
                <w:rFonts w:cs="Arial"/>
                <w:szCs w:val="20"/>
                <w:lang w:val="en-GB" w:eastAsia="de-DE"/>
              </w:rPr>
            </w:pPr>
            <w:r w:rsidRPr="001961C9">
              <w:rPr>
                <w:rFonts w:cs="Arial"/>
                <w:szCs w:val="20"/>
                <w:lang w:val="en-GB"/>
              </w:rPr>
              <w:t>Coordination with BFWA stations</w:t>
            </w:r>
            <w:r w:rsidR="004261DC">
              <w:rPr>
                <w:rFonts w:cs="Arial"/>
                <w:szCs w:val="20"/>
                <w:lang w:val="en-GB"/>
              </w:rPr>
              <w:t xml:space="preserve"> when necessary</w:t>
            </w:r>
          </w:p>
        </w:tc>
      </w:tr>
      <w:tr w:rsidR="00A915BC" w:rsidRPr="001961C9" w:rsidTr="00AB10CC">
        <w:trPr>
          <w:jc w:val="center"/>
        </w:trPr>
        <w:tc>
          <w:tcPr>
            <w:tcW w:w="8703" w:type="dxa"/>
            <w:tcBorders>
              <w:top w:val="single" w:sz="4" w:space="0" w:color="D2232A"/>
              <w:left w:val="single" w:sz="4" w:space="0" w:color="D2232A"/>
              <w:bottom w:val="single" w:sz="4" w:space="0" w:color="D2232A"/>
              <w:right w:val="single" w:sz="4" w:space="0" w:color="D2232A"/>
            </w:tcBorders>
          </w:tcPr>
          <w:p w:rsidR="00A915BC" w:rsidRPr="001961C9" w:rsidRDefault="00A915BC" w:rsidP="00E760CA">
            <w:pPr>
              <w:spacing w:before="60" w:after="60"/>
              <w:rPr>
                <w:rFonts w:cs="Arial"/>
                <w:szCs w:val="20"/>
                <w:lang w:val="en-GB" w:eastAsia="de-DE"/>
              </w:rPr>
            </w:pPr>
            <w:r w:rsidRPr="001961C9">
              <w:rPr>
                <w:rFonts w:cs="Arial"/>
                <w:color w:val="000000" w:themeColor="text1"/>
                <w:szCs w:val="20"/>
                <w:lang w:val="en-GB"/>
              </w:rPr>
              <w:t>Co-existence</w:t>
            </w:r>
            <w:r w:rsidRPr="001961C9">
              <w:rPr>
                <w:rFonts w:cs="Arial"/>
                <w:szCs w:val="20"/>
                <w:lang w:val="en-GB"/>
              </w:rPr>
              <w:t xml:space="preserve"> with ITS fixed infrastructure units </w:t>
            </w:r>
          </w:p>
        </w:tc>
      </w:tr>
      <w:tr w:rsidR="00A915BC" w:rsidRPr="001961C9" w:rsidTr="00AB10CC">
        <w:trPr>
          <w:jc w:val="center"/>
        </w:trPr>
        <w:tc>
          <w:tcPr>
            <w:tcW w:w="8703" w:type="dxa"/>
            <w:tcBorders>
              <w:top w:val="single" w:sz="4" w:space="0" w:color="D2232A"/>
              <w:left w:val="single" w:sz="4" w:space="0" w:color="D2232A"/>
              <w:bottom w:val="single" w:sz="4" w:space="0" w:color="D2232A"/>
              <w:right w:val="single" w:sz="4" w:space="0" w:color="D2232A"/>
            </w:tcBorders>
          </w:tcPr>
          <w:p w:rsidR="00A915BC" w:rsidRPr="001961C9" w:rsidRDefault="00A915BC" w:rsidP="00E760CA">
            <w:pPr>
              <w:spacing w:before="60" w:after="60"/>
              <w:rPr>
                <w:rFonts w:cs="Arial"/>
                <w:color w:val="000000" w:themeColor="text1"/>
                <w:szCs w:val="20"/>
                <w:lang w:val="en-GB"/>
              </w:rPr>
            </w:pPr>
            <w:r w:rsidRPr="001961C9">
              <w:rPr>
                <w:rFonts w:cs="Arial"/>
                <w:color w:val="000000" w:themeColor="text1"/>
                <w:szCs w:val="20"/>
                <w:lang w:val="en-GB"/>
              </w:rPr>
              <w:t xml:space="preserve">Coordination with FSS </w:t>
            </w:r>
            <w:r w:rsidR="002645AF">
              <w:rPr>
                <w:rFonts w:cs="Arial"/>
                <w:color w:val="000000" w:themeColor="text1"/>
                <w:szCs w:val="20"/>
                <w:lang w:val="en-GB"/>
              </w:rPr>
              <w:t>earth stations</w:t>
            </w:r>
            <w:r w:rsidRPr="001961C9">
              <w:rPr>
                <w:rFonts w:cs="Arial"/>
                <w:color w:val="000000" w:themeColor="text1"/>
                <w:szCs w:val="20"/>
                <w:lang w:val="en-GB"/>
              </w:rPr>
              <w:t xml:space="preserve"> (for the protection </w:t>
            </w:r>
            <w:r w:rsidR="002645AF">
              <w:rPr>
                <w:rFonts w:cs="Arial"/>
                <w:color w:val="000000" w:themeColor="text1"/>
                <w:szCs w:val="20"/>
                <w:lang w:val="en-GB"/>
              </w:rPr>
              <w:t xml:space="preserve">of </w:t>
            </w:r>
            <w:r w:rsidRPr="001961C9">
              <w:rPr>
                <w:rFonts w:cs="Arial"/>
                <w:color w:val="000000" w:themeColor="text1"/>
                <w:szCs w:val="20"/>
                <w:lang w:val="en-GB"/>
              </w:rPr>
              <w:t>DA2GC GS)</w:t>
            </w:r>
          </w:p>
        </w:tc>
      </w:tr>
      <w:tr w:rsidR="002645AF" w:rsidRPr="001961C9" w:rsidTr="00AB10CC">
        <w:trPr>
          <w:trHeight w:val="470"/>
          <w:jc w:val="center"/>
        </w:trPr>
        <w:tc>
          <w:tcPr>
            <w:tcW w:w="8703" w:type="dxa"/>
            <w:tcBorders>
              <w:top w:val="single" w:sz="4" w:space="0" w:color="D2232A"/>
              <w:left w:val="single" w:sz="4" w:space="0" w:color="D2232A"/>
              <w:bottom w:val="single" w:sz="4" w:space="0" w:color="D2232A"/>
              <w:right w:val="single" w:sz="4" w:space="0" w:color="D2232A"/>
            </w:tcBorders>
          </w:tcPr>
          <w:p w:rsidR="002645AF" w:rsidRPr="001961C9" w:rsidRDefault="002645AF" w:rsidP="00E760CA">
            <w:pPr>
              <w:spacing w:before="60" w:after="60"/>
              <w:rPr>
                <w:rFonts w:cs="Arial"/>
                <w:color w:val="000000" w:themeColor="text1"/>
                <w:szCs w:val="20"/>
                <w:lang w:val="en-GB"/>
              </w:rPr>
            </w:pPr>
            <w:r w:rsidRPr="002645AF">
              <w:rPr>
                <w:rFonts w:cs="Arial"/>
                <w:color w:val="000000" w:themeColor="text1"/>
                <w:szCs w:val="20"/>
                <w:lang w:val="en-GB"/>
              </w:rPr>
              <w:t xml:space="preserve">See Annex </w:t>
            </w:r>
            <w:r w:rsidR="005D2CBD">
              <w:rPr>
                <w:rFonts w:cs="Arial"/>
                <w:color w:val="000000" w:themeColor="text1"/>
                <w:szCs w:val="20"/>
                <w:lang w:val="en-GB"/>
              </w:rPr>
              <w:t>2</w:t>
            </w:r>
            <w:r w:rsidRPr="002645AF">
              <w:rPr>
                <w:rFonts w:cs="Arial"/>
                <w:color w:val="000000" w:themeColor="text1"/>
                <w:szCs w:val="20"/>
                <w:lang w:val="en-GB"/>
              </w:rPr>
              <w:t xml:space="preserve"> with guidelines for CEPT administrations to ensure co-existence with other services</w:t>
            </w:r>
          </w:p>
        </w:tc>
      </w:tr>
    </w:tbl>
    <w:p w:rsidR="00E760CA" w:rsidRDefault="00E760CA" w:rsidP="00E760CA"/>
    <w:p w:rsidR="00A915BC" w:rsidRPr="001961C9" w:rsidRDefault="00524E61" w:rsidP="00C00793">
      <w:pPr>
        <w:pStyle w:val="ECCTabletitle"/>
      </w:pPr>
      <w:r>
        <w:rPr>
          <w:lang w:eastAsia="de-DE"/>
        </w:rPr>
        <w:t>Further c</w:t>
      </w:r>
      <w:r w:rsidR="00A915BC" w:rsidRPr="001961C9">
        <w:rPr>
          <w:lang w:eastAsia="de-DE"/>
        </w:rPr>
        <w:t>o-existence requirements for AS</w:t>
      </w:r>
    </w:p>
    <w:tbl>
      <w:tblPr>
        <w:tblW w:w="0" w:type="auto"/>
        <w:jc w:val="center"/>
        <w:tblInd w:w="159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6750"/>
      </w:tblGrid>
      <w:tr w:rsidR="00A915BC" w:rsidRPr="00A915BC" w:rsidTr="00792134">
        <w:trPr>
          <w:trHeight w:val="214"/>
          <w:tblHeader/>
          <w:jc w:val="center"/>
        </w:trPr>
        <w:tc>
          <w:tcPr>
            <w:tcW w:w="6750" w:type="dxa"/>
            <w:tcBorders>
              <w:top w:val="single" w:sz="4" w:space="0" w:color="D2232A"/>
              <w:left w:val="single" w:sz="4" w:space="0" w:color="D2232A"/>
              <w:bottom w:val="single" w:sz="4" w:space="0" w:color="D2232A"/>
              <w:right w:val="single" w:sz="8" w:space="0" w:color="FFFFFF"/>
            </w:tcBorders>
            <w:shd w:val="clear" w:color="auto" w:fill="D2232A"/>
            <w:hideMark/>
          </w:tcPr>
          <w:p w:rsidR="00A915BC" w:rsidRPr="00A915BC" w:rsidRDefault="00A915BC" w:rsidP="00E760CA">
            <w:pPr>
              <w:spacing w:before="60" w:after="60"/>
              <w:jc w:val="center"/>
              <w:rPr>
                <w:rFonts w:cs="Arial"/>
                <w:b/>
                <w:color w:val="FFFFFF" w:themeColor="background1"/>
                <w:szCs w:val="20"/>
                <w:lang w:val="en-GB" w:eastAsia="de-DE"/>
              </w:rPr>
            </w:pPr>
            <w:r>
              <w:rPr>
                <w:rFonts w:cs="Arial"/>
                <w:b/>
                <w:color w:val="FFFFFF" w:themeColor="background1"/>
                <w:szCs w:val="20"/>
                <w:lang w:val="en-GB"/>
              </w:rPr>
              <w:t>Aircraft Station (A</w:t>
            </w:r>
            <w:r w:rsidRPr="00A915BC">
              <w:rPr>
                <w:rFonts w:cs="Arial"/>
                <w:b/>
                <w:color w:val="FFFFFF" w:themeColor="background1"/>
                <w:szCs w:val="20"/>
                <w:lang w:val="en-GB"/>
              </w:rPr>
              <w:t>S)</w:t>
            </w:r>
          </w:p>
        </w:tc>
      </w:tr>
      <w:tr w:rsidR="00A915BC" w:rsidRPr="001961C9" w:rsidTr="00792134">
        <w:trPr>
          <w:jc w:val="center"/>
        </w:trPr>
        <w:tc>
          <w:tcPr>
            <w:tcW w:w="6750" w:type="dxa"/>
            <w:tcBorders>
              <w:top w:val="single" w:sz="4" w:space="0" w:color="D2232A"/>
              <w:left w:val="single" w:sz="4" w:space="0" w:color="D2232A"/>
              <w:bottom w:val="single" w:sz="4" w:space="0" w:color="D2232A"/>
              <w:right w:val="single" w:sz="4" w:space="0" w:color="D2232A"/>
            </w:tcBorders>
            <w:hideMark/>
          </w:tcPr>
          <w:p w:rsidR="00A915BC" w:rsidRPr="001961C9" w:rsidRDefault="00A915BC" w:rsidP="00E760CA">
            <w:pPr>
              <w:spacing w:before="60" w:after="60"/>
              <w:rPr>
                <w:rFonts w:cs="Arial"/>
                <w:szCs w:val="20"/>
                <w:lang w:val="en-GB" w:eastAsia="de-DE"/>
              </w:rPr>
            </w:pPr>
            <w:r w:rsidRPr="001961C9">
              <w:rPr>
                <w:rFonts w:cs="Arial"/>
                <w:szCs w:val="20"/>
                <w:lang w:val="en-GB"/>
              </w:rPr>
              <w:t>DAA</w:t>
            </w:r>
            <w:r w:rsidR="00B07987">
              <w:rPr>
                <w:rFonts w:cs="Arial"/>
                <w:szCs w:val="20"/>
                <w:lang w:val="en-GB"/>
              </w:rPr>
              <w:t xml:space="preserve"> (detect and avoid)</w:t>
            </w:r>
            <w:r w:rsidRPr="001961C9">
              <w:rPr>
                <w:rFonts w:cs="Arial"/>
                <w:szCs w:val="20"/>
                <w:lang w:val="en-GB"/>
              </w:rPr>
              <w:t xml:space="preserve"> mitigation measure is required to protect BFWA</w:t>
            </w:r>
          </w:p>
        </w:tc>
      </w:tr>
    </w:tbl>
    <w:p w:rsidR="002B56C6" w:rsidRPr="001961C9" w:rsidRDefault="002B56C6" w:rsidP="0035300A">
      <w:pPr>
        <w:rPr>
          <w:rFonts w:cs="Arial"/>
          <w:szCs w:val="20"/>
          <w:lang w:val="en-GB"/>
        </w:rPr>
      </w:pPr>
    </w:p>
    <w:p w:rsidR="000D375B" w:rsidRPr="001961C9" w:rsidRDefault="000D375B">
      <w:pPr>
        <w:rPr>
          <w:rFonts w:cs="Arial"/>
          <w:szCs w:val="20"/>
          <w:lang w:val="en-GB"/>
        </w:rPr>
      </w:pPr>
      <w:bookmarkStart w:id="3" w:name="_GoBack"/>
      <w:r w:rsidRPr="001961C9">
        <w:rPr>
          <w:rFonts w:cs="Arial"/>
          <w:szCs w:val="20"/>
          <w:lang w:val="en-GB"/>
        </w:rPr>
        <w:br w:type="page"/>
      </w:r>
    </w:p>
    <w:bookmarkEnd w:id="3"/>
    <w:p w:rsidR="00FB3488" w:rsidRPr="001961C9" w:rsidRDefault="005D2CBD" w:rsidP="00792134">
      <w:pPr>
        <w:pStyle w:val="ECCAnnex-heading1"/>
        <w:ind w:left="993" w:hanging="993"/>
      </w:pPr>
      <w:r>
        <w:lastRenderedPageBreak/>
        <w:t xml:space="preserve">Annex 2: </w:t>
      </w:r>
      <w:r w:rsidR="00735718" w:rsidRPr="001961C9">
        <w:t>GUIDELINES FOR CEPT ADMINISTRATIONS TO ENSURE CO-EXISTENCE WITH OTHER SERVICES THAN BROADBAND DA2GC</w:t>
      </w:r>
    </w:p>
    <w:p w:rsidR="00C00793" w:rsidRDefault="00C00793" w:rsidP="002645AF">
      <w:pPr>
        <w:suppressAutoHyphens/>
        <w:spacing w:after="240"/>
        <w:rPr>
          <w:rFonts w:eastAsia="MS Mincho" w:cs="Arial"/>
          <w:b/>
          <w:szCs w:val="20"/>
          <w:lang w:val="en-GB" w:eastAsia="ja-JP"/>
        </w:rPr>
      </w:pPr>
    </w:p>
    <w:p w:rsidR="00735718" w:rsidRPr="001961C9" w:rsidRDefault="006A6488" w:rsidP="002645AF">
      <w:pPr>
        <w:suppressAutoHyphens/>
        <w:spacing w:after="240"/>
        <w:rPr>
          <w:rFonts w:eastAsia="MS Mincho" w:cs="Arial"/>
          <w:b/>
          <w:szCs w:val="20"/>
          <w:lang w:val="en-GB" w:eastAsia="ja-JP"/>
        </w:rPr>
      </w:pPr>
      <w:r w:rsidRPr="001961C9">
        <w:rPr>
          <w:rFonts w:eastAsia="MS Mincho" w:cs="Arial"/>
          <w:b/>
          <w:szCs w:val="20"/>
          <w:lang w:val="en-GB" w:eastAsia="ja-JP"/>
        </w:rPr>
        <w:t>BACKGROUND</w:t>
      </w:r>
    </w:p>
    <w:p w:rsidR="00003A8C" w:rsidRPr="001961C9" w:rsidRDefault="000F5552" w:rsidP="00E760CA">
      <w:pPr>
        <w:pStyle w:val="ECCParagraph"/>
        <w:rPr>
          <w:rFonts w:eastAsia="MS Mincho"/>
          <w:lang w:eastAsia="ja-JP"/>
        </w:rPr>
      </w:pPr>
      <w:r w:rsidRPr="001961C9">
        <w:rPr>
          <w:rFonts w:eastAsia="MS Mincho"/>
          <w:lang w:eastAsia="ja-JP"/>
        </w:rPr>
        <w:t xml:space="preserve">Coordination is required for DA2GCS GS operating in the frequency band 5855-5875 MHz with BFWA stations, where locations are known. </w:t>
      </w:r>
      <w:r w:rsidR="00003A8C" w:rsidRPr="001961C9">
        <w:rPr>
          <w:rFonts w:eastAsia="MS Mincho"/>
          <w:lang w:eastAsia="ja-JP"/>
        </w:rPr>
        <w:t>Compatibility studies between BFWA CS (Central Station) and BDA2GC GS have been carried out (see ECC Report 210) and separation distances for all possible cases have been calculated. Compatibility is achieved using minimum separation distances of between a few hundred metres and a few kilometres.</w:t>
      </w:r>
    </w:p>
    <w:p w:rsidR="00003A8C" w:rsidRPr="001961C9" w:rsidRDefault="00003A8C" w:rsidP="00E760CA">
      <w:pPr>
        <w:pStyle w:val="ECCParagraph"/>
        <w:rPr>
          <w:rFonts w:eastAsia="MS Mincho"/>
          <w:lang w:eastAsia="ja-JP"/>
        </w:rPr>
      </w:pPr>
      <w:r w:rsidRPr="001961C9">
        <w:rPr>
          <w:rFonts w:eastAsia="MS Mincho"/>
          <w:lang w:eastAsia="ja-JP"/>
        </w:rPr>
        <w:t>For the protection of ITS, close proximity should be avoided to main roads. Compatibility is achieved using minimum separation distances of between a few hundred metres and a few kilometres when level ground is considered. Therefore the DA2GC GS antenna should be higher than roads in its vicinity to avoid the need for greater separation distances.</w:t>
      </w:r>
      <w:r w:rsidR="004744BC" w:rsidRPr="001961C9">
        <w:rPr>
          <w:rFonts w:eastAsia="MS Mincho"/>
          <w:lang w:eastAsia="ja-JP"/>
        </w:rPr>
        <w:t xml:space="preserve"> ITS fixed infrastructure units can always be identified since all ITS stations periodically broadcast their positioning information on the ITS control channel.</w:t>
      </w:r>
    </w:p>
    <w:p w:rsidR="00F951A1" w:rsidRPr="001961C9" w:rsidRDefault="00F951A1" w:rsidP="00E760CA">
      <w:pPr>
        <w:pStyle w:val="ECCParagraph"/>
        <w:rPr>
          <w:rFonts w:eastAsia="MS Mincho"/>
          <w:lang w:eastAsia="ja-JP"/>
        </w:rPr>
      </w:pPr>
      <w:r w:rsidRPr="001961C9">
        <w:rPr>
          <w:rFonts w:eastAsia="MS Mincho"/>
          <w:lang w:eastAsia="ja-JP"/>
        </w:rPr>
        <w:t xml:space="preserve">In some cases, </w:t>
      </w:r>
      <w:r w:rsidR="002A5642" w:rsidRPr="001961C9">
        <w:rPr>
          <w:rFonts w:eastAsia="MS Mincho"/>
          <w:lang w:eastAsia="ja-JP"/>
        </w:rPr>
        <w:t>national considerations concerning co</w:t>
      </w:r>
      <w:r w:rsidR="00735718" w:rsidRPr="001961C9">
        <w:rPr>
          <w:rFonts w:eastAsia="MS Mincho"/>
          <w:lang w:eastAsia="ja-JP"/>
        </w:rPr>
        <w:t>-</w:t>
      </w:r>
      <w:r w:rsidR="002A5642" w:rsidRPr="001961C9">
        <w:rPr>
          <w:rFonts w:eastAsia="MS Mincho"/>
          <w:lang w:eastAsia="ja-JP"/>
        </w:rPr>
        <w:t xml:space="preserve">existence of </w:t>
      </w:r>
      <w:r w:rsidR="00CE3C18" w:rsidRPr="001961C9">
        <w:rPr>
          <w:rFonts w:eastAsia="MS Mincho"/>
          <w:lang w:eastAsia="ja-JP"/>
        </w:rPr>
        <w:t>DA2</w:t>
      </w:r>
      <w:r w:rsidR="00CE3C18">
        <w:rPr>
          <w:rFonts w:eastAsia="MS Mincho"/>
          <w:lang w:eastAsia="ja-JP"/>
        </w:rPr>
        <w:t>GC</w:t>
      </w:r>
      <w:r w:rsidR="00CE3C18" w:rsidRPr="001961C9">
        <w:rPr>
          <w:rFonts w:eastAsia="MS Mincho"/>
          <w:lang w:eastAsia="ja-JP"/>
        </w:rPr>
        <w:t xml:space="preserve"> </w:t>
      </w:r>
      <w:r w:rsidR="002A5642" w:rsidRPr="001961C9">
        <w:rPr>
          <w:rFonts w:eastAsia="MS Mincho"/>
          <w:lang w:eastAsia="ja-JP"/>
        </w:rPr>
        <w:t xml:space="preserve">and </w:t>
      </w:r>
      <w:r w:rsidRPr="001961C9">
        <w:rPr>
          <w:rFonts w:eastAsia="MS Mincho"/>
          <w:lang w:eastAsia="ja-JP"/>
        </w:rPr>
        <w:t>radiolocation systems operating below 5850 MHz may be needed. With suitable mitigation measures, separation distances can be reduced to 0.03 – 3.5 km depending on the type of radar. The separation distances will increase in the event of the radar site being higher than the DA2GC GS (e.g. this could occur in mountainous areas).</w:t>
      </w:r>
    </w:p>
    <w:p w:rsidR="00C720FD" w:rsidRPr="001961C9" w:rsidRDefault="00C720FD" w:rsidP="00E760CA">
      <w:pPr>
        <w:pStyle w:val="ECCParagraph"/>
        <w:rPr>
          <w:lang w:eastAsia="en-IE"/>
        </w:rPr>
      </w:pPr>
      <w:r w:rsidRPr="001961C9">
        <w:rPr>
          <w:lang w:eastAsia="en-IE"/>
        </w:rPr>
        <w:t xml:space="preserve">Separation distances up to several tens of kilometres may be required between </w:t>
      </w:r>
      <w:r w:rsidR="00CE3C18" w:rsidRPr="001961C9">
        <w:rPr>
          <w:rFonts w:eastAsia="MS Mincho"/>
          <w:lang w:eastAsia="ja-JP"/>
        </w:rPr>
        <w:t>DA2</w:t>
      </w:r>
      <w:r w:rsidR="00CE3C18">
        <w:rPr>
          <w:rFonts w:eastAsia="MS Mincho"/>
          <w:lang w:eastAsia="ja-JP"/>
        </w:rPr>
        <w:t>GC</w:t>
      </w:r>
      <w:r w:rsidR="00CE3C18" w:rsidRPr="001961C9">
        <w:rPr>
          <w:rFonts w:eastAsia="MS Mincho"/>
          <w:lang w:eastAsia="ja-JP"/>
        </w:rPr>
        <w:t xml:space="preserve"> </w:t>
      </w:r>
      <w:r w:rsidRPr="001961C9">
        <w:rPr>
          <w:rFonts w:eastAsia="MS Mincho"/>
          <w:lang w:eastAsia="ja-JP"/>
        </w:rPr>
        <w:t xml:space="preserve">GS and </w:t>
      </w:r>
      <w:r w:rsidR="002645AF">
        <w:rPr>
          <w:rFonts w:eastAsia="MS Mincho"/>
          <w:lang w:eastAsia="ja-JP"/>
        </w:rPr>
        <w:t>fixed</w:t>
      </w:r>
      <w:r w:rsidR="00CE3C18">
        <w:rPr>
          <w:rFonts w:eastAsia="MS Mincho"/>
          <w:lang w:eastAsia="ja-JP"/>
        </w:rPr>
        <w:t>-</w:t>
      </w:r>
      <w:r w:rsidR="002645AF">
        <w:rPr>
          <w:rFonts w:eastAsia="MS Mincho"/>
          <w:lang w:eastAsia="ja-JP"/>
        </w:rPr>
        <w:t xml:space="preserve">satellite service </w:t>
      </w:r>
      <w:r w:rsidR="00AF7AA0" w:rsidRPr="001961C9">
        <w:rPr>
          <w:rFonts w:eastAsia="MS Mincho"/>
          <w:lang w:eastAsia="ja-JP"/>
        </w:rPr>
        <w:t>earth station</w:t>
      </w:r>
      <w:r w:rsidR="002645AF">
        <w:rPr>
          <w:rFonts w:eastAsia="MS Mincho"/>
          <w:lang w:eastAsia="ja-JP"/>
        </w:rPr>
        <w:t xml:space="preserve"> uplinks</w:t>
      </w:r>
      <w:r w:rsidRPr="001961C9">
        <w:rPr>
          <w:lang w:eastAsia="en-IE"/>
        </w:rPr>
        <w:t>, depending on terrain, ability of DA2GC GS receiver to cancel interference or adopt other mitigation such as site shielding.</w:t>
      </w:r>
    </w:p>
    <w:p w:rsidR="006A6488" w:rsidRDefault="006A6488" w:rsidP="006A6488">
      <w:pPr>
        <w:suppressAutoHyphens/>
        <w:spacing w:after="240"/>
        <w:jc w:val="center"/>
        <w:rPr>
          <w:rFonts w:eastAsia="MS Mincho" w:cs="Arial"/>
          <w:b/>
          <w:szCs w:val="20"/>
          <w:lang w:val="en-GB" w:eastAsia="ja-JP"/>
        </w:rPr>
      </w:pPr>
    </w:p>
    <w:p w:rsidR="00F951A1" w:rsidRPr="001961C9" w:rsidRDefault="006A6488" w:rsidP="002645AF">
      <w:pPr>
        <w:suppressAutoHyphens/>
        <w:spacing w:after="240"/>
        <w:rPr>
          <w:rFonts w:eastAsia="MS Mincho" w:cs="Arial"/>
          <w:b/>
          <w:szCs w:val="20"/>
          <w:lang w:val="en-GB" w:eastAsia="ja-JP"/>
        </w:rPr>
      </w:pPr>
      <w:r w:rsidRPr="001961C9">
        <w:rPr>
          <w:rFonts w:eastAsia="MS Mincho" w:cs="Arial"/>
          <w:b/>
          <w:szCs w:val="20"/>
          <w:lang w:val="en-GB" w:eastAsia="ja-JP"/>
        </w:rPr>
        <w:t>GUIDELINES</w:t>
      </w:r>
    </w:p>
    <w:p w:rsidR="00F951A1" w:rsidRPr="001961C9" w:rsidRDefault="00F951A1" w:rsidP="00E760CA">
      <w:pPr>
        <w:pStyle w:val="ECCParagraph"/>
        <w:rPr>
          <w:rFonts w:eastAsia="MS Mincho"/>
          <w:lang w:eastAsia="ja-JP"/>
        </w:rPr>
      </w:pPr>
      <w:r w:rsidRPr="001961C9">
        <w:rPr>
          <w:rFonts w:eastAsia="MS Mincho"/>
          <w:lang w:eastAsia="ja-JP"/>
        </w:rPr>
        <w:t xml:space="preserve">Coordination with services in adjacent bands - either within a country or between neighbouring countries should be carried out. </w:t>
      </w:r>
    </w:p>
    <w:p w:rsidR="00F951A1" w:rsidRPr="001961C9" w:rsidRDefault="00F951A1" w:rsidP="00E760CA">
      <w:pPr>
        <w:pStyle w:val="ECCParagraph"/>
        <w:rPr>
          <w:rFonts w:eastAsia="MS Mincho"/>
          <w:lang w:eastAsia="ja-JP"/>
        </w:rPr>
      </w:pPr>
      <w:r w:rsidRPr="001961C9">
        <w:rPr>
          <w:rFonts w:eastAsia="MS Mincho"/>
          <w:lang w:eastAsia="ja-JP"/>
        </w:rPr>
        <w:t>These guidelines primarily relate to co-ordination within national boundaries. For the situation where stations are within the territories of different administrations, the use of these guidelines within bilateral agreements may help to expedite cross border co-ordination.</w:t>
      </w:r>
    </w:p>
    <w:p w:rsidR="000F5552" w:rsidRPr="001961C9" w:rsidRDefault="00F951A1" w:rsidP="00E760CA">
      <w:pPr>
        <w:pStyle w:val="ECCParagraph"/>
        <w:rPr>
          <w:rFonts w:eastAsia="MS Mincho"/>
          <w:lang w:eastAsia="ja-JP"/>
        </w:rPr>
      </w:pPr>
      <w:r w:rsidRPr="001961C9">
        <w:rPr>
          <w:rFonts w:eastAsia="MS Mincho"/>
          <w:lang w:eastAsia="ja-JP"/>
        </w:rPr>
        <w:t>In deploying new stations, administrations and operators should be cognisant of the need to minimise constraints on other services and this should be ensured by the coordination process.</w:t>
      </w:r>
      <w:r w:rsidR="00735718" w:rsidRPr="001961C9">
        <w:rPr>
          <w:rFonts w:eastAsia="MS Mincho"/>
          <w:lang w:eastAsia="ja-JP"/>
        </w:rPr>
        <w:t xml:space="preserve"> </w:t>
      </w:r>
      <w:r w:rsidR="000F5552" w:rsidRPr="001961C9">
        <w:rPr>
          <w:rFonts w:eastAsia="MS Mincho"/>
          <w:lang w:eastAsia="ja-JP"/>
        </w:rPr>
        <w:t xml:space="preserve">This </w:t>
      </w:r>
      <w:r w:rsidR="004744BC" w:rsidRPr="001961C9">
        <w:rPr>
          <w:rFonts w:eastAsia="MS Mincho"/>
          <w:lang w:eastAsia="ja-JP"/>
        </w:rPr>
        <w:t xml:space="preserve">information </w:t>
      </w:r>
      <w:r w:rsidR="000F5552" w:rsidRPr="001961C9">
        <w:rPr>
          <w:rFonts w:eastAsia="MS Mincho"/>
          <w:lang w:eastAsia="ja-JP"/>
        </w:rPr>
        <w:t>would also support that a pan-European Broadband DA2GC service would not be subject to operational restrictions at border areas in the future.</w:t>
      </w:r>
    </w:p>
    <w:p w:rsidR="006A6488" w:rsidRPr="001961C9" w:rsidRDefault="004744BC" w:rsidP="00E760CA">
      <w:pPr>
        <w:pStyle w:val="ECCParagraph"/>
        <w:rPr>
          <w:rFonts w:eastAsia="MS Mincho"/>
          <w:lang w:eastAsia="ja-JP"/>
        </w:rPr>
      </w:pPr>
      <w:r w:rsidRPr="001961C9">
        <w:rPr>
          <w:rFonts w:eastAsia="MS Mincho"/>
          <w:lang w:eastAsia="ja-JP"/>
        </w:rPr>
        <w:t>T</w:t>
      </w:r>
      <w:r w:rsidR="000F5552" w:rsidRPr="001961C9">
        <w:rPr>
          <w:rFonts w:eastAsia="MS Mincho"/>
          <w:lang w:eastAsia="ja-JP"/>
        </w:rPr>
        <w:t xml:space="preserve">he information available at the Office about the DA2GC GS </w:t>
      </w:r>
      <w:r w:rsidR="001939A0" w:rsidRPr="001961C9">
        <w:rPr>
          <w:rFonts w:eastAsia="MS Mincho"/>
          <w:lang w:eastAsia="ja-JP"/>
        </w:rPr>
        <w:t xml:space="preserve">locations </w:t>
      </w:r>
      <w:r w:rsidR="000F5552" w:rsidRPr="001961C9">
        <w:rPr>
          <w:rFonts w:eastAsia="MS Mincho"/>
          <w:lang w:eastAsia="ja-JP"/>
        </w:rPr>
        <w:t xml:space="preserve">can be used </w:t>
      </w:r>
      <w:r w:rsidR="001939A0" w:rsidRPr="001961C9">
        <w:rPr>
          <w:rFonts w:eastAsia="MS Mincho"/>
          <w:lang w:eastAsia="ja-JP"/>
        </w:rPr>
        <w:t xml:space="preserve">to decide whether coordination actions </w:t>
      </w:r>
      <w:r w:rsidR="00215A71" w:rsidRPr="001961C9">
        <w:rPr>
          <w:rFonts w:eastAsia="MS Mincho"/>
          <w:lang w:eastAsia="ja-JP"/>
        </w:rPr>
        <w:t>should be triggered</w:t>
      </w:r>
      <w:r w:rsidR="000F5552" w:rsidRPr="001961C9">
        <w:rPr>
          <w:rFonts w:eastAsia="MS Mincho"/>
          <w:lang w:eastAsia="ja-JP"/>
        </w:rPr>
        <w:t>.</w:t>
      </w:r>
    </w:p>
    <w:p w:rsidR="00E760CA" w:rsidRDefault="00E760CA">
      <w:pPr>
        <w:rPr>
          <w:rFonts w:eastAsia="MS Mincho" w:cs="Arial"/>
          <w:b/>
          <w:szCs w:val="20"/>
          <w:lang w:val="en-GB" w:eastAsia="ja-JP"/>
        </w:rPr>
      </w:pPr>
      <w:r>
        <w:rPr>
          <w:rFonts w:eastAsia="MS Mincho" w:cs="Arial"/>
          <w:b/>
          <w:szCs w:val="20"/>
          <w:lang w:val="en-GB" w:eastAsia="ja-JP"/>
        </w:rPr>
        <w:br w:type="page"/>
      </w:r>
    </w:p>
    <w:p w:rsidR="000F5552" w:rsidRPr="006A6488" w:rsidRDefault="006A6488" w:rsidP="002645AF">
      <w:pPr>
        <w:suppressAutoHyphens/>
        <w:spacing w:after="240"/>
        <w:rPr>
          <w:rFonts w:eastAsia="MS Mincho" w:cs="Arial"/>
          <w:b/>
          <w:szCs w:val="20"/>
          <w:lang w:val="en-GB" w:eastAsia="ja-JP"/>
        </w:rPr>
      </w:pPr>
      <w:r>
        <w:rPr>
          <w:rFonts w:eastAsia="MS Mincho" w:cs="Arial"/>
          <w:b/>
          <w:szCs w:val="20"/>
          <w:lang w:val="en-GB" w:eastAsia="ja-JP"/>
        </w:rPr>
        <w:lastRenderedPageBreak/>
        <w:t>COORDINATION PRINCIPLES</w:t>
      </w:r>
    </w:p>
    <w:p w:rsidR="000F5552" w:rsidRPr="001961C9" w:rsidRDefault="000F5552" w:rsidP="00E760CA">
      <w:pPr>
        <w:pStyle w:val="ECCParagraph"/>
        <w:rPr>
          <w:rFonts w:eastAsia="MS Mincho"/>
          <w:lang w:eastAsia="ja-JP"/>
        </w:rPr>
      </w:pPr>
      <w:r w:rsidRPr="001961C9">
        <w:rPr>
          <w:rFonts w:eastAsia="MS Mincho"/>
          <w:lang w:eastAsia="ja-JP"/>
        </w:rPr>
        <w:t xml:space="preserve">Coordination between </w:t>
      </w:r>
      <w:r w:rsidR="004744BC" w:rsidRPr="001961C9">
        <w:rPr>
          <w:rFonts w:eastAsia="MS Mincho"/>
          <w:lang w:eastAsia="ja-JP"/>
        </w:rPr>
        <w:t>BFWA</w:t>
      </w:r>
      <w:r w:rsidR="00215A71" w:rsidRPr="001961C9">
        <w:rPr>
          <w:rFonts w:eastAsia="MS Mincho"/>
          <w:lang w:eastAsia="ja-JP"/>
        </w:rPr>
        <w:t xml:space="preserve"> central stations</w:t>
      </w:r>
      <w:r w:rsidR="00584D25" w:rsidRPr="001961C9">
        <w:rPr>
          <w:rFonts w:eastAsia="MS Mincho"/>
          <w:lang w:eastAsia="ja-JP"/>
        </w:rPr>
        <w:t xml:space="preserve"> and</w:t>
      </w:r>
      <w:r w:rsidR="00215A71" w:rsidRPr="001961C9">
        <w:rPr>
          <w:rFonts w:eastAsia="MS Mincho"/>
          <w:lang w:eastAsia="ja-JP"/>
        </w:rPr>
        <w:t xml:space="preserve"> </w:t>
      </w:r>
      <w:r w:rsidR="00584D25" w:rsidRPr="001961C9">
        <w:rPr>
          <w:rFonts w:eastAsia="MS Mincho"/>
          <w:lang w:eastAsia="ja-JP"/>
        </w:rPr>
        <w:t xml:space="preserve">FSS </w:t>
      </w:r>
      <w:r w:rsidR="00735718" w:rsidRPr="001961C9">
        <w:rPr>
          <w:rFonts w:eastAsia="MS Mincho"/>
          <w:lang w:eastAsia="ja-JP"/>
        </w:rPr>
        <w:t>earth stations</w:t>
      </w:r>
      <w:r w:rsidR="00584D25" w:rsidRPr="001961C9">
        <w:rPr>
          <w:rFonts w:eastAsia="MS Mincho"/>
          <w:lang w:eastAsia="ja-JP"/>
        </w:rPr>
        <w:t xml:space="preserve"> </w:t>
      </w:r>
      <w:r w:rsidR="00735718" w:rsidRPr="001961C9">
        <w:rPr>
          <w:rFonts w:eastAsia="MS Mincho"/>
          <w:lang w:eastAsia="ja-JP"/>
        </w:rPr>
        <w:t>w</w:t>
      </w:r>
      <w:r w:rsidR="004744BC" w:rsidRPr="001961C9">
        <w:rPr>
          <w:rFonts w:eastAsia="MS Mincho"/>
          <w:lang w:eastAsia="ja-JP"/>
        </w:rPr>
        <w:t xml:space="preserve">ith </w:t>
      </w:r>
      <w:r w:rsidRPr="001961C9">
        <w:rPr>
          <w:rFonts w:eastAsia="MS Mincho"/>
          <w:lang w:eastAsia="ja-JP"/>
        </w:rPr>
        <w:t xml:space="preserve">DA2GCS </w:t>
      </w:r>
      <w:r w:rsidR="004744BC" w:rsidRPr="001961C9">
        <w:rPr>
          <w:rFonts w:eastAsia="MS Mincho"/>
          <w:lang w:eastAsia="ja-JP"/>
        </w:rPr>
        <w:t xml:space="preserve">GS </w:t>
      </w:r>
      <w:r w:rsidRPr="001961C9">
        <w:rPr>
          <w:rFonts w:eastAsia="MS Mincho"/>
          <w:lang w:eastAsia="ja-JP"/>
        </w:rPr>
        <w:t xml:space="preserve">should be carried out on a case-by-case basis, since no single separation distance, guard band or signal strength limit can be provided. </w:t>
      </w:r>
      <w:r w:rsidR="00DF0115" w:rsidRPr="001961C9">
        <w:rPr>
          <w:rFonts w:eastAsia="MS Mincho"/>
          <w:lang w:eastAsia="ja-JP"/>
        </w:rPr>
        <w:t>The ITU-R P.452 model should be used for more detailed coordination purposes.</w:t>
      </w:r>
    </w:p>
    <w:p w:rsidR="000F5552" w:rsidRPr="001961C9" w:rsidRDefault="000F5552" w:rsidP="00E760CA">
      <w:pPr>
        <w:pStyle w:val="ECCParagraph"/>
        <w:rPr>
          <w:rFonts w:eastAsia="MS Mincho"/>
          <w:lang w:eastAsia="ja-JP"/>
        </w:rPr>
      </w:pPr>
      <w:r w:rsidRPr="001961C9">
        <w:rPr>
          <w:rFonts w:eastAsia="MS Mincho"/>
          <w:lang w:eastAsia="ja-JP"/>
        </w:rPr>
        <w:t xml:space="preserve">The following key principles related to the coordination should be considered at national level or between neighbouring countries in order to ensure </w:t>
      </w:r>
      <w:r w:rsidR="00F951A1" w:rsidRPr="001961C9">
        <w:rPr>
          <w:rFonts w:eastAsia="MS Mincho"/>
          <w:lang w:eastAsia="ja-JP"/>
        </w:rPr>
        <w:t>co</w:t>
      </w:r>
      <w:r w:rsidR="00735718" w:rsidRPr="001961C9">
        <w:rPr>
          <w:rFonts w:eastAsia="MS Mincho"/>
          <w:lang w:eastAsia="ja-JP"/>
        </w:rPr>
        <w:t>-</w:t>
      </w:r>
      <w:r w:rsidR="00F951A1" w:rsidRPr="001961C9">
        <w:rPr>
          <w:rFonts w:eastAsia="MS Mincho"/>
          <w:lang w:eastAsia="ja-JP"/>
        </w:rPr>
        <w:t xml:space="preserve">existence </w:t>
      </w:r>
      <w:r w:rsidRPr="001961C9">
        <w:rPr>
          <w:rFonts w:eastAsia="MS Mincho"/>
          <w:lang w:eastAsia="ja-JP"/>
        </w:rPr>
        <w:t xml:space="preserve">between these systems: </w:t>
      </w:r>
    </w:p>
    <w:p w:rsidR="00F951A1" w:rsidRPr="001961C9" w:rsidRDefault="00DC3048" w:rsidP="00F951A1">
      <w:pPr>
        <w:numPr>
          <w:ilvl w:val="0"/>
          <w:numId w:val="31"/>
        </w:numPr>
        <w:suppressAutoHyphens/>
        <w:spacing w:after="120" w:line="276" w:lineRule="auto"/>
        <w:jc w:val="both"/>
        <w:rPr>
          <w:rFonts w:eastAsia="MS Mincho" w:cs="Arial"/>
          <w:szCs w:val="20"/>
          <w:lang w:val="en-GB" w:eastAsia="ja-JP"/>
        </w:rPr>
      </w:pPr>
      <w:r>
        <w:rPr>
          <w:rFonts w:eastAsia="MS Mincho" w:cs="Arial"/>
          <w:szCs w:val="20"/>
          <w:lang w:val="en-GB" w:eastAsia="ja-JP"/>
        </w:rPr>
        <w:t>C</w:t>
      </w:r>
      <w:r w:rsidR="00F951A1" w:rsidRPr="001961C9">
        <w:rPr>
          <w:rFonts w:eastAsia="MS Mincho" w:cs="Arial"/>
          <w:szCs w:val="20"/>
          <w:lang w:val="en-GB" w:eastAsia="ja-JP"/>
        </w:rPr>
        <w:t xml:space="preserve">oordination is primarily </w:t>
      </w:r>
      <w:r>
        <w:rPr>
          <w:rFonts w:eastAsia="MS Mincho" w:cs="Arial"/>
          <w:szCs w:val="20"/>
          <w:lang w:val="en-GB" w:eastAsia="ja-JP"/>
        </w:rPr>
        <w:t xml:space="preserve">about </w:t>
      </w:r>
      <w:r w:rsidR="00F951A1" w:rsidRPr="001961C9">
        <w:rPr>
          <w:rFonts w:eastAsia="MS Mincho" w:cs="Arial"/>
          <w:szCs w:val="20"/>
          <w:lang w:val="en-GB" w:eastAsia="ja-JP"/>
        </w:rPr>
        <w:t>national implementation, local propagation conditions and national licensed use</w:t>
      </w:r>
      <w:r>
        <w:rPr>
          <w:rFonts w:eastAsia="MS Mincho" w:cs="Arial"/>
          <w:szCs w:val="20"/>
          <w:lang w:val="en-GB" w:eastAsia="ja-JP"/>
        </w:rPr>
        <w:t xml:space="preserve">, which </w:t>
      </w:r>
      <w:r w:rsidR="00F951A1" w:rsidRPr="001961C9">
        <w:rPr>
          <w:rFonts w:eastAsia="MS Mincho" w:cs="Arial"/>
          <w:szCs w:val="20"/>
          <w:lang w:val="en-GB" w:eastAsia="ja-JP"/>
        </w:rPr>
        <w:t>is best dealt with by national administrations;</w:t>
      </w:r>
    </w:p>
    <w:p w:rsidR="00F951A1" w:rsidRPr="006544EF" w:rsidRDefault="00F951A1" w:rsidP="00F951A1">
      <w:pPr>
        <w:pStyle w:val="ListParagraph"/>
        <w:numPr>
          <w:ilvl w:val="0"/>
          <w:numId w:val="31"/>
        </w:numPr>
        <w:suppressAutoHyphens/>
        <w:spacing w:after="240"/>
        <w:jc w:val="both"/>
        <w:rPr>
          <w:rFonts w:eastAsia="MS Mincho" w:cs="Arial"/>
          <w:szCs w:val="20"/>
          <w:lang w:val="en-GB" w:eastAsia="ja-JP"/>
        </w:rPr>
      </w:pPr>
      <w:r w:rsidRPr="006544EF">
        <w:rPr>
          <w:rFonts w:eastAsia="MS Mincho" w:cs="Arial"/>
          <w:szCs w:val="20"/>
          <w:lang w:val="en-GB" w:eastAsia="ja-JP"/>
        </w:rPr>
        <w:t>The principle should be that the operator who introduces changes to his network has to</w:t>
      </w:r>
      <w:r w:rsidR="00735718" w:rsidRPr="006544EF">
        <w:rPr>
          <w:rFonts w:eastAsia="MS Mincho" w:cs="Arial"/>
          <w:szCs w:val="20"/>
          <w:lang w:val="en-GB" w:eastAsia="ja-JP"/>
        </w:rPr>
        <w:t xml:space="preserve"> trigger a coordination process</w:t>
      </w:r>
      <w:r w:rsidR="006544EF">
        <w:rPr>
          <w:rFonts w:eastAsia="MS Mincho" w:cs="Arial"/>
          <w:szCs w:val="20"/>
          <w:lang w:val="en-GB" w:eastAsia="ja-JP"/>
        </w:rPr>
        <w:t xml:space="preserve"> </w:t>
      </w:r>
      <w:r w:rsidR="006544EF" w:rsidRPr="006544EF">
        <w:rPr>
          <w:rFonts w:eastAsia="MS Mincho" w:cs="Arial"/>
          <w:szCs w:val="20"/>
          <w:lang w:val="en-GB" w:eastAsia="ja-JP"/>
        </w:rPr>
        <w:t>(e.g. addition of new BFWA central station or FSS earth station)</w:t>
      </w:r>
      <w:r w:rsidR="00735718" w:rsidRPr="006544EF">
        <w:rPr>
          <w:rFonts w:eastAsia="MS Mincho" w:cs="Arial"/>
          <w:szCs w:val="20"/>
          <w:lang w:val="en-GB" w:eastAsia="ja-JP"/>
        </w:rPr>
        <w:t>;</w:t>
      </w:r>
      <w:r w:rsidRPr="006544EF">
        <w:rPr>
          <w:rFonts w:eastAsia="MS Mincho" w:cs="Arial"/>
          <w:szCs w:val="20"/>
          <w:lang w:val="en-GB" w:eastAsia="ja-JP"/>
        </w:rPr>
        <w:t xml:space="preserve">  </w:t>
      </w:r>
    </w:p>
    <w:p w:rsidR="000F5552" w:rsidRPr="001961C9" w:rsidRDefault="000F5552" w:rsidP="000F5552">
      <w:pPr>
        <w:numPr>
          <w:ilvl w:val="0"/>
          <w:numId w:val="31"/>
        </w:numPr>
        <w:suppressAutoHyphens/>
        <w:spacing w:after="120" w:line="276" w:lineRule="auto"/>
        <w:jc w:val="both"/>
        <w:rPr>
          <w:rFonts w:eastAsia="MS Mincho" w:cs="Arial"/>
          <w:szCs w:val="20"/>
          <w:lang w:val="en-GB" w:eastAsia="ja-JP"/>
        </w:rPr>
      </w:pPr>
      <w:r w:rsidRPr="001961C9">
        <w:rPr>
          <w:rFonts w:eastAsia="MS Mincho" w:cs="Arial"/>
          <w:szCs w:val="20"/>
          <w:lang w:val="en-GB" w:eastAsia="ja-JP"/>
        </w:rPr>
        <w:t>The implementation of these guidelines is at the discretion of the national administrations to the extent this may help them;</w:t>
      </w:r>
    </w:p>
    <w:p w:rsidR="000F5552" w:rsidRPr="001961C9" w:rsidRDefault="000F5552" w:rsidP="000F5552">
      <w:pPr>
        <w:numPr>
          <w:ilvl w:val="0"/>
          <w:numId w:val="31"/>
        </w:numPr>
        <w:suppressAutoHyphens/>
        <w:spacing w:after="120" w:line="276" w:lineRule="auto"/>
        <w:jc w:val="both"/>
        <w:rPr>
          <w:rFonts w:eastAsia="MS Mincho" w:cs="Arial"/>
          <w:szCs w:val="20"/>
          <w:lang w:val="en-GB" w:eastAsia="ja-JP"/>
        </w:rPr>
      </w:pPr>
      <w:r w:rsidRPr="001961C9">
        <w:rPr>
          <w:rFonts w:eastAsia="MS Mincho" w:cs="Arial"/>
          <w:szCs w:val="20"/>
          <w:lang w:val="en-GB" w:eastAsia="ja-JP"/>
        </w:rPr>
        <w:t>Coordination processes and associated protection should only apply to registered/licensed spectrum users;</w:t>
      </w:r>
    </w:p>
    <w:p w:rsidR="000F5552" w:rsidRPr="001961C9" w:rsidRDefault="000F5552" w:rsidP="000F5552">
      <w:pPr>
        <w:numPr>
          <w:ilvl w:val="0"/>
          <w:numId w:val="31"/>
        </w:numPr>
        <w:suppressAutoHyphens/>
        <w:spacing w:after="120" w:line="276" w:lineRule="auto"/>
        <w:jc w:val="both"/>
        <w:rPr>
          <w:rFonts w:eastAsia="MS Mincho" w:cs="Arial"/>
          <w:szCs w:val="20"/>
          <w:lang w:val="en-GB" w:eastAsia="ja-JP"/>
        </w:rPr>
      </w:pPr>
      <w:r w:rsidRPr="001961C9">
        <w:rPr>
          <w:rFonts w:eastAsia="MS Mincho" w:cs="Arial"/>
          <w:szCs w:val="20"/>
          <w:lang w:val="en-GB" w:eastAsia="ja-JP"/>
        </w:rPr>
        <w:t>The coordination process</w:t>
      </w:r>
      <w:r w:rsidR="00F951A1" w:rsidRPr="001961C9">
        <w:rPr>
          <w:rFonts w:eastAsia="MS Mincho" w:cs="Arial"/>
          <w:szCs w:val="20"/>
          <w:lang w:val="en-GB" w:eastAsia="ja-JP"/>
        </w:rPr>
        <w:t xml:space="preserve"> should </w:t>
      </w:r>
      <w:r w:rsidRPr="001961C9">
        <w:rPr>
          <w:rFonts w:eastAsia="MS Mincho" w:cs="Arial"/>
          <w:szCs w:val="20"/>
          <w:lang w:val="en-GB" w:eastAsia="ja-JP"/>
        </w:rPr>
        <w:t>be both accurate and fast to enable all operators to efficiently plan spectrum util</w:t>
      </w:r>
      <w:r w:rsidR="00735718" w:rsidRPr="001961C9">
        <w:rPr>
          <w:rFonts w:eastAsia="MS Mincho" w:cs="Arial"/>
          <w:szCs w:val="20"/>
          <w:lang w:val="en-GB" w:eastAsia="ja-JP"/>
        </w:rPr>
        <w:t>isation and network deployments.</w:t>
      </w:r>
    </w:p>
    <w:p w:rsidR="00FB3488" w:rsidRPr="001961C9" w:rsidRDefault="00FB3488" w:rsidP="0035300A">
      <w:pPr>
        <w:rPr>
          <w:rFonts w:cs="Arial"/>
          <w:szCs w:val="20"/>
          <w:lang w:val="en-GB"/>
        </w:rPr>
      </w:pPr>
    </w:p>
    <w:sectPr w:rsidR="00FB3488" w:rsidRPr="001961C9" w:rsidSect="006C03D0">
      <w:headerReference w:type="even" r:id="rId13"/>
      <w:headerReference w:type="defaul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AA" w:rsidRDefault="009203AA" w:rsidP="006C03D0">
      <w:r>
        <w:separator/>
      </w:r>
    </w:p>
  </w:endnote>
  <w:endnote w:type="continuationSeparator" w:id="0">
    <w:p w:rsidR="009203AA" w:rsidRDefault="009203AA"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AA" w:rsidRDefault="009203AA" w:rsidP="006C03D0">
      <w:r>
        <w:separator/>
      </w:r>
    </w:p>
  </w:footnote>
  <w:footnote w:type="continuationSeparator" w:id="0">
    <w:p w:rsidR="009203AA" w:rsidRDefault="009203AA" w:rsidP="006C03D0">
      <w:r>
        <w:continuationSeparator/>
      </w:r>
    </w:p>
  </w:footnote>
  <w:footnote w:id="1">
    <w:p w:rsidR="005A4F9A" w:rsidRDefault="005A4F9A" w:rsidP="00927AC0">
      <w:pPr>
        <w:pStyle w:val="ECCFootnote"/>
        <w:ind w:left="142" w:hanging="142"/>
      </w:pPr>
      <w:r>
        <w:rPr>
          <w:rStyle w:val="FootnoteReference"/>
        </w:rPr>
        <w:footnoteRef/>
      </w:r>
      <w:r>
        <w:t xml:space="preserve"> This defined as: - </w:t>
      </w:r>
      <w:r>
        <w:rPr>
          <w:lang w:val="en-GB"/>
        </w:rPr>
        <w:t xml:space="preserve">the space above a particular national territory, treated as belonging to the government controlling the territory. It does not include outer space, which, under the </w:t>
      </w:r>
      <w:bookmarkStart w:id="2" w:name="39643.hook"/>
      <w:r>
        <w:fldChar w:fldCharType="begin"/>
      </w:r>
      <w:r>
        <w:rPr>
          <w:lang w:val="en-GB"/>
        </w:rPr>
        <w:instrText xml:space="preserve"> HYPERLINK "http://www.britannica.com/eb/topic?idxStructId=435589&amp;typeId=13" </w:instrText>
      </w:r>
      <w:r>
        <w:fldChar w:fldCharType="end"/>
      </w:r>
      <w:bookmarkEnd w:id="2"/>
      <w:r>
        <w:fldChar w:fldCharType="begin"/>
      </w:r>
      <w:r>
        <w:rPr>
          <w:lang w:val="en-GB"/>
        </w:rPr>
        <w:instrText xml:space="preserve"> HYPERLINK "http://www.britannica.com/eb/article-9057747/Outer-Space-Treaty" </w:instrText>
      </w:r>
      <w:r>
        <w:fldChar w:fldCharType="separate"/>
      </w:r>
      <w:r>
        <w:rPr>
          <w:lang w:val="en-GB"/>
        </w:rPr>
        <w:t>Outer Space Treaty</w:t>
      </w:r>
      <w:r>
        <w:fldChar w:fldCharType="end"/>
      </w:r>
      <w:r>
        <w:rPr>
          <w:lang w:val="en-GB"/>
        </w:rPr>
        <w:t xml:space="preserve"> of 1967, is declared to be free and not subject to national appropriation.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F9A" w:rsidRPr="007C5F95" w:rsidRDefault="005A4F9A">
    <w:pPr>
      <w:pStyle w:val="Header"/>
      <w:rPr>
        <w:szCs w:val="16"/>
        <w:lang w:val="da-DK"/>
      </w:rPr>
    </w:pPr>
    <w:r>
      <w:rPr>
        <w:lang w:val="da-DK"/>
      </w:rPr>
      <w:t>ECC/DEC/</w:t>
    </w:r>
    <w:r w:rsidRPr="007C5F95">
      <w:rPr>
        <w:lang w:val="da-DK"/>
      </w:rPr>
      <w:t>(</w:t>
    </w:r>
    <w:r>
      <w:rPr>
        <w:lang w:val="da-DK"/>
      </w:rPr>
      <w:t>15</w:t>
    </w:r>
    <w:r w:rsidRPr="007C5F95">
      <w:rPr>
        <w:lang w:val="da-DK"/>
      </w:rPr>
      <w:t>)</w:t>
    </w:r>
    <w:r w:rsidR="008A18B3">
      <w:rPr>
        <w:lang w:val="da-DK"/>
      </w:rPr>
      <w:t>03</w:t>
    </w:r>
    <w:r>
      <w:rPr>
        <w:lang w:val="da-DK"/>
      </w:rPr>
      <w:t xml:space="preserve"> </w:t>
    </w:r>
    <w:r>
      <w:rPr>
        <w:szCs w:val="16"/>
        <w:lang w:val="da-DK"/>
      </w:rPr>
      <w:t xml:space="preserve">Page </w:t>
    </w:r>
    <w:r>
      <w:fldChar w:fldCharType="begin"/>
    </w:r>
    <w:r>
      <w:instrText xml:space="preserve"> PAGE  \* Arabic  \* MERGEFORMAT </w:instrText>
    </w:r>
    <w:r>
      <w:fldChar w:fldCharType="separate"/>
    </w:r>
    <w:r w:rsidR="00C00793" w:rsidRPr="00C00793">
      <w:rPr>
        <w:noProof/>
        <w:szCs w:val="16"/>
        <w:lang w:val="da-DK"/>
      </w:rPr>
      <w:t>12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F9A" w:rsidRPr="007C5F95" w:rsidRDefault="005A4F9A" w:rsidP="006C03D0">
    <w:pPr>
      <w:pStyle w:val="Header"/>
      <w:jc w:val="right"/>
      <w:rPr>
        <w:szCs w:val="16"/>
        <w:lang w:val="da-DK"/>
      </w:rPr>
    </w:pPr>
    <w:r>
      <w:rPr>
        <w:lang w:val="da-DK"/>
      </w:rPr>
      <w:t>ECC/DEC/</w:t>
    </w:r>
    <w:r w:rsidRPr="007C5F95">
      <w:rPr>
        <w:lang w:val="da-DK"/>
      </w:rPr>
      <w:t>(</w:t>
    </w:r>
    <w:r>
      <w:rPr>
        <w:lang w:val="da-DK"/>
      </w:rPr>
      <w:t>15</w:t>
    </w:r>
    <w:r w:rsidRPr="007C5F95">
      <w:rPr>
        <w:lang w:val="da-DK"/>
      </w:rPr>
      <w:t>)</w:t>
    </w:r>
    <w:r w:rsidR="008A18B3">
      <w:rPr>
        <w:lang w:val="da-DK"/>
      </w:rPr>
      <w:t>03</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00793" w:rsidRPr="00C00793">
      <w:rPr>
        <w:noProof/>
        <w:szCs w:val="16"/>
        <w:lang w:val="da-DK"/>
      </w:rPr>
      <w:t>11</w:t>
    </w:r>
    <w:r>
      <w:rPr>
        <w:noProof/>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4891"/>
    <w:multiLevelType w:val="hybridMultilevel"/>
    <w:tmpl w:val="3DD6B814"/>
    <w:lvl w:ilvl="0" w:tplc="BEF8B64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2611ED"/>
    <w:multiLevelType w:val="hybridMultilevel"/>
    <w:tmpl w:val="057EEAFE"/>
    <w:lvl w:ilvl="0" w:tplc="CB30A350">
      <w:start w:val="1"/>
      <w:numFmt w:val="bullet"/>
      <w:lvlText w:val="-"/>
      <w:lvlJc w:val="left"/>
      <w:pPr>
        <w:ind w:left="1087" w:hanging="360"/>
      </w:pPr>
      <w:rPr>
        <w:rFonts w:ascii="Arial" w:eastAsia="Times New Roman" w:hAnsi="Arial" w:cs="Aria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3">
    <w:nsid w:val="1CB91572"/>
    <w:multiLevelType w:val="multilevel"/>
    <w:tmpl w:val="AE2EBC90"/>
    <w:lvl w:ilvl="0">
      <w:start w:val="1"/>
      <w:numFmt w:val="decimal"/>
      <w:pStyle w:val="StyleHeading1BoldJustifiedBefore24ptAfter12pt"/>
      <w:lvlText w:val="%1"/>
      <w:lvlJc w:val="left"/>
      <w:pPr>
        <w:tabs>
          <w:tab w:val="num" w:pos="432"/>
        </w:tabs>
        <w:ind w:left="432" w:hanging="432"/>
      </w:pPr>
      <w:rPr>
        <w:rFonts w:hint="default"/>
      </w:rPr>
    </w:lvl>
    <w:lvl w:ilvl="1">
      <w:start w:val="1"/>
      <w:numFmt w:val="decimal"/>
      <w:pStyle w:val="StyleHeading1TimesNewRomanBefore24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8900CEE"/>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235090F"/>
    <w:multiLevelType w:val="multilevel"/>
    <w:tmpl w:val="66BA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7D0179"/>
    <w:multiLevelType w:val="hybridMultilevel"/>
    <w:tmpl w:val="501A7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9A72C9"/>
    <w:multiLevelType w:val="hybridMultilevel"/>
    <w:tmpl w:val="3AFE7622"/>
    <w:lvl w:ilvl="0" w:tplc="78E8E71C">
      <w:start w:val="1"/>
      <w:numFmt w:val="lowerLetter"/>
      <w:lvlText w:val="%1)"/>
      <w:lvlJc w:val="left"/>
      <w:pPr>
        <w:ind w:left="928" w:hanging="360"/>
      </w:pPr>
      <w:rPr>
        <w:rFonts w:ascii="Arial" w:hAnsi="Arial" w:hint="default"/>
        <w:b w:val="0"/>
        <w:bCs w:val="0"/>
        <w:i w:val="0"/>
        <w:iCs w:val="0"/>
        <w:color w:val="D2232A"/>
        <w:sz w:val="20"/>
        <w:szCs w:val="20"/>
      </w:rPr>
    </w:lvl>
    <w:lvl w:ilvl="1" w:tplc="C55854C4">
      <w:numFmt w:val="bullet"/>
      <w:lvlText w:val="–"/>
      <w:lvlJc w:val="left"/>
      <w:pPr>
        <w:ind w:left="1440" w:hanging="360"/>
      </w:pPr>
      <w:rPr>
        <w:rFonts w:ascii="Arial" w:eastAsia="Times New Roman" w:hAnsi="Arial" w:cs="Arial" w:hint="default"/>
      </w:rPr>
    </w:lvl>
    <w:lvl w:ilvl="2" w:tplc="621E8F66">
      <w:numFmt w:val="bullet"/>
      <w:lvlText w:val="-"/>
      <w:lvlJc w:val="left"/>
      <w:pPr>
        <w:ind w:left="2340" w:hanging="360"/>
      </w:pPr>
      <w:rPr>
        <w:rFonts w:ascii="Arial" w:eastAsia="Times New Roman" w:hAnsi="Arial" w:cs="Arial"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nsid w:val="35C80964"/>
    <w:multiLevelType w:val="hybridMultilevel"/>
    <w:tmpl w:val="E9C00184"/>
    <w:lvl w:ilvl="0" w:tplc="3EF48BA0">
      <w:start w:val="1"/>
      <w:numFmt w:val="decimal"/>
      <w:pStyle w:val="BN"/>
      <w:lvlText w:val="%1)"/>
      <w:lvlJc w:val="left"/>
      <w:pPr>
        <w:tabs>
          <w:tab w:val="num" w:pos="737"/>
        </w:tabs>
        <w:ind w:left="737" w:hanging="453"/>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37B71C79"/>
    <w:multiLevelType w:val="hybridMultilevel"/>
    <w:tmpl w:val="F05CA9E8"/>
    <w:lvl w:ilvl="0" w:tplc="C928A84A">
      <w:start w:val="1"/>
      <w:numFmt w:val="decimal"/>
      <w:lvlText w:val="%1."/>
      <w:lvlJc w:val="left"/>
      <w:pPr>
        <w:ind w:left="720" w:hanging="360"/>
      </w:pPr>
      <w:rPr>
        <w:color w:val="C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nsid w:val="44CC0900"/>
    <w:multiLevelType w:val="hybridMultilevel"/>
    <w:tmpl w:val="C4A22C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nsid w:val="463B12EC"/>
    <w:multiLevelType w:val="hybridMultilevel"/>
    <w:tmpl w:val="58FE72E6"/>
    <w:lvl w:ilvl="0" w:tplc="BEF8B64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9311206"/>
    <w:multiLevelType w:val="multilevel"/>
    <w:tmpl w:val="4CEC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C1A564B"/>
    <w:multiLevelType w:val="hybridMultilevel"/>
    <w:tmpl w:val="68CA853E"/>
    <w:lvl w:ilvl="0" w:tplc="333AA9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24E5166"/>
    <w:multiLevelType w:val="multilevel"/>
    <w:tmpl w:val="FC60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573236"/>
    <w:multiLevelType w:val="hybridMultilevel"/>
    <w:tmpl w:val="0172C840"/>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9B3F19"/>
    <w:multiLevelType w:val="hybridMultilevel"/>
    <w:tmpl w:val="D61A40EC"/>
    <w:lvl w:ilvl="0" w:tplc="BEF8B64E">
      <w:start w:val="1"/>
      <w:numFmt w:val="bullet"/>
      <w:lvlText w:val="-"/>
      <w:lvlJc w:val="left"/>
      <w:pPr>
        <w:ind w:left="1117" w:hanging="360"/>
      </w:pPr>
      <w:rPr>
        <w:rFonts w:ascii="Times New Roman" w:hAnsi="Times New Roman" w:cs="Times New Roman"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4">
    <w:nsid w:val="66DE154F"/>
    <w:multiLevelType w:val="hybridMultilevel"/>
    <w:tmpl w:val="26FABF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688A35D6"/>
    <w:multiLevelType w:val="multilevel"/>
    <w:tmpl w:val="BDD8AD68"/>
    <w:styleLink w:val="ECCNumberedList"/>
    <w:lvl w:ilvl="0">
      <w:start w:val="1"/>
      <w:numFmt w:val="decimal"/>
      <w:pStyle w:val="NumberedList"/>
      <w:lvlText w:val="%1."/>
      <w:lvlJc w:val="left"/>
      <w:pPr>
        <w:tabs>
          <w:tab w:val="num" w:pos="681"/>
        </w:tabs>
        <w:ind w:left="681"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6">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2893638"/>
    <w:multiLevelType w:val="hybridMultilevel"/>
    <w:tmpl w:val="0A6AC1A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55B7F78"/>
    <w:multiLevelType w:val="hybridMultilevel"/>
    <w:tmpl w:val="CF349776"/>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30">
    <w:nsid w:val="7B3212E4"/>
    <w:multiLevelType w:val="multilevel"/>
    <w:tmpl w:val="CEF66014"/>
    <w:lvl w:ilvl="0">
      <w:start w:val="1"/>
      <w:numFmt w:val="decimal"/>
      <w:pStyle w:val="ECCTabletitle"/>
      <w:suff w:val="space"/>
      <w:lvlText w:val="Table %1:"/>
      <w:lvlJc w:val="left"/>
      <w:pPr>
        <w:ind w:left="3054"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F53752B"/>
    <w:multiLevelType w:val="hybridMultilevel"/>
    <w:tmpl w:val="64E4D5B0"/>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19"/>
  </w:num>
  <w:num w:numId="4">
    <w:abstractNumId w:val="5"/>
  </w:num>
  <w:num w:numId="5">
    <w:abstractNumId w:val="11"/>
  </w:num>
  <w:num w:numId="6">
    <w:abstractNumId w:val="9"/>
  </w:num>
  <w:num w:numId="7">
    <w:abstractNumId w:val="17"/>
  </w:num>
  <w:num w:numId="8">
    <w:abstractNumId w:val="14"/>
  </w:num>
  <w:num w:numId="9">
    <w:abstractNumId w:val="4"/>
  </w:num>
  <w:num w:numId="10">
    <w:abstractNumId w:val="26"/>
  </w:num>
  <w:num w:numId="11">
    <w:abstractNumId w:val="25"/>
  </w:num>
  <w:num w:numId="12">
    <w:abstractNumId w:val="8"/>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1"/>
  </w:num>
  <w:num w:numId="17">
    <w:abstractNumId w:val="18"/>
  </w:num>
  <w:num w:numId="18">
    <w:abstractNumId w:val="6"/>
  </w:num>
  <w:num w:numId="19">
    <w:abstractNumId w:val="7"/>
  </w:num>
  <w:num w:numId="20">
    <w:abstractNumId w:val="2"/>
  </w:num>
  <w:num w:numId="21">
    <w:abstractNumId w:val="20"/>
  </w:num>
  <w:num w:numId="22">
    <w:abstractNumId w:val="29"/>
  </w:num>
  <w:num w:numId="23">
    <w:abstractNumId w:val="2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16"/>
  </w:num>
  <w:num w:numId="28">
    <w:abstractNumId w:val="25"/>
  </w:num>
  <w:num w:numId="29">
    <w:abstractNumId w:val="25"/>
  </w:num>
  <w:num w:numId="30">
    <w:abstractNumId w:val="25"/>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0"/>
  </w:num>
  <w:num w:numId="34">
    <w:abstractNumId w:val="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1"/>
  </w:num>
  <w:num w:numId="38">
    <w:abstractNumId w:val="2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Reis">
    <w15:presenceInfo w15:providerId="None" w15:userId="Cristina Re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5B"/>
    <w:rsid w:val="00003A8C"/>
    <w:rsid w:val="0000591E"/>
    <w:rsid w:val="00006531"/>
    <w:rsid w:val="00013F25"/>
    <w:rsid w:val="000147FD"/>
    <w:rsid w:val="00016626"/>
    <w:rsid w:val="00022552"/>
    <w:rsid w:val="0002565F"/>
    <w:rsid w:val="00030050"/>
    <w:rsid w:val="00031379"/>
    <w:rsid w:val="00036A99"/>
    <w:rsid w:val="00037853"/>
    <w:rsid w:val="0004158C"/>
    <w:rsid w:val="00045FCF"/>
    <w:rsid w:val="00046E6F"/>
    <w:rsid w:val="0004706C"/>
    <w:rsid w:val="0005673B"/>
    <w:rsid w:val="00061D0A"/>
    <w:rsid w:val="00065003"/>
    <w:rsid w:val="00066122"/>
    <w:rsid w:val="000679FB"/>
    <w:rsid w:val="00071E41"/>
    <w:rsid w:val="00072770"/>
    <w:rsid w:val="00072B81"/>
    <w:rsid w:val="00077E8E"/>
    <w:rsid w:val="0008260F"/>
    <w:rsid w:val="000854B7"/>
    <w:rsid w:val="000871A9"/>
    <w:rsid w:val="0008795F"/>
    <w:rsid w:val="00087AFD"/>
    <w:rsid w:val="000A2341"/>
    <w:rsid w:val="000A4670"/>
    <w:rsid w:val="000A5ACC"/>
    <w:rsid w:val="000B3292"/>
    <w:rsid w:val="000B5386"/>
    <w:rsid w:val="000B5D2B"/>
    <w:rsid w:val="000B6DFD"/>
    <w:rsid w:val="000C183F"/>
    <w:rsid w:val="000C2637"/>
    <w:rsid w:val="000C5D08"/>
    <w:rsid w:val="000C6B33"/>
    <w:rsid w:val="000C7399"/>
    <w:rsid w:val="000D375B"/>
    <w:rsid w:val="000D3D27"/>
    <w:rsid w:val="000D7E1B"/>
    <w:rsid w:val="000E20BB"/>
    <w:rsid w:val="000E2161"/>
    <w:rsid w:val="000E2223"/>
    <w:rsid w:val="000E2DBC"/>
    <w:rsid w:val="000E66E9"/>
    <w:rsid w:val="000E6A7E"/>
    <w:rsid w:val="000F0791"/>
    <w:rsid w:val="000F3919"/>
    <w:rsid w:val="000F5552"/>
    <w:rsid w:val="000F7132"/>
    <w:rsid w:val="000F7FD5"/>
    <w:rsid w:val="0010146A"/>
    <w:rsid w:val="00111E66"/>
    <w:rsid w:val="00114ADD"/>
    <w:rsid w:val="0011683A"/>
    <w:rsid w:val="00120DDE"/>
    <w:rsid w:val="00126547"/>
    <w:rsid w:val="00126E39"/>
    <w:rsid w:val="001315C4"/>
    <w:rsid w:val="00131809"/>
    <w:rsid w:val="00132B64"/>
    <w:rsid w:val="00134C74"/>
    <w:rsid w:val="001353D6"/>
    <w:rsid w:val="0013619B"/>
    <w:rsid w:val="00137100"/>
    <w:rsid w:val="001435B6"/>
    <w:rsid w:val="0014721A"/>
    <w:rsid w:val="001600F3"/>
    <w:rsid w:val="00173B70"/>
    <w:rsid w:val="0017633C"/>
    <w:rsid w:val="00176FF2"/>
    <w:rsid w:val="00183935"/>
    <w:rsid w:val="00183A90"/>
    <w:rsid w:val="0019092B"/>
    <w:rsid w:val="0019184F"/>
    <w:rsid w:val="00192769"/>
    <w:rsid w:val="001939A0"/>
    <w:rsid w:val="001961C9"/>
    <w:rsid w:val="00196A49"/>
    <w:rsid w:val="001B0F0E"/>
    <w:rsid w:val="001B7301"/>
    <w:rsid w:val="001B7ED8"/>
    <w:rsid w:val="001C1C6B"/>
    <w:rsid w:val="001C46EA"/>
    <w:rsid w:val="001C6EAD"/>
    <w:rsid w:val="001D38AA"/>
    <w:rsid w:val="001D4C67"/>
    <w:rsid w:val="001D6E6E"/>
    <w:rsid w:val="001D7169"/>
    <w:rsid w:val="001D7EBA"/>
    <w:rsid w:val="001E0C8D"/>
    <w:rsid w:val="001F5C5F"/>
    <w:rsid w:val="00200753"/>
    <w:rsid w:val="00202849"/>
    <w:rsid w:val="0020388C"/>
    <w:rsid w:val="0020722A"/>
    <w:rsid w:val="00210F14"/>
    <w:rsid w:val="00215A71"/>
    <w:rsid w:val="00232736"/>
    <w:rsid w:val="00233EF5"/>
    <w:rsid w:val="002344AC"/>
    <w:rsid w:val="0023502E"/>
    <w:rsid w:val="00240E42"/>
    <w:rsid w:val="002417C7"/>
    <w:rsid w:val="00241C05"/>
    <w:rsid w:val="00241CE7"/>
    <w:rsid w:val="0025022D"/>
    <w:rsid w:val="00251830"/>
    <w:rsid w:val="002519A3"/>
    <w:rsid w:val="0025491B"/>
    <w:rsid w:val="0026005D"/>
    <w:rsid w:val="002616B5"/>
    <w:rsid w:val="00262849"/>
    <w:rsid w:val="002644B6"/>
    <w:rsid w:val="002645AF"/>
    <w:rsid w:val="0027272D"/>
    <w:rsid w:val="002737F9"/>
    <w:rsid w:val="002741A5"/>
    <w:rsid w:val="00275FF0"/>
    <w:rsid w:val="00276917"/>
    <w:rsid w:val="00277724"/>
    <w:rsid w:val="0028041F"/>
    <w:rsid w:val="00282455"/>
    <w:rsid w:val="002838C3"/>
    <w:rsid w:val="00292361"/>
    <w:rsid w:val="00294E84"/>
    <w:rsid w:val="002A17E5"/>
    <w:rsid w:val="002A5019"/>
    <w:rsid w:val="002A5642"/>
    <w:rsid w:val="002A6618"/>
    <w:rsid w:val="002A6F80"/>
    <w:rsid w:val="002B254E"/>
    <w:rsid w:val="002B56C6"/>
    <w:rsid w:val="002B758E"/>
    <w:rsid w:val="002B789B"/>
    <w:rsid w:val="002C0CF2"/>
    <w:rsid w:val="002C3716"/>
    <w:rsid w:val="002D2B55"/>
    <w:rsid w:val="002D52EF"/>
    <w:rsid w:val="002D57D2"/>
    <w:rsid w:val="002E57A2"/>
    <w:rsid w:val="002E714E"/>
    <w:rsid w:val="002F39CF"/>
    <w:rsid w:val="002F3AE5"/>
    <w:rsid w:val="002F4CE2"/>
    <w:rsid w:val="0030014E"/>
    <w:rsid w:val="003005A5"/>
    <w:rsid w:val="003038FC"/>
    <w:rsid w:val="00310CED"/>
    <w:rsid w:val="00317351"/>
    <w:rsid w:val="00324A05"/>
    <w:rsid w:val="00330159"/>
    <w:rsid w:val="003341E5"/>
    <w:rsid w:val="0033497C"/>
    <w:rsid w:val="003407AB"/>
    <w:rsid w:val="00341D10"/>
    <w:rsid w:val="00345C01"/>
    <w:rsid w:val="00346412"/>
    <w:rsid w:val="00346CD4"/>
    <w:rsid w:val="0035300A"/>
    <w:rsid w:val="00354C0A"/>
    <w:rsid w:val="003579B3"/>
    <w:rsid w:val="0036188A"/>
    <w:rsid w:val="00361D3F"/>
    <w:rsid w:val="00361E9A"/>
    <w:rsid w:val="003627AC"/>
    <w:rsid w:val="003637E1"/>
    <w:rsid w:val="00370914"/>
    <w:rsid w:val="00371D02"/>
    <w:rsid w:val="00371D33"/>
    <w:rsid w:val="003745C9"/>
    <w:rsid w:val="00375E38"/>
    <w:rsid w:val="00383518"/>
    <w:rsid w:val="00384BDC"/>
    <w:rsid w:val="00391448"/>
    <w:rsid w:val="0039200C"/>
    <w:rsid w:val="003922A8"/>
    <w:rsid w:val="00393D46"/>
    <w:rsid w:val="00394CF6"/>
    <w:rsid w:val="003A702B"/>
    <w:rsid w:val="003B0DBE"/>
    <w:rsid w:val="003B1706"/>
    <w:rsid w:val="003B1C0E"/>
    <w:rsid w:val="003B319B"/>
    <w:rsid w:val="003B4830"/>
    <w:rsid w:val="003B603E"/>
    <w:rsid w:val="003C36CA"/>
    <w:rsid w:val="003C5CD9"/>
    <w:rsid w:val="003D0A88"/>
    <w:rsid w:val="003D2C62"/>
    <w:rsid w:val="003D7CE7"/>
    <w:rsid w:val="003E3765"/>
    <w:rsid w:val="003E7EA3"/>
    <w:rsid w:val="003F0037"/>
    <w:rsid w:val="003F3327"/>
    <w:rsid w:val="003F52C6"/>
    <w:rsid w:val="003F5540"/>
    <w:rsid w:val="0040263B"/>
    <w:rsid w:val="00403EA6"/>
    <w:rsid w:val="00405B20"/>
    <w:rsid w:val="004129A4"/>
    <w:rsid w:val="00412E32"/>
    <w:rsid w:val="0041654C"/>
    <w:rsid w:val="00416B25"/>
    <w:rsid w:val="004234BE"/>
    <w:rsid w:val="0042432F"/>
    <w:rsid w:val="004261DC"/>
    <w:rsid w:val="0043087A"/>
    <w:rsid w:val="00433841"/>
    <w:rsid w:val="00440642"/>
    <w:rsid w:val="0044401E"/>
    <w:rsid w:val="0044607D"/>
    <w:rsid w:val="004537F4"/>
    <w:rsid w:val="00454F1E"/>
    <w:rsid w:val="00457DCD"/>
    <w:rsid w:val="0046159C"/>
    <w:rsid w:val="00462F8F"/>
    <w:rsid w:val="00472FFF"/>
    <w:rsid w:val="004744BC"/>
    <w:rsid w:val="0047483E"/>
    <w:rsid w:val="00474948"/>
    <w:rsid w:val="00480ED4"/>
    <w:rsid w:val="0048181E"/>
    <w:rsid w:val="00483626"/>
    <w:rsid w:val="00494DE5"/>
    <w:rsid w:val="004972F0"/>
    <w:rsid w:val="004A34D4"/>
    <w:rsid w:val="004A6881"/>
    <w:rsid w:val="004B3BB2"/>
    <w:rsid w:val="004B54B9"/>
    <w:rsid w:val="004C0BAB"/>
    <w:rsid w:val="004C6299"/>
    <w:rsid w:val="004C67CE"/>
    <w:rsid w:val="004C730D"/>
    <w:rsid w:val="004D4301"/>
    <w:rsid w:val="004D5190"/>
    <w:rsid w:val="004E3201"/>
    <w:rsid w:val="004E69DC"/>
    <w:rsid w:val="004F09AC"/>
    <w:rsid w:val="004F1F9A"/>
    <w:rsid w:val="004F4E63"/>
    <w:rsid w:val="00504D63"/>
    <w:rsid w:val="0050648F"/>
    <w:rsid w:val="005149B7"/>
    <w:rsid w:val="00517272"/>
    <w:rsid w:val="00523CB4"/>
    <w:rsid w:val="00523EC2"/>
    <w:rsid w:val="00524306"/>
    <w:rsid w:val="00524E61"/>
    <w:rsid w:val="00530079"/>
    <w:rsid w:val="00531128"/>
    <w:rsid w:val="005319B5"/>
    <w:rsid w:val="00537A48"/>
    <w:rsid w:val="00542C60"/>
    <w:rsid w:val="00544078"/>
    <w:rsid w:val="00561EE0"/>
    <w:rsid w:val="005645AE"/>
    <w:rsid w:val="005703C4"/>
    <w:rsid w:val="005714EE"/>
    <w:rsid w:val="005726AA"/>
    <w:rsid w:val="00574CBB"/>
    <w:rsid w:val="005815C5"/>
    <w:rsid w:val="00584CD1"/>
    <w:rsid w:val="00584D25"/>
    <w:rsid w:val="00586B77"/>
    <w:rsid w:val="00586E2A"/>
    <w:rsid w:val="00594C55"/>
    <w:rsid w:val="00595EB4"/>
    <w:rsid w:val="005A080E"/>
    <w:rsid w:val="005A38DD"/>
    <w:rsid w:val="005A38EA"/>
    <w:rsid w:val="005A4F9A"/>
    <w:rsid w:val="005A6E27"/>
    <w:rsid w:val="005A7AD4"/>
    <w:rsid w:val="005B36C5"/>
    <w:rsid w:val="005B4094"/>
    <w:rsid w:val="005B5824"/>
    <w:rsid w:val="005C1E4B"/>
    <w:rsid w:val="005C5D37"/>
    <w:rsid w:val="005C688A"/>
    <w:rsid w:val="005C7D21"/>
    <w:rsid w:val="005D09B6"/>
    <w:rsid w:val="005D0E30"/>
    <w:rsid w:val="005D149B"/>
    <w:rsid w:val="005D2CBD"/>
    <w:rsid w:val="005D2DEE"/>
    <w:rsid w:val="005D34AF"/>
    <w:rsid w:val="005D3A54"/>
    <w:rsid w:val="005D7852"/>
    <w:rsid w:val="005E2A5B"/>
    <w:rsid w:val="005E4940"/>
    <w:rsid w:val="005E7138"/>
    <w:rsid w:val="005F39F3"/>
    <w:rsid w:val="005F7AD5"/>
    <w:rsid w:val="005F7E9F"/>
    <w:rsid w:val="00602AE3"/>
    <w:rsid w:val="00602D8B"/>
    <w:rsid w:val="00603DFF"/>
    <w:rsid w:val="00606C0E"/>
    <w:rsid w:val="00611080"/>
    <w:rsid w:val="0061189A"/>
    <w:rsid w:val="00612895"/>
    <w:rsid w:val="00613FBA"/>
    <w:rsid w:val="00617AC8"/>
    <w:rsid w:val="0063201F"/>
    <w:rsid w:val="00632FC2"/>
    <w:rsid w:val="00633E62"/>
    <w:rsid w:val="00636ED1"/>
    <w:rsid w:val="0064653D"/>
    <w:rsid w:val="006500FE"/>
    <w:rsid w:val="006502C7"/>
    <w:rsid w:val="0065268B"/>
    <w:rsid w:val="006544EF"/>
    <w:rsid w:val="00656E7D"/>
    <w:rsid w:val="0066098D"/>
    <w:rsid w:val="00664444"/>
    <w:rsid w:val="00665249"/>
    <w:rsid w:val="00666A4B"/>
    <w:rsid w:val="0066737C"/>
    <w:rsid w:val="00667F1F"/>
    <w:rsid w:val="00670B66"/>
    <w:rsid w:val="00675037"/>
    <w:rsid w:val="00675403"/>
    <w:rsid w:val="0068334C"/>
    <w:rsid w:val="00686FB5"/>
    <w:rsid w:val="00687CB0"/>
    <w:rsid w:val="00687E4D"/>
    <w:rsid w:val="00691C85"/>
    <w:rsid w:val="006932B8"/>
    <w:rsid w:val="00694810"/>
    <w:rsid w:val="00697A52"/>
    <w:rsid w:val="006A0162"/>
    <w:rsid w:val="006A219E"/>
    <w:rsid w:val="006A6488"/>
    <w:rsid w:val="006B026F"/>
    <w:rsid w:val="006B4370"/>
    <w:rsid w:val="006B601D"/>
    <w:rsid w:val="006C03D0"/>
    <w:rsid w:val="006C1FA5"/>
    <w:rsid w:val="006C3C60"/>
    <w:rsid w:val="006C5C7C"/>
    <w:rsid w:val="006C6818"/>
    <w:rsid w:val="006C7DA5"/>
    <w:rsid w:val="006F103E"/>
    <w:rsid w:val="006F10E2"/>
    <w:rsid w:val="006F22F1"/>
    <w:rsid w:val="006F3E0E"/>
    <w:rsid w:val="006F3FEF"/>
    <w:rsid w:val="006F4C23"/>
    <w:rsid w:val="006F5136"/>
    <w:rsid w:val="0070052E"/>
    <w:rsid w:val="00701656"/>
    <w:rsid w:val="007016B5"/>
    <w:rsid w:val="00701D7B"/>
    <w:rsid w:val="00703213"/>
    <w:rsid w:val="00704391"/>
    <w:rsid w:val="00706296"/>
    <w:rsid w:val="00713DBA"/>
    <w:rsid w:val="00714860"/>
    <w:rsid w:val="007157DF"/>
    <w:rsid w:val="00716E2A"/>
    <w:rsid w:val="00717109"/>
    <w:rsid w:val="00721C89"/>
    <w:rsid w:val="00723217"/>
    <w:rsid w:val="007236CA"/>
    <w:rsid w:val="0072542F"/>
    <w:rsid w:val="00730229"/>
    <w:rsid w:val="00731815"/>
    <w:rsid w:val="0073268B"/>
    <w:rsid w:val="00734782"/>
    <w:rsid w:val="00734D5C"/>
    <w:rsid w:val="00735472"/>
    <w:rsid w:val="00735718"/>
    <w:rsid w:val="0074058D"/>
    <w:rsid w:val="00745AA2"/>
    <w:rsid w:val="00752361"/>
    <w:rsid w:val="00753CF3"/>
    <w:rsid w:val="00755BC0"/>
    <w:rsid w:val="00757520"/>
    <w:rsid w:val="00762EE4"/>
    <w:rsid w:val="0076401E"/>
    <w:rsid w:val="00764401"/>
    <w:rsid w:val="0077181C"/>
    <w:rsid w:val="00777212"/>
    <w:rsid w:val="00780BE5"/>
    <w:rsid w:val="00780FC5"/>
    <w:rsid w:val="00783BFA"/>
    <w:rsid w:val="00792134"/>
    <w:rsid w:val="007A0071"/>
    <w:rsid w:val="007A1ADF"/>
    <w:rsid w:val="007B2633"/>
    <w:rsid w:val="007B6D44"/>
    <w:rsid w:val="007C42D5"/>
    <w:rsid w:val="007C4424"/>
    <w:rsid w:val="007C6571"/>
    <w:rsid w:val="007D2A40"/>
    <w:rsid w:val="007D4799"/>
    <w:rsid w:val="007D69AC"/>
    <w:rsid w:val="007E23E4"/>
    <w:rsid w:val="007E6BC0"/>
    <w:rsid w:val="007F0776"/>
    <w:rsid w:val="007F096D"/>
    <w:rsid w:val="007F1187"/>
    <w:rsid w:val="007F722C"/>
    <w:rsid w:val="00800672"/>
    <w:rsid w:val="00803B98"/>
    <w:rsid w:val="00807D28"/>
    <w:rsid w:val="00813CD3"/>
    <w:rsid w:val="008148AF"/>
    <w:rsid w:val="00817BEE"/>
    <w:rsid w:val="00822520"/>
    <w:rsid w:val="008231C9"/>
    <w:rsid w:val="0082396D"/>
    <w:rsid w:val="00825BB1"/>
    <w:rsid w:val="00827611"/>
    <w:rsid w:val="00831CC1"/>
    <w:rsid w:val="00834487"/>
    <w:rsid w:val="008370F9"/>
    <w:rsid w:val="00837120"/>
    <w:rsid w:val="00840854"/>
    <w:rsid w:val="008426BA"/>
    <w:rsid w:val="00843FBC"/>
    <w:rsid w:val="00845B19"/>
    <w:rsid w:val="008543D9"/>
    <w:rsid w:val="00854D37"/>
    <w:rsid w:val="00855EF0"/>
    <w:rsid w:val="00857499"/>
    <w:rsid w:val="008601ED"/>
    <w:rsid w:val="008604F4"/>
    <w:rsid w:val="00864488"/>
    <w:rsid w:val="0086676C"/>
    <w:rsid w:val="00893DD8"/>
    <w:rsid w:val="008A18B3"/>
    <w:rsid w:val="008A43F0"/>
    <w:rsid w:val="008A6453"/>
    <w:rsid w:val="008B30A5"/>
    <w:rsid w:val="008B3ACC"/>
    <w:rsid w:val="008B50C6"/>
    <w:rsid w:val="008C3572"/>
    <w:rsid w:val="008C37B8"/>
    <w:rsid w:val="008C5540"/>
    <w:rsid w:val="008D0974"/>
    <w:rsid w:val="008D2270"/>
    <w:rsid w:val="008E1B3E"/>
    <w:rsid w:val="008E7FE0"/>
    <w:rsid w:val="008F1DF5"/>
    <w:rsid w:val="008F547E"/>
    <w:rsid w:val="00900635"/>
    <w:rsid w:val="00901DB0"/>
    <w:rsid w:val="00902FA6"/>
    <w:rsid w:val="0090581B"/>
    <w:rsid w:val="00906900"/>
    <w:rsid w:val="00911F38"/>
    <w:rsid w:val="00912AC5"/>
    <w:rsid w:val="009203AA"/>
    <w:rsid w:val="00922486"/>
    <w:rsid w:val="00927AC0"/>
    <w:rsid w:val="009303AF"/>
    <w:rsid w:val="0093208B"/>
    <w:rsid w:val="00934771"/>
    <w:rsid w:val="00945E24"/>
    <w:rsid w:val="00951008"/>
    <w:rsid w:val="00954B02"/>
    <w:rsid w:val="00956281"/>
    <w:rsid w:val="00960E63"/>
    <w:rsid w:val="00962344"/>
    <w:rsid w:val="00962BA8"/>
    <w:rsid w:val="00965011"/>
    <w:rsid w:val="00965206"/>
    <w:rsid w:val="00970D27"/>
    <w:rsid w:val="00975608"/>
    <w:rsid w:val="00975C7A"/>
    <w:rsid w:val="00990C52"/>
    <w:rsid w:val="00991D15"/>
    <w:rsid w:val="00995D55"/>
    <w:rsid w:val="009A0F06"/>
    <w:rsid w:val="009A1013"/>
    <w:rsid w:val="009A1923"/>
    <w:rsid w:val="009A511C"/>
    <w:rsid w:val="009A52ED"/>
    <w:rsid w:val="009A5A82"/>
    <w:rsid w:val="009A5BAA"/>
    <w:rsid w:val="009A6A4F"/>
    <w:rsid w:val="009B073E"/>
    <w:rsid w:val="009B5F1C"/>
    <w:rsid w:val="009C048E"/>
    <w:rsid w:val="009C16C5"/>
    <w:rsid w:val="009C2180"/>
    <w:rsid w:val="009C33F9"/>
    <w:rsid w:val="009C366F"/>
    <w:rsid w:val="009C5F8C"/>
    <w:rsid w:val="009C7FF7"/>
    <w:rsid w:val="009D3381"/>
    <w:rsid w:val="009D6919"/>
    <w:rsid w:val="009E1177"/>
    <w:rsid w:val="009E12A6"/>
    <w:rsid w:val="009E3205"/>
    <w:rsid w:val="009E4116"/>
    <w:rsid w:val="009E7DCC"/>
    <w:rsid w:val="009F157C"/>
    <w:rsid w:val="009F2BF8"/>
    <w:rsid w:val="009F2D64"/>
    <w:rsid w:val="009F2E51"/>
    <w:rsid w:val="009F37FF"/>
    <w:rsid w:val="009F603A"/>
    <w:rsid w:val="009F77F3"/>
    <w:rsid w:val="00A00D4E"/>
    <w:rsid w:val="00A01E1D"/>
    <w:rsid w:val="00A106F9"/>
    <w:rsid w:val="00A267E1"/>
    <w:rsid w:val="00A27812"/>
    <w:rsid w:val="00A3125B"/>
    <w:rsid w:val="00A33B3E"/>
    <w:rsid w:val="00A34C68"/>
    <w:rsid w:val="00A41673"/>
    <w:rsid w:val="00A45652"/>
    <w:rsid w:val="00A45CC8"/>
    <w:rsid w:val="00A47764"/>
    <w:rsid w:val="00A50DF6"/>
    <w:rsid w:val="00A604C7"/>
    <w:rsid w:val="00A61A89"/>
    <w:rsid w:val="00A62A5D"/>
    <w:rsid w:val="00A63B8B"/>
    <w:rsid w:val="00A648B3"/>
    <w:rsid w:val="00A725C9"/>
    <w:rsid w:val="00A72F58"/>
    <w:rsid w:val="00A8085A"/>
    <w:rsid w:val="00A80CA8"/>
    <w:rsid w:val="00A80CE6"/>
    <w:rsid w:val="00A818E9"/>
    <w:rsid w:val="00A84C20"/>
    <w:rsid w:val="00A86258"/>
    <w:rsid w:val="00A915BC"/>
    <w:rsid w:val="00A916FB"/>
    <w:rsid w:val="00A93D4D"/>
    <w:rsid w:val="00A94B05"/>
    <w:rsid w:val="00A950C1"/>
    <w:rsid w:val="00A972FC"/>
    <w:rsid w:val="00AA3061"/>
    <w:rsid w:val="00AB0597"/>
    <w:rsid w:val="00AB10CC"/>
    <w:rsid w:val="00AB158C"/>
    <w:rsid w:val="00AB2AD5"/>
    <w:rsid w:val="00AB5982"/>
    <w:rsid w:val="00AC0CEF"/>
    <w:rsid w:val="00AC0F6F"/>
    <w:rsid w:val="00AC4133"/>
    <w:rsid w:val="00AC680D"/>
    <w:rsid w:val="00AD48B2"/>
    <w:rsid w:val="00AD5691"/>
    <w:rsid w:val="00AD577B"/>
    <w:rsid w:val="00AD6001"/>
    <w:rsid w:val="00AD68D1"/>
    <w:rsid w:val="00AE31FF"/>
    <w:rsid w:val="00AF017D"/>
    <w:rsid w:val="00AF3AC0"/>
    <w:rsid w:val="00AF6B36"/>
    <w:rsid w:val="00AF7AA0"/>
    <w:rsid w:val="00B00D6C"/>
    <w:rsid w:val="00B03382"/>
    <w:rsid w:val="00B07987"/>
    <w:rsid w:val="00B07CBF"/>
    <w:rsid w:val="00B12248"/>
    <w:rsid w:val="00B13FFD"/>
    <w:rsid w:val="00B159E2"/>
    <w:rsid w:val="00B21651"/>
    <w:rsid w:val="00B23041"/>
    <w:rsid w:val="00B2638B"/>
    <w:rsid w:val="00B30C79"/>
    <w:rsid w:val="00B30F0A"/>
    <w:rsid w:val="00B313B5"/>
    <w:rsid w:val="00B34A4E"/>
    <w:rsid w:val="00B4072F"/>
    <w:rsid w:val="00B417E7"/>
    <w:rsid w:val="00B43669"/>
    <w:rsid w:val="00B436AD"/>
    <w:rsid w:val="00B46756"/>
    <w:rsid w:val="00B51101"/>
    <w:rsid w:val="00B52C66"/>
    <w:rsid w:val="00B55492"/>
    <w:rsid w:val="00B60923"/>
    <w:rsid w:val="00B63273"/>
    <w:rsid w:val="00B63AA4"/>
    <w:rsid w:val="00B656F7"/>
    <w:rsid w:val="00B676C8"/>
    <w:rsid w:val="00B70BD1"/>
    <w:rsid w:val="00B769D9"/>
    <w:rsid w:val="00B876A9"/>
    <w:rsid w:val="00B87F0F"/>
    <w:rsid w:val="00B90661"/>
    <w:rsid w:val="00B9172C"/>
    <w:rsid w:val="00B9691A"/>
    <w:rsid w:val="00BA31F9"/>
    <w:rsid w:val="00BA5218"/>
    <w:rsid w:val="00BA55A7"/>
    <w:rsid w:val="00BA677B"/>
    <w:rsid w:val="00BB0216"/>
    <w:rsid w:val="00BB10FE"/>
    <w:rsid w:val="00BB2B28"/>
    <w:rsid w:val="00BB4F23"/>
    <w:rsid w:val="00BD515B"/>
    <w:rsid w:val="00BE1F23"/>
    <w:rsid w:val="00BE276A"/>
    <w:rsid w:val="00BE5F88"/>
    <w:rsid w:val="00BE62DD"/>
    <w:rsid w:val="00BE6B1B"/>
    <w:rsid w:val="00BF252B"/>
    <w:rsid w:val="00BF2732"/>
    <w:rsid w:val="00BF5BA2"/>
    <w:rsid w:val="00C001AA"/>
    <w:rsid w:val="00C00793"/>
    <w:rsid w:val="00C01E23"/>
    <w:rsid w:val="00C102CD"/>
    <w:rsid w:val="00C10A20"/>
    <w:rsid w:val="00C114A1"/>
    <w:rsid w:val="00C1340F"/>
    <w:rsid w:val="00C14FD7"/>
    <w:rsid w:val="00C17D20"/>
    <w:rsid w:val="00C222D3"/>
    <w:rsid w:val="00C2363C"/>
    <w:rsid w:val="00C241C2"/>
    <w:rsid w:val="00C25585"/>
    <w:rsid w:val="00C27F78"/>
    <w:rsid w:val="00C30ADA"/>
    <w:rsid w:val="00C30E04"/>
    <w:rsid w:val="00C31173"/>
    <w:rsid w:val="00C3353C"/>
    <w:rsid w:val="00C42156"/>
    <w:rsid w:val="00C47451"/>
    <w:rsid w:val="00C479E2"/>
    <w:rsid w:val="00C5007B"/>
    <w:rsid w:val="00C5135F"/>
    <w:rsid w:val="00C5233C"/>
    <w:rsid w:val="00C52896"/>
    <w:rsid w:val="00C5481D"/>
    <w:rsid w:val="00C57092"/>
    <w:rsid w:val="00C6007D"/>
    <w:rsid w:val="00C64D00"/>
    <w:rsid w:val="00C665E0"/>
    <w:rsid w:val="00C7003D"/>
    <w:rsid w:val="00C70420"/>
    <w:rsid w:val="00C70AB3"/>
    <w:rsid w:val="00C720FD"/>
    <w:rsid w:val="00C737A4"/>
    <w:rsid w:val="00C756DE"/>
    <w:rsid w:val="00C83CD1"/>
    <w:rsid w:val="00C868F4"/>
    <w:rsid w:val="00C94B38"/>
    <w:rsid w:val="00C9551B"/>
    <w:rsid w:val="00CA028A"/>
    <w:rsid w:val="00CA3B63"/>
    <w:rsid w:val="00CB1FB0"/>
    <w:rsid w:val="00CB65DF"/>
    <w:rsid w:val="00CB765B"/>
    <w:rsid w:val="00CC0AA0"/>
    <w:rsid w:val="00CC141C"/>
    <w:rsid w:val="00CC4BDF"/>
    <w:rsid w:val="00CC5D74"/>
    <w:rsid w:val="00CC711C"/>
    <w:rsid w:val="00CD18A3"/>
    <w:rsid w:val="00CD3665"/>
    <w:rsid w:val="00CD45AA"/>
    <w:rsid w:val="00CD58EC"/>
    <w:rsid w:val="00CE3C18"/>
    <w:rsid w:val="00CE76C8"/>
    <w:rsid w:val="00CF13A9"/>
    <w:rsid w:val="00CF398E"/>
    <w:rsid w:val="00CF75B2"/>
    <w:rsid w:val="00D009E1"/>
    <w:rsid w:val="00D019D7"/>
    <w:rsid w:val="00D07670"/>
    <w:rsid w:val="00D10C5E"/>
    <w:rsid w:val="00D1321A"/>
    <w:rsid w:val="00D13DFF"/>
    <w:rsid w:val="00D143FF"/>
    <w:rsid w:val="00D16738"/>
    <w:rsid w:val="00D20F22"/>
    <w:rsid w:val="00D21B97"/>
    <w:rsid w:val="00D30400"/>
    <w:rsid w:val="00D30DA4"/>
    <w:rsid w:val="00D357F2"/>
    <w:rsid w:val="00D36F34"/>
    <w:rsid w:val="00D40E8B"/>
    <w:rsid w:val="00D4111D"/>
    <w:rsid w:val="00D417A2"/>
    <w:rsid w:val="00D41F5C"/>
    <w:rsid w:val="00D451A8"/>
    <w:rsid w:val="00D523D5"/>
    <w:rsid w:val="00D57BAC"/>
    <w:rsid w:val="00D638B2"/>
    <w:rsid w:val="00D67EC8"/>
    <w:rsid w:val="00D70751"/>
    <w:rsid w:val="00D72188"/>
    <w:rsid w:val="00D72D60"/>
    <w:rsid w:val="00D75D9B"/>
    <w:rsid w:val="00D81225"/>
    <w:rsid w:val="00D81AA0"/>
    <w:rsid w:val="00D84B9B"/>
    <w:rsid w:val="00D90B0A"/>
    <w:rsid w:val="00D91069"/>
    <w:rsid w:val="00D91D5C"/>
    <w:rsid w:val="00D92340"/>
    <w:rsid w:val="00DA0738"/>
    <w:rsid w:val="00DA090D"/>
    <w:rsid w:val="00DB08EA"/>
    <w:rsid w:val="00DB3517"/>
    <w:rsid w:val="00DB7D57"/>
    <w:rsid w:val="00DC0568"/>
    <w:rsid w:val="00DC3048"/>
    <w:rsid w:val="00DC7836"/>
    <w:rsid w:val="00DD2576"/>
    <w:rsid w:val="00DD5342"/>
    <w:rsid w:val="00DE1D78"/>
    <w:rsid w:val="00DE2BD0"/>
    <w:rsid w:val="00DF0115"/>
    <w:rsid w:val="00DF177A"/>
    <w:rsid w:val="00DF6DF9"/>
    <w:rsid w:val="00DF78D9"/>
    <w:rsid w:val="00E002D3"/>
    <w:rsid w:val="00E01315"/>
    <w:rsid w:val="00E014B4"/>
    <w:rsid w:val="00E0357F"/>
    <w:rsid w:val="00E07743"/>
    <w:rsid w:val="00E10127"/>
    <w:rsid w:val="00E10830"/>
    <w:rsid w:val="00E11E3C"/>
    <w:rsid w:val="00E16464"/>
    <w:rsid w:val="00E17AC5"/>
    <w:rsid w:val="00E2080D"/>
    <w:rsid w:val="00E20AE6"/>
    <w:rsid w:val="00E23711"/>
    <w:rsid w:val="00E23DF9"/>
    <w:rsid w:val="00E30AE9"/>
    <w:rsid w:val="00E30FF8"/>
    <w:rsid w:val="00E347DD"/>
    <w:rsid w:val="00E36510"/>
    <w:rsid w:val="00E37795"/>
    <w:rsid w:val="00E37EEE"/>
    <w:rsid w:val="00E42CCB"/>
    <w:rsid w:val="00E4316D"/>
    <w:rsid w:val="00E43FE3"/>
    <w:rsid w:val="00E45C71"/>
    <w:rsid w:val="00E543D9"/>
    <w:rsid w:val="00E5728E"/>
    <w:rsid w:val="00E57A48"/>
    <w:rsid w:val="00E65E14"/>
    <w:rsid w:val="00E65E22"/>
    <w:rsid w:val="00E65F6B"/>
    <w:rsid w:val="00E72287"/>
    <w:rsid w:val="00E7299B"/>
    <w:rsid w:val="00E73D39"/>
    <w:rsid w:val="00E75610"/>
    <w:rsid w:val="00E760CA"/>
    <w:rsid w:val="00E85B01"/>
    <w:rsid w:val="00E90785"/>
    <w:rsid w:val="00E91544"/>
    <w:rsid w:val="00EA0168"/>
    <w:rsid w:val="00EA1EB5"/>
    <w:rsid w:val="00EA4166"/>
    <w:rsid w:val="00EA4419"/>
    <w:rsid w:val="00EA722B"/>
    <w:rsid w:val="00EB4009"/>
    <w:rsid w:val="00EB4846"/>
    <w:rsid w:val="00EC3BD0"/>
    <w:rsid w:val="00EC3F5C"/>
    <w:rsid w:val="00ED0566"/>
    <w:rsid w:val="00ED0D62"/>
    <w:rsid w:val="00ED301C"/>
    <w:rsid w:val="00ED460B"/>
    <w:rsid w:val="00ED6802"/>
    <w:rsid w:val="00EE0323"/>
    <w:rsid w:val="00EE331C"/>
    <w:rsid w:val="00EF4013"/>
    <w:rsid w:val="00EF58DC"/>
    <w:rsid w:val="00F00317"/>
    <w:rsid w:val="00F04016"/>
    <w:rsid w:val="00F06AA5"/>
    <w:rsid w:val="00F07F01"/>
    <w:rsid w:val="00F1090B"/>
    <w:rsid w:val="00F13A92"/>
    <w:rsid w:val="00F177F1"/>
    <w:rsid w:val="00F22426"/>
    <w:rsid w:val="00F24DFF"/>
    <w:rsid w:val="00F2541D"/>
    <w:rsid w:val="00F270F4"/>
    <w:rsid w:val="00F30FD9"/>
    <w:rsid w:val="00F32EE8"/>
    <w:rsid w:val="00F32FF2"/>
    <w:rsid w:val="00F33ABF"/>
    <w:rsid w:val="00F43110"/>
    <w:rsid w:val="00F473F7"/>
    <w:rsid w:val="00F532B1"/>
    <w:rsid w:val="00F55574"/>
    <w:rsid w:val="00F609F5"/>
    <w:rsid w:val="00F61E43"/>
    <w:rsid w:val="00F622A0"/>
    <w:rsid w:val="00F70AB3"/>
    <w:rsid w:val="00F713B9"/>
    <w:rsid w:val="00F726EA"/>
    <w:rsid w:val="00F738FC"/>
    <w:rsid w:val="00F73CE4"/>
    <w:rsid w:val="00F73D4B"/>
    <w:rsid w:val="00F771C1"/>
    <w:rsid w:val="00F84142"/>
    <w:rsid w:val="00F90CAB"/>
    <w:rsid w:val="00F9272D"/>
    <w:rsid w:val="00F949B7"/>
    <w:rsid w:val="00F94FF4"/>
    <w:rsid w:val="00F951A1"/>
    <w:rsid w:val="00F9757D"/>
    <w:rsid w:val="00FA0542"/>
    <w:rsid w:val="00FA233A"/>
    <w:rsid w:val="00FA4704"/>
    <w:rsid w:val="00FA6CF4"/>
    <w:rsid w:val="00FA72B4"/>
    <w:rsid w:val="00FB1824"/>
    <w:rsid w:val="00FB21B7"/>
    <w:rsid w:val="00FB326D"/>
    <w:rsid w:val="00FB3488"/>
    <w:rsid w:val="00FB37D1"/>
    <w:rsid w:val="00FB4EA3"/>
    <w:rsid w:val="00FB7EE6"/>
    <w:rsid w:val="00FC0822"/>
    <w:rsid w:val="00FC2D94"/>
    <w:rsid w:val="00FD179D"/>
    <w:rsid w:val="00FD1C51"/>
    <w:rsid w:val="00FD28C1"/>
    <w:rsid w:val="00FD4F0F"/>
    <w:rsid w:val="00FD5537"/>
    <w:rsid w:val="00FD7F8D"/>
    <w:rsid w:val="00FE0332"/>
    <w:rsid w:val="00FE63EE"/>
    <w:rsid w:val="00FF313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5C1E4B"/>
    <w:pPr>
      <w:keepNext/>
      <w:tabs>
        <w:tab w:val="left" w:pos="426"/>
      </w:tabs>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00793"/>
    <w:pPr>
      <w:keepNext/>
      <w:numPr>
        <w:numId w:val="2"/>
      </w:numPr>
      <w:spacing w:before="360" w:after="240"/>
      <w:ind w:left="0" w:firstLine="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792134"/>
    <w:pPr>
      <w:spacing w:after="0"/>
      <w:ind w:left="601" w:hanging="601"/>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B90661"/>
    <w:p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spacing w:after="120"/>
      <w:jc w:val="both"/>
    </w:pPr>
  </w:style>
  <w:style w:type="paragraph" w:customStyle="1" w:styleId="NumberedList">
    <w:name w:val="Numbered List"/>
    <w:basedOn w:val="ECCParagraph"/>
    <w:rsid w:val="007C6571"/>
    <w:pPr>
      <w:numPr>
        <w:numId w:val="11"/>
      </w:numPr>
      <w:tabs>
        <w:tab w:val="clear" w:pos="681"/>
        <w:tab w:val="num" w:pos="397"/>
      </w:tabs>
      <w:ind w:left="397"/>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StyleHeading">
    <w:name w:val="Style Heading"/>
    <w:basedOn w:val="Heading1"/>
    <w:autoRedefine/>
    <w:rsid w:val="00BB10FE"/>
    <w:pPr>
      <w:tabs>
        <w:tab w:val="left" w:pos="540"/>
      </w:tabs>
      <w:spacing w:before="480"/>
    </w:pPr>
    <w:rPr>
      <w:rFonts w:ascii="Times New Roman" w:hAnsi="Times New Roman" w:cs="Times New Roman"/>
      <w:bCs w:val="0"/>
      <w:color w:val="auto"/>
      <w:kern w:val="0"/>
      <w:szCs w:val="20"/>
      <w:lang w:eastAsia="de-DE"/>
    </w:rPr>
  </w:style>
  <w:style w:type="paragraph" w:styleId="Caption">
    <w:name w:val="caption"/>
    <w:aliases w:val="Ca,Figure-caption,CAPTION,Figure Caption,Figure-caption1,CAPTION1,Figure Caption1,Figure-caption2,CAPTION2,Figure Caption2,Figure-caption3,CAPTION3,Figure Caption3,Figure-caption4,CAPTION4,Figure Caption4,Figure-caption5,CAPTION5"/>
    <w:basedOn w:val="Normal"/>
    <w:next w:val="Normal"/>
    <w:link w:val="CaptionChar"/>
    <w:qFormat/>
    <w:rsid w:val="00F22426"/>
    <w:pPr>
      <w:autoSpaceDE w:val="0"/>
      <w:autoSpaceDN w:val="0"/>
      <w:spacing w:before="120" w:after="120"/>
    </w:pPr>
    <w:rPr>
      <w:rFonts w:ascii="Times New Roman" w:hAnsi="Times New Roman"/>
      <w:b/>
      <w:bCs/>
      <w:sz w:val="24"/>
      <w:szCs w:val="20"/>
      <w:lang w:val="en-GB" w:eastAsia="nl-NL"/>
    </w:rPr>
  </w:style>
  <w:style w:type="paragraph" w:customStyle="1" w:styleId="StyleHeading1BoldJustifiedBefore24ptAfter12pt">
    <w:name w:val="Style Heading 1 + Bold Justified Before:  24 pt After:  12 pt"/>
    <w:basedOn w:val="Heading1"/>
    <w:autoRedefine/>
    <w:rsid w:val="001C1C6B"/>
    <w:pPr>
      <w:numPr>
        <w:numId w:val="13"/>
      </w:numPr>
      <w:tabs>
        <w:tab w:val="left" w:pos="540"/>
      </w:tabs>
      <w:spacing w:before="480"/>
      <w:jc w:val="both"/>
    </w:pPr>
    <w:rPr>
      <w:rFonts w:ascii="Times New Roman" w:hAnsi="Times New Roman" w:cs="Times New Roman"/>
      <w:color w:val="auto"/>
      <w:kern w:val="0"/>
      <w:szCs w:val="20"/>
      <w:lang w:eastAsia="fr-FR"/>
    </w:rPr>
  </w:style>
  <w:style w:type="paragraph" w:customStyle="1" w:styleId="StyleHeading1TimesNewRomanBefore24pt">
    <w:name w:val="Style Heading 1 + Times New Roman Before:  24 pt"/>
    <w:basedOn w:val="Heading2"/>
    <w:autoRedefine/>
    <w:rsid w:val="001C1C6B"/>
    <w:pPr>
      <w:numPr>
        <w:ilvl w:val="1"/>
        <w:numId w:val="13"/>
      </w:numPr>
      <w:autoSpaceDE w:val="0"/>
      <w:autoSpaceDN w:val="0"/>
      <w:spacing w:before="0" w:after="0"/>
      <w:jc w:val="both"/>
    </w:pPr>
    <w:rPr>
      <w:rFonts w:ascii="Times New Roman" w:hAnsi="Times New Roman" w:cs="Times New Roman"/>
      <w:b w:val="0"/>
      <w:i/>
      <w:caps w:val="0"/>
      <w:color w:val="auto"/>
      <w:szCs w:val="20"/>
      <w:lang w:val="en-GB" w:eastAsia="de-CH"/>
    </w:rPr>
  </w:style>
  <w:style w:type="character" w:styleId="CommentReference">
    <w:name w:val="annotation reference"/>
    <w:basedOn w:val="DefaultParagraphFont"/>
    <w:uiPriority w:val="99"/>
    <w:semiHidden/>
    <w:unhideWhenUsed/>
    <w:rsid w:val="0077181C"/>
    <w:rPr>
      <w:sz w:val="16"/>
      <w:szCs w:val="16"/>
    </w:rPr>
  </w:style>
  <w:style w:type="paragraph" w:styleId="CommentText">
    <w:name w:val="annotation text"/>
    <w:basedOn w:val="Normal"/>
    <w:link w:val="CommentTextChar"/>
    <w:uiPriority w:val="99"/>
    <w:semiHidden/>
    <w:unhideWhenUsed/>
    <w:rsid w:val="0077181C"/>
    <w:rPr>
      <w:szCs w:val="20"/>
    </w:rPr>
  </w:style>
  <w:style w:type="character" w:customStyle="1" w:styleId="CommentTextChar">
    <w:name w:val="Comment Text Char"/>
    <w:basedOn w:val="DefaultParagraphFont"/>
    <w:link w:val="CommentText"/>
    <w:uiPriority w:val="99"/>
    <w:semiHidden/>
    <w:rsid w:val="0077181C"/>
    <w:rPr>
      <w:rFonts w:ascii="Arial" w:hAnsi="Arial"/>
      <w:lang w:val="en-US"/>
    </w:rPr>
  </w:style>
  <w:style w:type="paragraph" w:styleId="CommentSubject">
    <w:name w:val="annotation subject"/>
    <w:basedOn w:val="CommentText"/>
    <w:next w:val="CommentText"/>
    <w:link w:val="CommentSubjectChar"/>
    <w:uiPriority w:val="99"/>
    <w:semiHidden/>
    <w:unhideWhenUsed/>
    <w:rsid w:val="0077181C"/>
    <w:rPr>
      <w:b/>
      <w:bCs/>
    </w:rPr>
  </w:style>
  <w:style w:type="character" w:customStyle="1" w:styleId="CommentSubjectChar">
    <w:name w:val="Comment Subject Char"/>
    <w:basedOn w:val="CommentTextChar"/>
    <w:link w:val="CommentSubject"/>
    <w:uiPriority w:val="99"/>
    <w:semiHidden/>
    <w:rsid w:val="0077181C"/>
    <w:rPr>
      <w:rFonts w:ascii="Arial" w:hAnsi="Arial"/>
      <w:b/>
      <w:bCs/>
      <w:lang w:val="en-US"/>
    </w:rPr>
  </w:style>
  <w:style w:type="paragraph" w:styleId="Revision">
    <w:name w:val="Revision"/>
    <w:hidden/>
    <w:uiPriority w:val="99"/>
    <w:semiHidden/>
    <w:rsid w:val="0077181C"/>
    <w:rPr>
      <w:rFonts w:ascii="Arial" w:hAnsi="Arial"/>
      <w:szCs w:val="24"/>
      <w:lang w:val="en-US"/>
    </w:rPr>
  </w:style>
  <w:style w:type="paragraph" w:styleId="NormalWeb">
    <w:name w:val="Normal (Web)"/>
    <w:basedOn w:val="Normal"/>
    <w:uiPriority w:val="99"/>
    <w:unhideWhenUsed/>
    <w:rsid w:val="004C67CE"/>
    <w:pPr>
      <w:spacing w:before="100" w:beforeAutospacing="1" w:after="100" w:afterAutospacing="1"/>
    </w:pPr>
    <w:rPr>
      <w:rFonts w:ascii="Times New Roman" w:hAnsi="Times New Roman"/>
      <w:sz w:val="24"/>
      <w:lang w:val="en-GB" w:eastAsia="en-GB"/>
    </w:rPr>
  </w:style>
  <w:style w:type="paragraph" w:customStyle="1" w:styleId="BN">
    <w:name w:val="BN"/>
    <w:basedOn w:val="Normal"/>
    <w:uiPriority w:val="99"/>
    <w:rsid w:val="00DB08EA"/>
    <w:pPr>
      <w:numPr>
        <w:numId w:val="14"/>
      </w:numPr>
      <w:overflowPunct w:val="0"/>
      <w:autoSpaceDE w:val="0"/>
      <w:autoSpaceDN w:val="0"/>
      <w:adjustRightInd w:val="0"/>
      <w:spacing w:after="180"/>
    </w:pPr>
    <w:rPr>
      <w:rFonts w:ascii="Times New Roman" w:hAnsi="Times New Roman"/>
      <w:szCs w:val="20"/>
      <w:lang w:val="en-GB"/>
    </w:rPr>
  </w:style>
  <w:style w:type="character" w:customStyle="1" w:styleId="CaptionChar">
    <w:name w:val="Caption Char"/>
    <w:aliases w:val="Ca Char,Figure-caption Char,CAPTION Char,Figure Caption Char,Figure-caption1 Char,CAPTION1 Char,Figure Caption1 Char,Figure-caption2 Char,CAPTION2 Char,Figure Caption2 Char,Figure-caption3 Char,CAPTION3 Char,Figure Caption3 Char"/>
    <w:link w:val="Caption"/>
    <w:locked/>
    <w:rsid w:val="00DB08EA"/>
    <w:rPr>
      <w:b/>
      <w:bCs/>
      <w:sz w:val="24"/>
      <w:lang w:eastAsia="nl-NL"/>
    </w:rPr>
  </w:style>
  <w:style w:type="paragraph" w:customStyle="1" w:styleId="eccparagraph0">
    <w:name w:val="eccparagraph"/>
    <w:basedOn w:val="Normal"/>
    <w:rsid w:val="00893DD8"/>
    <w:rPr>
      <w:rFonts w:ascii="Times New Roman" w:eastAsiaTheme="minorHAnsi" w:hAnsi="Times New Roman"/>
      <w:sz w:val="24"/>
      <w:lang w:val="ru-RU" w:eastAsia="ru-RU"/>
    </w:rPr>
  </w:style>
  <w:style w:type="paragraph" w:customStyle="1" w:styleId="TableText">
    <w:name w:val="TableText"/>
    <w:basedOn w:val="BodyTextIndent"/>
    <w:rsid w:val="00902FA6"/>
    <w:pPr>
      <w:keepNext/>
      <w:keepLines/>
      <w:overflowPunct w:val="0"/>
      <w:autoSpaceDE w:val="0"/>
      <w:autoSpaceDN w:val="0"/>
      <w:adjustRightInd w:val="0"/>
      <w:spacing w:after="180"/>
      <w:jc w:val="center"/>
      <w:textAlignment w:val="baseline"/>
    </w:pPr>
    <w:rPr>
      <w:snapToGrid w:val="0"/>
      <w:kern w:val="2"/>
      <w:sz w:val="20"/>
      <w:szCs w:val="20"/>
      <w:lang w:val="en-GB" w:eastAsia="en-US"/>
    </w:rPr>
  </w:style>
  <w:style w:type="paragraph" w:customStyle="1" w:styleId="Kopfzeile1">
    <w:name w:val="Kopfzeile1"/>
    <w:basedOn w:val="Header"/>
    <w:rsid w:val="00B34A4E"/>
    <w:pPr>
      <w:tabs>
        <w:tab w:val="clear" w:pos="4320"/>
        <w:tab w:val="clear" w:pos="8640"/>
        <w:tab w:val="center" w:pos="4536"/>
        <w:tab w:val="right" w:pos="9072"/>
      </w:tabs>
    </w:pPr>
    <w:rPr>
      <w:sz w:val="22"/>
      <w:szCs w:val="20"/>
      <w:lang w:val="nb-NO" w:eastAsia="de-DE"/>
    </w:rPr>
  </w:style>
  <w:style w:type="paragraph" w:customStyle="1" w:styleId="Header1">
    <w:name w:val="Header1"/>
    <w:basedOn w:val="Header"/>
    <w:link w:val="HeaderZchnZchn"/>
    <w:rsid w:val="00B34A4E"/>
    <w:pPr>
      <w:tabs>
        <w:tab w:val="clear" w:pos="4320"/>
        <w:tab w:val="clear" w:pos="8640"/>
        <w:tab w:val="center" w:pos="4536"/>
        <w:tab w:val="right" w:pos="9072"/>
      </w:tabs>
      <w:spacing w:before="60"/>
    </w:pPr>
    <w:rPr>
      <w:sz w:val="22"/>
      <w:szCs w:val="20"/>
      <w:lang w:val="nb-NO" w:eastAsia="x-none"/>
    </w:rPr>
  </w:style>
  <w:style w:type="character" w:customStyle="1" w:styleId="HeaderZchnZchn">
    <w:name w:val="Header Zchn Zchn"/>
    <w:link w:val="Header1"/>
    <w:rsid w:val="00B34A4E"/>
    <w:rPr>
      <w:rFonts w:ascii="Arial" w:hAnsi="Arial"/>
      <w:b/>
      <w:sz w:val="22"/>
      <w:lang w:val="nb-NO" w:eastAsia="x-none"/>
    </w:rPr>
  </w:style>
  <w:style w:type="paragraph" w:styleId="NoSpacing">
    <w:name w:val="No Spacing"/>
    <w:uiPriority w:val="1"/>
    <w:qFormat/>
    <w:rsid w:val="00CC711C"/>
    <w:rPr>
      <w:rFonts w:ascii="Arial" w:eastAsiaTheme="minorHAnsi" w:hAnsi="Arial" w:cstheme="minorBidi"/>
      <w:sz w:val="22"/>
      <w:szCs w:val="2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5C1E4B"/>
    <w:pPr>
      <w:keepNext/>
      <w:tabs>
        <w:tab w:val="left" w:pos="426"/>
      </w:tabs>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00793"/>
    <w:pPr>
      <w:keepNext/>
      <w:numPr>
        <w:numId w:val="2"/>
      </w:numPr>
      <w:spacing w:before="360" w:after="240"/>
      <w:ind w:left="0" w:firstLine="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792134"/>
    <w:pPr>
      <w:spacing w:after="0"/>
      <w:ind w:left="601" w:hanging="601"/>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B90661"/>
    <w:p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spacing w:after="120"/>
      <w:jc w:val="both"/>
    </w:pPr>
  </w:style>
  <w:style w:type="paragraph" w:customStyle="1" w:styleId="NumberedList">
    <w:name w:val="Numbered List"/>
    <w:basedOn w:val="ECCParagraph"/>
    <w:rsid w:val="007C6571"/>
    <w:pPr>
      <w:numPr>
        <w:numId w:val="11"/>
      </w:numPr>
      <w:tabs>
        <w:tab w:val="clear" w:pos="681"/>
        <w:tab w:val="num" w:pos="397"/>
      </w:tabs>
      <w:ind w:left="397"/>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StyleHeading">
    <w:name w:val="Style Heading"/>
    <w:basedOn w:val="Heading1"/>
    <w:autoRedefine/>
    <w:rsid w:val="00BB10FE"/>
    <w:pPr>
      <w:tabs>
        <w:tab w:val="left" w:pos="540"/>
      </w:tabs>
      <w:spacing w:before="480"/>
    </w:pPr>
    <w:rPr>
      <w:rFonts w:ascii="Times New Roman" w:hAnsi="Times New Roman" w:cs="Times New Roman"/>
      <w:bCs w:val="0"/>
      <w:color w:val="auto"/>
      <w:kern w:val="0"/>
      <w:szCs w:val="20"/>
      <w:lang w:eastAsia="de-DE"/>
    </w:rPr>
  </w:style>
  <w:style w:type="paragraph" w:styleId="Caption">
    <w:name w:val="caption"/>
    <w:aliases w:val="Ca,Figure-caption,CAPTION,Figure Caption,Figure-caption1,CAPTION1,Figure Caption1,Figure-caption2,CAPTION2,Figure Caption2,Figure-caption3,CAPTION3,Figure Caption3,Figure-caption4,CAPTION4,Figure Caption4,Figure-caption5,CAPTION5"/>
    <w:basedOn w:val="Normal"/>
    <w:next w:val="Normal"/>
    <w:link w:val="CaptionChar"/>
    <w:qFormat/>
    <w:rsid w:val="00F22426"/>
    <w:pPr>
      <w:autoSpaceDE w:val="0"/>
      <w:autoSpaceDN w:val="0"/>
      <w:spacing w:before="120" w:after="120"/>
    </w:pPr>
    <w:rPr>
      <w:rFonts w:ascii="Times New Roman" w:hAnsi="Times New Roman"/>
      <w:b/>
      <w:bCs/>
      <w:sz w:val="24"/>
      <w:szCs w:val="20"/>
      <w:lang w:val="en-GB" w:eastAsia="nl-NL"/>
    </w:rPr>
  </w:style>
  <w:style w:type="paragraph" w:customStyle="1" w:styleId="StyleHeading1BoldJustifiedBefore24ptAfter12pt">
    <w:name w:val="Style Heading 1 + Bold Justified Before:  24 pt After:  12 pt"/>
    <w:basedOn w:val="Heading1"/>
    <w:autoRedefine/>
    <w:rsid w:val="001C1C6B"/>
    <w:pPr>
      <w:numPr>
        <w:numId w:val="13"/>
      </w:numPr>
      <w:tabs>
        <w:tab w:val="left" w:pos="540"/>
      </w:tabs>
      <w:spacing w:before="480"/>
      <w:jc w:val="both"/>
    </w:pPr>
    <w:rPr>
      <w:rFonts w:ascii="Times New Roman" w:hAnsi="Times New Roman" w:cs="Times New Roman"/>
      <w:color w:val="auto"/>
      <w:kern w:val="0"/>
      <w:szCs w:val="20"/>
      <w:lang w:eastAsia="fr-FR"/>
    </w:rPr>
  </w:style>
  <w:style w:type="paragraph" w:customStyle="1" w:styleId="StyleHeading1TimesNewRomanBefore24pt">
    <w:name w:val="Style Heading 1 + Times New Roman Before:  24 pt"/>
    <w:basedOn w:val="Heading2"/>
    <w:autoRedefine/>
    <w:rsid w:val="001C1C6B"/>
    <w:pPr>
      <w:numPr>
        <w:ilvl w:val="1"/>
        <w:numId w:val="13"/>
      </w:numPr>
      <w:autoSpaceDE w:val="0"/>
      <w:autoSpaceDN w:val="0"/>
      <w:spacing w:before="0" w:after="0"/>
      <w:jc w:val="both"/>
    </w:pPr>
    <w:rPr>
      <w:rFonts w:ascii="Times New Roman" w:hAnsi="Times New Roman" w:cs="Times New Roman"/>
      <w:b w:val="0"/>
      <w:i/>
      <w:caps w:val="0"/>
      <w:color w:val="auto"/>
      <w:szCs w:val="20"/>
      <w:lang w:val="en-GB" w:eastAsia="de-CH"/>
    </w:rPr>
  </w:style>
  <w:style w:type="character" w:styleId="CommentReference">
    <w:name w:val="annotation reference"/>
    <w:basedOn w:val="DefaultParagraphFont"/>
    <w:uiPriority w:val="99"/>
    <w:semiHidden/>
    <w:unhideWhenUsed/>
    <w:rsid w:val="0077181C"/>
    <w:rPr>
      <w:sz w:val="16"/>
      <w:szCs w:val="16"/>
    </w:rPr>
  </w:style>
  <w:style w:type="paragraph" w:styleId="CommentText">
    <w:name w:val="annotation text"/>
    <w:basedOn w:val="Normal"/>
    <w:link w:val="CommentTextChar"/>
    <w:uiPriority w:val="99"/>
    <w:semiHidden/>
    <w:unhideWhenUsed/>
    <w:rsid w:val="0077181C"/>
    <w:rPr>
      <w:szCs w:val="20"/>
    </w:rPr>
  </w:style>
  <w:style w:type="character" w:customStyle="1" w:styleId="CommentTextChar">
    <w:name w:val="Comment Text Char"/>
    <w:basedOn w:val="DefaultParagraphFont"/>
    <w:link w:val="CommentText"/>
    <w:uiPriority w:val="99"/>
    <w:semiHidden/>
    <w:rsid w:val="0077181C"/>
    <w:rPr>
      <w:rFonts w:ascii="Arial" w:hAnsi="Arial"/>
      <w:lang w:val="en-US"/>
    </w:rPr>
  </w:style>
  <w:style w:type="paragraph" w:styleId="CommentSubject">
    <w:name w:val="annotation subject"/>
    <w:basedOn w:val="CommentText"/>
    <w:next w:val="CommentText"/>
    <w:link w:val="CommentSubjectChar"/>
    <w:uiPriority w:val="99"/>
    <w:semiHidden/>
    <w:unhideWhenUsed/>
    <w:rsid w:val="0077181C"/>
    <w:rPr>
      <w:b/>
      <w:bCs/>
    </w:rPr>
  </w:style>
  <w:style w:type="character" w:customStyle="1" w:styleId="CommentSubjectChar">
    <w:name w:val="Comment Subject Char"/>
    <w:basedOn w:val="CommentTextChar"/>
    <w:link w:val="CommentSubject"/>
    <w:uiPriority w:val="99"/>
    <w:semiHidden/>
    <w:rsid w:val="0077181C"/>
    <w:rPr>
      <w:rFonts w:ascii="Arial" w:hAnsi="Arial"/>
      <w:b/>
      <w:bCs/>
      <w:lang w:val="en-US"/>
    </w:rPr>
  </w:style>
  <w:style w:type="paragraph" w:styleId="Revision">
    <w:name w:val="Revision"/>
    <w:hidden/>
    <w:uiPriority w:val="99"/>
    <w:semiHidden/>
    <w:rsid w:val="0077181C"/>
    <w:rPr>
      <w:rFonts w:ascii="Arial" w:hAnsi="Arial"/>
      <w:szCs w:val="24"/>
      <w:lang w:val="en-US"/>
    </w:rPr>
  </w:style>
  <w:style w:type="paragraph" w:styleId="NormalWeb">
    <w:name w:val="Normal (Web)"/>
    <w:basedOn w:val="Normal"/>
    <w:uiPriority w:val="99"/>
    <w:unhideWhenUsed/>
    <w:rsid w:val="004C67CE"/>
    <w:pPr>
      <w:spacing w:before="100" w:beforeAutospacing="1" w:after="100" w:afterAutospacing="1"/>
    </w:pPr>
    <w:rPr>
      <w:rFonts w:ascii="Times New Roman" w:hAnsi="Times New Roman"/>
      <w:sz w:val="24"/>
      <w:lang w:val="en-GB" w:eastAsia="en-GB"/>
    </w:rPr>
  </w:style>
  <w:style w:type="paragraph" w:customStyle="1" w:styleId="BN">
    <w:name w:val="BN"/>
    <w:basedOn w:val="Normal"/>
    <w:uiPriority w:val="99"/>
    <w:rsid w:val="00DB08EA"/>
    <w:pPr>
      <w:numPr>
        <w:numId w:val="14"/>
      </w:numPr>
      <w:overflowPunct w:val="0"/>
      <w:autoSpaceDE w:val="0"/>
      <w:autoSpaceDN w:val="0"/>
      <w:adjustRightInd w:val="0"/>
      <w:spacing w:after="180"/>
    </w:pPr>
    <w:rPr>
      <w:rFonts w:ascii="Times New Roman" w:hAnsi="Times New Roman"/>
      <w:szCs w:val="20"/>
      <w:lang w:val="en-GB"/>
    </w:rPr>
  </w:style>
  <w:style w:type="character" w:customStyle="1" w:styleId="CaptionChar">
    <w:name w:val="Caption Char"/>
    <w:aliases w:val="Ca Char,Figure-caption Char,CAPTION Char,Figure Caption Char,Figure-caption1 Char,CAPTION1 Char,Figure Caption1 Char,Figure-caption2 Char,CAPTION2 Char,Figure Caption2 Char,Figure-caption3 Char,CAPTION3 Char,Figure Caption3 Char"/>
    <w:link w:val="Caption"/>
    <w:locked/>
    <w:rsid w:val="00DB08EA"/>
    <w:rPr>
      <w:b/>
      <w:bCs/>
      <w:sz w:val="24"/>
      <w:lang w:eastAsia="nl-NL"/>
    </w:rPr>
  </w:style>
  <w:style w:type="paragraph" w:customStyle="1" w:styleId="eccparagraph0">
    <w:name w:val="eccparagraph"/>
    <w:basedOn w:val="Normal"/>
    <w:rsid w:val="00893DD8"/>
    <w:rPr>
      <w:rFonts w:ascii="Times New Roman" w:eastAsiaTheme="minorHAnsi" w:hAnsi="Times New Roman"/>
      <w:sz w:val="24"/>
      <w:lang w:val="ru-RU" w:eastAsia="ru-RU"/>
    </w:rPr>
  </w:style>
  <w:style w:type="paragraph" w:customStyle="1" w:styleId="TableText">
    <w:name w:val="TableText"/>
    <w:basedOn w:val="BodyTextIndent"/>
    <w:rsid w:val="00902FA6"/>
    <w:pPr>
      <w:keepNext/>
      <w:keepLines/>
      <w:overflowPunct w:val="0"/>
      <w:autoSpaceDE w:val="0"/>
      <w:autoSpaceDN w:val="0"/>
      <w:adjustRightInd w:val="0"/>
      <w:spacing w:after="180"/>
      <w:jc w:val="center"/>
      <w:textAlignment w:val="baseline"/>
    </w:pPr>
    <w:rPr>
      <w:snapToGrid w:val="0"/>
      <w:kern w:val="2"/>
      <w:sz w:val="20"/>
      <w:szCs w:val="20"/>
      <w:lang w:val="en-GB" w:eastAsia="en-US"/>
    </w:rPr>
  </w:style>
  <w:style w:type="paragraph" w:customStyle="1" w:styleId="Kopfzeile1">
    <w:name w:val="Kopfzeile1"/>
    <w:basedOn w:val="Header"/>
    <w:rsid w:val="00B34A4E"/>
    <w:pPr>
      <w:tabs>
        <w:tab w:val="clear" w:pos="4320"/>
        <w:tab w:val="clear" w:pos="8640"/>
        <w:tab w:val="center" w:pos="4536"/>
        <w:tab w:val="right" w:pos="9072"/>
      </w:tabs>
    </w:pPr>
    <w:rPr>
      <w:sz w:val="22"/>
      <w:szCs w:val="20"/>
      <w:lang w:val="nb-NO" w:eastAsia="de-DE"/>
    </w:rPr>
  </w:style>
  <w:style w:type="paragraph" w:customStyle="1" w:styleId="Header1">
    <w:name w:val="Header1"/>
    <w:basedOn w:val="Header"/>
    <w:link w:val="HeaderZchnZchn"/>
    <w:rsid w:val="00B34A4E"/>
    <w:pPr>
      <w:tabs>
        <w:tab w:val="clear" w:pos="4320"/>
        <w:tab w:val="clear" w:pos="8640"/>
        <w:tab w:val="center" w:pos="4536"/>
        <w:tab w:val="right" w:pos="9072"/>
      </w:tabs>
      <w:spacing w:before="60"/>
    </w:pPr>
    <w:rPr>
      <w:sz w:val="22"/>
      <w:szCs w:val="20"/>
      <w:lang w:val="nb-NO" w:eastAsia="x-none"/>
    </w:rPr>
  </w:style>
  <w:style w:type="character" w:customStyle="1" w:styleId="HeaderZchnZchn">
    <w:name w:val="Header Zchn Zchn"/>
    <w:link w:val="Header1"/>
    <w:rsid w:val="00B34A4E"/>
    <w:rPr>
      <w:rFonts w:ascii="Arial" w:hAnsi="Arial"/>
      <w:b/>
      <w:sz w:val="22"/>
      <w:lang w:val="nb-NO" w:eastAsia="x-none"/>
    </w:rPr>
  </w:style>
  <w:style w:type="paragraph" w:styleId="NoSpacing">
    <w:name w:val="No Spacing"/>
    <w:uiPriority w:val="1"/>
    <w:qFormat/>
    <w:rsid w:val="00CC711C"/>
    <w:rPr>
      <w:rFonts w:ascii="Arial" w:eastAsiaTheme="minorHAnsi" w:hAnsi="Arial" w:cstheme="minorBid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702">
      <w:bodyDiv w:val="1"/>
      <w:marLeft w:val="0"/>
      <w:marRight w:val="0"/>
      <w:marTop w:val="0"/>
      <w:marBottom w:val="0"/>
      <w:divBdr>
        <w:top w:val="none" w:sz="0" w:space="0" w:color="auto"/>
        <w:left w:val="none" w:sz="0" w:space="0" w:color="auto"/>
        <w:bottom w:val="none" w:sz="0" w:space="0" w:color="auto"/>
        <w:right w:val="none" w:sz="0" w:space="0" w:color="auto"/>
      </w:divBdr>
      <w:divsChild>
        <w:div w:id="52198502">
          <w:marLeft w:val="0"/>
          <w:marRight w:val="0"/>
          <w:marTop w:val="0"/>
          <w:marBottom w:val="0"/>
          <w:divBdr>
            <w:top w:val="none" w:sz="0" w:space="0" w:color="auto"/>
            <w:left w:val="none" w:sz="0" w:space="0" w:color="auto"/>
            <w:bottom w:val="none" w:sz="0" w:space="0" w:color="auto"/>
            <w:right w:val="none" w:sz="0" w:space="0" w:color="auto"/>
          </w:divBdr>
          <w:divsChild>
            <w:div w:id="1808430488">
              <w:marLeft w:val="0"/>
              <w:marRight w:val="0"/>
              <w:marTop w:val="0"/>
              <w:marBottom w:val="0"/>
              <w:divBdr>
                <w:top w:val="none" w:sz="0" w:space="0" w:color="auto"/>
                <w:left w:val="none" w:sz="0" w:space="0" w:color="auto"/>
                <w:bottom w:val="none" w:sz="0" w:space="0" w:color="auto"/>
                <w:right w:val="none" w:sz="0" w:space="0" w:color="auto"/>
              </w:divBdr>
              <w:divsChild>
                <w:div w:id="187716867">
                  <w:marLeft w:val="0"/>
                  <w:marRight w:val="0"/>
                  <w:marTop w:val="0"/>
                  <w:marBottom w:val="0"/>
                  <w:divBdr>
                    <w:top w:val="none" w:sz="0" w:space="0" w:color="auto"/>
                    <w:left w:val="none" w:sz="0" w:space="0" w:color="auto"/>
                    <w:bottom w:val="none" w:sz="0" w:space="0" w:color="auto"/>
                    <w:right w:val="none" w:sz="0" w:space="0" w:color="auto"/>
                  </w:divBdr>
                  <w:divsChild>
                    <w:div w:id="17813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13690">
      <w:bodyDiv w:val="1"/>
      <w:marLeft w:val="0"/>
      <w:marRight w:val="0"/>
      <w:marTop w:val="0"/>
      <w:marBottom w:val="0"/>
      <w:divBdr>
        <w:top w:val="none" w:sz="0" w:space="0" w:color="auto"/>
        <w:left w:val="none" w:sz="0" w:space="0" w:color="auto"/>
        <w:bottom w:val="none" w:sz="0" w:space="0" w:color="auto"/>
        <w:right w:val="none" w:sz="0" w:space="0" w:color="auto"/>
      </w:divBdr>
      <w:divsChild>
        <w:div w:id="568197567">
          <w:marLeft w:val="0"/>
          <w:marRight w:val="0"/>
          <w:marTop w:val="0"/>
          <w:marBottom w:val="0"/>
          <w:divBdr>
            <w:top w:val="none" w:sz="0" w:space="0" w:color="auto"/>
            <w:left w:val="none" w:sz="0" w:space="0" w:color="auto"/>
            <w:bottom w:val="none" w:sz="0" w:space="0" w:color="auto"/>
            <w:right w:val="none" w:sz="0" w:space="0" w:color="auto"/>
          </w:divBdr>
          <w:divsChild>
            <w:div w:id="638729565">
              <w:marLeft w:val="0"/>
              <w:marRight w:val="0"/>
              <w:marTop w:val="0"/>
              <w:marBottom w:val="0"/>
              <w:divBdr>
                <w:top w:val="none" w:sz="0" w:space="0" w:color="auto"/>
                <w:left w:val="none" w:sz="0" w:space="0" w:color="auto"/>
                <w:bottom w:val="none" w:sz="0" w:space="0" w:color="auto"/>
                <w:right w:val="none" w:sz="0" w:space="0" w:color="auto"/>
              </w:divBdr>
              <w:divsChild>
                <w:div w:id="13269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9306">
      <w:bodyDiv w:val="1"/>
      <w:marLeft w:val="0"/>
      <w:marRight w:val="0"/>
      <w:marTop w:val="0"/>
      <w:marBottom w:val="0"/>
      <w:divBdr>
        <w:top w:val="none" w:sz="0" w:space="0" w:color="auto"/>
        <w:left w:val="none" w:sz="0" w:space="0" w:color="auto"/>
        <w:bottom w:val="none" w:sz="0" w:space="0" w:color="auto"/>
        <w:right w:val="none" w:sz="0" w:space="0" w:color="auto"/>
      </w:divBdr>
      <w:divsChild>
        <w:div w:id="1501508398">
          <w:marLeft w:val="0"/>
          <w:marRight w:val="0"/>
          <w:marTop w:val="0"/>
          <w:marBottom w:val="0"/>
          <w:divBdr>
            <w:top w:val="none" w:sz="0" w:space="0" w:color="auto"/>
            <w:left w:val="none" w:sz="0" w:space="0" w:color="auto"/>
            <w:bottom w:val="none" w:sz="0" w:space="0" w:color="auto"/>
            <w:right w:val="none" w:sz="0" w:space="0" w:color="auto"/>
          </w:divBdr>
          <w:divsChild>
            <w:div w:id="1287345534">
              <w:marLeft w:val="0"/>
              <w:marRight w:val="0"/>
              <w:marTop w:val="0"/>
              <w:marBottom w:val="0"/>
              <w:divBdr>
                <w:top w:val="none" w:sz="0" w:space="0" w:color="auto"/>
                <w:left w:val="none" w:sz="0" w:space="0" w:color="auto"/>
                <w:bottom w:val="none" w:sz="0" w:space="0" w:color="auto"/>
                <w:right w:val="none" w:sz="0" w:space="0" w:color="auto"/>
              </w:divBdr>
              <w:divsChild>
                <w:div w:id="20046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58310">
      <w:bodyDiv w:val="1"/>
      <w:marLeft w:val="0"/>
      <w:marRight w:val="0"/>
      <w:marTop w:val="0"/>
      <w:marBottom w:val="0"/>
      <w:divBdr>
        <w:top w:val="none" w:sz="0" w:space="0" w:color="auto"/>
        <w:left w:val="none" w:sz="0" w:space="0" w:color="auto"/>
        <w:bottom w:val="none" w:sz="0" w:space="0" w:color="auto"/>
        <w:right w:val="none" w:sz="0" w:space="0" w:color="auto"/>
      </w:divBdr>
    </w:div>
    <w:div w:id="320475658">
      <w:bodyDiv w:val="1"/>
      <w:marLeft w:val="0"/>
      <w:marRight w:val="0"/>
      <w:marTop w:val="0"/>
      <w:marBottom w:val="0"/>
      <w:divBdr>
        <w:top w:val="none" w:sz="0" w:space="0" w:color="auto"/>
        <w:left w:val="none" w:sz="0" w:space="0" w:color="auto"/>
        <w:bottom w:val="none" w:sz="0" w:space="0" w:color="auto"/>
        <w:right w:val="none" w:sz="0" w:space="0" w:color="auto"/>
      </w:divBdr>
    </w:div>
    <w:div w:id="442772953">
      <w:bodyDiv w:val="1"/>
      <w:marLeft w:val="0"/>
      <w:marRight w:val="0"/>
      <w:marTop w:val="0"/>
      <w:marBottom w:val="0"/>
      <w:divBdr>
        <w:top w:val="none" w:sz="0" w:space="0" w:color="auto"/>
        <w:left w:val="none" w:sz="0" w:space="0" w:color="auto"/>
        <w:bottom w:val="none" w:sz="0" w:space="0" w:color="auto"/>
        <w:right w:val="none" w:sz="0" w:space="0" w:color="auto"/>
      </w:divBdr>
      <w:divsChild>
        <w:div w:id="897666387">
          <w:marLeft w:val="0"/>
          <w:marRight w:val="0"/>
          <w:marTop w:val="0"/>
          <w:marBottom w:val="0"/>
          <w:divBdr>
            <w:top w:val="none" w:sz="0" w:space="0" w:color="auto"/>
            <w:left w:val="none" w:sz="0" w:space="0" w:color="auto"/>
            <w:bottom w:val="none" w:sz="0" w:space="0" w:color="auto"/>
            <w:right w:val="none" w:sz="0" w:space="0" w:color="auto"/>
          </w:divBdr>
          <w:divsChild>
            <w:div w:id="1417553589">
              <w:marLeft w:val="0"/>
              <w:marRight w:val="0"/>
              <w:marTop w:val="0"/>
              <w:marBottom w:val="0"/>
              <w:divBdr>
                <w:top w:val="none" w:sz="0" w:space="0" w:color="auto"/>
                <w:left w:val="none" w:sz="0" w:space="0" w:color="auto"/>
                <w:bottom w:val="none" w:sz="0" w:space="0" w:color="auto"/>
                <w:right w:val="none" w:sz="0" w:space="0" w:color="auto"/>
              </w:divBdr>
              <w:divsChild>
                <w:div w:id="748233095">
                  <w:marLeft w:val="0"/>
                  <w:marRight w:val="0"/>
                  <w:marTop w:val="0"/>
                  <w:marBottom w:val="0"/>
                  <w:divBdr>
                    <w:top w:val="none" w:sz="0" w:space="0" w:color="auto"/>
                    <w:left w:val="none" w:sz="0" w:space="0" w:color="auto"/>
                    <w:bottom w:val="none" w:sz="0" w:space="0" w:color="auto"/>
                    <w:right w:val="none" w:sz="0" w:space="0" w:color="auto"/>
                  </w:divBdr>
                </w:div>
              </w:divsChild>
            </w:div>
            <w:div w:id="896018286">
              <w:marLeft w:val="0"/>
              <w:marRight w:val="0"/>
              <w:marTop w:val="0"/>
              <w:marBottom w:val="0"/>
              <w:divBdr>
                <w:top w:val="none" w:sz="0" w:space="0" w:color="auto"/>
                <w:left w:val="none" w:sz="0" w:space="0" w:color="auto"/>
                <w:bottom w:val="none" w:sz="0" w:space="0" w:color="auto"/>
                <w:right w:val="none" w:sz="0" w:space="0" w:color="auto"/>
              </w:divBdr>
              <w:divsChild>
                <w:div w:id="2135637251">
                  <w:marLeft w:val="0"/>
                  <w:marRight w:val="0"/>
                  <w:marTop w:val="0"/>
                  <w:marBottom w:val="0"/>
                  <w:divBdr>
                    <w:top w:val="none" w:sz="0" w:space="0" w:color="auto"/>
                    <w:left w:val="none" w:sz="0" w:space="0" w:color="auto"/>
                    <w:bottom w:val="none" w:sz="0" w:space="0" w:color="auto"/>
                    <w:right w:val="none" w:sz="0" w:space="0" w:color="auto"/>
                  </w:divBdr>
                </w:div>
              </w:divsChild>
            </w:div>
            <w:div w:id="583881772">
              <w:marLeft w:val="0"/>
              <w:marRight w:val="0"/>
              <w:marTop w:val="0"/>
              <w:marBottom w:val="0"/>
              <w:divBdr>
                <w:top w:val="none" w:sz="0" w:space="0" w:color="auto"/>
                <w:left w:val="none" w:sz="0" w:space="0" w:color="auto"/>
                <w:bottom w:val="none" w:sz="0" w:space="0" w:color="auto"/>
                <w:right w:val="none" w:sz="0" w:space="0" w:color="auto"/>
              </w:divBdr>
              <w:divsChild>
                <w:div w:id="813640678">
                  <w:marLeft w:val="0"/>
                  <w:marRight w:val="0"/>
                  <w:marTop w:val="0"/>
                  <w:marBottom w:val="0"/>
                  <w:divBdr>
                    <w:top w:val="none" w:sz="0" w:space="0" w:color="auto"/>
                    <w:left w:val="none" w:sz="0" w:space="0" w:color="auto"/>
                    <w:bottom w:val="none" w:sz="0" w:space="0" w:color="auto"/>
                    <w:right w:val="none" w:sz="0" w:space="0" w:color="auto"/>
                  </w:divBdr>
                </w:div>
              </w:divsChild>
            </w:div>
            <w:div w:id="211773970">
              <w:marLeft w:val="0"/>
              <w:marRight w:val="0"/>
              <w:marTop w:val="0"/>
              <w:marBottom w:val="0"/>
              <w:divBdr>
                <w:top w:val="none" w:sz="0" w:space="0" w:color="auto"/>
                <w:left w:val="none" w:sz="0" w:space="0" w:color="auto"/>
                <w:bottom w:val="none" w:sz="0" w:space="0" w:color="auto"/>
                <w:right w:val="none" w:sz="0" w:space="0" w:color="auto"/>
              </w:divBdr>
              <w:divsChild>
                <w:div w:id="856579686">
                  <w:marLeft w:val="0"/>
                  <w:marRight w:val="0"/>
                  <w:marTop w:val="0"/>
                  <w:marBottom w:val="0"/>
                  <w:divBdr>
                    <w:top w:val="none" w:sz="0" w:space="0" w:color="auto"/>
                    <w:left w:val="none" w:sz="0" w:space="0" w:color="auto"/>
                    <w:bottom w:val="none" w:sz="0" w:space="0" w:color="auto"/>
                    <w:right w:val="none" w:sz="0" w:space="0" w:color="auto"/>
                  </w:divBdr>
                </w:div>
              </w:divsChild>
            </w:div>
            <w:div w:id="500631422">
              <w:marLeft w:val="0"/>
              <w:marRight w:val="0"/>
              <w:marTop w:val="0"/>
              <w:marBottom w:val="0"/>
              <w:divBdr>
                <w:top w:val="none" w:sz="0" w:space="0" w:color="auto"/>
                <w:left w:val="none" w:sz="0" w:space="0" w:color="auto"/>
                <w:bottom w:val="none" w:sz="0" w:space="0" w:color="auto"/>
                <w:right w:val="none" w:sz="0" w:space="0" w:color="auto"/>
              </w:divBdr>
              <w:divsChild>
                <w:div w:id="1763530966">
                  <w:marLeft w:val="0"/>
                  <w:marRight w:val="0"/>
                  <w:marTop w:val="0"/>
                  <w:marBottom w:val="0"/>
                  <w:divBdr>
                    <w:top w:val="none" w:sz="0" w:space="0" w:color="auto"/>
                    <w:left w:val="none" w:sz="0" w:space="0" w:color="auto"/>
                    <w:bottom w:val="none" w:sz="0" w:space="0" w:color="auto"/>
                    <w:right w:val="none" w:sz="0" w:space="0" w:color="auto"/>
                  </w:divBdr>
                </w:div>
              </w:divsChild>
            </w:div>
            <w:div w:id="1295216536">
              <w:marLeft w:val="0"/>
              <w:marRight w:val="0"/>
              <w:marTop w:val="0"/>
              <w:marBottom w:val="0"/>
              <w:divBdr>
                <w:top w:val="none" w:sz="0" w:space="0" w:color="auto"/>
                <w:left w:val="none" w:sz="0" w:space="0" w:color="auto"/>
                <w:bottom w:val="none" w:sz="0" w:space="0" w:color="auto"/>
                <w:right w:val="none" w:sz="0" w:space="0" w:color="auto"/>
              </w:divBdr>
              <w:divsChild>
                <w:div w:id="1914971260">
                  <w:marLeft w:val="0"/>
                  <w:marRight w:val="0"/>
                  <w:marTop w:val="0"/>
                  <w:marBottom w:val="0"/>
                  <w:divBdr>
                    <w:top w:val="none" w:sz="0" w:space="0" w:color="auto"/>
                    <w:left w:val="none" w:sz="0" w:space="0" w:color="auto"/>
                    <w:bottom w:val="none" w:sz="0" w:space="0" w:color="auto"/>
                    <w:right w:val="none" w:sz="0" w:space="0" w:color="auto"/>
                  </w:divBdr>
                </w:div>
              </w:divsChild>
            </w:div>
            <w:div w:id="1851598491">
              <w:marLeft w:val="0"/>
              <w:marRight w:val="0"/>
              <w:marTop w:val="0"/>
              <w:marBottom w:val="0"/>
              <w:divBdr>
                <w:top w:val="none" w:sz="0" w:space="0" w:color="auto"/>
                <w:left w:val="none" w:sz="0" w:space="0" w:color="auto"/>
                <w:bottom w:val="none" w:sz="0" w:space="0" w:color="auto"/>
                <w:right w:val="none" w:sz="0" w:space="0" w:color="auto"/>
              </w:divBdr>
              <w:divsChild>
                <w:div w:id="1259562574">
                  <w:marLeft w:val="0"/>
                  <w:marRight w:val="0"/>
                  <w:marTop w:val="0"/>
                  <w:marBottom w:val="0"/>
                  <w:divBdr>
                    <w:top w:val="none" w:sz="0" w:space="0" w:color="auto"/>
                    <w:left w:val="none" w:sz="0" w:space="0" w:color="auto"/>
                    <w:bottom w:val="none" w:sz="0" w:space="0" w:color="auto"/>
                    <w:right w:val="none" w:sz="0" w:space="0" w:color="auto"/>
                  </w:divBdr>
                </w:div>
              </w:divsChild>
            </w:div>
            <w:div w:id="1851329633">
              <w:marLeft w:val="0"/>
              <w:marRight w:val="0"/>
              <w:marTop w:val="0"/>
              <w:marBottom w:val="0"/>
              <w:divBdr>
                <w:top w:val="none" w:sz="0" w:space="0" w:color="auto"/>
                <w:left w:val="none" w:sz="0" w:space="0" w:color="auto"/>
                <w:bottom w:val="none" w:sz="0" w:space="0" w:color="auto"/>
                <w:right w:val="none" w:sz="0" w:space="0" w:color="auto"/>
              </w:divBdr>
              <w:divsChild>
                <w:div w:id="717896347">
                  <w:marLeft w:val="0"/>
                  <w:marRight w:val="0"/>
                  <w:marTop w:val="0"/>
                  <w:marBottom w:val="0"/>
                  <w:divBdr>
                    <w:top w:val="none" w:sz="0" w:space="0" w:color="auto"/>
                    <w:left w:val="none" w:sz="0" w:space="0" w:color="auto"/>
                    <w:bottom w:val="none" w:sz="0" w:space="0" w:color="auto"/>
                    <w:right w:val="none" w:sz="0" w:space="0" w:color="auto"/>
                  </w:divBdr>
                </w:div>
              </w:divsChild>
            </w:div>
            <w:div w:id="1346326756">
              <w:marLeft w:val="0"/>
              <w:marRight w:val="0"/>
              <w:marTop w:val="0"/>
              <w:marBottom w:val="0"/>
              <w:divBdr>
                <w:top w:val="none" w:sz="0" w:space="0" w:color="auto"/>
                <w:left w:val="none" w:sz="0" w:space="0" w:color="auto"/>
                <w:bottom w:val="none" w:sz="0" w:space="0" w:color="auto"/>
                <w:right w:val="none" w:sz="0" w:space="0" w:color="auto"/>
              </w:divBdr>
              <w:divsChild>
                <w:div w:id="1761489412">
                  <w:marLeft w:val="0"/>
                  <w:marRight w:val="0"/>
                  <w:marTop w:val="0"/>
                  <w:marBottom w:val="0"/>
                  <w:divBdr>
                    <w:top w:val="none" w:sz="0" w:space="0" w:color="auto"/>
                    <w:left w:val="none" w:sz="0" w:space="0" w:color="auto"/>
                    <w:bottom w:val="none" w:sz="0" w:space="0" w:color="auto"/>
                    <w:right w:val="none" w:sz="0" w:space="0" w:color="auto"/>
                  </w:divBdr>
                </w:div>
              </w:divsChild>
            </w:div>
            <w:div w:id="1597714037">
              <w:marLeft w:val="0"/>
              <w:marRight w:val="0"/>
              <w:marTop w:val="0"/>
              <w:marBottom w:val="0"/>
              <w:divBdr>
                <w:top w:val="none" w:sz="0" w:space="0" w:color="auto"/>
                <w:left w:val="none" w:sz="0" w:space="0" w:color="auto"/>
                <w:bottom w:val="none" w:sz="0" w:space="0" w:color="auto"/>
                <w:right w:val="none" w:sz="0" w:space="0" w:color="auto"/>
              </w:divBdr>
              <w:divsChild>
                <w:div w:id="1352872058">
                  <w:marLeft w:val="0"/>
                  <w:marRight w:val="0"/>
                  <w:marTop w:val="0"/>
                  <w:marBottom w:val="0"/>
                  <w:divBdr>
                    <w:top w:val="none" w:sz="0" w:space="0" w:color="auto"/>
                    <w:left w:val="none" w:sz="0" w:space="0" w:color="auto"/>
                    <w:bottom w:val="none" w:sz="0" w:space="0" w:color="auto"/>
                    <w:right w:val="none" w:sz="0" w:space="0" w:color="auto"/>
                  </w:divBdr>
                </w:div>
              </w:divsChild>
            </w:div>
            <w:div w:id="263458628">
              <w:marLeft w:val="0"/>
              <w:marRight w:val="0"/>
              <w:marTop w:val="0"/>
              <w:marBottom w:val="0"/>
              <w:divBdr>
                <w:top w:val="none" w:sz="0" w:space="0" w:color="auto"/>
                <w:left w:val="none" w:sz="0" w:space="0" w:color="auto"/>
                <w:bottom w:val="none" w:sz="0" w:space="0" w:color="auto"/>
                <w:right w:val="none" w:sz="0" w:space="0" w:color="auto"/>
              </w:divBdr>
              <w:divsChild>
                <w:div w:id="1616867997">
                  <w:marLeft w:val="0"/>
                  <w:marRight w:val="0"/>
                  <w:marTop w:val="0"/>
                  <w:marBottom w:val="0"/>
                  <w:divBdr>
                    <w:top w:val="none" w:sz="0" w:space="0" w:color="auto"/>
                    <w:left w:val="none" w:sz="0" w:space="0" w:color="auto"/>
                    <w:bottom w:val="none" w:sz="0" w:space="0" w:color="auto"/>
                    <w:right w:val="none" w:sz="0" w:space="0" w:color="auto"/>
                  </w:divBdr>
                </w:div>
              </w:divsChild>
            </w:div>
            <w:div w:id="1723165800">
              <w:marLeft w:val="0"/>
              <w:marRight w:val="0"/>
              <w:marTop w:val="0"/>
              <w:marBottom w:val="0"/>
              <w:divBdr>
                <w:top w:val="none" w:sz="0" w:space="0" w:color="auto"/>
                <w:left w:val="none" w:sz="0" w:space="0" w:color="auto"/>
                <w:bottom w:val="none" w:sz="0" w:space="0" w:color="auto"/>
                <w:right w:val="none" w:sz="0" w:space="0" w:color="auto"/>
              </w:divBdr>
              <w:divsChild>
                <w:div w:id="885144936">
                  <w:marLeft w:val="0"/>
                  <w:marRight w:val="0"/>
                  <w:marTop w:val="0"/>
                  <w:marBottom w:val="0"/>
                  <w:divBdr>
                    <w:top w:val="none" w:sz="0" w:space="0" w:color="auto"/>
                    <w:left w:val="none" w:sz="0" w:space="0" w:color="auto"/>
                    <w:bottom w:val="none" w:sz="0" w:space="0" w:color="auto"/>
                    <w:right w:val="none" w:sz="0" w:space="0" w:color="auto"/>
                  </w:divBdr>
                </w:div>
              </w:divsChild>
            </w:div>
            <w:div w:id="388530082">
              <w:marLeft w:val="0"/>
              <w:marRight w:val="0"/>
              <w:marTop w:val="0"/>
              <w:marBottom w:val="0"/>
              <w:divBdr>
                <w:top w:val="none" w:sz="0" w:space="0" w:color="auto"/>
                <w:left w:val="none" w:sz="0" w:space="0" w:color="auto"/>
                <w:bottom w:val="none" w:sz="0" w:space="0" w:color="auto"/>
                <w:right w:val="none" w:sz="0" w:space="0" w:color="auto"/>
              </w:divBdr>
              <w:divsChild>
                <w:div w:id="164632722">
                  <w:marLeft w:val="0"/>
                  <w:marRight w:val="0"/>
                  <w:marTop w:val="0"/>
                  <w:marBottom w:val="0"/>
                  <w:divBdr>
                    <w:top w:val="none" w:sz="0" w:space="0" w:color="auto"/>
                    <w:left w:val="none" w:sz="0" w:space="0" w:color="auto"/>
                    <w:bottom w:val="none" w:sz="0" w:space="0" w:color="auto"/>
                    <w:right w:val="none" w:sz="0" w:space="0" w:color="auto"/>
                  </w:divBdr>
                </w:div>
              </w:divsChild>
            </w:div>
            <w:div w:id="980503723">
              <w:marLeft w:val="0"/>
              <w:marRight w:val="0"/>
              <w:marTop w:val="0"/>
              <w:marBottom w:val="0"/>
              <w:divBdr>
                <w:top w:val="none" w:sz="0" w:space="0" w:color="auto"/>
                <w:left w:val="none" w:sz="0" w:space="0" w:color="auto"/>
                <w:bottom w:val="none" w:sz="0" w:space="0" w:color="auto"/>
                <w:right w:val="none" w:sz="0" w:space="0" w:color="auto"/>
              </w:divBdr>
              <w:divsChild>
                <w:div w:id="524948726">
                  <w:marLeft w:val="0"/>
                  <w:marRight w:val="0"/>
                  <w:marTop w:val="0"/>
                  <w:marBottom w:val="0"/>
                  <w:divBdr>
                    <w:top w:val="none" w:sz="0" w:space="0" w:color="auto"/>
                    <w:left w:val="none" w:sz="0" w:space="0" w:color="auto"/>
                    <w:bottom w:val="none" w:sz="0" w:space="0" w:color="auto"/>
                    <w:right w:val="none" w:sz="0" w:space="0" w:color="auto"/>
                  </w:divBdr>
                </w:div>
              </w:divsChild>
            </w:div>
            <w:div w:id="1242183442">
              <w:marLeft w:val="0"/>
              <w:marRight w:val="0"/>
              <w:marTop w:val="0"/>
              <w:marBottom w:val="0"/>
              <w:divBdr>
                <w:top w:val="none" w:sz="0" w:space="0" w:color="auto"/>
                <w:left w:val="none" w:sz="0" w:space="0" w:color="auto"/>
                <w:bottom w:val="none" w:sz="0" w:space="0" w:color="auto"/>
                <w:right w:val="none" w:sz="0" w:space="0" w:color="auto"/>
              </w:divBdr>
              <w:divsChild>
                <w:div w:id="1724018628">
                  <w:marLeft w:val="0"/>
                  <w:marRight w:val="0"/>
                  <w:marTop w:val="0"/>
                  <w:marBottom w:val="0"/>
                  <w:divBdr>
                    <w:top w:val="none" w:sz="0" w:space="0" w:color="auto"/>
                    <w:left w:val="none" w:sz="0" w:space="0" w:color="auto"/>
                    <w:bottom w:val="none" w:sz="0" w:space="0" w:color="auto"/>
                    <w:right w:val="none" w:sz="0" w:space="0" w:color="auto"/>
                  </w:divBdr>
                </w:div>
              </w:divsChild>
            </w:div>
            <w:div w:id="1836843352">
              <w:marLeft w:val="0"/>
              <w:marRight w:val="0"/>
              <w:marTop w:val="0"/>
              <w:marBottom w:val="0"/>
              <w:divBdr>
                <w:top w:val="none" w:sz="0" w:space="0" w:color="auto"/>
                <w:left w:val="none" w:sz="0" w:space="0" w:color="auto"/>
                <w:bottom w:val="none" w:sz="0" w:space="0" w:color="auto"/>
                <w:right w:val="none" w:sz="0" w:space="0" w:color="auto"/>
              </w:divBdr>
              <w:divsChild>
                <w:div w:id="964117902">
                  <w:marLeft w:val="0"/>
                  <w:marRight w:val="0"/>
                  <w:marTop w:val="0"/>
                  <w:marBottom w:val="0"/>
                  <w:divBdr>
                    <w:top w:val="none" w:sz="0" w:space="0" w:color="auto"/>
                    <w:left w:val="none" w:sz="0" w:space="0" w:color="auto"/>
                    <w:bottom w:val="none" w:sz="0" w:space="0" w:color="auto"/>
                    <w:right w:val="none" w:sz="0" w:space="0" w:color="auto"/>
                  </w:divBdr>
                </w:div>
              </w:divsChild>
            </w:div>
            <w:div w:id="1878002646">
              <w:marLeft w:val="0"/>
              <w:marRight w:val="0"/>
              <w:marTop w:val="0"/>
              <w:marBottom w:val="0"/>
              <w:divBdr>
                <w:top w:val="none" w:sz="0" w:space="0" w:color="auto"/>
                <w:left w:val="none" w:sz="0" w:space="0" w:color="auto"/>
                <w:bottom w:val="none" w:sz="0" w:space="0" w:color="auto"/>
                <w:right w:val="none" w:sz="0" w:space="0" w:color="auto"/>
              </w:divBdr>
              <w:divsChild>
                <w:div w:id="607006162">
                  <w:marLeft w:val="0"/>
                  <w:marRight w:val="0"/>
                  <w:marTop w:val="0"/>
                  <w:marBottom w:val="0"/>
                  <w:divBdr>
                    <w:top w:val="none" w:sz="0" w:space="0" w:color="auto"/>
                    <w:left w:val="none" w:sz="0" w:space="0" w:color="auto"/>
                    <w:bottom w:val="none" w:sz="0" w:space="0" w:color="auto"/>
                    <w:right w:val="none" w:sz="0" w:space="0" w:color="auto"/>
                  </w:divBdr>
                </w:div>
              </w:divsChild>
            </w:div>
            <w:div w:id="2087340640">
              <w:marLeft w:val="0"/>
              <w:marRight w:val="0"/>
              <w:marTop w:val="0"/>
              <w:marBottom w:val="0"/>
              <w:divBdr>
                <w:top w:val="none" w:sz="0" w:space="0" w:color="auto"/>
                <w:left w:val="none" w:sz="0" w:space="0" w:color="auto"/>
                <w:bottom w:val="none" w:sz="0" w:space="0" w:color="auto"/>
                <w:right w:val="none" w:sz="0" w:space="0" w:color="auto"/>
              </w:divBdr>
              <w:divsChild>
                <w:div w:id="282423661">
                  <w:marLeft w:val="0"/>
                  <w:marRight w:val="0"/>
                  <w:marTop w:val="0"/>
                  <w:marBottom w:val="0"/>
                  <w:divBdr>
                    <w:top w:val="none" w:sz="0" w:space="0" w:color="auto"/>
                    <w:left w:val="none" w:sz="0" w:space="0" w:color="auto"/>
                    <w:bottom w:val="none" w:sz="0" w:space="0" w:color="auto"/>
                    <w:right w:val="none" w:sz="0" w:space="0" w:color="auto"/>
                  </w:divBdr>
                </w:div>
              </w:divsChild>
            </w:div>
            <w:div w:id="1802842281">
              <w:marLeft w:val="0"/>
              <w:marRight w:val="0"/>
              <w:marTop w:val="0"/>
              <w:marBottom w:val="0"/>
              <w:divBdr>
                <w:top w:val="none" w:sz="0" w:space="0" w:color="auto"/>
                <w:left w:val="none" w:sz="0" w:space="0" w:color="auto"/>
                <w:bottom w:val="none" w:sz="0" w:space="0" w:color="auto"/>
                <w:right w:val="none" w:sz="0" w:space="0" w:color="auto"/>
              </w:divBdr>
              <w:divsChild>
                <w:div w:id="1359351445">
                  <w:marLeft w:val="0"/>
                  <w:marRight w:val="0"/>
                  <w:marTop w:val="0"/>
                  <w:marBottom w:val="0"/>
                  <w:divBdr>
                    <w:top w:val="none" w:sz="0" w:space="0" w:color="auto"/>
                    <w:left w:val="none" w:sz="0" w:space="0" w:color="auto"/>
                    <w:bottom w:val="none" w:sz="0" w:space="0" w:color="auto"/>
                    <w:right w:val="none" w:sz="0" w:space="0" w:color="auto"/>
                  </w:divBdr>
                </w:div>
              </w:divsChild>
            </w:div>
            <w:div w:id="237640461">
              <w:marLeft w:val="0"/>
              <w:marRight w:val="0"/>
              <w:marTop w:val="0"/>
              <w:marBottom w:val="0"/>
              <w:divBdr>
                <w:top w:val="none" w:sz="0" w:space="0" w:color="auto"/>
                <w:left w:val="none" w:sz="0" w:space="0" w:color="auto"/>
                <w:bottom w:val="none" w:sz="0" w:space="0" w:color="auto"/>
                <w:right w:val="none" w:sz="0" w:space="0" w:color="auto"/>
              </w:divBdr>
              <w:divsChild>
                <w:div w:id="1241914407">
                  <w:marLeft w:val="0"/>
                  <w:marRight w:val="0"/>
                  <w:marTop w:val="0"/>
                  <w:marBottom w:val="0"/>
                  <w:divBdr>
                    <w:top w:val="none" w:sz="0" w:space="0" w:color="auto"/>
                    <w:left w:val="none" w:sz="0" w:space="0" w:color="auto"/>
                    <w:bottom w:val="none" w:sz="0" w:space="0" w:color="auto"/>
                    <w:right w:val="none" w:sz="0" w:space="0" w:color="auto"/>
                  </w:divBdr>
                </w:div>
              </w:divsChild>
            </w:div>
            <w:div w:id="50004027">
              <w:marLeft w:val="0"/>
              <w:marRight w:val="0"/>
              <w:marTop w:val="0"/>
              <w:marBottom w:val="0"/>
              <w:divBdr>
                <w:top w:val="none" w:sz="0" w:space="0" w:color="auto"/>
                <w:left w:val="none" w:sz="0" w:space="0" w:color="auto"/>
                <w:bottom w:val="none" w:sz="0" w:space="0" w:color="auto"/>
                <w:right w:val="none" w:sz="0" w:space="0" w:color="auto"/>
              </w:divBdr>
              <w:divsChild>
                <w:div w:id="1347515263">
                  <w:marLeft w:val="0"/>
                  <w:marRight w:val="0"/>
                  <w:marTop w:val="0"/>
                  <w:marBottom w:val="0"/>
                  <w:divBdr>
                    <w:top w:val="none" w:sz="0" w:space="0" w:color="auto"/>
                    <w:left w:val="none" w:sz="0" w:space="0" w:color="auto"/>
                    <w:bottom w:val="none" w:sz="0" w:space="0" w:color="auto"/>
                    <w:right w:val="none" w:sz="0" w:space="0" w:color="auto"/>
                  </w:divBdr>
                </w:div>
              </w:divsChild>
            </w:div>
            <w:div w:id="66802038">
              <w:marLeft w:val="0"/>
              <w:marRight w:val="0"/>
              <w:marTop w:val="0"/>
              <w:marBottom w:val="0"/>
              <w:divBdr>
                <w:top w:val="none" w:sz="0" w:space="0" w:color="auto"/>
                <w:left w:val="none" w:sz="0" w:space="0" w:color="auto"/>
                <w:bottom w:val="none" w:sz="0" w:space="0" w:color="auto"/>
                <w:right w:val="none" w:sz="0" w:space="0" w:color="auto"/>
              </w:divBdr>
              <w:divsChild>
                <w:div w:id="1496725491">
                  <w:marLeft w:val="0"/>
                  <w:marRight w:val="0"/>
                  <w:marTop w:val="0"/>
                  <w:marBottom w:val="0"/>
                  <w:divBdr>
                    <w:top w:val="none" w:sz="0" w:space="0" w:color="auto"/>
                    <w:left w:val="none" w:sz="0" w:space="0" w:color="auto"/>
                    <w:bottom w:val="none" w:sz="0" w:space="0" w:color="auto"/>
                    <w:right w:val="none" w:sz="0" w:space="0" w:color="auto"/>
                  </w:divBdr>
                </w:div>
              </w:divsChild>
            </w:div>
            <w:div w:id="2085639986">
              <w:marLeft w:val="0"/>
              <w:marRight w:val="0"/>
              <w:marTop w:val="0"/>
              <w:marBottom w:val="0"/>
              <w:divBdr>
                <w:top w:val="none" w:sz="0" w:space="0" w:color="auto"/>
                <w:left w:val="none" w:sz="0" w:space="0" w:color="auto"/>
                <w:bottom w:val="none" w:sz="0" w:space="0" w:color="auto"/>
                <w:right w:val="none" w:sz="0" w:space="0" w:color="auto"/>
              </w:divBdr>
              <w:divsChild>
                <w:div w:id="974143265">
                  <w:marLeft w:val="0"/>
                  <w:marRight w:val="0"/>
                  <w:marTop w:val="0"/>
                  <w:marBottom w:val="0"/>
                  <w:divBdr>
                    <w:top w:val="none" w:sz="0" w:space="0" w:color="auto"/>
                    <w:left w:val="none" w:sz="0" w:space="0" w:color="auto"/>
                    <w:bottom w:val="none" w:sz="0" w:space="0" w:color="auto"/>
                    <w:right w:val="none" w:sz="0" w:space="0" w:color="auto"/>
                  </w:divBdr>
                </w:div>
              </w:divsChild>
            </w:div>
            <w:div w:id="249778947">
              <w:marLeft w:val="0"/>
              <w:marRight w:val="0"/>
              <w:marTop w:val="0"/>
              <w:marBottom w:val="0"/>
              <w:divBdr>
                <w:top w:val="none" w:sz="0" w:space="0" w:color="auto"/>
                <w:left w:val="none" w:sz="0" w:space="0" w:color="auto"/>
                <w:bottom w:val="none" w:sz="0" w:space="0" w:color="auto"/>
                <w:right w:val="none" w:sz="0" w:space="0" w:color="auto"/>
              </w:divBdr>
              <w:divsChild>
                <w:div w:id="948313581">
                  <w:marLeft w:val="0"/>
                  <w:marRight w:val="0"/>
                  <w:marTop w:val="0"/>
                  <w:marBottom w:val="0"/>
                  <w:divBdr>
                    <w:top w:val="none" w:sz="0" w:space="0" w:color="auto"/>
                    <w:left w:val="none" w:sz="0" w:space="0" w:color="auto"/>
                    <w:bottom w:val="none" w:sz="0" w:space="0" w:color="auto"/>
                    <w:right w:val="none" w:sz="0" w:space="0" w:color="auto"/>
                  </w:divBdr>
                </w:div>
              </w:divsChild>
            </w:div>
            <w:div w:id="346710297">
              <w:marLeft w:val="0"/>
              <w:marRight w:val="0"/>
              <w:marTop w:val="0"/>
              <w:marBottom w:val="0"/>
              <w:divBdr>
                <w:top w:val="none" w:sz="0" w:space="0" w:color="auto"/>
                <w:left w:val="none" w:sz="0" w:space="0" w:color="auto"/>
                <w:bottom w:val="none" w:sz="0" w:space="0" w:color="auto"/>
                <w:right w:val="none" w:sz="0" w:space="0" w:color="auto"/>
              </w:divBdr>
              <w:divsChild>
                <w:div w:id="1243838289">
                  <w:marLeft w:val="0"/>
                  <w:marRight w:val="0"/>
                  <w:marTop w:val="0"/>
                  <w:marBottom w:val="0"/>
                  <w:divBdr>
                    <w:top w:val="none" w:sz="0" w:space="0" w:color="auto"/>
                    <w:left w:val="none" w:sz="0" w:space="0" w:color="auto"/>
                    <w:bottom w:val="none" w:sz="0" w:space="0" w:color="auto"/>
                    <w:right w:val="none" w:sz="0" w:space="0" w:color="auto"/>
                  </w:divBdr>
                </w:div>
              </w:divsChild>
            </w:div>
            <w:div w:id="645281766">
              <w:marLeft w:val="0"/>
              <w:marRight w:val="0"/>
              <w:marTop w:val="0"/>
              <w:marBottom w:val="0"/>
              <w:divBdr>
                <w:top w:val="none" w:sz="0" w:space="0" w:color="auto"/>
                <w:left w:val="none" w:sz="0" w:space="0" w:color="auto"/>
                <w:bottom w:val="none" w:sz="0" w:space="0" w:color="auto"/>
                <w:right w:val="none" w:sz="0" w:space="0" w:color="auto"/>
              </w:divBdr>
              <w:divsChild>
                <w:div w:id="428477422">
                  <w:marLeft w:val="0"/>
                  <w:marRight w:val="0"/>
                  <w:marTop w:val="0"/>
                  <w:marBottom w:val="0"/>
                  <w:divBdr>
                    <w:top w:val="none" w:sz="0" w:space="0" w:color="auto"/>
                    <w:left w:val="none" w:sz="0" w:space="0" w:color="auto"/>
                    <w:bottom w:val="none" w:sz="0" w:space="0" w:color="auto"/>
                    <w:right w:val="none" w:sz="0" w:space="0" w:color="auto"/>
                  </w:divBdr>
                </w:div>
              </w:divsChild>
            </w:div>
            <w:div w:id="1225875265">
              <w:marLeft w:val="0"/>
              <w:marRight w:val="0"/>
              <w:marTop w:val="0"/>
              <w:marBottom w:val="0"/>
              <w:divBdr>
                <w:top w:val="none" w:sz="0" w:space="0" w:color="auto"/>
                <w:left w:val="none" w:sz="0" w:space="0" w:color="auto"/>
                <w:bottom w:val="none" w:sz="0" w:space="0" w:color="auto"/>
                <w:right w:val="none" w:sz="0" w:space="0" w:color="auto"/>
              </w:divBdr>
              <w:divsChild>
                <w:div w:id="151650326">
                  <w:marLeft w:val="0"/>
                  <w:marRight w:val="0"/>
                  <w:marTop w:val="0"/>
                  <w:marBottom w:val="0"/>
                  <w:divBdr>
                    <w:top w:val="none" w:sz="0" w:space="0" w:color="auto"/>
                    <w:left w:val="none" w:sz="0" w:space="0" w:color="auto"/>
                    <w:bottom w:val="none" w:sz="0" w:space="0" w:color="auto"/>
                    <w:right w:val="none" w:sz="0" w:space="0" w:color="auto"/>
                  </w:divBdr>
                </w:div>
              </w:divsChild>
            </w:div>
            <w:div w:id="1267736615">
              <w:marLeft w:val="0"/>
              <w:marRight w:val="0"/>
              <w:marTop w:val="0"/>
              <w:marBottom w:val="0"/>
              <w:divBdr>
                <w:top w:val="none" w:sz="0" w:space="0" w:color="auto"/>
                <w:left w:val="none" w:sz="0" w:space="0" w:color="auto"/>
                <w:bottom w:val="none" w:sz="0" w:space="0" w:color="auto"/>
                <w:right w:val="none" w:sz="0" w:space="0" w:color="auto"/>
              </w:divBdr>
              <w:divsChild>
                <w:div w:id="2007702462">
                  <w:marLeft w:val="0"/>
                  <w:marRight w:val="0"/>
                  <w:marTop w:val="0"/>
                  <w:marBottom w:val="0"/>
                  <w:divBdr>
                    <w:top w:val="none" w:sz="0" w:space="0" w:color="auto"/>
                    <w:left w:val="none" w:sz="0" w:space="0" w:color="auto"/>
                    <w:bottom w:val="none" w:sz="0" w:space="0" w:color="auto"/>
                    <w:right w:val="none" w:sz="0" w:space="0" w:color="auto"/>
                  </w:divBdr>
                </w:div>
              </w:divsChild>
            </w:div>
            <w:div w:id="816647720">
              <w:marLeft w:val="0"/>
              <w:marRight w:val="0"/>
              <w:marTop w:val="0"/>
              <w:marBottom w:val="0"/>
              <w:divBdr>
                <w:top w:val="none" w:sz="0" w:space="0" w:color="auto"/>
                <w:left w:val="none" w:sz="0" w:space="0" w:color="auto"/>
                <w:bottom w:val="none" w:sz="0" w:space="0" w:color="auto"/>
                <w:right w:val="none" w:sz="0" w:space="0" w:color="auto"/>
              </w:divBdr>
              <w:divsChild>
                <w:div w:id="250744234">
                  <w:marLeft w:val="0"/>
                  <w:marRight w:val="0"/>
                  <w:marTop w:val="0"/>
                  <w:marBottom w:val="0"/>
                  <w:divBdr>
                    <w:top w:val="none" w:sz="0" w:space="0" w:color="auto"/>
                    <w:left w:val="none" w:sz="0" w:space="0" w:color="auto"/>
                    <w:bottom w:val="none" w:sz="0" w:space="0" w:color="auto"/>
                    <w:right w:val="none" w:sz="0" w:space="0" w:color="auto"/>
                  </w:divBdr>
                </w:div>
              </w:divsChild>
            </w:div>
            <w:div w:id="162668094">
              <w:marLeft w:val="0"/>
              <w:marRight w:val="0"/>
              <w:marTop w:val="0"/>
              <w:marBottom w:val="0"/>
              <w:divBdr>
                <w:top w:val="none" w:sz="0" w:space="0" w:color="auto"/>
                <w:left w:val="none" w:sz="0" w:space="0" w:color="auto"/>
                <w:bottom w:val="none" w:sz="0" w:space="0" w:color="auto"/>
                <w:right w:val="none" w:sz="0" w:space="0" w:color="auto"/>
              </w:divBdr>
              <w:divsChild>
                <w:div w:id="370038076">
                  <w:marLeft w:val="0"/>
                  <w:marRight w:val="0"/>
                  <w:marTop w:val="0"/>
                  <w:marBottom w:val="0"/>
                  <w:divBdr>
                    <w:top w:val="none" w:sz="0" w:space="0" w:color="auto"/>
                    <w:left w:val="none" w:sz="0" w:space="0" w:color="auto"/>
                    <w:bottom w:val="none" w:sz="0" w:space="0" w:color="auto"/>
                    <w:right w:val="none" w:sz="0" w:space="0" w:color="auto"/>
                  </w:divBdr>
                </w:div>
              </w:divsChild>
            </w:div>
            <w:div w:id="166335811">
              <w:marLeft w:val="0"/>
              <w:marRight w:val="0"/>
              <w:marTop w:val="0"/>
              <w:marBottom w:val="0"/>
              <w:divBdr>
                <w:top w:val="none" w:sz="0" w:space="0" w:color="auto"/>
                <w:left w:val="none" w:sz="0" w:space="0" w:color="auto"/>
                <w:bottom w:val="none" w:sz="0" w:space="0" w:color="auto"/>
                <w:right w:val="none" w:sz="0" w:space="0" w:color="auto"/>
              </w:divBdr>
              <w:divsChild>
                <w:div w:id="1403869290">
                  <w:marLeft w:val="0"/>
                  <w:marRight w:val="0"/>
                  <w:marTop w:val="0"/>
                  <w:marBottom w:val="0"/>
                  <w:divBdr>
                    <w:top w:val="none" w:sz="0" w:space="0" w:color="auto"/>
                    <w:left w:val="none" w:sz="0" w:space="0" w:color="auto"/>
                    <w:bottom w:val="none" w:sz="0" w:space="0" w:color="auto"/>
                    <w:right w:val="none" w:sz="0" w:space="0" w:color="auto"/>
                  </w:divBdr>
                </w:div>
              </w:divsChild>
            </w:div>
            <w:div w:id="745419904">
              <w:marLeft w:val="0"/>
              <w:marRight w:val="0"/>
              <w:marTop w:val="0"/>
              <w:marBottom w:val="0"/>
              <w:divBdr>
                <w:top w:val="none" w:sz="0" w:space="0" w:color="auto"/>
                <w:left w:val="none" w:sz="0" w:space="0" w:color="auto"/>
                <w:bottom w:val="none" w:sz="0" w:space="0" w:color="auto"/>
                <w:right w:val="none" w:sz="0" w:space="0" w:color="auto"/>
              </w:divBdr>
              <w:divsChild>
                <w:div w:id="1227567572">
                  <w:marLeft w:val="0"/>
                  <w:marRight w:val="0"/>
                  <w:marTop w:val="0"/>
                  <w:marBottom w:val="0"/>
                  <w:divBdr>
                    <w:top w:val="none" w:sz="0" w:space="0" w:color="auto"/>
                    <w:left w:val="none" w:sz="0" w:space="0" w:color="auto"/>
                    <w:bottom w:val="none" w:sz="0" w:space="0" w:color="auto"/>
                    <w:right w:val="none" w:sz="0" w:space="0" w:color="auto"/>
                  </w:divBdr>
                </w:div>
              </w:divsChild>
            </w:div>
            <w:div w:id="649093937">
              <w:marLeft w:val="0"/>
              <w:marRight w:val="0"/>
              <w:marTop w:val="0"/>
              <w:marBottom w:val="0"/>
              <w:divBdr>
                <w:top w:val="none" w:sz="0" w:space="0" w:color="auto"/>
                <w:left w:val="none" w:sz="0" w:space="0" w:color="auto"/>
                <w:bottom w:val="none" w:sz="0" w:space="0" w:color="auto"/>
                <w:right w:val="none" w:sz="0" w:space="0" w:color="auto"/>
              </w:divBdr>
              <w:divsChild>
                <w:div w:id="888685530">
                  <w:marLeft w:val="0"/>
                  <w:marRight w:val="0"/>
                  <w:marTop w:val="0"/>
                  <w:marBottom w:val="0"/>
                  <w:divBdr>
                    <w:top w:val="none" w:sz="0" w:space="0" w:color="auto"/>
                    <w:left w:val="none" w:sz="0" w:space="0" w:color="auto"/>
                    <w:bottom w:val="none" w:sz="0" w:space="0" w:color="auto"/>
                    <w:right w:val="none" w:sz="0" w:space="0" w:color="auto"/>
                  </w:divBdr>
                </w:div>
              </w:divsChild>
            </w:div>
            <w:div w:id="981739550">
              <w:marLeft w:val="0"/>
              <w:marRight w:val="0"/>
              <w:marTop w:val="0"/>
              <w:marBottom w:val="0"/>
              <w:divBdr>
                <w:top w:val="none" w:sz="0" w:space="0" w:color="auto"/>
                <w:left w:val="none" w:sz="0" w:space="0" w:color="auto"/>
                <w:bottom w:val="none" w:sz="0" w:space="0" w:color="auto"/>
                <w:right w:val="none" w:sz="0" w:space="0" w:color="auto"/>
              </w:divBdr>
              <w:divsChild>
                <w:div w:id="1745762613">
                  <w:marLeft w:val="0"/>
                  <w:marRight w:val="0"/>
                  <w:marTop w:val="0"/>
                  <w:marBottom w:val="0"/>
                  <w:divBdr>
                    <w:top w:val="none" w:sz="0" w:space="0" w:color="auto"/>
                    <w:left w:val="none" w:sz="0" w:space="0" w:color="auto"/>
                    <w:bottom w:val="none" w:sz="0" w:space="0" w:color="auto"/>
                    <w:right w:val="none" w:sz="0" w:space="0" w:color="auto"/>
                  </w:divBdr>
                </w:div>
              </w:divsChild>
            </w:div>
            <w:div w:id="499152584">
              <w:marLeft w:val="0"/>
              <w:marRight w:val="0"/>
              <w:marTop w:val="0"/>
              <w:marBottom w:val="0"/>
              <w:divBdr>
                <w:top w:val="none" w:sz="0" w:space="0" w:color="auto"/>
                <w:left w:val="none" w:sz="0" w:space="0" w:color="auto"/>
                <w:bottom w:val="none" w:sz="0" w:space="0" w:color="auto"/>
                <w:right w:val="none" w:sz="0" w:space="0" w:color="auto"/>
              </w:divBdr>
              <w:divsChild>
                <w:div w:id="468593641">
                  <w:marLeft w:val="0"/>
                  <w:marRight w:val="0"/>
                  <w:marTop w:val="0"/>
                  <w:marBottom w:val="0"/>
                  <w:divBdr>
                    <w:top w:val="none" w:sz="0" w:space="0" w:color="auto"/>
                    <w:left w:val="none" w:sz="0" w:space="0" w:color="auto"/>
                    <w:bottom w:val="none" w:sz="0" w:space="0" w:color="auto"/>
                    <w:right w:val="none" w:sz="0" w:space="0" w:color="auto"/>
                  </w:divBdr>
                </w:div>
              </w:divsChild>
            </w:div>
            <w:div w:id="413166720">
              <w:marLeft w:val="0"/>
              <w:marRight w:val="0"/>
              <w:marTop w:val="0"/>
              <w:marBottom w:val="0"/>
              <w:divBdr>
                <w:top w:val="none" w:sz="0" w:space="0" w:color="auto"/>
                <w:left w:val="none" w:sz="0" w:space="0" w:color="auto"/>
                <w:bottom w:val="none" w:sz="0" w:space="0" w:color="auto"/>
                <w:right w:val="none" w:sz="0" w:space="0" w:color="auto"/>
              </w:divBdr>
              <w:divsChild>
                <w:div w:id="1971015973">
                  <w:marLeft w:val="0"/>
                  <w:marRight w:val="0"/>
                  <w:marTop w:val="0"/>
                  <w:marBottom w:val="0"/>
                  <w:divBdr>
                    <w:top w:val="none" w:sz="0" w:space="0" w:color="auto"/>
                    <w:left w:val="none" w:sz="0" w:space="0" w:color="auto"/>
                    <w:bottom w:val="none" w:sz="0" w:space="0" w:color="auto"/>
                    <w:right w:val="none" w:sz="0" w:space="0" w:color="auto"/>
                  </w:divBdr>
                </w:div>
              </w:divsChild>
            </w:div>
            <w:div w:id="543098330">
              <w:marLeft w:val="0"/>
              <w:marRight w:val="0"/>
              <w:marTop w:val="0"/>
              <w:marBottom w:val="0"/>
              <w:divBdr>
                <w:top w:val="none" w:sz="0" w:space="0" w:color="auto"/>
                <w:left w:val="none" w:sz="0" w:space="0" w:color="auto"/>
                <w:bottom w:val="none" w:sz="0" w:space="0" w:color="auto"/>
                <w:right w:val="none" w:sz="0" w:space="0" w:color="auto"/>
              </w:divBdr>
              <w:divsChild>
                <w:div w:id="251210259">
                  <w:marLeft w:val="0"/>
                  <w:marRight w:val="0"/>
                  <w:marTop w:val="0"/>
                  <w:marBottom w:val="0"/>
                  <w:divBdr>
                    <w:top w:val="none" w:sz="0" w:space="0" w:color="auto"/>
                    <w:left w:val="none" w:sz="0" w:space="0" w:color="auto"/>
                    <w:bottom w:val="none" w:sz="0" w:space="0" w:color="auto"/>
                    <w:right w:val="none" w:sz="0" w:space="0" w:color="auto"/>
                  </w:divBdr>
                </w:div>
              </w:divsChild>
            </w:div>
            <w:div w:id="518810540">
              <w:marLeft w:val="0"/>
              <w:marRight w:val="0"/>
              <w:marTop w:val="0"/>
              <w:marBottom w:val="0"/>
              <w:divBdr>
                <w:top w:val="none" w:sz="0" w:space="0" w:color="auto"/>
                <w:left w:val="none" w:sz="0" w:space="0" w:color="auto"/>
                <w:bottom w:val="none" w:sz="0" w:space="0" w:color="auto"/>
                <w:right w:val="none" w:sz="0" w:space="0" w:color="auto"/>
              </w:divBdr>
              <w:divsChild>
                <w:div w:id="370114026">
                  <w:marLeft w:val="0"/>
                  <w:marRight w:val="0"/>
                  <w:marTop w:val="0"/>
                  <w:marBottom w:val="0"/>
                  <w:divBdr>
                    <w:top w:val="none" w:sz="0" w:space="0" w:color="auto"/>
                    <w:left w:val="none" w:sz="0" w:space="0" w:color="auto"/>
                    <w:bottom w:val="none" w:sz="0" w:space="0" w:color="auto"/>
                    <w:right w:val="none" w:sz="0" w:space="0" w:color="auto"/>
                  </w:divBdr>
                </w:div>
              </w:divsChild>
            </w:div>
            <w:div w:id="1701860308">
              <w:marLeft w:val="0"/>
              <w:marRight w:val="0"/>
              <w:marTop w:val="0"/>
              <w:marBottom w:val="0"/>
              <w:divBdr>
                <w:top w:val="none" w:sz="0" w:space="0" w:color="auto"/>
                <w:left w:val="none" w:sz="0" w:space="0" w:color="auto"/>
                <w:bottom w:val="none" w:sz="0" w:space="0" w:color="auto"/>
                <w:right w:val="none" w:sz="0" w:space="0" w:color="auto"/>
              </w:divBdr>
              <w:divsChild>
                <w:div w:id="1256396824">
                  <w:marLeft w:val="0"/>
                  <w:marRight w:val="0"/>
                  <w:marTop w:val="0"/>
                  <w:marBottom w:val="0"/>
                  <w:divBdr>
                    <w:top w:val="none" w:sz="0" w:space="0" w:color="auto"/>
                    <w:left w:val="none" w:sz="0" w:space="0" w:color="auto"/>
                    <w:bottom w:val="none" w:sz="0" w:space="0" w:color="auto"/>
                    <w:right w:val="none" w:sz="0" w:space="0" w:color="auto"/>
                  </w:divBdr>
                </w:div>
              </w:divsChild>
            </w:div>
            <w:div w:id="1320230266">
              <w:marLeft w:val="0"/>
              <w:marRight w:val="0"/>
              <w:marTop w:val="0"/>
              <w:marBottom w:val="0"/>
              <w:divBdr>
                <w:top w:val="none" w:sz="0" w:space="0" w:color="auto"/>
                <w:left w:val="none" w:sz="0" w:space="0" w:color="auto"/>
                <w:bottom w:val="none" w:sz="0" w:space="0" w:color="auto"/>
                <w:right w:val="none" w:sz="0" w:space="0" w:color="auto"/>
              </w:divBdr>
              <w:divsChild>
                <w:div w:id="271592426">
                  <w:marLeft w:val="0"/>
                  <w:marRight w:val="0"/>
                  <w:marTop w:val="0"/>
                  <w:marBottom w:val="0"/>
                  <w:divBdr>
                    <w:top w:val="none" w:sz="0" w:space="0" w:color="auto"/>
                    <w:left w:val="none" w:sz="0" w:space="0" w:color="auto"/>
                    <w:bottom w:val="none" w:sz="0" w:space="0" w:color="auto"/>
                    <w:right w:val="none" w:sz="0" w:space="0" w:color="auto"/>
                  </w:divBdr>
                </w:div>
              </w:divsChild>
            </w:div>
            <w:div w:id="865681264">
              <w:marLeft w:val="0"/>
              <w:marRight w:val="0"/>
              <w:marTop w:val="0"/>
              <w:marBottom w:val="0"/>
              <w:divBdr>
                <w:top w:val="none" w:sz="0" w:space="0" w:color="auto"/>
                <w:left w:val="none" w:sz="0" w:space="0" w:color="auto"/>
                <w:bottom w:val="none" w:sz="0" w:space="0" w:color="auto"/>
                <w:right w:val="none" w:sz="0" w:space="0" w:color="auto"/>
              </w:divBdr>
              <w:divsChild>
                <w:div w:id="1719625570">
                  <w:marLeft w:val="0"/>
                  <w:marRight w:val="0"/>
                  <w:marTop w:val="0"/>
                  <w:marBottom w:val="0"/>
                  <w:divBdr>
                    <w:top w:val="none" w:sz="0" w:space="0" w:color="auto"/>
                    <w:left w:val="none" w:sz="0" w:space="0" w:color="auto"/>
                    <w:bottom w:val="none" w:sz="0" w:space="0" w:color="auto"/>
                    <w:right w:val="none" w:sz="0" w:space="0" w:color="auto"/>
                  </w:divBdr>
                </w:div>
              </w:divsChild>
            </w:div>
            <w:div w:id="1765689513">
              <w:marLeft w:val="0"/>
              <w:marRight w:val="0"/>
              <w:marTop w:val="0"/>
              <w:marBottom w:val="0"/>
              <w:divBdr>
                <w:top w:val="none" w:sz="0" w:space="0" w:color="auto"/>
                <w:left w:val="none" w:sz="0" w:space="0" w:color="auto"/>
                <w:bottom w:val="none" w:sz="0" w:space="0" w:color="auto"/>
                <w:right w:val="none" w:sz="0" w:space="0" w:color="auto"/>
              </w:divBdr>
              <w:divsChild>
                <w:div w:id="1161459706">
                  <w:marLeft w:val="0"/>
                  <w:marRight w:val="0"/>
                  <w:marTop w:val="0"/>
                  <w:marBottom w:val="0"/>
                  <w:divBdr>
                    <w:top w:val="none" w:sz="0" w:space="0" w:color="auto"/>
                    <w:left w:val="none" w:sz="0" w:space="0" w:color="auto"/>
                    <w:bottom w:val="none" w:sz="0" w:space="0" w:color="auto"/>
                    <w:right w:val="none" w:sz="0" w:space="0" w:color="auto"/>
                  </w:divBdr>
                </w:div>
              </w:divsChild>
            </w:div>
            <w:div w:id="1461804074">
              <w:marLeft w:val="0"/>
              <w:marRight w:val="0"/>
              <w:marTop w:val="0"/>
              <w:marBottom w:val="0"/>
              <w:divBdr>
                <w:top w:val="none" w:sz="0" w:space="0" w:color="auto"/>
                <w:left w:val="none" w:sz="0" w:space="0" w:color="auto"/>
                <w:bottom w:val="none" w:sz="0" w:space="0" w:color="auto"/>
                <w:right w:val="none" w:sz="0" w:space="0" w:color="auto"/>
              </w:divBdr>
              <w:divsChild>
                <w:div w:id="403066671">
                  <w:marLeft w:val="0"/>
                  <w:marRight w:val="0"/>
                  <w:marTop w:val="0"/>
                  <w:marBottom w:val="0"/>
                  <w:divBdr>
                    <w:top w:val="none" w:sz="0" w:space="0" w:color="auto"/>
                    <w:left w:val="none" w:sz="0" w:space="0" w:color="auto"/>
                    <w:bottom w:val="none" w:sz="0" w:space="0" w:color="auto"/>
                    <w:right w:val="none" w:sz="0" w:space="0" w:color="auto"/>
                  </w:divBdr>
                </w:div>
              </w:divsChild>
            </w:div>
            <w:div w:id="1928731985">
              <w:marLeft w:val="0"/>
              <w:marRight w:val="0"/>
              <w:marTop w:val="0"/>
              <w:marBottom w:val="0"/>
              <w:divBdr>
                <w:top w:val="none" w:sz="0" w:space="0" w:color="auto"/>
                <w:left w:val="none" w:sz="0" w:space="0" w:color="auto"/>
                <w:bottom w:val="none" w:sz="0" w:space="0" w:color="auto"/>
                <w:right w:val="none" w:sz="0" w:space="0" w:color="auto"/>
              </w:divBdr>
              <w:divsChild>
                <w:div w:id="1783916384">
                  <w:marLeft w:val="0"/>
                  <w:marRight w:val="0"/>
                  <w:marTop w:val="0"/>
                  <w:marBottom w:val="0"/>
                  <w:divBdr>
                    <w:top w:val="none" w:sz="0" w:space="0" w:color="auto"/>
                    <w:left w:val="none" w:sz="0" w:space="0" w:color="auto"/>
                    <w:bottom w:val="none" w:sz="0" w:space="0" w:color="auto"/>
                    <w:right w:val="none" w:sz="0" w:space="0" w:color="auto"/>
                  </w:divBdr>
                </w:div>
              </w:divsChild>
            </w:div>
            <w:div w:id="116293289">
              <w:marLeft w:val="0"/>
              <w:marRight w:val="0"/>
              <w:marTop w:val="0"/>
              <w:marBottom w:val="0"/>
              <w:divBdr>
                <w:top w:val="none" w:sz="0" w:space="0" w:color="auto"/>
                <w:left w:val="none" w:sz="0" w:space="0" w:color="auto"/>
                <w:bottom w:val="none" w:sz="0" w:space="0" w:color="auto"/>
                <w:right w:val="none" w:sz="0" w:space="0" w:color="auto"/>
              </w:divBdr>
              <w:divsChild>
                <w:div w:id="1042100798">
                  <w:marLeft w:val="0"/>
                  <w:marRight w:val="0"/>
                  <w:marTop w:val="0"/>
                  <w:marBottom w:val="0"/>
                  <w:divBdr>
                    <w:top w:val="none" w:sz="0" w:space="0" w:color="auto"/>
                    <w:left w:val="none" w:sz="0" w:space="0" w:color="auto"/>
                    <w:bottom w:val="none" w:sz="0" w:space="0" w:color="auto"/>
                    <w:right w:val="none" w:sz="0" w:space="0" w:color="auto"/>
                  </w:divBdr>
                </w:div>
              </w:divsChild>
            </w:div>
            <w:div w:id="1319650867">
              <w:marLeft w:val="0"/>
              <w:marRight w:val="0"/>
              <w:marTop w:val="0"/>
              <w:marBottom w:val="0"/>
              <w:divBdr>
                <w:top w:val="none" w:sz="0" w:space="0" w:color="auto"/>
                <w:left w:val="none" w:sz="0" w:space="0" w:color="auto"/>
                <w:bottom w:val="none" w:sz="0" w:space="0" w:color="auto"/>
                <w:right w:val="none" w:sz="0" w:space="0" w:color="auto"/>
              </w:divBdr>
              <w:divsChild>
                <w:div w:id="1516260930">
                  <w:marLeft w:val="0"/>
                  <w:marRight w:val="0"/>
                  <w:marTop w:val="0"/>
                  <w:marBottom w:val="0"/>
                  <w:divBdr>
                    <w:top w:val="none" w:sz="0" w:space="0" w:color="auto"/>
                    <w:left w:val="none" w:sz="0" w:space="0" w:color="auto"/>
                    <w:bottom w:val="none" w:sz="0" w:space="0" w:color="auto"/>
                    <w:right w:val="none" w:sz="0" w:space="0" w:color="auto"/>
                  </w:divBdr>
                </w:div>
              </w:divsChild>
            </w:div>
            <w:div w:id="873621091">
              <w:marLeft w:val="0"/>
              <w:marRight w:val="0"/>
              <w:marTop w:val="0"/>
              <w:marBottom w:val="0"/>
              <w:divBdr>
                <w:top w:val="none" w:sz="0" w:space="0" w:color="auto"/>
                <w:left w:val="none" w:sz="0" w:space="0" w:color="auto"/>
                <w:bottom w:val="none" w:sz="0" w:space="0" w:color="auto"/>
                <w:right w:val="none" w:sz="0" w:space="0" w:color="auto"/>
              </w:divBdr>
              <w:divsChild>
                <w:div w:id="784810867">
                  <w:marLeft w:val="0"/>
                  <w:marRight w:val="0"/>
                  <w:marTop w:val="0"/>
                  <w:marBottom w:val="0"/>
                  <w:divBdr>
                    <w:top w:val="none" w:sz="0" w:space="0" w:color="auto"/>
                    <w:left w:val="none" w:sz="0" w:space="0" w:color="auto"/>
                    <w:bottom w:val="none" w:sz="0" w:space="0" w:color="auto"/>
                    <w:right w:val="none" w:sz="0" w:space="0" w:color="auto"/>
                  </w:divBdr>
                </w:div>
              </w:divsChild>
            </w:div>
            <w:div w:id="1634796915">
              <w:marLeft w:val="0"/>
              <w:marRight w:val="0"/>
              <w:marTop w:val="0"/>
              <w:marBottom w:val="0"/>
              <w:divBdr>
                <w:top w:val="none" w:sz="0" w:space="0" w:color="auto"/>
                <w:left w:val="none" w:sz="0" w:space="0" w:color="auto"/>
                <w:bottom w:val="none" w:sz="0" w:space="0" w:color="auto"/>
                <w:right w:val="none" w:sz="0" w:space="0" w:color="auto"/>
              </w:divBdr>
              <w:divsChild>
                <w:div w:id="448086643">
                  <w:marLeft w:val="0"/>
                  <w:marRight w:val="0"/>
                  <w:marTop w:val="0"/>
                  <w:marBottom w:val="0"/>
                  <w:divBdr>
                    <w:top w:val="none" w:sz="0" w:space="0" w:color="auto"/>
                    <w:left w:val="none" w:sz="0" w:space="0" w:color="auto"/>
                    <w:bottom w:val="none" w:sz="0" w:space="0" w:color="auto"/>
                    <w:right w:val="none" w:sz="0" w:space="0" w:color="auto"/>
                  </w:divBdr>
                </w:div>
              </w:divsChild>
            </w:div>
            <w:div w:id="1639726283">
              <w:marLeft w:val="0"/>
              <w:marRight w:val="0"/>
              <w:marTop w:val="0"/>
              <w:marBottom w:val="0"/>
              <w:divBdr>
                <w:top w:val="none" w:sz="0" w:space="0" w:color="auto"/>
                <w:left w:val="none" w:sz="0" w:space="0" w:color="auto"/>
                <w:bottom w:val="none" w:sz="0" w:space="0" w:color="auto"/>
                <w:right w:val="none" w:sz="0" w:space="0" w:color="auto"/>
              </w:divBdr>
              <w:divsChild>
                <w:div w:id="201479957">
                  <w:marLeft w:val="0"/>
                  <w:marRight w:val="0"/>
                  <w:marTop w:val="0"/>
                  <w:marBottom w:val="0"/>
                  <w:divBdr>
                    <w:top w:val="none" w:sz="0" w:space="0" w:color="auto"/>
                    <w:left w:val="none" w:sz="0" w:space="0" w:color="auto"/>
                    <w:bottom w:val="none" w:sz="0" w:space="0" w:color="auto"/>
                    <w:right w:val="none" w:sz="0" w:space="0" w:color="auto"/>
                  </w:divBdr>
                </w:div>
              </w:divsChild>
            </w:div>
            <w:div w:id="1166896156">
              <w:marLeft w:val="0"/>
              <w:marRight w:val="0"/>
              <w:marTop w:val="0"/>
              <w:marBottom w:val="0"/>
              <w:divBdr>
                <w:top w:val="none" w:sz="0" w:space="0" w:color="auto"/>
                <w:left w:val="none" w:sz="0" w:space="0" w:color="auto"/>
                <w:bottom w:val="none" w:sz="0" w:space="0" w:color="auto"/>
                <w:right w:val="none" w:sz="0" w:space="0" w:color="auto"/>
              </w:divBdr>
              <w:divsChild>
                <w:div w:id="1650088264">
                  <w:marLeft w:val="0"/>
                  <w:marRight w:val="0"/>
                  <w:marTop w:val="0"/>
                  <w:marBottom w:val="0"/>
                  <w:divBdr>
                    <w:top w:val="none" w:sz="0" w:space="0" w:color="auto"/>
                    <w:left w:val="none" w:sz="0" w:space="0" w:color="auto"/>
                    <w:bottom w:val="none" w:sz="0" w:space="0" w:color="auto"/>
                    <w:right w:val="none" w:sz="0" w:space="0" w:color="auto"/>
                  </w:divBdr>
                </w:div>
              </w:divsChild>
            </w:div>
            <w:div w:id="1716394316">
              <w:marLeft w:val="0"/>
              <w:marRight w:val="0"/>
              <w:marTop w:val="0"/>
              <w:marBottom w:val="0"/>
              <w:divBdr>
                <w:top w:val="none" w:sz="0" w:space="0" w:color="auto"/>
                <w:left w:val="none" w:sz="0" w:space="0" w:color="auto"/>
                <w:bottom w:val="none" w:sz="0" w:space="0" w:color="auto"/>
                <w:right w:val="none" w:sz="0" w:space="0" w:color="auto"/>
              </w:divBdr>
              <w:divsChild>
                <w:div w:id="193425905">
                  <w:marLeft w:val="0"/>
                  <w:marRight w:val="0"/>
                  <w:marTop w:val="0"/>
                  <w:marBottom w:val="0"/>
                  <w:divBdr>
                    <w:top w:val="none" w:sz="0" w:space="0" w:color="auto"/>
                    <w:left w:val="none" w:sz="0" w:space="0" w:color="auto"/>
                    <w:bottom w:val="none" w:sz="0" w:space="0" w:color="auto"/>
                    <w:right w:val="none" w:sz="0" w:space="0" w:color="auto"/>
                  </w:divBdr>
                </w:div>
              </w:divsChild>
            </w:div>
            <w:div w:id="1770661357">
              <w:marLeft w:val="0"/>
              <w:marRight w:val="0"/>
              <w:marTop w:val="0"/>
              <w:marBottom w:val="0"/>
              <w:divBdr>
                <w:top w:val="none" w:sz="0" w:space="0" w:color="auto"/>
                <w:left w:val="none" w:sz="0" w:space="0" w:color="auto"/>
                <w:bottom w:val="none" w:sz="0" w:space="0" w:color="auto"/>
                <w:right w:val="none" w:sz="0" w:space="0" w:color="auto"/>
              </w:divBdr>
              <w:divsChild>
                <w:div w:id="2046323315">
                  <w:marLeft w:val="0"/>
                  <w:marRight w:val="0"/>
                  <w:marTop w:val="0"/>
                  <w:marBottom w:val="0"/>
                  <w:divBdr>
                    <w:top w:val="none" w:sz="0" w:space="0" w:color="auto"/>
                    <w:left w:val="none" w:sz="0" w:space="0" w:color="auto"/>
                    <w:bottom w:val="none" w:sz="0" w:space="0" w:color="auto"/>
                    <w:right w:val="none" w:sz="0" w:space="0" w:color="auto"/>
                  </w:divBdr>
                </w:div>
              </w:divsChild>
            </w:div>
            <w:div w:id="996153768">
              <w:marLeft w:val="0"/>
              <w:marRight w:val="0"/>
              <w:marTop w:val="0"/>
              <w:marBottom w:val="0"/>
              <w:divBdr>
                <w:top w:val="none" w:sz="0" w:space="0" w:color="auto"/>
                <w:left w:val="none" w:sz="0" w:space="0" w:color="auto"/>
                <w:bottom w:val="none" w:sz="0" w:space="0" w:color="auto"/>
                <w:right w:val="none" w:sz="0" w:space="0" w:color="auto"/>
              </w:divBdr>
              <w:divsChild>
                <w:div w:id="301160169">
                  <w:marLeft w:val="0"/>
                  <w:marRight w:val="0"/>
                  <w:marTop w:val="0"/>
                  <w:marBottom w:val="0"/>
                  <w:divBdr>
                    <w:top w:val="none" w:sz="0" w:space="0" w:color="auto"/>
                    <w:left w:val="none" w:sz="0" w:space="0" w:color="auto"/>
                    <w:bottom w:val="none" w:sz="0" w:space="0" w:color="auto"/>
                    <w:right w:val="none" w:sz="0" w:space="0" w:color="auto"/>
                  </w:divBdr>
                </w:div>
              </w:divsChild>
            </w:div>
            <w:div w:id="330450079">
              <w:marLeft w:val="0"/>
              <w:marRight w:val="0"/>
              <w:marTop w:val="0"/>
              <w:marBottom w:val="0"/>
              <w:divBdr>
                <w:top w:val="none" w:sz="0" w:space="0" w:color="auto"/>
                <w:left w:val="none" w:sz="0" w:space="0" w:color="auto"/>
                <w:bottom w:val="none" w:sz="0" w:space="0" w:color="auto"/>
                <w:right w:val="none" w:sz="0" w:space="0" w:color="auto"/>
              </w:divBdr>
              <w:divsChild>
                <w:div w:id="1059943536">
                  <w:marLeft w:val="0"/>
                  <w:marRight w:val="0"/>
                  <w:marTop w:val="0"/>
                  <w:marBottom w:val="0"/>
                  <w:divBdr>
                    <w:top w:val="none" w:sz="0" w:space="0" w:color="auto"/>
                    <w:left w:val="none" w:sz="0" w:space="0" w:color="auto"/>
                    <w:bottom w:val="none" w:sz="0" w:space="0" w:color="auto"/>
                    <w:right w:val="none" w:sz="0" w:space="0" w:color="auto"/>
                  </w:divBdr>
                </w:div>
              </w:divsChild>
            </w:div>
            <w:div w:id="1420566822">
              <w:marLeft w:val="0"/>
              <w:marRight w:val="0"/>
              <w:marTop w:val="0"/>
              <w:marBottom w:val="0"/>
              <w:divBdr>
                <w:top w:val="none" w:sz="0" w:space="0" w:color="auto"/>
                <w:left w:val="none" w:sz="0" w:space="0" w:color="auto"/>
                <w:bottom w:val="none" w:sz="0" w:space="0" w:color="auto"/>
                <w:right w:val="none" w:sz="0" w:space="0" w:color="auto"/>
              </w:divBdr>
              <w:divsChild>
                <w:div w:id="652150239">
                  <w:marLeft w:val="0"/>
                  <w:marRight w:val="0"/>
                  <w:marTop w:val="0"/>
                  <w:marBottom w:val="0"/>
                  <w:divBdr>
                    <w:top w:val="none" w:sz="0" w:space="0" w:color="auto"/>
                    <w:left w:val="none" w:sz="0" w:space="0" w:color="auto"/>
                    <w:bottom w:val="none" w:sz="0" w:space="0" w:color="auto"/>
                    <w:right w:val="none" w:sz="0" w:space="0" w:color="auto"/>
                  </w:divBdr>
                </w:div>
              </w:divsChild>
            </w:div>
            <w:div w:id="1089546454">
              <w:marLeft w:val="0"/>
              <w:marRight w:val="0"/>
              <w:marTop w:val="0"/>
              <w:marBottom w:val="0"/>
              <w:divBdr>
                <w:top w:val="none" w:sz="0" w:space="0" w:color="auto"/>
                <w:left w:val="none" w:sz="0" w:space="0" w:color="auto"/>
                <w:bottom w:val="none" w:sz="0" w:space="0" w:color="auto"/>
                <w:right w:val="none" w:sz="0" w:space="0" w:color="auto"/>
              </w:divBdr>
              <w:divsChild>
                <w:div w:id="12127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13253">
      <w:bodyDiv w:val="1"/>
      <w:marLeft w:val="0"/>
      <w:marRight w:val="0"/>
      <w:marTop w:val="0"/>
      <w:marBottom w:val="0"/>
      <w:divBdr>
        <w:top w:val="none" w:sz="0" w:space="0" w:color="auto"/>
        <w:left w:val="none" w:sz="0" w:space="0" w:color="auto"/>
        <w:bottom w:val="none" w:sz="0" w:space="0" w:color="auto"/>
        <w:right w:val="none" w:sz="0" w:space="0" w:color="auto"/>
      </w:divBdr>
    </w:div>
    <w:div w:id="704796714">
      <w:bodyDiv w:val="1"/>
      <w:marLeft w:val="0"/>
      <w:marRight w:val="0"/>
      <w:marTop w:val="0"/>
      <w:marBottom w:val="0"/>
      <w:divBdr>
        <w:top w:val="none" w:sz="0" w:space="0" w:color="auto"/>
        <w:left w:val="none" w:sz="0" w:space="0" w:color="auto"/>
        <w:bottom w:val="none" w:sz="0" w:space="0" w:color="auto"/>
        <w:right w:val="none" w:sz="0" w:space="0" w:color="auto"/>
      </w:divBdr>
    </w:div>
    <w:div w:id="861437224">
      <w:bodyDiv w:val="1"/>
      <w:marLeft w:val="0"/>
      <w:marRight w:val="0"/>
      <w:marTop w:val="0"/>
      <w:marBottom w:val="0"/>
      <w:divBdr>
        <w:top w:val="none" w:sz="0" w:space="0" w:color="auto"/>
        <w:left w:val="none" w:sz="0" w:space="0" w:color="auto"/>
        <w:bottom w:val="none" w:sz="0" w:space="0" w:color="auto"/>
        <w:right w:val="none" w:sz="0" w:space="0" w:color="auto"/>
      </w:divBdr>
      <w:divsChild>
        <w:div w:id="1011563462">
          <w:marLeft w:val="0"/>
          <w:marRight w:val="0"/>
          <w:marTop w:val="0"/>
          <w:marBottom w:val="0"/>
          <w:divBdr>
            <w:top w:val="none" w:sz="0" w:space="0" w:color="auto"/>
            <w:left w:val="none" w:sz="0" w:space="0" w:color="auto"/>
            <w:bottom w:val="none" w:sz="0" w:space="0" w:color="auto"/>
            <w:right w:val="none" w:sz="0" w:space="0" w:color="auto"/>
          </w:divBdr>
          <w:divsChild>
            <w:div w:id="58748001">
              <w:marLeft w:val="0"/>
              <w:marRight w:val="0"/>
              <w:marTop w:val="0"/>
              <w:marBottom w:val="0"/>
              <w:divBdr>
                <w:top w:val="none" w:sz="0" w:space="0" w:color="auto"/>
                <w:left w:val="none" w:sz="0" w:space="0" w:color="auto"/>
                <w:bottom w:val="none" w:sz="0" w:space="0" w:color="auto"/>
                <w:right w:val="none" w:sz="0" w:space="0" w:color="auto"/>
              </w:divBdr>
              <w:divsChild>
                <w:div w:id="223416474">
                  <w:marLeft w:val="0"/>
                  <w:marRight w:val="0"/>
                  <w:marTop w:val="0"/>
                  <w:marBottom w:val="0"/>
                  <w:divBdr>
                    <w:top w:val="none" w:sz="0" w:space="0" w:color="auto"/>
                    <w:left w:val="none" w:sz="0" w:space="0" w:color="auto"/>
                    <w:bottom w:val="none" w:sz="0" w:space="0" w:color="auto"/>
                    <w:right w:val="none" w:sz="0" w:space="0" w:color="auto"/>
                  </w:divBdr>
                </w:div>
              </w:divsChild>
            </w:div>
            <w:div w:id="2141653314">
              <w:marLeft w:val="0"/>
              <w:marRight w:val="0"/>
              <w:marTop w:val="0"/>
              <w:marBottom w:val="0"/>
              <w:divBdr>
                <w:top w:val="none" w:sz="0" w:space="0" w:color="auto"/>
                <w:left w:val="none" w:sz="0" w:space="0" w:color="auto"/>
                <w:bottom w:val="none" w:sz="0" w:space="0" w:color="auto"/>
                <w:right w:val="none" w:sz="0" w:space="0" w:color="auto"/>
              </w:divBdr>
              <w:divsChild>
                <w:div w:id="1701083902">
                  <w:marLeft w:val="0"/>
                  <w:marRight w:val="0"/>
                  <w:marTop w:val="0"/>
                  <w:marBottom w:val="0"/>
                  <w:divBdr>
                    <w:top w:val="none" w:sz="0" w:space="0" w:color="auto"/>
                    <w:left w:val="none" w:sz="0" w:space="0" w:color="auto"/>
                    <w:bottom w:val="none" w:sz="0" w:space="0" w:color="auto"/>
                    <w:right w:val="none" w:sz="0" w:space="0" w:color="auto"/>
                  </w:divBdr>
                </w:div>
              </w:divsChild>
            </w:div>
            <w:div w:id="1984381724">
              <w:marLeft w:val="0"/>
              <w:marRight w:val="0"/>
              <w:marTop w:val="0"/>
              <w:marBottom w:val="0"/>
              <w:divBdr>
                <w:top w:val="none" w:sz="0" w:space="0" w:color="auto"/>
                <w:left w:val="none" w:sz="0" w:space="0" w:color="auto"/>
                <w:bottom w:val="none" w:sz="0" w:space="0" w:color="auto"/>
                <w:right w:val="none" w:sz="0" w:space="0" w:color="auto"/>
              </w:divBdr>
              <w:divsChild>
                <w:div w:id="794832095">
                  <w:marLeft w:val="0"/>
                  <w:marRight w:val="0"/>
                  <w:marTop w:val="0"/>
                  <w:marBottom w:val="0"/>
                  <w:divBdr>
                    <w:top w:val="none" w:sz="0" w:space="0" w:color="auto"/>
                    <w:left w:val="none" w:sz="0" w:space="0" w:color="auto"/>
                    <w:bottom w:val="none" w:sz="0" w:space="0" w:color="auto"/>
                    <w:right w:val="none" w:sz="0" w:space="0" w:color="auto"/>
                  </w:divBdr>
                </w:div>
              </w:divsChild>
            </w:div>
            <w:div w:id="1508670273">
              <w:marLeft w:val="0"/>
              <w:marRight w:val="0"/>
              <w:marTop w:val="0"/>
              <w:marBottom w:val="0"/>
              <w:divBdr>
                <w:top w:val="none" w:sz="0" w:space="0" w:color="auto"/>
                <w:left w:val="none" w:sz="0" w:space="0" w:color="auto"/>
                <w:bottom w:val="none" w:sz="0" w:space="0" w:color="auto"/>
                <w:right w:val="none" w:sz="0" w:space="0" w:color="auto"/>
              </w:divBdr>
              <w:divsChild>
                <w:div w:id="587815171">
                  <w:marLeft w:val="0"/>
                  <w:marRight w:val="0"/>
                  <w:marTop w:val="0"/>
                  <w:marBottom w:val="0"/>
                  <w:divBdr>
                    <w:top w:val="none" w:sz="0" w:space="0" w:color="auto"/>
                    <w:left w:val="none" w:sz="0" w:space="0" w:color="auto"/>
                    <w:bottom w:val="none" w:sz="0" w:space="0" w:color="auto"/>
                    <w:right w:val="none" w:sz="0" w:space="0" w:color="auto"/>
                  </w:divBdr>
                </w:div>
              </w:divsChild>
            </w:div>
            <w:div w:id="546649137">
              <w:marLeft w:val="0"/>
              <w:marRight w:val="0"/>
              <w:marTop w:val="0"/>
              <w:marBottom w:val="0"/>
              <w:divBdr>
                <w:top w:val="none" w:sz="0" w:space="0" w:color="auto"/>
                <w:left w:val="none" w:sz="0" w:space="0" w:color="auto"/>
                <w:bottom w:val="none" w:sz="0" w:space="0" w:color="auto"/>
                <w:right w:val="none" w:sz="0" w:space="0" w:color="auto"/>
              </w:divBdr>
              <w:divsChild>
                <w:div w:id="235479537">
                  <w:marLeft w:val="0"/>
                  <w:marRight w:val="0"/>
                  <w:marTop w:val="0"/>
                  <w:marBottom w:val="0"/>
                  <w:divBdr>
                    <w:top w:val="none" w:sz="0" w:space="0" w:color="auto"/>
                    <w:left w:val="none" w:sz="0" w:space="0" w:color="auto"/>
                    <w:bottom w:val="none" w:sz="0" w:space="0" w:color="auto"/>
                    <w:right w:val="none" w:sz="0" w:space="0" w:color="auto"/>
                  </w:divBdr>
                </w:div>
              </w:divsChild>
            </w:div>
            <w:div w:id="27806310">
              <w:marLeft w:val="0"/>
              <w:marRight w:val="0"/>
              <w:marTop w:val="0"/>
              <w:marBottom w:val="0"/>
              <w:divBdr>
                <w:top w:val="none" w:sz="0" w:space="0" w:color="auto"/>
                <w:left w:val="none" w:sz="0" w:space="0" w:color="auto"/>
                <w:bottom w:val="none" w:sz="0" w:space="0" w:color="auto"/>
                <w:right w:val="none" w:sz="0" w:space="0" w:color="auto"/>
              </w:divBdr>
              <w:divsChild>
                <w:div w:id="1234118435">
                  <w:marLeft w:val="0"/>
                  <w:marRight w:val="0"/>
                  <w:marTop w:val="0"/>
                  <w:marBottom w:val="0"/>
                  <w:divBdr>
                    <w:top w:val="none" w:sz="0" w:space="0" w:color="auto"/>
                    <w:left w:val="none" w:sz="0" w:space="0" w:color="auto"/>
                    <w:bottom w:val="none" w:sz="0" w:space="0" w:color="auto"/>
                    <w:right w:val="none" w:sz="0" w:space="0" w:color="auto"/>
                  </w:divBdr>
                </w:div>
              </w:divsChild>
            </w:div>
            <w:div w:id="1393236046">
              <w:marLeft w:val="0"/>
              <w:marRight w:val="0"/>
              <w:marTop w:val="0"/>
              <w:marBottom w:val="0"/>
              <w:divBdr>
                <w:top w:val="none" w:sz="0" w:space="0" w:color="auto"/>
                <w:left w:val="none" w:sz="0" w:space="0" w:color="auto"/>
                <w:bottom w:val="none" w:sz="0" w:space="0" w:color="auto"/>
                <w:right w:val="none" w:sz="0" w:space="0" w:color="auto"/>
              </w:divBdr>
              <w:divsChild>
                <w:div w:id="1466506841">
                  <w:marLeft w:val="0"/>
                  <w:marRight w:val="0"/>
                  <w:marTop w:val="0"/>
                  <w:marBottom w:val="0"/>
                  <w:divBdr>
                    <w:top w:val="none" w:sz="0" w:space="0" w:color="auto"/>
                    <w:left w:val="none" w:sz="0" w:space="0" w:color="auto"/>
                    <w:bottom w:val="none" w:sz="0" w:space="0" w:color="auto"/>
                    <w:right w:val="none" w:sz="0" w:space="0" w:color="auto"/>
                  </w:divBdr>
                </w:div>
              </w:divsChild>
            </w:div>
            <w:div w:id="475950294">
              <w:marLeft w:val="0"/>
              <w:marRight w:val="0"/>
              <w:marTop w:val="0"/>
              <w:marBottom w:val="0"/>
              <w:divBdr>
                <w:top w:val="none" w:sz="0" w:space="0" w:color="auto"/>
                <w:left w:val="none" w:sz="0" w:space="0" w:color="auto"/>
                <w:bottom w:val="none" w:sz="0" w:space="0" w:color="auto"/>
                <w:right w:val="none" w:sz="0" w:space="0" w:color="auto"/>
              </w:divBdr>
              <w:divsChild>
                <w:div w:id="1896968758">
                  <w:marLeft w:val="0"/>
                  <w:marRight w:val="0"/>
                  <w:marTop w:val="0"/>
                  <w:marBottom w:val="0"/>
                  <w:divBdr>
                    <w:top w:val="none" w:sz="0" w:space="0" w:color="auto"/>
                    <w:left w:val="none" w:sz="0" w:space="0" w:color="auto"/>
                    <w:bottom w:val="none" w:sz="0" w:space="0" w:color="auto"/>
                    <w:right w:val="none" w:sz="0" w:space="0" w:color="auto"/>
                  </w:divBdr>
                </w:div>
              </w:divsChild>
            </w:div>
            <w:div w:id="1239097566">
              <w:marLeft w:val="0"/>
              <w:marRight w:val="0"/>
              <w:marTop w:val="0"/>
              <w:marBottom w:val="0"/>
              <w:divBdr>
                <w:top w:val="none" w:sz="0" w:space="0" w:color="auto"/>
                <w:left w:val="none" w:sz="0" w:space="0" w:color="auto"/>
                <w:bottom w:val="none" w:sz="0" w:space="0" w:color="auto"/>
                <w:right w:val="none" w:sz="0" w:space="0" w:color="auto"/>
              </w:divBdr>
              <w:divsChild>
                <w:div w:id="132720111">
                  <w:marLeft w:val="0"/>
                  <w:marRight w:val="0"/>
                  <w:marTop w:val="0"/>
                  <w:marBottom w:val="0"/>
                  <w:divBdr>
                    <w:top w:val="none" w:sz="0" w:space="0" w:color="auto"/>
                    <w:left w:val="none" w:sz="0" w:space="0" w:color="auto"/>
                    <w:bottom w:val="none" w:sz="0" w:space="0" w:color="auto"/>
                    <w:right w:val="none" w:sz="0" w:space="0" w:color="auto"/>
                  </w:divBdr>
                </w:div>
              </w:divsChild>
            </w:div>
            <w:div w:id="1173958431">
              <w:marLeft w:val="0"/>
              <w:marRight w:val="0"/>
              <w:marTop w:val="0"/>
              <w:marBottom w:val="0"/>
              <w:divBdr>
                <w:top w:val="none" w:sz="0" w:space="0" w:color="auto"/>
                <w:left w:val="none" w:sz="0" w:space="0" w:color="auto"/>
                <w:bottom w:val="none" w:sz="0" w:space="0" w:color="auto"/>
                <w:right w:val="none" w:sz="0" w:space="0" w:color="auto"/>
              </w:divBdr>
              <w:divsChild>
                <w:div w:id="2131390360">
                  <w:marLeft w:val="0"/>
                  <w:marRight w:val="0"/>
                  <w:marTop w:val="0"/>
                  <w:marBottom w:val="0"/>
                  <w:divBdr>
                    <w:top w:val="none" w:sz="0" w:space="0" w:color="auto"/>
                    <w:left w:val="none" w:sz="0" w:space="0" w:color="auto"/>
                    <w:bottom w:val="none" w:sz="0" w:space="0" w:color="auto"/>
                    <w:right w:val="none" w:sz="0" w:space="0" w:color="auto"/>
                  </w:divBdr>
                </w:div>
              </w:divsChild>
            </w:div>
            <w:div w:id="1840775384">
              <w:marLeft w:val="0"/>
              <w:marRight w:val="0"/>
              <w:marTop w:val="0"/>
              <w:marBottom w:val="0"/>
              <w:divBdr>
                <w:top w:val="none" w:sz="0" w:space="0" w:color="auto"/>
                <w:left w:val="none" w:sz="0" w:space="0" w:color="auto"/>
                <w:bottom w:val="none" w:sz="0" w:space="0" w:color="auto"/>
                <w:right w:val="none" w:sz="0" w:space="0" w:color="auto"/>
              </w:divBdr>
              <w:divsChild>
                <w:div w:id="1384869952">
                  <w:marLeft w:val="0"/>
                  <w:marRight w:val="0"/>
                  <w:marTop w:val="0"/>
                  <w:marBottom w:val="0"/>
                  <w:divBdr>
                    <w:top w:val="none" w:sz="0" w:space="0" w:color="auto"/>
                    <w:left w:val="none" w:sz="0" w:space="0" w:color="auto"/>
                    <w:bottom w:val="none" w:sz="0" w:space="0" w:color="auto"/>
                    <w:right w:val="none" w:sz="0" w:space="0" w:color="auto"/>
                  </w:divBdr>
                </w:div>
              </w:divsChild>
            </w:div>
            <w:div w:id="45186067">
              <w:marLeft w:val="0"/>
              <w:marRight w:val="0"/>
              <w:marTop w:val="0"/>
              <w:marBottom w:val="0"/>
              <w:divBdr>
                <w:top w:val="none" w:sz="0" w:space="0" w:color="auto"/>
                <w:left w:val="none" w:sz="0" w:space="0" w:color="auto"/>
                <w:bottom w:val="none" w:sz="0" w:space="0" w:color="auto"/>
                <w:right w:val="none" w:sz="0" w:space="0" w:color="auto"/>
              </w:divBdr>
              <w:divsChild>
                <w:div w:id="1907648362">
                  <w:marLeft w:val="0"/>
                  <w:marRight w:val="0"/>
                  <w:marTop w:val="0"/>
                  <w:marBottom w:val="0"/>
                  <w:divBdr>
                    <w:top w:val="none" w:sz="0" w:space="0" w:color="auto"/>
                    <w:left w:val="none" w:sz="0" w:space="0" w:color="auto"/>
                    <w:bottom w:val="none" w:sz="0" w:space="0" w:color="auto"/>
                    <w:right w:val="none" w:sz="0" w:space="0" w:color="auto"/>
                  </w:divBdr>
                </w:div>
              </w:divsChild>
            </w:div>
            <w:div w:id="1981880878">
              <w:marLeft w:val="0"/>
              <w:marRight w:val="0"/>
              <w:marTop w:val="0"/>
              <w:marBottom w:val="0"/>
              <w:divBdr>
                <w:top w:val="none" w:sz="0" w:space="0" w:color="auto"/>
                <w:left w:val="none" w:sz="0" w:space="0" w:color="auto"/>
                <w:bottom w:val="none" w:sz="0" w:space="0" w:color="auto"/>
                <w:right w:val="none" w:sz="0" w:space="0" w:color="auto"/>
              </w:divBdr>
              <w:divsChild>
                <w:div w:id="148518131">
                  <w:marLeft w:val="0"/>
                  <w:marRight w:val="0"/>
                  <w:marTop w:val="0"/>
                  <w:marBottom w:val="0"/>
                  <w:divBdr>
                    <w:top w:val="none" w:sz="0" w:space="0" w:color="auto"/>
                    <w:left w:val="none" w:sz="0" w:space="0" w:color="auto"/>
                    <w:bottom w:val="none" w:sz="0" w:space="0" w:color="auto"/>
                    <w:right w:val="none" w:sz="0" w:space="0" w:color="auto"/>
                  </w:divBdr>
                </w:div>
              </w:divsChild>
            </w:div>
            <w:div w:id="422145768">
              <w:marLeft w:val="0"/>
              <w:marRight w:val="0"/>
              <w:marTop w:val="0"/>
              <w:marBottom w:val="0"/>
              <w:divBdr>
                <w:top w:val="none" w:sz="0" w:space="0" w:color="auto"/>
                <w:left w:val="none" w:sz="0" w:space="0" w:color="auto"/>
                <w:bottom w:val="none" w:sz="0" w:space="0" w:color="auto"/>
                <w:right w:val="none" w:sz="0" w:space="0" w:color="auto"/>
              </w:divBdr>
              <w:divsChild>
                <w:div w:id="1928071456">
                  <w:marLeft w:val="0"/>
                  <w:marRight w:val="0"/>
                  <w:marTop w:val="0"/>
                  <w:marBottom w:val="0"/>
                  <w:divBdr>
                    <w:top w:val="none" w:sz="0" w:space="0" w:color="auto"/>
                    <w:left w:val="none" w:sz="0" w:space="0" w:color="auto"/>
                    <w:bottom w:val="none" w:sz="0" w:space="0" w:color="auto"/>
                    <w:right w:val="none" w:sz="0" w:space="0" w:color="auto"/>
                  </w:divBdr>
                </w:div>
              </w:divsChild>
            </w:div>
            <w:div w:id="212011394">
              <w:marLeft w:val="0"/>
              <w:marRight w:val="0"/>
              <w:marTop w:val="0"/>
              <w:marBottom w:val="0"/>
              <w:divBdr>
                <w:top w:val="none" w:sz="0" w:space="0" w:color="auto"/>
                <w:left w:val="none" w:sz="0" w:space="0" w:color="auto"/>
                <w:bottom w:val="none" w:sz="0" w:space="0" w:color="auto"/>
                <w:right w:val="none" w:sz="0" w:space="0" w:color="auto"/>
              </w:divBdr>
              <w:divsChild>
                <w:div w:id="1858034628">
                  <w:marLeft w:val="0"/>
                  <w:marRight w:val="0"/>
                  <w:marTop w:val="0"/>
                  <w:marBottom w:val="0"/>
                  <w:divBdr>
                    <w:top w:val="none" w:sz="0" w:space="0" w:color="auto"/>
                    <w:left w:val="none" w:sz="0" w:space="0" w:color="auto"/>
                    <w:bottom w:val="none" w:sz="0" w:space="0" w:color="auto"/>
                    <w:right w:val="none" w:sz="0" w:space="0" w:color="auto"/>
                  </w:divBdr>
                </w:div>
              </w:divsChild>
            </w:div>
            <w:div w:id="41177547">
              <w:marLeft w:val="0"/>
              <w:marRight w:val="0"/>
              <w:marTop w:val="0"/>
              <w:marBottom w:val="0"/>
              <w:divBdr>
                <w:top w:val="none" w:sz="0" w:space="0" w:color="auto"/>
                <w:left w:val="none" w:sz="0" w:space="0" w:color="auto"/>
                <w:bottom w:val="none" w:sz="0" w:space="0" w:color="auto"/>
                <w:right w:val="none" w:sz="0" w:space="0" w:color="auto"/>
              </w:divBdr>
              <w:divsChild>
                <w:div w:id="1515460846">
                  <w:marLeft w:val="0"/>
                  <w:marRight w:val="0"/>
                  <w:marTop w:val="0"/>
                  <w:marBottom w:val="0"/>
                  <w:divBdr>
                    <w:top w:val="none" w:sz="0" w:space="0" w:color="auto"/>
                    <w:left w:val="none" w:sz="0" w:space="0" w:color="auto"/>
                    <w:bottom w:val="none" w:sz="0" w:space="0" w:color="auto"/>
                    <w:right w:val="none" w:sz="0" w:space="0" w:color="auto"/>
                  </w:divBdr>
                </w:div>
              </w:divsChild>
            </w:div>
            <w:div w:id="823621108">
              <w:marLeft w:val="0"/>
              <w:marRight w:val="0"/>
              <w:marTop w:val="0"/>
              <w:marBottom w:val="0"/>
              <w:divBdr>
                <w:top w:val="none" w:sz="0" w:space="0" w:color="auto"/>
                <w:left w:val="none" w:sz="0" w:space="0" w:color="auto"/>
                <w:bottom w:val="none" w:sz="0" w:space="0" w:color="auto"/>
                <w:right w:val="none" w:sz="0" w:space="0" w:color="auto"/>
              </w:divBdr>
              <w:divsChild>
                <w:div w:id="2124113678">
                  <w:marLeft w:val="0"/>
                  <w:marRight w:val="0"/>
                  <w:marTop w:val="0"/>
                  <w:marBottom w:val="0"/>
                  <w:divBdr>
                    <w:top w:val="none" w:sz="0" w:space="0" w:color="auto"/>
                    <w:left w:val="none" w:sz="0" w:space="0" w:color="auto"/>
                    <w:bottom w:val="none" w:sz="0" w:space="0" w:color="auto"/>
                    <w:right w:val="none" w:sz="0" w:space="0" w:color="auto"/>
                  </w:divBdr>
                </w:div>
              </w:divsChild>
            </w:div>
            <w:div w:id="423962635">
              <w:marLeft w:val="0"/>
              <w:marRight w:val="0"/>
              <w:marTop w:val="0"/>
              <w:marBottom w:val="0"/>
              <w:divBdr>
                <w:top w:val="none" w:sz="0" w:space="0" w:color="auto"/>
                <w:left w:val="none" w:sz="0" w:space="0" w:color="auto"/>
                <w:bottom w:val="none" w:sz="0" w:space="0" w:color="auto"/>
                <w:right w:val="none" w:sz="0" w:space="0" w:color="auto"/>
              </w:divBdr>
              <w:divsChild>
                <w:div w:id="13461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4091">
      <w:bodyDiv w:val="1"/>
      <w:marLeft w:val="0"/>
      <w:marRight w:val="0"/>
      <w:marTop w:val="0"/>
      <w:marBottom w:val="0"/>
      <w:divBdr>
        <w:top w:val="none" w:sz="0" w:space="0" w:color="auto"/>
        <w:left w:val="none" w:sz="0" w:space="0" w:color="auto"/>
        <w:bottom w:val="none" w:sz="0" w:space="0" w:color="auto"/>
        <w:right w:val="none" w:sz="0" w:space="0" w:color="auto"/>
      </w:divBdr>
      <w:divsChild>
        <w:div w:id="1930625305">
          <w:marLeft w:val="0"/>
          <w:marRight w:val="0"/>
          <w:marTop w:val="0"/>
          <w:marBottom w:val="0"/>
          <w:divBdr>
            <w:top w:val="none" w:sz="0" w:space="0" w:color="auto"/>
            <w:left w:val="none" w:sz="0" w:space="0" w:color="auto"/>
            <w:bottom w:val="none" w:sz="0" w:space="0" w:color="auto"/>
            <w:right w:val="none" w:sz="0" w:space="0" w:color="auto"/>
          </w:divBdr>
          <w:divsChild>
            <w:div w:id="1259556646">
              <w:marLeft w:val="0"/>
              <w:marRight w:val="0"/>
              <w:marTop w:val="0"/>
              <w:marBottom w:val="0"/>
              <w:divBdr>
                <w:top w:val="none" w:sz="0" w:space="0" w:color="auto"/>
                <w:left w:val="none" w:sz="0" w:space="0" w:color="auto"/>
                <w:bottom w:val="none" w:sz="0" w:space="0" w:color="auto"/>
                <w:right w:val="none" w:sz="0" w:space="0" w:color="auto"/>
              </w:divBdr>
              <w:divsChild>
                <w:div w:id="1907957277">
                  <w:marLeft w:val="0"/>
                  <w:marRight w:val="0"/>
                  <w:marTop w:val="0"/>
                  <w:marBottom w:val="0"/>
                  <w:divBdr>
                    <w:top w:val="none" w:sz="0" w:space="0" w:color="auto"/>
                    <w:left w:val="none" w:sz="0" w:space="0" w:color="auto"/>
                    <w:bottom w:val="none" w:sz="0" w:space="0" w:color="auto"/>
                    <w:right w:val="none" w:sz="0" w:space="0" w:color="auto"/>
                  </w:divBdr>
                  <w:divsChild>
                    <w:div w:id="984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73924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94">
          <w:marLeft w:val="0"/>
          <w:marRight w:val="0"/>
          <w:marTop w:val="0"/>
          <w:marBottom w:val="0"/>
          <w:divBdr>
            <w:top w:val="none" w:sz="0" w:space="0" w:color="auto"/>
            <w:left w:val="none" w:sz="0" w:space="0" w:color="auto"/>
            <w:bottom w:val="none" w:sz="0" w:space="0" w:color="auto"/>
            <w:right w:val="none" w:sz="0" w:space="0" w:color="auto"/>
          </w:divBdr>
          <w:divsChild>
            <w:div w:id="66272038">
              <w:marLeft w:val="0"/>
              <w:marRight w:val="0"/>
              <w:marTop w:val="0"/>
              <w:marBottom w:val="0"/>
              <w:divBdr>
                <w:top w:val="none" w:sz="0" w:space="0" w:color="auto"/>
                <w:left w:val="none" w:sz="0" w:space="0" w:color="auto"/>
                <w:bottom w:val="none" w:sz="0" w:space="0" w:color="auto"/>
                <w:right w:val="none" w:sz="0" w:space="0" w:color="auto"/>
              </w:divBdr>
              <w:divsChild>
                <w:div w:id="2004893053">
                  <w:marLeft w:val="0"/>
                  <w:marRight w:val="0"/>
                  <w:marTop w:val="0"/>
                  <w:marBottom w:val="0"/>
                  <w:divBdr>
                    <w:top w:val="none" w:sz="0" w:space="0" w:color="auto"/>
                    <w:left w:val="none" w:sz="0" w:space="0" w:color="auto"/>
                    <w:bottom w:val="none" w:sz="0" w:space="0" w:color="auto"/>
                    <w:right w:val="none" w:sz="0" w:space="0" w:color="auto"/>
                  </w:divBdr>
                  <w:divsChild>
                    <w:div w:id="6505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487474604">
      <w:bodyDiv w:val="1"/>
      <w:marLeft w:val="0"/>
      <w:marRight w:val="0"/>
      <w:marTop w:val="0"/>
      <w:marBottom w:val="0"/>
      <w:divBdr>
        <w:top w:val="none" w:sz="0" w:space="0" w:color="auto"/>
        <w:left w:val="none" w:sz="0" w:space="0" w:color="auto"/>
        <w:bottom w:val="none" w:sz="0" w:space="0" w:color="auto"/>
        <w:right w:val="none" w:sz="0" w:space="0" w:color="auto"/>
      </w:divBdr>
      <w:divsChild>
        <w:div w:id="2086224306">
          <w:marLeft w:val="0"/>
          <w:marRight w:val="0"/>
          <w:marTop w:val="0"/>
          <w:marBottom w:val="0"/>
          <w:divBdr>
            <w:top w:val="none" w:sz="0" w:space="0" w:color="auto"/>
            <w:left w:val="none" w:sz="0" w:space="0" w:color="auto"/>
            <w:bottom w:val="none" w:sz="0" w:space="0" w:color="auto"/>
            <w:right w:val="none" w:sz="0" w:space="0" w:color="auto"/>
          </w:divBdr>
          <w:divsChild>
            <w:div w:id="713427056">
              <w:marLeft w:val="0"/>
              <w:marRight w:val="0"/>
              <w:marTop w:val="0"/>
              <w:marBottom w:val="0"/>
              <w:divBdr>
                <w:top w:val="none" w:sz="0" w:space="0" w:color="auto"/>
                <w:left w:val="none" w:sz="0" w:space="0" w:color="auto"/>
                <w:bottom w:val="none" w:sz="0" w:space="0" w:color="auto"/>
                <w:right w:val="none" w:sz="0" w:space="0" w:color="auto"/>
              </w:divBdr>
              <w:divsChild>
                <w:div w:id="544636181">
                  <w:marLeft w:val="0"/>
                  <w:marRight w:val="0"/>
                  <w:marTop w:val="0"/>
                  <w:marBottom w:val="0"/>
                  <w:divBdr>
                    <w:top w:val="none" w:sz="0" w:space="0" w:color="auto"/>
                    <w:left w:val="none" w:sz="0" w:space="0" w:color="auto"/>
                    <w:bottom w:val="none" w:sz="0" w:space="0" w:color="auto"/>
                    <w:right w:val="none" w:sz="0" w:space="0" w:color="auto"/>
                  </w:divBdr>
                </w:div>
              </w:divsChild>
            </w:div>
            <w:div w:id="787622953">
              <w:marLeft w:val="0"/>
              <w:marRight w:val="0"/>
              <w:marTop w:val="0"/>
              <w:marBottom w:val="0"/>
              <w:divBdr>
                <w:top w:val="none" w:sz="0" w:space="0" w:color="auto"/>
                <w:left w:val="none" w:sz="0" w:space="0" w:color="auto"/>
                <w:bottom w:val="none" w:sz="0" w:space="0" w:color="auto"/>
                <w:right w:val="none" w:sz="0" w:space="0" w:color="auto"/>
              </w:divBdr>
              <w:divsChild>
                <w:div w:id="724521777">
                  <w:marLeft w:val="0"/>
                  <w:marRight w:val="0"/>
                  <w:marTop w:val="0"/>
                  <w:marBottom w:val="0"/>
                  <w:divBdr>
                    <w:top w:val="none" w:sz="0" w:space="0" w:color="auto"/>
                    <w:left w:val="none" w:sz="0" w:space="0" w:color="auto"/>
                    <w:bottom w:val="none" w:sz="0" w:space="0" w:color="auto"/>
                    <w:right w:val="none" w:sz="0" w:space="0" w:color="auto"/>
                  </w:divBdr>
                </w:div>
              </w:divsChild>
            </w:div>
            <w:div w:id="1087112304">
              <w:marLeft w:val="0"/>
              <w:marRight w:val="0"/>
              <w:marTop w:val="0"/>
              <w:marBottom w:val="0"/>
              <w:divBdr>
                <w:top w:val="none" w:sz="0" w:space="0" w:color="auto"/>
                <w:left w:val="none" w:sz="0" w:space="0" w:color="auto"/>
                <w:bottom w:val="none" w:sz="0" w:space="0" w:color="auto"/>
                <w:right w:val="none" w:sz="0" w:space="0" w:color="auto"/>
              </w:divBdr>
              <w:divsChild>
                <w:div w:id="1050492036">
                  <w:marLeft w:val="0"/>
                  <w:marRight w:val="0"/>
                  <w:marTop w:val="0"/>
                  <w:marBottom w:val="0"/>
                  <w:divBdr>
                    <w:top w:val="none" w:sz="0" w:space="0" w:color="auto"/>
                    <w:left w:val="none" w:sz="0" w:space="0" w:color="auto"/>
                    <w:bottom w:val="none" w:sz="0" w:space="0" w:color="auto"/>
                    <w:right w:val="none" w:sz="0" w:space="0" w:color="auto"/>
                  </w:divBdr>
                </w:div>
              </w:divsChild>
            </w:div>
            <w:div w:id="1000079647">
              <w:marLeft w:val="0"/>
              <w:marRight w:val="0"/>
              <w:marTop w:val="0"/>
              <w:marBottom w:val="0"/>
              <w:divBdr>
                <w:top w:val="none" w:sz="0" w:space="0" w:color="auto"/>
                <w:left w:val="none" w:sz="0" w:space="0" w:color="auto"/>
                <w:bottom w:val="none" w:sz="0" w:space="0" w:color="auto"/>
                <w:right w:val="none" w:sz="0" w:space="0" w:color="auto"/>
              </w:divBdr>
              <w:divsChild>
                <w:div w:id="1492521239">
                  <w:marLeft w:val="0"/>
                  <w:marRight w:val="0"/>
                  <w:marTop w:val="0"/>
                  <w:marBottom w:val="0"/>
                  <w:divBdr>
                    <w:top w:val="none" w:sz="0" w:space="0" w:color="auto"/>
                    <w:left w:val="none" w:sz="0" w:space="0" w:color="auto"/>
                    <w:bottom w:val="none" w:sz="0" w:space="0" w:color="auto"/>
                    <w:right w:val="none" w:sz="0" w:space="0" w:color="auto"/>
                  </w:divBdr>
                </w:div>
              </w:divsChild>
            </w:div>
            <w:div w:id="1932201948">
              <w:marLeft w:val="0"/>
              <w:marRight w:val="0"/>
              <w:marTop w:val="0"/>
              <w:marBottom w:val="0"/>
              <w:divBdr>
                <w:top w:val="none" w:sz="0" w:space="0" w:color="auto"/>
                <w:left w:val="none" w:sz="0" w:space="0" w:color="auto"/>
                <w:bottom w:val="none" w:sz="0" w:space="0" w:color="auto"/>
                <w:right w:val="none" w:sz="0" w:space="0" w:color="auto"/>
              </w:divBdr>
              <w:divsChild>
                <w:div w:id="410396487">
                  <w:marLeft w:val="0"/>
                  <w:marRight w:val="0"/>
                  <w:marTop w:val="0"/>
                  <w:marBottom w:val="0"/>
                  <w:divBdr>
                    <w:top w:val="none" w:sz="0" w:space="0" w:color="auto"/>
                    <w:left w:val="none" w:sz="0" w:space="0" w:color="auto"/>
                    <w:bottom w:val="none" w:sz="0" w:space="0" w:color="auto"/>
                    <w:right w:val="none" w:sz="0" w:space="0" w:color="auto"/>
                  </w:divBdr>
                </w:div>
              </w:divsChild>
            </w:div>
            <w:div w:id="2051219451">
              <w:marLeft w:val="0"/>
              <w:marRight w:val="0"/>
              <w:marTop w:val="0"/>
              <w:marBottom w:val="0"/>
              <w:divBdr>
                <w:top w:val="none" w:sz="0" w:space="0" w:color="auto"/>
                <w:left w:val="none" w:sz="0" w:space="0" w:color="auto"/>
                <w:bottom w:val="none" w:sz="0" w:space="0" w:color="auto"/>
                <w:right w:val="none" w:sz="0" w:space="0" w:color="auto"/>
              </w:divBdr>
              <w:divsChild>
                <w:div w:id="2017033568">
                  <w:marLeft w:val="0"/>
                  <w:marRight w:val="0"/>
                  <w:marTop w:val="0"/>
                  <w:marBottom w:val="0"/>
                  <w:divBdr>
                    <w:top w:val="none" w:sz="0" w:space="0" w:color="auto"/>
                    <w:left w:val="none" w:sz="0" w:space="0" w:color="auto"/>
                    <w:bottom w:val="none" w:sz="0" w:space="0" w:color="auto"/>
                    <w:right w:val="none" w:sz="0" w:space="0" w:color="auto"/>
                  </w:divBdr>
                </w:div>
              </w:divsChild>
            </w:div>
            <w:div w:id="399406186">
              <w:marLeft w:val="0"/>
              <w:marRight w:val="0"/>
              <w:marTop w:val="0"/>
              <w:marBottom w:val="0"/>
              <w:divBdr>
                <w:top w:val="none" w:sz="0" w:space="0" w:color="auto"/>
                <w:left w:val="none" w:sz="0" w:space="0" w:color="auto"/>
                <w:bottom w:val="none" w:sz="0" w:space="0" w:color="auto"/>
                <w:right w:val="none" w:sz="0" w:space="0" w:color="auto"/>
              </w:divBdr>
              <w:divsChild>
                <w:div w:id="2138403065">
                  <w:marLeft w:val="0"/>
                  <w:marRight w:val="0"/>
                  <w:marTop w:val="0"/>
                  <w:marBottom w:val="0"/>
                  <w:divBdr>
                    <w:top w:val="none" w:sz="0" w:space="0" w:color="auto"/>
                    <w:left w:val="none" w:sz="0" w:space="0" w:color="auto"/>
                    <w:bottom w:val="none" w:sz="0" w:space="0" w:color="auto"/>
                    <w:right w:val="none" w:sz="0" w:space="0" w:color="auto"/>
                  </w:divBdr>
                </w:div>
              </w:divsChild>
            </w:div>
            <w:div w:id="1309625148">
              <w:marLeft w:val="0"/>
              <w:marRight w:val="0"/>
              <w:marTop w:val="0"/>
              <w:marBottom w:val="0"/>
              <w:divBdr>
                <w:top w:val="none" w:sz="0" w:space="0" w:color="auto"/>
                <w:left w:val="none" w:sz="0" w:space="0" w:color="auto"/>
                <w:bottom w:val="none" w:sz="0" w:space="0" w:color="auto"/>
                <w:right w:val="none" w:sz="0" w:space="0" w:color="auto"/>
              </w:divBdr>
              <w:divsChild>
                <w:div w:id="523255284">
                  <w:marLeft w:val="0"/>
                  <w:marRight w:val="0"/>
                  <w:marTop w:val="0"/>
                  <w:marBottom w:val="0"/>
                  <w:divBdr>
                    <w:top w:val="none" w:sz="0" w:space="0" w:color="auto"/>
                    <w:left w:val="none" w:sz="0" w:space="0" w:color="auto"/>
                    <w:bottom w:val="none" w:sz="0" w:space="0" w:color="auto"/>
                    <w:right w:val="none" w:sz="0" w:space="0" w:color="auto"/>
                  </w:divBdr>
                </w:div>
              </w:divsChild>
            </w:div>
            <w:div w:id="145629644">
              <w:marLeft w:val="0"/>
              <w:marRight w:val="0"/>
              <w:marTop w:val="0"/>
              <w:marBottom w:val="0"/>
              <w:divBdr>
                <w:top w:val="none" w:sz="0" w:space="0" w:color="auto"/>
                <w:left w:val="none" w:sz="0" w:space="0" w:color="auto"/>
                <w:bottom w:val="none" w:sz="0" w:space="0" w:color="auto"/>
                <w:right w:val="none" w:sz="0" w:space="0" w:color="auto"/>
              </w:divBdr>
              <w:divsChild>
                <w:div w:id="1650792460">
                  <w:marLeft w:val="0"/>
                  <w:marRight w:val="0"/>
                  <w:marTop w:val="0"/>
                  <w:marBottom w:val="0"/>
                  <w:divBdr>
                    <w:top w:val="none" w:sz="0" w:space="0" w:color="auto"/>
                    <w:left w:val="none" w:sz="0" w:space="0" w:color="auto"/>
                    <w:bottom w:val="none" w:sz="0" w:space="0" w:color="auto"/>
                    <w:right w:val="none" w:sz="0" w:space="0" w:color="auto"/>
                  </w:divBdr>
                </w:div>
              </w:divsChild>
            </w:div>
            <w:div w:id="786630333">
              <w:marLeft w:val="0"/>
              <w:marRight w:val="0"/>
              <w:marTop w:val="0"/>
              <w:marBottom w:val="0"/>
              <w:divBdr>
                <w:top w:val="none" w:sz="0" w:space="0" w:color="auto"/>
                <w:left w:val="none" w:sz="0" w:space="0" w:color="auto"/>
                <w:bottom w:val="none" w:sz="0" w:space="0" w:color="auto"/>
                <w:right w:val="none" w:sz="0" w:space="0" w:color="auto"/>
              </w:divBdr>
              <w:divsChild>
                <w:div w:id="247619478">
                  <w:marLeft w:val="0"/>
                  <w:marRight w:val="0"/>
                  <w:marTop w:val="0"/>
                  <w:marBottom w:val="0"/>
                  <w:divBdr>
                    <w:top w:val="none" w:sz="0" w:space="0" w:color="auto"/>
                    <w:left w:val="none" w:sz="0" w:space="0" w:color="auto"/>
                    <w:bottom w:val="none" w:sz="0" w:space="0" w:color="auto"/>
                    <w:right w:val="none" w:sz="0" w:space="0" w:color="auto"/>
                  </w:divBdr>
                </w:div>
              </w:divsChild>
            </w:div>
            <w:div w:id="731272427">
              <w:marLeft w:val="0"/>
              <w:marRight w:val="0"/>
              <w:marTop w:val="0"/>
              <w:marBottom w:val="0"/>
              <w:divBdr>
                <w:top w:val="none" w:sz="0" w:space="0" w:color="auto"/>
                <w:left w:val="none" w:sz="0" w:space="0" w:color="auto"/>
                <w:bottom w:val="none" w:sz="0" w:space="0" w:color="auto"/>
                <w:right w:val="none" w:sz="0" w:space="0" w:color="auto"/>
              </w:divBdr>
              <w:divsChild>
                <w:div w:id="355546614">
                  <w:marLeft w:val="0"/>
                  <w:marRight w:val="0"/>
                  <w:marTop w:val="0"/>
                  <w:marBottom w:val="0"/>
                  <w:divBdr>
                    <w:top w:val="none" w:sz="0" w:space="0" w:color="auto"/>
                    <w:left w:val="none" w:sz="0" w:space="0" w:color="auto"/>
                    <w:bottom w:val="none" w:sz="0" w:space="0" w:color="auto"/>
                    <w:right w:val="none" w:sz="0" w:space="0" w:color="auto"/>
                  </w:divBdr>
                </w:div>
              </w:divsChild>
            </w:div>
            <w:div w:id="548878132">
              <w:marLeft w:val="0"/>
              <w:marRight w:val="0"/>
              <w:marTop w:val="0"/>
              <w:marBottom w:val="0"/>
              <w:divBdr>
                <w:top w:val="none" w:sz="0" w:space="0" w:color="auto"/>
                <w:left w:val="none" w:sz="0" w:space="0" w:color="auto"/>
                <w:bottom w:val="none" w:sz="0" w:space="0" w:color="auto"/>
                <w:right w:val="none" w:sz="0" w:space="0" w:color="auto"/>
              </w:divBdr>
              <w:divsChild>
                <w:div w:id="1791393435">
                  <w:marLeft w:val="0"/>
                  <w:marRight w:val="0"/>
                  <w:marTop w:val="0"/>
                  <w:marBottom w:val="0"/>
                  <w:divBdr>
                    <w:top w:val="none" w:sz="0" w:space="0" w:color="auto"/>
                    <w:left w:val="none" w:sz="0" w:space="0" w:color="auto"/>
                    <w:bottom w:val="none" w:sz="0" w:space="0" w:color="auto"/>
                    <w:right w:val="none" w:sz="0" w:space="0" w:color="auto"/>
                  </w:divBdr>
                </w:div>
              </w:divsChild>
            </w:div>
            <w:div w:id="441344719">
              <w:marLeft w:val="0"/>
              <w:marRight w:val="0"/>
              <w:marTop w:val="0"/>
              <w:marBottom w:val="0"/>
              <w:divBdr>
                <w:top w:val="none" w:sz="0" w:space="0" w:color="auto"/>
                <w:left w:val="none" w:sz="0" w:space="0" w:color="auto"/>
                <w:bottom w:val="none" w:sz="0" w:space="0" w:color="auto"/>
                <w:right w:val="none" w:sz="0" w:space="0" w:color="auto"/>
              </w:divBdr>
              <w:divsChild>
                <w:div w:id="1348677039">
                  <w:marLeft w:val="0"/>
                  <w:marRight w:val="0"/>
                  <w:marTop w:val="0"/>
                  <w:marBottom w:val="0"/>
                  <w:divBdr>
                    <w:top w:val="none" w:sz="0" w:space="0" w:color="auto"/>
                    <w:left w:val="none" w:sz="0" w:space="0" w:color="auto"/>
                    <w:bottom w:val="none" w:sz="0" w:space="0" w:color="auto"/>
                    <w:right w:val="none" w:sz="0" w:space="0" w:color="auto"/>
                  </w:divBdr>
                </w:div>
              </w:divsChild>
            </w:div>
            <w:div w:id="940376631">
              <w:marLeft w:val="0"/>
              <w:marRight w:val="0"/>
              <w:marTop w:val="0"/>
              <w:marBottom w:val="0"/>
              <w:divBdr>
                <w:top w:val="none" w:sz="0" w:space="0" w:color="auto"/>
                <w:left w:val="none" w:sz="0" w:space="0" w:color="auto"/>
                <w:bottom w:val="none" w:sz="0" w:space="0" w:color="auto"/>
                <w:right w:val="none" w:sz="0" w:space="0" w:color="auto"/>
              </w:divBdr>
              <w:divsChild>
                <w:div w:id="1348563193">
                  <w:marLeft w:val="0"/>
                  <w:marRight w:val="0"/>
                  <w:marTop w:val="0"/>
                  <w:marBottom w:val="0"/>
                  <w:divBdr>
                    <w:top w:val="none" w:sz="0" w:space="0" w:color="auto"/>
                    <w:left w:val="none" w:sz="0" w:space="0" w:color="auto"/>
                    <w:bottom w:val="none" w:sz="0" w:space="0" w:color="auto"/>
                    <w:right w:val="none" w:sz="0" w:space="0" w:color="auto"/>
                  </w:divBdr>
                </w:div>
              </w:divsChild>
            </w:div>
            <w:div w:id="1418357008">
              <w:marLeft w:val="0"/>
              <w:marRight w:val="0"/>
              <w:marTop w:val="0"/>
              <w:marBottom w:val="0"/>
              <w:divBdr>
                <w:top w:val="none" w:sz="0" w:space="0" w:color="auto"/>
                <w:left w:val="none" w:sz="0" w:space="0" w:color="auto"/>
                <w:bottom w:val="none" w:sz="0" w:space="0" w:color="auto"/>
                <w:right w:val="none" w:sz="0" w:space="0" w:color="auto"/>
              </w:divBdr>
              <w:divsChild>
                <w:div w:id="229537255">
                  <w:marLeft w:val="0"/>
                  <w:marRight w:val="0"/>
                  <w:marTop w:val="0"/>
                  <w:marBottom w:val="0"/>
                  <w:divBdr>
                    <w:top w:val="none" w:sz="0" w:space="0" w:color="auto"/>
                    <w:left w:val="none" w:sz="0" w:space="0" w:color="auto"/>
                    <w:bottom w:val="none" w:sz="0" w:space="0" w:color="auto"/>
                    <w:right w:val="none" w:sz="0" w:space="0" w:color="auto"/>
                  </w:divBdr>
                </w:div>
              </w:divsChild>
            </w:div>
            <w:div w:id="944728259">
              <w:marLeft w:val="0"/>
              <w:marRight w:val="0"/>
              <w:marTop w:val="0"/>
              <w:marBottom w:val="0"/>
              <w:divBdr>
                <w:top w:val="none" w:sz="0" w:space="0" w:color="auto"/>
                <w:left w:val="none" w:sz="0" w:space="0" w:color="auto"/>
                <w:bottom w:val="none" w:sz="0" w:space="0" w:color="auto"/>
                <w:right w:val="none" w:sz="0" w:space="0" w:color="auto"/>
              </w:divBdr>
              <w:divsChild>
                <w:div w:id="1046221820">
                  <w:marLeft w:val="0"/>
                  <w:marRight w:val="0"/>
                  <w:marTop w:val="0"/>
                  <w:marBottom w:val="0"/>
                  <w:divBdr>
                    <w:top w:val="none" w:sz="0" w:space="0" w:color="auto"/>
                    <w:left w:val="none" w:sz="0" w:space="0" w:color="auto"/>
                    <w:bottom w:val="none" w:sz="0" w:space="0" w:color="auto"/>
                    <w:right w:val="none" w:sz="0" w:space="0" w:color="auto"/>
                  </w:divBdr>
                </w:div>
              </w:divsChild>
            </w:div>
            <w:div w:id="499855114">
              <w:marLeft w:val="0"/>
              <w:marRight w:val="0"/>
              <w:marTop w:val="0"/>
              <w:marBottom w:val="0"/>
              <w:divBdr>
                <w:top w:val="none" w:sz="0" w:space="0" w:color="auto"/>
                <w:left w:val="none" w:sz="0" w:space="0" w:color="auto"/>
                <w:bottom w:val="none" w:sz="0" w:space="0" w:color="auto"/>
                <w:right w:val="none" w:sz="0" w:space="0" w:color="auto"/>
              </w:divBdr>
              <w:divsChild>
                <w:div w:id="743796387">
                  <w:marLeft w:val="0"/>
                  <w:marRight w:val="0"/>
                  <w:marTop w:val="0"/>
                  <w:marBottom w:val="0"/>
                  <w:divBdr>
                    <w:top w:val="none" w:sz="0" w:space="0" w:color="auto"/>
                    <w:left w:val="none" w:sz="0" w:space="0" w:color="auto"/>
                    <w:bottom w:val="none" w:sz="0" w:space="0" w:color="auto"/>
                    <w:right w:val="none" w:sz="0" w:space="0" w:color="auto"/>
                  </w:divBdr>
                </w:div>
              </w:divsChild>
            </w:div>
            <w:div w:id="1012226607">
              <w:marLeft w:val="0"/>
              <w:marRight w:val="0"/>
              <w:marTop w:val="0"/>
              <w:marBottom w:val="0"/>
              <w:divBdr>
                <w:top w:val="none" w:sz="0" w:space="0" w:color="auto"/>
                <w:left w:val="none" w:sz="0" w:space="0" w:color="auto"/>
                <w:bottom w:val="none" w:sz="0" w:space="0" w:color="auto"/>
                <w:right w:val="none" w:sz="0" w:space="0" w:color="auto"/>
              </w:divBdr>
              <w:divsChild>
                <w:div w:id="492336164">
                  <w:marLeft w:val="0"/>
                  <w:marRight w:val="0"/>
                  <w:marTop w:val="0"/>
                  <w:marBottom w:val="0"/>
                  <w:divBdr>
                    <w:top w:val="none" w:sz="0" w:space="0" w:color="auto"/>
                    <w:left w:val="none" w:sz="0" w:space="0" w:color="auto"/>
                    <w:bottom w:val="none" w:sz="0" w:space="0" w:color="auto"/>
                    <w:right w:val="none" w:sz="0" w:space="0" w:color="auto"/>
                  </w:divBdr>
                </w:div>
              </w:divsChild>
            </w:div>
            <w:div w:id="1606156738">
              <w:marLeft w:val="0"/>
              <w:marRight w:val="0"/>
              <w:marTop w:val="0"/>
              <w:marBottom w:val="0"/>
              <w:divBdr>
                <w:top w:val="none" w:sz="0" w:space="0" w:color="auto"/>
                <w:left w:val="none" w:sz="0" w:space="0" w:color="auto"/>
                <w:bottom w:val="none" w:sz="0" w:space="0" w:color="auto"/>
                <w:right w:val="none" w:sz="0" w:space="0" w:color="auto"/>
              </w:divBdr>
              <w:divsChild>
                <w:div w:id="1658609179">
                  <w:marLeft w:val="0"/>
                  <w:marRight w:val="0"/>
                  <w:marTop w:val="0"/>
                  <w:marBottom w:val="0"/>
                  <w:divBdr>
                    <w:top w:val="none" w:sz="0" w:space="0" w:color="auto"/>
                    <w:left w:val="none" w:sz="0" w:space="0" w:color="auto"/>
                    <w:bottom w:val="none" w:sz="0" w:space="0" w:color="auto"/>
                    <w:right w:val="none" w:sz="0" w:space="0" w:color="auto"/>
                  </w:divBdr>
                </w:div>
              </w:divsChild>
            </w:div>
            <w:div w:id="929894965">
              <w:marLeft w:val="0"/>
              <w:marRight w:val="0"/>
              <w:marTop w:val="0"/>
              <w:marBottom w:val="0"/>
              <w:divBdr>
                <w:top w:val="none" w:sz="0" w:space="0" w:color="auto"/>
                <w:left w:val="none" w:sz="0" w:space="0" w:color="auto"/>
                <w:bottom w:val="none" w:sz="0" w:space="0" w:color="auto"/>
                <w:right w:val="none" w:sz="0" w:space="0" w:color="auto"/>
              </w:divBdr>
              <w:divsChild>
                <w:div w:id="167329698">
                  <w:marLeft w:val="0"/>
                  <w:marRight w:val="0"/>
                  <w:marTop w:val="0"/>
                  <w:marBottom w:val="0"/>
                  <w:divBdr>
                    <w:top w:val="none" w:sz="0" w:space="0" w:color="auto"/>
                    <w:left w:val="none" w:sz="0" w:space="0" w:color="auto"/>
                    <w:bottom w:val="none" w:sz="0" w:space="0" w:color="auto"/>
                    <w:right w:val="none" w:sz="0" w:space="0" w:color="auto"/>
                  </w:divBdr>
                </w:div>
              </w:divsChild>
            </w:div>
            <w:div w:id="1468859691">
              <w:marLeft w:val="0"/>
              <w:marRight w:val="0"/>
              <w:marTop w:val="0"/>
              <w:marBottom w:val="0"/>
              <w:divBdr>
                <w:top w:val="none" w:sz="0" w:space="0" w:color="auto"/>
                <w:left w:val="none" w:sz="0" w:space="0" w:color="auto"/>
                <w:bottom w:val="none" w:sz="0" w:space="0" w:color="auto"/>
                <w:right w:val="none" w:sz="0" w:space="0" w:color="auto"/>
              </w:divBdr>
              <w:divsChild>
                <w:div w:id="2008365929">
                  <w:marLeft w:val="0"/>
                  <w:marRight w:val="0"/>
                  <w:marTop w:val="0"/>
                  <w:marBottom w:val="0"/>
                  <w:divBdr>
                    <w:top w:val="none" w:sz="0" w:space="0" w:color="auto"/>
                    <w:left w:val="none" w:sz="0" w:space="0" w:color="auto"/>
                    <w:bottom w:val="none" w:sz="0" w:space="0" w:color="auto"/>
                    <w:right w:val="none" w:sz="0" w:space="0" w:color="auto"/>
                  </w:divBdr>
                </w:div>
              </w:divsChild>
            </w:div>
            <w:div w:id="1368725923">
              <w:marLeft w:val="0"/>
              <w:marRight w:val="0"/>
              <w:marTop w:val="0"/>
              <w:marBottom w:val="0"/>
              <w:divBdr>
                <w:top w:val="none" w:sz="0" w:space="0" w:color="auto"/>
                <w:left w:val="none" w:sz="0" w:space="0" w:color="auto"/>
                <w:bottom w:val="none" w:sz="0" w:space="0" w:color="auto"/>
                <w:right w:val="none" w:sz="0" w:space="0" w:color="auto"/>
              </w:divBdr>
              <w:divsChild>
                <w:div w:id="1539858491">
                  <w:marLeft w:val="0"/>
                  <w:marRight w:val="0"/>
                  <w:marTop w:val="0"/>
                  <w:marBottom w:val="0"/>
                  <w:divBdr>
                    <w:top w:val="none" w:sz="0" w:space="0" w:color="auto"/>
                    <w:left w:val="none" w:sz="0" w:space="0" w:color="auto"/>
                    <w:bottom w:val="none" w:sz="0" w:space="0" w:color="auto"/>
                    <w:right w:val="none" w:sz="0" w:space="0" w:color="auto"/>
                  </w:divBdr>
                </w:div>
              </w:divsChild>
            </w:div>
            <w:div w:id="1476069511">
              <w:marLeft w:val="0"/>
              <w:marRight w:val="0"/>
              <w:marTop w:val="0"/>
              <w:marBottom w:val="0"/>
              <w:divBdr>
                <w:top w:val="none" w:sz="0" w:space="0" w:color="auto"/>
                <w:left w:val="none" w:sz="0" w:space="0" w:color="auto"/>
                <w:bottom w:val="none" w:sz="0" w:space="0" w:color="auto"/>
                <w:right w:val="none" w:sz="0" w:space="0" w:color="auto"/>
              </w:divBdr>
              <w:divsChild>
                <w:div w:id="524946051">
                  <w:marLeft w:val="0"/>
                  <w:marRight w:val="0"/>
                  <w:marTop w:val="0"/>
                  <w:marBottom w:val="0"/>
                  <w:divBdr>
                    <w:top w:val="none" w:sz="0" w:space="0" w:color="auto"/>
                    <w:left w:val="none" w:sz="0" w:space="0" w:color="auto"/>
                    <w:bottom w:val="none" w:sz="0" w:space="0" w:color="auto"/>
                    <w:right w:val="none" w:sz="0" w:space="0" w:color="auto"/>
                  </w:divBdr>
                </w:div>
              </w:divsChild>
            </w:div>
            <w:div w:id="1259867804">
              <w:marLeft w:val="0"/>
              <w:marRight w:val="0"/>
              <w:marTop w:val="0"/>
              <w:marBottom w:val="0"/>
              <w:divBdr>
                <w:top w:val="none" w:sz="0" w:space="0" w:color="auto"/>
                <w:left w:val="none" w:sz="0" w:space="0" w:color="auto"/>
                <w:bottom w:val="none" w:sz="0" w:space="0" w:color="auto"/>
                <w:right w:val="none" w:sz="0" w:space="0" w:color="auto"/>
              </w:divBdr>
              <w:divsChild>
                <w:div w:id="20866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4226">
      <w:bodyDiv w:val="1"/>
      <w:marLeft w:val="0"/>
      <w:marRight w:val="0"/>
      <w:marTop w:val="0"/>
      <w:marBottom w:val="0"/>
      <w:divBdr>
        <w:top w:val="none" w:sz="0" w:space="0" w:color="auto"/>
        <w:left w:val="none" w:sz="0" w:space="0" w:color="auto"/>
        <w:bottom w:val="none" w:sz="0" w:space="0" w:color="auto"/>
        <w:right w:val="none" w:sz="0" w:space="0" w:color="auto"/>
      </w:divBdr>
    </w:div>
    <w:div w:id="1673874800">
      <w:bodyDiv w:val="1"/>
      <w:marLeft w:val="0"/>
      <w:marRight w:val="0"/>
      <w:marTop w:val="0"/>
      <w:marBottom w:val="0"/>
      <w:divBdr>
        <w:top w:val="none" w:sz="0" w:space="0" w:color="auto"/>
        <w:left w:val="none" w:sz="0" w:space="0" w:color="auto"/>
        <w:bottom w:val="none" w:sz="0" w:space="0" w:color="auto"/>
        <w:right w:val="none" w:sz="0" w:space="0" w:color="auto"/>
      </w:divBdr>
    </w:div>
    <w:div w:id="1809085891">
      <w:bodyDiv w:val="1"/>
      <w:marLeft w:val="0"/>
      <w:marRight w:val="0"/>
      <w:marTop w:val="0"/>
      <w:marBottom w:val="0"/>
      <w:divBdr>
        <w:top w:val="none" w:sz="0" w:space="0" w:color="auto"/>
        <w:left w:val="none" w:sz="0" w:space="0" w:color="auto"/>
        <w:bottom w:val="none" w:sz="0" w:space="0" w:color="auto"/>
        <w:right w:val="none" w:sz="0" w:space="0" w:color="auto"/>
      </w:divBdr>
      <w:divsChild>
        <w:div w:id="2015836283">
          <w:marLeft w:val="0"/>
          <w:marRight w:val="0"/>
          <w:marTop w:val="0"/>
          <w:marBottom w:val="0"/>
          <w:divBdr>
            <w:top w:val="none" w:sz="0" w:space="0" w:color="auto"/>
            <w:left w:val="none" w:sz="0" w:space="0" w:color="auto"/>
            <w:bottom w:val="none" w:sz="0" w:space="0" w:color="auto"/>
            <w:right w:val="none" w:sz="0" w:space="0" w:color="auto"/>
          </w:divBdr>
          <w:divsChild>
            <w:div w:id="558394853">
              <w:marLeft w:val="0"/>
              <w:marRight w:val="0"/>
              <w:marTop w:val="0"/>
              <w:marBottom w:val="0"/>
              <w:divBdr>
                <w:top w:val="none" w:sz="0" w:space="0" w:color="auto"/>
                <w:left w:val="none" w:sz="0" w:space="0" w:color="auto"/>
                <w:bottom w:val="none" w:sz="0" w:space="0" w:color="auto"/>
                <w:right w:val="none" w:sz="0" w:space="0" w:color="auto"/>
              </w:divBdr>
              <w:divsChild>
                <w:div w:id="1568177271">
                  <w:marLeft w:val="0"/>
                  <w:marRight w:val="0"/>
                  <w:marTop w:val="0"/>
                  <w:marBottom w:val="0"/>
                  <w:divBdr>
                    <w:top w:val="none" w:sz="0" w:space="0" w:color="auto"/>
                    <w:left w:val="none" w:sz="0" w:space="0" w:color="auto"/>
                    <w:bottom w:val="none" w:sz="0" w:space="0" w:color="auto"/>
                    <w:right w:val="none" w:sz="0" w:space="0" w:color="auto"/>
                  </w:divBdr>
                </w:div>
              </w:divsChild>
            </w:div>
            <w:div w:id="178667362">
              <w:marLeft w:val="0"/>
              <w:marRight w:val="0"/>
              <w:marTop w:val="0"/>
              <w:marBottom w:val="0"/>
              <w:divBdr>
                <w:top w:val="none" w:sz="0" w:space="0" w:color="auto"/>
                <w:left w:val="none" w:sz="0" w:space="0" w:color="auto"/>
                <w:bottom w:val="none" w:sz="0" w:space="0" w:color="auto"/>
                <w:right w:val="none" w:sz="0" w:space="0" w:color="auto"/>
              </w:divBdr>
              <w:divsChild>
                <w:div w:id="624889837">
                  <w:marLeft w:val="0"/>
                  <w:marRight w:val="0"/>
                  <w:marTop w:val="0"/>
                  <w:marBottom w:val="0"/>
                  <w:divBdr>
                    <w:top w:val="none" w:sz="0" w:space="0" w:color="auto"/>
                    <w:left w:val="none" w:sz="0" w:space="0" w:color="auto"/>
                    <w:bottom w:val="none" w:sz="0" w:space="0" w:color="auto"/>
                    <w:right w:val="none" w:sz="0" w:space="0" w:color="auto"/>
                  </w:divBdr>
                </w:div>
              </w:divsChild>
            </w:div>
            <w:div w:id="373165862">
              <w:marLeft w:val="0"/>
              <w:marRight w:val="0"/>
              <w:marTop w:val="0"/>
              <w:marBottom w:val="0"/>
              <w:divBdr>
                <w:top w:val="none" w:sz="0" w:space="0" w:color="auto"/>
                <w:left w:val="none" w:sz="0" w:space="0" w:color="auto"/>
                <w:bottom w:val="none" w:sz="0" w:space="0" w:color="auto"/>
                <w:right w:val="none" w:sz="0" w:space="0" w:color="auto"/>
              </w:divBdr>
              <w:divsChild>
                <w:div w:id="520051028">
                  <w:marLeft w:val="0"/>
                  <w:marRight w:val="0"/>
                  <w:marTop w:val="0"/>
                  <w:marBottom w:val="0"/>
                  <w:divBdr>
                    <w:top w:val="none" w:sz="0" w:space="0" w:color="auto"/>
                    <w:left w:val="none" w:sz="0" w:space="0" w:color="auto"/>
                    <w:bottom w:val="none" w:sz="0" w:space="0" w:color="auto"/>
                    <w:right w:val="none" w:sz="0" w:space="0" w:color="auto"/>
                  </w:divBdr>
                </w:div>
              </w:divsChild>
            </w:div>
            <w:div w:id="819687262">
              <w:marLeft w:val="0"/>
              <w:marRight w:val="0"/>
              <w:marTop w:val="0"/>
              <w:marBottom w:val="0"/>
              <w:divBdr>
                <w:top w:val="none" w:sz="0" w:space="0" w:color="auto"/>
                <w:left w:val="none" w:sz="0" w:space="0" w:color="auto"/>
                <w:bottom w:val="none" w:sz="0" w:space="0" w:color="auto"/>
                <w:right w:val="none" w:sz="0" w:space="0" w:color="auto"/>
              </w:divBdr>
              <w:divsChild>
                <w:div w:id="658341147">
                  <w:marLeft w:val="0"/>
                  <w:marRight w:val="0"/>
                  <w:marTop w:val="0"/>
                  <w:marBottom w:val="0"/>
                  <w:divBdr>
                    <w:top w:val="none" w:sz="0" w:space="0" w:color="auto"/>
                    <w:left w:val="none" w:sz="0" w:space="0" w:color="auto"/>
                    <w:bottom w:val="none" w:sz="0" w:space="0" w:color="auto"/>
                    <w:right w:val="none" w:sz="0" w:space="0" w:color="auto"/>
                  </w:divBdr>
                </w:div>
              </w:divsChild>
            </w:div>
            <w:div w:id="475220625">
              <w:marLeft w:val="0"/>
              <w:marRight w:val="0"/>
              <w:marTop w:val="0"/>
              <w:marBottom w:val="0"/>
              <w:divBdr>
                <w:top w:val="none" w:sz="0" w:space="0" w:color="auto"/>
                <w:left w:val="none" w:sz="0" w:space="0" w:color="auto"/>
                <w:bottom w:val="none" w:sz="0" w:space="0" w:color="auto"/>
                <w:right w:val="none" w:sz="0" w:space="0" w:color="auto"/>
              </w:divBdr>
              <w:divsChild>
                <w:div w:id="13918569">
                  <w:marLeft w:val="0"/>
                  <w:marRight w:val="0"/>
                  <w:marTop w:val="0"/>
                  <w:marBottom w:val="0"/>
                  <w:divBdr>
                    <w:top w:val="none" w:sz="0" w:space="0" w:color="auto"/>
                    <w:left w:val="none" w:sz="0" w:space="0" w:color="auto"/>
                    <w:bottom w:val="none" w:sz="0" w:space="0" w:color="auto"/>
                    <w:right w:val="none" w:sz="0" w:space="0" w:color="auto"/>
                  </w:divBdr>
                </w:div>
              </w:divsChild>
            </w:div>
            <w:div w:id="689069176">
              <w:marLeft w:val="0"/>
              <w:marRight w:val="0"/>
              <w:marTop w:val="0"/>
              <w:marBottom w:val="0"/>
              <w:divBdr>
                <w:top w:val="none" w:sz="0" w:space="0" w:color="auto"/>
                <w:left w:val="none" w:sz="0" w:space="0" w:color="auto"/>
                <w:bottom w:val="none" w:sz="0" w:space="0" w:color="auto"/>
                <w:right w:val="none" w:sz="0" w:space="0" w:color="auto"/>
              </w:divBdr>
              <w:divsChild>
                <w:div w:id="687297186">
                  <w:marLeft w:val="0"/>
                  <w:marRight w:val="0"/>
                  <w:marTop w:val="0"/>
                  <w:marBottom w:val="0"/>
                  <w:divBdr>
                    <w:top w:val="none" w:sz="0" w:space="0" w:color="auto"/>
                    <w:left w:val="none" w:sz="0" w:space="0" w:color="auto"/>
                    <w:bottom w:val="none" w:sz="0" w:space="0" w:color="auto"/>
                    <w:right w:val="none" w:sz="0" w:space="0" w:color="auto"/>
                  </w:divBdr>
                </w:div>
              </w:divsChild>
            </w:div>
            <w:div w:id="671763974">
              <w:marLeft w:val="0"/>
              <w:marRight w:val="0"/>
              <w:marTop w:val="0"/>
              <w:marBottom w:val="0"/>
              <w:divBdr>
                <w:top w:val="none" w:sz="0" w:space="0" w:color="auto"/>
                <w:left w:val="none" w:sz="0" w:space="0" w:color="auto"/>
                <w:bottom w:val="none" w:sz="0" w:space="0" w:color="auto"/>
                <w:right w:val="none" w:sz="0" w:space="0" w:color="auto"/>
              </w:divBdr>
              <w:divsChild>
                <w:div w:id="414590609">
                  <w:marLeft w:val="0"/>
                  <w:marRight w:val="0"/>
                  <w:marTop w:val="0"/>
                  <w:marBottom w:val="0"/>
                  <w:divBdr>
                    <w:top w:val="none" w:sz="0" w:space="0" w:color="auto"/>
                    <w:left w:val="none" w:sz="0" w:space="0" w:color="auto"/>
                    <w:bottom w:val="none" w:sz="0" w:space="0" w:color="auto"/>
                    <w:right w:val="none" w:sz="0" w:space="0" w:color="auto"/>
                  </w:divBdr>
                </w:div>
              </w:divsChild>
            </w:div>
            <w:div w:id="1124158650">
              <w:marLeft w:val="0"/>
              <w:marRight w:val="0"/>
              <w:marTop w:val="0"/>
              <w:marBottom w:val="0"/>
              <w:divBdr>
                <w:top w:val="none" w:sz="0" w:space="0" w:color="auto"/>
                <w:left w:val="none" w:sz="0" w:space="0" w:color="auto"/>
                <w:bottom w:val="none" w:sz="0" w:space="0" w:color="auto"/>
                <w:right w:val="none" w:sz="0" w:space="0" w:color="auto"/>
              </w:divBdr>
              <w:divsChild>
                <w:div w:id="1569071231">
                  <w:marLeft w:val="0"/>
                  <w:marRight w:val="0"/>
                  <w:marTop w:val="0"/>
                  <w:marBottom w:val="0"/>
                  <w:divBdr>
                    <w:top w:val="none" w:sz="0" w:space="0" w:color="auto"/>
                    <w:left w:val="none" w:sz="0" w:space="0" w:color="auto"/>
                    <w:bottom w:val="none" w:sz="0" w:space="0" w:color="auto"/>
                    <w:right w:val="none" w:sz="0" w:space="0" w:color="auto"/>
                  </w:divBdr>
                </w:div>
              </w:divsChild>
            </w:div>
            <w:div w:id="640695075">
              <w:marLeft w:val="0"/>
              <w:marRight w:val="0"/>
              <w:marTop w:val="0"/>
              <w:marBottom w:val="0"/>
              <w:divBdr>
                <w:top w:val="none" w:sz="0" w:space="0" w:color="auto"/>
                <w:left w:val="none" w:sz="0" w:space="0" w:color="auto"/>
                <w:bottom w:val="none" w:sz="0" w:space="0" w:color="auto"/>
                <w:right w:val="none" w:sz="0" w:space="0" w:color="auto"/>
              </w:divBdr>
              <w:divsChild>
                <w:div w:id="303002720">
                  <w:marLeft w:val="0"/>
                  <w:marRight w:val="0"/>
                  <w:marTop w:val="0"/>
                  <w:marBottom w:val="0"/>
                  <w:divBdr>
                    <w:top w:val="none" w:sz="0" w:space="0" w:color="auto"/>
                    <w:left w:val="none" w:sz="0" w:space="0" w:color="auto"/>
                    <w:bottom w:val="none" w:sz="0" w:space="0" w:color="auto"/>
                    <w:right w:val="none" w:sz="0" w:space="0" w:color="auto"/>
                  </w:divBdr>
                </w:div>
              </w:divsChild>
            </w:div>
            <w:div w:id="718868977">
              <w:marLeft w:val="0"/>
              <w:marRight w:val="0"/>
              <w:marTop w:val="0"/>
              <w:marBottom w:val="0"/>
              <w:divBdr>
                <w:top w:val="none" w:sz="0" w:space="0" w:color="auto"/>
                <w:left w:val="none" w:sz="0" w:space="0" w:color="auto"/>
                <w:bottom w:val="none" w:sz="0" w:space="0" w:color="auto"/>
                <w:right w:val="none" w:sz="0" w:space="0" w:color="auto"/>
              </w:divBdr>
              <w:divsChild>
                <w:div w:id="1274438047">
                  <w:marLeft w:val="0"/>
                  <w:marRight w:val="0"/>
                  <w:marTop w:val="0"/>
                  <w:marBottom w:val="0"/>
                  <w:divBdr>
                    <w:top w:val="none" w:sz="0" w:space="0" w:color="auto"/>
                    <w:left w:val="none" w:sz="0" w:space="0" w:color="auto"/>
                    <w:bottom w:val="none" w:sz="0" w:space="0" w:color="auto"/>
                    <w:right w:val="none" w:sz="0" w:space="0" w:color="auto"/>
                  </w:divBdr>
                </w:div>
              </w:divsChild>
            </w:div>
            <w:div w:id="1209952754">
              <w:marLeft w:val="0"/>
              <w:marRight w:val="0"/>
              <w:marTop w:val="0"/>
              <w:marBottom w:val="0"/>
              <w:divBdr>
                <w:top w:val="none" w:sz="0" w:space="0" w:color="auto"/>
                <w:left w:val="none" w:sz="0" w:space="0" w:color="auto"/>
                <w:bottom w:val="none" w:sz="0" w:space="0" w:color="auto"/>
                <w:right w:val="none" w:sz="0" w:space="0" w:color="auto"/>
              </w:divBdr>
              <w:divsChild>
                <w:div w:id="14770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03244">
      <w:bodyDiv w:val="1"/>
      <w:marLeft w:val="0"/>
      <w:marRight w:val="0"/>
      <w:marTop w:val="0"/>
      <w:marBottom w:val="0"/>
      <w:divBdr>
        <w:top w:val="none" w:sz="0" w:space="0" w:color="auto"/>
        <w:left w:val="none" w:sz="0" w:space="0" w:color="auto"/>
        <w:bottom w:val="none" w:sz="0" w:space="0" w:color="auto"/>
        <w:right w:val="none" w:sz="0" w:space="0" w:color="auto"/>
      </w:divBdr>
      <w:divsChild>
        <w:div w:id="2101946304">
          <w:marLeft w:val="0"/>
          <w:marRight w:val="0"/>
          <w:marTop w:val="0"/>
          <w:marBottom w:val="0"/>
          <w:divBdr>
            <w:top w:val="none" w:sz="0" w:space="0" w:color="auto"/>
            <w:left w:val="none" w:sz="0" w:space="0" w:color="auto"/>
            <w:bottom w:val="none" w:sz="0" w:space="0" w:color="auto"/>
            <w:right w:val="none" w:sz="0" w:space="0" w:color="auto"/>
          </w:divBdr>
          <w:divsChild>
            <w:div w:id="664893485">
              <w:marLeft w:val="0"/>
              <w:marRight w:val="0"/>
              <w:marTop w:val="0"/>
              <w:marBottom w:val="0"/>
              <w:divBdr>
                <w:top w:val="none" w:sz="0" w:space="0" w:color="auto"/>
                <w:left w:val="none" w:sz="0" w:space="0" w:color="auto"/>
                <w:bottom w:val="none" w:sz="0" w:space="0" w:color="auto"/>
                <w:right w:val="none" w:sz="0" w:space="0" w:color="auto"/>
              </w:divBdr>
              <w:divsChild>
                <w:div w:id="3526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7994">
      <w:bodyDiv w:val="1"/>
      <w:marLeft w:val="0"/>
      <w:marRight w:val="0"/>
      <w:marTop w:val="0"/>
      <w:marBottom w:val="0"/>
      <w:divBdr>
        <w:top w:val="none" w:sz="0" w:space="0" w:color="auto"/>
        <w:left w:val="none" w:sz="0" w:space="0" w:color="auto"/>
        <w:bottom w:val="none" w:sz="0" w:space="0" w:color="auto"/>
        <w:right w:val="none" w:sz="0" w:space="0" w:color="auto"/>
      </w:divBdr>
      <w:divsChild>
        <w:div w:id="1518226947">
          <w:marLeft w:val="0"/>
          <w:marRight w:val="0"/>
          <w:marTop w:val="0"/>
          <w:marBottom w:val="0"/>
          <w:divBdr>
            <w:top w:val="none" w:sz="0" w:space="0" w:color="auto"/>
            <w:left w:val="none" w:sz="0" w:space="0" w:color="auto"/>
            <w:bottom w:val="none" w:sz="0" w:space="0" w:color="auto"/>
            <w:right w:val="none" w:sz="0" w:space="0" w:color="auto"/>
          </w:divBdr>
          <w:divsChild>
            <w:div w:id="547381267">
              <w:marLeft w:val="0"/>
              <w:marRight w:val="0"/>
              <w:marTop w:val="0"/>
              <w:marBottom w:val="0"/>
              <w:divBdr>
                <w:top w:val="none" w:sz="0" w:space="0" w:color="auto"/>
                <w:left w:val="none" w:sz="0" w:space="0" w:color="auto"/>
                <w:bottom w:val="none" w:sz="0" w:space="0" w:color="auto"/>
                <w:right w:val="none" w:sz="0" w:space="0" w:color="auto"/>
              </w:divBdr>
              <w:divsChild>
                <w:div w:id="16101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90101">
      <w:bodyDiv w:val="1"/>
      <w:marLeft w:val="0"/>
      <w:marRight w:val="0"/>
      <w:marTop w:val="0"/>
      <w:marBottom w:val="0"/>
      <w:divBdr>
        <w:top w:val="none" w:sz="0" w:space="0" w:color="auto"/>
        <w:left w:val="none" w:sz="0" w:space="0" w:color="auto"/>
        <w:bottom w:val="none" w:sz="0" w:space="0" w:color="auto"/>
        <w:right w:val="none" w:sz="0" w:space="0" w:color="auto"/>
      </w:divBdr>
      <w:divsChild>
        <w:div w:id="113408468">
          <w:marLeft w:val="0"/>
          <w:marRight w:val="0"/>
          <w:marTop w:val="0"/>
          <w:marBottom w:val="0"/>
          <w:divBdr>
            <w:top w:val="none" w:sz="0" w:space="0" w:color="auto"/>
            <w:left w:val="none" w:sz="0" w:space="0" w:color="auto"/>
            <w:bottom w:val="none" w:sz="0" w:space="0" w:color="auto"/>
            <w:right w:val="none" w:sz="0" w:space="0" w:color="auto"/>
          </w:divBdr>
          <w:divsChild>
            <w:div w:id="537595923">
              <w:marLeft w:val="0"/>
              <w:marRight w:val="0"/>
              <w:marTop w:val="0"/>
              <w:marBottom w:val="0"/>
              <w:divBdr>
                <w:top w:val="none" w:sz="0" w:space="0" w:color="auto"/>
                <w:left w:val="none" w:sz="0" w:space="0" w:color="auto"/>
                <w:bottom w:val="none" w:sz="0" w:space="0" w:color="auto"/>
                <w:right w:val="none" w:sz="0" w:space="0" w:color="auto"/>
              </w:divBdr>
            </w:div>
            <w:div w:id="767969867">
              <w:marLeft w:val="0"/>
              <w:marRight w:val="0"/>
              <w:marTop w:val="0"/>
              <w:marBottom w:val="0"/>
              <w:divBdr>
                <w:top w:val="none" w:sz="0" w:space="0" w:color="auto"/>
                <w:left w:val="none" w:sz="0" w:space="0" w:color="auto"/>
                <w:bottom w:val="none" w:sz="0" w:space="0" w:color="auto"/>
                <w:right w:val="none" w:sz="0" w:space="0" w:color="auto"/>
              </w:divBdr>
            </w:div>
            <w:div w:id="11618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19277">
      <w:bodyDiv w:val="1"/>
      <w:marLeft w:val="0"/>
      <w:marRight w:val="0"/>
      <w:marTop w:val="0"/>
      <w:marBottom w:val="0"/>
      <w:divBdr>
        <w:top w:val="none" w:sz="0" w:space="0" w:color="auto"/>
        <w:left w:val="none" w:sz="0" w:space="0" w:color="auto"/>
        <w:bottom w:val="none" w:sz="0" w:space="0" w:color="auto"/>
        <w:right w:val="none" w:sz="0" w:space="0" w:color="auto"/>
      </w:divBdr>
      <w:divsChild>
        <w:div w:id="477115005">
          <w:marLeft w:val="0"/>
          <w:marRight w:val="0"/>
          <w:marTop w:val="0"/>
          <w:marBottom w:val="0"/>
          <w:divBdr>
            <w:top w:val="none" w:sz="0" w:space="0" w:color="auto"/>
            <w:left w:val="none" w:sz="0" w:space="0" w:color="auto"/>
            <w:bottom w:val="none" w:sz="0" w:space="0" w:color="auto"/>
            <w:right w:val="none" w:sz="0" w:space="0" w:color="auto"/>
          </w:divBdr>
          <w:divsChild>
            <w:div w:id="455758537">
              <w:marLeft w:val="0"/>
              <w:marRight w:val="0"/>
              <w:marTop w:val="0"/>
              <w:marBottom w:val="0"/>
              <w:divBdr>
                <w:top w:val="none" w:sz="0" w:space="0" w:color="auto"/>
                <w:left w:val="none" w:sz="0" w:space="0" w:color="auto"/>
                <w:bottom w:val="none" w:sz="0" w:space="0" w:color="auto"/>
                <w:right w:val="none" w:sz="0" w:space="0" w:color="auto"/>
              </w:divBdr>
              <w:divsChild>
                <w:div w:id="3280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docdb.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B5D8F-DA7A-40F2-89F9-6B9ED6EB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3051</Words>
  <Characters>18613</Characters>
  <Application>Microsoft Office Word</Application>
  <DocSecurity>0</DocSecurity>
  <Lines>155</Lines>
  <Paragraphs>43</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ector>
  </HeadingPairs>
  <TitlesOfParts>
    <vt:vector size="4" baseType="lpstr">
      <vt:lpstr>Broadband DA2GC in 5855-5875 MHz</vt:lpstr>
      <vt:lpstr>Broadband DA2GC in 5855-5875 MHz</vt:lpstr>
      <vt:lpstr/>
      <vt:lpstr/>
    </vt:vector>
  </TitlesOfParts>
  <Company>WGFM#83</Company>
  <LinksUpToDate>false</LinksUpToDate>
  <CharactersWithSpaces>21621</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DA2GC in 5855-5875 MHz</dc:title>
  <dc:creator>RISSONE Christian</dc:creator>
  <cp:lastModifiedBy>Bente Pedersen</cp:lastModifiedBy>
  <cp:revision>2</cp:revision>
  <cp:lastPrinted>2015-02-18T08:39:00Z</cp:lastPrinted>
  <dcterms:created xsi:type="dcterms:W3CDTF">2015-07-03T06:43:00Z</dcterms:created>
  <dcterms:modified xsi:type="dcterms:W3CDTF">2015-07-03T06:43:00Z</dcterms:modified>
  <cp:contentStatus>Output WGFM#83</cp:contentStatus>
</cp:coreProperties>
</file>