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1C0B0" w14:textId="73F6031D" w:rsidR="006C03D0" w:rsidRPr="00507E7F" w:rsidRDefault="006C03D0">
      <w:pPr>
        <w:rPr>
          <w:lang w:val="en-GB"/>
        </w:rPr>
      </w:pPr>
    </w:p>
    <w:p w14:paraId="73AA0563" w14:textId="77777777" w:rsidR="006C03D0" w:rsidRPr="00507E7F" w:rsidRDefault="006C03D0" w:rsidP="006C03D0">
      <w:pPr>
        <w:jc w:val="center"/>
        <w:rPr>
          <w:lang w:val="en-GB"/>
        </w:rPr>
      </w:pPr>
    </w:p>
    <w:p w14:paraId="5C9DA4EB" w14:textId="77777777" w:rsidR="006C03D0" w:rsidRPr="00507E7F" w:rsidRDefault="006C03D0" w:rsidP="006C03D0">
      <w:pPr>
        <w:jc w:val="center"/>
        <w:rPr>
          <w:lang w:val="en-GB"/>
        </w:rPr>
      </w:pPr>
    </w:p>
    <w:p w14:paraId="26CCB240" w14:textId="77777777" w:rsidR="006C03D0" w:rsidRPr="00507E7F" w:rsidRDefault="006C03D0" w:rsidP="006C03D0">
      <w:pPr>
        <w:rPr>
          <w:lang w:val="en-GB"/>
        </w:rPr>
      </w:pPr>
    </w:p>
    <w:p w14:paraId="15DF03CA" w14:textId="77777777" w:rsidR="006C03D0" w:rsidRPr="00507E7F" w:rsidRDefault="006C03D0" w:rsidP="006C03D0">
      <w:pPr>
        <w:rPr>
          <w:lang w:val="en-GB"/>
        </w:rPr>
      </w:pPr>
    </w:p>
    <w:p w14:paraId="27A11B40" w14:textId="77777777" w:rsidR="006C03D0" w:rsidRPr="00507E7F" w:rsidRDefault="007C6571" w:rsidP="006C03D0">
      <w:pPr>
        <w:jc w:val="center"/>
        <w:rPr>
          <w:b/>
          <w:sz w:val="24"/>
          <w:lang w:val="en-GB"/>
        </w:rPr>
      </w:pPr>
      <w:r w:rsidRPr="00507E7F">
        <w:rPr>
          <w:b/>
          <w:noProof/>
          <w:sz w:val="24"/>
          <w:lang w:val="fr-FR" w:eastAsia="fr-FR"/>
        </w:rPr>
        <mc:AlternateContent>
          <mc:Choice Requires="wpg">
            <w:drawing>
              <wp:anchor distT="0" distB="0" distL="114300" distR="114300" simplePos="0" relativeHeight="251657728" behindDoc="0" locked="0" layoutInCell="1" allowOverlap="1" wp14:anchorId="2F974D61" wp14:editId="5A805E53">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84633" w14:textId="77777777" w:rsidR="00F017CE" w:rsidRPr="00FE1795" w:rsidRDefault="00F017CE"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974D61"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66B84633" w14:textId="77777777" w:rsidR="00F017CE" w:rsidRPr="00FE1795" w:rsidRDefault="00F017CE"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A9F28EF" w14:textId="77777777" w:rsidR="006C03D0" w:rsidRPr="00507E7F" w:rsidRDefault="006C03D0" w:rsidP="006C03D0">
      <w:pPr>
        <w:jc w:val="center"/>
        <w:rPr>
          <w:b/>
          <w:sz w:val="24"/>
          <w:lang w:val="en-GB"/>
        </w:rPr>
      </w:pPr>
    </w:p>
    <w:p w14:paraId="76F24BFC" w14:textId="77777777" w:rsidR="006C03D0" w:rsidRPr="00507E7F" w:rsidRDefault="006C03D0" w:rsidP="006C03D0">
      <w:pPr>
        <w:jc w:val="center"/>
        <w:rPr>
          <w:b/>
          <w:sz w:val="24"/>
          <w:lang w:val="en-GB"/>
        </w:rPr>
      </w:pPr>
    </w:p>
    <w:p w14:paraId="485A09B8" w14:textId="77777777" w:rsidR="006C03D0" w:rsidRPr="00507E7F" w:rsidRDefault="006C03D0" w:rsidP="006C03D0">
      <w:pPr>
        <w:jc w:val="center"/>
        <w:rPr>
          <w:b/>
          <w:sz w:val="24"/>
          <w:lang w:val="en-GB"/>
        </w:rPr>
      </w:pPr>
    </w:p>
    <w:p w14:paraId="4133A565" w14:textId="77777777" w:rsidR="006C03D0" w:rsidRPr="00507E7F" w:rsidRDefault="006C03D0" w:rsidP="006C03D0">
      <w:pPr>
        <w:jc w:val="center"/>
        <w:rPr>
          <w:b/>
          <w:sz w:val="24"/>
          <w:lang w:val="en-GB"/>
        </w:rPr>
      </w:pPr>
    </w:p>
    <w:p w14:paraId="755CED74" w14:textId="77777777" w:rsidR="006C03D0" w:rsidRPr="00507E7F" w:rsidRDefault="006C03D0" w:rsidP="006C03D0">
      <w:pPr>
        <w:jc w:val="center"/>
        <w:rPr>
          <w:b/>
          <w:sz w:val="24"/>
          <w:lang w:val="en-GB"/>
        </w:rPr>
      </w:pPr>
    </w:p>
    <w:p w14:paraId="090E6C36" w14:textId="77777777" w:rsidR="006C03D0" w:rsidRPr="00507E7F" w:rsidRDefault="006C03D0" w:rsidP="006C03D0">
      <w:pPr>
        <w:jc w:val="center"/>
        <w:rPr>
          <w:b/>
          <w:sz w:val="24"/>
          <w:lang w:val="en-GB"/>
        </w:rPr>
      </w:pPr>
    </w:p>
    <w:p w14:paraId="095A0AD8" w14:textId="77777777" w:rsidR="006C03D0" w:rsidRPr="00507E7F" w:rsidRDefault="006C03D0" w:rsidP="006C03D0">
      <w:pPr>
        <w:jc w:val="center"/>
        <w:rPr>
          <w:b/>
          <w:sz w:val="24"/>
          <w:lang w:val="en-GB"/>
        </w:rPr>
      </w:pPr>
    </w:p>
    <w:p w14:paraId="5E5EAEEC" w14:textId="77777777" w:rsidR="006C03D0" w:rsidRPr="00507E7F" w:rsidRDefault="006C03D0" w:rsidP="006C03D0">
      <w:pPr>
        <w:jc w:val="center"/>
        <w:rPr>
          <w:b/>
          <w:sz w:val="24"/>
          <w:lang w:val="en-GB"/>
        </w:rPr>
      </w:pPr>
    </w:p>
    <w:p w14:paraId="7169853F" w14:textId="77777777" w:rsidR="006C03D0" w:rsidRPr="00507E7F" w:rsidRDefault="006C03D0" w:rsidP="006C03D0">
      <w:pPr>
        <w:jc w:val="center"/>
        <w:rPr>
          <w:b/>
          <w:sz w:val="24"/>
          <w:lang w:val="en-GB"/>
        </w:rPr>
      </w:pPr>
    </w:p>
    <w:p w14:paraId="7829C934" w14:textId="77777777" w:rsidR="006C03D0" w:rsidRPr="00507E7F" w:rsidRDefault="006C03D0" w:rsidP="006C03D0">
      <w:pPr>
        <w:jc w:val="center"/>
        <w:rPr>
          <w:b/>
          <w:sz w:val="24"/>
          <w:lang w:val="en-GB"/>
        </w:rPr>
      </w:pPr>
    </w:p>
    <w:p w14:paraId="7618D1E3" w14:textId="77777777" w:rsidR="006C03D0" w:rsidRPr="00507E7F" w:rsidRDefault="006C03D0" w:rsidP="006C03D0">
      <w:pPr>
        <w:rPr>
          <w:b/>
          <w:sz w:val="24"/>
          <w:lang w:val="en-GB"/>
        </w:rPr>
      </w:pPr>
    </w:p>
    <w:p w14:paraId="3138F75D" w14:textId="77777777" w:rsidR="006C03D0" w:rsidRPr="00507E7F" w:rsidRDefault="006C03D0" w:rsidP="006C03D0">
      <w:pPr>
        <w:jc w:val="center"/>
        <w:rPr>
          <w:b/>
          <w:sz w:val="24"/>
          <w:lang w:val="en-GB"/>
        </w:rPr>
      </w:pPr>
    </w:p>
    <w:p w14:paraId="71767509" w14:textId="24E239EC" w:rsidR="00775455" w:rsidRPr="00507E7F" w:rsidRDefault="00774019" w:rsidP="00775455">
      <w:pPr>
        <w:pStyle w:val="Reporttitledescription"/>
        <w:rPr>
          <w:color w:val="auto"/>
          <w:lang w:val="en-GB"/>
        </w:rPr>
      </w:pPr>
      <w:r w:rsidRPr="00774019">
        <w:rPr>
          <w:color w:val="auto"/>
        </w:rPr>
        <w:t xml:space="preserve">The </w:t>
      </w:r>
      <w:r w:rsidRPr="00774019">
        <w:rPr>
          <w:color w:val="auto"/>
          <w:lang w:val="en-GB"/>
        </w:rPr>
        <w:t xml:space="preserve">harmonised </w:t>
      </w:r>
      <w:r w:rsidRPr="00774019">
        <w:rPr>
          <w:color w:val="auto"/>
        </w:rPr>
        <w:t xml:space="preserve">use, free circulation and exemption from individual licensing of Land, Maritime and Aeronautical Earth Stations </w:t>
      </w:r>
      <w:proofErr w:type="gramStart"/>
      <w:r w:rsidRPr="00774019">
        <w:rPr>
          <w:color w:val="auto"/>
        </w:rPr>
        <w:t>On</w:t>
      </w:r>
      <w:proofErr w:type="gramEnd"/>
      <w:r w:rsidRPr="00774019">
        <w:rPr>
          <w:color w:val="auto"/>
        </w:rPr>
        <w:t xml:space="preserve"> Mobile Platforms (ESOMPs) operating with NGSO FSS satellite systems in the frequency ranges 17.3-20.2 GHz, 27.5-29.1 GHz and 29.5-30.0 GHz</w:t>
      </w:r>
    </w:p>
    <w:p w14:paraId="65F6C564" w14:textId="77777777" w:rsidR="00F017CE" w:rsidRPr="00507E7F" w:rsidRDefault="00F017CE" w:rsidP="00F017CE">
      <w:pPr>
        <w:pStyle w:val="Reporttitledescription"/>
        <w:rPr>
          <w:b/>
          <w:color w:val="auto"/>
          <w:sz w:val="18"/>
          <w:lang w:val="en-GB"/>
        </w:rPr>
      </w:pPr>
      <w:r w:rsidRPr="00507E7F">
        <w:rPr>
          <w:b/>
          <w:color w:val="auto"/>
          <w:sz w:val="18"/>
          <w:lang w:val="en-GB"/>
        </w:rPr>
        <w:fldChar w:fldCharType="begin">
          <w:ffData>
            <w:name w:val=""/>
            <w:enabled/>
            <w:calcOnExit w:val="0"/>
            <w:textInput>
              <w:default w:val="Approved 3 July 2015"/>
            </w:textInput>
          </w:ffData>
        </w:fldChar>
      </w:r>
      <w:r w:rsidRPr="00507E7F">
        <w:rPr>
          <w:b/>
          <w:color w:val="auto"/>
          <w:sz w:val="18"/>
          <w:lang w:val="en-GB"/>
        </w:rPr>
        <w:instrText xml:space="preserve"> FORMTEXT </w:instrText>
      </w:r>
      <w:r w:rsidRPr="00507E7F">
        <w:rPr>
          <w:b/>
          <w:color w:val="auto"/>
          <w:sz w:val="18"/>
          <w:lang w:val="en-GB"/>
        </w:rPr>
      </w:r>
      <w:r w:rsidRPr="00507E7F">
        <w:rPr>
          <w:b/>
          <w:color w:val="auto"/>
          <w:sz w:val="18"/>
          <w:lang w:val="en-GB"/>
        </w:rPr>
        <w:fldChar w:fldCharType="separate"/>
      </w:r>
      <w:r w:rsidRPr="00507E7F">
        <w:rPr>
          <w:b/>
          <w:color w:val="auto"/>
          <w:sz w:val="18"/>
          <w:lang w:val="en-GB"/>
        </w:rPr>
        <w:t>Approved 3 July 2015</w:t>
      </w:r>
      <w:r w:rsidRPr="00507E7F">
        <w:rPr>
          <w:b/>
          <w:color w:val="auto"/>
          <w:sz w:val="18"/>
          <w:lang w:val="en-GB"/>
        </w:rPr>
        <w:fldChar w:fldCharType="end"/>
      </w:r>
    </w:p>
    <w:p w14:paraId="69BC80FE" w14:textId="50342C09" w:rsidR="00775455" w:rsidRPr="00507E7F" w:rsidRDefault="007C421C" w:rsidP="00F017CE">
      <w:pPr>
        <w:pStyle w:val="Lastupdated"/>
        <w:rPr>
          <w:b/>
          <w:lang w:val="en-GB"/>
        </w:rPr>
      </w:pPr>
      <w:r>
        <w:rPr>
          <w:b/>
          <w:lang w:val="en-GB"/>
        </w:rPr>
        <w:fldChar w:fldCharType="begin">
          <w:ffData>
            <w:name w:val=""/>
            <w:enabled/>
            <w:calcOnExit w:val="0"/>
            <w:textInput>
              <w:default w:val="Amended 20 November 2020"/>
            </w:textInput>
          </w:ffData>
        </w:fldChar>
      </w:r>
      <w:r>
        <w:rPr>
          <w:b/>
          <w:lang w:val="en-GB"/>
        </w:rPr>
        <w:instrText xml:space="preserve"> FORMTEXT </w:instrText>
      </w:r>
      <w:r>
        <w:rPr>
          <w:b/>
          <w:lang w:val="en-GB"/>
        </w:rPr>
      </w:r>
      <w:r>
        <w:rPr>
          <w:b/>
          <w:lang w:val="en-GB"/>
        </w:rPr>
        <w:fldChar w:fldCharType="separate"/>
      </w:r>
      <w:r>
        <w:rPr>
          <w:b/>
          <w:noProof/>
          <w:lang w:val="en-GB"/>
        </w:rPr>
        <w:t>Amended 20 November 2020</w:t>
      </w:r>
      <w:r>
        <w:rPr>
          <w:b/>
          <w:lang w:val="en-GB"/>
        </w:rPr>
        <w:fldChar w:fldCharType="end"/>
      </w:r>
    </w:p>
    <w:p w14:paraId="7FAD8A7A" w14:textId="77777777" w:rsidR="006C03D0" w:rsidRPr="00507E7F" w:rsidRDefault="005F7AD5" w:rsidP="00FD5220">
      <w:pPr>
        <w:pStyle w:val="Heading1"/>
      </w:pPr>
      <w:r w:rsidRPr="00507E7F">
        <w:lastRenderedPageBreak/>
        <w:t>explanatory memorandum</w:t>
      </w:r>
    </w:p>
    <w:p w14:paraId="3FA67457" w14:textId="77777777" w:rsidR="006C03D0" w:rsidRPr="00507E7F" w:rsidRDefault="00D763F6" w:rsidP="00FD5220">
      <w:pPr>
        <w:pStyle w:val="Heading2"/>
        <w:rPr>
          <w:lang w:val="en-GB"/>
        </w:rPr>
      </w:pPr>
      <w:r w:rsidRPr="00507E7F">
        <w:rPr>
          <w:lang w:val="en-GB"/>
        </w:rPr>
        <w:t>INTRODUCTION</w:t>
      </w:r>
    </w:p>
    <w:p w14:paraId="6FC9F78F" w14:textId="4C1EA017" w:rsidR="006C03D0" w:rsidRDefault="00D763F6" w:rsidP="006C03D0">
      <w:pPr>
        <w:pStyle w:val="ECCParagraph"/>
      </w:pPr>
      <w:r w:rsidRPr="00507E7F">
        <w:t>This ECC Decision addresses the use of Land</w:t>
      </w:r>
      <w:r w:rsidR="00775455" w:rsidRPr="00507E7F">
        <w:t>,</w:t>
      </w:r>
      <w:r w:rsidR="00552425">
        <w:t xml:space="preserve"> </w:t>
      </w:r>
      <w:r w:rsidRPr="00507E7F">
        <w:t xml:space="preserve">Maritime </w:t>
      </w:r>
      <w:r w:rsidR="00775455" w:rsidRPr="00507E7F">
        <w:t xml:space="preserve">and Aeronautical </w:t>
      </w:r>
      <w:r w:rsidRPr="00507E7F">
        <w:t>Earth Stations On Mobile Platforms (ESOMPs)</w:t>
      </w:r>
      <w:r w:rsidR="00CD5399" w:rsidRPr="00507E7F">
        <w:rPr>
          <w:rStyle w:val="FootnoteReference"/>
        </w:rPr>
        <w:footnoteReference w:id="2"/>
      </w:r>
      <w:r w:rsidRPr="00507E7F">
        <w:t xml:space="preserve"> which operate with Fixed</w:t>
      </w:r>
      <w:r w:rsidR="00081AF1" w:rsidRPr="00507E7F">
        <w:t>-</w:t>
      </w:r>
      <w:r w:rsidRPr="00507E7F">
        <w:t>Satellite Service (FSS) NGSO satellite systems in the frequency bands 17.3-20.2 GHz (space-to-Earth), 27.5-29.1 GHz and 29.5-30.0 GHz (Earth-to-space). ESOMPs are terminals with directional antennas tracking the satellites in NGSOs for the provision of broadband communication services. These ESOMPs may be mounted on ships</w:t>
      </w:r>
      <w:r w:rsidR="00DD5ABE" w:rsidRPr="00507E7F">
        <w:t xml:space="preserve">, </w:t>
      </w:r>
      <w:r w:rsidR="00775455" w:rsidRPr="00507E7F">
        <w:t>aircraft</w:t>
      </w:r>
      <w:r w:rsidRPr="00507E7F">
        <w:t xml:space="preserve"> or land vehicles or may be transportable devices used in motion or at temporary halts. ESOMPs on ships</w:t>
      </w:r>
      <w:r w:rsidR="00592703" w:rsidRPr="00507E7F">
        <w:t xml:space="preserve"> or</w:t>
      </w:r>
      <w:r w:rsidR="00DD5ABE" w:rsidRPr="00507E7F">
        <w:t xml:space="preserve"> </w:t>
      </w:r>
      <w:r w:rsidR="00775455" w:rsidRPr="00507E7F">
        <w:t>aircraft</w:t>
      </w:r>
      <w:r w:rsidRPr="00507E7F">
        <w:t xml:space="preserve"> may operate in national waters</w:t>
      </w:r>
      <w:r w:rsidR="00DD5ABE" w:rsidRPr="00507E7F">
        <w:t xml:space="preserve"> </w:t>
      </w:r>
      <w:r w:rsidR="00592703" w:rsidRPr="00507E7F">
        <w:t xml:space="preserve">or </w:t>
      </w:r>
      <w:r w:rsidR="00775455" w:rsidRPr="00507E7F">
        <w:t>airspace</w:t>
      </w:r>
      <w:r w:rsidRPr="00507E7F">
        <w:t xml:space="preserve"> and also in international waters</w:t>
      </w:r>
      <w:r w:rsidR="00592703" w:rsidRPr="00507E7F">
        <w:t xml:space="preserve"> or</w:t>
      </w:r>
      <w:r w:rsidR="00DD5ABE" w:rsidRPr="00507E7F">
        <w:t xml:space="preserve"> </w:t>
      </w:r>
      <w:r w:rsidR="00775455" w:rsidRPr="00507E7F">
        <w:t>airspace</w:t>
      </w:r>
      <w:r w:rsidRPr="00507E7F">
        <w:t>.</w:t>
      </w:r>
    </w:p>
    <w:p w14:paraId="322B0D81" w14:textId="19777220" w:rsidR="006C03D0" w:rsidRPr="00507E7F" w:rsidRDefault="005F7AD5" w:rsidP="00FD5220">
      <w:pPr>
        <w:pStyle w:val="Heading2"/>
        <w:rPr>
          <w:lang w:val="en-GB"/>
        </w:rPr>
      </w:pPr>
      <w:r w:rsidRPr="00507E7F">
        <w:rPr>
          <w:lang w:val="en-GB"/>
        </w:rPr>
        <w:t xml:space="preserve">BACKGROUND </w:t>
      </w:r>
    </w:p>
    <w:p w14:paraId="38B1DEB6" w14:textId="4DF0752F" w:rsidR="00D763F6" w:rsidRPr="00507E7F" w:rsidRDefault="00D763F6" w:rsidP="00D763F6">
      <w:pPr>
        <w:pStyle w:val="ECCParagraph"/>
      </w:pPr>
      <w:r w:rsidRPr="00507E7F">
        <w:rPr>
          <w:szCs w:val="20"/>
        </w:rPr>
        <w:t xml:space="preserve">In </w:t>
      </w:r>
      <w:r w:rsidRPr="00507E7F">
        <w:t>recent years</w:t>
      </w:r>
      <w:r w:rsidR="00F017CE" w:rsidRPr="00507E7F">
        <w:t>,</w:t>
      </w:r>
      <w:r w:rsidRPr="00507E7F">
        <w:t xml:space="preserve"> a number of GSO and NGSO FSS networks</w:t>
      </w:r>
      <w:r w:rsidR="00872CD0">
        <w:t>/systems</w:t>
      </w:r>
      <w:r w:rsidRPr="00507E7F">
        <w:t xml:space="preserve"> have begun operating in the “Ka-band” frequencies (17.</w:t>
      </w:r>
      <w:r w:rsidR="00872CD0">
        <w:t>3</w:t>
      </w:r>
      <w:r w:rsidRPr="00507E7F">
        <w:t>-30.0 GHz).</w:t>
      </w:r>
      <w:r w:rsidR="002B42DF" w:rsidRPr="00507E7F">
        <w:t xml:space="preserve"> </w:t>
      </w:r>
      <w:r w:rsidRPr="00507E7F">
        <w:t>Several other Ka</w:t>
      </w:r>
      <w:r w:rsidR="00323FD5" w:rsidRPr="00507E7F">
        <w:t>-</w:t>
      </w:r>
      <w:r w:rsidRPr="00507E7F">
        <w:t xml:space="preserve">band networks are under construction and expected to be launched over the coming years. Ka-band satellites typically use small spot beams, which leads to increased efficiency of spectrum usage and allows for small user terminal antennas. </w:t>
      </w:r>
      <w:proofErr w:type="gramStart"/>
      <w:r w:rsidRPr="00507E7F">
        <w:t>Also</w:t>
      </w:r>
      <w:proofErr w:type="gramEnd"/>
      <w:r w:rsidRPr="00507E7F">
        <w:t xml:space="preserve"> the increased efficiency allows for broadband communications at costs lower than those available by using typical Ku-band systems.</w:t>
      </w:r>
      <w:r w:rsidR="002B42DF" w:rsidRPr="00507E7F">
        <w:t xml:space="preserve"> </w:t>
      </w:r>
    </w:p>
    <w:p w14:paraId="1AB9C596" w14:textId="1CCC7C52" w:rsidR="00D763F6" w:rsidRPr="00507E7F" w:rsidRDefault="00D763F6" w:rsidP="00D763F6">
      <w:pPr>
        <w:pStyle w:val="ECCParagraph"/>
        <w:rPr>
          <w:szCs w:val="20"/>
        </w:rPr>
      </w:pPr>
      <w:r w:rsidRPr="00507E7F">
        <w:rPr>
          <w:szCs w:val="20"/>
        </w:rPr>
        <w:t>Studies carried out by the ITU-R (</w:t>
      </w:r>
      <w:r w:rsidR="003A6007" w:rsidRPr="00507E7F">
        <w:rPr>
          <w:szCs w:val="20"/>
        </w:rPr>
        <w:t>see Report ITU-R S.</w:t>
      </w:r>
      <w:r w:rsidR="00FC6D69" w:rsidRPr="00507E7F">
        <w:rPr>
          <w:szCs w:val="20"/>
        </w:rPr>
        <w:t xml:space="preserve"> 2223</w:t>
      </w:r>
      <w:r w:rsidR="009962F5" w:rsidRPr="00507E7F">
        <w:rPr>
          <w:szCs w:val="20"/>
        </w:rPr>
        <w:t xml:space="preserve"> </w:t>
      </w:r>
      <w:r w:rsidR="009962F5" w:rsidRPr="00507E7F">
        <w:rPr>
          <w:szCs w:val="20"/>
        </w:rPr>
        <w:fldChar w:fldCharType="begin"/>
      </w:r>
      <w:r w:rsidR="009962F5" w:rsidRPr="00507E7F">
        <w:rPr>
          <w:szCs w:val="20"/>
        </w:rPr>
        <w:instrText xml:space="preserve"> REF _Ref409011692 \r \h </w:instrText>
      </w:r>
      <w:r w:rsidR="009962F5" w:rsidRPr="00507E7F">
        <w:rPr>
          <w:szCs w:val="20"/>
        </w:rPr>
      </w:r>
      <w:r w:rsidR="009962F5" w:rsidRPr="00507E7F">
        <w:rPr>
          <w:szCs w:val="20"/>
        </w:rPr>
        <w:fldChar w:fldCharType="separate"/>
      </w:r>
      <w:r w:rsidR="00EE0DA2" w:rsidRPr="00507E7F">
        <w:rPr>
          <w:szCs w:val="20"/>
        </w:rPr>
        <w:t>[1]</w:t>
      </w:r>
      <w:r w:rsidR="009962F5" w:rsidRPr="00507E7F">
        <w:rPr>
          <w:szCs w:val="20"/>
        </w:rPr>
        <w:fldChar w:fldCharType="end"/>
      </w:r>
      <w:r w:rsidRPr="00507E7F">
        <w:rPr>
          <w:szCs w:val="20"/>
        </w:rPr>
        <w:t>) and the CEPT (see ECC Report 217</w:t>
      </w:r>
      <w:r w:rsidR="00EA1A79" w:rsidRPr="00507E7F">
        <w:rPr>
          <w:szCs w:val="20"/>
        </w:rPr>
        <w:t xml:space="preserve"> </w:t>
      </w:r>
      <w:r w:rsidR="002B42DF" w:rsidRPr="00507E7F">
        <w:rPr>
          <w:szCs w:val="20"/>
        </w:rPr>
        <w:fldChar w:fldCharType="begin"/>
      </w:r>
      <w:r w:rsidR="002B42DF" w:rsidRPr="00507E7F">
        <w:rPr>
          <w:szCs w:val="20"/>
        </w:rPr>
        <w:instrText xml:space="preserve"> REF _Ref524698054 \r \h </w:instrText>
      </w:r>
      <w:r w:rsidR="002B42DF" w:rsidRPr="00507E7F">
        <w:rPr>
          <w:szCs w:val="20"/>
        </w:rPr>
      </w:r>
      <w:r w:rsidR="002B42DF" w:rsidRPr="00507E7F">
        <w:rPr>
          <w:szCs w:val="20"/>
        </w:rPr>
        <w:fldChar w:fldCharType="separate"/>
      </w:r>
      <w:r w:rsidR="006C27EF" w:rsidRPr="00507E7F">
        <w:rPr>
          <w:szCs w:val="20"/>
        </w:rPr>
        <w:t>[2]</w:t>
      </w:r>
      <w:r w:rsidR="002B42DF" w:rsidRPr="00507E7F">
        <w:rPr>
          <w:szCs w:val="20"/>
        </w:rPr>
        <w:fldChar w:fldCharType="end"/>
      </w:r>
      <w:r w:rsidRPr="00507E7F">
        <w:rPr>
          <w:szCs w:val="20"/>
        </w:rPr>
        <w:t>) have recognised the risk of interference arising from ESOMPs to be no different to that from typical uncoordinated FSS earth stations</w:t>
      </w:r>
      <w:r w:rsidR="00872CD0">
        <w:rPr>
          <w:szCs w:val="20"/>
        </w:rPr>
        <w:t xml:space="preserve"> </w:t>
      </w:r>
      <w:r w:rsidR="00872CD0" w:rsidRPr="00AB5BCB">
        <w:rPr>
          <w:szCs w:val="20"/>
        </w:rPr>
        <w:t>in parts of the Ka-band identified for uncoordinated FSS operations</w:t>
      </w:r>
      <w:r w:rsidRPr="00507E7F">
        <w:rPr>
          <w:szCs w:val="20"/>
        </w:rPr>
        <w:t>.</w:t>
      </w:r>
      <w:r w:rsidR="002B42DF" w:rsidRPr="00507E7F">
        <w:rPr>
          <w:szCs w:val="20"/>
        </w:rPr>
        <w:t xml:space="preserve"> </w:t>
      </w:r>
      <w:r w:rsidRPr="00507E7F">
        <w:rPr>
          <w:szCs w:val="20"/>
        </w:rPr>
        <w:t>This is primarily because of the advanced technology deployed for ESOMPs ensures that all technical criteria set for typical earth stations are also met by ESOMPs.</w:t>
      </w:r>
      <w:r w:rsidR="002B42DF" w:rsidRPr="00507E7F">
        <w:rPr>
          <w:szCs w:val="20"/>
        </w:rPr>
        <w:t xml:space="preserve"> </w:t>
      </w:r>
      <w:r w:rsidRPr="00507E7F">
        <w:rPr>
          <w:szCs w:val="20"/>
        </w:rPr>
        <w:t xml:space="preserve">Such technical criteria include, amongst other things, measures to avoid </w:t>
      </w:r>
      <w:r w:rsidR="007D52F2" w:rsidRPr="00507E7F">
        <w:rPr>
          <w:szCs w:val="20"/>
        </w:rPr>
        <w:t>mis</w:t>
      </w:r>
      <w:r w:rsidRPr="00507E7F">
        <w:rPr>
          <w:szCs w:val="20"/>
        </w:rPr>
        <w:t>-pointing of the terminal antenna.</w:t>
      </w:r>
      <w:r w:rsidR="002B42DF" w:rsidRPr="00507E7F">
        <w:rPr>
          <w:szCs w:val="20"/>
        </w:rPr>
        <w:t xml:space="preserve"> </w:t>
      </w:r>
      <w:r w:rsidRPr="00507E7F">
        <w:rPr>
          <w:szCs w:val="20"/>
        </w:rPr>
        <w:t>Advanced technology deployed with ESOMPs ensures that stabilised earth station antenna maintains a high degree of pointing accuracy even on rapidly moving platforms, and “closed-loop tracking” and an automatic capability of muting transmission to ensure that transmissions away from the intended space station do not occur.</w:t>
      </w:r>
    </w:p>
    <w:p w14:paraId="63DDBA52" w14:textId="40503411" w:rsidR="006C03D0" w:rsidRPr="00507E7F" w:rsidRDefault="00D763F6" w:rsidP="00D763F6">
      <w:pPr>
        <w:pStyle w:val="ECCParagraph"/>
      </w:pPr>
      <w:r w:rsidRPr="00507E7F">
        <w:t>The regulatory framework adopted in these bands to accommodate ESOMPs ensure</w:t>
      </w:r>
      <w:r w:rsidR="00592703" w:rsidRPr="00507E7F">
        <w:t>s</w:t>
      </w:r>
      <w:r w:rsidRPr="00507E7F">
        <w:t xml:space="preserve"> that it does not prejudice the use of these bands by other FSS </w:t>
      </w:r>
      <w:r w:rsidR="00872CD0">
        <w:t xml:space="preserve">(including GSO ESOMPs) </w:t>
      </w:r>
      <w:r w:rsidRPr="00507E7F">
        <w:t xml:space="preserve">and terrestrial applications operating in conformance with other relevant ECC Decisions and the relevant provisions of the Radio Regulations. </w:t>
      </w:r>
      <w:proofErr w:type="gramStart"/>
      <w:r w:rsidRPr="00507E7F">
        <w:t>Specifically</w:t>
      </w:r>
      <w:proofErr w:type="gramEnd"/>
      <w:r w:rsidRPr="00507E7F">
        <w:t xml:space="preserve"> the band 28.6-29.1 GHz, according to RR 5.523A, is subject to the application of the provisions of RR</w:t>
      </w:r>
      <w:r w:rsidR="00081AF1" w:rsidRPr="00507E7F">
        <w:t xml:space="preserve"> </w:t>
      </w:r>
      <w:r w:rsidRPr="00507E7F">
        <w:t xml:space="preserve">9.11A, and this means all </w:t>
      </w:r>
      <w:r w:rsidR="00872CD0">
        <w:t xml:space="preserve">FSS </w:t>
      </w:r>
      <w:r w:rsidRPr="00507E7F">
        <w:t>satellite networks are subject to coordination, including</w:t>
      </w:r>
      <w:r w:rsidR="002B42DF" w:rsidRPr="00507E7F">
        <w:t xml:space="preserve"> </w:t>
      </w:r>
      <w:r w:rsidRPr="00507E7F">
        <w:t xml:space="preserve">the current and future </w:t>
      </w:r>
      <w:r w:rsidR="00872CD0">
        <w:t>N</w:t>
      </w:r>
      <w:r w:rsidRPr="00507E7F">
        <w:t xml:space="preserve">GSO or GSO FSS </w:t>
      </w:r>
      <w:r w:rsidR="00872CD0">
        <w:t>systems/</w:t>
      </w:r>
      <w:r w:rsidRPr="00507E7F">
        <w:t>networks.</w:t>
      </w:r>
    </w:p>
    <w:p w14:paraId="4C41C9C9" w14:textId="77777777" w:rsidR="007D52F2" w:rsidRPr="00507E7F" w:rsidRDefault="007D52F2" w:rsidP="007D52F2">
      <w:pPr>
        <w:pStyle w:val="ECCParagraph"/>
      </w:pPr>
      <w:r w:rsidRPr="00507E7F">
        <w:t>Studies carried out by the ITU-R and the CEPT have also established the technical and regulatory requirements for the use of ESOMPs.</w:t>
      </w:r>
      <w:r w:rsidR="002B42DF" w:rsidRPr="00507E7F">
        <w:t xml:space="preserve"> </w:t>
      </w:r>
      <w:r w:rsidRPr="00507E7F">
        <w:t xml:space="preserve">These are described below. </w:t>
      </w:r>
    </w:p>
    <w:p w14:paraId="12E6F060" w14:textId="77777777" w:rsidR="007D52F2" w:rsidRPr="00507E7F" w:rsidRDefault="007D52F2" w:rsidP="007D52F2">
      <w:pPr>
        <w:pStyle w:val="ECCParagraph"/>
      </w:pPr>
      <w:r w:rsidRPr="00507E7F">
        <w:t>Relevant International regulations:</w:t>
      </w:r>
    </w:p>
    <w:p w14:paraId="40A049DF" w14:textId="77777777" w:rsidR="007D52F2" w:rsidRPr="00507E7F" w:rsidRDefault="007D52F2" w:rsidP="007D52F2">
      <w:pPr>
        <w:pStyle w:val="ECCParagraph"/>
      </w:pPr>
      <w:r w:rsidRPr="00507E7F">
        <w:t xml:space="preserve">The ITU-R has examined issues relating to the operation of ESOMPs in Ka-band FSS networks. Report ITU-R S.2261 </w:t>
      </w:r>
      <w:r w:rsidR="002B42DF" w:rsidRPr="00507E7F">
        <w:fldChar w:fldCharType="begin"/>
      </w:r>
      <w:r w:rsidR="002B42DF" w:rsidRPr="00507E7F">
        <w:instrText xml:space="preserve"> REF _Ref524698069 \r \h </w:instrText>
      </w:r>
      <w:r w:rsidR="002B42DF" w:rsidRPr="00507E7F">
        <w:fldChar w:fldCharType="separate"/>
      </w:r>
      <w:r w:rsidR="006C27EF" w:rsidRPr="00507E7F">
        <w:t>[3]</w:t>
      </w:r>
      <w:r w:rsidR="002B42DF" w:rsidRPr="00507E7F">
        <w:fldChar w:fldCharType="end"/>
      </w:r>
      <w:r w:rsidR="006F4023" w:rsidRPr="00507E7F">
        <w:t xml:space="preserve"> </w:t>
      </w:r>
      <w:r w:rsidRPr="00507E7F">
        <w:t>identifies the technical and regulatory requirements to be considered with the deployment of ESOMPs.</w:t>
      </w:r>
    </w:p>
    <w:p w14:paraId="603ED64A" w14:textId="77777777" w:rsidR="007D52F2" w:rsidRPr="00507E7F" w:rsidRDefault="007D52F2" w:rsidP="007D52F2">
      <w:pPr>
        <w:pStyle w:val="ECCParagraph"/>
      </w:pPr>
      <w:r w:rsidRPr="00507E7F">
        <w:t>Relevant European regulations:</w:t>
      </w:r>
    </w:p>
    <w:p w14:paraId="65AFAC66" w14:textId="6476B79B" w:rsidR="007D52F2" w:rsidRPr="00507E7F" w:rsidRDefault="007D52F2" w:rsidP="007D52F2">
      <w:pPr>
        <w:pStyle w:val="ECCParagraph"/>
      </w:pPr>
      <w:r w:rsidRPr="00507E7F">
        <w:t>The ECC Report 217 details the studies carried out by the CEPT on technical and regulatory requirements relating to the use of land</w:t>
      </w:r>
      <w:r w:rsidR="00775455" w:rsidRPr="00507E7F">
        <w:t xml:space="preserve">, </w:t>
      </w:r>
      <w:r w:rsidRPr="00507E7F">
        <w:t>maritime</w:t>
      </w:r>
      <w:r w:rsidR="00775455" w:rsidRPr="00507E7F">
        <w:t xml:space="preserve"> and aeronautical</w:t>
      </w:r>
      <w:r w:rsidRPr="00507E7F">
        <w:t xml:space="preserve"> ESOMPs operating </w:t>
      </w:r>
      <w:r w:rsidR="00872CD0">
        <w:t>with</w:t>
      </w:r>
      <w:r w:rsidR="00872CD0" w:rsidRPr="00507E7F">
        <w:t xml:space="preserve"> </w:t>
      </w:r>
      <w:r w:rsidRPr="00507E7F">
        <w:t>Ka</w:t>
      </w:r>
      <w:r w:rsidR="00323FD5" w:rsidRPr="00507E7F">
        <w:t>-</w:t>
      </w:r>
      <w:r w:rsidRPr="00507E7F">
        <w:t xml:space="preserve">band NGSO </w:t>
      </w:r>
      <w:r w:rsidR="00872CD0">
        <w:t xml:space="preserve">FSS </w:t>
      </w:r>
      <w:r w:rsidRPr="00507E7F">
        <w:t xml:space="preserve">systems. This Report specifies the technical and regulatory requirements for use of ESOMPs, and the report concludes that compliance with such conditions would enable ESOMPs to operate without causing harmful interference </w:t>
      </w:r>
      <w:r w:rsidRPr="00507E7F">
        <w:lastRenderedPageBreak/>
        <w:t>to other FSS networks and Fixed service, in the latter case when ESOMPs operate in bands identified for uncoordinated FSS earth stations per ECC</w:t>
      </w:r>
      <w:r w:rsidR="00F017CE" w:rsidRPr="00507E7F">
        <w:t xml:space="preserve"> Decision </w:t>
      </w:r>
      <w:r w:rsidRPr="00507E7F">
        <w:t xml:space="preserve">(05)01 </w:t>
      </w:r>
      <w:r w:rsidR="002B42DF" w:rsidRPr="00507E7F">
        <w:fldChar w:fldCharType="begin"/>
      </w:r>
      <w:r w:rsidR="002B42DF" w:rsidRPr="00507E7F">
        <w:instrText xml:space="preserve"> REF _Ref524698081 \r \h </w:instrText>
      </w:r>
      <w:r w:rsidR="002B42DF" w:rsidRPr="00507E7F">
        <w:fldChar w:fldCharType="separate"/>
      </w:r>
      <w:r w:rsidR="006C27EF" w:rsidRPr="00507E7F">
        <w:t>[4]</w:t>
      </w:r>
      <w:r w:rsidR="002B42DF" w:rsidRPr="00507E7F">
        <w:fldChar w:fldCharType="end"/>
      </w:r>
      <w:r w:rsidR="00DE1D8E" w:rsidRPr="00507E7F">
        <w:t xml:space="preserve"> </w:t>
      </w:r>
      <w:r w:rsidRPr="00507E7F">
        <w:t>and ECC</w:t>
      </w:r>
      <w:r w:rsidR="00F017CE" w:rsidRPr="00507E7F">
        <w:t xml:space="preserve"> Decision </w:t>
      </w:r>
      <w:r w:rsidRPr="00507E7F">
        <w:t>(05)08</w:t>
      </w:r>
      <w:r w:rsidR="00DE1D8E" w:rsidRPr="00507E7F">
        <w:t xml:space="preserve"> </w:t>
      </w:r>
      <w:r w:rsidR="00DE1D8E" w:rsidRPr="00507E7F">
        <w:fldChar w:fldCharType="begin"/>
      </w:r>
      <w:r w:rsidR="00DE1D8E" w:rsidRPr="00507E7F">
        <w:instrText xml:space="preserve"> REF _Ref408995226 \n \h </w:instrText>
      </w:r>
      <w:r w:rsidR="00DE1D8E" w:rsidRPr="00507E7F">
        <w:fldChar w:fldCharType="separate"/>
      </w:r>
      <w:r w:rsidR="006C27EF" w:rsidRPr="00507E7F">
        <w:t>[5]</w:t>
      </w:r>
      <w:r w:rsidR="00DE1D8E" w:rsidRPr="00507E7F">
        <w:fldChar w:fldCharType="end"/>
      </w:r>
      <w:r w:rsidRPr="00507E7F">
        <w:t>.</w:t>
      </w:r>
    </w:p>
    <w:p w14:paraId="1F75A4E4" w14:textId="77777777" w:rsidR="007D52F2" w:rsidRPr="00507E7F" w:rsidRDefault="007D52F2" w:rsidP="007D52F2">
      <w:pPr>
        <w:pStyle w:val="ECCParagraph"/>
      </w:pPr>
      <w:r w:rsidRPr="00507E7F">
        <w:t>The ECC has adopted several Decisions relating to the use of the Ka</w:t>
      </w:r>
      <w:r w:rsidR="00323FD5" w:rsidRPr="00507E7F">
        <w:t>-</w:t>
      </w:r>
      <w:r w:rsidRPr="00507E7F">
        <w:t>band frequencies and licensing</w:t>
      </w:r>
      <w:r w:rsidR="0069615A" w:rsidRPr="00507E7F">
        <w:t xml:space="preserve"> of Ka</w:t>
      </w:r>
      <w:r w:rsidR="00323FD5" w:rsidRPr="00507E7F">
        <w:t>-</w:t>
      </w:r>
      <w:r w:rsidR="0069615A" w:rsidRPr="00507E7F">
        <w:t xml:space="preserve"> band FSS Earth stations.</w:t>
      </w:r>
      <w:r w:rsidRPr="00507E7F">
        <w:t xml:space="preserve"> Some of these Decisions specifically relate to GSO FSS networks. These ECC Decisions are:</w:t>
      </w:r>
    </w:p>
    <w:p w14:paraId="7F437E83" w14:textId="396EB224" w:rsidR="007D52F2" w:rsidRPr="00507E7F" w:rsidRDefault="00F017CE" w:rsidP="007D52F2">
      <w:pPr>
        <w:pStyle w:val="ECCParBulleted"/>
      </w:pPr>
      <w:r w:rsidRPr="00507E7F">
        <w:t xml:space="preserve">ECC Decision </w:t>
      </w:r>
      <w:r w:rsidR="007D52F2" w:rsidRPr="00507E7F">
        <w:t xml:space="preserve">(05)01 designates different parts of the 27.5-29.1 GHz band for the use of Fixed Service (FS) and uncoordinated transmit FSS earth stations. The intention of this Decision is to provide technical conditions to allow ESOMPs to operate in parts of the 27.5-29.1 GHz band available for uncoordinated FSS earth stations, and in the band 29.5-30.0 GHz. Although the frequency arrangements in the range 27.5-29.1 GHz are well harmonised within the CEPT through </w:t>
      </w:r>
      <w:r w:rsidRPr="00507E7F">
        <w:t xml:space="preserve">ECC Decision </w:t>
      </w:r>
      <w:r w:rsidR="007D52F2" w:rsidRPr="00507E7F">
        <w:t>(05)01, there may be cases where a band available for uncoordinated FSS in one country is used for FS systems in a neighbouring country. This could occur, for example, in the band 28.8365-28.9485 GHz, which is designated for uncoordinated FSS earth stations, but is also used for FS in some CEPT countries</w:t>
      </w:r>
      <w:r w:rsidR="00667DB8" w:rsidRPr="00507E7F">
        <w:t>;</w:t>
      </w:r>
    </w:p>
    <w:p w14:paraId="5B5976ED" w14:textId="1E58580B" w:rsidR="007D52F2" w:rsidRPr="00507E7F" w:rsidRDefault="007D52F2" w:rsidP="007D52F2">
      <w:pPr>
        <w:pStyle w:val="ECCParBulleted"/>
      </w:pPr>
      <w:r w:rsidRPr="00507E7F">
        <w:t xml:space="preserve">In addition, </w:t>
      </w:r>
      <w:r w:rsidR="00F017CE" w:rsidRPr="00507E7F">
        <w:t xml:space="preserve">ECC Decision </w:t>
      </w:r>
      <w:r w:rsidRPr="00507E7F">
        <w:t>(05)08 identifies certain frequency bands for uncoordinated FSS earth stations, including the band 29.5-30</w:t>
      </w:r>
      <w:r w:rsidR="000245A8" w:rsidRPr="00507E7F">
        <w:t>.0</w:t>
      </w:r>
      <w:r w:rsidRPr="00507E7F">
        <w:t xml:space="preserve"> GHz in the Earth-to-space direction. The exemption from individual licensing of low power (e</w:t>
      </w:r>
      <w:r w:rsidR="00081AF1" w:rsidRPr="00507E7F">
        <w:t>.</w:t>
      </w:r>
      <w:r w:rsidRPr="00507E7F">
        <w:t>i</w:t>
      </w:r>
      <w:r w:rsidR="00081AF1" w:rsidRPr="00507E7F">
        <w:t>.</w:t>
      </w:r>
      <w:r w:rsidRPr="00507E7F">
        <w:t>r</w:t>
      </w:r>
      <w:r w:rsidR="00081AF1" w:rsidRPr="00507E7F">
        <w:t>.</w:t>
      </w:r>
      <w:r w:rsidRPr="00507E7F">
        <w:t>p</w:t>
      </w:r>
      <w:r w:rsidR="00081AF1" w:rsidRPr="00507E7F">
        <w:t>.</w:t>
      </w:r>
      <w:r w:rsidRPr="00507E7F">
        <w:t xml:space="preserve"> not exceeding 34 dBW) and high power (e</w:t>
      </w:r>
      <w:r w:rsidR="00081AF1" w:rsidRPr="00507E7F">
        <w:t>.</w:t>
      </w:r>
      <w:r w:rsidRPr="00507E7F">
        <w:t>i</w:t>
      </w:r>
      <w:r w:rsidR="00081AF1" w:rsidRPr="00507E7F">
        <w:t>.</w:t>
      </w:r>
      <w:r w:rsidRPr="00507E7F">
        <w:t>r</w:t>
      </w:r>
      <w:r w:rsidR="00081AF1" w:rsidRPr="00507E7F">
        <w:t>.</w:t>
      </w:r>
      <w:r w:rsidRPr="00507E7F">
        <w:t>p</w:t>
      </w:r>
      <w:r w:rsidR="00081AF1" w:rsidRPr="00507E7F">
        <w:t>.</w:t>
      </w:r>
      <w:r w:rsidRPr="00507E7F">
        <w:t xml:space="preserve"> in the range 50</w:t>
      </w:r>
      <w:r w:rsidR="00872CD0">
        <w:t>-</w:t>
      </w:r>
      <w:r w:rsidRPr="00507E7F">
        <w:t xml:space="preserve">60 dBW) earth stations operating to GSO networks are provided through </w:t>
      </w:r>
      <w:r w:rsidR="00F017CE" w:rsidRPr="00507E7F">
        <w:t xml:space="preserve">ECC Decision </w:t>
      </w:r>
      <w:r w:rsidRPr="00507E7F">
        <w:t>(06)02</w:t>
      </w:r>
      <w:r w:rsidR="00DE1D8E" w:rsidRPr="00507E7F">
        <w:t xml:space="preserve"> </w:t>
      </w:r>
      <w:r w:rsidR="00DE1D8E" w:rsidRPr="00507E7F">
        <w:fldChar w:fldCharType="begin"/>
      </w:r>
      <w:r w:rsidR="00DE1D8E" w:rsidRPr="00507E7F">
        <w:instrText xml:space="preserve"> REF _Ref408995255 \n \h </w:instrText>
      </w:r>
      <w:r w:rsidR="00DE1D8E" w:rsidRPr="00507E7F">
        <w:fldChar w:fldCharType="separate"/>
      </w:r>
      <w:r w:rsidR="006C27EF" w:rsidRPr="00507E7F">
        <w:t>[6]</w:t>
      </w:r>
      <w:r w:rsidR="00DE1D8E" w:rsidRPr="00507E7F">
        <w:fldChar w:fldCharType="end"/>
      </w:r>
      <w:r w:rsidRPr="00507E7F">
        <w:t xml:space="preserve"> and </w:t>
      </w:r>
      <w:r w:rsidR="00F017CE" w:rsidRPr="00507E7F">
        <w:t xml:space="preserve">ECC Decision </w:t>
      </w:r>
      <w:r w:rsidRPr="00507E7F">
        <w:t>(06)03</w:t>
      </w:r>
      <w:r w:rsidR="00DE1D8E" w:rsidRPr="00507E7F">
        <w:t xml:space="preserve"> </w:t>
      </w:r>
      <w:r w:rsidR="00DE1D8E" w:rsidRPr="00507E7F">
        <w:fldChar w:fldCharType="begin"/>
      </w:r>
      <w:r w:rsidR="00DE1D8E" w:rsidRPr="00507E7F">
        <w:instrText xml:space="preserve"> REF _Ref408995266 \n \h </w:instrText>
      </w:r>
      <w:r w:rsidR="00DE1D8E" w:rsidRPr="00507E7F">
        <w:fldChar w:fldCharType="separate"/>
      </w:r>
      <w:r w:rsidR="006C27EF" w:rsidRPr="00507E7F">
        <w:t>[7]</w:t>
      </w:r>
      <w:r w:rsidR="00DE1D8E" w:rsidRPr="00507E7F">
        <w:fldChar w:fldCharType="end"/>
      </w:r>
      <w:r w:rsidR="00667DB8" w:rsidRPr="00507E7F">
        <w:t xml:space="preserve"> respectively;</w:t>
      </w:r>
    </w:p>
    <w:p w14:paraId="12344E5F" w14:textId="77777777" w:rsidR="007D52F2" w:rsidRPr="00507E7F" w:rsidRDefault="007D52F2" w:rsidP="007D52F2">
      <w:pPr>
        <w:pStyle w:val="ECCParBulleted"/>
      </w:pPr>
      <w:r w:rsidRPr="00507E7F">
        <w:t xml:space="preserve">The </w:t>
      </w:r>
      <w:r w:rsidR="00F017CE" w:rsidRPr="00507E7F">
        <w:t>ECC Decision</w:t>
      </w:r>
      <w:r w:rsidR="0084764B" w:rsidRPr="00507E7F">
        <w:t xml:space="preserve"> </w:t>
      </w:r>
      <w:r w:rsidRPr="00507E7F">
        <w:t>(13)01</w:t>
      </w:r>
      <w:r w:rsidR="00DE1D8E" w:rsidRPr="00507E7F">
        <w:t xml:space="preserve"> </w:t>
      </w:r>
      <w:r w:rsidR="00DE1D8E" w:rsidRPr="00507E7F">
        <w:fldChar w:fldCharType="begin"/>
      </w:r>
      <w:r w:rsidR="00DE1D8E" w:rsidRPr="00507E7F">
        <w:instrText xml:space="preserve"> REF _Ref408995459 \n \h </w:instrText>
      </w:r>
      <w:r w:rsidR="00DE1D8E" w:rsidRPr="00507E7F">
        <w:fldChar w:fldCharType="separate"/>
      </w:r>
      <w:r w:rsidR="006C27EF" w:rsidRPr="00507E7F">
        <w:t>[8]</w:t>
      </w:r>
      <w:r w:rsidR="00DE1D8E" w:rsidRPr="00507E7F">
        <w:fldChar w:fldCharType="end"/>
      </w:r>
      <w:r w:rsidRPr="00507E7F">
        <w:t xml:space="preserve"> specifically addresses the harmonised use, free circulation and exemption from licensing of Ka</w:t>
      </w:r>
      <w:r w:rsidR="00323FD5" w:rsidRPr="00507E7F">
        <w:t>-</w:t>
      </w:r>
      <w:r w:rsidRPr="00507E7F">
        <w:t>band GSO ESOMPs, consolidating many of the technical and regulatory findings in Decisions mentioned above, and establishing additional relevant technical and regulatory requirements. Studies relating to these technical and regulatory requirements for GSO ESOMPs can be found in the ECC Report 184</w:t>
      </w:r>
      <w:r w:rsidR="00DE1D8E" w:rsidRPr="00507E7F">
        <w:t xml:space="preserve"> </w:t>
      </w:r>
      <w:r w:rsidR="006D6DBB" w:rsidRPr="00507E7F">
        <w:fldChar w:fldCharType="begin"/>
      </w:r>
      <w:r w:rsidR="006D6DBB" w:rsidRPr="00507E7F">
        <w:instrText xml:space="preserve"> REF _Ref531340599 \r \h </w:instrText>
      </w:r>
      <w:r w:rsidR="006D6DBB" w:rsidRPr="00507E7F">
        <w:fldChar w:fldCharType="separate"/>
      </w:r>
      <w:r w:rsidR="006C27EF" w:rsidRPr="00507E7F">
        <w:t>[9]</w:t>
      </w:r>
      <w:r w:rsidR="006D6DBB" w:rsidRPr="00507E7F">
        <w:fldChar w:fldCharType="end"/>
      </w:r>
      <w:r w:rsidRPr="00507E7F">
        <w:t>.</w:t>
      </w:r>
    </w:p>
    <w:p w14:paraId="10D18D6B" w14:textId="77777777" w:rsidR="007D52F2" w:rsidRPr="00507E7F" w:rsidRDefault="007D52F2" w:rsidP="007D52F2">
      <w:pPr>
        <w:pStyle w:val="ECCParagraph"/>
        <w:rPr>
          <w:b/>
        </w:rPr>
      </w:pPr>
      <w:r w:rsidRPr="00507E7F">
        <w:rPr>
          <w:b/>
        </w:rPr>
        <w:t>Harmonised Use, Free Circulation and exemption from licensing of ESOMPs</w:t>
      </w:r>
    </w:p>
    <w:p w14:paraId="522AF93E" w14:textId="49866B16" w:rsidR="007D52F2" w:rsidRPr="00507E7F" w:rsidRDefault="007D52F2" w:rsidP="007D52F2">
      <w:pPr>
        <w:pStyle w:val="ECCParagraph"/>
      </w:pPr>
      <w:r w:rsidRPr="00507E7F">
        <w:t>This ECC Decision addresses the harmonised use, free circulation and exemption from individual licensing of land</w:t>
      </w:r>
      <w:r w:rsidR="00775455" w:rsidRPr="00507E7F">
        <w:t xml:space="preserve">, </w:t>
      </w:r>
      <w:r w:rsidRPr="00507E7F">
        <w:t>maritime</w:t>
      </w:r>
      <w:r w:rsidR="00775455" w:rsidRPr="00507E7F">
        <w:t xml:space="preserve"> and aeronautical</w:t>
      </w:r>
      <w:r w:rsidRPr="00507E7F">
        <w:t xml:space="preserve"> ESOMPs operating with NGSO FSS satellite systems in the frequency range</w:t>
      </w:r>
      <w:r w:rsidR="006B6F27">
        <w:t xml:space="preserve"> </w:t>
      </w:r>
      <w:r w:rsidRPr="00507E7F">
        <w:t>17.3-20.2 GHz, 27.5-29.1 GHz and 29.5-30.0 GHz. The technical and regulatory requirements relating to such aspects are presented in detail in the ECC Report 217. Some background information is offered below.</w:t>
      </w:r>
    </w:p>
    <w:p w14:paraId="55A8A247" w14:textId="77777777" w:rsidR="007D52F2" w:rsidRPr="00507E7F" w:rsidRDefault="007D52F2" w:rsidP="007D52F2">
      <w:pPr>
        <w:pStyle w:val="ECCParagraph"/>
      </w:pPr>
      <w:r w:rsidRPr="00507E7F">
        <w:t xml:space="preserve">In the case of land based ESOMPs operating in the bands available for uncoordinated FSS earth stations, there is no change to the current interference environment since ESOMPs may operate in any location, just like uncoordinated FSS earth stations. </w:t>
      </w:r>
    </w:p>
    <w:p w14:paraId="41666711" w14:textId="2CBF0D02" w:rsidR="007D52F2" w:rsidRPr="00507E7F" w:rsidRDefault="007D52F2" w:rsidP="007D52F2">
      <w:pPr>
        <w:pStyle w:val="ECCParagraph"/>
      </w:pPr>
      <w:r w:rsidRPr="00507E7F">
        <w:t xml:space="preserve">As for maritime </w:t>
      </w:r>
      <w:r w:rsidR="00775455" w:rsidRPr="00507E7F">
        <w:t xml:space="preserve">and aeronautical </w:t>
      </w:r>
      <w:r w:rsidRPr="00507E7F">
        <w:t>ESOMPs, the interference environment is different from that for land ESOMPs in some respects. In particular, maritime</w:t>
      </w:r>
      <w:r w:rsidR="00775455" w:rsidRPr="00507E7F">
        <w:t xml:space="preserve"> and aeronautical</w:t>
      </w:r>
      <w:r w:rsidRPr="00507E7F">
        <w:t xml:space="preserve"> ESOMPs often operate in international waters </w:t>
      </w:r>
      <w:r w:rsidR="00775455" w:rsidRPr="00507E7F">
        <w:t xml:space="preserve">and </w:t>
      </w:r>
      <w:r w:rsidR="006B6F27">
        <w:t>airspace</w:t>
      </w:r>
      <w:r w:rsidR="00775455" w:rsidRPr="00507E7F">
        <w:t xml:space="preserve"> </w:t>
      </w:r>
      <w:r w:rsidRPr="00507E7F">
        <w:t>(typically well beyond 12 nautical miles from the low-water mark of any country), therefore they may operate in any part of the 27.5-29.1 GHz band, including within those bands designated for the FS. Hence, it is necessary to ensure that FS deployments are adequately protected from inter</w:t>
      </w:r>
      <w:r w:rsidR="00DE1D8E" w:rsidRPr="00507E7F">
        <w:t>ference from maritime</w:t>
      </w:r>
      <w:r w:rsidR="00775455" w:rsidRPr="00507E7F">
        <w:t xml:space="preserve"> and aeronautical</w:t>
      </w:r>
      <w:r w:rsidR="00DE1D8E" w:rsidRPr="00507E7F">
        <w:t xml:space="preserve"> ESOMPs. </w:t>
      </w:r>
      <w:r w:rsidRPr="00507E7F">
        <w:t xml:space="preserve">Consequently, this Decision applies a PFD threshold to maritime </w:t>
      </w:r>
      <w:r w:rsidR="00775455" w:rsidRPr="00507E7F">
        <w:t xml:space="preserve">and aeronautical </w:t>
      </w:r>
      <w:r w:rsidRPr="00507E7F">
        <w:t>ESOMPs. Th</w:t>
      </w:r>
      <w:r w:rsidR="00775455" w:rsidRPr="00507E7F">
        <w:t>ese</w:t>
      </w:r>
      <w:r w:rsidRPr="00507E7F">
        <w:t xml:space="preserve"> threshold</w:t>
      </w:r>
      <w:r w:rsidR="00775455" w:rsidRPr="00507E7F">
        <w:t>s</w:t>
      </w:r>
      <w:r w:rsidRPr="00507E7F">
        <w:t xml:space="preserve"> appl</w:t>
      </w:r>
      <w:r w:rsidR="00775455" w:rsidRPr="00507E7F">
        <w:t>y</w:t>
      </w:r>
      <w:r w:rsidRPr="00507E7F">
        <w:t xml:space="preserve"> at the low-water mark </w:t>
      </w:r>
      <w:r w:rsidR="006C27EF" w:rsidRPr="00507E7F">
        <w:t xml:space="preserve">and on the ground </w:t>
      </w:r>
      <w:r w:rsidRPr="00507E7F">
        <w:t>of any affected country</w:t>
      </w:r>
      <w:r w:rsidR="006C27EF" w:rsidRPr="00507E7F">
        <w:t xml:space="preserve"> respectively</w:t>
      </w:r>
      <w:r w:rsidR="00775455" w:rsidRPr="00507E7F">
        <w:t xml:space="preserve">, </w:t>
      </w:r>
      <w:r w:rsidRPr="00507E7F">
        <w:t>in any part of the band 27.5-29.1 GHz designated for use by the FS in that country. The PFD constraint</w:t>
      </w:r>
      <w:r w:rsidR="006C27EF" w:rsidRPr="00507E7F">
        <w:t>s</w:t>
      </w:r>
      <w:r w:rsidRPr="00507E7F">
        <w:t xml:space="preserve"> may be relaxed with the agreement of the administrations concerned. </w:t>
      </w:r>
    </w:p>
    <w:p w14:paraId="108CD8E3" w14:textId="586BA194" w:rsidR="007D52F2" w:rsidRPr="00507E7F" w:rsidRDefault="007D52F2" w:rsidP="007D52F2">
      <w:pPr>
        <w:pStyle w:val="ECCParagraph"/>
      </w:pPr>
      <w:r w:rsidRPr="00507E7F">
        <w:t xml:space="preserve">To comply with the PFD values applicable to maritime </w:t>
      </w:r>
      <w:r w:rsidR="00775455" w:rsidRPr="00507E7F">
        <w:t xml:space="preserve">and aeronautical </w:t>
      </w:r>
      <w:r w:rsidRPr="00507E7F">
        <w:t xml:space="preserve">ESOMPs, any </w:t>
      </w:r>
      <w:r w:rsidR="00592703" w:rsidRPr="00507E7F">
        <w:t xml:space="preserve">operator of </w:t>
      </w:r>
      <w:r w:rsidRPr="00507E7F">
        <w:t>ESOMP</w:t>
      </w:r>
      <w:r w:rsidR="00716757" w:rsidRPr="00507E7F">
        <w:t>s</w:t>
      </w:r>
      <w:r w:rsidRPr="00507E7F">
        <w:t xml:space="preserve"> operating in the range 27.5-29.1 GHz must monitor </w:t>
      </w:r>
      <w:r w:rsidR="00967F61" w:rsidRPr="00507E7F">
        <w:t xml:space="preserve">their </w:t>
      </w:r>
      <w:r w:rsidRPr="00507E7F">
        <w:t xml:space="preserve">location and have knowledge of, and control over, other characteristics such as e.i.r.p. and antenna pointing direction. This function may be accomplished by the </w:t>
      </w:r>
      <w:r w:rsidR="00967F61" w:rsidRPr="00507E7F">
        <w:t>Network Control Facility (</w:t>
      </w:r>
      <w:r w:rsidRPr="00507E7F">
        <w:t>NCF</w:t>
      </w:r>
      <w:r w:rsidR="00967F61" w:rsidRPr="00507E7F">
        <w:t>)</w:t>
      </w:r>
      <w:r w:rsidRPr="00507E7F">
        <w:t xml:space="preserve"> of the satellite system, which shall have the possibility of reducing the e.i.r.p. of ESOMP</w:t>
      </w:r>
      <w:r w:rsidR="00716757" w:rsidRPr="00507E7F">
        <w:t>s</w:t>
      </w:r>
      <w:r w:rsidRPr="00507E7F">
        <w:t>, or where appropriate</w:t>
      </w:r>
      <w:r w:rsidR="00967F61" w:rsidRPr="00507E7F">
        <w:t>,</w:t>
      </w:r>
      <w:r w:rsidRPr="00507E7F">
        <w:t xml:space="preserve"> ceasing transmission. This Decision places an obligation on any ESO</w:t>
      </w:r>
      <w:r w:rsidR="00323FD5" w:rsidRPr="00507E7F">
        <w:t>M</w:t>
      </w:r>
      <w:r w:rsidRPr="00507E7F">
        <w:t>P</w:t>
      </w:r>
      <w:r w:rsidR="00716757" w:rsidRPr="00507E7F">
        <w:t>s</w:t>
      </w:r>
      <w:r w:rsidRPr="00507E7F">
        <w:t xml:space="preserve"> operator, intending to operate ESOMPs within the framework of this ECC Decision, to submit a declaration to the Office to declare that the operator’s NGSO system complies with the requirements of this Decision, and provide details of a designated point of contact.</w:t>
      </w:r>
      <w:r w:rsidR="002B42DF" w:rsidRPr="00507E7F">
        <w:t xml:space="preserve"> </w:t>
      </w:r>
      <w:r w:rsidR="00967F61" w:rsidRPr="00507E7F">
        <w:t xml:space="preserve">These </w:t>
      </w:r>
      <w:r w:rsidRPr="00507E7F">
        <w:t xml:space="preserve">can be found in Annex </w:t>
      </w:r>
      <w:r w:rsidR="00172EA8" w:rsidRPr="00507E7F">
        <w:t xml:space="preserve">3 </w:t>
      </w:r>
      <w:r w:rsidRPr="00507E7F">
        <w:t>to this Decision.</w:t>
      </w:r>
    </w:p>
    <w:p w14:paraId="06692A8D" w14:textId="34228102" w:rsidR="000853D8" w:rsidRPr="00507E7F" w:rsidRDefault="000853D8" w:rsidP="000853D8">
      <w:pPr>
        <w:pStyle w:val="FootnoteText"/>
        <w:jc w:val="both"/>
        <w:rPr>
          <w:lang w:val="en-GB"/>
        </w:rPr>
      </w:pPr>
      <w:r w:rsidRPr="00507E7F">
        <w:rPr>
          <w:lang w:val="en-GB" w:eastAsia="nl-NL"/>
        </w:rPr>
        <w:t>The electromagnetic compatibility between satellite terminals and aircraft avionics has been examined in ECC Report 272 on</w:t>
      </w:r>
      <w:r w:rsidRPr="00507E7F">
        <w:rPr>
          <w:b/>
          <w:lang w:val="en-GB" w:eastAsia="nl-NL"/>
        </w:rPr>
        <w:t xml:space="preserve"> </w:t>
      </w:r>
      <w:r w:rsidRPr="00507E7F">
        <w:rPr>
          <w:lang w:val="en-GB"/>
        </w:rPr>
        <w:t xml:space="preserve">“Earth Stations operating in the frequency bands 4-8 GHz, 12-18 GHz and 18-40 GHz in the </w:t>
      </w:r>
      <w:r w:rsidRPr="00507E7F">
        <w:rPr>
          <w:lang w:val="en-GB"/>
        </w:rPr>
        <w:lastRenderedPageBreak/>
        <w:t>vicinity of aircraft”</w:t>
      </w:r>
      <w:r w:rsidR="002B42DF" w:rsidRPr="00507E7F">
        <w:rPr>
          <w:lang w:val="en-GB"/>
        </w:rPr>
        <w:t xml:space="preserve"> </w:t>
      </w:r>
      <w:r w:rsidR="002B42DF" w:rsidRPr="00507E7F">
        <w:rPr>
          <w:lang w:val="en-GB"/>
        </w:rPr>
        <w:fldChar w:fldCharType="begin"/>
      </w:r>
      <w:r w:rsidR="002B42DF" w:rsidRPr="00507E7F">
        <w:rPr>
          <w:lang w:val="en-GB"/>
        </w:rPr>
        <w:instrText xml:space="preserve"> REF _Ref524698107 \r \h </w:instrText>
      </w:r>
      <w:r w:rsidR="002B42DF" w:rsidRPr="00507E7F">
        <w:rPr>
          <w:lang w:val="en-GB"/>
        </w:rPr>
      </w:r>
      <w:r w:rsidR="002B42DF" w:rsidRPr="00507E7F">
        <w:rPr>
          <w:lang w:val="en-GB"/>
        </w:rPr>
        <w:fldChar w:fldCharType="separate"/>
      </w:r>
      <w:r w:rsidR="006C27EF" w:rsidRPr="00507E7F">
        <w:rPr>
          <w:lang w:val="en-GB"/>
        </w:rPr>
        <w:t>[10]</w:t>
      </w:r>
      <w:r w:rsidR="002B42DF" w:rsidRPr="00507E7F">
        <w:rPr>
          <w:lang w:val="en-GB"/>
        </w:rPr>
        <w:fldChar w:fldCharType="end"/>
      </w:r>
      <w:r w:rsidR="002B42DF" w:rsidRPr="00507E7F">
        <w:rPr>
          <w:lang w:val="en-GB"/>
        </w:rPr>
        <w:t xml:space="preserve"> </w:t>
      </w:r>
      <w:r w:rsidRPr="00507E7F">
        <w:rPr>
          <w:lang w:val="en-GB"/>
        </w:rPr>
        <w:t>This Report provides the m</w:t>
      </w:r>
      <w:r w:rsidRPr="00507E7F">
        <w:rPr>
          <w:bCs/>
          <w:lang w:val="en-GB"/>
        </w:rPr>
        <w:t>aximum earth station e.i.r.p. levels to ensure compliance with aircraft High Intensity Radiated Field (HIRF) protection criteria</w:t>
      </w:r>
      <w:r w:rsidRPr="00507E7F">
        <w:rPr>
          <w:lang w:val="en-GB"/>
        </w:rPr>
        <w:t>.</w:t>
      </w:r>
    </w:p>
    <w:p w14:paraId="0B920B8A" w14:textId="77777777" w:rsidR="000853D8" w:rsidRPr="00507E7F" w:rsidRDefault="000853D8" w:rsidP="000853D8">
      <w:pPr>
        <w:pStyle w:val="FootnoteText"/>
        <w:jc w:val="both"/>
        <w:rPr>
          <w:lang w:val="en-GB"/>
        </w:rPr>
      </w:pPr>
    </w:p>
    <w:p w14:paraId="7CD155F7" w14:textId="77777777" w:rsidR="000853D8" w:rsidRPr="00507E7F" w:rsidRDefault="000853D8" w:rsidP="00923873">
      <w:pPr>
        <w:pStyle w:val="ECCParagraph"/>
      </w:pPr>
      <w:r w:rsidRPr="00507E7F">
        <w:t>Maximum e.i.r.p. levels for earth stations retained in this Decision are equal to or lower than maximum e.i.r.p. based on ECC Report 272 that ensures compliance with aircraft HIRF protection criteria. Therefore</w:t>
      </w:r>
      <w:r w:rsidR="00141828" w:rsidRPr="00507E7F">
        <w:t>,</w:t>
      </w:r>
      <w:r w:rsidRPr="00507E7F">
        <w:t xml:space="preserve"> the maximum e.i.r.p. levels indicated in this Decision implicitly provide the necessary protection for aircraft HIRF.</w:t>
      </w:r>
    </w:p>
    <w:p w14:paraId="5FE1D6E2" w14:textId="77777777" w:rsidR="006C03D0" w:rsidRPr="00507E7F" w:rsidRDefault="005F7AD5" w:rsidP="00FD5220">
      <w:pPr>
        <w:pStyle w:val="Heading2"/>
        <w:rPr>
          <w:lang w:val="en-GB"/>
        </w:rPr>
      </w:pPr>
      <w:r w:rsidRPr="00507E7F">
        <w:rPr>
          <w:lang w:val="en-GB"/>
        </w:rPr>
        <w:t>REQUIREMENT FOR AN ECC DECISION</w:t>
      </w:r>
    </w:p>
    <w:p w14:paraId="75FD81DA" w14:textId="77777777" w:rsidR="006C03D0" w:rsidRPr="00507E7F" w:rsidRDefault="007D52F2" w:rsidP="006C03D0">
      <w:pPr>
        <w:pStyle w:val="ECCParagraph"/>
      </w:pPr>
      <w:r w:rsidRPr="00507E7F">
        <w:t>ESOMP</w:t>
      </w:r>
      <w:r w:rsidR="00716757" w:rsidRPr="00507E7F">
        <w:t>s</w:t>
      </w:r>
      <w:r w:rsidRPr="00507E7F">
        <w:t xml:space="preserve"> are being deployed in Europe. As ESOMPs are generally intended to be used while in motion and move from one country to another, a Decision is required to ensure that ESOMPs comply with the necessary technical requirements and to provide for the harmonised use, exemption from individual licensing and free circulation of these terminals in CEPT.</w:t>
      </w:r>
    </w:p>
    <w:p w14:paraId="196B7BAA" w14:textId="63E000FD" w:rsidR="006C03D0" w:rsidRPr="00507E7F" w:rsidRDefault="005F7AD5" w:rsidP="00FD5220">
      <w:pPr>
        <w:pStyle w:val="Heading1"/>
      </w:pPr>
      <w:r w:rsidRPr="00507E7F">
        <w:lastRenderedPageBreak/>
        <w:t>ECC Decision of</w:t>
      </w:r>
      <w:r w:rsidR="00A8085A" w:rsidRPr="00507E7F">
        <w:t xml:space="preserve"> </w:t>
      </w:r>
      <w:r w:rsidR="00635033" w:rsidRPr="00507E7F">
        <w:t>3 July</w:t>
      </w:r>
      <w:r w:rsidR="00A8085A" w:rsidRPr="00507E7F">
        <w:t xml:space="preserve"> </w:t>
      </w:r>
      <w:r w:rsidR="000245A8" w:rsidRPr="00507E7F">
        <w:t>2015</w:t>
      </w:r>
      <w:r w:rsidR="00A8085A" w:rsidRPr="00507E7F">
        <w:t xml:space="preserve"> </w:t>
      </w:r>
      <w:r w:rsidRPr="00507E7F">
        <w:t>on</w:t>
      </w:r>
      <w:r w:rsidR="00A8085A" w:rsidRPr="00507E7F">
        <w:t xml:space="preserve"> </w:t>
      </w:r>
      <w:r w:rsidR="007D52F2" w:rsidRPr="00507E7F">
        <w:t>the harmonised use, free circulation an</w:t>
      </w:r>
      <w:r w:rsidR="00CD5399" w:rsidRPr="00507E7F">
        <w:t>d exemption from individual lice</w:t>
      </w:r>
      <w:r w:rsidR="007D52F2" w:rsidRPr="00507E7F">
        <w:t>nsing of land</w:t>
      </w:r>
      <w:r w:rsidR="002E017F" w:rsidRPr="00507E7F">
        <w:t xml:space="preserve">, </w:t>
      </w:r>
      <w:r w:rsidR="007D52F2" w:rsidRPr="00507E7F">
        <w:t xml:space="preserve">maritime </w:t>
      </w:r>
      <w:r w:rsidR="002E017F" w:rsidRPr="00507E7F">
        <w:t xml:space="preserve">AND AERONAUTICAL </w:t>
      </w:r>
      <w:r w:rsidR="007D52F2" w:rsidRPr="00507E7F">
        <w:t>earth stations on mobile platforms (ESOMPs) operating with ngso fss satellite systems in the frequency range</w:t>
      </w:r>
      <w:r w:rsidR="006123E3" w:rsidRPr="00507E7F">
        <w:t>s</w:t>
      </w:r>
      <w:r w:rsidR="007D52F2" w:rsidRPr="00507E7F">
        <w:t xml:space="preserve"> 17.3-20.2 gh</w:t>
      </w:r>
      <w:r w:rsidR="007D52F2" w:rsidRPr="00507E7F">
        <w:rPr>
          <w:sz w:val="16"/>
        </w:rPr>
        <w:t>z</w:t>
      </w:r>
      <w:r w:rsidR="007D52F2" w:rsidRPr="00507E7F">
        <w:t>, 27.5-29.1 Gh</w:t>
      </w:r>
      <w:r w:rsidR="007D52F2" w:rsidRPr="00507E7F">
        <w:rPr>
          <w:sz w:val="16"/>
        </w:rPr>
        <w:t>z</w:t>
      </w:r>
      <w:r w:rsidR="007D52F2" w:rsidRPr="00507E7F">
        <w:t xml:space="preserve"> and 29.5-30.0 gh</w:t>
      </w:r>
      <w:r w:rsidR="007D52F2" w:rsidRPr="00507E7F">
        <w:rPr>
          <w:sz w:val="16"/>
        </w:rPr>
        <w:t>z</w:t>
      </w:r>
      <w:r w:rsidR="00A8085A" w:rsidRPr="00507E7F">
        <w:t xml:space="preserve"> (</w:t>
      </w:r>
      <w:r w:rsidR="000245A8" w:rsidRPr="00507E7F">
        <w:t>ECC/DEC/(15)</w:t>
      </w:r>
      <w:r w:rsidR="00635033" w:rsidRPr="00507E7F">
        <w:t>04</w:t>
      </w:r>
      <w:r w:rsidR="00A8085A" w:rsidRPr="00507E7F">
        <w:t>)</w:t>
      </w:r>
      <w:r w:rsidR="00E950EB" w:rsidRPr="00507E7F">
        <w:t xml:space="preserve">, amended on </w:t>
      </w:r>
      <w:r w:rsidR="0069530F" w:rsidRPr="00507E7F">
        <w:t>8 march 2019</w:t>
      </w:r>
      <w:r w:rsidR="00AC1DEF" w:rsidRPr="00507E7F">
        <w:t xml:space="preserve"> and </w:t>
      </w:r>
      <w:r w:rsidR="007C421C">
        <w:t>20</w:t>
      </w:r>
      <w:r w:rsidR="00AC1DEF" w:rsidRPr="00507E7F">
        <w:t xml:space="preserve"> </w:t>
      </w:r>
      <w:r w:rsidR="007C421C">
        <w:t>November</w:t>
      </w:r>
      <w:r w:rsidR="00AC1DEF" w:rsidRPr="00507E7F">
        <w:t xml:space="preserve"> 2020</w:t>
      </w:r>
    </w:p>
    <w:p w14:paraId="4B73D8C9" w14:textId="77777777" w:rsidR="006C03D0" w:rsidRPr="00507E7F" w:rsidRDefault="005F7AD5" w:rsidP="006C03D0">
      <w:pPr>
        <w:pStyle w:val="ECCParagraph"/>
      </w:pPr>
      <w:r w:rsidRPr="00507E7F">
        <w:t>“The European Conference of Postal and Telecommunications Administrations,</w:t>
      </w:r>
    </w:p>
    <w:p w14:paraId="3650816B" w14:textId="77777777" w:rsidR="006C03D0" w:rsidRPr="00507E7F" w:rsidRDefault="004563AC" w:rsidP="006C03D0">
      <w:pPr>
        <w:pStyle w:val="ECCParagraph"/>
        <w:rPr>
          <w:i/>
          <w:color w:val="D2232A"/>
        </w:rPr>
      </w:pPr>
      <w:r w:rsidRPr="00507E7F">
        <w:rPr>
          <w:i/>
          <w:color w:val="D2232A"/>
        </w:rPr>
        <w:t>considering</w:t>
      </w:r>
    </w:p>
    <w:p w14:paraId="4981BD03" w14:textId="554076D0" w:rsidR="00E65E22" w:rsidRPr="00507E7F" w:rsidRDefault="004563AC" w:rsidP="00FD05E6">
      <w:pPr>
        <w:pStyle w:val="ListParagraph"/>
        <w:numPr>
          <w:ilvl w:val="0"/>
          <w:numId w:val="17"/>
        </w:numPr>
        <w:tabs>
          <w:tab w:val="left" w:pos="567"/>
        </w:tabs>
        <w:spacing w:after="240"/>
        <w:ind w:left="567" w:hanging="567"/>
        <w:contextualSpacing w:val="0"/>
        <w:rPr>
          <w:lang w:val="en-GB"/>
        </w:rPr>
      </w:pPr>
      <w:r w:rsidRPr="00507E7F">
        <w:rPr>
          <w:szCs w:val="22"/>
          <w:lang w:val="en-GB"/>
        </w:rPr>
        <w:t>that the introduction of new ESOMP</w:t>
      </w:r>
      <w:r w:rsidR="00716757" w:rsidRPr="00507E7F">
        <w:rPr>
          <w:szCs w:val="22"/>
          <w:lang w:val="en-GB"/>
        </w:rPr>
        <w:t>s</w:t>
      </w:r>
      <w:r w:rsidRPr="00507E7F">
        <w:rPr>
          <w:szCs w:val="22"/>
          <w:lang w:val="en-GB"/>
        </w:rPr>
        <w:t xml:space="preserve"> systems will enhance broadband communications over wide territories in the CEPT, making them available on platforms such as ships</w:t>
      </w:r>
      <w:r w:rsidR="002E017F" w:rsidRPr="00507E7F">
        <w:rPr>
          <w:szCs w:val="22"/>
          <w:lang w:val="en-GB"/>
        </w:rPr>
        <w:t>, aircraft</w:t>
      </w:r>
      <w:r w:rsidRPr="00507E7F">
        <w:rPr>
          <w:szCs w:val="22"/>
          <w:lang w:val="en-GB"/>
        </w:rPr>
        <w:t xml:space="preserve"> and </w:t>
      </w:r>
      <w:r w:rsidR="006B6F27">
        <w:rPr>
          <w:szCs w:val="22"/>
          <w:lang w:val="en-GB"/>
        </w:rPr>
        <w:t>land</w:t>
      </w:r>
      <w:r w:rsidR="006B6F27" w:rsidRPr="00507E7F">
        <w:rPr>
          <w:szCs w:val="22"/>
          <w:lang w:val="en-GB"/>
        </w:rPr>
        <w:t xml:space="preserve"> </w:t>
      </w:r>
      <w:r w:rsidRPr="00507E7F">
        <w:rPr>
          <w:szCs w:val="22"/>
          <w:lang w:val="en-GB"/>
        </w:rPr>
        <w:t>vehicles;</w:t>
      </w:r>
    </w:p>
    <w:p w14:paraId="113CFF73" w14:textId="251ADB9C" w:rsidR="00E65E22" w:rsidRPr="00507E7F" w:rsidRDefault="004563AC" w:rsidP="007B09DD">
      <w:pPr>
        <w:pStyle w:val="ListParagraph"/>
        <w:numPr>
          <w:ilvl w:val="0"/>
          <w:numId w:val="17"/>
        </w:numPr>
        <w:tabs>
          <w:tab w:val="left" w:pos="567"/>
        </w:tabs>
        <w:spacing w:after="240"/>
        <w:ind w:left="567" w:hanging="567"/>
        <w:contextualSpacing w:val="0"/>
        <w:rPr>
          <w:lang w:val="en-GB"/>
        </w:rPr>
      </w:pPr>
      <w:r w:rsidRPr="00507E7F">
        <w:rPr>
          <w:szCs w:val="22"/>
          <w:lang w:val="en-GB"/>
        </w:rPr>
        <w:t>that administrations should work towards the exemption of relevant radio equipment from individual licensing based on harmonised criteria detailed in ERC</w:t>
      </w:r>
      <w:r w:rsidR="00141828" w:rsidRPr="00507E7F">
        <w:rPr>
          <w:szCs w:val="22"/>
          <w:lang w:val="en-GB"/>
        </w:rPr>
        <w:t xml:space="preserve"> Recommendation</w:t>
      </w:r>
      <w:r w:rsidRPr="00507E7F">
        <w:rPr>
          <w:szCs w:val="22"/>
          <w:lang w:val="en-GB"/>
        </w:rPr>
        <w:t xml:space="preserve"> 01-07</w:t>
      </w:r>
      <w:r w:rsidR="00DE1D8E" w:rsidRPr="00507E7F">
        <w:rPr>
          <w:szCs w:val="22"/>
          <w:lang w:val="en-GB"/>
        </w:rPr>
        <w:t xml:space="preserve"> </w:t>
      </w:r>
      <w:r w:rsidR="00DE1D8E" w:rsidRPr="00507E7F">
        <w:rPr>
          <w:szCs w:val="22"/>
          <w:lang w:val="en-GB"/>
        </w:rPr>
        <w:fldChar w:fldCharType="begin"/>
      </w:r>
      <w:r w:rsidR="00DE1D8E" w:rsidRPr="00507E7F">
        <w:rPr>
          <w:szCs w:val="22"/>
          <w:lang w:val="en-GB"/>
        </w:rPr>
        <w:instrText xml:space="preserve"> REF _Ref408995499 \n \h </w:instrText>
      </w:r>
      <w:r w:rsidR="00FD05E6" w:rsidRPr="00507E7F">
        <w:rPr>
          <w:szCs w:val="22"/>
          <w:lang w:val="en-GB"/>
        </w:rPr>
        <w:instrText xml:space="preserve"> \* MERGEFORMAT </w:instrText>
      </w:r>
      <w:r w:rsidR="00DE1D8E" w:rsidRPr="00507E7F">
        <w:rPr>
          <w:szCs w:val="22"/>
          <w:lang w:val="en-GB"/>
        </w:rPr>
      </w:r>
      <w:r w:rsidR="00DE1D8E" w:rsidRPr="00507E7F">
        <w:rPr>
          <w:szCs w:val="22"/>
          <w:lang w:val="en-GB"/>
        </w:rPr>
        <w:fldChar w:fldCharType="separate"/>
      </w:r>
      <w:r w:rsidR="006C27EF" w:rsidRPr="00507E7F">
        <w:rPr>
          <w:szCs w:val="22"/>
          <w:lang w:val="en-GB"/>
        </w:rPr>
        <w:t>[11]</w:t>
      </w:r>
      <w:r w:rsidR="00DE1D8E" w:rsidRPr="00507E7F">
        <w:rPr>
          <w:szCs w:val="22"/>
          <w:lang w:val="en-GB"/>
        </w:rPr>
        <w:fldChar w:fldCharType="end"/>
      </w:r>
      <w:r w:rsidRPr="00507E7F">
        <w:rPr>
          <w:szCs w:val="22"/>
          <w:lang w:val="en-GB"/>
        </w:rPr>
        <w:t>;</w:t>
      </w:r>
    </w:p>
    <w:p w14:paraId="6C208CB5" w14:textId="1267C58B" w:rsidR="00E65E22" w:rsidRPr="00507E7F" w:rsidRDefault="004563AC" w:rsidP="007B09DD">
      <w:pPr>
        <w:pStyle w:val="ListParagraph"/>
        <w:numPr>
          <w:ilvl w:val="0"/>
          <w:numId w:val="17"/>
        </w:numPr>
        <w:tabs>
          <w:tab w:val="left" w:pos="567"/>
        </w:tabs>
        <w:spacing w:after="240"/>
        <w:ind w:left="567" w:hanging="567"/>
        <w:contextualSpacing w:val="0"/>
        <w:rPr>
          <w:lang w:val="en-GB"/>
        </w:rPr>
      </w:pPr>
      <w:r w:rsidRPr="00507E7F">
        <w:rPr>
          <w:szCs w:val="22"/>
          <w:lang w:val="en-GB"/>
        </w:rPr>
        <w:t>that in the ITU Radio Regulations (ITU RR)</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_Ref524698243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[12]</w:t>
      </w:r>
      <w:r w:rsidR="002B42DF" w:rsidRPr="00507E7F">
        <w:rPr>
          <w:szCs w:val="22"/>
          <w:lang w:val="en-GB"/>
        </w:rPr>
        <w:fldChar w:fldCharType="end"/>
      </w:r>
      <w:r w:rsidRPr="00507E7F">
        <w:rPr>
          <w:szCs w:val="22"/>
          <w:lang w:val="en-GB"/>
        </w:rPr>
        <w:t>, the band 17.3-17.7 GHz is allocated on a worldwide and primary basis to the Fixed</w:t>
      </w:r>
      <w:r w:rsidR="00081AF1" w:rsidRPr="00507E7F">
        <w:rPr>
          <w:szCs w:val="22"/>
          <w:lang w:val="en-GB"/>
        </w:rPr>
        <w:t>-</w:t>
      </w:r>
      <w:r w:rsidRPr="00507E7F">
        <w:rPr>
          <w:szCs w:val="22"/>
          <w:lang w:val="en-GB"/>
        </w:rPr>
        <w:t>Satellite Service (FSS) (Earth-to-space) limited to feeder links for the BSS and is subject to ITU RR Appendix 30A, and is also allocated on a primary basis in Region 1 to the FSS (space-to-Earth);</w:t>
      </w:r>
    </w:p>
    <w:p w14:paraId="37C2E2DB" w14:textId="32121F1E" w:rsidR="004563AC" w:rsidRPr="00507E7F" w:rsidRDefault="004563AC" w:rsidP="00923873">
      <w:pPr>
        <w:pStyle w:val="ECCParagraph"/>
        <w:numPr>
          <w:ilvl w:val="0"/>
          <w:numId w:val="17"/>
        </w:numPr>
        <w:ind w:left="567" w:hanging="567"/>
        <w:jc w:val="left"/>
        <w:rPr>
          <w:szCs w:val="22"/>
        </w:rPr>
      </w:pPr>
      <w:r w:rsidRPr="00507E7F">
        <w:rPr>
          <w:szCs w:val="22"/>
        </w:rPr>
        <w:t>that the band 17.7-19.7 GHz is allocated on a worldwide and primary basis to both the Fixed Service (FS) and the FSS (space-to-Earth), among other services, in the ITU RR</w:t>
      </w:r>
      <w:r w:rsidR="002B42DF" w:rsidRPr="00507E7F">
        <w:rPr>
          <w:szCs w:val="22"/>
        </w:rPr>
        <w:t xml:space="preserve"> </w:t>
      </w:r>
      <w:r w:rsidR="002B42DF" w:rsidRPr="00507E7F">
        <w:rPr>
          <w:szCs w:val="22"/>
        </w:rPr>
        <w:fldChar w:fldCharType="begin"/>
      </w:r>
      <w:r w:rsidR="002B42DF" w:rsidRPr="00507E7F">
        <w:rPr>
          <w:szCs w:val="22"/>
        </w:rPr>
        <w:instrText xml:space="preserve"> REF _Ref524698243 \r \h </w:instrText>
      </w:r>
      <w:r w:rsidR="00FD05E6" w:rsidRPr="00507E7F">
        <w:rPr>
          <w:szCs w:val="22"/>
        </w:rPr>
        <w:instrText xml:space="preserve"> \* MERGEFORMAT </w:instrText>
      </w:r>
      <w:r w:rsidR="002B42DF" w:rsidRPr="00507E7F">
        <w:rPr>
          <w:szCs w:val="22"/>
        </w:rPr>
      </w:r>
      <w:r w:rsidR="002B42DF" w:rsidRPr="00507E7F">
        <w:rPr>
          <w:szCs w:val="22"/>
        </w:rPr>
        <w:fldChar w:fldCharType="separate"/>
      </w:r>
      <w:r w:rsidR="006C27EF" w:rsidRPr="00507E7F">
        <w:rPr>
          <w:szCs w:val="22"/>
        </w:rPr>
        <w:t>[12]</w:t>
      </w:r>
      <w:r w:rsidR="002B42DF" w:rsidRPr="00507E7F">
        <w:rPr>
          <w:szCs w:val="22"/>
        </w:rPr>
        <w:fldChar w:fldCharType="end"/>
      </w:r>
      <w:r w:rsidRPr="00507E7F">
        <w:rPr>
          <w:szCs w:val="22"/>
        </w:rPr>
        <w:t>;</w:t>
      </w:r>
    </w:p>
    <w:p w14:paraId="4A85C300" w14:textId="7C408F85" w:rsidR="004563AC" w:rsidRPr="00507E7F" w:rsidRDefault="004563AC" w:rsidP="00923873">
      <w:pPr>
        <w:numPr>
          <w:ilvl w:val="0"/>
          <w:numId w:val="17"/>
        </w:numPr>
        <w:spacing w:after="240"/>
        <w:ind w:left="567" w:hanging="567"/>
        <w:rPr>
          <w:szCs w:val="22"/>
          <w:lang w:val="en-GB"/>
        </w:rPr>
      </w:pPr>
      <w:r w:rsidRPr="00507E7F">
        <w:rPr>
          <w:szCs w:val="22"/>
          <w:lang w:val="en-GB"/>
        </w:rPr>
        <w:t>that the band 19.7-20.2 GHz is allocated on a worldwide and primary basis to the FSS (space-to-Earth) in the ITU RR</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_Ref524698243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[12]</w:t>
      </w:r>
      <w:r w:rsidR="002B42DF" w:rsidRPr="00507E7F">
        <w:rPr>
          <w:szCs w:val="22"/>
          <w:lang w:val="en-GB"/>
        </w:rPr>
        <w:fldChar w:fldCharType="end"/>
      </w:r>
      <w:r w:rsidR="00081AF1" w:rsidRPr="00507E7F">
        <w:rPr>
          <w:szCs w:val="22"/>
          <w:lang w:val="en-GB"/>
        </w:rPr>
        <w:t>;</w:t>
      </w:r>
    </w:p>
    <w:p w14:paraId="0896AFDE" w14:textId="53CEE869"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the band </w:t>
      </w:r>
      <w:r w:rsidRPr="00507E7F">
        <w:rPr>
          <w:lang w:val="en-GB"/>
        </w:rPr>
        <w:t xml:space="preserve">27.5-29.1 GHz is </w:t>
      </w:r>
      <w:r w:rsidRPr="00507E7F">
        <w:rPr>
          <w:szCs w:val="22"/>
          <w:lang w:val="en-GB"/>
        </w:rPr>
        <w:t>allocated on a worldwide and primary basis to the FS, the Mobile Service (MS), and the FSS (Earth-to-space) in the ITU RR</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_Ref524698243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[12]</w:t>
      </w:r>
      <w:r w:rsidR="002B42DF" w:rsidRPr="00507E7F">
        <w:rPr>
          <w:szCs w:val="22"/>
          <w:lang w:val="en-GB"/>
        </w:rPr>
        <w:fldChar w:fldCharType="end"/>
      </w:r>
      <w:r w:rsidRPr="00507E7F">
        <w:rPr>
          <w:szCs w:val="22"/>
          <w:lang w:val="en-GB"/>
        </w:rPr>
        <w:t>;</w:t>
      </w:r>
    </w:p>
    <w:p w14:paraId="17E59B76" w14:textId="43B6F12A" w:rsidR="004563AC" w:rsidRPr="00507E7F" w:rsidRDefault="004563AC" w:rsidP="00923873">
      <w:pPr>
        <w:numPr>
          <w:ilvl w:val="0"/>
          <w:numId w:val="17"/>
        </w:numPr>
        <w:spacing w:after="240"/>
        <w:ind w:left="567" w:hanging="567"/>
        <w:rPr>
          <w:szCs w:val="22"/>
          <w:lang w:val="en-GB"/>
        </w:rPr>
      </w:pPr>
      <w:r w:rsidRPr="00507E7F">
        <w:rPr>
          <w:szCs w:val="22"/>
          <w:lang w:val="en-GB"/>
        </w:rPr>
        <w:t>that the band 29.5-30.0 GHz is allocated on a worldwide and primary basis to the FSS (Earth-to-space) in the ITU RR</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_Ref524698243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[12]</w:t>
      </w:r>
      <w:r w:rsidR="002B42DF" w:rsidRPr="00507E7F">
        <w:rPr>
          <w:szCs w:val="22"/>
          <w:lang w:val="en-GB"/>
        </w:rPr>
        <w:fldChar w:fldCharType="end"/>
      </w:r>
      <w:r w:rsidRPr="00507E7F">
        <w:rPr>
          <w:szCs w:val="22"/>
          <w:lang w:val="en-GB"/>
        </w:rPr>
        <w:t>;</w:t>
      </w:r>
    </w:p>
    <w:p w14:paraId="5E89C01A" w14:textId="5B2961EB"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w:t>
      </w:r>
      <w:r w:rsidR="00F017CE" w:rsidRPr="00507E7F">
        <w:rPr>
          <w:szCs w:val="22"/>
          <w:lang w:val="en-GB"/>
        </w:rPr>
        <w:t>ECC Decision</w:t>
      </w:r>
      <w:r w:rsidR="00141828" w:rsidRPr="00507E7F">
        <w:rPr>
          <w:szCs w:val="22"/>
          <w:lang w:val="en-GB"/>
        </w:rPr>
        <w:t xml:space="preserve"> </w:t>
      </w:r>
      <w:r w:rsidRPr="00507E7F">
        <w:rPr>
          <w:szCs w:val="22"/>
          <w:lang w:val="en-GB"/>
        </w:rPr>
        <w:t xml:space="preserve">(05)01 </w:t>
      </w:r>
      <w:r w:rsidR="002B42DF" w:rsidRPr="00507E7F">
        <w:rPr>
          <w:szCs w:val="22"/>
          <w:lang w:val="en-GB"/>
        </w:rPr>
        <w:fldChar w:fldCharType="begin"/>
      </w:r>
      <w:r w:rsidR="002B42DF" w:rsidRPr="00507E7F">
        <w:rPr>
          <w:szCs w:val="22"/>
          <w:lang w:val="en-GB"/>
        </w:rPr>
        <w:instrText xml:space="preserve"> REF _Ref524698081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[4]</w:t>
      </w:r>
      <w:r w:rsidR="002B42DF" w:rsidRPr="00507E7F">
        <w:rPr>
          <w:szCs w:val="22"/>
          <w:lang w:val="en-GB"/>
        </w:rPr>
        <w:fldChar w:fldCharType="end"/>
      </w:r>
      <w:r w:rsidR="002B42DF" w:rsidRPr="00507E7F">
        <w:rPr>
          <w:szCs w:val="22"/>
          <w:lang w:val="en-GB"/>
        </w:rPr>
        <w:t xml:space="preserve"> </w:t>
      </w:r>
      <w:r w:rsidRPr="00507E7F">
        <w:rPr>
          <w:szCs w:val="22"/>
          <w:lang w:val="en-GB"/>
        </w:rPr>
        <w:t xml:space="preserve">designates </w:t>
      </w:r>
      <w:r w:rsidR="006B6F27">
        <w:rPr>
          <w:szCs w:val="22"/>
          <w:lang w:val="en-GB"/>
        </w:rPr>
        <w:t>the</w:t>
      </w:r>
      <w:r w:rsidR="006B6F27" w:rsidRPr="00507E7F">
        <w:rPr>
          <w:szCs w:val="22"/>
          <w:lang w:val="en-GB"/>
        </w:rPr>
        <w:t xml:space="preserve"> </w:t>
      </w:r>
      <w:r w:rsidRPr="00507E7F">
        <w:rPr>
          <w:szCs w:val="22"/>
          <w:lang w:val="en-GB"/>
        </w:rPr>
        <w:t xml:space="preserve">frequency bands </w:t>
      </w:r>
      <w:r w:rsidR="006B6F27">
        <w:rPr>
          <w:szCs w:val="22"/>
          <w:lang w:val="en-GB"/>
        </w:rPr>
        <w:t xml:space="preserve">27.5-27.8285 GHz, 28.4445-28.8365 GHz </w:t>
      </w:r>
      <w:r w:rsidRPr="00507E7F">
        <w:rPr>
          <w:szCs w:val="22"/>
          <w:lang w:val="en-GB"/>
        </w:rPr>
        <w:t>in the range 27.5-29.5 GHz for the use of uncoordinated FSS earth stations and certain others for the use of the FS;</w:t>
      </w:r>
    </w:p>
    <w:p w14:paraId="659B9529" w14:textId="1930A56F"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Decision </w:t>
      </w:r>
      <w:r w:rsidR="00F017CE" w:rsidRPr="00507E7F">
        <w:rPr>
          <w:szCs w:val="22"/>
          <w:lang w:val="en-GB"/>
        </w:rPr>
        <w:t>ECC Decision</w:t>
      </w:r>
      <w:r w:rsidR="00141828" w:rsidRPr="00507E7F">
        <w:rPr>
          <w:szCs w:val="22"/>
          <w:lang w:val="en-GB"/>
        </w:rPr>
        <w:t xml:space="preserve"> </w:t>
      </w:r>
      <w:r w:rsidRPr="00507E7F">
        <w:rPr>
          <w:szCs w:val="22"/>
          <w:lang w:val="en-GB"/>
        </w:rPr>
        <w:t xml:space="preserve">(05)01 </w:t>
      </w:r>
      <w:r w:rsidR="002B42DF" w:rsidRPr="00507E7F">
        <w:rPr>
          <w:szCs w:val="22"/>
          <w:lang w:val="en-GB"/>
        </w:rPr>
        <w:fldChar w:fldCharType="begin"/>
      </w:r>
      <w:r w:rsidR="002B42DF" w:rsidRPr="00507E7F">
        <w:rPr>
          <w:szCs w:val="22"/>
          <w:lang w:val="en-GB"/>
        </w:rPr>
        <w:instrText xml:space="preserve"> REF _Ref524698081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[4]</w:t>
      </w:r>
      <w:r w:rsidR="002B42DF" w:rsidRPr="00507E7F">
        <w:rPr>
          <w:szCs w:val="22"/>
          <w:lang w:val="en-GB"/>
        </w:rPr>
        <w:fldChar w:fldCharType="end"/>
      </w:r>
      <w:r w:rsidR="002B42DF" w:rsidRPr="00507E7F">
        <w:rPr>
          <w:szCs w:val="22"/>
          <w:lang w:val="en-GB"/>
        </w:rPr>
        <w:t xml:space="preserve"> </w:t>
      </w:r>
      <w:r w:rsidRPr="00507E7F">
        <w:rPr>
          <w:szCs w:val="22"/>
          <w:lang w:val="en-GB"/>
        </w:rPr>
        <w:t>also designates the band 28.8365-28.9485 GHz for the use of uncoordinated FSS earth stations, without prejudice to the FS systems licensed in this band in some countries before 18 March 2005;</w:t>
      </w:r>
    </w:p>
    <w:p w14:paraId="2B67DA96" w14:textId="7A474BE4" w:rsidR="00967F61" w:rsidRPr="00507E7F" w:rsidRDefault="004563AC" w:rsidP="00B67DEA">
      <w:pPr>
        <w:numPr>
          <w:ilvl w:val="0"/>
          <w:numId w:val="17"/>
        </w:numPr>
        <w:spacing w:after="240"/>
        <w:ind w:left="567" w:hanging="567"/>
        <w:rPr>
          <w:szCs w:val="22"/>
          <w:lang w:val="en-GB"/>
        </w:rPr>
      </w:pPr>
      <w:r w:rsidRPr="00507E7F">
        <w:rPr>
          <w:szCs w:val="22"/>
          <w:lang w:val="en-GB"/>
        </w:rPr>
        <w:t>that the Office collects information regarding, in particular, the usage of FS applications</w:t>
      </w:r>
      <w:r w:rsidR="002B42DF" w:rsidRPr="00507E7F">
        <w:rPr>
          <w:szCs w:val="22"/>
          <w:lang w:val="en-GB"/>
        </w:rPr>
        <w:t xml:space="preserve"> </w:t>
      </w:r>
      <w:r w:rsidRPr="00507E7F">
        <w:rPr>
          <w:szCs w:val="22"/>
          <w:lang w:val="en-GB"/>
        </w:rPr>
        <w:t>in the CEPT in the frequency bands within the ranges 17.7-19.7 GHz and 27.5-29.1 GHz and that this information is publicly available in the ECO Frequency Information System (EFIS)</w:t>
      </w:r>
      <w:r w:rsidR="000245A8" w:rsidRPr="00507E7F">
        <w:rPr>
          <w:rStyle w:val="FootnoteReference"/>
          <w:szCs w:val="22"/>
          <w:lang w:val="en-GB"/>
        </w:rPr>
        <w:footnoteReference w:id="3"/>
      </w:r>
      <w:r w:rsidRPr="00507E7F">
        <w:rPr>
          <w:szCs w:val="22"/>
          <w:lang w:val="en-GB"/>
        </w:rPr>
        <w:t>;</w:t>
      </w:r>
    </w:p>
    <w:p w14:paraId="16AC2A44" w14:textId="50A0E3E8" w:rsidR="004563AC" w:rsidRPr="00507E7F" w:rsidRDefault="004563AC" w:rsidP="00923873">
      <w:pPr>
        <w:numPr>
          <w:ilvl w:val="0"/>
          <w:numId w:val="17"/>
        </w:numPr>
        <w:spacing w:after="240"/>
        <w:ind w:left="567" w:hanging="567"/>
        <w:rPr>
          <w:szCs w:val="22"/>
          <w:lang w:val="en-GB"/>
        </w:rPr>
      </w:pPr>
      <w:r w:rsidRPr="00507E7F">
        <w:rPr>
          <w:szCs w:val="22"/>
          <w:lang w:val="en-GB"/>
        </w:rPr>
        <w:t>that Report ITU-R S.2261</w:t>
      </w:r>
      <w:r w:rsidR="006B6F27">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_Ref524698069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[3]</w:t>
      </w:r>
      <w:r w:rsidR="002B42DF" w:rsidRPr="00507E7F">
        <w:rPr>
          <w:szCs w:val="22"/>
          <w:lang w:val="en-GB"/>
        </w:rPr>
        <w:fldChar w:fldCharType="end"/>
      </w:r>
      <w:r w:rsidR="00DC647B" w:rsidRPr="00507E7F">
        <w:rPr>
          <w:szCs w:val="22"/>
          <w:lang w:val="en-GB"/>
        </w:rPr>
        <w:t xml:space="preserve"> </w:t>
      </w:r>
      <w:r w:rsidRPr="00507E7F">
        <w:rPr>
          <w:szCs w:val="22"/>
          <w:lang w:val="en-GB"/>
        </w:rPr>
        <w:t xml:space="preserve">identifies the technical and operational requirements for the operation of ESOMPs </w:t>
      </w:r>
      <w:r w:rsidR="006B6F27">
        <w:rPr>
          <w:szCs w:val="22"/>
          <w:lang w:val="en-GB"/>
        </w:rPr>
        <w:t>with</w:t>
      </w:r>
      <w:r w:rsidR="006B6F27" w:rsidRPr="00507E7F">
        <w:rPr>
          <w:szCs w:val="22"/>
          <w:lang w:val="en-GB"/>
        </w:rPr>
        <w:t xml:space="preserve"> </w:t>
      </w:r>
      <w:r w:rsidRPr="00507E7F">
        <w:rPr>
          <w:szCs w:val="22"/>
          <w:lang w:val="en-GB"/>
        </w:rPr>
        <w:t xml:space="preserve">Ka-band </w:t>
      </w:r>
      <w:r w:rsidR="006B6F27">
        <w:rPr>
          <w:szCs w:val="22"/>
          <w:lang w:val="en-GB"/>
        </w:rPr>
        <w:t>N</w:t>
      </w:r>
      <w:r w:rsidR="00A328DA" w:rsidRPr="00507E7F">
        <w:rPr>
          <w:szCs w:val="22"/>
          <w:lang w:val="en-GB"/>
        </w:rPr>
        <w:t xml:space="preserve">GSO </w:t>
      </w:r>
      <w:r w:rsidRPr="00507E7F">
        <w:rPr>
          <w:szCs w:val="22"/>
          <w:lang w:val="en-GB"/>
        </w:rPr>
        <w:t xml:space="preserve">FSS </w:t>
      </w:r>
      <w:r w:rsidR="006B6F27">
        <w:rPr>
          <w:szCs w:val="22"/>
          <w:lang w:val="en-GB"/>
        </w:rPr>
        <w:t>systems</w:t>
      </w:r>
      <w:r w:rsidR="006B6F27" w:rsidRPr="00507E7F">
        <w:rPr>
          <w:szCs w:val="22"/>
          <w:lang w:val="en-GB"/>
        </w:rPr>
        <w:t xml:space="preserve"> </w:t>
      </w:r>
      <w:r w:rsidRPr="00507E7F">
        <w:rPr>
          <w:szCs w:val="22"/>
          <w:lang w:val="en-GB"/>
        </w:rPr>
        <w:t xml:space="preserve">and that ECC Report 217 </w:t>
      </w:r>
      <w:r w:rsidR="002B42DF" w:rsidRPr="00507E7F">
        <w:rPr>
          <w:szCs w:val="22"/>
          <w:lang w:val="en-GB"/>
        </w:rPr>
        <w:fldChar w:fldCharType="begin"/>
      </w:r>
      <w:r w:rsidR="002B42DF" w:rsidRPr="00507E7F">
        <w:rPr>
          <w:szCs w:val="22"/>
          <w:lang w:val="en-GB"/>
        </w:rPr>
        <w:instrText xml:space="preserve"> REF _Ref524698054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[2]</w:t>
      </w:r>
      <w:r w:rsidR="002B42DF" w:rsidRPr="00507E7F">
        <w:rPr>
          <w:szCs w:val="22"/>
          <w:lang w:val="en-GB"/>
        </w:rPr>
        <w:fldChar w:fldCharType="end"/>
      </w:r>
      <w:r w:rsidR="002B42DF" w:rsidRPr="00507E7F">
        <w:rPr>
          <w:szCs w:val="22"/>
          <w:lang w:val="en-GB"/>
        </w:rPr>
        <w:t xml:space="preserve"> </w:t>
      </w:r>
      <w:r w:rsidRPr="00507E7F">
        <w:rPr>
          <w:szCs w:val="22"/>
          <w:lang w:val="en-GB"/>
        </w:rPr>
        <w:t>identifies certain technical conditions for land</w:t>
      </w:r>
      <w:r w:rsidR="002E017F" w:rsidRPr="00507E7F">
        <w:rPr>
          <w:szCs w:val="22"/>
          <w:lang w:val="en-GB"/>
        </w:rPr>
        <w:t>,</w:t>
      </w:r>
      <w:r w:rsidR="006B6F27">
        <w:rPr>
          <w:szCs w:val="22"/>
          <w:lang w:val="en-GB"/>
        </w:rPr>
        <w:t xml:space="preserve"> </w:t>
      </w:r>
      <w:r w:rsidRPr="00507E7F">
        <w:rPr>
          <w:szCs w:val="22"/>
          <w:lang w:val="en-GB"/>
        </w:rPr>
        <w:t>maritime</w:t>
      </w:r>
      <w:r w:rsidR="002E017F" w:rsidRPr="00507E7F">
        <w:rPr>
          <w:szCs w:val="22"/>
          <w:lang w:val="en-GB"/>
        </w:rPr>
        <w:t xml:space="preserve"> and aeronautical</w:t>
      </w:r>
      <w:r w:rsidRPr="00507E7F">
        <w:rPr>
          <w:szCs w:val="22"/>
          <w:lang w:val="en-GB"/>
        </w:rPr>
        <w:t xml:space="preserve"> ESOMPs to ensure that they do not cause unacceptable interference to other services;</w:t>
      </w:r>
    </w:p>
    <w:p w14:paraId="65DE3B3B" w14:textId="47542455"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w:t>
      </w:r>
      <w:r w:rsidR="00F017CE" w:rsidRPr="00507E7F">
        <w:rPr>
          <w:szCs w:val="22"/>
          <w:lang w:val="en-GB"/>
        </w:rPr>
        <w:t>ECC Decision</w:t>
      </w:r>
      <w:r w:rsidR="00141828" w:rsidRPr="00507E7F">
        <w:rPr>
          <w:szCs w:val="22"/>
          <w:lang w:val="en-GB"/>
        </w:rPr>
        <w:t xml:space="preserve"> </w:t>
      </w:r>
      <w:r w:rsidRPr="00507E7F">
        <w:rPr>
          <w:szCs w:val="22"/>
          <w:lang w:val="en-GB"/>
        </w:rPr>
        <w:t>(05)08</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_Ref408995226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[5]</w:t>
      </w:r>
      <w:r w:rsidR="002B42DF" w:rsidRPr="00507E7F">
        <w:rPr>
          <w:szCs w:val="22"/>
          <w:lang w:val="en-GB"/>
        </w:rPr>
        <w:fldChar w:fldCharType="end"/>
      </w:r>
      <w:r w:rsidRPr="00507E7F">
        <w:rPr>
          <w:szCs w:val="22"/>
          <w:lang w:val="en-GB"/>
        </w:rPr>
        <w:t xml:space="preserve"> decides that certain frequency bands in the range 17.3-30.0 GHz are available for high density applications in the FSS, including uncoordinated FSS earth stations;</w:t>
      </w:r>
    </w:p>
    <w:p w14:paraId="1993400B" w14:textId="053EF428"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w:t>
      </w:r>
      <w:r w:rsidR="00F017CE" w:rsidRPr="00507E7F">
        <w:rPr>
          <w:szCs w:val="22"/>
          <w:lang w:val="en-GB"/>
        </w:rPr>
        <w:t>ECC Decision</w:t>
      </w:r>
      <w:r w:rsidR="00141828" w:rsidRPr="00507E7F">
        <w:rPr>
          <w:szCs w:val="22"/>
          <w:lang w:val="en-GB"/>
        </w:rPr>
        <w:t xml:space="preserve"> </w:t>
      </w:r>
      <w:r w:rsidRPr="00507E7F">
        <w:rPr>
          <w:szCs w:val="22"/>
          <w:lang w:val="en-GB"/>
        </w:rPr>
        <w:t xml:space="preserve">(05)10 </w:t>
      </w:r>
      <w:r w:rsidR="00DE1D8E" w:rsidRPr="00507E7F">
        <w:rPr>
          <w:szCs w:val="22"/>
          <w:lang w:val="en-GB"/>
        </w:rPr>
        <w:fldChar w:fldCharType="begin"/>
      </w:r>
      <w:r w:rsidR="00DE1D8E" w:rsidRPr="00507E7F">
        <w:rPr>
          <w:szCs w:val="22"/>
          <w:lang w:val="en-GB"/>
        </w:rPr>
        <w:instrText xml:space="preserve"> REF _Ref408995521 \n \h </w:instrText>
      </w:r>
      <w:r w:rsidR="00FD05E6" w:rsidRPr="00507E7F">
        <w:rPr>
          <w:szCs w:val="22"/>
          <w:lang w:val="en-GB"/>
        </w:rPr>
        <w:instrText xml:space="preserve"> \* MERGEFORMAT </w:instrText>
      </w:r>
      <w:r w:rsidR="00DE1D8E" w:rsidRPr="00507E7F">
        <w:rPr>
          <w:szCs w:val="22"/>
          <w:lang w:val="en-GB"/>
        </w:rPr>
      </w:r>
      <w:r w:rsidR="00DE1D8E" w:rsidRPr="00507E7F">
        <w:rPr>
          <w:szCs w:val="22"/>
          <w:lang w:val="en-GB"/>
        </w:rPr>
        <w:fldChar w:fldCharType="separate"/>
      </w:r>
      <w:r w:rsidR="006C27EF" w:rsidRPr="00507E7F">
        <w:rPr>
          <w:szCs w:val="22"/>
          <w:lang w:val="en-GB"/>
        </w:rPr>
        <w:t>[13]</w:t>
      </w:r>
      <w:r w:rsidR="00DE1D8E" w:rsidRPr="00507E7F">
        <w:rPr>
          <w:szCs w:val="22"/>
          <w:lang w:val="en-GB"/>
        </w:rPr>
        <w:fldChar w:fldCharType="end"/>
      </w:r>
      <w:r w:rsidR="00DE1D8E" w:rsidRPr="00507E7F">
        <w:rPr>
          <w:szCs w:val="22"/>
          <w:lang w:val="en-GB"/>
        </w:rPr>
        <w:t xml:space="preserve"> </w:t>
      </w:r>
      <w:r w:rsidRPr="00507E7F">
        <w:rPr>
          <w:szCs w:val="22"/>
          <w:lang w:val="en-GB"/>
        </w:rPr>
        <w:t xml:space="preserve">and </w:t>
      </w:r>
      <w:r w:rsidR="00F017CE" w:rsidRPr="00507E7F">
        <w:rPr>
          <w:szCs w:val="22"/>
          <w:lang w:val="en-GB"/>
        </w:rPr>
        <w:t>ECC Decision</w:t>
      </w:r>
      <w:r w:rsidR="00141828" w:rsidRPr="00507E7F">
        <w:rPr>
          <w:szCs w:val="22"/>
          <w:lang w:val="en-GB"/>
        </w:rPr>
        <w:t xml:space="preserve"> </w:t>
      </w:r>
      <w:r w:rsidRPr="00507E7F">
        <w:rPr>
          <w:szCs w:val="22"/>
          <w:lang w:val="en-GB"/>
        </w:rPr>
        <w:t>(05)11</w:t>
      </w:r>
      <w:r w:rsidR="0069615A" w:rsidRPr="00507E7F">
        <w:rPr>
          <w:szCs w:val="22"/>
          <w:lang w:val="en-GB"/>
        </w:rPr>
        <w:t xml:space="preserve"> </w:t>
      </w:r>
      <w:r w:rsidR="00DE1D8E" w:rsidRPr="00507E7F">
        <w:rPr>
          <w:szCs w:val="22"/>
          <w:lang w:val="en-GB"/>
        </w:rPr>
        <w:fldChar w:fldCharType="begin"/>
      </w:r>
      <w:r w:rsidR="00DE1D8E" w:rsidRPr="00507E7F">
        <w:rPr>
          <w:szCs w:val="22"/>
          <w:lang w:val="en-GB"/>
        </w:rPr>
        <w:instrText xml:space="preserve"> REF _Ref408995529 \n \h </w:instrText>
      </w:r>
      <w:r w:rsidR="00FD05E6" w:rsidRPr="00507E7F">
        <w:rPr>
          <w:szCs w:val="22"/>
          <w:lang w:val="en-GB"/>
        </w:rPr>
        <w:instrText xml:space="preserve"> \* MERGEFORMAT </w:instrText>
      </w:r>
      <w:r w:rsidR="00DE1D8E" w:rsidRPr="00507E7F">
        <w:rPr>
          <w:szCs w:val="22"/>
          <w:lang w:val="en-GB"/>
        </w:rPr>
      </w:r>
      <w:r w:rsidR="00DE1D8E" w:rsidRPr="00507E7F">
        <w:rPr>
          <w:szCs w:val="22"/>
          <w:lang w:val="en-GB"/>
        </w:rPr>
        <w:fldChar w:fldCharType="separate"/>
      </w:r>
      <w:r w:rsidR="006C27EF" w:rsidRPr="00507E7F">
        <w:rPr>
          <w:szCs w:val="22"/>
          <w:lang w:val="en-GB"/>
        </w:rPr>
        <w:t>[14]</w:t>
      </w:r>
      <w:r w:rsidR="00DE1D8E" w:rsidRPr="00507E7F">
        <w:rPr>
          <w:szCs w:val="22"/>
          <w:lang w:val="en-GB"/>
        </w:rPr>
        <w:fldChar w:fldCharType="end"/>
      </w:r>
      <w:r w:rsidRPr="00507E7F">
        <w:rPr>
          <w:szCs w:val="22"/>
          <w:lang w:val="en-GB"/>
        </w:rPr>
        <w:t xml:space="preserve"> have established regulatory requirements allowing for the free circulation and use of aircraft earth stations and earth stations on vessels operating the GSO networks in the 14.0-14.5 GHz band;</w:t>
      </w:r>
    </w:p>
    <w:p w14:paraId="410CB845" w14:textId="5D9E67D6" w:rsidR="004563AC" w:rsidRPr="00507E7F" w:rsidRDefault="004563AC" w:rsidP="00923873">
      <w:pPr>
        <w:numPr>
          <w:ilvl w:val="0"/>
          <w:numId w:val="17"/>
        </w:numPr>
        <w:spacing w:after="240"/>
        <w:ind w:left="567" w:hanging="567"/>
        <w:rPr>
          <w:lang w:val="en-GB"/>
        </w:rPr>
      </w:pPr>
      <w:r w:rsidRPr="00507E7F">
        <w:rPr>
          <w:lang w:val="en-GB"/>
        </w:rPr>
        <w:lastRenderedPageBreak/>
        <w:t xml:space="preserve">that </w:t>
      </w:r>
      <w:r w:rsidR="00F017CE" w:rsidRPr="00507E7F">
        <w:rPr>
          <w:lang w:val="en-GB"/>
        </w:rPr>
        <w:t>ECC Decision</w:t>
      </w:r>
      <w:r w:rsidR="00141828" w:rsidRPr="00507E7F">
        <w:rPr>
          <w:lang w:val="en-GB"/>
        </w:rPr>
        <w:t xml:space="preserve"> </w:t>
      </w:r>
      <w:r w:rsidRPr="00507E7F">
        <w:rPr>
          <w:lang w:val="en-GB"/>
        </w:rPr>
        <w:t xml:space="preserve">(13)01 </w:t>
      </w:r>
      <w:r w:rsidR="002B42DF" w:rsidRPr="00507E7F">
        <w:rPr>
          <w:lang w:val="en-GB"/>
        </w:rPr>
        <w:fldChar w:fldCharType="begin"/>
      </w:r>
      <w:r w:rsidR="002B42DF" w:rsidRPr="00507E7F">
        <w:rPr>
          <w:lang w:val="en-GB"/>
        </w:rPr>
        <w:instrText xml:space="preserve"> REF _Ref524698334 \r \h </w:instrText>
      </w:r>
      <w:r w:rsidR="00FD05E6" w:rsidRPr="00507E7F">
        <w:rPr>
          <w:lang w:val="en-GB"/>
        </w:rPr>
        <w:instrText xml:space="preserve"> \* MERGEFORMAT </w:instrText>
      </w:r>
      <w:r w:rsidR="002B42DF" w:rsidRPr="00507E7F">
        <w:rPr>
          <w:lang w:val="en-GB"/>
        </w:rPr>
      </w:r>
      <w:r w:rsidR="002B42DF" w:rsidRPr="00507E7F">
        <w:rPr>
          <w:lang w:val="en-GB"/>
        </w:rPr>
        <w:fldChar w:fldCharType="separate"/>
      </w:r>
      <w:r w:rsidR="006C27EF" w:rsidRPr="00507E7F">
        <w:rPr>
          <w:lang w:val="en-GB"/>
        </w:rPr>
        <w:t>[8]</w:t>
      </w:r>
      <w:r w:rsidR="002B42DF" w:rsidRPr="00507E7F">
        <w:rPr>
          <w:lang w:val="en-GB"/>
        </w:rPr>
        <w:fldChar w:fldCharType="end"/>
      </w:r>
      <w:r w:rsidR="002B42DF" w:rsidRPr="00507E7F">
        <w:rPr>
          <w:lang w:val="en-GB"/>
        </w:rPr>
        <w:t xml:space="preserve"> has </w:t>
      </w:r>
      <w:r w:rsidRPr="00507E7F">
        <w:rPr>
          <w:lang w:val="en-GB"/>
        </w:rPr>
        <w:t>been developed to provide harmonised use, free circulation and exemption from individual licensing of Ka</w:t>
      </w:r>
      <w:r w:rsidR="00323FD5" w:rsidRPr="00507E7F">
        <w:rPr>
          <w:lang w:val="en-GB"/>
        </w:rPr>
        <w:t>-</w:t>
      </w:r>
      <w:r w:rsidRPr="00507E7F">
        <w:rPr>
          <w:lang w:val="en-GB"/>
        </w:rPr>
        <w:t>band GSO ESOMPs;</w:t>
      </w:r>
    </w:p>
    <w:p w14:paraId="2005F37A" w14:textId="21025310" w:rsidR="004563AC" w:rsidRPr="00507E7F" w:rsidRDefault="004563AC" w:rsidP="00923873">
      <w:pPr>
        <w:numPr>
          <w:ilvl w:val="0"/>
          <w:numId w:val="17"/>
        </w:numPr>
        <w:spacing w:after="240"/>
        <w:ind w:left="567" w:hanging="567"/>
        <w:rPr>
          <w:szCs w:val="22"/>
          <w:lang w:val="en-GB"/>
        </w:rPr>
      </w:pPr>
      <w:r w:rsidRPr="00507E7F">
        <w:rPr>
          <w:szCs w:val="22"/>
          <w:lang w:val="en-GB"/>
        </w:rPr>
        <w:t>that some of the technical characteristics of the ESOMP</w:t>
      </w:r>
      <w:r w:rsidR="00716757" w:rsidRPr="00507E7F">
        <w:rPr>
          <w:szCs w:val="22"/>
          <w:lang w:val="en-GB"/>
        </w:rPr>
        <w:t>s</w:t>
      </w:r>
      <w:r w:rsidRPr="00507E7F">
        <w:rPr>
          <w:szCs w:val="22"/>
          <w:lang w:val="en-GB"/>
        </w:rPr>
        <w:t xml:space="preserve"> systems are influenced by the technical co-ordination conditions of the relevant satellite systems as detailed in coordination agreements reached between concerned administrations, and also specific conditions on the use of the frequency bands as stipulated in the ITU RR</w:t>
      </w:r>
      <w:r w:rsidR="002B42DF" w:rsidRPr="00507E7F">
        <w:rPr>
          <w:szCs w:val="22"/>
          <w:lang w:val="en-GB"/>
        </w:rPr>
        <w:t xml:space="preserve"> </w:t>
      </w:r>
      <w:r w:rsidR="002B42DF" w:rsidRPr="00507E7F">
        <w:rPr>
          <w:szCs w:val="22"/>
          <w:lang w:val="en-GB"/>
        </w:rPr>
        <w:fldChar w:fldCharType="begin"/>
      </w:r>
      <w:r w:rsidR="002B42DF" w:rsidRPr="00507E7F">
        <w:rPr>
          <w:szCs w:val="22"/>
          <w:lang w:val="en-GB"/>
        </w:rPr>
        <w:instrText xml:space="preserve"> REF _Ref524698243 \r \h </w:instrText>
      </w:r>
      <w:r w:rsidR="00FD05E6" w:rsidRPr="00507E7F">
        <w:rPr>
          <w:szCs w:val="22"/>
          <w:lang w:val="en-GB"/>
        </w:rPr>
        <w:instrText xml:space="preserve"> \* MERGEFORMAT </w:instrText>
      </w:r>
      <w:r w:rsidR="002B42DF" w:rsidRPr="00507E7F">
        <w:rPr>
          <w:szCs w:val="22"/>
          <w:lang w:val="en-GB"/>
        </w:rPr>
      </w:r>
      <w:r w:rsidR="002B42DF" w:rsidRPr="00507E7F">
        <w:rPr>
          <w:szCs w:val="22"/>
          <w:lang w:val="en-GB"/>
        </w:rPr>
        <w:fldChar w:fldCharType="separate"/>
      </w:r>
      <w:r w:rsidR="006C27EF" w:rsidRPr="00507E7F">
        <w:rPr>
          <w:szCs w:val="22"/>
          <w:lang w:val="en-GB"/>
        </w:rPr>
        <w:t>[12]</w:t>
      </w:r>
      <w:r w:rsidR="002B42DF" w:rsidRPr="00507E7F">
        <w:rPr>
          <w:szCs w:val="22"/>
          <w:lang w:val="en-GB"/>
        </w:rPr>
        <w:fldChar w:fldCharType="end"/>
      </w:r>
      <w:r w:rsidRPr="00507E7F">
        <w:rPr>
          <w:szCs w:val="22"/>
          <w:lang w:val="en-GB"/>
        </w:rPr>
        <w:t>;</w:t>
      </w:r>
    </w:p>
    <w:p w14:paraId="1F5A62F1" w14:textId="2DBB3900" w:rsidR="004563AC" w:rsidRPr="00507E7F" w:rsidRDefault="004563AC" w:rsidP="00923873">
      <w:pPr>
        <w:numPr>
          <w:ilvl w:val="0"/>
          <w:numId w:val="17"/>
        </w:numPr>
        <w:spacing w:after="240"/>
        <w:ind w:left="567" w:hanging="567"/>
        <w:rPr>
          <w:szCs w:val="22"/>
          <w:lang w:val="en-GB"/>
        </w:rPr>
      </w:pPr>
      <w:r w:rsidRPr="00507E7F">
        <w:rPr>
          <w:szCs w:val="22"/>
          <w:lang w:val="en-GB"/>
        </w:rPr>
        <w:t xml:space="preserve">that NGSO systems in the band 28.6-29.1 GHz, within which ESOMPs operate, </w:t>
      </w:r>
      <w:r w:rsidRPr="00507E7F">
        <w:rPr>
          <w:szCs w:val="20"/>
          <w:lang w:val="en-GB"/>
        </w:rPr>
        <w:t>are subject to the application of the provisions of RR 9.11A</w:t>
      </w:r>
      <w:r w:rsidR="002B42DF" w:rsidRPr="00507E7F">
        <w:rPr>
          <w:szCs w:val="20"/>
          <w:lang w:val="en-GB"/>
        </w:rPr>
        <w:t xml:space="preserve"> </w:t>
      </w:r>
      <w:r w:rsidR="002B42DF" w:rsidRPr="00507E7F">
        <w:rPr>
          <w:szCs w:val="20"/>
          <w:lang w:val="en-GB"/>
        </w:rPr>
        <w:fldChar w:fldCharType="begin"/>
      </w:r>
      <w:r w:rsidR="002B42DF" w:rsidRPr="00507E7F">
        <w:rPr>
          <w:szCs w:val="20"/>
          <w:lang w:val="en-GB"/>
        </w:rPr>
        <w:instrText xml:space="preserve"> REF _Ref524698243 \r \h </w:instrText>
      </w:r>
      <w:r w:rsidR="00FD05E6" w:rsidRPr="00507E7F">
        <w:rPr>
          <w:szCs w:val="20"/>
          <w:lang w:val="en-GB"/>
        </w:rPr>
        <w:instrText xml:space="preserve"> \* MERGEFORMAT </w:instrText>
      </w:r>
      <w:r w:rsidR="002B42DF" w:rsidRPr="00507E7F">
        <w:rPr>
          <w:szCs w:val="20"/>
          <w:lang w:val="en-GB"/>
        </w:rPr>
      </w:r>
      <w:r w:rsidR="002B42DF" w:rsidRPr="00507E7F">
        <w:rPr>
          <w:szCs w:val="20"/>
          <w:lang w:val="en-GB"/>
        </w:rPr>
        <w:fldChar w:fldCharType="separate"/>
      </w:r>
      <w:r w:rsidR="006C27EF" w:rsidRPr="00507E7F">
        <w:rPr>
          <w:szCs w:val="20"/>
          <w:lang w:val="en-GB"/>
        </w:rPr>
        <w:t>[12]</w:t>
      </w:r>
      <w:r w:rsidR="002B42DF" w:rsidRPr="00507E7F">
        <w:rPr>
          <w:szCs w:val="20"/>
          <w:lang w:val="en-GB"/>
        </w:rPr>
        <w:fldChar w:fldCharType="end"/>
      </w:r>
      <w:r w:rsidRPr="00507E7F">
        <w:rPr>
          <w:szCs w:val="20"/>
          <w:lang w:val="en-GB"/>
        </w:rPr>
        <w:t xml:space="preserve">, and therefore subject to coordination with current and future </w:t>
      </w:r>
      <w:r w:rsidR="006B6F27">
        <w:rPr>
          <w:szCs w:val="20"/>
          <w:lang w:val="en-GB"/>
        </w:rPr>
        <w:t>N</w:t>
      </w:r>
      <w:r w:rsidRPr="00507E7F">
        <w:rPr>
          <w:szCs w:val="20"/>
          <w:lang w:val="en-GB"/>
        </w:rPr>
        <w:t xml:space="preserve">GSO or GSO FSS </w:t>
      </w:r>
      <w:r w:rsidR="006B6F27">
        <w:rPr>
          <w:szCs w:val="20"/>
          <w:lang w:val="en-GB"/>
        </w:rPr>
        <w:t>systems/</w:t>
      </w:r>
      <w:r w:rsidRPr="00507E7F">
        <w:rPr>
          <w:szCs w:val="20"/>
          <w:lang w:val="en-GB"/>
        </w:rPr>
        <w:t>networks</w:t>
      </w:r>
      <w:r w:rsidR="000245A8" w:rsidRPr="00507E7F">
        <w:rPr>
          <w:szCs w:val="20"/>
          <w:lang w:val="en-GB"/>
        </w:rPr>
        <w:t>;</w:t>
      </w:r>
    </w:p>
    <w:p w14:paraId="6992864C" w14:textId="7BDE2568" w:rsidR="004563AC" w:rsidRPr="00507E7F" w:rsidRDefault="004563AC" w:rsidP="00923873">
      <w:pPr>
        <w:numPr>
          <w:ilvl w:val="0"/>
          <w:numId w:val="17"/>
        </w:numPr>
        <w:spacing w:after="240"/>
        <w:ind w:left="567" w:hanging="567"/>
        <w:rPr>
          <w:szCs w:val="22"/>
          <w:lang w:val="en-GB"/>
        </w:rPr>
      </w:pPr>
      <w:r w:rsidRPr="00507E7F">
        <w:rPr>
          <w:szCs w:val="22"/>
          <w:lang w:val="en-GB"/>
        </w:rPr>
        <w:t>that the use of ESOMPs on ships</w:t>
      </w:r>
      <w:r w:rsidR="00967F61" w:rsidRPr="00507E7F">
        <w:rPr>
          <w:szCs w:val="22"/>
          <w:lang w:val="en-GB"/>
        </w:rPr>
        <w:t xml:space="preserve"> or</w:t>
      </w:r>
      <w:r w:rsidR="00DD5ABE" w:rsidRPr="00507E7F">
        <w:rPr>
          <w:szCs w:val="22"/>
          <w:lang w:val="en-GB"/>
        </w:rPr>
        <w:t xml:space="preserve"> </w:t>
      </w:r>
      <w:r w:rsidR="002E017F" w:rsidRPr="00507E7F">
        <w:rPr>
          <w:szCs w:val="22"/>
          <w:lang w:val="en-GB"/>
        </w:rPr>
        <w:t>aircraft</w:t>
      </w:r>
      <w:r w:rsidRPr="00507E7F">
        <w:rPr>
          <w:szCs w:val="22"/>
          <w:lang w:val="en-GB"/>
        </w:rPr>
        <w:t xml:space="preserve"> requires authorisation by the relevant national Administration of the country where the ship</w:t>
      </w:r>
      <w:r w:rsidR="00DD5ABE" w:rsidRPr="00507E7F">
        <w:rPr>
          <w:szCs w:val="22"/>
          <w:lang w:val="en-GB"/>
        </w:rPr>
        <w:t xml:space="preserve"> </w:t>
      </w:r>
      <w:r w:rsidR="00967F61" w:rsidRPr="00507E7F">
        <w:rPr>
          <w:szCs w:val="22"/>
          <w:lang w:val="en-GB"/>
        </w:rPr>
        <w:t xml:space="preserve">or </w:t>
      </w:r>
      <w:r w:rsidR="002E017F" w:rsidRPr="00507E7F">
        <w:rPr>
          <w:szCs w:val="22"/>
          <w:lang w:val="en-GB"/>
        </w:rPr>
        <w:t>aircraft</w:t>
      </w:r>
      <w:r w:rsidRPr="00507E7F">
        <w:rPr>
          <w:szCs w:val="22"/>
          <w:lang w:val="en-GB"/>
        </w:rPr>
        <w:t xml:space="preserve"> is registered;</w:t>
      </w:r>
    </w:p>
    <w:p w14:paraId="35370E24" w14:textId="144E1081" w:rsidR="004563AC" w:rsidRPr="00507E7F" w:rsidRDefault="004563AC" w:rsidP="00923873">
      <w:pPr>
        <w:numPr>
          <w:ilvl w:val="0"/>
          <w:numId w:val="17"/>
        </w:numPr>
        <w:spacing w:after="240"/>
        <w:ind w:left="567" w:hanging="567"/>
        <w:rPr>
          <w:szCs w:val="22"/>
          <w:lang w:val="en-GB"/>
        </w:rPr>
      </w:pPr>
      <w:r w:rsidRPr="00507E7F">
        <w:rPr>
          <w:szCs w:val="22"/>
          <w:lang w:val="en-GB"/>
        </w:rPr>
        <w:t>that some administrations may require a frequency authorisation due to specific national requirements, while other administrations may require some form of notification, exemption, or mutual recognition of the licence issued in the country of registration of the ESOMP</w:t>
      </w:r>
      <w:r w:rsidR="00716757" w:rsidRPr="00507E7F">
        <w:rPr>
          <w:szCs w:val="22"/>
          <w:lang w:val="en-GB"/>
        </w:rPr>
        <w:t>s</w:t>
      </w:r>
      <w:r w:rsidRPr="00507E7F">
        <w:rPr>
          <w:szCs w:val="22"/>
          <w:lang w:val="en-GB"/>
        </w:rPr>
        <w:t>;</w:t>
      </w:r>
    </w:p>
    <w:p w14:paraId="1C265093" w14:textId="11DBE9E0" w:rsidR="004563AC" w:rsidRPr="00507E7F" w:rsidRDefault="004563AC" w:rsidP="00923873">
      <w:pPr>
        <w:numPr>
          <w:ilvl w:val="0"/>
          <w:numId w:val="17"/>
        </w:numPr>
        <w:spacing w:after="240"/>
        <w:ind w:left="567" w:hanging="567"/>
        <w:rPr>
          <w:szCs w:val="22"/>
          <w:lang w:val="en-GB"/>
        </w:rPr>
      </w:pPr>
      <w:r w:rsidRPr="00507E7F">
        <w:rPr>
          <w:szCs w:val="22"/>
          <w:lang w:val="en-GB"/>
        </w:rPr>
        <w:t>that when operating in the national territory of a CEPT Administration, relevant national regulatory requirements may apply to ESOMPs;</w:t>
      </w:r>
    </w:p>
    <w:p w14:paraId="04EDD48C" w14:textId="3CA7F504" w:rsidR="004563AC" w:rsidRPr="00507E7F" w:rsidRDefault="004563AC" w:rsidP="00923873">
      <w:pPr>
        <w:numPr>
          <w:ilvl w:val="0"/>
          <w:numId w:val="17"/>
        </w:numPr>
        <w:spacing w:after="240"/>
        <w:ind w:left="567" w:hanging="567"/>
        <w:rPr>
          <w:lang w:val="en-GB"/>
        </w:rPr>
      </w:pPr>
      <w:r w:rsidRPr="00507E7F">
        <w:rPr>
          <w:lang w:val="en-GB"/>
        </w:rPr>
        <w:t>that in EU/EFTA countries the radio equipment that is under the scope of this Decision shall comply with the RE Directive</w:t>
      </w:r>
      <w:r w:rsidR="002B42DF" w:rsidRPr="00507E7F">
        <w:rPr>
          <w:lang w:val="en-GB"/>
        </w:rPr>
        <w:t xml:space="preserve"> </w:t>
      </w:r>
      <w:r w:rsidR="002B42DF" w:rsidRPr="00507E7F">
        <w:rPr>
          <w:lang w:val="en-GB"/>
        </w:rPr>
        <w:fldChar w:fldCharType="begin"/>
      </w:r>
      <w:r w:rsidR="002B42DF" w:rsidRPr="00507E7F">
        <w:rPr>
          <w:lang w:val="en-GB"/>
        </w:rPr>
        <w:instrText xml:space="preserve"> REF _Ref524696809 \r \h </w:instrText>
      </w:r>
      <w:r w:rsidR="00FD05E6" w:rsidRPr="00507E7F">
        <w:rPr>
          <w:lang w:val="en-GB"/>
        </w:rPr>
        <w:instrText xml:space="preserve"> \* MERGEFORMAT </w:instrText>
      </w:r>
      <w:r w:rsidR="002B42DF" w:rsidRPr="00507E7F">
        <w:rPr>
          <w:lang w:val="en-GB"/>
        </w:rPr>
      </w:r>
      <w:r w:rsidR="002B42DF" w:rsidRPr="00507E7F">
        <w:rPr>
          <w:lang w:val="en-GB"/>
        </w:rPr>
        <w:fldChar w:fldCharType="separate"/>
      </w:r>
      <w:r w:rsidR="006C27EF" w:rsidRPr="00507E7F">
        <w:rPr>
          <w:lang w:val="en-GB"/>
        </w:rPr>
        <w:t>[15]</w:t>
      </w:r>
      <w:r w:rsidR="002B42DF" w:rsidRPr="00507E7F">
        <w:rPr>
          <w:lang w:val="en-GB"/>
        </w:rPr>
        <w:fldChar w:fldCharType="end"/>
      </w:r>
      <w:r w:rsidRPr="00507E7F">
        <w:rPr>
          <w:lang w:val="en-GB"/>
        </w:rPr>
        <w:t>. Conformity with the essential requirements of the RE Directive may be demonstrated by compliance with the applicable harmonised European standard(s) or by using the other conformity assessment procedures set out in the RE Directive</w:t>
      </w:r>
      <w:r w:rsidR="000245A8" w:rsidRPr="00507E7F">
        <w:rPr>
          <w:lang w:val="en-GB"/>
        </w:rPr>
        <w:t>;</w:t>
      </w:r>
    </w:p>
    <w:p w14:paraId="32FFBABA" w14:textId="77777777" w:rsidR="00FC755E" w:rsidRPr="00507E7F" w:rsidRDefault="004563AC" w:rsidP="00FD05E6">
      <w:pPr>
        <w:pStyle w:val="ListParagraph"/>
        <w:numPr>
          <w:ilvl w:val="0"/>
          <w:numId w:val="17"/>
        </w:numPr>
        <w:tabs>
          <w:tab w:val="left" w:pos="567"/>
        </w:tabs>
        <w:spacing w:after="240"/>
        <w:ind w:left="567" w:hanging="567"/>
        <w:contextualSpacing w:val="0"/>
        <w:rPr>
          <w:lang w:val="en-GB"/>
        </w:rPr>
      </w:pPr>
      <w:r w:rsidRPr="00507E7F">
        <w:rPr>
          <w:lang w:val="en-GB"/>
        </w:rPr>
        <w:t xml:space="preserve">that ETSI has </w:t>
      </w:r>
      <w:r w:rsidR="00CE7E0B" w:rsidRPr="00507E7F">
        <w:rPr>
          <w:lang w:val="en-GB"/>
        </w:rPr>
        <w:t>developed</w:t>
      </w:r>
      <w:r w:rsidRPr="00507E7F">
        <w:rPr>
          <w:lang w:val="en-GB"/>
        </w:rPr>
        <w:t xml:space="preserve"> the </w:t>
      </w:r>
      <w:r w:rsidR="00272300" w:rsidRPr="00507E7F">
        <w:rPr>
          <w:lang w:val="en-GB"/>
        </w:rPr>
        <w:t xml:space="preserve">Harmonised European Standard </w:t>
      </w:r>
      <w:r w:rsidRPr="00507E7F">
        <w:rPr>
          <w:lang w:val="en-GB"/>
        </w:rPr>
        <w:t>EN 303 979</w:t>
      </w:r>
      <w:r w:rsidR="00FC6D69" w:rsidRPr="00507E7F">
        <w:rPr>
          <w:lang w:val="en-GB"/>
        </w:rPr>
        <w:t xml:space="preserve"> </w:t>
      </w:r>
      <w:r w:rsidR="00EA1A79" w:rsidRPr="00507E7F">
        <w:rPr>
          <w:lang w:val="en-GB"/>
        </w:rPr>
        <w:fldChar w:fldCharType="begin"/>
      </w:r>
      <w:r w:rsidR="00EA1A79" w:rsidRPr="00507E7F">
        <w:rPr>
          <w:lang w:val="en-GB"/>
        </w:rPr>
        <w:instrText xml:space="preserve"> REF _Ref409013634 \r \h  \* MERGEFORMAT </w:instrText>
      </w:r>
      <w:r w:rsidR="00EA1A79" w:rsidRPr="00507E7F">
        <w:rPr>
          <w:lang w:val="en-GB"/>
        </w:rPr>
      </w:r>
      <w:r w:rsidR="00EA1A79" w:rsidRPr="00507E7F">
        <w:rPr>
          <w:lang w:val="en-GB"/>
        </w:rPr>
        <w:fldChar w:fldCharType="separate"/>
      </w:r>
      <w:r w:rsidR="006C27EF" w:rsidRPr="00507E7F">
        <w:rPr>
          <w:lang w:val="en-GB"/>
        </w:rPr>
        <w:t>[16]</w:t>
      </w:r>
      <w:r w:rsidR="00EA1A79" w:rsidRPr="00507E7F">
        <w:rPr>
          <w:lang w:val="en-GB"/>
        </w:rPr>
        <w:fldChar w:fldCharType="end"/>
      </w:r>
      <w:r w:rsidR="00EA1A79" w:rsidRPr="00507E7F">
        <w:rPr>
          <w:lang w:val="en-GB"/>
        </w:rPr>
        <w:t xml:space="preserve"> </w:t>
      </w:r>
      <w:r w:rsidRPr="00507E7F">
        <w:rPr>
          <w:lang w:val="en-GB"/>
        </w:rPr>
        <w:t>for ESOMPs</w:t>
      </w:r>
      <w:r w:rsidR="00E65E22" w:rsidRPr="00507E7F">
        <w:rPr>
          <w:lang w:val="en-GB"/>
        </w:rPr>
        <w:t>;</w:t>
      </w:r>
    </w:p>
    <w:p w14:paraId="17AB506F" w14:textId="77777777" w:rsidR="00E65E22" w:rsidRPr="00507E7F" w:rsidRDefault="00FC755E" w:rsidP="00923873">
      <w:pPr>
        <w:pStyle w:val="ECCParagraph"/>
        <w:numPr>
          <w:ilvl w:val="0"/>
          <w:numId w:val="17"/>
        </w:numPr>
        <w:ind w:left="567" w:hanging="567"/>
        <w:jc w:val="left"/>
      </w:pPr>
      <w:r w:rsidRPr="00507E7F">
        <w:rPr>
          <w:rFonts w:cs="Arial"/>
        </w:rPr>
        <w:t xml:space="preserve">that ECC Report 272 </w:t>
      </w:r>
      <w:r w:rsidR="002B42DF" w:rsidRPr="00507E7F">
        <w:rPr>
          <w:rFonts w:cs="Arial"/>
        </w:rPr>
        <w:fldChar w:fldCharType="begin"/>
      </w:r>
      <w:r w:rsidR="002B42DF" w:rsidRPr="00507E7F">
        <w:rPr>
          <w:rFonts w:cs="Arial"/>
        </w:rPr>
        <w:instrText xml:space="preserve"> REF _Ref524698107 \r \h </w:instrText>
      </w:r>
      <w:r w:rsidR="00FD05E6" w:rsidRPr="00507E7F">
        <w:rPr>
          <w:rFonts w:cs="Arial"/>
        </w:rPr>
        <w:instrText xml:space="preserve"> \* MERGEFORMAT </w:instrText>
      </w:r>
      <w:r w:rsidR="002B42DF" w:rsidRPr="00507E7F">
        <w:rPr>
          <w:rFonts w:cs="Arial"/>
        </w:rPr>
      </w:r>
      <w:r w:rsidR="002B42DF" w:rsidRPr="00507E7F">
        <w:rPr>
          <w:rFonts w:cs="Arial"/>
        </w:rPr>
        <w:fldChar w:fldCharType="separate"/>
      </w:r>
      <w:r w:rsidR="006C27EF" w:rsidRPr="00507E7F">
        <w:rPr>
          <w:rFonts w:cs="Arial"/>
        </w:rPr>
        <w:t>[10]</w:t>
      </w:r>
      <w:r w:rsidR="002B42DF" w:rsidRPr="00507E7F">
        <w:rPr>
          <w:rFonts w:cs="Arial"/>
        </w:rPr>
        <w:fldChar w:fldCharType="end"/>
      </w:r>
      <w:r w:rsidR="00CE7218" w:rsidRPr="00507E7F">
        <w:rPr>
          <w:rFonts w:cs="Arial"/>
        </w:rPr>
        <w:t xml:space="preserve"> </w:t>
      </w:r>
      <w:r w:rsidRPr="00507E7F">
        <w:rPr>
          <w:rFonts w:cs="Arial"/>
        </w:rPr>
        <w:t xml:space="preserve">provides the requirements established to </w:t>
      </w:r>
      <w:r w:rsidRPr="00507E7F">
        <w:rPr>
          <w:rFonts w:cs="Arial"/>
          <w:szCs w:val="20"/>
          <w:lang w:eastAsia="fr-FR"/>
        </w:rPr>
        <w:t>ensure compliance with aircraft HIRF protection criteria</w:t>
      </w:r>
      <w:r w:rsidR="00272300" w:rsidRPr="00507E7F">
        <w:rPr>
          <w:rFonts w:cs="Arial"/>
          <w:szCs w:val="20"/>
          <w:lang w:eastAsia="fr-FR"/>
        </w:rPr>
        <w:t>.</w:t>
      </w:r>
    </w:p>
    <w:p w14:paraId="22396427" w14:textId="77777777" w:rsidR="00CD5399" w:rsidRPr="00507E7F" w:rsidRDefault="00CD5399" w:rsidP="00CD5399">
      <w:pPr>
        <w:pStyle w:val="ListParagraph"/>
        <w:tabs>
          <w:tab w:val="left" w:pos="567"/>
        </w:tabs>
        <w:spacing w:after="240"/>
        <w:ind w:left="567"/>
        <w:contextualSpacing w:val="0"/>
        <w:rPr>
          <w:lang w:val="en-GB"/>
        </w:rPr>
      </w:pPr>
    </w:p>
    <w:p w14:paraId="0EC3FDFE" w14:textId="77777777" w:rsidR="006C03D0" w:rsidRPr="00507E7F" w:rsidRDefault="005F7AD5" w:rsidP="006C03D0">
      <w:pPr>
        <w:pStyle w:val="ECCParagraph"/>
        <w:rPr>
          <w:color w:val="D2232A"/>
        </w:rPr>
      </w:pPr>
      <w:r w:rsidRPr="00507E7F">
        <w:rPr>
          <w:i/>
          <w:color w:val="D2232A"/>
        </w:rPr>
        <w:t>DECIDES</w:t>
      </w:r>
    </w:p>
    <w:p w14:paraId="0FF3BA3D" w14:textId="77777777" w:rsidR="006C03D0" w:rsidRPr="00507E7F" w:rsidRDefault="00A41673" w:rsidP="00E73D39">
      <w:pPr>
        <w:pStyle w:val="NumberedList"/>
        <w:spacing w:after="120"/>
      </w:pPr>
      <w:r w:rsidRPr="00507E7F">
        <w:t xml:space="preserve">that the </w:t>
      </w:r>
      <w:r w:rsidR="00F32EE8" w:rsidRPr="00507E7F">
        <w:rPr>
          <w:b/>
        </w:rPr>
        <w:t>purpose of this ECC</w:t>
      </w:r>
      <w:r w:rsidRPr="00507E7F">
        <w:rPr>
          <w:b/>
        </w:rPr>
        <w:t xml:space="preserve"> Decision</w:t>
      </w:r>
      <w:r w:rsidRPr="00507E7F">
        <w:t xml:space="preserve"> is to:</w:t>
      </w:r>
    </w:p>
    <w:p w14:paraId="143C7C25" w14:textId="163FCB13" w:rsidR="00A41673" w:rsidRPr="00507E7F" w:rsidRDefault="004563AC" w:rsidP="00923873">
      <w:pPr>
        <w:pStyle w:val="LetteredList"/>
        <w:tabs>
          <w:tab w:val="num" w:pos="709"/>
        </w:tabs>
        <w:ind w:left="737" w:hanging="340"/>
        <w:rPr>
          <w:lang w:val="en-GB"/>
        </w:rPr>
      </w:pPr>
      <w:r w:rsidRPr="00507E7F">
        <w:rPr>
          <w:lang w:val="en-GB"/>
        </w:rPr>
        <w:t xml:space="preserve">harmonise the use and allow the free circulation and exemption from individual licensing of ESOMPs </w:t>
      </w:r>
      <w:r w:rsidR="006B6F27">
        <w:rPr>
          <w:lang w:val="en-GB"/>
        </w:rPr>
        <w:t xml:space="preserve">operating with </w:t>
      </w:r>
      <w:r w:rsidRPr="00507E7F">
        <w:rPr>
          <w:lang w:val="en-GB"/>
        </w:rPr>
        <w:t xml:space="preserve">non-geostationary </w:t>
      </w:r>
      <w:r w:rsidR="006B6F27">
        <w:rPr>
          <w:lang w:val="en-GB"/>
        </w:rPr>
        <w:t xml:space="preserve">FSS </w:t>
      </w:r>
      <w:r w:rsidRPr="00507E7F">
        <w:rPr>
          <w:lang w:val="en-GB"/>
        </w:rPr>
        <w:t xml:space="preserve">satellite </w:t>
      </w:r>
      <w:r w:rsidR="006B6F27">
        <w:rPr>
          <w:lang w:val="en-GB"/>
        </w:rPr>
        <w:t>systems</w:t>
      </w:r>
      <w:r w:rsidR="006B6F27" w:rsidRPr="00507E7F">
        <w:rPr>
          <w:lang w:val="en-GB"/>
        </w:rPr>
        <w:t xml:space="preserve"> </w:t>
      </w:r>
      <w:r w:rsidRPr="00507E7F">
        <w:rPr>
          <w:lang w:val="en-GB"/>
        </w:rPr>
        <w:t>within the frequency bands 17.3-20.2 GHz (receive band) and 27.5-29.1 GHz and 29.5-30</w:t>
      </w:r>
      <w:r w:rsidR="000245A8" w:rsidRPr="00507E7F">
        <w:rPr>
          <w:lang w:val="en-GB"/>
        </w:rPr>
        <w:t>.0</w:t>
      </w:r>
      <w:r w:rsidRPr="00507E7F">
        <w:rPr>
          <w:lang w:val="en-GB"/>
        </w:rPr>
        <w:t xml:space="preserve"> GHz (transmit band</w:t>
      </w:r>
      <w:r w:rsidR="00CE7E0B" w:rsidRPr="00507E7F">
        <w:rPr>
          <w:lang w:val="en-GB"/>
        </w:rPr>
        <w:t>s</w:t>
      </w:r>
      <w:r w:rsidRPr="00507E7F">
        <w:rPr>
          <w:lang w:val="en-GB"/>
        </w:rPr>
        <w:t>);</w:t>
      </w:r>
    </w:p>
    <w:p w14:paraId="6F7363F1" w14:textId="77777777" w:rsidR="00A41673" w:rsidRPr="00507E7F" w:rsidRDefault="004563AC" w:rsidP="00923873">
      <w:pPr>
        <w:pStyle w:val="LetteredList"/>
        <w:tabs>
          <w:tab w:val="num" w:pos="709"/>
        </w:tabs>
        <w:ind w:left="737" w:hanging="340"/>
        <w:rPr>
          <w:lang w:val="en-GB"/>
        </w:rPr>
      </w:pPr>
      <w:r w:rsidRPr="00507E7F">
        <w:rPr>
          <w:lang w:val="en-GB"/>
        </w:rPr>
        <w:t>apply the technical conditions necessary to ensure harmful interference is not caused by ESOMPs to stations of the FSS, FS and other services</w:t>
      </w:r>
      <w:r w:rsidR="00A41673" w:rsidRPr="00507E7F">
        <w:rPr>
          <w:lang w:val="en-GB"/>
        </w:rPr>
        <w:t>;</w:t>
      </w:r>
    </w:p>
    <w:p w14:paraId="38CDFFD9" w14:textId="77777777" w:rsidR="000F3919" w:rsidRPr="00507E7F" w:rsidRDefault="000F3919" w:rsidP="00DD6696">
      <w:pPr>
        <w:pStyle w:val="NumberedList"/>
        <w:keepNext/>
        <w:spacing w:after="120"/>
      </w:pPr>
      <w:r w:rsidRPr="00507E7F">
        <w:t xml:space="preserve">that CEPT </w:t>
      </w:r>
      <w:r w:rsidRPr="00507E7F">
        <w:rPr>
          <w:b/>
        </w:rPr>
        <w:t>administrations shall</w:t>
      </w:r>
      <w:r w:rsidRPr="00507E7F">
        <w:t>:</w:t>
      </w:r>
    </w:p>
    <w:p w14:paraId="51DD05DE" w14:textId="77777777" w:rsidR="00DD6696" w:rsidRPr="00507E7F" w:rsidRDefault="00C55E52" w:rsidP="00923873">
      <w:pPr>
        <w:pStyle w:val="LetteredList"/>
        <w:numPr>
          <w:ilvl w:val="0"/>
          <w:numId w:val="34"/>
        </w:numPr>
        <w:tabs>
          <w:tab w:val="num" w:pos="709"/>
        </w:tabs>
        <w:ind w:left="737" w:hanging="340"/>
        <w:rPr>
          <w:lang w:val="en-GB"/>
        </w:rPr>
      </w:pPr>
      <w:r w:rsidRPr="00507E7F">
        <w:rPr>
          <w:lang w:val="en-GB"/>
        </w:rPr>
        <w:t>d</w:t>
      </w:r>
      <w:r w:rsidR="00DD6696" w:rsidRPr="00507E7F">
        <w:rPr>
          <w:lang w:val="en-GB"/>
        </w:rPr>
        <w:t>esignate the frequency bands 19.7-20.2 GHz (space-to-Earth) and 29.5-30</w:t>
      </w:r>
      <w:r w:rsidR="000245A8" w:rsidRPr="00507E7F">
        <w:rPr>
          <w:lang w:val="en-GB"/>
        </w:rPr>
        <w:t>.0</w:t>
      </w:r>
      <w:r w:rsidR="00DD6696" w:rsidRPr="00507E7F">
        <w:rPr>
          <w:lang w:val="en-GB"/>
        </w:rPr>
        <w:t xml:space="preserve"> GHz (Earth-to-space) for the operation of ESOMPs;</w:t>
      </w:r>
    </w:p>
    <w:p w14:paraId="2736EDEA" w14:textId="77777777" w:rsidR="00DD6696" w:rsidRPr="00507E7F" w:rsidRDefault="00C55E52" w:rsidP="00923873">
      <w:pPr>
        <w:pStyle w:val="LetteredList"/>
        <w:tabs>
          <w:tab w:val="num" w:pos="709"/>
        </w:tabs>
        <w:ind w:left="737" w:hanging="340"/>
        <w:rPr>
          <w:lang w:val="en-GB"/>
        </w:rPr>
      </w:pPr>
      <w:r w:rsidRPr="00507E7F">
        <w:rPr>
          <w:lang w:val="en-GB"/>
        </w:rPr>
        <w:t>d</w:t>
      </w:r>
      <w:r w:rsidR="00DD6696" w:rsidRPr="00507E7F">
        <w:rPr>
          <w:lang w:val="en-GB"/>
        </w:rPr>
        <w:t xml:space="preserve">esignate the frequency bands 17.3-19.7 GHz (space-to-Earth), 27.5-27.8285 GHz (Earth-to-space) and 28.4445-28.8365 GHz (Earth-to-space), for the operation of ESOMPs; </w:t>
      </w:r>
    </w:p>
    <w:p w14:paraId="015202CD" w14:textId="77777777" w:rsidR="00DD6696" w:rsidRPr="00507E7F" w:rsidRDefault="00C55E52" w:rsidP="00923873">
      <w:pPr>
        <w:pStyle w:val="LetteredList"/>
        <w:tabs>
          <w:tab w:val="num" w:pos="709"/>
        </w:tabs>
        <w:ind w:left="737" w:hanging="340"/>
        <w:rPr>
          <w:lang w:val="en-GB"/>
        </w:rPr>
      </w:pPr>
      <w:r w:rsidRPr="00507E7F">
        <w:rPr>
          <w:lang w:val="en-GB"/>
        </w:rPr>
        <w:t>d</w:t>
      </w:r>
      <w:r w:rsidR="00DD6696" w:rsidRPr="00507E7F">
        <w:rPr>
          <w:lang w:val="en-GB"/>
        </w:rPr>
        <w:t xml:space="preserve">esignate the band 28.8365-28.9485 GHz (Earth-to-space) for the operation of ESOMPs, in those countries that have not authorised terrestrial systems in this band; </w:t>
      </w:r>
    </w:p>
    <w:p w14:paraId="42422F51" w14:textId="77777777" w:rsidR="00DD6696" w:rsidRPr="00507E7F" w:rsidRDefault="00C55E52" w:rsidP="00923873">
      <w:pPr>
        <w:pStyle w:val="LetteredList"/>
        <w:tabs>
          <w:tab w:val="num" w:pos="709"/>
        </w:tabs>
        <w:ind w:left="737" w:hanging="340"/>
        <w:rPr>
          <w:lang w:val="en-GB"/>
        </w:rPr>
      </w:pPr>
      <w:r w:rsidRPr="00507E7F">
        <w:rPr>
          <w:lang w:val="en-GB"/>
        </w:rPr>
        <w:t>i</w:t>
      </w:r>
      <w:r w:rsidR="00DD6696" w:rsidRPr="00507E7F">
        <w:rPr>
          <w:lang w:val="en-GB"/>
        </w:rPr>
        <w:t>nform the Office, through the ECO Frequency Information System (EFIS), whether frequencies within 28.8365-28.9485 GHz are designated for ESOMP operations, or not, within their territory;</w:t>
      </w:r>
    </w:p>
    <w:p w14:paraId="001DFCCA" w14:textId="77777777" w:rsidR="00DD6696" w:rsidRPr="00507E7F" w:rsidRDefault="002B42DF" w:rsidP="00923873">
      <w:pPr>
        <w:pStyle w:val="LetteredList"/>
        <w:tabs>
          <w:tab w:val="num" w:pos="709"/>
        </w:tabs>
        <w:ind w:left="737" w:hanging="340"/>
        <w:rPr>
          <w:lang w:val="en-GB"/>
        </w:rPr>
      </w:pPr>
      <w:r w:rsidRPr="00507E7F">
        <w:rPr>
          <w:lang w:val="en-GB"/>
        </w:rPr>
        <w:t xml:space="preserve"> </w:t>
      </w:r>
      <w:r w:rsidR="00C55E52" w:rsidRPr="00507E7F">
        <w:rPr>
          <w:lang w:val="en-GB"/>
        </w:rPr>
        <w:t>a</w:t>
      </w:r>
      <w:r w:rsidR="00DD6696" w:rsidRPr="00507E7F">
        <w:rPr>
          <w:lang w:val="en-GB"/>
        </w:rPr>
        <w:t>llow the free circulation and use of ESOMPs that satisfy the provisions of this Decision;</w:t>
      </w:r>
    </w:p>
    <w:p w14:paraId="19777F77" w14:textId="77777777" w:rsidR="007E23E4" w:rsidRPr="00507E7F" w:rsidRDefault="00C55E52" w:rsidP="00923873">
      <w:pPr>
        <w:pStyle w:val="LetteredList"/>
        <w:tabs>
          <w:tab w:val="num" w:pos="709"/>
        </w:tabs>
        <w:ind w:left="737" w:hanging="340"/>
        <w:rPr>
          <w:lang w:val="en-GB"/>
        </w:rPr>
      </w:pPr>
      <w:r w:rsidRPr="00507E7F">
        <w:rPr>
          <w:lang w:val="en-GB"/>
        </w:rPr>
        <w:t>e</w:t>
      </w:r>
      <w:r w:rsidR="00DD6696" w:rsidRPr="00507E7F">
        <w:rPr>
          <w:lang w:val="en-GB"/>
        </w:rPr>
        <w:t>xempt ESOMPs from individual licensing;</w:t>
      </w:r>
    </w:p>
    <w:p w14:paraId="1861C6E9" w14:textId="77777777" w:rsidR="00DD6696" w:rsidRPr="00507E7F" w:rsidRDefault="00713DBA" w:rsidP="00F70D64">
      <w:pPr>
        <w:pStyle w:val="NumberedList"/>
        <w:keepNext/>
        <w:rPr>
          <w:szCs w:val="20"/>
        </w:rPr>
      </w:pPr>
      <w:r w:rsidRPr="00507E7F">
        <w:rPr>
          <w:szCs w:val="20"/>
        </w:rPr>
        <w:lastRenderedPageBreak/>
        <w:t>that, for the purpose of th</w:t>
      </w:r>
      <w:r w:rsidR="00F32EE8" w:rsidRPr="00507E7F">
        <w:rPr>
          <w:szCs w:val="20"/>
        </w:rPr>
        <w:t>is ECC</w:t>
      </w:r>
      <w:r w:rsidRPr="00507E7F">
        <w:rPr>
          <w:szCs w:val="20"/>
        </w:rPr>
        <w:t xml:space="preserve"> Decision, the </w:t>
      </w:r>
      <w:r w:rsidRPr="00507E7F">
        <w:rPr>
          <w:b/>
          <w:szCs w:val="20"/>
        </w:rPr>
        <w:t>following technical and operational parameters</w:t>
      </w:r>
      <w:r w:rsidRPr="00507E7F">
        <w:rPr>
          <w:szCs w:val="20"/>
        </w:rPr>
        <w:t xml:space="preserve"> apply</w:t>
      </w:r>
      <w:r w:rsidR="00DD6696" w:rsidRPr="00507E7F">
        <w:rPr>
          <w:szCs w:val="20"/>
        </w:rPr>
        <w:t>:</w:t>
      </w:r>
      <w:r w:rsidRPr="00507E7F">
        <w:rPr>
          <w:szCs w:val="20"/>
        </w:rPr>
        <w:t xml:space="preserve"> </w:t>
      </w:r>
    </w:p>
    <w:p w14:paraId="7A188FD8" w14:textId="77777777" w:rsidR="000F3919" w:rsidRPr="00507E7F" w:rsidRDefault="00C55E52" w:rsidP="00923873">
      <w:pPr>
        <w:pStyle w:val="LetteredList"/>
        <w:keepNext/>
        <w:numPr>
          <w:ilvl w:val="0"/>
          <w:numId w:val="35"/>
        </w:numPr>
        <w:tabs>
          <w:tab w:val="num" w:pos="709"/>
        </w:tabs>
        <w:ind w:left="737" w:hanging="340"/>
        <w:rPr>
          <w:szCs w:val="20"/>
          <w:lang w:val="en-GB"/>
        </w:rPr>
      </w:pPr>
      <w:r w:rsidRPr="00507E7F">
        <w:rPr>
          <w:lang w:val="en-GB"/>
        </w:rPr>
        <w:t>w</w:t>
      </w:r>
      <w:r w:rsidR="00DD6696" w:rsidRPr="00507E7F">
        <w:rPr>
          <w:lang w:val="en-GB"/>
        </w:rPr>
        <w:t>ithin the frequency bands 27.5-29.1 GHz and 29.5-30.0 GHz, ESOMPs shall operate only in the portions of these frequency bands identified for their use within the territory of operation</w:t>
      </w:r>
      <w:r w:rsidR="00C665E0" w:rsidRPr="00507E7F">
        <w:rPr>
          <w:szCs w:val="20"/>
          <w:lang w:val="en-GB"/>
        </w:rPr>
        <w:t>;</w:t>
      </w:r>
    </w:p>
    <w:p w14:paraId="1B535481" w14:textId="08A8A472" w:rsidR="00DD6696" w:rsidRPr="00507E7F" w:rsidRDefault="00DD6696" w:rsidP="00923873">
      <w:pPr>
        <w:pStyle w:val="LetteredList"/>
        <w:tabs>
          <w:tab w:val="num" w:pos="709"/>
        </w:tabs>
        <w:ind w:left="737" w:hanging="340"/>
        <w:rPr>
          <w:szCs w:val="20"/>
          <w:lang w:val="en-GB"/>
        </w:rPr>
      </w:pPr>
      <w:r w:rsidRPr="00507E7F">
        <w:rPr>
          <w:szCs w:val="20"/>
          <w:lang w:val="en-GB"/>
        </w:rPr>
        <w:t>ESOMPs operating in international waters</w:t>
      </w:r>
      <w:r w:rsidR="00DD5ABE" w:rsidRPr="00507E7F">
        <w:rPr>
          <w:szCs w:val="20"/>
          <w:lang w:val="en-GB"/>
        </w:rPr>
        <w:t xml:space="preserve"> </w:t>
      </w:r>
      <w:r w:rsidR="00D71DCB" w:rsidRPr="00507E7F">
        <w:rPr>
          <w:szCs w:val="20"/>
          <w:lang w:val="en-GB"/>
        </w:rPr>
        <w:t xml:space="preserve">or </w:t>
      </w:r>
      <w:r w:rsidR="002E017F" w:rsidRPr="00507E7F">
        <w:rPr>
          <w:szCs w:val="20"/>
          <w:lang w:val="en-GB"/>
        </w:rPr>
        <w:t>airspace</w:t>
      </w:r>
      <w:r w:rsidRPr="00507E7F">
        <w:rPr>
          <w:szCs w:val="20"/>
          <w:lang w:val="en-GB"/>
        </w:rPr>
        <w:t xml:space="preserve"> (which may transmit within the range 27.5-29.1 GHz), shall ensure protection of fixed service systems in the CEPT;</w:t>
      </w:r>
    </w:p>
    <w:p w14:paraId="66DD884A" w14:textId="77777777" w:rsidR="00DD6696" w:rsidRPr="00507E7F" w:rsidRDefault="00DD6696" w:rsidP="00923873">
      <w:pPr>
        <w:pStyle w:val="LetteredList"/>
        <w:tabs>
          <w:tab w:val="num" w:pos="709"/>
        </w:tabs>
        <w:ind w:left="737" w:hanging="340"/>
        <w:rPr>
          <w:szCs w:val="20"/>
          <w:lang w:val="en-GB"/>
        </w:rPr>
      </w:pPr>
      <w:r w:rsidRPr="00507E7F">
        <w:rPr>
          <w:szCs w:val="20"/>
          <w:lang w:val="en-GB"/>
        </w:rPr>
        <w:t>ESOMPs transmitting in the band 29.5-30.0 GHz shall comply with the requirements in Annex 1;</w:t>
      </w:r>
    </w:p>
    <w:p w14:paraId="5BC27E42" w14:textId="77777777" w:rsidR="00DD6696" w:rsidRPr="00507E7F" w:rsidRDefault="00DD6696" w:rsidP="00923873">
      <w:pPr>
        <w:pStyle w:val="LetteredList"/>
        <w:tabs>
          <w:tab w:val="num" w:pos="709"/>
        </w:tabs>
        <w:ind w:left="737" w:hanging="340"/>
        <w:rPr>
          <w:szCs w:val="20"/>
          <w:lang w:val="en-GB"/>
        </w:rPr>
      </w:pPr>
      <w:r w:rsidRPr="00507E7F">
        <w:rPr>
          <w:szCs w:val="20"/>
          <w:lang w:val="en-GB"/>
        </w:rPr>
        <w:t xml:space="preserve">ESOMPs transmitting in the band 27.5-29.1 GHz shall comply with the requirements in Annexes 1, 2 and </w:t>
      </w:r>
      <w:r w:rsidR="00172EA8" w:rsidRPr="00507E7F">
        <w:rPr>
          <w:szCs w:val="20"/>
          <w:lang w:val="en-GB"/>
        </w:rPr>
        <w:t>3</w:t>
      </w:r>
      <w:r w:rsidRPr="00507E7F">
        <w:rPr>
          <w:szCs w:val="20"/>
          <w:lang w:val="en-GB"/>
        </w:rPr>
        <w:t>;</w:t>
      </w:r>
    </w:p>
    <w:p w14:paraId="4F72A216" w14:textId="77777777" w:rsidR="00DD6696" w:rsidRPr="00507E7F" w:rsidRDefault="00DD6696" w:rsidP="00923873">
      <w:pPr>
        <w:pStyle w:val="LetteredList"/>
        <w:tabs>
          <w:tab w:val="num" w:pos="709"/>
        </w:tabs>
        <w:ind w:left="737" w:hanging="340"/>
        <w:rPr>
          <w:szCs w:val="20"/>
          <w:lang w:val="en-GB"/>
        </w:rPr>
      </w:pPr>
      <w:r w:rsidRPr="00507E7F">
        <w:rPr>
          <w:szCs w:val="20"/>
          <w:lang w:val="en-GB"/>
        </w:rPr>
        <w:t>ESOMPs receiving in the band 17.7-19.7 GHz shall not claim protection from interference from fixed stations operating in the same band and in conformity with their national regulations;</w:t>
      </w:r>
    </w:p>
    <w:p w14:paraId="7BC10659" w14:textId="77777777" w:rsidR="00DD6696" w:rsidRPr="00507E7F" w:rsidRDefault="00DD6696" w:rsidP="00923873">
      <w:pPr>
        <w:pStyle w:val="LetteredList"/>
        <w:tabs>
          <w:tab w:val="num" w:pos="709"/>
        </w:tabs>
        <w:spacing w:after="240"/>
        <w:ind w:left="737" w:hanging="340"/>
        <w:rPr>
          <w:szCs w:val="20"/>
          <w:lang w:val="en-GB"/>
        </w:rPr>
      </w:pPr>
      <w:r w:rsidRPr="00507E7F">
        <w:rPr>
          <w:lang w:val="en-GB"/>
        </w:rPr>
        <w:t>ESOMPs receiving in the band 17.3-17.7 GHz shall not claim protection from BSS feeder links operating in the same band and in conformity with their national regulations</w:t>
      </w:r>
      <w:r w:rsidRPr="00507E7F">
        <w:rPr>
          <w:i/>
          <w:lang w:val="en-GB"/>
        </w:rPr>
        <w:t>;</w:t>
      </w:r>
    </w:p>
    <w:p w14:paraId="371D74CD" w14:textId="5F8FD58C" w:rsidR="00713DBA" w:rsidRPr="00507E7F" w:rsidRDefault="00713DBA" w:rsidP="006C03D0">
      <w:pPr>
        <w:pStyle w:val="NumberedList"/>
      </w:pPr>
      <w:r w:rsidRPr="00507E7F">
        <w:t xml:space="preserve">that this Decision </w:t>
      </w:r>
      <w:r w:rsidRPr="00507E7F">
        <w:rPr>
          <w:b/>
        </w:rPr>
        <w:t>enters into force</w:t>
      </w:r>
      <w:r w:rsidRPr="00507E7F">
        <w:t xml:space="preserve"> on </w:t>
      </w:r>
      <w:r w:rsidR="00B21422">
        <w:t>20 November 2020</w:t>
      </w:r>
      <w:r w:rsidRPr="00507E7F">
        <w:t>;</w:t>
      </w:r>
    </w:p>
    <w:p w14:paraId="0016A8AE" w14:textId="21D08668" w:rsidR="00713DBA" w:rsidRPr="00507E7F" w:rsidRDefault="00D90B0A" w:rsidP="006C03D0">
      <w:pPr>
        <w:pStyle w:val="NumberedList"/>
      </w:pPr>
      <w:r w:rsidRPr="00507E7F">
        <w:t>that the preferred</w:t>
      </w:r>
      <w:r w:rsidR="00713DBA" w:rsidRPr="00507E7F">
        <w:t xml:space="preserve"> </w:t>
      </w:r>
      <w:r w:rsidR="00713DBA" w:rsidRPr="00507E7F">
        <w:rPr>
          <w:b/>
        </w:rPr>
        <w:t>date for implementation</w:t>
      </w:r>
      <w:r w:rsidR="00713DBA" w:rsidRPr="00507E7F">
        <w:t xml:space="preserve"> of this Decision shall be </w:t>
      </w:r>
      <w:r w:rsidR="00B21422">
        <w:t>20 May 2021</w:t>
      </w:r>
      <w:r w:rsidR="00713DBA" w:rsidRPr="00507E7F">
        <w:t>;</w:t>
      </w:r>
    </w:p>
    <w:p w14:paraId="0051C447" w14:textId="77777777" w:rsidR="006C03D0" w:rsidRPr="00507E7F" w:rsidRDefault="00713DBA" w:rsidP="00D90B0A">
      <w:pPr>
        <w:pStyle w:val="NumberedList"/>
        <w:keepNext/>
      </w:pPr>
      <w:r w:rsidRPr="00507E7F">
        <w:t xml:space="preserve">that CEPT administrations shall communicate the </w:t>
      </w:r>
      <w:r w:rsidRPr="00507E7F">
        <w:rPr>
          <w:b/>
        </w:rPr>
        <w:t>national measures</w:t>
      </w:r>
      <w:r w:rsidRPr="00507E7F">
        <w:t xml:space="preserve"> implementing this Decision to the </w:t>
      </w:r>
      <w:smartTag w:uri="urn:schemas-microsoft-com:office:smarttags" w:element="stockticker">
        <w:r w:rsidRPr="00507E7F">
          <w:t>ECC</w:t>
        </w:r>
      </w:smartTag>
      <w:r w:rsidRPr="00507E7F">
        <w:t xml:space="preserve"> Chairman and the Office when th</w:t>
      </w:r>
      <w:r w:rsidR="00F32EE8" w:rsidRPr="00507E7F">
        <w:t>is ECC</w:t>
      </w:r>
      <w:r w:rsidRPr="00507E7F">
        <w:t xml:space="preserve"> Decision is nationally implemented.”</w:t>
      </w:r>
    </w:p>
    <w:p w14:paraId="5BE37996" w14:textId="77777777" w:rsidR="001C46EA" w:rsidRPr="00507E7F" w:rsidRDefault="001C46EA" w:rsidP="00D90B0A">
      <w:pPr>
        <w:pStyle w:val="ECCParagraph"/>
        <w:keepNext/>
      </w:pPr>
    </w:p>
    <w:p w14:paraId="40BC53EA" w14:textId="77777777" w:rsidR="001C46EA" w:rsidRPr="00507E7F" w:rsidRDefault="001C46EA" w:rsidP="00D90B0A">
      <w:pPr>
        <w:pStyle w:val="ECCParagraph"/>
        <w:keepNext/>
        <w:rPr>
          <w:i/>
          <w:color w:val="D2232A"/>
        </w:rPr>
      </w:pPr>
      <w:r w:rsidRPr="00507E7F">
        <w:rPr>
          <w:i/>
          <w:color w:val="D2232A"/>
        </w:rPr>
        <w:t xml:space="preserve">Note: </w:t>
      </w:r>
    </w:p>
    <w:p w14:paraId="13EC166C" w14:textId="57C0F6F5" w:rsidR="001C46EA" w:rsidRPr="00507E7F" w:rsidRDefault="001C46EA" w:rsidP="00D90B0A">
      <w:pPr>
        <w:pStyle w:val="ECCParagraph"/>
        <w:keepNext/>
      </w:pPr>
      <w:r w:rsidRPr="00507E7F">
        <w:rPr>
          <w:i/>
          <w:szCs w:val="20"/>
        </w:rPr>
        <w:t xml:space="preserve">Please check the Office documentation database </w:t>
      </w:r>
      <w:hyperlink r:id="rId8" w:history="1">
        <w:r w:rsidR="00CB7D24" w:rsidRPr="00C15F59">
          <w:rPr>
            <w:rStyle w:val="Hyperlink"/>
            <w:i/>
            <w:szCs w:val="20"/>
          </w:rPr>
          <w:t>https://docdb.cept.org/</w:t>
        </w:r>
      </w:hyperlink>
      <w:r w:rsidR="00323FD5" w:rsidRPr="00507E7F">
        <w:rPr>
          <w:i/>
          <w:szCs w:val="20"/>
        </w:rPr>
        <w:t xml:space="preserve"> </w:t>
      </w:r>
      <w:r w:rsidRPr="00507E7F">
        <w:rPr>
          <w:i/>
          <w:szCs w:val="20"/>
        </w:rPr>
        <w:t xml:space="preserve">for the up to date position on the implementation of this and other </w:t>
      </w:r>
      <w:smartTag w:uri="urn:schemas-microsoft-com:office:smarttags" w:element="stockticker">
        <w:r w:rsidRPr="00507E7F">
          <w:rPr>
            <w:i/>
            <w:szCs w:val="20"/>
          </w:rPr>
          <w:t>ECC</w:t>
        </w:r>
      </w:smartTag>
      <w:r w:rsidRPr="00507E7F">
        <w:rPr>
          <w:i/>
          <w:szCs w:val="20"/>
        </w:rPr>
        <w:t xml:space="preserve"> Decisions.</w:t>
      </w:r>
    </w:p>
    <w:p w14:paraId="6324DB9D" w14:textId="77777777" w:rsidR="006C03D0" w:rsidRPr="00507E7F" w:rsidRDefault="00D7148E" w:rsidP="00FD5220">
      <w:pPr>
        <w:pStyle w:val="ECCAnnex-heading1"/>
      </w:pPr>
      <w:bookmarkStart w:id="0" w:name="_Toc280099658"/>
      <w:r w:rsidRPr="00507E7F">
        <w:lastRenderedPageBreak/>
        <w:t xml:space="preserve">Technical and operational requirements for ESOMPS operating within the frequency bands </w:t>
      </w:r>
      <w:bookmarkEnd w:id="0"/>
      <w:r w:rsidRPr="00507E7F">
        <w:t>17.3-20.2 GH</w:t>
      </w:r>
      <w:r w:rsidRPr="00507E7F">
        <w:rPr>
          <w:sz w:val="16"/>
        </w:rPr>
        <w:t>z</w:t>
      </w:r>
      <w:r w:rsidRPr="00507E7F">
        <w:t xml:space="preserve"> and 27.5-29.1 GH</w:t>
      </w:r>
      <w:r w:rsidRPr="00507E7F">
        <w:rPr>
          <w:sz w:val="16"/>
        </w:rPr>
        <w:t>z</w:t>
      </w:r>
      <w:r w:rsidRPr="00507E7F">
        <w:t xml:space="preserve"> and 29.5-30</w:t>
      </w:r>
      <w:r w:rsidR="000245A8" w:rsidRPr="00507E7F">
        <w:t>.0</w:t>
      </w:r>
      <w:r w:rsidRPr="00507E7F">
        <w:t xml:space="preserve"> GH</w:t>
      </w:r>
      <w:r w:rsidRPr="00507E7F">
        <w:rPr>
          <w:sz w:val="16"/>
        </w:rPr>
        <w:t>z</w:t>
      </w:r>
    </w:p>
    <w:p w14:paraId="180A0096" w14:textId="77777777" w:rsidR="00D7148E" w:rsidRPr="00507E7F" w:rsidRDefault="00D7148E" w:rsidP="00D7148E">
      <w:pPr>
        <w:pStyle w:val="ECCParagraph"/>
      </w:pPr>
      <w:r w:rsidRPr="00507E7F">
        <w:t>ESOMPs operating within the frequency bands 17.3-20.2 GHz and 27.5-29.1 GHz and 29.5-30.0 GHz shall comply with the following technical and operational requirements:</w:t>
      </w:r>
    </w:p>
    <w:p w14:paraId="52C53935" w14:textId="20CEF12B" w:rsidR="00D7148E" w:rsidRPr="00507E7F" w:rsidRDefault="00D7148E" w:rsidP="001026EC">
      <w:pPr>
        <w:pStyle w:val="ECCParagraph"/>
        <w:numPr>
          <w:ilvl w:val="0"/>
          <w:numId w:val="25"/>
        </w:numPr>
        <w:ind w:left="426"/>
      </w:pPr>
      <w:r w:rsidRPr="00507E7F">
        <w:t xml:space="preserve">This Annex applies to ESOMPs operating </w:t>
      </w:r>
      <w:r w:rsidR="006B6F27">
        <w:t>with</w:t>
      </w:r>
      <w:r w:rsidR="006B6F27" w:rsidRPr="00507E7F">
        <w:t xml:space="preserve"> </w:t>
      </w:r>
      <w:r w:rsidRPr="00507E7F">
        <w:t>non-geostationary</w:t>
      </w:r>
      <w:r w:rsidR="006B6F27">
        <w:t xml:space="preserve"> FSS</w:t>
      </w:r>
      <w:r w:rsidRPr="00507E7F">
        <w:t xml:space="preserve"> satellite systems;</w:t>
      </w:r>
    </w:p>
    <w:p w14:paraId="7330815D" w14:textId="77777777" w:rsidR="00D7148E" w:rsidRPr="00507E7F" w:rsidRDefault="00D7148E" w:rsidP="001026EC">
      <w:pPr>
        <w:pStyle w:val="ECCParagraph"/>
        <w:numPr>
          <w:ilvl w:val="0"/>
          <w:numId w:val="25"/>
        </w:numPr>
        <w:ind w:left="426"/>
      </w:pPr>
      <w:r w:rsidRPr="00507E7F">
        <w:t>ESOMP networks shall operate under the control of a Network Control Facility (NCF);</w:t>
      </w:r>
    </w:p>
    <w:p w14:paraId="26DFC832" w14:textId="7FD8497A" w:rsidR="00D7148E" w:rsidRPr="00507E7F" w:rsidRDefault="00D7148E" w:rsidP="001026EC">
      <w:pPr>
        <w:pStyle w:val="ECCParagraph"/>
        <w:numPr>
          <w:ilvl w:val="0"/>
          <w:numId w:val="25"/>
        </w:numPr>
        <w:ind w:left="426"/>
      </w:pPr>
      <w:r w:rsidRPr="00507E7F">
        <w:t xml:space="preserve">The protection of GSO FSS networks operating in 27.5-28.6 GHz and 29.5-30.0 GHz from ESOMPs operating </w:t>
      </w:r>
      <w:r w:rsidR="006B6F27">
        <w:t>with</w:t>
      </w:r>
      <w:r w:rsidR="006B6F27" w:rsidRPr="00507E7F">
        <w:t xml:space="preserve"> </w:t>
      </w:r>
      <w:r w:rsidR="006B6F27">
        <w:t xml:space="preserve">non-geostationary FSS satellite </w:t>
      </w:r>
      <w:r w:rsidRPr="00507E7F">
        <w:t>systems shall be achieved by complying with the EPFD limits stipulated in</w:t>
      </w:r>
      <w:r w:rsidR="006B6F27">
        <w:t xml:space="preserve"> </w:t>
      </w:r>
      <w:r w:rsidRPr="00507E7F">
        <w:t>No. 22.5D of the ITU Radio Regulations</w:t>
      </w:r>
      <w:r w:rsidR="00967F61" w:rsidRPr="00507E7F">
        <w:t xml:space="preserve"> </w:t>
      </w:r>
      <w:r w:rsidR="00967F61" w:rsidRPr="00507E7F">
        <w:fldChar w:fldCharType="begin"/>
      </w:r>
      <w:r w:rsidR="00967F61" w:rsidRPr="00507E7F">
        <w:instrText xml:space="preserve"> REF _Ref524698243 \r \h </w:instrText>
      </w:r>
      <w:r w:rsidR="00967F61" w:rsidRPr="00507E7F">
        <w:fldChar w:fldCharType="separate"/>
      </w:r>
      <w:r w:rsidR="00967F61" w:rsidRPr="00507E7F">
        <w:t>[12]</w:t>
      </w:r>
      <w:r w:rsidR="00967F61" w:rsidRPr="00507E7F">
        <w:fldChar w:fldCharType="end"/>
      </w:r>
      <w:r w:rsidRPr="00507E7F">
        <w:t>. The protection of FSS GSO networks and FSS NGSO systems operating in 28.6-29.1 GHz shall be on the basis of relevant coordination agreements reached between administrations and operators in accordance with No. 9.11A of the ITU Radio Regulations;</w:t>
      </w:r>
    </w:p>
    <w:p w14:paraId="720FDFEE" w14:textId="77777777" w:rsidR="00D7148E" w:rsidRPr="00507E7F" w:rsidRDefault="00D7148E" w:rsidP="00335BC2">
      <w:pPr>
        <w:pStyle w:val="ECCParagraph"/>
        <w:numPr>
          <w:ilvl w:val="0"/>
          <w:numId w:val="25"/>
        </w:numPr>
        <w:spacing w:after="60"/>
        <w:ind w:left="426"/>
      </w:pPr>
      <w:r w:rsidRPr="00507E7F">
        <w:t>The design, coordination and operation of ESOMPs shall take into account the following factors to the extent that they ensure compliance with the conditions specified in No. 3 of this Annex:</w:t>
      </w:r>
    </w:p>
    <w:p w14:paraId="660EAF62" w14:textId="77777777" w:rsidR="00D7148E" w:rsidRPr="00507E7F" w:rsidRDefault="00D7148E" w:rsidP="00923873">
      <w:pPr>
        <w:pStyle w:val="LetteredList"/>
        <w:numPr>
          <w:ilvl w:val="0"/>
          <w:numId w:val="39"/>
        </w:numPr>
        <w:tabs>
          <w:tab w:val="clear" w:pos="1532"/>
          <w:tab w:val="num" w:pos="1134"/>
        </w:tabs>
        <w:ind w:left="737" w:hanging="340"/>
        <w:rPr>
          <w:lang w:val="en-GB"/>
        </w:rPr>
      </w:pPr>
      <w:r w:rsidRPr="00507E7F">
        <w:rPr>
          <w:lang w:val="en-GB"/>
        </w:rPr>
        <w:t>antenna mis-pointing;</w:t>
      </w:r>
    </w:p>
    <w:p w14:paraId="5C6B419B" w14:textId="77777777" w:rsidR="00D7148E" w:rsidRPr="00507E7F" w:rsidRDefault="00D7148E" w:rsidP="00923873">
      <w:pPr>
        <w:pStyle w:val="LetteredList"/>
        <w:tabs>
          <w:tab w:val="clear" w:pos="1532"/>
          <w:tab w:val="num" w:pos="1134"/>
        </w:tabs>
        <w:ind w:left="737" w:hanging="340"/>
        <w:rPr>
          <w:lang w:val="en-GB"/>
        </w:rPr>
      </w:pPr>
      <w:r w:rsidRPr="00507E7F">
        <w:rPr>
          <w:lang w:val="en-GB"/>
        </w:rPr>
        <w:t xml:space="preserve">variations in the antenna pattern; </w:t>
      </w:r>
    </w:p>
    <w:p w14:paraId="19C0AC94" w14:textId="2787CD13" w:rsidR="00D7148E" w:rsidRPr="00507E7F" w:rsidRDefault="00D7148E" w:rsidP="00923873">
      <w:pPr>
        <w:pStyle w:val="LetteredList"/>
        <w:tabs>
          <w:tab w:val="clear" w:pos="1532"/>
          <w:tab w:val="num" w:pos="1134"/>
        </w:tabs>
        <w:ind w:left="737" w:hanging="340"/>
        <w:rPr>
          <w:lang w:val="en-GB"/>
        </w:rPr>
      </w:pPr>
      <w:r w:rsidRPr="00507E7F">
        <w:rPr>
          <w:lang w:val="en-GB"/>
        </w:rPr>
        <w:t>variations in the transmit e.i.r.p.</w:t>
      </w:r>
      <w:r w:rsidR="0088659D">
        <w:rPr>
          <w:lang w:val="en-GB"/>
        </w:rPr>
        <w:t>;</w:t>
      </w:r>
    </w:p>
    <w:p w14:paraId="0FA9785E" w14:textId="1FD32034" w:rsidR="00D7148E" w:rsidRPr="00507E7F" w:rsidRDefault="00D7148E" w:rsidP="00335BC2">
      <w:pPr>
        <w:pStyle w:val="ECCParagraph"/>
        <w:numPr>
          <w:ilvl w:val="0"/>
          <w:numId w:val="25"/>
        </w:numPr>
        <w:ind w:left="426" w:hanging="426"/>
      </w:pPr>
      <w:r w:rsidRPr="00507E7F">
        <w:t>ESOMPs that use closed-loop tracking of the satellite signal shall employ an algorithm that is resistant to capturing and tracking signals from nearby satellite</w:t>
      </w:r>
      <w:r w:rsidR="00521C86" w:rsidRPr="00507E7F">
        <w:t>s</w:t>
      </w:r>
      <w:r w:rsidRPr="00507E7F">
        <w:t>. ESOMPs shall immediately inhibit transmissions when they detect that unintended satellite tracking has happened or is about to happen;</w:t>
      </w:r>
    </w:p>
    <w:p w14:paraId="737B7660" w14:textId="3C5377E4" w:rsidR="00D7148E" w:rsidRPr="00507E7F" w:rsidRDefault="00D7148E" w:rsidP="001026EC">
      <w:pPr>
        <w:pStyle w:val="ECCParagraph"/>
        <w:numPr>
          <w:ilvl w:val="0"/>
          <w:numId w:val="25"/>
        </w:numPr>
        <w:ind w:left="284" w:hanging="284"/>
      </w:pPr>
      <w:r w:rsidRPr="00507E7F">
        <w:t>ESOMPs shall be self-monitoring and should a fault which can cause harmful interference to FSS or terrestrial networks be detected, the ESOMP must automatically cease its transmissions;</w:t>
      </w:r>
    </w:p>
    <w:p w14:paraId="627944F9" w14:textId="3C52F374" w:rsidR="00D7148E" w:rsidRPr="00507E7F" w:rsidRDefault="00D7148E" w:rsidP="001026EC">
      <w:pPr>
        <w:pStyle w:val="ECCParagraph"/>
        <w:numPr>
          <w:ilvl w:val="0"/>
          <w:numId w:val="25"/>
        </w:numPr>
        <w:ind w:left="284" w:hanging="284"/>
      </w:pPr>
      <w:r w:rsidRPr="00507E7F">
        <w:t xml:space="preserve">ESOMPs shall be in conformance with the Harmonised European Standard EN 303 979, “Satellite Earth Stations and Systems (SES); </w:t>
      </w:r>
      <w:r w:rsidR="00340DDA" w:rsidRPr="00507E7F">
        <w:t>H</w:t>
      </w:r>
      <w:r w:rsidRPr="00507E7F">
        <w:t>armoni</w:t>
      </w:r>
      <w:r w:rsidR="00C72300" w:rsidRPr="00507E7F">
        <w:t>s</w:t>
      </w:r>
      <w:r w:rsidRPr="00507E7F">
        <w:t xml:space="preserve">ed </w:t>
      </w:r>
      <w:r w:rsidR="00340DDA" w:rsidRPr="00507E7F">
        <w:t>European</w:t>
      </w:r>
      <w:r w:rsidR="00C72300" w:rsidRPr="00507E7F">
        <w:t xml:space="preserve"> standard </w:t>
      </w:r>
      <w:r w:rsidRPr="00507E7F">
        <w:t>for Earth Stations on Mobile Platforms (ESOMP</w:t>
      </w:r>
      <w:r w:rsidR="00716757" w:rsidRPr="00507E7F">
        <w:t>s</w:t>
      </w:r>
      <w:r w:rsidRPr="00507E7F">
        <w:t>) transmitting towards satellites in non-geostationary orbit in the 27.5-29.1 GHz and 29.5-30.0 GHz frequency bands covering the essential requirements of article 3.2 of the R</w:t>
      </w:r>
      <w:r w:rsidR="002937FB" w:rsidRPr="00507E7F">
        <w:t xml:space="preserve">adio </w:t>
      </w:r>
      <w:r w:rsidRPr="00507E7F">
        <w:t>E</w:t>
      </w:r>
      <w:r w:rsidR="002937FB" w:rsidRPr="00507E7F">
        <w:t>quipment</w:t>
      </w:r>
      <w:r w:rsidRPr="00507E7F">
        <w:t xml:space="preserve"> Directive</w:t>
      </w:r>
      <w:r w:rsidR="00081AF1" w:rsidRPr="00507E7F">
        <w:t>”</w:t>
      </w:r>
      <w:r w:rsidR="002B42DF" w:rsidRPr="00507E7F">
        <w:t xml:space="preserve"> </w:t>
      </w:r>
      <w:r w:rsidR="002B42DF" w:rsidRPr="00507E7F">
        <w:fldChar w:fldCharType="begin"/>
      </w:r>
      <w:r w:rsidR="002B42DF" w:rsidRPr="00507E7F">
        <w:instrText xml:space="preserve"> REF _Ref409013634 \r \h </w:instrText>
      </w:r>
      <w:r w:rsidR="00272300" w:rsidRPr="00507E7F">
        <w:instrText xml:space="preserve"> \* MERGEFORMAT </w:instrText>
      </w:r>
      <w:r w:rsidR="002B42DF" w:rsidRPr="00507E7F">
        <w:fldChar w:fldCharType="separate"/>
      </w:r>
      <w:r w:rsidR="006C27EF" w:rsidRPr="00507E7F">
        <w:t>[16]</w:t>
      </w:r>
      <w:r w:rsidR="002B42DF" w:rsidRPr="00507E7F">
        <w:fldChar w:fldCharType="end"/>
      </w:r>
      <w:r w:rsidR="00521C86" w:rsidRPr="00507E7F">
        <w:t xml:space="preserve">, which may also be demonstrated by compliance with equivalent technical specifications (in the sense of </w:t>
      </w:r>
      <w:r w:rsidR="00967F61" w:rsidRPr="00507E7F">
        <w:t>article 3.2</w:t>
      </w:r>
      <w:r w:rsidR="00521C86" w:rsidRPr="00507E7F">
        <w:t xml:space="preserve"> of the Radio Equipment Directive</w:t>
      </w:r>
      <w:r w:rsidR="00967F61" w:rsidRPr="00507E7F">
        <w:t xml:space="preserve"> </w:t>
      </w:r>
      <w:r w:rsidR="00967F61" w:rsidRPr="00507E7F">
        <w:fldChar w:fldCharType="begin"/>
      </w:r>
      <w:r w:rsidR="00967F61" w:rsidRPr="00507E7F">
        <w:instrText xml:space="preserve"> REF _Ref524696809 \r \h </w:instrText>
      </w:r>
      <w:r w:rsidR="00967F61" w:rsidRPr="00507E7F">
        <w:fldChar w:fldCharType="separate"/>
      </w:r>
      <w:r w:rsidR="00967F61" w:rsidRPr="00507E7F">
        <w:t>[15]</w:t>
      </w:r>
      <w:r w:rsidR="00967F61" w:rsidRPr="00507E7F">
        <w:fldChar w:fldCharType="end"/>
      </w:r>
      <w:r w:rsidR="00521C86" w:rsidRPr="00507E7F">
        <w:rPr>
          <w:rFonts w:cs="Arial"/>
        </w:rPr>
        <w:t>)</w:t>
      </w:r>
      <w:r w:rsidR="0088659D">
        <w:t>;</w:t>
      </w:r>
    </w:p>
    <w:p w14:paraId="6157E749" w14:textId="77777777" w:rsidR="00FC755E" w:rsidRPr="00507E7F" w:rsidRDefault="00FC755E" w:rsidP="001026EC">
      <w:pPr>
        <w:numPr>
          <w:ilvl w:val="0"/>
          <w:numId w:val="25"/>
        </w:numPr>
        <w:spacing w:before="240" w:after="240"/>
        <w:ind w:left="284" w:hanging="284"/>
        <w:jc w:val="both"/>
        <w:rPr>
          <w:rFonts w:cs="Arial"/>
          <w:lang w:val="en-GB"/>
        </w:rPr>
      </w:pPr>
      <w:r w:rsidRPr="00507E7F">
        <w:rPr>
          <w:rFonts w:cs="Arial"/>
          <w:lang w:val="en-GB"/>
        </w:rPr>
        <w:t xml:space="preserve">ESOMPs shall comply with the following requirements </w:t>
      </w:r>
      <w:r w:rsidR="00D54222" w:rsidRPr="00507E7F">
        <w:rPr>
          <w:rFonts w:cs="Arial"/>
          <w:szCs w:val="20"/>
          <w:lang w:val="en-GB" w:eastAsia="fr-FR"/>
        </w:rPr>
        <w:t>that</w:t>
      </w:r>
      <w:r w:rsidRPr="00507E7F">
        <w:rPr>
          <w:rFonts w:cs="Arial"/>
          <w:szCs w:val="20"/>
          <w:lang w:val="en-GB" w:eastAsia="fr-FR"/>
        </w:rPr>
        <w:t xml:space="preserve"> ensure compliance with aircraft HIRF protection criteria based on ECC Report 272</w:t>
      </w:r>
      <w:r w:rsidR="002E05F7" w:rsidRPr="00507E7F">
        <w:rPr>
          <w:rFonts w:cs="Arial"/>
          <w:szCs w:val="20"/>
          <w:lang w:val="en-GB" w:eastAsia="fr-FR"/>
        </w:rPr>
        <w:t xml:space="preserve"> </w:t>
      </w:r>
      <w:r w:rsidR="006D6DBB" w:rsidRPr="00507E7F">
        <w:rPr>
          <w:rFonts w:cs="Arial"/>
          <w:szCs w:val="20"/>
          <w:lang w:val="en-GB" w:eastAsia="fr-FR"/>
        </w:rPr>
        <w:fldChar w:fldCharType="begin"/>
      </w:r>
      <w:r w:rsidR="006D6DBB" w:rsidRPr="00507E7F">
        <w:rPr>
          <w:rFonts w:cs="Arial"/>
          <w:szCs w:val="20"/>
          <w:lang w:val="en-GB" w:eastAsia="fr-FR"/>
        </w:rPr>
        <w:instrText xml:space="preserve"> REF _Ref531340645 \r \h </w:instrText>
      </w:r>
      <w:r w:rsidR="006D6DBB" w:rsidRPr="00507E7F">
        <w:rPr>
          <w:rFonts w:cs="Arial"/>
          <w:szCs w:val="20"/>
          <w:lang w:val="en-GB" w:eastAsia="fr-FR"/>
        </w:rPr>
      </w:r>
      <w:r w:rsidR="006D6DBB" w:rsidRPr="00507E7F">
        <w:rPr>
          <w:rFonts w:cs="Arial"/>
          <w:szCs w:val="20"/>
          <w:lang w:val="en-GB" w:eastAsia="fr-FR"/>
        </w:rPr>
        <w:fldChar w:fldCharType="separate"/>
      </w:r>
      <w:r w:rsidR="006C27EF" w:rsidRPr="00507E7F">
        <w:rPr>
          <w:rFonts w:cs="Arial"/>
          <w:szCs w:val="20"/>
          <w:lang w:val="en-GB" w:eastAsia="fr-FR"/>
        </w:rPr>
        <w:t>[10]</w:t>
      </w:r>
      <w:r w:rsidR="006D6DBB" w:rsidRPr="00507E7F">
        <w:rPr>
          <w:rFonts w:cs="Arial"/>
          <w:szCs w:val="20"/>
          <w:lang w:val="en-GB" w:eastAsia="fr-FR"/>
        </w:rPr>
        <w:fldChar w:fldCharType="end"/>
      </w:r>
      <w:r w:rsidRPr="00507E7F">
        <w:rPr>
          <w:rFonts w:cs="Arial"/>
          <w:szCs w:val="20"/>
          <w:lang w:val="en-GB" w:eastAsia="fr-FR"/>
        </w:rPr>
        <w:t>, using a maximum HIRF field strength of 150 V/m</w:t>
      </w:r>
      <w:r w:rsidRPr="00507E7F">
        <w:rPr>
          <w:rFonts w:cs="Arial"/>
          <w:lang w:val="en-GB"/>
        </w:rPr>
        <w:t>:</w:t>
      </w:r>
    </w:p>
    <w:p w14:paraId="0450CBC4" w14:textId="3E891AB7" w:rsidR="00515A00" w:rsidRPr="00507E7F" w:rsidRDefault="00515A00" w:rsidP="00AC1DEF">
      <w:pPr>
        <w:pStyle w:val="ListParagraph"/>
        <w:numPr>
          <w:ilvl w:val="0"/>
          <w:numId w:val="37"/>
        </w:numPr>
        <w:rPr>
          <w:rFonts w:cs="Arial"/>
          <w:lang w:val="en-GB"/>
        </w:rPr>
      </w:pPr>
      <w:r w:rsidRPr="00FD5220">
        <w:rPr>
          <w:rFonts w:eastAsia="Calibri"/>
          <w:lang w:val="en-GB"/>
        </w:rPr>
        <w:t xml:space="preserve">The maximum e.i.r.p. </w:t>
      </w:r>
      <w:r w:rsidRPr="00507E7F">
        <w:rPr>
          <w:rFonts w:eastAsia="Calibri" w:cs="Arial"/>
          <w:szCs w:val="22"/>
          <w:lang w:val="en-GB"/>
        </w:rPr>
        <w:t>of ESOMPs installed on aircraft operating within the airfield boundary including operations on the ground shall be limited to 58.4 dBW;</w:t>
      </w:r>
    </w:p>
    <w:p w14:paraId="2AA5D56D" w14:textId="77777777" w:rsidR="00FC755E" w:rsidRPr="00507E7F" w:rsidRDefault="00FC755E" w:rsidP="00FD5220">
      <w:pPr>
        <w:pStyle w:val="ListParagraph"/>
        <w:numPr>
          <w:ilvl w:val="0"/>
          <w:numId w:val="37"/>
        </w:numPr>
        <w:rPr>
          <w:rFonts w:cs="Arial"/>
        </w:rPr>
      </w:pPr>
      <w:r w:rsidRPr="00507E7F">
        <w:rPr>
          <w:rFonts w:eastAsia="Calibri" w:cs="Arial"/>
          <w:szCs w:val="22"/>
          <w:lang w:val="en-GB"/>
        </w:rPr>
        <w:t xml:space="preserve">The maximum e.i.r.p. </w:t>
      </w:r>
      <w:r w:rsidRPr="00FD5220">
        <w:rPr>
          <w:rFonts w:eastAsia="Calibri"/>
          <w:lang w:val="en-GB"/>
        </w:rPr>
        <w:t>of land-based ESOMPs operating within the airfield boundary shall be limited to 52.4 dBW;</w:t>
      </w:r>
    </w:p>
    <w:p w14:paraId="36F98B6B" w14:textId="77777777" w:rsidR="00D54222" w:rsidRPr="00507E7F" w:rsidRDefault="00FC755E" w:rsidP="00FD5220">
      <w:pPr>
        <w:pStyle w:val="ListParagraph"/>
        <w:numPr>
          <w:ilvl w:val="0"/>
          <w:numId w:val="37"/>
        </w:numPr>
        <w:rPr>
          <w:rFonts w:cs="Arial"/>
        </w:rPr>
      </w:pPr>
      <w:r w:rsidRPr="00FD5220">
        <w:rPr>
          <w:rFonts w:eastAsia="Calibri"/>
          <w:lang w:val="en-GB"/>
        </w:rPr>
        <w:t xml:space="preserve">The maximum e.i.r.p. of </w:t>
      </w:r>
      <w:r w:rsidR="00FE012C" w:rsidRPr="00FD5220">
        <w:rPr>
          <w:rFonts w:eastAsia="Calibri"/>
          <w:lang w:val="en-GB"/>
        </w:rPr>
        <w:t xml:space="preserve">land-based </w:t>
      </w:r>
      <w:r w:rsidRPr="00FD5220">
        <w:rPr>
          <w:rFonts w:eastAsia="Calibri"/>
          <w:lang w:val="en-GB"/>
        </w:rPr>
        <w:t xml:space="preserve">ESOMPs </w:t>
      </w:r>
      <w:r w:rsidR="00AC65D5" w:rsidRPr="00FD5220">
        <w:rPr>
          <w:rFonts w:eastAsia="Calibri"/>
          <w:lang w:val="en-GB"/>
        </w:rPr>
        <w:t xml:space="preserve">operating </w:t>
      </w:r>
      <w:r w:rsidRPr="00FD5220">
        <w:rPr>
          <w:rFonts w:eastAsia="Calibri"/>
          <w:lang w:val="en-GB"/>
        </w:rPr>
        <w:t>outside the airfield boundary</w:t>
      </w:r>
      <w:r w:rsidR="00D54222" w:rsidRPr="00FD5220">
        <w:rPr>
          <w:rFonts w:eastAsia="Calibri"/>
          <w:lang w:val="en-GB"/>
        </w:rPr>
        <w:t xml:space="preserve"> shall be limited to </w:t>
      </w:r>
      <w:r w:rsidR="005B6B0A" w:rsidRPr="00FD5220">
        <w:rPr>
          <w:rFonts w:eastAsia="Calibri"/>
          <w:lang w:val="en-GB"/>
        </w:rPr>
        <w:t>70 dBW</w:t>
      </w:r>
      <w:r w:rsidR="00F15438" w:rsidRPr="00FD5220">
        <w:rPr>
          <w:rFonts w:eastAsia="Calibri"/>
          <w:lang w:val="en-GB"/>
        </w:rPr>
        <w:t xml:space="preserve"> </w:t>
      </w:r>
      <w:r w:rsidR="00D54222" w:rsidRPr="00FD5220">
        <w:rPr>
          <w:rFonts w:eastAsia="Calibri"/>
          <w:lang w:val="en-GB"/>
        </w:rPr>
        <w:t>;</w:t>
      </w:r>
    </w:p>
    <w:p w14:paraId="1E665307" w14:textId="77777777" w:rsidR="00E20F78" w:rsidRPr="00507E7F" w:rsidRDefault="00E20F78" w:rsidP="00FD5220">
      <w:pPr>
        <w:pStyle w:val="ListParagraph"/>
        <w:numPr>
          <w:ilvl w:val="0"/>
          <w:numId w:val="37"/>
        </w:numPr>
        <w:rPr>
          <w:rFonts w:cs="Arial"/>
        </w:rPr>
      </w:pPr>
      <w:r w:rsidRPr="00FD5220">
        <w:rPr>
          <w:rFonts w:eastAsia="Calibri"/>
          <w:lang w:val="en-GB"/>
        </w:rPr>
        <w:t>The maximum e.i.r.p. of ESOMPs on vessels shall be limited to 70 dBW;</w:t>
      </w:r>
    </w:p>
    <w:p w14:paraId="513B9034" w14:textId="7B8C5BBA" w:rsidR="00515A00" w:rsidRPr="00507E7F" w:rsidRDefault="00FC755E" w:rsidP="00FD5220">
      <w:pPr>
        <w:pStyle w:val="ListParagraph"/>
        <w:numPr>
          <w:ilvl w:val="0"/>
          <w:numId w:val="37"/>
        </w:numPr>
        <w:rPr>
          <w:rFonts w:cs="Arial"/>
        </w:rPr>
      </w:pPr>
      <w:r w:rsidRPr="00FD5220">
        <w:rPr>
          <w:rFonts w:eastAsia="Calibri"/>
          <w:lang w:val="en-GB"/>
        </w:rPr>
        <w:t>The maximum e.i.r.p. of ESOMPs, as defined above, operating within TDMA networks shall be respected after taking into consideration the duty cycle (see section 3.3 and 3.4 of ECC Report 272).</w:t>
      </w:r>
    </w:p>
    <w:p w14:paraId="7517EC69" w14:textId="77777777" w:rsidR="002937FB" w:rsidRPr="00507E7F" w:rsidRDefault="002937FB" w:rsidP="002937FB">
      <w:pPr>
        <w:pStyle w:val="ECCTabletext"/>
        <w:jc w:val="left"/>
        <w:rPr>
          <w:rFonts w:cs="Arial"/>
          <w:szCs w:val="20"/>
          <w:highlight w:val="yellow"/>
          <w:lang w:eastAsia="fr-FR"/>
        </w:rPr>
      </w:pPr>
    </w:p>
    <w:p w14:paraId="31D569F6" w14:textId="77777777" w:rsidR="002937FB" w:rsidRPr="00507E7F" w:rsidRDefault="002937FB" w:rsidP="002937FB">
      <w:pPr>
        <w:pStyle w:val="ECCTabletext"/>
        <w:jc w:val="left"/>
        <w:rPr>
          <w:rFonts w:cs="Arial"/>
          <w:highlight w:val="yellow"/>
        </w:rPr>
      </w:pPr>
    </w:p>
    <w:p w14:paraId="634ED8E8" w14:textId="77777777" w:rsidR="006C03D0" w:rsidRPr="00507E7F" w:rsidRDefault="00D7148E" w:rsidP="00FD5220">
      <w:pPr>
        <w:pStyle w:val="ECCAnnex-heading1"/>
      </w:pPr>
      <w:r w:rsidRPr="00507E7F">
        <w:lastRenderedPageBreak/>
        <w:t>Additional Technical and operational requirements for ESOMPS operating within the frequency bands 17.3-19.7 GH</w:t>
      </w:r>
      <w:r w:rsidRPr="00507E7F">
        <w:rPr>
          <w:sz w:val="16"/>
        </w:rPr>
        <w:t>z</w:t>
      </w:r>
      <w:r w:rsidRPr="00507E7F">
        <w:t xml:space="preserve"> and 27.5-29.1 GH</w:t>
      </w:r>
      <w:r w:rsidRPr="00507E7F">
        <w:rPr>
          <w:sz w:val="16"/>
        </w:rPr>
        <w:t>z</w:t>
      </w:r>
    </w:p>
    <w:p w14:paraId="62E4349D" w14:textId="77777777" w:rsidR="00D7148E" w:rsidRPr="00507E7F" w:rsidRDefault="00D7148E" w:rsidP="00D7148E">
      <w:pPr>
        <w:pStyle w:val="ECCParagraph"/>
      </w:pPr>
      <w:r w:rsidRPr="00507E7F">
        <w:t>ESOMPs operating within the frequency bands 17.3-19.7 GHz and 27.5-29.1 GHz must comply (in addition to Annex 1) with the following technical and operational requirements:</w:t>
      </w:r>
    </w:p>
    <w:p w14:paraId="67C3604C" w14:textId="77777777" w:rsidR="00D7148E" w:rsidRPr="00507E7F" w:rsidRDefault="00D7148E" w:rsidP="00D7148E">
      <w:pPr>
        <w:pStyle w:val="ECCParBulleted"/>
        <w:numPr>
          <w:ilvl w:val="0"/>
          <w:numId w:val="27"/>
        </w:numPr>
        <w:tabs>
          <w:tab w:val="clear" w:pos="360"/>
          <w:tab w:val="num" w:pos="720"/>
        </w:tabs>
      </w:pPr>
      <w:r w:rsidRPr="00507E7F">
        <w:t>In the territory of any administration, the off-axis</w:t>
      </w:r>
      <w:r w:rsidRPr="00507E7F">
        <w:rPr>
          <w:vertAlign w:val="superscript"/>
        </w:rPr>
        <w:footnoteReference w:id="4"/>
      </w:r>
      <w:r w:rsidRPr="00507E7F">
        <w:t xml:space="preserve"> e.i.r.p. spectral density radiated by any ESOMP into the FS bands (i.e. 27.8285-28.4445 GHz, 28.8365-28.9485 GHz (where applicable) and 28.9485-29.1 GHz) shall be limited to -35 dBW/MHz. This limit shall, in any case, be met by ESOMPs on land, on territorial sea or on internal waters, at a direction of 3 degrees or less above the local horizontal plane at the ESOMP</w:t>
      </w:r>
      <w:r w:rsidR="00716757" w:rsidRPr="00507E7F">
        <w:t>s</w:t>
      </w:r>
      <w:r w:rsidRPr="00507E7F">
        <w:t xml:space="preserve"> terminal;</w:t>
      </w:r>
    </w:p>
    <w:p w14:paraId="4D5227B7" w14:textId="77777777" w:rsidR="00D7148E" w:rsidRPr="00507E7F" w:rsidRDefault="00D7148E" w:rsidP="00D7148E">
      <w:pPr>
        <w:pStyle w:val="ECCParBulleted"/>
        <w:numPr>
          <w:ilvl w:val="0"/>
          <w:numId w:val="27"/>
        </w:numPr>
        <w:tabs>
          <w:tab w:val="clear" w:pos="360"/>
          <w:tab w:val="num" w:pos="720"/>
        </w:tabs>
      </w:pPr>
      <w:r w:rsidRPr="00507E7F">
        <w:t>In the territory of any administration, ESOMPs shall not have their transmit occupied band edges closer than 10 MHz from the edges of the bands identified by that administration for FS operation;</w:t>
      </w:r>
    </w:p>
    <w:p w14:paraId="63CA64BB" w14:textId="77777777" w:rsidR="00D7148E" w:rsidRPr="00507E7F" w:rsidRDefault="00D7148E" w:rsidP="00D7148E">
      <w:pPr>
        <w:pStyle w:val="ECCParBulleted"/>
        <w:numPr>
          <w:ilvl w:val="0"/>
          <w:numId w:val="27"/>
        </w:numPr>
        <w:tabs>
          <w:tab w:val="clear" w:pos="360"/>
          <w:tab w:val="num" w:pos="720"/>
        </w:tabs>
      </w:pPr>
      <w:r w:rsidRPr="00507E7F">
        <w:t>The antenna elevation angle shall be higher than 3 degrees;</w:t>
      </w:r>
    </w:p>
    <w:p w14:paraId="66873E30" w14:textId="18F751AD" w:rsidR="00D7148E" w:rsidRPr="00507E7F" w:rsidRDefault="00D7148E" w:rsidP="00D7148E">
      <w:pPr>
        <w:pStyle w:val="ECCParBulleted"/>
        <w:numPr>
          <w:ilvl w:val="0"/>
          <w:numId w:val="27"/>
        </w:numPr>
        <w:tabs>
          <w:tab w:val="clear" w:pos="360"/>
          <w:tab w:val="num" w:pos="720"/>
        </w:tabs>
      </w:pPr>
      <w:r w:rsidRPr="00507E7F">
        <w:t>In the band 28.8365-28.9485 GHz, the PFD threshold values in paragraph</w:t>
      </w:r>
      <w:r w:rsidR="00CD7E1C">
        <w:t>s</w:t>
      </w:r>
      <w:r w:rsidRPr="00507E7F">
        <w:t xml:space="preserve"> 6 </w:t>
      </w:r>
      <w:r w:rsidR="002E017F" w:rsidRPr="00507E7F">
        <w:t xml:space="preserve">and 7 </w:t>
      </w:r>
      <w:r w:rsidRPr="00507E7F">
        <w:t xml:space="preserve">shall apply to the territory of any administration which authorises FS systems in this band and shall not be exceeded, unless prior agreement has been given by the concerned administration(s) to exceed these values; </w:t>
      </w:r>
    </w:p>
    <w:p w14:paraId="6D69929F" w14:textId="74207CF8" w:rsidR="00D7148E" w:rsidRPr="00507E7F" w:rsidRDefault="00D7148E" w:rsidP="00D7148E">
      <w:pPr>
        <w:pStyle w:val="ECCParBulleted"/>
        <w:numPr>
          <w:ilvl w:val="0"/>
          <w:numId w:val="27"/>
        </w:numPr>
      </w:pPr>
      <w:r w:rsidRPr="00507E7F">
        <w:t>In the bands 27.8285-28.4445 GHz and 28.9485-29.1 GHz, the PFD threshold values in paragraph</w:t>
      </w:r>
      <w:r w:rsidR="00CD7E1C">
        <w:t>s</w:t>
      </w:r>
      <w:r w:rsidRPr="00507E7F">
        <w:t xml:space="preserve"> 6 </w:t>
      </w:r>
      <w:r w:rsidR="0088659D">
        <w:t xml:space="preserve">and 7 </w:t>
      </w:r>
      <w:r w:rsidRPr="00507E7F">
        <w:t>shall apply to the territory of all CEPT administrations and shall not be exceeded, unless prior agreement has been given by the concerned administration(s) to exceed these values;</w:t>
      </w:r>
    </w:p>
    <w:p w14:paraId="062AE024" w14:textId="77777777" w:rsidR="00D7148E" w:rsidRPr="00507E7F" w:rsidRDefault="00D7148E" w:rsidP="00D7148E">
      <w:pPr>
        <w:pStyle w:val="ECCParBulleted"/>
        <w:numPr>
          <w:ilvl w:val="0"/>
          <w:numId w:val="27"/>
        </w:numPr>
      </w:pPr>
      <w:r w:rsidRPr="00507E7F">
        <w:t>For ESOMPs installed on vessels, the PFD threshold value is -109 dB(W/m</w:t>
      </w:r>
      <w:r w:rsidRPr="00507E7F">
        <w:rPr>
          <w:vertAlign w:val="superscript"/>
        </w:rPr>
        <w:t>2</w:t>
      </w:r>
      <w:r w:rsidRPr="00507E7F">
        <w:t>) in a reference bandwidth of 14 MHz at a height of 20 metres above mean sea level at the low-water mark of the territory of the administrations defined in paragraphs 4 and 5 above</w:t>
      </w:r>
      <w:r w:rsidRPr="00507E7F">
        <w:rPr>
          <w:vertAlign w:val="superscript"/>
        </w:rPr>
        <w:footnoteReference w:id="5"/>
      </w:r>
      <w:r w:rsidRPr="00507E7F">
        <w:t>;</w:t>
      </w:r>
    </w:p>
    <w:p w14:paraId="35E57AA7" w14:textId="55528886" w:rsidR="002E017F" w:rsidRPr="00507E7F" w:rsidRDefault="002E017F" w:rsidP="002E017F">
      <w:pPr>
        <w:pStyle w:val="ECCParBulleted"/>
        <w:numPr>
          <w:ilvl w:val="0"/>
          <w:numId w:val="27"/>
        </w:numPr>
      </w:pPr>
      <w:r w:rsidRPr="00507E7F">
        <w:t>For ESOMPs installed on aircraft the PFD values dB(W/m</w:t>
      </w:r>
      <w:r w:rsidRPr="00507E7F">
        <w:rPr>
          <w:vertAlign w:val="superscript"/>
        </w:rPr>
        <w:t>2</w:t>
      </w:r>
      <w:r w:rsidRPr="00507E7F">
        <w:t xml:space="preserve">) in a reference bandwidth of 14 MHz on the </w:t>
      </w:r>
      <w:r w:rsidR="0088659D">
        <w:t xml:space="preserve">Earth’s surface </w:t>
      </w:r>
      <w:r w:rsidRPr="00507E7F">
        <w:t>ground are the following:</w:t>
      </w:r>
    </w:p>
    <w:p w14:paraId="3F9F2DA3" w14:textId="77777777" w:rsidR="002E017F" w:rsidRPr="00507E7F" w:rsidRDefault="002E017F" w:rsidP="002E017F">
      <w:pPr>
        <w:ind w:left="1134"/>
        <w:rPr>
          <w:lang w:val="en-GB"/>
        </w:rPr>
      </w:pPr>
      <w:r w:rsidRPr="00507E7F">
        <w:rPr>
          <w:lang w:val="en-GB"/>
        </w:rPr>
        <w:t>–124.7</w:t>
      </w:r>
      <w:r w:rsidRPr="00507E7F">
        <w:rPr>
          <w:lang w:val="en-GB"/>
        </w:rPr>
        <w:tab/>
      </w:r>
      <w:r w:rsidRPr="00507E7F">
        <w:rPr>
          <w:lang w:val="en-GB"/>
        </w:rPr>
        <w:tab/>
      </w:r>
      <w:r w:rsidRPr="00507E7F">
        <w:rPr>
          <w:lang w:val="en-GB"/>
        </w:rPr>
        <w:tab/>
        <w:t xml:space="preserve">for </w:t>
      </w:r>
      <w:r w:rsidRPr="00507E7F">
        <w:rPr>
          <w:lang w:val="en-GB"/>
        </w:rPr>
        <w:tab/>
        <w:t>0°</w:t>
      </w:r>
      <w:r w:rsidRPr="00507E7F">
        <w:rPr>
          <w:lang w:val="en-GB"/>
        </w:rPr>
        <w:tab/>
        <w:t xml:space="preserve">≤ </w:t>
      </w:r>
      <w:r w:rsidRPr="00507E7F">
        <w:rPr>
          <w:rFonts w:ascii="Symbol" w:hAnsi="Symbol"/>
          <w:lang w:val="en-GB"/>
        </w:rPr>
        <w:t></w:t>
      </w:r>
      <w:r w:rsidRPr="00507E7F">
        <w:rPr>
          <w:lang w:val="en-GB"/>
        </w:rPr>
        <w:t xml:space="preserve"> ≤</w:t>
      </w:r>
      <w:r w:rsidRPr="00507E7F">
        <w:rPr>
          <w:lang w:val="en-GB"/>
        </w:rPr>
        <w:tab/>
        <w:t>0.01°</w:t>
      </w:r>
    </w:p>
    <w:p w14:paraId="58A69F4E" w14:textId="77777777" w:rsidR="002E017F" w:rsidRPr="00507E7F" w:rsidRDefault="002E017F" w:rsidP="002E017F">
      <w:pPr>
        <w:ind w:left="1134"/>
        <w:rPr>
          <w:lang w:val="en-GB"/>
        </w:rPr>
      </w:pPr>
      <w:r w:rsidRPr="00507E7F">
        <w:rPr>
          <w:lang w:val="en-GB"/>
        </w:rPr>
        <w:t>–120.9 +   1.9 log</w:t>
      </w:r>
      <w:r w:rsidRPr="00507E7F">
        <w:rPr>
          <w:vertAlign w:val="subscript"/>
          <w:lang w:val="en-GB"/>
        </w:rPr>
        <w:t>10</w:t>
      </w:r>
      <w:r w:rsidRPr="00507E7F">
        <w:rPr>
          <w:lang w:val="en-GB"/>
        </w:rPr>
        <w:t>(</w:t>
      </w:r>
      <w:r w:rsidRPr="00507E7F">
        <w:rPr>
          <w:rFonts w:ascii="Symbol" w:hAnsi="Symbol"/>
          <w:lang w:val="en-GB"/>
        </w:rPr>
        <w:t></w:t>
      </w:r>
      <w:r w:rsidRPr="00507E7F">
        <w:rPr>
          <w:lang w:val="en-GB"/>
        </w:rPr>
        <w:t xml:space="preserve">) </w:t>
      </w:r>
      <w:r w:rsidRPr="00507E7F">
        <w:rPr>
          <w:lang w:val="en-GB"/>
        </w:rPr>
        <w:tab/>
        <w:t xml:space="preserve">for </w:t>
      </w:r>
      <w:r w:rsidRPr="00507E7F">
        <w:rPr>
          <w:lang w:val="en-GB"/>
        </w:rPr>
        <w:tab/>
        <w:t>0.01°</w:t>
      </w:r>
      <w:r w:rsidRPr="00507E7F">
        <w:rPr>
          <w:lang w:val="en-GB"/>
        </w:rPr>
        <w:tab/>
        <w:t xml:space="preserve">&lt; </w:t>
      </w:r>
      <w:r w:rsidRPr="00507E7F">
        <w:rPr>
          <w:rFonts w:ascii="Symbol" w:hAnsi="Symbol"/>
          <w:lang w:val="en-GB"/>
        </w:rPr>
        <w:t></w:t>
      </w:r>
      <w:r w:rsidRPr="00507E7F">
        <w:rPr>
          <w:lang w:val="en-GB"/>
        </w:rPr>
        <w:t xml:space="preserve"> ≤</w:t>
      </w:r>
      <w:r w:rsidRPr="00507E7F">
        <w:rPr>
          <w:lang w:val="en-GB"/>
        </w:rPr>
        <w:tab/>
        <w:t>0.3°</w:t>
      </w:r>
    </w:p>
    <w:p w14:paraId="0B3A4C0E" w14:textId="77777777" w:rsidR="002E017F" w:rsidRPr="00507E7F" w:rsidRDefault="002E017F" w:rsidP="002E017F">
      <w:pPr>
        <w:ind w:left="1134"/>
        <w:rPr>
          <w:lang w:val="en-GB"/>
        </w:rPr>
      </w:pPr>
      <w:r w:rsidRPr="00507E7F">
        <w:rPr>
          <w:lang w:val="en-GB"/>
        </w:rPr>
        <w:t>–116.2 + 11.0 log</w:t>
      </w:r>
      <w:r w:rsidRPr="00507E7F">
        <w:rPr>
          <w:vertAlign w:val="subscript"/>
          <w:lang w:val="en-GB"/>
        </w:rPr>
        <w:t>10</w:t>
      </w:r>
      <w:r w:rsidRPr="00507E7F">
        <w:rPr>
          <w:lang w:val="en-GB"/>
        </w:rPr>
        <w:t>(</w:t>
      </w:r>
      <w:r w:rsidRPr="00507E7F">
        <w:rPr>
          <w:rFonts w:ascii="Symbol" w:hAnsi="Symbol"/>
          <w:lang w:val="en-GB"/>
        </w:rPr>
        <w:t></w:t>
      </w:r>
      <w:r w:rsidRPr="00507E7F">
        <w:rPr>
          <w:lang w:val="en-GB"/>
        </w:rPr>
        <w:t>)</w:t>
      </w:r>
      <w:r w:rsidRPr="00507E7F">
        <w:rPr>
          <w:lang w:val="en-GB"/>
        </w:rPr>
        <w:tab/>
        <w:t xml:space="preserve">for </w:t>
      </w:r>
      <w:r w:rsidRPr="00507E7F">
        <w:rPr>
          <w:lang w:val="en-GB"/>
        </w:rPr>
        <w:tab/>
        <w:t>0.3°</w:t>
      </w:r>
      <w:r w:rsidRPr="00507E7F">
        <w:rPr>
          <w:lang w:val="en-GB"/>
        </w:rPr>
        <w:tab/>
        <w:t>&lt;</w:t>
      </w:r>
      <w:r w:rsidRPr="00507E7F">
        <w:rPr>
          <w:rFonts w:ascii="Symbol" w:hAnsi="Symbol"/>
          <w:lang w:val="en-GB"/>
        </w:rPr>
        <w:t></w:t>
      </w:r>
      <w:r w:rsidRPr="00507E7F">
        <w:rPr>
          <w:rFonts w:ascii="Symbol" w:hAnsi="Symbol"/>
          <w:lang w:val="en-GB"/>
        </w:rPr>
        <w:t></w:t>
      </w:r>
      <w:r w:rsidRPr="00507E7F">
        <w:rPr>
          <w:lang w:val="en-GB"/>
        </w:rPr>
        <w:t xml:space="preserve"> ≤</w:t>
      </w:r>
      <w:r w:rsidRPr="00507E7F">
        <w:rPr>
          <w:lang w:val="en-GB"/>
        </w:rPr>
        <w:tab/>
        <w:t>1.0°</w:t>
      </w:r>
    </w:p>
    <w:p w14:paraId="56846AF5" w14:textId="77777777" w:rsidR="002E017F" w:rsidRPr="00507E7F" w:rsidRDefault="002E017F" w:rsidP="002E017F">
      <w:pPr>
        <w:ind w:left="1134"/>
        <w:rPr>
          <w:lang w:val="en-GB"/>
        </w:rPr>
      </w:pPr>
      <w:r w:rsidRPr="00507E7F">
        <w:rPr>
          <w:lang w:val="en-GB"/>
        </w:rPr>
        <w:t>–116.2 + 18.0 log</w:t>
      </w:r>
      <w:r w:rsidRPr="00507E7F">
        <w:rPr>
          <w:vertAlign w:val="subscript"/>
          <w:lang w:val="en-GB"/>
        </w:rPr>
        <w:t>10</w:t>
      </w:r>
      <w:r w:rsidRPr="00507E7F">
        <w:rPr>
          <w:lang w:val="en-GB"/>
        </w:rPr>
        <w:t>(</w:t>
      </w:r>
      <w:r w:rsidRPr="00507E7F">
        <w:rPr>
          <w:rFonts w:ascii="Symbol" w:hAnsi="Symbol"/>
          <w:lang w:val="en-GB"/>
        </w:rPr>
        <w:t></w:t>
      </w:r>
      <w:r w:rsidRPr="00507E7F">
        <w:rPr>
          <w:lang w:val="en-GB"/>
        </w:rPr>
        <w:t>)</w:t>
      </w:r>
      <w:r w:rsidRPr="00507E7F">
        <w:rPr>
          <w:lang w:val="en-GB"/>
        </w:rPr>
        <w:tab/>
        <w:t xml:space="preserve">for </w:t>
      </w:r>
      <w:r w:rsidRPr="00507E7F">
        <w:rPr>
          <w:lang w:val="en-GB"/>
        </w:rPr>
        <w:tab/>
        <w:t>1.0°</w:t>
      </w:r>
      <w:r w:rsidRPr="00507E7F">
        <w:rPr>
          <w:lang w:val="en-GB"/>
        </w:rPr>
        <w:tab/>
        <w:t>&lt;</w:t>
      </w:r>
      <w:r w:rsidRPr="00507E7F">
        <w:rPr>
          <w:rFonts w:ascii="Symbol" w:hAnsi="Symbol"/>
          <w:lang w:val="en-GB"/>
        </w:rPr>
        <w:t></w:t>
      </w:r>
      <w:r w:rsidRPr="00507E7F">
        <w:rPr>
          <w:rFonts w:ascii="Symbol" w:hAnsi="Symbol"/>
          <w:lang w:val="en-GB"/>
        </w:rPr>
        <w:t></w:t>
      </w:r>
      <w:r w:rsidRPr="00507E7F">
        <w:rPr>
          <w:lang w:val="en-GB"/>
        </w:rPr>
        <w:t xml:space="preserve"> ≤</w:t>
      </w:r>
      <w:r w:rsidRPr="00507E7F">
        <w:rPr>
          <w:lang w:val="en-GB"/>
        </w:rPr>
        <w:tab/>
        <w:t>2.0°</w:t>
      </w:r>
    </w:p>
    <w:p w14:paraId="310829D9" w14:textId="77777777" w:rsidR="002E017F" w:rsidRPr="00507E7F" w:rsidRDefault="002E017F" w:rsidP="002E017F">
      <w:pPr>
        <w:ind w:left="1134"/>
        <w:rPr>
          <w:lang w:val="en-GB"/>
        </w:rPr>
      </w:pPr>
      <w:r w:rsidRPr="00507E7F">
        <w:rPr>
          <w:lang w:val="en-GB"/>
        </w:rPr>
        <w:t>–117.9 + 23.7 log</w:t>
      </w:r>
      <w:r w:rsidRPr="00507E7F">
        <w:rPr>
          <w:vertAlign w:val="subscript"/>
          <w:lang w:val="en-GB"/>
        </w:rPr>
        <w:t>10</w:t>
      </w:r>
      <w:r w:rsidRPr="00507E7F">
        <w:rPr>
          <w:lang w:val="en-GB"/>
        </w:rPr>
        <w:t>(</w:t>
      </w:r>
      <w:r w:rsidRPr="00507E7F">
        <w:rPr>
          <w:rFonts w:ascii="Symbol" w:hAnsi="Symbol"/>
          <w:lang w:val="en-GB"/>
        </w:rPr>
        <w:t></w:t>
      </w:r>
      <w:r w:rsidRPr="00507E7F">
        <w:rPr>
          <w:lang w:val="en-GB"/>
        </w:rPr>
        <w:t>)</w:t>
      </w:r>
      <w:r w:rsidRPr="00507E7F">
        <w:rPr>
          <w:lang w:val="en-GB"/>
        </w:rPr>
        <w:tab/>
        <w:t xml:space="preserve">for </w:t>
      </w:r>
      <w:r w:rsidRPr="00507E7F">
        <w:rPr>
          <w:lang w:val="en-GB"/>
        </w:rPr>
        <w:tab/>
        <w:t>2.0°</w:t>
      </w:r>
      <w:r w:rsidRPr="00507E7F">
        <w:rPr>
          <w:lang w:val="en-GB"/>
        </w:rPr>
        <w:tab/>
        <w:t>&lt;</w:t>
      </w:r>
      <w:r w:rsidRPr="00507E7F">
        <w:rPr>
          <w:rFonts w:ascii="Symbol" w:hAnsi="Symbol"/>
          <w:lang w:val="en-GB"/>
        </w:rPr>
        <w:t></w:t>
      </w:r>
      <w:r w:rsidRPr="00507E7F">
        <w:rPr>
          <w:rFonts w:ascii="Symbol" w:hAnsi="Symbol"/>
          <w:lang w:val="en-GB"/>
        </w:rPr>
        <w:t></w:t>
      </w:r>
      <w:r w:rsidRPr="00507E7F">
        <w:rPr>
          <w:lang w:val="en-GB"/>
        </w:rPr>
        <w:t xml:space="preserve"> ≤</w:t>
      </w:r>
      <w:r w:rsidRPr="00507E7F">
        <w:rPr>
          <w:lang w:val="en-GB"/>
        </w:rPr>
        <w:tab/>
        <w:t>8.0°</w:t>
      </w:r>
    </w:p>
    <w:p w14:paraId="213A3271" w14:textId="77777777" w:rsidR="002E017F" w:rsidRPr="00507E7F" w:rsidRDefault="002E017F" w:rsidP="002E017F">
      <w:pPr>
        <w:ind w:left="1134"/>
        <w:rPr>
          <w:lang w:val="en-GB"/>
        </w:rPr>
      </w:pPr>
      <w:r w:rsidRPr="00507E7F">
        <w:rPr>
          <w:lang w:val="en-GB"/>
        </w:rPr>
        <w:t>–96.5</w:t>
      </w:r>
      <w:r w:rsidRPr="00507E7F">
        <w:rPr>
          <w:lang w:val="en-GB"/>
        </w:rPr>
        <w:tab/>
      </w:r>
      <w:r w:rsidRPr="00507E7F">
        <w:rPr>
          <w:lang w:val="en-GB"/>
        </w:rPr>
        <w:tab/>
      </w:r>
      <w:r w:rsidRPr="00507E7F">
        <w:rPr>
          <w:lang w:val="en-GB"/>
        </w:rPr>
        <w:tab/>
        <w:t xml:space="preserve">for </w:t>
      </w:r>
      <w:r w:rsidRPr="00507E7F">
        <w:rPr>
          <w:lang w:val="en-GB"/>
        </w:rPr>
        <w:tab/>
        <w:t>8.0°</w:t>
      </w:r>
      <w:r w:rsidRPr="00507E7F">
        <w:rPr>
          <w:lang w:val="en-GB"/>
        </w:rPr>
        <w:tab/>
        <w:t>&lt;</w:t>
      </w:r>
      <w:r w:rsidRPr="00507E7F">
        <w:rPr>
          <w:rFonts w:ascii="Symbol" w:hAnsi="Symbol"/>
          <w:lang w:val="en-GB"/>
        </w:rPr>
        <w:t></w:t>
      </w:r>
      <w:r w:rsidRPr="00507E7F">
        <w:rPr>
          <w:rFonts w:ascii="Symbol" w:hAnsi="Symbol"/>
          <w:lang w:val="en-GB"/>
        </w:rPr>
        <w:t></w:t>
      </w:r>
      <w:r w:rsidRPr="00507E7F">
        <w:rPr>
          <w:lang w:val="en-GB"/>
        </w:rPr>
        <w:t xml:space="preserve"> ≤</w:t>
      </w:r>
      <w:r w:rsidRPr="00507E7F">
        <w:rPr>
          <w:lang w:val="en-GB"/>
        </w:rPr>
        <w:tab/>
        <w:t>90.0°</w:t>
      </w:r>
      <w:r w:rsidRPr="00507E7F">
        <w:rPr>
          <w:lang w:val="en-GB"/>
        </w:rPr>
        <w:br/>
      </w:r>
    </w:p>
    <w:p w14:paraId="50ADCCE7" w14:textId="5A4C5F49" w:rsidR="002E017F" w:rsidRPr="00507E7F" w:rsidRDefault="002E017F" w:rsidP="002E017F">
      <w:pPr>
        <w:pStyle w:val="ECCParBulleted"/>
        <w:numPr>
          <w:ilvl w:val="0"/>
          <w:numId w:val="0"/>
        </w:numPr>
        <w:ind w:left="360"/>
        <w:jc w:val="left"/>
      </w:pPr>
      <w:r w:rsidRPr="00507E7F">
        <w:t xml:space="preserve">where </w:t>
      </w:r>
      <w:r w:rsidRPr="00507E7F">
        <w:rPr>
          <w:rFonts w:ascii="Symbol" w:hAnsi="Symbol" w:cs="Cambria Math"/>
        </w:rPr>
        <w:t></w:t>
      </w:r>
      <w:r w:rsidRPr="00507E7F">
        <w:rPr>
          <w:rFonts w:ascii="Symbol" w:hAnsi="Symbol" w:cs="Cambria Math"/>
        </w:rPr>
        <w:t></w:t>
      </w:r>
      <w:r w:rsidRPr="00507E7F">
        <w:t>is the angle of arrival at the Earth’s surface (degrees)</w:t>
      </w:r>
      <w:r w:rsidR="0088659D">
        <w:t>;</w:t>
      </w:r>
    </w:p>
    <w:p w14:paraId="369A8812" w14:textId="77777777" w:rsidR="002E017F" w:rsidRPr="00507E7F" w:rsidRDefault="002E017F" w:rsidP="00AC1DEF">
      <w:pPr>
        <w:pStyle w:val="ECCParBulleted"/>
        <w:numPr>
          <w:ilvl w:val="0"/>
          <w:numId w:val="0"/>
        </w:numPr>
        <w:ind w:left="360"/>
        <w:jc w:val="left"/>
      </w:pPr>
      <w:r w:rsidRPr="00507E7F">
        <w:t>The PFD values above are not defined as under “free-space” conditions. Hence, when assessing ESOMP compliance with this PFD mask, atmospheric absorption and any attenuation due to the aircraft fuselage shall be taken into account</w:t>
      </w:r>
      <w:r w:rsidRPr="00507E7F">
        <w:rPr>
          <w:rStyle w:val="FootnoteReference"/>
        </w:rPr>
        <w:footnoteReference w:id="6"/>
      </w:r>
      <w:r w:rsidRPr="00507E7F">
        <w:t>;</w:t>
      </w:r>
      <w:r w:rsidRPr="00507E7F" w:rsidDel="00E029AB">
        <w:t xml:space="preserve"> </w:t>
      </w:r>
    </w:p>
    <w:p w14:paraId="6162DF52" w14:textId="77777777" w:rsidR="00D7148E" w:rsidRPr="00507E7F" w:rsidRDefault="00D7148E" w:rsidP="00D7148E">
      <w:pPr>
        <w:pStyle w:val="ECCParBulleted"/>
        <w:numPr>
          <w:ilvl w:val="0"/>
          <w:numId w:val="27"/>
        </w:numPr>
      </w:pPr>
      <w:r w:rsidRPr="00507E7F">
        <w:t>For ensuring compliance with the above PFD provisions ESOMPs shall have self-monitoring functions and automatic mechanisms (locally, or under the control of the NCF) to reduce its e.i.r.p. or cease transmissions;</w:t>
      </w:r>
    </w:p>
    <w:p w14:paraId="291E4341" w14:textId="77777777" w:rsidR="00D7148E" w:rsidRPr="00507E7F" w:rsidRDefault="00D7148E" w:rsidP="00D7148E">
      <w:pPr>
        <w:pStyle w:val="ECCParBulleted"/>
        <w:numPr>
          <w:ilvl w:val="0"/>
          <w:numId w:val="27"/>
        </w:numPr>
      </w:pPr>
      <w:r w:rsidRPr="00507E7F">
        <w:t>National limitations applicable to uncoordinated FSS earth stations to avoid cross-border interference to fixed or mobile services in the same band in an adjacent country shall apply to land based ESOMPs and ESOMPs operating on territorial sea and on inland waterways in the same country as the uncoordinated FSS earth stations.</w:t>
      </w:r>
    </w:p>
    <w:p w14:paraId="0906CEC3" w14:textId="77777777" w:rsidR="006E3A39" w:rsidRPr="00507E7F" w:rsidRDefault="006E3A39" w:rsidP="006E3A39">
      <w:pPr>
        <w:pStyle w:val="ECCParagraph"/>
        <w:ind w:left="2160" w:firstLine="720"/>
      </w:pPr>
    </w:p>
    <w:p w14:paraId="6536C084" w14:textId="77777777" w:rsidR="00235C10" w:rsidRPr="00507E7F" w:rsidRDefault="00235C10" w:rsidP="00FD5220">
      <w:pPr>
        <w:pStyle w:val="ECCAnnex-heading1"/>
      </w:pPr>
      <w:r w:rsidRPr="00507E7F">
        <w:lastRenderedPageBreak/>
        <w:t>INFORMATION AND DECLARATION TO BE SUBMITTED BY ESOMP</w:t>
      </w:r>
      <w:r w:rsidR="00716757" w:rsidRPr="00507E7F">
        <w:t>s</w:t>
      </w:r>
      <w:r w:rsidRPr="00507E7F">
        <w:t xml:space="preserve"> OPERATORS TO THE OFFICE</w:t>
      </w:r>
    </w:p>
    <w:p w14:paraId="00847235" w14:textId="4930AC04" w:rsidR="00235C10" w:rsidRPr="00507E7F" w:rsidRDefault="00235C10" w:rsidP="00235C10">
      <w:pPr>
        <w:pStyle w:val="ECCParagraph"/>
      </w:pPr>
      <w:r w:rsidRPr="00507E7F">
        <w:t>Any ESOMP</w:t>
      </w:r>
      <w:r w:rsidR="00716757" w:rsidRPr="00507E7F">
        <w:t>s</w:t>
      </w:r>
      <w:r w:rsidRPr="00507E7F">
        <w:t xml:space="preserve"> operator intending to operate ESOMPs within the framework of this ECC Decision is required to submit to the Office (</w:t>
      </w:r>
      <w:hyperlink r:id="rId9" w:history="1">
        <w:r w:rsidRPr="00507E7F">
          <w:rPr>
            <w:rStyle w:val="Hyperlink"/>
          </w:rPr>
          <w:t>http://www.cept.org/eco</w:t>
        </w:r>
      </w:hyperlink>
      <w:r w:rsidRPr="00507E7F">
        <w:t xml:space="preserve">) a declaration that their system complies with the requirements of this Decision and the information (with any subsequent changes) contained in </w:t>
      </w:r>
      <w:r w:rsidRPr="00507E7F">
        <w:fldChar w:fldCharType="begin"/>
      </w:r>
      <w:r w:rsidRPr="00507E7F">
        <w:instrText xml:space="preserve"> REF _Ref408993968 \h </w:instrText>
      </w:r>
      <w:r w:rsidRPr="00507E7F">
        <w:fldChar w:fldCharType="separate"/>
      </w:r>
      <w:r w:rsidR="006C27EF" w:rsidRPr="00507E7F">
        <w:t>Table 1</w:t>
      </w:r>
      <w:r w:rsidRPr="00507E7F">
        <w:fldChar w:fldCharType="end"/>
      </w:r>
      <w:r w:rsidRPr="00507E7F">
        <w:t xml:space="preserve"> below.</w:t>
      </w:r>
    </w:p>
    <w:p w14:paraId="741DFE18" w14:textId="77777777" w:rsidR="00235C10" w:rsidRPr="00507E7F" w:rsidRDefault="00235C10" w:rsidP="00235C10">
      <w:pPr>
        <w:pStyle w:val="ECCTabletitle"/>
      </w:pPr>
      <w:bookmarkStart w:id="1" w:name="_Ref408993968"/>
      <w:r w:rsidRPr="00507E7F">
        <w:t xml:space="preserve">Table </w:t>
      </w:r>
      <w:fldSimple w:instr=" SEQ Table \* ARABIC ">
        <w:r w:rsidR="006C27EF" w:rsidRPr="00507E7F">
          <w:t>1</w:t>
        </w:r>
      </w:fldSimple>
      <w:bookmarkEnd w:id="1"/>
      <w:r w:rsidR="0069615A" w:rsidRPr="00507E7F">
        <w:t xml:space="preserve">: </w:t>
      </w:r>
      <w:r w:rsidR="006C3ADA" w:rsidRPr="00507E7F">
        <w:t xml:space="preserve">Information to be provided to the Office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5514"/>
        <w:gridCol w:w="4115"/>
      </w:tblGrid>
      <w:tr w:rsidR="00B67DEA" w:rsidRPr="00507E7F" w14:paraId="23F3BC53" w14:textId="77777777" w:rsidTr="00235C10">
        <w:trPr>
          <w:tblHeader/>
        </w:trPr>
        <w:tc>
          <w:tcPr>
            <w:tcW w:w="5637"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3DA9CA51" w14:textId="77777777" w:rsidR="00235C10" w:rsidRPr="00507E7F" w:rsidRDefault="00235C10" w:rsidP="00F442B8">
            <w:pPr>
              <w:spacing w:before="60" w:after="60" w:line="288" w:lineRule="auto"/>
              <w:jc w:val="center"/>
              <w:rPr>
                <w:b/>
                <w:color w:val="FFFFFF"/>
                <w:lang w:val="en-GB"/>
              </w:rPr>
            </w:pPr>
            <w:r w:rsidRPr="00507E7F">
              <w:rPr>
                <w:b/>
                <w:color w:val="FFFFFF"/>
                <w:lang w:val="en-GB"/>
              </w:rPr>
              <w:t>Information</w:t>
            </w:r>
          </w:p>
        </w:tc>
        <w:tc>
          <w:tcPr>
            <w:tcW w:w="4218"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35C36483" w14:textId="33285D4E" w:rsidR="00235C10" w:rsidRPr="00507E7F" w:rsidRDefault="00235C10" w:rsidP="001026EC">
            <w:pPr>
              <w:spacing w:before="60" w:after="60" w:line="288" w:lineRule="auto"/>
              <w:jc w:val="center"/>
              <w:rPr>
                <w:b/>
                <w:color w:val="FFFFFF"/>
                <w:lang w:val="en-GB"/>
              </w:rPr>
            </w:pPr>
            <w:r w:rsidRPr="00507E7F">
              <w:rPr>
                <w:b/>
                <w:color w:val="FFFFFF"/>
                <w:lang w:val="en-GB"/>
              </w:rPr>
              <w:t>To be fille</w:t>
            </w:r>
            <w:r w:rsidR="00CC627D" w:rsidRPr="00507E7F">
              <w:rPr>
                <w:b/>
                <w:color w:val="FFFFFF"/>
                <w:lang w:val="en-GB"/>
              </w:rPr>
              <w:t>d</w:t>
            </w:r>
            <w:r w:rsidRPr="00507E7F">
              <w:rPr>
                <w:b/>
                <w:color w:val="FFFFFF"/>
                <w:lang w:val="en-GB"/>
              </w:rPr>
              <w:t xml:space="preserve"> in</w:t>
            </w:r>
          </w:p>
        </w:tc>
      </w:tr>
      <w:tr w:rsidR="00235C10" w:rsidRPr="00507E7F" w14:paraId="5AA4550B" w14:textId="77777777" w:rsidTr="00FD5220">
        <w:tc>
          <w:tcPr>
            <w:tcW w:w="5637" w:type="dxa"/>
            <w:tcBorders>
              <w:top w:val="single" w:sz="4" w:space="0" w:color="D2232A"/>
              <w:left w:val="single" w:sz="4" w:space="0" w:color="D2232A"/>
              <w:bottom w:val="single" w:sz="4" w:space="0" w:color="D2232A"/>
              <w:right w:val="single" w:sz="4" w:space="0" w:color="D2232A"/>
            </w:tcBorders>
          </w:tcPr>
          <w:p w14:paraId="588C819C" w14:textId="77777777" w:rsidR="00235C10" w:rsidRPr="00507E7F" w:rsidRDefault="00235C10" w:rsidP="00235C10">
            <w:pPr>
              <w:autoSpaceDE w:val="0"/>
              <w:autoSpaceDN w:val="0"/>
              <w:spacing w:line="288" w:lineRule="auto"/>
              <w:rPr>
                <w:rFonts w:cs="Arial"/>
                <w:lang w:val="en-GB"/>
              </w:rPr>
            </w:pPr>
            <w:r w:rsidRPr="00507E7F">
              <w:rPr>
                <w:rFonts w:cs="Arial"/>
                <w:lang w:val="en-GB"/>
              </w:rPr>
              <w:t>Network operator name</w:t>
            </w:r>
          </w:p>
        </w:tc>
        <w:tc>
          <w:tcPr>
            <w:tcW w:w="4218" w:type="dxa"/>
            <w:tcBorders>
              <w:top w:val="single" w:sz="4" w:space="0" w:color="D2232A"/>
              <w:left w:val="single" w:sz="4" w:space="0" w:color="D2232A"/>
              <w:bottom w:val="single" w:sz="4" w:space="0" w:color="D2232A"/>
              <w:right w:val="single" w:sz="4" w:space="0" w:color="D2232A"/>
            </w:tcBorders>
            <w:vAlign w:val="center"/>
          </w:tcPr>
          <w:p w14:paraId="21552620" w14:textId="77777777" w:rsidR="00235C10" w:rsidRPr="00507E7F" w:rsidRDefault="00235C10" w:rsidP="00235C10">
            <w:pPr>
              <w:spacing w:line="288" w:lineRule="auto"/>
              <w:rPr>
                <w:lang w:val="en-GB"/>
              </w:rPr>
            </w:pPr>
          </w:p>
        </w:tc>
      </w:tr>
      <w:tr w:rsidR="00235C10" w:rsidRPr="00507E7F" w14:paraId="19A642AE" w14:textId="77777777" w:rsidTr="00FD5220">
        <w:tc>
          <w:tcPr>
            <w:tcW w:w="5637" w:type="dxa"/>
            <w:tcBorders>
              <w:top w:val="single" w:sz="4" w:space="0" w:color="D2232A"/>
              <w:left w:val="single" w:sz="4" w:space="0" w:color="D2232A"/>
              <w:bottom w:val="single" w:sz="4" w:space="0" w:color="D2232A"/>
              <w:right w:val="single" w:sz="4" w:space="0" w:color="D2232A"/>
            </w:tcBorders>
          </w:tcPr>
          <w:p w14:paraId="6D5F6268" w14:textId="77777777" w:rsidR="00235C10" w:rsidRPr="00507E7F" w:rsidRDefault="00235C10" w:rsidP="00235C10">
            <w:pPr>
              <w:autoSpaceDE w:val="0"/>
              <w:autoSpaceDN w:val="0"/>
              <w:spacing w:line="288" w:lineRule="auto"/>
              <w:rPr>
                <w:rFonts w:cs="Arial"/>
                <w:lang w:val="en-GB"/>
              </w:rPr>
            </w:pPr>
            <w:r w:rsidRPr="00507E7F">
              <w:rPr>
                <w:rFonts w:cs="Arial"/>
                <w:lang w:val="en-GB"/>
              </w:rPr>
              <w:t>Network operator address</w:t>
            </w:r>
          </w:p>
        </w:tc>
        <w:tc>
          <w:tcPr>
            <w:tcW w:w="4218" w:type="dxa"/>
            <w:tcBorders>
              <w:top w:val="single" w:sz="4" w:space="0" w:color="D2232A"/>
              <w:left w:val="single" w:sz="4" w:space="0" w:color="D2232A"/>
              <w:bottom w:val="single" w:sz="4" w:space="0" w:color="D2232A"/>
              <w:right w:val="single" w:sz="4" w:space="0" w:color="D2232A"/>
            </w:tcBorders>
            <w:vAlign w:val="center"/>
          </w:tcPr>
          <w:p w14:paraId="7F4F20B2" w14:textId="77777777" w:rsidR="00235C10" w:rsidRPr="00507E7F" w:rsidRDefault="00235C10" w:rsidP="00235C10">
            <w:pPr>
              <w:spacing w:line="288" w:lineRule="auto"/>
              <w:rPr>
                <w:lang w:val="en-GB"/>
              </w:rPr>
            </w:pPr>
          </w:p>
        </w:tc>
      </w:tr>
      <w:tr w:rsidR="00235C10" w:rsidRPr="00507E7F" w14:paraId="083B17D4" w14:textId="77777777" w:rsidTr="00FD5220">
        <w:tc>
          <w:tcPr>
            <w:tcW w:w="5637" w:type="dxa"/>
            <w:tcBorders>
              <w:top w:val="single" w:sz="4" w:space="0" w:color="D2232A"/>
              <w:left w:val="single" w:sz="4" w:space="0" w:color="D2232A"/>
              <w:bottom w:val="single" w:sz="4" w:space="0" w:color="D2232A"/>
              <w:right w:val="single" w:sz="4" w:space="0" w:color="D2232A"/>
            </w:tcBorders>
          </w:tcPr>
          <w:p w14:paraId="1A58C3FC" w14:textId="77777777" w:rsidR="00235C10" w:rsidRPr="00507E7F" w:rsidRDefault="00235C10" w:rsidP="00235C10">
            <w:pPr>
              <w:autoSpaceDE w:val="0"/>
              <w:autoSpaceDN w:val="0"/>
              <w:spacing w:line="288" w:lineRule="auto"/>
              <w:rPr>
                <w:rFonts w:cs="Arial"/>
                <w:lang w:val="en-GB"/>
              </w:rPr>
            </w:pPr>
            <w:r w:rsidRPr="00507E7F">
              <w:rPr>
                <w:rFonts w:cs="Arial"/>
                <w:lang w:val="en-GB"/>
              </w:rPr>
              <w:t>Network Control Facility (NCF) designated point of contact:</w:t>
            </w:r>
          </w:p>
          <w:p w14:paraId="5A636BEB" w14:textId="77777777" w:rsidR="00235C10" w:rsidRPr="00507E7F" w:rsidRDefault="00235C10" w:rsidP="00927464">
            <w:pPr>
              <w:pStyle w:val="ECCParBulleted"/>
              <w:spacing w:after="60"/>
              <w:ind w:left="357" w:hanging="357"/>
            </w:pPr>
            <w:r w:rsidRPr="00507E7F">
              <w:t>Contact name</w:t>
            </w:r>
          </w:p>
          <w:p w14:paraId="332FFA40" w14:textId="77777777" w:rsidR="00235C10" w:rsidRPr="00507E7F" w:rsidRDefault="00235C10" w:rsidP="00927464">
            <w:pPr>
              <w:pStyle w:val="ECCParBulleted"/>
              <w:spacing w:after="60"/>
              <w:ind w:left="357" w:hanging="357"/>
            </w:pPr>
            <w:r w:rsidRPr="00507E7F">
              <w:t>Contact telephone number</w:t>
            </w:r>
          </w:p>
          <w:p w14:paraId="52A047F5" w14:textId="77777777" w:rsidR="00235C10" w:rsidRPr="00507E7F" w:rsidRDefault="00235C10" w:rsidP="00927464">
            <w:pPr>
              <w:pStyle w:val="ECCParBulleted"/>
              <w:spacing w:after="60"/>
              <w:ind w:left="357" w:hanging="357"/>
            </w:pPr>
            <w:r w:rsidRPr="00507E7F">
              <w:t>Contact email address</w:t>
            </w:r>
          </w:p>
        </w:tc>
        <w:tc>
          <w:tcPr>
            <w:tcW w:w="4218" w:type="dxa"/>
            <w:tcBorders>
              <w:top w:val="single" w:sz="4" w:space="0" w:color="D2232A"/>
              <w:left w:val="single" w:sz="4" w:space="0" w:color="D2232A"/>
              <w:bottom w:val="single" w:sz="4" w:space="0" w:color="D2232A"/>
              <w:right w:val="single" w:sz="4" w:space="0" w:color="D2232A"/>
            </w:tcBorders>
            <w:vAlign w:val="center"/>
          </w:tcPr>
          <w:p w14:paraId="69F5729E" w14:textId="77777777" w:rsidR="00235C10" w:rsidRPr="00507E7F" w:rsidRDefault="00235C10" w:rsidP="00235C10">
            <w:pPr>
              <w:spacing w:line="288" w:lineRule="auto"/>
              <w:rPr>
                <w:lang w:val="en-GB"/>
              </w:rPr>
            </w:pPr>
          </w:p>
        </w:tc>
      </w:tr>
    </w:tbl>
    <w:p w14:paraId="5E0DE03A" w14:textId="77777777" w:rsidR="00C602FD" w:rsidRPr="00507E7F" w:rsidRDefault="00C602FD" w:rsidP="00235C10">
      <w:pPr>
        <w:pStyle w:val="ECCParagraph"/>
      </w:pPr>
    </w:p>
    <w:p w14:paraId="55600475" w14:textId="77777777" w:rsidR="006C03D0" w:rsidRPr="00507E7F" w:rsidRDefault="005F7AD5" w:rsidP="00FD5220">
      <w:pPr>
        <w:pStyle w:val="ECCAnnex-heading1"/>
      </w:pPr>
      <w:bookmarkStart w:id="2" w:name="_Toc280099660"/>
      <w:r w:rsidRPr="00507E7F">
        <w:lastRenderedPageBreak/>
        <w:t>List of reference</w:t>
      </w:r>
      <w:bookmarkEnd w:id="2"/>
      <w:r w:rsidR="00235C10" w:rsidRPr="00507E7F">
        <w:t>s</w:t>
      </w:r>
    </w:p>
    <w:p w14:paraId="5F97F237" w14:textId="77777777" w:rsidR="006C03D0" w:rsidRPr="00507E7F" w:rsidRDefault="005F7AD5" w:rsidP="006C03D0">
      <w:pPr>
        <w:pStyle w:val="ECCParagraph"/>
      </w:pPr>
      <w:r w:rsidRPr="00507E7F">
        <w:t>This annex contains the list of relevant reference documents.</w:t>
      </w:r>
    </w:p>
    <w:p w14:paraId="63340F88" w14:textId="77777777" w:rsidR="002B42DF" w:rsidRPr="00507E7F" w:rsidRDefault="00EE0DA2" w:rsidP="00C602FD">
      <w:pPr>
        <w:pStyle w:val="reference"/>
        <w:numPr>
          <w:ilvl w:val="0"/>
          <w:numId w:val="11"/>
        </w:numPr>
        <w:rPr>
          <w:lang w:val="en-GB"/>
        </w:rPr>
      </w:pPr>
      <w:bookmarkStart w:id="3" w:name="_Ref408995214"/>
      <w:r w:rsidRPr="00507E7F">
        <w:rPr>
          <w:lang w:val="en-GB"/>
        </w:rPr>
        <w:t>Report ITU-R S.2223-1: “T</w:t>
      </w:r>
      <w:r w:rsidR="002B42DF" w:rsidRPr="00507E7F">
        <w:rPr>
          <w:lang w:val="en-GB"/>
        </w:rPr>
        <w:t>echnical and operational requirements for GSO FSS earth stations on mobile platforms in bands from 17.3 to 30.0 GHz</w:t>
      </w:r>
      <w:r w:rsidRPr="00507E7F">
        <w:rPr>
          <w:lang w:val="en-GB"/>
        </w:rPr>
        <w:t>”</w:t>
      </w:r>
    </w:p>
    <w:p w14:paraId="5F44AF4B" w14:textId="2E905952" w:rsidR="002B42DF" w:rsidRPr="00FD5220" w:rsidRDefault="002B42DF" w:rsidP="00335BC2">
      <w:pPr>
        <w:pStyle w:val="reference"/>
        <w:rPr>
          <w:rFonts w:cs="Arial"/>
          <w:lang w:val="en-GB"/>
        </w:rPr>
      </w:pPr>
      <w:bookmarkStart w:id="4" w:name="_Ref524698054"/>
      <w:r w:rsidRPr="00507E7F">
        <w:rPr>
          <w:lang w:val="en-GB"/>
        </w:rPr>
        <w:t>ECC Report 217</w:t>
      </w:r>
      <w:r w:rsidR="00EE0DA2" w:rsidRPr="00507E7F">
        <w:rPr>
          <w:lang w:val="en-GB"/>
        </w:rPr>
        <w:t>:</w:t>
      </w:r>
      <w:r w:rsidRPr="00507E7F">
        <w:rPr>
          <w:lang w:val="en-GB"/>
        </w:rPr>
        <w:t xml:space="preserve"> </w:t>
      </w:r>
      <w:r w:rsidR="00EE0DA2" w:rsidRPr="00507E7F">
        <w:rPr>
          <w:lang w:val="en-GB"/>
        </w:rPr>
        <w:t>“</w:t>
      </w:r>
      <w:bookmarkEnd w:id="4"/>
      <w:r w:rsidR="00D447C3" w:rsidRPr="00507E7F">
        <w:rPr>
          <w:lang w:val="en-GB"/>
        </w:rPr>
        <w:t>The Use of Land</w:t>
      </w:r>
      <w:r w:rsidR="00515A00" w:rsidRPr="00507E7F">
        <w:rPr>
          <w:lang w:val="en-GB"/>
        </w:rPr>
        <w:t xml:space="preserve">, </w:t>
      </w:r>
      <w:r w:rsidR="00D447C3" w:rsidRPr="00507E7F">
        <w:rPr>
          <w:lang w:val="en-GB"/>
        </w:rPr>
        <w:t>Maritime</w:t>
      </w:r>
      <w:r w:rsidR="00515A00" w:rsidRPr="00507E7F">
        <w:rPr>
          <w:lang w:val="en-GB"/>
        </w:rPr>
        <w:t xml:space="preserve"> and Aeronautical</w:t>
      </w:r>
      <w:r w:rsidR="00D447C3" w:rsidRPr="00507E7F">
        <w:rPr>
          <w:lang w:val="en-GB"/>
        </w:rPr>
        <w:t xml:space="preserve"> Earth Stations on Mobile Platforms Operating with </w:t>
      </w:r>
      <w:r w:rsidR="00D447C3" w:rsidRPr="00FD5220">
        <w:rPr>
          <w:lang w:val="en-GB"/>
        </w:rPr>
        <w:t>NGSO FSS Satellite Systems in the Frequency Range 17.3-20.2 GHz, 27.5-29.1 GHz and 29.5-30.0 GHz”</w:t>
      </w:r>
      <w:r w:rsidR="00592703" w:rsidRPr="00FD5220">
        <w:rPr>
          <w:lang w:val="en-GB"/>
        </w:rPr>
        <w:t>, updated January 2020</w:t>
      </w:r>
    </w:p>
    <w:p w14:paraId="6905B6BF" w14:textId="77777777" w:rsidR="002B42DF" w:rsidRPr="00507E7F" w:rsidRDefault="002B42DF" w:rsidP="00335BC2">
      <w:pPr>
        <w:pStyle w:val="reference"/>
        <w:rPr>
          <w:lang w:val="en-GB"/>
        </w:rPr>
      </w:pPr>
      <w:bookmarkStart w:id="5" w:name="_Ref524698069"/>
      <w:r w:rsidRPr="00507E7F">
        <w:rPr>
          <w:lang w:val="en-GB"/>
        </w:rPr>
        <w:t>Report ITU-R S.2261</w:t>
      </w:r>
      <w:r w:rsidR="00EE0DA2" w:rsidRPr="00507E7F">
        <w:rPr>
          <w:lang w:val="en-GB"/>
        </w:rPr>
        <w:t>-0:</w:t>
      </w:r>
      <w:r w:rsidRPr="00507E7F">
        <w:rPr>
          <w:lang w:val="en-GB"/>
        </w:rPr>
        <w:t xml:space="preserve"> </w:t>
      </w:r>
      <w:r w:rsidR="00EE0DA2" w:rsidRPr="00507E7F">
        <w:rPr>
          <w:lang w:val="en-GB"/>
        </w:rPr>
        <w:t>“</w:t>
      </w:r>
      <w:r w:rsidRPr="00507E7F">
        <w:rPr>
          <w:lang w:val="en-GB"/>
        </w:rPr>
        <w:t>Technical and operational requirements for earth stations on mobile platforms operating in non-GSO FSS systems in the frequency bands from 17.3 to 19.3, 19.7 to 20.2, 27 to 29.1 and from 29.5 to 30.0 GHz</w:t>
      </w:r>
      <w:r w:rsidR="00EE0DA2" w:rsidRPr="00507E7F">
        <w:rPr>
          <w:lang w:val="en-GB"/>
        </w:rPr>
        <w:t>”</w:t>
      </w:r>
      <w:bookmarkEnd w:id="5"/>
    </w:p>
    <w:p w14:paraId="1B40A9CF" w14:textId="70C9EA20" w:rsidR="006C03D0" w:rsidRPr="00507E7F" w:rsidRDefault="00DE1D8E" w:rsidP="00335BC2">
      <w:pPr>
        <w:pStyle w:val="reference"/>
        <w:rPr>
          <w:lang w:val="en-GB"/>
        </w:rPr>
      </w:pPr>
      <w:bookmarkStart w:id="6" w:name="_Ref524698081"/>
      <w:r w:rsidRPr="00507E7F">
        <w:rPr>
          <w:lang w:val="en-GB"/>
        </w:rPr>
        <w:t xml:space="preserve">ECC </w:t>
      </w:r>
      <w:r w:rsidR="00235C10" w:rsidRPr="00507E7F">
        <w:rPr>
          <w:lang w:val="en-GB"/>
        </w:rPr>
        <w:t>D</w:t>
      </w:r>
      <w:r w:rsidRPr="00507E7F">
        <w:rPr>
          <w:lang w:val="en-GB"/>
        </w:rPr>
        <w:t xml:space="preserve">ecision </w:t>
      </w:r>
      <w:r w:rsidR="00235C10" w:rsidRPr="00507E7F">
        <w:rPr>
          <w:lang w:val="en-GB"/>
        </w:rPr>
        <w:t>(05)01</w:t>
      </w:r>
      <w:r w:rsidR="0088659D">
        <w:rPr>
          <w:lang w:val="en-GB"/>
        </w:rPr>
        <w:t xml:space="preserve">: </w:t>
      </w:r>
      <w:r w:rsidR="00EE0DA2" w:rsidRPr="00507E7F">
        <w:rPr>
          <w:lang w:val="en-GB"/>
        </w:rPr>
        <w:t>”T</w:t>
      </w:r>
      <w:r w:rsidR="00235C10" w:rsidRPr="00507E7F">
        <w:rPr>
          <w:lang w:val="en-GB"/>
        </w:rPr>
        <w:t>he use of the band 27.5-29.5 GHz by the Fixed Service and uncoordinated Earth stations of the Fixed-Satellite Service (Earth-to-space</w:t>
      </w:r>
      <w:bookmarkEnd w:id="3"/>
      <w:bookmarkEnd w:id="6"/>
      <w:r w:rsidR="0088659D">
        <w:rPr>
          <w:lang w:val="en-GB"/>
        </w:rPr>
        <w:t>)”, March 2019</w:t>
      </w:r>
    </w:p>
    <w:p w14:paraId="1ABF3DAC" w14:textId="77777777" w:rsidR="00235C10" w:rsidRPr="00507E7F" w:rsidRDefault="00235C10" w:rsidP="00C602FD">
      <w:pPr>
        <w:pStyle w:val="reference"/>
        <w:rPr>
          <w:lang w:val="en-GB"/>
        </w:rPr>
      </w:pPr>
      <w:bookmarkStart w:id="7" w:name="_Ref408995226"/>
      <w:r w:rsidRPr="00507E7F">
        <w:rPr>
          <w:lang w:val="en-GB"/>
        </w:rPr>
        <w:t>ECC</w:t>
      </w:r>
      <w:r w:rsidR="00DE1D8E" w:rsidRPr="00507E7F">
        <w:rPr>
          <w:lang w:val="en-GB"/>
        </w:rPr>
        <w:t xml:space="preserve"> </w:t>
      </w:r>
      <w:r w:rsidRPr="00507E7F">
        <w:rPr>
          <w:lang w:val="en-GB"/>
        </w:rPr>
        <w:t>D</w:t>
      </w:r>
      <w:r w:rsidR="00DE1D8E" w:rsidRPr="00507E7F">
        <w:rPr>
          <w:lang w:val="en-GB"/>
        </w:rPr>
        <w:t xml:space="preserve">ecision </w:t>
      </w:r>
      <w:r w:rsidRPr="00507E7F">
        <w:rPr>
          <w:lang w:val="en-GB"/>
        </w:rPr>
        <w:t xml:space="preserve">(05)08 </w:t>
      </w:r>
      <w:r w:rsidR="00EE0DA2" w:rsidRPr="00507E7F">
        <w:rPr>
          <w:lang w:val="en-GB"/>
        </w:rPr>
        <w:t xml:space="preserve">“The </w:t>
      </w:r>
      <w:r w:rsidRPr="00507E7F">
        <w:rPr>
          <w:lang w:val="en-GB"/>
        </w:rPr>
        <w:t>availability of frequency bands for high density applications in the Fixed-Satellite Service (space-to-Earth and Earth-to-space</w:t>
      </w:r>
      <w:bookmarkEnd w:id="7"/>
      <w:r w:rsidR="00EE0DA2" w:rsidRPr="00507E7F">
        <w:rPr>
          <w:lang w:val="en-GB"/>
        </w:rPr>
        <w:t>)”, amended March 2013</w:t>
      </w:r>
    </w:p>
    <w:p w14:paraId="35ADB04C" w14:textId="77777777" w:rsidR="006C03D0" w:rsidRPr="00507E7F" w:rsidRDefault="00235C10" w:rsidP="00C602FD">
      <w:pPr>
        <w:pStyle w:val="reference"/>
        <w:rPr>
          <w:lang w:val="en-GB"/>
        </w:rPr>
      </w:pPr>
      <w:bookmarkStart w:id="8" w:name="_Ref408995255"/>
      <w:r w:rsidRPr="00507E7F">
        <w:rPr>
          <w:lang w:val="en-GB"/>
        </w:rPr>
        <w:t>ECC</w:t>
      </w:r>
      <w:r w:rsidR="00DE1D8E" w:rsidRPr="00507E7F">
        <w:rPr>
          <w:lang w:val="en-GB"/>
        </w:rPr>
        <w:t xml:space="preserve"> Decision </w:t>
      </w:r>
      <w:r w:rsidRPr="00507E7F">
        <w:rPr>
          <w:lang w:val="en-GB"/>
        </w:rPr>
        <w:t>(06)02</w:t>
      </w:r>
      <w:r w:rsidR="00EE0DA2" w:rsidRPr="00507E7F">
        <w:rPr>
          <w:lang w:val="en-GB"/>
        </w:rPr>
        <w:t>:</w:t>
      </w:r>
      <w:r w:rsidRPr="00507E7F">
        <w:rPr>
          <w:lang w:val="en-GB"/>
        </w:rPr>
        <w:t xml:space="preserve"> </w:t>
      </w:r>
      <w:r w:rsidR="00EE0DA2" w:rsidRPr="00507E7F">
        <w:rPr>
          <w:lang w:val="en-GB"/>
        </w:rPr>
        <w:t>“</w:t>
      </w:r>
      <w:r w:rsidRPr="00507E7F">
        <w:rPr>
          <w:lang w:val="en-GB"/>
        </w:rPr>
        <w:t>Exemption from Individual Licensing of Low e.i.r.p. Satellite Terminals (LEST) operating within the frequency bands 10.70-12.75 GHz or 19.70-20.20 GHz space-to-Earth and 14.00-14.25 GHz or 29.50-30.00 GHz Earth-to-space</w:t>
      </w:r>
      <w:r w:rsidR="00EE0DA2" w:rsidRPr="00507E7F">
        <w:rPr>
          <w:lang w:val="en-GB"/>
        </w:rPr>
        <w:t>”</w:t>
      </w:r>
      <w:bookmarkEnd w:id="8"/>
      <w:r w:rsidR="00EE0DA2" w:rsidRPr="00507E7F">
        <w:rPr>
          <w:lang w:val="en-GB"/>
        </w:rPr>
        <w:t>, March 2006</w:t>
      </w:r>
    </w:p>
    <w:p w14:paraId="63513204" w14:textId="7B981ECE" w:rsidR="00567C9F" w:rsidRPr="00507E7F" w:rsidRDefault="00567C9F">
      <w:pPr>
        <w:pStyle w:val="reference"/>
        <w:rPr>
          <w:lang w:val="en-GB"/>
        </w:rPr>
      </w:pPr>
      <w:bookmarkStart w:id="9" w:name="_Ref408995266"/>
      <w:r w:rsidRPr="00507E7F">
        <w:rPr>
          <w:lang w:val="en-GB"/>
        </w:rPr>
        <w:t>ECC</w:t>
      </w:r>
      <w:r w:rsidR="00DE1D8E" w:rsidRPr="00507E7F">
        <w:rPr>
          <w:lang w:val="en-GB"/>
        </w:rPr>
        <w:t xml:space="preserve"> </w:t>
      </w:r>
      <w:r w:rsidRPr="00507E7F">
        <w:rPr>
          <w:lang w:val="en-GB"/>
        </w:rPr>
        <w:t>D</w:t>
      </w:r>
      <w:r w:rsidR="00DE1D8E" w:rsidRPr="00507E7F">
        <w:rPr>
          <w:lang w:val="en-GB"/>
        </w:rPr>
        <w:t xml:space="preserve">ecision </w:t>
      </w:r>
      <w:r w:rsidRPr="00507E7F">
        <w:rPr>
          <w:lang w:val="en-GB"/>
        </w:rPr>
        <w:t>(06)03</w:t>
      </w:r>
      <w:r w:rsidR="00EE0DA2" w:rsidRPr="00507E7F">
        <w:rPr>
          <w:lang w:val="en-GB"/>
        </w:rPr>
        <w:t>:</w:t>
      </w:r>
      <w:r w:rsidRPr="00507E7F">
        <w:rPr>
          <w:lang w:val="en-GB"/>
        </w:rPr>
        <w:t xml:space="preserve"> </w:t>
      </w:r>
      <w:r w:rsidR="00EE0DA2" w:rsidRPr="00507E7F">
        <w:rPr>
          <w:lang w:val="en-GB"/>
        </w:rPr>
        <w:t>“</w:t>
      </w:r>
      <w:r w:rsidRPr="00507E7F">
        <w:rPr>
          <w:lang w:val="en-GB"/>
        </w:rPr>
        <w:t>Exemption from Individual Licensing of High e.i.r.p. Satellite Terminals (HEST) with e.i.r.p. above 34 dBW operating within the frequency bands 10.70-12.75 GHz or 19.70-20.20 GHz space-to-Earth and 14.00-14.25 GHz or 29.50-30.0</w:t>
      </w:r>
      <w:r w:rsidR="000245A8" w:rsidRPr="00507E7F">
        <w:rPr>
          <w:lang w:val="en-GB"/>
        </w:rPr>
        <w:t>0</w:t>
      </w:r>
      <w:r w:rsidRPr="00507E7F">
        <w:rPr>
          <w:lang w:val="en-GB"/>
        </w:rPr>
        <w:t xml:space="preserve"> GHz Earth-to-space</w:t>
      </w:r>
      <w:bookmarkEnd w:id="9"/>
      <w:r w:rsidR="00EE0DA2" w:rsidRPr="00507E7F">
        <w:rPr>
          <w:lang w:val="en-GB"/>
        </w:rPr>
        <w:t>”</w:t>
      </w:r>
      <w:r w:rsidR="0088659D">
        <w:rPr>
          <w:lang w:val="en-GB"/>
        </w:rPr>
        <w:t>, March 2019</w:t>
      </w:r>
    </w:p>
    <w:p w14:paraId="3CF8BE90" w14:textId="236238B9" w:rsidR="00DE1D8E" w:rsidRPr="00507E7F" w:rsidRDefault="00DE1D8E">
      <w:pPr>
        <w:pStyle w:val="reference"/>
        <w:rPr>
          <w:rFonts w:cs="Arial"/>
          <w:lang w:val="en-GB"/>
        </w:rPr>
      </w:pPr>
      <w:bookmarkStart w:id="10" w:name="_Ref408995459"/>
      <w:bookmarkStart w:id="11" w:name="_Ref524698334"/>
      <w:r w:rsidRPr="00507E7F">
        <w:rPr>
          <w:lang w:val="en-GB"/>
        </w:rPr>
        <w:t>ECC Decision (13)01</w:t>
      </w:r>
      <w:r w:rsidR="00EE0DA2" w:rsidRPr="00507E7F">
        <w:rPr>
          <w:lang w:val="en-GB"/>
        </w:rPr>
        <w:t>:</w:t>
      </w:r>
      <w:r w:rsidRPr="00507E7F">
        <w:rPr>
          <w:lang w:val="en-GB"/>
        </w:rPr>
        <w:t xml:space="preserve"> </w:t>
      </w:r>
      <w:bookmarkEnd w:id="10"/>
      <w:r w:rsidR="0088659D" w:rsidRPr="00507E7F">
        <w:rPr>
          <w:lang w:val="en-GB"/>
        </w:rPr>
        <w:t>“</w:t>
      </w:r>
      <w:r w:rsidR="00EE0DA2" w:rsidRPr="00507E7F">
        <w:rPr>
          <w:rFonts w:cs="Arial"/>
          <w:szCs w:val="20"/>
          <w:lang w:val="en-GB"/>
        </w:rPr>
        <w:t>T</w:t>
      </w:r>
      <w:r w:rsidR="00E42134" w:rsidRPr="00507E7F">
        <w:rPr>
          <w:rFonts w:cs="Arial"/>
          <w:szCs w:val="20"/>
          <w:lang w:val="en-GB"/>
        </w:rPr>
        <w:t>he use, free circulation, and exemption from individual licensing of Earth stations on mobile platforms (ESOMPs) in the frequency bands available for use by uncoordinated FSS Earth stations within the ranges 17.3-20.2 GHz and 27.5-30.0 GHz</w:t>
      </w:r>
      <w:bookmarkEnd w:id="11"/>
      <w:r w:rsidR="00EE0DA2" w:rsidRPr="00507E7F">
        <w:rPr>
          <w:rFonts w:cs="Arial"/>
          <w:szCs w:val="20"/>
          <w:lang w:val="en-GB"/>
        </w:rPr>
        <w:t>”</w:t>
      </w:r>
      <w:r w:rsidR="0088659D">
        <w:rPr>
          <w:rFonts w:cs="Arial"/>
          <w:szCs w:val="20"/>
          <w:lang w:val="en-GB"/>
        </w:rPr>
        <w:t>, October 2018</w:t>
      </w:r>
    </w:p>
    <w:p w14:paraId="2DB35E80" w14:textId="2E5B63FC" w:rsidR="002B42DF" w:rsidRPr="00507E7F" w:rsidRDefault="002B42DF">
      <w:pPr>
        <w:pStyle w:val="reference"/>
        <w:rPr>
          <w:lang w:val="en-GB"/>
        </w:rPr>
      </w:pPr>
      <w:bookmarkStart w:id="12" w:name="_Ref524698097"/>
      <w:bookmarkStart w:id="13" w:name="_Ref531340599"/>
      <w:r w:rsidRPr="00507E7F">
        <w:rPr>
          <w:lang w:val="en-GB"/>
        </w:rPr>
        <w:t>ECC Report 184</w:t>
      </w:r>
      <w:r w:rsidR="00EE0DA2" w:rsidRPr="00507E7F">
        <w:rPr>
          <w:lang w:val="en-GB"/>
        </w:rPr>
        <w:t>:</w:t>
      </w:r>
      <w:r w:rsidRPr="00507E7F">
        <w:rPr>
          <w:lang w:val="en-GB"/>
        </w:rPr>
        <w:t xml:space="preserve"> </w:t>
      </w:r>
      <w:r w:rsidR="0088659D" w:rsidRPr="00507E7F">
        <w:rPr>
          <w:lang w:val="en-GB"/>
        </w:rPr>
        <w:t>“</w:t>
      </w:r>
      <w:r w:rsidR="00EE0DA2" w:rsidRPr="00507E7F">
        <w:rPr>
          <w:lang w:val="en-GB"/>
        </w:rPr>
        <w:t>T</w:t>
      </w:r>
      <w:r w:rsidRPr="00507E7F">
        <w:rPr>
          <w:lang w:val="en-GB"/>
        </w:rPr>
        <w:t>he use of earth stations on mobile platforms operating with GSO satellite networks in the frequency ranges 17.3-20.2 GHz and 27.5-30.0 GHz</w:t>
      </w:r>
      <w:r w:rsidR="00EE0DA2" w:rsidRPr="00507E7F">
        <w:rPr>
          <w:lang w:val="en-GB"/>
        </w:rPr>
        <w:t>”</w:t>
      </w:r>
      <w:bookmarkEnd w:id="12"/>
      <w:r w:rsidR="007E5E09" w:rsidRPr="00507E7F">
        <w:rPr>
          <w:lang w:val="en-GB"/>
        </w:rPr>
        <w:t>, February 2013</w:t>
      </w:r>
      <w:bookmarkEnd w:id="13"/>
    </w:p>
    <w:p w14:paraId="553D1337" w14:textId="77777777" w:rsidR="002B42DF" w:rsidRPr="00507E7F" w:rsidRDefault="002B42DF">
      <w:pPr>
        <w:pStyle w:val="reference"/>
        <w:rPr>
          <w:lang w:val="en-GB"/>
        </w:rPr>
      </w:pPr>
      <w:bookmarkStart w:id="14" w:name="_Ref524698107"/>
      <w:bookmarkStart w:id="15" w:name="_Ref531340645"/>
      <w:r w:rsidRPr="00507E7F">
        <w:rPr>
          <w:lang w:val="en-GB"/>
        </w:rPr>
        <w:t xml:space="preserve">ECC Report </w:t>
      </w:r>
      <w:r w:rsidR="00EE0DA2" w:rsidRPr="00507E7F">
        <w:rPr>
          <w:lang w:val="en-GB"/>
        </w:rPr>
        <w:t>272: “</w:t>
      </w:r>
      <w:r w:rsidRPr="00507E7F">
        <w:rPr>
          <w:lang w:val="en-GB"/>
        </w:rPr>
        <w:t>Earth Stations operating in the frequency bands 4-8 GHz, 12-18 GHz and 18-40 GHz in the vicinity of aircraft</w:t>
      </w:r>
      <w:bookmarkEnd w:id="14"/>
      <w:r w:rsidR="00EE0DA2" w:rsidRPr="00507E7F">
        <w:rPr>
          <w:lang w:val="en-GB"/>
        </w:rPr>
        <w:t>”</w:t>
      </w:r>
      <w:r w:rsidR="007E5E09" w:rsidRPr="00507E7F">
        <w:rPr>
          <w:lang w:val="en-GB"/>
        </w:rPr>
        <w:t>, January 2018</w:t>
      </w:r>
      <w:bookmarkEnd w:id="15"/>
    </w:p>
    <w:p w14:paraId="23170018" w14:textId="77777777" w:rsidR="00567C9F" w:rsidRPr="00507E7F" w:rsidRDefault="00567C9F" w:rsidP="00C602FD">
      <w:pPr>
        <w:pStyle w:val="reference"/>
        <w:rPr>
          <w:lang w:val="en-GB"/>
        </w:rPr>
      </w:pPr>
      <w:bookmarkStart w:id="16" w:name="_Ref408995499"/>
      <w:r w:rsidRPr="00507E7F">
        <w:rPr>
          <w:lang w:val="en-GB"/>
        </w:rPr>
        <w:t>ERC</w:t>
      </w:r>
      <w:r w:rsidR="00DE1D8E" w:rsidRPr="00507E7F">
        <w:rPr>
          <w:lang w:val="en-GB"/>
        </w:rPr>
        <w:t xml:space="preserve"> </w:t>
      </w:r>
      <w:r w:rsidRPr="00507E7F">
        <w:rPr>
          <w:lang w:val="en-GB"/>
        </w:rPr>
        <w:t>R</w:t>
      </w:r>
      <w:r w:rsidR="00DE1D8E" w:rsidRPr="00507E7F">
        <w:rPr>
          <w:lang w:val="en-GB"/>
        </w:rPr>
        <w:t>ecommendation</w:t>
      </w:r>
      <w:r w:rsidRPr="00507E7F">
        <w:rPr>
          <w:lang w:val="en-GB"/>
        </w:rPr>
        <w:t xml:space="preserve"> 01-07</w:t>
      </w:r>
      <w:r w:rsidR="00EE0DA2" w:rsidRPr="00507E7F">
        <w:rPr>
          <w:lang w:val="en-GB"/>
        </w:rPr>
        <w:t>: “</w:t>
      </w:r>
      <w:r w:rsidRPr="00507E7F">
        <w:rPr>
          <w:lang w:val="en-GB"/>
        </w:rPr>
        <w:t>Harmonised regime for exemption from individual licensing for the use of radio spectrum</w:t>
      </w:r>
      <w:r w:rsidR="00EE0DA2" w:rsidRPr="00507E7F">
        <w:rPr>
          <w:lang w:val="en-GB"/>
        </w:rPr>
        <w:t>”</w:t>
      </w:r>
      <w:r w:rsidR="007E5E09" w:rsidRPr="00507E7F">
        <w:rPr>
          <w:lang w:val="en-GB"/>
        </w:rPr>
        <w:t>, amended June 2004</w:t>
      </w:r>
      <w:bookmarkEnd w:id="16"/>
    </w:p>
    <w:p w14:paraId="446B6DC3" w14:textId="77777777" w:rsidR="002B42DF" w:rsidRPr="00507E7F" w:rsidRDefault="002B42DF" w:rsidP="00C602FD">
      <w:pPr>
        <w:pStyle w:val="reference"/>
        <w:rPr>
          <w:lang w:val="en-GB"/>
        </w:rPr>
      </w:pPr>
      <w:bookmarkStart w:id="17" w:name="_Ref524698243"/>
      <w:r w:rsidRPr="00507E7F">
        <w:rPr>
          <w:lang w:val="en-GB"/>
        </w:rPr>
        <w:t>ITU Radio Regulations Edition of 2016</w:t>
      </w:r>
      <w:bookmarkEnd w:id="17"/>
    </w:p>
    <w:p w14:paraId="685EB1E5" w14:textId="60B4D328" w:rsidR="00567C9F" w:rsidRPr="00507E7F" w:rsidRDefault="00DE1D8E">
      <w:pPr>
        <w:pStyle w:val="reference"/>
        <w:rPr>
          <w:lang w:val="en-GB"/>
        </w:rPr>
      </w:pPr>
      <w:bookmarkStart w:id="18" w:name="_Ref408995521"/>
      <w:r w:rsidRPr="00507E7F">
        <w:rPr>
          <w:lang w:val="en-GB"/>
        </w:rPr>
        <w:t xml:space="preserve">ECC </w:t>
      </w:r>
      <w:r w:rsidR="00567C9F" w:rsidRPr="00507E7F">
        <w:rPr>
          <w:lang w:val="en-GB"/>
        </w:rPr>
        <w:t>D</w:t>
      </w:r>
      <w:r w:rsidRPr="00507E7F">
        <w:rPr>
          <w:lang w:val="en-GB"/>
        </w:rPr>
        <w:t xml:space="preserve">ecision </w:t>
      </w:r>
      <w:r w:rsidR="00567C9F" w:rsidRPr="00507E7F">
        <w:rPr>
          <w:lang w:val="en-GB"/>
        </w:rPr>
        <w:t>(05)10</w:t>
      </w:r>
      <w:r w:rsidR="00EE0DA2" w:rsidRPr="00507E7F">
        <w:rPr>
          <w:lang w:val="en-GB"/>
        </w:rPr>
        <w:t>:</w:t>
      </w:r>
      <w:r w:rsidR="00567C9F" w:rsidRPr="00507E7F">
        <w:rPr>
          <w:lang w:val="en-GB"/>
        </w:rPr>
        <w:t xml:space="preserve"> </w:t>
      </w:r>
      <w:r w:rsidR="00EE0DA2" w:rsidRPr="00507E7F">
        <w:rPr>
          <w:lang w:val="en-GB"/>
        </w:rPr>
        <w:t>“T</w:t>
      </w:r>
      <w:r w:rsidR="00567C9F" w:rsidRPr="00507E7F">
        <w:rPr>
          <w:lang w:val="en-GB"/>
        </w:rPr>
        <w:t>he free circulation and use of Earth Stations on board Vessels operating in fixed satellite service networks in the frequency bands 14-14.5 GHz (Earth-to-space), 10.7-11.7 GHz (space-to-Earth) and 12.5-12.75 GHz (space-to-Earth)</w:t>
      </w:r>
      <w:r w:rsidR="00EE0DA2" w:rsidRPr="00507E7F">
        <w:rPr>
          <w:lang w:val="en-GB"/>
        </w:rPr>
        <w:t>”</w:t>
      </w:r>
      <w:bookmarkEnd w:id="18"/>
      <w:r w:rsidR="0088659D">
        <w:rPr>
          <w:lang w:val="en-GB"/>
        </w:rPr>
        <w:t>, March 2019</w:t>
      </w:r>
    </w:p>
    <w:p w14:paraId="13DB9927" w14:textId="09D20995" w:rsidR="00567C9F" w:rsidRPr="00507E7F" w:rsidRDefault="00567C9F">
      <w:pPr>
        <w:pStyle w:val="reference"/>
        <w:rPr>
          <w:lang w:val="en-GB"/>
        </w:rPr>
      </w:pPr>
      <w:bookmarkStart w:id="19" w:name="_Ref408995529"/>
      <w:r w:rsidRPr="00507E7F">
        <w:rPr>
          <w:lang w:val="en-GB"/>
        </w:rPr>
        <w:t>ECC</w:t>
      </w:r>
      <w:r w:rsidR="00DE1D8E" w:rsidRPr="00507E7F">
        <w:rPr>
          <w:lang w:val="en-GB"/>
        </w:rPr>
        <w:t xml:space="preserve"> </w:t>
      </w:r>
      <w:r w:rsidRPr="00507E7F">
        <w:rPr>
          <w:lang w:val="en-GB"/>
        </w:rPr>
        <w:t>D</w:t>
      </w:r>
      <w:r w:rsidR="00DE1D8E" w:rsidRPr="00507E7F">
        <w:rPr>
          <w:lang w:val="en-GB"/>
        </w:rPr>
        <w:t xml:space="preserve">ecision </w:t>
      </w:r>
      <w:r w:rsidRPr="00507E7F">
        <w:rPr>
          <w:lang w:val="en-GB"/>
        </w:rPr>
        <w:t>(05)11</w:t>
      </w:r>
      <w:r w:rsidR="00EE0DA2" w:rsidRPr="00507E7F">
        <w:rPr>
          <w:lang w:val="en-GB"/>
        </w:rPr>
        <w:t>:</w:t>
      </w:r>
      <w:r w:rsidRPr="00507E7F">
        <w:rPr>
          <w:lang w:val="en-GB"/>
        </w:rPr>
        <w:t xml:space="preserve"> </w:t>
      </w:r>
      <w:r w:rsidR="00EE0DA2" w:rsidRPr="00507E7F">
        <w:rPr>
          <w:lang w:val="en-GB"/>
        </w:rPr>
        <w:t xml:space="preserve">“The </w:t>
      </w:r>
      <w:r w:rsidRPr="00507E7F">
        <w:rPr>
          <w:lang w:val="en-GB"/>
        </w:rPr>
        <w:t>free circulation and use of Aircraft Earth Stations (AES) in the frequency bands 14-14.5 GHz (Earth-to-space), 10.7-11.7 GHz (space-to-Earth) and 12.5-12.75 GHz (space-to-Earth)</w:t>
      </w:r>
      <w:r w:rsidR="00EE0DA2" w:rsidRPr="00507E7F">
        <w:rPr>
          <w:lang w:val="en-GB"/>
        </w:rPr>
        <w:t>”</w:t>
      </w:r>
      <w:bookmarkEnd w:id="19"/>
      <w:r w:rsidR="0088659D">
        <w:rPr>
          <w:lang w:val="en-GB"/>
        </w:rPr>
        <w:t>, March 2019</w:t>
      </w:r>
    </w:p>
    <w:p w14:paraId="6A8F236A" w14:textId="77777777" w:rsidR="002B42DF" w:rsidRPr="00507E7F" w:rsidRDefault="002B42DF">
      <w:pPr>
        <w:pStyle w:val="reference"/>
        <w:rPr>
          <w:lang w:val="en-GB"/>
        </w:rPr>
      </w:pPr>
      <w:bookmarkStart w:id="20" w:name="_Ref524696809"/>
      <w:r w:rsidRPr="00507E7F">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20"/>
    </w:p>
    <w:p w14:paraId="104E86D5" w14:textId="13B69C15" w:rsidR="00D7148E" w:rsidRPr="00507E7F" w:rsidRDefault="00DE1D8E" w:rsidP="00C602FD">
      <w:pPr>
        <w:pStyle w:val="reference"/>
        <w:rPr>
          <w:lang w:val="en-GB"/>
        </w:rPr>
      </w:pPr>
      <w:bookmarkStart w:id="21" w:name="_Ref409013634"/>
      <w:r w:rsidRPr="00507E7F">
        <w:rPr>
          <w:rFonts w:cs="Arial"/>
          <w:bCs/>
          <w:color w:val="000000"/>
          <w:szCs w:val="20"/>
          <w:lang w:val="en-GB"/>
        </w:rPr>
        <w:t>ETSI EN 303 979</w:t>
      </w:r>
      <w:r w:rsidR="00EE0DA2" w:rsidRPr="00507E7F">
        <w:rPr>
          <w:rFonts w:cs="Arial"/>
          <w:bCs/>
          <w:color w:val="000000"/>
          <w:szCs w:val="20"/>
          <w:lang w:val="en-GB"/>
        </w:rPr>
        <w:t xml:space="preserve"> V2.1.2:</w:t>
      </w:r>
      <w:r w:rsidRPr="00507E7F">
        <w:rPr>
          <w:rFonts w:cs="Arial"/>
          <w:bCs/>
          <w:color w:val="000000"/>
          <w:szCs w:val="20"/>
          <w:lang w:val="en-GB"/>
        </w:rPr>
        <w:t xml:space="preserve"> </w:t>
      </w:r>
      <w:r w:rsidR="00EE0DA2" w:rsidRPr="00507E7F">
        <w:rPr>
          <w:rFonts w:cs="Arial"/>
          <w:bCs/>
          <w:color w:val="000000"/>
          <w:szCs w:val="20"/>
          <w:lang w:val="en-GB"/>
        </w:rPr>
        <w:t>“</w:t>
      </w:r>
      <w:r w:rsidR="00FC6D69" w:rsidRPr="00507E7F">
        <w:rPr>
          <w:rFonts w:cs="Arial"/>
          <w:bCs/>
          <w:color w:val="000000"/>
          <w:szCs w:val="20"/>
          <w:lang w:val="en-GB"/>
        </w:rPr>
        <w:t>Satellite Earth Stations and Systems (SES); Harmoni</w:t>
      </w:r>
      <w:r w:rsidR="00C72300" w:rsidRPr="00507E7F">
        <w:rPr>
          <w:rFonts w:cs="Arial"/>
          <w:bCs/>
          <w:color w:val="000000"/>
          <w:szCs w:val="20"/>
          <w:lang w:val="en-GB"/>
        </w:rPr>
        <w:t>s</w:t>
      </w:r>
      <w:r w:rsidR="00FC6D69" w:rsidRPr="00507E7F">
        <w:rPr>
          <w:rFonts w:cs="Arial"/>
          <w:bCs/>
          <w:color w:val="000000"/>
          <w:szCs w:val="20"/>
          <w:lang w:val="en-GB"/>
        </w:rPr>
        <w:t xml:space="preserve">ed </w:t>
      </w:r>
      <w:r w:rsidR="00EE0DA2" w:rsidRPr="00507E7F">
        <w:rPr>
          <w:rFonts w:cs="Arial"/>
          <w:bCs/>
          <w:color w:val="000000"/>
          <w:szCs w:val="20"/>
          <w:lang w:val="en-GB"/>
        </w:rPr>
        <w:t xml:space="preserve">Standard </w:t>
      </w:r>
      <w:r w:rsidR="00FC6D69" w:rsidRPr="00507E7F">
        <w:rPr>
          <w:rFonts w:cs="Arial"/>
          <w:bCs/>
          <w:color w:val="000000"/>
          <w:szCs w:val="20"/>
          <w:lang w:val="en-GB"/>
        </w:rPr>
        <w:t>for</w:t>
      </w:r>
      <w:r w:rsidR="00EE0DA2" w:rsidRPr="00507E7F">
        <w:rPr>
          <w:rFonts w:cs="Arial"/>
          <w:bCs/>
          <w:color w:val="000000"/>
          <w:szCs w:val="20"/>
          <w:lang w:val="en-GB"/>
        </w:rPr>
        <w:t xml:space="preserve"> </w:t>
      </w:r>
      <w:r w:rsidR="00EE0DA2" w:rsidRPr="00507E7F">
        <w:rPr>
          <w:lang w:val="en-GB"/>
        </w:rPr>
        <w:t>Earth Stations on Mobile Platforms (ESOMP)</w:t>
      </w:r>
      <w:r w:rsidR="00FC6D69" w:rsidRPr="00507E7F">
        <w:rPr>
          <w:rFonts w:cs="Arial"/>
          <w:bCs/>
          <w:color w:val="000000"/>
          <w:szCs w:val="20"/>
          <w:lang w:val="en-GB"/>
        </w:rPr>
        <w:t xml:space="preserve"> </w:t>
      </w:r>
      <w:r w:rsidRPr="00507E7F">
        <w:rPr>
          <w:rFonts w:cs="Arial"/>
          <w:bCs/>
          <w:color w:val="000000"/>
          <w:szCs w:val="20"/>
          <w:lang w:val="en-GB"/>
        </w:rPr>
        <w:t>transmitting towards satellites in non-geostationary orbit</w:t>
      </w:r>
      <w:r w:rsidR="00EE0DA2" w:rsidRPr="00507E7F">
        <w:rPr>
          <w:rFonts w:cs="Arial"/>
          <w:bCs/>
          <w:color w:val="000000"/>
          <w:szCs w:val="20"/>
          <w:lang w:val="en-GB"/>
        </w:rPr>
        <w:t xml:space="preserve">, </w:t>
      </w:r>
      <w:r w:rsidR="00EE0DA2" w:rsidRPr="00507E7F">
        <w:rPr>
          <w:lang w:val="en-GB"/>
        </w:rPr>
        <w:t>operating</w:t>
      </w:r>
      <w:r w:rsidRPr="00507E7F">
        <w:rPr>
          <w:rFonts w:cs="Arial"/>
          <w:bCs/>
          <w:color w:val="000000"/>
          <w:szCs w:val="20"/>
          <w:lang w:val="en-GB"/>
        </w:rPr>
        <w:t xml:space="preserve"> in the 27</w:t>
      </w:r>
      <w:r w:rsidR="00C72300" w:rsidRPr="00507E7F">
        <w:rPr>
          <w:rFonts w:cs="Arial"/>
          <w:bCs/>
          <w:color w:val="000000"/>
          <w:szCs w:val="20"/>
          <w:lang w:val="en-GB"/>
        </w:rPr>
        <w:t>.</w:t>
      </w:r>
      <w:r w:rsidRPr="00507E7F">
        <w:rPr>
          <w:rFonts w:cs="Arial"/>
          <w:bCs/>
          <w:color w:val="000000"/>
          <w:szCs w:val="20"/>
          <w:lang w:val="en-GB"/>
        </w:rPr>
        <w:t>5 GHz to 29</w:t>
      </w:r>
      <w:r w:rsidR="00C72300" w:rsidRPr="00507E7F">
        <w:rPr>
          <w:rFonts w:cs="Arial"/>
          <w:bCs/>
          <w:color w:val="000000"/>
          <w:szCs w:val="20"/>
          <w:lang w:val="en-GB"/>
        </w:rPr>
        <w:t>.</w:t>
      </w:r>
      <w:r w:rsidRPr="00507E7F">
        <w:rPr>
          <w:rFonts w:cs="Arial"/>
          <w:bCs/>
          <w:color w:val="000000"/>
          <w:szCs w:val="20"/>
          <w:lang w:val="en-GB"/>
        </w:rPr>
        <w:t>1 GHz and 29</w:t>
      </w:r>
      <w:r w:rsidR="00C72300" w:rsidRPr="00507E7F">
        <w:rPr>
          <w:rFonts w:cs="Arial"/>
          <w:bCs/>
          <w:color w:val="000000"/>
          <w:szCs w:val="20"/>
          <w:lang w:val="en-GB"/>
        </w:rPr>
        <w:t>.</w:t>
      </w:r>
      <w:r w:rsidRPr="00507E7F">
        <w:rPr>
          <w:rFonts w:cs="Arial"/>
          <w:bCs/>
          <w:color w:val="000000"/>
          <w:szCs w:val="20"/>
          <w:lang w:val="en-GB"/>
        </w:rPr>
        <w:t>5 GHz to 30</w:t>
      </w:r>
      <w:r w:rsidR="00C72300" w:rsidRPr="00507E7F">
        <w:rPr>
          <w:rFonts w:cs="Arial"/>
          <w:bCs/>
          <w:color w:val="000000"/>
          <w:szCs w:val="20"/>
          <w:lang w:val="en-GB"/>
        </w:rPr>
        <w:t>.</w:t>
      </w:r>
      <w:r w:rsidRPr="00507E7F">
        <w:rPr>
          <w:rFonts w:cs="Arial"/>
          <w:bCs/>
          <w:color w:val="000000"/>
          <w:szCs w:val="20"/>
          <w:lang w:val="en-GB"/>
        </w:rPr>
        <w:t xml:space="preserve">0 GHz </w:t>
      </w:r>
      <w:r w:rsidR="00EE0DA2" w:rsidRPr="00507E7F">
        <w:rPr>
          <w:rFonts w:cs="Arial"/>
          <w:bCs/>
          <w:color w:val="000000"/>
          <w:szCs w:val="20"/>
          <w:lang w:val="en-GB"/>
        </w:rPr>
        <w:t xml:space="preserve">frequency </w:t>
      </w:r>
      <w:r w:rsidRPr="00507E7F">
        <w:rPr>
          <w:rFonts w:cs="Arial"/>
          <w:bCs/>
          <w:color w:val="000000"/>
          <w:szCs w:val="20"/>
          <w:lang w:val="en-GB"/>
        </w:rPr>
        <w:t>band</w:t>
      </w:r>
      <w:r w:rsidR="00EE0DA2" w:rsidRPr="00507E7F">
        <w:rPr>
          <w:rFonts w:cs="Arial"/>
          <w:bCs/>
          <w:color w:val="000000"/>
          <w:szCs w:val="20"/>
          <w:lang w:val="en-GB"/>
        </w:rPr>
        <w:t xml:space="preserve">s </w:t>
      </w:r>
      <w:r w:rsidR="00EE0DA2" w:rsidRPr="00507E7F">
        <w:rPr>
          <w:lang w:val="en-GB"/>
        </w:rPr>
        <w:t>covering the essential requirements of article 3.2 of the Directive 2014/53/EU</w:t>
      </w:r>
      <w:r w:rsidR="00EE0DA2" w:rsidRPr="00507E7F">
        <w:rPr>
          <w:rFonts w:cs="Arial"/>
          <w:bCs/>
          <w:color w:val="000000"/>
          <w:szCs w:val="20"/>
          <w:lang w:val="en-GB"/>
        </w:rPr>
        <w:t>”</w:t>
      </w:r>
      <w:bookmarkEnd w:id="21"/>
    </w:p>
    <w:sectPr w:rsidR="00D7148E" w:rsidRPr="00507E7F" w:rsidSect="009F7A7B">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74C8B" w14:textId="77777777" w:rsidR="001874AA" w:rsidRDefault="001874AA" w:rsidP="006C03D0">
      <w:r>
        <w:separator/>
      </w:r>
    </w:p>
  </w:endnote>
  <w:endnote w:type="continuationSeparator" w:id="0">
    <w:p w14:paraId="6EE64C40" w14:textId="77777777" w:rsidR="001874AA" w:rsidRDefault="001874AA" w:rsidP="006C03D0">
      <w:r>
        <w:continuationSeparator/>
      </w:r>
    </w:p>
  </w:endnote>
  <w:endnote w:type="continuationNotice" w:id="1">
    <w:p w14:paraId="18042DD3" w14:textId="77777777" w:rsidR="001874AA" w:rsidRDefault="0018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1980" w14:textId="77777777" w:rsidR="001874AA" w:rsidRDefault="001874AA" w:rsidP="006C03D0">
      <w:r>
        <w:separator/>
      </w:r>
    </w:p>
  </w:footnote>
  <w:footnote w:type="continuationSeparator" w:id="0">
    <w:p w14:paraId="42E60F84" w14:textId="77777777" w:rsidR="001874AA" w:rsidRDefault="001874AA" w:rsidP="006C03D0">
      <w:r>
        <w:continuationSeparator/>
      </w:r>
    </w:p>
  </w:footnote>
  <w:footnote w:type="continuationNotice" w:id="1">
    <w:p w14:paraId="5CE8B534" w14:textId="77777777" w:rsidR="001874AA" w:rsidRDefault="001874AA"/>
  </w:footnote>
  <w:footnote w:id="2">
    <w:p w14:paraId="54784BD6" w14:textId="545BAF75" w:rsidR="00F017CE" w:rsidRPr="00CD5399" w:rsidRDefault="00F017CE" w:rsidP="00FD5220">
      <w:pPr>
        <w:pStyle w:val="ECCFootnote"/>
      </w:pPr>
      <w:r>
        <w:rPr>
          <w:rStyle w:val="FootnoteReference"/>
        </w:rPr>
        <w:footnoteRef/>
      </w:r>
      <w:r>
        <w:t xml:space="preserve"> </w:t>
      </w:r>
      <w:r w:rsidRPr="00CD5399">
        <w:t>It should be noted that ESOMPs mentioned in this Decision without a qualification refer to Land</w:t>
      </w:r>
      <w:r w:rsidR="00775455">
        <w:t xml:space="preserve">, </w:t>
      </w:r>
      <w:r w:rsidRPr="00CD5399">
        <w:t xml:space="preserve">Maritime </w:t>
      </w:r>
      <w:r w:rsidR="00775455">
        <w:t xml:space="preserve">and Aeronautical </w:t>
      </w:r>
      <w:r w:rsidRPr="00CD5399">
        <w:t>ESOMPs operat</w:t>
      </w:r>
      <w:r>
        <w:t xml:space="preserve">ing to NGSO satellite systems. </w:t>
      </w:r>
      <w:r w:rsidRPr="00CD5399">
        <w:t>When reference is made to ESOMPs operating to GSO networks, they are referred to as “GSO ESOMPs</w:t>
      </w:r>
      <w:r>
        <w:t>”</w:t>
      </w:r>
    </w:p>
  </w:footnote>
  <w:footnote w:id="3">
    <w:p w14:paraId="02DC8546" w14:textId="0D63E4EB" w:rsidR="00967F61" w:rsidRPr="00584131" w:rsidRDefault="00F017CE">
      <w:pPr>
        <w:pStyle w:val="FootnoteText"/>
        <w:rPr>
          <w:sz w:val="16"/>
          <w:szCs w:val="16"/>
          <w:lang w:val="en-GB"/>
        </w:rPr>
      </w:pPr>
      <w:r w:rsidRPr="00584131">
        <w:rPr>
          <w:rStyle w:val="FootnoteReference"/>
          <w:lang w:val="en-GB"/>
        </w:rPr>
        <w:footnoteRef/>
      </w:r>
      <w:r w:rsidRPr="00584131">
        <w:rPr>
          <w:lang w:val="en-GB"/>
        </w:rPr>
        <w:t xml:space="preserve"> </w:t>
      </w:r>
      <w:r w:rsidR="00967F61" w:rsidRPr="00584131">
        <w:rPr>
          <w:sz w:val="16"/>
          <w:szCs w:val="16"/>
          <w:lang w:val="en-GB"/>
        </w:rPr>
        <w:t xml:space="preserve">EFIS: </w:t>
      </w:r>
      <w:hyperlink r:id="rId1" w:history="1">
        <w:r w:rsidR="00967F61" w:rsidRPr="00584131">
          <w:rPr>
            <w:rStyle w:val="Hyperlink"/>
            <w:sz w:val="16"/>
            <w:szCs w:val="16"/>
            <w:lang w:val="en-GB"/>
          </w:rPr>
          <w:t>https://www.efis.dk/</w:t>
        </w:r>
      </w:hyperlink>
      <w:r w:rsidRPr="00584131">
        <w:rPr>
          <w:sz w:val="16"/>
          <w:szCs w:val="16"/>
          <w:lang w:val="en-GB"/>
        </w:rPr>
        <w:t>;</w:t>
      </w:r>
    </w:p>
    <w:p w14:paraId="260244CF" w14:textId="2251031C" w:rsidR="00F017CE" w:rsidRPr="00584131" w:rsidRDefault="00967F61">
      <w:pPr>
        <w:pStyle w:val="FootnoteText"/>
        <w:rPr>
          <w:lang w:val="en-GB"/>
        </w:rPr>
      </w:pPr>
      <w:r w:rsidRPr="00584131">
        <w:rPr>
          <w:sz w:val="16"/>
          <w:szCs w:val="16"/>
          <w:lang w:val="en-GB"/>
        </w:rPr>
        <w:t xml:space="preserve">EFIS FS information: </w:t>
      </w:r>
      <w:hyperlink r:id="rId2" w:history="1">
        <w:r w:rsidRPr="00584131">
          <w:rPr>
            <w:rStyle w:val="Hyperlink"/>
            <w:sz w:val="16"/>
            <w:szCs w:val="16"/>
            <w:lang w:val="en-GB"/>
          </w:rPr>
          <w:t>https://www.efis.dk/views2/fixedservicerecommendations.jsp</w:t>
        </w:r>
      </w:hyperlink>
    </w:p>
  </w:footnote>
  <w:footnote w:id="4">
    <w:p w14:paraId="40167A89" w14:textId="77777777" w:rsidR="00F017CE" w:rsidRDefault="00F017CE" w:rsidP="00FD5220">
      <w:pPr>
        <w:pStyle w:val="ECCFootnote"/>
      </w:pPr>
      <w:r>
        <w:rPr>
          <w:rStyle w:val="FootnoteReference"/>
        </w:rPr>
        <w:footnoteRef/>
      </w:r>
      <w:r w:rsidRPr="001334F0">
        <w:t>Off-axis refers to angles greater than 7° from the axis of the main beam or to angles greater than the declared minimum elevation angle of the ESOMP</w:t>
      </w:r>
      <w:r>
        <w:t>s</w:t>
      </w:r>
      <w:r w:rsidRPr="001334F0">
        <w:t>, whichever is lower.</w:t>
      </w:r>
    </w:p>
  </w:footnote>
  <w:footnote w:id="5">
    <w:p w14:paraId="3967C298" w14:textId="77777777" w:rsidR="00F017CE" w:rsidRDefault="00F017CE" w:rsidP="00FD5220">
      <w:pPr>
        <w:pStyle w:val="ECCFootnote"/>
      </w:pPr>
      <w:r w:rsidRPr="00727D8E">
        <w:rPr>
          <w:rStyle w:val="FootnoteReference"/>
        </w:rPr>
        <w:footnoteRef/>
      </w:r>
      <w:r w:rsidRPr="00EC6543">
        <w:t xml:space="preserve">The PFD value above </w:t>
      </w:r>
      <w:r>
        <w:t>is</w:t>
      </w:r>
      <w:r w:rsidRPr="00EC6543">
        <w:t xml:space="preserve"> not defined as under “free-space” conditions. The percentage of time that should be used in the propagation model when assessing compliance with this PFD threshold should be 0.007%.</w:t>
      </w:r>
    </w:p>
  </w:footnote>
  <w:footnote w:id="6">
    <w:p w14:paraId="5CA11F7A" w14:textId="2FB44E30" w:rsidR="002E017F" w:rsidRPr="00AF6F07" w:rsidRDefault="002E017F" w:rsidP="00FD5220">
      <w:pPr>
        <w:pStyle w:val="ECCFootnote"/>
      </w:pPr>
      <w:r>
        <w:rPr>
          <w:rStyle w:val="FootnoteReference"/>
        </w:rPr>
        <w:footnoteRef/>
      </w:r>
      <w:r>
        <w:t xml:space="preserve"> The baseline assumptions of these losses are given in ECC Report 217</w:t>
      </w:r>
      <w:r w:rsidR="0088659D">
        <w:t>,</w:t>
      </w:r>
      <w:r w:rsidR="0056430B">
        <w:t xml:space="preserve"> </w:t>
      </w:r>
      <w:r w:rsidR="0088659D">
        <w:t>annex</w:t>
      </w:r>
      <w:r w:rsidR="006C7E91">
        <w:t xml:space="preserve"> 2</w:t>
      </w:r>
      <w:r w:rsidR="00D71DCB">
        <w:t xml:space="preserve"> </w:t>
      </w:r>
      <w:r w:rsidR="00D71DCB">
        <w:fldChar w:fldCharType="begin"/>
      </w:r>
      <w:r w:rsidR="00D71DCB">
        <w:instrText xml:space="preserve"> REF _Ref531340645 \r \h </w:instrText>
      </w:r>
      <w:r w:rsidR="00D71DCB">
        <w:fldChar w:fldCharType="separate"/>
      </w:r>
      <w:r w:rsidR="00D71DCB">
        <w:t>[10]</w:t>
      </w:r>
      <w:r w:rsidR="00D71DCB">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E085" w14:textId="2E0B116A" w:rsidR="00F017CE" w:rsidRPr="00FD5220" w:rsidRDefault="00F017CE">
    <w:pPr>
      <w:pStyle w:val="Header"/>
      <w:rPr>
        <w:lang w:val="en-GB"/>
      </w:rPr>
    </w:pPr>
    <w:r w:rsidRPr="00FD5220">
      <w:rPr>
        <w:lang w:val="en-GB"/>
      </w:rPr>
      <w:t xml:space="preserve">ECC/DEC/(15)04 Page </w:t>
    </w:r>
    <w:r>
      <w:fldChar w:fldCharType="begin"/>
    </w:r>
    <w:r>
      <w:instrText xml:space="preserve"> PAGE  \* Arabic  \* MERGEFORMAT </w:instrText>
    </w:r>
    <w:r>
      <w:fldChar w:fldCharType="separate"/>
    </w:r>
    <w:r w:rsidR="00B21422" w:rsidRPr="00B21422">
      <w:rPr>
        <w:noProof/>
        <w:szCs w:val="16"/>
        <w:lang w:val="en-GB"/>
      </w:rPr>
      <w:t>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D4FED" w14:textId="42E278BE" w:rsidR="00F017CE" w:rsidRPr="00FD5220" w:rsidRDefault="00F017CE" w:rsidP="006C03D0">
    <w:pPr>
      <w:pStyle w:val="Header"/>
      <w:jc w:val="right"/>
      <w:rPr>
        <w:lang w:val="en-GB"/>
      </w:rPr>
    </w:pPr>
    <w:r w:rsidRPr="00FD5220">
      <w:rPr>
        <w:lang w:val="en-GB"/>
      </w:rPr>
      <w:t xml:space="preserve">ECC/DEC/(15)04 Page </w:t>
    </w:r>
    <w:r>
      <w:fldChar w:fldCharType="begin"/>
    </w:r>
    <w:r>
      <w:instrText xml:space="preserve"> PAGE  \* Arabic  \* MERGEFORMAT </w:instrText>
    </w:r>
    <w:r>
      <w:fldChar w:fldCharType="separate"/>
    </w:r>
    <w:r w:rsidR="00B21422" w:rsidRPr="00B21422">
      <w:rPr>
        <w:noProof/>
        <w:szCs w:val="16"/>
        <w:lang w:val="en-GB"/>
      </w:rPr>
      <w:t>7</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D515C" w14:textId="3636EB84" w:rsidR="00F017CE" w:rsidRPr="00507E7F" w:rsidRDefault="00F017CE" w:rsidP="00D763F6">
    <w:pPr>
      <w:pStyle w:val="Header"/>
      <w:tabs>
        <w:tab w:val="clear" w:pos="8640"/>
        <w:tab w:val="right" w:pos="9356"/>
      </w:tabs>
      <w:rPr>
        <w:sz w:val="22"/>
        <w:szCs w:val="22"/>
      </w:rPr>
    </w:pPr>
    <w:r w:rsidRPr="005074A4">
      <w:rPr>
        <w:noProof/>
        <w:lang w:val="fr-FR" w:eastAsia="fr-FR"/>
      </w:rPr>
      <w:drawing>
        <wp:anchor distT="0" distB="0" distL="114300" distR="114300" simplePos="0" relativeHeight="251657728" behindDoc="0" locked="0" layoutInCell="1" allowOverlap="1" wp14:anchorId="38F37E0A" wp14:editId="70370BD7">
          <wp:simplePos x="0" y="0"/>
          <wp:positionH relativeFrom="page">
            <wp:posOffset>5717540</wp:posOffset>
          </wp:positionH>
          <wp:positionV relativeFrom="page">
            <wp:posOffset>648335</wp:posOffset>
          </wp:positionV>
          <wp:extent cx="1461770" cy="546100"/>
          <wp:effectExtent l="25400" t="0" r="11430" b="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D5220">
      <w:rPr>
        <w:noProof/>
        <w:lang w:val="fr-FR" w:eastAsia="fr-FR"/>
      </w:rPr>
      <w:drawing>
        <wp:anchor distT="0" distB="0" distL="114300" distR="114300" simplePos="0" relativeHeight="251656704" behindDoc="0" locked="0" layoutInCell="1" allowOverlap="1" wp14:anchorId="0ACE1884" wp14:editId="1F8F3887">
          <wp:simplePos x="0" y="0"/>
          <wp:positionH relativeFrom="page">
            <wp:posOffset>572770</wp:posOffset>
          </wp:positionH>
          <wp:positionV relativeFrom="page">
            <wp:posOffset>457200</wp:posOffset>
          </wp:positionV>
          <wp:extent cx="889000" cy="889000"/>
          <wp:effectExtent l="25400" t="0" r="0" b="0"/>
          <wp:wrapNone/>
          <wp:docPr id="11"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822"/>
    <w:multiLevelType w:val="hybridMultilevel"/>
    <w:tmpl w:val="DC149B1C"/>
    <w:lvl w:ilvl="0" w:tplc="6E6A5F08">
      <w:start w:val="1"/>
      <w:numFmt w:val="decimal"/>
      <w:lvlText w:val="%1."/>
      <w:lvlJc w:val="left"/>
      <w:pPr>
        <w:tabs>
          <w:tab w:val="num" w:pos="360"/>
        </w:tabs>
        <w:ind w:left="360" w:hanging="360"/>
      </w:pPr>
      <w:rPr>
        <w:rFont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C7B80"/>
    <w:multiLevelType w:val="multilevel"/>
    <w:tmpl w:val="53B80A2E"/>
    <w:lvl w:ilvl="0">
      <w:start w:val="1"/>
      <w:numFmt w:val="lowerLetter"/>
      <w:lvlText w:val="%1."/>
      <w:lvlJc w:val="left"/>
      <w:pPr>
        <w:tabs>
          <w:tab w:val="num" w:pos="1514"/>
        </w:tabs>
        <w:ind w:left="1514" w:hanging="397"/>
      </w:pPr>
      <w:rPr>
        <w:rFonts w:ascii="Arial" w:hAnsi="Arial" w:hint="default"/>
        <w:color w:val="C00000"/>
        <w:sz w:val="20"/>
      </w:rPr>
    </w:lvl>
    <w:lvl w:ilvl="1">
      <w:start w:val="1"/>
      <w:numFmt w:val="none"/>
      <w:lvlText w:val=""/>
      <w:lvlJc w:val="left"/>
      <w:pPr>
        <w:tabs>
          <w:tab w:val="num" w:pos="2197"/>
        </w:tabs>
        <w:ind w:left="2197" w:hanging="360"/>
      </w:pPr>
      <w:rPr>
        <w:rFonts w:hint="default"/>
      </w:rPr>
    </w:lvl>
    <w:lvl w:ilvl="2">
      <w:start w:val="1"/>
      <w:numFmt w:val="none"/>
      <w:lvlText w:val=""/>
      <w:lvlJc w:val="right"/>
      <w:pPr>
        <w:tabs>
          <w:tab w:val="num" w:pos="2917"/>
        </w:tabs>
        <w:ind w:left="2917" w:hanging="180"/>
      </w:pPr>
      <w:rPr>
        <w:rFonts w:hint="default"/>
      </w:rPr>
    </w:lvl>
    <w:lvl w:ilvl="3">
      <w:start w:val="1"/>
      <w:numFmt w:val="none"/>
      <w:lvlText w:val=""/>
      <w:lvlJc w:val="left"/>
      <w:pPr>
        <w:tabs>
          <w:tab w:val="num" w:pos="3637"/>
        </w:tabs>
        <w:ind w:left="3637" w:hanging="360"/>
      </w:pPr>
      <w:rPr>
        <w:rFonts w:hint="default"/>
      </w:rPr>
    </w:lvl>
    <w:lvl w:ilvl="4">
      <w:start w:val="1"/>
      <w:numFmt w:val="none"/>
      <w:lvlText w:val=""/>
      <w:lvlJc w:val="left"/>
      <w:pPr>
        <w:tabs>
          <w:tab w:val="num" w:pos="4357"/>
        </w:tabs>
        <w:ind w:left="4357" w:hanging="360"/>
      </w:pPr>
      <w:rPr>
        <w:rFonts w:hint="default"/>
      </w:rPr>
    </w:lvl>
    <w:lvl w:ilvl="5">
      <w:start w:val="1"/>
      <w:numFmt w:val="none"/>
      <w:lvlText w:val=""/>
      <w:lvlJc w:val="right"/>
      <w:pPr>
        <w:tabs>
          <w:tab w:val="num" w:pos="5077"/>
        </w:tabs>
        <w:ind w:left="5077" w:hanging="180"/>
      </w:pPr>
      <w:rPr>
        <w:rFonts w:hint="default"/>
      </w:rPr>
    </w:lvl>
    <w:lvl w:ilvl="6">
      <w:start w:val="1"/>
      <w:numFmt w:val="none"/>
      <w:lvlText w:val=""/>
      <w:lvlJc w:val="left"/>
      <w:pPr>
        <w:tabs>
          <w:tab w:val="num" w:pos="5797"/>
        </w:tabs>
        <w:ind w:left="5797" w:hanging="360"/>
      </w:pPr>
      <w:rPr>
        <w:rFonts w:hint="default"/>
      </w:rPr>
    </w:lvl>
    <w:lvl w:ilvl="7">
      <w:start w:val="1"/>
      <w:numFmt w:val="none"/>
      <w:lvlText w:val=""/>
      <w:lvlJc w:val="left"/>
      <w:pPr>
        <w:tabs>
          <w:tab w:val="num" w:pos="6517"/>
        </w:tabs>
        <w:ind w:left="6517" w:hanging="360"/>
      </w:pPr>
      <w:rPr>
        <w:rFonts w:hint="default"/>
      </w:rPr>
    </w:lvl>
    <w:lvl w:ilvl="8">
      <w:start w:val="1"/>
      <w:numFmt w:val="none"/>
      <w:lvlText w:val=""/>
      <w:lvlJc w:val="right"/>
      <w:pPr>
        <w:tabs>
          <w:tab w:val="num" w:pos="7237"/>
        </w:tabs>
        <w:ind w:left="7237" w:hanging="180"/>
      </w:pPr>
      <w:rPr>
        <w:rFonts w:hint="default"/>
      </w:rPr>
    </w:lvl>
  </w:abstractNum>
  <w:abstractNum w:abstractNumId="2"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0F777716"/>
    <w:multiLevelType w:val="hybridMultilevel"/>
    <w:tmpl w:val="3858FD3C"/>
    <w:lvl w:ilvl="0" w:tplc="7EFADB34">
      <w:start w:val="1"/>
      <w:numFmt w:val="lowerLetter"/>
      <w:lvlText w:val="%1)"/>
      <w:lvlJc w:val="left"/>
      <w:pPr>
        <w:ind w:left="1080" w:hanging="360"/>
      </w:pPr>
      <w:rPr>
        <w:rFonts w:hint="default"/>
        <w:color w:val="D2232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CC5A09"/>
    <w:multiLevelType w:val="hybridMultilevel"/>
    <w:tmpl w:val="AA505382"/>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E060383"/>
    <w:multiLevelType w:val="multilevel"/>
    <w:tmpl w:val="747401E8"/>
    <w:lvl w:ilvl="0">
      <w:start w:val="1"/>
      <w:numFmt w:val="lowerLetter"/>
      <w:pStyle w:val="LetteredList"/>
      <w:lvlText w:val="%1)"/>
      <w:lvlJc w:val="left"/>
      <w:pPr>
        <w:tabs>
          <w:tab w:val="num" w:pos="1532"/>
        </w:tabs>
        <w:ind w:left="1532" w:hanging="397"/>
      </w:pPr>
      <w:rPr>
        <w:rFonts w:ascii="Arial" w:hAnsi="Arial" w:hint="default"/>
        <w:color w:val="D2232A"/>
        <w:sz w:val="20"/>
      </w:rPr>
    </w:lvl>
    <w:lvl w:ilvl="1">
      <w:start w:val="1"/>
      <w:numFmt w:val="none"/>
      <w:lvlText w:val=""/>
      <w:lvlJc w:val="left"/>
      <w:pPr>
        <w:tabs>
          <w:tab w:val="num" w:pos="2215"/>
        </w:tabs>
        <w:ind w:left="2215" w:hanging="360"/>
      </w:pPr>
      <w:rPr>
        <w:rFonts w:hint="default"/>
      </w:rPr>
    </w:lvl>
    <w:lvl w:ilvl="2">
      <w:start w:val="1"/>
      <w:numFmt w:val="none"/>
      <w:lvlText w:val=""/>
      <w:lvlJc w:val="right"/>
      <w:pPr>
        <w:tabs>
          <w:tab w:val="num" w:pos="2935"/>
        </w:tabs>
        <w:ind w:left="2935" w:hanging="180"/>
      </w:pPr>
      <w:rPr>
        <w:rFonts w:hint="default"/>
      </w:rPr>
    </w:lvl>
    <w:lvl w:ilvl="3">
      <w:start w:val="1"/>
      <w:numFmt w:val="none"/>
      <w:lvlText w:val=""/>
      <w:lvlJc w:val="left"/>
      <w:pPr>
        <w:tabs>
          <w:tab w:val="num" w:pos="3655"/>
        </w:tabs>
        <w:ind w:left="3655" w:hanging="360"/>
      </w:pPr>
      <w:rPr>
        <w:rFonts w:hint="default"/>
      </w:rPr>
    </w:lvl>
    <w:lvl w:ilvl="4">
      <w:start w:val="1"/>
      <w:numFmt w:val="none"/>
      <w:lvlText w:val=""/>
      <w:lvlJc w:val="left"/>
      <w:pPr>
        <w:tabs>
          <w:tab w:val="num" w:pos="4375"/>
        </w:tabs>
        <w:ind w:left="4375" w:hanging="360"/>
      </w:pPr>
      <w:rPr>
        <w:rFonts w:hint="default"/>
      </w:rPr>
    </w:lvl>
    <w:lvl w:ilvl="5">
      <w:start w:val="1"/>
      <w:numFmt w:val="none"/>
      <w:lvlText w:val=""/>
      <w:lvlJc w:val="right"/>
      <w:pPr>
        <w:tabs>
          <w:tab w:val="num" w:pos="5095"/>
        </w:tabs>
        <w:ind w:left="5095" w:hanging="180"/>
      </w:pPr>
      <w:rPr>
        <w:rFonts w:hint="default"/>
      </w:rPr>
    </w:lvl>
    <w:lvl w:ilvl="6">
      <w:start w:val="1"/>
      <w:numFmt w:val="none"/>
      <w:lvlText w:val=""/>
      <w:lvlJc w:val="left"/>
      <w:pPr>
        <w:tabs>
          <w:tab w:val="num" w:pos="5815"/>
        </w:tabs>
        <w:ind w:left="5815" w:hanging="360"/>
      </w:pPr>
      <w:rPr>
        <w:rFonts w:hint="default"/>
      </w:rPr>
    </w:lvl>
    <w:lvl w:ilvl="7">
      <w:start w:val="1"/>
      <w:numFmt w:val="none"/>
      <w:lvlText w:val=""/>
      <w:lvlJc w:val="left"/>
      <w:pPr>
        <w:tabs>
          <w:tab w:val="num" w:pos="6535"/>
        </w:tabs>
        <w:ind w:left="6535" w:hanging="360"/>
      </w:pPr>
      <w:rPr>
        <w:rFonts w:hint="default"/>
      </w:rPr>
    </w:lvl>
    <w:lvl w:ilvl="8">
      <w:start w:val="1"/>
      <w:numFmt w:val="none"/>
      <w:lvlText w:val=""/>
      <w:lvlJc w:val="right"/>
      <w:pPr>
        <w:tabs>
          <w:tab w:val="num" w:pos="7255"/>
        </w:tabs>
        <w:ind w:left="7255" w:hanging="180"/>
      </w:pPr>
      <w:rPr>
        <w:rFonts w:hint="default"/>
      </w:r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2"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D163F7A"/>
    <w:multiLevelType w:val="multilevel"/>
    <w:tmpl w:val="AD6C7812"/>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A171D"/>
    <w:multiLevelType w:val="hybridMultilevel"/>
    <w:tmpl w:val="366664AA"/>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5AF0FB94">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9726FC5"/>
    <w:multiLevelType w:val="hybridMultilevel"/>
    <w:tmpl w:val="B066B31E"/>
    <w:lvl w:ilvl="0" w:tplc="0BF2BC9C">
      <w:start w:val="3500"/>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A33EFE"/>
    <w:multiLevelType w:val="hybridMultilevel"/>
    <w:tmpl w:val="0F6C0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B3212E4"/>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20"/>
  </w:num>
  <w:num w:numId="4">
    <w:abstractNumId w:val="8"/>
  </w:num>
  <w:num w:numId="5">
    <w:abstractNumId w:val="22"/>
  </w:num>
  <w:num w:numId="6">
    <w:abstractNumId w:val="12"/>
  </w:num>
  <w:num w:numId="7">
    <w:abstractNumId w:val="11"/>
  </w:num>
  <w:num w:numId="8">
    <w:abstractNumId w:val="18"/>
  </w:num>
  <w:num w:numId="9">
    <w:abstractNumId w:val="17"/>
  </w:num>
  <w:num w:numId="10">
    <w:abstractNumId w:val="13"/>
  </w:num>
  <w:num w:numId="11">
    <w:abstractNumId w:val="18"/>
    <w:lvlOverride w:ilvl="0">
      <w:startOverride w:val="1"/>
    </w:lvlOverride>
  </w:num>
  <w:num w:numId="12">
    <w:abstractNumId w:val="7"/>
  </w:num>
  <w:num w:numId="13">
    <w:abstractNumId w:val="4"/>
  </w:num>
  <w:num w:numId="14">
    <w:abstractNumId w:val="24"/>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25"/>
  </w:num>
  <w:num w:numId="20">
    <w:abstractNumId w:val="14"/>
  </w:num>
  <w:num w:numId="21">
    <w:abstractNumId w:val="27"/>
  </w:num>
  <w:num w:numId="22">
    <w:abstractNumId w:val="28"/>
  </w:num>
  <w:num w:numId="23">
    <w:abstractNumId w:val="2"/>
  </w:num>
  <w:num w:numId="24">
    <w:abstractNumId w:val="6"/>
  </w:num>
  <w:num w:numId="25">
    <w:abstractNumId w:val="5"/>
  </w:num>
  <w:num w:numId="26">
    <w:abstractNumId w:val="16"/>
  </w:num>
  <w:num w:numId="27">
    <w:abstractNumId w:val="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7"/>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fr-FR" w:vendorID="64" w:dllVersion="6" w:nlCheck="1" w:checkStyle="1"/>
  <w:activeWritingStyle w:appName="MSWord" w:lang="fr-FR" w:vendorID="64" w:dllVersion="0"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34"/>
    <w:rsid w:val="00016F42"/>
    <w:rsid w:val="000245A8"/>
    <w:rsid w:val="0002609F"/>
    <w:rsid w:val="00031379"/>
    <w:rsid w:val="00040760"/>
    <w:rsid w:val="00072B81"/>
    <w:rsid w:val="00074FA2"/>
    <w:rsid w:val="00081AF1"/>
    <w:rsid w:val="000853D8"/>
    <w:rsid w:val="00093A7A"/>
    <w:rsid w:val="000B3FAC"/>
    <w:rsid w:val="000C134E"/>
    <w:rsid w:val="000C183F"/>
    <w:rsid w:val="000C4F34"/>
    <w:rsid w:val="000F3919"/>
    <w:rsid w:val="001026EC"/>
    <w:rsid w:val="00116486"/>
    <w:rsid w:val="0013619B"/>
    <w:rsid w:val="00137009"/>
    <w:rsid w:val="00137720"/>
    <w:rsid w:val="00141828"/>
    <w:rsid w:val="001717EB"/>
    <w:rsid w:val="00172EA8"/>
    <w:rsid w:val="001865EE"/>
    <w:rsid w:val="001874AA"/>
    <w:rsid w:val="00195EFD"/>
    <w:rsid w:val="001B5E1E"/>
    <w:rsid w:val="001C46EA"/>
    <w:rsid w:val="001C6F76"/>
    <w:rsid w:val="001C733C"/>
    <w:rsid w:val="001E0C8D"/>
    <w:rsid w:val="001E2E8F"/>
    <w:rsid w:val="00203799"/>
    <w:rsid w:val="00235C10"/>
    <w:rsid w:val="00252B17"/>
    <w:rsid w:val="00253812"/>
    <w:rsid w:val="00272300"/>
    <w:rsid w:val="002727AF"/>
    <w:rsid w:val="002741A5"/>
    <w:rsid w:val="00284DD8"/>
    <w:rsid w:val="002937FB"/>
    <w:rsid w:val="002B42DF"/>
    <w:rsid w:val="002B7C06"/>
    <w:rsid w:val="002E017F"/>
    <w:rsid w:val="002E05F7"/>
    <w:rsid w:val="002F6E60"/>
    <w:rsid w:val="0030148C"/>
    <w:rsid w:val="00313A83"/>
    <w:rsid w:val="00323FD5"/>
    <w:rsid w:val="003339CA"/>
    <w:rsid w:val="00335BC2"/>
    <w:rsid w:val="00340DDA"/>
    <w:rsid w:val="0034703F"/>
    <w:rsid w:val="00347FFC"/>
    <w:rsid w:val="00360D51"/>
    <w:rsid w:val="00362748"/>
    <w:rsid w:val="00372F31"/>
    <w:rsid w:val="003A6007"/>
    <w:rsid w:val="003B2B6C"/>
    <w:rsid w:val="003B4873"/>
    <w:rsid w:val="003C1CDF"/>
    <w:rsid w:val="003E4933"/>
    <w:rsid w:val="00412E32"/>
    <w:rsid w:val="004423D9"/>
    <w:rsid w:val="0044736C"/>
    <w:rsid w:val="004563AC"/>
    <w:rsid w:val="004622FC"/>
    <w:rsid w:val="0046263F"/>
    <w:rsid w:val="0047565C"/>
    <w:rsid w:val="004912C5"/>
    <w:rsid w:val="004A2418"/>
    <w:rsid w:val="004A5436"/>
    <w:rsid w:val="004A7C91"/>
    <w:rsid w:val="004C1534"/>
    <w:rsid w:val="004C730D"/>
    <w:rsid w:val="004D06DF"/>
    <w:rsid w:val="004D4301"/>
    <w:rsid w:val="004F1A86"/>
    <w:rsid w:val="005074A4"/>
    <w:rsid w:val="00507504"/>
    <w:rsid w:val="00507E7F"/>
    <w:rsid w:val="00515003"/>
    <w:rsid w:val="00515A00"/>
    <w:rsid w:val="00521C86"/>
    <w:rsid w:val="00522B37"/>
    <w:rsid w:val="00551437"/>
    <w:rsid w:val="005520FE"/>
    <w:rsid w:val="00552425"/>
    <w:rsid w:val="0056430B"/>
    <w:rsid w:val="00567C9F"/>
    <w:rsid w:val="00573333"/>
    <w:rsid w:val="00575DA1"/>
    <w:rsid w:val="00576DF0"/>
    <w:rsid w:val="005806C5"/>
    <w:rsid w:val="0058263A"/>
    <w:rsid w:val="00584131"/>
    <w:rsid w:val="00592703"/>
    <w:rsid w:val="005B6B0A"/>
    <w:rsid w:val="005B7DED"/>
    <w:rsid w:val="005F35E6"/>
    <w:rsid w:val="005F7AD5"/>
    <w:rsid w:val="00600403"/>
    <w:rsid w:val="006123E3"/>
    <w:rsid w:val="006134C7"/>
    <w:rsid w:val="00613E1B"/>
    <w:rsid w:val="00635033"/>
    <w:rsid w:val="006377A2"/>
    <w:rsid w:val="00637D83"/>
    <w:rsid w:val="006570FD"/>
    <w:rsid w:val="006630C1"/>
    <w:rsid w:val="00667DB8"/>
    <w:rsid w:val="0068069E"/>
    <w:rsid w:val="0069215D"/>
    <w:rsid w:val="0069530F"/>
    <w:rsid w:val="0069615A"/>
    <w:rsid w:val="006B6F27"/>
    <w:rsid w:val="006C03D0"/>
    <w:rsid w:val="006C27EF"/>
    <w:rsid w:val="006C3ADA"/>
    <w:rsid w:val="006C7E91"/>
    <w:rsid w:val="006D6DBB"/>
    <w:rsid w:val="006E247C"/>
    <w:rsid w:val="006E3A39"/>
    <w:rsid w:val="006E4CA3"/>
    <w:rsid w:val="006F4023"/>
    <w:rsid w:val="0070052E"/>
    <w:rsid w:val="007072CA"/>
    <w:rsid w:val="00713DBA"/>
    <w:rsid w:val="00716757"/>
    <w:rsid w:val="007357A3"/>
    <w:rsid w:val="00741615"/>
    <w:rsid w:val="00774019"/>
    <w:rsid w:val="00775455"/>
    <w:rsid w:val="00783882"/>
    <w:rsid w:val="00786520"/>
    <w:rsid w:val="007A46C4"/>
    <w:rsid w:val="007B09DD"/>
    <w:rsid w:val="007B3290"/>
    <w:rsid w:val="007C3647"/>
    <w:rsid w:val="007C421C"/>
    <w:rsid w:val="007C6571"/>
    <w:rsid w:val="007D52F2"/>
    <w:rsid w:val="007E23E4"/>
    <w:rsid w:val="007E5E09"/>
    <w:rsid w:val="007F5BFB"/>
    <w:rsid w:val="00815A7D"/>
    <w:rsid w:val="00815D1E"/>
    <w:rsid w:val="0084764B"/>
    <w:rsid w:val="00855765"/>
    <w:rsid w:val="0086106C"/>
    <w:rsid w:val="0086288B"/>
    <w:rsid w:val="00872CD0"/>
    <w:rsid w:val="00880DA1"/>
    <w:rsid w:val="00883FB7"/>
    <w:rsid w:val="008840BD"/>
    <w:rsid w:val="0088659D"/>
    <w:rsid w:val="00891359"/>
    <w:rsid w:val="0089491C"/>
    <w:rsid w:val="008A7E66"/>
    <w:rsid w:val="008E336E"/>
    <w:rsid w:val="00900EF3"/>
    <w:rsid w:val="009166AC"/>
    <w:rsid w:val="00923873"/>
    <w:rsid w:val="00927464"/>
    <w:rsid w:val="00927BFF"/>
    <w:rsid w:val="0093453D"/>
    <w:rsid w:val="009662DC"/>
    <w:rsid w:val="00967F61"/>
    <w:rsid w:val="009962F5"/>
    <w:rsid w:val="009A4C8B"/>
    <w:rsid w:val="009B5070"/>
    <w:rsid w:val="009B5A9B"/>
    <w:rsid w:val="009C3D9D"/>
    <w:rsid w:val="009C3FA0"/>
    <w:rsid w:val="009C69D4"/>
    <w:rsid w:val="009D4407"/>
    <w:rsid w:val="009F14FD"/>
    <w:rsid w:val="009F7A7B"/>
    <w:rsid w:val="00A328DA"/>
    <w:rsid w:val="00A41673"/>
    <w:rsid w:val="00A65D02"/>
    <w:rsid w:val="00A8085A"/>
    <w:rsid w:val="00A82CF3"/>
    <w:rsid w:val="00A8658B"/>
    <w:rsid w:val="00AC1DEF"/>
    <w:rsid w:val="00AC65D5"/>
    <w:rsid w:val="00AE0515"/>
    <w:rsid w:val="00AF03C6"/>
    <w:rsid w:val="00AF12EC"/>
    <w:rsid w:val="00B0232F"/>
    <w:rsid w:val="00B03382"/>
    <w:rsid w:val="00B07954"/>
    <w:rsid w:val="00B079D7"/>
    <w:rsid w:val="00B21422"/>
    <w:rsid w:val="00B23041"/>
    <w:rsid w:val="00B32035"/>
    <w:rsid w:val="00B45649"/>
    <w:rsid w:val="00B51DDE"/>
    <w:rsid w:val="00B529BC"/>
    <w:rsid w:val="00B57B90"/>
    <w:rsid w:val="00B64C35"/>
    <w:rsid w:val="00B67DEA"/>
    <w:rsid w:val="00B87D79"/>
    <w:rsid w:val="00BE3EFB"/>
    <w:rsid w:val="00BF36E5"/>
    <w:rsid w:val="00BF42E6"/>
    <w:rsid w:val="00C1340F"/>
    <w:rsid w:val="00C13489"/>
    <w:rsid w:val="00C55E52"/>
    <w:rsid w:val="00C602FD"/>
    <w:rsid w:val="00C620C4"/>
    <w:rsid w:val="00C627E4"/>
    <w:rsid w:val="00C64D00"/>
    <w:rsid w:val="00C665E0"/>
    <w:rsid w:val="00C72300"/>
    <w:rsid w:val="00C8254B"/>
    <w:rsid w:val="00C92990"/>
    <w:rsid w:val="00CA2F8E"/>
    <w:rsid w:val="00CB7D24"/>
    <w:rsid w:val="00CC627D"/>
    <w:rsid w:val="00CD5399"/>
    <w:rsid w:val="00CD7E1C"/>
    <w:rsid w:val="00CE2D06"/>
    <w:rsid w:val="00CE7218"/>
    <w:rsid w:val="00CE7E0B"/>
    <w:rsid w:val="00CF2457"/>
    <w:rsid w:val="00CF48FE"/>
    <w:rsid w:val="00CF6150"/>
    <w:rsid w:val="00D11766"/>
    <w:rsid w:val="00D228D6"/>
    <w:rsid w:val="00D447C3"/>
    <w:rsid w:val="00D503BC"/>
    <w:rsid w:val="00D50F95"/>
    <w:rsid w:val="00D54222"/>
    <w:rsid w:val="00D6444F"/>
    <w:rsid w:val="00D7148E"/>
    <w:rsid w:val="00D71DCB"/>
    <w:rsid w:val="00D763F6"/>
    <w:rsid w:val="00D8272F"/>
    <w:rsid w:val="00D84E5A"/>
    <w:rsid w:val="00D90B0A"/>
    <w:rsid w:val="00D92D06"/>
    <w:rsid w:val="00DA02F6"/>
    <w:rsid w:val="00DA090D"/>
    <w:rsid w:val="00DC0568"/>
    <w:rsid w:val="00DC47F2"/>
    <w:rsid w:val="00DC647B"/>
    <w:rsid w:val="00DD5ABE"/>
    <w:rsid w:val="00DD606C"/>
    <w:rsid w:val="00DD6696"/>
    <w:rsid w:val="00DE1D8E"/>
    <w:rsid w:val="00DF728F"/>
    <w:rsid w:val="00E0416B"/>
    <w:rsid w:val="00E10530"/>
    <w:rsid w:val="00E20F78"/>
    <w:rsid w:val="00E42134"/>
    <w:rsid w:val="00E45A5A"/>
    <w:rsid w:val="00E471F5"/>
    <w:rsid w:val="00E625EC"/>
    <w:rsid w:val="00E64109"/>
    <w:rsid w:val="00E64AED"/>
    <w:rsid w:val="00E65E22"/>
    <w:rsid w:val="00E73D39"/>
    <w:rsid w:val="00E77AD3"/>
    <w:rsid w:val="00E820D1"/>
    <w:rsid w:val="00E950EB"/>
    <w:rsid w:val="00EA1A79"/>
    <w:rsid w:val="00EA7F0C"/>
    <w:rsid w:val="00EB6197"/>
    <w:rsid w:val="00EC3B0E"/>
    <w:rsid w:val="00ED417D"/>
    <w:rsid w:val="00EE0DA2"/>
    <w:rsid w:val="00EE4E64"/>
    <w:rsid w:val="00EF16C1"/>
    <w:rsid w:val="00F017CE"/>
    <w:rsid w:val="00F02226"/>
    <w:rsid w:val="00F060CC"/>
    <w:rsid w:val="00F15438"/>
    <w:rsid w:val="00F177F1"/>
    <w:rsid w:val="00F206CC"/>
    <w:rsid w:val="00F32EE8"/>
    <w:rsid w:val="00F428E4"/>
    <w:rsid w:val="00F442B8"/>
    <w:rsid w:val="00F57413"/>
    <w:rsid w:val="00F70D64"/>
    <w:rsid w:val="00F76710"/>
    <w:rsid w:val="00F85DEC"/>
    <w:rsid w:val="00FA34CA"/>
    <w:rsid w:val="00FA4704"/>
    <w:rsid w:val="00FC6D69"/>
    <w:rsid w:val="00FC755E"/>
    <w:rsid w:val="00FD05E6"/>
    <w:rsid w:val="00FD5220"/>
    <w:rsid w:val="00FE012C"/>
    <w:rsid w:val="00FF33E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7E1E25D2"/>
  <w15:docId w15:val="{611FD700-DE6F-4E75-9447-2174CA12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FD"/>
    <w:rPr>
      <w:rFonts w:ascii="Arial" w:hAnsi="Arial"/>
      <w:szCs w:val="24"/>
      <w:lang w:val="en-US"/>
    </w:rPr>
  </w:style>
  <w:style w:type="paragraph" w:styleId="Heading1">
    <w:name w:val="heading 1"/>
    <w:aliases w:val="ECC Heading 1"/>
    <w:basedOn w:val="Normal"/>
    <w:next w:val="ECCParagraph"/>
    <w:autoRedefine/>
    <w:qFormat/>
    <w:rsid w:val="00FD5220"/>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D5220"/>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6E3A39"/>
    <w:pPr>
      <w:numPr>
        <w:numId w:val="0"/>
      </w:numPr>
      <w:spacing w:before="360" w:after="240"/>
      <w:ind w:left="360"/>
    </w:pPr>
  </w:style>
  <w:style w:type="paragraph" w:customStyle="1" w:styleId="ECCFootnote">
    <w:name w:val="ECC Footnote"/>
    <w:basedOn w:val="Normal"/>
    <w:autoRedefine/>
    <w:rsid w:val="00FD5220"/>
    <w:pPr>
      <w:ind w:left="142" w:hanging="142"/>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38"/>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aption">
    <w:name w:val="caption"/>
    <w:basedOn w:val="Normal"/>
    <w:next w:val="Normal"/>
    <w:uiPriority w:val="35"/>
    <w:unhideWhenUsed/>
    <w:qFormat/>
    <w:rsid w:val="006E3A39"/>
    <w:pPr>
      <w:spacing w:after="200"/>
    </w:pPr>
    <w:rPr>
      <w:b/>
      <w:bCs/>
      <w:color w:val="4F81BD" w:themeColor="accent1"/>
      <w:sz w:val="18"/>
      <w:szCs w:val="18"/>
    </w:rPr>
  </w:style>
  <w:style w:type="paragraph" w:customStyle="1" w:styleId="ECCTabletext">
    <w:name w:val="ECC Table text"/>
    <w:basedOn w:val="Normal"/>
    <w:qFormat/>
    <w:rsid w:val="00CF48FE"/>
    <w:pPr>
      <w:spacing w:after="60"/>
      <w:jc w:val="both"/>
    </w:pPr>
    <w:rPr>
      <w:rFonts w:eastAsia="Calibri"/>
      <w:szCs w:val="22"/>
      <w:lang w:val="en-GB"/>
    </w:rPr>
  </w:style>
  <w:style w:type="character" w:customStyle="1" w:styleId="FootnoteTextChar">
    <w:name w:val="Footnote Text Char"/>
    <w:link w:val="FootnoteText"/>
    <w:rsid w:val="00FC755E"/>
    <w:rPr>
      <w:rFonts w:ascii="Arial" w:hAnsi="Arial"/>
      <w:lang w:val="en-US"/>
    </w:rPr>
  </w:style>
  <w:style w:type="character" w:styleId="CommentReference">
    <w:name w:val="annotation reference"/>
    <w:basedOn w:val="DefaultParagraphFont"/>
    <w:uiPriority w:val="99"/>
    <w:semiHidden/>
    <w:unhideWhenUsed/>
    <w:rsid w:val="00E950EB"/>
    <w:rPr>
      <w:sz w:val="16"/>
      <w:szCs w:val="16"/>
    </w:rPr>
  </w:style>
  <w:style w:type="paragraph" w:styleId="CommentText">
    <w:name w:val="annotation text"/>
    <w:basedOn w:val="Normal"/>
    <w:link w:val="CommentTextChar"/>
    <w:uiPriority w:val="99"/>
    <w:semiHidden/>
    <w:unhideWhenUsed/>
    <w:rsid w:val="00E950EB"/>
    <w:rPr>
      <w:szCs w:val="20"/>
    </w:rPr>
  </w:style>
  <w:style w:type="character" w:customStyle="1" w:styleId="CommentTextChar">
    <w:name w:val="Comment Text Char"/>
    <w:basedOn w:val="DefaultParagraphFont"/>
    <w:link w:val="CommentText"/>
    <w:uiPriority w:val="99"/>
    <w:semiHidden/>
    <w:rsid w:val="00E950EB"/>
    <w:rPr>
      <w:rFonts w:ascii="Arial" w:hAnsi="Arial"/>
      <w:lang w:val="en-US"/>
    </w:rPr>
  </w:style>
  <w:style w:type="paragraph" w:styleId="CommentSubject">
    <w:name w:val="annotation subject"/>
    <w:basedOn w:val="CommentText"/>
    <w:next w:val="CommentText"/>
    <w:link w:val="CommentSubjectChar"/>
    <w:uiPriority w:val="99"/>
    <w:semiHidden/>
    <w:unhideWhenUsed/>
    <w:rsid w:val="00E950EB"/>
    <w:rPr>
      <w:b/>
      <w:bCs/>
    </w:rPr>
  </w:style>
  <w:style w:type="character" w:customStyle="1" w:styleId="CommentSubjectChar">
    <w:name w:val="Comment Subject Char"/>
    <w:basedOn w:val="CommentTextChar"/>
    <w:link w:val="CommentSubject"/>
    <w:uiPriority w:val="99"/>
    <w:semiHidden/>
    <w:rsid w:val="00E950EB"/>
    <w:rPr>
      <w:rFonts w:ascii="Arial" w:hAnsi="Arial"/>
      <w:b/>
      <w:bCs/>
      <w:lang w:val="en-US"/>
    </w:rPr>
  </w:style>
  <w:style w:type="character" w:styleId="FollowedHyperlink">
    <w:name w:val="FollowedHyperlink"/>
    <w:basedOn w:val="DefaultParagraphFont"/>
    <w:uiPriority w:val="99"/>
    <w:semiHidden/>
    <w:unhideWhenUsed/>
    <w:rsid w:val="00967F61"/>
    <w:rPr>
      <w:color w:val="800080" w:themeColor="followedHyperlink"/>
      <w:u w:val="single"/>
    </w:rPr>
  </w:style>
  <w:style w:type="character" w:customStyle="1" w:styleId="UnresolvedMention1">
    <w:name w:val="Unresolved Mention1"/>
    <w:basedOn w:val="DefaultParagraphFont"/>
    <w:uiPriority w:val="99"/>
    <w:semiHidden/>
    <w:unhideWhenUsed/>
    <w:rsid w:val="00967F61"/>
    <w:rPr>
      <w:color w:val="605E5C"/>
      <w:shd w:val="clear" w:color="auto" w:fill="E1DFDD"/>
    </w:rPr>
  </w:style>
  <w:style w:type="paragraph" w:styleId="Revision">
    <w:name w:val="Revision"/>
    <w:hidden/>
    <w:uiPriority w:val="99"/>
    <w:semiHidden/>
    <w:rsid w:val="001C6F76"/>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pt.org/ec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fis.dk/views2/fixedservicerecommendations.jsp" TargetMode="External"/><Relationship Id="rId1" Type="http://schemas.openxmlformats.org/officeDocument/2006/relationships/hyperlink" Target="https://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D179-088E-4FFF-A719-2D0ADF7F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4104</Words>
  <Characters>25038</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ANFR</Company>
  <LinksUpToDate>false</LinksUpToDate>
  <CharactersWithSpaces>29084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(15)04</dc:title>
  <dc:creator>ECC</dc:creator>
  <cp:keywords>ECC Decision (15)04</cp:keywords>
  <cp:lastModifiedBy>ECO</cp:lastModifiedBy>
  <cp:revision>2</cp:revision>
  <dcterms:created xsi:type="dcterms:W3CDTF">2020-12-22T10:01:00Z</dcterms:created>
  <dcterms:modified xsi:type="dcterms:W3CDTF">2020-12-22T10:01:00Z</dcterms:modified>
</cp:coreProperties>
</file>