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bookmarkStart w:id="0" w:name="_GoBack"/>
      <w:bookmarkEnd w:id="0"/>
    </w:p>
    <w:p w:rsidR="00663D25" w:rsidRPr="00732B4B" w:rsidRDefault="00663D25" w:rsidP="00663D25">
      <w:pPr>
        <w:jc w:val="center"/>
        <w:rPr>
          <w:lang w:val="en-GB"/>
        </w:rPr>
      </w:pPr>
    </w:p>
    <w:p w:rsidR="00663D25" w:rsidRPr="00F43C6E" w:rsidRDefault="00663D25" w:rsidP="00F43C6E">
      <w:pPr>
        <w:jc w:val="center"/>
        <w:rPr>
          <w:lang w:val="en-GB"/>
        </w:rPr>
      </w:pPr>
    </w:p>
    <w:p w:rsidR="00663D25" w:rsidRPr="00732B4B" w:rsidRDefault="00663D25" w:rsidP="00472FB9">
      <w:pPr>
        <w:jc w:val="center"/>
        <w:rPr>
          <w:b/>
          <w:lang w:val="en-GB"/>
        </w:rPr>
      </w:pPr>
    </w:p>
    <w:p w:rsidR="00663D25" w:rsidRPr="00B97129" w:rsidRDefault="00663D25" w:rsidP="00472FB9">
      <w:pPr>
        <w:jc w:val="center"/>
        <w:rPr>
          <w:b/>
          <w:lang w:val="en-GB"/>
        </w:rPr>
      </w:pPr>
    </w:p>
    <w:p w:rsidR="00663D25" w:rsidRPr="00732B4B" w:rsidRDefault="00841A73" w:rsidP="00663D25">
      <w:pPr>
        <w:jc w:val="center"/>
        <w:rPr>
          <w:b/>
          <w:sz w:val="24"/>
          <w:lang w:val="en-GB"/>
        </w:rPr>
      </w:pPr>
      <w:r w:rsidRPr="00732B4B">
        <w:rPr>
          <w:b/>
          <w:noProof/>
          <w:sz w:val="24"/>
          <w:szCs w:val="20"/>
          <w:lang w:val="da-DK" w:eastAsia="da-DK"/>
        </w:rPr>
        <mc:AlternateContent>
          <mc:Choice Requires="wpg">
            <w:drawing>
              <wp:anchor distT="0" distB="0" distL="114300" distR="114300" simplePos="0" relativeHeight="251657728" behindDoc="0" locked="0" layoutInCell="1" allowOverlap="1" wp14:anchorId="621D75E2" wp14:editId="1F4057D0">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w:t>
                              </w:r>
                              <w:r w:rsidR="002C108B">
                                <w:rPr>
                                  <w:color w:val="887E6E"/>
                                  <w:sz w:val="68"/>
                                </w:rPr>
                                <w:t>7</w:t>
                              </w:r>
                              <w:r w:rsidRPr="001E2FAA">
                                <w:rPr>
                                  <w:color w:val="887E6E"/>
                                  <w:sz w:val="68"/>
                                </w:rPr>
                                <w:t>)</w:t>
                              </w:r>
                              <w:r w:rsidR="00B97129">
                                <w:rPr>
                                  <w:color w:val="887E6E"/>
                                  <w:sz w:val="68"/>
                                </w:rPr>
                                <w:t>01</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ALAQQAAAk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w:t>
                        </w:r>
                        <w:r w:rsidR="002C108B">
                          <w:rPr>
                            <w:color w:val="887E6E"/>
                            <w:sz w:val="68"/>
                          </w:rPr>
                          <w:t>7</w:t>
                        </w:r>
                        <w:r w:rsidRPr="001E2FAA">
                          <w:rPr>
                            <w:color w:val="887E6E"/>
                            <w:sz w:val="68"/>
                          </w:rPr>
                          <w:t>)</w:t>
                        </w:r>
                        <w:r w:rsidR="00B97129">
                          <w:rPr>
                            <w:color w:val="887E6E"/>
                            <w:sz w:val="68"/>
                          </w:rPr>
                          <w:t>01</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jc w:val="center"/>
        <w:rPr>
          <w:b/>
          <w:sz w:val="24"/>
          <w:lang w:val="en-GB"/>
        </w:rPr>
      </w:pPr>
    </w:p>
    <w:p w:rsidR="00663D25" w:rsidRPr="00732B4B" w:rsidRDefault="00663D25" w:rsidP="00663D25">
      <w:pPr>
        <w:rPr>
          <w:b/>
          <w:sz w:val="24"/>
          <w:lang w:val="en-GB"/>
        </w:rPr>
      </w:pPr>
    </w:p>
    <w:p w:rsidR="00663D25" w:rsidRPr="00732B4B" w:rsidRDefault="00663D25" w:rsidP="00663D25">
      <w:pPr>
        <w:jc w:val="center"/>
        <w:rPr>
          <w:b/>
          <w:sz w:val="24"/>
          <w:lang w:val="en-GB"/>
        </w:rPr>
      </w:pPr>
    </w:p>
    <w:p w:rsidR="00663D25" w:rsidRPr="00732B4B" w:rsidRDefault="00190C12" w:rsidP="00C923EE">
      <w:pPr>
        <w:pStyle w:val="Reporttitledescription"/>
        <w:spacing w:line="240" w:lineRule="auto"/>
        <w:rPr>
          <w:color w:val="auto"/>
          <w:lang w:val="en-GB"/>
        </w:rPr>
      </w:pPr>
      <w:r w:rsidRPr="00732B4B">
        <w:rPr>
          <w:color w:val="auto"/>
          <w:lang w:val="en-GB"/>
        </w:rPr>
        <w:t>ECC Decision on the withdrawal of E</w:t>
      </w:r>
      <w:r w:rsidR="002C108B" w:rsidRPr="00732B4B">
        <w:rPr>
          <w:color w:val="auto"/>
          <w:lang w:val="en-GB"/>
        </w:rPr>
        <w:t>C</w:t>
      </w:r>
      <w:r w:rsidRPr="00732B4B">
        <w:rPr>
          <w:color w:val="auto"/>
          <w:lang w:val="en-GB"/>
        </w:rPr>
        <w:t>C Decision</w:t>
      </w:r>
      <w:r w:rsidRPr="00732B4B">
        <w:rPr>
          <w:rFonts w:cs="Arial"/>
          <w:color w:val="auto"/>
          <w:lang w:val="en-GB"/>
        </w:rPr>
        <w:t xml:space="preserve"> (</w:t>
      </w:r>
      <w:r w:rsidR="002C108B" w:rsidRPr="00732B4B">
        <w:rPr>
          <w:rFonts w:cs="Arial"/>
          <w:color w:val="auto"/>
          <w:lang w:val="en-GB"/>
        </w:rPr>
        <w:t>01</w:t>
      </w:r>
      <w:r w:rsidRPr="00732B4B">
        <w:rPr>
          <w:rFonts w:cs="Arial"/>
          <w:color w:val="auto"/>
          <w:lang w:val="en-GB"/>
        </w:rPr>
        <w:t>)</w:t>
      </w:r>
      <w:r w:rsidR="002C108B" w:rsidRPr="00732B4B">
        <w:rPr>
          <w:rFonts w:cs="Arial"/>
          <w:color w:val="auto"/>
          <w:lang w:val="en-GB"/>
        </w:rPr>
        <w:t>01</w:t>
      </w:r>
      <w:r w:rsidR="00F04472" w:rsidRPr="00732B4B">
        <w:rPr>
          <w:rFonts w:cs="Arial"/>
          <w:color w:val="auto"/>
          <w:lang w:val="en-GB"/>
        </w:rPr>
        <w:t xml:space="preserve"> </w:t>
      </w:r>
      <w:r w:rsidR="002C108B" w:rsidRPr="00732B4B">
        <w:rPr>
          <w:rFonts w:cs="Arial"/>
          <w:color w:val="auto"/>
          <w:lang w:val="en-GB"/>
        </w:rPr>
        <w:t>on phasing out analogue CT1 and CT1+ applications in the 900 MHz band and ECC Decision (01)02 on phasing out digital CT2 applications in the 900 MHz band</w:t>
      </w:r>
    </w:p>
    <w:p w:rsidR="00C923EE" w:rsidRPr="00732B4B" w:rsidRDefault="00C923EE" w:rsidP="00C923EE">
      <w:pPr>
        <w:pStyle w:val="Reporttitledescription"/>
        <w:spacing w:before="120" w:after="240" w:line="240" w:lineRule="auto"/>
        <w:rPr>
          <w:color w:val="auto"/>
          <w:lang w:val="en-GB"/>
        </w:rPr>
      </w:pPr>
    </w:p>
    <w:p w:rsidR="00663D25" w:rsidRPr="00732B4B" w:rsidRDefault="00B612AF" w:rsidP="00C923EE">
      <w:pPr>
        <w:pStyle w:val="Reporttitledescription"/>
        <w:spacing w:before="0"/>
        <w:rPr>
          <w:b/>
          <w:color w:val="auto"/>
          <w:sz w:val="18"/>
          <w:szCs w:val="18"/>
          <w:lang w:val="en-GB"/>
        </w:rPr>
      </w:pPr>
      <w:r w:rsidRPr="00732B4B">
        <w:rPr>
          <w:b/>
          <w:color w:val="auto"/>
          <w:sz w:val="18"/>
          <w:szCs w:val="18"/>
          <w:lang w:val="en-GB"/>
        </w:rPr>
        <w:t xml:space="preserve">Approved </w:t>
      </w:r>
      <w:r w:rsidR="00324703">
        <w:rPr>
          <w:b/>
          <w:color w:val="auto"/>
          <w:sz w:val="18"/>
          <w:szCs w:val="18"/>
          <w:lang w:val="en-GB"/>
        </w:rPr>
        <w:t>03 March</w:t>
      </w:r>
      <w:r w:rsidR="003B4596" w:rsidRPr="00732B4B">
        <w:rPr>
          <w:b/>
          <w:color w:val="auto"/>
          <w:sz w:val="18"/>
          <w:szCs w:val="18"/>
          <w:lang w:val="en-GB"/>
        </w:rPr>
        <w:t xml:space="preserve"> 201</w:t>
      </w:r>
      <w:r w:rsidR="002C108B" w:rsidRPr="00732B4B">
        <w:rPr>
          <w:b/>
          <w:color w:val="auto"/>
          <w:sz w:val="18"/>
          <w:szCs w:val="18"/>
          <w:lang w:val="en-GB"/>
        </w:rPr>
        <w:t>7</w:t>
      </w:r>
    </w:p>
    <w:p w:rsidR="00663D25" w:rsidRPr="00732B4B" w:rsidRDefault="00663D25" w:rsidP="00C923EE">
      <w:pPr>
        <w:pStyle w:val="Heading1"/>
      </w:pPr>
      <w:r w:rsidRPr="00732B4B">
        <w:lastRenderedPageBreak/>
        <w:t>explanato</w:t>
      </w:r>
      <w:r w:rsidR="007D41A6" w:rsidRPr="00732B4B">
        <w:t>ry memorandum</w:t>
      </w:r>
    </w:p>
    <w:p w:rsidR="00663D25" w:rsidRPr="00732B4B" w:rsidRDefault="00663D25" w:rsidP="00C923EE">
      <w:pPr>
        <w:pStyle w:val="Heading2"/>
        <w:rPr>
          <w:lang w:val="en-GB"/>
        </w:rPr>
      </w:pPr>
      <w:r w:rsidRPr="00732B4B">
        <w:rPr>
          <w:lang w:val="en-GB"/>
        </w:rPr>
        <w:t>INTRODUCTION</w:t>
      </w:r>
    </w:p>
    <w:p w:rsidR="00663D25" w:rsidRPr="00732B4B" w:rsidRDefault="00190C12" w:rsidP="00E256A0">
      <w:pPr>
        <w:pStyle w:val="ECCParagraph"/>
        <w:rPr>
          <w:rFonts w:cs="Arial"/>
          <w:sz w:val="22"/>
          <w:szCs w:val="22"/>
          <w:lang w:eastAsia="de-DE"/>
        </w:rPr>
      </w:pPr>
      <w:r w:rsidRPr="00732B4B">
        <w:rPr>
          <w:rFonts w:cs="Arial"/>
          <w:sz w:val="22"/>
          <w:szCs w:val="22"/>
          <w:lang w:eastAsia="de-DE"/>
        </w:rPr>
        <w:t>In 201</w:t>
      </w:r>
      <w:r w:rsidR="00E256A0" w:rsidRPr="00732B4B">
        <w:rPr>
          <w:rFonts w:cs="Arial"/>
          <w:sz w:val="22"/>
          <w:szCs w:val="22"/>
          <w:lang w:eastAsia="de-DE"/>
        </w:rPr>
        <w:t>6</w:t>
      </w:r>
      <w:r w:rsidRPr="00732B4B">
        <w:rPr>
          <w:rFonts w:cs="Arial"/>
          <w:sz w:val="22"/>
          <w:szCs w:val="22"/>
          <w:lang w:eastAsia="de-DE"/>
        </w:rPr>
        <w:t xml:space="preserve">, the </w:t>
      </w:r>
      <w:r w:rsidR="002C108B" w:rsidRPr="00732B4B">
        <w:rPr>
          <w:rFonts w:cs="Arial"/>
          <w:sz w:val="22"/>
          <w:szCs w:val="22"/>
          <w:lang w:eastAsia="de-DE"/>
        </w:rPr>
        <w:t>ECC</w:t>
      </w:r>
      <w:r w:rsidR="00BB560C">
        <w:rPr>
          <w:rFonts w:cs="Arial"/>
          <w:sz w:val="22"/>
          <w:szCs w:val="22"/>
          <w:lang w:eastAsia="de-DE"/>
        </w:rPr>
        <w:t>/</w:t>
      </w:r>
      <w:r w:rsidR="002C108B" w:rsidRPr="00732B4B">
        <w:rPr>
          <w:rFonts w:cs="Arial"/>
          <w:sz w:val="22"/>
          <w:szCs w:val="22"/>
          <w:lang w:eastAsia="de-DE"/>
        </w:rPr>
        <w:t>D</w:t>
      </w:r>
      <w:r w:rsidR="00BB560C">
        <w:rPr>
          <w:rFonts w:cs="Arial"/>
          <w:sz w:val="22"/>
          <w:szCs w:val="22"/>
          <w:lang w:eastAsia="de-DE"/>
        </w:rPr>
        <w:t>EC/</w:t>
      </w:r>
      <w:r w:rsidR="002C108B" w:rsidRPr="00732B4B">
        <w:rPr>
          <w:rFonts w:cs="Arial"/>
          <w:sz w:val="22"/>
          <w:szCs w:val="22"/>
          <w:lang w:eastAsia="de-DE"/>
        </w:rPr>
        <w:t>(01)01 of 15 November 2001 on phasing out analogue CT1 and CT1+ applications in the 900 MHz band and the ECC</w:t>
      </w:r>
      <w:r w:rsidR="00BB560C">
        <w:rPr>
          <w:rFonts w:cs="Arial"/>
          <w:sz w:val="22"/>
          <w:szCs w:val="22"/>
          <w:lang w:eastAsia="de-DE"/>
        </w:rPr>
        <w:t>/</w:t>
      </w:r>
      <w:r w:rsidR="002C108B" w:rsidRPr="00732B4B">
        <w:rPr>
          <w:rFonts w:cs="Arial"/>
          <w:sz w:val="22"/>
          <w:szCs w:val="22"/>
          <w:lang w:eastAsia="de-DE"/>
        </w:rPr>
        <w:t>D</w:t>
      </w:r>
      <w:r w:rsidR="00BB560C">
        <w:rPr>
          <w:rFonts w:cs="Arial"/>
          <w:sz w:val="22"/>
          <w:szCs w:val="22"/>
          <w:lang w:eastAsia="de-DE"/>
        </w:rPr>
        <w:t>EC/</w:t>
      </w:r>
      <w:r w:rsidR="002C108B" w:rsidRPr="00732B4B">
        <w:rPr>
          <w:rFonts w:cs="Arial"/>
          <w:sz w:val="22"/>
          <w:szCs w:val="22"/>
          <w:lang w:eastAsia="de-DE"/>
        </w:rPr>
        <w:t>(01)02 of 15 November 2001 on phasing out digital CT2 applications in the 900 MHz band were</w:t>
      </w:r>
      <w:r w:rsidRPr="00732B4B">
        <w:rPr>
          <w:rFonts w:cs="Arial"/>
          <w:sz w:val="22"/>
          <w:szCs w:val="22"/>
          <w:lang w:eastAsia="de-DE"/>
        </w:rPr>
        <w:t xml:space="preserve"> reviewed and it was concluded that </w:t>
      </w:r>
      <w:r w:rsidR="00F04472" w:rsidRPr="00732B4B">
        <w:rPr>
          <w:rFonts w:cs="Arial"/>
          <w:sz w:val="22"/>
          <w:szCs w:val="22"/>
          <w:lang w:eastAsia="de-DE"/>
        </w:rPr>
        <w:t>th</w:t>
      </w:r>
      <w:r w:rsidR="002C108B" w:rsidRPr="00732B4B">
        <w:rPr>
          <w:rFonts w:cs="Arial"/>
          <w:sz w:val="22"/>
          <w:szCs w:val="22"/>
          <w:lang w:eastAsia="de-DE"/>
        </w:rPr>
        <w:t>ese</w:t>
      </w:r>
      <w:r w:rsidR="00F04472" w:rsidRPr="00732B4B">
        <w:rPr>
          <w:rFonts w:cs="Arial"/>
          <w:sz w:val="22"/>
          <w:szCs w:val="22"/>
          <w:lang w:eastAsia="de-DE"/>
        </w:rPr>
        <w:t xml:space="preserve"> Decision</w:t>
      </w:r>
      <w:r w:rsidR="002C108B" w:rsidRPr="00732B4B">
        <w:rPr>
          <w:rFonts w:cs="Arial"/>
          <w:sz w:val="22"/>
          <w:szCs w:val="22"/>
          <w:lang w:eastAsia="de-DE"/>
        </w:rPr>
        <w:t>s</w:t>
      </w:r>
      <w:r w:rsidR="00F04472" w:rsidRPr="00732B4B">
        <w:rPr>
          <w:rFonts w:cs="Arial"/>
          <w:sz w:val="22"/>
          <w:szCs w:val="22"/>
          <w:lang w:eastAsia="de-DE"/>
        </w:rPr>
        <w:t xml:space="preserve"> (</w:t>
      </w:r>
      <w:r w:rsidR="00634AA5" w:rsidRPr="00732B4B">
        <w:rPr>
          <w:rFonts w:cs="Arial"/>
          <w:sz w:val="22"/>
          <w:szCs w:val="22"/>
          <w:lang w:eastAsia="de-DE"/>
        </w:rPr>
        <w:t>E</w:t>
      </w:r>
      <w:r w:rsidR="002C108B" w:rsidRPr="00732B4B">
        <w:rPr>
          <w:rFonts w:cs="Arial"/>
          <w:sz w:val="22"/>
          <w:szCs w:val="22"/>
          <w:lang w:eastAsia="de-DE"/>
        </w:rPr>
        <w:t>C</w:t>
      </w:r>
      <w:r w:rsidR="00634AA5" w:rsidRPr="00732B4B">
        <w:rPr>
          <w:rFonts w:cs="Arial"/>
          <w:sz w:val="22"/>
          <w:szCs w:val="22"/>
          <w:lang w:eastAsia="de-DE"/>
        </w:rPr>
        <w:t>C</w:t>
      </w:r>
      <w:r w:rsidRPr="00732B4B">
        <w:rPr>
          <w:rFonts w:cs="Arial"/>
          <w:sz w:val="22"/>
          <w:szCs w:val="22"/>
          <w:lang w:eastAsia="de-DE"/>
        </w:rPr>
        <w:t>D</w:t>
      </w:r>
      <w:r w:rsidR="00BB560C">
        <w:rPr>
          <w:rFonts w:cs="Arial"/>
          <w:sz w:val="22"/>
          <w:szCs w:val="22"/>
          <w:lang w:eastAsia="de-DE"/>
        </w:rPr>
        <w:t>EC/</w:t>
      </w:r>
      <w:r w:rsidR="00634AA5" w:rsidRPr="00732B4B">
        <w:rPr>
          <w:rFonts w:cs="Arial"/>
          <w:sz w:val="22"/>
          <w:szCs w:val="22"/>
          <w:lang w:eastAsia="de-DE"/>
        </w:rPr>
        <w:t>(</w:t>
      </w:r>
      <w:r w:rsidR="002C108B" w:rsidRPr="00732B4B">
        <w:rPr>
          <w:rFonts w:cs="Arial"/>
          <w:sz w:val="22"/>
          <w:szCs w:val="22"/>
          <w:lang w:eastAsia="de-DE"/>
        </w:rPr>
        <w:t>01</w:t>
      </w:r>
      <w:r w:rsidR="00634AA5" w:rsidRPr="00732B4B">
        <w:rPr>
          <w:rFonts w:cs="Arial"/>
          <w:sz w:val="22"/>
          <w:szCs w:val="22"/>
          <w:lang w:eastAsia="de-DE"/>
        </w:rPr>
        <w:t>)</w:t>
      </w:r>
      <w:r w:rsidR="002C108B" w:rsidRPr="00732B4B">
        <w:rPr>
          <w:rFonts w:cs="Arial"/>
          <w:sz w:val="22"/>
          <w:szCs w:val="22"/>
          <w:lang w:eastAsia="de-DE"/>
        </w:rPr>
        <w:t>01 and ECC</w:t>
      </w:r>
      <w:r w:rsidR="00BB560C">
        <w:rPr>
          <w:rFonts w:cs="Arial"/>
          <w:sz w:val="22"/>
          <w:szCs w:val="22"/>
          <w:lang w:eastAsia="de-DE"/>
        </w:rPr>
        <w:t>/</w:t>
      </w:r>
      <w:r w:rsidR="002C108B" w:rsidRPr="00732B4B">
        <w:rPr>
          <w:rFonts w:cs="Arial"/>
          <w:sz w:val="22"/>
          <w:szCs w:val="22"/>
          <w:lang w:eastAsia="de-DE"/>
        </w:rPr>
        <w:t>D</w:t>
      </w:r>
      <w:r w:rsidR="00BB560C">
        <w:rPr>
          <w:rFonts w:cs="Arial"/>
          <w:sz w:val="22"/>
          <w:szCs w:val="22"/>
          <w:lang w:eastAsia="de-DE"/>
        </w:rPr>
        <w:t>EC</w:t>
      </w:r>
      <w:r w:rsidR="002C108B" w:rsidRPr="00732B4B">
        <w:rPr>
          <w:rFonts w:cs="Arial"/>
          <w:sz w:val="22"/>
          <w:szCs w:val="22"/>
          <w:lang w:eastAsia="de-DE"/>
        </w:rPr>
        <w:t>(01)02</w:t>
      </w:r>
      <w:r w:rsidR="00F04472" w:rsidRPr="00732B4B">
        <w:rPr>
          <w:rFonts w:cs="Arial"/>
          <w:sz w:val="22"/>
          <w:szCs w:val="22"/>
          <w:lang w:eastAsia="de-DE"/>
        </w:rPr>
        <w:t>)</w:t>
      </w:r>
      <w:r w:rsidR="00634AA5" w:rsidRPr="00732B4B">
        <w:rPr>
          <w:rFonts w:cs="Arial"/>
          <w:sz w:val="22"/>
          <w:szCs w:val="22"/>
          <w:lang w:eastAsia="de-DE"/>
        </w:rPr>
        <w:t xml:space="preserve"> </w:t>
      </w:r>
      <w:r w:rsidRPr="00732B4B">
        <w:rPr>
          <w:rFonts w:cs="Arial"/>
          <w:sz w:val="22"/>
          <w:szCs w:val="22"/>
          <w:lang w:eastAsia="de-DE"/>
        </w:rPr>
        <w:t>w</w:t>
      </w:r>
      <w:r w:rsidR="002C108B" w:rsidRPr="00732B4B">
        <w:rPr>
          <w:rFonts w:cs="Arial"/>
          <w:sz w:val="22"/>
          <w:szCs w:val="22"/>
          <w:lang w:eastAsia="de-DE"/>
        </w:rPr>
        <w:t>ere</w:t>
      </w:r>
      <w:r w:rsidRPr="00732B4B">
        <w:rPr>
          <w:rFonts w:cs="Arial"/>
          <w:sz w:val="22"/>
          <w:szCs w:val="22"/>
          <w:lang w:eastAsia="de-DE"/>
        </w:rPr>
        <w:t xml:space="preserve"> suitable for withdrawal</w:t>
      </w:r>
      <w:r w:rsidR="000F7FA5" w:rsidRPr="00732B4B">
        <w:rPr>
          <w:rFonts w:cs="Arial"/>
          <w:sz w:val="22"/>
          <w:szCs w:val="22"/>
          <w:lang w:eastAsia="de-DE"/>
        </w:rPr>
        <w:t xml:space="preserve"> and no longer needed.</w:t>
      </w:r>
    </w:p>
    <w:p w:rsidR="00004D9E" w:rsidRPr="00732B4B" w:rsidRDefault="00004D9E" w:rsidP="00E256A0">
      <w:pPr>
        <w:pStyle w:val="ECCParagraph"/>
      </w:pPr>
      <w:r w:rsidRPr="00732B4B">
        <w:rPr>
          <w:rFonts w:cs="Arial"/>
          <w:sz w:val="22"/>
          <w:szCs w:val="22"/>
          <w:lang w:eastAsia="de-DE"/>
        </w:rPr>
        <w:t>The former activities with regard to the phasing out of CT equipment in the 900 MHz range w</w:t>
      </w:r>
      <w:r w:rsidR="001A4305">
        <w:rPr>
          <w:rFonts w:cs="Arial"/>
          <w:sz w:val="22"/>
          <w:szCs w:val="22"/>
          <w:lang w:eastAsia="de-DE"/>
        </w:rPr>
        <w:t>ere</w:t>
      </w:r>
      <w:r w:rsidRPr="00732B4B">
        <w:rPr>
          <w:rFonts w:cs="Arial"/>
          <w:sz w:val="22"/>
          <w:szCs w:val="22"/>
          <w:lang w:eastAsia="de-DE"/>
        </w:rPr>
        <w:t xml:space="preserve"> based on the outcome of the Detailed Spectrum Investigation (DSI) of CEPT and resulted in the approval of </w:t>
      </w:r>
      <w:r w:rsidR="00BB560C" w:rsidRPr="00732B4B">
        <w:rPr>
          <w:rFonts w:cs="Arial"/>
          <w:sz w:val="22"/>
          <w:szCs w:val="22"/>
          <w:lang w:eastAsia="de-DE"/>
        </w:rPr>
        <w:t>ECCD</w:t>
      </w:r>
      <w:r w:rsidR="00BB560C">
        <w:rPr>
          <w:rFonts w:cs="Arial"/>
          <w:sz w:val="22"/>
          <w:szCs w:val="22"/>
          <w:lang w:eastAsia="de-DE"/>
        </w:rPr>
        <w:t>EC/</w:t>
      </w:r>
      <w:r w:rsidR="00BB560C" w:rsidRPr="00732B4B">
        <w:rPr>
          <w:rFonts w:cs="Arial"/>
          <w:sz w:val="22"/>
          <w:szCs w:val="22"/>
          <w:lang w:eastAsia="de-DE"/>
        </w:rPr>
        <w:t>(01)01 and ECC</w:t>
      </w:r>
      <w:r w:rsidR="00BB560C">
        <w:rPr>
          <w:rFonts w:cs="Arial"/>
          <w:sz w:val="22"/>
          <w:szCs w:val="22"/>
          <w:lang w:eastAsia="de-DE"/>
        </w:rPr>
        <w:t>/</w:t>
      </w:r>
      <w:r w:rsidR="00BB560C" w:rsidRPr="00732B4B">
        <w:rPr>
          <w:rFonts w:cs="Arial"/>
          <w:sz w:val="22"/>
          <w:szCs w:val="22"/>
          <w:lang w:eastAsia="de-DE"/>
        </w:rPr>
        <w:t>D</w:t>
      </w:r>
      <w:r w:rsidR="00BB560C">
        <w:rPr>
          <w:rFonts w:cs="Arial"/>
          <w:sz w:val="22"/>
          <w:szCs w:val="22"/>
          <w:lang w:eastAsia="de-DE"/>
        </w:rPr>
        <w:t>EC</w:t>
      </w:r>
      <w:r w:rsidR="00BB560C" w:rsidRPr="00732B4B">
        <w:rPr>
          <w:rFonts w:cs="Arial"/>
          <w:sz w:val="22"/>
          <w:szCs w:val="22"/>
          <w:lang w:eastAsia="de-DE"/>
        </w:rPr>
        <w:t>(01)02</w:t>
      </w:r>
      <w:r w:rsidR="002830B8" w:rsidRPr="00732B4B">
        <w:rPr>
          <w:rFonts w:cs="Arial"/>
          <w:sz w:val="22"/>
          <w:szCs w:val="22"/>
          <w:lang w:eastAsia="de-DE"/>
        </w:rPr>
        <w:t xml:space="preserve"> in 2001</w:t>
      </w:r>
      <w:r w:rsidRPr="00732B4B">
        <w:rPr>
          <w:rFonts w:cs="Arial"/>
          <w:sz w:val="22"/>
          <w:szCs w:val="22"/>
          <w:lang w:eastAsia="de-DE"/>
        </w:rPr>
        <w:t>.</w:t>
      </w:r>
    </w:p>
    <w:p w:rsidR="00663D25" w:rsidRPr="00732B4B" w:rsidRDefault="00663D25" w:rsidP="00C923EE">
      <w:pPr>
        <w:pStyle w:val="Heading2"/>
        <w:rPr>
          <w:lang w:val="en-GB"/>
        </w:rPr>
      </w:pPr>
      <w:r w:rsidRPr="00732B4B">
        <w:rPr>
          <w:lang w:val="en-GB"/>
        </w:rPr>
        <w:t xml:space="preserve">BACKGROUND </w:t>
      </w:r>
    </w:p>
    <w:p w:rsidR="002C108B" w:rsidRPr="00025DBF" w:rsidRDefault="002C108B" w:rsidP="00E256A0">
      <w:pPr>
        <w:pStyle w:val="ECCParagraph"/>
        <w:rPr>
          <w:sz w:val="22"/>
          <w:szCs w:val="22"/>
          <w:u w:val="single"/>
        </w:rPr>
      </w:pPr>
      <w:r w:rsidRPr="00025DBF">
        <w:rPr>
          <w:sz w:val="22"/>
          <w:szCs w:val="22"/>
          <w:u w:val="single"/>
        </w:rPr>
        <w:t>ECC Decision (01)01:</w:t>
      </w:r>
    </w:p>
    <w:p w:rsidR="002C108B" w:rsidRPr="00732B4B" w:rsidRDefault="002C108B" w:rsidP="002C108B">
      <w:pPr>
        <w:pStyle w:val="ECCParagraph"/>
        <w:rPr>
          <w:sz w:val="22"/>
          <w:szCs w:val="22"/>
        </w:rPr>
      </w:pPr>
      <w:r w:rsidRPr="00732B4B">
        <w:rPr>
          <w:sz w:val="22"/>
          <w:szCs w:val="22"/>
        </w:rPr>
        <w:t>ECC</w:t>
      </w:r>
      <w:r w:rsidR="00BB560C">
        <w:rPr>
          <w:sz w:val="22"/>
          <w:szCs w:val="22"/>
        </w:rPr>
        <w:t>/</w:t>
      </w:r>
      <w:r w:rsidRPr="00732B4B">
        <w:rPr>
          <w:sz w:val="22"/>
          <w:szCs w:val="22"/>
        </w:rPr>
        <w:t>D</w:t>
      </w:r>
      <w:r w:rsidR="00BB560C">
        <w:rPr>
          <w:sz w:val="22"/>
          <w:szCs w:val="22"/>
        </w:rPr>
        <w:t>EC/</w:t>
      </w:r>
      <w:r w:rsidRPr="00732B4B">
        <w:rPr>
          <w:sz w:val="22"/>
          <w:szCs w:val="22"/>
        </w:rPr>
        <w:t>(01)01 of 15 November 2001 on phasing out analogue CT1 and CT1+ applications in the 900 MHz band concerns the frequency bands 914-915/959-960 MHz for CT1 applications and the frequency bands 885-887/930-932 MHz for CT1+ applications</w:t>
      </w:r>
      <w:r w:rsidR="002B09CD" w:rsidRPr="00732B4B">
        <w:rPr>
          <w:sz w:val="22"/>
          <w:szCs w:val="22"/>
        </w:rPr>
        <w:t>. The ECC Decision</w:t>
      </w:r>
      <w:r w:rsidRPr="00732B4B">
        <w:rPr>
          <w:sz w:val="22"/>
          <w:szCs w:val="22"/>
        </w:rPr>
        <w:t xml:space="preserve"> includes in decides 1 that CEPT administrations shall take the necessary measures in accordance with their national regulations to withdraw these designations as soon as possible, but at the latest before the end of 2002.</w:t>
      </w:r>
    </w:p>
    <w:p w:rsidR="002C108B" w:rsidRPr="00732B4B" w:rsidRDefault="002C108B" w:rsidP="002C108B">
      <w:pPr>
        <w:pStyle w:val="ECCParagraph"/>
        <w:rPr>
          <w:sz w:val="22"/>
          <w:szCs w:val="22"/>
        </w:rPr>
      </w:pPr>
      <w:r w:rsidRPr="00732B4B">
        <w:rPr>
          <w:sz w:val="22"/>
          <w:szCs w:val="22"/>
        </w:rPr>
        <w:t>Frequencies of the frequency bands 885-887/930-932 MHz and 914-915/959-960 MHz are included in ECC/DEC/(06)13 on the designation of the bands 880-915 MHz, 925-960 MHz, 1710-1785 MHz and 1805-1880 MHz for terrestrial UMTS, LTE and WiMAX systems, ERC/DEC/(94)01 on the frequency bands to be designated for the coordinated introduction of the GSM digital pan-Euro</w:t>
      </w:r>
      <w:r w:rsidR="00BB560C">
        <w:rPr>
          <w:sz w:val="22"/>
          <w:szCs w:val="22"/>
        </w:rPr>
        <w:t>pean communications system (890</w:t>
      </w:r>
      <w:r w:rsidRPr="00732B4B">
        <w:rPr>
          <w:sz w:val="22"/>
          <w:szCs w:val="22"/>
        </w:rPr>
        <w:t xml:space="preserve">-915 MHz paired with 935-960 MHz to GSM), and ERC/DEC/(97)02 on the extended frequency bands to be used for the GSM Digital Pan-European Communications System (880-890 MHz paired with 925-935 MHz). </w:t>
      </w:r>
    </w:p>
    <w:p w:rsidR="002C108B" w:rsidRPr="00732B4B" w:rsidRDefault="002C108B" w:rsidP="002C108B">
      <w:pPr>
        <w:pStyle w:val="ECCParagraph"/>
        <w:rPr>
          <w:sz w:val="22"/>
          <w:szCs w:val="22"/>
        </w:rPr>
      </w:pPr>
      <w:r w:rsidRPr="00732B4B">
        <w:rPr>
          <w:sz w:val="22"/>
          <w:szCs w:val="22"/>
        </w:rPr>
        <w:t>Considering e) of ECC/DEC/(01)01 informs that it is important to take measures as soon as possible in order to reduce the use of CT1 and CT1+ equipment in the 900 MHz band to the necessary minimum before the end of 2008.</w:t>
      </w:r>
    </w:p>
    <w:p w:rsidR="002C108B" w:rsidRPr="00732B4B" w:rsidRDefault="002C108B" w:rsidP="002C108B">
      <w:pPr>
        <w:pStyle w:val="ECCParagraph"/>
        <w:rPr>
          <w:sz w:val="22"/>
          <w:szCs w:val="22"/>
        </w:rPr>
      </w:pPr>
      <w:r w:rsidRPr="00732B4B">
        <w:rPr>
          <w:sz w:val="22"/>
          <w:szCs w:val="22"/>
        </w:rPr>
        <w:t>The latest published harmonised European standard for CT1 and CT1+ related to ECC</w:t>
      </w:r>
      <w:r w:rsidR="00BB560C">
        <w:rPr>
          <w:sz w:val="22"/>
          <w:szCs w:val="22"/>
        </w:rPr>
        <w:t>/</w:t>
      </w:r>
      <w:r w:rsidRPr="00732B4B">
        <w:rPr>
          <w:sz w:val="22"/>
          <w:szCs w:val="22"/>
        </w:rPr>
        <w:t>D</w:t>
      </w:r>
      <w:r w:rsidR="00BB560C">
        <w:rPr>
          <w:sz w:val="22"/>
          <w:szCs w:val="22"/>
        </w:rPr>
        <w:t>EC/</w:t>
      </w:r>
      <w:r w:rsidRPr="00732B4B">
        <w:rPr>
          <w:sz w:val="22"/>
          <w:szCs w:val="22"/>
        </w:rPr>
        <w:t xml:space="preserve">(01)01 is ETSI EN 301 796 V1.1.1 (2000-09) - Electromagnetic compatibility and Radio Spectrum Matters (ERM); Harmonized EN for CT1 and CT1+ cordless telephone equipment covering essential requirements under article 3.2 of the R&amp;TTE </w:t>
      </w:r>
      <w:r w:rsidR="00274E77" w:rsidRPr="00732B4B">
        <w:rPr>
          <w:sz w:val="22"/>
          <w:szCs w:val="22"/>
        </w:rPr>
        <w:t>D</w:t>
      </w:r>
      <w:r w:rsidRPr="00732B4B">
        <w:rPr>
          <w:sz w:val="22"/>
          <w:szCs w:val="22"/>
        </w:rPr>
        <w:t xml:space="preserve">irective. There is no new edition of EN 301 796 under development under article 3.2 of the RE </w:t>
      </w:r>
      <w:r w:rsidR="009354C4" w:rsidRPr="00732B4B">
        <w:rPr>
          <w:sz w:val="22"/>
          <w:szCs w:val="22"/>
        </w:rPr>
        <w:t>D</w:t>
      </w:r>
      <w:r w:rsidRPr="00732B4B">
        <w:rPr>
          <w:sz w:val="22"/>
          <w:szCs w:val="22"/>
        </w:rPr>
        <w:t>irective.</w:t>
      </w:r>
    </w:p>
    <w:p w:rsidR="002C108B" w:rsidRPr="00025DBF" w:rsidRDefault="002C108B" w:rsidP="00D73D1E">
      <w:pPr>
        <w:pStyle w:val="ECCParagraph"/>
        <w:rPr>
          <w:sz w:val="22"/>
          <w:szCs w:val="22"/>
          <w:u w:val="single"/>
        </w:rPr>
      </w:pPr>
      <w:r w:rsidRPr="00025DBF">
        <w:rPr>
          <w:sz w:val="22"/>
          <w:szCs w:val="22"/>
          <w:u w:val="single"/>
        </w:rPr>
        <w:t>ECC Decision (01)02:</w:t>
      </w:r>
    </w:p>
    <w:p w:rsidR="002C108B" w:rsidRPr="00732B4B" w:rsidRDefault="002C108B" w:rsidP="002C108B">
      <w:pPr>
        <w:pStyle w:val="ECCParagraph"/>
        <w:rPr>
          <w:sz w:val="22"/>
          <w:szCs w:val="22"/>
        </w:rPr>
      </w:pPr>
      <w:r w:rsidRPr="00732B4B">
        <w:rPr>
          <w:sz w:val="22"/>
          <w:szCs w:val="22"/>
        </w:rPr>
        <w:t>ECC</w:t>
      </w:r>
      <w:r w:rsidR="00BB560C">
        <w:rPr>
          <w:sz w:val="22"/>
          <w:szCs w:val="22"/>
        </w:rPr>
        <w:t>/</w:t>
      </w:r>
      <w:r w:rsidRPr="00732B4B">
        <w:rPr>
          <w:sz w:val="22"/>
          <w:szCs w:val="22"/>
        </w:rPr>
        <w:t>D</w:t>
      </w:r>
      <w:r w:rsidR="00BB560C">
        <w:rPr>
          <w:sz w:val="22"/>
          <w:szCs w:val="22"/>
        </w:rPr>
        <w:t>EC/</w:t>
      </w:r>
      <w:r w:rsidRPr="00732B4B">
        <w:rPr>
          <w:sz w:val="22"/>
          <w:szCs w:val="22"/>
        </w:rPr>
        <w:t xml:space="preserve">(01)02 of 15 November 2001 on phasing out digital CT2 applications in the 900 MHz band concerns the frequency band 864.1-868.1 MHz and includes </w:t>
      </w:r>
      <w:r w:rsidR="009354C4" w:rsidRPr="00732B4B">
        <w:rPr>
          <w:sz w:val="22"/>
          <w:szCs w:val="22"/>
        </w:rPr>
        <w:t xml:space="preserve">in </w:t>
      </w:r>
      <w:r w:rsidRPr="00732B4B">
        <w:rPr>
          <w:sz w:val="22"/>
          <w:szCs w:val="22"/>
        </w:rPr>
        <w:t>decides 1 that CEPT administrations which have designated the frequency band 864.1-868.1 MHz to CT2 applications shall take the necessary measures in accordance with their national regulations to withdraw this designation as soon as possible, but at least before the year 2005.</w:t>
      </w:r>
    </w:p>
    <w:p w:rsidR="002C108B" w:rsidRPr="00732B4B" w:rsidRDefault="002C108B" w:rsidP="002C108B">
      <w:pPr>
        <w:pStyle w:val="ECCParagraph"/>
        <w:rPr>
          <w:sz w:val="22"/>
          <w:szCs w:val="22"/>
        </w:rPr>
      </w:pPr>
      <w:r w:rsidRPr="00732B4B">
        <w:rPr>
          <w:sz w:val="22"/>
          <w:szCs w:val="22"/>
        </w:rPr>
        <w:t>Frequencies of the frequency band 864.1-868.1 MHz are included within the ERC Recommendation 70-03 in the Annex</w:t>
      </w:r>
      <w:r w:rsidR="002B09CD" w:rsidRPr="00732B4B">
        <w:rPr>
          <w:sz w:val="22"/>
          <w:szCs w:val="22"/>
        </w:rPr>
        <w:t xml:space="preserve"> </w:t>
      </w:r>
      <w:r w:rsidRPr="00732B4B">
        <w:rPr>
          <w:sz w:val="22"/>
          <w:szCs w:val="22"/>
        </w:rPr>
        <w:t xml:space="preserve">1 (Non-specific SRDs), </w:t>
      </w:r>
      <w:r w:rsidR="002B09CD" w:rsidRPr="00732B4B">
        <w:rPr>
          <w:sz w:val="22"/>
          <w:szCs w:val="22"/>
        </w:rPr>
        <w:t xml:space="preserve">Annex </w:t>
      </w:r>
      <w:r w:rsidRPr="00732B4B">
        <w:rPr>
          <w:sz w:val="22"/>
          <w:szCs w:val="22"/>
        </w:rPr>
        <w:t xml:space="preserve">10 (Radio microphone </w:t>
      </w:r>
      <w:r w:rsidRPr="00732B4B">
        <w:rPr>
          <w:sz w:val="22"/>
          <w:szCs w:val="22"/>
        </w:rPr>
        <w:lastRenderedPageBreak/>
        <w:t xml:space="preserve">applications including assistive listening device (ALD), wireless audio and multimedia streaming systems), and </w:t>
      </w:r>
      <w:r w:rsidR="002B09CD" w:rsidRPr="00732B4B">
        <w:rPr>
          <w:sz w:val="22"/>
          <w:szCs w:val="22"/>
        </w:rPr>
        <w:t>Annex 11</w:t>
      </w:r>
      <w:r w:rsidRPr="00732B4B">
        <w:rPr>
          <w:sz w:val="22"/>
          <w:szCs w:val="22"/>
        </w:rPr>
        <w:t xml:space="preserve"> (RFIDs)</w:t>
      </w:r>
      <w:r w:rsidR="00D73D1E" w:rsidRPr="00732B4B">
        <w:rPr>
          <w:sz w:val="22"/>
          <w:szCs w:val="22"/>
        </w:rPr>
        <w:t>.</w:t>
      </w:r>
      <w:r w:rsidRPr="00732B4B">
        <w:rPr>
          <w:sz w:val="22"/>
          <w:szCs w:val="22"/>
        </w:rPr>
        <w:t xml:space="preserve"> </w:t>
      </w:r>
    </w:p>
    <w:p w:rsidR="002C108B" w:rsidRPr="00732B4B" w:rsidRDefault="002C108B" w:rsidP="002C108B">
      <w:pPr>
        <w:pStyle w:val="ECCParagraph"/>
        <w:rPr>
          <w:sz w:val="22"/>
          <w:szCs w:val="22"/>
        </w:rPr>
      </w:pPr>
      <w:r w:rsidRPr="00732B4B">
        <w:rPr>
          <w:sz w:val="22"/>
          <w:szCs w:val="22"/>
        </w:rPr>
        <w:t>Considering e) of ECC/DEC/(01)02 informs that it is important to take measures as soon as possible in order to reduce the use of CT2 equipment in the 900 MHz band to the necessary minimum before the end of 2008</w:t>
      </w:r>
      <w:r w:rsidR="00D73D1E" w:rsidRPr="00732B4B">
        <w:rPr>
          <w:sz w:val="22"/>
          <w:szCs w:val="22"/>
        </w:rPr>
        <w:t>.</w:t>
      </w:r>
    </w:p>
    <w:p w:rsidR="002C108B" w:rsidRPr="00732B4B" w:rsidRDefault="002C108B" w:rsidP="002C108B">
      <w:pPr>
        <w:pStyle w:val="ECCParagraph"/>
        <w:rPr>
          <w:sz w:val="22"/>
          <w:szCs w:val="22"/>
        </w:rPr>
      </w:pPr>
      <w:r w:rsidRPr="00732B4B">
        <w:rPr>
          <w:sz w:val="22"/>
          <w:szCs w:val="22"/>
        </w:rPr>
        <w:t>The latest published equipment standard for CT2 related to ECC</w:t>
      </w:r>
      <w:r w:rsidR="00BB560C">
        <w:rPr>
          <w:sz w:val="22"/>
          <w:szCs w:val="22"/>
        </w:rPr>
        <w:t>/DEC/</w:t>
      </w:r>
      <w:r w:rsidRPr="00732B4B">
        <w:rPr>
          <w:sz w:val="22"/>
          <w:szCs w:val="22"/>
        </w:rPr>
        <w:t>(0</w:t>
      </w:r>
      <w:r w:rsidR="00BF105A" w:rsidRPr="00732B4B">
        <w:rPr>
          <w:sz w:val="22"/>
          <w:szCs w:val="22"/>
        </w:rPr>
        <w:t>1</w:t>
      </w:r>
      <w:r w:rsidRPr="00732B4B">
        <w:rPr>
          <w:sz w:val="22"/>
          <w:szCs w:val="22"/>
        </w:rPr>
        <w:t>)0</w:t>
      </w:r>
      <w:r w:rsidR="00BF105A" w:rsidRPr="00732B4B">
        <w:rPr>
          <w:sz w:val="22"/>
          <w:szCs w:val="22"/>
        </w:rPr>
        <w:t>2</w:t>
      </w:r>
      <w:r w:rsidRPr="00732B4B">
        <w:rPr>
          <w:sz w:val="22"/>
          <w:szCs w:val="22"/>
        </w:rPr>
        <w:t xml:space="preserve"> is ETSI I-ETS 300 131 ed.2 (1994-11) - Radio Equipment and Systems (RES); Common air interface specification to be used for the interworking between cordless telephone apparatus in the frequency band 864.1 MHz to 868.1 MHz, including public access services</w:t>
      </w:r>
      <w:r w:rsidR="00D73D1E" w:rsidRPr="00732B4B">
        <w:rPr>
          <w:sz w:val="22"/>
          <w:szCs w:val="22"/>
        </w:rPr>
        <w:t>,</w:t>
      </w:r>
      <w:r w:rsidRPr="00732B4B">
        <w:rPr>
          <w:sz w:val="22"/>
          <w:szCs w:val="22"/>
        </w:rPr>
        <w:t xml:space="preserve"> as well as the Harmonised </w:t>
      </w:r>
      <w:r w:rsidR="00D73D1E" w:rsidRPr="00732B4B">
        <w:rPr>
          <w:sz w:val="22"/>
          <w:szCs w:val="22"/>
        </w:rPr>
        <w:t xml:space="preserve">European </w:t>
      </w:r>
      <w:r w:rsidRPr="00732B4B">
        <w:rPr>
          <w:sz w:val="22"/>
          <w:szCs w:val="22"/>
        </w:rPr>
        <w:t xml:space="preserve">Standard ETSI EN 301 797 V1.1.1 (2000-09) - Electromagnetic compatibility and Radio Spectrum Matters (ERM); Harmonized EN for CT2 cordless telephone equipment covering essential requirements under article 3.2 of the R&amp;TTE </w:t>
      </w:r>
      <w:r w:rsidR="009354C4" w:rsidRPr="00732B4B">
        <w:rPr>
          <w:sz w:val="22"/>
          <w:szCs w:val="22"/>
        </w:rPr>
        <w:t>D</w:t>
      </w:r>
      <w:r w:rsidRPr="00732B4B">
        <w:rPr>
          <w:sz w:val="22"/>
          <w:szCs w:val="22"/>
        </w:rPr>
        <w:t xml:space="preserve">irective. There is no new edition of EN 301 797 under development under article 3.2 of the RE </w:t>
      </w:r>
      <w:r w:rsidR="009354C4" w:rsidRPr="00732B4B">
        <w:rPr>
          <w:sz w:val="22"/>
          <w:szCs w:val="22"/>
        </w:rPr>
        <w:t>D</w:t>
      </w:r>
      <w:r w:rsidRPr="00732B4B">
        <w:rPr>
          <w:sz w:val="22"/>
          <w:szCs w:val="22"/>
        </w:rPr>
        <w:t>irective.</w:t>
      </w:r>
    </w:p>
    <w:p w:rsidR="00663D25" w:rsidRPr="00732B4B" w:rsidRDefault="00663D25" w:rsidP="00C923EE">
      <w:pPr>
        <w:pStyle w:val="Heading2"/>
        <w:rPr>
          <w:lang w:val="en-GB"/>
        </w:rPr>
      </w:pPr>
      <w:r w:rsidRPr="00732B4B">
        <w:rPr>
          <w:lang w:val="en-GB"/>
        </w:rPr>
        <w:t>REQUIREMENT FOR AN ECC DECISION</w:t>
      </w:r>
    </w:p>
    <w:p w:rsidR="00BC0D6B" w:rsidRPr="00732B4B" w:rsidRDefault="00190C12" w:rsidP="00663D25">
      <w:pPr>
        <w:pStyle w:val="ECCParagraph"/>
      </w:pPr>
      <w:r w:rsidRPr="00732B4B">
        <w:rPr>
          <w:sz w:val="22"/>
          <w:szCs w:val="22"/>
        </w:rPr>
        <w:t>The ECC Rules of Procedure foresee that the withdrawal of a Decision is subject to the same procedure as the development and adoption of a new Decision</w:t>
      </w:r>
      <w:r w:rsidR="000F7FA5" w:rsidRPr="00732B4B">
        <w:rPr>
          <w:sz w:val="22"/>
          <w:szCs w:val="22"/>
        </w:rPr>
        <w:t>.</w:t>
      </w:r>
    </w:p>
    <w:p w:rsidR="00663D25" w:rsidRPr="00732B4B" w:rsidRDefault="00663D25" w:rsidP="00C923EE">
      <w:pPr>
        <w:pStyle w:val="Heading1"/>
      </w:pPr>
      <w:r w:rsidRPr="00732B4B">
        <w:lastRenderedPageBreak/>
        <w:t xml:space="preserve">ECC Decision of </w:t>
      </w:r>
      <w:r w:rsidR="00005048">
        <w:t>03 march</w:t>
      </w:r>
      <w:r w:rsidR="00FA323D" w:rsidRPr="00732B4B">
        <w:t xml:space="preserve"> 201</w:t>
      </w:r>
      <w:r w:rsidR="00D73D1E" w:rsidRPr="00732B4B">
        <w:t>7</w:t>
      </w:r>
      <w:r w:rsidRPr="00732B4B">
        <w:t xml:space="preserve"> on </w:t>
      </w:r>
      <w:r w:rsidR="009354C4" w:rsidRPr="00732B4B">
        <w:t xml:space="preserve">the </w:t>
      </w:r>
      <w:r w:rsidR="00841A73" w:rsidRPr="00732B4B">
        <w:t xml:space="preserve">withdrawal </w:t>
      </w:r>
      <w:r w:rsidR="00D73D1E" w:rsidRPr="00732B4B">
        <w:t>of ECC</w:t>
      </w:r>
      <w:r w:rsidR="00BB560C">
        <w:t>/</w:t>
      </w:r>
      <w:r w:rsidR="00D73D1E" w:rsidRPr="00732B4B">
        <w:t>Dec</w:t>
      </w:r>
      <w:r w:rsidR="00BB560C">
        <w:t>/</w:t>
      </w:r>
      <w:r w:rsidR="00D73D1E" w:rsidRPr="00732B4B">
        <w:t>(01)01 on phasing out analogue CT1 and CT1+ applications in the 900 MH</w:t>
      </w:r>
      <w:r w:rsidR="00D73D1E" w:rsidRPr="002B15F4">
        <w:rPr>
          <w:sz w:val="16"/>
        </w:rPr>
        <w:t xml:space="preserve">z </w:t>
      </w:r>
      <w:r w:rsidR="00D73D1E" w:rsidRPr="00732B4B">
        <w:t>band and ECC</w:t>
      </w:r>
      <w:r w:rsidR="00BB560C">
        <w:t>/</w:t>
      </w:r>
      <w:r w:rsidR="00D73D1E" w:rsidRPr="00732B4B">
        <w:t>Dec</w:t>
      </w:r>
      <w:r w:rsidR="00BB560C">
        <w:t>/</w:t>
      </w:r>
      <w:r w:rsidR="00D73D1E" w:rsidRPr="00732B4B">
        <w:t>(01)02 on phasing out digital CT2 applications in the 900 MH</w:t>
      </w:r>
      <w:r w:rsidR="00D73D1E" w:rsidRPr="002B15F4">
        <w:rPr>
          <w:sz w:val="16"/>
        </w:rPr>
        <w:t>z</w:t>
      </w:r>
      <w:r w:rsidR="00D73D1E" w:rsidRPr="00732B4B">
        <w:t xml:space="preserve"> band</w:t>
      </w:r>
    </w:p>
    <w:p w:rsidR="0059199F" w:rsidRPr="00732B4B" w:rsidRDefault="0059199F" w:rsidP="0059199F">
      <w:pPr>
        <w:pStyle w:val="ECCParagraph"/>
      </w:pPr>
    </w:p>
    <w:p w:rsidR="00663D25" w:rsidRPr="00732B4B" w:rsidRDefault="00663D25" w:rsidP="00663D25">
      <w:pPr>
        <w:pStyle w:val="ECCParagraph"/>
        <w:rPr>
          <w:sz w:val="22"/>
          <w:szCs w:val="22"/>
        </w:rPr>
      </w:pPr>
      <w:r w:rsidRPr="00732B4B">
        <w:rPr>
          <w:sz w:val="22"/>
          <w:szCs w:val="22"/>
        </w:rPr>
        <w:t>“The European Conference of Postal and Telecommunications Administrations,</w:t>
      </w:r>
    </w:p>
    <w:p w:rsidR="00663D25" w:rsidRPr="00732B4B" w:rsidRDefault="00663D25" w:rsidP="00663D25">
      <w:pPr>
        <w:pStyle w:val="ECCParagraph"/>
        <w:rPr>
          <w:i/>
          <w:color w:val="D2232A"/>
        </w:rPr>
      </w:pPr>
      <w:r w:rsidRPr="00732B4B">
        <w:rPr>
          <w:i/>
          <w:color w:val="D2232A"/>
        </w:rPr>
        <w:t>considering</w:t>
      </w:r>
    </w:p>
    <w:p w:rsidR="00D73D1E" w:rsidRPr="00732B4B" w:rsidRDefault="00F04472" w:rsidP="00D73D1E">
      <w:pPr>
        <w:pStyle w:val="ListParagraph"/>
        <w:numPr>
          <w:ilvl w:val="0"/>
          <w:numId w:val="5"/>
        </w:numPr>
        <w:rPr>
          <w:sz w:val="22"/>
          <w:szCs w:val="22"/>
          <w:lang w:val="en-GB"/>
        </w:rPr>
      </w:pPr>
      <w:r w:rsidRPr="00732B4B">
        <w:rPr>
          <w:sz w:val="22"/>
          <w:szCs w:val="22"/>
          <w:lang w:val="en-GB"/>
        </w:rPr>
        <w:t xml:space="preserve">that </w:t>
      </w:r>
      <w:r w:rsidR="00D73D1E" w:rsidRPr="00732B4B">
        <w:rPr>
          <w:sz w:val="22"/>
          <w:szCs w:val="22"/>
          <w:lang w:val="en-GB"/>
        </w:rPr>
        <w:t>ECC/DEC/(06)13 designates the frequency bands 880-915 MHz paired with 925-960 MHz and 1710-1785 MHz paired with 1805-1880 MHz for terrestrial UMTS, LTE and WiMAX systems;</w:t>
      </w:r>
    </w:p>
    <w:p w:rsidR="002B09CD" w:rsidRPr="00732B4B" w:rsidRDefault="002B09CD" w:rsidP="002B09CD">
      <w:pPr>
        <w:rPr>
          <w:sz w:val="22"/>
          <w:szCs w:val="22"/>
          <w:lang w:val="en-GB"/>
        </w:rPr>
      </w:pPr>
    </w:p>
    <w:p w:rsidR="00D73D1E" w:rsidRPr="00732B4B" w:rsidRDefault="00D73D1E" w:rsidP="00D73D1E">
      <w:pPr>
        <w:pStyle w:val="ListParagraph"/>
        <w:numPr>
          <w:ilvl w:val="0"/>
          <w:numId w:val="5"/>
        </w:numPr>
        <w:rPr>
          <w:sz w:val="22"/>
          <w:szCs w:val="22"/>
          <w:lang w:val="en-GB"/>
        </w:rPr>
      </w:pPr>
      <w:r w:rsidRPr="00732B4B">
        <w:rPr>
          <w:sz w:val="22"/>
          <w:szCs w:val="22"/>
          <w:lang w:val="en-GB"/>
        </w:rPr>
        <w:t>that ERC/DEC/(94)01 designates the frequency band 890-915 MHz paired with 935-960 MHz for the coordinated introduction of the GSM digital pan-European communications system</w:t>
      </w:r>
      <w:r w:rsidR="00377966" w:rsidRPr="00732B4B">
        <w:rPr>
          <w:sz w:val="22"/>
          <w:szCs w:val="22"/>
          <w:lang w:val="en-GB"/>
        </w:rPr>
        <w:t>;</w:t>
      </w:r>
    </w:p>
    <w:p w:rsidR="002B09CD" w:rsidRPr="00732B4B" w:rsidRDefault="002B09CD" w:rsidP="002B09CD">
      <w:pPr>
        <w:rPr>
          <w:sz w:val="22"/>
          <w:szCs w:val="22"/>
          <w:lang w:val="en-GB"/>
        </w:rPr>
      </w:pPr>
    </w:p>
    <w:p w:rsidR="00F04472" w:rsidRPr="00732B4B" w:rsidRDefault="00D73D1E" w:rsidP="00F04472">
      <w:pPr>
        <w:pStyle w:val="ListParagraph"/>
        <w:numPr>
          <w:ilvl w:val="0"/>
          <w:numId w:val="5"/>
        </w:numPr>
        <w:rPr>
          <w:sz w:val="22"/>
          <w:szCs w:val="22"/>
          <w:lang w:val="en-GB"/>
        </w:rPr>
      </w:pPr>
      <w:r w:rsidRPr="00732B4B">
        <w:rPr>
          <w:sz w:val="22"/>
          <w:szCs w:val="22"/>
          <w:lang w:val="en-GB"/>
        </w:rPr>
        <w:t>that ERC/DEC/(97)02 designates d frequency bands</w:t>
      </w:r>
      <w:r w:rsidR="00377966" w:rsidRPr="00732B4B">
        <w:rPr>
          <w:sz w:val="22"/>
          <w:szCs w:val="22"/>
          <w:lang w:val="en-GB"/>
        </w:rPr>
        <w:t xml:space="preserve"> 880-890 MHz paired with 925-935 MHz </w:t>
      </w:r>
      <w:r w:rsidRPr="00732B4B">
        <w:rPr>
          <w:sz w:val="22"/>
          <w:szCs w:val="22"/>
          <w:lang w:val="en-GB"/>
        </w:rPr>
        <w:t>to be used for the GSM Digital Pan-European Communications System</w:t>
      </w:r>
      <w:r w:rsidR="00F04472" w:rsidRPr="00732B4B">
        <w:rPr>
          <w:sz w:val="22"/>
          <w:szCs w:val="22"/>
          <w:lang w:val="en-GB"/>
        </w:rPr>
        <w:t>;</w:t>
      </w:r>
    </w:p>
    <w:p w:rsidR="002B09CD" w:rsidRPr="00732B4B" w:rsidRDefault="002B09CD" w:rsidP="002B09CD">
      <w:pPr>
        <w:rPr>
          <w:sz w:val="22"/>
          <w:szCs w:val="22"/>
          <w:lang w:val="en-GB"/>
        </w:rPr>
      </w:pPr>
    </w:p>
    <w:p w:rsidR="007D41A6" w:rsidRPr="00025DBF" w:rsidRDefault="00F04472" w:rsidP="00663D25">
      <w:pPr>
        <w:pStyle w:val="ECCParBulleted"/>
        <w:numPr>
          <w:ilvl w:val="0"/>
          <w:numId w:val="5"/>
        </w:numPr>
        <w:rPr>
          <w:i/>
          <w:color w:val="000000" w:themeColor="text1"/>
        </w:rPr>
      </w:pPr>
      <w:r w:rsidRPr="00732B4B">
        <w:rPr>
          <w:sz w:val="22"/>
          <w:szCs w:val="22"/>
        </w:rPr>
        <w:t xml:space="preserve">that </w:t>
      </w:r>
      <w:r w:rsidR="00377966" w:rsidRPr="00732B4B">
        <w:rPr>
          <w:sz w:val="22"/>
          <w:szCs w:val="22"/>
        </w:rPr>
        <w:t>frequencies of the frequency band 864.1-868.1 MHz are included within the ERC</w:t>
      </w:r>
      <w:r w:rsidR="00BB560C">
        <w:rPr>
          <w:sz w:val="22"/>
          <w:szCs w:val="22"/>
        </w:rPr>
        <w:t>/</w:t>
      </w:r>
      <w:r w:rsidR="00377966" w:rsidRPr="00732B4B">
        <w:rPr>
          <w:sz w:val="22"/>
          <w:szCs w:val="22"/>
        </w:rPr>
        <w:t>R</w:t>
      </w:r>
      <w:r w:rsidR="00BB560C">
        <w:rPr>
          <w:sz w:val="22"/>
          <w:szCs w:val="22"/>
        </w:rPr>
        <w:t>EC</w:t>
      </w:r>
      <w:r w:rsidR="00377966" w:rsidRPr="00732B4B">
        <w:rPr>
          <w:sz w:val="22"/>
          <w:szCs w:val="22"/>
        </w:rPr>
        <w:t xml:space="preserve"> 70-03 in the Annex 1 (Non-specific SRDs), Annex 10 (Radio microphone applications including assistive listening device (ALD), wireless audio and multimedia streaming systems), and Annex 11 (</w:t>
      </w:r>
      <w:r w:rsidR="00377966" w:rsidRPr="00025DBF">
        <w:rPr>
          <w:color w:val="000000" w:themeColor="text1"/>
          <w:sz w:val="22"/>
          <w:szCs w:val="22"/>
        </w:rPr>
        <w:t>RFIDs)</w:t>
      </w:r>
      <w:r w:rsidR="00CC4097" w:rsidRPr="00025DBF">
        <w:rPr>
          <w:color w:val="000000" w:themeColor="text1"/>
          <w:sz w:val="22"/>
          <w:szCs w:val="22"/>
        </w:rPr>
        <w:t>;</w:t>
      </w:r>
    </w:p>
    <w:p w:rsidR="009354C4" w:rsidRPr="00025DBF" w:rsidRDefault="009354C4" w:rsidP="00025DBF">
      <w:pPr>
        <w:rPr>
          <w:sz w:val="22"/>
          <w:szCs w:val="22"/>
        </w:rPr>
      </w:pPr>
    </w:p>
    <w:p w:rsidR="009354C4" w:rsidRPr="00025DBF" w:rsidRDefault="00CC4097" w:rsidP="00663D25">
      <w:pPr>
        <w:pStyle w:val="ECCParBulleted"/>
        <w:numPr>
          <w:ilvl w:val="0"/>
          <w:numId w:val="5"/>
        </w:numPr>
        <w:rPr>
          <w:sz w:val="22"/>
          <w:szCs w:val="22"/>
        </w:rPr>
      </w:pPr>
      <w:r w:rsidRPr="00732B4B">
        <w:rPr>
          <w:sz w:val="22"/>
          <w:szCs w:val="22"/>
        </w:rPr>
        <w:t>that ECC</w:t>
      </w:r>
      <w:r w:rsidR="00BB560C">
        <w:rPr>
          <w:sz w:val="22"/>
          <w:szCs w:val="22"/>
        </w:rPr>
        <w:t>/</w:t>
      </w:r>
      <w:r w:rsidRPr="00732B4B">
        <w:rPr>
          <w:sz w:val="22"/>
          <w:szCs w:val="22"/>
        </w:rPr>
        <w:t>D</w:t>
      </w:r>
      <w:r w:rsidR="00BB560C">
        <w:rPr>
          <w:sz w:val="22"/>
          <w:szCs w:val="22"/>
        </w:rPr>
        <w:t>EC/</w:t>
      </w:r>
      <w:r w:rsidRPr="00732B4B">
        <w:rPr>
          <w:sz w:val="22"/>
          <w:szCs w:val="22"/>
        </w:rPr>
        <w:t>(01)01 and ECC</w:t>
      </w:r>
      <w:r w:rsidR="00BB560C">
        <w:rPr>
          <w:sz w:val="22"/>
          <w:szCs w:val="22"/>
        </w:rPr>
        <w:t>/</w:t>
      </w:r>
      <w:r w:rsidRPr="00732B4B">
        <w:rPr>
          <w:sz w:val="22"/>
          <w:szCs w:val="22"/>
        </w:rPr>
        <w:t>D</w:t>
      </w:r>
      <w:r w:rsidR="00BB560C">
        <w:rPr>
          <w:sz w:val="22"/>
          <w:szCs w:val="22"/>
        </w:rPr>
        <w:t>EC/</w:t>
      </w:r>
      <w:r w:rsidRPr="00732B4B">
        <w:rPr>
          <w:sz w:val="22"/>
          <w:szCs w:val="22"/>
        </w:rPr>
        <w:t xml:space="preserve">(01)02 are </w:t>
      </w:r>
      <w:r w:rsidR="009354C4" w:rsidRPr="00025DBF">
        <w:rPr>
          <w:sz w:val="22"/>
          <w:szCs w:val="22"/>
        </w:rPr>
        <w:t>no longer needed</w:t>
      </w:r>
      <w:r w:rsidRPr="00732B4B">
        <w:rPr>
          <w:sz w:val="22"/>
          <w:szCs w:val="22"/>
        </w:rPr>
        <w:t xml:space="preserve"> because the</w:t>
      </w:r>
      <w:r w:rsidR="009354C4" w:rsidRPr="00732B4B">
        <w:rPr>
          <w:sz w:val="22"/>
          <w:szCs w:val="22"/>
        </w:rPr>
        <w:t xml:space="preserve"> process of phasing </w:t>
      </w:r>
      <w:r w:rsidRPr="00732B4B">
        <w:rPr>
          <w:sz w:val="22"/>
          <w:szCs w:val="22"/>
        </w:rPr>
        <w:t>out of the CT1, CT1+ and CT2 applications ha</w:t>
      </w:r>
      <w:r w:rsidR="002830B8" w:rsidRPr="00732B4B">
        <w:rPr>
          <w:sz w:val="22"/>
          <w:szCs w:val="22"/>
        </w:rPr>
        <w:t>d</w:t>
      </w:r>
      <w:r w:rsidRPr="00732B4B">
        <w:rPr>
          <w:sz w:val="22"/>
          <w:szCs w:val="22"/>
        </w:rPr>
        <w:t xml:space="preserve"> been</w:t>
      </w:r>
      <w:r w:rsidR="009354C4" w:rsidRPr="00732B4B">
        <w:rPr>
          <w:sz w:val="22"/>
          <w:szCs w:val="22"/>
        </w:rPr>
        <w:t xml:space="preserve"> finalised</w:t>
      </w:r>
      <w:r w:rsidRPr="00732B4B">
        <w:rPr>
          <w:sz w:val="22"/>
          <w:szCs w:val="22"/>
        </w:rPr>
        <w:t xml:space="preserve"> within CEPT and the relevant spectrum ha</w:t>
      </w:r>
      <w:r w:rsidR="001A4305">
        <w:rPr>
          <w:sz w:val="22"/>
          <w:szCs w:val="22"/>
        </w:rPr>
        <w:t>s</w:t>
      </w:r>
      <w:r w:rsidRPr="00732B4B">
        <w:rPr>
          <w:sz w:val="22"/>
          <w:szCs w:val="22"/>
        </w:rPr>
        <w:t xml:space="preserve"> been designated for other radio applications.</w:t>
      </w:r>
    </w:p>
    <w:p w:rsidR="00377966" w:rsidRPr="00025DBF" w:rsidRDefault="00377966" w:rsidP="00025DBF">
      <w:pPr>
        <w:rPr>
          <w:sz w:val="22"/>
          <w:szCs w:val="22"/>
          <w:lang w:val="en-GB"/>
        </w:rPr>
      </w:pPr>
    </w:p>
    <w:p w:rsidR="00377966" w:rsidRPr="00732B4B" w:rsidRDefault="00377966" w:rsidP="00377966">
      <w:pPr>
        <w:pStyle w:val="ECCParBulleted"/>
        <w:numPr>
          <w:ilvl w:val="0"/>
          <w:numId w:val="0"/>
        </w:numPr>
        <w:rPr>
          <w:i/>
          <w:color w:val="D2232A"/>
        </w:rPr>
      </w:pPr>
    </w:p>
    <w:p w:rsidR="00663D25" w:rsidRPr="00732B4B" w:rsidRDefault="00663D25" w:rsidP="00663D25">
      <w:pPr>
        <w:pStyle w:val="ECCParagraph"/>
        <w:rPr>
          <w:color w:val="D2232A"/>
        </w:rPr>
      </w:pPr>
      <w:r w:rsidRPr="00732B4B">
        <w:rPr>
          <w:color w:val="D2232A"/>
        </w:rPr>
        <w:t>DECIDES</w:t>
      </w:r>
    </w:p>
    <w:p w:rsidR="00663D25" w:rsidRPr="00732B4B" w:rsidRDefault="00190C12" w:rsidP="00D73D1E">
      <w:pPr>
        <w:pStyle w:val="NumberedList"/>
        <w:rPr>
          <w:sz w:val="22"/>
          <w:szCs w:val="22"/>
        </w:rPr>
      </w:pPr>
      <w:r w:rsidRPr="00732B4B">
        <w:rPr>
          <w:sz w:val="22"/>
          <w:szCs w:val="22"/>
        </w:rPr>
        <w:t>to withdraw the E</w:t>
      </w:r>
      <w:r w:rsidR="00D73D1E" w:rsidRPr="00732B4B">
        <w:rPr>
          <w:sz w:val="22"/>
          <w:szCs w:val="22"/>
        </w:rPr>
        <w:t>C</w:t>
      </w:r>
      <w:r w:rsidRPr="00732B4B">
        <w:rPr>
          <w:sz w:val="22"/>
          <w:szCs w:val="22"/>
        </w:rPr>
        <w:t>C</w:t>
      </w:r>
      <w:r w:rsidR="00BB560C">
        <w:rPr>
          <w:sz w:val="22"/>
          <w:szCs w:val="22"/>
        </w:rPr>
        <w:t>/</w:t>
      </w:r>
      <w:r w:rsidRPr="00732B4B">
        <w:rPr>
          <w:sz w:val="22"/>
          <w:szCs w:val="22"/>
        </w:rPr>
        <w:t>D</w:t>
      </w:r>
      <w:r w:rsidR="00BB560C">
        <w:rPr>
          <w:sz w:val="22"/>
          <w:szCs w:val="22"/>
        </w:rPr>
        <w:t>EC/</w:t>
      </w:r>
      <w:r w:rsidRPr="00732B4B">
        <w:rPr>
          <w:sz w:val="22"/>
          <w:szCs w:val="22"/>
        </w:rPr>
        <w:t>(</w:t>
      </w:r>
      <w:r w:rsidR="00D73D1E" w:rsidRPr="00732B4B">
        <w:rPr>
          <w:sz w:val="22"/>
          <w:szCs w:val="22"/>
        </w:rPr>
        <w:t>01</w:t>
      </w:r>
      <w:r w:rsidRPr="00732B4B">
        <w:rPr>
          <w:sz w:val="22"/>
          <w:szCs w:val="22"/>
        </w:rPr>
        <w:t>)</w:t>
      </w:r>
      <w:r w:rsidR="00D73D1E" w:rsidRPr="00732B4B">
        <w:rPr>
          <w:sz w:val="22"/>
          <w:szCs w:val="22"/>
        </w:rPr>
        <w:t>01</w:t>
      </w:r>
      <w:r w:rsidRPr="00732B4B">
        <w:rPr>
          <w:sz w:val="22"/>
          <w:szCs w:val="22"/>
        </w:rPr>
        <w:t xml:space="preserve"> </w:t>
      </w:r>
      <w:r w:rsidR="00D73D1E" w:rsidRPr="00732B4B">
        <w:rPr>
          <w:sz w:val="22"/>
          <w:szCs w:val="22"/>
        </w:rPr>
        <w:t>of 15 November 2001 on phasing out analogue CT1 and CT1+ applications in the 900 MHz band</w:t>
      </w:r>
      <w:r w:rsidRPr="00732B4B">
        <w:rPr>
          <w:sz w:val="22"/>
          <w:szCs w:val="22"/>
        </w:rPr>
        <w:t>;</w:t>
      </w:r>
    </w:p>
    <w:p w:rsidR="00D73D1E" w:rsidRPr="00732B4B" w:rsidRDefault="00D73D1E" w:rsidP="00D73D1E">
      <w:pPr>
        <w:pStyle w:val="NumberedList"/>
        <w:rPr>
          <w:sz w:val="22"/>
          <w:szCs w:val="22"/>
        </w:rPr>
      </w:pPr>
      <w:r w:rsidRPr="00732B4B">
        <w:rPr>
          <w:sz w:val="22"/>
          <w:szCs w:val="22"/>
        </w:rPr>
        <w:t>to withdraw ECC</w:t>
      </w:r>
      <w:r w:rsidR="00BB560C">
        <w:rPr>
          <w:sz w:val="22"/>
          <w:szCs w:val="22"/>
        </w:rPr>
        <w:t>/</w:t>
      </w:r>
      <w:r w:rsidRPr="00732B4B">
        <w:rPr>
          <w:sz w:val="22"/>
          <w:szCs w:val="22"/>
        </w:rPr>
        <w:t>D</w:t>
      </w:r>
      <w:r w:rsidR="00BB560C">
        <w:rPr>
          <w:sz w:val="22"/>
          <w:szCs w:val="22"/>
        </w:rPr>
        <w:t>EC/</w:t>
      </w:r>
      <w:r w:rsidRPr="00732B4B">
        <w:rPr>
          <w:sz w:val="22"/>
          <w:szCs w:val="22"/>
        </w:rPr>
        <w:t xml:space="preserve"> (01)02 of 15 November 2001 on phasing out digital CT2 applications in the 900 MHz band;</w:t>
      </w:r>
    </w:p>
    <w:p w:rsidR="00B9184B" w:rsidRPr="00732B4B" w:rsidRDefault="00B9184B" w:rsidP="00663D25">
      <w:pPr>
        <w:pStyle w:val="NumberedList"/>
        <w:spacing w:after="60"/>
        <w:rPr>
          <w:sz w:val="22"/>
          <w:szCs w:val="22"/>
        </w:rPr>
      </w:pPr>
      <w:r w:rsidRPr="00732B4B">
        <w:rPr>
          <w:sz w:val="22"/>
          <w:szCs w:val="22"/>
        </w:rPr>
        <w:t xml:space="preserve">that this </w:t>
      </w:r>
      <w:r w:rsidR="006E1B5C" w:rsidRPr="00732B4B">
        <w:rPr>
          <w:sz w:val="22"/>
          <w:szCs w:val="22"/>
        </w:rPr>
        <w:t xml:space="preserve">ECC </w:t>
      </w:r>
      <w:r w:rsidR="004B72F8" w:rsidRPr="00732B4B">
        <w:rPr>
          <w:sz w:val="22"/>
          <w:szCs w:val="22"/>
        </w:rPr>
        <w:t xml:space="preserve">Decision enters into force on </w:t>
      </w:r>
      <w:r w:rsidR="006B0522">
        <w:rPr>
          <w:sz w:val="22"/>
          <w:szCs w:val="22"/>
        </w:rPr>
        <w:t>0</w:t>
      </w:r>
      <w:r w:rsidR="00324703">
        <w:rPr>
          <w:sz w:val="22"/>
          <w:szCs w:val="22"/>
        </w:rPr>
        <w:t>3</w:t>
      </w:r>
      <w:r w:rsidR="00E41A59">
        <w:rPr>
          <w:sz w:val="22"/>
          <w:szCs w:val="22"/>
        </w:rPr>
        <w:t xml:space="preserve"> March 2017</w:t>
      </w:r>
      <w:r w:rsidR="006E1B5C" w:rsidRPr="00732B4B">
        <w:rPr>
          <w:sz w:val="22"/>
          <w:szCs w:val="22"/>
        </w:rPr>
        <w:t>.</w:t>
      </w:r>
      <w:r w:rsidR="00F04472" w:rsidRPr="00732B4B">
        <w:rPr>
          <w:sz w:val="22"/>
          <w:szCs w:val="22"/>
        </w:rPr>
        <w:t>”</w:t>
      </w:r>
    </w:p>
    <w:p w:rsidR="007D41A6" w:rsidRPr="00732B4B" w:rsidRDefault="007D41A6" w:rsidP="00663D25">
      <w:pPr>
        <w:pStyle w:val="ECCParagraph"/>
        <w:rPr>
          <w:i/>
          <w:color w:val="D2232A"/>
        </w:rPr>
      </w:pPr>
    </w:p>
    <w:p w:rsidR="00663D25" w:rsidRPr="00732B4B" w:rsidRDefault="00663D25" w:rsidP="00841A73">
      <w:pPr>
        <w:rPr>
          <w:lang w:val="en-GB"/>
        </w:rPr>
      </w:pPr>
    </w:p>
    <w:sectPr w:rsidR="00663D25" w:rsidRPr="00732B4B" w:rsidSect="003B4596">
      <w:headerReference w:type="even" r:id="rId9"/>
      <w:headerReference w:type="default" r:id="rId10"/>
      <w:headerReference w:type="first" r:id="rId11"/>
      <w:pgSz w:w="11907" w:h="16840" w:code="9"/>
      <w:pgMar w:top="1440" w:right="1134" w:bottom="1440"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99" w:rsidRDefault="00BB3D99" w:rsidP="00663D25">
      <w:r>
        <w:separator/>
      </w:r>
    </w:p>
  </w:endnote>
  <w:endnote w:type="continuationSeparator" w:id="0">
    <w:p w:rsidR="00BB3D99" w:rsidRDefault="00BB3D99"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99" w:rsidRDefault="00BB3D99" w:rsidP="00663D25">
      <w:r>
        <w:separator/>
      </w:r>
    </w:p>
  </w:footnote>
  <w:footnote w:type="continuationSeparator" w:id="0">
    <w:p w:rsidR="00BB3D99" w:rsidRDefault="00BB3D99"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6E1B5C">
    <w:pPr>
      <w:pStyle w:val="Header"/>
      <w:rPr>
        <w:szCs w:val="16"/>
        <w:lang w:val="da-DK"/>
      </w:rPr>
    </w:pPr>
    <w:r w:rsidRPr="007C5F95">
      <w:rPr>
        <w:lang w:val="da-DK"/>
      </w:rPr>
      <w:t>ECC</w:t>
    </w:r>
    <w:r w:rsidR="005E0504">
      <w:rPr>
        <w:lang w:val="da-DK"/>
      </w:rPr>
      <w:t>/DEC</w:t>
    </w:r>
    <w:r w:rsidR="00B612AF">
      <w:rPr>
        <w:lang w:val="da-DK"/>
      </w:rPr>
      <w:t>/</w:t>
    </w:r>
    <w:r w:rsidRPr="007C5F95">
      <w:rPr>
        <w:lang w:val="da-DK"/>
      </w:rPr>
      <w:t>(</w:t>
    </w:r>
    <w:r w:rsidR="00F85AA3">
      <w:rPr>
        <w:lang w:val="da-DK"/>
      </w:rPr>
      <w:t>1</w:t>
    </w:r>
    <w:r w:rsidR="002C108B">
      <w:rPr>
        <w:lang w:val="da-DK"/>
      </w:rPr>
      <w:t>7</w:t>
    </w:r>
    <w:r w:rsidRPr="007C5F95">
      <w:rPr>
        <w:lang w:val="da-DK"/>
      </w:rPr>
      <w:t>)</w:t>
    </w:r>
    <w:r w:rsidR="0072751D">
      <w:rPr>
        <w:lang w:val="da-DK"/>
      </w:rPr>
      <w:t>01</w:t>
    </w:r>
    <w:r>
      <w:rPr>
        <w:lang w:val="da-DK"/>
      </w:rPr>
      <w:t xml:space="preserve"> </w:t>
    </w:r>
    <w:r w:rsidR="0072751D">
      <w:rPr>
        <w:lang w:val="da-DK"/>
      </w:rPr>
      <w:t>-</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E84DF2">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5E0504" w:rsidP="00663D25">
    <w:pPr>
      <w:pStyle w:val="Header"/>
      <w:jc w:val="right"/>
      <w:rPr>
        <w:szCs w:val="16"/>
        <w:lang w:val="da-DK"/>
      </w:rPr>
    </w:pPr>
    <w:r>
      <w:rPr>
        <w:lang w:val="da-DK"/>
      </w:rPr>
      <w:t>ECC/</w:t>
    </w:r>
    <w:r w:rsidR="006E1B5C" w:rsidRPr="007C5F95">
      <w:rPr>
        <w:lang w:val="da-DK"/>
      </w:rPr>
      <w:t>DE</w:t>
    </w:r>
    <w:r>
      <w:rPr>
        <w:lang w:val="da-DK"/>
      </w:rPr>
      <w:t>C</w:t>
    </w:r>
    <w:r w:rsidR="00B612AF">
      <w:rPr>
        <w:lang w:val="da-DK"/>
      </w:rPr>
      <w:t>/</w:t>
    </w:r>
    <w:r w:rsidR="006E1B5C" w:rsidRPr="007C5F95">
      <w:rPr>
        <w:lang w:val="da-DK"/>
      </w:rPr>
      <w:t>(</w:t>
    </w:r>
    <w:r w:rsidR="00F85AA3">
      <w:rPr>
        <w:lang w:val="da-DK"/>
      </w:rPr>
      <w:t>1</w:t>
    </w:r>
    <w:r w:rsidR="002C108B">
      <w:rPr>
        <w:lang w:val="da-DK"/>
      </w:rPr>
      <w:t>7</w:t>
    </w:r>
    <w:r w:rsidR="006E1B5C" w:rsidRPr="007C5F95">
      <w:rPr>
        <w:lang w:val="da-DK"/>
      </w:rPr>
      <w:t>)</w:t>
    </w:r>
    <w:r w:rsidR="0072751D">
      <w:rPr>
        <w:lang w:val="da-DK"/>
      </w:rPr>
      <w:t>01</w:t>
    </w:r>
    <w:r w:rsidR="006E1B5C">
      <w:rPr>
        <w:lang w:val="da-DK"/>
      </w:rPr>
      <w:t xml:space="preserve"> </w:t>
    </w:r>
    <w:r w:rsidR="0072751D">
      <w:rPr>
        <w:lang w:val="da-DK"/>
      </w:rPr>
      <w:t>-</w:t>
    </w:r>
    <w:r w:rsidR="006E1B5C">
      <w:rPr>
        <w:lang w:val="da-DK"/>
      </w:rPr>
      <w:t xml:space="preserve">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E84DF2">
      <w:rPr>
        <w:noProof/>
        <w:szCs w:val="16"/>
        <w:lang w:val="da-DK"/>
      </w:rPr>
      <w:t>3</w:t>
    </w:r>
    <w:r w:rsidR="006E1B5C">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324703" w:rsidRDefault="006E1B5C" w:rsidP="00D3437D">
    <w:pPr>
      <w:pStyle w:val="Header"/>
      <w:jc w:val="right"/>
      <w:rPr>
        <w:sz w:val="20"/>
        <w:szCs w:val="20"/>
      </w:rPr>
    </w:pPr>
    <w:r w:rsidRPr="00324703">
      <w:rPr>
        <w:noProof/>
        <w:sz w:val="20"/>
        <w:szCs w:val="20"/>
        <w:lang w:val="da-DK" w:eastAsia="da-DK"/>
      </w:rPr>
      <w:drawing>
        <wp:anchor distT="0" distB="0" distL="114300" distR="114300" simplePos="0" relativeHeight="251656704" behindDoc="0" locked="0" layoutInCell="1" allowOverlap="1" wp14:anchorId="79FFE737" wp14:editId="69562369">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Pr="00324703">
      <w:rPr>
        <w:noProof/>
        <w:sz w:val="20"/>
        <w:szCs w:val="20"/>
        <w:lang w:val="da-DK" w:eastAsia="da-DK"/>
      </w:rPr>
      <w:drawing>
        <wp:anchor distT="0" distB="0" distL="114300" distR="114300" simplePos="0" relativeHeight="251657728" behindDoc="0" locked="0" layoutInCell="1" allowOverlap="1" wp14:anchorId="28996BDB" wp14:editId="20CB7BF0">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3A45DDE"/>
    <w:multiLevelType w:val="hybridMultilevel"/>
    <w:tmpl w:val="C3A8C160"/>
    <w:lvl w:ilvl="0" w:tplc="04060017">
      <w:start w:val="1"/>
      <w:numFmt w:val="lowerLetter"/>
      <w:lvlText w:val="%1)"/>
      <w:lvlJc w:val="left"/>
      <w:pPr>
        <w:tabs>
          <w:tab w:val="num" w:pos="360"/>
        </w:tabs>
        <w:ind w:left="360" w:hanging="360"/>
      </w:pPr>
      <w:rPr>
        <w:rFonts w:hint="default"/>
        <w:color w:val="D2232A"/>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820AA6"/>
    <w:multiLevelType w:val="hybridMultilevel"/>
    <w:tmpl w:val="57EA09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3"/>
  </w:num>
  <w:num w:numId="3">
    <w:abstractNumId w:val="9"/>
  </w:num>
  <w:num w:numId="4">
    <w:abstractNumId w:val="1"/>
  </w:num>
  <w:num w:numId="5">
    <w:abstractNumId w:val="2"/>
  </w:num>
  <w:num w:numId="6">
    <w:abstractNumId w:val="4"/>
  </w:num>
  <w:num w:numId="7">
    <w:abstractNumId w:val="3"/>
  </w:num>
  <w:num w:numId="8">
    <w:abstractNumId w:val="8"/>
  </w:num>
  <w:num w:numId="9">
    <w:abstractNumId w:val="7"/>
  </w:num>
  <w:num w:numId="10">
    <w:abstractNumId w:val="5"/>
  </w:num>
  <w:num w:numId="11">
    <w:abstractNumId w:val="8"/>
    <w:lvlOverride w:ilvl="0">
      <w:startOverride w:val="1"/>
    </w:lvlOverride>
  </w:num>
  <w:num w:numId="12">
    <w:abstractNumId w:val="0"/>
  </w:num>
  <w:num w:numId="13">
    <w:abstractNumId w:val="12"/>
  </w:num>
  <w:num w:numId="14">
    <w:abstractNumId w:val="10"/>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12"/>
    <w:rsid w:val="00004D9E"/>
    <w:rsid w:val="00005048"/>
    <w:rsid w:val="00025DBF"/>
    <w:rsid w:val="00046443"/>
    <w:rsid w:val="000542D2"/>
    <w:rsid w:val="000A50C3"/>
    <w:rsid w:val="000B0BF1"/>
    <w:rsid w:val="000F7FA5"/>
    <w:rsid w:val="00123ECA"/>
    <w:rsid w:val="0015731C"/>
    <w:rsid w:val="00164686"/>
    <w:rsid w:val="00180B67"/>
    <w:rsid w:val="00190C12"/>
    <w:rsid w:val="001A14A7"/>
    <w:rsid w:val="001A4305"/>
    <w:rsid w:val="001D59B8"/>
    <w:rsid w:val="00210EB5"/>
    <w:rsid w:val="002368C0"/>
    <w:rsid w:val="00274E77"/>
    <w:rsid w:val="002830B8"/>
    <w:rsid w:val="002B09CD"/>
    <w:rsid w:val="002B15F4"/>
    <w:rsid w:val="002C108B"/>
    <w:rsid w:val="002F3492"/>
    <w:rsid w:val="00324703"/>
    <w:rsid w:val="00362B94"/>
    <w:rsid w:val="00377966"/>
    <w:rsid w:val="003A3CF5"/>
    <w:rsid w:val="003B4596"/>
    <w:rsid w:val="003F412D"/>
    <w:rsid w:val="003F714F"/>
    <w:rsid w:val="00420EC0"/>
    <w:rsid w:val="00472FB9"/>
    <w:rsid w:val="004B72F8"/>
    <w:rsid w:val="0059199F"/>
    <w:rsid w:val="005954AD"/>
    <w:rsid w:val="005B0538"/>
    <w:rsid w:val="005D7338"/>
    <w:rsid w:val="005E0504"/>
    <w:rsid w:val="005E142B"/>
    <w:rsid w:val="00634AA5"/>
    <w:rsid w:val="00663D25"/>
    <w:rsid w:val="006B0522"/>
    <w:rsid w:val="006E1B5C"/>
    <w:rsid w:val="006E5FEE"/>
    <w:rsid w:val="00703BEA"/>
    <w:rsid w:val="007066EE"/>
    <w:rsid w:val="0072751D"/>
    <w:rsid w:val="00732B4B"/>
    <w:rsid w:val="00740D4D"/>
    <w:rsid w:val="00754696"/>
    <w:rsid w:val="007D41A6"/>
    <w:rsid w:val="00841A73"/>
    <w:rsid w:val="00845A5D"/>
    <w:rsid w:val="00864547"/>
    <w:rsid w:val="008767B4"/>
    <w:rsid w:val="008F4AB8"/>
    <w:rsid w:val="0091713D"/>
    <w:rsid w:val="009354C4"/>
    <w:rsid w:val="00945664"/>
    <w:rsid w:val="00953393"/>
    <w:rsid w:val="009704AE"/>
    <w:rsid w:val="009778AD"/>
    <w:rsid w:val="009815F2"/>
    <w:rsid w:val="009A1E3F"/>
    <w:rsid w:val="009D659A"/>
    <w:rsid w:val="00A86CE8"/>
    <w:rsid w:val="00A967F3"/>
    <w:rsid w:val="00AB76A2"/>
    <w:rsid w:val="00AD2E4A"/>
    <w:rsid w:val="00B1654E"/>
    <w:rsid w:val="00B44C9B"/>
    <w:rsid w:val="00B539AF"/>
    <w:rsid w:val="00B54941"/>
    <w:rsid w:val="00B612AF"/>
    <w:rsid w:val="00B915A7"/>
    <w:rsid w:val="00B9184B"/>
    <w:rsid w:val="00B966F5"/>
    <w:rsid w:val="00B97129"/>
    <w:rsid w:val="00BB2CC0"/>
    <w:rsid w:val="00BB3D99"/>
    <w:rsid w:val="00BB560C"/>
    <w:rsid w:val="00BC0D6B"/>
    <w:rsid w:val="00BC189D"/>
    <w:rsid w:val="00BC593D"/>
    <w:rsid w:val="00BF105A"/>
    <w:rsid w:val="00C45338"/>
    <w:rsid w:val="00C923EE"/>
    <w:rsid w:val="00CC4097"/>
    <w:rsid w:val="00CD39D0"/>
    <w:rsid w:val="00D3437D"/>
    <w:rsid w:val="00D73D1E"/>
    <w:rsid w:val="00DC16A7"/>
    <w:rsid w:val="00E00349"/>
    <w:rsid w:val="00E256A0"/>
    <w:rsid w:val="00E41A59"/>
    <w:rsid w:val="00E652E0"/>
    <w:rsid w:val="00E84DF2"/>
    <w:rsid w:val="00EB4F2E"/>
    <w:rsid w:val="00EB5F34"/>
    <w:rsid w:val="00EB64AE"/>
    <w:rsid w:val="00EC3CB0"/>
    <w:rsid w:val="00EC5A9A"/>
    <w:rsid w:val="00ED4D23"/>
    <w:rsid w:val="00F04472"/>
    <w:rsid w:val="00F141A8"/>
    <w:rsid w:val="00F43C6E"/>
    <w:rsid w:val="00F85AA3"/>
    <w:rsid w:val="00F8601E"/>
    <w:rsid w:val="00FA22A2"/>
    <w:rsid w:val="00FA323D"/>
    <w:rsid w:val="00FA45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Header"/>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 w:type="paragraph" w:styleId="BalloonText">
    <w:name w:val="Balloon Text"/>
    <w:basedOn w:val="Normal"/>
    <w:link w:val="BalloonTextChar"/>
    <w:uiPriority w:val="99"/>
    <w:semiHidden/>
    <w:unhideWhenUsed/>
    <w:rsid w:val="00FA323D"/>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45664"/>
    <w:rPr>
      <w:sz w:val="16"/>
      <w:szCs w:val="16"/>
    </w:rPr>
  </w:style>
  <w:style w:type="paragraph" w:styleId="CommentText">
    <w:name w:val="annotation text"/>
    <w:basedOn w:val="Normal"/>
    <w:link w:val="CommentTextChar"/>
    <w:uiPriority w:val="99"/>
    <w:semiHidden/>
    <w:unhideWhenUsed/>
    <w:rsid w:val="00945664"/>
    <w:rPr>
      <w:szCs w:val="20"/>
    </w:rPr>
  </w:style>
  <w:style w:type="character" w:customStyle="1" w:styleId="CommentTextChar">
    <w:name w:val="Comment Text Char"/>
    <w:basedOn w:val="DefaultParagraphFont"/>
    <w:link w:val="CommentText"/>
    <w:uiPriority w:val="99"/>
    <w:semiHidden/>
    <w:rsid w:val="0094566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945664"/>
    <w:rPr>
      <w:b/>
      <w:bCs/>
    </w:rPr>
  </w:style>
  <w:style w:type="character" w:customStyle="1" w:styleId="CommentSubjectChar">
    <w:name w:val="Comment Subject Char"/>
    <w:basedOn w:val="CommentTextChar"/>
    <w:link w:val="CommentSubject"/>
    <w:uiPriority w:val="99"/>
    <w:semiHidden/>
    <w:rsid w:val="00945664"/>
    <w:rPr>
      <w:rFonts w:ascii="Arial" w:hAnsi="Arial"/>
      <w:b/>
      <w:bCs/>
      <w:lang w:val="en-US" w:eastAsia="en-US"/>
    </w:rPr>
  </w:style>
  <w:style w:type="paragraph" w:styleId="ListParagraph">
    <w:name w:val="List Paragraph"/>
    <w:basedOn w:val="Normal"/>
    <w:uiPriority w:val="34"/>
    <w:qFormat/>
    <w:rsid w:val="00F04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Header"/>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 w:type="paragraph" w:styleId="BalloonText">
    <w:name w:val="Balloon Text"/>
    <w:basedOn w:val="Normal"/>
    <w:link w:val="BalloonTextChar"/>
    <w:uiPriority w:val="99"/>
    <w:semiHidden/>
    <w:unhideWhenUsed/>
    <w:rsid w:val="00FA323D"/>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45664"/>
    <w:rPr>
      <w:sz w:val="16"/>
      <w:szCs w:val="16"/>
    </w:rPr>
  </w:style>
  <w:style w:type="paragraph" w:styleId="CommentText">
    <w:name w:val="annotation text"/>
    <w:basedOn w:val="Normal"/>
    <w:link w:val="CommentTextChar"/>
    <w:uiPriority w:val="99"/>
    <w:semiHidden/>
    <w:unhideWhenUsed/>
    <w:rsid w:val="00945664"/>
    <w:rPr>
      <w:szCs w:val="20"/>
    </w:rPr>
  </w:style>
  <w:style w:type="character" w:customStyle="1" w:styleId="CommentTextChar">
    <w:name w:val="Comment Text Char"/>
    <w:basedOn w:val="DefaultParagraphFont"/>
    <w:link w:val="CommentText"/>
    <w:uiPriority w:val="99"/>
    <w:semiHidden/>
    <w:rsid w:val="0094566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945664"/>
    <w:rPr>
      <w:b/>
      <w:bCs/>
    </w:rPr>
  </w:style>
  <w:style w:type="character" w:customStyle="1" w:styleId="CommentSubjectChar">
    <w:name w:val="Comment Subject Char"/>
    <w:basedOn w:val="CommentTextChar"/>
    <w:link w:val="CommentSubject"/>
    <w:uiPriority w:val="99"/>
    <w:semiHidden/>
    <w:rsid w:val="00945664"/>
    <w:rPr>
      <w:rFonts w:ascii="Arial" w:hAnsi="Arial"/>
      <w:b/>
      <w:bCs/>
      <w:lang w:val="en-US" w:eastAsia="en-US"/>
    </w:rPr>
  </w:style>
  <w:style w:type="paragraph" w:styleId="ListParagraph">
    <w:name w:val="List Paragraph"/>
    <w:basedOn w:val="Normal"/>
    <w:uiPriority w:val="34"/>
    <w:qFormat/>
    <w:rsid w:val="00F04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F9628-823C-44D5-B6CD-F85B77C8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5254</Characters>
  <Application>Microsoft Office Word</Application>
  <DocSecurity>0</DocSecurity>
  <Lines>43</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Withdrawal of ECC Decisions (01)01 and (01)02 on CT equipment</vt:lpstr>
      <vt:lpstr>Withdrawal of ECC Decisions (01)01 and (01)02 on CT equipment</vt:lpstr>
      <vt:lpstr>New ECC Report Style</vt:lpstr>
    </vt:vector>
  </TitlesOfParts>
  <Company>WGFM#87</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Withdrawal of ECC Decisions (01)01 and (01)02 on CT equipment</dc:title>
  <dc:subject>draft ECC Decision</dc:subject>
  <dc:creator>Thomas Weber</dc:creator>
  <dc:description>after PC</dc:description>
  <cp:lastModifiedBy>Thomas Weber</cp:lastModifiedBy>
  <cp:revision>2</cp:revision>
  <cp:lastPrinted>2017-03-01T14:55:00Z</cp:lastPrinted>
  <dcterms:created xsi:type="dcterms:W3CDTF">2017-06-19T10:45:00Z</dcterms:created>
  <dcterms:modified xsi:type="dcterms:W3CDTF">2017-06-19T10:45:00Z</dcterms:modified>
  <cp:contentStatus>adopted by WGFM</cp:contentStatus>
</cp:coreProperties>
</file>